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B33F" w14:textId="77777777" w:rsidR="00845A84" w:rsidRDefault="00845A84" w:rsidP="00845A84">
      <w:pPr>
        <w:pStyle w:val="Conditions1"/>
        <w:numPr>
          <w:ilvl w:val="0"/>
          <w:numId w:val="0"/>
        </w:numPr>
      </w:pPr>
      <w:r>
        <w:rPr>
          <w:noProof/>
        </w:rPr>
        <w:drawing>
          <wp:inline distT="0" distB="0" distL="0" distR="0" wp14:anchorId="4368E539" wp14:editId="70A03163">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5F005459" w14:textId="77777777" w:rsidR="00845A84" w:rsidRDefault="00845A84" w:rsidP="00845A84"/>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845A84" w:rsidRPr="003C3FF8" w14:paraId="58D18416" w14:textId="77777777" w:rsidTr="00E73D4B">
        <w:trPr>
          <w:cantSplit/>
          <w:trHeight w:val="23"/>
        </w:trPr>
        <w:tc>
          <w:tcPr>
            <w:tcW w:w="9356" w:type="dxa"/>
          </w:tcPr>
          <w:p w14:paraId="2AB0B9B8" w14:textId="77777777" w:rsidR="00845A84" w:rsidRPr="003C3FF8" w:rsidRDefault="00845A84" w:rsidP="007E6839">
            <w:pPr>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Appeal</w:t>
            </w:r>
            <w:r w:rsidRPr="003C3FF8">
              <w:rPr>
                <w:rFonts w:ascii="Arial" w:hAnsi="Arial" w:cs="Arial"/>
                <w:b/>
                <w:color w:val="000000"/>
                <w:sz w:val="40"/>
                <w:szCs w:val="40"/>
              </w:rPr>
              <w:t xml:space="preserve"> Decision</w:t>
            </w:r>
          </w:p>
        </w:tc>
      </w:tr>
      <w:tr w:rsidR="00845A84" w:rsidRPr="003C3FF8" w14:paraId="3CB64F77" w14:textId="77777777" w:rsidTr="00E73D4B">
        <w:trPr>
          <w:cantSplit/>
          <w:trHeight w:val="23"/>
        </w:trPr>
        <w:tc>
          <w:tcPr>
            <w:tcW w:w="9356" w:type="dxa"/>
            <w:vAlign w:val="center"/>
          </w:tcPr>
          <w:p w14:paraId="721F3B79" w14:textId="77777777" w:rsidR="00845A84" w:rsidRDefault="00D56F61" w:rsidP="00E73D4B">
            <w:pPr>
              <w:spacing w:before="60"/>
              <w:ind w:left="-108" w:right="34"/>
              <w:rPr>
                <w:rFonts w:ascii="Arial" w:hAnsi="Arial" w:cs="Arial"/>
                <w:color w:val="000000"/>
                <w:sz w:val="16"/>
                <w:szCs w:val="16"/>
              </w:rPr>
            </w:pPr>
            <w:r>
              <w:rPr>
                <w:rFonts w:ascii="Arial" w:hAnsi="Arial" w:cs="Arial"/>
                <w:color w:val="000000"/>
                <w:sz w:val="16"/>
                <w:szCs w:val="16"/>
              </w:rPr>
              <w:t>On papers on file</w:t>
            </w:r>
          </w:p>
          <w:p w14:paraId="78C51B54" w14:textId="4FB98FAD" w:rsidR="00DC5BD7" w:rsidRPr="00D75D0D" w:rsidRDefault="00DC5BD7" w:rsidP="00E73D4B">
            <w:pPr>
              <w:spacing w:before="60"/>
              <w:ind w:left="-108" w:right="34"/>
              <w:rPr>
                <w:rFonts w:ascii="Arial" w:hAnsi="Arial" w:cs="Arial"/>
                <w:color w:val="000000"/>
                <w:sz w:val="16"/>
                <w:szCs w:val="16"/>
              </w:rPr>
            </w:pPr>
          </w:p>
        </w:tc>
      </w:tr>
      <w:tr w:rsidR="00845A84" w:rsidRPr="003C3FF8" w14:paraId="36C0288F" w14:textId="77777777" w:rsidTr="00E73D4B">
        <w:trPr>
          <w:cantSplit/>
          <w:trHeight w:val="23"/>
        </w:trPr>
        <w:tc>
          <w:tcPr>
            <w:tcW w:w="9356" w:type="dxa"/>
          </w:tcPr>
          <w:p w14:paraId="39135C13" w14:textId="77777777" w:rsidR="00845A84" w:rsidRPr="003C3FF8" w:rsidRDefault="00845A84" w:rsidP="00D75D0D">
            <w:pPr>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845A84" w:rsidRPr="003C3FF8" w14:paraId="3D2925BB" w14:textId="77777777" w:rsidTr="00E73D4B">
        <w:trPr>
          <w:cantSplit/>
          <w:trHeight w:val="23"/>
        </w:trPr>
        <w:tc>
          <w:tcPr>
            <w:tcW w:w="9356" w:type="dxa"/>
          </w:tcPr>
          <w:p w14:paraId="04E0BFC2" w14:textId="77777777" w:rsidR="00845A84" w:rsidRPr="003C3FF8" w:rsidRDefault="00845A84" w:rsidP="00E73D4B">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845A84" w:rsidRPr="003C3FF8" w14:paraId="0A9A0F28" w14:textId="77777777" w:rsidTr="00E73D4B">
        <w:trPr>
          <w:cantSplit/>
          <w:trHeight w:val="23"/>
        </w:trPr>
        <w:tc>
          <w:tcPr>
            <w:tcW w:w="9356" w:type="dxa"/>
          </w:tcPr>
          <w:p w14:paraId="6E994FDF" w14:textId="2E37CF6D" w:rsidR="00845A84" w:rsidRPr="003C3FF8" w:rsidRDefault="00845A84" w:rsidP="00E73D4B">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264ED7">
              <w:rPr>
                <w:rFonts w:ascii="Arial" w:hAnsi="Arial" w:cs="Arial"/>
                <w:b/>
                <w:color w:val="000000"/>
                <w:sz w:val="16"/>
                <w:szCs w:val="16"/>
              </w:rPr>
              <w:t xml:space="preserve"> 03 March 2026</w:t>
            </w:r>
          </w:p>
        </w:tc>
      </w:tr>
    </w:tbl>
    <w:p w14:paraId="53442FCC" w14:textId="77777777" w:rsidR="00845A84" w:rsidRPr="009166E9" w:rsidRDefault="00845A84" w:rsidP="00845A84">
      <w:pPr>
        <w:rPr>
          <w:rFonts w:ascii="Arial" w:hAnsi="Arial" w:cs="Arial"/>
          <w:sz w:val="16"/>
          <w:szCs w:val="16"/>
        </w:rPr>
      </w:pPr>
    </w:p>
    <w:tbl>
      <w:tblPr>
        <w:tblW w:w="0" w:type="auto"/>
        <w:tblLayout w:type="fixed"/>
        <w:tblLook w:val="0000" w:firstRow="0" w:lastRow="0" w:firstColumn="0" w:lastColumn="0" w:noHBand="0" w:noVBand="0"/>
      </w:tblPr>
      <w:tblGrid>
        <w:gridCol w:w="9520"/>
      </w:tblGrid>
      <w:tr w:rsidR="00845A84" w:rsidRPr="003C3FF8" w14:paraId="33C1A5B3" w14:textId="77777777" w:rsidTr="00E73D4B">
        <w:tc>
          <w:tcPr>
            <w:tcW w:w="9520" w:type="dxa"/>
          </w:tcPr>
          <w:p w14:paraId="79EA7CC6" w14:textId="1A70E725" w:rsidR="00845A84" w:rsidRPr="00533F28" w:rsidRDefault="00845A84" w:rsidP="00E73D4B">
            <w:pPr>
              <w:spacing w:after="60"/>
              <w:rPr>
                <w:rFonts w:ascii="Arial" w:hAnsi="Arial" w:cs="Arial"/>
                <w:b/>
                <w:color w:val="000000"/>
                <w:szCs w:val="22"/>
              </w:rPr>
            </w:pPr>
            <w:r w:rsidRPr="00533F28">
              <w:rPr>
                <w:rFonts w:ascii="Arial" w:hAnsi="Arial" w:cs="Arial"/>
                <w:b/>
                <w:color w:val="000000"/>
                <w:szCs w:val="22"/>
              </w:rPr>
              <w:t>Appeal Ref: ROW/</w:t>
            </w:r>
            <w:r>
              <w:rPr>
                <w:rFonts w:ascii="Arial" w:hAnsi="Arial" w:cs="Arial"/>
                <w:b/>
                <w:color w:val="000000"/>
                <w:szCs w:val="22"/>
              </w:rPr>
              <w:t>33</w:t>
            </w:r>
            <w:r w:rsidR="009808CE">
              <w:rPr>
                <w:rFonts w:ascii="Arial" w:hAnsi="Arial" w:cs="Arial"/>
                <w:b/>
                <w:color w:val="000000"/>
                <w:szCs w:val="22"/>
              </w:rPr>
              <w:t>63792</w:t>
            </w:r>
          </w:p>
        </w:tc>
      </w:tr>
      <w:tr w:rsidR="00845A84" w:rsidRPr="003C3FF8" w14:paraId="11965857" w14:textId="77777777" w:rsidTr="00E73D4B">
        <w:tc>
          <w:tcPr>
            <w:tcW w:w="9520" w:type="dxa"/>
          </w:tcPr>
          <w:p w14:paraId="26FEA1EA" w14:textId="77777777" w:rsidR="00845A84" w:rsidRPr="009166E9" w:rsidRDefault="00845A84" w:rsidP="00E73D4B">
            <w:pPr>
              <w:pStyle w:val="TBullet"/>
              <w:numPr>
                <w:ilvl w:val="0"/>
                <w:numId w:val="0"/>
              </w:numPr>
              <w:ind w:left="360"/>
              <w:rPr>
                <w:rFonts w:ascii="Arial" w:hAnsi="Arial" w:cs="Arial"/>
                <w:sz w:val="12"/>
                <w:szCs w:val="12"/>
              </w:rPr>
            </w:pPr>
          </w:p>
        </w:tc>
      </w:tr>
      <w:tr w:rsidR="00845A84" w:rsidRPr="003C3FF8" w14:paraId="63794079" w14:textId="77777777" w:rsidTr="00E73D4B">
        <w:tc>
          <w:tcPr>
            <w:tcW w:w="9520" w:type="dxa"/>
          </w:tcPr>
          <w:p w14:paraId="4FC7BC46" w14:textId="1171F736" w:rsidR="00845A84" w:rsidRPr="00533F28" w:rsidRDefault="00845A84" w:rsidP="00E73D4B">
            <w:pPr>
              <w:pStyle w:val="TBullet"/>
              <w:rPr>
                <w:rFonts w:ascii="Arial" w:hAnsi="Arial" w:cs="Arial"/>
                <w:sz w:val="22"/>
                <w:szCs w:val="22"/>
              </w:rPr>
            </w:pPr>
            <w:r w:rsidRPr="00533F28">
              <w:rPr>
                <w:rFonts w:ascii="Arial" w:hAnsi="Arial" w:cs="Arial"/>
                <w:sz w:val="22"/>
                <w:szCs w:val="22"/>
              </w:rPr>
              <w:t xml:space="preserve">This Appeal is made by </w:t>
            </w:r>
            <w:r w:rsidR="00BB6E44">
              <w:rPr>
                <w:rFonts w:ascii="Arial" w:hAnsi="Arial" w:cs="Arial"/>
                <w:sz w:val="22"/>
                <w:szCs w:val="22"/>
              </w:rPr>
              <w:t xml:space="preserve">Professor H K Ramsell </w:t>
            </w:r>
            <w:r w:rsidRPr="00533F28">
              <w:rPr>
                <w:rFonts w:ascii="Arial" w:hAnsi="Arial" w:cs="Arial"/>
                <w:sz w:val="22"/>
                <w:szCs w:val="22"/>
              </w:rPr>
              <w:t xml:space="preserve">under Section 53(5) of and Paragraph 4(1) of Schedule 14 to the Wildlife and Countryside Act 1981 (‘the 1981 Act’) against the decision </w:t>
            </w:r>
            <w:r w:rsidRPr="00BB6E44">
              <w:rPr>
                <w:rFonts w:ascii="Arial" w:hAnsi="Arial" w:cs="Arial"/>
                <w:sz w:val="22"/>
                <w:szCs w:val="22"/>
              </w:rPr>
              <w:t xml:space="preserve">of </w:t>
            </w:r>
            <w:r w:rsidR="00BB6E44" w:rsidRPr="00BB6E44">
              <w:rPr>
                <w:rFonts w:ascii="Arial" w:hAnsi="Arial" w:cs="Arial"/>
                <w:sz w:val="22"/>
                <w:szCs w:val="22"/>
              </w:rPr>
              <w:t xml:space="preserve">Hertfordshire </w:t>
            </w:r>
            <w:r w:rsidRPr="00BB6E44">
              <w:rPr>
                <w:rFonts w:ascii="Arial" w:hAnsi="Arial" w:cs="Arial"/>
                <w:sz w:val="22"/>
                <w:szCs w:val="22"/>
              </w:rPr>
              <w:t>County Council</w:t>
            </w:r>
            <w:r w:rsidRPr="00533F28">
              <w:rPr>
                <w:rFonts w:ascii="Arial" w:hAnsi="Arial" w:cs="Arial"/>
                <w:sz w:val="22"/>
                <w:szCs w:val="22"/>
              </w:rPr>
              <w:t xml:space="preserve"> (‘the Council’) not to make an Order under section 53(2) of the 1981 Act. </w:t>
            </w:r>
          </w:p>
          <w:p w14:paraId="3C8EABE3" w14:textId="0A223C46" w:rsidR="00845A84" w:rsidRPr="00533F28" w:rsidRDefault="00845A84" w:rsidP="00E73D4B">
            <w:pPr>
              <w:pStyle w:val="TBullet"/>
              <w:rPr>
                <w:rFonts w:ascii="Arial" w:hAnsi="Arial" w:cs="Arial"/>
                <w:sz w:val="22"/>
                <w:szCs w:val="22"/>
              </w:rPr>
            </w:pPr>
            <w:r>
              <w:rPr>
                <w:rFonts w:ascii="Arial" w:hAnsi="Arial" w:cs="Arial"/>
                <w:sz w:val="22"/>
                <w:szCs w:val="22"/>
              </w:rPr>
              <w:t xml:space="preserve">On </w:t>
            </w:r>
            <w:r w:rsidR="0021726D">
              <w:rPr>
                <w:rFonts w:ascii="Arial" w:hAnsi="Arial" w:cs="Arial"/>
                <w:sz w:val="22"/>
                <w:szCs w:val="22"/>
              </w:rPr>
              <w:t>24 March 2025</w:t>
            </w:r>
            <w:r>
              <w:rPr>
                <w:rFonts w:ascii="Arial" w:hAnsi="Arial" w:cs="Arial"/>
                <w:sz w:val="22"/>
                <w:szCs w:val="22"/>
              </w:rPr>
              <w:t xml:space="preserve"> the Council gave notice of their determination to refuse the application which was made </w:t>
            </w:r>
            <w:r w:rsidR="00880F59">
              <w:rPr>
                <w:rFonts w:ascii="Arial" w:hAnsi="Arial" w:cs="Arial"/>
                <w:sz w:val="22"/>
                <w:szCs w:val="22"/>
              </w:rPr>
              <w:t xml:space="preserve">on </w:t>
            </w:r>
            <w:r w:rsidR="0021726D">
              <w:rPr>
                <w:rFonts w:ascii="Arial" w:hAnsi="Arial" w:cs="Arial"/>
                <w:sz w:val="22"/>
                <w:szCs w:val="22"/>
              </w:rPr>
              <w:t>4 May 2018</w:t>
            </w:r>
            <w:r>
              <w:rPr>
                <w:rFonts w:ascii="Arial" w:hAnsi="Arial" w:cs="Arial"/>
                <w:sz w:val="22"/>
                <w:szCs w:val="22"/>
              </w:rPr>
              <w:t>.</w:t>
            </w:r>
          </w:p>
          <w:p w14:paraId="4864F0DE" w14:textId="70D4DF55" w:rsidR="00845A84" w:rsidRPr="00533F28" w:rsidRDefault="00845A84" w:rsidP="00E73D4B">
            <w:pPr>
              <w:pStyle w:val="TBullet"/>
              <w:rPr>
                <w:rFonts w:ascii="Arial" w:hAnsi="Arial" w:cs="Arial"/>
                <w:sz w:val="22"/>
                <w:szCs w:val="22"/>
              </w:rPr>
            </w:pPr>
            <w:r>
              <w:rPr>
                <w:rFonts w:ascii="Arial" w:hAnsi="Arial" w:cs="Arial"/>
                <w:sz w:val="22"/>
                <w:szCs w:val="22"/>
              </w:rPr>
              <w:t xml:space="preserve">The appellant claims that </w:t>
            </w:r>
            <w:r w:rsidR="00880F59">
              <w:rPr>
                <w:rFonts w:ascii="Arial" w:hAnsi="Arial" w:cs="Arial"/>
                <w:sz w:val="22"/>
                <w:szCs w:val="22"/>
              </w:rPr>
              <w:t xml:space="preserve">a </w:t>
            </w:r>
            <w:r>
              <w:rPr>
                <w:rFonts w:ascii="Arial" w:hAnsi="Arial" w:cs="Arial"/>
                <w:sz w:val="22"/>
                <w:szCs w:val="22"/>
              </w:rPr>
              <w:t>public right of way</w:t>
            </w:r>
            <w:r w:rsidR="00880F59">
              <w:rPr>
                <w:rFonts w:ascii="Arial" w:hAnsi="Arial" w:cs="Arial"/>
                <w:sz w:val="22"/>
                <w:szCs w:val="22"/>
              </w:rPr>
              <w:t xml:space="preserve"> </w:t>
            </w:r>
            <w:r w:rsidR="00A55D26">
              <w:rPr>
                <w:rFonts w:ascii="Arial" w:hAnsi="Arial" w:cs="Arial"/>
                <w:sz w:val="22"/>
                <w:szCs w:val="22"/>
              </w:rPr>
              <w:t>(</w:t>
            </w:r>
            <w:r w:rsidR="0021726D">
              <w:rPr>
                <w:rFonts w:ascii="Arial" w:hAnsi="Arial" w:cs="Arial"/>
                <w:sz w:val="22"/>
                <w:szCs w:val="22"/>
              </w:rPr>
              <w:t xml:space="preserve">Restricted Byway </w:t>
            </w:r>
            <w:r w:rsidR="00A55D26">
              <w:rPr>
                <w:rFonts w:ascii="Arial" w:hAnsi="Arial" w:cs="Arial"/>
                <w:sz w:val="22"/>
                <w:szCs w:val="22"/>
              </w:rPr>
              <w:t>r</w:t>
            </w:r>
            <w:r w:rsidR="0021726D">
              <w:rPr>
                <w:rFonts w:ascii="Arial" w:hAnsi="Arial" w:cs="Arial"/>
                <w:sz w:val="22"/>
                <w:szCs w:val="22"/>
              </w:rPr>
              <w:t>unning from Martins Green to Pembridge Lane</w:t>
            </w:r>
            <w:r w:rsidR="0023145C">
              <w:rPr>
                <w:rFonts w:ascii="Arial" w:hAnsi="Arial" w:cs="Arial"/>
                <w:sz w:val="22"/>
                <w:szCs w:val="22"/>
              </w:rPr>
              <w:t>)</w:t>
            </w:r>
            <w:r>
              <w:rPr>
                <w:rFonts w:ascii="Arial" w:hAnsi="Arial" w:cs="Arial"/>
                <w:sz w:val="22"/>
                <w:szCs w:val="22"/>
              </w:rPr>
              <w:t xml:space="preserve"> should </w:t>
            </w:r>
            <w:r w:rsidR="0023145C">
              <w:rPr>
                <w:rFonts w:ascii="Arial" w:hAnsi="Arial" w:cs="Arial"/>
                <w:sz w:val="22"/>
                <w:szCs w:val="22"/>
              </w:rPr>
              <w:t>be deleted from</w:t>
            </w:r>
            <w:r>
              <w:rPr>
                <w:rFonts w:ascii="Arial" w:hAnsi="Arial" w:cs="Arial"/>
                <w:sz w:val="22"/>
                <w:szCs w:val="22"/>
              </w:rPr>
              <w:t xml:space="preserve"> the Definitive Map and Statement (‘the DMS’) for the area</w:t>
            </w:r>
            <w:r w:rsidR="00A55D26">
              <w:rPr>
                <w:rFonts w:ascii="Arial" w:hAnsi="Arial" w:cs="Arial"/>
                <w:sz w:val="22"/>
                <w:szCs w:val="22"/>
              </w:rPr>
              <w:t>.</w:t>
            </w:r>
            <w:r>
              <w:rPr>
                <w:rFonts w:ascii="Arial" w:hAnsi="Arial" w:cs="Arial"/>
                <w:sz w:val="22"/>
                <w:szCs w:val="22"/>
              </w:rPr>
              <w:t xml:space="preserve"> </w:t>
            </w:r>
          </w:p>
        </w:tc>
      </w:tr>
      <w:tr w:rsidR="00845A84" w:rsidRPr="003C3FF8" w14:paraId="3125D620" w14:textId="77777777" w:rsidTr="00E73D4B">
        <w:tc>
          <w:tcPr>
            <w:tcW w:w="9520" w:type="dxa"/>
            <w:tcBorders>
              <w:bottom w:val="single" w:sz="6" w:space="0" w:color="000000"/>
            </w:tcBorders>
          </w:tcPr>
          <w:p w14:paraId="3DAB5B44" w14:textId="7374AF8D" w:rsidR="00845A84" w:rsidRPr="00533F28" w:rsidRDefault="00845A84" w:rsidP="00E73D4B">
            <w:pPr>
              <w:spacing w:before="60"/>
              <w:rPr>
                <w:rFonts w:ascii="Arial" w:hAnsi="Arial" w:cs="Arial"/>
                <w:b/>
                <w:bCs/>
                <w:szCs w:val="22"/>
              </w:rPr>
            </w:pPr>
            <w:bookmarkStart w:id="1" w:name="bmkReturn"/>
            <w:bookmarkEnd w:id="1"/>
            <w:r w:rsidRPr="00533F28">
              <w:rPr>
                <w:rFonts w:ascii="Arial" w:hAnsi="Arial" w:cs="Arial"/>
                <w:b/>
                <w:bCs/>
                <w:szCs w:val="22"/>
              </w:rPr>
              <w:t>Summary of Decision:</w:t>
            </w:r>
            <w:r>
              <w:rPr>
                <w:rFonts w:ascii="Arial" w:hAnsi="Arial" w:cs="Arial"/>
                <w:b/>
                <w:bCs/>
                <w:szCs w:val="22"/>
              </w:rPr>
              <w:t xml:space="preserve"> the appeal is</w:t>
            </w:r>
            <w:r w:rsidR="00B01FE6">
              <w:rPr>
                <w:rFonts w:ascii="Arial" w:hAnsi="Arial" w:cs="Arial"/>
                <w:b/>
                <w:bCs/>
                <w:szCs w:val="22"/>
              </w:rPr>
              <w:t xml:space="preserve"> </w:t>
            </w:r>
            <w:r w:rsidR="00055EC0">
              <w:rPr>
                <w:rFonts w:ascii="Arial" w:hAnsi="Arial" w:cs="Arial"/>
                <w:b/>
                <w:bCs/>
                <w:szCs w:val="22"/>
              </w:rPr>
              <w:t>dismissed</w:t>
            </w:r>
            <w:r w:rsidRPr="00CD43F6">
              <w:rPr>
                <w:rFonts w:ascii="Arial" w:hAnsi="Arial" w:cs="Arial"/>
                <w:b/>
                <w:bCs/>
                <w:szCs w:val="22"/>
              </w:rPr>
              <w:t>.</w:t>
            </w:r>
          </w:p>
          <w:p w14:paraId="71D91C76" w14:textId="77777777" w:rsidR="00845A84" w:rsidRPr="009166E9" w:rsidRDefault="00845A84" w:rsidP="00E73D4B">
            <w:pPr>
              <w:spacing w:before="60"/>
              <w:rPr>
                <w:rFonts w:ascii="Arial" w:hAnsi="Arial" w:cs="Arial"/>
                <w:b/>
                <w:color w:val="000000"/>
                <w:sz w:val="12"/>
                <w:szCs w:val="12"/>
              </w:rPr>
            </w:pPr>
          </w:p>
        </w:tc>
      </w:tr>
    </w:tbl>
    <w:p w14:paraId="5F513284" w14:textId="6F129A81" w:rsidR="009974F7" w:rsidRPr="001337F8" w:rsidRDefault="009974F7" w:rsidP="009974F7">
      <w:pPr>
        <w:pStyle w:val="Style1"/>
        <w:tabs>
          <w:tab w:val="clear" w:pos="360"/>
        </w:tabs>
        <w:rPr>
          <w:rFonts w:ascii="Arial" w:hAnsi="Arial" w:cs="Arial"/>
          <w:b/>
          <w:bCs/>
          <w:sz w:val="24"/>
          <w:szCs w:val="24"/>
        </w:rPr>
      </w:pPr>
      <w:r w:rsidRPr="001337F8">
        <w:rPr>
          <w:rFonts w:ascii="Arial" w:hAnsi="Arial" w:cs="Arial"/>
          <w:b/>
          <w:bCs/>
          <w:sz w:val="24"/>
          <w:szCs w:val="24"/>
        </w:rPr>
        <w:t>Preliminary Matters</w:t>
      </w:r>
    </w:p>
    <w:p w14:paraId="4B017671" w14:textId="2D8CAB57" w:rsidR="009974F7" w:rsidRPr="001337F8" w:rsidRDefault="00877D6B" w:rsidP="009F72A1">
      <w:pPr>
        <w:pStyle w:val="Style1"/>
        <w:numPr>
          <w:ilvl w:val="0"/>
          <w:numId w:val="3"/>
        </w:numPr>
        <w:tabs>
          <w:tab w:val="clear" w:pos="720"/>
        </w:tabs>
        <w:rPr>
          <w:rFonts w:ascii="Arial" w:hAnsi="Arial" w:cs="Arial"/>
          <w:sz w:val="24"/>
          <w:szCs w:val="24"/>
        </w:rPr>
      </w:pPr>
      <w:r w:rsidRPr="001337F8">
        <w:rPr>
          <w:rFonts w:ascii="Arial" w:hAnsi="Arial" w:cs="Arial"/>
          <w:sz w:val="24"/>
          <w:szCs w:val="24"/>
        </w:rPr>
        <w:t>I have been directed by the Secretary of State for Environment, Food and Rural Affairs to determine this appeal under section 53(5) and Paragraph 4(1) of Schedule 14 of the 1981 Act.</w:t>
      </w:r>
      <w:r w:rsidR="0070052A" w:rsidRPr="001337F8">
        <w:rPr>
          <w:rFonts w:ascii="Arial" w:hAnsi="Arial" w:cs="Arial"/>
          <w:sz w:val="24"/>
          <w:szCs w:val="24"/>
        </w:rPr>
        <w:t xml:space="preserve"> </w:t>
      </w:r>
      <w:r w:rsidR="0001719F" w:rsidRPr="001337F8">
        <w:rPr>
          <w:rFonts w:ascii="Arial" w:hAnsi="Arial" w:cs="Arial"/>
          <w:sz w:val="24"/>
          <w:szCs w:val="24"/>
        </w:rPr>
        <w:t xml:space="preserve">The arguments in the case </w:t>
      </w:r>
      <w:r w:rsidR="003D5D0A" w:rsidRPr="001337F8">
        <w:rPr>
          <w:rFonts w:ascii="Arial" w:hAnsi="Arial" w:cs="Arial"/>
          <w:sz w:val="24"/>
          <w:szCs w:val="24"/>
        </w:rPr>
        <w:t xml:space="preserve">principally </w:t>
      </w:r>
      <w:r w:rsidR="0001719F" w:rsidRPr="001337F8">
        <w:rPr>
          <w:rFonts w:ascii="Arial" w:hAnsi="Arial" w:cs="Arial"/>
          <w:sz w:val="24"/>
          <w:szCs w:val="24"/>
        </w:rPr>
        <w:t xml:space="preserve">concern whether the DMS requires </w:t>
      </w:r>
      <w:r w:rsidR="001337F8">
        <w:rPr>
          <w:rFonts w:ascii="Arial" w:hAnsi="Arial" w:cs="Arial"/>
          <w:sz w:val="24"/>
          <w:szCs w:val="24"/>
        </w:rPr>
        <w:t>mod</w:t>
      </w:r>
      <w:r w:rsidR="0001719F" w:rsidRPr="001337F8">
        <w:rPr>
          <w:rFonts w:ascii="Arial" w:hAnsi="Arial" w:cs="Arial"/>
          <w:sz w:val="24"/>
          <w:szCs w:val="24"/>
        </w:rPr>
        <w:t>ification as a result of events</w:t>
      </w:r>
      <w:r w:rsidR="00E23D27" w:rsidRPr="001337F8">
        <w:rPr>
          <w:rFonts w:ascii="Arial" w:hAnsi="Arial" w:cs="Arial"/>
          <w:sz w:val="24"/>
          <w:szCs w:val="24"/>
        </w:rPr>
        <w:t xml:space="preserve"> </w:t>
      </w:r>
      <w:r w:rsidR="002853FC" w:rsidRPr="001337F8">
        <w:rPr>
          <w:rFonts w:ascii="Arial" w:hAnsi="Arial" w:cs="Arial"/>
          <w:sz w:val="24"/>
          <w:szCs w:val="24"/>
        </w:rPr>
        <w:t>several</w:t>
      </w:r>
      <w:r w:rsidR="00E23D27" w:rsidRPr="001337F8">
        <w:rPr>
          <w:rFonts w:ascii="Arial" w:hAnsi="Arial" w:cs="Arial"/>
          <w:sz w:val="24"/>
          <w:szCs w:val="24"/>
        </w:rPr>
        <w:t xml:space="preserve"> decades ago</w:t>
      </w:r>
      <w:r w:rsidR="00623B90" w:rsidRPr="001337F8">
        <w:rPr>
          <w:rFonts w:ascii="Arial" w:hAnsi="Arial" w:cs="Arial"/>
          <w:sz w:val="24"/>
          <w:szCs w:val="24"/>
        </w:rPr>
        <w:t>, and a</w:t>
      </w:r>
      <w:r w:rsidR="00E23D27" w:rsidRPr="001337F8">
        <w:rPr>
          <w:rFonts w:ascii="Arial" w:hAnsi="Arial" w:cs="Arial"/>
          <w:sz w:val="24"/>
          <w:szCs w:val="24"/>
        </w:rPr>
        <w:t xml:space="preserve"> site visit would not have aided my consideration</w:t>
      </w:r>
      <w:r w:rsidR="0070052A" w:rsidRPr="001337F8">
        <w:rPr>
          <w:rFonts w:ascii="Arial" w:hAnsi="Arial" w:cs="Arial"/>
          <w:sz w:val="24"/>
          <w:szCs w:val="24"/>
        </w:rPr>
        <w:t>s</w:t>
      </w:r>
      <w:r w:rsidR="00E23D27" w:rsidRPr="001337F8">
        <w:rPr>
          <w:rFonts w:ascii="Arial" w:hAnsi="Arial" w:cs="Arial"/>
          <w:sz w:val="24"/>
          <w:szCs w:val="24"/>
        </w:rPr>
        <w:t>.</w:t>
      </w:r>
      <w:r w:rsidR="00623B90" w:rsidRPr="001337F8">
        <w:rPr>
          <w:rFonts w:ascii="Arial" w:hAnsi="Arial" w:cs="Arial"/>
          <w:sz w:val="24"/>
          <w:szCs w:val="24"/>
        </w:rPr>
        <w:t xml:space="preserve"> I have therefore determined the appeal on the basis of the papers before me.</w:t>
      </w:r>
      <w:r w:rsidR="009350AE" w:rsidRPr="001337F8">
        <w:rPr>
          <w:rFonts w:ascii="Arial" w:hAnsi="Arial" w:cs="Arial"/>
          <w:sz w:val="24"/>
          <w:szCs w:val="24"/>
        </w:rPr>
        <w:t xml:space="preserve"> A copy of the location plan is appended to this decision for reference.</w:t>
      </w:r>
    </w:p>
    <w:p w14:paraId="2E4177D9" w14:textId="5512FFF0" w:rsidR="002853FC" w:rsidRPr="001337F8" w:rsidRDefault="002853FC" w:rsidP="009974F7">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A preliminary question arises whether the appellant is seized of a right of appeal against the Council’s decision. The application was made by a company, </w:t>
      </w:r>
      <w:r w:rsidR="00270469" w:rsidRPr="001337F8">
        <w:rPr>
          <w:rFonts w:ascii="Arial" w:hAnsi="Arial" w:cs="Arial"/>
          <w:sz w:val="24"/>
          <w:szCs w:val="24"/>
        </w:rPr>
        <w:t xml:space="preserve">the Ermine Street (Great Grove) Conservation Company Limited, since dissolved. I understand that the application was </w:t>
      </w:r>
      <w:r w:rsidR="00D03869" w:rsidRPr="001337F8">
        <w:rPr>
          <w:rFonts w:ascii="Arial" w:hAnsi="Arial" w:cs="Arial"/>
          <w:sz w:val="24"/>
          <w:szCs w:val="24"/>
        </w:rPr>
        <w:t>assigned</w:t>
      </w:r>
      <w:r w:rsidR="00746293" w:rsidRPr="001337F8">
        <w:rPr>
          <w:rFonts w:ascii="Arial" w:hAnsi="Arial" w:cs="Arial"/>
          <w:sz w:val="24"/>
          <w:szCs w:val="24"/>
        </w:rPr>
        <w:t xml:space="preserve"> jointly</w:t>
      </w:r>
      <w:r w:rsidR="00D03869" w:rsidRPr="001337F8">
        <w:rPr>
          <w:rFonts w:ascii="Arial" w:hAnsi="Arial" w:cs="Arial"/>
          <w:sz w:val="24"/>
          <w:szCs w:val="24"/>
        </w:rPr>
        <w:t xml:space="preserve"> to the present appellant and another person in 2023 following that dissolution</w:t>
      </w:r>
      <w:r w:rsidR="004A7AC6" w:rsidRPr="001337F8">
        <w:rPr>
          <w:rFonts w:ascii="Arial" w:hAnsi="Arial" w:cs="Arial"/>
          <w:sz w:val="24"/>
          <w:szCs w:val="24"/>
        </w:rPr>
        <w:t xml:space="preserve">. The appeal is now </w:t>
      </w:r>
      <w:r w:rsidR="005679C1" w:rsidRPr="001337F8">
        <w:rPr>
          <w:rFonts w:ascii="Arial" w:hAnsi="Arial" w:cs="Arial"/>
          <w:sz w:val="24"/>
          <w:szCs w:val="24"/>
        </w:rPr>
        <w:t>brought</w:t>
      </w:r>
      <w:r w:rsidR="004A7AC6" w:rsidRPr="001337F8">
        <w:rPr>
          <w:rFonts w:ascii="Arial" w:hAnsi="Arial" w:cs="Arial"/>
          <w:sz w:val="24"/>
          <w:szCs w:val="24"/>
        </w:rPr>
        <w:t xml:space="preserve"> by the appellant alone. The Council do not contest the appellant’s right </w:t>
      </w:r>
      <w:r w:rsidR="00FE3270" w:rsidRPr="001337F8">
        <w:rPr>
          <w:rFonts w:ascii="Arial" w:hAnsi="Arial" w:cs="Arial"/>
          <w:sz w:val="24"/>
          <w:szCs w:val="24"/>
        </w:rPr>
        <w:t>to bring this</w:t>
      </w:r>
      <w:r w:rsidR="004A7AC6" w:rsidRPr="001337F8">
        <w:rPr>
          <w:rFonts w:ascii="Arial" w:hAnsi="Arial" w:cs="Arial"/>
          <w:sz w:val="24"/>
          <w:szCs w:val="24"/>
        </w:rPr>
        <w:t xml:space="preserve"> appeal although </w:t>
      </w:r>
      <w:r w:rsidR="00FE3270" w:rsidRPr="001337F8">
        <w:rPr>
          <w:rFonts w:ascii="Arial" w:hAnsi="Arial" w:cs="Arial"/>
          <w:sz w:val="24"/>
          <w:szCs w:val="24"/>
        </w:rPr>
        <w:t xml:space="preserve">accept that the question requires consideration. </w:t>
      </w:r>
    </w:p>
    <w:p w14:paraId="08DB5F69" w14:textId="1C378849" w:rsidR="00F231A9" w:rsidRPr="001337F8" w:rsidRDefault="00D42A6C" w:rsidP="009974F7">
      <w:pPr>
        <w:pStyle w:val="Style1"/>
        <w:numPr>
          <w:ilvl w:val="0"/>
          <w:numId w:val="3"/>
        </w:numPr>
        <w:tabs>
          <w:tab w:val="clear" w:pos="720"/>
        </w:tabs>
        <w:rPr>
          <w:rFonts w:ascii="Arial" w:hAnsi="Arial" w:cs="Arial"/>
          <w:sz w:val="24"/>
          <w:szCs w:val="24"/>
        </w:rPr>
      </w:pPr>
      <w:r w:rsidRPr="001337F8">
        <w:rPr>
          <w:rFonts w:ascii="Arial" w:hAnsi="Arial" w:cs="Arial"/>
          <w:sz w:val="24"/>
          <w:szCs w:val="24"/>
        </w:rPr>
        <w:t>The relevant legislation, found in Schedule 14 to the 1981 Act, provide</w:t>
      </w:r>
      <w:r w:rsidR="008B7FA5" w:rsidRPr="001337F8">
        <w:rPr>
          <w:rFonts w:ascii="Arial" w:hAnsi="Arial" w:cs="Arial"/>
          <w:sz w:val="24"/>
          <w:szCs w:val="24"/>
        </w:rPr>
        <w:t xml:space="preserve">s that the applicant may appeal within 28 days of </w:t>
      </w:r>
      <w:r w:rsidR="00C30BF0" w:rsidRPr="001337F8">
        <w:rPr>
          <w:rFonts w:ascii="Arial" w:hAnsi="Arial" w:cs="Arial"/>
          <w:sz w:val="24"/>
          <w:szCs w:val="24"/>
        </w:rPr>
        <w:t xml:space="preserve">an authority’s decision not to make an Order. </w:t>
      </w:r>
      <w:r w:rsidR="0086222D" w:rsidRPr="001337F8">
        <w:rPr>
          <w:rFonts w:ascii="Arial" w:hAnsi="Arial" w:cs="Arial"/>
          <w:sz w:val="24"/>
          <w:szCs w:val="24"/>
        </w:rPr>
        <w:t xml:space="preserve">The purpose of the provision </w:t>
      </w:r>
      <w:r w:rsidR="00B31D22" w:rsidRPr="001337F8">
        <w:rPr>
          <w:rFonts w:ascii="Arial" w:hAnsi="Arial" w:cs="Arial"/>
          <w:sz w:val="24"/>
          <w:szCs w:val="24"/>
        </w:rPr>
        <w:t>appears to be to prevent disinterested third parties from bringing appeals. The finer details of how the application was assigned</w:t>
      </w:r>
      <w:r w:rsidR="00D65D6D" w:rsidRPr="001337F8">
        <w:rPr>
          <w:rFonts w:ascii="Arial" w:hAnsi="Arial" w:cs="Arial"/>
          <w:sz w:val="24"/>
          <w:szCs w:val="24"/>
        </w:rPr>
        <w:t xml:space="preserve"> to the appellant</w:t>
      </w:r>
      <w:r w:rsidR="00B31D22" w:rsidRPr="001337F8">
        <w:rPr>
          <w:rFonts w:ascii="Arial" w:hAnsi="Arial" w:cs="Arial"/>
          <w:sz w:val="24"/>
          <w:szCs w:val="24"/>
        </w:rPr>
        <w:t xml:space="preserve"> (apparently not until several months after the dissolution of the applicant company) are not given to me. However</w:t>
      </w:r>
      <w:r w:rsidR="00C63936" w:rsidRPr="001337F8">
        <w:rPr>
          <w:rFonts w:ascii="Arial" w:hAnsi="Arial" w:cs="Arial"/>
          <w:sz w:val="24"/>
          <w:szCs w:val="24"/>
        </w:rPr>
        <w:t>,</w:t>
      </w:r>
      <w:r w:rsidR="00B31D22" w:rsidRPr="001337F8">
        <w:rPr>
          <w:rFonts w:ascii="Arial" w:hAnsi="Arial" w:cs="Arial"/>
          <w:sz w:val="24"/>
          <w:szCs w:val="24"/>
        </w:rPr>
        <w:t xml:space="preserve"> the original application was signed by the appellant</w:t>
      </w:r>
      <w:r w:rsidR="00247971" w:rsidRPr="001337F8">
        <w:rPr>
          <w:rFonts w:ascii="Arial" w:hAnsi="Arial" w:cs="Arial"/>
          <w:sz w:val="24"/>
          <w:szCs w:val="24"/>
        </w:rPr>
        <w:t xml:space="preserve">, as the director or other authorised signatory of that </w:t>
      </w:r>
      <w:r w:rsidR="00A10388" w:rsidRPr="001337F8">
        <w:rPr>
          <w:rFonts w:ascii="Arial" w:hAnsi="Arial" w:cs="Arial"/>
          <w:sz w:val="24"/>
          <w:szCs w:val="24"/>
        </w:rPr>
        <w:t xml:space="preserve">now-dissolved </w:t>
      </w:r>
      <w:r w:rsidR="00247971" w:rsidRPr="001337F8">
        <w:rPr>
          <w:rFonts w:ascii="Arial" w:hAnsi="Arial" w:cs="Arial"/>
          <w:sz w:val="24"/>
          <w:szCs w:val="24"/>
        </w:rPr>
        <w:t>company</w:t>
      </w:r>
      <w:r w:rsidR="00F231A9" w:rsidRPr="001337F8">
        <w:rPr>
          <w:rFonts w:ascii="Arial" w:hAnsi="Arial" w:cs="Arial"/>
          <w:sz w:val="24"/>
          <w:szCs w:val="24"/>
        </w:rPr>
        <w:t>.</w:t>
      </w:r>
    </w:p>
    <w:p w14:paraId="07F63923" w14:textId="490460A0" w:rsidR="004D541E" w:rsidRPr="001337F8" w:rsidRDefault="00F231A9" w:rsidP="009974F7">
      <w:pPr>
        <w:pStyle w:val="Style1"/>
        <w:numPr>
          <w:ilvl w:val="0"/>
          <w:numId w:val="3"/>
        </w:numPr>
        <w:tabs>
          <w:tab w:val="clear" w:pos="720"/>
        </w:tabs>
        <w:rPr>
          <w:rFonts w:ascii="Arial" w:hAnsi="Arial" w:cs="Arial"/>
          <w:sz w:val="24"/>
          <w:szCs w:val="24"/>
        </w:rPr>
      </w:pPr>
      <w:r w:rsidRPr="001337F8">
        <w:rPr>
          <w:rFonts w:ascii="Arial" w:hAnsi="Arial" w:cs="Arial"/>
          <w:sz w:val="24"/>
          <w:szCs w:val="24"/>
        </w:rPr>
        <w:lastRenderedPageBreak/>
        <w:t>Thus the appellant’s personal interest in the matter is not in doubt, and I have no reason to think</w:t>
      </w:r>
      <w:r w:rsidR="005910FF" w:rsidRPr="001337F8">
        <w:rPr>
          <w:rFonts w:ascii="Arial" w:hAnsi="Arial" w:cs="Arial"/>
          <w:sz w:val="24"/>
          <w:szCs w:val="24"/>
        </w:rPr>
        <w:t>, the lapse of time notwithstanding,</w:t>
      </w:r>
      <w:r w:rsidRPr="001337F8">
        <w:rPr>
          <w:rFonts w:ascii="Arial" w:hAnsi="Arial" w:cs="Arial"/>
          <w:sz w:val="24"/>
          <w:szCs w:val="24"/>
        </w:rPr>
        <w:t xml:space="preserve"> that the conduct of the application was not properly assigned upon the dissolution of the company</w:t>
      </w:r>
      <w:r w:rsidR="005910FF" w:rsidRPr="001337F8">
        <w:rPr>
          <w:rFonts w:ascii="Arial" w:hAnsi="Arial" w:cs="Arial"/>
          <w:sz w:val="24"/>
          <w:szCs w:val="24"/>
        </w:rPr>
        <w:t xml:space="preserve">. </w:t>
      </w:r>
      <w:r w:rsidR="00391454" w:rsidRPr="001337F8">
        <w:rPr>
          <w:rFonts w:ascii="Arial" w:hAnsi="Arial" w:cs="Arial"/>
          <w:sz w:val="24"/>
          <w:szCs w:val="24"/>
        </w:rPr>
        <w:t xml:space="preserve">It appears to me within the scope of the Schedule that an appeal may be brought by one of several </w:t>
      </w:r>
      <w:r w:rsidR="005A7BF7" w:rsidRPr="001337F8">
        <w:rPr>
          <w:rFonts w:ascii="Arial" w:hAnsi="Arial" w:cs="Arial"/>
          <w:sz w:val="24"/>
          <w:szCs w:val="24"/>
        </w:rPr>
        <w:t xml:space="preserve">joint </w:t>
      </w:r>
      <w:r w:rsidR="00391454" w:rsidRPr="001337F8">
        <w:rPr>
          <w:rFonts w:ascii="Arial" w:hAnsi="Arial" w:cs="Arial"/>
          <w:sz w:val="24"/>
          <w:szCs w:val="24"/>
        </w:rPr>
        <w:t>applicants</w:t>
      </w:r>
      <w:r w:rsidR="00501B27" w:rsidRPr="001337F8">
        <w:rPr>
          <w:rFonts w:ascii="Arial" w:hAnsi="Arial" w:cs="Arial"/>
          <w:sz w:val="24"/>
          <w:szCs w:val="24"/>
        </w:rPr>
        <w:t xml:space="preserve"> </w:t>
      </w:r>
      <w:r w:rsidR="004D541E" w:rsidRPr="001337F8">
        <w:rPr>
          <w:rFonts w:ascii="Arial" w:hAnsi="Arial" w:cs="Arial"/>
          <w:sz w:val="24"/>
          <w:szCs w:val="24"/>
        </w:rPr>
        <w:t>and so I do not consider that the appeal needs to have been brought by both of the assignees of the application in order to be valid</w:t>
      </w:r>
      <w:r w:rsidR="00D5586A" w:rsidRPr="001337F8">
        <w:rPr>
          <w:rFonts w:ascii="Arial" w:hAnsi="Arial" w:cs="Arial"/>
          <w:sz w:val="24"/>
          <w:szCs w:val="24"/>
        </w:rPr>
        <w:t xml:space="preserve">. </w:t>
      </w:r>
    </w:p>
    <w:p w14:paraId="451BEF32" w14:textId="4110EB76" w:rsidR="00D42A6C" w:rsidRPr="001337F8" w:rsidRDefault="00A66C1C" w:rsidP="009974F7">
      <w:pPr>
        <w:pStyle w:val="Style1"/>
        <w:numPr>
          <w:ilvl w:val="0"/>
          <w:numId w:val="3"/>
        </w:numPr>
        <w:tabs>
          <w:tab w:val="clear" w:pos="720"/>
        </w:tabs>
        <w:rPr>
          <w:rFonts w:ascii="Arial" w:hAnsi="Arial" w:cs="Arial"/>
          <w:sz w:val="24"/>
          <w:szCs w:val="24"/>
        </w:rPr>
      </w:pPr>
      <w:r w:rsidRPr="001337F8">
        <w:rPr>
          <w:rFonts w:ascii="Arial" w:hAnsi="Arial" w:cs="Arial"/>
          <w:sz w:val="24"/>
          <w:szCs w:val="24"/>
        </w:rPr>
        <w:t>In any event the application was made nearly eight years ago now, the arguments are well-rehearsed, and it does not appear to me in the public interest to decline jurisdiction on this appeal</w:t>
      </w:r>
      <w:r w:rsidR="00AA6D61" w:rsidRPr="001337F8">
        <w:rPr>
          <w:rFonts w:ascii="Arial" w:hAnsi="Arial" w:cs="Arial"/>
          <w:sz w:val="24"/>
          <w:szCs w:val="24"/>
        </w:rPr>
        <w:t xml:space="preserve"> merely in order for the matter to be r</w:t>
      </w:r>
      <w:r w:rsidR="00586591" w:rsidRPr="001337F8">
        <w:rPr>
          <w:rFonts w:ascii="Arial" w:hAnsi="Arial" w:cs="Arial"/>
          <w:sz w:val="24"/>
          <w:szCs w:val="24"/>
        </w:rPr>
        <w:t>econsidered on a fresh application</w:t>
      </w:r>
      <w:r w:rsidR="005A7BF7" w:rsidRPr="001337F8">
        <w:rPr>
          <w:rFonts w:ascii="Arial" w:hAnsi="Arial" w:cs="Arial"/>
          <w:sz w:val="24"/>
          <w:szCs w:val="24"/>
        </w:rPr>
        <w:t xml:space="preserve">. </w:t>
      </w:r>
      <w:r w:rsidR="00B31D22" w:rsidRPr="001337F8">
        <w:rPr>
          <w:rFonts w:ascii="Arial" w:hAnsi="Arial" w:cs="Arial"/>
          <w:sz w:val="24"/>
          <w:szCs w:val="24"/>
        </w:rPr>
        <w:t xml:space="preserve"> </w:t>
      </w:r>
      <w:r w:rsidR="00D42A6C" w:rsidRPr="001337F8">
        <w:rPr>
          <w:rFonts w:ascii="Arial" w:hAnsi="Arial" w:cs="Arial"/>
          <w:sz w:val="24"/>
          <w:szCs w:val="24"/>
        </w:rPr>
        <w:t xml:space="preserve"> </w:t>
      </w:r>
    </w:p>
    <w:p w14:paraId="39CECE18" w14:textId="22D11AE5" w:rsidR="009974F7" w:rsidRPr="001337F8" w:rsidRDefault="009974F7" w:rsidP="009974F7">
      <w:pPr>
        <w:pStyle w:val="Heading6blackfont"/>
        <w:rPr>
          <w:rFonts w:ascii="Arial" w:hAnsi="Arial" w:cs="Arial"/>
          <w:sz w:val="24"/>
          <w:szCs w:val="24"/>
        </w:rPr>
      </w:pPr>
      <w:r w:rsidRPr="001337F8">
        <w:rPr>
          <w:rFonts w:ascii="Arial" w:hAnsi="Arial" w:cs="Arial"/>
          <w:sz w:val="24"/>
          <w:szCs w:val="24"/>
        </w:rPr>
        <w:t>The Main Issues</w:t>
      </w:r>
    </w:p>
    <w:p w14:paraId="678F9135" w14:textId="0D160319" w:rsidR="00F10B35" w:rsidRPr="001337F8" w:rsidRDefault="002C504F" w:rsidP="00F10B35">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Section 53(5) of the 1981 Act provides that any person may apply to the </w:t>
      </w:r>
      <w:r w:rsidR="00834F6D" w:rsidRPr="001337F8">
        <w:rPr>
          <w:rFonts w:ascii="Arial" w:hAnsi="Arial" w:cs="Arial"/>
          <w:sz w:val="24"/>
          <w:szCs w:val="24"/>
        </w:rPr>
        <w:t>Council</w:t>
      </w:r>
      <w:r w:rsidRPr="001337F8">
        <w:rPr>
          <w:rFonts w:ascii="Arial" w:hAnsi="Arial" w:cs="Arial"/>
          <w:sz w:val="24"/>
          <w:szCs w:val="24"/>
        </w:rPr>
        <w:t xml:space="preserve"> for an Order </w:t>
      </w:r>
      <w:r w:rsidR="003732A9" w:rsidRPr="001337F8">
        <w:rPr>
          <w:rFonts w:ascii="Arial" w:hAnsi="Arial" w:cs="Arial"/>
          <w:sz w:val="24"/>
          <w:szCs w:val="24"/>
        </w:rPr>
        <w:t>which makes modifications consequent on events falling within paragraphs (b) and (c) of section 53(3)</w:t>
      </w:r>
      <w:r w:rsidR="00841F08" w:rsidRPr="001337F8">
        <w:rPr>
          <w:rFonts w:ascii="Arial" w:hAnsi="Arial" w:cs="Arial"/>
          <w:sz w:val="24"/>
          <w:szCs w:val="24"/>
        </w:rPr>
        <w:t>. The particular event here</w:t>
      </w:r>
      <w:r w:rsidR="00BF24F0" w:rsidRPr="001337F8">
        <w:rPr>
          <w:rFonts w:ascii="Arial" w:hAnsi="Arial" w:cs="Arial"/>
          <w:sz w:val="24"/>
          <w:szCs w:val="24"/>
        </w:rPr>
        <w:t>, if an Order is to be made</w:t>
      </w:r>
      <w:r w:rsidR="00153EA3">
        <w:rPr>
          <w:rFonts w:ascii="Arial" w:hAnsi="Arial" w:cs="Arial"/>
          <w:sz w:val="24"/>
          <w:szCs w:val="24"/>
        </w:rPr>
        <w:t xml:space="preserve"> pursuant to an event falling within section 53(3)(c)(iii)</w:t>
      </w:r>
      <w:r w:rsidR="009E52BD">
        <w:rPr>
          <w:rFonts w:ascii="Arial" w:hAnsi="Arial" w:cs="Arial"/>
          <w:sz w:val="24"/>
          <w:szCs w:val="24"/>
        </w:rPr>
        <w:t xml:space="preserve"> of the 1981 Act</w:t>
      </w:r>
      <w:r w:rsidR="00BF24F0" w:rsidRPr="001337F8">
        <w:rPr>
          <w:rFonts w:ascii="Arial" w:hAnsi="Arial" w:cs="Arial"/>
          <w:sz w:val="24"/>
          <w:szCs w:val="24"/>
        </w:rPr>
        <w:t>,</w:t>
      </w:r>
      <w:r w:rsidR="00841F08" w:rsidRPr="001337F8">
        <w:rPr>
          <w:rFonts w:ascii="Arial" w:hAnsi="Arial" w:cs="Arial"/>
          <w:sz w:val="24"/>
          <w:szCs w:val="24"/>
        </w:rPr>
        <w:t xml:space="preserve"> requires the discovery of evidence</w:t>
      </w:r>
      <w:r w:rsidR="00BF24F0" w:rsidRPr="001337F8">
        <w:rPr>
          <w:rFonts w:ascii="Arial" w:hAnsi="Arial" w:cs="Arial"/>
          <w:sz w:val="24"/>
          <w:szCs w:val="24"/>
        </w:rPr>
        <w:t xml:space="preserve"> which shows, together with all other relevant available evidence, </w:t>
      </w:r>
      <w:r w:rsidR="007006F2" w:rsidRPr="001337F8">
        <w:rPr>
          <w:rFonts w:ascii="Arial" w:hAnsi="Arial" w:cs="Arial"/>
          <w:sz w:val="24"/>
          <w:szCs w:val="24"/>
        </w:rPr>
        <w:t xml:space="preserve">that there is no public right of way over land shown in the map and statement as a highway of any description. </w:t>
      </w:r>
    </w:p>
    <w:p w14:paraId="48B9688C" w14:textId="2472E587" w:rsidR="007006F2" w:rsidRPr="001337F8" w:rsidRDefault="00F10B35" w:rsidP="00845A84">
      <w:pPr>
        <w:pStyle w:val="Style1"/>
        <w:numPr>
          <w:ilvl w:val="0"/>
          <w:numId w:val="3"/>
        </w:numPr>
        <w:tabs>
          <w:tab w:val="clear" w:pos="720"/>
        </w:tabs>
        <w:rPr>
          <w:rFonts w:ascii="Arial" w:hAnsi="Arial" w:cs="Arial"/>
          <w:sz w:val="24"/>
          <w:szCs w:val="24"/>
        </w:rPr>
      </w:pPr>
      <w:r w:rsidRPr="001337F8">
        <w:rPr>
          <w:rFonts w:ascii="Arial" w:hAnsi="Arial" w:cs="Arial"/>
          <w:sz w:val="24"/>
          <w:szCs w:val="24"/>
        </w:rPr>
        <w:t>Therefore the main issue in the case is whether</w:t>
      </w:r>
      <w:r w:rsidR="00592240" w:rsidRPr="001337F8">
        <w:rPr>
          <w:rFonts w:ascii="Arial" w:hAnsi="Arial" w:cs="Arial"/>
          <w:sz w:val="24"/>
          <w:szCs w:val="24"/>
        </w:rPr>
        <w:t xml:space="preserve"> there is no public right of way over the land shown in the DMS as</w:t>
      </w:r>
      <w:r w:rsidR="004E4E2D" w:rsidRPr="001337F8">
        <w:rPr>
          <w:rFonts w:ascii="Arial" w:hAnsi="Arial" w:cs="Arial"/>
          <w:sz w:val="24"/>
          <w:szCs w:val="24"/>
        </w:rPr>
        <w:t xml:space="preserve"> part of</w:t>
      </w:r>
      <w:r w:rsidRPr="001337F8">
        <w:rPr>
          <w:rFonts w:ascii="Arial" w:hAnsi="Arial" w:cs="Arial"/>
          <w:sz w:val="24"/>
          <w:szCs w:val="24"/>
        </w:rPr>
        <w:t xml:space="preserve"> </w:t>
      </w:r>
      <w:r w:rsidR="00464DB5" w:rsidRPr="001337F8">
        <w:rPr>
          <w:rFonts w:ascii="Arial" w:hAnsi="Arial" w:cs="Arial"/>
          <w:sz w:val="24"/>
          <w:szCs w:val="24"/>
        </w:rPr>
        <w:t>RB24</w:t>
      </w:r>
      <w:r w:rsidR="0080079A" w:rsidRPr="001337F8">
        <w:rPr>
          <w:rFonts w:ascii="Arial" w:hAnsi="Arial" w:cs="Arial"/>
          <w:sz w:val="24"/>
          <w:szCs w:val="24"/>
        </w:rPr>
        <w:t>, as described in the application</w:t>
      </w:r>
      <w:r w:rsidR="00522701" w:rsidRPr="001337F8">
        <w:rPr>
          <w:rFonts w:ascii="Arial" w:hAnsi="Arial" w:cs="Arial"/>
          <w:sz w:val="24"/>
          <w:szCs w:val="24"/>
        </w:rPr>
        <w:t>.</w:t>
      </w:r>
      <w:r w:rsidRPr="001337F8">
        <w:rPr>
          <w:rFonts w:ascii="Arial" w:hAnsi="Arial" w:cs="Arial"/>
          <w:sz w:val="24"/>
          <w:szCs w:val="24"/>
        </w:rPr>
        <w:t xml:space="preserve"> </w:t>
      </w:r>
      <w:r w:rsidR="00CA48E4" w:rsidRPr="001337F8">
        <w:rPr>
          <w:rFonts w:ascii="Arial" w:hAnsi="Arial" w:cs="Arial"/>
          <w:sz w:val="24"/>
          <w:szCs w:val="24"/>
        </w:rPr>
        <w:t xml:space="preserve">The particular issues that arise in this case </w:t>
      </w:r>
      <w:r w:rsidR="005902D7" w:rsidRPr="001337F8">
        <w:rPr>
          <w:rFonts w:ascii="Arial" w:hAnsi="Arial" w:cs="Arial"/>
          <w:sz w:val="24"/>
          <w:szCs w:val="24"/>
        </w:rPr>
        <w:t>include</w:t>
      </w:r>
      <w:r w:rsidR="00CA48E4" w:rsidRPr="001337F8">
        <w:rPr>
          <w:rFonts w:ascii="Arial" w:hAnsi="Arial" w:cs="Arial"/>
          <w:sz w:val="24"/>
          <w:szCs w:val="24"/>
        </w:rPr>
        <w:t xml:space="preserve"> the effect of an 1890 </w:t>
      </w:r>
      <w:r w:rsidR="00FB1B4F" w:rsidRPr="001337F8">
        <w:rPr>
          <w:rFonts w:ascii="Arial" w:hAnsi="Arial" w:cs="Arial"/>
          <w:sz w:val="24"/>
          <w:szCs w:val="24"/>
        </w:rPr>
        <w:t xml:space="preserve">local </w:t>
      </w:r>
      <w:r w:rsidR="00CA48E4" w:rsidRPr="001337F8">
        <w:rPr>
          <w:rFonts w:ascii="Arial" w:hAnsi="Arial" w:cs="Arial"/>
          <w:sz w:val="24"/>
          <w:szCs w:val="24"/>
        </w:rPr>
        <w:t>Act of Parliament</w:t>
      </w:r>
      <w:r w:rsidR="00FB1B4F" w:rsidRPr="001337F8">
        <w:rPr>
          <w:rFonts w:ascii="Arial" w:hAnsi="Arial" w:cs="Arial"/>
          <w:sz w:val="24"/>
          <w:szCs w:val="24"/>
        </w:rPr>
        <w:t xml:space="preserve"> (‘the 1890 Act’) relating to public recreation in the area</w:t>
      </w:r>
      <w:r w:rsidR="006333E4" w:rsidRPr="001337F8">
        <w:rPr>
          <w:rFonts w:ascii="Arial" w:hAnsi="Arial" w:cs="Arial"/>
          <w:sz w:val="24"/>
          <w:szCs w:val="24"/>
        </w:rPr>
        <w:t xml:space="preserve">, and the effects of the relevant land </w:t>
      </w:r>
      <w:r w:rsidR="006C5190" w:rsidRPr="001337F8">
        <w:rPr>
          <w:rFonts w:ascii="Arial" w:hAnsi="Arial" w:cs="Arial"/>
          <w:sz w:val="24"/>
          <w:szCs w:val="24"/>
        </w:rPr>
        <w:t xml:space="preserve">potentially </w:t>
      </w:r>
      <w:r w:rsidR="006333E4" w:rsidRPr="001337F8">
        <w:rPr>
          <w:rFonts w:ascii="Arial" w:hAnsi="Arial" w:cs="Arial"/>
          <w:sz w:val="24"/>
          <w:szCs w:val="24"/>
        </w:rPr>
        <w:t>having been held on settlement trusts until 1946.</w:t>
      </w:r>
    </w:p>
    <w:p w14:paraId="16369125" w14:textId="77777777" w:rsidR="00070AF2" w:rsidRPr="001337F8" w:rsidRDefault="007006F2" w:rsidP="00845A84">
      <w:pPr>
        <w:pStyle w:val="Style1"/>
        <w:numPr>
          <w:ilvl w:val="0"/>
          <w:numId w:val="3"/>
        </w:numPr>
        <w:tabs>
          <w:tab w:val="clear" w:pos="720"/>
        </w:tabs>
        <w:rPr>
          <w:rFonts w:ascii="Arial" w:hAnsi="Arial" w:cs="Arial"/>
          <w:sz w:val="24"/>
          <w:szCs w:val="24"/>
        </w:rPr>
      </w:pPr>
      <w:r w:rsidRPr="001337F8">
        <w:rPr>
          <w:rFonts w:ascii="Arial" w:hAnsi="Arial" w:cs="Arial"/>
          <w:sz w:val="24"/>
          <w:szCs w:val="24"/>
        </w:rPr>
        <w:t>Section 56</w:t>
      </w:r>
      <w:r w:rsidR="007323E5" w:rsidRPr="001337F8">
        <w:rPr>
          <w:rFonts w:ascii="Arial" w:hAnsi="Arial" w:cs="Arial"/>
          <w:sz w:val="24"/>
          <w:szCs w:val="24"/>
        </w:rPr>
        <w:t>(1) of the 1981 Act provides that a DMS shall be conclusive evidence as to the particulars contained therein</w:t>
      </w:r>
      <w:r w:rsidR="00D65035" w:rsidRPr="001337F8">
        <w:rPr>
          <w:rFonts w:ascii="Arial" w:hAnsi="Arial" w:cs="Arial"/>
          <w:sz w:val="24"/>
          <w:szCs w:val="24"/>
        </w:rPr>
        <w:t xml:space="preserve">, to the extent that (as relevant here) where the map shows a </w:t>
      </w:r>
      <w:r w:rsidR="00CD2C5A" w:rsidRPr="001337F8">
        <w:rPr>
          <w:rFonts w:ascii="Arial" w:hAnsi="Arial" w:cs="Arial"/>
          <w:sz w:val="24"/>
          <w:szCs w:val="24"/>
        </w:rPr>
        <w:t>restricted byway</w:t>
      </w:r>
      <w:r w:rsidR="00D65035" w:rsidRPr="001337F8">
        <w:rPr>
          <w:rFonts w:ascii="Arial" w:hAnsi="Arial" w:cs="Arial"/>
          <w:sz w:val="24"/>
          <w:szCs w:val="24"/>
        </w:rPr>
        <w:t>, the map shall be conclusive evidence that there was at the relevant date</w:t>
      </w:r>
      <w:r w:rsidR="00064896" w:rsidRPr="001337F8">
        <w:rPr>
          <w:rFonts w:ascii="Arial" w:hAnsi="Arial" w:cs="Arial"/>
          <w:sz w:val="24"/>
          <w:szCs w:val="24"/>
        </w:rPr>
        <w:t xml:space="preserve"> a highway as shown on the map, and that the public had thereover a right of way on foot</w:t>
      </w:r>
      <w:r w:rsidR="00661C1D" w:rsidRPr="001337F8">
        <w:rPr>
          <w:rFonts w:ascii="Arial" w:hAnsi="Arial" w:cs="Arial"/>
          <w:sz w:val="24"/>
          <w:szCs w:val="24"/>
        </w:rPr>
        <w:t>, on horseback or leading a horse</w:t>
      </w:r>
      <w:r w:rsidR="007A6042" w:rsidRPr="001337F8">
        <w:rPr>
          <w:rFonts w:ascii="Arial" w:hAnsi="Arial" w:cs="Arial"/>
          <w:sz w:val="24"/>
          <w:szCs w:val="24"/>
        </w:rPr>
        <w:t>, and a right of way for vehicles other than mechanically-propelled vehicles. Th</w:t>
      </w:r>
      <w:r w:rsidR="00075497" w:rsidRPr="001337F8">
        <w:rPr>
          <w:rFonts w:ascii="Arial" w:hAnsi="Arial" w:cs="Arial"/>
          <w:sz w:val="24"/>
          <w:szCs w:val="24"/>
        </w:rPr>
        <w:t xml:space="preserve">is is subject to the provisions of section 56(2A) and is without prejudice to whether the public had </w:t>
      </w:r>
      <w:r w:rsidR="00070AF2" w:rsidRPr="001337F8">
        <w:rPr>
          <w:rFonts w:ascii="Arial" w:hAnsi="Arial" w:cs="Arial"/>
          <w:sz w:val="24"/>
          <w:szCs w:val="24"/>
        </w:rPr>
        <w:t>any other rights of way</w:t>
      </w:r>
      <w:r w:rsidR="00566433" w:rsidRPr="001337F8">
        <w:rPr>
          <w:rFonts w:ascii="Arial" w:hAnsi="Arial" w:cs="Arial"/>
          <w:sz w:val="24"/>
          <w:szCs w:val="24"/>
        </w:rPr>
        <w:t xml:space="preserve">. </w:t>
      </w:r>
    </w:p>
    <w:p w14:paraId="31EC4D7C" w14:textId="644FD20A" w:rsidR="00106377" w:rsidRPr="001337F8" w:rsidRDefault="00566433" w:rsidP="00845A84">
      <w:pPr>
        <w:pStyle w:val="Style1"/>
        <w:numPr>
          <w:ilvl w:val="0"/>
          <w:numId w:val="3"/>
        </w:numPr>
        <w:tabs>
          <w:tab w:val="clear" w:pos="720"/>
        </w:tabs>
        <w:rPr>
          <w:rFonts w:ascii="Arial" w:hAnsi="Arial" w:cs="Arial"/>
          <w:sz w:val="24"/>
          <w:szCs w:val="24"/>
        </w:rPr>
      </w:pPr>
      <w:r w:rsidRPr="001337F8">
        <w:rPr>
          <w:rFonts w:ascii="Arial" w:hAnsi="Arial" w:cs="Arial"/>
          <w:sz w:val="24"/>
          <w:szCs w:val="24"/>
        </w:rPr>
        <w:t>The Courts have considered what this means in a number of cases.</w:t>
      </w:r>
      <w:r w:rsidR="00F20DFE" w:rsidRPr="001337F8">
        <w:rPr>
          <w:rFonts w:ascii="Arial" w:hAnsi="Arial" w:cs="Arial"/>
          <w:sz w:val="24"/>
          <w:szCs w:val="24"/>
        </w:rPr>
        <w:t xml:space="preserve"> </w:t>
      </w:r>
      <w:r w:rsidR="00927DD4" w:rsidRPr="001337F8">
        <w:rPr>
          <w:rFonts w:ascii="Arial" w:hAnsi="Arial" w:cs="Arial"/>
          <w:sz w:val="24"/>
          <w:szCs w:val="24"/>
        </w:rPr>
        <w:t xml:space="preserve">To summarise the Court of Appeal in </w:t>
      </w:r>
      <w:r w:rsidR="00205240" w:rsidRPr="001337F8">
        <w:rPr>
          <w:rFonts w:ascii="Arial" w:hAnsi="Arial" w:cs="Arial"/>
          <w:sz w:val="24"/>
          <w:szCs w:val="24"/>
        </w:rPr>
        <w:t xml:space="preserve">the </w:t>
      </w:r>
      <w:r w:rsidR="00303438" w:rsidRPr="001337F8">
        <w:rPr>
          <w:rFonts w:ascii="Arial" w:hAnsi="Arial" w:cs="Arial"/>
          <w:sz w:val="24"/>
          <w:szCs w:val="24"/>
        </w:rPr>
        <w:t xml:space="preserve">leading </w:t>
      </w:r>
      <w:r w:rsidR="00205240" w:rsidRPr="001337F8">
        <w:rPr>
          <w:rFonts w:ascii="Arial" w:hAnsi="Arial" w:cs="Arial"/>
          <w:sz w:val="24"/>
          <w:szCs w:val="24"/>
        </w:rPr>
        <w:t xml:space="preserve">case of </w:t>
      </w:r>
      <w:r w:rsidR="00205240" w:rsidRPr="001337F8">
        <w:rPr>
          <w:rFonts w:ascii="Arial" w:hAnsi="Arial" w:cs="Arial"/>
          <w:i/>
          <w:iCs/>
          <w:sz w:val="24"/>
          <w:szCs w:val="24"/>
          <w:u w:val="single"/>
        </w:rPr>
        <w:t>Trevelyan v S</w:t>
      </w:r>
      <w:r w:rsidR="002D7455" w:rsidRPr="001337F8">
        <w:rPr>
          <w:rFonts w:ascii="Arial" w:hAnsi="Arial" w:cs="Arial"/>
          <w:i/>
          <w:iCs/>
          <w:sz w:val="24"/>
          <w:szCs w:val="24"/>
          <w:u w:val="single"/>
        </w:rPr>
        <w:t xml:space="preserve">ecretary of </w:t>
      </w:r>
      <w:r w:rsidR="00205240" w:rsidRPr="001337F8">
        <w:rPr>
          <w:rFonts w:ascii="Arial" w:hAnsi="Arial" w:cs="Arial"/>
          <w:i/>
          <w:iCs/>
          <w:sz w:val="24"/>
          <w:szCs w:val="24"/>
          <w:u w:val="single"/>
        </w:rPr>
        <w:t>S</w:t>
      </w:r>
      <w:r w:rsidR="002D7455" w:rsidRPr="001337F8">
        <w:rPr>
          <w:rFonts w:ascii="Arial" w:hAnsi="Arial" w:cs="Arial"/>
          <w:i/>
          <w:iCs/>
          <w:sz w:val="24"/>
          <w:szCs w:val="24"/>
          <w:u w:val="single"/>
        </w:rPr>
        <w:t xml:space="preserve">tate for the </w:t>
      </w:r>
      <w:r w:rsidR="00205240" w:rsidRPr="001337F8">
        <w:rPr>
          <w:rFonts w:ascii="Arial" w:hAnsi="Arial" w:cs="Arial"/>
          <w:i/>
          <w:iCs/>
          <w:sz w:val="24"/>
          <w:szCs w:val="24"/>
          <w:u w:val="single"/>
        </w:rPr>
        <w:t>E</w:t>
      </w:r>
      <w:r w:rsidR="002D7455" w:rsidRPr="001337F8">
        <w:rPr>
          <w:rFonts w:ascii="Arial" w:hAnsi="Arial" w:cs="Arial"/>
          <w:i/>
          <w:iCs/>
          <w:sz w:val="24"/>
          <w:szCs w:val="24"/>
          <w:u w:val="single"/>
        </w:rPr>
        <w:t xml:space="preserve">nvironment, </w:t>
      </w:r>
      <w:r w:rsidR="001E6B81" w:rsidRPr="001337F8">
        <w:rPr>
          <w:rFonts w:ascii="Arial" w:hAnsi="Arial" w:cs="Arial"/>
          <w:i/>
          <w:iCs/>
          <w:sz w:val="24"/>
          <w:szCs w:val="24"/>
          <w:u w:val="single"/>
        </w:rPr>
        <w:t>T</w:t>
      </w:r>
      <w:r w:rsidR="002D7455" w:rsidRPr="001337F8">
        <w:rPr>
          <w:rFonts w:ascii="Arial" w:hAnsi="Arial" w:cs="Arial"/>
          <w:i/>
          <w:iCs/>
          <w:sz w:val="24"/>
          <w:szCs w:val="24"/>
          <w:u w:val="single"/>
        </w:rPr>
        <w:t xml:space="preserve">ransport and the </w:t>
      </w:r>
      <w:r w:rsidR="001E6B81" w:rsidRPr="001337F8">
        <w:rPr>
          <w:rFonts w:ascii="Arial" w:hAnsi="Arial" w:cs="Arial"/>
          <w:i/>
          <w:iCs/>
          <w:sz w:val="24"/>
          <w:szCs w:val="24"/>
          <w:u w:val="single"/>
        </w:rPr>
        <w:t>R</w:t>
      </w:r>
      <w:r w:rsidR="002D7455" w:rsidRPr="001337F8">
        <w:rPr>
          <w:rFonts w:ascii="Arial" w:hAnsi="Arial" w:cs="Arial"/>
          <w:i/>
          <w:iCs/>
          <w:sz w:val="24"/>
          <w:szCs w:val="24"/>
          <w:u w:val="single"/>
        </w:rPr>
        <w:t>egions</w:t>
      </w:r>
      <w:r w:rsidR="00205240" w:rsidRPr="001337F8">
        <w:rPr>
          <w:rFonts w:ascii="Arial" w:hAnsi="Arial" w:cs="Arial"/>
          <w:sz w:val="24"/>
          <w:szCs w:val="24"/>
        </w:rPr>
        <w:t xml:space="preserve"> </w:t>
      </w:r>
      <w:r w:rsidR="001E6B81" w:rsidRPr="001337F8">
        <w:rPr>
          <w:rFonts w:ascii="Arial" w:hAnsi="Arial" w:cs="Arial"/>
          <w:sz w:val="24"/>
          <w:szCs w:val="24"/>
        </w:rPr>
        <w:t>[2001] EWCA Civ 266</w:t>
      </w:r>
      <w:r w:rsidR="009E52BD">
        <w:rPr>
          <w:rFonts w:ascii="Arial" w:hAnsi="Arial" w:cs="Arial"/>
          <w:sz w:val="24"/>
          <w:szCs w:val="24"/>
        </w:rPr>
        <w:t xml:space="preserve"> (</w:t>
      </w:r>
      <w:r w:rsidR="009E52BD">
        <w:rPr>
          <w:rFonts w:ascii="Arial" w:hAnsi="Arial" w:cs="Arial"/>
          <w:i/>
          <w:iCs/>
          <w:sz w:val="24"/>
          <w:szCs w:val="24"/>
        </w:rPr>
        <w:t>‘</w:t>
      </w:r>
      <w:r w:rsidR="009E52BD">
        <w:rPr>
          <w:rFonts w:ascii="Arial" w:hAnsi="Arial" w:cs="Arial"/>
          <w:i/>
          <w:iCs/>
          <w:sz w:val="24"/>
          <w:szCs w:val="24"/>
          <w:u w:val="single"/>
        </w:rPr>
        <w:t>Trevelyan</w:t>
      </w:r>
      <w:r w:rsidR="009E52BD">
        <w:rPr>
          <w:rFonts w:ascii="Arial" w:hAnsi="Arial" w:cs="Arial"/>
          <w:i/>
          <w:iCs/>
          <w:sz w:val="24"/>
          <w:szCs w:val="24"/>
        </w:rPr>
        <w:t>’</w:t>
      </w:r>
      <w:r w:rsidR="009E52BD">
        <w:rPr>
          <w:rFonts w:ascii="Arial" w:hAnsi="Arial" w:cs="Arial"/>
          <w:sz w:val="24"/>
          <w:szCs w:val="24"/>
        </w:rPr>
        <w:t>)</w:t>
      </w:r>
      <w:r w:rsidR="001E6B81" w:rsidRPr="001337F8">
        <w:rPr>
          <w:rFonts w:ascii="Arial" w:hAnsi="Arial" w:cs="Arial"/>
          <w:sz w:val="24"/>
          <w:szCs w:val="24"/>
        </w:rPr>
        <w:t>, it</w:t>
      </w:r>
      <w:r w:rsidR="00F20DFE" w:rsidRPr="001337F8">
        <w:rPr>
          <w:rFonts w:ascii="Arial" w:hAnsi="Arial" w:cs="Arial"/>
          <w:sz w:val="24"/>
          <w:szCs w:val="24"/>
        </w:rPr>
        <w:t xml:space="preserve"> does not mean that a right of way can never be deleted</w:t>
      </w:r>
      <w:r w:rsidR="00CA2E58" w:rsidRPr="001337F8">
        <w:rPr>
          <w:rFonts w:ascii="Arial" w:hAnsi="Arial" w:cs="Arial"/>
          <w:sz w:val="24"/>
          <w:szCs w:val="24"/>
        </w:rPr>
        <w:t>, but it does give rise to a</w:t>
      </w:r>
      <w:r w:rsidR="00CD2974" w:rsidRPr="001337F8">
        <w:rPr>
          <w:rFonts w:ascii="Arial" w:hAnsi="Arial" w:cs="Arial"/>
          <w:sz w:val="24"/>
          <w:szCs w:val="24"/>
        </w:rPr>
        <w:t>n initial</w:t>
      </w:r>
      <w:r w:rsidR="00CA2E58" w:rsidRPr="001337F8">
        <w:rPr>
          <w:rFonts w:ascii="Arial" w:hAnsi="Arial" w:cs="Arial"/>
          <w:sz w:val="24"/>
          <w:szCs w:val="24"/>
        </w:rPr>
        <w:t xml:space="preserve"> presumption that a right of way shown on a DMS </w:t>
      </w:r>
      <w:r w:rsidR="00CD2974" w:rsidRPr="001337F8">
        <w:rPr>
          <w:rFonts w:ascii="Arial" w:hAnsi="Arial" w:cs="Arial"/>
          <w:sz w:val="24"/>
          <w:szCs w:val="24"/>
        </w:rPr>
        <w:t xml:space="preserve">exists. The standard of proof required to justify a finding to the contrary </w:t>
      </w:r>
      <w:r w:rsidR="00534427" w:rsidRPr="001337F8">
        <w:rPr>
          <w:rFonts w:ascii="Arial" w:hAnsi="Arial" w:cs="Arial"/>
          <w:sz w:val="24"/>
          <w:szCs w:val="24"/>
        </w:rPr>
        <w:t xml:space="preserve">is that of the balance of probabilities, but evidence of some substance must be put into that balance if it is to outweigh the starting presumption. </w:t>
      </w:r>
    </w:p>
    <w:p w14:paraId="1C438D97" w14:textId="77777777" w:rsidR="00562307" w:rsidRPr="001337F8" w:rsidRDefault="00562307" w:rsidP="00562307">
      <w:pPr>
        <w:pStyle w:val="Style1"/>
        <w:tabs>
          <w:tab w:val="clear" w:pos="360"/>
        </w:tabs>
        <w:spacing w:before="0"/>
        <w:ind w:left="431"/>
        <w:rPr>
          <w:rFonts w:ascii="Arial" w:hAnsi="Arial" w:cs="Arial"/>
          <w:sz w:val="24"/>
          <w:szCs w:val="24"/>
        </w:rPr>
      </w:pPr>
    </w:p>
    <w:p w14:paraId="0E8A77C4" w14:textId="736C281A" w:rsidR="004B0F63" w:rsidRPr="001337F8" w:rsidRDefault="00562307" w:rsidP="009E6F60">
      <w:pPr>
        <w:pStyle w:val="ListParagraph"/>
        <w:numPr>
          <w:ilvl w:val="0"/>
          <w:numId w:val="3"/>
        </w:numPr>
        <w:rPr>
          <w:rFonts w:ascii="Arial" w:hAnsi="Arial" w:cs="Arial"/>
          <w:color w:val="000000"/>
          <w:kern w:val="28"/>
          <w:sz w:val="24"/>
          <w:szCs w:val="24"/>
        </w:rPr>
      </w:pPr>
      <w:r w:rsidRPr="001337F8">
        <w:rPr>
          <w:rFonts w:ascii="Arial" w:hAnsi="Arial" w:cs="Arial"/>
          <w:color w:val="000000"/>
          <w:kern w:val="28"/>
          <w:sz w:val="24"/>
          <w:szCs w:val="24"/>
        </w:rPr>
        <w:t>The ‘presumption of regularity’ essentially means that, in the interests of legal certainty, a local authority is presumed to have acted lawfully when discharging its functions.</w:t>
      </w:r>
      <w:r w:rsidR="00A6379F" w:rsidRPr="001337F8">
        <w:rPr>
          <w:rFonts w:ascii="Arial" w:hAnsi="Arial" w:cs="Arial"/>
          <w:color w:val="000000"/>
          <w:kern w:val="28"/>
          <w:sz w:val="24"/>
          <w:szCs w:val="24"/>
        </w:rPr>
        <w:t xml:space="preserve"> The production of the DMS was the outcome of a careful and </w:t>
      </w:r>
      <w:r w:rsidR="00A6379F" w:rsidRPr="001337F8">
        <w:rPr>
          <w:rFonts w:ascii="Arial" w:hAnsi="Arial" w:cs="Arial"/>
          <w:color w:val="000000"/>
          <w:kern w:val="28"/>
          <w:sz w:val="24"/>
          <w:szCs w:val="24"/>
        </w:rPr>
        <w:lastRenderedPageBreak/>
        <w:t xml:space="preserve">elaborate statutory procedure which, in the absence of contrary evidence, should be presumed to have been conducted conscientiously and correctly. </w:t>
      </w:r>
    </w:p>
    <w:p w14:paraId="3EF8F02C" w14:textId="77777777" w:rsidR="00C83BF2" w:rsidRPr="001337F8" w:rsidRDefault="00C83BF2" w:rsidP="00C83BF2">
      <w:pPr>
        <w:pStyle w:val="ListParagraph"/>
        <w:rPr>
          <w:rFonts w:ascii="Arial" w:hAnsi="Arial" w:cs="Arial"/>
          <w:color w:val="000000"/>
          <w:kern w:val="28"/>
          <w:sz w:val="24"/>
          <w:szCs w:val="24"/>
        </w:rPr>
      </w:pPr>
    </w:p>
    <w:p w14:paraId="60D946FD" w14:textId="2297F6F1" w:rsidR="00FB4C23" w:rsidRPr="001337F8" w:rsidRDefault="000232F6" w:rsidP="00F65FBF">
      <w:pPr>
        <w:pStyle w:val="Style1"/>
        <w:numPr>
          <w:ilvl w:val="0"/>
          <w:numId w:val="3"/>
        </w:numPr>
        <w:tabs>
          <w:tab w:val="clear" w:pos="720"/>
        </w:tabs>
        <w:spacing w:before="0"/>
        <w:rPr>
          <w:rFonts w:ascii="Arial" w:hAnsi="Arial" w:cs="Arial"/>
          <w:sz w:val="24"/>
          <w:szCs w:val="24"/>
        </w:rPr>
      </w:pPr>
      <w:r w:rsidRPr="001337F8">
        <w:rPr>
          <w:rFonts w:ascii="Arial" w:hAnsi="Arial" w:cs="Arial"/>
          <w:sz w:val="24"/>
          <w:szCs w:val="24"/>
        </w:rPr>
        <w:t xml:space="preserve">Defra Circular 01/09 reflects these principles to set out what is required by any application to delete </w:t>
      </w:r>
      <w:r w:rsidR="00AD6E88" w:rsidRPr="001337F8">
        <w:rPr>
          <w:rFonts w:ascii="Arial" w:hAnsi="Arial" w:cs="Arial"/>
          <w:sz w:val="24"/>
          <w:szCs w:val="24"/>
        </w:rPr>
        <w:t>a right of way from the DMS:</w:t>
      </w:r>
    </w:p>
    <w:p w14:paraId="6663DDD4" w14:textId="77777777" w:rsidR="007F6A06" w:rsidRPr="001337F8" w:rsidRDefault="007F6A06" w:rsidP="007F6A06">
      <w:pPr>
        <w:pStyle w:val="Default"/>
        <w:rPr>
          <w:i/>
          <w:iCs/>
        </w:rPr>
      </w:pPr>
    </w:p>
    <w:p w14:paraId="7AB0CB0A" w14:textId="2311367B" w:rsidR="007F6A06" w:rsidRPr="001337F8" w:rsidRDefault="007F6A06" w:rsidP="007F6A06">
      <w:pPr>
        <w:pStyle w:val="Default"/>
        <w:ind w:left="720"/>
      </w:pPr>
      <w:r w:rsidRPr="001337F8">
        <w:rPr>
          <w:i/>
          <w:iCs/>
        </w:rPr>
        <w:t xml:space="preserve">The evidence needed to remove what is shown as a public right from such an authoritative record as the definitive map and statement – and this would equally apply to the downgrading of a way with “higher” rights to a way with “lower” rights, as well as complete deletion – will need to fulfil certain stringent requirements. </w:t>
      </w:r>
    </w:p>
    <w:p w14:paraId="1F877EC5" w14:textId="77777777" w:rsidR="007F6A06" w:rsidRPr="001337F8" w:rsidRDefault="007F6A06" w:rsidP="007F6A06">
      <w:pPr>
        <w:pStyle w:val="Default"/>
        <w:rPr>
          <w:i/>
          <w:iCs/>
        </w:rPr>
      </w:pPr>
    </w:p>
    <w:p w14:paraId="6B6A3021" w14:textId="2042035B" w:rsidR="007F6A06" w:rsidRPr="001337F8" w:rsidRDefault="007F6A06" w:rsidP="007F6A06">
      <w:pPr>
        <w:pStyle w:val="Default"/>
        <w:ind w:firstLine="720"/>
      </w:pPr>
      <w:r w:rsidRPr="001337F8">
        <w:rPr>
          <w:i/>
          <w:iCs/>
        </w:rPr>
        <w:t xml:space="preserve">These are that: </w:t>
      </w:r>
    </w:p>
    <w:p w14:paraId="63C54AD0" w14:textId="2C1714B3" w:rsidR="007F6A06" w:rsidRPr="001337F8" w:rsidRDefault="007F6A06" w:rsidP="007F6A06">
      <w:pPr>
        <w:pStyle w:val="Default"/>
        <w:ind w:firstLine="720"/>
      </w:pPr>
      <w:r w:rsidRPr="001337F8">
        <w:rPr>
          <w:i/>
          <w:iCs/>
        </w:rPr>
        <w:t xml:space="preserve">• </w:t>
      </w:r>
      <w:r w:rsidRPr="001337F8">
        <w:rPr>
          <w:i/>
          <w:iCs/>
        </w:rPr>
        <w:tab/>
        <w:t xml:space="preserve">the evidence must be new – an order to remove a right of way cannot </w:t>
      </w:r>
    </w:p>
    <w:p w14:paraId="22D3EBE6" w14:textId="77777777" w:rsidR="007F6A06" w:rsidRDefault="007F6A06" w:rsidP="000F3A74">
      <w:pPr>
        <w:pStyle w:val="Default"/>
        <w:ind w:left="1440"/>
        <w:rPr>
          <w:i/>
          <w:iCs/>
        </w:rPr>
      </w:pPr>
      <w:r w:rsidRPr="001337F8">
        <w:rPr>
          <w:i/>
          <w:iCs/>
        </w:rPr>
        <w:t xml:space="preserve">be founded simply on the re-examination of evidence known at the time the definitive map was surveyed and made. </w:t>
      </w:r>
    </w:p>
    <w:p w14:paraId="0A51B0CE" w14:textId="77777777" w:rsidR="001337F8" w:rsidRPr="001337F8" w:rsidRDefault="001337F8" w:rsidP="000F3A74">
      <w:pPr>
        <w:pStyle w:val="Default"/>
        <w:ind w:left="1440"/>
      </w:pPr>
    </w:p>
    <w:p w14:paraId="789DDBDF" w14:textId="77777777" w:rsidR="000F3A74" w:rsidRPr="001337F8" w:rsidRDefault="007F6A06" w:rsidP="007F6A06">
      <w:pPr>
        <w:pStyle w:val="Default"/>
        <w:numPr>
          <w:ilvl w:val="0"/>
          <w:numId w:val="5"/>
        </w:numPr>
        <w:ind w:left="1418" w:hanging="709"/>
      </w:pPr>
      <w:r w:rsidRPr="001337F8">
        <w:rPr>
          <w:i/>
          <w:iCs/>
        </w:rPr>
        <w:t xml:space="preserve">the evidence must be of sufficient substance to displace the presumption that the definitive map is correct; </w:t>
      </w:r>
    </w:p>
    <w:p w14:paraId="2B55A11B" w14:textId="77777777" w:rsidR="001337F8" w:rsidRPr="001337F8" w:rsidRDefault="001337F8" w:rsidP="001337F8">
      <w:pPr>
        <w:pStyle w:val="Default"/>
        <w:ind w:left="1418"/>
      </w:pPr>
    </w:p>
    <w:p w14:paraId="64E104C7" w14:textId="7AF886BB" w:rsidR="007F6A06" w:rsidRPr="001337F8" w:rsidRDefault="007F6A06" w:rsidP="007F6A06">
      <w:pPr>
        <w:pStyle w:val="Default"/>
        <w:numPr>
          <w:ilvl w:val="0"/>
          <w:numId w:val="5"/>
        </w:numPr>
        <w:ind w:left="1418" w:hanging="709"/>
      </w:pPr>
      <w:r w:rsidRPr="001337F8">
        <w:rPr>
          <w:i/>
          <w:iCs/>
        </w:rPr>
        <w:t xml:space="preserve">the evidence must be cogent. </w:t>
      </w:r>
    </w:p>
    <w:p w14:paraId="70D7B977" w14:textId="77777777" w:rsidR="00C93944" w:rsidRPr="001337F8" w:rsidRDefault="00C93944" w:rsidP="007F6A06">
      <w:pPr>
        <w:pStyle w:val="Default"/>
        <w:rPr>
          <w:i/>
          <w:iCs/>
        </w:rPr>
      </w:pPr>
    </w:p>
    <w:p w14:paraId="502FAD6B" w14:textId="77777777" w:rsidR="00263A68" w:rsidRPr="001337F8" w:rsidRDefault="007F6A06" w:rsidP="00C93944">
      <w:pPr>
        <w:pStyle w:val="Default"/>
        <w:ind w:left="709"/>
        <w:rPr>
          <w:i/>
          <w:iCs/>
        </w:rPr>
      </w:pPr>
      <w:r w:rsidRPr="001337F8">
        <w:rPr>
          <w:i/>
          <w:iCs/>
        </w:rPr>
        <w:t xml:space="preserve">While all three conditions must be met they will be assessed in the order listed. </w:t>
      </w:r>
    </w:p>
    <w:p w14:paraId="7A9ED82C" w14:textId="77777777" w:rsidR="00263A68" w:rsidRPr="001337F8" w:rsidRDefault="00263A68" w:rsidP="00C93944">
      <w:pPr>
        <w:pStyle w:val="Default"/>
        <w:ind w:left="709"/>
        <w:rPr>
          <w:i/>
          <w:iCs/>
        </w:rPr>
      </w:pPr>
    </w:p>
    <w:p w14:paraId="278124EE" w14:textId="501CC42D" w:rsidR="007F6A06" w:rsidRPr="001337F8" w:rsidRDefault="007F6A06" w:rsidP="00C93944">
      <w:pPr>
        <w:pStyle w:val="Default"/>
        <w:ind w:left="709"/>
      </w:pPr>
      <w:r w:rsidRPr="001337F8">
        <w:rPr>
          <w:i/>
          <w:iCs/>
        </w:rPr>
        <w:t xml:space="preserve">Before deciding to make an order, authorities must take into consideration all other relevant evidence available to them concerning the status of the right of way and they must be satisfied that the evidence shows on the balance of probability that the map or statement should be modified. </w:t>
      </w:r>
    </w:p>
    <w:p w14:paraId="21309506" w14:textId="3AD80A6B" w:rsidR="00AD6E88" w:rsidRPr="001337F8" w:rsidRDefault="00C93944" w:rsidP="00C93944">
      <w:pPr>
        <w:pStyle w:val="Style1"/>
        <w:tabs>
          <w:tab w:val="clear" w:pos="360"/>
        </w:tabs>
        <w:ind w:left="709"/>
        <w:rPr>
          <w:rFonts w:ascii="Arial" w:hAnsi="Arial" w:cs="Arial"/>
          <w:sz w:val="24"/>
          <w:szCs w:val="24"/>
        </w:rPr>
      </w:pPr>
      <w:r w:rsidRPr="001337F8">
        <w:rPr>
          <w:rFonts w:ascii="Arial" w:hAnsi="Arial" w:cs="Arial"/>
          <w:i/>
          <w:iCs/>
          <w:sz w:val="24"/>
          <w:szCs w:val="24"/>
        </w:rPr>
        <w:tab/>
      </w:r>
      <w:r w:rsidR="007F6A06" w:rsidRPr="001337F8">
        <w:rPr>
          <w:rFonts w:ascii="Arial" w:hAnsi="Arial" w:cs="Arial"/>
          <w:i/>
          <w:iCs/>
          <w:sz w:val="24"/>
          <w:szCs w:val="24"/>
        </w:rPr>
        <w:t>Applications may be made to an authority under section 53(5) of the 1981 Act to make an order to delete or downgrade a right of way. Where there is such an application, it will be for those who contend that there is no right of way or that a right of way is of a lower status than that shown, to prove that the map requires amendment due to the discovery of evidence, which when considered with all other relevant evidence clearly shows that the right of way should be downgraded or deleted. The authority is required, by paragraph 3 of Schedule 14 to the Act, to investigate the matters stated in the application; however it is not for the authority to demonstrate that the map reflects the true rights, but for the applicant to show that the definitive map and statement should be revised to delete or downgrade the way.</w:t>
      </w:r>
    </w:p>
    <w:p w14:paraId="67A9EC7D" w14:textId="613A4F3B" w:rsidR="004B0F63" w:rsidRPr="001337F8" w:rsidRDefault="004B0F63" w:rsidP="004B0F63">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As to the ‘relevant date’ for the purposes of section 56, </w:t>
      </w:r>
      <w:r w:rsidR="0051050E" w:rsidRPr="001337F8">
        <w:rPr>
          <w:rFonts w:ascii="Arial" w:hAnsi="Arial" w:cs="Arial"/>
          <w:sz w:val="24"/>
          <w:szCs w:val="24"/>
        </w:rPr>
        <w:t xml:space="preserve">I am informed that </w:t>
      </w:r>
      <w:r w:rsidR="001148BF" w:rsidRPr="001337F8">
        <w:rPr>
          <w:rFonts w:ascii="Arial" w:hAnsi="Arial" w:cs="Arial"/>
          <w:sz w:val="24"/>
          <w:szCs w:val="24"/>
        </w:rPr>
        <w:t>in relation to the First DMS</w:t>
      </w:r>
      <w:r w:rsidR="008A3387" w:rsidRPr="001337F8">
        <w:rPr>
          <w:rFonts w:ascii="Arial" w:hAnsi="Arial" w:cs="Arial"/>
          <w:sz w:val="24"/>
          <w:szCs w:val="24"/>
        </w:rPr>
        <w:t>, made pursuant to the National Parks and Access to the Countryside Act 1949 (‘the 1949 Act’)</w:t>
      </w:r>
      <w:r w:rsidR="001148BF" w:rsidRPr="001337F8">
        <w:rPr>
          <w:rFonts w:ascii="Arial" w:hAnsi="Arial" w:cs="Arial"/>
          <w:sz w:val="24"/>
          <w:szCs w:val="24"/>
        </w:rPr>
        <w:t xml:space="preserve"> </w:t>
      </w:r>
      <w:r w:rsidR="0051050E" w:rsidRPr="001337F8">
        <w:rPr>
          <w:rFonts w:ascii="Arial" w:hAnsi="Arial" w:cs="Arial"/>
          <w:sz w:val="24"/>
          <w:szCs w:val="24"/>
        </w:rPr>
        <w:t>this was 2 February 1953, with subsequent revisions</w:t>
      </w:r>
      <w:r w:rsidRPr="001337F8">
        <w:rPr>
          <w:rFonts w:ascii="Arial" w:hAnsi="Arial" w:cs="Arial"/>
          <w:sz w:val="24"/>
          <w:szCs w:val="24"/>
        </w:rPr>
        <w:t xml:space="preserve">. </w:t>
      </w:r>
      <w:r w:rsidR="004075DB" w:rsidRPr="001337F8">
        <w:rPr>
          <w:rFonts w:ascii="Arial" w:hAnsi="Arial" w:cs="Arial"/>
          <w:sz w:val="24"/>
          <w:szCs w:val="24"/>
        </w:rPr>
        <w:t xml:space="preserve">Section 32(4) of the 1949 Act </w:t>
      </w:r>
      <w:r w:rsidR="00415DF4" w:rsidRPr="001337F8">
        <w:rPr>
          <w:rFonts w:ascii="Arial" w:hAnsi="Arial" w:cs="Arial"/>
          <w:sz w:val="24"/>
          <w:szCs w:val="24"/>
        </w:rPr>
        <w:t xml:space="preserve">provided, until its </w:t>
      </w:r>
      <w:r w:rsidR="009056D7" w:rsidRPr="001337F8">
        <w:rPr>
          <w:rFonts w:ascii="Arial" w:hAnsi="Arial" w:cs="Arial"/>
          <w:sz w:val="24"/>
          <w:szCs w:val="24"/>
        </w:rPr>
        <w:t xml:space="preserve">repeal and </w:t>
      </w:r>
      <w:r w:rsidR="00415DF4" w:rsidRPr="001337F8">
        <w:rPr>
          <w:rFonts w:ascii="Arial" w:hAnsi="Arial" w:cs="Arial"/>
          <w:sz w:val="24"/>
          <w:szCs w:val="24"/>
        </w:rPr>
        <w:t>replacement by the 1981 Act, that the DMS</w:t>
      </w:r>
      <w:r w:rsidR="00D44D08" w:rsidRPr="001337F8">
        <w:rPr>
          <w:rFonts w:ascii="Arial" w:hAnsi="Arial" w:cs="Arial"/>
          <w:sz w:val="24"/>
          <w:szCs w:val="24"/>
        </w:rPr>
        <w:t>s</w:t>
      </w:r>
      <w:r w:rsidR="00415DF4" w:rsidRPr="001337F8">
        <w:rPr>
          <w:rFonts w:ascii="Arial" w:hAnsi="Arial" w:cs="Arial"/>
          <w:sz w:val="24"/>
          <w:szCs w:val="24"/>
        </w:rPr>
        <w:t xml:space="preserve"> were conclusive evidence in law of the particulars they contained</w:t>
      </w:r>
      <w:r w:rsidR="00FC38A0" w:rsidRPr="001337F8">
        <w:rPr>
          <w:rFonts w:ascii="Arial" w:hAnsi="Arial" w:cs="Arial"/>
          <w:sz w:val="24"/>
          <w:szCs w:val="24"/>
        </w:rPr>
        <w:t>.</w:t>
      </w:r>
    </w:p>
    <w:p w14:paraId="5B804F75" w14:textId="37C8EE4B" w:rsidR="00845A84" w:rsidRPr="001337F8" w:rsidRDefault="00927DD4" w:rsidP="00845A84">
      <w:pPr>
        <w:pStyle w:val="Style1"/>
        <w:numPr>
          <w:ilvl w:val="0"/>
          <w:numId w:val="3"/>
        </w:numPr>
        <w:tabs>
          <w:tab w:val="clear" w:pos="720"/>
        </w:tabs>
        <w:rPr>
          <w:rFonts w:ascii="Arial" w:hAnsi="Arial" w:cs="Arial"/>
          <w:sz w:val="24"/>
          <w:szCs w:val="24"/>
        </w:rPr>
      </w:pPr>
      <w:r w:rsidRPr="001337F8">
        <w:rPr>
          <w:rFonts w:ascii="Arial" w:hAnsi="Arial" w:cs="Arial"/>
          <w:sz w:val="24"/>
          <w:szCs w:val="24"/>
        </w:rPr>
        <w:lastRenderedPageBreak/>
        <w:t>S</w:t>
      </w:r>
      <w:r w:rsidR="00845A84" w:rsidRPr="001337F8">
        <w:rPr>
          <w:rFonts w:ascii="Arial" w:hAnsi="Arial" w:cs="Arial"/>
          <w:sz w:val="24"/>
          <w:szCs w:val="24"/>
        </w:rPr>
        <w:t>ection 32 of the Highways Act 1980 (‘the 1980 Act’) requires me</w:t>
      </w:r>
      <w:r w:rsidR="00910D89" w:rsidRPr="001337F8">
        <w:rPr>
          <w:rFonts w:ascii="Arial" w:hAnsi="Arial" w:cs="Arial"/>
          <w:sz w:val="24"/>
          <w:szCs w:val="24"/>
        </w:rPr>
        <w:t xml:space="preserve">, before determining whether a way has </w:t>
      </w:r>
      <w:r w:rsidR="0071109E" w:rsidRPr="001337F8">
        <w:rPr>
          <w:rFonts w:ascii="Arial" w:hAnsi="Arial" w:cs="Arial"/>
          <w:sz w:val="24"/>
          <w:szCs w:val="24"/>
        </w:rPr>
        <w:t>or has not been dedicated as a highway,</w:t>
      </w:r>
      <w:r w:rsidR="00845A84" w:rsidRPr="001337F8">
        <w:rPr>
          <w:rFonts w:ascii="Arial" w:hAnsi="Arial" w:cs="Arial"/>
          <w:sz w:val="24"/>
          <w:szCs w:val="24"/>
        </w:rPr>
        <w:t xml:space="preserve"> </w:t>
      </w:r>
      <w:r w:rsidR="00666D32" w:rsidRPr="001337F8">
        <w:rPr>
          <w:rFonts w:ascii="Arial" w:hAnsi="Arial" w:cs="Arial"/>
          <w:sz w:val="24"/>
          <w:szCs w:val="24"/>
        </w:rPr>
        <w:t xml:space="preserve">or the date on which such dedication, if any, took place, </w:t>
      </w:r>
      <w:r w:rsidR="00845A84" w:rsidRPr="001337F8">
        <w:rPr>
          <w:rFonts w:ascii="Arial" w:hAnsi="Arial" w:cs="Arial"/>
          <w:sz w:val="24"/>
          <w:szCs w:val="24"/>
        </w:rPr>
        <w:t>to take into consideration any map, plan or history of the locality or other relevant document which is tendered in evidence, and to give it such weight as I consider justified by the circumstances. Those circumstances will include the antiquity of any document, the status of the person who made it and the purposes for which it was made, and the custody in which it has been kept and from which it is produced.</w:t>
      </w:r>
      <w:r w:rsidR="007F4317" w:rsidRPr="001337F8">
        <w:rPr>
          <w:rFonts w:ascii="Arial" w:hAnsi="Arial" w:cs="Arial"/>
          <w:sz w:val="24"/>
          <w:szCs w:val="24"/>
        </w:rPr>
        <w:t xml:space="preserve"> As agreed in </w:t>
      </w:r>
      <w:r w:rsidR="007F4317" w:rsidRPr="001337F8">
        <w:rPr>
          <w:rFonts w:ascii="Arial" w:hAnsi="Arial" w:cs="Arial"/>
          <w:i/>
          <w:iCs/>
          <w:sz w:val="24"/>
          <w:szCs w:val="24"/>
          <w:u w:val="single"/>
        </w:rPr>
        <w:t>Trevelyan</w:t>
      </w:r>
      <w:r w:rsidR="007F4317" w:rsidRPr="001337F8">
        <w:rPr>
          <w:rFonts w:ascii="Arial" w:hAnsi="Arial" w:cs="Arial"/>
          <w:sz w:val="24"/>
          <w:szCs w:val="24"/>
        </w:rPr>
        <w:t xml:space="preserve">, this is applicable by analogy </w:t>
      </w:r>
      <w:r w:rsidR="00AC6FA7" w:rsidRPr="001337F8">
        <w:rPr>
          <w:rFonts w:ascii="Arial" w:hAnsi="Arial" w:cs="Arial"/>
          <w:sz w:val="24"/>
          <w:szCs w:val="24"/>
        </w:rPr>
        <w:t xml:space="preserve">to the weight to be attached to the </w:t>
      </w:r>
      <w:r w:rsidR="00D72E02" w:rsidRPr="001337F8">
        <w:rPr>
          <w:rFonts w:ascii="Arial" w:hAnsi="Arial" w:cs="Arial"/>
          <w:sz w:val="24"/>
          <w:szCs w:val="24"/>
        </w:rPr>
        <w:t>DMS</w:t>
      </w:r>
      <w:r w:rsidR="00AC6FA7" w:rsidRPr="001337F8">
        <w:rPr>
          <w:rFonts w:ascii="Arial" w:hAnsi="Arial" w:cs="Arial"/>
          <w:sz w:val="24"/>
          <w:szCs w:val="24"/>
        </w:rPr>
        <w:t xml:space="preserve"> in the context of my task of considering </w:t>
      </w:r>
      <w:r w:rsidR="00F4574D" w:rsidRPr="001337F8">
        <w:rPr>
          <w:rFonts w:ascii="Arial" w:hAnsi="Arial" w:cs="Arial"/>
          <w:sz w:val="24"/>
          <w:szCs w:val="24"/>
        </w:rPr>
        <w:t xml:space="preserve">here </w:t>
      </w:r>
      <w:r w:rsidR="00AC6FA7" w:rsidRPr="001337F8">
        <w:rPr>
          <w:rFonts w:ascii="Arial" w:hAnsi="Arial" w:cs="Arial"/>
          <w:sz w:val="24"/>
          <w:szCs w:val="24"/>
        </w:rPr>
        <w:t xml:space="preserve">whether, having regard to all the available evidence, </w:t>
      </w:r>
      <w:r w:rsidR="00F4574D" w:rsidRPr="001337F8">
        <w:rPr>
          <w:rFonts w:ascii="Arial" w:hAnsi="Arial" w:cs="Arial"/>
          <w:sz w:val="24"/>
          <w:szCs w:val="24"/>
        </w:rPr>
        <w:t>I am</w:t>
      </w:r>
      <w:r w:rsidR="00AC6FA7" w:rsidRPr="001337F8">
        <w:rPr>
          <w:rFonts w:ascii="Arial" w:hAnsi="Arial" w:cs="Arial"/>
          <w:sz w:val="24"/>
          <w:szCs w:val="24"/>
        </w:rPr>
        <w:t xml:space="preserve"> satisfied that the right of way depicted as </w:t>
      </w:r>
      <w:r w:rsidR="006663A8" w:rsidRPr="001337F8">
        <w:rPr>
          <w:rFonts w:ascii="Arial" w:hAnsi="Arial" w:cs="Arial"/>
          <w:sz w:val="24"/>
          <w:szCs w:val="24"/>
        </w:rPr>
        <w:t xml:space="preserve">the relevant part of RB24 </w:t>
      </w:r>
      <w:r w:rsidR="00F4574D" w:rsidRPr="001337F8">
        <w:rPr>
          <w:rFonts w:ascii="Arial" w:hAnsi="Arial" w:cs="Arial"/>
          <w:sz w:val="24"/>
          <w:szCs w:val="24"/>
        </w:rPr>
        <w:t>does</w:t>
      </w:r>
      <w:r w:rsidR="00AC6FA7" w:rsidRPr="001337F8">
        <w:rPr>
          <w:rFonts w:ascii="Arial" w:hAnsi="Arial" w:cs="Arial"/>
          <w:sz w:val="24"/>
          <w:szCs w:val="24"/>
        </w:rPr>
        <w:t xml:space="preserve"> not exist</w:t>
      </w:r>
      <w:r w:rsidR="00F4574D" w:rsidRPr="001337F8">
        <w:rPr>
          <w:rFonts w:ascii="Arial" w:hAnsi="Arial" w:cs="Arial"/>
          <w:sz w:val="24"/>
          <w:szCs w:val="24"/>
        </w:rPr>
        <w:t>.</w:t>
      </w:r>
    </w:p>
    <w:p w14:paraId="6475303E" w14:textId="44EF9C30" w:rsidR="00845A84" w:rsidRPr="001337F8" w:rsidRDefault="00845A84" w:rsidP="00845A84">
      <w:pPr>
        <w:pStyle w:val="Style1"/>
        <w:numPr>
          <w:ilvl w:val="0"/>
          <w:numId w:val="3"/>
        </w:numPr>
        <w:tabs>
          <w:tab w:val="clear" w:pos="720"/>
        </w:tabs>
        <w:rPr>
          <w:rFonts w:ascii="Arial" w:hAnsi="Arial" w:cs="Arial"/>
          <w:sz w:val="24"/>
          <w:szCs w:val="24"/>
        </w:rPr>
      </w:pPr>
      <w:r w:rsidRPr="001337F8">
        <w:rPr>
          <w:rFonts w:ascii="Arial" w:hAnsi="Arial" w:cs="Arial"/>
          <w:sz w:val="24"/>
          <w:szCs w:val="24"/>
        </w:rPr>
        <w:t>Section 31 of the 1980 Act sets out the criteria according to which the dedication of a way as a highway is to be presumed. Generally that requires evidence of 20 years’ user</w:t>
      </w:r>
      <w:r w:rsidR="0098555A" w:rsidRPr="001337F8">
        <w:rPr>
          <w:rFonts w:ascii="Arial" w:hAnsi="Arial" w:cs="Arial"/>
          <w:sz w:val="24"/>
          <w:szCs w:val="24"/>
        </w:rPr>
        <w:t xml:space="preserve"> as of right, which is to say user without force, secrecy or permission</w:t>
      </w:r>
      <w:r w:rsidRPr="001337F8">
        <w:rPr>
          <w:rFonts w:ascii="Arial" w:hAnsi="Arial" w:cs="Arial"/>
          <w:sz w:val="24"/>
          <w:szCs w:val="24"/>
        </w:rPr>
        <w:t xml:space="preserve">. </w:t>
      </w:r>
      <w:r w:rsidR="003A0996" w:rsidRPr="001337F8">
        <w:rPr>
          <w:rFonts w:ascii="Arial" w:hAnsi="Arial" w:cs="Arial"/>
          <w:sz w:val="24"/>
          <w:szCs w:val="24"/>
        </w:rPr>
        <w:t>That period of 20 years is to be calculated retrospectively from when the right was brought into question.</w:t>
      </w:r>
      <w:r w:rsidR="00D14E21" w:rsidRPr="001337F8">
        <w:rPr>
          <w:rFonts w:ascii="Arial" w:hAnsi="Arial" w:cs="Arial"/>
          <w:sz w:val="24"/>
          <w:szCs w:val="24"/>
        </w:rPr>
        <w:t xml:space="preserve"> Former provisions in the 1932 Rights of Way Act in some circumstances</w:t>
      </w:r>
      <w:r w:rsidR="00E9164B" w:rsidRPr="001337F8">
        <w:rPr>
          <w:rFonts w:ascii="Arial" w:hAnsi="Arial" w:cs="Arial"/>
          <w:sz w:val="24"/>
          <w:szCs w:val="24"/>
        </w:rPr>
        <w:t xml:space="preserve"> (repealed by the 1949 Act)</w:t>
      </w:r>
      <w:r w:rsidR="00D14E21" w:rsidRPr="001337F8">
        <w:rPr>
          <w:rFonts w:ascii="Arial" w:hAnsi="Arial" w:cs="Arial"/>
          <w:sz w:val="24"/>
          <w:szCs w:val="24"/>
        </w:rPr>
        <w:t xml:space="preserve"> required a user period of 40 years to be shown.</w:t>
      </w:r>
      <w:r w:rsidR="003A0996" w:rsidRPr="001337F8">
        <w:rPr>
          <w:rFonts w:ascii="Arial" w:hAnsi="Arial" w:cs="Arial"/>
          <w:sz w:val="24"/>
          <w:szCs w:val="24"/>
        </w:rPr>
        <w:t xml:space="preserve"> </w:t>
      </w:r>
      <w:r w:rsidR="00081B92" w:rsidRPr="001337F8">
        <w:rPr>
          <w:rFonts w:ascii="Arial" w:hAnsi="Arial" w:cs="Arial"/>
          <w:sz w:val="24"/>
          <w:szCs w:val="24"/>
        </w:rPr>
        <w:t>In either case, the sections have been</w:t>
      </w:r>
      <w:r w:rsidRPr="001337F8">
        <w:rPr>
          <w:rFonts w:ascii="Arial" w:hAnsi="Arial" w:cs="Arial"/>
          <w:sz w:val="24"/>
          <w:szCs w:val="24"/>
        </w:rPr>
        <w:t xml:space="preserve"> enacted without prejudice to any inference of dedication at common law. My task on this appeal is</w:t>
      </w:r>
      <w:r w:rsidR="00F4574D" w:rsidRPr="001337F8">
        <w:rPr>
          <w:rFonts w:ascii="Arial" w:hAnsi="Arial" w:cs="Arial"/>
          <w:sz w:val="24"/>
          <w:szCs w:val="24"/>
        </w:rPr>
        <w:t xml:space="preserve"> however</w:t>
      </w:r>
      <w:r w:rsidR="00AF3F88" w:rsidRPr="001337F8">
        <w:rPr>
          <w:rFonts w:ascii="Arial" w:hAnsi="Arial" w:cs="Arial"/>
          <w:sz w:val="24"/>
          <w:szCs w:val="24"/>
        </w:rPr>
        <w:t xml:space="preserve"> to determine whether or not a right of way had not been dedicated</w:t>
      </w:r>
      <w:r w:rsidR="00527C2C" w:rsidRPr="001337F8">
        <w:rPr>
          <w:rFonts w:ascii="Arial" w:hAnsi="Arial" w:cs="Arial"/>
          <w:sz w:val="24"/>
          <w:szCs w:val="24"/>
        </w:rPr>
        <w:t xml:space="preserve"> by the relevant date, </w:t>
      </w:r>
      <w:r w:rsidR="00AF3F88" w:rsidRPr="001337F8">
        <w:rPr>
          <w:rFonts w:ascii="Arial" w:hAnsi="Arial" w:cs="Arial"/>
          <w:sz w:val="24"/>
          <w:szCs w:val="24"/>
        </w:rPr>
        <w:t>with the starting presumption that it had</w:t>
      </w:r>
      <w:r w:rsidR="00790261" w:rsidRPr="001337F8">
        <w:rPr>
          <w:rFonts w:ascii="Arial" w:hAnsi="Arial" w:cs="Arial"/>
          <w:sz w:val="24"/>
          <w:szCs w:val="24"/>
        </w:rPr>
        <w:t xml:space="preserve"> been so dedicated</w:t>
      </w:r>
      <w:r w:rsidRPr="001337F8">
        <w:rPr>
          <w:rFonts w:ascii="Arial" w:hAnsi="Arial" w:cs="Arial"/>
          <w:sz w:val="24"/>
          <w:szCs w:val="24"/>
        </w:rPr>
        <w:t>.</w:t>
      </w:r>
      <w:r w:rsidR="003C3292" w:rsidRPr="001337F8">
        <w:rPr>
          <w:rFonts w:ascii="Arial" w:hAnsi="Arial" w:cs="Arial"/>
          <w:sz w:val="24"/>
          <w:szCs w:val="24"/>
        </w:rPr>
        <w:t xml:space="preserve"> The applicable standard of proof is the balance of probabilities.</w:t>
      </w:r>
      <w:r w:rsidRPr="001337F8">
        <w:rPr>
          <w:rFonts w:ascii="Arial" w:hAnsi="Arial" w:cs="Arial"/>
          <w:sz w:val="24"/>
          <w:szCs w:val="24"/>
        </w:rPr>
        <w:t xml:space="preserve"> </w:t>
      </w:r>
    </w:p>
    <w:p w14:paraId="7EC89436" w14:textId="77777777" w:rsidR="00845A84" w:rsidRPr="001337F8" w:rsidRDefault="00845A84" w:rsidP="00845A84">
      <w:pPr>
        <w:pStyle w:val="Heading6blackfont"/>
        <w:rPr>
          <w:rFonts w:ascii="Arial" w:hAnsi="Arial" w:cs="Arial"/>
          <w:sz w:val="24"/>
          <w:szCs w:val="24"/>
        </w:rPr>
      </w:pPr>
      <w:r w:rsidRPr="001337F8">
        <w:rPr>
          <w:rFonts w:ascii="Arial" w:hAnsi="Arial" w:cs="Arial"/>
          <w:sz w:val="24"/>
          <w:szCs w:val="24"/>
        </w:rPr>
        <w:t>Reasons</w:t>
      </w:r>
    </w:p>
    <w:p w14:paraId="33666360" w14:textId="6539C4BD" w:rsidR="003B2777" w:rsidRPr="001337F8" w:rsidRDefault="003B2777" w:rsidP="003B2777">
      <w:pPr>
        <w:pStyle w:val="Style1"/>
        <w:tabs>
          <w:tab w:val="clear" w:pos="360"/>
        </w:tabs>
        <w:rPr>
          <w:rFonts w:ascii="Arial" w:hAnsi="Arial" w:cs="Arial"/>
          <w:i/>
          <w:iCs/>
          <w:sz w:val="24"/>
          <w:szCs w:val="24"/>
        </w:rPr>
      </w:pPr>
      <w:r w:rsidRPr="001337F8">
        <w:rPr>
          <w:rFonts w:ascii="Arial" w:hAnsi="Arial" w:cs="Arial"/>
          <w:i/>
          <w:iCs/>
          <w:sz w:val="24"/>
          <w:szCs w:val="24"/>
        </w:rPr>
        <w:t>Discovery of evidence</w:t>
      </w:r>
    </w:p>
    <w:p w14:paraId="50180ED5" w14:textId="04BE775B" w:rsidR="00623B90" w:rsidRPr="001337F8" w:rsidRDefault="002F09B2" w:rsidP="00C264B3">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To </w:t>
      </w:r>
      <w:r w:rsidR="008C24AC" w:rsidRPr="001337F8">
        <w:rPr>
          <w:rFonts w:ascii="Arial" w:hAnsi="Arial" w:cs="Arial"/>
          <w:sz w:val="24"/>
          <w:szCs w:val="24"/>
        </w:rPr>
        <w:t xml:space="preserve">consider the matter at all, there needs to have been a discovery of evidence to </w:t>
      </w:r>
      <w:r w:rsidR="00102791" w:rsidRPr="001337F8">
        <w:rPr>
          <w:rFonts w:ascii="Arial" w:hAnsi="Arial" w:cs="Arial"/>
          <w:sz w:val="24"/>
          <w:szCs w:val="24"/>
        </w:rPr>
        <w:t xml:space="preserve">warrant </w:t>
      </w:r>
      <w:r w:rsidR="008C24AC" w:rsidRPr="001337F8">
        <w:rPr>
          <w:rFonts w:ascii="Arial" w:hAnsi="Arial" w:cs="Arial"/>
          <w:sz w:val="24"/>
          <w:szCs w:val="24"/>
        </w:rPr>
        <w:t xml:space="preserve">consideration of the application. </w:t>
      </w:r>
      <w:r w:rsidR="006333E4" w:rsidRPr="001337F8">
        <w:rPr>
          <w:rFonts w:ascii="Arial" w:hAnsi="Arial" w:cs="Arial"/>
          <w:sz w:val="24"/>
          <w:szCs w:val="24"/>
        </w:rPr>
        <w:t xml:space="preserve">Although the 1890 Act was clearly known to the surveying authorities in the 1950s, receiving express reference in correspondence by the </w:t>
      </w:r>
      <w:r w:rsidR="006F1B0B" w:rsidRPr="001337F8">
        <w:rPr>
          <w:rFonts w:ascii="Arial" w:hAnsi="Arial" w:cs="Arial"/>
          <w:sz w:val="24"/>
          <w:szCs w:val="24"/>
        </w:rPr>
        <w:t xml:space="preserve">various local authorities </w:t>
      </w:r>
      <w:r w:rsidR="0076701A" w:rsidRPr="001337F8">
        <w:rPr>
          <w:rFonts w:ascii="Arial" w:hAnsi="Arial" w:cs="Arial"/>
          <w:sz w:val="24"/>
          <w:szCs w:val="24"/>
        </w:rPr>
        <w:t>at the time,</w:t>
      </w:r>
      <w:r w:rsidR="006333E4" w:rsidRPr="001337F8">
        <w:rPr>
          <w:rFonts w:ascii="Arial" w:hAnsi="Arial" w:cs="Arial"/>
          <w:sz w:val="24"/>
          <w:szCs w:val="24"/>
        </w:rPr>
        <w:t xml:space="preserve"> t</w:t>
      </w:r>
      <w:r w:rsidR="008C24AC" w:rsidRPr="001337F8">
        <w:rPr>
          <w:rFonts w:ascii="Arial" w:hAnsi="Arial" w:cs="Arial"/>
          <w:sz w:val="24"/>
          <w:szCs w:val="24"/>
        </w:rPr>
        <w:t xml:space="preserve">here </w:t>
      </w:r>
      <w:r w:rsidR="006333E4" w:rsidRPr="001337F8">
        <w:rPr>
          <w:rFonts w:ascii="Arial" w:hAnsi="Arial" w:cs="Arial"/>
          <w:sz w:val="24"/>
          <w:szCs w:val="24"/>
        </w:rPr>
        <w:t>appear</w:t>
      </w:r>
      <w:r w:rsidR="008C24AC" w:rsidRPr="001337F8">
        <w:rPr>
          <w:rFonts w:ascii="Arial" w:hAnsi="Arial" w:cs="Arial"/>
          <w:sz w:val="24"/>
          <w:szCs w:val="24"/>
        </w:rPr>
        <w:t>s no dispute between the parties</w:t>
      </w:r>
      <w:r w:rsidR="006333E4" w:rsidRPr="001337F8">
        <w:rPr>
          <w:rFonts w:ascii="Arial" w:hAnsi="Arial" w:cs="Arial"/>
          <w:sz w:val="24"/>
          <w:szCs w:val="24"/>
        </w:rPr>
        <w:t xml:space="preserve"> to this appeal</w:t>
      </w:r>
      <w:r w:rsidR="008C24AC" w:rsidRPr="001337F8">
        <w:rPr>
          <w:rFonts w:ascii="Arial" w:hAnsi="Arial" w:cs="Arial"/>
          <w:sz w:val="24"/>
          <w:szCs w:val="24"/>
        </w:rPr>
        <w:t xml:space="preserve"> that there has been</w:t>
      </w:r>
      <w:r w:rsidR="006333E4" w:rsidRPr="001337F8">
        <w:rPr>
          <w:rFonts w:ascii="Arial" w:hAnsi="Arial" w:cs="Arial"/>
          <w:sz w:val="24"/>
          <w:szCs w:val="24"/>
        </w:rPr>
        <w:t xml:space="preserve"> a discovery of evidence</w:t>
      </w:r>
      <w:r w:rsidR="008C24AC" w:rsidRPr="001337F8">
        <w:rPr>
          <w:rFonts w:ascii="Arial" w:hAnsi="Arial" w:cs="Arial"/>
          <w:sz w:val="24"/>
          <w:szCs w:val="24"/>
        </w:rPr>
        <w:t xml:space="preserve">. </w:t>
      </w:r>
    </w:p>
    <w:p w14:paraId="0639F256" w14:textId="388D31F9" w:rsidR="00F64989" w:rsidRPr="001337F8" w:rsidRDefault="005B360D" w:rsidP="00C264B3">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The appellant suggests that </w:t>
      </w:r>
      <w:r w:rsidR="001B2DB7" w:rsidRPr="001337F8">
        <w:rPr>
          <w:rFonts w:ascii="Arial" w:hAnsi="Arial" w:cs="Arial"/>
          <w:sz w:val="24"/>
          <w:szCs w:val="24"/>
        </w:rPr>
        <w:t xml:space="preserve">either the 1890 Act was not considered, or was incorrectly interpreted in the 1950s. Additionally </w:t>
      </w:r>
      <w:r w:rsidR="003F410A" w:rsidRPr="001337F8">
        <w:rPr>
          <w:rFonts w:ascii="Arial" w:hAnsi="Arial" w:cs="Arial"/>
          <w:sz w:val="24"/>
          <w:szCs w:val="24"/>
        </w:rPr>
        <w:t xml:space="preserve">the appellant contends that </w:t>
      </w:r>
      <w:r w:rsidR="001B2DB7" w:rsidRPr="001337F8">
        <w:rPr>
          <w:rFonts w:ascii="Arial" w:hAnsi="Arial" w:cs="Arial"/>
          <w:sz w:val="24"/>
          <w:szCs w:val="24"/>
        </w:rPr>
        <w:t>the</w:t>
      </w:r>
      <w:r w:rsidR="0085456C" w:rsidRPr="001337F8">
        <w:rPr>
          <w:rFonts w:ascii="Arial" w:hAnsi="Arial" w:cs="Arial"/>
          <w:sz w:val="24"/>
          <w:szCs w:val="24"/>
        </w:rPr>
        <w:t xml:space="preserve"> potential</w:t>
      </w:r>
      <w:r w:rsidR="001B2DB7" w:rsidRPr="001337F8">
        <w:rPr>
          <w:rFonts w:ascii="Arial" w:hAnsi="Arial" w:cs="Arial"/>
          <w:sz w:val="24"/>
          <w:szCs w:val="24"/>
        </w:rPr>
        <w:t xml:space="preserve"> fact of the relevant land having been held on settlement trusts until 1946</w:t>
      </w:r>
      <w:r w:rsidR="00876EB0" w:rsidRPr="001337F8">
        <w:rPr>
          <w:rFonts w:ascii="Arial" w:hAnsi="Arial" w:cs="Arial"/>
          <w:sz w:val="24"/>
          <w:szCs w:val="24"/>
        </w:rPr>
        <w:t xml:space="preserve"> would</w:t>
      </w:r>
      <w:r w:rsidR="003F410A" w:rsidRPr="001337F8">
        <w:rPr>
          <w:rFonts w:ascii="Arial" w:hAnsi="Arial" w:cs="Arial"/>
          <w:sz w:val="24"/>
          <w:szCs w:val="24"/>
        </w:rPr>
        <w:t>, if known,</w:t>
      </w:r>
      <w:r w:rsidR="00876EB0" w:rsidRPr="001337F8">
        <w:rPr>
          <w:rFonts w:ascii="Arial" w:hAnsi="Arial" w:cs="Arial"/>
          <w:sz w:val="24"/>
          <w:szCs w:val="24"/>
        </w:rPr>
        <w:t xml:space="preserve"> have affected the surveying authority’s consideration of the issue.</w:t>
      </w:r>
      <w:r w:rsidR="001B2DB7" w:rsidRPr="001337F8">
        <w:rPr>
          <w:rFonts w:ascii="Arial" w:hAnsi="Arial" w:cs="Arial"/>
          <w:sz w:val="24"/>
          <w:szCs w:val="24"/>
        </w:rPr>
        <w:t xml:space="preserve"> </w:t>
      </w:r>
      <w:r w:rsidR="007E2BBD" w:rsidRPr="001337F8">
        <w:rPr>
          <w:rFonts w:ascii="Arial" w:hAnsi="Arial" w:cs="Arial"/>
          <w:sz w:val="24"/>
          <w:szCs w:val="24"/>
        </w:rPr>
        <w:t>In the course of considering the</w:t>
      </w:r>
      <w:r w:rsidR="00545F55" w:rsidRPr="001337F8">
        <w:rPr>
          <w:rFonts w:ascii="Arial" w:hAnsi="Arial" w:cs="Arial"/>
          <w:sz w:val="24"/>
          <w:szCs w:val="24"/>
        </w:rPr>
        <w:t xml:space="preserve"> present</w:t>
      </w:r>
      <w:r w:rsidR="007E2BBD" w:rsidRPr="001337F8">
        <w:rPr>
          <w:rFonts w:ascii="Arial" w:hAnsi="Arial" w:cs="Arial"/>
          <w:sz w:val="24"/>
          <w:szCs w:val="24"/>
        </w:rPr>
        <w:t xml:space="preserve"> application, the Council has consulted with third parties and received additional evidence</w:t>
      </w:r>
      <w:r w:rsidR="00AF2737" w:rsidRPr="001337F8">
        <w:rPr>
          <w:rFonts w:ascii="Arial" w:hAnsi="Arial" w:cs="Arial"/>
          <w:sz w:val="24"/>
          <w:szCs w:val="24"/>
        </w:rPr>
        <w:t xml:space="preserve"> about the historic use of the route</w:t>
      </w:r>
      <w:r w:rsidR="00EE4F54" w:rsidRPr="001337F8">
        <w:rPr>
          <w:rFonts w:ascii="Arial" w:hAnsi="Arial" w:cs="Arial"/>
          <w:sz w:val="24"/>
          <w:szCs w:val="24"/>
        </w:rPr>
        <w:t>. It appears that the ‘discovery’ threshold has been met</w:t>
      </w:r>
      <w:r w:rsidR="007E2BBD" w:rsidRPr="001337F8">
        <w:rPr>
          <w:rFonts w:ascii="Arial" w:hAnsi="Arial" w:cs="Arial"/>
          <w:sz w:val="24"/>
          <w:szCs w:val="24"/>
        </w:rPr>
        <w:t xml:space="preserve">. </w:t>
      </w:r>
    </w:p>
    <w:p w14:paraId="6C44D4B5" w14:textId="743D7135" w:rsidR="002F09B2" w:rsidRPr="001337F8" w:rsidRDefault="00F4574D" w:rsidP="002F09B2">
      <w:pPr>
        <w:pStyle w:val="Style1"/>
        <w:tabs>
          <w:tab w:val="clear" w:pos="360"/>
        </w:tabs>
        <w:rPr>
          <w:i/>
          <w:iCs/>
          <w:sz w:val="24"/>
          <w:szCs w:val="24"/>
        </w:rPr>
      </w:pPr>
      <w:r w:rsidRPr="001337F8">
        <w:rPr>
          <w:rFonts w:ascii="Arial" w:hAnsi="Arial" w:cs="Arial"/>
          <w:i/>
          <w:iCs/>
          <w:sz w:val="24"/>
          <w:szCs w:val="24"/>
        </w:rPr>
        <w:t xml:space="preserve">The </w:t>
      </w:r>
      <w:r w:rsidR="00861665" w:rsidRPr="001337F8">
        <w:rPr>
          <w:rFonts w:ascii="Arial" w:hAnsi="Arial" w:cs="Arial"/>
          <w:i/>
          <w:iCs/>
          <w:sz w:val="24"/>
          <w:szCs w:val="24"/>
        </w:rPr>
        <w:t xml:space="preserve">historic position </w:t>
      </w:r>
    </w:p>
    <w:p w14:paraId="790E25A5" w14:textId="3767EE4A" w:rsidR="00532CA6" w:rsidRPr="001337F8" w:rsidRDefault="00C264B3"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The </w:t>
      </w:r>
      <w:r w:rsidR="00861665" w:rsidRPr="001337F8">
        <w:rPr>
          <w:rFonts w:ascii="Arial" w:hAnsi="Arial" w:cs="Arial"/>
          <w:sz w:val="24"/>
          <w:szCs w:val="24"/>
        </w:rPr>
        <w:t>application route appears to form part of an historic Roman road</w:t>
      </w:r>
      <w:r w:rsidR="00273BE1" w:rsidRPr="001337F8">
        <w:rPr>
          <w:rFonts w:ascii="Arial" w:hAnsi="Arial" w:cs="Arial"/>
          <w:sz w:val="24"/>
          <w:szCs w:val="24"/>
        </w:rPr>
        <w:t>, Ermine Street, and is depicted on a number of C19th maps</w:t>
      </w:r>
      <w:r w:rsidR="00981D5C" w:rsidRPr="001337F8">
        <w:rPr>
          <w:rFonts w:ascii="Arial" w:hAnsi="Arial" w:cs="Arial"/>
          <w:sz w:val="24"/>
          <w:szCs w:val="24"/>
        </w:rPr>
        <w:t xml:space="preserve">. </w:t>
      </w:r>
      <w:r w:rsidR="00EE4F54" w:rsidRPr="001337F8">
        <w:rPr>
          <w:rFonts w:ascii="Arial" w:hAnsi="Arial" w:cs="Arial"/>
          <w:sz w:val="24"/>
          <w:szCs w:val="24"/>
        </w:rPr>
        <w:t xml:space="preserve">The appellant accepts </w:t>
      </w:r>
      <w:r w:rsidR="00B547D7" w:rsidRPr="001337F8">
        <w:rPr>
          <w:rFonts w:ascii="Arial" w:hAnsi="Arial" w:cs="Arial"/>
          <w:sz w:val="24"/>
          <w:szCs w:val="24"/>
        </w:rPr>
        <w:t>that the route</w:t>
      </w:r>
      <w:r w:rsidR="00EE4F54" w:rsidRPr="001337F8">
        <w:rPr>
          <w:rFonts w:ascii="Arial" w:hAnsi="Arial" w:cs="Arial"/>
          <w:sz w:val="24"/>
          <w:szCs w:val="24"/>
        </w:rPr>
        <w:t xml:space="preserve"> </w:t>
      </w:r>
      <w:r w:rsidR="008E4CC8" w:rsidRPr="001337F8">
        <w:rPr>
          <w:rFonts w:ascii="Arial" w:hAnsi="Arial" w:cs="Arial"/>
          <w:sz w:val="24"/>
          <w:szCs w:val="24"/>
        </w:rPr>
        <w:t>formed part of the local highway network at the start of the century,</w:t>
      </w:r>
      <w:r w:rsidR="00BD36B1" w:rsidRPr="001337F8">
        <w:rPr>
          <w:rFonts w:ascii="Arial" w:hAnsi="Arial" w:cs="Arial"/>
          <w:sz w:val="24"/>
          <w:szCs w:val="24"/>
        </w:rPr>
        <w:t xml:space="preserve"> </w:t>
      </w:r>
      <w:r w:rsidR="008E4CC8" w:rsidRPr="001337F8">
        <w:rPr>
          <w:rFonts w:ascii="Arial" w:hAnsi="Arial" w:cs="Arial"/>
          <w:sz w:val="24"/>
          <w:szCs w:val="24"/>
        </w:rPr>
        <w:t xml:space="preserve">but appears to have fallen into </w:t>
      </w:r>
      <w:r w:rsidR="001E3471" w:rsidRPr="001337F8">
        <w:rPr>
          <w:rFonts w:ascii="Arial" w:hAnsi="Arial" w:cs="Arial"/>
          <w:sz w:val="24"/>
          <w:szCs w:val="24"/>
        </w:rPr>
        <w:t xml:space="preserve">disuse and </w:t>
      </w:r>
      <w:r w:rsidR="009350AE" w:rsidRPr="001337F8">
        <w:rPr>
          <w:rFonts w:ascii="Arial" w:hAnsi="Arial" w:cs="Arial"/>
          <w:sz w:val="24"/>
          <w:szCs w:val="24"/>
        </w:rPr>
        <w:t xml:space="preserve">in practice diverted </w:t>
      </w:r>
      <w:r w:rsidR="00AA1592" w:rsidRPr="001337F8">
        <w:rPr>
          <w:rFonts w:ascii="Arial" w:hAnsi="Arial" w:cs="Arial"/>
          <w:sz w:val="24"/>
          <w:szCs w:val="24"/>
        </w:rPr>
        <w:t>via point ‘C’ on the location plan</w:t>
      </w:r>
      <w:r w:rsidR="00B547D7" w:rsidRPr="001337F8">
        <w:rPr>
          <w:rFonts w:ascii="Arial" w:hAnsi="Arial" w:cs="Arial"/>
          <w:sz w:val="24"/>
          <w:szCs w:val="24"/>
        </w:rPr>
        <w:t xml:space="preserve"> by around the 1870s.</w:t>
      </w:r>
      <w:r w:rsidR="008F1A47" w:rsidRPr="001337F8">
        <w:rPr>
          <w:rFonts w:ascii="Arial" w:hAnsi="Arial" w:cs="Arial"/>
          <w:sz w:val="24"/>
          <w:szCs w:val="24"/>
        </w:rPr>
        <w:t xml:space="preserve"> I am not prepared to infer on the balance of </w:t>
      </w:r>
      <w:r w:rsidR="008F1A47" w:rsidRPr="001337F8">
        <w:rPr>
          <w:rFonts w:ascii="Arial" w:hAnsi="Arial" w:cs="Arial"/>
          <w:sz w:val="24"/>
          <w:szCs w:val="24"/>
        </w:rPr>
        <w:lastRenderedPageBreak/>
        <w:t xml:space="preserve">probabilities that </w:t>
      </w:r>
      <w:r w:rsidR="0011175A" w:rsidRPr="001337F8">
        <w:rPr>
          <w:rFonts w:ascii="Arial" w:hAnsi="Arial" w:cs="Arial"/>
          <w:sz w:val="24"/>
          <w:szCs w:val="24"/>
        </w:rPr>
        <w:t>any formal order to divert the route was made (as the appellant suggests)</w:t>
      </w:r>
      <w:r w:rsidR="00BD36B1" w:rsidRPr="001337F8">
        <w:rPr>
          <w:rFonts w:ascii="Arial" w:hAnsi="Arial" w:cs="Arial"/>
          <w:sz w:val="24"/>
          <w:szCs w:val="24"/>
        </w:rPr>
        <w:t xml:space="preserve"> in the absence of any evidence on the matter. It seems that as a matter of practicality</w:t>
      </w:r>
      <w:r w:rsidR="003A2B12" w:rsidRPr="001337F8">
        <w:rPr>
          <w:rFonts w:ascii="Arial" w:hAnsi="Arial" w:cs="Arial"/>
          <w:sz w:val="24"/>
          <w:szCs w:val="24"/>
        </w:rPr>
        <w:t xml:space="preserve"> the ‘point C’ route came to be preferred by users but that would not by itself result in the loss of any rights to use the application route. </w:t>
      </w:r>
    </w:p>
    <w:p w14:paraId="225EA64F" w14:textId="3BDBC6D2" w:rsidR="00997A3D" w:rsidRPr="001337F8" w:rsidRDefault="00532CA6"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With th</w:t>
      </w:r>
      <w:r w:rsidR="003A2B12" w:rsidRPr="001337F8">
        <w:rPr>
          <w:rFonts w:ascii="Arial" w:hAnsi="Arial" w:cs="Arial"/>
          <w:sz w:val="24"/>
          <w:szCs w:val="24"/>
        </w:rPr>
        <w:t>e historic appearance of the application route as part of the highway network</w:t>
      </w:r>
      <w:r w:rsidRPr="001337F8">
        <w:rPr>
          <w:rFonts w:ascii="Arial" w:hAnsi="Arial" w:cs="Arial"/>
          <w:sz w:val="24"/>
          <w:szCs w:val="24"/>
        </w:rPr>
        <w:t xml:space="preserve"> as the common position, I have not found it necessary to interrogate the historic maps in detail.</w:t>
      </w:r>
      <w:r w:rsidR="00AA4E62" w:rsidRPr="001337F8">
        <w:rPr>
          <w:rFonts w:ascii="Arial" w:hAnsi="Arial" w:cs="Arial"/>
          <w:sz w:val="24"/>
          <w:szCs w:val="24"/>
        </w:rPr>
        <w:t xml:space="preserve"> That is because, unless the 1890 Act has the effect for which the appellant contends, it is common ground that the application route at one point formed part of the highway network and no (other) </w:t>
      </w:r>
      <w:r w:rsidR="00A030B2" w:rsidRPr="001337F8">
        <w:rPr>
          <w:rFonts w:ascii="Arial" w:hAnsi="Arial" w:cs="Arial"/>
          <w:sz w:val="24"/>
          <w:szCs w:val="24"/>
        </w:rPr>
        <w:t xml:space="preserve">act or order </w:t>
      </w:r>
      <w:r w:rsidR="00997A3D" w:rsidRPr="001337F8">
        <w:rPr>
          <w:rFonts w:ascii="Arial" w:hAnsi="Arial" w:cs="Arial"/>
          <w:sz w:val="24"/>
          <w:szCs w:val="24"/>
        </w:rPr>
        <w:t xml:space="preserve">providing for the </w:t>
      </w:r>
      <w:r w:rsidR="00A030B2" w:rsidRPr="001337F8">
        <w:rPr>
          <w:rFonts w:ascii="Arial" w:hAnsi="Arial" w:cs="Arial"/>
          <w:sz w:val="24"/>
          <w:szCs w:val="24"/>
        </w:rPr>
        <w:t xml:space="preserve">extinguishment or stopping-up </w:t>
      </w:r>
      <w:r w:rsidR="00997A3D" w:rsidRPr="001337F8">
        <w:rPr>
          <w:rFonts w:ascii="Arial" w:hAnsi="Arial" w:cs="Arial"/>
          <w:sz w:val="24"/>
          <w:szCs w:val="24"/>
        </w:rPr>
        <w:t xml:space="preserve">of the route </w:t>
      </w:r>
      <w:r w:rsidR="00A030B2" w:rsidRPr="001337F8">
        <w:rPr>
          <w:rFonts w:ascii="Arial" w:hAnsi="Arial" w:cs="Arial"/>
          <w:sz w:val="24"/>
          <w:szCs w:val="24"/>
        </w:rPr>
        <w:t>has arisen.</w:t>
      </w:r>
      <w:r w:rsidRPr="001337F8">
        <w:rPr>
          <w:rFonts w:ascii="Arial" w:hAnsi="Arial" w:cs="Arial"/>
          <w:sz w:val="24"/>
          <w:szCs w:val="24"/>
        </w:rPr>
        <w:t xml:space="preserve"> </w:t>
      </w:r>
      <w:r w:rsidR="00E26841" w:rsidRPr="001337F8">
        <w:rPr>
          <w:rFonts w:ascii="Arial" w:hAnsi="Arial" w:cs="Arial"/>
          <w:sz w:val="24"/>
          <w:szCs w:val="24"/>
        </w:rPr>
        <w:t>It follows that if the 1890 Act does not have the effect for which the appellant contends, there is no real dispute that the application route is a highway</w:t>
      </w:r>
      <w:r w:rsidR="00B860ED" w:rsidRPr="001337F8">
        <w:rPr>
          <w:rFonts w:ascii="Arial" w:hAnsi="Arial" w:cs="Arial"/>
          <w:sz w:val="24"/>
          <w:szCs w:val="24"/>
        </w:rPr>
        <w:t xml:space="preserve">. </w:t>
      </w:r>
      <w:r w:rsidRPr="001337F8">
        <w:rPr>
          <w:rFonts w:ascii="Arial" w:hAnsi="Arial" w:cs="Arial"/>
          <w:sz w:val="24"/>
          <w:szCs w:val="24"/>
        </w:rPr>
        <w:t>The question</w:t>
      </w:r>
      <w:r w:rsidR="00FF1FDF" w:rsidRPr="001337F8">
        <w:rPr>
          <w:rFonts w:ascii="Arial" w:hAnsi="Arial" w:cs="Arial"/>
          <w:sz w:val="24"/>
          <w:szCs w:val="24"/>
        </w:rPr>
        <w:t xml:space="preserve">s instead centre around the effects of the 1890 Act and matters </w:t>
      </w:r>
      <w:r w:rsidR="00B860ED" w:rsidRPr="001337F8">
        <w:rPr>
          <w:rFonts w:ascii="Arial" w:hAnsi="Arial" w:cs="Arial"/>
          <w:sz w:val="24"/>
          <w:szCs w:val="24"/>
        </w:rPr>
        <w:t xml:space="preserve">occurring </w:t>
      </w:r>
      <w:r w:rsidR="00FF1FDF" w:rsidRPr="001337F8">
        <w:rPr>
          <w:rFonts w:ascii="Arial" w:hAnsi="Arial" w:cs="Arial"/>
          <w:sz w:val="24"/>
          <w:szCs w:val="24"/>
        </w:rPr>
        <w:t>since.</w:t>
      </w:r>
    </w:p>
    <w:p w14:paraId="3842CFA4" w14:textId="5BD4141A" w:rsidR="00B860ED" w:rsidRPr="001337F8" w:rsidRDefault="00B860ED" w:rsidP="00C50AA6">
      <w:pPr>
        <w:pStyle w:val="Style1"/>
        <w:tabs>
          <w:tab w:val="clear" w:pos="360"/>
        </w:tabs>
        <w:rPr>
          <w:rFonts w:ascii="Arial" w:hAnsi="Arial" w:cs="Arial"/>
          <w:i/>
          <w:iCs/>
          <w:sz w:val="24"/>
          <w:szCs w:val="24"/>
        </w:rPr>
      </w:pPr>
      <w:r w:rsidRPr="001337F8">
        <w:rPr>
          <w:rFonts w:ascii="Arial" w:hAnsi="Arial" w:cs="Arial"/>
          <w:i/>
          <w:iCs/>
          <w:sz w:val="24"/>
          <w:szCs w:val="24"/>
        </w:rPr>
        <w:t xml:space="preserve">The </w:t>
      </w:r>
      <w:r w:rsidR="00355645">
        <w:rPr>
          <w:rFonts w:ascii="Arial" w:hAnsi="Arial" w:cs="Arial"/>
          <w:i/>
          <w:iCs/>
          <w:sz w:val="24"/>
          <w:szCs w:val="24"/>
        </w:rPr>
        <w:t>Broxborne and Hoddesdon Open Spaces and Recreation Grounds</w:t>
      </w:r>
      <w:r w:rsidRPr="001337F8">
        <w:rPr>
          <w:rFonts w:ascii="Arial" w:hAnsi="Arial" w:cs="Arial"/>
          <w:i/>
          <w:iCs/>
          <w:sz w:val="24"/>
          <w:szCs w:val="24"/>
        </w:rPr>
        <w:t xml:space="preserve"> Act</w:t>
      </w:r>
      <w:r w:rsidR="00D551D6">
        <w:rPr>
          <w:rFonts w:ascii="Arial" w:hAnsi="Arial" w:cs="Arial"/>
          <w:i/>
          <w:iCs/>
          <w:sz w:val="24"/>
          <w:szCs w:val="24"/>
        </w:rPr>
        <w:t xml:space="preserve"> 1890</w:t>
      </w:r>
    </w:p>
    <w:p w14:paraId="681B455D" w14:textId="77777777" w:rsidR="00EE15A2" w:rsidRPr="001337F8" w:rsidRDefault="004E6F13"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I am largely unpersuaded by the Council’s assessment of the effects of the 1890 Act. They alert me to a number of principles of statutory interpretation, including that a ‘private’ Act of this kind should be construed against its promoters</w:t>
      </w:r>
      <w:r w:rsidR="004846EC" w:rsidRPr="001337F8">
        <w:rPr>
          <w:rFonts w:ascii="Arial" w:hAnsi="Arial" w:cs="Arial"/>
          <w:sz w:val="24"/>
          <w:szCs w:val="24"/>
        </w:rPr>
        <w:t>, and that any</w:t>
      </w:r>
      <w:r w:rsidR="00CA0A88" w:rsidRPr="001337F8">
        <w:rPr>
          <w:rFonts w:ascii="Arial" w:hAnsi="Arial" w:cs="Arial"/>
          <w:sz w:val="24"/>
          <w:szCs w:val="24"/>
        </w:rPr>
        <w:t xml:space="preserve"> statutory</w:t>
      </w:r>
      <w:r w:rsidR="004846EC" w:rsidRPr="001337F8">
        <w:rPr>
          <w:rFonts w:ascii="Arial" w:hAnsi="Arial" w:cs="Arial"/>
          <w:sz w:val="24"/>
          <w:szCs w:val="24"/>
        </w:rPr>
        <w:t xml:space="preserve"> provisions repugnant to the common law should be expresse</w:t>
      </w:r>
      <w:r w:rsidR="00CA0A88" w:rsidRPr="001337F8">
        <w:rPr>
          <w:rFonts w:ascii="Arial" w:hAnsi="Arial" w:cs="Arial"/>
          <w:sz w:val="24"/>
          <w:szCs w:val="24"/>
        </w:rPr>
        <w:t xml:space="preserve">d in unequivocal terms. </w:t>
      </w:r>
    </w:p>
    <w:p w14:paraId="45E2351B" w14:textId="7090CF4E" w:rsidR="00304AF4" w:rsidRPr="001337F8" w:rsidRDefault="00EE15A2"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The purpose of the 1890 Act</w:t>
      </w:r>
      <w:r w:rsidR="00B8516A">
        <w:rPr>
          <w:rFonts w:ascii="Arial" w:hAnsi="Arial" w:cs="Arial"/>
          <w:sz w:val="24"/>
          <w:szCs w:val="24"/>
        </w:rPr>
        <w:t>, found in its long title,</w:t>
      </w:r>
      <w:r w:rsidRPr="001337F8">
        <w:rPr>
          <w:rFonts w:ascii="Arial" w:hAnsi="Arial" w:cs="Arial"/>
          <w:sz w:val="24"/>
          <w:szCs w:val="24"/>
        </w:rPr>
        <w:t xml:space="preserve"> </w:t>
      </w:r>
      <w:r w:rsidR="002D71F4" w:rsidRPr="001337F8">
        <w:rPr>
          <w:rFonts w:ascii="Arial" w:hAnsi="Arial" w:cs="Arial"/>
          <w:sz w:val="24"/>
          <w:szCs w:val="24"/>
        </w:rPr>
        <w:t xml:space="preserve">was expressed to be </w:t>
      </w:r>
      <w:r w:rsidR="00D46FA0">
        <w:rPr>
          <w:rFonts w:ascii="Arial" w:hAnsi="Arial" w:cs="Arial"/>
          <w:sz w:val="24"/>
          <w:szCs w:val="24"/>
        </w:rPr>
        <w:t>‘</w:t>
      </w:r>
      <w:r w:rsidR="002D71F4" w:rsidRPr="001337F8">
        <w:rPr>
          <w:rFonts w:ascii="Arial" w:hAnsi="Arial" w:cs="Arial"/>
          <w:sz w:val="24"/>
          <w:szCs w:val="24"/>
        </w:rPr>
        <w:t>to provide Open Spaces and Recreation Groun</w:t>
      </w:r>
      <w:r w:rsidR="00925596" w:rsidRPr="001337F8">
        <w:rPr>
          <w:rFonts w:ascii="Arial" w:hAnsi="Arial" w:cs="Arial"/>
          <w:sz w:val="24"/>
          <w:szCs w:val="24"/>
        </w:rPr>
        <w:t>d</w:t>
      </w:r>
      <w:r w:rsidR="002D71F4" w:rsidRPr="001337F8">
        <w:rPr>
          <w:rFonts w:ascii="Arial" w:hAnsi="Arial" w:cs="Arial"/>
          <w:sz w:val="24"/>
          <w:szCs w:val="24"/>
        </w:rPr>
        <w:t xml:space="preserve">s in the </w:t>
      </w:r>
      <w:r w:rsidR="000948DF" w:rsidRPr="001337F8">
        <w:rPr>
          <w:rFonts w:ascii="Arial" w:hAnsi="Arial" w:cs="Arial"/>
          <w:sz w:val="24"/>
          <w:szCs w:val="24"/>
        </w:rPr>
        <w:t>parishes of Broxborne</w:t>
      </w:r>
      <w:r w:rsidR="00B860ED" w:rsidRPr="001337F8">
        <w:rPr>
          <w:rFonts w:ascii="Arial" w:hAnsi="Arial" w:cs="Arial"/>
          <w:sz w:val="24"/>
          <w:szCs w:val="24"/>
        </w:rPr>
        <w:t xml:space="preserve"> </w:t>
      </w:r>
      <w:r w:rsidR="000948DF" w:rsidRPr="001337F8">
        <w:rPr>
          <w:rFonts w:ascii="Arial" w:hAnsi="Arial" w:cs="Arial"/>
          <w:sz w:val="24"/>
          <w:szCs w:val="24"/>
        </w:rPr>
        <w:t>and Hoddesdon</w:t>
      </w:r>
      <w:r w:rsidR="00D46FA0">
        <w:rPr>
          <w:rFonts w:ascii="Arial" w:hAnsi="Arial" w:cs="Arial"/>
          <w:sz w:val="24"/>
          <w:szCs w:val="24"/>
        </w:rPr>
        <w:t>’</w:t>
      </w:r>
      <w:r w:rsidR="000948DF" w:rsidRPr="001337F8">
        <w:rPr>
          <w:rFonts w:ascii="Arial" w:hAnsi="Arial" w:cs="Arial"/>
          <w:sz w:val="24"/>
          <w:szCs w:val="24"/>
        </w:rPr>
        <w:t xml:space="preserve"> and </w:t>
      </w:r>
      <w:r w:rsidR="00D46FA0">
        <w:rPr>
          <w:rFonts w:ascii="Arial" w:hAnsi="Arial" w:cs="Arial"/>
          <w:sz w:val="24"/>
          <w:szCs w:val="24"/>
        </w:rPr>
        <w:t>‘</w:t>
      </w:r>
      <w:r w:rsidR="000948DF" w:rsidRPr="001337F8">
        <w:rPr>
          <w:rFonts w:ascii="Arial" w:hAnsi="Arial" w:cs="Arial"/>
          <w:sz w:val="24"/>
          <w:szCs w:val="24"/>
        </w:rPr>
        <w:t>to declare and define the rights of way through the Broxbornebury Estate</w:t>
      </w:r>
      <w:r w:rsidR="00D46FA0">
        <w:rPr>
          <w:rFonts w:ascii="Arial" w:hAnsi="Arial" w:cs="Arial"/>
          <w:sz w:val="24"/>
          <w:szCs w:val="24"/>
        </w:rPr>
        <w:t>’</w:t>
      </w:r>
      <w:r w:rsidR="000948DF" w:rsidRPr="001337F8">
        <w:rPr>
          <w:rFonts w:ascii="Arial" w:hAnsi="Arial" w:cs="Arial"/>
          <w:sz w:val="24"/>
          <w:szCs w:val="24"/>
        </w:rPr>
        <w:t>.</w:t>
      </w:r>
      <w:r w:rsidR="005B5356" w:rsidRPr="001337F8">
        <w:rPr>
          <w:rFonts w:ascii="Arial" w:hAnsi="Arial" w:cs="Arial"/>
          <w:sz w:val="24"/>
          <w:szCs w:val="24"/>
        </w:rPr>
        <w:t xml:space="preserve"> </w:t>
      </w:r>
      <w:r w:rsidR="00B03FC1" w:rsidRPr="001337F8">
        <w:rPr>
          <w:rFonts w:ascii="Arial" w:hAnsi="Arial" w:cs="Arial"/>
          <w:sz w:val="24"/>
          <w:szCs w:val="24"/>
        </w:rPr>
        <w:t xml:space="preserve">It recited that certain questions had arisen as to rights of way through </w:t>
      </w:r>
      <w:r w:rsidR="007D1607" w:rsidRPr="001337F8">
        <w:rPr>
          <w:rFonts w:ascii="Arial" w:hAnsi="Arial" w:cs="Arial"/>
          <w:sz w:val="24"/>
          <w:szCs w:val="24"/>
        </w:rPr>
        <w:t xml:space="preserve">the relevant lands. Two new footways were to be dedicated and </w:t>
      </w:r>
      <w:r w:rsidR="00A213C6" w:rsidRPr="001337F8">
        <w:rPr>
          <w:rFonts w:ascii="Arial" w:hAnsi="Arial" w:cs="Arial"/>
          <w:sz w:val="24"/>
          <w:szCs w:val="24"/>
        </w:rPr>
        <w:t xml:space="preserve">the Bill was promoted to provide these, and to declare and define the rights of way and to settle any doubts which may have arisen in reference thereto. Those (and other) objects, </w:t>
      </w:r>
      <w:r w:rsidR="004A3AEC" w:rsidRPr="001337F8">
        <w:rPr>
          <w:rFonts w:ascii="Arial" w:hAnsi="Arial" w:cs="Arial"/>
          <w:sz w:val="24"/>
          <w:szCs w:val="24"/>
        </w:rPr>
        <w:t xml:space="preserve">it recited, could not be effected without the authority of Parliament. </w:t>
      </w:r>
    </w:p>
    <w:p w14:paraId="429DE020" w14:textId="64736D87" w:rsidR="00C13A3B" w:rsidRPr="001337F8" w:rsidRDefault="006E6EF4"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The vestries of the relevant parishes had, it </w:t>
      </w:r>
      <w:r w:rsidR="00303840" w:rsidRPr="001337F8">
        <w:rPr>
          <w:rFonts w:ascii="Arial" w:hAnsi="Arial" w:cs="Arial"/>
          <w:sz w:val="24"/>
          <w:szCs w:val="24"/>
        </w:rPr>
        <w:t xml:space="preserve">was </w:t>
      </w:r>
      <w:r w:rsidRPr="001337F8">
        <w:rPr>
          <w:rFonts w:ascii="Arial" w:hAnsi="Arial" w:cs="Arial"/>
          <w:sz w:val="24"/>
          <w:szCs w:val="24"/>
        </w:rPr>
        <w:t xml:space="preserve">recited, been consulted and </w:t>
      </w:r>
      <w:r w:rsidR="00304AF4" w:rsidRPr="001337F8">
        <w:rPr>
          <w:rFonts w:ascii="Arial" w:hAnsi="Arial" w:cs="Arial"/>
          <w:sz w:val="24"/>
          <w:szCs w:val="24"/>
        </w:rPr>
        <w:t xml:space="preserve">had unanimously accepted the proposals. </w:t>
      </w:r>
      <w:r w:rsidR="00303840" w:rsidRPr="001337F8">
        <w:rPr>
          <w:rFonts w:ascii="Arial" w:hAnsi="Arial" w:cs="Arial"/>
          <w:sz w:val="24"/>
          <w:szCs w:val="24"/>
        </w:rPr>
        <w:t>The parties have not dwelt on this issue in their submis</w:t>
      </w:r>
      <w:r w:rsidR="006B7481" w:rsidRPr="001337F8">
        <w:rPr>
          <w:rFonts w:ascii="Arial" w:hAnsi="Arial" w:cs="Arial"/>
          <w:sz w:val="24"/>
          <w:szCs w:val="24"/>
        </w:rPr>
        <w:t>s</w:t>
      </w:r>
      <w:r w:rsidR="00303840" w:rsidRPr="001337F8">
        <w:rPr>
          <w:rFonts w:ascii="Arial" w:hAnsi="Arial" w:cs="Arial"/>
          <w:sz w:val="24"/>
          <w:szCs w:val="24"/>
        </w:rPr>
        <w:t xml:space="preserve">ions, but I understand that in 1890, when the Act was passed, </w:t>
      </w:r>
      <w:r w:rsidR="006B7481" w:rsidRPr="001337F8">
        <w:rPr>
          <w:rFonts w:ascii="Arial" w:hAnsi="Arial" w:cs="Arial"/>
          <w:sz w:val="24"/>
          <w:szCs w:val="24"/>
        </w:rPr>
        <w:t>the responsibility for local highways</w:t>
      </w:r>
      <w:r w:rsidR="003B46B0" w:rsidRPr="001337F8">
        <w:rPr>
          <w:rFonts w:ascii="Arial" w:hAnsi="Arial" w:cs="Arial"/>
          <w:sz w:val="24"/>
          <w:szCs w:val="24"/>
        </w:rPr>
        <w:t xml:space="preserve"> is likely to have remained with </w:t>
      </w:r>
      <w:r w:rsidR="00461C07" w:rsidRPr="001337F8">
        <w:rPr>
          <w:rFonts w:ascii="Arial" w:hAnsi="Arial" w:cs="Arial"/>
          <w:sz w:val="24"/>
          <w:szCs w:val="24"/>
        </w:rPr>
        <w:t xml:space="preserve">(or to have reverted to) </w:t>
      </w:r>
      <w:r w:rsidR="003B46B0" w:rsidRPr="001337F8">
        <w:rPr>
          <w:rFonts w:ascii="Arial" w:hAnsi="Arial" w:cs="Arial"/>
          <w:sz w:val="24"/>
          <w:szCs w:val="24"/>
        </w:rPr>
        <w:t>the parish vestries</w:t>
      </w:r>
      <w:r w:rsidR="00461C07" w:rsidRPr="001337F8">
        <w:rPr>
          <w:rFonts w:ascii="Arial" w:hAnsi="Arial" w:cs="Arial"/>
          <w:sz w:val="24"/>
          <w:szCs w:val="24"/>
        </w:rPr>
        <w:t xml:space="preserve">, being before the </w:t>
      </w:r>
      <w:r w:rsidR="00274829" w:rsidRPr="001337F8">
        <w:rPr>
          <w:rFonts w:ascii="Arial" w:hAnsi="Arial" w:cs="Arial"/>
          <w:sz w:val="24"/>
          <w:szCs w:val="24"/>
        </w:rPr>
        <w:t xml:space="preserve">passing of the </w:t>
      </w:r>
      <w:r w:rsidR="00B5508F" w:rsidRPr="001337F8">
        <w:rPr>
          <w:rFonts w:ascii="Arial" w:hAnsi="Arial" w:cs="Arial"/>
          <w:sz w:val="24"/>
          <w:szCs w:val="24"/>
        </w:rPr>
        <w:t xml:space="preserve">Local Government Act </w:t>
      </w:r>
      <w:r w:rsidR="00461C07" w:rsidRPr="001337F8">
        <w:rPr>
          <w:rFonts w:ascii="Arial" w:hAnsi="Arial" w:cs="Arial"/>
          <w:sz w:val="24"/>
          <w:szCs w:val="24"/>
        </w:rPr>
        <w:t>1894</w:t>
      </w:r>
      <w:r w:rsidR="00842129" w:rsidRPr="001337F8">
        <w:rPr>
          <w:rFonts w:ascii="Arial" w:hAnsi="Arial" w:cs="Arial"/>
          <w:sz w:val="24"/>
          <w:szCs w:val="24"/>
        </w:rPr>
        <w:t>.</w:t>
      </w:r>
      <w:r w:rsidR="00461C07" w:rsidRPr="001337F8">
        <w:rPr>
          <w:rFonts w:ascii="Arial" w:hAnsi="Arial" w:cs="Arial"/>
          <w:sz w:val="24"/>
          <w:szCs w:val="24"/>
        </w:rPr>
        <w:t xml:space="preserve"> </w:t>
      </w:r>
      <w:r w:rsidR="00A765E9" w:rsidRPr="001337F8">
        <w:rPr>
          <w:rFonts w:ascii="Arial" w:hAnsi="Arial" w:cs="Arial"/>
          <w:sz w:val="24"/>
          <w:szCs w:val="24"/>
        </w:rPr>
        <w:t xml:space="preserve">Thus it appears that the </w:t>
      </w:r>
      <w:r w:rsidR="00B1008A" w:rsidRPr="001337F8">
        <w:rPr>
          <w:rFonts w:ascii="Arial" w:hAnsi="Arial" w:cs="Arial"/>
          <w:sz w:val="24"/>
          <w:szCs w:val="24"/>
        </w:rPr>
        <w:t xml:space="preserve">local authority then responsible for highways </w:t>
      </w:r>
      <w:r w:rsidR="00590074" w:rsidRPr="001337F8">
        <w:rPr>
          <w:rFonts w:ascii="Arial" w:hAnsi="Arial" w:cs="Arial"/>
          <w:sz w:val="24"/>
          <w:szCs w:val="24"/>
        </w:rPr>
        <w:t xml:space="preserve">in the area </w:t>
      </w:r>
      <w:r w:rsidR="00B1008A" w:rsidRPr="001337F8">
        <w:rPr>
          <w:rFonts w:ascii="Arial" w:hAnsi="Arial" w:cs="Arial"/>
          <w:sz w:val="24"/>
          <w:szCs w:val="24"/>
        </w:rPr>
        <w:t xml:space="preserve">had concurred in the passing of the </w:t>
      </w:r>
      <w:r w:rsidR="00633920" w:rsidRPr="001337F8">
        <w:rPr>
          <w:rFonts w:ascii="Arial" w:hAnsi="Arial" w:cs="Arial"/>
          <w:sz w:val="24"/>
          <w:szCs w:val="24"/>
        </w:rPr>
        <w:t xml:space="preserve">1890 </w:t>
      </w:r>
      <w:r w:rsidR="00B1008A" w:rsidRPr="001337F8">
        <w:rPr>
          <w:rFonts w:ascii="Arial" w:hAnsi="Arial" w:cs="Arial"/>
          <w:sz w:val="24"/>
          <w:szCs w:val="24"/>
        </w:rPr>
        <w:t>Act.</w:t>
      </w:r>
    </w:p>
    <w:p w14:paraId="4FBF438E" w14:textId="77777777" w:rsidR="00706867" w:rsidRPr="001337F8" w:rsidRDefault="00842129"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Section</w:t>
      </w:r>
      <w:r w:rsidR="00C13A3B" w:rsidRPr="001337F8">
        <w:rPr>
          <w:rFonts w:ascii="Arial" w:hAnsi="Arial" w:cs="Arial"/>
          <w:sz w:val="24"/>
          <w:szCs w:val="24"/>
        </w:rPr>
        <w:t xml:space="preserve"> 21</w:t>
      </w:r>
      <w:r w:rsidRPr="001337F8">
        <w:rPr>
          <w:rFonts w:ascii="Arial" w:hAnsi="Arial" w:cs="Arial"/>
          <w:sz w:val="24"/>
          <w:szCs w:val="24"/>
        </w:rPr>
        <w:t xml:space="preserve"> of the 1890 Act</w:t>
      </w:r>
      <w:r w:rsidR="00C13A3B" w:rsidRPr="001337F8">
        <w:rPr>
          <w:rFonts w:ascii="Arial" w:hAnsi="Arial" w:cs="Arial"/>
          <w:sz w:val="24"/>
          <w:szCs w:val="24"/>
        </w:rPr>
        <w:t xml:space="preserve"> then ‘declared and enacted’ that </w:t>
      </w:r>
      <w:r w:rsidR="00E015A9" w:rsidRPr="001337F8">
        <w:rPr>
          <w:rFonts w:ascii="Arial" w:hAnsi="Arial" w:cs="Arial"/>
          <w:sz w:val="24"/>
          <w:szCs w:val="24"/>
        </w:rPr>
        <w:t>(among other matters) ‘except as mentioned in the Third Schedule and as shown on the map no public rights of way exist on or over the estate’</w:t>
      </w:r>
      <w:r w:rsidR="00304AF4" w:rsidRPr="001337F8">
        <w:rPr>
          <w:rFonts w:ascii="Arial" w:hAnsi="Arial" w:cs="Arial"/>
          <w:sz w:val="24"/>
          <w:szCs w:val="24"/>
        </w:rPr>
        <w:t>.</w:t>
      </w:r>
      <w:r w:rsidR="00A213C6" w:rsidRPr="001337F8">
        <w:rPr>
          <w:rFonts w:ascii="Arial" w:hAnsi="Arial" w:cs="Arial"/>
          <w:sz w:val="24"/>
          <w:szCs w:val="24"/>
        </w:rPr>
        <w:t xml:space="preserve"> </w:t>
      </w:r>
    </w:p>
    <w:p w14:paraId="4D748D06" w14:textId="77777777" w:rsidR="00590074" w:rsidRPr="001337F8" w:rsidRDefault="00706867"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By then the case of </w:t>
      </w:r>
      <w:r w:rsidRPr="001337F8">
        <w:rPr>
          <w:rFonts w:ascii="Arial" w:hAnsi="Arial" w:cs="Arial"/>
          <w:i/>
          <w:iCs/>
          <w:sz w:val="24"/>
          <w:szCs w:val="24"/>
          <w:u w:val="single"/>
        </w:rPr>
        <w:t>Dawes v Hawkins</w:t>
      </w:r>
      <w:r w:rsidRPr="001337F8">
        <w:rPr>
          <w:rFonts w:ascii="Arial" w:hAnsi="Arial" w:cs="Arial"/>
          <w:sz w:val="24"/>
          <w:szCs w:val="24"/>
        </w:rPr>
        <w:t xml:space="preserve"> </w:t>
      </w:r>
      <w:r w:rsidR="00F302E5" w:rsidRPr="001337F8">
        <w:rPr>
          <w:rFonts w:ascii="Arial" w:hAnsi="Arial" w:cs="Arial"/>
          <w:sz w:val="24"/>
          <w:szCs w:val="24"/>
        </w:rPr>
        <w:t xml:space="preserve">(1860) 141 ER 1399 </w:t>
      </w:r>
      <w:r w:rsidRPr="001337F8">
        <w:rPr>
          <w:rFonts w:ascii="Arial" w:hAnsi="Arial" w:cs="Arial"/>
          <w:sz w:val="24"/>
          <w:szCs w:val="24"/>
        </w:rPr>
        <w:t xml:space="preserve">had </w:t>
      </w:r>
      <w:r w:rsidR="00D16F3C" w:rsidRPr="001337F8">
        <w:rPr>
          <w:rFonts w:ascii="Arial" w:hAnsi="Arial" w:cs="Arial"/>
          <w:sz w:val="24"/>
          <w:szCs w:val="24"/>
        </w:rPr>
        <w:t>clearly established th</w:t>
      </w:r>
      <w:r w:rsidR="00633920" w:rsidRPr="001337F8">
        <w:rPr>
          <w:rFonts w:ascii="Arial" w:hAnsi="Arial" w:cs="Arial"/>
          <w:sz w:val="24"/>
          <w:szCs w:val="24"/>
        </w:rPr>
        <w:t xml:space="preserve">e principle of </w:t>
      </w:r>
      <w:r w:rsidR="00D16F3C" w:rsidRPr="001337F8">
        <w:rPr>
          <w:rFonts w:ascii="Arial" w:hAnsi="Arial" w:cs="Arial"/>
          <w:sz w:val="24"/>
          <w:szCs w:val="24"/>
        </w:rPr>
        <w:t>‘once a highway, always a highway’</w:t>
      </w:r>
      <w:r w:rsidR="001005BF" w:rsidRPr="001337F8">
        <w:rPr>
          <w:rFonts w:ascii="Arial" w:hAnsi="Arial" w:cs="Arial"/>
          <w:sz w:val="24"/>
          <w:szCs w:val="24"/>
        </w:rPr>
        <w:t>,</w:t>
      </w:r>
      <w:r w:rsidR="00D16F3C" w:rsidRPr="001337F8">
        <w:rPr>
          <w:rFonts w:ascii="Arial" w:hAnsi="Arial" w:cs="Arial"/>
          <w:sz w:val="24"/>
          <w:szCs w:val="24"/>
        </w:rPr>
        <w:t xml:space="preserve"> and unequivocal statutory language is required </w:t>
      </w:r>
      <w:r w:rsidR="005F7FAD" w:rsidRPr="001337F8">
        <w:rPr>
          <w:rFonts w:ascii="Arial" w:hAnsi="Arial" w:cs="Arial"/>
          <w:sz w:val="24"/>
          <w:szCs w:val="24"/>
        </w:rPr>
        <w:t xml:space="preserve">to extinguish such rights. </w:t>
      </w:r>
    </w:p>
    <w:p w14:paraId="3CBD7457" w14:textId="121D2BBD" w:rsidR="00861665" w:rsidRPr="001337F8" w:rsidRDefault="005F7FAD"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It is not known </w:t>
      </w:r>
      <w:r w:rsidR="007C0C62" w:rsidRPr="001337F8">
        <w:rPr>
          <w:rFonts w:ascii="Arial" w:hAnsi="Arial" w:cs="Arial"/>
          <w:sz w:val="24"/>
          <w:szCs w:val="24"/>
        </w:rPr>
        <w:t>what historic evidence was considered by the parish vestry when assenting to the</w:t>
      </w:r>
      <w:r w:rsidR="009F60FC" w:rsidRPr="001337F8">
        <w:rPr>
          <w:rFonts w:ascii="Arial" w:hAnsi="Arial" w:cs="Arial"/>
          <w:sz w:val="24"/>
          <w:szCs w:val="24"/>
        </w:rPr>
        <w:t xml:space="preserve"> </w:t>
      </w:r>
      <w:r w:rsidR="007C0C62" w:rsidRPr="001337F8">
        <w:rPr>
          <w:rFonts w:ascii="Arial" w:hAnsi="Arial" w:cs="Arial"/>
          <w:sz w:val="24"/>
          <w:szCs w:val="24"/>
        </w:rPr>
        <w:t>1890 Act</w:t>
      </w:r>
      <w:r w:rsidR="0028305C" w:rsidRPr="001337F8">
        <w:rPr>
          <w:rFonts w:ascii="Arial" w:hAnsi="Arial" w:cs="Arial"/>
          <w:sz w:val="24"/>
          <w:szCs w:val="24"/>
        </w:rPr>
        <w:t xml:space="preserve">, </w:t>
      </w:r>
      <w:r w:rsidR="00A07200" w:rsidRPr="001337F8">
        <w:rPr>
          <w:rFonts w:ascii="Arial" w:hAnsi="Arial" w:cs="Arial"/>
          <w:sz w:val="24"/>
          <w:szCs w:val="24"/>
        </w:rPr>
        <w:t>or</w:t>
      </w:r>
      <w:r w:rsidR="0028305C" w:rsidRPr="001337F8">
        <w:rPr>
          <w:rFonts w:ascii="Arial" w:hAnsi="Arial" w:cs="Arial"/>
          <w:sz w:val="24"/>
          <w:szCs w:val="24"/>
        </w:rPr>
        <w:t xml:space="preserve"> whether they recognised that there may have been established highways that (if the appellant’s construction of the Act is preferred) </w:t>
      </w:r>
      <w:r w:rsidR="00F64649" w:rsidRPr="001337F8">
        <w:rPr>
          <w:rFonts w:ascii="Arial" w:hAnsi="Arial" w:cs="Arial"/>
          <w:sz w:val="24"/>
          <w:szCs w:val="24"/>
        </w:rPr>
        <w:lastRenderedPageBreak/>
        <w:t>would be lost. It would not be surprising if they did</w:t>
      </w:r>
      <w:r w:rsidR="00A07200" w:rsidRPr="001337F8">
        <w:rPr>
          <w:rFonts w:ascii="Arial" w:hAnsi="Arial" w:cs="Arial"/>
          <w:sz w:val="24"/>
          <w:szCs w:val="24"/>
        </w:rPr>
        <w:t xml:space="preserve"> recognise that</w:t>
      </w:r>
      <w:r w:rsidR="00F64649" w:rsidRPr="001337F8">
        <w:rPr>
          <w:rFonts w:ascii="Arial" w:hAnsi="Arial" w:cs="Arial"/>
          <w:sz w:val="24"/>
          <w:szCs w:val="24"/>
        </w:rPr>
        <w:t>, because the purpose of the 1890 Act was evidently to create some new highways</w:t>
      </w:r>
      <w:r w:rsidR="004C5882" w:rsidRPr="001337F8">
        <w:rPr>
          <w:rFonts w:ascii="Arial" w:hAnsi="Arial" w:cs="Arial"/>
          <w:sz w:val="24"/>
          <w:szCs w:val="24"/>
        </w:rPr>
        <w:t>,</w:t>
      </w:r>
      <w:r w:rsidR="00D97850" w:rsidRPr="001337F8">
        <w:rPr>
          <w:rFonts w:ascii="Arial" w:hAnsi="Arial" w:cs="Arial"/>
          <w:sz w:val="24"/>
          <w:szCs w:val="24"/>
        </w:rPr>
        <w:t xml:space="preserve"> to dedicate</w:t>
      </w:r>
      <w:r w:rsidR="00C32F7B" w:rsidRPr="001337F8">
        <w:rPr>
          <w:rFonts w:ascii="Arial" w:hAnsi="Arial" w:cs="Arial"/>
          <w:sz w:val="24"/>
          <w:szCs w:val="24"/>
        </w:rPr>
        <w:t xml:space="preserve"> public open spaces and to relinquish any </w:t>
      </w:r>
      <w:r w:rsidR="004C5882" w:rsidRPr="001337F8">
        <w:rPr>
          <w:rFonts w:ascii="Arial" w:hAnsi="Arial" w:cs="Arial"/>
          <w:sz w:val="24"/>
          <w:szCs w:val="24"/>
        </w:rPr>
        <w:t xml:space="preserve">landowner </w:t>
      </w:r>
      <w:r w:rsidR="00C32F7B" w:rsidRPr="001337F8">
        <w:rPr>
          <w:rFonts w:ascii="Arial" w:hAnsi="Arial" w:cs="Arial"/>
          <w:sz w:val="24"/>
          <w:szCs w:val="24"/>
        </w:rPr>
        <w:t>rights to enclose</w:t>
      </w:r>
      <w:r w:rsidR="004C5882" w:rsidRPr="001337F8">
        <w:rPr>
          <w:rFonts w:ascii="Arial" w:hAnsi="Arial" w:cs="Arial"/>
          <w:sz w:val="24"/>
          <w:szCs w:val="24"/>
        </w:rPr>
        <w:t xml:space="preserve"> parts of the land. This was the </w:t>
      </w:r>
      <w:r w:rsidR="00F64649" w:rsidRPr="001337F8">
        <w:rPr>
          <w:rFonts w:ascii="Arial" w:hAnsi="Arial" w:cs="Arial"/>
          <w:i/>
          <w:iCs/>
          <w:sz w:val="24"/>
          <w:szCs w:val="24"/>
        </w:rPr>
        <w:t>quid pro quo</w:t>
      </w:r>
      <w:r w:rsidR="00F64649" w:rsidRPr="001337F8">
        <w:rPr>
          <w:rFonts w:ascii="Arial" w:hAnsi="Arial" w:cs="Arial"/>
          <w:sz w:val="24"/>
          <w:szCs w:val="24"/>
        </w:rPr>
        <w:t xml:space="preserve"> for resolving any disputes about other</w:t>
      </w:r>
      <w:r w:rsidR="00242A92" w:rsidRPr="001337F8">
        <w:rPr>
          <w:rFonts w:ascii="Arial" w:hAnsi="Arial" w:cs="Arial"/>
          <w:sz w:val="24"/>
          <w:szCs w:val="24"/>
        </w:rPr>
        <w:t xml:space="preserve"> part</w:t>
      </w:r>
      <w:r w:rsidR="00E87BAA" w:rsidRPr="001337F8">
        <w:rPr>
          <w:rFonts w:ascii="Arial" w:hAnsi="Arial" w:cs="Arial"/>
          <w:sz w:val="24"/>
          <w:szCs w:val="24"/>
        </w:rPr>
        <w:t>s</w:t>
      </w:r>
      <w:r w:rsidR="00242A92" w:rsidRPr="001337F8">
        <w:rPr>
          <w:rFonts w:ascii="Arial" w:hAnsi="Arial" w:cs="Arial"/>
          <w:sz w:val="24"/>
          <w:szCs w:val="24"/>
        </w:rPr>
        <w:t xml:space="preserve"> o</w:t>
      </w:r>
      <w:r w:rsidR="00584469" w:rsidRPr="001337F8">
        <w:rPr>
          <w:rFonts w:ascii="Arial" w:hAnsi="Arial" w:cs="Arial"/>
          <w:sz w:val="24"/>
          <w:szCs w:val="24"/>
        </w:rPr>
        <w:t xml:space="preserve">r even to extinguish </w:t>
      </w:r>
      <w:r w:rsidR="00242A92" w:rsidRPr="001337F8">
        <w:rPr>
          <w:rFonts w:ascii="Arial" w:hAnsi="Arial" w:cs="Arial"/>
          <w:sz w:val="24"/>
          <w:szCs w:val="24"/>
        </w:rPr>
        <w:t>any existing public rights.</w:t>
      </w:r>
      <w:r w:rsidR="00F316AA" w:rsidRPr="001337F8">
        <w:rPr>
          <w:rFonts w:ascii="Arial" w:hAnsi="Arial" w:cs="Arial"/>
          <w:sz w:val="24"/>
          <w:szCs w:val="24"/>
        </w:rPr>
        <w:t xml:space="preserve"> The point of the 1890 Act </w:t>
      </w:r>
      <w:r w:rsidR="00584469" w:rsidRPr="001337F8">
        <w:rPr>
          <w:rFonts w:ascii="Arial" w:hAnsi="Arial" w:cs="Arial"/>
          <w:sz w:val="24"/>
          <w:szCs w:val="24"/>
        </w:rPr>
        <w:t>appears to have been to</w:t>
      </w:r>
      <w:r w:rsidR="00F316AA" w:rsidRPr="001337F8">
        <w:rPr>
          <w:rFonts w:ascii="Arial" w:hAnsi="Arial" w:cs="Arial"/>
          <w:sz w:val="24"/>
          <w:szCs w:val="24"/>
        </w:rPr>
        <w:t xml:space="preserve"> </w:t>
      </w:r>
      <w:r w:rsidR="00013B19" w:rsidRPr="001337F8">
        <w:rPr>
          <w:rFonts w:ascii="Arial" w:hAnsi="Arial" w:cs="Arial"/>
          <w:sz w:val="24"/>
          <w:szCs w:val="24"/>
        </w:rPr>
        <w:t xml:space="preserve">establish a definitive position and </w:t>
      </w:r>
      <w:r w:rsidR="00F316AA" w:rsidRPr="001337F8">
        <w:rPr>
          <w:rFonts w:ascii="Arial" w:hAnsi="Arial" w:cs="Arial"/>
          <w:sz w:val="24"/>
          <w:szCs w:val="24"/>
        </w:rPr>
        <w:t xml:space="preserve">create </w:t>
      </w:r>
      <w:r w:rsidR="00013B19" w:rsidRPr="001337F8">
        <w:rPr>
          <w:rFonts w:ascii="Arial" w:hAnsi="Arial" w:cs="Arial"/>
          <w:sz w:val="24"/>
          <w:szCs w:val="24"/>
        </w:rPr>
        <w:t xml:space="preserve">a </w:t>
      </w:r>
      <w:r w:rsidR="00F316AA" w:rsidRPr="001337F8">
        <w:rPr>
          <w:rFonts w:ascii="Arial" w:hAnsi="Arial" w:cs="Arial"/>
          <w:sz w:val="24"/>
          <w:szCs w:val="24"/>
        </w:rPr>
        <w:t>fresh slate</w:t>
      </w:r>
      <w:r w:rsidR="00013B19" w:rsidRPr="001337F8">
        <w:rPr>
          <w:rFonts w:ascii="Arial" w:hAnsi="Arial" w:cs="Arial"/>
          <w:sz w:val="24"/>
          <w:szCs w:val="24"/>
        </w:rPr>
        <w:t xml:space="preserve">. </w:t>
      </w:r>
      <w:r w:rsidR="00FF1FDF" w:rsidRPr="001337F8">
        <w:rPr>
          <w:rFonts w:ascii="Arial" w:hAnsi="Arial" w:cs="Arial"/>
          <w:sz w:val="24"/>
          <w:szCs w:val="24"/>
        </w:rPr>
        <w:t xml:space="preserve"> </w:t>
      </w:r>
      <w:r w:rsidR="00273BE1" w:rsidRPr="001337F8">
        <w:rPr>
          <w:rFonts w:ascii="Arial" w:hAnsi="Arial" w:cs="Arial"/>
          <w:sz w:val="24"/>
          <w:szCs w:val="24"/>
        </w:rPr>
        <w:t xml:space="preserve"> </w:t>
      </w:r>
    </w:p>
    <w:p w14:paraId="6E65FCF4" w14:textId="6785FE2F" w:rsidR="00584469" w:rsidRPr="001337F8" w:rsidRDefault="00584469"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The Council suggest that in order to have extinguished any highways, the 1890 Act needs expressly </w:t>
      </w:r>
      <w:r w:rsidR="00633920" w:rsidRPr="001337F8">
        <w:rPr>
          <w:rFonts w:ascii="Arial" w:hAnsi="Arial" w:cs="Arial"/>
          <w:sz w:val="24"/>
          <w:szCs w:val="24"/>
        </w:rPr>
        <w:t xml:space="preserve">to </w:t>
      </w:r>
      <w:r w:rsidRPr="001337F8">
        <w:rPr>
          <w:rFonts w:ascii="Arial" w:hAnsi="Arial" w:cs="Arial"/>
          <w:sz w:val="24"/>
          <w:szCs w:val="24"/>
        </w:rPr>
        <w:t xml:space="preserve">have said so. I do not think </w:t>
      </w:r>
      <w:r w:rsidR="00320BAF" w:rsidRPr="001337F8">
        <w:rPr>
          <w:rFonts w:ascii="Arial" w:hAnsi="Arial" w:cs="Arial"/>
          <w:sz w:val="24"/>
          <w:szCs w:val="24"/>
        </w:rPr>
        <w:t xml:space="preserve">that any greater clarity would have been achieved by saying that any other highways had been extinguished, rather than </w:t>
      </w:r>
      <w:r w:rsidR="00E44A01" w:rsidRPr="001337F8">
        <w:rPr>
          <w:rFonts w:ascii="Arial" w:hAnsi="Arial" w:cs="Arial"/>
          <w:sz w:val="24"/>
          <w:szCs w:val="24"/>
        </w:rPr>
        <w:t>by declaring and enacting</w:t>
      </w:r>
      <w:r w:rsidR="00DD108B" w:rsidRPr="001337F8">
        <w:rPr>
          <w:rFonts w:ascii="Arial" w:hAnsi="Arial" w:cs="Arial"/>
          <w:sz w:val="24"/>
          <w:szCs w:val="24"/>
        </w:rPr>
        <w:t xml:space="preserve"> </w:t>
      </w:r>
      <w:r w:rsidR="00320BAF" w:rsidRPr="001337F8">
        <w:rPr>
          <w:rFonts w:ascii="Arial" w:hAnsi="Arial" w:cs="Arial"/>
          <w:sz w:val="24"/>
          <w:szCs w:val="24"/>
        </w:rPr>
        <w:t>(as the Act does)</w:t>
      </w:r>
      <w:r w:rsidR="00E44A01" w:rsidRPr="001337F8">
        <w:rPr>
          <w:rFonts w:ascii="Arial" w:hAnsi="Arial" w:cs="Arial"/>
          <w:sz w:val="24"/>
          <w:szCs w:val="24"/>
        </w:rPr>
        <w:t xml:space="preserve"> that</w:t>
      </w:r>
      <w:r w:rsidR="00320BAF" w:rsidRPr="001337F8">
        <w:rPr>
          <w:rFonts w:ascii="Arial" w:hAnsi="Arial" w:cs="Arial"/>
          <w:sz w:val="24"/>
          <w:szCs w:val="24"/>
        </w:rPr>
        <w:t xml:space="preserve"> </w:t>
      </w:r>
      <w:r w:rsidR="00000BDD" w:rsidRPr="001337F8">
        <w:rPr>
          <w:rFonts w:ascii="Arial" w:hAnsi="Arial" w:cs="Arial"/>
          <w:sz w:val="24"/>
          <w:szCs w:val="24"/>
        </w:rPr>
        <w:t>‘no public rights of way exist’</w:t>
      </w:r>
      <w:r w:rsidR="00E11757" w:rsidRPr="001337F8">
        <w:rPr>
          <w:rFonts w:ascii="Arial" w:hAnsi="Arial" w:cs="Arial"/>
          <w:sz w:val="24"/>
          <w:szCs w:val="24"/>
        </w:rPr>
        <w:t xml:space="preserve">. The effect is the same. </w:t>
      </w:r>
      <w:r w:rsidR="00AD7659" w:rsidRPr="001337F8">
        <w:rPr>
          <w:rFonts w:ascii="Arial" w:hAnsi="Arial" w:cs="Arial"/>
          <w:sz w:val="24"/>
          <w:szCs w:val="24"/>
        </w:rPr>
        <w:t xml:space="preserve">It would be a surprising result if legislation that had as its object the </w:t>
      </w:r>
      <w:r w:rsidR="007E798B" w:rsidRPr="001337F8">
        <w:rPr>
          <w:rFonts w:ascii="Arial" w:hAnsi="Arial" w:cs="Arial"/>
          <w:sz w:val="24"/>
          <w:szCs w:val="24"/>
        </w:rPr>
        <w:t>determination of what</w:t>
      </w:r>
      <w:r w:rsidR="00AD7659" w:rsidRPr="001337F8">
        <w:rPr>
          <w:rFonts w:ascii="Arial" w:hAnsi="Arial" w:cs="Arial"/>
          <w:sz w:val="24"/>
          <w:szCs w:val="24"/>
        </w:rPr>
        <w:t xml:space="preserve"> rights of way existed then failed to achieve that </w:t>
      </w:r>
      <w:r w:rsidR="00F55613" w:rsidRPr="001337F8">
        <w:rPr>
          <w:rFonts w:ascii="Arial" w:hAnsi="Arial" w:cs="Arial"/>
          <w:sz w:val="24"/>
          <w:szCs w:val="24"/>
        </w:rPr>
        <w:t>result</w:t>
      </w:r>
      <w:r w:rsidR="00D53DE4" w:rsidRPr="001337F8">
        <w:rPr>
          <w:rFonts w:ascii="Arial" w:hAnsi="Arial" w:cs="Arial"/>
          <w:sz w:val="24"/>
          <w:szCs w:val="24"/>
        </w:rPr>
        <w:t>, even if that did have the effect of extinguishing</w:t>
      </w:r>
      <w:r w:rsidR="00D26BA8" w:rsidRPr="001337F8">
        <w:rPr>
          <w:rFonts w:ascii="Arial" w:hAnsi="Arial" w:cs="Arial"/>
          <w:sz w:val="24"/>
          <w:szCs w:val="24"/>
        </w:rPr>
        <w:t xml:space="preserve"> undoubted rights of way</w:t>
      </w:r>
      <w:r w:rsidR="00F55613" w:rsidRPr="001337F8">
        <w:rPr>
          <w:rFonts w:ascii="Arial" w:hAnsi="Arial" w:cs="Arial"/>
          <w:sz w:val="24"/>
          <w:szCs w:val="24"/>
        </w:rPr>
        <w:t xml:space="preserve">. </w:t>
      </w:r>
    </w:p>
    <w:p w14:paraId="06ABB1B4" w14:textId="77777777" w:rsidR="007818C3" w:rsidRPr="001337F8" w:rsidRDefault="00CD5724"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My decision in this case does not ultimately turn on this issue</w:t>
      </w:r>
      <w:r w:rsidR="00C4084E" w:rsidRPr="001337F8">
        <w:rPr>
          <w:rFonts w:ascii="Arial" w:hAnsi="Arial" w:cs="Arial"/>
          <w:sz w:val="24"/>
          <w:szCs w:val="24"/>
        </w:rPr>
        <w:t xml:space="preserve">, and it may be that in </w:t>
      </w:r>
      <w:r w:rsidR="00165286" w:rsidRPr="001337F8">
        <w:rPr>
          <w:rFonts w:ascii="Arial" w:hAnsi="Arial" w:cs="Arial"/>
          <w:sz w:val="24"/>
          <w:szCs w:val="24"/>
        </w:rPr>
        <w:t>another case a more detailed examination of the origins of the 1890 Act</w:t>
      </w:r>
      <w:r w:rsidR="001D0323" w:rsidRPr="001337F8">
        <w:rPr>
          <w:rFonts w:ascii="Arial" w:hAnsi="Arial" w:cs="Arial"/>
          <w:sz w:val="24"/>
          <w:szCs w:val="24"/>
        </w:rPr>
        <w:t xml:space="preserve"> is required. </w:t>
      </w:r>
      <w:r w:rsidR="000F13EB" w:rsidRPr="001337F8">
        <w:rPr>
          <w:rFonts w:ascii="Arial" w:hAnsi="Arial" w:cs="Arial"/>
          <w:sz w:val="24"/>
          <w:szCs w:val="24"/>
        </w:rPr>
        <w:t>For present purposes I am content to adopt the appellant’s preferred interpretation of the 1890 Act as it applies to the application route</w:t>
      </w:r>
      <w:r w:rsidR="001828ED" w:rsidRPr="001337F8">
        <w:rPr>
          <w:rFonts w:ascii="Arial" w:hAnsi="Arial" w:cs="Arial"/>
          <w:sz w:val="24"/>
          <w:szCs w:val="24"/>
        </w:rPr>
        <w:t xml:space="preserve">, which is to say that as of </w:t>
      </w:r>
      <w:r w:rsidR="00EA5C4B" w:rsidRPr="001337F8">
        <w:rPr>
          <w:rFonts w:ascii="Arial" w:hAnsi="Arial" w:cs="Arial"/>
          <w:sz w:val="24"/>
          <w:szCs w:val="24"/>
        </w:rPr>
        <w:t>4 July 1890</w:t>
      </w:r>
      <w:r w:rsidR="007818C3" w:rsidRPr="001337F8">
        <w:rPr>
          <w:rFonts w:ascii="Arial" w:hAnsi="Arial" w:cs="Arial"/>
          <w:sz w:val="24"/>
          <w:szCs w:val="24"/>
        </w:rPr>
        <w:t xml:space="preserve"> no public right of way existed over it</w:t>
      </w:r>
      <w:r w:rsidR="000F13EB" w:rsidRPr="001337F8">
        <w:rPr>
          <w:rFonts w:ascii="Arial" w:hAnsi="Arial" w:cs="Arial"/>
          <w:sz w:val="24"/>
          <w:szCs w:val="24"/>
        </w:rPr>
        <w:t>.</w:t>
      </w:r>
    </w:p>
    <w:p w14:paraId="6B9D142B" w14:textId="3D4D9E3C" w:rsidR="007818C3" w:rsidRPr="001337F8" w:rsidRDefault="00DE0EE6" w:rsidP="003D08FA">
      <w:pPr>
        <w:pStyle w:val="Style1"/>
        <w:tabs>
          <w:tab w:val="clear" w:pos="360"/>
        </w:tabs>
        <w:rPr>
          <w:rFonts w:ascii="Arial" w:hAnsi="Arial" w:cs="Arial"/>
          <w:i/>
          <w:iCs/>
          <w:sz w:val="24"/>
          <w:szCs w:val="24"/>
        </w:rPr>
      </w:pPr>
      <w:r w:rsidRPr="001337F8">
        <w:rPr>
          <w:rFonts w:ascii="Arial" w:hAnsi="Arial" w:cs="Arial"/>
          <w:i/>
          <w:iCs/>
          <w:sz w:val="24"/>
          <w:szCs w:val="24"/>
        </w:rPr>
        <w:t>Post-1890 use of the route</w:t>
      </w:r>
    </w:p>
    <w:p w14:paraId="103357BB" w14:textId="77777777" w:rsidR="00654EE3" w:rsidRPr="001337F8" w:rsidRDefault="00407E6D"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Ordnance Survey </w:t>
      </w:r>
      <w:r w:rsidR="00A1571C" w:rsidRPr="001337F8">
        <w:rPr>
          <w:rFonts w:ascii="Arial" w:hAnsi="Arial" w:cs="Arial"/>
          <w:sz w:val="24"/>
          <w:szCs w:val="24"/>
        </w:rPr>
        <w:t xml:space="preserve">(‘OS’) </w:t>
      </w:r>
      <w:r w:rsidRPr="001337F8">
        <w:rPr>
          <w:rFonts w:ascii="Arial" w:hAnsi="Arial" w:cs="Arial"/>
          <w:sz w:val="24"/>
          <w:szCs w:val="24"/>
        </w:rPr>
        <w:t>maps of the area</w:t>
      </w:r>
      <w:r w:rsidR="00556BA2" w:rsidRPr="001337F8">
        <w:rPr>
          <w:rFonts w:ascii="Arial" w:hAnsi="Arial" w:cs="Arial"/>
          <w:sz w:val="24"/>
          <w:szCs w:val="24"/>
        </w:rPr>
        <w:t xml:space="preserve"> </w:t>
      </w:r>
      <w:r w:rsidR="00AD0B7A" w:rsidRPr="001337F8">
        <w:rPr>
          <w:rFonts w:ascii="Arial" w:hAnsi="Arial" w:cs="Arial"/>
          <w:sz w:val="24"/>
          <w:szCs w:val="24"/>
        </w:rPr>
        <w:t xml:space="preserve">suggest some resumption of the route by the early C20th, with </w:t>
      </w:r>
      <w:r w:rsidR="00A1571C" w:rsidRPr="001337F8">
        <w:rPr>
          <w:rFonts w:ascii="Arial" w:hAnsi="Arial" w:cs="Arial"/>
          <w:sz w:val="24"/>
          <w:szCs w:val="24"/>
        </w:rPr>
        <w:t>double-pecked lines depicted on the northern part of it on the 1924 OS map</w:t>
      </w:r>
      <w:r w:rsidR="00C702C4" w:rsidRPr="001337F8">
        <w:rPr>
          <w:rFonts w:ascii="Arial" w:hAnsi="Arial" w:cs="Arial"/>
          <w:sz w:val="24"/>
          <w:szCs w:val="24"/>
        </w:rPr>
        <w:t xml:space="preserve">. </w:t>
      </w:r>
      <w:r w:rsidR="001F79B6" w:rsidRPr="001337F8">
        <w:rPr>
          <w:rFonts w:ascii="Arial" w:hAnsi="Arial" w:cs="Arial"/>
          <w:sz w:val="24"/>
          <w:szCs w:val="24"/>
        </w:rPr>
        <w:t xml:space="preserve">It is not identified as a separate feature </w:t>
      </w:r>
      <w:r w:rsidR="007A4770" w:rsidRPr="001337F8">
        <w:rPr>
          <w:rFonts w:ascii="Arial" w:hAnsi="Arial" w:cs="Arial"/>
          <w:sz w:val="24"/>
          <w:szCs w:val="24"/>
        </w:rPr>
        <w:t xml:space="preserve">in the 1910 Finance Act documents. </w:t>
      </w:r>
      <w:r w:rsidR="00CA2EEE" w:rsidRPr="001337F8">
        <w:rPr>
          <w:rFonts w:ascii="Arial" w:hAnsi="Arial" w:cs="Arial"/>
          <w:sz w:val="24"/>
          <w:szCs w:val="24"/>
        </w:rPr>
        <w:t>A photograph of ‘Ermine Street’ taken in 1930 shows a clear route, although it is not clear exactly where this</w:t>
      </w:r>
      <w:r w:rsidR="00C72516" w:rsidRPr="001337F8">
        <w:rPr>
          <w:rFonts w:ascii="Arial" w:hAnsi="Arial" w:cs="Arial"/>
          <w:sz w:val="24"/>
          <w:szCs w:val="24"/>
        </w:rPr>
        <w:t xml:space="preserve"> was taken. </w:t>
      </w:r>
      <w:r w:rsidR="00354063" w:rsidRPr="001337F8">
        <w:rPr>
          <w:rFonts w:ascii="Arial" w:hAnsi="Arial" w:cs="Arial"/>
          <w:sz w:val="24"/>
          <w:szCs w:val="24"/>
        </w:rPr>
        <w:t>The Ministry of Food far</w:t>
      </w:r>
      <w:r w:rsidR="007136F3" w:rsidRPr="001337F8">
        <w:rPr>
          <w:rFonts w:ascii="Arial" w:hAnsi="Arial" w:cs="Arial"/>
          <w:sz w:val="24"/>
          <w:szCs w:val="24"/>
        </w:rPr>
        <w:t xml:space="preserve">m </w:t>
      </w:r>
      <w:r w:rsidR="00354063" w:rsidRPr="001337F8">
        <w:rPr>
          <w:rFonts w:ascii="Arial" w:hAnsi="Arial" w:cs="Arial"/>
          <w:sz w:val="24"/>
          <w:szCs w:val="24"/>
        </w:rPr>
        <w:t>survey</w:t>
      </w:r>
      <w:r w:rsidR="007136F3" w:rsidRPr="001337F8">
        <w:rPr>
          <w:rFonts w:ascii="Arial" w:hAnsi="Arial" w:cs="Arial"/>
          <w:sz w:val="24"/>
          <w:szCs w:val="24"/>
        </w:rPr>
        <w:t xml:space="preserve"> offers no particular assistance. </w:t>
      </w:r>
    </w:p>
    <w:p w14:paraId="3D540C75" w14:textId="132A27E0" w:rsidR="004C3F81" w:rsidRPr="001337F8" w:rsidRDefault="00654EE3"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Sales particulars of the estate in 1946 indicate the application route as part of the land for sale, in distinction to </w:t>
      </w:r>
      <w:r w:rsidR="00A36DEE" w:rsidRPr="001337F8">
        <w:rPr>
          <w:rFonts w:ascii="Arial" w:hAnsi="Arial" w:cs="Arial"/>
          <w:sz w:val="24"/>
          <w:szCs w:val="24"/>
        </w:rPr>
        <w:t>carriageway routes which were excluded. This is unsurprising</w:t>
      </w:r>
      <w:r w:rsidR="00A07200" w:rsidRPr="001337F8">
        <w:rPr>
          <w:rFonts w:ascii="Arial" w:hAnsi="Arial" w:cs="Arial"/>
          <w:sz w:val="24"/>
          <w:szCs w:val="24"/>
        </w:rPr>
        <w:t xml:space="preserve"> </w:t>
      </w:r>
      <w:r w:rsidR="00A35EDF" w:rsidRPr="001337F8">
        <w:rPr>
          <w:rFonts w:ascii="Arial" w:hAnsi="Arial" w:cs="Arial"/>
          <w:sz w:val="24"/>
          <w:szCs w:val="24"/>
        </w:rPr>
        <w:t xml:space="preserve">because </w:t>
      </w:r>
      <w:r w:rsidR="00F40EB3" w:rsidRPr="001337F8">
        <w:rPr>
          <w:rFonts w:ascii="Arial" w:hAnsi="Arial" w:cs="Arial"/>
          <w:sz w:val="24"/>
          <w:szCs w:val="24"/>
        </w:rPr>
        <w:t xml:space="preserve">although </w:t>
      </w:r>
      <w:r w:rsidR="001A1864" w:rsidRPr="001337F8">
        <w:rPr>
          <w:rFonts w:ascii="Arial" w:hAnsi="Arial" w:cs="Arial"/>
          <w:sz w:val="24"/>
          <w:szCs w:val="24"/>
        </w:rPr>
        <w:t>relatively extensive rights are recorded against the route, as a Restricted Byway, they are not of the same ilk as carriageways</w:t>
      </w:r>
      <w:r w:rsidR="001417D8" w:rsidRPr="001337F8">
        <w:rPr>
          <w:rFonts w:ascii="Arial" w:hAnsi="Arial" w:cs="Arial"/>
          <w:sz w:val="24"/>
          <w:szCs w:val="24"/>
        </w:rPr>
        <w:t xml:space="preserve"> </w:t>
      </w:r>
      <w:r w:rsidR="00483DFC" w:rsidRPr="001337F8">
        <w:rPr>
          <w:rFonts w:ascii="Arial" w:hAnsi="Arial" w:cs="Arial"/>
          <w:sz w:val="24"/>
          <w:szCs w:val="24"/>
        </w:rPr>
        <w:t>maintainable at the public’s expense.</w:t>
      </w:r>
      <w:r w:rsidR="00A36DEE" w:rsidRPr="001337F8">
        <w:rPr>
          <w:rFonts w:ascii="Arial" w:hAnsi="Arial" w:cs="Arial"/>
          <w:sz w:val="24"/>
          <w:szCs w:val="24"/>
        </w:rPr>
        <w:t xml:space="preserve"> </w:t>
      </w:r>
      <w:r w:rsidR="00A35EDF" w:rsidRPr="001337F8">
        <w:rPr>
          <w:rFonts w:ascii="Arial" w:hAnsi="Arial" w:cs="Arial"/>
          <w:sz w:val="24"/>
          <w:szCs w:val="24"/>
        </w:rPr>
        <w:t xml:space="preserve">Other routes now shown on the Definitive Map are not </w:t>
      </w:r>
      <w:r w:rsidR="00484000" w:rsidRPr="001337F8">
        <w:rPr>
          <w:rFonts w:ascii="Arial" w:hAnsi="Arial" w:cs="Arial"/>
          <w:sz w:val="24"/>
          <w:szCs w:val="24"/>
        </w:rPr>
        <w:t>depicted on the sales particulars of 1946.</w:t>
      </w:r>
    </w:p>
    <w:p w14:paraId="4F32DD78" w14:textId="549EDFD6" w:rsidR="000D7756" w:rsidRPr="001337F8" w:rsidRDefault="004C3F81"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Correspondence from the </w:t>
      </w:r>
      <w:r w:rsidR="006038D9" w:rsidRPr="001337F8">
        <w:rPr>
          <w:rFonts w:ascii="Arial" w:hAnsi="Arial" w:cs="Arial"/>
          <w:sz w:val="24"/>
          <w:szCs w:val="24"/>
        </w:rPr>
        <w:t>East Hertfordshire Footpaths Society has produced some historic walking guides</w:t>
      </w:r>
      <w:r w:rsidR="00517456" w:rsidRPr="001337F8">
        <w:rPr>
          <w:rFonts w:ascii="Arial" w:hAnsi="Arial" w:cs="Arial"/>
          <w:sz w:val="24"/>
          <w:szCs w:val="24"/>
        </w:rPr>
        <w:t xml:space="preserve"> from 1911 and from 1948</w:t>
      </w:r>
      <w:r w:rsidR="00354063" w:rsidRPr="001337F8">
        <w:rPr>
          <w:rFonts w:ascii="Arial" w:hAnsi="Arial" w:cs="Arial"/>
          <w:sz w:val="24"/>
          <w:szCs w:val="24"/>
        </w:rPr>
        <w:t xml:space="preserve"> </w:t>
      </w:r>
      <w:r w:rsidR="000A7DFD" w:rsidRPr="001337F8">
        <w:rPr>
          <w:rFonts w:ascii="Arial" w:hAnsi="Arial" w:cs="Arial"/>
          <w:sz w:val="24"/>
          <w:szCs w:val="24"/>
        </w:rPr>
        <w:t>referring to use of the route.</w:t>
      </w:r>
      <w:r w:rsidR="00B76A3B" w:rsidRPr="001337F8">
        <w:rPr>
          <w:rFonts w:ascii="Arial" w:hAnsi="Arial" w:cs="Arial"/>
          <w:sz w:val="24"/>
          <w:szCs w:val="24"/>
        </w:rPr>
        <w:t xml:space="preserve"> Subsequently</w:t>
      </w:r>
      <w:r w:rsidR="00AF6ED3" w:rsidRPr="001337F8">
        <w:rPr>
          <w:rFonts w:ascii="Arial" w:hAnsi="Arial" w:cs="Arial"/>
          <w:sz w:val="24"/>
          <w:szCs w:val="24"/>
        </w:rPr>
        <w:t xml:space="preserve">, </w:t>
      </w:r>
      <w:r w:rsidR="00372A73" w:rsidRPr="001337F8">
        <w:rPr>
          <w:rFonts w:ascii="Arial" w:hAnsi="Arial" w:cs="Arial"/>
          <w:sz w:val="24"/>
          <w:szCs w:val="24"/>
        </w:rPr>
        <w:t>in the early 1950s</w:t>
      </w:r>
      <w:r w:rsidR="00AF6ED3" w:rsidRPr="001337F8">
        <w:rPr>
          <w:rFonts w:ascii="Arial" w:hAnsi="Arial" w:cs="Arial"/>
          <w:sz w:val="24"/>
          <w:szCs w:val="24"/>
        </w:rPr>
        <w:t>,</w:t>
      </w:r>
      <w:r w:rsidR="00B76A3B" w:rsidRPr="001337F8">
        <w:rPr>
          <w:rFonts w:ascii="Arial" w:hAnsi="Arial" w:cs="Arial"/>
          <w:sz w:val="24"/>
          <w:szCs w:val="24"/>
        </w:rPr>
        <w:t xml:space="preserve"> the route was recorded on the DMS as a Restricted Byway, apparently without adverse comment</w:t>
      </w:r>
      <w:r w:rsidR="00AF6ED3" w:rsidRPr="001337F8">
        <w:rPr>
          <w:rFonts w:ascii="Arial" w:hAnsi="Arial" w:cs="Arial"/>
          <w:sz w:val="24"/>
          <w:szCs w:val="24"/>
        </w:rPr>
        <w:t>.</w:t>
      </w:r>
    </w:p>
    <w:p w14:paraId="28B991FB" w14:textId="02EFC37B" w:rsidR="000D7756" w:rsidRPr="001337F8" w:rsidRDefault="000D7756" w:rsidP="003D08FA">
      <w:pPr>
        <w:pStyle w:val="Style1"/>
        <w:tabs>
          <w:tab w:val="clear" w:pos="360"/>
        </w:tabs>
        <w:rPr>
          <w:rFonts w:ascii="Arial" w:hAnsi="Arial" w:cs="Arial"/>
          <w:i/>
          <w:iCs/>
          <w:sz w:val="24"/>
          <w:szCs w:val="24"/>
        </w:rPr>
      </w:pPr>
      <w:r w:rsidRPr="001337F8">
        <w:rPr>
          <w:rFonts w:ascii="Arial" w:hAnsi="Arial" w:cs="Arial"/>
          <w:i/>
          <w:iCs/>
          <w:sz w:val="24"/>
          <w:szCs w:val="24"/>
        </w:rPr>
        <w:t>Effects of the settlement trusts</w:t>
      </w:r>
    </w:p>
    <w:p w14:paraId="64F9E297" w14:textId="1285BDE3" w:rsidR="00CD5724" w:rsidRPr="001337F8" w:rsidRDefault="000D762A"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Sale Conditions 9 and 10 of the 1946 </w:t>
      </w:r>
      <w:r w:rsidR="00354BEE" w:rsidRPr="001337F8">
        <w:rPr>
          <w:rFonts w:ascii="Arial" w:hAnsi="Arial" w:cs="Arial"/>
          <w:sz w:val="24"/>
          <w:szCs w:val="24"/>
        </w:rPr>
        <w:t>sales p</w:t>
      </w:r>
      <w:r w:rsidRPr="001337F8">
        <w:rPr>
          <w:rFonts w:ascii="Arial" w:hAnsi="Arial" w:cs="Arial"/>
          <w:sz w:val="24"/>
          <w:szCs w:val="24"/>
        </w:rPr>
        <w:t xml:space="preserve">articulars are clear that the land </w:t>
      </w:r>
      <w:r w:rsidR="004B2F86" w:rsidRPr="001337F8">
        <w:rPr>
          <w:rFonts w:ascii="Arial" w:hAnsi="Arial" w:cs="Arial"/>
          <w:sz w:val="24"/>
          <w:szCs w:val="24"/>
        </w:rPr>
        <w:t xml:space="preserve">(including Lot 10, concerning the application route) was then held by the </w:t>
      </w:r>
      <w:r w:rsidR="00247B78" w:rsidRPr="001337F8">
        <w:rPr>
          <w:rFonts w:ascii="Arial" w:hAnsi="Arial" w:cs="Arial"/>
          <w:sz w:val="24"/>
          <w:szCs w:val="24"/>
        </w:rPr>
        <w:t xml:space="preserve">probate </w:t>
      </w:r>
      <w:r w:rsidR="004B2F86" w:rsidRPr="001337F8">
        <w:rPr>
          <w:rFonts w:ascii="Arial" w:hAnsi="Arial" w:cs="Arial"/>
          <w:sz w:val="24"/>
          <w:szCs w:val="24"/>
        </w:rPr>
        <w:t xml:space="preserve">Trustees </w:t>
      </w:r>
      <w:r w:rsidR="005F6BB3" w:rsidRPr="001337F8">
        <w:rPr>
          <w:rFonts w:ascii="Arial" w:hAnsi="Arial" w:cs="Arial"/>
          <w:sz w:val="24"/>
          <w:szCs w:val="24"/>
        </w:rPr>
        <w:t xml:space="preserve">and sold under statutory powers conferred by the Settled Land Act of 1925. The occupier of the route at the time of the 1910 Finance Act documents was noted to be a tenant for life. There is some discussion by the parties to this appeal whether or not a tenant for life would have had capacity to have </w:t>
      </w:r>
      <w:r w:rsidR="005F6BB3" w:rsidRPr="001337F8">
        <w:rPr>
          <w:rFonts w:ascii="Arial" w:hAnsi="Arial" w:cs="Arial"/>
          <w:sz w:val="24"/>
          <w:szCs w:val="24"/>
        </w:rPr>
        <w:lastRenderedPageBreak/>
        <w:t xml:space="preserve">dedicated any public right of way, contrary to the general rule that </w:t>
      </w:r>
      <w:r w:rsidR="00530FF7" w:rsidRPr="001337F8">
        <w:rPr>
          <w:rFonts w:ascii="Arial" w:hAnsi="Arial" w:cs="Arial"/>
          <w:sz w:val="24"/>
          <w:szCs w:val="24"/>
        </w:rPr>
        <w:t>the beneficiaries of settlement trusts would have no such capacity.</w:t>
      </w:r>
    </w:p>
    <w:p w14:paraId="39E2DA5E" w14:textId="39FB251B" w:rsidR="001D5ED6" w:rsidRPr="001337F8" w:rsidRDefault="00051827"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I have not had sight of the settlement </w:t>
      </w:r>
      <w:r w:rsidR="00A86337" w:rsidRPr="001337F8">
        <w:rPr>
          <w:rFonts w:ascii="Arial" w:hAnsi="Arial" w:cs="Arial"/>
          <w:sz w:val="24"/>
          <w:szCs w:val="24"/>
        </w:rPr>
        <w:t xml:space="preserve">deeds but it appears a fair inference from the recitals to the 1890 Act that the trust instruments are unlikely to have conferred any </w:t>
      </w:r>
      <w:r w:rsidR="00354BEE" w:rsidRPr="001337F8">
        <w:rPr>
          <w:rFonts w:ascii="Arial" w:hAnsi="Arial" w:cs="Arial"/>
          <w:sz w:val="24"/>
          <w:szCs w:val="24"/>
        </w:rPr>
        <w:t xml:space="preserve">express </w:t>
      </w:r>
      <w:r w:rsidR="00A86337" w:rsidRPr="001337F8">
        <w:rPr>
          <w:rFonts w:ascii="Arial" w:hAnsi="Arial" w:cs="Arial"/>
          <w:sz w:val="24"/>
          <w:szCs w:val="24"/>
        </w:rPr>
        <w:t>power on the beneficiaries to create rights of way. I accept the appellant’s point that the 1890 Act is itself strong evidence of a lack of intention to dedicate the route as a right of way at that point, but it is evidence only of the trustees’ intentions</w:t>
      </w:r>
      <w:r w:rsidR="00B85FF0" w:rsidRPr="001337F8">
        <w:rPr>
          <w:rFonts w:ascii="Arial" w:hAnsi="Arial" w:cs="Arial"/>
          <w:sz w:val="24"/>
          <w:szCs w:val="24"/>
        </w:rPr>
        <w:t xml:space="preserve"> and not </w:t>
      </w:r>
      <w:r w:rsidR="00104C68" w:rsidRPr="001337F8">
        <w:rPr>
          <w:rFonts w:ascii="Arial" w:hAnsi="Arial" w:cs="Arial"/>
          <w:sz w:val="24"/>
          <w:szCs w:val="24"/>
        </w:rPr>
        <w:t xml:space="preserve">those </w:t>
      </w:r>
      <w:r w:rsidR="00B85FF0" w:rsidRPr="001337F8">
        <w:rPr>
          <w:rFonts w:ascii="Arial" w:hAnsi="Arial" w:cs="Arial"/>
          <w:sz w:val="24"/>
          <w:szCs w:val="24"/>
        </w:rPr>
        <w:t>of the tenant.</w:t>
      </w:r>
      <w:r w:rsidR="00F34BDA" w:rsidRPr="001337F8">
        <w:rPr>
          <w:rFonts w:ascii="Arial" w:hAnsi="Arial" w:cs="Arial"/>
          <w:sz w:val="24"/>
          <w:szCs w:val="24"/>
        </w:rPr>
        <w:t xml:space="preserve"> The tenant had evidently changed by the 1910 Finance Act documents</w:t>
      </w:r>
      <w:r w:rsidR="00104C68" w:rsidRPr="001337F8">
        <w:rPr>
          <w:rFonts w:ascii="Arial" w:hAnsi="Arial" w:cs="Arial"/>
          <w:sz w:val="24"/>
          <w:szCs w:val="24"/>
        </w:rPr>
        <w:t xml:space="preserve">, being a person not named in the recitals to the 1890 Act. </w:t>
      </w:r>
      <w:r w:rsidR="00B85FF0" w:rsidRPr="001337F8">
        <w:rPr>
          <w:rFonts w:ascii="Arial" w:hAnsi="Arial" w:cs="Arial"/>
          <w:sz w:val="24"/>
          <w:szCs w:val="24"/>
        </w:rPr>
        <w:t xml:space="preserve"> </w:t>
      </w:r>
    </w:p>
    <w:p w14:paraId="259A74BC" w14:textId="7B7A0643" w:rsidR="00B85FF0" w:rsidRPr="001337F8" w:rsidRDefault="00B85FF0" w:rsidP="00BF724B">
      <w:pPr>
        <w:pStyle w:val="Style1"/>
        <w:numPr>
          <w:ilvl w:val="0"/>
          <w:numId w:val="3"/>
        </w:numPr>
        <w:tabs>
          <w:tab w:val="clear" w:pos="720"/>
        </w:tabs>
        <w:rPr>
          <w:rFonts w:ascii="Arial" w:hAnsi="Arial" w:cs="Arial"/>
          <w:sz w:val="24"/>
          <w:szCs w:val="24"/>
        </w:rPr>
      </w:pPr>
      <w:r w:rsidRPr="001337F8">
        <w:rPr>
          <w:rFonts w:ascii="Arial" w:hAnsi="Arial" w:cs="Arial"/>
          <w:sz w:val="24"/>
          <w:szCs w:val="24"/>
        </w:rPr>
        <w:t xml:space="preserve">By 1910 it appeared that the land was occupied by a tenant for life. Such persons have been able to </w:t>
      </w:r>
      <w:r w:rsidR="00034E29" w:rsidRPr="001337F8">
        <w:rPr>
          <w:rFonts w:ascii="Arial" w:hAnsi="Arial" w:cs="Arial"/>
          <w:sz w:val="24"/>
          <w:szCs w:val="24"/>
        </w:rPr>
        <w:t>dispose of</w:t>
      </w:r>
      <w:r w:rsidRPr="001337F8">
        <w:rPr>
          <w:rFonts w:ascii="Arial" w:hAnsi="Arial" w:cs="Arial"/>
          <w:sz w:val="24"/>
          <w:szCs w:val="24"/>
        </w:rPr>
        <w:t xml:space="preserve"> easements over land since</w:t>
      </w:r>
      <w:r w:rsidR="00FC5C11" w:rsidRPr="001337F8">
        <w:rPr>
          <w:rFonts w:ascii="Arial" w:hAnsi="Arial" w:cs="Arial"/>
          <w:sz w:val="24"/>
          <w:szCs w:val="24"/>
        </w:rPr>
        <w:t xml:space="preserve"> at the latest the Settled Land Act of 1882</w:t>
      </w:r>
      <w:r w:rsidR="0092542F" w:rsidRPr="001337F8">
        <w:rPr>
          <w:rFonts w:ascii="Arial" w:hAnsi="Arial" w:cs="Arial"/>
          <w:sz w:val="24"/>
          <w:szCs w:val="24"/>
        </w:rPr>
        <w:t>, although subject to considerable restrictions before the subsequent consolidating statute of 1925.</w:t>
      </w:r>
      <w:r w:rsidR="003B4497" w:rsidRPr="001337F8">
        <w:rPr>
          <w:rFonts w:ascii="Arial" w:hAnsi="Arial" w:cs="Arial"/>
          <w:sz w:val="24"/>
          <w:szCs w:val="24"/>
        </w:rPr>
        <w:t xml:space="preserve"> There is no evidence before me to suggest that the tenant for life was not in a position to dedicate </w:t>
      </w:r>
      <w:r w:rsidR="00356B2C" w:rsidRPr="001337F8">
        <w:rPr>
          <w:rFonts w:ascii="Arial" w:hAnsi="Arial" w:cs="Arial"/>
          <w:sz w:val="24"/>
          <w:szCs w:val="24"/>
        </w:rPr>
        <w:t>a</w:t>
      </w:r>
      <w:r w:rsidR="003B4497" w:rsidRPr="001337F8">
        <w:rPr>
          <w:rFonts w:ascii="Arial" w:hAnsi="Arial" w:cs="Arial"/>
          <w:sz w:val="24"/>
          <w:szCs w:val="24"/>
        </w:rPr>
        <w:t xml:space="preserve"> right of way</w:t>
      </w:r>
      <w:r w:rsidR="001801A6" w:rsidRPr="001337F8">
        <w:rPr>
          <w:rFonts w:ascii="Arial" w:hAnsi="Arial" w:cs="Arial"/>
          <w:sz w:val="24"/>
          <w:szCs w:val="24"/>
        </w:rPr>
        <w:t xml:space="preserve"> </w:t>
      </w:r>
      <w:r w:rsidR="00F34BDA" w:rsidRPr="001337F8">
        <w:rPr>
          <w:rFonts w:ascii="Arial" w:hAnsi="Arial" w:cs="Arial"/>
          <w:sz w:val="24"/>
          <w:szCs w:val="24"/>
        </w:rPr>
        <w:t xml:space="preserve">in the two decades before the land was sold. </w:t>
      </w:r>
      <w:r w:rsidR="00AA35DD" w:rsidRPr="001337F8">
        <w:rPr>
          <w:rFonts w:ascii="Arial" w:hAnsi="Arial" w:cs="Arial"/>
          <w:sz w:val="24"/>
          <w:szCs w:val="24"/>
        </w:rPr>
        <w:t>The evidence from the East Hertfordshire Footpaths Society suggests that the route was in use again by 1911</w:t>
      </w:r>
      <w:r w:rsidR="00CA4CBB" w:rsidRPr="001337F8">
        <w:rPr>
          <w:rFonts w:ascii="Arial" w:hAnsi="Arial" w:cs="Arial"/>
          <w:sz w:val="24"/>
          <w:szCs w:val="24"/>
        </w:rPr>
        <w:t xml:space="preserve">, thus putting the tenant (or the trustees) in a position to object. </w:t>
      </w:r>
    </w:p>
    <w:p w14:paraId="572DF50A" w14:textId="1F34AC0D" w:rsidR="001D5ED6" w:rsidRPr="001337F8" w:rsidRDefault="0092501E" w:rsidP="001D5ED6">
      <w:pPr>
        <w:pStyle w:val="Style1"/>
        <w:tabs>
          <w:tab w:val="clear" w:pos="360"/>
        </w:tabs>
        <w:rPr>
          <w:rFonts w:ascii="Arial" w:hAnsi="Arial" w:cs="Arial"/>
          <w:i/>
          <w:iCs/>
          <w:sz w:val="24"/>
          <w:szCs w:val="24"/>
        </w:rPr>
      </w:pPr>
      <w:r w:rsidRPr="001337F8">
        <w:rPr>
          <w:rFonts w:ascii="Arial" w:hAnsi="Arial" w:cs="Arial"/>
          <w:i/>
          <w:iCs/>
          <w:sz w:val="24"/>
          <w:szCs w:val="24"/>
        </w:rPr>
        <w:t>Events between 1946 and the First DMS</w:t>
      </w:r>
    </w:p>
    <w:p w14:paraId="7833F56F" w14:textId="7D6910DD" w:rsidR="0092501E" w:rsidRPr="001337F8" w:rsidRDefault="0092501E" w:rsidP="0092501E">
      <w:pPr>
        <w:pStyle w:val="Style1"/>
        <w:numPr>
          <w:ilvl w:val="0"/>
          <w:numId w:val="3"/>
        </w:numPr>
        <w:rPr>
          <w:rFonts w:ascii="Arial" w:hAnsi="Arial" w:cs="Arial"/>
          <w:sz w:val="24"/>
          <w:szCs w:val="24"/>
        </w:rPr>
      </w:pPr>
      <w:r w:rsidRPr="001337F8">
        <w:rPr>
          <w:rFonts w:ascii="Arial" w:hAnsi="Arial" w:cs="Arial"/>
          <w:sz w:val="24"/>
          <w:szCs w:val="24"/>
        </w:rPr>
        <w:t xml:space="preserve">The land was sold in 1946 to the County Council, and freed of any settlement trusts upon which it was previously held. In 1953, the </w:t>
      </w:r>
      <w:r w:rsidR="00C4539F" w:rsidRPr="001337F8">
        <w:rPr>
          <w:rFonts w:ascii="Arial" w:hAnsi="Arial" w:cs="Arial"/>
          <w:sz w:val="24"/>
          <w:szCs w:val="24"/>
        </w:rPr>
        <w:t xml:space="preserve">parish council and the rural district council agreed that the route should be included on the draft DMS as a </w:t>
      </w:r>
      <w:r w:rsidR="002543C7" w:rsidRPr="001337F8">
        <w:rPr>
          <w:rFonts w:ascii="Arial" w:hAnsi="Arial" w:cs="Arial"/>
          <w:sz w:val="24"/>
          <w:szCs w:val="24"/>
        </w:rPr>
        <w:t>‘CRB’ (carriage road used mainly as a bridleway). They were aware of the 1890 Act. The parish council were satisfied, in 1953, that they would be able to provide evidence of uninterrupted public use for upwards of 20 years for all the paths described in the schedule, including this one.</w:t>
      </w:r>
      <w:r w:rsidR="00E36A8C" w:rsidRPr="001337F8">
        <w:rPr>
          <w:rFonts w:ascii="Arial" w:hAnsi="Arial" w:cs="Arial"/>
          <w:sz w:val="24"/>
          <w:szCs w:val="24"/>
        </w:rPr>
        <w:t xml:space="preserve"> For the avoidance of doubt, I agree with the Council’s analysis of the particular version of the schedule to which the parish council were likely to have referred</w:t>
      </w:r>
      <w:r w:rsidR="00C776DB" w:rsidRPr="001337F8">
        <w:rPr>
          <w:rFonts w:ascii="Arial" w:hAnsi="Arial" w:cs="Arial"/>
          <w:sz w:val="24"/>
          <w:szCs w:val="24"/>
        </w:rPr>
        <w:t>, which is to say that reference was included to the application route</w:t>
      </w:r>
      <w:r w:rsidR="00AD0AAC" w:rsidRPr="001337F8">
        <w:rPr>
          <w:rFonts w:ascii="Arial" w:hAnsi="Arial" w:cs="Arial"/>
          <w:sz w:val="24"/>
          <w:szCs w:val="24"/>
        </w:rPr>
        <w:t xml:space="preserve">. </w:t>
      </w:r>
    </w:p>
    <w:p w14:paraId="7D853283" w14:textId="32C98825" w:rsidR="002543C7" w:rsidRPr="001337F8" w:rsidRDefault="007D7A36" w:rsidP="0092501E">
      <w:pPr>
        <w:pStyle w:val="Style1"/>
        <w:numPr>
          <w:ilvl w:val="0"/>
          <w:numId w:val="3"/>
        </w:numPr>
        <w:rPr>
          <w:rFonts w:ascii="Arial" w:hAnsi="Arial" w:cs="Arial"/>
          <w:sz w:val="24"/>
          <w:szCs w:val="24"/>
        </w:rPr>
      </w:pPr>
      <w:r w:rsidRPr="001337F8">
        <w:rPr>
          <w:rFonts w:ascii="Arial" w:hAnsi="Arial" w:cs="Arial"/>
          <w:sz w:val="24"/>
          <w:szCs w:val="24"/>
        </w:rPr>
        <w:t>Thus there was a period of some seven years between the County Council acquiring the land and the relevant date of the First DMS. During that period</w:t>
      </w:r>
      <w:r w:rsidR="00D540A0" w:rsidRPr="001337F8">
        <w:rPr>
          <w:rFonts w:ascii="Arial" w:hAnsi="Arial" w:cs="Arial"/>
          <w:sz w:val="24"/>
          <w:szCs w:val="24"/>
        </w:rPr>
        <w:t xml:space="preserve">, the parish council of the time were prepared to provide evidence of </w:t>
      </w:r>
      <w:r w:rsidR="00A84B88" w:rsidRPr="001337F8">
        <w:rPr>
          <w:rFonts w:ascii="Arial" w:hAnsi="Arial" w:cs="Arial"/>
          <w:sz w:val="24"/>
          <w:szCs w:val="24"/>
        </w:rPr>
        <w:t xml:space="preserve">public </w:t>
      </w:r>
      <w:r w:rsidR="00D540A0" w:rsidRPr="001337F8">
        <w:rPr>
          <w:rFonts w:ascii="Arial" w:hAnsi="Arial" w:cs="Arial"/>
          <w:sz w:val="24"/>
          <w:szCs w:val="24"/>
        </w:rPr>
        <w:t>use of the route. That is supported by the contemporaneous evidence of the walking guides</w:t>
      </w:r>
      <w:r w:rsidR="00AC765B" w:rsidRPr="001337F8">
        <w:rPr>
          <w:rFonts w:ascii="Arial" w:hAnsi="Arial" w:cs="Arial"/>
          <w:sz w:val="24"/>
          <w:szCs w:val="24"/>
        </w:rPr>
        <w:t xml:space="preserve">, including from 1948, produced by the East Hertfordshire Footpaths Society. </w:t>
      </w:r>
    </w:p>
    <w:p w14:paraId="4DBD7C9F" w14:textId="3BEBBF91" w:rsidR="00CC08B3" w:rsidRPr="001337F8" w:rsidRDefault="00CC08B3" w:rsidP="0092501E">
      <w:pPr>
        <w:pStyle w:val="Style1"/>
        <w:numPr>
          <w:ilvl w:val="0"/>
          <w:numId w:val="3"/>
        </w:numPr>
        <w:rPr>
          <w:rFonts w:ascii="Arial" w:hAnsi="Arial" w:cs="Arial"/>
          <w:sz w:val="24"/>
          <w:szCs w:val="24"/>
        </w:rPr>
      </w:pPr>
      <w:r w:rsidRPr="001337F8">
        <w:rPr>
          <w:rFonts w:ascii="Arial" w:hAnsi="Arial" w:cs="Arial"/>
          <w:sz w:val="24"/>
          <w:szCs w:val="24"/>
        </w:rPr>
        <w:t xml:space="preserve">Whilst there is no evidence that </w:t>
      </w:r>
      <w:r w:rsidR="0064214B" w:rsidRPr="001337F8">
        <w:rPr>
          <w:rFonts w:ascii="Arial" w:hAnsi="Arial" w:cs="Arial"/>
          <w:sz w:val="24"/>
          <w:szCs w:val="24"/>
        </w:rPr>
        <w:t xml:space="preserve">the ‘settled land’ question was brought to the attention of the surveying authority in the early 1950s, </w:t>
      </w:r>
      <w:r w:rsidR="002D61B2" w:rsidRPr="001337F8">
        <w:rPr>
          <w:rFonts w:ascii="Arial" w:hAnsi="Arial" w:cs="Arial"/>
          <w:sz w:val="24"/>
          <w:szCs w:val="24"/>
        </w:rPr>
        <w:t>there is also no evidence of them having discounted the existence of the right of way on the alternative basis of it having been dedicated</w:t>
      </w:r>
      <w:r w:rsidR="0018103B" w:rsidRPr="001337F8">
        <w:rPr>
          <w:rFonts w:ascii="Arial" w:hAnsi="Arial" w:cs="Arial"/>
          <w:sz w:val="24"/>
          <w:szCs w:val="24"/>
        </w:rPr>
        <w:t xml:space="preserve"> and accepted by the public in the period since the </w:t>
      </w:r>
      <w:r w:rsidR="006F631B" w:rsidRPr="001337F8">
        <w:rPr>
          <w:rFonts w:ascii="Arial" w:hAnsi="Arial" w:cs="Arial"/>
          <w:sz w:val="24"/>
          <w:szCs w:val="24"/>
        </w:rPr>
        <w:t xml:space="preserve">land was sold and the </w:t>
      </w:r>
      <w:r w:rsidR="0018103B" w:rsidRPr="001337F8">
        <w:rPr>
          <w:rFonts w:ascii="Arial" w:hAnsi="Arial" w:cs="Arial"/>
          <w:sz w:val="24"/>
          <w:szCs w:val="24"/>
        </w:rPr>
        <w:t xml:space="preserve">settlement trusts no longer applied. </w:t>
      </w:r>
      <w:r w:rsidR="009D5138" w:rsidRPr="001337F8">
        <w:rPr>
          <w:rFonts w:ascii="Arial" w:hAnsi="Arial" w:cs="Arial"/>
          <w:sz w:val="24"/>
          <w:szCs w:val="24"/>
        </w:rPr>
        <w:t xml:space="preserve">As the Council point out, there is no evidence that </w:t>
      </w:r>
      <w:r w:rsidR="00106C9E" w:rsidRPr="001337F8">
        <w:rPr>
          <w:rFonts w:ascii="Arial" w:hAnsi="Arial" w:cs="Arial"/>
          <w:sz w:val="24"/>
          <w:szCs w:val="24"/>
        </w:rPr>
        <w:t xml:space="preserve">the post-war landowner, </w:t>
      </w:r>
      <w:r w:rsidR="009D5138" w:rsidRPr="001337F8">
        <w:rPr>
          <w:rFonts w:ascii="Arial" w:hAnsi="Arial" w:cs="Arial"/>
          <w:sz w:val="24"/>
          <w:szCs w:val="24"/>
        </w:rPr>
        <w:t>the County Council, did not ac</w:t>
      </w:r>
      <w:r w:rsidR="00106C9E" w:rsidRPr="001337F8">
        <w:rPr>
          <w:rFonts w:ascii="Arial" w:hAnsi="Arial" w:cs="Arial"/>
          <w:sz w:val="24"/>
          <w:szCs w:val="24"/>
        </w:rPr>
        <w:t>quiesce in the public’s use of the route</w:t>
      </w:r>
      <w:r w:rsidR="0029600F" w:rsidRPr="001337F8">
        <w:rPr>
          <w:rFonts w:ascii="Arial" w:hAnsi="Arial" w:cs="Arial"/>
          <w:sz w:val="24"/>
          <w:szCs w:val="24"/>
        </w:rPr>
        <w:t>. That the same body corporate was responsible for compiling the DMS</w:t>
      </w:r>
      <w:r w:rsidR="006F23B6" w:rsidRPr="001337F8">
        <w:rPr>
          <w:rFonts w:ascii="Arial" w:hAnsi="Arial" w:cs="Arial"/>
          <w:sz w:val="24"/>
          <w:szCs w:val="24"/>
        </w:rPr>
        <w:t xml:space="preserve"> is compelling evidence of the dedication of the route, with such dedication clearly accepted by the public given the contemporaneous evidence of user</w:t>
      </w:r>
      <w:r w:rsidR="00207AA1" w:rsidRPr="001337F8">
        <w:rPr>
          <w:rFonts w:ascii="Arial" w:hAnsi="Arial" w:cs="Arial"/>
          <w:sz w:val="24"/>
          <w:szCs w:val="24"/>
        </w:rPr>
        <w:t xml:space="preserve"> and the lack of any objection by the </w:t>
      </w:r>
      <w:r w:rsidR="00CB2DD7" w:rsidRPr="001337F8">
        <w:rPr>
          <w:rFonts w:ascii="Arial" w:hAnsi="Arial" w:cs="Arial"/>
          <w:sz w:val="24"/>
          <w:szCs w:val="24"/>
        </w:rPr>
        <w:lastRenderedPageBreak/>
        <w:t>landowning highway authority</w:t>
      </w:r>
      <w:r w:rsidR="007D74B5" w:rsidRPr="001337F8">
        <w:rPr>
          <w:rFonts w:ascii="Arial" w:hAnsi="Arial" w:cs="Arial"/>
          <w:sz w:val="24"/>
          <w:szCs w:val="24"/>
        </w:rPr>
        <w:t xml:space="preserve"> to its inclusion on the DMS</w:t>
      </w:r>
      <w:r w:rsidR="006F23B6" w:rsidRPr="001337F8">
        <w:rPr>
          <w:rFonts w:ascii="Arial" w:hAnsi="Arial" w:cs="Arial"/>
          <w:sz w:val="24"/>
          <w:szCs w:val="24"/>
        </w:rPr>
        <w:t>.</w:t>
      </w:r>
      <w:r w:rsidR="00667A1E" w:rsidRPr="001337F8">
        <w:rPr>
          <w:rFonts w:ascii="Arial" w:hAnsi="Arial" w:cs="Arial"/>
          <w:sz w:val="24"/>
          <w:szCs w:val="24"/>
        </w:rPr>
        <w:t xml:space="preserve"> A</w:t>
      </w:r>
      <w:r w:rsidR="00E363B4" w:rsidRPr="001337F8">
        <w:rPr>
          <w:rFonts w:ascii="Arial" w:hAnsi="Arial" w:cs="Arial"/>
          <w:sz w:val="24"/>
          <w:szCs w:val="24"/>
        </w:rPr>
        <w:t xml:space="preserve">lthough the </w:t>
      </w:r>
      <w:r w:rsidR="001D1DFB" w:rsidRPr="001337F8">
        <w:rPr>
          <w:rFonts w:ascii="Arial" w:hAnsi="Arial" w:cs="Arial"/>
          <w:sz w:val="24"/>
          <w:szCs w:val="24"/>
        </w:rPr>
        <w:t>post-1890</w:t>
      </w:r>
      <w:r w:rsidR="00E363B4" w:rsidRPr="001337F8">
        <w:rPr>
          <w:rFonts w:ascii="Arial" w:hAnsi="Arial" w:cs="Arial"/>
          <w:sz w:val="24"/>
          <w:szCs w:val="24"/>
        </w:rPr>
        <w:t xml:space="preserve"> evidence of user is largely by pedestrians,</w:t>
      </w:r>
      <w:r w:rsidR="006F23B6" w:rsidRPr="001337F8">
        <w:rPr>
          <w:rFonts w:ascii="Arial" w:hAnsi="Arial" w:cs="Arial"/>
          <w:sz w:val="24"/>
          <w:szCs w:val="24"/>
        </w:rPr>
        <w:t xml:space="preserve"> I note the </w:t>
      </w:r>
      <w:r w:rsidR="00B37037" w:rsidRPr="001337F8">
        <w:rPr>
          <w:rFonts w:ascii="Arial" w:hAnsi="Arial" w:cs="Arial"/>
          <w:sz w:val="24"/>
          <w:szCs w:val="24"/>
        </w:rPr>
        <w:t>point</w:t>
      </w:r>
      <w:r w:rsidR="006C113D" w:rsidRPr="001337F8">
        <w:rPr>
          <w:rFonts w:ascii="Arial" w:hAnsi="Arial" w:cs="Arial"/>
          <w:sz w:val="24"/>
          <w:szCs w:val="24"/>
        </w:rPr>
        <w:t>s raised by the BHS and Patchetts Green Bridleways Trust</w:t>
      </w:r>
      <w:r w:rsidR="00747C8D" w:rsidRPr="001337F8">
        <w:rPr>
          <w:rFonts w:ascii="Arial" w:hAnsi="Arial" w:cs="Arial"/>
          <w:sz w:val="24"/>
          <w:szCs w:val="24"/>
        </w:rPr>
        <w:t xml:space="preserve"> concerning </w:t>
      </w:r>
      <w:r w:rsidR="00161080" w:rsidRPr="001337F8">
        <w:rPr>
          <w:rFonts w:ascii="Arial" w:hAnsi="Arial" w:cs="Arial"/>
          <w:sz w:val="24"/>
          <w:szCs w:val="24"/>
        </w:rPr>
        <w:t xml:space="preserve">the effects of </w:t>
      </w:r>
      <w:r w:rsidR="00747C8D" w:rsidRPr="001337F8">
        <w:rPr>
          <w:rFonts w:ascii="Arial" w:hAnsi="Arial" w:cs="Arial"/>
          <w:sz w:val="24"/>
          <w:szCs w:val="24"/>
        </w:rPr>
        <w:t>Part II of the Countryside and Rights of Way Act 2000</w:t>
      </w:r>
      <w:r w:rsidR="00161080" w:rsidRPr="001337F8">
        <w:rPr>
          <w:rFonts w:ascii="Arial" w:hAnsi="Arial" w:cs="Arial"/>
          <w:sz w:val="24"/>
          <w:szCs w:val="24"/>
        </w:rPr>
        <w:t xml:space="preserve">. In any event </w:t>
      </w:r>
      <w:r w:rsidR="00E363B4" w:rsidRPr="001337F8">
        <w:rPr>
          <w:rFonts w:ascii="Arial" w:hAnsi="Arial" w:cs="Arial"/>
          <w:sz w:val="24"/>
          <w:szCs w:val="24"/>
        </w:rPr>
        <w:t>a ‘downgrading’ of the route, rather than its deletion, is not the outcome contended for by the appellant</w:t>
      </w:r>
      <w:r w:rsidR="00B91C9E" w:rsidRPr="001337F8">
        <w:rPr>
          <w:rFonts w:ascii="Arial" w:hAnsi="Arial" w:cs="Arial"/>
          <w:sz w:val="24"/>
          <w:szCs w:val="24"/>
        </w:rPr>
        <w:t xml:space="preserve">. </w:t>
      </w:r>
    </w:p>
    <w:p w14:paraId="5A662D5F" w14:textId="704038F4" w:rsidR="00B91C9E" w:rsidRPr="001337F8" w:rsidRDefault="00B91C9E" w:rsidP="00B91C9E">
      <w:pPr>
        <w:pStyle w:val="Style1"/>
        <w:tabs>
          <w:tab w:val="clear" w:pos="360"/>
        </w:tabs>
        <w:rPr>
          <w:rFonts w:ascii="Arial" w:hAnsi="Arial" w:cs="Arial"/>
          <w:b/>
          <w:bCs/>
          <w:sz w:val="24"/>
          <w:szCs w:val="24"/>
        </w:rPr>
      </w:pPr>
      <w:r w:rsidRPr="001337F8">
        <w:rPr>
          <w:rFonts w:ascii="Arial" w:hAnsi="Arial" w:cs="Arial"/>
          <w:b/>
          <w:bCs/>
          <w:sz w:val="24"/>
          <w:szCs w:val="24"/>
        </w:rPr>
        <w:t>Conclusion</w:t>
      </w:r>
    </w:p>
    <w:p w14:paraId="65BCF1ED" w14:textId="328F26BB" w:rsidR="00B91C9E" w:rsidRDefault="00997FE7" w:rsidP="0092501E">
      <w:pPr>
        <w:pStyle w:val="Style1"/>
        <w:numPr>
          <w:ilvl w:val="0"/>
          <w:numId w:val="3"/>
        </w:numPr>
        <w:rPr>
          <w:rFonts w:ascii="Arial" w:hAnsi="Arial" w:cs="Arial"/>
          <w:sz w:val="24"/>
          <w:szCs w:val="24"/>
        </w:rPr>
      </w:pPr>
      <w:r>
        <w:rPr>
          <w:rFonts w:ascii="Arial" w:hAnsi="Arial" w:cs="Arial"/>
          <w:sz w:val="24"/>
          <w:szCs w:val="24"/>
        </w:rPr>
        <w:t>I accept</w:t>
      </w:r>
      <w:r w:rsidR="00B91C9E" w:rsidRPr="001337F8">
        <w:rPr>
          <w:rFonts w:ascii="Arial" w:hAnsi="Arial" w:cs="Arial"/>
          <w:sz w:val="24"/>
          <w:szCs w:val="24"/>
        </w:rPr>
        <w:t xml:space="preserve"> the appell</w:t>
      </w:r>
      <w:r w:rsidR="00CB2DD7" w:rsidRPr="001337F8">
        <w:rPr>
          <w:rFonts w:ascii="Arial" w:hAnsi="Arial" w:cs="Arial"/>
          <w:sz w:val="24"/>
          <w:szCs w:val="24"/>
        </w:rPr>
        <w:t>a</w:t>
      </w:r>
      <w:r w:rsidR="00B91C9E" w:rsidRPr="001337F8">
        <w:rPr>
          <w:rFonts w:ascii="Arial" w:hAnsi="Arial" w:cs="Arial"/>
          <w:sz w:val="24"/>
          <w:szCs w:val="24"/>
        </w:rPr>
        <w:t>nt’s contentions as to the effects of the 1890 Act</w:t>
      </w:r>
      <w:r w:rsidR="009B788D">
        <w:rPr>
          <w:rFonts w:ascii="Arial" w:hAnsi="Arial" w:cs="Arial"/>
          <w:sz w:val="24"/>
          <w:szCs w:val="24"/>
        </w:rPr>
        <w:t xml:space="preserve">. However, I </w:t>
      </w:r>
      <w:r>
        <w:rPr>
          <w:rFonts w:ascii="Arial" w:hAnsi="Arial" w:cs="Arial"/>
          <w:sz w:val="24"/>
          <w:szCs w:val="24"/>
        </w:rPr>
        <w:t>find</w:t>
      </w:r>
      <w:r w:rsidR="00CD5B6F" w:rsidRPr="001337F8">
        <w:rPr>
          <w:rFonts w:ascii="Arial" w:hAnsi="Arial" w:cs="Arial"/>
          <w:sz w:val="24"/>
          <w:szCs w:val="24"/>
        </w:rPr>
        <w:t xml:space="preserve"> no sufficient evidence either way on the question of </w:t>
      </w:r>
      <w:r w:rsidR="00B91C9E" w:rsidRPr="001337F8">
        <w:rPr>
          <w:rFonts w:ascii="Arial" w:hAnsi="Arial" w:cs="Arial"/>
          <w:sz w:val="24"/>
          <w:szCs w:val="24"/>
        </w:rPr>
        <w:t>the settled land</w:t>
      </w:r>
      <w:r w:rsidR="000E72EC" w:rsidRPr="001337F8">
        <w:rPr>
          <w:rFonts w:ascii="Arial" w:hAnsi="Arial" w:cs="Arial"/>
          <w:sz w:val="24"/>
          <w:szCs w:val="24"/>
        </w:rPr>
        <w:t xml:space="preserve"> and its consequences for any capacity to dedicate the way</w:t>
      </w:r>
      <w:r>
        <w:rPr>
          <w:rFonts w:ascii="Arial" w:hAnsi="Arial" w:cs="Arial"/>
          <w:sz w:val="24"/>
          <w:szCs w:val="24"/>
        </w:rPr>
        <w:t>.</w:t>
      </w:r>
      <w:r w:rsidR="009B788D">
        <w:rPr>
          <w:rFonts w:ascii="Arial" w:hAnsi="Arial" w:cs="Arial"/>
          <w:sz w:val="24"/>
          <w:szCs w:val="24"/>
        </w:rPr>
        <w:t xml:space="preserve"> </w:t>
      </w:r>
      <w:r w:rsidR="003E15F5">
        <w:rPr>
          <w:rFonts w:ascii="Arial" w:hAnsi="Arial" w:cs="Arial"/>
          <w:sz w:val="24"/>
          <w:szCs w:val="24"/>
        </w:rPr>
        <w:t>Having regard to the ownership of the land</w:t>
      </w:r>
      <w:r w:rsidR="00837CB0">
        <w:rPr>
          <w:rFonts w:ascii="Arial" w:hAnsi="Arial" w:cs="Arial"/>
          <w:sz w:val="24"/>
          <w:szCs w:val="24"/>
        </w:rPr>
        <w:t xml:space="preserve"> after 1946</w:t>
      </w:r>
      <w:r w:rsidR="003E15F5">
        <w:rPr>
          <w:rFonts w:ascii="Arial" w:hAnsi="Arial" w:cs="Arial"/>
          <w:sz w:val="24"/>
          <w:szCs w:val="24"/>
        </w:rPr>
        <w:t xml:space="preserve">, </w:t>
      </w:r>
      <w:r w:rsidR="00B91C9E" w:rsidRPr="001337F8">
        <w:rPr>
          <w:rFonts w:ascii="Arial" w:hAnsi="Arial" w:cs="Arial"/>
          <w:sz w:val="24"/>
          <w:szCs w:val="24"/>
        </w:rPr>
        <w:t xml:space="preserve">I </w:t>
      </w:r>
      <w:r w:rsidR="00CB2DD7" w:rsidRPr="001337F8">
        <w:rPr>
          <w:rFonts w:ascii="Arial" w:hAnsi="Arial" w:cs="Arial"/>
          <w:sz w:val="24"/>
          <w:szCs w:val="24"/>
        </w:rPr>
        <w:t xml:space="preserve">do not find there to be </w:t>
      </w:r>
      <w:r w:rsidR="00DF2FC7">
        <w:rPr>
          <w:rFonts w:ascii="Arial" w:hAnsi="Arial" w:cs="Arial"/>
          <w:sz w:val="24"/>
          <w:szCs w:val="24"/>
        </w:rPr>
        <w:t xml:space="preserve">cogent </w:t>
      </w:r>
      <w:r w:rsidR="00CB2DD7" w:rsidRPr="001337F8">
        <w:rPr>
          <w:rFonts w:ascii="Arial" w:hAnsi="Arial" w:cs="Arial"/>
          <w:sz w:val="24"/>
          <w:szCs w:val="24"/>
        </w:rPr>
        <w:t>evidence</w:t>
      </w:r>
      <w:r w:rsidR="00DF2FC7">
        <w:rPr>
          <w:rFonts w:ascii="Arial" w:hAnsi="Arial" w:cs="Arial"/>
          <w:sz w:val="24"/>
          <w:szCs w:val="24"/>
        </w:rPr>
        <w:t xml:space="preserve"> of sufficient substance to displace the presumption</w:t>
      </w:r>
      <w:r w:rsidR="00CB2DD7" w:rsidRPr="001337F8">
        <w:rPr>
          <w:rFonts w:ascii="Arial" w:hAnsi="Arial" w:cs="Arial"/>
          <w:sz w:val="24"/>
          <w:szCs w:val="24"/>
        </w:rPr>
        <w:t xml:space="preserve"> that the route was dedicated and accepted as a restricted byway by the time of the First DMS</w:t>
      </w:r>
      <w:r w:rsidR="004538DA">
        <w:rPr>
          <w:rFonts w:ascii="Arial" w:hAnsi="Arial" w:cs="Arial"/>
          <w:sz w:val="24"/>
          <w:szCs w:val="24"/>
        </w:rPr>
        <w:t xml:space="preserve">, and that the DMS is correct. </w:t>
      </w:r>
    </w:p>
    <w:p w14:paraId="1F8A1025" w14:textId="53A76C13" w:rsidR="00DA16EE" w:rsidRPr="001337F8" w:rsidRDefault="00DA16EE" w:rsidP="0092501E">
      <w:pPr>
        <w:pStyle w:val="Style1"/>
        <w:numPr>
          <w:ilvl w:val="0"/>
          <w:numId w:val="3"/>
        </w:numPr>
        <w:rPr>
          <w:rFonts w:ascii="Arial" w:hAnsi="Arial" w:cs="Arial"/>
          <w:sz w:val="24"/>
          <w:szCs w:val="24"/>
        </w:rPr>
      </w:pPr>
      <w:r>
        <w:rPr>
          <w:rFonts w:ascii="Arial" w:hAnsi="Arial" w:cs="Arial"/>
          <w:sz w:val="24"/>
          <w:szCs w:val="24"/>
        </w:rPr>
        <w:t xml:space="preserve">Having regard to </w:t>
      </w:r>
      <w:r w:rsidR="00560699">
        <w:rPr>
          <w:rFonts w:ascii="Arial" w:hAnsi="Arial" w:cs="Arial"/>
          <w:sz w:val="24"/>
          <w:szCs w:val="24"/>
        </w:rPr>
        <w:t xml:space="preserve">these and </w:t>
      </w:r>
      <w:r w:rsidR="0021553E">
        <w:rPr>
          <w:rFonts w:ascii="Arial" w:hAnsi="Arial" w:cs="Arial"/>
          <w:sz w:val="24"/>
          <w:szCs w:val="24"/>
        </w:rPr>
        <w:t xml:space="preserve">to </w:t>
      </w:r>
      <w:r w:rsidR="00560699">
        <w:rPr>
          <w:rFonts w:ascii="Arial" w:hAnsi="Arial" w:cs="Arial"/>
          <w:sz w:val="24"/>
          <w:szCs w:val="24"/>
        </w:rPr>
        <w:t xml:space="preserve">all </w:t>
      </w:r>
      <w:r w:rsidR="0021553E">
        <w:rPr>
          <w:rFonts w:ascii="Arial" w:hAnsi="Arial" w:cs="Arial"/>
          <w:sz w:val="24"/>
          <w:szCs w:val="24"/>
        </w:rPr>
        <w:t xml:space="preserve">the </w:t>
      </w:r>
      <w:r w:rsidR="00560699">
        <w:rPr>
          <w:rFonts w:ascii="Arial" w:hAnsi="Arial" w:cs="Arial"/>
          <w:sz w:val="24"/>
          <w:szCs w:val="24"/>
        </w:rPr>
        <w:t>other matters raised in the written representations, I conclude that the appeal should be dismissed.</w:t>
      </w:r>
    </w:p>
    <w:p w14:paraId="5B70BE52" w14:textId="5F5AE8EB" w:rsidR="00D1769B" w:rsidRPr="001337F8" w:rsidRDefault="00D1769B" w:rsidP="00D1769B">
      <w:pPr>
        <w:pStyle w:val="Style1"/>
        <w:tabs>
          <w:tab w:val="clear" w:pos="360"/>
        </w:tabs>
        <w:rPr>
          <w:rFonts w:ascii="Arial" w:hAnsi="Arial" w:cs="Arial"/>
          <w:b/>
          <w:bCs/>
          <w:sz w:val="24"/>
          <w:szCs w:val="24"/>
        </w:rPr>
      </w:pPr>
      <w:r w:rsidRPr="001337F8">
        <w:rPr>
          <w:rFonts w:ascii="Arial" w:hAnsi="Arial" w:cs="Arial"/>
          <w:b/>
          <w:bCs/>
          <w:sz w:val="24"/>
          <w:szCs w:val="24"/>
        </w:rPr>
        <w:t>Formal Decision</w:t>
      </w:r>
    </w:p>
    <w:p w14:paraId="5E11F1A6" w14:textId="77777777" w:rsidR="00D1769B" w:rsidRPr="001337F8" w:rsidRDefault="00D1769B" w:rsidP="00A104E4">
      <w:pPr>
        <w:pStyle w:val="Style1"/>
        <w:numPr>
          <w:ilvl w:val="0"/>
          <w:numId w:val="3"/>
        </w:numPr>
        <w:tabs>
          <w:tab w:val="clear" w:pos="720"/>
        </w:tabs>
        <w:rPr>
          <w:rFonts w:ascii="Arial" w:hAnsi="Arial" w:cs="Arial"/>
          <w:sz w:val="24"/>
          <w:szCs w:val="24"/>
        </w:rPr>
      </w:pPr>
      <w:r w:rsidRPr="001337F8">
        <w:rPr>
          <w:rFonts w:ascii="Arial" w:hAnsi="Arial" w:cs="Arial"/>
          <w:sz w:val="24"/>
          <w:szCs w:val="24"/>
        </w:rPr>
        <w:t>I dismiss the appeal.</w:t>
      </w:r>
    </w:p>
    <w:p w14:paraId="7590C6BC" w14:textId="71ED372D" w:rsidR="00242B87" w:rsidRPr="000A307B" w:rsidRDefault="000A307B" w:rsidP="00D1769B">
      <w:pPr>
        <w:pStyle w:val="Style1"/>
        <w:tabs>
          <w:tab w:val="clear" w:pos="360"/>
        </w:tabs>
        <w:rPr>
          <w:rFonts w:ascii="Monotype Corsiva" w:hAnsi="Monotype Corsiva" w:cs="Arial"/>
          <w:sz w:val="36"/>
          <w:szCs w:val="36"/>
        </w:rPr>
      </w:pPr>
      <w:r>
        <w:rPr>
          <w:rFonts w:ascii="Monotype Corsiva" w:hAnsi="Monotype Corsiva" w:cs="Arial"/>
          <w:sz w:val="36"/>
          <w:szCs w:val="36"/>
        </w:rPr>
        <w:t>Laura Renaudon</w:t>
      </w:r>
    </w:p>
    <w:p w14:paraId="7FF51823" w14:textId="1B4DF9EC" w:rsidR="00242B87" w:rsidRPr="0021553E" w:rsidRDefault="00242B87" w:rsidP="00D1769B">
      <w:pPr>
        <w:pStyle w:val="Style1"/>
        <w:tabs>
          <w:tab w:val="clear" w:pos="360"/>
        </w:tabs>
        <w:rPr>
          <w:rFonts w:ascii="Arial" w:hAnsi="Arial" w:cs="Arial"/>
          <w:sz w:val="24"/>
          <w:szCs w:val="24"/>
        </w:rPr>
      </w:pPr>
      <w:r w:rsidRPr="0021553E">
        <w:rPr>
          <w:rFonts w:ascii="Arial" w:hAnsi="Arial" w:cs="Arial"/>
          <w:sz w:val="24"/>
          <w:szCs w:val="24"/>
        </w:rPr>
        <w:t>INSPECTOR</w:t>
      </w:r>
    </w:p>
    <w:p w14:paraId="6A32C378" w14:textId="3881C589" w:rsidR="004E5CD7" w:rsidRDefault="004E5CD7">
      <w:pPr>
        <w:spacing w:after="160" w:line="259" w:lineRule="auto"/>
        <w:rPr>
          <w:rFonts w:ascii="Arial" w:hAnsi="Arial" w:cs="Arial"/>
          <w:color w:val="000000"/>
          <w:kern w:val="28"/>
        </w:rPr>
      </w:pPr>
      <w:r>
        <w:rPr>
          <w:rFonts w:ascii="Arial" w:hAnsi="Arial" w:cs="Arial"/>
        </w:rPr>
        <w:br w:type="page"/>
      </w:r>
    </w:p>
    <w:p w14:paraId="6583F30E" w14:textId="54D2F5F2" w:rsidR="004E5CD7" w:rsidRDefault="004E5CD7" w:rsidP="00D1769B">
      <w:pPr>
        <w:pStyle w:val="Style1"/>
        <w:tabs>
          <w:tab w:val="clear" w:pos="360"/>
        </w:tabs>
        <w:rPr>
          <w:rFonts w:ascii="Arial" w:hAnsi="Arial" w:cs="Arial"/>
          <w:b/>
          <w:bCs/>
        </w:rPr>
      </w:pPr>
      <w:r>
        <w:rPr>
          <w:rFonts w:ascii="Arial" w:hAnsi="Arial" w:cs="Arial"/>
          <w:b/>
          <w:bCs/>
        </w:rPr>
        <w:lastRenderedPageBreak/>
        <w:t>LOCATION PLAN</w:t>
      </w:r>
    </w:p>
    <w:p w14:paraId="6A7C3C27" w14:textId="357B3CCE" w:rsidR="004E5CD7" w:rsidRPr="004E5CD7" w:rsidRDefault="00AA1592" w:rsidP="00D1769B">
      <w:pPr>
        <w:pStyle w:val="Style1"/>
        <w:tabs>
          <w:tab w:val="clear" w:pos="360"/>
        </w:tabs>
        <w:rPr>
          <w:rFonts w:ascii="Arial" w:hAnsi="Arial" w:cs="Arial"/>
          <w:b/>
          <w:bCs/>
        </w:rPr>
      </w:pPr>
      <w:r w:rsidRPr="00AA1592">
        <w:rPr>
          <w:noProof/>
        </w:rPr>
        <w:drawing>
          <wp:inline distT="0" distB="0" distL="0" distR="0" wp14:anchorId="0499B648" wp14:editId="2DADC320">
            <wp:extent cx="5554571" cy="6737350"/>
            <wp:effectExtent l="0" t="0" r="8255" b="6350"/>
            <wp:docPr id="1128710453" name="Picture 1" descr="LOCA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10453" name="Picture 1" descr="LOCATION PLAN"/>
                    <pic:cNvPicPr/>
                  </pic:nvPicPr>
                  <pic:blipFill>
                    <a:blip r:embed="rId12"/>
                    <a:stretch>
                      <a:fillRect/>
                    </a:stretch>
                  </pic:blipFill>
                  <pic:spPr>
                    <a:xfrm>
                      <a:off x="0" y="0"/>
                      <a:ext cx="5558719" cy="6742381"/>
                    </a:xfrm>
                    <a:prstGeom prst="rect">
                      <a:avLst/>
                    </a:prstGeom>
                  </pic:spPr>
                </pic:pic>
              </a:graphicData>
            </a:graphic>
          </wp:inline>
        </w:drawing>
      </w:r>
    </w:p>
    <w:sectPr w:rsidR="004E5CD7" w:rsidRPr="004E5CD7" w:rsidSect="00055EC0">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2C27" w14:textId="77777777" w:rsidR="004E40E5" w:rsidRDefault="004E40E5" w:rsidP="00115485">
      <w:r>
        <w:separator/>
      </w:r>
    </w:p>
  </w:endnote>
  <w:endnote w:type="continuationSeparator" w:id="0">
    <w:p w14:paraId="58EB514B" w14:textId="77777777" w:rsidR="004E40E5" w:rsidRDefault="004E40E5" w:rsidP="0011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CF2E" w14:textId="79477E2F" w:rsidR="00B94372" w:rsidRDefault="00B94372" w:rsidP="00B94372">
    <w:pPr>
      <w:pBdr>
        <w:bottom w:val="single" w:sz="12" w:space="1" w:color="auto"/>
      </w:pBdr>
      <w:tabs>
        <w:tab w:val="center" w:pos="4513"/>
        <w:tab w:val="right" w:pos="9026"/>
      </w:tabs>
      <w:ind w:right="-52"/>
    </w:pPr>
  </w:p>
  <w:p w14:paraId="48EB8410" w14:textId="0817E851" w:rsidR="00B94372" w:rsidRPr="003333A2" w:rsidRDefault="00B94372" w:rsidP="00B94372">
    <w:pPr>
      <w:tabs>
        <w:tab w:val="center" w:pos="4513"/>
        <w:tab w:val="right" w:pos="9026"/>
      </w:tabs>
      <w:ind w:right="-52"/>
      <w:rPr>
        <w:rFonts w:asciiTheme="minorHAnsi" w:eastAsiaTheme="minorHAnsi" w:hAnsiTheme="minorHAnsi" w:cstheme="minorBidi"/>
        <w:kern w:val="2"/>
        <w:sz w:val="16"/>
        <w:szCs w:val="16"/>
        <w:lang w:eastAsia="en-US"/>
        <w14:ligatures w14:val="standardContextual"/>
      </w:rPr>
    </w:pPr>
    <w:hyperlink r:id="rId1" w:history="1">
      <w:r w:rsidRPr="00D65401">
        <w:rPr>
          <w:rStyle w:val="Hyperlink"/>
          <w:rFonts w:asciiTheme="minorHAnsi" w:eastAsiaTheme="minorHAnsi" w:hAnsiTheme="minorHAnsi" w:cstheme="minorBidi"/>
          <w:kern w:val="2"/>
          <w:sz w:val="16"/>
          <w:szCs w:val="16"/>
          <w:lang w:eastAsia="en-US"/>
          <w14:ligatures w14:val="standardContextual"/>
        </w:rPr>
        <w:t>https://www.gov.uk/planning-inspectorate</w:t>
      </w:r>
    </w:hyperlink>
  </w:p>
  <w:p w14:paraId="1FF39970" w14:textId="77777777" w:rsidR="005B4CF3" w:rsidRPr="00B94372" w:rsidRDefault="005B4CF3">
    <w:pPr>
      <w:pStyle w:val="Footer"/>
      <w:jc w:val="center"/>
      <w:rPr>
        <w:caps/>
        <w:noProof/>
      </w:rPr>
    </w:pPr>
    <w:r w:rsidRPr="00B94372">
      <w:rPr>
        <w:caps/>
      </w:rPr>
      <w:fldChar w:fldCharType="begin"/>
    </w:r>
    <w:r w:rsidRPr="00B94372">
      <w:rPr>
        <w:caps/>
      </w:rPr>
      <w:instrText xml:space="preserve"> PAGE   \* MERGEFORMAT </w:instrText>
    </w:r>
    <w:r w:rsidRPr="00B94372">
      <w:rPr>
        <w:caps/>
      </w:rPr>
      <w:fldChar w:fldCharType="separate"/>
    </w:r>
    <w:r w:rsidRPr="00B94372">
      <w:rPr>
        <w:caps/>
        <w:noProof/>
      </w:rPr>
      <w:t>2</w:t>
    </w:r>
    <w:r w:rsidRPr="00B94372">
      <w:rPr>
        <w:caps/>
        <w:noProof/>
      </w:rPr>
      <w:fldChar w:fldCharType="end"/>
    </w:r>
  </w:p>
  <w:p w14:paraId="15CC8A4B" w14:textId="77777777" w:rsidR="00A104E4" w:rsidRDefault="00A1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DD35" w14:textId="5C4EC2C9" w:rsidR="00F568B4" w:rsidRDefault="00F568B4">
    <w:pPr>
      <w:pStyle w:val="Footer"/>
      <w:pBdr>
        <w:bottom w:val="single" w:sz="12" w:space="1" w:color="auto"/>
      </w:pBdr>
    </w:pPr>
  </w:p>
  <w:p w14:paraId="222E611E" w14:textId="77777777" w:rsidR="003333A2" w:rsidRPr="003333A2" w:rsidRDefault="003333A2" w:rsidP="003333A2">
    <w:pPr>
      <w:tabs>
        <w:tab w:val="center" w:pos="4513"/>
        <w:tab w:val="right" w:pos="9026"/>
      </w:tabs>
      <w:ind w:right="-52"/>
      <w:rPr>
        <w:rFonts w:asciiTheme="minorHAnsi" w:eastAsiaTheme="minorHAnsi" w:hAnsiTheme="minorHAnsi" w:cstheme="minorBidi"/>
        <w:kern w:val="2"/>
        <w:sz w:val="16"/>
        <w:szCs w:val="16"/>
        <w:lang w:eastAsia="en-US"/>
        <w14:ligatures w14:val="standardContextual"/>
      </w:rPr>
    </w:pPr>
    <w:hyperlink r:id="rId1" w:history="1">
      <w:r w:rsidRPr="003333A2">
        <w:rPr>
          <w:rFonts w:asciiTheme="minorHAnsi" w:eastAsiaTheme="minorHAnsi" w:hAnsiTheme="minorHAnsi" w:cstheme="minorBidi"/>
          <w:color w:val="0000FF"/>
          <w:kern w:val="2"/>
          <w:sz w:val="16"/>
          <w:szCs w:val="16"/>
          <w:u w:val="single"/>
          <w:lang w:eastAsia="en-US"/>
          <w14:ligatures w14:val="standardContextual"/>
        </w:rPr>
        <w:t>https://www.gov.uk/planning-inspectorate</w:t>
      </w:r>
    </w:hyperlink>
  </w:p>
  <w:p w14:paraId="70648BA9" w14:textId="77777777" w:rsidR="00F568B4" w:rsidRDefault="00F56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7030" w14:textId="77777777" w:rsidR="004E40E5" w:rsidRDefault="004E40E5" w:rsidP="00115485">
      <w:r>
        <w:separator/>
      </w:r>
    </w:p>
  </w:footnote>
  <w:footnote w:type="continuationSeparator" w:id="0">
    <w:p w14:paraId="0E6618C6" w14:textId="77777777" w:rsidR="004E40E5" w:rsidRDefault="004E40E5" w:rsidP="0011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BCDE" w14:textId="4827E444" w:rsidR="00CB44AF" w:rsidRDefault="00115485" w:rsidP="009808CE">
    <w:pPr>
      <w:pStyle w:val="Header"/>
      <w:pBdr>
        <w:bottom w:val="single" w:sz="12" w:space="1" w:color="auto"/>
      </w:pBdr>
    </w:pPr>
    <w:r w:rsidRPr="00CB44AF">
      <w:rPr>
        <w:sz w:val="18"/>
        <w:szCs w:val="18"/>
      </w:rPr>
      <w:t>Appeal Decision ROW/</w:t>
    </w:r>
    <w:r w:rsidR="009808CE">
      <w:rPr>
        <w:sz w:val="18"/>
        <w:szCs w:val="18"/>
      </w:rPr>
      <w:t>3363792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72CED"/>
    <w:multiLevelType w:val="hybridMultilevel"/>
    <w:tmpl w:val="7930A09E"/>
    <w:lvl w:ilvl="0" w:tplc="E5962EF2">
      <w:numFmt w:val="bullet"/>
      <w:lvlText w:val="•"/>
      <w:lvlJc w:val="left"/>
      <w:pPr>
        <w:ind w:left="1800" w:hanging="360"/>
      </w:pPr>
      <w:rPr>
        <w:rFonts w:ascii="Arial" w:eastAsiaTheme="minorHAnsi" w:hAnsi="Arial" w:cs="Arial" w:hint="default"/>
        <w:i/>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8DD7A15"/>
    <w:multiLevelType w:val="multilevel"/>
    <w:tmpl w:val="1784AC4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5B7639F"/>
    <w:multiLevelType w:val="multilevel"/>
    <w:tmpl w:val="A22611FC"/>
    <w:numStyleLink w:val="ConditionsList"/>
  </w:abstractNum>
  <w:abstractNum w:abstractNumId="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4"/>
  </w:num>
  <w:num w:numId="2" w16cid:durableId="689457646">
    <w:abstractNumId w:val="2"/>
  </w:num>
  <w:num w:numId="3" w16cid:durableId="64308365">
    <w:abstractNumId w:val="1"/>
    <w:lvlOverride w:ilvl="0">
      <w:lvl w:ilvl="0">
        <w:start w:val="1"/>
        <w:numFmt w:val="decimal"/>
        <w:lvlText w:val="%1."/>
        <w:lvlJc w:val="left"/>
        <w:pPr>
          <w:tabs>
            <w:tab w:val="num" w:pos="720"/>
          </w:tabs>
          <w:ind w:left="431" w:hanging="431"/>
        </w:pPr>
        <w:rPr>
          <w:rFonts w:ascii="Arial" w:hAnsi="Arial" w:cs="Arial" w:hint="default"/>
        </w:rPr>
      </w:lvl>
    </w:lvlOverride>
  </w:num>
  <w:num w:numId="4" w16cid:durableId="1377703532">
    <w:abstractNumId w:val="3"/>
  </w:num>
  <w:num w:numId="5" w16cid:durableId="1358190880">
    <w:abstractNumId w:val="0"/>
  </w:num>
  <w:num w:numId="6" w16cid:durableId="130314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FF"/>
    <w:rsid w:val="00000BDD"/>
    <w:rsid w:val="00001BDC"/>
    <w:rsid w:val="0001286B"/>
    <w:rsid w:val="00013B19"/>
    <w:rsid w:val="00014F59"/>
    <w:rsid w:val="0001600C"/>
    <w:rsid w:val="0001719F"/>
    <w:rsid w:val="00022559"/>
    <w:rsid w:val="000232F6"/>
    <w:rsid w:val="00026CC7"/>
    <w:rsid w:val="00027A94"/>
    <w:rsid w:val="0003077F"/>
    <w:rsid w:val="00031D81"/>
    <w:rsid w:val="000330B4"/>
    <w:rsid w:val="00034D88"/>
    <w:rsid w:val="00034E29"/>
    <w:rsid w:val="0003723B"/>
    <w:rsid w:val="00041270"/>
    <w:rsid w:val="00046958"/>
    <w:rsid w:val="00046D57"/>
    <w:rsid w:val="00047C6E"/>
    <w:rsid w:val="0005078F"/>
    <w:rsid w:val="00051827"/>
    <w:rsid w:val="00055EC0"/>
    <w:rsid w:val="000574B1"/>
    <w:rsid w:val="00057953"/>
    <w:rsid w:val="000608D1"/>
    <w:rsid w:val="00064896"/>
    <w:rsid w:val="00070AF2"/>
    <w:rsid w:val="00074795"/>
    <w:rsid w:val="0007509C"/>
    <w:rsid w:val="00075214"/>
    <w:rsid w:val="00075497"/>
    <w:rsid w:val="0007614D"/>
    <w:rsid w:val="000811D6"/>
    <w:rsid w:val="00081B92"/>
    <w:rsid w:val="00081C26"/>
    <w:rsid w:val="00084C44"/>
    <w:rsid w:val="000860F2"/>
    <w:rsid w:val="000912A6"/>
    <w:rsid w:val="000948DF"/>
    <w:rsid w:val="000A0C44"/>
    <w:rsid w:val="000A13C2"/>
    <w:rsid w:val="000A281B"/>
    <w:rsid w:val="000A307B"/>
    <w:rsid w:val="000A7DFD"/>
    <w:rsid w:val="000B1A88"/>
    <w:rsid w:val="000B4FB9"/>
    <w:rsid w:val="000C18C6"/>
    <w:rsid w:val="000C3A7B"/>
    <w:rsid w:val="000C67ED"/>
    <w:rsid w:val="000D07FA"/>
    <w:rsid w:val="000D762A"/>
    <w:rsid w:val="000D7756"/>
    <w:rsid w:val="000E105E"/>
    <w:rsid w:val="000E72EC"/>
    <w:rsid w:val="000F13EB"/>
    <w:rsid w:val="000F2ECD"/>
    <w:rsid w:val="000F3A74"/>
    <w:rsid w:val="000F3B14"/>
    <w:rsid w:val="001005BF"/>
    <w:rsid w:val="00100E22"/>
    <w:rsid w:val="00102457"/>
    <w:rsid w:val="00102791"/>
    <w:rsid w:val="00104C68"/>
    <w:rsid w:val="00106377"/>
    <w:rsid w:val="00106C9E"/>
    <w:rsid w:val="0011175A"/>
    <w:rsid w:val="001148BF"/>
    <w:rsid w:val="00115375"/>
    <w:rsid w:val="00115485"/>
    <w:rsid w:val="0012477B"/>
    <w:rsid w:val="00130DE2"/>
    <w:rsid w:val="001313B0"/>
    <w:rsid w:val="00132D4C"/>
    <w:rsid w:val="001337F8"/>
    <w:rsid w:val="001417D8"/>
    <w:rsid w:val="00141E90"/>
    <w:rsid w:val="00145003"/>
    <w:rsid w:val="001451A1"/>
    <w:rsid w:val="00153EA3"/>
    <w:rsid w:val="00161080"/>
    <w:rsid w:val="00165286"/>
    <w:rsid w:val="00167C9D"/>
    <w:rsid w:val="00170646"/>
    <w:rsid w:val="001769A2"/>
    <w:rsid w:val="00177E61"/>
    <w:rsid w:val="001801A6"/>
    <w:rsid w:val="0018103B"/>
    <w:rsid w:val="001828ED"/>
    <w:rsid w:val="00182E21"/>
    <w:rsid w:val="00183D37"/>
    <w:rsid w:val="001933CA"/>
    <w:rsid w:val="00194DEE"/>
    <w:rsid w:val="001A0E92"/>
    <w:rsid w:val="001A1864"/>
    <w:rsid w:val="001A6E9F"/>
    <w:rsid w:val="001A6FA4"/>
    <w:rsid w:val="001B2DB7"/>
    <w:rsid w:val="001C6EE9"/>
    <w:rsid w:val="001D0323"/>
    <w:rsid w:val="001D1D99"/>
    <w:rsid w:val="001D1DFB"/>
    <w:rsid w:val="001D295F"/>
    <w:rsid w:val="001D5ED6"/>
    <w:rsid w:val="001D774F"/>
    <w:rsid w:val="001E3471"/>
    <w:rsid w:val="001E4343"/>
    <w:rsid w:val="001E5E84"/>
    <w:rsid w:val="001E6B81"/>
    <w:rsid w:val="001E7A13"/>
    <w:rsid w:val="001F418B"/>
    <w:rsid w:val="001F5948"/>
    <w:rsid w:val="001F6291"/>
    <w:rsid w:val="001F79B6"/>
    <w:rsid w:val="00205240"/>
    <w:rsid w:val="00207AA1"/>
    <w:rsid w:val="00210B19"/>
    <w:rsid w:val="00210F74"/>
    <w:rsid w:val="002132FC"/>
    <w:rsid w:val="0021553E"/>
    <w:rsid w:val="00217181"/>
    <w:rsid w:val="0021726D"/>
    <w:rsid w:val="00217BFB"/>
    <w:rsid w:val="00224F4A"/>
    <w:rsid w:val="0023145C"/>
    <w:rsid w:val="00242A92"/>
    <w:rsid w:val="00242B87"/>
    <w:rsid w:val="00246DF9"/>
    <w:rsid w:val="00247971"/>
    <w:rsid w:val="00247ACD"/>
    <w:rsid w:val="00247B78"/>
    <w:rsid w:val="002506D7"/>
    <w:rsid w:val="002543C7"/>
    <w:rsid w:val="00263A68"/>
    <w:rsid w:val="00264ED7"/>
    <w:rsid w:val="00265DA4"/>
    <w:rsid w:val="002702C8"/>
    <w:rsid w:val="00270469"/>
    <w:rsid w:val="00271AF5"/>
    <w:rsid w:val="00273032"/>
    <w:rsid w:val="00273BE1"/>
    <w:rsid w:val="00274829"/>
    <w:rsid w:val="0027737E"/>
    <w:rsid w:val="0028305C"/>
    <w:rsid w:val="002838F9"/>
    <w:rsid w:val="002853FC"/>
    <w:rsid w:val="002920D0"/>
    <w:rsid w:val="0029600F"/>
    <w:rsid w:val="0029786D"/>
    <w:rsid w:val="002B15A1"/>
    <w:rsid w:val="002B731E"/>
    <w:rsid w:val="002C2954"/>
    <w:rsid w:val="002C3AC8"/>
    <w:rsid w:val="002C504F"/>
    <w:rsid w:val="002D16EA"/>
    <w:rsid w:val="002D5760"/>
    <w:rsid w:val="002D61B2"/>
    <w:rsid w:val="002D71F4"/>
    <w:rsid w:val="002D7455"/>
    <w:rsid w:val="002F09B2"/>
    <w:rsid w:val="002F275B"/>
    <w:rsid w:val="002F4333"/>
    <w:rsid w:val="002F4E97"/>
    <w:rsid w:val="00302ACF"/>
    <w:rsid w:val="00303438"/>
    <w:rsid w:val="00303840"/>
    <w:rsid w:val="00303DCE"/>
    <w:rsid w:val="0030483D"/>
    <w:rsid w:val="00304AF4"/>
    <w:rsid w:val="0030778C"/>
    <w:rsid w:val="00307F32"/>
    <w:rsid w:val="00320BAF"/>
    <w:rsid w:val="003333A2"/>
    <w:rsid w:val="00337EB0"/>
    <w:rsid w:val="003434D2"/>
    <w:rsid w:val="00347362"/>
    <w:rsid w:val="00351AF6"/>
    <w:rsid w:val="00353113"/>
    <w:rsid w:val="00354063"/>
    <w:rsid w:val="00354BEE"/>
    <w:rsid w:val="00355645"/>
    <w:rsid w:val="00356B2C"/>
    <w:rsid w:val="003622E3"/>
    <w:rsid w:val="00362A17"/>
    <w:rsid w:val="003709A2"/>
    <w:rsid w:val="00372A73"/>
    <w:rsid w:val="003732A9"/>
    <w:rsid w:val="0037448F"/>
    <w:rsid w:val="00384283"/>
    <w:rsid w:val="00391454"/>
    <w:rsid w:val="003A0996"/>
    <w:rsid w:val="003A2B12"/>
    <w:rsid w:val="003B2777"/>
    <w:rsid w:val="003B36ED"/>
    <w:rsid w:val="003B4497"/>
    <w:rsid w:val="003B46B0"/>
    <w:rsid w:val="003B5FAC"/>
    <w:rsid w:val="003C3292"/>
    <w:rsid w:val="003C4FDD"/>
    <w:rsid w:val="003C6F04"/>
    <w:rsid w:val="003D08FA"/>
    <w:rsid w:val="003D5D0A"/>
    <w:rsid w:val="003D6648"/>
    <w:rsid w:val="003E0039"/>
    <w:rsid w:val="003E14C7"/>
    <w:rsid w:val="003E15F5"/>
    <w:rsid w:val="003E3B2C"/>
    <w:rsid w:val="003E3FD1"/>
    <w:rsid w:val="003E406B"/>
    <w:rsid w:val="003E44C2"/>
    <w:rsid w:val="003E4AD7"/>
    <w:rsid w:val="003E4F45"/>
    <w:rsid w:val="003F410A"/>
    <w:rsid w:val="003F72E3"/>
    <w:rsid w:val="0040029C"/>
    <w:rsid w:val="004071EF"/>
    <w:rsid w:val="004075DB"/>
    <w:rsid w:val="00407988"/>
    <w:rsid w:val="00407E6D"/>
    <w:rsid w:val="004119C9"/>
    <w:rsid w:val="004145E0"/>
    <w:rsid w:val="00415DF4"/>
    <w:rsid w:val="00420757"/>
    <w:rsid w:val="004314F1"/>
    <w:rsid w:val="004356BC"/>
    <w:rsid w:val="00435F79"/>
    <w:rsid w:val="00440A20"/>
    <w:rsid w:val="00441DF4"/>
    <w:rsid w:val="00444CB8"/>
    <w:rsid w:val="00450D42"/>
    <w:rsid w:val="00452606"/>
    <w:rsid w:val="004538DA"/>
    <w:rsid w:val="0045476E"/>
    <w:rsid w:val="00461C07"/>
    <w:rsid w:val="00464DB5"/>
    <w:rsid w:val="0047066E"/>
    <w:rsid w:val="00470D03"/>
    <w:rsid w:val="00473066"/>
    <w:rsid w:val="00480C07"/>
    <w:rsid w:val="00483DFC"/>
    <w:rsid w:val="00484000"/>
    <w:rsid w:val="004846EC"/>
    <w:rsid w:val="00487A24"/>
    <w:rsid w:val="004937E1"/>
    <w:rsid w:val="00497123"/>
    <w:rsid w:val="004A0F95"/>
    <w:rsid w:val="004A3AEC"/>
    <w:rsid w:val="004A6B79"/>
    <w:rsid w:val="004A7AC6"/>
    <w:rsid w:val="004B0F63"/>
    <w:rsid w:val="004B2F86"/>
    <w:rsid w:val="004C3F81"/>
    <w:rsid w:val="004C5882"/>
    <w:rsid w:val="004D53CC"/>
    <w:rsid w:val="004D541E"/>
    <w:rsid w:val="004D67CD"/>
    <w:rsid w:val="004E0E4F"/>
    <w:rsid w:val="004E36D1"/>
    <w:rsid w:val="004E40E5"/>
    <w:rsid w:val="004E4E2D"/>
    <w:rsid w:val="004E5CD7"/>
    <w:rsid w:val="004E6F13"/>
    <w:rsid w:val="004F0700"/>
    <w:rsid w:val="004F733B"/>
    <w:rsid w:val="00501B27"/>
    <w:rsid w:val="00507FC0"/>
    <w:rsid w:val="0051050E"/>
    <w:rsid w:val="00514D6F"/>
    <w:rsid w:val="00517456"/>
    <w:rsid w:val="00522701"/>
    <w:rsid w:val="00524A25"/>
    <w:rsid w:val="00527C2C"/>
    <w:rsid w:val="00530FF7"/>
    <w:rsid w:val="0053268A"/>
    <w:rsid w:val="00532772"/>
    <w:rsid w:val="00532CA6"/>
    <w:rsid w:val="00534427"/>
    <w:rsid w:val="005400EC"/>
    <w:rsid w:val="00544023"/>
    <w:rsid w:val="00544354"/>
    <w:rsid w:val="00545F55"/>
    <w:rsid w:val="00546A17"/>
    <w:rsid w:val="00547ECB"/>
    <w:rsid w:val="00551355"/>
    <w:rsid w:val="00554F3A"/>
    <w:rsid w:val="00556BA2"/>
    <w:rsid w:val="00560699"/>
    <w:rsid w:val="00562307"/>
    <w:rsid w:val="00566433"/>
    <w:rsid w:val="005679C1"/>
    <w:rsid w:val="0057448E"/>
    <w:rsid w:val="00580252"/>
    <w:rsid w:val="00583A40"/>
    <w:rsid w:val="00584469"/>
    <w:rsid w:val="00586591"/>
    <w:rsid w:val="00587976"/>
    <w:rsid w:val="00590074"/>
    <w:rsid w:val="005902D7"/>
    <w:rsid w:val="005910FF"/>
    <w:rsid w:val="005921CD"/>
    <w:rsid w:val="00592240"/>
    <w:rsid w:val="005A165D"/>
    <w:rsid w:val="005A23BF"/>
    <w:rsid w:val="005A5344"/>
    <w:rsid w:val="005A7BF7"/>
    <w:rsid w:val="005B33A4"/>
    <w:rsid w:val="005B360D"/>
    <w:rsid w:val="005B4CF3"/>
    <w:rsid w:val="005B5356"/>
    <w:rsid w:val="005B5C76"/>
    <w:rsid w:val="005C06E1"/>
    <w:rsid w:val="005C2431"/>
    <w:rsid w:val="005C41D2"/>
    <w:rsid w:val="005C6D6B"/>
    <w:rsid w:val="005C7574"/>
    <w:rsid w:val="005D4BCE"/>
    <w:rsid w:val="005D63F9"/>
    <w:rsid w:val="005E1961"/>
    <w:rsid w:val="005E586E"/>
    <w:rsid w:val="005F6BB3"/>
    <w:rsid w:val="005F716B"/>
    <w:rsid w:val="005F7FAD"/>
    <w:rsid w:val="006011FE"/>
    <w:rsid w:val="006038D9"/>
    <w:rsid w:val="00620AF7"/>
    <w:rsid w:val="00623B90"/>
    <w:rsid w:val="00623EFB"/>
    <w:rsid w:val="00631F73"/>
    <w:rsid w:val="006333E4"/>
    <w:rsid w:val="00633920"/>
    <w:rsid w:val="0063431B"/>
    <w:rsid w:val="006346BC"/>
    <w:rsid w:val="00641384"/>
    <w:rsid w:val="0064214B"/>
    <w:rsid w:val="00647393"/>
    <w:rsid w:val="00654EE3"/>
    <w:rsid w:val="00661C1D"/>
    <w:rsid w:val="006663A8"/>
    <w:rsid w:val="00666D32"/>
    <w:rsid w:val="00667A1E"/>
    <w:rsid w:val="00672634"/>
    <w:rsid w:val="006834C6"/>
    <w:rsid w:val="00685332"/>
    <w:rsid w:val="0068586F"/>
    <w:rsid w:val="006902F2"/>
    <w:rsid w:val="00694802"/>
    <w:rsid w:val="00697196"/>
    <w:rsid w:val="006A3540"/>
    <w:rsid w:val="006B7481"/>
    <w:rsid w:val="006B773F"/>
    <w:rsid w:val="006C113D"/>
    <w:rsid w:val="006C1C61"/>
    <w:rsid w:val="006C5190"/>
    <w:rsid w:val="006C7B20"/>
    <w:rsid w:val="006D1B40"/>
    <w:rsid w:val="006D3102"/>
    <w:rsid w:val="006D3CBB"/>
    <w:rsid w:val="006E2D4C"/>
    <w:rsid w:val="006E6365"/>
    <w:rsid w:val="006E666A"/>
    <w:rsid w:val="006E6EF4"/>
    <w:rsid w:val="006F1B0B"/>
    <w:rsid w:val="006F23B6"/>
    <w:rsid w:val="006F631B"/>
    <w:rsid w:val="006F68F0"/>
    <w:rsid w:val="006F7DE1"/>
    <w:rsid w:val="0070052A"/>
    <w:rsid w:val="007006F2"/>
    <w:rsid w:val="00702AF4"/>
    <w:rsid w:val="00706867"/>
    <w:rsid w:val="00707542"/>
    <w:rsid w:val="0071109E"/>
    <w:rsid w:val="007120A0"/>
    <w:rsid w:val="007136F3"/>
    <w:rsid w:val="007323E5"/>
    <w:rsid w:val="007353D6"/>
    <w:rsid w:val="00743954"/>
    <w:rsid w:val="00746293"/>
    <w:rsid w:val="0074680C"/>
    <w:rsid w:val="00747C8D"/>
    <w:rsid w:val="00754C29"/>
    <w:rsid w:val="007555C9"/>
    <w:rsid w:val="007649DE"/>
    <w:rsid w:val="00765902"/>
    <w:rsid w:val="0076701A"/>
    <w:rsid w:val="00771698"/>
    <w:rsid w:val="0077394F"/>
    <w:rsid w:val="007818C3"/>
    <w:rsid w:val="007827B1"/>
    <w:rsid w:val="00790261"/>
    <w:rsid w:val="00793A88"/>
    <w:rsid w:val="00797B0A"/>
    <w:rsid w:val="00797D44"/>
    <w:rsid w:val="007A4770"/>
    <w:rsid w:val="007A6042"/>
    <w:rsid w:val="007B0640"/>
    <w:rsid w:val="007B25B4"/>
    <w:rsid w:val="007B47F9"/>
    <w:rsid w:val="007C0C62"/>
    <w:rsid w:val="007D1092"/>
    <w:rsid w:val="007D1607"/>
    <w:rsid w:val="007D1EF2"/>
    <w:rsid w:val="007D74B5"/>
    <w:rsid w:val="007D7A36"/>
    <w:rsid w:val="007E2BBD"/>
    <w:rsid w:val="007E61A3"/>
    <w:rsid w:val="007E6839"/>
    <w:rsid w:val="007E798B"/>
    <w:rsid w:val="007F130B"/>
    <w:rsid w:val="007F3C13"/>
    <w:rsid w:val="007F4317"/>
    <w:rsid w:val="007F6A06"/>
    <w:rsid w:val="008000EC"/>
    <w:rsid w:val="0080079A"/>
    <w:rsid w:val="0080090F"/>
    <w:rsid w:val="00802504"/>
    <w:rsid w:val="008027B4"/>
    <w:rsid w:val="00812059"/>
    <w:rsid w:val="00814856"/>
    <w:rsid w:val="008161A4"/>
    <w:rsid w:val="008204FB"/>
    <w:rsid w:val="0082300F"/>
    <w:rsid w:val="00826572"/>
    <w:rsid w:val="008270ED"/>
    <w:rsid w:val="008325C3"/>
    <w:rsid w:val="00832C3F"/>
    <w:rsid w:val="00834F6D"/>
    <w:rsid w:val="00837CB0"/>
    <w:rsid w:val="00841F08"/>
    <w:rsid w:val="00842129"/>
    <w:rsid w:val="00845A17"/>
    <w:rsid w:val="00845A84"/>
    <w:rsid w:val="008470F8"/>
    <w:rsid w:val="00851F5B"/>
    <w:rsid w:val="008527BC"/>
    <w:rsid w:val="0085456C"/>
    <w:rsid w:val="00856E96"/>
    <w:rsid w:val="00861665"/>
    <w:rsid w:val="00862026"/>
    <w:rsid w:val="0086222D"/>
    <w:rsid w:val="00865635"/>
    <w:rsid w:val="008709BC"/>
    <w:rsid w:val="00871CF2"/>
    <w:rsid w:val="008747BC"/>
    <w:rsid w:val="00876EB0"/>
    <w:rsid w:val="00877D6B"/>
    <w:rsid w:val="00880F59"/>
    <w:rsid w:val="008810D8"/>
    <w:rsid w:val="00883983"/>
    <w:rsid w:val="008A3387"/>
    <w:rsid w:val="008A3B2F"/>
    <w:rsid w:val="008B7FA5"/>
    <w:rsid w:val="008C24AC"/>
    <w:rsid w:val="008C4D18"/>
    <w:rsid w:val="008D42A7"/>
    <w:rsid w:val="008E4CC8"/>
    <w:rsid w:val="008E6701"/>
    <w:rsid w:val="008F1A47"/>
    <w:rsid w:val="00904EF8"/>
    <w:rsid w:val="009056D7"/>
    <w:rsid w:val="00910D89"/>
    <w:rsid w:val="00911197"/>
    <w:rsid w:val="009166E9"/>
    <w:rsid w:val="00921D8A"/>
    <w:rsid w:val="0092206C"/>
    <w:rsid w:val="00923EF6"/>
    <w:rsid w:val="00924D68"/>
    <w:rsid w:val="0092501E"/>
    <w:rsid w:val="0092542F"/>
    <w:rsid w:val="00925596"/>
    <w:rsid w:val="00927DD4"/>
    <w:rsid w:val="009350AE"/>
    <w:rsid w:val="0093743F"/>
    <w:rsid w:val="00940A90"/>
    <w:rsid w:val="00942FDD"/>
    <w:rsid w:val="00945141"/>
    <w:rsid w:val="00946ADA"/>
    <w:rsid w:val="00947AA2"/>
    <w:rsid w:val="00951A62"/>
    <w:rsid w:val="0095261F"/>
    <w:rsid w:val="00956AF8"/>
    <w:rsid w:val="00957042"/>
    <w:rsid w:val="00965BBA"/>
    <w:rsid w:val="00967A36"/>
    <w:rsid w:val="00967D46"/>
    <w:rsid w:val="00971BBE"/>
    <w:rsid w:val="0097413B"/>
    <w:rsid w:val="00976586"/>
    <w:rsid w:val="009808CE"/>
    <w:rsid w:val="00980BEB"/>
    <w:rsid w:val="0098143B"/>
    <w:rsid w:val="00981D5C"/>
    <w:rsid w:val="0098555A"/>
    <w:rsid w:val="009957D9"/>
    <w:rsid w:val="009974F7"/>
    <w:rsid w:val="00997A3D"/>
    <w:rsid w:val="00997FE7"/>
    <w:rsid w:val="009A35A9"/>
    <w:rsid w:val="009A43B0"/>
    <w:rsid w:val="009A6A24"/>
    <w:rsid w:val="009A7F8D"/>
    <w:rsid w:val="009B2909"/>
    <w:rsid w:val="009B5DD4"/>
    <w:rsid w:val="009B788D"/>
    <w:rsid w:val="009C2206"/>
    <w:rsid w:val="009C22D9"/>
    <w:rsid w:val="009C62FB"/>
    <w:rsid w:val="009D5138"/>
    <w:rsid w:val="009D6401"/>
    <w:rsid w:val="009E30C0"/>
    <w:rsid w:val="009E52BD"/>
    <w:rsid w:val="009E58DE"/>
    <w:rsid w:val="009E6D56"/>
    <w:rsid w:val="009F1731"/>
    <w:rsid w:val="009F307B"/>
    <w:rsid w:val="009F4519"/>
    <w:rsid w:val="009F57E1"/>
    <w:rsid w:val="009F60FC"/>
    <w:rsid w:val="00A030B2"/>
    <w:rsid w:val="00A03DC2"/>
    <w:rsid w:val="00A04F76"/>
    <w:rsid w:val="00A07200"/>
    <w:rsid w:val="00A10388"/>
    <w:rsid w:val="00A104E4"/>
    <w:rsid w:val="00A144A9"/>
    <w:rsid w:val="00A1571C"/>
    <w:rsid w:val="00A17C03"/>
    <w:rsid w:val="00A213C6"/>
    <w:rsid w:val="00A2269B"/>
    <w:rsid w:val="00A24E98"/>
    <w:rsid w:val="00A3389D"/>
    <w:rsid w:val="00A33A7C"/>
    <w:rsid w:val="00A35EDF"/>
    <w:rsid w:val="00A36DEE"/>
    <w:rsid w:val="00A37A80"/>
    <w:rsid w:val="00A41B21"/>
    <w:rsid w:val="00A55D26"/>
    <w:rsid w:val="00A569C1"/>
    <w:rsid w:val="00A6379F"/>
    <w:rsid w:val="00A65F70"/>
    <w:rsid w:val="00A66C1C"/>
    <w:rsid w:val="00A6723F"/>
    <w:rsid w:val="00A67B6C"/>
    <w:rsid w:val="00A765E9"/>
    <w:rsid w:val="00A83036"/>
    <w:rsid w:val="00A84B88"/>
    <w:rsid w:val="00A86232"/>
    <w:rsid w:val="00A86337"/>
    <w:rsid w:val="00AA1592"/>
    <w:rsid w:val="00AA35DD"/>
    <w:rsid w:val="00AA48A9"/>
    <w:rsid w:val="00AA4A2F"/>
    <w:rsid w:val="00AA4E62"/>
    <w:rsid w:val="00AA6D61"/>
    <w:rsid w:val="00AB1E96"/>
    <w:rsid w:val="00AB39B3"/>
    <w:rsid w:val="00AB3D44"/>
    <w:rsid w:val="00AC13CB"/>
    <w:rsid w:val="00AC3BA0"/>
    <w:rsid w:val="00AC57B6"/>
    <w:rsid w:val="00AC6FA7"/>
    <w:rsid w:val="00AC765B"/>
    <w:rsid w:val="00AC77EE"/>
    <w:rsid w:val="00AD0AAC"/>
    <w:rsid w:val="00AD0B7A"/>
    <w:rsid w:val="00AD6E88"/>
    <w:rsid w:val="00AD74AE"/>
    <w:rsid w:val="00AD7659"/>
    <w:rsid w:val="00AE2866"/>
    <w:rsid w:val="00AE387E"/>
    <w:rsid w:val="00AE3F3A"/>
    <w:rsid w:val="00AE4A06"/>
    <w:rsid w:val="00AE58F9"/>
    <w:rsid w:val="00AE72B8"/>
    <w:rsid w:val="00AF2737"/>
    <w:rsid w:val="00AF3F88"/>
    <w:rsid w:val="00AF5DC7"/>
    <w:rsid w:val="00AF6ED3"/>
    <w:rsid w:val="00B01FE6"/>
    <w:rsid w:val="00B03B6F"/>
    <w:rsid w:val="00B03FC1"/>
    <w:rsid w:val="00B056D4"/>
    <w:rsid w:val="00B06BA4"/>
    <w:rsid w:val="00B07410"/>
    <w:rsid w:val="00B1008A"/>
    <w:rsid w:val="00B11130"/>
    <w:rsid w:val="00B2293C"/>
    <w:rsid w:val="00B25671"/>
    <w:rsid w:val="00B3150E"/>
    <w:rsid w:val="00B31D22"/>
    <w:rsid w:val="00B33EC4"/>
    <w:rsid w:val="00B37037"/>
    <w:rsid w:val="00B42DFB"/>
    <w:rsid w:val="00B431D0"/>
    <w:rsid w:val="00B45C3B"/>
    <w:rsid w:val="00B462F8"/>
    <w:rsid w:val="00B468F8"/>
    <w:rsid w:val="00B474C0"/>
    <w:rsid w:val="00B475A5"/>
    <w:rsid w:val="00B547D7"/>
    <w:rsid w:val="00B5508F"/>
    <w:rsid w:val="00B60046"/>
    <w:rsid w:val="00B60A1E"/>
    <w:rsid w:val="00B63F70"/>
    <w:rsid w:val="00B76A3B"/>
    <w:rsid w:val="00B76DEC"/>
    <w:rsid w:val="00B8026E"/>
    <w:rsid w:val="00B8516A"/>
    <w:rsid w:val="00B85FF0"/>
    <w:rsid w:val="00B860ED"/>
    <w:rsid w:val="00B863A3"/>
    <w:rsid w:val="00B91C9E"/>
    <w:rsid w:val="00B94372"/>
    <w:rsid w:val="00B96153"/>
    <w:rsid w:val="00BB0052"/>
    <w:rsid w:val="00BB1C0F"/>
    <w:rsid w:val="00BB2ED2"/>
    <w:rsid w:val="00BB3A8D"/>
    <w:rsid w:val="00BB4663"/>
    <w:rsid w:val="00BB4910"/>
    <w:rsid w:val="00BB4FA2"/>
    <w:rsid w:val="00BB52C4"/>
    <w:rsid w:val="00BB6E44"/>
    <w:rsid w:val="00BC35BF"/>
    <w:rsid w:val="00BD36B1"/>
    <w:rsid w:val="00BD59E9"/>
    <w:rsid w:val="00BF1896"/>
    <w:rsid w:val="00BF1F5D"/>
    <w:rsid w:val="00BF24F0"/>
    <w:rsid w:val="00BF34A6"/>
    <w:rsid w:val="00BF724B"/>
    <w:rsid w:val="00BF769E"/>
    <w:rsid w:val="00C02BAF"/>
    <w:rsid w:val="00C02C5C"/>
    <w:rsid w:val="00C05E8C"/>
    <w:rsid w:val="00C102F9"/>
    <w:rsid w:val="00C13A3B"/>
    <w:rsid w:val="00C264B3"/>
    <w:rsid w:val="00C30BF0"/>
    <w:rsid w:val="00C32F7B"/>
    <w:rsid w:val="00C333D1"/>
    <w:rsid w:val="00C353D1"/>
    <w:rsid w:val="00C35755"/>
    <w:rsid w:val="00C4084E"/>
    <w:rsid w:val="00C4539F"/>
    <w:rsid w:val="00C45908"/>
    <w:rsid w:val="00C45DC1"/>
    <w:rsid w:val="00C50AA6"/>
    <w:rsid w:val="00C52A96"/>
    <w:rsid w:val="00C5424F"/>
    <w:rsid w:val="00C56858"/>
    <w:rsid w:val="00C57C78"/>
    <w:rsid w:val="00C63936"/>
    <w:rsid w:val="00C702C4"/>
    <w:rsid w:val="00C72516"/>
    <w:rsid w:val="00C776DB"/>
    <w:rsid w:val="00C77800"/>
    <w:rsid w:val="00C82E82"/>
    <w:rsid w:val="00C83BF2"/>
    <w:rsid w:val="00C844FE"/>
    <w:rsid w:val="00C913B8"/>
    <w:rsid w:val="00C93944"/>
    <w:rsid w:val="00C94507"/>
    <w:rsid w:val="00C964C4"/>
    <w:rsid w:val="00CA0A88"/>
    <w:rsid w:val="00CA150B"/>
    <w:rsid w:val="00CA1F08"/>
    <w:rsid w:val="00CA2E58"/>
    <w:rsid w:val="00CA2EEE"/>
    <w:rsid w:val="00CA466D"/>
    <w:rsid w:val="00CA48E4"/>
    <w:rsid w:val="00CA4CBB"/>
    <w:rsid w:val="00CA63C8"/>
    <w:rsid w:val="00CB1D43"/>
    <w:rsid w:val="00CB2DD7"/>
    <w:rsid w:val="00CB3C24"/>
    <w:rsid w:val="00CB44AF"/>
    <w:rsid w:val="00CB7261"/>
    <w:rsid w:val="00CB7CB1"/>
    <w:rsid w:val="00CC0265"/>
    <w:rsid w:val="00CC08B3"/>
    <w:rsid w:val="00CC4EDA"/>
    <w:rsid w:val="00CC57F0"/>
    <w:rsid w:val="00CD2359"/>
    <w:rsid w:val="00CD23AE"/>
    <w:rsid w:val="00CD2974"/>
    <w:rsid w:val="00CD2C54"/>
    <w:rsid w:val="00CD2C5A"/>
    <w:rsid w:val="00CD3CEA"/>
    <w:rsid w:val="00CD5724"/>
    <w:rsid w:val="00CD5B6F"/>
    <w:rsid w:val="00CE1BCD"/>
    <w:rsid w:val="00CE22ED"/>
    <w:rsid w:val="00CE24FB"/>
    <w:rsid w:val="00CE6F0F"/>
    <w:rsid w:val="00CE7DC2"/>
    <w:rsid w:val="00CF0E7E"/>
    <w:rsid w:val="00CF0EF7"/>
    <w:rsid w:val="00CF3714"/>
    <w:rsid w:val="00CF4010"/>
    <w:rsid w:val="00CF40D8"/>
    <w:rsid w:val="00CF55A5"/>
    <w:rsid w:val="00D000E5"/>
    <w:rsid w:val="00D03869"/>
    <w:rsid w:val="00D047A6"/>
    <w:rsid w:val="00D05D7D"/>
    <w:rsid w:val="00D05EBC"/>
    <w:rsid w:val="00D0693F"/>
    <w:rsid w:val="00D0793B"/>
    <w:rsid w:val="00D14E21"/>
    <w:rsid w:val="00D16F3C"/>
    <w:rsid w:val="00D1769B"/>
    <w:rsid w:val="00D2137D"/>
    <w:rsid w:val="00D2674C"/>
    <w:rsid w:val="00D26BA8"/>
    <w:rsid w:val="00D35D41"/>
    <w:rsid w:val="00D37E74"/>
    <w:rsid w:val="00D42A6C"/>
    <w:rsid w:val="00D447BF"/>
    <w:rsid w:val="00D44BAA"/>
    <w:rsid w:val="00D44D08"/>
    <w:rsid w:val="00D45610"/>
    <w:rsid w:val="00D46FA0"/>
    <w:rsid w:val="00D53841"/>
    <w:rsid w:val="00D53DE4"/>
    <w:rsid w:val="00D540A0"/>
    <w:rsid w:val="00D551D6"/>
    <w:rsid w:val="00D5586A"/>
    <w:rsid w:val="00D56F61"/>
    <w:rsid w:val="00D603F2"/>
    <w:rsid w:val="00D65035"/>
    <w:rsid w:val="00D65D6D"/>
    <w:rsid w:val="00D66695"/>
    <w:rsid w:val="00D72E02"/>
    <w:rsid w:val="00D74F78"/>
    <w:rsid w:val="00D755DC"/>
    <w:rsid w:val="00D75D0D"/>
    <w:rsid w:val="00D763C9"/>
    <w:rsid w:val="00D76D24"/>
    <w:rsid w:val="00D77A8C"/>
    <w:rsid w:val="00D80CC0"/>
    <w:rsid w:val="00D81C3A"/>
    <w:rsid w:val="00D90F14"/>
    <w:rsid w:val="00D9314C"/>
    <w:rsid w:val="00D96730"/>
    <w:rsid w:val="00D97850"/>
    <w:rsid w:val="00DA16EE"/>
    <w:rsid w:val="00DA2203"/>
    <w:rsid w:val="00DB011C"/>
    <w:rsid w:val="00DB2743"/>
    <w:rsid w:val="00DB4774"/>
    <w:rsid w:val="00DC0A67"/>
    <w:rsid w:val="00DC1FF6"/>
    <w:rsid w:val="00DC46E6"/>
    <w:rsid w:val="00DC5BD7"/>
    <w:rsid w:val="00DD108B"/>
    <w:rsid w:val="00DD5FE1"/>
    <w:rsid w:val="00DD6503"/>
    <w:rsid w:val="00DE0EE6"/>
    <w:rsid w:val="00DF0A64"/>
    <w:rsid w:val="00DF263F"/>
    <w:rsid w:val="00DF2FC7"/>
    <w:rsid w:val="00DF354E"/>
    <w:rsid w:val="00E015A9"/>
    <w:rsid w:val="00E06BA5"/>
    <w:rsid w:val="00E07302"/>
    <w:rsid w:val="00E10E16"/>
    <w:rsid w:val="00E11757"/>
    <w:rsid w:val="00E14CC7"/>
    <w:rsid w:val="00E20134"/>
    <w:rsid w:val="00E21B36"/>
    <w:rsid w:val="00E23D27"/>
    <w:rsid w:val="00E26841"/>
    <w:rsid w:val="00E363B4"/>
    <w:rsid w:val="00E36A8C"/>
    <w:rsid w:val="00E44A01"/>
    <w:rsid w:val="00E510CE"/>
    <w:rsid w:val="00E55156"/>
    <w:rsid w:val="00E576A9"/>
    <w:rsid w:val="00E6118B"/>
    <w:rsid w:val="00E611EE"/>
    <w:rsid w:val="00E615A7"/>
    <w:rsid w:val="00E63C5F"/>
    <w:rsid w:val="00E646C0"/>
    <w:rsid w:val="00E65074"/>
    <w:rsid w:val="00E71337"/>
    <w:rsid w:val="00E806AF"/>
    <w:rsid w:val="00E854C0"/>
    <w:rsid w:val="00E8763C"/>
    <w:rsid w:val="00E878CD"/>
    <w:rsid w:val="00E87BAA"/>
    <w:rsid w:val="00E9164B"/>
    <w:rsid w:val="00E91C46"/>
    <w:rsid w:val="00E92EDD"/>
    <w:rsid w:val="00E93398"/>
    <w:rsid w:val="00E974EC"/>
    <w:rsid w:val="00E979E7"/>
    <w:rsid w:val="00EA347A"/>
    <w:rsid w:val="00EA5C4B"/>
    <w:rsid w:val="00EB1E8D"/>
    <w:rsid w:val="00EB2E0A"/>
    <w:rsid w:val="00EB6A1B"/>
    <w:rsid w:val="00ED3122"/>
    <w:rsid w:val="00ED3462"/>
    <w:rsid w:val="00EE15A2"/>
    <w:rsid w:val="00EE4F54"/>
    <w:rsid w:val="00EE585B"/>
    <w:rsid w:val="00EF6656"/>
    <w:rsid w:val="00EF66A1"/>
    <w:rsid w:val="00EF6EB7"/>
    <w:rsid w:val="00F07F32"/>
    <w:rsid w:val="00F10B35"/>
    <w:rsid w:val="00F1694C"/>
    <w:rsid w:val="00F20DFE"/>
    <w:rsid w:val="00F231A9"/>
    <w:rsid w:val="00F26A85"/>
    <w:rsid w:val="00F26DF5"/>
    <w:rsid w:val="00F301E6"/>
    <w:rsid w:val="00F302E5"/>
    <w:rsid w:val="00F3087F"/>
    <w:rsid w:val="00F316AA"/>
    <w:rsid w:val="00F34BDA"/>
    <w:rsid w:val="00F36D79"/>
    <w:rsid w:val="00F40EB3"/>
    <w:rsid w:val="00F4186E"/>
    <w:rsid w:val="00F4574D"/>
    <w:rsid w:val="00F45BAC"/>
    <w:rsid w:val="00F5265D"/>
    <w:rsid w:val="00F54B7B"/>
    <w:rsid w:val="00F55613"/>
    <w:rsid w:val="00F568B4"/>
    <w:rsid w:val="00F64649"/>
    <w:rsid w:val="00F64989"/>
    <w:rsid w:val="00F65FBF"/>
    <w:rsid w:val="00F6793E"/>
    <w:rsid w:val="00F81FE2"/>
    <w:rsid w:val="00F85090"/>
    <w:rsid w:val="00F85B46"/>
    <w:rsid w:val="00F874F2"/>
    <w:rsid w:val="00F952F8"/>
    <w:rsid w:val="00FA2AFF"/>
    <w:rsid w:val="00FA6F02"/>
    <w:rsid w:val="00FB1B4F"/>
    <w:rsid w:val="00FB4719"/>
    <w:rsid w:val="00FB4C23"/>
    <w:rsid w:val="00FC38A0"/>
    <w:rsid w:val="00FC5C11"/>
    <w:rsid w:val="00FD0C02"/>
    <w:rsid w:val="00FD25D2"/>
    <w:rsid w:val="00FD30F2"/>
    <w:rsid w:val="00FD5737"/>
    <w:rsid w:val="00FD595A"/>
    <w:rsid w:val="00FE3270"/>
    <w:rsid w:val="00FE3E33"/>
    <w:rsid w:val="00FE4C29"/>
    <w:rsid w:val="00FE5F1A"/>
    <w:rsid w:val="00FF12CD"/>
    <w:rsid w:val="00FF1FDF"/>
    <w:rsid w:val="00FF5A12"/>
    <w:rsid w:val="00FF614F"/>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94AC"/>
  <w15:chartTrackingRefBased/>
  <w15:docId w15:val="{6F9A4A23-499F-4871-8747-3C7148A2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84"/>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FA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FF"/>
    <w:rPr>
      <w:rFonts w:eastAsiaTheme="majorEastAsia" w:cstheme="majorBidi"/>
      <w:color w:val="272727" w:themeColor="text1" w:themeTint="D8"/>
    </w:rPr>
  </w:style>
  <w:style w:type="paragraph" w:styleId="Title">
    <w:name w:val="Title"/>
    <w:basedOn w:val="Normal"/>
    <w:next w:val="Normal"/>
    <w:link w:val="TitleChar"/>
    <w:uiPriority w:val="10"/>
    <w:qFormat/>
    <w:rsid w:val="00FA2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FF"/>
    <w:pPr>
      <w:spacing w:before="160"/>
      <w:jc w:val="center"/>
    </w:pPr>
    <w:rPr>
      <w:i/>
      <w:iCs/>
      <w:color w:val="404040" w:themeColor="text1" w:themeTint="BF"/>
    </w:rPr>
  </w:style>
  <w:style w:type="character" w:customStyle="1" w:styleId="QuoteChar">
    <w:name w:val="Quote Char"/>
    <w:basedOn w:val="DefaultParagraphFont"/>
    <w:link w:val="Quote"/>
    <w:uiPriority w:val="29"/>
    <w:rsid w:val="00FA2AFF"/>
    <w:rPr>
      <w:i/>
      <w:iCs/>
      <w:color w:val="404040" w:themeColor="text1" w:themeTint="BF"/>
    </w:rPr>
  </w:style>
  <w:style w:type="paragraph" w:styleId="ListParagraph">
    <w:name w:val="List Paragraph"/>
    <w:basedOn w:val="Normal"/>
    <w:uiPriority w:val="34"/>
    <w:qFormat/>
    <w:rsid w:val="00FA2AFF"/>
    <w:pPr>
      <w:ind w:left="720"/>
      <w:contextualSpacing/>
    </w:pPr>
  </w:style>
  <w:style w:type="character" w:styleId="IntenseEmphasis">
    <w:name w:val="Intense Emphasis"/>
    <w:basedOn w:val="DefaultParagraphFont"/>
    <w:uiPriority w:val="21"/>
    <w:qFormat/>
    <w:rsid w:val="00FA2AFF"/>
    <w:rPr>
      <w:i/>
      <w:iCs/>
      <w:color w:val="0F4761" w:themeColor="accent1" w:themeShade="BF"/>
    </w:rPr>
  </w:style>
  <w:style w:type="paragraph" w:styleId="IntenseQuote">
    <w:name w:val="Intense Quote"/>
    <w:basedOn w:val="Normal"/>
    <w:next w:val="Normal"/>
    <w:link w:val="IntenseQuoteChar"/>
    <w:uiPriority w:val="30"/>
    <w:qFormat/>
    <w:rsid w:val="00FA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AFF"/>
    <w:rPr>
      <w:i/>
      <w:iCs/>
      <w:color w:val="0F4761" w:themeColor="accent1" w:themeShade="BF"/>
    </w:rPr>
  </w:style>
  <w:style w:type="character" w:styleId="IntenseReference">
    <w:name w:val="Intense Reference"/>
    <w:basedOn w:val="DefaultParagraphFont"/>
    <w:uiPriority w:val="32"/>
    <w:qFormat/>
    <w:rsid w:val="00FA2AFF"/>
    <w:rPr>
      <w:b/>
      <w:bCs/>
      <w:smallCaps/>
      <w:color w:val="0F4761" w:themeColor="accent1" w:themeShade="BF"/>
      <w:spacing w:val="5"/>
    </w:rPr>
  </w:style>
  <w:style w:type="paragraph" w:customStyle="1" w:styleId="TBullet">
    <w:name w:val="T_Bullet"/>
    <w:basedOn w:val="Normal"/>
    <w:rsid w:val="00845A84"/>
    <w:pPr>
      <w:numPr>
        <w:numId w:val="1"/>
      </w:numPr>
      <w:tabs>
        <w:tab w:val="left" w:pos="851"/>
      </w:tabs>
    </w:pPr>
    <w:rPr>
      <w:color w:val="000000"/>
      <w:sz w:val="20"/>
    </w:rPr>
  </w:style>
  <w:style w:type="paragraph" w:customStyle="1" w:styleId="Style1">
    <w:name w:val="Style1"/>
    <w:basedOn w:val="Heading1"/>
    <w:rsid w:val="00845A84"/>
    <w:pPr>
      <w:keepNext w:val="0"/>
      <w:keepLines w:val="0"/>
      <w:tabs>
        <w:tab w:val="num" w:pos="360"/>
        <w:tab w:val="left" w:pos="432"/>
      </w:tabs>
      <w:spacing w:before="180" w:after="0"/>
    </w:pPr>
    <w:rPr>
      <w:rFonts w:ascii="Verdana" w:eastAsia="Times New Roman" w:hAnsi="Verdana" w:cs="Times New Roman"/>
      <w:color w:val="000000"/>
      <w:kern w:val="28"/>
      <w:sz w:val="22"/>
      <w:szCs w:val="20"/>
    </w:rPr>
  </w:style>
  <w:style w:type="paragraph" w:customStyle="1" w:styleId="Conditions1">
    <w:name w:val="Conditions1"/>
    <w:rsid w:val="00845A84"/>
    <w:pPr>
      <w:numPr>
        <w:numId w:val="4"/>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845A84"/>
    <w:pPr>
      <w:numPr>
        <w:ilvl w:val="2"/>
        <w:numId w:val="4"/>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845A84"/>
    <w:pPr>
      <w:keepLines w:val="0"/>
      <w:widowControl w:val="0"/>
      <w:spacing w:before="180"/>
    </w:pPr>
    <w:rPr>
      <w:rFonts w:eastAsia="Times New Roman" w:cs="Times New Roman"/>
      <w:b/>
      <w:i w:val="0"/>
      <w:iCs w:val="0"/>
      <w:color w:val="000000"/>
    </w:rPr>
  </w:style>
  <w:style w:type="paragraph" w:customStyle="1" w:styleId="ConditionsBullet">
    <w:name w:val="ConditionsBullet"/>
    <w:basedOn w:val="Conditions2"/>
    <w:qFormat/>
    <w:rsid w:val="00845A84"/>
    <w:pPr>
      <w:numPr>
        <w:ilvl w:val="3"/>
      </w:numPr>
      <w:spacing w:before="0"/>
    </w:pPr>
  </w:style>
  <w:style w:type="numbering" w:customStyle="1" w:styleId="ConditionsList">
    <w:name w:val="ConditionsList"/>
    <w:uiPriority w:val="99"/>
    <w:rsid w:val="00845A84"/>
    <w:pPr>
      <w:numPr>
        <w:numId w:val="2"/>
      </w:numPr>
    </w:pPr>
  </w:style>
  <w:style w:type="paragraph" w:customStyle="1" w:styleId="ConditionsNoNumber">
    <w:name w:val="ConditionsNoNumber"/>
    <w:basedOn w:val="Normal"/>
    <w:qFormat/>
    <w:rsid w:val="00845A84"/>
    <w:pPr>
      <w:numPr>
        <w:ilvl w:val="1"/>
        <w:numId w:val="4"/>
      </w:numPr>
      <w:spacing w:before="120"/>
    </w:pPr>
  </w:style>
  <w:style w:type="paragraph" w:customStyle="1" w:styleId="ConditionsNoNumberNoSpaceBefore">
    <w:name w:val="ConditionsNoNumberNoSpaceBefore"/>
    <w:basedOn w:val="ConditionsNoNumber"/>
    <w:qFormat/>
    <w:rsid w:val="00845A84"/>
    <w:pPr>
      <w:numPr>
        <w:ilvl w:val="4"/>
      </w:numPr>
      <w:spacing w:before="0"/>
    </w:pPr>
  </w:style>
  <w:style w:type="numbering" w:customStyle="1" w:styleId="StylesList">
    <w:name w:val="StylesList"/>
    <w:uiPriority w:val="99"/>
    <w:rsid w:val="00845A84"/>
    <w:pPr>
      <w:numPr>
        <w:numId w:val="6"/>
      </w:numPr>
    </w:pPr>
  </w:style>
  <w:style w:type="paragraph" w:styleId="Header">
    <w:name w:val="header"/>
    <w:basedOn w:val="Normal"/>
    <w:link w:val="HeaderChar"/>
    <w:uiPriority w:val="99"/>
    <w:unhideWhenUsed/>
    <w:rsid w:val="00115485"/>
    <w:pPr>
      <w:tabs>
        <w:tab w:val="center" w:pos="4513"/>
        <w:tab w:val="right" w:pos="9026"/>
      </w:tabs>
    </w:pPr>
  </w:style>
  <w:style w:type="character" w:customStyle="1" w:styleId="HeaderChar">
    <w:name w:val="Header Char"/>
    <w:basedOn w:val="DefaultParagraphFont"/>
    <w:link w:val="Header"/>
    <w:uiPriority w:val="99"/>
    <w:rsid w:val="00115485"/>
    <w:rPr>
      <w:rFonts w:ascii="Verdana" w:eastAsia="Times New Roman" w:hAnsi="Verdana" w:cs="Times New Roman"/>
      <w:kern w:val="0"/>
      <w:szCs w:val="20"/>
      <w:lang w:eastAsia="en-GB"/>
      <w14:ligatures w14:val="none"/>
    </w:rPr>
  </w:style>
  <w:style w:type="paragraph" w:styleId="Footer">
    <w:name w:val="footer"/>
    <w:basedOn w:val="Normal"/>
    <w:link w:val="FooterChar"/>
    <w:uiPriority w:val="99"/>
    <w:unhideWhenUsed/>
    <w:rsid w:val="00115485"/>
    <w:pPr>
      <w:tabs>
        <w:tab w:val="center" w:pos="4513"/>
        <w:tab w:val="right" w:pos="9026"/>
      </w:tabs>
    </w:pPr>
  </w:style>
  <w:style w:type="character" w:customStyle="1" w:styleId="FooterChar">
    <w:name w:val="Footer Char"/>
    <w:basedOn w:val="DefaultParagraphFont"/>
    <w:link w:val="Footer"/>
    <w:uiPriority w:val="99"/>
    <w:rsid w:val="00115485"/>
    <w:rPr>
      <w:rFonts w:ascii="Verdana" w:eastAsia="Times New Roman" w:hAnsi="Verdana" w:cs="Times New Roman"/>
      <w:kern w:val="0"/>
      <w:szCs w:val="20"/>
      <w:lang w:eastAsia="en-GB"/>
      <w14:ligatures w14:val="none"/>
    </w:rPr>
  </w:style>
  <w:style w:type="paragraph" w:customStyle="1" w:styleId="Default">
    <w:name w:val="Default"/>
    <w:rsid w:val="007F6A06"/>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F6498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B94372"/>
    <w:rPr>
      <w:color w:val="467886" w:themeColor="hyperlink"/>
      <w:u w:val="single"/>
    </w:rPr>
  </w:style>
  <w:style w:type="character" w:styleId="UnresolvedMention">
    <w:name w:val="Unresolved Mention"/>
    <w:basedOn w:val="DefaultParagraphFont"/>
    <w:uiPriority w:val="99"/>
    <w:semiHidden/>
    <w:unhideWhenUsed/>
    <w:rsid w:val="00B94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27322">
      <w:bodyDiv w:val="1"/>
      <w:marLeft w:val="0"/>
      <w:marRight w:val="0"/>
      <w:marTop w:val="0"/>
      <w:marBottom w:val="0"/>
      <w:divBdr>
        <w:top w:val="none" w:sz="0" w:space="0" w:color="auto"/>
        <w:left w:val="none" w:sz="0" w:space="0" w:color="auto"/>
        <w:bottom w:val="none" w:sz="0" w:space="0" w:color="auto"/>
        <w:right w:val="none" w:sz="0" w:space="0" w:color="auto"/>
      </w:divBdr>
    </w:div>
    <w:div w:id="18943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C1B22-A5B9-461C-A29B-A35A8C02B654}">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40D36B03-6F1E-42E7-898E-6BAD925EB986}">
  <ds:schemaRefs>
    <ds:schemaRef ds:uri="http://schemas.microsoft.com/sharepoint/v3/contenttype/forms"/>
  </ds:schemaRefs>
</ds:datastoreItem>
</file>

<file path=customXml/itemProps3.xml><?xml version="1.0" encoding="utf-8"?>
<ds:datastoreItem xmlns:ds="http://schemas.openxmlformats.org/officeDocument/2006/customXml" ds:itemID="{EB35E07B-5F36-4611-ADB5-77FE9AF723D4}">
  <ds:schemaRefs>
    <ds:schemaRef ds:uri="http://schemas.openxmlformats.org/officeDocument/2006/bibliography"/>
  </ds:schemaRefs>
</ds:datastoreItem>
</file>

<file path=customXml/itemProps4.xml><?xml version="1.0" encoding="utf-8"?>
<ds:datastoreItem xmlns:ds="http://schemas.openxmlformats.org/officeDocument/2006/customXml" ds:itemID="{B508E943-1DB6-4D88-8020-F98385C17A26}"/>
</file>

<file path=docProps/app.xml><?xml version="1.0" encoding="utf-8"?>
<Properties xmlns="http://schemas.openxmlformats.org/officeDocument/2006/extended-properties" xmlns:vt="http://schemas.openxmlformats.org/officeDocument/2006/docPropsVTypes">
  <Template>Normal.dotm</Template>
  <TotalTime>4</TotalTime>
  <Pages>9</Pages>
  <Words>3340</Words>
  <Characters>19040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Clive Richards</cp:lastModifiedBy>
  <cp:revision>6</cp:revision>
  <dcterms:created xsi:type="dcterms:W3CDTF">2026-03-03T14:39:00Z</dcterms:created>
  <dcterms:modified xsi:type="dcterms:W3CDTF">2026-03-03T14:42:00Z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