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6CD9" w14:textId="2E5E89D2" w:rsidR="006F3E53" w:rsidRDefault="006F3E53" w:rsidP="0033523E">
      <w:pPr>
        <w:pStyle w:val="Footer"/>
        <w:spacing w:before="240" w:after="240" w:line="276" w:lineRule="auto"/>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2B124880" wp14:editId="3053255B">
            <wp:simplePos x="0" y="0"/>
            <wp:positionH relativeFrom="margin">
              <wp:posOffset>-368300</wp:posOffset>
            </wp:positionH>
            <wp:positionV relativeFrom="margin">
              <wp:posOffset>-508635</wp:posOffset>
            </wp:positionV>
            <wp:extent cx="1238250" cy="1094105"/>
            <wp:effectExtent l="0" t="0" r="0" b="0"/>
            <wp:wrapSquare wrapText="bothSides"/>
            <wp:docPr id="65696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65259" name="Picture 6569652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094105"/>
                    </a:xfrm>
                    <a:prstGeom prst="rect">
                      <a:avLst/>
                    </a:prstGeom>
                  </pic:spPr>
                </pic:pic>
              </a:graphicData>
            </a:graphic>
            <wp14:sizeRelH relativeFrom="margin">
              <wp14:pctWidth>0</wp14:pctWidth>
            </wp14:sizeRelH>
            <wp14:sizeRelV relativeFrom="margin">
              <wp14:pctHeight>0</wp14:pctHeight>
            </wp14:sizeRelV>
          </wp:anchor>
        </w:drawing>
      </w:r>
    </w:p>
    <w:p w14:paraId="78A4E227" w14:textId="77777777" w:rsidR="006F3E53" w:rsidRDefault="006F3E53" w:rsidP="0033523E">
      <w:pPr>
        <w:pStyle w:val="Footer"/>
        <w:spacing w:before="240" w:after="240" w:line="276" w:lineRule="auto"/>
        <w:jc w:val="center"/>
        <w:rPr>
          <w:rFonts w:ascii="Arial" w:hAnsi="Arial" w:cs="Arial"/>
          <w:b/>
          <w:bCs/>
          <w:sz w:val="24"/>
          <w:szCs w:val="24"/>
        </w:rPr>
      </w:pPr>
    </w:p>
    <w:p w14:paraId="142BF2EE" w14:textId="5AE8C1C5" w:rsidR="00BC06B5" w:rsidRPr="00F94E08" w:rsidRDefault="0018633F" w:rsidP="006F3E53">
      <w:pPr>
        <w:pStyle w:val="Footer"/>
        <w:spacing w:before="240" w:after="240" w:line="276" w:lineRule="auto"/>
        <w:jc w:val="center"/>
        <w:rPr>
          <w:rFonts w:ascii="Arial" w:hAnsi="Arial" w:cs="Arial"/>
          <w:b/>
          <w:bCs/>
          <w:sz w:val="24"/>
          <w:szCs w:val="24"/>
        </w:rPr>
      </w:pPr>
      <w:r w:rsidRPr="00F94E08">
        <w:rPr>
          <w:rFonts w:ascii="Arial" w:hAnsi="Arial" w:cs="Arial"/>
          <w:b/>
          <w:bCs/>
          <w:sz w:val="24"/>
          <w:szCs w:val="24"/>
        </w:rPr>
        <w:t>Fee Scale</w:t>
      </w:r>
      <w:r w:rsidR="00E402B6" w:rsidRPr="00F94E08">
        <w:rPr>
          <w:rFonts w:ascii="Arial" w:hAnsi="Arial" w:cs="Arial"/>
          <w:b/>
          <w:bCs/>
          <w:sz w:val="24"/>
          <w:szCs w:val="24"/>
        </w:rPr>
        <w:t xml:space="preserve"> Procedure</w:t>
      </w:r>
      <w:r w:rsidR="00BC06B5" w:rsidRPr="00F94E08">
        <w:rPr>
          <w:rFonts w:ascii="Arial" w:hAnsi="Arial" w:cs="Arial"/>
          <w:b/>
          <w:bCs/>
          <w:sz w:val="24"/>
          <w:szCs w:val="24"/>
        </w:rPr>
        <w:t xml:space="preserve"> </w:t>
      </w:r>
      <w:r w:rsidR="00466868" w:rsidRPr="00F94E08">
        <w:rPr>
          <w:rFonts w:ascii="Arial" w:hAnsi="Arial" w:cs="Arial"/>
          <w:b/>
          <w:bCs/>
          <w:sz w:val="24"/>
          <w:szCs w:val="24"/>
        </w:rPr>
        <w:t>–</w:t>
      </w:r>
      <w:r w:rsidR="00BC06B5" w:rsidRPr="00F94E08">
        <w:rPr>
          <w:rFonts w:ascii="Arial" w:hAnsi="Arial" w:cs="Arial"/>
          <w:b/>
          <w:bCs/>
          <w:sz w:val="24"/>
          <w:szCs w:val="24"/>
        </w:rPr>
        <w:t xml:space="preserve"> Adviser Guidance</w:t>
      </w:r>
    </w:p>
    <w:p w14:paraId="7EF81CA6" w14:textId="6713F69B" w:rsidR="00BC06B5" w:rsidRPr="00F94E08" w:rsidRDefault="00BC06B5" w:rsidP="007615BF">
      <w:pPr>
        <w:pStyle w:val="Footer"/>
        <w:spacing w:after="120" w:line="276" w:lineRule="auto"/>
        <w:rPr>
          <w:rFonts w:ascii="Arial" w:hAnsi="Arial" w:cs="Arial"/>
          <w:sz w:val="24"/>
          <w:szCs w:val="24"/>
        </w:rPr>
      </w:pPr>
      <w:r w:rsidRPr="00F94E08">
        <w:rPr>
          <w:rFonts w:ascii="Arial" w:hAnsi="Arial" w:cs="Arial"/>
          <w:sz w:val="24"/>
          <w:szCs w:val="24"/>
        </w:rPr>
        <w:t xml:space="preserve">The information below provides guidance on </w:t>
      </w:r>
      <w:r w:rsidR="00993AA5" w:rsidRPr="00F94E08">
        <w:rPr>
          <w:rFonts w:ascii="Arial" w:hAnsi="Arial" w:cs="Arial"/>
          <w:sz w:val="24"/>
          <w:szCs w:val="24"/>
        </w:rPr>
        <w:t xml:space="preserve">what </w:t>
      </w:r>
      <w:r w:rsidRPr="00F94E08">
        <w:rPr>
          <w:rFonts w:ascii="Arial" w:hAnsi="Arial" w:cs="Arial"/>
          <w:sz w:val="24"/>
          <w:szCs w:val="24"/>
        </w:rPr>
        <w:t xml:space="preserve">the </w:t>
      </w:r>
      <w:r w:rsidR="008C5D0E" w:rsidRPr="00F94E08">
        <w:rPr>
          <w:rFonts w:ascii="Arial" w:hAnsi="Arial" w:cs="Arial"/>
          <w:sz w:val="24"/>
          <w:szCs w:val="24"/>
        </w:rPr>
        <w:t xml:space="preserve">Principle, </w:t>
      </w:r>
      <w:r w:rsidRPr="00F94E08">
        <w:rPr>
          <w:rFonts w:ascii="Arial" w:hAnsi="Arial" w:cs="Arial"/>
          <w:sz w:val="24"/>
          <w:szCs w:val="24"/>
        </w:rPr>
        <w:t>Codes</w:t>
      </w:r>
      <w:r w:rsidR="008C5D0E" w:rsidRPr="00F94E08">
        <w:rPr>
          <w:rFonts w:ascii="Arial" w:hAnsi="Arial" w:cs="Arial"/>
          <w:sz w:val="24"/>
          <w:szCs w:val="24"/>
        </w:rPr>
        <w:t xml:space="preserve"> and </w:t>
      </w:r>
      <w:r w:rsidR="00C13B22" w:rsidRPr="00F94E08">
        <w:rPr>
          <w:rFonts w:ascii="Arial" w:hAnsi="Arial" w:cs="Arial"/>
          <w:sz w:val="24"/>
          <w:szCs w:val="24"/>
        </w:rPr>
        <w:t>Guidance Notes</w:t>
      </w:r>
      <w:r w:rsidR="00993AA5" w:rsidRPr="00F94E08">
        <w:rPr>
          <w:rFonts w:ascii="Arial" w:hAnsi="Arial" w:cs="Arial"/>
          <w:sz w:val="24"/>
          <w:szCs w:val="24"/>
        </w:rPr>
        <w:t xml:space="preserve"> relating to </w:t>
      </w:r>
      <w:r w:rsidR="0018633F" w:rsidRPr="00F94E08">
        <w:rPr>
          <w:rFonts w:ascii="Arial" w:hAnsi="Arial" w:cs="Arial"/>
          <w:sz w:val="24"/>
          <w:szCs w:val="24"/>
        </w:rPr>
        <w:t>fee scale</w:t>
      </w:r>
      <w:r w:rsidR="00993AA5" w:rsidRPr="00F94E08">
        <w:rPr>
          <w:rFonts w:ascii="Arial" w:hAnsi="Arial" w:cs="Arial"/>
          <w:sz w:val="24"/>
          <w:szCs w:val="24"/>
        </w:rPr>
        <w:t xml:space="preserve"> mean and what the Commissioner</w:t>
      </w:r>
      <w:r w:rsidR="00CD7960" w:rsidRPr="00F94E08">
        <w:rPr>
          <w:rFonts w:ascii="Arial" w:hAnsi="Arial" w:cs="Arial"/>
          <w:sz w:val="24"/>
          <w:szCs w:val="24"/>
        </w:rPr>
        <w:t>/IAA</w:t>
      </w:r>
      <w:r w:rsidR="00993AA5" w:rsidRPr="00F94E08">
        <w:rPr>
          <w:rFonts w:ascii="Arial" w:hAnsi="Arial" w:cs="Arial"/>
          <w:sz w:val="24"/>
          <w:szCs w:val="24"/>
        </w:rPr>
        <w:t xml:space="preserve"> expects you to do </w:t>
      </w:r>
      <w:proofErr w:type="gramStart"/>
      <w:r w:rsidR="00993AA5" w:rsidRPr="00F94E08">
        <w:rPr>
          <w:rFonts w:ascii="Arial" w:hAnsi="Arial" w:cs="Arial"/>
          <w:sz w:val="24"/>
          <w:szCs w:val="24"/>
        </w:rPr>
        <w:t>with regard to</w:t>
      </w:r>
      <w:proofErr w:type="gramEnd"/>
      <w:r w:rsidR="00993AA5" w:rsidRPr="00F94E08">
        <w:rPr>
          <w:rFonts w:ascii="Arial" w:hAnsi="Arial" w:cs="Arial"/>
          <w:sz w:val="24"/>
          <w:szCs w:val="24"/>
        </w:rPr>
        <w:t xml:space="preserve"> </w:t>
      </w:r>
      <w:r w:rsidR="008852FC" w:rsidRPr="00F94E08">
        <w:rPr>
          <w:rFonts w:ascii="Arial" w:hAnsi="Arial" w:cs="Arial"/>
          <w:sz w:val="24"/>
          <w:szCs w:val="24"/>
        </w:rPr>
        <w:t>fee</w:t>
      </w:r>
      <w:r w:rsidR="00993AA5" w:rsidRPr="00F94E08">
        <w:rPr>
          <w:rFonts w:ascii="Arial" w:hAnsi="Arial" w:cs="Arial"/>
          <w:sz w:val="24"/>
          <w:szCs w:val="24"/>
        </w:rPr>
        <w:t xml:space="preserve"> handling</w:t>
      </w:r>
      <w:r w:rsidR="00B2511F" w:rsidRPr="00F94E08">
        <w:rPr>
          <w:rFonts w:ascii="Arial" w:hAnsi="Arial" w:cs="Arial"/>
          <w:sz w:val="24"/>
          <w:szCs w:val="24"/>
        </w:rPr>
        <w:t>.</w:t>
      </w:r>
      <w:r w:rsidR="00993AA5" w:rsidRPr="00F94E08">
        <w:rPr>
          <w:rFonts w:ascii="Arial" w:hAnsi="Arial" w:cs="Arial"/>
          <w:sz w:val="24"/>
          <w:szCs w:val="24"/>
        </w:rPr>
        <w:t xml:space="preserve"> </w:t>
      </w:r>
      <w:r w:rsidR="00DF6707" w:rsidRPr="00F94E08">
        <w:rPr>
          <w:rFonts w:ascii="Arial" w:hAnsi="Arial" w:cs="Arial"/>
          <w:sz w:val="24"/>
          <w:szCs w:val="24"/>
        </w:rPr>
        <w:t xml:space="preserve">All </w:t>
      </w:r>
      <w:r w:rsidR="000E459B" w:rsidRPr="00F94E08">
        <w:rPr>
          <w:rFonts w:ascii="Arial" w:hAnsi="Arial" w:cs="Arial"/>
          <w:sz w:val="24"/>
          <w:szCs w:val="24"/>
        </w:rPr>
        <w:t xml:space="preserve">the </w:t>
      </w:r>
      <w:r w:rsidR="008852FC" w:rsidRPr="00F94E08">
        <w:rPr>
          <w:rFonts w:ascii="Arial" w:hAnsi="Arial" w:cs="Arial"/>
          <w:sz w:val="24"/>
          <w:szCs w:val="24"/>
        </w:rPr>
        <w:t>regulations</w:t>
      </w:r>
      <w:r w:rsidR="000E459B" w:rsidRPr="00F94E08">
        <w:rPr>
          <w:rFonts w:ascii="Arial" w:hAnsi="Arial" w:cs="Arial"/>
          <w:sz w:val="24"/>
          <w:szCs w:val="24"/>
        </w:rPr>
        <w:t xml:space="preserve"> cited below are available here: </w:t>
      </w:r>
      <w:hyperlink r:id="rId9" w:history="1">
        <w:r w:rsidR="000E459B" w:rsidRPr="00F94E08">
          <w:rPr>
            <w:rStyle w:val="Hyperlink"/>
            <w:rFonts w:ascii="Arial" w:hAnsi="Arial" w:cs="Arial"/>
            <w:sz w:val="24"/>
            <w:szCs w:val="24"/>
          </w:rPr>
          <w:t>Code of standards - GOV.UK</w:t>
        </w:r>
      </w:hyperlink>
    </w:p>
    <w:p w14:paraId="5A519551" w14:textId="3E1395AA" w:rsidR="00BC06B5" w:rsidRPr="00F94E08" w:rsidRDefault="00BC7381" w:rsidP="007615BF">
      <w:pPr>
        <w:autoSpaceDE w:val="0"/>
        <w:autoSpaceDN w:val="0"/>
        <w:adjustRightInd w:val="0"/>
        <w:spacing w:after="120" w:line="276" w:lineRule="auto"/>
        <w:rPr>
          <w:rFonts w:ascii="Arial" w:hAnsi="Arial" w:cs="Arial"/>
          <w:b/>
          <w:bCs/>
          <w:color w:val="000000"/>
          <w:sz w:val="24"/>
          <w:szCs w:val="24"/>
        </w:rPr>
      </w:pPr>
      <w:r w:rsidRPr="00F94E08">
        <w:rPr>
          <w:rFonts w:ascii="Arial" w:hAnsi="Arial" w:cs="Arial"/>
          <w:b/>
          <w:bCs/>
          <w:color w:val="000000"/>
          <w:sz w:val="24"/>
          <w:szCs w:val="24"/>
        </w:rPr>
        <w:t xml:space="preserve">Principle </w:t>
      </w:r>
      <w:r w:rsidR="00BE5A59" w:rsidRPr="00F94E08">
        <w:rPr>
          <w:rFonts w:ascii="Arial" w:hAnsi="Arial" w:cs="Arial"/>
          <w:b/>
          <w:bCs/>
          <w:color w:val="000000"/>
          <w:sz w:val="24"/>
          <w:szCs w:val="24"/>
        </w:rPr>
        <w:t>3</w:t>
      </w:r>
      <w:r w:rsidRPr="00F94E08">
        <w:rPr>
          <w:rFonts w:ascii="Arial" w:hAnsi="Arial" w:cs="Arial"/>
          <w:b/>
          <w:bCs/>
          <w:color w:val="000000"/>
          <w:sz w:val="24"/>
          <w:szCs w:val="24"/>
        </w:rPr>
        <w:t xml:space="preserve"> states the following:</w:t>
      </w:r>
    </w:p>
    <w:p w14:paraId="283B32CA" w14:textId="35141BB6" w:rsidR="00BC7381" w:rsidRPr="00F94E08" w:rsidRDefault="00216D68" w:rsidP="007615BF">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Charge fairly and transparently, dealing appropriately with client money</w:t>
      </w:r>
      <w:r w:rsidR="00BE5A59" w:rsidRPr="00F94E08">
        <w:rPr>
          <w:rFonts w:ascii="Arial" w:hAnsi="Arial" w:cs="Arial"/>
          <w:sz w:val="24"/>
          <w:szCs w:val="24"/>
        </w:rPr>
        <w:t>.</w:t>
      </w:r>
    </w:p>
    <w:p w14:paraId="2A2CA230" w14:textId="62D122EA" w:rsidR="00614003" w:rsidRPr="00F94E08" w:rsidRDefault="00653913" w:rsidP="007615BF">
      <w:pPr>
        <w:autoSpaceDE w:val="0"/>
        <w:autoSpaceDN w:val="0"/>
        <w:adjustRightInd w:val="0"/>
        <w:spacing w:after="120" w:line="276" w:lineRule="auto"/>
        <w:rPr>
          <w:rFonts w:ascii="Arial" w:hAnsi="Arial" w:cs="Arial"/>
          <w:b/>
          <w:bCs/>
          <w:sz w:val="24"/>
          <w:szCs w:val="24"/>
        </w:rPr>
      </w:pPr>
      <w:r w:rsidRPr="00F94E08">
        <w:rPr>
          <w:rFonts w:ascii="Arial" w:hAnsi="Arial" w:cs="Arial"/>
          <w:b/>
          <w:bCs/>
          <w:sz w:val="24"/>
          <w:szCs w:val="24"/>
        </w:rPr>
        <w:t xml:space="preserve">Codes – </w:t>
      </w:r>
      <w:r w:rsidR="00216D68" w:rsidRPr="00F94E08">
        <w:rPr>
          <w:rFonts w:ascii="Arial" w:hAnsi="Arial" w:cs="Arial"/>
          <w:b/>
          <w:bCs/>
          <w:sz w:val="24"/>
          <w:szCs w:val="24"/>
        </w:rPr>
        <w:t>Organisations that charge clients fees must</w:t>
      </w:r>
      <w:r w:rsidR="00614003" w:rsidRPr="00F94E08">
        <w:rPr>
          <w:rFonts w:ascii="Arial" w:hAnsi="Arial" w:cs="Arial"/>
          <w:b/>
          <w:bCs/>
          <w:sz w:val="24"/>
          <w:szCs w:val="24"/>
        </w:rPr>
        <w:t>:</w:t>
      </w:r>
    </w:p>
    <w:p w14:paraId="2F67DA5C" w14:textId="40AAAF75" w:rsidR="006E2FE2" w:rsidRPr="00F94E08" w:rsidRDefault="00216D68" w:rsidP="007615BF">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9.1</w:t>
      </w:r>
      <w:r w:rsidR="006E2FE2" w:rsidRPr="00F94E08">
        <w:rPr>
          <w:rFonts w:ascii="Arial" w:hAnsi="Arial" w:cs="Arial"/>
          <w:sz w:val="24"/>
          <w:szCs w:val="24"/>
        </w:rPr>
        <w:t xml:space="preserve"> </w:t>
      </w:r>
      <w:r w:rsidRPr="00F94E08">
        <w:rPr>
          <w:rFonts w:ascii="Arial" w:hAnsi="Arial" w:cs="Arial"/>
          <w:sz w:val="24"/>
          <w:szCs w:val="24"/>
        </w:rPr>
        <w:t>Have a fee scale and only charge a reasonable fee that directly relates to the work done</w:t>
      </w:r>
      <w:r w:rsidR="006E2FE2" w:rsidRPr="00F94E08">
        <w:rPr>
          <w:rFonts w:ascii="Arial" w:hAnsi="Arial" w:cs="Arial"/>
          <w:sz w:val="24"/>
          <w:szCs w:val="24"/>
        </w:rPr>
        <w:t>.</w:t>
      </w:r>
    </w:p>
    <w:p w14:paraId="23802348" w14:textId="7860AA08" w:rsidR="00D455E6" w:rsidRPr="00F94E08" w:rsidRDefault="00D455E6" w:rsidP="007615BF">
      <w:pPr>
        <w:autoSpaceDE w:val="0"/>
        <w:autoSpaceDN w:val="0"/>
        <w:adjustRightInd w:val="0"/>
        <w:spacing w:after="120" w:line="276" w:lineRule="auto"/>
        <w:rPr>
          <w:rFonts w:ascii="Arial" w:hAnsi="Arial" w:cs="Arial"/>
          <w:b/>
          <w:bCs/>
          <w:sz w:val="24"/>
          <w:szCs w:val="24"/>
        </w:rPr>
      </w:pPr>
      <w:r w:rsidRPr="00F94E08">
        <w:rPr>
          <w:rFonts w:ascii="Arial" w:hAnsi="Arial" w:cs="Arial"/>
          <w:b/>
          <w:bCs/>
          <w:sz w:val="24"/>
          <w:szCs w:val="24"/>
        </w:rPr>
        <w:t>Guidance Notes:</w:t>
      </w:r>
    </w:p>
    <w:p w14:paraId="134E2497" w14:textId="2F36F611" w:rsidR="00E4444D" w:rsidRPr="00F94E08" w:rsidRDefault="00216D68" w:rsidP="00216D68">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9.1 Have a fee scale and only charge a reasonable fee that directly relates to the work done.</w:t>
      </w:r>
    </w:p>
    <w:p w14:paraId="6524E468" w14:textId="77777777" w:rsidR="00216D68" w:rsidRPr="00F94E08" w:rsidRDefault="00216D68" w:rsidP="00216D68">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An organisation that charges for its immigration advice or immigration services is expected to have a fee scale and the organisation should share the fee scale with its client’s and prospective clients. A copy of this fee scale is expected to be made available to the Commissioner upon request.</w:t>
      </w:r>
    </w:p>
    <w:p w14:paraId="238FC1CB" w14:textId="77777777" w:rsidR="00216D68" w:rsidRPr="00F94E08" w:rsidRDefault="00216D68" w:rsidP="00216D68">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The Commissioner insists on transparency in all dealings with clients. Discounts are acceptable but the reasons for providing the discount should be recorded in writing in the client care letter and in the attendance notes. Any discounts provided should not be subsidised by fees paid by other clients.</w:t>
      </w:r>
    </w:p>
    <w:p w14:paraId="4DDB234E" w14:textId="77777777" w:rsidR="00216D68" w:rsidRPr="00F94E08" w:rsidRDefault="00216D68" w:rsidP="00216D68">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Clients should always be charged according to the fee scale and any deviation from the fee scale should be explained to the client in writing.</w:t>
      </w:r>
    </w:p>
    <w:p w14:paraId="3A1EFE70" w14:textId="4D263564" w:rsidR="00AB4E63" w:rsidRPr="00F94E08" w:rsidRDefault="00216D68" w:rsidP="00216D68">
      <w:pPr>
        <w:autoSpaceDE w:val="0"/>
        <w:autoSpaceDN w:val="0"/>
        <w:adjustRightInd w:val="0"/>
        <w:spacing w:after="120" w:line="276" w:lineRule="auto"/>
        <w:rPr>
          <w:rFonts w:ascii="Arial" w:hAnsi="Arial" w:cs="Arial"/>
          <w:sz w:val="24"/>
          <w:szCs w:val="24"/>
        </w:rPr>
      </w:pPr>
      <w:r w:rsidRPr="00F94E08">
        <w:rPr>
          <w:rFonts w:ascii="Arial" w:hAnsi="Arial" w:cs="Arial"/>
          <w:sz w:val="24"/>
          <w:szCs w:val="24"/>
        </w:rPr>
        <w:t>Where an organisation charges a range of fees instead of fixed fees, the Commissioner considers that a small range would be acceptable. For example, where the highest fee is almost twice the lowest fee, without a reasonable explanation for charging the client the higher fee, the Commissioner is likely to find that the client was overcharged by the organisation. Therefore, to be compliant with Code 9.1, the organisation will need to be able to explain why a particular client is/was charged at the upper end and evidence to support this must be retained in the case file.</w:t>
      </w:r>
    </w:p>
    <w:p w14:paraId="06DA1833" w14:textId="34683892" w:rsidR="00BC06B5" w:rsidRPr="00F94E08" w:rsidRDefault="00216D68" w:rsidP="007615BF">
      <w:pPr>
        <w:autoSpaceDE w:val="0"/>
        <w:autoSpaceDN w:val="0"/>
        <w:adjustRightInd w:val="0"/>
        <w:spacing w:after="120" w:line="276" w:lineRule="auto"/>
        <w:rPr>
          <w:rFonts w:ascii="Arial" w:hAnsi="Arial" w:cs="Arial"/>
          <w:b/>
          <w:bCs/>
          <w:sz w:val="24"/>
          <w:szCs w:val="24"/>
        </w:rPr>
      </w:pPr>
      <w:r w:rsidRPr="00F94E08">
        <w:rPr>
          <w:rFonts w:ascii="Arial" w:hAnsi="Arial" w:cs="Arial"/>
          <w:b/>
          <w:bCs/>
          <w:sz w:val="24"/>
          <w:szCs w:val="24"/>
        </w:rPr>
        <w:t xml:space="preserve">If you </w:t>
      </w:r>
      <w:r w:rsidR="0001366C" w:rsidRPr="00F94E08">
        <w:rPr>
          <w:rFonts w:ascii="Arial" w:hAnsi="Arial" w:cs="Arial"/>
          <w:b/>
          <w:bCs/>
          <w:sz w:val="24"/>
          <w:szCs w:val="24"/>
        </w:rPr>
        <w:t>are applying for registration</w:t>
      </w:r>
      <w:r w:rsidRPr="00F94E08">
        <w:rPr>
          <w:rFonts w:ascii="Arial" w:hAnsi="Arial" w:cs="Arial"/>
          <w:b/>
          <w:bCs/>
          <w:sz w:val="24"/>
          <w:szCs w:val="24"/>
        </w:rPr>
        <w:t xml:space="preserve"> of a fee-charging organisation, p</w:t>
      </w:r>
      <w:r w:rsidR="00BC06B5" w:rsidRPr="00F94E08">
        <w:rPr>
          <w:rFonts w:ascii="Arial" w:hAnsi="Arial" w:cs="Arial"/>
          <w:b/>
          <w:bCs/>
          <w:sz w:val="24"/>
          <w:szCs w:val="24"/>
        </w:rPr>
        <w:t xml:space="preserve">lease submit a draft </w:t>
      </w:r>
      <w:r w:rsidRPr="00F94E08">
        <w:rPr>
          <w:rFonts w:ascii="Arial" w:hAnsi="Arial" w:cs="Arial"/>
          <w:b/>
          <w:bCs/>
          <w:sz w:val="24"/>
          <w:szCs w:val="24"/>
        </w:rPr>
        <w:t>fee scale</w:t>
      </w:r>
      <w:r w:rsidR="00BC06B5" w:rsidRPr="00F94E08">
        <w:rPr>
          <w:rFonts w:ascii="Arial" w:hAnsi="Arial" w:cs="Arial"/>
          <w:b/>
          <w:bCs/>
          <w:sz w:val="24"/>
          <w:szCs w:val="24"/>
        </w:rPr>
        <w:t xml:space="preserve"> that meets all the requirements of Code</w:t>
      </w:r>
      <w:r w:rsidR="000E459B" w:rsidRPr="00F94E08">
        <w:rPr>
          <w:rFonts w:ascii="Arial" w:hAnsi="Arial" w:cs="Arial"/>
          <w:b/>
          <w:bCs/>
          <w:sz w:val="24"/>
          <w:szCs w:val="24"/>
        </w:rPr>
        <w:t xml:space="preserve"> </w:t>
      </w:r>
      <w:r w:rsidRPr="00F94E08">
        <w:rPr>
          <w:rFonts w:ascii="Arial" w:hAnsi="Arial" w:cs="Arial"/>
          <w:b/>
          <w:bCs/>
          <w:sz w:val="24"/>
          <w:szCs w:val="24"/>
        </w:rPr>
        <w:t>9.1</w:t>
      </w:r>
      <w:r w:rsidR="008F578A" w:rsidRPr="00F94E08">
        <w:rPr>
          <w:rFonts w:ascii="Arial" w:hAnsi="Arial" w:cs="Arial"/>
          <w:b/>
          <w:bCs/>
          <w:sz w:val="24"/>
          <w:szCs w:val="24"/>
        </w:rPr>
        <w:t>.</w:t>
      </w:r>
      <w:r w:rsidR="000E459B" w:rsidRPr="00F94E08">
        <w:rPr>
          <w:rFonts w:ascii="Arial" w:hAnsi="Arial" w:cs="Arial"/>
          <w:b/>
          <w:bCs/>
          <w:sz w:val="24"/>
          <w:szCs w:val="24"/>
        </w:rPr>
        <w:t xml:space="preserve"> </w:t>
      </w:r>
      <w:r w:rsidR="00BC06B5" w:rsidRPr="00F94E08">
        <w:rPr>
          <w:rFonts w:ascii="Arial" w:hAnsi="Arial" w:cs="Arial"/>
          <w:b/>
          <w:bCs/>
          <w:sz w:val="24"/>
          <w:szCs w:val="24"/>
        </w:rPr>
        <w:t xml:space="preserve">If you do </w:t>
      </w:r>
      <w:r w:rsidR="00BC06B5" w:rsidRPr="00F94E08">
        <w:rPr>
          <w:rFonts w:ascii="Arial" w:hAnsi="Arial" w:cs="Arial"/>
          <w:b/>
          <w:bCs/>
          <w:sz w:val="24"/>
          <w:szCs w:val="24"/>
        </w:rPr>
        <w:lastRenderedPageBreak/>
        <w:t xml:space="preserve">not submit a draft </w:t>
      </w:r>
      <w:r w:rsidRPr="00F94E08">
        <w:rPr>
          <w:rFonts w:ascii="Arial" w:hAnsi="Arial" w:cs="Arial"/>
          <w:b/>
          <w:bCs/>
          <w:sz w:val="24"/>
          <w:szCs w:val="24"/>
        </w:rPr>
        <w:t xml:space="preserve">fee scale </w:t>
      </w:r>
      <w:r w:rsidR="00BC06B5" w:rsidRPr="00F94E08">
        <w:rPr>
          <w:rFonts w:ascii="Arial" w:hAnsi="Arial" w:cs="Arial"/>
          <w:b/>
          <w:bCs/>
          <w:sz w:val="24"/>
          <w:szCs w:val="24"/>
        </w:rPr>
        <w:t>or it does not meet th</w:t>
      </w:r>
      <w:r w:rsidR="00DE2EAD" w:rsidRPr="00F94E08">
        <w:rPr>
          <w:rFonts w:ascii="Arial" w:hAnsi="Arial" w:cs="Arial"/>
          <w:b/>
          <w:bCs/>
          <w:sz w:val="24"/>
          <w:szCs w:val="24"/>
        </w:rPr>
        <w:t xml:space="preserve">e criteria </w:t>
      </w:r>
      <w:r w:rsidR="00775926" w:rsidRPr="00F94E08">
        <w:rPr>
          <w:rFonts w:ascii="Arial" w:hAnsi="Arial" w:cs="Arial"/>
          <w:b/>
          <w:bCs/>
          <w:sz w:val="24"/>
          <w:szCs w:val="24"/>
        </w:rPr>
        <w:t>outlined in</w:t>
      </w:r>
      <w:r w:rsidR="00DE2EAD" w:rsidRPr="00F94E08">
        <w:rPr>
          <w:rFonts w:ascii="Arial" w:hAnsi="Arial" w:cs="Arial"/>
          <w:b/>
          <w:bCs/>
          <w:sz w:val="24"/>
          <w:szCs w:val="24"/>
        </w:rPr>
        <w:t xml:space="preserve"> </w:t>
      </w:r>
      <w:r w:rsidR="00BC06B5" w:rsidRPr="00F94E08">
        <w:rPr>
          <w:rFonts w:ascii="Arial" w:hAnsi="Arial" w:cs="Arial"/>
          <w:b/>
          <w:bCs/>
          <w:sz w:val="24"/>
          <w:szCs w:val="24"/>
        </w:rPr>
        <w:t xml:space="preserve">Code </w:t>
      </w:r>
      <w:r w:rsidRPr="00F94E08">
        <w:rPr>
          <w:rFonts w:ascii="Arial" w:hAnsi="Arial" w:cs="Arial"/>
          <w:b/>
          <w:bCs/>
          <w:sz w:val="24"/>
          <w:szCs w:val="24"/>
        </w:rPr>
        <w:t>9.1</w:t>
      </w:r>
      <w:r w:rsidR="00BC06B5" w:rsidRPr="00F94E08">
        <w:rPr>
          <w:rFonts w:ascii="Arial" w:hAnsi="Arial" w:cs="Arial"/>
          <w:b/>
          <w:bCs/>
          <w:sz w:val="24"/>
          <w:szCs w:val="24"/>
        </w:rPr>
        <w:t xml:space="preserve">, we cannot be satisfied you will comply with </w:t>
      </w:r>
      <w:r w:rsidR="008F578A" w:rsidRPr="00F94E08">
        <w:rPr>
          <w:rFonts w:ascii="Arial" w:hAnsi="Arial" w:cs="Arial"/>
          <w:b/>
          <w:bCs/>
          <w:sz w:val="24"/>
          <w:szCs w:val="24"/>
        </w:rPr>
        <w:t xml:space="preserve">Principle </w:t>
      </w:r>
      <w:r w:rsidRPr="00F94E08">
        <w:rPr>
          <w:rFonts w:ascii="Arial" w:hAnsi="Arial" w:cs="Arial"/>
          <w:b/>
          <w:bCs/>
          <w:sz w:val="24"/>
          <w:szCs w:val="24"/>
        </w:rPr>
        <w:t>9</w:t>
      </w:r>
      <w:r w:rsidR="00BC06B5" w:rsidRPr="00F94E08">
        <w:rPr>
          <w:rFonts w:ascii="Arial" w:hAnsi="Arial" w:cs="Arial"/>
          <w:b/>
          <w:bCs/>
          <w:sz w:val="24"/>
          <w:szCs w:val="24"/>
        </w:rPr>
        <w:t>.</w:t>
      </w:r>
    </w:p>
    <w:p w14:paraId="22CEDA99" w14:textId="07710FE9" w:rsidR="00C92918" w:rsidRPr="00F94E08" w:rsidRDefault="00BC06B5" w:rsidP="00F94E08">
      <w:pPr>
        <w:spacing w:after="120" w:line="276" w:lineRule="auto"/>
        <w:rPr>
          <w:rFonts w:ascii="Arial" w:hAnsi="Arial" w:cs="Arial"/>
          <w:sz w:val="24"/>
          <w:szCs w:val="24"/>
        </w:rPr>
      </w:pPr>
      <w:r w:rsidRPr="00F94E08">
        <w:rPr>
          <w:rFonts w:ascii="Arial" w:hAnsi="Arial" w:cs="Arial"/>
          <w:sz w:val="24"/>
          <w:szCs w:val="24"/>
        </w:rPr>
        <w:t xml:space="preserve">Below is a suggested Model Document that you can use as the basis for your organisation’s </w:t>
      </w:r>
      <w:r w:rsidR="0001366C" w:rsidRPr="00F94E08">
        <w:rPr>
          <w:rFonts w:ascii="Arial" w:hAnsi="Arial" w:cs="Arial"/>
          <w:sz w:val="24"/>
          <w:szCs w:val="24"/>
        </w:rPr>
        <w:t>fee scale</w:t>
      </w:r>
      <w:r w:rsidR="00775926" w:rsidRPr="00F94E08">
        <w:rPr>
          <w:rFonts w:ascii="Arial" w:hAnsi="Arial" w:cs="Arial"/>
          <w:sz w:val="24"/>
          <w:szCs w:val="24"/>
        </w:rPr>
        <w:t>.</w:t>
      </w:r>
      <w:r w:rsidR="00C92918" w:rsidRPr="00F94E08">
        <w:rPr>
          <w:rFonts w:ascii="Arial" w:hAnsi="Arial" w:cs="Arial"/>
          <w:sz w:val="24"/>
          <w:szCs w:val="24"/>
        </w:rPr>
        <w:br w:type="page"/>
      </w:r>
    </w:p>
    <w:p w14:paraId="78FBAB4F" w14:textId="3E3934D9" w:rsidR="004D2756" w:rsidRPr="00F94E08" w:rsidRDefault="008663D2" w:rsidP="00B514B9">
      <w:pPr>
        <w:pStyle w:val="Heading1"/>
        <w:spacing w:before="240" w:after="240" w:line="276" w:lineRule="auto"/>
        <w:jc w:val="center"/>
        <w:rPr>
          <w:rFonts w:ascii="Arial" w:hAnsi="Arial" w:cs="Arial"/>
          <w:b/>
          <w:bCs/>
          <w:color w:val="auto"/>
          <w:sz w:val="24"/>
          <w:szCs w:val="24"/>
        </w:rPr>
      </w:pPr>
      <w:r w:rsidRPr="00F94E08">
        <w:rPr>
          <w:rFonts w:ascii="Arial" w:hAnsi="Arial" w:cs="Arial"/>
          <w:b/>
          <w:bCs/>
          <w:color w:val="auto"/>
          <w:sz w:val="24"/>
          <w:szCs w:val="24"/>
        </w:rPr>
        <w:lastRenderedPageBreak/>
        <w:t>Fee Scale</w:t>
      </w:r>
      <w:r w:rsidR="006968EF" w:rsidRPr="00F94E08">
        <w:rPr>
          <w:rFonts w:ascii="Arial" w:hAnsi="Arial" w:cs="Arial"/>
          <w:b/>
          <w:bCs/>
          <w:color w:val="auto"/>
          <w:sz w:val="24"/>
          <w:szCs w:val="24"/>
        </w:rPr>
        <w:t xml:space="preserve"> –</w:t>
      </w:r>
      <w:r w:rsidRPr="00F94E08">
        <w:rPr>
          <w:rFonts w:ascii="Arial" w:hAnsi="Arial" w:cs="Arial"/>
          <w:b/>
          <w:bCs/>
          <w:color w:val="auto"/>
          <w:sz w:val="24"/>
          <w:szCs w:val="24"/>
        </w:rPr>
        <w:t xml:space="preserve"> fixed-fee basis –</w:t>
      </w:r>
      <w:r w:rsidR="006968EF" w:rsidRPr="00F94E08">
        <w:rPr>
          <w:rFonts w:ascii="Arial" w:hAnsi="Arial" w:cs="Arial"/>
          <w:b/>
          <w:bCs/>
          <w:color w:val="auto"/>
          <w:sz w:val="24"/>
          <w:szCs w:val="24"/>
        </w:rPr>
        <w:t xml:space="preserve"> IAA Model Document</w:t>
      </w:r>
    </w:p>
    <w:p w14:paraId="69E7F1C7" w14:textId="0CCB6E95" w:rsidR="004D2756" w:rsidRPr="00F94E08" w:rsidRDefault="0014114F" w:rsidP="004D2756">
      <w:pPr>
        <w:spacing w:after="120" w:line="276" w:lineRule="auto"/>
        <w:rPr>
          <w:rFonts w:ascii="Arial" w:hAnsi="Arial" w:cs="Arial"/>
          <w:sz w:val="24"/>
          <w:szCs w:val="24"/>
        </w:rPr>
      </w:pPr>
      <w:r w:rsidRPr="00F94E08">
        <w:rPr>
          <w:rFonts w:ascii="Arial" w:hAnsi="Arial" w:cs="Arial"/>
          <w:sz w:val="24"/>
          <w:szCs w:val="24"/>
        </w:rPr>
        <w:t xml:space="preserve">This fee scale details our fees for all immigration advice and services ABC Immigration is registered to provide to our clients. We charge on a fixed-fee basis only. However, should you wish to withdraw instructions part-way through your immigration case, we will charge you for all work we have undertaken on your behalf at an hourly rate of £XXX. Please note that our organisation is </w:t>
      </w:r>
      <w:r w:rsidR="006C7CBC" w:rsidRPr="00F94E08">
        <w:rPr>
          <w:rFonts w:ascii="Arial" w:hAnsi="Arial" w:cs="Arial"/>
          <w:sz w:val="24"/>
          <w:szCs w:val="24"/>
          <w:u w:val="single"/>
        </w:rPr>
        <w:t>VAT-registered</w:t>
      </w:r>
      <w:r w:rsidRPr="00F94E08">
        <w:rPr>
          <w:rFonts w:ascii="Arial" w:hAnsi="Arial" w:cs="Arial"/>
          <w:sz w:val="24"/>
          <w:szCs w:val="24"/>
        </w:rPr>
        <w:t>. Therefore 20% VAT will be added to the fees outlined below.</w:t>
      </w:r>
    </w:p>
    <w:tbl>
      <w:tblPr>
        <w:tblStyle w:val="TableGrid"/>
        <w:tblW w:w="0" w:type="auto"/>
        <w:jc w:val="center"/>
        <w:tblLayout w:type="fixed"/>
        <w:tblLook w:val="04A0" w:firstRow="1" w:lastRow="0" w:firstColumn="1" w:lastColumn="0" w:noHBand="0" w:noVBand="1"/>
      </w:tblPr>
      <w:tblGrid>
        <w:gridCol w:w="2552"/>
        <w:gridCol w:w="1021"/>
        <w:gridCol w:w="1002"/>
        <w:gridCol w:w="3572"/>
        <w:gridCol w:w="1021"/>
      </w:tblGrid>
      <w:tr w:rsidR="002F4AAF" w:rsidRPr="00F94E08" w14:paraId="7DB404EF" w14:textId="77777777" w:rsidTr="002F4AAF">
        <w:trPr>
          <w:jc w:val="center"/>
        </w:trPr>
        <w:tc>
          <w:tcPr>
            <w:tcW w:w="2552" w:type="dxa"/>
            <w:vAlign w:val="center"/>
          </w:tcPr>
          <w:p w14:paraId="1FE1F5BC" w14:textId="2FD676CC" w:rsidR="008663D2" w:rsidRPr="00F94E08" w:rsidRDefault="0014114F" w:rsidP="00A36CCA">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Type </w:t>
            </w:r>
            <w:r w:rsidRPr="00F94E08">
              <w:rPr>
                <w:rFonts w:ascii="Arial" w:eastAsiaTheme="majorEastAsia" w:hAnsi="Arial" w:cs="Arial"/>
                <w:b/>
                <w:bCs/>
                <w:sz w:val="24"/>
                <w:szCs w:val="24"/>
              </w:rPr>
              <w:br/>
              <w:t>of Application</w:t>
            </w:r>
          </w:p>
        </w:tc>
        <w:tc>
          <w:tcPr>
            <w:tcW w:w="1021" w:type="dxa"/>
            <w:vAlign w:val="center"/>
          </w:tcPr>
          <w:p w14:paraId="3A9CE904" w14:textId="6AE6E18D" w:rsidR="008663D2" w:rsidRPr="00F94E08" w:rsidRDefault="002F4AAF" w:rsidP="00A36CCA">
            <w:pPr>
              <w:pStyle w:val="Default"/>
              <w:spacing w:before="120" w:after="120"/>
              <w:jc w:val="center"/>
            </w:pPr>
            <w:r w:rsidRPr="00F94E08">
              <w:rPr>
                <w:b/>
                <w:bCs/>
              </w:rPr>
              <w:t>Our fixed f</w:t>
            </w:r>
            <w:r w:rsidR="0014114F" w:rsidRPr="00F94E08">
              <w:rPr>
                <w:b/>
                <w:bCs/>
              </w:rPr>
              <w:t xml:space="preserve">ee </w:t>
            </w:r>
          </w:p>
        </w:tc>
        <w:tc>
          <w:tcPr>
            <w:tcW w:w="1002" w:type="dxa"/>
            <w:vAlign w:val="center"/>
          </w:tcPr>
          <w:p w14:paraId="30A40F60" w14:textId="26CD09C1" w:rsidR="008663D2" w:rsidRPr="00F94E08" w:rsidRDefault="0014114F" w:rsidP="00A36CCA">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Home Office fee</w:t>
            </w:r>
            <w:r w:rsidR="002F4AAF" w:rsidRPr="00F94E08">
              <w:rPr>
                <w:rStyle w:val="FootnoteReference"/>
                <w:rFonts w:ascii="Arial" w:eastAsiaTheme="majorEastAsia" w:hAnsi="Arial" w:cs="Arial"/>
                <w:b/>
                <w:bCs/>
                <w:sz w:val="24"/>
                <w:szCs w:val="24"/>
              </w:rPr>
              <w:footnoteReference w:id="2"/>
            </w:r>
          </w:p>
        </w:tc>
        <w:tc>
          <w:tcPr>
            <w:tcW w:w="3572" w:type="dxa"/>
            <w:vAlign w:val="center"/>
          </w:tcPr>
          <w:p w14:paraId="20EEB64F" w14:textId="0E75E869" w:rsidR="008663D2" w:rsidRPr="00F94E08" w:rsidRDefault="0014114F" w:rsidP="00A36CCA">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Description of work </w:t>
            </w:r>
            <w:r w:rsidR="00A36CCA" w:rsidRPr="00F94E08">
              <w:rPr>
                <w:rFonts w:ascii="Arial" w:eastAsiaTheme="majorEastAsia" w:hAnsi="Arial" w:cs="Arial"/>
                <w:b/>
                <w:bCs/>
                <w:sz w:val="24"/>
                <w:szCs w:val="24"/>
              </w:rPr>
              <w:br/>
            </w:r>
            <w:r w:rsidRPr="00F94E08">
              <w:rPr>
                <w:rFonts w:ascii="Arial" w:eastAsiaTheme="majorEastAsia" w:hAnsi="Arial" w:cs="Arial"/>
                <w:b/>
                <w:bCs/>
                <w:sz w:val="24"/>
                <w:szCs w:val="24"/>
              </w:rPr>
              <w:t>incl</w:t>
            </w:r>
            <w:r w:rsidR="00A36CCA" w:rsidRPr="00F94E08">
              <w:rPr>
                <w:rFonts w:ascii="Arial" w:eastAsiaTheme="majorEastAsia" w:hAnsi="Arial" w:cs="Arial"/>
                <w:b/>
                <w:bCs/>
                <w:sz w:val="24"/>
                <w:szCs w:val="24"/>
              </w:rPr>
              <w:t>.</w:t>
            </w:r>
            <w:r w:rsidRPr="00F94E08">
              <w:rPr>
                <w:rFonts w:ascii="Arial" w:eastAsiaTheme="majorEastAsia" w:hAnsi="Arial" w:cs="Arial"/>
                <w:b/>
                <w:bCs/>
                <w:sz w:val="24"/>
                <w:szCs w:val="24"/>
              </w:rPr>
              <w:t xml:space="preserve"> in fixed fee</w:t>
            </w:r>
          </w:p>
        </w:tc>
        <w:tc>
          <w:tcPr>
            <w:tcW w:w="1021" w:type="dxa"/>
            <w:vAlign w:val="center"/>
          </w:tcPr>
          <w:p w14:paraId="00D4C5C7" w14:textId="44C1B83A" w:rsidR="008663D2" w:rsidRPr="00F94E08" w:rsidRDefault="0014114F" w:rsidP="00A36CCA">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Total </w:t>
            </w:r>
            <w:r w:rsidRPr="00F94E08">
              <w:rPr>
                <w:rFonts w:ascii="Arial" w:eastAsiaTheme="majorEastAsia" w:hAnsi="Arial" w:cs="Arial"/>
                <w:b/>
                <w:bCs/>
                <w:sz w:val="24"/>
                <w:szCs w:val="24"/>
              </w:rPr>
              <w:br/>
              <w:t>(incl. VAT)</w:t>
            </w:r>
          </w:p>
        </w:tc>
      </w:tr>
      <w:tr w:rsidR="002F4AAF" w:rsidRPr="00F94E08" w14:paraId="28058BC1" w14:textId="77777777" w:rsidTr="002F4AAF">
        <w:trPr>
          <w:jc w:val="center"/>
        </w:trPr>
        <w:tc>
          <w:tcPr>
            <w:tcW w:w="2552" w:type="dxa"/>
            <w:vAlign w:val="center"/>
          </w:tcPr>
          <w:p w14:paraId="234E6FDC"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Level 1</w:t>
            </w:r>
          </w:p>
          <w:p w14:paraId="7E2E3404" w14:textId="5CF09CDC" w:rsidR="0014114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 xml:space="preserve">Simple applications within the Rules (e.g. Student, Worker, UK Ancestry, simple family visa) and </w:t>
            </w:r>
            <w:r w:rsidR="002F4AAF" w:rsidRPr="00F94E08">
              <w:rPr>
                <w:rFonts w:ascii="Arial" w:eastAsiaTheme="majorEastAsia" w:hAnsi="Arial" w:cs="Arial"/>
                <w:sz w:val="24"/>
                <w:szCs w:val="24"/>
              </w:rPr>
              <w:t>simple</w:t>
            </w:r>
            <w:r w:rsidRPr="00F94E08">
              <w:rPr>
                <w:rFonts w:ascii="Arial" w:eastAsiaTheme="majorEastAsia" w:hAnsi="Arial" w:cs="Arial"/>
                <w:sz w:val="24"/>
                <w:szCs w:val="24"/>
              </w:rPr>
              <w:t xml:space="preserve"> nationality </w:t>
            </w:r>
            <w:r w:rsidR="002F4AAF" w:rsidRPr="00F94E08">
              <w:rPr>
                <w:rFonts w:ascii="Arial" w:eastAsiaTheme="majorEastAsia" w:hAnsi="Arial" w:cs="Arial"/>
                <w:sz w:val="24"/>
                <w:szCs w:val="24"/>
              </w:rPr>
              <w:t>applications</w:t>
            </w:r>
          </w:p>
        </w:tc>
        <w:tc>
          <w:tcPr>
            <w:tcW w:w="1021" w:type="dxa"/>
            <w:vAlign w:val="center"/>
          </w:tcPr>
          <w:p w14:paraId="4D8E781C" w14:textId="27F89B4E"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1002" w:type="dxa"/>
            <w:vAlign w:val="center"/>
          </w:tcPr>
          <w:p w14:paraId="6DA2B158" w14:textId="6100A226"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72887604" w14:textId="77777777" w:rsidR="00A36CCA" w:rsidRPr="00F94E08" w:rsidRDefault="0014114F"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05F86C27"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w:t>
            </w:r>
            <w:r w:rsidR="0014114F" w:rsidRPr="00F94E08">
              <w:rPr>
                <w:rFonts w:ascii="Arial" w:eastAsiaTheme="majorEastAsia" w:hAnsi="Arial" w:cs="Arial"/>
                <w:sz w:val="24"/>
                <w:szCs w:val="24"/>
              </w:rPr>
              <w:t>onsideration, preparation and submission of application and relevant supporting documents</w:t>
            </w:r>
          </w:p>
          <w:p w14:paraId="157A81BF" w14:textId="4EAE0B68" w:rsidR="0014114F" w:rsidRPr="00F94E08" w:rsidRDefault="0014114F"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17D02AC5" w14:textId="0FD088EC"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r w:rsidR="002F4AAF" w:rsidRPr="00F94E08" w14:paraId="701F5EC3" w14:textId="77777777" w:rsidTr="002F4AAF">
        <w:trPr>
          <w:jc w:val="center"/>
        </w:trPr>
        <w:tc>
          <w:tcPr>
            <w:tcW w:w="2552" w:type="dxa"/>
            <w:vAlign w:val="center"/>
          </w:tcPr>
          <w:p w14:paraId="3486A3AE"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Level 2</w:t>
            </w:r>
          </w:p>
          <w:p w14:paraId="0C93DD49" w14:textId="77777777" w:rsidR="002F4AA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Discretionary and complex applications</w:t>
            </w:r>
          </w:p>
          <w:p w14:paraId="77CF29D3" w14:textId="3E44CA1D" w:rsidR="0014114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Out</w:t>
            </w:r>
            <w:r w:rsidR="002F4AAF" w:rsidRPr="00F94E08">
              <w:rPr>
                <w:rFonts w:ascii="Arial" w:eastAsiaTheme="majorEastAsia" w:hAnsi="Arial" w:cs="Arial"/>
                <w:sz w:val="24"/>
                <w:szCs w:val="24"/>
              </w:rPr>
              <w:t>-</w:t>
            </w:r>
            <w:r w:rsidRPr="00F94E08">
              <w:rPr>
                <w:rFonts w:ascii="Arial" w:eastAsiaTheme="majorEastAsia" w:hAnsi="Arial" w:cs="Arial"/>
                <w:sz w:val="24"/>
                <w:szCs w:val="24"/>
              </w:rPr>
              <w:t>of</w:t>
            </w:r>
            <w:r w:rsidR="002F4AAF" w:rsidRPr="00F94E08">
              <w:rPr>
                <w:rFonts w:ascii="Arial" w:eastAsiaTheme="majorEastAsia" w:hAnsi="Arial" w:cs="Arial"/>
                <w:sz w:val="24"/>
                <w:szCs w:val="24"/>
              </w:rPr>
              <w:t>-</w:t>
            </w:r>
            <w:r w:rsidRPr="00F94E08">
              <w:rPr>
                <w:rFonts w:ascii="Arial" w:eastAsiaTheme="majorEastAsia" w:hAnsi="Arial" w:cs="Arial"/>
                <w:sz w:val="24"/>
                <w:szCs w:val="24"/>
              </w:rPr>
              <w:t>time applications.</w:t>
            </w:r>
          </w:p>
        </w:tc>
        <w:tc>
          <w:tcPr>
            <w:tcW w:w="1021" w:type="dxa"/>
            <w:vAlign w:val="center"/>
          </w:tcPr>
          <w:p w14:paraId="61848520" w14:textId="6C994CF4"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1002" w:type="dxa"/>
            <w:vAlign w:val="center"/>
          </w:tcPr>
          <w:p w14:paraId="33F41808" w14:textId="28A829FD"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254CD455"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6A531DD9"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application and relevant supporting documents</w:t>
            </w:r>
          </w:p>
          <w:p w14:paraId="364ACAF7" w14:textId="11ACF1DD" w:rsidR="0014114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6E593A52" w14:textId="5FD46E77"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r w:rsidR="002F4AAF" w:rsidRPr="00F94E08" w14:paraId="2084516A" w14:textId="77777777" w:rsidTr="002F4AAF">
        <w:trPr>
          <w:jc w:val="center"/>
        </w:trPr>
        <w:tc>
          <w:tcPr>
            <w:tcW w:w="2552" w:type="dxa"/>
            <w:vAlign w:val="center"/>
          </w:tcPr>
          <w:p w14:paraId="04968614" w14:textId="77777777" w:rsidR="002F4AAF" w:rsidRPr="00F94E08" w:rsidRDefault="002F4AAF" w:rsidP="002F4AAF">
            <w:pPr>
              <w:spacing w:before="120" w:after="120"/>
              <w:rPr>
                <w:rFonts w:ascii="Arial" w:eastAsiaTheme="majorEastAsia" w:hAnsi="Arial" w:cs="Arial"/>
                <w:sz w:val="24"/>
                <w:szCs w:val="24"/>
              </w:rPr>
            </w:pPr>
            <w:r w:rsidRPr="00F94E08">
              <w:rPr>
                <w:rFonts w:ascii="Arial" w:eastAsiaTheme="majorEastAsia" w:hAnsi="Arial" w:cs="Arial"/>
                <w:sz w:val="24"/>
                <w:szCs w:val="24"/>
              </w:rPr>
              <w:t>Level 2</w:t>
            </w:r>
          </w:p>
          <w:p w14:paraId="7E834C28" w14:textId="208872C8" w:rsidR="0014114F" w:rsidRPr="00F94E08" w:rsidRDefault="002F4AAF" w:rsidP="002F4AAF">
            <w:pPr>
              <w:spacing w:before="120" w:after="120"/>
              <w:rPr>
                <w:rFonts w:ascii="Arial" w:eastAsiaTheme="majorEastAsia" w:hAnsi="Arial" w:cs="Arial"/>
                <w:sz w:val="24"/>
                <w:szCs w:val="24"/>
              </w:rPr>
            </w:pPr>
            <w:r w:rsidRPr="00F94E08">
              <w:rPr>
                <w:rFonts w:ascii="Arial" w:eastAsiaTheme="majorEastAsia" w:hAnsi="Arial" w:cs="Arial"/>
                <w:sz w:val="24"/>
                <w:szCs w:val="24"/>
              </w:rPr>
              <w:t>Lodging of Notice of Appeal</w:t>
            </w:r>
          </w:p>
        </w:tc>
        <w:tc>
          <w:tcPr>
            <w:tcW w:w="1021" w:type="dxa"/>
            <w:vAlign w:val="center"/>
          </w:tcPr>
          <w:p w14:paraId="0E0D9B56" w14:textId="37E5EEDF"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1002" w:type="dxa"/>
            <w:vAlign w:val="center"/>
          </w:tcPr>
          <w:p w14:paraId="3B0CEF02" w14:textId="73EC655A"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10A6104E"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11E0BD18"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the Notice of Appeal and relevant supporting documents</w:t>
            </w:r>
          </w:p>
          <w:p w14:paraId="12B60FF0" w14:textId="77777777"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Informing client of the key dates and referral to a Level 3 adviser/solicitor</w:t>
            </w:r>
          </w:p>
          <w:p w14:paraId="7A3A057A" w14:textId="6D8E2395" w:rsidR="0014114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lastRenderedPageBreak/>
              <w:t>Copies of documents and postage.</w:t>
            </w:r>
          </w:p>
        </w:tc>
        <w:tc>
          <w:tcPr>
            <w:tcW w:w="1021" w:type="dxa"/>
            <w:vAlign w:val="center"/>
          </w:tcPr>
          <w:p w14:paraId="1EF10CCA" w14:textId="58CC57C4"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lastRenderedPageBreak/>
              <w:t>£XXX</w:t>
            </w:r>
          </w:p>
        </w:tc>
      </w:tr>
      <w:tr w:rsidR="002F4AAF" w:rsidRPr="00F94E08" w14:paraId="26438AA0" w14:textId="77777777" w:rsidTr="002F4AAF">
        <w:trPr>
          <w:jc w:val="center"/>
        </w:trPr>
        <w:tc>
          <w:tcPr>
            <w:tcW w:w="2552" w:type="dxa"/>
            <w:vAlign w:val="center"/>
          </w:tcPr>
          <w:p w14:paraId="5069B29E" w14:textId="77777777" w:rsidR="002F4AAF" w:rsidRPr="00F94E08" w:rsidRDefault="002F4AAF"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Level 3</w:t>
            </w:r>
          </w:p>
          <w:p w14:paraId="0F34138C" w14:textId="282FBF03" w:rsidR="0014114F" w:rsidRPr="00F94E08" w:rsidRDefault="002F4AAF"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 xml:space="preserve">Substantive appeal casework and representation </w:t>
            </w:r>
            <w:r w:rsidRPr="00F94E08">
              <w:rPr>
                <w:rFonts w:ascii="Arial" w:eastAsiaTheme="majorEastAsia" w:hAnsi="Arial" w:cs="Arial"/>
                <w:sz w:val="24"/>
                <w:szCs w:val="24"/>
              </w:rPr>
              <w:br/>
              <w:t>at the Tribunal</w:t>
            </w:r>
          </w:p>
        </w:tc>
        <w:tc>
          <w:tcPr>
            <w:tcW w:w="1021" w:type="dxa"/>
            <w:vAlign w:val="center"/>
          </w:tcPr>
          <w:p w14:paraId="5BDE92A3" w14:textId="2CD49D92"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1002" w:type="dxa"/>
            <w:vAlign w:val="center"/>
          </w:tcPr>
          <w:p w14:paraId="04AC5A93" w14:textId="27463ADE"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15A2087B" w14:textId="2ABC3F7B"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3FF42CD0" w14:textId="1567F438"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the appeal bundle to the Tribunal and relevant parties, informing client of the key dates and requesting expert evidence where appropriate</w:t>
            </w:r>
          </w:p>
          <w:p w14:paraId="57D50569" w14:textId="5010B4DA" w:rsidR="00A36CCA"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Representation before the Tribunal</w:t>
            </w:r>
          </w:p>
          <w:p w14:paraId="631B6755" w14:textId="2BF6E4FD" w:rsidR="0014114F" w:rsidRPr="00F94E08" w:rsidRDefault="00A36CCA" w:rsidP="00A36CCA">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2D580EFB" w14:textId="60D45E14" w:rsidR="0014114F" w:rsidRPr="00F94E08" w:rsidRDefault="0014114F" w:rsidP="00A36CCA">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bl>
    <w:p w14:paraId="79D71114" w14:textId="4AB73190" w:rsidR="008663D2" w:rsidRPr="00F94E08" w:rsidRDefault="008663D2">
      <w:pPr>
        <w:rPr>
          <w:rFonts w:ascii="Arial" w:eastAsiaTheme="majorEastAsia" w:hAnsi="Arial" w:cs="Arial"/>
          <w:b/>
          <w:bCs/>
          <w:sz w:val="24"/>
          <w:szCs w:val="24"/>
        </w:rPr>
      </w:pPr>
    </w:p>
    <w:p w14:paraId="0BBA0F88" w14:textId="77777777" w:rsidR="008663D2" w:rsidRPr="00F94E08" w:rsidRDefault="008663D2">
      <w:pPr>
        <w:rPr>
          <w:rFonts w:ascii="Arial" w:eastAsiaTheme="majorEastAsia" w:hAnsi="Arial" w:cs="Arial"/>
          <w:b/>
          <w:bCs/>
          <w:sz w:val="24"/>
          <w:szCs w:val="24"/>
        </w:rPr>
      </w:pPr>
      <w:r w:rsidRPr="00F94E08">
        <w:rPr>
          <w:rFonts w:ascii="Arial" w:hAnsi="Arial" w:cs="Arial"/>
          <w:b/>
          <w:bCs/>
          <w:sz w:val="24"/>
          <w:szCs w:val="24"/>
        </w:rPr>
        <w:br w:type="page"/>
      </w:r>
    </w:p>
    <w:p w14:paraId="741D9E2D" w14:textId="70F5408B" w:rsidR="008663D2" w:rsidRPr="00F94E08" w:rsidRDefault="008663D2" w:rsidP="008663D2">
      <w:pPr>
        <w:pStyle w:val="Heading1"/>
        <w:spacing w:before="240" w:after="240" w:line="276" w:lineRule="auto"/>
        <w:jc w:val="center"/>
        <w:rPr>
          <w:rFonts w:ascii="Arial" w:hAnsi="Arial" w:cs="Arial"/>
          <w:b/>
          <w:bCs/>
          <w:color w:val="auto"/>
          <w:sz w:val="24"/>
          <w:szCs w:val="24"/>
        </w:rPr>
      </w:pPr>
      <w:r w:rsidRPr="00F94E08">
        <w:rPr>
          <w:rFonts w:ascii="Arial" w:hAnsi="Arial" w:cs="Arial"/>
          <w:b/>
          <w:bCs/>
          <w:color w:val="auto"/>
          <w:sz w:val="24"/>
          <w:szCs w:val="24"/>
        </w:rPr>
        <w:lastRenderedPageBreak/>
        <w:t>Fee Scale – hourly rate – IAA Model Document</w:t>
      </w:r>
    </w:p>
    <w:p w14:paraId="36837322" w14:textId="4B14E306" w:rsidR="002F4AAF" w:rsidRPr="00F94E08" w:rsidRDefault="002F4AAF" w:rsidP="002F4AAF">
      <w:pPr>
        <w:spacing w:after="120" w:line="276" w:lineRule="auto"/>
        <w:rPr>
          <w:rFonts w:ascii="Arial" w:hAnsi="Arial" w:cs="Arial"/>
          <w:sz w:val="24"/>
          <w:szCs w:val="24"/>
        </w:rPr>
      </w:pPr>
      <w:r w:rsidRPr="00F94E08">
        <w:rPr>
          <w:rFonts w:ascii="Arial" w:hAnsi="Arial" w:cs="Arial"/>
          <w:sz w:val="24"/>
          <w:szCs w:val="24"/>
        </w:rPr>
        <w:t>This fee scale details our fees for all immigration advice and services ABC Immigration is registered to provide to our clients. We charge on a</w:t>
      </w:r>
      <w:r w:rsidR="00921347" w:rsidRPr="00F94E08">
        <w:rPr>
          <w:rFonts w:ascii="Arial" w:hAnsi="Arial" w:cs="Arial"/>
          <w:sz w:val="24"/>
          <w:szCs w:val="24"/>
        </w:rPr>
        <w:t>n</w:t>
      </w:r>
      <w:r w:rsidRPr="00F94E08">
        <w:rPr>
          <w:rFonts w:ascii="Arial" w:hAnsi="Arial" w:cs="Arial"/>
          <w:sz w:val="24"/>
          <w:szCs w:val="24"/>
        </w:rPr>
        <w:t xml:space="preserve"> </w:t>
      </w:r>
      <w:r w:rsidR="00921347" w:rsidRPr="00F94E08">
        <w:rPr>
          <w:rFonts w:ascii="Arial" w:hAnsi="Arial" w:cs="Arial"/>
          <w:sz w:val="24"/>
          <w:szCs w:val="24"/>
        </w:rPr>
        <w:t xml:space="preserve">hourly-rate </w:t>
      </w:r>
      <w:r w:rsidRPr="00F94E08">
        <w:rPr>
          <w:rFonts w:ascii="Arial" w:hAnsi="Arial" w:cs="Arial"/>
          <w:sz w:val="24"/>
          <w:szCs w:val="24"/>
        </w:rPr>
        <w:t xml:space="preserve">basis only. However, should you wish to withdraw instructions part-way through your immigration case, we will charge you for all work we have undertaken on your behalf at an hourly rate of £XXX. Please note that our organisation is </w:t>
      </w:r>
      <w:r w:rsidRPr="00F94E08">
        <w:rPr>
          <w:rFonts w:ascii="Arial" w:hAnsi="Arial" w:cs="Arial"/>
          <w:sz w:val="24"/>
          <w:szCs w:val="24"/>
          <w:u w:val="single"/>
        </w:rPr>
        <w:t>VAT-registered</w:t>
      </w:r>
      <w:r w:rsidRPr="00F94E08">
        <w:rPr>
          <w:rFonts w:ascii="Arial" w:hAnsi="Arial" w:cs="Arial"/>
          <w:sz w:val="24"/>
          <w:szCs w:val="24"/>
        </w:rPr>
        <w:t>. Therefore 20% VAT will be added to the fees outlined below.</w:t>
      </w:r>
    </w:p>
    <w:tbl>
      <w:tblPr>
        <w:tblStyle w:val="TableGrid"/>
        <w:tblW w:w="0" w:type="auto"/>
        <w:jc w:val="center"/>
        <w:tblLayout w:type="fixed"/>
        <w:tblLook w:val="04A0" w:firstRow="1" w:lastRow="0" w:firstColumn="1" w:lastColumn="0" w:noHBand="0" w:noVBand="1"/>
      </w:tblPr>
      <w:tblGrid>
        <w:gridCol w:w="2552"/>
        <w:gridCol w:w="1021"/>
        <w:gridCol w:w="1002"/>
        <w:gridCol w:w="3572"/>
        <w:gridCol w:w="1021"/>
      </w:tblGrid>
      <w:tr w:rsidR="002F4AAF" w:rsidRPr="00F94E08" w14:paraId="6F948BF0" w14:textId="77777777" w:rsidTr="00FA06C3">
        <w:trPr>
          <w:jc w:val="center"/>
        </w:trPr>
        <w:tc>
          <w:tcPr>
            <w:tcW w:w="2552" w:type="dxa"/>
            <w:vAlign w:val="center"/>
          </w:tcPr>
          <w:p w14:paraId="6BE4BD89" w14:textId="77777777" w:rsidR="002F4AAF" w:rsidRPr="00F94E08" w:rsidRDefault="002F4AAF" w:rsidP="00FA06C3">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Type </w:t>
            </w:r>
            <w:r w:rsidRPr="00F94E08">
              <w:rPr>
                <w:rFonts w:ascii="Arial" w:eastAsiaTheme="majorEastAsia" w:hAnsi="Arial" w:cs="Arial"/>
                <w:b/>
                <w:bCs/>
                <w:sz w:val="24"/>
                <w:szCs w:val="24"/>
              </w:rPr>
              <w:br/>
              <w:t>of Application</w:t>
            </w:r>
          </w:p>
        </w:tc>
        <w:tc>
          <w:tcPr>
            <w:tcW w:w="1021" w:type="dxa"/>
            <w:vAlign w:val="center"/>
          </w:tcPr>
          <w:p w14:paraId="414816F9" w14:textId="77777777" w:rsidR="002F4AAF" w:rsidRPr="00F94E08" w:rsidRDefault="002F4AAF" w:rsidP="00FA06C3">
            <w:pPr>
              <w:pStyle w:val="Default"/>
              <w:spacing w:before="120" w:after="120"/>
              <w:jc w:val="center"/>
            </w:pPr>
            <w:r w:rsidRPr="00F94E08">
              <w:rPr>
                <w:b/>
                <w:bCs/>
              </w:rPr>
              <w:t xml:space="preserve">Our fixed fee </w:t>
            </w:r>
          </w:p>
        </w:tc>
        <w:tc>
          <w:tcPr>
            <w:tcW w:w="1002" w:type="dxa"/>
            <w:vAlign w:val="center"/>
          </w:tcPr>
          <w:p w14:paraId="05A61F02" w14:textId="77777777" w:rsidR="002F4AAF" w:rsidRPr="00F94E08" w:rsidRDefault="002F4AAF" w:rsidP="00FA06C3">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Home Office fee</w:t>
            </w:r>
            <w:r w:rsidRPr="00F94E08">
              <w:rPr>
                <w:rStyle w:val="FootnoteReference"/>
                <w:rFonts w:ascii="Arial" w:eastAsiaTheme="majorEastAsia" w:hAnsi="Arial" w:cs="Arial"/>
                <w:b/>
                <w:bCs/>
                <w:sz w:val="24"/>
                <w:szCs w:val="24"/>
              </w:rPr>
              <w:footnoteReference w:id="3"/>
            </w:r>
          </w:p>
        </w:tc>
        <w:tc>
          <w:tcPr>
            <w:tcW w:w="3572" w:type="dxa"/>
            <w:vAlign w:val="center"/>
          </w:tcPr>
          <w:p w14:paraId="51004D51" w14:textId="77777777" w:rsidR="002F4AAF" w:rsidRPr="00F94E08" w:rsidRDefault="002F4AAF" w:rsidP="00FA06C3">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Description of work </w:t>
            </w:r>
            <w:r w:rsidRPr="00F94E08">
              <w:rPr>
                <w:rFonts w:ascii="Arial" w:eastAsiaTheme="majorEastAsia" w:hAnsi="Arial" w:cs="Arial"/>
                <w:b/>
                <w:bCs/>
                <w:sz w:val="24"/>
                <w:szCs w:val="24"/>
              </w:rPr>
              <w:br/>
              <w:t>incl. in fixed fee</w:t>
            </w:r>
          </w:p>
        </w:tc>
        <w:tc>
          <w:tcPr>
            <w:tcW w:w="1021" w:type="dxa"/>
            <w:vAlign w:val="center"/>
          </w:tcPr>
          <w:p w14:paraId="13A3021B" w14:textId="77777777" w:rsidR="002F4AAF" w:rsidRPr="00F94E08" w:rsidRDefault="002F4AAF" w:rsidP="00FA06C3">
            <w:pPr>
              <w:spacing w:before="120" w:after="120"/>
              <w:jc w:val="center"/>
              <w:rPr>
                <w:rFonts w:ascii="Arial" w:eastAsiaTheme="majorEastAsia" w:hAnsi="Arial" w:cs="Arial"/>
                <w:b/>
                <w:bCs/>
                <w:sz w:val="24"/>
                <w:szCs w:val="24"/>
              </w:rPr>
            </w:pPr>
            <w:r w:rsidRPr="00F94E08">
              <w:rPr>
                <w:rFonts w:ascii="Arial" w:eastAsiaTheme="majorEastAsia" w:hAnsi="Arial" w:cs="Arial"/>
                <w:b/>
                <w:bCs/>
                <w:sz w:val="24"/>
                <w:szCs w:val="24"/>
              </w:rPr>
              <w:t xml:space="preserve">Total </w:t>
            </w:r>
            <w:r w:rsidRPr="00F94E08">
              <w:rPr>
                <w:rFonts w:ascii="Arial" w:eastAsiaTheme="majorEastAsia" w:hAnsi="Arial" w:cs="Arial"/>
                <w:b/>
                <w:bCs/>
                <w:sz w:val="24"/>
                <w:szCs w:val="24"/>
              </w:rPr>
              <w:br/>
              <w:t>(incl. VAT)</w:t>
            </w:r>
          </w:p>
        </w:tc>
      </w:tr>
      <w:tr w:rsidR="002F4AAF" w:rsidRPr="00F94E08" w14:paraId="6B5D74B1" w14:textId="77777777" w:rsidTr="00FA06C3">
        <w:trPr>
          <w:jc w:val="center"/>
        </w:trPr>
        <w:tc>
          <w:tcPr>
            <w:tcW w:w="2552" w:type="dxa"/>
            <w:vAlign w:val="center"/>
          </w:tcPr>
          <w:p w14:paraId="30C976FE"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Level 1</w:t>
            </w:r>
          </w:p>
          <w:p w14:paraId="3BE6AB0A"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Simple applications within the Rules (e.g. Student, Worker, UK Ancestry, simple family visa) and simple nationality applications</w:t>
            </w:r>
          </w:p>
        </w:tc>
        <w:tc>
          <w:tcPr>
            <w:tcW w:w="1021" w:type="dxa"/>
            <w:vAlign w:val="center"/>
          </w:tcPr>
          <w:p w14:paraId="1B3C8463" w14:textId="718FB5C0" w:rsidR="002F4AAF" w:rsidRPr="00F94E08" w:rsidRDefault="00921347"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 xml:space="preserve">£XXX/h (est. </w:t>
            </w:r>
            <w:r w:rsidRPr="00F94E08">
              <w:rPr>
                <w:rFonts w:ascii="Arial" w:eastAsiaTheme="majorEastAsia" w:hAnsi="Arial" w:cs="Arial"/>
                <w:sz w:val="24"/>
                <w:szCs w:val="24"/>
              </w:rPr>
              <w:br/>
              <w:t>X hrs)</w:t>
            </w:r>
          </w:p>
        </w:tc>
        <w:tc>
          <w:tcPr>
            <w:tcW w:w="1002" w:type="dxa"/>
            <w:vAlign w:val="center"/>
          </w:tcPr>
          <w:p w14:paraId="7BAF9710"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1A433D7F"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209AEE35"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application and relevant supporting documents</w:t>
            </w:r>
          </w:p>
          <w:p w14:paraId="72B11C27"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0F91E727"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r w:rsidR="002F4AAF" w:rsidRPr="00F94E08" w14:paraId="10D932B6" w14:textId="77777777" w:rsidTr="00FA06C3">
        <w:trPr>
          <w:jc w:val="center"/>
        </w:trPr>
        <w:tc>
          <w:tcPr>
            <w:tcW w:w="2552" w:type="dxa"/>
            <w:vAlign w:val="center"/>
          </w:tcPr>
          <w:p w14:paraId="7B52ACF9"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Level 2</w:t>
            </w:r>
          </w:p>
          <w:p w14:paraId="2DC2C445"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Discretionary and complex applications</w:t>
            </w:r>
          </w:p>
          <w:p w14:paraId="23F04FA1"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Out-of-time applications.</w:t>
            </w:r>
          </w:p>
        </w:tc>
        <w:tc>
          <w:tcPr>
            <w:tcW w:w="1021" w:type="dxa"/>
            <w:vAlign w:val="center"/>
          </w:tcPr>
          <w:p w14:paraId="552B8EAE" w14:textId="70CBA93A" w:rsidR="002F4AAF" w:rsidRPr="00F94E08" w:rsidRDefault="00921347"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 xml:space="preserve">£XXX/h (est. </w:t>
            </w:r>
            <w:r w:rsidRPr="00F94E08">
              <w:rPr>
                <w:rFonts w:ascii="Arial" w:eastAsiaTheme="majorEastAsia" w:hAnsi="Arial" w:cs="Arial"/>
                <w:sz w:val="24"/>
                <w:szCs w:val="24"/>
              </w:rPr>
              <w:br/>
              <w:t>X hrs)</w:t>
            </w:r>
          </w:p>
        </w:tc>
        <w:tc>
          <w:tcPr>
            <w:tcW w:w="1002" w:type="dxa"/>
            <w:vAlign w:val="center"/>
          </w:tcPr>
          <w:p w14:paraId="030D9616"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3B437A8C"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26C11B50"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application and relevant supporting documents</w:t>
            </w:r>
          </w:p>
          <w:p w14:paraId="59419D5C"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453EAF55"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r w:rsidR="002F4AAF" w:rsidRPr="00F94E08" w14:paraId="60B074F7" w14:textId="77777777" w:rsidTr="00FA06C3">
        <w:trPr>
          <w:jc w:val="center"/>
        </w:trPr>
        <w:tc>
          <w:tcPr>
            <w:tcW w:w="2552" w:type="dxa"/>
            <w:vAlign w:val="center"/>
          </w:tcPr>
          <w:p w14:paraId="777B39FE"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Level 2</w:t>
            </w:r>
          </w:p>
          <w:p w14:paraId="4D6CC939"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Lodging of Notice of Appeal</w:t>
            </w:r>
          </w:p>
        </w:tc>
        <w:tc>
          <w:tcPr>
            <w:tcW w:w="1021" w:type="dxa"/>
            <w:vAlign w:val="center"/>
          </w:tcPr>
          <w:p w14:paraId="61706499" w14:textId="2B1F61DF" w:rsidR="002F4AAF" w:rsidRPr="00F94E08" w:rsidRDefault="00921347"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 xml:space="preserve">£XXX/h (est. </w:t>
            </w:r>
            <w:r w:rsidRPr="00F94E08">
              <w:rPr>
                <w:rFonts w:ascii="Arial" w:eastAsiaTheme="majorEastAsia" w:hAnsi="Arial" w:cs="Arial"/>
                <w:sz w:val="24"/>
                <w:szCs w:val="24"/>
              </w:rPr>
              <w:br/>
              <w:t>X hrs)</w:t>
            </w:r>
          </w:p>
        </w:tc>
        <w:tc>
          <w:tcPr>
            <w:tcW w:w="1002" w:type="dxa"/>
            <w:vAlign w:val="center"/>
          </w:tcPr>
          <w:p w14:paraId="2FD03A11"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62507B03"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448BFDF4"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the Notice of Appeal and relevant supporting documents</w:t>
            </w:r>
          </w:p>
          <w:p w14:paraId="499A47A4"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Informing client of the key dates and referral to a Level 3 adviser/solicitor</w:t>
            </w:r>
          </w:p>
          <w:p w14:paraId="3EBB3BCA"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lastRenderedPageBreak/>
              <w:t>Copies of documents and postage.</w:t>
            </w:r>
          </w:p>
        </w:tc>
        <w:tc>
          <w:tcPr>
            <w:tcW w:w="1021" w:type="dxa"/>
            <w:vAlign w:val="center"/>
          </w:tcPr>
          <w:p w14:paraId="2FF18CB9"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lastRenderedPageBreak/>
              <w:t>£XXX</w:t>
            </w:r>
          </w:p>
        </w:tc>
      </w:tr>
      <w:tr w:rsidR="002F4AAF" w:rsidRPr="00F94E08" w14:paraId="1A61B23F" w14:textId="77777777" w:rsidTr="00FA06C3">
        <w:trPr>
          <w:jc w:val="center"/>
        </w:trPr>
        <w:tc>
          <w:tcPr>
            <w:tcW w:w="2552" w:type="dxa"/>
            <w:vAlign w:val="center"/>
          </w:tcPr>
          <w:p w14:paraId="6C8406D0"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Level 3</w:t>
            </w:r>
          </w:p>
          <w:p w14:paraId="200646A9"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 xml:space="preserve">Substantive appeal casework and representation </w:t>
            </w:r>
            <w:r w:rsidRPr="00F94E08">
              <w:rPr>
                <w:rFonts w:ascii="Arial" w:eastAsiaTheme="majorEastAsia" w:hAnsi="Arial" w:cs="Arial"/>
                <w:sz w:val="24"/>
                <w:szCs w:val="24"/>
              </w:rPr>
              <w:br/>
              <w:t>at the Tribunal</w:t>
            </w:r>
          </w:p>
        </w:tc>
        <w:tc>
          <w:tcPr>
            <w:tcW w:w="1021" w:type="dxa"/>
            <w:vAlign w:val="center"/>
          </w:tcPr>
          <w:p w14:paraId="2BD186DB" w14:textId="3AA2A46B" w:rsidR="002F4AAF" w:rsidRPr="00F94E08" w:rsidRDefault="00921347"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 xml:space="preserve">£XXX/h (est. </w:t>
            </w:r>
            <w:r w:rsidRPr="00F94E08">
              <w:rPr>
                <w:rFonts w:ascii="Arial" w:eastAsiaTheme="majorEastAsia" w:hAnsi="Arial" w:cs="Arial"/>
                <w:sz w:val="24"/>
                <w:szCs w:val="24"/>
              </w:rPr>
              <w:br/>
              <w:t>X hrs)</w:t>
            </w:r>
          </w:p>
        </w:tc>
        <w:tc>
          <w:tcPr>
            <w:tcW w:w="1002" w:type="dxa"/>
            <w:vAlign w:val="center"/>
          </w:tcPr>
          <w:p w14:paraId="202F41A6"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c>
          <w:tcPr>
            <w:tcW w:w="3572" w:type="dxa"/>
            <w:vAlign w:val="center"/>
          </w:tcPr>
          <w:p w14:paraId="4FF638B9"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All attendances and written and telephone correspondence with the client and relevant 3rd parties</w:t>
            </w:r>
          </w:p>
          <w:p w14:paraId="33EAEC9F"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Consideration, preparation and submission of the appeal bundle to the Tribunal and relevant parties, informing client of the key dates and requesting expert evidence where appropriate</w:t>
            </w:r>
          </w:p>
          <w:p w14:paraId="56845A50"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Representation before the Tribunal</w:t>
            </w:r>
          </w:p>
          <w:p w14:paraId="2E89A500" w14:textId="77777777" w:rsidR="002F4AAF" w:rsidRPr="00F94E08" w:rsidRDefault="002F4AAF" w:rsidP="00FA06C3">
            <w:pPr>
              <w:spacing w:before="120" w:after="120"/>
              <w:rPr>
                <w:rFonts w:ascii="Arial" w:eastAsiaTheme="majorEastAsia" w:hAnsi="Arial" w:cs="Arial"/>
                <w:sz w:val="24"/>
                <w:szCs w:val="24"/>
              </w:rPr>
            </w:pPr>
            <w:r w:rsidRPr="00F94E08">
              <w:rPr>
                <w:rFonts w:ascii="Arial" w:eastAsiaTheme="majorEastAsia" w:hAnsi="Arial" w:cs="Arial"/>
                <w:sz w:val="24"/>
                <w:szCs w:val="24"/>
              </w:rPr>
              <w:t>Copies of documents and postage</w:t>
            </w:r>
          </w:p>
        </w:tc>
        <w:tc>
          <w:tcPr>
            <w:tcW w:w="1021" w:type="dxa"/>
            <w:vAlign w:val="center"/>
          </w:tcPr>
          <w:p w14:paraId="718BC717" w14:textId="77777777" w:rsidR="002F4AAF" w:rsidRPr="00F94E08" w:rsidRDefault="002F4AAF" w:rsidP="00FA06C3">
            <w:pPr>
              <w:spacing w:before="120" w:after="120"/>
              <w:jc w:val="center"/>
              <w:rPr>
                <w:rFonts w:ascii="Arial" w:eastAsiaTheme="majorEastAsia" w:hAnsi="Arial" w:cs="Arial"/>
                <w:sz w:val="24"/>
                <w:szCs w:val="24"/>
              </w:rPr>
            </w:pPr>
            <w:r w:rsidRPr="00F94E08">
              <w:rPr>
                <w:rFonts w:ascii="Arial" w:eastAsiaTheme="majorEastAsia" w:hAnsi="Arial" w:cs="Arial"/>
                <w:sz w:val="24"/>
                <w:szCs w:val="24"/>
              </w:rPr>
              <w:t>£XXX</w:t>
            </w:r>
          </w:p>
        </w:tc>
      </w:tr>
    </w:tbl>
    <w:p w14:paraId="493294F0" w14:textId="77777777" w:rsidR="008663D2" w:rsidRPr="00F94E08" w:rsidRDefault="008663D2" w:rsidP="008663D2">
      <w:pPr>
        <w:spacing w:after="120" w:line="276" w:lineRule="auto"/>
        <w:rPr>
          <w:rFonts w:ascii="Arial" w:hAnsi="Arial" w:cs="Arial"/>
          <w:b/>
          <w:bCs/>
          <w:sz w:val="24"/>
          <w:szCs w:val="24"/>
        </w:rPr>
      </w:pPr>
    </w:p>
    <w:p w14:paraId="7C020242" w14:textId="77777777" w:rsidR="008663D2" w:rsidRPr="00F94E08" w:rsidRDefault="008663D2" w:rsidP="004D2756">
      <w:pPr>
        <w:spacing w:after="120" w:line="276" w:lineRule="auto"/>
        <w:rPr>
          <w:rFonts w:ascii="Arial" w:hAnsi="Arial" w:cs="Arial"/>
          <w:sz w:val="24"/>
          <w:szCs w:val="24"/>
        </w:rPr>
      </w:pPr>
    </w:p>
    <w:p w14:paraId="0C97C008" w14:textId="67CA3AAA" w:rsidR="000562CC" w:rsidRPr="00F94E08" w:rsidRDefault="000562CC" w:rsidP="00810D84">
      <w:pPr>
        <w:spacing w:after="120" w:line="276" w:lineRule="auto"/>
        <w:rPr>
          <w:rFonts w:ascii="Arial" w:hAnsi="Arial" w:cs="Arial"/>
          <w:b/>
          <w:bCs/>
          <w:sz w:val="24"/>
          <w:szCs w:val="24"/>
        </w:rPr>
      </w:pPr>
    </w:p>
    <w:sectPr w:rsidR="000562CC" w:rsidRPr="00F94E0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9669" w14:textId="77777777" w:rsidR="00760971" w:rsidRDefault="00760971" w:rsidP="00A77F7C">
      <w:pPr>
        <w:spacing w:after="0" w:line="240" w:lineRule="auto"/>
      </w:pPr>
      <w:r>
        <w:separator/>
      </w:r>
    </w:p>
  </w:endnote>
  <w:endnote w:type="continuationSeparator" w:id="0">
    <w:p w14:paraId="013F117D" w14:textId="77777777" w:rsidR="00760971" w:rsidRDefault="00760971" w:rsidP="00A77F7C">
      <w:pPr>
        <w:spacing w:after="0" w:line="240" w:lineRule="auto"/>
      </w:pPr>
      <w:r>
        <w:continuationSeparator/>
      </w:r>
    </w:p>
  </w:endnote>
  <w:endnote w:type="continuationNotice" w:id="1">
    <w:p w14:paraId="5969805A" w14:textId="77777777" w:rsidR="00760971" w:rsidRDefault="00760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AF03" w14:textId="179D8A1C" w:rsidR="00A77F7C" w:rsidRDefault="00A77F7C" w:rsidP="00A77F7C">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4C89" w14:textId="77777777" w:rsidR="00760971" w:rsidRDefault="00760971" w:rsidP="00A77F7C">
      <w:pPr>
        <w:spacing w:after="0" w:line="240" w:lineRule="auto"/>
      </w:pPr>
      <w:r>
        <w:separator/>
      </w:r>
    </w:p>
  </w:footnote>
  <w:footnote w:type="continuationSeparator" w:id="0">
    <w:p w14:paraId="70241B66" w14:textId="77777777" w:rsidR="00760971" w:rsidRDefault="00760971" w:rsidP="00A77F7C">
      <w:pPr>
        <w:spacing w:after="0" w:line="240" w:lineRule="auto"/>
      </w:pPr>
      <w:r>
        <w:continuationSeparator/>
      </w:r>
    </w:p>
  </w:footnote>
  <w:footnote w:type="continuationNotice" w:id="1">
    <w:p w14:paraId="7D5C51AC" w14:textId="77777777" w:rsidR="00760971" w:rsidRDefault="00760971">
      <w:pPr>
        <w:spacing w:after="0" w:line="240" w:lineRule="auto"/>
      </w:pPr>
    </w:p>
  </w:footnote>
  <w:footnote w:id="2">
    <w:p w14:paraId="22FBEBEF" w14:textId="3254ECA8" w:rsidR="002F4AAF" w:rsidRDefault="002F4AAF">
      <w:pPr>
        <w:pStyle w:val="FootnoteText"/>
      </w:pPr>
      <w:r>
        <w:rPr>
          <w:rStyle w:val="FootnoteReference"/>
        </w:rPr>
        <w:footnoteRef/>
      </w:r>
      <w:r>
        <w:t xml:space="preserve"> The Home Office application fee is </w:t>
      </w:r>
      <w:r w:rsidRPr="002F4AAF">
        <w:rPr>
          <w:u w:val="single"/>
        </w:rPr>
        <w:t>NOT</w:t>
      </w:r>
      <w:r>
        <w:t xml:space="preserve"> included in the fixed fee</w:t>
      </w:r>
    </w:p>
  </w:footnote>
  <w:footnote w:id="3">
    <w:p w14:paraId="30FFDC27" w14:textId="77777777" w:rsidR="002F4AAF" w:rsidRDefault="002F4AAF" w:rsidP="002F4AAF">
      <w:pPr>
        <w:pStyle w:val="FootnoteText"/>
      </w:pPr>
      <w:r>
        <w:rPr>
          <w:rStyle w:val="FootnoteReference"/>
        </w:rPr>
        <w:footnoteRef/>
      </w:r>
      <w:r>
        <w:t xml:space="preserve"> The Home Office application fee is </w:t>
      </w:r>
      <w:r w:rsidRPr="002F4AAF">
        <w:rPr>
          <w:u w:val="single"/>
        </w:rPr>
        <w:t>NOT</w:t>
      </w:r>
      <w:r>
        <w:t xml:space="preserve"> included in the fixed fee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AF5"/>
    <w:multiLevelType w:val="hybridMultilevel"/>
    <w:tmpl w:val="AF20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887175"/>
    <w:multiLevelType w:val="hybridMultilevel"/>
    <w:tmpl w:val="E96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B774C"/>
    <w:multiLevelType w:val="hybridMultilevel"/>
    <w:tmpl w:val="F7BE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62417"/>
    <w:multiLevelType w:val="hybridMultilevel"/>
    <w:tmpl w:val="7E3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7756C"/>
    <w:multiLevelType w:val="multilevel"/>
    <w:tmpl w:val="219808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C17070"/>
    <w:multiLevelType w:val="hybridMultilevel"/>
    <w:tmpl w:val="AC6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156115">
    <w:abstractNumId w:val="2"/>
  </w:num>
  <w:num w:numId="2" w16cid:durableId="1952004986">
    <w:abstractNumId w:val="5"/>
  </w:num>
  <w:num w:numId="3" w16cid:durableId="1139372540">
    <w:abstractNumId w:val="4"/>
  </w:num>
  <w:num w:numId="4" w16cid:durableId="1454521676">
    <w:abstractNumId w:val="3"/>
  </w:num>
  <w:num w:numId="5" w16cid:durableId="604264633">
    <w:abstractNumId w:val="0"/>
  </w:num>
  <w:num w:numId="6" w16cid:durableId="183430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C"/>
    <w:rsid w:val="00002BF6"/>
    <w:rsid w:val="0001366C"/>
    <w:rsid w:val="00053588"/>
    <w:rsid w:val="000562CC"/>
    <w:rsid w:val="00082F9F"/>
    <w:rsid w:val="000E459B"/>
    <w:rsid w:val="000F1020"/>
    <w:rsid w:val="0014114F"/>
    <w:rsid w:val="0016548E"/>
    <w:rsid w:val="0018633F"/>
    <w:rsid w:val="001C303C"/>
    <w:rsid w:val="001D3AEA"/>
    <w:rsid w:val="001E6DD4"/>
    <w:rsid w:val="001F6975"/>
    <w:rsid w:val="00216D68"/>
    <w:rsid w:val="00236735"/>
    <w:rsid w:val="0024022D"/>
    <w:rsid w:val="00242468"/>
    <w:rsid w:val="002477DE"/>
    <w:rsid w:val="0027347B"/>
    <w:rsid w:val="0028513E"/>
    <w:rsid w:val="0028669F"/>
    <w:rsid w:val="00293791"/>
    <w:rsid w:val="002F4AAF"/>
    <w:rsid w:val="0033523E"/>
    <w:rsid w:val="003847B1"/>
    <w:rsid w:val="0038638E"/>
    <w:rsid w:val="003A3A0F"/>
    <w:rsid w:val="003D542C"/>
    <w:rsid w:val="004372EE"/>
    <w:rsid w:val="00466868"/>
    <w:rsid w:val="00480936"/>
    <w:rsid w:val="004861E0"/>
    <w:rsid w:val="004D2756"/>
    <w:rsid w:val="004F7C1A"/>
    <w:rsid w:val="0051565E"/>
    <w:rsid w:val="00590589"/>
    <w:rsid w:val="005924A4"/>
    <w:rsid w:val="005A2B3C"/>
    <w:rsid w:val="005A3207"/>
    <w:rsid w:val="005A50B7"/>
    <w:rsid w:val="005B4526"/>
    <w:rsid w:val="005C09D2"/>
    <w:rsid w:val="005D49D4"/>
    <w:rsid w:val="005F66D9"/>
    <w:rsid w:val="00614003"/>
    <w:rsid w:val="00640F61"/>
    <w:rsid w:val="00641743"/>
    <w:rsid w:val="00653913"/>
    <w:rsid w:val="00660415"/>
    <w:rsid w:val="00666C6A"/>
    <w:rsid w:val="00686729"/>
    <w:rsid w:val="006968EF"/>
    <w:rsid w:val="006A5BAB"/>
    <w:rsid w:val="006C7CBC"/>
    <w:rsid w:val="006E2FE2"/>
    <w:rsid w:val="006E6FF0"/>
    <w:rsid w:val="006F33A5"/>
    <w:rsid w:val="006F3407"/>
    <w:rsid w:val="006F357E"/>
    <w:rsid w:val="006F3BC0"/>
    <w:rsid w:val="006F3E53"/>
    <w:rsid w:val="0070541D"/>
    <w:rsid w:val="00723ED8"/>
    <w:rsid w:val="00747156"/>
    <w:rsid w:val="00755795"/>
    <w:rsid w:val="00760971"/>
    <w:rsid w:val="007615BF"/>
    <w:rsid w:val="00775926"/>
    <w:rsid w:val="007D49BD"/>
    <w:rsid w:val="00810D84"/>
    <w:rsid w:val="00811AEE"/>
    <w:rsid w:val="00831DE0"/>
    <w:rsid w:val="008663D2"/>
    <w:rsid w:val="008852FC"/>
    <w:rsid w:val="0088791A"/>
    <w:rsid w:val="008A6F39"/>
    <w:rsid w:val="008B0186"/>
    <w:rsid w:val="008C1A4E"/>
    <w:rsid w:val="008C5D0E"/>
    <w:rsid w:val="008D38B0"/>
    <w:rsid w:val="008F578A"/>
    <w:rsid w:val="00910F8A"/>
    <w:rsid w:val="00911EFB"/>
    <w:rsid w:val="00921347"/>
    <w:rsid w:val="00922762"/>
    <w:rsid w:val="00927F78"/>
    <w:rsid w:val="00946D86"/>
    <w:rsid w:val="00947C26"/>
    <w:rsid w:val="0096158B"/>
    <w:rsid w:val="00965D75"/>
    <w:rsid w:val="00970C4C"/>
    <w:rsid w:val="00993AA5"/>
    <w:rsid w:val="009D0A7E"/>
    <w:rsid w:val="009D0AAB"/>
    <w:rsid w:val="009F3D86"/>
    <w:rsid w:val="00A0508A"/>
    <w:rsid w:val="00A36CCA"/>
    <w:rsid w:val="00A411A0"/>
    <w:rsid w:val="00A55BA0"/>
    <w:rsid w:val="00A65A09"/>
    <w:rsid w:val="00A72550"/>
    <w:rsid w:val="00A75611"/>
    <w:rsid w:val="00A77F7C"/>
    <w:rsid w:val="00A948FD"/>
    <w:rsid w:val="00AA2F3B"/>
    <w:rsid w:val="00AB0997"/>
    <w:rsid w:val="00AB4E63"/>
    <w:rsid w:val="00AD27C6"/>
    <w:rsid w:val="00B13EA0"/>
    <w:rsid w:val="00B2511F"/>
    <w:rsid w:val="00B341FD"/>
    <w:rsid w:val="00B514B9"/>
    <w:rsid w:val="00B535B4"/>
    <w:rsid w:val="00B64729"/>
    <w:rsid w:val="00B65D30"/>
    <w:rsid w:val="00BB4CD1"/>
    <w:rsid w:val="00BC06B5"/>
    <w:rsid w:val="00BC7381"/>
    <w:rsid w:val="00BD5286"/>
    <w:rsid w:val="00BE5A59"/>
    <w:rsid w:val="00C03122"/>
    <w:rsid w:val="00C13B22"/>
    <w:rsid w:val="00C25BD5"/>
    <w:rsid w:val="00C32A2B"/>
    <w:rsid w:val="00C62D24"/>
    <w:rsid w:val="00C87E34"/>
    <w:rsid w:val="00C9085A"/>
    <w:rsid w:val="00C92918"/>
    <w:rsid w:val="00CC2672"/>
    <w:rsid w:val="00CD00D0"/>
    <w:rsid w:val="00CD019E"/>
    <w:rsid w:val="00CD5874"/>
    <w:rsid w:val="00CD7960"/>
    <w:rsid w:val="00CF6248"/>
    <w:rsid w:val="00D046D0"/>
    <w:rsid w:val="00D05D2D"/>
    <w:rsid w:val="00D0660F"/>
    <w:rsid w:val="00D32F70"/>
    <w:rsid w:val="00D33E00"/>
    <w:rsid w:val="00D4259E"/>
    <w:rsid w:val="00D455E6"/>
    <w:rsid w:val="00D75245"/>
    <w:rsid w:val="00D91E2C"/>
    <w:rsid w:val="00D926E8"/>
    <w:rsid w:val="00DA1490"/>
    <w:rsid w:val="00DA6243"/>
    <w:rsid w:val="00DE2EAD"/>
    <w:rsid w:val="00DF4717"/>
    <w:rsid w:val="00DF6707"/>
    <w:rsid w:val="00E02A96"/>
    <w:rsid w:val="00E04FEE"/>
    <w:rsid w:val="00E16EE1"/>
    <w:rsid w:val="00E32385"/>
    <w:rsid w:val="00E402B6"/>
    <w:rsid w:val="00E42E88"/>
    <w:rsid w:val="00E4444D"/>
    <w:rsid w:val="00E72C60"/>
    <w:rsid w:val="00EE1290"/>
    <w:rsid w:val="00F00A82"/>
    <w:rsid w:val="00F04C41"/>
    <w:rsid w:val="00F435B6"/>
    <w:rsid w:val="00F94E08"/>
    <w:rsid w:val="00FB23C3"/>
    <w:rsid w:val="00FF2A8B"/>
    <w:rsid w:val="01AD0101"/>
    <w:rsid w:val="01FADCE7"/>
    <w:rsid w:val="029196E1"/>
    <w:rsid w:val="0537A921"/>
    <w:rsid w:val="089DC7FE"/>
    <w:rsid w:val="0D495974"/>
    <w:rsid w:val="1CC01E51"/>
    <w:rsid w:val="1CC2D7AB"/>
    <w:rsid w:val="1E205B9E"/>
    <w:rsid w:val="2090F8EE"/>
    <w:rsid w:val="24BB83A0"/>
    <w:rsid w:val="264292CE"/>
    <w:rsid w:val="27C0DA0F"/>
    <w:rsid w:val="27F06EC3"/>
    <w:rsid w:val="29140FBC"/>
    <w:rsid w:val="2B7B5814"/>
    <w:rsid w:val="31AD6D7E"/>
    <w:rsid w:val="32603EFE"/>
    <w:rsid w:val="32DF15FC"/>
    <w:rsid w:val="364D0384"/>
    <w:rsid w:val="3999E2AD"/>
    <w:rsid w:val="39F19ABB"/>
    <w:rsid w:val="3C3C8635"/>
    <w:rsid w:val="3E35414D"/>
    <w:rsid w:val="400F17FE"/>
    <w:rsid w:val="42462ACD"/>
    <w:rsid w:val="441F0DB5"/>
    <w:rsid w:val="459226E8"/>
    <w:rsid w:val="4E8A7A16"/>
    <w:rsid w:val="4F9A46DF"/>
    <w:rsid w:val="54A8A5D5"/>
    <w:rsid w:val="550C1A37"/>
    <w:rsid w:val="58218A0F"/>
    <w:rsid w:val="60C7108F"/>
    <w:rsid w:val="6282FB0E"/>
    <w:rsid w:val="6405F338"/>
    <w:rsid w:val="64D338C6"/>
    <w:rsid w:val="69435FDD"/>
    <w:rsid w:val="6C83EF6C"/>
    <w:rsid w:val="7011C1DD"/>
    <w:rsid w:val="731D2C4B"/>
    <w:rsid w:val="77CC563A"/>
    <w:rsid w:val="7A20DA98"/>
    <w:rsid w:val="7C8C67A5"/>
    <w:rsid w:val="7D582739"/>
    <w:rsid w:val="7F19C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530"/>
  <w15:chartTrackingRefBased/>
  <w15:docId w15:val="{52AAEAAC-6C2A-4A7F-8930-95B0424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7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7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7C"/>
    <w:rPr>
      <w:rFonts w:eastAsiaTheme="majorEastAsia" w:cstheme="majorBidi"/>
      <w:color w:val="272727" w:themeColor="text1" w:themeTint="D8"/>
    </w:rPr>
  </w:style>
  <w:style w:type="paragraph" w:styleId="Title">
    <w:name w:val="Title"/>
    <w:basedOn w:val="Normal"/>
    <w:next w:val="Normal"/>
    <w:link w:val="TitleChar"/>
    <w:uiPriority w:val="10"/>
    <w:qFormat/>
    <w:rsid w:val="00A7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7C"/>
    <w:pPr>
      <w:spacing w:before="160"/>
      <w:jc w:val="center"/>
    </w:pPr>
    <w:rPr>
      <w:i/>
      <w:iCs/>
      <w:color w:val="404040" w:themeColor="text1" w:themeTint="BF"/>
    </w:rPr>
  </w:style>
  <w:style w:type="character" w:customStyle="1" w:styleId="QuoteChar">
    <w:name w:val="Quote Char"/>
    <w:basedOn w:val="DefaultParagraphFont"/>
    <w:link w:val="Quote"/>
    <w:uiPriority w:val="29"/>
    <w:rsid w:val="00A77F7C"/>
    <w:rPr>
      <w:i/>
      <w:iCs/>
      <w:color w:val="404040" w:themeColor="text1" w:themeTint="BF"/>
    </w:rPr>
  </w:style>
  <w:style w:type="paragraph" w:styleId="ListParagraph">
    <w:name w:val="List Paragraph"/>
    <w:basedOn w:val="Normal"/>
    <w:uiPriority w:val="34"/>
    <w:qFormat/>
    <w:rsid w:val="00A77F7C"/>
    <w:pPr>
      <w:ind w:left="720"/>
      <w:contextualSpacing/>
    </w:pPr>
  </w:style>
  <w:style w:type="character" w:styleId="IntenseEmphasis">
    <w:name w:val="Intense Emphasis"/>
    <w:basedOn w:val="DefaultParagraphFont"/>
    <w:uiPriority w:val="21"/>
    <w:qFormat/>
    <w:rsid w:val="00A77F7C"/>
    <w:rPr>
      <w:i/>
      <w:iCs/>
      <w:color w:val="0F4761" w:themeColor="accent1" w:themeShade="BF"/>
    </w:rPr>
  </w:style>
  <w:style w:type="paragraph" w:styleId="IntenseQuote">
    <w:name w:val="Intense Quote"/>
    <w:basedOn w:val="Normal"/>
    <w:next w:val="Normal"/>
    <w:link w:val="IntenseQuoteChar"/>
    <w:uiPriority w:val="30"/>
    <w:qFormat/>
    <w:rsid w:val="00A7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7C"/>
    <w:rPr>
      <w:i/>
      <w:iCs/>
      <w:color w:val="0F4761" w:themeColor="accent1" w:themeShade="BF"/>
    </w:rPr>
  </w:style>
  <w:style w:type="character" w:styleId="IntenseReference">
    <w:name w:val="Intense Reference"/>
    <w:basedOn w:val="DefaultParagraphFont"/>
    <w:uiPriority w:val="32"/>
    <w:qFormat/>
    <w:rsid w:val="00A77F7C"/>
    <w:rPr>
      <w:b/>
      <w:bCs/>
      <w:smallCaps/>
      <w:color w:val="0F4761" w:themeColor="accent1" w:themeShade="BF"/>
      <w:spacing w:val="5"/>
    </w:rPr>
  </w:style>
  <w:style w:type="paragraph" w:styleId="Header">
    <w:name w:val="header"/>
    <w:basedOn w:val="Normal"/>
    <w:link w:val="HeaderChar"/>
    <w:uiPriority w:val="99"/>
    <w:unhideWhenUsed/>
    <w:rsid w:val="00A77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7C"/>
  </w:style>
  <w:style w:type="paragraph" w:styleId="Footer">
    <w:name w:val="footer"/>
    <w:basedOn w:val="Normal"/>
    <w:link w:val="FooterChar"/>
    <w:unhideWhenUsed/>
    <w:rsid w:val="00A77F7C"/>
    <w:pPr>
      <w:tabs>
        <w:tab w:val="center" w:pos="4513"/>
        <w:tab w:val="right" w:pos="9026"/>
      </w:tabs>
      <w:spacing w:after="0" w:line="240" w:lineRule="auto"/>
    </w:pPr>
  </w:style>
  <w:style w:type="character" w:customStyle="1" w:styleId="FooterChar">
    <w:name w:val="Footer Char"/>
    <w:basedOn w:val="DefaultParagraphFont"/>
    <w:link w:val="Footer"/>
    <w:rsid w:val="00A77F7C"/>
  </w:style>
  <w:style w:type="character" w:styleId="Hyperlink">
    <w:name w:val="Hyperlink"/>
    <w:semiHidden/>
    <w:rsid w:val="00BC06B5"/>
    <w:rPr>
      <w:color w:val="0000FF"/>
      <w:u w:val="single"/>
    </w:rPr>
  </w:style>
  <w:style w:type="character" w:styleId="CommentReference">
    <w:name w:val="annotation reference"/>
    <w:uiPriority w:val="99"/>
    <w:semiHidden/>
    <w:unhideWhenUsed/>
    <w:rsid w:val="00BC06B5"/>
    <w:rPr>
      <w:sz w:val="16"/>
      <w:szCs w:val="16"/>
    </w:rPr>
  </w:style>
  <w:style w:type="paragraph" w:styleId="CommentText">
    <w:name w:val="annotation text"/>
    <w:basedOn w:val="Normal"/>
    <w:link w:val="CommentTextChar"/>
    <w:uiPriority w:val="99"/>
    <w:unhideWhenUsed/>
    <w:rsid w:val="00BC06B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C06B5"/>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BC06B5"/>
    <w:rPr>
      <w:color w:val="605E5C"/>
      <w:shd w:val="clear" w:color="auto" w:fill="E1DFDD"/>
    </w:rPr>
  </w:style>
  <w:style w:type="paragraph" w:styleId="Revision">
    <w:name w:val="Revision"/>
    <w:hidden/>
    <w:uiPriority w:val="99"/>
    <w:semiHidden/>
    <w:rsid w:val="00CD019E"/>
    <w:pPr>
      <w:spacing w:after="0" w:line="240" w:lineRule="auto"/>
    </w:pPr>
  </w:style>
  <w:style w:type="paragraph" w:styleId="CommentSubject">
    <w:name w:val="annotation subject"/>
    <w:basedOn w:val="CommentText"/>
    <w:next w:val="CommentText"/>
    <w:link w:val="CommentSubjectChar"/>
    <w:uiPriority w:val="99"/>
    <w:semiHidden/>
    <w:unhideWhenUsed/>
    <w:rsid w:val="00D05D2D"/>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D05D2D"/>
    <w:rPr>
      <w:rFonts w:ascii="Times New Roman" w:eastAsia="Times New Roman" w:hAnsi="Times New Roman" w:cs="Times New Roman"/>
      <w:b/>
      <w:bCs/>
      <w:kern w:val="0"/>
      <w:sz w:val="20"/>
      <w:szCs w:val="20"/>
      <w:lang w:val="en-US"/>
      <w14:ligatures w14:val="none"/>
    </w:rPr>
  </w:style>
  <w:style w:type="character" w:styleId="Mention">
    <w:name w:val="Mention"/>
    <w:basedOn w:val="DefaultParagraphFont"/>
    <w:uiPriority w:val="99"/>
    <w:unhideWhenUsed/>
    <w:rsid w:val="00D05D2D"/>
    <w:rPr>
      <w:color w:val="2B579A"/>
      <w:shd w:val="clear" w:color="auto" w:fill="E1DFDD"/>
    </w:rPr>
  </w:style>
  <w:style w:type="table" w:styleId="TableGrid">
    <w:name w:val="Table Grid"/>
    <w:basedOn w:val="TableNormal"/>
    <w:uiPriority w:val="39"/>
    <w:rsid w:val="0086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14F"/>
    <w:pPr>
      <w:autoSpaceDE w:val="0"/>
      <w:autoSpaceDN w:val="0"/>
      <w:adjustRightInd w:val="0"/>
      <w:spacing w:after="0" w:line="240" w:lineRule="auto"/>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2F4A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AAF"/>
    <w:rPr>
      <w:sz w:val="20"/>
      <w:szCs w:val="20"/>
    </w:rPr>
  </w:style>
  <w:style w:type="character" w:styleId="FootnoteReference">
    <w:name w:val="footnote reference"/>
    <w:basedOn w:val="DefaultParagraphFont"/>
    <w:uiPriority w:val="99"/>
    <w:semiHidden/>
    <w:unhideWhenUsed/>
    <w:rsid w:val="002F4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9222">
      <w:bodyDiv w:val="1"/>
      <w:marLeft w:val="0"/>
      <w:marRight w:val="0"/>
      <w:marTop w:val="0"/>
      <w:marBottom w:val="0"/>
      <w:divBdr>
        <w:top w:val="none" w:sz="0" w:space="0" w:color="auto"/>
        <w:left w:val="none" w:sz="0" w:space="0" w:color="auto"/>
        <w:bottom w:val="none" w:sz="0" w:space="0" w:color="auto"/>
        <w:right w:val="none" w:sz="0" w:space="0" w:color="auto"/>
      </w:divBdr>
    </w:div>
    <w:div w:id="10252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oisc-code-of-standards-commissioners-rule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927E-646C-44F2-81ED-E1C11506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1056</Words>
  <Characters>5726</Characters>
  <Application>Microsoft Office Word</Application>
  <DocSecurity>0</DocSecurity>
  <Lines>260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Links>
    <vt:vector size="30" baseType="variant">
      <vt:variant>
        <vt:i4>3801170</vt:i4>
      </vt:variant>
      <vt:variant>
        <vt:i4>6</vt:i4>
      </vt:variant>
      <vt:variant>
        <vt:i4>0</vt:i4>
      </vt:variant>
      <vt:variant>
        <vt:i4>5</vt:i4>
      </vt:variant>
      <vt:variant>
        <vt:lpwstr>mailto:info@immigrationadviceauthority.gov.uk</vt:lpwstr>
      </vt:variant>
      <vt:variant>
        <vt:lpwstr/>
      </vt:variant>
      <vt:variant>
        <vt:i4>7471219</vt:i4>
      </vt:variant>
      <vt:variant>
        <vt:i4>3</vt:i4>
      </vt:variant>
      <vt:variant>
        <vt:i4>0</vt:i4>
      </vt:variant>
      <vt:variant>
        <vt:i4>5</vt:i4>
      </vt:variant>
      <vt:variant>
        <vt:lpwstr>https://portal.oisc.gov.uk/s/complaints</vt:lpwstr>
      </vt:variant>
      <vt:variant>
        <vt:lpwstr/>
      </vt:variant>
      <vt:variant>
        <vt:i4>6422654</vt:i4>
      </vt:variant>
      <vt:variant>
        <vt:i4>0</vt:i4>
      </vt:variant>
      <vt:variant>
        <vt:i4>0</vt:i4>
      </vt:variant>
      <vt:variant>
        <vt:i4>5</vt:i4>
      </vt:variant>
      <vt:variant>
        <vt:lpwstr>https://www.gov.uk/government/publications/oisc-code-of-standards-commissioners-rules-2012</vt:lpwstr>
      </vt:variant>
      <vt:variant>
        <vt:lpwstr/>
      </vt:variant>
      <vt:variant>
        <vt:i4>6422621</vt:i4>
      </vt:variant>
      <vt:variant>
        <vt:i4>3</vt:i4>
      </vt:variant>
      <vt:variant>
        <vt:i4>0</vt:i4>
      </vt:variant>
      <vt:variant>
        <vt:i4>5</vt:i4>
      </vt:variant>
      <vt:variant>
        <vt:lpwstr>mailto:deirdre.gilchrist@immigrationadviceauthority.gov.uk</vt:lpwstr>
      </vt:variant>
      <vt:variant>
        <vt:lpwstr/>
      </vt:variant>
      <vt:variant>
        <vt:i4>6422621</vt:i4>
      </vt:variant>
      <vt:variant>
        <vt:i4>0</vt:i4>
      </vt:variant>
      <vt:variant>
        <vt:i4>0</vt:i4>
      </vt:variant>
      <vt:variant>
        <vt:i4>5</vt:i4>
      </vt:variant>
      <vt:variant>
        <vt:lpwstr>mailto:deirdre.gilchrist@immigrationadviceauthority.gov.uk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Bucholski</dc:creator>
  <cp:keywords/>
  <dc:description/>
  <cp:lastModifiedBy>Georgia Scriven</cp:lastModifiedBy>
  <cp:revision>3</cp:revision>
  <dcterms:created xsi:type="dcterms:W3CDTF">2026-03-03T09:17:00Z</dcterms:created>
  <dcterms:modified xsi:type="dcterms:W3CDTF">2026-03-03T09:18:00Z</dcterms:modified>
</cp:coreProperties>
</file>