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78DD" w14:textId="77777777" w:rsidR="008E455C" w:rsidRPr="008E455C" w:rsidRDefault="008E455C" w:rsidP="0033523E">
      <w:pPr>
        <w:pStyle w:val="Footer"/>
        <w:spacing w:before="240" w:after="240" w:line="276" w:lineRule="auto"/>
        <w:jc w:val="center"/>
        <w:rPr>
          <w:rFonts w:ascii="Arial" w:hAnsi="Arial" w:cs="Arial"/>
          <w:b/>
          <w:bCs/>
          <w:sz w:val="24"/>
          <w:szCs w:val="24"/>
        </w:rPr>
      </w:pPr>
    </w:p>
    <w:p w14:paraId="142BF2EE" w14:textId="1A248F55" w:rsidR="00BC06B5" w:rsidRPr="008E455C" w:rsidRDefault="008E455C" w:rsidP="008E455C">
      <w:pPr>
        <w:pStyle w:val="Footer"/>
        <w:spacing w:before="240" w:after="240" w:line="276" w:lineRule="auto"/>
        <w:rPr>
          <w:rFonts w:ascii="Arial" w:hAnsi="Arial" w:cs="Arial"/>
          <w:b/>
          <w:bCs/>
          <w:sz w:val="24"/>
          <w:szCs w:val="24"/>
        </w:rPr>
      </w:pPr>
      <w:r w:rsidRPr="008E455C">
        <w:rPr>
          <w:rFonts w:ascii="Arial" w:hAnsi="Arial" w:cs="Arial"/>
          <w:b/>
          <w:bCs/>
          <w:noProof/>
          <w:sz w:val="24"/>
          <w:szCs w:val="24"/>
        </w:rPr>
        <w:drawing>
          <wp:anchor distT="0" distB="0" distL="114300" distR="114300" simplePos="0" relativeHeight="251658240" behindDoc="0" locked="0" layoutInCell="1" allowOverlap="1" wp14:anchorId="00527474" wp14:editId="081B4B4D">
            <wp:simplePos x="0" y="0"/>
            <wp:positionH relativeFrom="margin">
              <wp:posOffset>-209550</wp:posOffset>
            </wp:positionH>
            <wp:positionV relativeFrom="margin">
              <wp:posOffset>-514350</wp:posOffset>
            </wp:positionV>
            <wp:extent cx="1238250" cy="1094105"/>
            <wp:effectExtent l="0" t="0" r="0" b="0"/>
            <wp:wrapSquare wrapText="bothSides"/>
            <wp:docPr id="656965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965259" name="Picture 6569652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50" cy="1094105"/>
                    </a:xfrm>
                    <a:prstGeom prst="rect">
                      <a:avLst/>
                    </a:prstGeom>
                  </pic:spPr>
                </pic:pic>
              </a:graphicData>
            </a:graphic>
          </wp:anchor>
        </w:drawing>
      </w:r>
      <w:r w:rsidR="004824E7" w:rsidRPr="008E455C">
        <w:rPr>
          <w:rFonts w:ascii="Arial" w:hAnsi="Arial" w:cs="Arial"/>
          <w:b/>
          <w:bCs/>
          <w:sz w:val="24"/>
          <w:szCs w:val="24"/>
        </w:rPr>
        <w:t xml:space="preserve">Client Account </w:t>
      </w:r>
      <w:r w:rsidR="00466868" w:rsidRPr="008E455C">
        <w:rPr>
          <w:rFonts w:ascii="Arial" w:hAnsi="Arial" w:cs="Arial"/>
          <w:b/>
          <w:bCs/>
          <w:sz w:val="24"/>
          <w:szCs w:val="24"/>
        </w:rPr>
        <w:t>–</w:t>
      </w:r>
      <w:r w:rsidR="00BC06B5" w:rsidRPr="008E455C">
        <w:rPr>
          <w:rFonts w:ascii="Arial" w:hAnsi="Arial" w:cs="Arial"/>
          <w:b/>
          <w:bCs/>
          <w:sz w:val="24"/>
          <w:szCs w:val="24"/>
        </w:rPr>
        <w:t xml:space="preserve"> Adviser Guidance</w:t>
      </w:r>
    </w:p>
    <w:p w14:paraId="1CBBCE98" w14:textId="33C592F6" w:rsidR="00860023" w:rsidRPr="008E455C" w:rsidRDefault="005219CD" w:rsidP="007615BF">
      <w:pPr>
        <w:pStyle w:val="Footer"/>
        <w:spacing w:after="120" w:line="276" w:lineRule="auto"/>
        <w:rPr>
          <w:rFonts w:ascii="Arial" w:hAnsi="Arial" w:cs="Arial"/>
          <w:sz w:val="24"/>
          <w:szCs w:val="24"/>
        </w:rPr>
      </w:pPr>
      <w:r w:rsidRPr="008E455C">
        <w:rPr>
          <w:rFonts w:ascii="Arial" w:hAnsi="Arial" w:cs="Arial"/>
          <w:sz w:val="24"/>
          <w:szCs w:val="24"/>
        </w:rPr>
        <w:t>IAA considers clear and comprehensive financial management to be a key indicator of an organisation’s fitness. This guidance describes how your organisation should deal with ‘client money’.</w:t>
      </w:r>
    </w:p>
    <w:p w14:paraId="5C3D9075" w14:textId="77777777" w:rsidR="005219CD" w:rsidRPr="008E455C" w:rsidRDefault="00860023" w:rsidP="007615BF">
      <w:pPr>
        <w:pStyle w:val="Footer"/>
        <w:spacing w:after="120" w:line="276" w:lineRule="auto"/>
        <w:rPr>
          <w:rFonts w:ascii="Arial" w:hAnsi="Arial" w:cs="Arial"/>
          <w:sz w:val="24"/>
          <w:szCs w:val="24"/>
        </w:rPr>
      </w:pPr>
      <w:r w:rsidRPr="008E455C">
        <w:rPr>
          <w:rFonts w:ascii="Arial" w:hAnsi="Arial" w:cs="Arial"/>
          <w:sz w:val="24"/>
          <w:szCs w:val="24"/>
        </w:rPr>
        <w:t>‘Client money’ is defined as money that belongs to the client and not the organisation. Examples of client money include:</w:t>
      </w:r>
    </w:p>
    <w:p w14:paraId="4A3298E5" w14:textId="4C5D69BE" w:rsidR="005219CD" w:rsidRPr="008E455C" w:rsidRDefault="00CD49FA" w:rsidP="00CD49FA">
      <w:pPr>
        <w:pStyle w:val="Footer"/>
        <w:numPr>
          <w:ilvl w:val="0"/>
          <w:numId w:val="6"/>
        </w:numPr>
        <w:spacing w:after="120" w:line="276" w:lineRule="auto"/>
        <w:rPr>
          <w:rFonts w:ascii="Arial" w:hAnsi="Arial" w:cs="Arial"/>
          <w:sz w:val="24"/>
          <w:szCs w:val="24"/>
        </w:rPr>
      </w:pPr>
      <w:r w:rsidRPr="008E455C">
        <w:rPr>
          <w:rFonts w:ascii="Arial" w:hAnsi="Arial" w:cs="Arial"/>
          <w:sz w:val="24"/>
          <w:szCs w:val="24"/>
        </w:rPr>
        <w:t>f</w:t>
      </w:r>
      <w:r w:rsidR="00860023" w:rsidRPr="008E455C">
        <w:rPr>
          <w:rFonts w:ascii="Arial" w:hAnsi="Arial" w:cs="Arial"/>
          <w:sz w:val="24"/>
          <w:szCs w:val="24"/>
        </w:rPr>
        <w:t xml:space="preserve">uture client disbursements, </w:t>
      </w:r>
      <w:r w:rsidR="005219CD" w:rsidRPr="008E455C">
        <w:rPr>
          <w:rFonts w:ascii="Arial" w:hAnsi="Arial" w:cs="Arial"/>
          <w:sz w:val="24"/>
          <w:szCs w:val="24"/>
        </w:rPr>
        <w:t>such as Home</w:t>
      </w:r>
      <w:r w:rsidR="00860023" w:rsidRPr="008E455C">
        <w:rPr>
          <w:rFonts w:ascii="Arial" w:hAnsi="Arial" w:cs="Arial"/>
          <w:sz w:val="24"/>
          <w:szCs w:val="24"/>
        </w:rPr>
        <w:t xml:space="preserve"> Office fees</w:t>
      </w:r>
    </w:p>
    <w:p w14:paraId="25F63437" w14:textId="616C6619" w:rsidR="00860023" w:rsidRPr="008E455C" w:rsidRDefault="00CD49FA" w:rsidP="00CD49FA">
      <w:pPr>
        <w:pStyle w:val="Footer"/>
        <w:numPr>
          <w:ilvl w:val="0"/>
          <w:numId w:val="6"/>
        </w:numPr>
        <w:spacing w:after="120" w:line="276" w:lineRule="auto"/>
        <w:rPr>
          <w:rFonts w:ascii="Arial" w:hAnsi="Arial" w:cs="Arial"/>
          <w:sz w:val="24"/>
          <w:szCs w:val="24"/>
        </w:rPr>
      </w:pPr>
      <w:r w:rsidRPr="008E455C">
        <w:rPr>
          <w:rFonts w:ascii="Arial" w:hAnsi="Arial" w:cs="Arial"/>
          <w:sz w:val="24"/>
          <w:szCs w:val="24"/>
        </w:rPr>
        <w:t>f</w:t>
      </w:r>
      <w:r w:rsidR="00860023" w:rsidRPr="008E455C">
        <w:rPr>
          <w:rFonts w:ascii="Arial" w:hAnsi="Arial" w:cs="Arial"/>
          <w:sz w:val="24"/>
          <w:szCs w:val="24"/>
        </w:rPr>
        <w:t>ees paid by the client to your organisation for work not yet done by the organisation</w:t>
      </w:r>
    </w:p>
    <w:p w14:paraId="7EF81CA6" w14:textId="57D21714" w:rsidR="00BC06B5" w:rsidRPr="008E455C" w:rsidRDefault="00FD6B5A" w:rsidP="007615BF">
      <w:pPr>
        <w:pStyle w:val="Footer"/>
        <w:spacing w:after="120" w:line="276" w:lineRule="auto"/>
        <w:rPr>
          <w:rFonts w:ascii="Arial" w:hAnsi="Arial" w:cs="Arial"/>
          <w:sz w:val="24"/>
          <w:szCs w:val="24"/>
        </w:rPr>
      </w:pPr>
      <w:r w:rsidRPr="008E455C">
        <w:rPr>
          <w:rFonts w:ascii="Arial" w:hAnsi="Arial" w:cs="Arial"/>
          <w:sz w:val="24"/>
          <w:szCs w:val="24"/>
        </w:rPr>
        <w:t xml:space="preserve">The information below provides guidance on what the Principle, Codes and Guidance Notes relating to ‘client money’ mean and what the Commissioner/IAA expects you to do with regard to dealing with client money appropriately. </w:t>
      </w:r>
      <w:r w:rsidR="00DF6707" w:rsidRPr="008E455C">
        <w:rPr>
          <w:rFonts w:ascii="Arial" w:hAnsi="Arial" w:cs="Arial"/>
          <w:sz w:val="24"/>
          <w:szCs w:val="24"/>
        </w:rPr>
        <w:t xml:space="preserve">All </w:t>
      </w:r>
      <w:r w:rsidR="000E459B" w:rsidRPr="008E455C">
        <w:rPr>
          <w:rFonts w:ascii="Arial" w:hAnsi="Arial" w:cs="Arial"/>
          <w:sz w:val="24"/>
          <w:szCs w:val="24"/>
        </w:rPr>
        <w:t xml:space="preserve">the documents cited below are available here: </w:t>
      </w:r>
      <w:hyperlink r:id="rId8" w:history="1">
        <w:r w:rsidR="000E459B" w:rsidRPr="008E455C">
          <w:rPr>
            <w:rStyle w:val="Hyperlink"/>
            <w:rFonts w:ascii="Arial" w:hAnsi="Arial" w:cs="Arial"/>
            <w:sz w:val="24"/>
            <w:szCs w:val="24"/>
          </w:rPr>
          <w:t>Code of standards - GOV.UK</w:t>
        </w:r>
      </w:hyperlink>
    </w:p>
    <w:p w14:paraId="5A519551" w14:textId="2C0F7BD8" w:rsidR="00BC06B5" w:rsidRPr="008E455C" w:rsidRDefault="00BC7381" w:rsidP="007615BF">
      <w:pPr>
        <w:autoSpaceDE w:val="0"/>
        <w:autoSpaceDN w:val="0"/>
        <w:adjustRightInd w:val="0"/>
        <w:spacing w:after="120" w:line="276" w:lineRule="auto"/>
        <w:rPr>
          <w:rFonts w:ascii="Arial" w:hAnsi="Arial" w:cs="Arial"/>
          <w:b/>
          <w:bCs/>
          <w:color w:val="000000"/>
          <w:sz w:val="24"/>
          <w:szCs w:val="24"/>
        </w:rPr>
      </w:pPr>
      <w:r w:rsidRPr="008E455C">
        <w:rPr>
          <w:rFonts w:ascii="Arial" w:hAnsi="Arial" w:cs="Arial"/>
          <w:b/>
          <w:bCs/>
          <w:color w:val="000000"/>
          <w:sz w:val="24"/>
          <w:szCs w:val="24"/>
        </w:rPr>
        <w:t xml:space="preserve">Principle </w:t>
      </w:r>
      <w:r w:rsidR="00D172EE" w:rsidRPr="008E455C">
        <w:rPr>
          <w:rFonts w:ascii="Arial" w:hAnsi="Arial" w:cs="Arial"/>
          <w:b/>
          <w:bCs/>
          <w:color w:val="000000"/>
          <w:sz w:val="24"/>
          <w:szCs w:val="24"/>
        </w:rPr>
        <w:t>9</w:t>
      </w:r>
      <w:r w:rsidRPr="008E455C">
        <w:rPr>
          <w:rFonts w:ascii="Arial" w:hAnsi="Arial" w:cs="Arial"/>
          <w:b/>
          <w:bCs/>
          <w:color w:val="000000"/>
          <w:sz w:val="24"/>
          <w:szCs w:val="24"/>
        </w:rPr>
        <w:t xml:space="preserve"> states the following:</w:t>
      </w:r>
    </w:p>
    <w:p w14:paraId="283B32CA" w14:textId="6CC9FCA7" w:rsidR="00BC7381" w:rsidRPr="008E455C" w:rsidRDefault="005379F8" w:rsidP="007615BF">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Charge fairly and transparently, dealing appropriately with client money</w:t>
      </w:r>
      <w:r w:rsidR="00BE5A59" w:rsidRPr="008E455C">
        <w:rPr>
          <w:rFonts w:ascii="Arial" w:hAnsi="Arial" w:cs="Arial"/>
          <w:sz w:val="24"/>
          <w:szCs w:val="24"/>
        </w:rPr>
        <w:t>.</w:t>
      </w:r>
    </w:p>
    <w:p w14:paraId="2A2CA230" w14:textId="78BF65C6" w:rsidR="00614003" w:rsidRPr="008E455C" w:rsidRDefault="00653913" w:rsidP="007615BF">
      <w:pPr>
        <w:autoSpaceDE w:val="0"/>
        <w:autoSpaceDN w:val="0"/>
        <w:adjustRightInd w:val="0"/>
        <w:spacing w:after="120" w:line="276" w:lineRule="auto"/>
        <w:rPr>
          <w:rFonts w:ascii="Arial" w:hAnsi="Arial" w:cs="Arial"/>
          <w:b/>
          <w:bCs/>
          <w:sz w:val="24"/>
          <w:szCs w:val="24"/>
        </w:rPr>
      </w:pPr>
      <w:r w:rsidRPr="008E455C">
        <w:rPr>
          <w:rFonts w:ascii="Arial" w:hAnsi="Arial" w:cs="Arial"/>
          <w:b/>
          <w:bCs/>
          <w:sz w:val="24"/>
          <w:szCs w:val="24"/>
        </w:rPr>
        <w:t>Codes – You must</w:t>
      </w:r>
      <w:r w:rsidR="00614003" w:rsidRPr="008E455C">
        <w:rPr>
          <w:rFonts w:ascii="Arial" w:hAnsi="Arial" w:cs="Arial"/>
          <w:b/>
          <w:bCs/>
          <w:sz w:val="24"/>
          <w:szCs w:val="24"/>
        </w:rPr>
        <w:t>:</w:t>
      </w:r>
    </w:p>
    <w:p w14:paraId="2F67DA5C" w14:textId="462C15AB" w:rsidR="006E2FE2" w:rsidRPr="008E455C" w:rsidRDefault="00235CBC" w:rsidP="007615BF">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9.4</w:t>
      </w:r>
      <w:r w:rsidR="00776E98" w:rsidRPr="008E455C">
        <w:rPr>
          <w:rFonts w:ascii="Arial" w:hAnsi="Arial" w:cs="Arial"/>
          <w:sz w:val="24"/>
          <w:szCs w:val="24"/>
        </w:rPr>
        <w:t xml:space="preserve"> </w:t>
      </w:r>
      <w:r w:rsidRPr="008E455C">
        <w:rPr>
          <w:rFonts w:ascii="Arial" w:hAnsi="Arial" w:cs="Arial"/>
          <w:sz w:val="24"/>
          <w:szCs w:val="24"/>
        </w:rPr>
        <w:t>Hold client money in a distinct client account that is separate from your business account where you take money in advance or hold money for a client</w:t>
      </w:r>
      <w:r w:rsidR="006E2FE2" w:rsidRPr="008E455C">
        <w:rPr>
          <w:rFonts w:ascii="Arial" w:hAnsi="Arial" w:cs="Arial"/>
          <w:sz w:val="24"/>
          <w:szCs w:val="24"/>
        </w:rPr>
        <w:t>.</w:t>
      </w:r>
    </w:p>
    <w:p w14:paraId="7D02D2CE" w14:textId="34AF7C85" w:rsidR="00EA408E" w:rsidRPr="008E455C" w:rsidRDefault="00EA408E" w:rsidP="007615BF">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9.5 Promptly return to the client any remaining money in the client account at the end of the client’s case or when the client has decided to terminate their instructions, or the organisation has withdrawn from the case.</w:t>
      </w:r>
    </w:p>
    <w:p w14:paraId="23802348" w14:textId="7860AA08" w:rsidR="00D455E6" w:rsidRPr="008E455C" w:rsidRDefault="00D455E6" w:rsidP="007615BF">
      <w:pPr>
        <w:autoSpaceDE w:val="0"/>
        <w:autoSpaceDN w:val="0"/>
        <w:adjustRightInd w:val="0"/>
        <w:spacing w:after="120" w:line="276" w:lineRule="auto"/>
        <w:rPr>
          <w:rFonts w:ascii="Arial" w:hAnsi="Arial" w:cs="Arial"/>
          <w:b/>
          <w:bCs/>
          <w:sz w:val="24"/>
          <w:szCs w:val="24"/>
        </w:rPr>
      </w:pPr>
      <w:r w:rsidRPr="008E455C">
        <w:rPr>
          <w:rFonts w:ascii="Arial" w:hAnsi="Arial" w:cs="Arial"/>
          <w:b/>
          <w:bCs/>
          <w:sz w:val="24"/>
          <w:szCs w:val="24"/>
        </w:rPr>
        <w:t>Guidance Notes:</w:t>
      </w:r>
    </w:p>
    <w:p w14:paraId="134E2497" w14:textId="72FE8E65" w:rsidR="00E4444D" w:rsidRPr="008E455C" w:rsidRDefault="00101BC4" w:rsidP="00776E98">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9.4</w:t>
      </w:r>
      <w:r w:rsidR="00776E98" w:rsidRPr="008E455C">
        <w:rPr>
          <w:rFonts w:ascii="Arial" w:hAnsi="Arial" w:cs="Arial"/>
          <w:sz w:val="24"/>
          <w:szCs w:val="24"/>
        </w:rPr>
        <w:t xml:space="preserve"> Hold client money in a distinct client account that is separate from your business account where you take money in advance or hold money for a client.</w:t>
      </w:r>
    </w:p>
    <w:p w14:paraId="68CD1CAC" w14:textId="26733248" w:rsidR="00E4444D" w:rsidRPr="008E455C" w:rsidRDefault="00101BC4" w:rsidP="007615BF">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 xml:space="preserve">Money paid by the client for work not yet completed does not belong to the business and should not be available for use by the business until the work is completed. For further information, please refer to the </w:t>
      </w:r>
      <w:hyperlink r:id="rId9" w:history="1">
        <w:r w:rsidRPr="008E455C">
          <w:rPr>
            <w:rStyle w:val="Hyperlink"/>
            <w:rFonts w:ascii="Arial" w:hAnsi="Arial" w:cs="Arial"/>
            <w:sz w:val="24"/>
            <w:szCs w:val="24"/>
          </w:rPr>
          <w:t>Practice Note on Fees and Accounts</w:t>
        </w:r>
      </w:hyperlink>
      <w:r w:rsidR="00E4444D" w:rsidRPr="008E455C">
        <w:rPr>
          <w:rFonts w:ascii="Arial" w:hAnsi="Arial" w:cs="Arial"/>
          <w:sz w:val="24"/>
          <w:szCs w:val="24"/>
        </w:rPr>
        <w:t xml:space="preserve">. </w:t>
      </w:r>
    </w:p>
    <w:p w14:paraId="0B5D51BB" w14:textId="77777777" w:rsidR="00EA408E" w:rsidRPr="008E455C" w:rsidRDefault="00EA408E" w:rsidP="00EA408E">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9.5 Promptly return to the client any remaining money in the client account at the end of the client’s case or when the client has decided to terminate their instructions, or the organisation has withdrawn from the case.</w:t>
      </w:r>
    </w:p>
    <w:p w14:paraId="41D510E0" w14:textId="77777777" w:rsidR="002256AD" w:rsidRPr="008E455C" w:rsidRDefault="005238E6" w:rsidP="007615BF">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t>Organisations are expected to ensure that client money is returned promptly to the client or third party for whom the money was held, as soon as there is no longer any proper reason to hold those funds. Any interest accrued on client money held in the client account should also be given to the client.</w:t>
      </w:r>
    </w:p>
    <w:p w14:paraId="5B05DF88" w14:textId="582941FB" w:rsidR="00EA408E" w:rsidRPr="008E455C" w:rsidRDefault="005238E6" w:rsidP="007615BF">
      <w:pPr>
        <w:autoSpaceDE w:val="0"/>
        <w:autoSpaceDN w:val="0"/>
        <w:adjustRightInd w:val="0"/>
        <w:spacing w:after="120" w:line="276" w:lineRule="auto"/>
        <w:rPr>
          <w:rFonts w:ascii="Arial" w:hAnsi="Arial" w:cs="Arial"/>
          <w:sz w:val="24"/>
          <w:szCs w:val="24"/>
        </w:rPr>
      </w:pPr>
      <w:r w:rsidRPr="008E455C">
        <w:rPr>
          <w:rFonts w:ascii="Arial" w:hAnsi="Arial" w:cs="Arial"/>
          <w:sz w:val="24"/>
          <w:szCs w:val="24"/>
        </w:rPr>
        <w:lastRenderedPageBreak/>
        <w:t>In some cases, you may be unable to return the money because a client has died or does not respond to attempts to contact them. Such money should not be retained by the business but may be donated to a charity.</w:t>
      </w:r>
    </w:p>
    <w:p w14:paraId="6DE7B2E3" w14:textId="56F74FE9" w:rsidR="003D45BE" w:rsidRPr="008E455C" w:rsidRDefault="003D45BE" w:rsidP="007615BF">
      <w:pPr>
        <w:autoSpaceDE w:val="0"/>
        <w:autoSpaceDN w:val="0"/>
        <w:adjustRightInd w:val="0"/>
        <w:spacing w:after="120" w:line="276" w:lineRule="auto"/>
        <w:rPr>
          <w:rFonts w:ascii="Arial" w:hAnsi="Arial" w:cs="Arial"/>
          <w:b/>
          <w:bCs/>
          <w:sz w:val="24"/>
          <w:szCs w:val="24"/>
        </w:rPr>
      </w:pPr>
      <w:r w:rsidRPr="008E455C">
        <w:rPr>
          <w:rFonts w:ascii="Arial" w:hAnsi="Arial" w:cs="Arial"/>
          <w:b/>
          <w:bCs/>
          <w:sz w:val="24"/>
          <w:szCs w:val="24"/>
        </w:rPr>
        <w:t>You must understand that it is not sufficient for an organisation simply to operate two business accounts and call one of them a client account without the bank knowing this. Your bank must know that the account used to keep client money is your client account. Your organisation must have evidence that the account holding client money has been designated as such by the bank.</w:t>
      </w:r>
    </w:p>
    <w:p w14:paraId="22CEDA99" w14:textId="1AFF6089" w:rsidR="00C92918" w:rsidRPr="008E455C" w:rsidRDefault="00BC06B5" w:rsidP="008E455C">
      <w:pPr>
        <w:spacing w:after="120" w:line="276" w:lineRule="auto"/>
        <w:rPr>
          <w:rFonts w:ascii="Arial" w:hAnsi="Arial" w:cs="Arial"/>
          <w:sz w:val="24"/>
          <w:szCs w:val="24"/>
        </w:rPr>
      </w:pPr>
      <w:r w:rsidRPr="008E455C">
        <w:rPr>
          <w:rFonts w:ascii="Arial" w:hAnsi="Arial" w:cs="Arial"/>
          <w:sz w:val="24"/>
          <w:szCs w:val="24"/>
        </w:rPr>
        <w:t xml:space="preserve">Below is a suggested Model Document that you can use as the basis for your organisation’s </w:t>
      </w:r>
      <w:r w:rsidR="00F13EDA" w:rsidRPr="008E455C">
        <w:rPr>
          <w:rFonts w:ascii="Arial" w:hAnsi="Arial" w:cs="Arial"/>
          <w:sz w:val="24"/>
          <w:szCs w:val="24"/>
        </w:rPr>
        <w:t>client account</w:t>
      </w:r>
      <w:r w:rsidR="00775926" w:rsidRPr="008E455C">
        <w:rPr>
          <w:rFonts w:ascii="Arial" w:hAnsi="Arial" w:cs="Arial"/>
          <w:sz w:val="24"/>
          <w:szCs w:val="24"/>
        </w:rPr>
        <w:t xml:space="preserve"> procedure</w:t>
      </w:r>
      <w:r w:rsidR="008E455C">
        <w:rPr>
          <w:rFonts w:ascii="Arial" w:hAnsi="Arial" w:cs="Arial"/>
          <w:sz w:val="24"/>
          <w:szCs w:val="24"/>
        </w:rPr>
        <w:t>.</w:t>
      </w:r>
      <w:r w:rsidR="008E455C">
        <w:rPr>
          <w:rFonts w:ascii="Arial" w:hAnsi="Arial" w:cs="Arial"/>
          <w:sz w:val="24"/>
          <w:szCs w:val="24"/>
        </w:rPr>
        <w:br/>
      </w:r>
    </w:p>
    <w:p w14:paraId="78FBAB4F" w14:textId="7659F001" w:rsidR="004D2756" w:rsidRPr="008E455C" w:rsidRDefault="00C94EC9" w:rsidP="00B514B9">
      <w:pPr>
        <w:pStyle w:val="Heading1"/>
        <w:spacing w:before="240" w:after="240" w:line="276" w:lineRule="auto"/>
        <w:jc w:val="center"/>
        <w:rPr>
          <w:rFonts w:ascii="Arial" w:hAnsi="Arial" w:cs="Arial"/>
          <w:b/>
          <w:bCs/>
          <w:color w:val="auto"/>
          <w:sz w:val="24"/>
          <w:szCs w:val="24"/>
        </w:rPr>
      </w:pPr>
      <w:r w:rsidRPr="008E455C">
        <w:rPr>
          <w:rFonts w:ascii="Arial" w:hAnsi="Arial" w:cs="Arial"/>
          <w:b/>
          <w:bCs/>
          <w:color w:val="auto"/>
          <w:sz w:val="24"/>
          <w:szCs w:val="24"/>
        </w:rPr>
        <w:t>Client Account</w:t>
      </w:r>
      <w:r w:rsidR="004D2756" w:rsidRPr="008E455C">
        <w:rPr>
          <w:rFonts w:ascii="Arial" w:hAnsi="Arial" w:cs="Arial"/>
          <w:b/>
          <w:bCs/>
          <w:color w:val="auto"/>
          <w:sz w:val="24"/>
          <w:szCs w:val="24"/>
        </w:rPr>
        <w:t xml:space="preserve"> Procedure</w:t>
      </w:r>
      <w:r w:rsidR="006968EF" w:rsidRPr="008E455C">
        <w:rPr>
          <w:rFonts w:ascii="Arial" w:hAnsi="Arial" w:cs="Arial"/>
          <w:b/>
          <w:bCs/>
          <w:color w:val="auto"/>
          <w:sz w:val="24"/>
          <w:szCs w:val="24"/>
        </w:rPr>
        <w:t xml:space="preserve"> – IAA Model Document</w:t>
      </w:r>
    </w:p>
    <w:p w14:paraId="72C1E813" w14:textId="06DB4BFD" w:rsidR="00DA2A2D" w:rsidRPr="008E455C" w:rsidRDefault="00DA2A2D" w:rsidP="00DA2A2D">
      <w:pPr>
        <w:spacing w:after="120" w:line="276" w:lineRule="auto"/>
        <w:rPr>
          <w:rFonts w:ascii="Arial" w:hAnsi="Arial" w:cs="Arial"/>
          <w:sz w:val="24"/>
          <w:szCs w:val="24"/>
        </w:rPr>
      </w:pPr>
      <w:r w:rsidRPr="008E455C">
        <w:rPr>
          <w:rFonts w:ascii="Arial" w:hAnsi="Arial" w:cs="Arial"/>
          <w:sz w:val="24"/>
          <w:szCs w:val="24"/>
        </w:rPr>
        <w:t>ABC Immigration hold a client account with XYZ Bank of London. This account is called ABC Immigration’s client account.</w:t>
      </w:r>
      <w:r w:rsidR="00957007" w:rsidRPr="008E455C">
        <w:rPr>
          <w:rFonts w:ascii="Arial" w:hAnsi="Arial" w:cs="Arial"/>
          <w:sz w:val="24"/>
          <w:szCs w:val="24"/>
        </w:rPr>
        <w:t xml:space="preserve"> </w:t>
      </w:r>
      <w:r w:rsidRPr="008E455C">
        <w:rPr>
          <w:rFonts w:ascii="Arial" w:hAnsi="Arial" w:cs="Arial"/>
          <w:sz w:val="24"/>
          <w:szCs w:val="24"/>
        </w:rPr>
        <w:t>ABC Immigration have informed XYZ Bank of London that this account has been designated as their organisation’s client account.</w:t>
      </w:r>
    </w:p>
    <w:p w14:paraId="69E7F1C7" w14:textId="23844633" w:rsidR="004D2756" w:rsidRPr="008E455C" w:rsidRDefault="00DA2A2D" w:rsidP="00DA2A2D">
      <w:pPr>
        <w:spacing w:after="120" w:line="276" w:lineRule="auto"/>
        <w:rPr>
          <w:rFonts w:ascii="Arial" w:hAnsi="Arial" w:cs="Arial"/>
          <w:sz w:val="24"/>
          <w:szCs w:val="24"/>
        </w:rPr>
      </w:pPr>
      <w:r w:rsidRPr="008E455C">
        <w:rPr>
          <w:rFonts w:ascii="Arial" w:hAnsi="Arial" w:cs="Arial"/>
          <w:sz w:val="24"/>
          <w:szCs w:val="24"/>
        </w:rPr>
        <w:t>ABC Immigration has a client account paying-in book</w:t>
      </w:r>
      <w:r w:rsidR="006161FE" w:rsidRPr="008E455C">
        <w:rPr>
          <w:rFonts w:ascii="Arial" w:hAnsi="Arial" w:cs="Arial"/>
          <w:sz w:val="24"/>
          <w:szCs w:val="24"/>
        </w:rPr>
        <w:t xml:space="preserve"> </w:t>
      </w:r>
      <w:r w:rsidRPr="008E455C">
        <w:rPr>
          <w:rFonts w:ascii="Arial" w:hAnsi="Arial" w:cs="Arial"/>
          <w:sz w:val="24"/>
          <w:szCs w:val="24"/>
        </w:rPr>
        <w:t xml:space="preserve">and will keep all client account bank statements. All </w:t>
      </w:r>
      <w:r w:rsidR="00957007" w:rsidRPr="008E455C">
        <w:rPr>
          <w:rFonts w:ascii="Arial" w:hAnsi="Arial" w:cs="Arial"/>
          <w:sz w:val="24"/>
          <w:szCs w:val="24"/>
        </w:rPr>
        <w:t>payments</w:t>
      </w:r>
      <w:r w:rsidRPr="008E455C">
        <w:rPr>
          <w:rFonts w:ascii="Arial" w:hAnsi="Arial" w:cs="Arial"/>
          <w:sz w:val="24"/>
          <w:szCs w:val="24"/>
        </w:rPr>
        <w:t xml:space="preserve"> coming in and out of ABC Immigration’s client account will be supported by the relevant documentation, which includes organisational ledgers, receipts and invoices.</w:t>
      </w:r>
    </w:p>
    <w:p w14:paraId="023357B5" w14:textId="7CD6A0D2" w:rsidR="004D2756" w:rsidRPr="008E455C" w:rsidRDefault="001E6FE3" w:rsidP="00A948FD">
      <w:pPr>
        <w:pStyle w:val="Heading2"/>
        <w:spacing w:before="240" w:after="240" w:line="276" w:lineRule="auto"/>
        <w:rPr>
          <w:rFonts w:ascii="Arial" w:hAnsi="Arial" w:cs="Arial"/>
          <w:b/>
          <w:bCs/>
          <w:sz w:val="24"/>
          <w:szCs w:val="24"/>
        </w:rPr>
      </w:pPr>
      <w:r w:rsidRPr="008E455C">
        <w:rPr>
          <w:rFonts w:ascii="Arial" w:hAnsi="Arial" w:cs="Arial"/>
          <w:b/>
          <w:bCs/>
          <w:color w:val="auto"/>
          <w:sz w:val="24"/>
          <w:szCs w:val="24"/>
        </w:rPr>
        <w:t>Fees paid to ABC Immigration for work not yet done</w:t>
      </w:r>
    </w:p>
    <w:p w14:paraId="660E7C02" w14:textId="7B30360E" w:rsidR="00C14248" w:rsidRPr="008E455C" w:rsidRDefault="00C14248" w:rsidP="0071233A">
      <w:pPr>
        <w:spacing w:after="120" w:line="276" w:lineRule="auto"/>
        <w:rPr>
          <w:rFonts w:ascii="Arial" w:hAnsi="Arial" w:cs="Arial"/>
          <w:sz w:val="24"/>
          <w:szCs w:val="24"/>
        </w:rPr>
      </w:pPr>
      <w:r w:rsidRPr="008E455C">
        <w:rPr>
          <w:rFonts w:ascii="Arial" w:hAnsi="Arial" w:cs="Arial"/>
          <w:sz w:val="24"/>
          <w:szCs w:val="24"/>
        </w:rPr>
        <w:t>All payments including deposits made by a client to ABC Immigration in advance of work to be done will be</w:t>
      </w:r>
      <w:r w:rsidR="004211A1" w:rsidRPr="008E455C">
        <w:rPr>
          <w:rFonts w:ascii="Arial" w:hAnsi="Arial" w:cs="Arial"/>
          <w:sz w:val="24"/>
          <w:szCs w:val="24"/>
        </w:rPr>
        <w:t xml:space="preserve"> d</w:t>
      </w:r>
      <w:r w:rsidRPr="008E455C">
        <w:rPr>
          <w:rFonts w:ascii="Arial" w:hAnsi="Arial" w:cs="Arial"/>
          <w:sz w:val="24"/>
          <w:szCs w:val="24"/>
        </w:rPr>
        <w:t>eposited into the client account and not the business account</w:t>
      </w:r>
      <w:r w:rsidR="00E510BE" w:rsidRPr="008E455C">
        <w:rPr>
          <w:rFonts w:ascii="Arial" w:hAnsi="Arial" w:cs="Arial"/>
          <w:sz w:val="24"/>
          <w:szCs w:val="24"/>
        </w:rPr>
        <w:t>.</w:t>
      </w:r>
    </w:p>
    <w:p w14:paraId="54B84A51" w14:textId="206C2D17" w:rsidR="00C14248" w:rsidRPr="008E455C" w:rsidRDefault="00C14248" w:rsidP="0071233A">
      <w:pPr>
        <w:spacing w:after="120" w:line="276" w:lineRule="auto"/>
        <w:rPr>
          <w:rFonts w:ascii="Arial" w:hAnsi="Arial" w:cs="Arial"/>
          <w:sz w:val="24"/>
          <w:szCs w:val="24"/>
        </w:rPr>
      </w:pPr>
      <w:r w:rsidRPr="008E455C">
        <w:rPr>
          <w:rFonts w:ascii="Arial" w:hAnsi="Arial" w:cs="Arial"/>
          <w:sz w:val="24"/>
          <w:szCs w:val="24"/>
        </w:rPr>
        <w:t>On completion of the work, the organisation will invoice the client providing details of the work done, the cost and confirmation that the relevant payment will be transferred from the client account to the organisation’s office account.</w:t>
      </w:r>
    </w:p>
    <w:p w14:paraId="3D07ED5A" w14:textId="587CF1D2" w:rsidR="00C14248" w:rsidRPr="008E455C" w:rsidRDefault="00C14248" w:rsidP="0071233A">
      <w:pPr>
        <w:spacing w:after="120" w:line="276" w:lineRule="auto"/>
        <w:rPr>
          <w:rFonts w:ascii="Arial" w:hAnsi="Arial" w:cs="Arial"/>
          <w:sz w:val="24"/>
          <w:szCs w:val="24"/>
        </w:rPr>
      </w:pPr>
      <w:r w:rsidRPr="008E455C">
        <w:rPr>
          <w:rFonts w:ascii="Arial" w:hAnsi="Arial" w:cs="Arial"/>
          <w:sz w:val="24"/>
          <w:szCs w:val="24"/>
        </w:rPr>
        <w:t>If a client withdraws their instructions, or if ABC Immigration withdraws from the case, the client will be invoiced for the work completed on their case to date by ABC Immigration.</w:t>
      </w:r>
    </w:p>
    <w:p w14:paraId="08AD7E66" w14:textId="2485D97D" w:rsidR="00C14248" w:rsidRPr="008E455C" w:rsidRDefault="00C14248" w:rsidP="0071233A">
      <w:pPr>
        <w:spacing w:after="120" w:line="276" w:lineRule="auto"/>
        <w:rPr>
          <w:rFonts w:ascii="Arial" w:hAnsi="Arial" w:cs="Arial"/>
          <w:sz w:val="24"/>
          <w:szCs w:val="24"/>
        </w:rPr>
      </w:pPr>
      <w:r w:rsidRPr="008E455C">
        <w:rPr>
          <w:rFonts w:ascii="Arial" w:hAnsi="Arial" w:cs="Arial"/>
          <w:sz w:val="24"/>
          <w:szCs w:val="24"/>
        </w:rPr>
        <w:t>If the fee charged to the client by ABC Immigration is less than the amount held in the client account, the balance will be returned to the client.</w:t>
      </w:r>
    </w:p>
    <w:p w14:paraId="6BD145F6" w14:textId="547FB4D5" w:rsidR="004D2756" w:rsidRPr="008E455C" w:rsidRDefault="00044B0E" w:rsidP="00A948FD">
      <w:pPr>
        <w:pStyle w:val="Heading2"/>
        <w:spacing w:before="240" w:after="240" w:line="276" w:lineRule="auto"/>
        <w:rPr>
          <w:rFonts w:ascii="Arial" w:hAnsi="Arial" w:cs="Arial"/>
          <w:b/>
          <w:bCs/>
          <w:sz w:val="24"/>
          <w:szCs w:val="24"/>
        </w:rPr>
      </w:pPr>
      <w:r w:rsidRPr="008E455C">
        <w:rPr>
          <w:rFonts w:ascii="Arial" w:hAnsi="Arial" w:cs="Arial"/>
          <w:b/>
          <w:bCs/>
          <w:color w:val="auto"/>
          <w:sz w:val="24"/>
          <w:szCs w:val="24"/>
        </w:rPr>
        <w:t>Disbursements and other a</w:t>
      </w:r>
      <w:r w:rsidR="00A03E16" w:rsidRPr="008E455C">
        <w:rPr>
          <w:rFonts w:ascii="Arial" w:hAnsi="Arial" w:cs="Arial"/>
          <w:b/>
          <w:bCs/>
          <w:color w:val="auto"/>
          <w:sz w:val="24"/>
          <w:szCs w:val="24"/>
        </w:rPr>
        <w:t>dvance payments to be made on behalf of a client</w:t>
      </w:r>
    </w:p>
    <w:p w14:paraId="5675D2FC" w14:textId="3C950616" w:rsidR="004D2756" w:rsidRPr="008E455C" w:rsidRDefault="00FD4C36" w:rsidP="004D2756">
      <w:pPr>
        <w:spacing w:after="120" w:line="276" w:lineRule="auto"/>
        <w:rPr>
          <w:rFonts w:ascii="Arial" w:hAnsi="Arial" w:cs="Arial"/>
          <w:sz w:val="24"/>
          <w:szCs w:val="24"/>
        </w:rPr>
      </w:pPr>
      <w:r w:rsidRPr="008E455C">
        <w:rPr>
          <w:rFonts w:ascii="Arial" w:hAnsi="Arial" w:cs="Arial"/>
          <w:sz w:val="24"/>
          <w:szCs w:val="24"/>
        </w:rPr>
        <w:t>Wherever possible, disbursements and payment of fees to government departments</w:t>
      </w:r>
      <w:r w:rsidR="002A44DF" w:rsidRPr="008E455C">
        <w:rPr>
          <w:rFonts w:ascii="Arial" w:hAnsi="Arial" w:cs="Arial"/>
          <w:sz w:val="24"/>
          <w:szCs w:val="24"/>
        </w:rPr>
        <w:t xml:space="preserve"> – including the Home Office – as well as</w:t>
      </w:r>
      <w:r w:rsidRPr="008E455C">
        <w:rPr>
          <w:rFonts w:ascii="Arial" w:hAnsi="Arial" w:cs="Arial"/>
          <w:sz w:val="24"/>
          <w:szCs w:val="24"/>
        </w:rPr>
        <w:t xml:space="preserve"> Tribunals, local authorities and similar bodies will be made by the client direct</w:t>
      </w:r>
      <w:r w:rsidR="0018406A" w:rsidRPr="008E455C">
        <w:rPr>
          <w:rFonts w:ascii="Arial" w:hAnsi="Arial" w:cs="Arial"/>
          <w:sz w:val="24"/>
          <w:szCs w:val="24"/>
        </w:rPr>
        <w:t>ly</w:t>
      </w:r>
      <w:r w:rsidRPr="008E455C">
        <w:rPr>
          <w:rFonts w:ascii="Arial" w:hAnsi="Arial" w:cs="Arial"/>
          <w:sz w:val="24"/>
          <w:szCs w:val="24"/>
        </w:rPr>
        <w:t xml:space="preserve"> to those authorities</w:t>
      </w:r>
      <w:r w:rsidR="004D2756" w:rsidRPr="008E455C">
        <w:rPr>
          <w:rFonts w:ascii="Arial" w:hAnsi="Arial" w:cs="Arial"/>
          <w:sz w:val="24"/>
          <w:szCs w:val="24"/>
        </w:rPr>
        <w:t>.</w:t>
      </w:r>
    </w:p>
    <w:p w14:paraId="62DAFDBD" w14:textId="5A0BAF0D" w:rsidR="00DB36DF" w:rsidRPr="008E455C" w:rsidRDefault="00DB36DF" w:rsidP="00DB36DF">
      <w:pPr>
        <w:spacing w:after="120" w:line="276" w:lineRule="auto"/>
        <w:rPr>
          <w:rFonts w:ascii="Arial" w:hAnsi="Arial" w:cs="Arial"/>
          <w:sz w:val="24"/>
          <w:szCs w:val="24"/>
        </w:rPr>
      </w:pPr>
      <w:r w:rsidRPr="008E455C">
        <w:rPr>
          <w:rFonts w:ascii="Arial" w:hAnsi="Arial" w:cs="Arial"/>
          <w:sz w:val="24"/>
          <w:szCs w:val="24"/>
        </w:rPr>
        <w:lastRenderedPageBreak/>
        <w:t xml:space="preserve">If this is not possible, these payments will be </w:t>
      </w:r>
      <w:r w:rsidR="00194AD7" w:rsidRPr="008E455C">
        <w:rPr>
          <w:rFonts w:ascii="Arial" w:hAnsi="Arial" w:cs="Arial"/>
          <w:sz w:val="24"/>
          <w:szCs w:val="24"/>
        </w:rPr>
        <w:t>made</w:t>
      </w:r>
      <w:r w:rsidRPr="008E455C">
        <w:rPr>
          <w:rFonts w:ascii="Arial" w:hAnsi="Arial" w:cs="Arial"/>
          <w:sz w:val="24"/>
          <w:szCs w:val="24"/>
        </w:rPr>
        <w:t xml:space="preserve"> into the client account </w:t>
      </w:r>
      <w:r w:rsidR="00194AD7" w:rsidRPr="008E455C">
        <w:rPr>
          <w:rFonts w:ascii="Arial" w:hAnsi="Arial" w:cs="Arial"/>
          <w:sz w:val="24"/>
          <w:szCs w:val="24"/>
        </w:rPr>
        <w:t>when</w:t>
      </w:r>
      <w:r w:rsidRPr="008E455C">
        <w:rPr>
          <w:rFonts w:ascii="Arial" w:hAnsi="Arial" w:cs="Arial"/>
          <w:sz w:val="24"/>
          <w:szCs w:val="24"/>
        </w:rPr>
        <w:t xml:space="preserve"> required</w:t>
      </w:r>
      <w:r w:rsidR="00194AD7" w:rsidRPr="008E455C">
        <w:rPr>
          <w:rFonts w:ascii="Arial" w:hAnsi="Arial" w:cs="Arial"/>
          <w:sz w:val="24"/>
          <w:szCs w:val="24"/>
        </w:rPr>
        <w:t xml:space="preserve"> and will </w:t>
      </w:r>
      <w:r w:rsidRPr="008E455C">
        <w:rPr>
          <w:rFonts w:ascii="Arial" w:hAnsi="Arial" w:cs="Arial"/>
          <w:sz w:val="24"/>
          <w:szCs w:val="24"/>
        </w:rPr>
        <w:t xml:space="preserve">remain in the client account until they are needed for the disbursement to the relevant authority. If ABC Immigration pays the client’s disbursement from the </w:t>
      </w:r>
      <w:r w:rsidR="00194AD7" w:rsidRPr="008E455C">
        <w:rPr>
          <w:rFonts w:ascii="Arial" w:hAnsi="Arial" w:cs="Arial"/>
          <w:sz w:val="24"/>
          <w:szCs w:val="24"/>
        </w:rPr>
        <w:t xml:space="preserve">organisation’s business </w:t>
      </w:r>
      <w:r w:rsidRPr="008E455C">
        <w:rPr>
          <w:rFonts w:ascii="Arial" w:hAnsi="Arial" w:cs="Arial"/>
          <w:sz w:val="24"/>
          <w:szCs w:val="24"/>
        </w:rPr>
        <w:t xml:space="preserve">account, then the payment will be transferred from the client account to the </w:t>
      </w:r>
      <w:r w:rsidR="00194AD7" w:rsidRPr="008E455C">
        <w:rPr>
          <w:rFonts w:ascii="Arial" w:hAnsi="Arial" w:cs="Arial"/>
          <w:sz w:val="24"/>
          <w:szCs w:val="24"/>
        </w:rPr>
        <w:t xml:space="preserve">business </w:t>
      </w:r>
      <w:r w:rsidRPr="008E455C">
        <w:rPr>
          <w:rFonts w:ascii="Arial" w:hAnsi="Arial" w:cs="Arial"/>
          <w:sz w:val="24"/>
          <w:szCs w:val="24"/>
        </w:rPr>
        <w:t>account.</w:t>
      </w:r>
    </w:p>
    <w:p w14:paraId="06451547" w14:textId="6997F8B0" w:rsidR="00DB36DF" w:rsidRPr="008E455C" w:rsidRDefault="00DB36DF" w:rsidP="00DB36DF">
      <w:pPr>
        <w:spacing w:after="120" w:line="276" w:lineRule="auto"/>
        <w:rPr>
          <w:rFonts w:ascii="Arial" w:hAnsi="Arial" w:cs="Arial"/>
          <w:sz w:val="24"/>
          <w:szCs w:val="24"/>
        </w:rPr>
      </w:pPr>
      <w:r w:rsidRPr="008E455C">
        <w:rPr>
          <w:rFonts w:ascii="Arial" w:hAnsi="Arial" w:cs="Arial"/>
          <w:sz w:val="24"/>
          <w:szCs w:val="24"/>
        </w:rPr>
        <w:t xml:space="preserve">If ABC Immigration receives an advance payment that is a mixture of the organisation’s </w:t>
      </w:r>
      <w:r w:rsidR="00194AD7" w:rsidRPr="008E455C">
        <w:rPr>
          <w:rFonts w:ascii="Arial" w:hAnsi="Arial" w:cs="Arial"/>
          <w:sz w:val="24"/>
          <w:szCs w:val="24"/>
        </w:rPr>
        <w:t xml:space="preserve">professional </w:t>
      </w:r>
      <w:r w:rsidRPr="008E455C">
        <w:rPr>
          <w:rFonts w:ascii="Arial" w:hAnsi="Arial" w:cs="Arial"/>
          <w:sz w:val="24"/>
          <w:szCs w:val="24"/>
        </w:rPr>
        <w:t xml:space="preserve">fees and disbursements, the whole amount will be paid into the client account. ABC Immigration will transfer the fee into the </w:t>
      </w:r>
      <w:r w:rsidR="00194AD7" w:rsidRPr="008E455C">
        <w:rPr>
          <w:rFonts w:ascii="Arial" w:hAnsi="Arial" w:cs="Arial"/>
          <w:sz w:val="24"/>
          <w:szCs w:val="24"/>
        </w:rPr>
        <w:t xml:space="preserve">business </w:t>
      </w:r>
      <w:r w:rsidRPr="008E455C">
        <w:rPr>
          <w:rFonts w:ascii="Arial" w:hAnsi="Arial" w:cs="Arial"/>
          <w:sz w:val="24"/>
          <w:szCs w:val="24"/>
        </w:rPr>
        <w:t>account once it has completed the relevant work.</w:t>
      </w:r>
    </w:p>
    <w:p w14:paraId="5A0221FD" w14:textId="000CB303" w:rsidR="004D2756" w:rsidRPr="008E455C" w:rsidRDefault="00DB36DF" w:rsidP="00DB36DF">
      <w:pPr>
        <w:spacing w:after="120" w:line="276" w:lineRule="auto"/>
        <w:rPr>
          <w:rFonts w:ascii="Arial" w:hAnsi="Arial" w:cs="Arial"/>
          <w:sz w:val="24"/>
          <w:szCs w:val="24"/>
        </w:rPr>
      </w:pPr>
      <w:r w:rsidRPr="008E455C">
        <w:rPr>
          <w:rFonts w:ascii="Arial" w:hAnsi="Arial" w:cs="Arial"/>
          <w:sz w:val="24"/>
          <w:szCs w:val="24"/>
        </w:rPr>
        <w:t>If a client withdraws their instructions or if ABC Immigration withdraws from the case before a disbursement has been paid, the client will be refunded all outstanding funds that ABC Immigration is holding in the client account.</w:t>
      </w:r>
    </w:p>
    <w:p w14:paraId="66C9D6F3" w14:textId="1BB137F9" w:rsidR="004D2756" w:rsidRPr="008E455C" w:rsidRDefault="0071233A" w:rsidP="0096575B">
      <w:pPr>
        <w:pStyle w:val="Heading2"/>
        <w:tabs>
          <w:tab w:val="left" w:pos="3261"/>
        </w:tabs>
        <w:spacing w:before="240" w:after="240" w:line="276" w:lineRule="auto"/>
        <w:rPr>
          <w:rFonts w:ascii="Arial" w:hAnsi="Arial" w:cs="Arial"/>
          <w:b/>
          <w:bCs/>
          <w:color w:val="auto"/>
          <w:sz w:val="24"/>
          <w:szCs w:val="24"/>
        </w:rPr>
      </w:pPr>
      <w:r w:rsidRPr="008E455C">
        <w:rPr>
          <w:rFonts w:ascii="Arial" w:hAnsi="Arial" w:cs="Arial"/>
          <w:b/>
          <w:bCs/>
          <w:color w:val="auto"/>
          <w:sz w:val="24"/>
          <w:szCs w:val="24"/>
        </w:rPr>
        <w:t>Refunds</w:t>
      </w:r>
    </w:p>
    <w:p w14:paraId="74FDF91A" w14:textId="3188499D" w:rsidR="005F54BB" w:rsidRPr="008E455C" w:rsidRDefault="005F54BB" w:rsidP="005F54BB">
      <w:pPr>
        <w:spacing w:after="120" w:line="276" w:lineRule="auto"/>
        <w:rPr>
          <w:rFonts w:ascii="Arial" w:hAnsi="Arial" w:cs="Arial"/>
          <w:sz w:val="24"/>
          <w:szCs w:val="24"/>
        </w:rPr>
      </w:pPr>
      <w:r w:rsidRPr="008E455C">
        <w:rPr>
          <w:rFonts w:ascii="Arial" w:hAnsi="Arial" w:cs="Arial"/>
          <w:sz w:val="24"/>
          <w:szCs w:val="24"/>
        </w:rPr>
        <w:t>If a refund is due to the client, ABC Immigration will ensure the refund is paid from the correct bank account.</w:t>
      </w:r>
      <w:r w:rsidR="002B3242" w:rsidRPr="008E455C">
        <w:rPr>
          <w:rFonts w:ascii="Arial" w:hAnsi="Arial" w:cs="Arial"/>
          <w:sz w:val="24"/>
          <w:szCs w:val="24"/>
        </w:rPr>
        <w:t xml:space="preserve"> This will include any interest accrued on client money held in the client account</w:t>
      </w:r>
      <w:r w:rsidR="00226D5D" w:rsidRPr="008E455C">
        <w:rPr>
          <w:rFonts w:ascii="Arial" w:hAnsi="Arial" w:cs="Arial"/>
          <w:sz w:val="24"/>
          <w:szCs w:val="24"/>
        </w:rPr>
        <w:t>, if applicable</w:t>
      </w:r>
      <w:r w:rsidR="002B3242" w:rsidRPr="008E455C">
        <w:rPr>
          <w:rFonts w:ascii="Arial" w:hAnsi="Arial" w:cs="Arial"/>
          <w:sz w:val="24"/>
          <w:szCs w:val="24"/>
        </w:rPr>
        <w:t>.</w:t>
      </w:r>
    </w:p>
    <w:p w14:paraId="46861F6E" w14:textId="5730E9EC" w:rsidR="005F54BB" w:rsidRPr="008E455C" w:rsidRDefault="005F54BB" w:rsidP="005F54BB">
      <w:pPr>
        <w:spacing w:after="120" w:line="276" w:lineRule="auto"/>
        <w:rPr>
          <w:rFonts w:ascii="Arial" w:hAnsi="Arial" w:cs="Arial"/>
          <w:sz w:val="24"/>
          <w:szCs w:val="24"/>
        </w:rPr>
      </w:pPr>
      <w:r w:rsidRPr="008E455C">
        <w:rPr>
          <w:rFonts w:ascii="Arial" w:hAnsi="Arial" w:cs="Arial"/>
          <w:sz w:val="24"/>
          <w:szCs w:val="24"/>
        </w:rPr>
        <w:t>ABC Immigration will keep a record of all refunds. This includes any credit note issued which will be produced whenever a client receives a refund.</w:t>
      </w:r>
      <w:r w:rsidR="00A80F3D" w:rsidRPr="008E455C">
        <w:rPr>
          <w:rFonts w:ascii="Arial" w:hAnsi="Arial" w:cs="Arial"/>
          <w:sz w:val="24"/>
          <w:szCs w:val="24"/>
        </w:rPr>
        <w:t xml:space="preserve"> </w:t>
      </w:r>
      <w:r w:rsidRPr="008E455C">
        <w:rPr>
          <w:rFonts w:ascii="Arial" w:hAnsi="Arial" w:cs="Arial"/>
          <w:sz w:val="24"/>
          <w:szCs w:val="24"/>
        </w:rPr>
        <w:t>If ABC Immigration makes a refund to a client, a copy of the credit note issued to the client will be retained on the client’s case file in order for there to be a clear financial audit trail.</w:t>
      </w:r>
      <w:r w:rsidR="005E6FD4" w:rsidRPr="008E455C">
        <w:rPr>
          <w:rFonts w:ascii="Arial" w:hAnsi="Arial" w:cs="Arial"/>
          <w:sz w:val="24"/>
          <w:szCs w:val="24"/>
        </w:rPr>
        <w:t xml:space="preserve"> </w:t>
      </w:r>
      <w:r w:rsidRPr="008E455C">
        <w:rPr>
          <w:rFonts w:ascii="Arial" w:hAnsi="Arial" w:cs="Arial"/>
          <w:sz w:val="24"/>
          <w:szCs w:val="24"/>
        </w:rPr>
        <w:t>ABC Immigration will provide all clients with details of their financial transactions with it on request.</w:t>
      </w:r>
    </w:p>
    <w:p w14:paraId="53AB8D44" w14:textId="58C87790" w:rsidR="005F54BB" w:rsidRPr="008E455C" w:rsidRDefault="005F54BB" w:rsidP="005F54BB">
      <w:pPr>
        <w:spacing w:after="120" w:line="276" w:lineRule="auto"/>
        <w:rPr>
          <w:rFonts w:ascii="Arial" w:hAnsi="Arial" w:cs="Arial"/>
          <w:sz w:val="24"/>
          <w:szCs w:val="24"/>
        </w:rPr>
      </w:pPr>
      <w:r w:rsidRPr="008E455C">
        <w:rPr>
          <w:rFonts w:ascii="Arial" w:hAnsi="Arial" w:cs="Arial"/>
          <w:sz w:val="24"/>
          <w:szCs w:val="24"/>
        </w:rPr>
        <w:t>ABC Immigration will ensure that it keeps written details and records of all transfers into and out of the client account. This will be done using its accountancy package, client and office ledgers, receipts, invoices, paying in books and chequebooks as appropriate.</w:t>
      </w:r>
      <w:r w:rsidR="005E6FD4" w:rsidRPr="008E455C">
        <w:rPr>
          <w:rFonts w:ascii="Arial" w:hAnsi="Arial" w:cs="Arial"/>
          <w:sz w:val="24"/>
          <w:szCs w:val="24"/>
        </w:rPr>
        <w:t xml:space="preserve"> </w:t>
      </w:r>
      <w:r w:rsidRPr="008E455C">
        <w:rPr>
          <w:rFonts w:ascii="Arial" w:hAnsi="Arial" w:cs="Arial"/>
          <w:sz w:val="24"/>
          <w:szCs w:val="24"/>
        </w:rPr>
        <w:t xml:space="preserve">These records will be available for inspection by the </w:t>
      </w:r>
      <w:r w:rsidR="00CD1750" w:rsidRPr="008E455C">
        <w:rPr>
          <w:rFonts w:ascii="Arial" w:hAnsi="Arial" w:cs="Arial"/>
          <w:sz w:val="24"/>
          <w:szCs w:val="24"/>
        </w:rPr>
        <w:t>Immigration Advice Authority</w:t>
      </w:r>
      <w:r w:rsidRPr="008E455C">
        <w:rPr>
          <w:rFonts w:ascii="Arial" w:hAnsi="Arial" w:cs="Arial"/>
          <w:sz w:val="24"/>
          <w:szCs w:val="24"/>
        </w:rPr>
        <w:t>.</w:t>
      </w:r>
    </w:p>
    <w:p w14:paraId="0C97C008" w14:textId="13AD3E2E" w:rsidR="000562CC" w:rsidRPr="008E455C" w:rsidRDefault="005F54BB" w:rsidP="00810D84">
      <w:pPr>
        <w:spacing w:after="120" w:line="276" w:lineRule="auto"/>
        <w:rPr>
          <w:rFonts w:ascii="Arial" w:hAnsi="Arial" w:cs="Arial"/>
          <w:sz w:val="24"/>
          <w:szCs w:val="24"/>
        </w:rPr>
      </w:pPr>
      <w:r w:rsidRPr="008E455C">
        <w:rPr>
          <w:rFonts w:ascii="Arial" w:hAnsi="Arial" w:cs="Arial"/>
          <w:sz w:val="24"/>
          <w:szCs w:val="24"/>
        </w:rPr>
        <w:t xml:space="preserve">ABC Immigration will reconcile the client bank account with its ledger account for all clients on a </w:t>
      </w:r>
      <w:r w:rsidR="00081615" w:rsidRPr="008E455C">
        <w:rPr>
          <w:rFonts w:ascii="Arial" w:hAnsi="Arial" w:cs="Arial"/>
          <w:sz w:val="24"/>
          <w:szCs w:val="24"/>
        </w:rPr>
        <w:t>regular</w:t>
      </w:r>
      <w:r w:rsidRPr="008E455C">
        <w:rPr>
          <w:rFonts w:ascii="Arial" w:hAnsi="Arial" w:cs="Arial"/>
          <w:sz w:val="24"/>
          <w:szCs w:val="24"/>
        </w:rPr>
        <w:t xml:space="preserve"> basis. Evidence of this reconciliation having taken place will be evidenced in writing.</w:t>
      </w:r>
    </w:p>
    <w:sectPr w:rsidR="000562CC" w:rsidRPr="008E455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975B" w14:textId="77777777" w:rsidR="00D172C5" w:rsidRDefault="00D172C5" w:rsidP="00A77F7C">
      <w:pPr>
        <w:spacing w:after="0" w:line="240" w:lineRule="auto"/>
      </w:pPr>
      <w:r>
        <w:separator/>
      </w:r>
    </w:p>
  </w:endnote>
  <w:endnote w:type="continuationSeparator" w:id="0">
    <w:p w14:paraId="7E44B6B3" w14:textId="77777777" w:rsidR="00D172C5" w:rsidRDefault="00D172C5" w:rsidP="00A7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AF03" w14:textId="5EC62A8F" w:rsidR="00A77F7C" w:rsidRDefault="00A77F7C" w:rsidP="00A77F7C">
    <w:pPr>
      <w:pStyle w:val="Footer"/>
      <w:spacing w:before="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00AD0" w14:textId="77777777" w:rsidR="00D172C5" w:rsidRDefault="00D172C5" w:rsidP="00A77F7C">
      <w:pPr>
        <w:spacing w:after="0" w:line="240" w:lineRule="auto"/>
      </w:pPr>
      <w:r>
        <w:separator/>
      </w:r>
    </w:p>
  </w:footnote>
  <w:footnote w:type="continuationSeparator" w:id="0">
    <w:p w14:paraId="52FA814C" w14:textId="77777777" w:rsidR="00D172C5" w:rsidRDefault="00D172C5" w:rsidP="00A77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4AF5"/>
    <w:multiLevelType w:val="hybridMultilevel"/>
    <w:tmpl w:val="AF20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A52230"/>
    <w:multiLevelType w:val="hybridMultilevel"/>
    <w:tmpl w:val="99C0C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1B774C"/>
    <w:multiLevelType w:val="hybridMultilevel"/>
    <w:tmpl w:val="F7BE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A62417"/>
    <w:multiLevelType w:val="hybridMultilevel"/>
    <w:tmpl w:val="7E38D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A2F4B"/>
    <w:multiLevelType w:val="hybridMultilevel"/>
    <w:tmpl w:val="F984E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7756C"/>
    <w:multiLevelType w:val="multilevel"/>
    <w:tmpl w:val="219808A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C17070"/>
    <w:multiLevelType w:val="hybridMultilevel"/>
    <w:tmpl w:val="AC6E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156115">
    <w:abstractNumId w:val="2"/>
  </w:num>
  <w:num w:numId="2" w16cid:durableId="1952004986">
    <w:abstractNumId w:val="6"/>
  </w:num>
  <w:num w:numId="3" w16cid:durableId="1139372540">
    <w:abstractNumId w:val="5"/>
  </w:num>
  <w:num w:numId="4" w16cid:durableId="1454521676">
    <w:abstractNumId w:val="3"/>
  </w:num>
  <w:num w:numId="5" w16cid:durableId="604264633">
    <w:abstractNumId w:val="0"/>
  </w:num>
  <w:num w:numId="6" w16cid:durableId="620917973">
    <w:abstractNumId w:val="4"/>
  </w:num>
  <w:num w:numId="7" w16cid:durableId="306015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F7C"/>
    <w:rsid w:val="00044B0E"/>
    <w:rsid w:val="00053588"/>
    <w:rsid w:val="000562CC"/>
    <w:rsid w:val="00081615"/>
    <w:rsid w:val="00082F9F"/>
    <w:rsid w:val="000E459B"/>
    <w:rsid w:val="000F1020"/>
    <w:rsid w:val="00101BC4"/>
    <w:rsid w:val="0016548E"/>
    <w:rsid w:val="0018406A"/>
    <w:rsid w:val="00194AD7"/>
    <w:rsid w:val="001C303C"/>
    <w:rsid w:val="001E6DD4"/>
    <w:rsid w:val="001E6FE3"/>
    <w:rsid w:val="002256AD"/>
    <w:rsid w:val="00226D5D"/>
    <w:rsid w:val="00235CBC"/>
    <w:rsid w:val="0024022D"/>
    <w:rsid w:val="00242468"/>
    <w:rsid w:val="002477DE"/>
    <w:rsid w:val="0027347B"/>
    <w:rsid w:val="0028513E"/>
    <w:rsid w:val="002A44DF"/>
    <w:rsid w:val="002B3242"/>
    <w:rsid w:val="002D0F97"/>
    <w:rsid w:val="0033523E"/>
    <w:rsid w:val="003437EB"/>
    <w:rsid w:val="003847B1"/>
    <w:rsid w:val="0038638E"/>
    <w:rsid w:val="003A3A0F"/>
    <w:rsid w:val="003D45BE"/>
    <w:rsid w:val="003E68FD"/>
    <w:rsid w:val="004211A1"/>
    <w:rsid w:val="00424A46"/>
    <w:rsid w:val="004372EE"/>
    <w:rsid w:val="00447B38"/>
    <w:rsid w:val="00466868"/>
    <w:rsid w:val="00480936"/>
    <w:rsid w:val="004824E7"/>
    <w:rsid w:val="004861E0"/>
    <w:rsid w:val="004C7BEA"/>
    <w:rsid w:val="004D2756"/>
    <w:rsid w:val="004E67EC"/>
    <w:rsid w:val="004F7C1A"/>
    <w:rsid w:val="005219CD"/>
    <w:rsid w:val="005238E6"/>
    <w:rsid w:val="005379F8"/>
    <w:rsid w:val="00590589"/>
    <w:rsid w:val="005924A4"/>
    <w:rsid w:val="005A2B3C"/>
    <w:rsid w:val="005A3207"/>
    <w:rsid w:val="005B4526"/>
    <w:rsid w:val="005D49D4"/>
    <w:rsid w:val="005E6FD4"/>
    <w:rsid w:val="005F54BB"/>
    <w:rsid w:val="005F66D9"/>
    <w:rsid w:val="00614003"/>
    <w:rsid w:val="006161FE"/>
    <w:rsid w:val="00640F61"/>
    <w:rsid w:val="00653913"/>
    <w:rsid w:val="00686729"/>
    <w:rsid w:val="006968EF"/>
    <w:rsid w:val="006A5BAB"/>
    <w:rsid w:val="006D2C5D"/>
    <w:rsid w:val="006E2FE2"/>
    <w:rsid w:val="006E6FF0"/>
    <w:rsid w:val="006F33A5"/>
    <w:rsid w:val="006F3407"/>
    <w:rsid w:val="006F357E"/>
    <w:rsid w:val="006F3BC0"/>
    <w:rsid w:val="0070541D"/>
    <w:rsid w:val="0071233A"/>
    <w:rsid w:val="00723ED8"/>
    <w:rsid w:val="00747156"/>
    <w:rsid w:val="007615BF"/>
    <w:rsid w:val="00775926"/>
    <w:rsid w:val="00776E98"/>
    <w:rsid w:val="007C48D8"/>
    <w:rsid w:val="007D49BD"/>
    <w:rsid w:val="00810D84"/>
    <w:rsid w:val="00811AEE"/>
    <w:rsid w:val="00814450"/>
    <w:rsid w:val="00860023"/>
    <w:rsid w:val="0088791A"/>
    <w:rsid w:val="008B0186"/>
    <w:rsid w:val="008C5D0E"/>
    <w:rsid w:val="008D38B0"/>
    <w:rsid w:val="008E455C"/>
    <w:rsid w:val="008F578A"/>
    <w:rsid w:val="00910F8A"/>
    <w:rsid w:val="00911EFB"/>
    <w:rsid w:val="00922762"/>
    <w:rsid w:val="00946D86"/>
    <w:rsid w:val="00947C26"/>
    <w:rsid w:val="00957007"/>
    <w:rsid w:val="0096158B"/>
    <w:rsid w:val="0096575B"/>
    <w:rsid w:val="00970C4C"/>
    <w:rsid w:val="00993AA5"/>
    <w:rsid w:val="009B3B69"/>
    <w:rsid w:val="009D0A7E"/>
    <w:rsid w:val="009D0AAB"/>
    <w:rsid w:val="00A03E16"/>
    <w:rsid w:val="00A0508A"/>
    <w:rsid w:val="00A411A0"/>
    <w:rsid w:val="00A55BA0"/>
    <w:rsid w:val="00A57BFD"/>
    <w:rsid w:val="00A65A09"/>
    <w:rsid w:val="00A75611"/>
    <w:rsid w:val="00A77F7C"/>
    <w:rsid w:val="00A80F3D"/>
    <w:rsid w:val="00A948FD"/>
    <w:rsid w:val="00AA2F3B"/>
    <w:rsid w:val="00AB4E63"/>
    <w:rsid w:val="00AD27C6"/>
    <w:rsid w:val="00B250B6"/>
    <w:rsid w:val="00B2511F"/>
    <w:rsid w:val="00B341FD"/>
    <w:rsid w:val="00B514B9"/>
    <w:rsid w:val="00B535B4"/>
    <w:rsid w:val="00B64729"/>
    <w:rsid w:val="00B65D30"/>
    <w:rsid w:val="00BC06B5"/>
    <w:rsid w:val="00BC7381"/>
    <w:rsid w:val="00BD5286"/>
    <w:rsid w:val="00BE5A59"/>
    <w:rsid w:val="00BE7DCA"/>
    <w:rsid w:val="00C03122"/>
    <w:rsid w:val="00C13B22"/>
    <w:rsid w:val="00C14248"/>
    <w:rsid w:val="00C25BD5"/>
    <w:rsid w:val="00C62D24"/>
    <w:rsid w:val="00C87E34"/>
    <w:rsid w:val="00C9085A"/>
    <w:rsid w:val="00C92918"/>
    <w:rsid w:val="00C94EC9"/>
    <w:rsid w:val="00CD00D0"/>
    <w:rsid w:val="00CD1750"/>
    <w:rsid w:val="00CD49FA"/>
    <w:rsid w:val="00CD7960"/>
    <w:rsid w:val="00CF6248"/>
    <w:rsid w:val="00D046D0"/>
    <w:rsid w:val="00D0660F"/>
    <w:rsid w:val="00D172C5"/>
    <w:rsid w:val="00D172EE"/>
    <w:rsid w:val="00D267F5"/>
    <w:rsid w:val="00D32F70"/>
    <w:rsid w:val="00D33E00"/>
    <w:rsid w:val="00D4259E"/>
    <w:rsid w:val="00D455E6"/>
    <w:rsid w:val="00D75245"/>
    <w:rsid w:val="00D926E8"/>
    <w:rsid w:val="00DA2A2D"/>
    <w:rsid w:val="00DB36DF"/>
    <w:rsid w:val="00DE2EAD"/>
    <w:rsid w:val="00DF4717"/>
    <w:rsid w:val="00DF6707"/>
    <w:rsid w:val="00E04FEE"/>
    <w:rsid w:val="00E16EE1"/>
    <w:rsid w:val="00E32385"/>
    <w:rsid w:val="00E402B6"/>
    <w:rsid w:val="00E4444D"/>
    <w:rsid w:val="00E510BE"/>
    <w:rsid w:val="00E72C60"/>
    <w:rsid w:val="00EA408E"/>
    <w:rsid w:val="00ED6941"/>
    <w:rsid w:val="00EE1290"/>
    <w:rsid w:val="00F00A82"/>
    <w:rsid w:val="00F04C41"/>
    <w:rsid w:val="00F13EDA"/>
    <w:rsid w:val="00F435B6"/>
    <w:rsid w:val="00FD4C36"/>
    <w:rsid w:val="00FD6B5A"/>
    <w:rsid w:val="00FF2A8B"/>
    <w:rsid w:val="6952A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8530"/>
  <w15:chartTrackingRefBased/>
  <w15:docId w15:val="{2C7F388A-D6B8-4E7D-A9C1-9DFC2537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77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77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F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A77F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77F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F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F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F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F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7F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77F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F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77F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F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F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F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F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F7C"/>
    <w:rPr>
      <w:rFonts w:eastAsiaTheme="majorEastAsia" w:cstheme="majorBidi"/>
      <w:color w:val="272727" w:themeColor="text1" w:themeTint="D8"/>
    </w:rPr>
  </w:style>
  <w:style w:type="paragraph" w:styleId="Title">
    <w:name w:val="Title"/>
    <w:basedOn w:val="Normal"/>
    <w:next w:val="Normal"/>
    <w:link w:val="TitleChar"/>
    <w:uiPriority w:val="10"/>
    <w:qFormat/>
    <w:rsid w:val="00A77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F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F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F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F7C"/>
    <w:pPr>
      <w:spacing w:before="160"/>
      <w:jc w:val="center"/>
    </w:pPr>
    <w:rPr>
      <w:i/>
      <w:iCs/>
      <w:color w:val="404040" w:themeColor="text1" w:themeTint="BF"/>
    </w:rPr>
  </w:style>
  <w:style w:type="character" w:customStyle="1" w:styleId="QuoteChar">
    <w:name w:val="Quote Char"/>
    <w:basedOn w:val="DefaultParagraphFont"/>
    <w:link w:val="Quote"/>
    <w:uiPriority w:val="29"/>
    <w:rsid w:val="00A77F7C"/>
    <w:rPr>
      <w:i/>
      <w:iCs/>
      <w:color w:val="404040" w:themeColor="text1" w:themeTint="BF"/>
    </w:rPr>
  </w:style>
  <w:style w:type="paragraph" w:styleId="ListParagraph">
    <w:name w:val="List Paragraph"/>
    <w:basedOn w:val="Normal"/>
    <w:uiPriority w:val="34"/>
    <w:qFormat/>
    <w:rsid w:val="00A77F7C"/>
    <w:pPr>
      <w:ind w:left="720"/>
      <w:contextualSpacing/>
    </w:pPr>
  </w:style>
  <w:style w:type="character" w:styleId="IntenseEmphasis">
    <w:name w:val="Intense Emphasis"/>
    <w:basedOn w:val="DefaultParagraphFont"/>
    <w:uiPriority w:val="21"/>
    <w:qFormat/>
    <w:rsid w:val="00A77F7C"/>
    <w:rPr>
      <w:i/>
      <w:iCs/>
      <w:color w:val="0F4761" w:themeColor="accent1" w:themeShade="BF"/>
    </w:rPr>
  </w:style>
  <w:style w:type="paragraph" w:styleId="IntenseQuote">
    <w:name w:val="Intense Quote"/>
    <w:basedOn w:val="Normal"/>
    <w:next w:val="Normal"/>
    <w:link w:val="IntenseQuoteChar"/>
    <w:uiPriority w:val="30"/>
    <w:qFormat/>
    <w:rsid w:val="00A77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F7C"/>
    <w:rPr>
      <w:i/>
      <w:iCs/>
      <w:color w:val="0F4761" w:themeColor="accent1" w:themeShade="BF"/>
    </w:rPr>
  </w:style>
  <w:style w:type="character" w:styleId="IntenseReference">
    <w:name w:val="Intense Reference"/>
    <w:basedOn w:val="DefaultParagraphFont"/>
    <w:uiPriority w:val="32"/>
    <w:qFormat/>
    <w:rsid w:val="00A77F7C"/>
    <w:rPr>
      <w:b/>
      <w:bCs/>
      <w:smallCaps/>
      <w:color w:val="0F4761" w:themeColor="accent1" w:themeShade="BF"/>
      <w:spacing w:val="5"/>
    </w:rPr>
  </w:style>
  <w:style w:type="paragraph" w:styleId="Header">
    <w:name w:val="header"/>
    <w:basedOn w:val="Normal"/>
    <w:link w:val="HeaderChar"/>
    <w:uiPriority w:val="99"/>
    <w:unhideWhenUsed/>
    <w:rsid w:val="00A77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7C"/>
  </w:style>
  <w:style w:type="paragraph" w:styleId="Footer">
    <w:name w:val="footer"/>
    <w:basedOn w:val="Normal"/>
    <w:link w:val="FooterChar"/>
    <w:unhideWhenUsed/>
    <w:rsid w:val="00A77F7C"/>
    <w:pPr>
      <w:tabs>
        <w:tab w:val="center" w:pos="4513"/>
        <w:tab w:val="right" w:pos="9026"/>
      </w:tabs>
      <w:spacing w:after="0" w:line="240" w:lineRule="auto"/>
    </w:pPr>
  </w:style>
  <w:style w:type="character" w:customStyle="1" w:styleId="FooterChar">
    <w:name w:val="Footer Char"/>
    <w:basedOn w:val="DefaultParagraphFont"/>
    <w:link w:val="Footer"/>
    <w:rsid w:val="00A77F7C"/>
  </w:style>
  <w:style w:type="character" w:styleId="Hyperlink">
    <w:name w:val="Hyperlink"/>
    <w:semiHidden/>
    <w:rsid w:val="00BC06B5"/>
    <w:rPr>
      <w:color w:val="0000FF"/>
      <w:u w:val="single"/>
    </w:rPr>
  </w:style>
  <w:style w:type="character" w:styleId="CommentReference">
    <w:name w:val="annotation reference"/>
    <w:uiPriority w:val="99"/>
    <w:semiHidden/>
    <w:unhideWhenUsed/>
    <w:rsid w:val="00BC06B5"/>
    <w:rPr>
      <w:sz w:val="16"/>
      <w:szCs w:val="16"/>
    </w:rPr>
  </w:style>
  <w:style w:type="paragraph" w:styleId="CommentText">
    <w:name w:val="annotation text"/>
    <w:basedOn w:val="Normal"/>
    <w:link w:val="CommentTextChar"/>
    <w:uiPriority w:val="99"/>
    <w:unhideWhenUsed/>
    <w:rsid w:val="00BC06B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BC06B5"/>
    <w:rPr>
      <w:rFonts w:ascii="Times New Roman" w:eastAsia="Times New Roman" w:hAnsi="Times New Roman" w:cs="Times New Roman"/>
      <w:kern w:val="0"/>
      <w:sz w:val="20"/>
      <w:szCs w:val="20"/>
      <w:lang w:val="en-US"/>
      <w14:ligatures w14:val="none"/>
    </w:rPr>
  </w:style>
  <w:style w:type="character" w:styleId="UnresolvedMention">
    <w:name w:val="Unresolved Mention"/>
    <w:basedOn w:val="DefaultParagraphFont"/>
    <w:uiPriority w:val="99"/>
    <w:semiHidden/>
    <w:unhideWhenUsed/>
    <w:rsid w:val="00BC06B5"/>
    <w:rPr>
      <w:color w:val="605E5C"/>
      <w:shd w:val="clear" w:color="auto" w:fill="E1DFDD"/>
    </w:rPr>
  </w:style>
  <w:style w:type="paragraph" w:styleId="Revision">
    <w:name w:val="Revision"/>
    <w:hidden/>
    <w:uiPriority w:val="99"/>
    <w:semiHidden/>
    <w:rsid w:val="002B3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9222">
      <w:bodyDiv w:val="1"/>
      <w:marLeft w:val="0"/>
      <w:marRight w:val="0"/>
      <w:marTop w:val="0"/>
      <w:marBottom w:val="0"/>
      <w:divBdr>
        <w:top w:val="none" w:sz="0" w:space="0" w:color="auto"/>
        <w:left w:val="none" w:sz="0" w:space="0" w:color="auto"/>
        <w:bottom w:val="none" w:sz="0" w:space="0" w:color="auto"/>
        <w:right w:val="none" w:sz="0" w:space="0" w:color="auto"/>
      </w:divBdr>
    </w:div>
    <w:div w:id="102520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isc-code-of-standards-commissioners-rules-201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fees-and-accounts-oisc-practice-no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1075</Words>
  <Characters>5830</Characters>
  <Application>Microsoft Office Word</Application>
  <DocSecurity>4</DocSecurity>
  <Lines>265</Lines>
  <Paragraphs>119</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Bucholski</dc:creator>
  <cp:keywords/>
  <dc:description/>
  <cp:lastModifiedBy>Georgia Scriven</cp:lastModifiedBy>
  <cp:revision>2</cp:revision>
  <dcterms:created xsi:type="dcterms:W3CDTF">2026-03-03T09:21:00Z</dcterms:created>
  <dcterms:modified xsi:type="dcterms:W3CDTF">2026-03-03T09:21:00Z</dcterms:modified>
</cp:coreProperties>
</file>