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64" w:type="dxa"/>
        <w:tblLook w:val="01E0" w:firstRow="1" w:lastRow="1" w:firstColumn="1" w:lastColumn="1" w:noHBand="0" w:noVBand="0"/>
      </w:tblPr>
      <w:tblGrid>
        <w:gridCol w:w="2692"/>
        <w:gridCol w:w="463"/>
        <w:gridCol w:w="5209"/>
      </w:tblGrid>
      <w:tr w:rsidR="00724F05" w:rsidRPr="007F1C70" w14:paraId="10042309" w14:textId="77777777" w:rsidTr="254B5CD4">
        <w:trPr>
          <w:trHeight w:val="1008"/>
        </w:trPr>
        <w:tc>
          <w:tcPr>
            <w:tcW w:w="2692" w:type="dxa"/>
            <w:vAlign w:val="center"/>
          </w:tcPr>
          <w:p w14:paraId="41CD49F9" w14:textId="0963F8AB" w:rsidR="00724F05" w:rsidRPr="007F1C70" w:rsidRDefault="00A461BF" w:rsidP="007F1C70">
            <w:pPr>
              <w:tabs>
                <w:tab w:val="left" w:pos="2880"/>
              </w:tabs>
              <w:spacing w:before="240" w:after="240"/>
              <w:rPr>
                <w:rFonts w:ascii="Georgia" w:hAnsi="Georgia" w:cs="Arial"/>
                <w:b/>
                <w:bCs/>
              </w:rPr>
            </w:pPr>
            <w:r>
              <w:rPr>
                <w:noProof/>
              </w:rPr>
              <w:drawing>
                <wp:inline distT="0" distB="0" distL="0" distR="0" wp14:anchorId="5B47697F" wp14:editId="5C1C19B8">
                  <wp:extent cx="966923" cy="929819"/>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966923" cy="929819"/>
                          </a:xfrm>
                          <a:prstGeom prst="rect">
                            <a:avLst/>
                          </a:prstGeom>
                          <a:noFill/>
                          <a:ln>
                            <a:noFill/>
                          </a:ln>
                        </pic:spPr>
                      </pic:pic>
                    </a:graphicData>
                  </a:graphic>
                </wp:inline>
              </w:drawing>
            </w:r>
          </w:p>
        </w:tc>
        <w:tc>
          <w:tcPr>
            <w:tcW w:w="463" w:type="dxa"/>
            <w:vAlign w:val="center"/>
          </w:tcPr>
          <w:p w14:paraId="7B9B9BBD" w14:textId="77777777" w:rsidR="00724F05" w:rsidRPr="007F1C70" w:rsidRDefault="00724F05" w:rsidP="007F1C70">
            <w:pPr>
              <w:tabs>
                <w:tab w:val="left" w:pos="2880"/>
              </w:tabs>
              <w:spacing w:before="240" w:after="240"/>
              <w:rPr>
                <w:rFonts w:ascii="Georgia" w:hAnsi="Georgia" w:cs="Arial"/>
                <w:b/>
                <w:bCs/>
              </w:rPr>
            </w:pPr>
          </w:p>
        </w:tc>
        <w:tc>
          <w:tcPr>
            <w:tcW w:w="5209" w:type="dxa"/>
            <w:vAlign w:val="center"/>
          </w:tcPr>
          <w:p w14:paraId="1BB28A0A" w14:textId="77777777" w:rsidR="00724F05" w:rsidRPr="007F1C70" w:rsidRDefault="00724F05" w:rsidP="007F1C70">
            <w:pPr>
              <w:pStyle w:val="Title"/>
              <w:ind w:left="3600" w:hanging="3600"/>
              <w:jc w:val="left"/>
              <w:rPr>
                <w:rFonts w:ascii="Georgia" w:hAnsi="Georgia"/>
              </w:rPr>
            </w:pPr>
            <w:r w:rsidRPr="007F1C70">
              <w:rPr>
                <w:rFonts w:ascii="Georgia" w:hAnsi="Georgia"/>
                <w:sz w:val="24"/>
              </w:rPr>
              <w:t>FIRST-TIER TRIBUNAL</w:t>
            </w:r>
          </w:p>
          <w:p w14:paraId="2FA0430F" w14:textId="77777777" w:rsidR="0050502C" w:rsidRDefault="00724F05" w:rsidP="007F1C70">
            <w:pPr>
              <w:tabs>
                <w:tab w:val="left" w:pos="2880"/>
              </w:tabs>
              <w:rPr>
                <w:rFonts w:ascii="Georgia" w:hAnsi="Georgia"/>
                <w:b/>
              </w:rPr>
            </w:pPr>
            <w:r w:rsidRPr="007F1C70">
              <w:rPr>
                <w:rFonts w:ascii="Georgia" w:hAnsi="Georgia"/>
                <w:b/>
              </w:rPr>
              <w:t xml:space="preserve">PROPERTY CHAMBER </w:t>
            </w:r>
          </w:p>
          <w:p w14:paraId="2B665629" w14:textId="13DD660A" w:rsidR="00724F05" w:rsidRPr="007F1C70" w:rsidRDefault="00724F05" w:rsidP="007F1C70">
            <w:pPr>
              <w:tabs>
                <w:tab w:val="left" w:pos="2880"/>
              </w:tabs>
              <w:rPr>
                <w:rFonts w:ascii="Georgia" w:hAnsi="Georgia" w:cs="Arial"/>
                <w:b/>
                <w:bCs/>
              </w:rPr>
            </w:pPr>
            <w:r w:rsidRPr="007F1C70">
              <w:rPr>
                <w:rFonts w:ascii="Georgia" w:hAnsi="Georgia"/>
                <w:b/>
              </w:rPr>
              <w:t>(RESIDENTIAL PROPERTY)</w:t>
            </w:r>
          </w:p>
        </w:tc>
      </w:tr>
      <w:tr w:rsidR="00724F05" w:rsidRPr="007F1C70" w14:paraId="1C38F89F" w14:textId="77777777" w:rsidTr="254B5CD4">
        <w:tc>
          <w:tcPr>
            <w:tcW w:w="2692" w:type="dxa"/>
            <w:vAlign w:val="center"/>
          </w:tcPr>
          <w:p w14:paraId="09C0D655"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Case </w:t>
            </w:r>
            <w:r w:rsidR="00DE413A" w:rsidRPr="007F1C70">
              <w:rPr>
                <w:rFonts w:ascii="Georgia" w:hAnsi="Georgia" w:cs="Arial"/>
                <w:b/>
                <w:bCs/>
              </w:rPr>
              <w:t>r</w:t>
            </w:r>
            <w:r w:rsidRPr="007F1C70">
              <w:rPr>
                <w:rFonts w:ascii="Georgia" w:hAnsi="Georgia" w:cs="Arial"/>
                <w:b/>
                <w:bCs/>
              </w:rPr>
              <w:t>eference</w:t>
            </w:r>
          </w:p>
        </w:tc>
        <w:tc>
          <w:tcPr>
            <w:tcW w:w="463" w:type="dxa"/>
            <w:vAlign w:val="center"/>
          </w:tcPr>
          <w:p w14:paraId="45EB27FC"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6969D5B9" w14:textId="03412B0F" w:rsidR="00724F05" w:rsidRPr="007F1C70" w:rsidRDefault="00714345" w:rsidP="76040189">
            <w:pPr>
              <w:tabs>
                <w:tab w:val="left" w:pos="2880"/>
              </w:tabs>
              <w:rPr>
                <w:rFonts w:ascii="Georgia" w:eastAsia="Georgia" w:hAnsi="Georgia" w:cs="Georgia"/>
                <w:b/>
                <w:bCs/>
              </w:rPr>
            </w:pPr>
            <w:r>
              <w:rPr>
                <w:rFonts w:ascii="Georgia" w:eastAsia="Georgia" w:hAnsi="Georgia" w:cs="Georgia"/>
                <w:b/>
                <w:bCs/>
              </w:rPr>
              <w:t>CAM</w:t>
            </w:r>
            <w:r w:rsidR="0EA31633" w:rsidRPr="76040189">
              <w:rPr>
                <w:rFonts w:ascii="Georgia" w:eastAsia="Georgia" w:hAnsi="Georgia" w:cs="Georgia"/>
                <w:b/>
                <w:bCs/>
              </w:rPr>
              <w:t>/</w:t>
            </w:r>
            <w:r>
              <w:rPr>
                <w:rFonts w:ascii="Georgia" w:eastAsia="Georgia" w:hAnsi="Georgia" w:cs="Georgia"/>
                <w:b/>
                <w:bCs/>
              </w:rPr>
              <w:t>26UE/L</w:t>
            </w:r>
            <w:r w:rsidR="00B478CE">
              <w:rPr>
                <w:rFonts w:ascii="Georgia" w:eastAsia="Georgia" w:hAnsi="Georgia" w:cs="Georgia"/>
                <w:b/>
                <w:bCs/>
              </w:rPr>
              <w:t>LD</w:t>
            </w:r>
            <w:r>
              <w:rPr>
                <w:rFonts w:ascii="Georgia" w:eastAsia="Georgia" w:hAnsi="Georgia" w:cs="Georgia"/>
                <w:b/>
                <w:bCs/>
              </w:rPr>
              <w:t>/20</w:t>
            </w:r>
            <w:r w:rsidR="00B478CE">
              <w:rPr>
                <w:rFonts w:ascii="Georgia" w:eastAsia="Georgia" w:hAnsi="Georgia" w:cs="Georgia"/>
                <w:b/>
                <w:bCs/>
              </w:rPr>
              <w:t>25/0001</w:t>
            </w:r>
          </w:p>
        </w:tc>
      </w:tr>
      <w:tr w:rsidR="00724F05" w:rsidRPr="007F1C70" w14:paraId="50D7B201" w14:textId="77777777" w:rsidTr="254B5CD4">
        <w:tc>
          <w:tcPr>
            <w:tcW w:w="2692" w:type="dxa"/>
            <w:vAlign w:val="center"/>
          </w:tcPr>
          <w:p w14:paraId="50A69A24"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Property</w:t>
            </w:r>
          </w:p>
        </w:tc>
        <w:tc>
          <w:tcPr>
            <w:tcW w:w="463" w:type="dxa"/>
            <w:vAlign w:val="center"/>
          </w:tcPr>
          <w:p w14:paraId="227441A1"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61067C34" w14:textId="38FACD73" w:rsidR="00724F05" w:rsidRPr="007F1C70" w:rsidRDefault="00B478CE" w:rsidP="007F1C70">
            <w:pPr>
              <w:tabs>
                <w:tab w:val="left" w:pos="2880"/>
              </w:tabs>
              <w:rPr>
                <w:rFonts w:ascii="Georgia" w:hAnsi="Georgia" w:cs="Arial"/>
                <w:b/>
                <w:bCs/>
              </w:rPr>
            </w:pPr>
            <w:r>
              <w:rPr>
                <w:rFonts w:ascii="Georgia" w:hAnsi="Georgia" w:cs="Arial"/>
                <w:b/>
                <w:bCs/>
              </w:rPr>
              <w:t xml:space="preserve">52 Boreham Holt, Elstree, </w:t>
            </w:r>
            <w:r w:rsidR="005C7E18">
              <w:rPr>
                <w:rFonts w:ascii="Georgia" w:hAnsi="Georgia" w:cs="Arial"/>
                <w:b/>
                <w:bCs/>
              </w:rPr>
              <w:t xml:space="preserve">Borehamwood, </w:t>
            </w:r>
            <w:r>
              <w:rPr>
                <w:rFonts w:ascii="Georgia" w:hAnsi="Georgia" w:cs="Arial"/>
                <w:b/>
                <w:bCs/>
              </w:rPr>
              <w:t>WD6 3QQ</w:t>
            </w:r>
          </w:p>
        </w:tc>
      </w:tr>
      <w:tr w:rsidR="00724F05" w:rsidRPr="007F1C70" w14:paraId="561AE161" w14:textId="77777777" w:rsidTr="254B5CD4">
        <w:tc>
          <w:tcPr>
            <w:tcW w:w="2692" w:type="dxa"/>
            <w:vAlign w:val="center"/>
          </w:tcPr>
          <w:p w14:paraId="7DD4A567"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Applicant</w:t>
            </w:r>
          </w:p>
        </w:tc>
        <w:tc>
          <w:tcPr>
            <w:tcW w:w="463" w:type="dxa"/>
            <w:vAlign w:val="center"/>
          </w:tcPr>
          <w:p w14:paraId="61DA66D6"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12A81ADA" w14:textId="17FE6B1C" w:rsidR="00724F05" w:rsidRPr="007F1C70" w:rsidRDefault="003D043D" w:rsidP="007F1C70">
            <w:pPr>
              <w:tabs>
                <w:tab w:val="left" w:pos="2880"/>
              </w:tabs>
              <w:rPr>
                <w:rFonts w:ascii="Georgia" w:hAnsi="Georgia" w:cs="Arial"/>
                <w:b/>
                <w:bCs/>
              </w:rPr>
            </w:pPr>
            <w:r>
              <w:rPr>
                <w:rFonts w:ascii="Georgia" w:hAnsi="Georgia" w:cs="Arial"/>
                <w:b/>
                <w:bCs/>
              </w:rPr>
              <w:t>Michael Epstein</w:t>
            </w:r>
          </w:p>
        </w:tc>
      </w:tr>
      <w:tr w:rsidR="00724F05" w:rsidRPr="007F1C70" w14:paraId="4DB14D83" w14:textId="77777777" w:rsidTr="254B5CD4">
        <w:tc>
          <w:tcPr>
            <w:tcW w:w="2692" w:type="dxa"/>
            <w:vAlign w:val="center"/>
          </w:tcPr>
          <w:p w14:paraId="5769BC60"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Respondent</w:t>
            </w:r>
          </w:p>
        </w:tc>
        <w:tc>
          <w:tcPr>
            <w:tcW w:w="463" w:type="dxa"/>
            <w:vAlign w:val="center"/>
          </w:tcPr>
          <w:p w14:paraId="0E6C8B7D"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7530015D" w14:textId="32293B3F" w:rsidR="00724F05" w:rsidRPr="007F1C70" w:rsidRDefault="003D043D" w:rsidP="007F1C70">
            <w:pPr>
              <w:tabs>
                <w:tab w:val="left" w:pos="2880"/>
              </w:tabs>
              <w:rPr>
                <w:rFonts w:ascii="Georgia" w:hAnsi="Georgia" w:cs="Arial"/>
                <w:b/>
                <w:bCs/>
              </w:rPr>
            </w:pPr>
            <w:r>
              <w:rPr>
                <w:rFonts w:ascii="Georgia" w:hAnsi="Georgia" w:cs="Arial"/>
                <w:b/>
                <w:bCs/>
              </w:rPr>
              <w:t>Boreham Holt Management Limited</w:t>
            </w:r>
          </w:p>
        </w:tc>
      </w:tr>
      <w:tr w:rsidR="00724F05" w:rsidRPr="007F1C70" w14:paraId="6F2C783C" w14:textId="77777777" w:rsidTr="254B5CD4">
        <w:tc>
          <w:tcPr>
            <w:tcW w:w="2692" w:type="dxa"/>
            <w:vAlign w:val="center"/>
          </w:tcPr>
          <w:p w14:paraId="25F776D4"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Representative</w:t>
            </w:r>
          </w:p>
        </w:tc>
        <w:tc>
          <w:tcPr>
            <w:tcW w:w="463" w:type="dxa"/>
            <w:vAlign w:val="center"/>
          </w:tcPr>
          <w:p w14:paraId="21966D7F"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22F369BF" w14:textId="0FDB5752" w:rsidR="00724F05" w:rsidRPr="007F1C70" w:rsidRDefault="00AE2C32" w:rsidP="007F1C70">
            <w:pPr>
              <w:tabs>
                <w:tab w:val="left" w:pos="2880"/>
              </w:tabs>
              <w:rPr>
                <w:rFonts w:ascii="Georgia" w:hAnsi="Georgia" w:cs="Arial"/>
                <w:b/>
                <w:bCs/>
              </w:rPr>
            </w:pPr>
            <w:r>
              <w:rPr>
                <w:rFonts w:ascii="Georgia" w:hAnsi="Georgia" w:cs="Arial"/>
                <w:b/>
                <w:bCs/>
              </w:rPr>
              <w:t xml:space="preserve">Gwyneth Everson, Counsel </w:t>
            </w:r>
          </w:p>
        </w:tc>
      </w:tr>
      <w:tr w:rsidR="00724F05" w:rsidRPr="007F1C70" w14:paraId="7966B3DB" w14:textId="77777777" w:rsidTr="254B5CD4">
        <w:tc>
          <w:tcPr>
            <w:tcW w:w="2692" w:type="dxa"/>
            <w:vAlign w:val="center"/>
          </w:tcPr>
          <w:p w14:paraId="180D8A50"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Type of </w:t>
            </w:r>
            <w:r w:rsidR="00DE413A" w:rsidRPr="007F1C70">
              <w:rPr>
                <w:rFonts w:ascii="Georgia" w:hAnsi="Georgia" w:cs="Arial"/>
                <w:b/>
                <w:bCs/>
              </w:rPr>
              <w:t>a</w:t>
            </w:r>
            <w:r w:rsidRPr="007F1C70">
              <w:rPr>
                <w:rFonts w:ascii="Georgia" w:hAnsi="Georgia" w:cs="Arial"/>
                <w:b/>
                <w:bCs/>
              </w:rPr>
              <w:t>pplication</w:t>
            </w:r>
          </w:p>
        </w:tc>
        <w:tc>
          <w:tcPr>
            <w:tcW w:w="463" w:type="dxa"/>
            <w:vAlign w:val="center"/>
          </w:tcPr>
          <w:p w14:paraId="5A7FE3EC"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7757ABCC" w14:textId="746BD1DF" w:rsidR="00724F05" w:rsidRPr="007F1C70" w:rsidRDefault="000927B4" w:rsidP="007F1C70">
            <w:pPr>
              <w:tabs>
                <w:tab w:val="left" w:pos="2880"/>
              </w:tabs>
              <w:spacing w:before="120" w:after="120"/>
              <w:rPr>
                <w:rFonts w:ascii="Georgia" w:hAnsi="Georgia" w:cs="Arial"/>
                <w:b/>
                <w:bCs/>
              </w:rPr>
            </w:pPr>
            <w:r w:rsidRPr="6B1F290F">
              <w:rPr>
                <w:rFonts w:ascii="Georgia" w:hAnsi="Georgia" w:cs="Arial"/>
                <w:b/>
                <w:bCs/>
              </w:rPr>
              <w:t xml:space="preserve">For the determination of the </w:t>
            </w:r>
            <w:r w:rsidR="7D4ED811" w:rsidRPr="6B1F290F">
              <w:rPr>
                <w:rFonts w:ascii="Georgia" w:hAnsi="Georgia" w:cs="Arial"/>
                <w:b/>
                <w:bCs/>
              </w:rPr>
              <w:t xml:space="preserve">liability to pay </w:t>
            </w:r>
            <w:r w:rsidR="00990B4C">
              <w:rPr>
                <w:rFonts w:ascii="Georgia" w:hAnsi="Georgia" w:cs="Arial"/>
                <w:b/>
                <w:bCs/>
              </w:rPr>
              <w:t>Administration Charges</w:t>
            </w:r>
          </w:p>
        </w:tc>
      </w:tr>
      <w:tr w:rsidR="00964F35" w:rsidRPr="007F1C70" w14:paraId="33747599" w14:textId="77777777" w:rsidTr="254B5CD4">
        <w:tc>
          <w:tcPr>
            <w:tcW w:w="2692" w:type="dxa"/>
            <w:vAlign w:val="center"/>
          </w:tcPr>
          <w:p w14:paraId="740ED769" w14:textId="77777777" w:rsidR="00964F35" w:rsidRPr="007F1C70" w:rsidRDefault="00964F35" w:rsidP="007F1C70">
            <w:pPr>
              <w:tabs>
                <w:tab w:val="left" w:pos="2880"/>
              </w:tabs>
              <w:rPr>
                <w:rFonts w:ascii="Georgia" w:hAnsi="Georgia" w:cs="Arial"/>
                <w:b/>
                <w:bCs/>
              </w:rPr>
            </w:pPr>
            <w:r w:rsidRPr="007F1C70">
              <w:rPr>
                <w:rFonts w:ascii="Georgia" w:hAnsi="Georgia" w:cs="Arial"/>
                <w:b/>
                <w:bCs/>
              </w:rPr>
              <w:t>Tribunal members</w:t>
            </w:r>
          </w:p>
        </w:tc>
        <w:tc>
          <w:tcPr>
            <w:tcW w:w="463" w:type="dxa"/>
            <w:vAlign w:val="center"/>
          </w:tcPr>
          <w:p w14:paraId="786AC4E9" w14:textId="77777777" w:rsidR="00964F35" w:rsidRPr="007F1C70" w:rsidRDefault="00964F3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43F24179" w14:textId="77777777" w:rsidR="00964F35" w:rsidRDefault="00990B4C" w:rsidP="007F1C70">
            <w:pPr>
              <w:tabs>
                <w:tab w:val="left" w:pos="2880"/>
              </w:tabs>
              <w:spacing w:before="120" w:after="120"/>
              <w:rPr>
                <w:rFonts w:ascii="Georgia" w:hAnsi="Georgia" w:cs="Arial"/>
                <w:b/>
                <w:bCs/>
              </w:rPr>
            </w:pPr>
            <w:r>
              <w:rPr>
                <w:rFonts w:ascii="Georgia" w:hAnsi="Georgia" w:cs="Arial"/>
                <w:b/>
                <w:bCs/>
              </w:rPr>
              <w:t>Judge Bernadette MacQueen</w:t>
            </w:r>
          </w:p>
          <w:p w14:paraId="331122E5" w14:textId="480CB4F2" w:rsidR="00990B4C" w:rsidRPr="007F1C70" w:rsidRDefault="002677DF" w:rsidP="007F1C70">
            <w:pPr>
              <w:tabs>
                <w:tab w:val="left" w:pos="2880"/>
              </w:tabs>
              <w:spacing w:before="120" w:after="120"/>
              <w:rPr>
                <w:rFonts w:ascii="Georgia" w:hAnsi="Georgia" w:cs="Arial"/>
                <w:b/>
                <w:bCs/>
              </w:rPr>
            </w:pPr>
            <w:r>
              <w:rPr>
                <w:rFonts w:ascii="Georgia" w:hAnsi="Georgia" w:cs="Arial"/>
                <w:b/>
                <w:bCs/>
              </w:rPr>
              <w:t>Roland Thomas, MRICS</w:t>
            </w:r>
          </w:p>
        </w:tc>
      </w:tr>
      <w:tr w:rsidR="00823690" w:rsidRPr="007F1C70" w14:paraId="37D24257" w14:textId="77777777" w:rsidTr="254B5CD4">
        <w:tc>
          <w:tcPr>
            <w:tcW w:w="2692" w:type="dxa"/>
            <w:vAlign w:val="center"/>
          </w:tcPr>
          <w:p w14:paraId="58176FF1" w14:textId="082A3DB9" w:rsidR="00823690" w:rsidRPr="007F1C70" w:rsidRDefault="00823690" w:rsidP="007F1C70">
            <w:pPr>
              <w:tabs>
                <w:tab w:val="left" w:pos="2880"/>
              </w:tabs>
              <w:rPr>
                <w:rFonts w:ascii="Georgia" w:hAnsi="Georgia" w:cs="Arial"/>
                <w:b/>
                <w:bCs/>
              </w:rPr>
            </w:pPr>
            <w:r>
              <w:rPr>
                <w:rFonts w:ascii="Georgia" w:hAnsi="Georgia" w:cs="Arial"/>
                <w:b/>
                <w:bCs/>
              </w:rPr>
              <w:t>Date of hearing</w:t>
            </w:r>
          </w:p>
        </w:tc>
        <w:tc>
          <w:tcPr>
            <w:tcW w:w="463" w:type="dxa"/>
            <w:vAlign w:val="center"/>
          </w:tcPr>
          <w:p w14:paraId="162E5FAC" w14:textId="578E9861" w:rsidR="00823690" w:rsidRPr="007F1C70" w:rsidRDefault="00823690" w:rsidP="007F1C70">
            <w:pPr>
              <w:tabs>
                <w:tab w:val="left" w:pos="2880"/>
              </w:tabs>
              <w:spacing w:before="240" w:after="240"/>
              <w:rPr>
                <w:rFonts w:ascii="Georgia" w:hAnsi="Georgia" w:cs="Arial"/>
                <w:b/>
                <w:bCs/>
              </w:rPr>
            </w:pPr>
            <w:r>
              <w:rPr>
                <w:rFonts w:ascii="Georgia" w:hAnsi="Georgia" w:cs="Arial"/>
                <w:b/>
                <w:bCs/>
              </w:rPr>
              <w:t>:</w:t>
            </w:r>
          </w:p>
        </w:tc>
        <w:tc>
          <w:tcPr>
            <w:tcW w:w="5209" w:type="dxa"/>
            <w:vAlign w:val="center"/>
          </w:tcPr>
          <w:p w14:paraId="0C190B46" w14:textId="194035FE" w:rsidR="00823690" w:rsidRDefault="00823690" w:rsidP="007F1C70">
            <w:pPr>
              <w:tabs>
                <w:tab w:val="left" w:pos="2880"/>
              </w:tabs>
              <w:spacing w:before="120" w:after="120"/>
              <w:rPr>
                <w:rFonts w:ascii="Georgia" w:hAnsi="Georgia" w:cs="Arial"/>
                <w:b/>
                <w:bCs/>
              </w:rPr>
            </w:pPr>
            <w:r>
              <w:rPr>
                <w:rFonts w:ascii="Georgia" w:hAnsi="Georgia" w:cs="Arial"/>
                <w:b/>
                <w:bCs/>
              </w:rPr>
              <w:t>5 February 2026</w:t>
            </w:r>
          </w:p>
        </w:tc>
      </w:tr>
      <w:tr w:rsidR="00724F05" w:rsidRPr="007F1C70" w14:paraId="44D9F2D7" w14:textId="77777777" w:rsidTr="254B5CD4">
        <w:tc>
          <w:tcPr>
            <w:tcW w:w="2692" w:type="dxa"/>
            <w:vAlign w:val="center"/>
          </w:tcPr>
          <w:p w14:paraId="4318E66D" w14:textId="77777777" w:rsidR="00724F05" w:rsidRPr="007F1C70" w:rsidRDefault="00724F05" w:rsidP="007F1C70">
            <w:pPr>
              <w:tabs>
                <w:tab w:val="left" w:pos="2880"/>
              </w:tabs>
              <w:rPr>
                <w:rFonts w:ascii="Georgia" w:hAnsi="Georgia" w:cs="Arial"/>
                <w:b/>
                <w:bCs/>
              </w:rPr>
            </w:pPr>
            <w:r w:rsidRPr="007F1C70">
              <w:rPr>
                <w:rFonts w:ascii="Georgia" w:hAnsi="Georgia" w:cs="Arial"/>
                <w:b/>
                <w:bCs/>
              </w:rPr>
              <w:t xml:space="preserve">Date of </w:t>
            </w:r>
            <w:r w:rsidR="00DE413A" w:rsidRPr="007F1C70">
              <w:rPr>
                <w:rFonts w:ascii="Georgia" w:hAnsi="Georgia" w:cs="Arial"/>
                <w:b/>
                <w:bCs/>
              </w:rPr>
              <w:t>d</w:t>
            </w:r>
            <w:r w:rsidRPr="007F1C70">
              <w:rPr>
                <w:rFonts w:ascii="Georgia" w:hAnsi="Georgia" w:cs="Arial"/>
                <w:b/>
                <w:bCs/>
              </w:rPr>
              <w:t>ecision</w:t>
            </w:r>
          </w:p>
        </w:tc>
        <w:tc>
          <w:tcPr>
            <w:tcW w:w="463" w:type="dxa"/>
            <w:vAlign w:val="center"/>
          </w:tcPr>
          <w:p w14:paraId="2D4CB9FE" w14:textId="77777777" w:rsidR="00724F05" w:rsidRPr="007F1C70" w:rsidRDefault="00724F05" w:rsidP="007F1C70">
            <w:pPr>
              <w:tabs>
                <w:tab w:val="left" w:pos="2880"/>
              </w:tabs>
              <w:spacing w:before="240" w:after="240"/>
              <w:rPr>
                <w:rFonts w:ascii="Georgia" w:hAnsi="Georgia" w:cs="Arial"/>
                <w:b/>
                <w:bCs/>
              </w:rPr>
            </w:pPr>
            <w:r w:rsidRPr="007F1C70">
              <w:rPr>
                <w:rFonts w:ascii="Georgia" w:hAnsi="Georgia" w:cs="Arial"/>
                <w:b/>
                <w:bCs/>
              </w:rPr>
              <w:t>:</w:t>
            </w:r>
          </w:p>
        </w:tc>
        <w:tc>
          <w:tcPr>
            <w:tcW w:w="5209" w:type="dxa"/>
            <w:vAlign w:val="center"/>
          </w:tcPr>
          <w:p w14:paraId="7388094E" w14:textId="14A43EC5" w:rsidR="00724F05" w:rsidRPr="007F1C70" w:rsidRDefault="00DB7C94" w:rsidP="007F1C70">
            <w:pPr>
              <w:tabs>
                <w:tab w:val="left" w:pos="2880"/>
              </w:tabs>
              <w:rPr>
                <w:rFonts w:ascii="Georgia" w:hAnsi="Georgia" w:cs="Arial"/>
                <w:b/>
                <w:bCs/>
              </w:rPr>
            </w:pPr>
            <w:r>
              <w:rPr>
                <w:rFonts w:ascii="Georgia" w:hAnsi="Georgia" w:cs="Arial"/>
                <w:b/>
                <w:bCs/>
              </w:rPr>
              <w:t>2</w:t>
            </w:r>
            <w:r w:rsidR="002D7197">
              <w:rPr>
                <w:rFonts w:ascii="Georgia" w:hAnsi="Georgia" w:cs="Arial"/>
                <w:b/>
                <w:bCs/>
              </w:rPr>
              <w:t>6</w:t>
            </w:r>
            <w:r>
              <w:rPr>
                <w:rFonts w:ascii="Georgia" w:hAnsi="Georgia" w:cs="Arial"/>
                <w:b/>
                <w:bCs/>
              </w:rPr>
              <w:t xml:space="preserve"> February 2026</w:t>
            </w:r>
          </w:p>
        </w:tc>
      </w:tr>
    </w:tbl>
    <w:p w14:paraId="314F3409" w14:textId="77777777" w:rsidR="00C27ECE" w:rsidRDefault="00C27ECE" w:rsidP="00724F05">
      <w:pPr>
        <w:jc w:val="both"/>
        <w:rPr>
          <w:szCs w:val="20"/>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tblGrid>
      <w:tr w:rsidR="00C27ECE" w:rsidRPr="007F1C70" w14:paraId="03041107" w14:textId="77777777" w:rsidTr="00F109B2">
        <w:trPr>
          <w:trHeight w:val="811"/>
        </w:trPr>
        <w:tc>
          <w:tcPr>
            <w:tcW w:w="8364" w:type="dxa"/>
            <w:tcBorders>
              <w:left w:val="nil"/>
              <w:right w:val="nil"/>
            </w:tcBorders>
            <w:vAlign w:val="center"/>
          </w:tcPr>
          <w:p w14:paraId="468BFA09" w14:textId="77777777" w:rsidR="00C27ECE" w:rsidRPr="007F1C70" w:rsidRDefault="00C27ECE" w:rsidP="007F1C70">
            <w:pPr>
              <w:jc w:val="center"/>
              <w:rPr>
                <w:szCs w:val="20"/>
              </w:rPr>
            </w:pPr>
            <w:r w:rsidRPr="007F1C70">
              <w:rPr>
                <w:rFonts w:ascii="Georgia" w:hAnsi="Georgia" w:cs="Arial"/>
                <w:b/>
                <w:bCs/>
              </w:rPr>
              <w:t>DECISION</w:t>
            </w:r>
          </w:p>
        </w:tc>
      </w:tr>
    </w:tbl>
    <w:p w14:paraId="4E0DE048" w14:textId="77777777" w:rsidR="00C27ECE" w:rsidRPr="00092C14" w:rsidRDefault="00C27ECE" w:rsidP="00724F05">
      <w:pPr>
        <w:jc w:val="both"/>
        <w:rPr>
          <w:rFonts w:ascii="Georgia" w:hAnsi="Georgia"/>
          <w:szCs w:val="20"/>
        </w:rPr>
      </w:pPr>
    </w:p>
    <w:p w14:paraId="3C301FD1" w14:textId="77777777" w:rsidR="0046328F" w:rsidRDefault="0046328F">
      <w:pPr>
        <w:rPr>
          <w:rFonts w:ascii="Calibri" w:eastAsia="Calibri" w:hAnsi="Calibri" w:cs="Calibri"/>
          <w:color w:val="000000" w:themeColor="text1"/>
        </w:rPr>
      </w:pPr>
      <w:r w:rsidRPr="1E63E3C2">
        <w:rPr>
          <w:rFonts w:ascii="Calibri" w:eastAsia="Calibri" w:hAnsi="Calibri" w:cs="Calibri"/>
          <w:color w:val="000000" w:themeColor="text1"/>
        </w:rPr>
        <w:br w:type="page"/>
      </w:r>
    </w:p>
    <w:p w14:paraId="2782FA87" w14:textId="05597FDA" w:rsidR="000927B4" w:rsidRPr="006B014C" w:rsidRDefault="000927B4" w:rsidP="00C663E1">
      <w:pPr>
        <w:autoSpaceDE w:val="0"/>
        <w:autoSpaceDN w:val="0"/>
        <w:adjustRightInd w:val="0"/>
        <w:spacing w:after="360"/>
        <w:jc w:val="both"/>
        <w:rPr>
          <w:rFonts w:ascii="Georgia" w:hAnsi="Georgia" w:cs="Arial"/>
        </w:rPr>
      </w:pPr>
      <w:bookmarkStart w:id="0" w:name="_Hlk50729776"/>
      <w:r w:rsidRPr="006B014C">
        <w:rPr>
          <w:rFonts w:ascii="Georgia" w:hAnsi="Georgia" w:cs="Arial"/>
          <w:b/>
        </w:rPr>
        <w:lastRenderedPageBreak/>
        <w:t xml:space="preserve">Decisions of the </w:t>
      </w:r>
      <w:r w:rsidR="006B014C">
        <w:rPr>
          <w:rFonts w:ascii="Georgia" w:hAnsi="Georgia" w:cs="Arial"/>
          <w:b/>
        </w:rPr>
        <w:t>T</w:t>
      </w:r>
      <w:r w:rsidRPr="006B014C">
        <w:rPr>
          <w:rFonts w:ascii="Georgia" w:hAnsi="Georgia" w:cs="Arial"/>
          <w:b/>
        </w:rPr>
        <w:t>ribunal</w:t>
      </w:r>
    </w:p>
    <w:bookmarkEnd w:id="0"/>
    <w:p w14:paraId="66D1CA7B" w14:textId="010D42CA" w:rsidR="000927B4" w:rsidRDefault="000927B4" w:rsidP="00C663E1">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7548FA">
        <w:rPr>
          <w:rFonts w:ascii="Georgia" w:hAnsi="Georgia" w:cs="Arial"/>
        </w:rPr>
        <w:t xml:space="preserve">The </w:t>
      </w:r>
      <w:r w:rsidR="006B014C">
        <w:rPr>
          <w:rFonts w:ascii="Georgia" w:hAnsi="Georgia" w:cs="Arial"/>
        </w:rPr>
        <w:t>T</w:t>
      </w:r>
      <w:r w:rsidRPr="007548FA">
        <w:rPr>
          <w:rFonts w:ascii="Georgia" w:hAnsi="Georgia" w:cs="Arial"/>
        </w:rPr>
        <w:t xml:space="preserve">ribunal determines that the </w:t>
      </w:r>
      <w:r w:rsidR="007E585A">
        <w:rPr>
          <w:rFonts w:ascii="Georgia" w:hAnsi="Georgia" w:cs="Arial"/>
        </w:rPr>
        <w:t xml:space="preserve">administrative charge </w:t>
      </w:r>
      <w:r w:rsidRPr="007548FA">
        <w:rPr>
          <w:rFonts w:ascii="Georgia" w:hAnsi="Georgia" w:cs="Arial"/>
        </w:rPr>
        <w:t>of £</w:t>
      </w:r>
      <w:r w:rsidR="004663C6">
        <w:rPr>
          <w:rFonts w:ascii="Georgia" w:hAnsi="Georgia" w:cs="Arial"/>
        </w:rPr>
        <w:t>11,060</w:t>
      </w:r>
      <w:r w:rsidR="00676045">
        <w:rPr>
          <w:rFonts w:ascii="Georgia" w:hAnsi="Georgia" w:cs="Arial"/>
        </w:rPr>
        <w:t xml:space="preserve"> </w:t>
      </w:r>
      <w:r w:rsidR="00EC7602">
        <w:rPr>
          <w:rFonts w:ascii="Georgia" w:hAnsi="Georgia" w:cs="Arial"/>
        </w:rPr>
        <w:t xml:space="preserve">is </w:t>
      </w:r>
      <w:r w:rsidR="00676045">
        <w:rPr>
          <w:rFonts w:ascii="Georgia" w:hAnsi="Georgia" w:cs="Arial"/>
        </w:rPr>
        <w:t xml:space="preserve">not payable </w:t>
      </w:r>
      <w:r w:rsidR="00331AC7">
        <w:rPr>
          <w:rFonts w:ascii="Georgia" w:hAnsi="Georgia" w:cs="Arial"/>
        </w:rPr>
        <w:t>by the Applicant under the Lease</w:t>
      </w:r>
      <w:r w:rsidR="00BF30E1">
        <w:rPr>
          <w:rFonts w:ascii="Georgia" w:hAnsi="Georgia" w:cs="Arial"/>
        </w:rPr>
        <w:t>.</w:t>
      </w:r>
      <w:r w:rsidR="00EC7602">
        <w:rPr>
          <w:rFonts w:ascii="Georgia" w:hAnsi="Georgia" w:cs="Arial"/>
        </w:rPr>
        <w:t xml:space="preserve">  </w:t>
      </w:r>
    </w:p>
    <w:p w14:paraId="1951CECA" w14:textId="52D01D8D" w:rsidR="000927B4" w:rsidRPr="007548FA" w:rsidRDefault="000927B4" w:rsidP="00C663E1">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7548FA">
        <w:rPr>
          <w:rFonts w:ascii="Georgia" w:hAnsi="Georgia" w:cs="Arial"/>
        </w:rPr>
        <w:t xml:space="preserve">The </w:t>
      </w:r>
      <w:r w:rsidR="00AD0B11">
        <w:rPr>
          <w:rFonts w:ascii="Georgia" w:hAnsi="Georgia" w:cs="Arial"/>
        </w:rPr>
        <w:t>T</w:t>
      </w:r>
      <w:r w:rsidRPr="007548FA">
        <w:rPr>
          <w:rFonts w:ascii="Georgia" w:hAnsi="Georgia" w:cs="Arial"/>
        </w:rPr>
        <w:t>ribunal makes the determinations as set out under the various headings in this Decision</w:t>
      </w:r>
      <w:r w:rsidR="00676045">
        <w:rPr>
          <w:rFonts w:ascii="Georgia" w:hAnsi="Georgia" w:cs="Arial"/>
        </w:rPr>
        <w:t>.</w:t>
      </w:r>
    </w:p>
    <w:p w14:paraId="32798A95" w14:textId="77777777" w:rsidR="000656B8" w:rsidRDefault="009D26DF" w:rsidP="0080269C">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sidRPr="00AC20E7">
        <w:rPr>
          <w:rFonts w:ascii="Georgia" w:hAnsi="Georgia" w:cs="Arial"/>
        </w:rPr>
        <w:t>The Tribunal ma</w:t>
      </w:r>
      <w:r>
        <w:rPr>
          <w:rFonts w:ascii="Georgia" w:hAnsi="Georgia" w:cs="Arial"/>
        </w:rPr>
        <w:t>k</w:t>
      </w:r>
      <w:r w:rsidRPr="00AC20E7">
        <w:rPr>
          <w:rFonts w:ascii="Georgia" w:hAnsi="Georgia" w:cs="Arial"/>
        </w:rPr>
        <w:t>e</w:t>
      </w:r>
      <w:r>
        <w:rPr>
          <w:rFonts w:ascii="Georgia" w:hAnsi="Georgia" w:cs="Arial"/>
        </w:rPr>
        <w:t>s</w:t>
      </w:r>
      <w:r w:rsidRPr="00AC20E7">
        <w:rPr>
          <w:rFonts w:ascii="Georgia" w:hAnsi="Georgia" w:cs="Arial"/>
        </w:rPr>
        <w:t> an order under section 20C of the Landlord and Tenant Act 1985</w:t>
      </w:r>
      <w:r>
        <w:rPr>
          <w:rFonts w:ascii="Georgia" w:hAnsi="Georgia" w:cs="Arial"/>
        </w:rPr>
        <w:t>,</w:t>
      </w:r>
      <w:r w:rsidRPr="00AC20E7">
        <w:rPr>
          <w:rFonts w:ascii="Georgia" w:hAnsi="Georgia" w:cs="Arial"/>
        </w:rPr>
        <w:t> so that none of the costs of the Tribunal proceedings may be passed to the lessees through any service charge</w:t>
      </w:r>
      <w:r w:rsidR="000656B8">
        <w:rPr>
          <w:rFonts w:ascii="Georgia" w:hAnsi="Georgia" w:cs="Arial"/>
        </w:rPr>
        <w:t>.</w:t>
      </w:r>
    </w:p>
    <w:p w14:paraId="56F2912A" w14:textId="70753B80" w:rsidR="000927B4" w:rsidRPr="0080269C" w:rsidRDefault="000656B8" w:rsidP="0080269C">
      <w:pPr>
        <w:numPr>
          <w:ilvl w:val="0"/>
          <w:numId w:val="9"/>
        </w:numPr>
        <w:tabs>
          <w:tab w:val="clear" w:pos="170"/>
          <w:tab w:val="num" w:pos="851"/>
        </w:tabs>
        <w:autoSpaceDE w:val="0"/>
        <w:autoSpaceDN w:val="0"/>
        <w:adjustRightInd w:val="0"/>
        <w:spacing w:after="360"/>
        <w:ind w:left="851" w:hanging="851"/>
        <w:jc w:val="both"/>
        <w:rPr>
          <w:rFonts w:ascii="Georgia" w:hAnsi="Georgia" w:cs="Arial"/>
        </w:rPr>
      </w:pPr>
      <w:r>
        <w:rPr>
          <w:rFonts w:ascii="Georgia" w:hAnsi="Georgia" w:cs="Arial"/>
        </w:rPr>
        <w:t xml:space="preserve">The Tribunal </w:t>
      </w:r>
      <w:r w:rsidR="009D26DF">
        <w:rPr>
          <w:rFonts w:ascii="Georgia" w:hAnsi="Georgia" w:cs="Arial"/>
        </w:rPr>
        <w:t xml:space="preserve">makes </w:t>
      </w:r>
      <w:r w:rsidR="009D26DF" w:rsidRPr="00AC20E7">
        <w:rPr>
          <w:rFonts w:ascii="Georgia" w:hAnsi="Georgia" w:cs="Arial"/>
        </w:rPr>
        <w:t>an order under paragraph 5A of Schedule 11 to the Commonhold and Leasehold Reform Act 2002</w:t>
      </w:r>
      <w:r w:rsidR="009D26DF">
        <w:rPr>
          <w:rFonts w:ascii="Georgia" w:hAnsi="Georgia" w:cs="Arial"/>
        </w:rPr>
        <w:t>,</w:t>
      </w:r>
      <w:r w:rsidR="009D26DF" w:rsidRPr="00AC20E7">
        <w:rPr>
          <w:rFonts w:ascii="Georgia" w:hAnsi="Georgia" w:cs="Arial"/>
        </w:rPr>
        <w:t> extinguishing any liability to pay an administration charge in respect of litigation costs in relation to the proceedings. </w:t>
      </w:r>
    </w:p>
    <w:p w14:paraId="53767E8F" w14:textId="0747A603" w:rsidR="000927B4" w:rsidRDefault="000927B4" w:rsidP="00C663E1">
      <w:pPr>
        <w:autoSpaceDE w:val="0"/>
        <w:autoSpaceDN w:val="0"/>
        <w:adjustRightInd w:val="0"/>
        <w:spacing w:after="360"/>
        <w:jc w:val="both"/>
        <w:rPr>
          <w:rFonts w:ascii="Georgia" w:hAnsi="Georgia" w:cs="Arial"/>
          <w:b/>
        </w:rPr>
      </w:pPr>
      <w:r w:rsidRPr="00823690">
        <w:rPr>
          <w:rFonts w:ascii="Georgia" w:hAnsi="Georgia" w:cs="Arial"/>
          <w:b/>
        </w:rPr>
        <w:t xml:space="preserve">The </w:t>
      </w:r>
      <w:r w:rsidR="00823690">
        <w:rPr>
          <w:rFonts w:ascii="Georgia" w:hAnsi="Georgia" w:cs="Arial"/>
          <w:b/>
        </w:rPr>
        <w:t>A</w:t>
      </w:r>
      <w:r w:rsidRPr="00823690">
        <w:rPr>
          <w:rFonts w:ascii="Georgia" w:hAnsi="Georgia" w:cs="Arial"/>
          <w:b/>
        </w:rPr>
        <w:t>pplication</w:t>
      </w:r>
    </w:p>
    <w:p w14:paraId="1172D637" w14:textId="36FE70E9" w:rsidR="00FB20D0" w:rsidRPr="00BC65D2" w:rsidRDefault="00A001E7" w:rsidP="009712A2">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BC65D2">
        <w:rPr>
          <w:rFonts w:ascii="Georgia" w:hAnsi="Georgia" w:cs="Arial"/>
          <w:bCs/>
        </w:rPr>
        <w:t xml:space="preserve">The Applicant </w:t>
      </w:r>
      <w:r w:rsidR="00D228ED" w:rsidRPr="00BC65D2">
        <w:rPr>
          <w:rFonts w:ascii="Georgia" w:hAnsi="Georgia" w:cs="Arial"/>
          <w:bCs/>
        </w:rPr>
        <w:t>wa</w:t>
      </w:r>
      <w:r w:rsidR="00F93956" w:rsidRPr="00BC65D2">
        <w:rPr>
          <w:rFonts w:ascii="Georgia" w:hAnsi="Georgia" w:cs="Arial"/>
          <w:bCs/>
        </w:rPr>
        <w:t xml:space="preserve">s the registered </w:t>
      </w:r>
      <w:r w:rsidR="005C7E18" w:rsidRPr="00BC65D2">
        <w:rPr>
          <w:rFonts w:ascii="Georgia" w:hAnsi="Georgia" w:cs="Arial"/>
          <w:bCs/>
        </w:rPr>
        <w:t>long lease</w:t>
      </w:r>
      <w:r w:rsidR="00F93956" w:rsidRPr="00BC65D2">
        <w:rPr>
          <w:rFonts w:ascii="Georgia" w:hAnsi="Georgia" w:cs="Arial"/>
          <w:bCs/>
        </w:rPr>
        <w:t>holder</w:t>
      </w:r>
      <w:r w:rsidR="005C7E18" w:rsidRPr="00BC65D2">
        <w:rPr>
          <w:rFonts w:ascii="Georgia" w:hAnsi="Georgia" w:cs="Arial"/>
          <w:bCs/>
        </w:rPr>
        <w:t xml:space="preserve"> of 52 Boreham Holt, Elstree, Borehamwood, </w:t>
      </w:r>
      <w:r w:rsidR="00657F7F" w:rsidRPr="00BC65D2">
        <w:rPr>
          <w:rFonts w:ascii="Georgia" w:hAnsi="Georgia" w:cs="Arial"/>
          <w:bCs/>
        </w:rPr>
        <w:t>WD6 3QQ (</w:t>
      </w:r>
      <w:r w:rsidR="0062434E" w:rsidRPr="00BC65D2">
        <w:rPr>
          <w:rFonts w:ascii="Georgia" w:hAnsi="Georgia" w:cs="Arial"/>
          <w:bCs/>
        </w:rPr>
        <w:t>“</w:t>
      </w:r>
      <w:r w:rsidR="00657F7F" w:rsidRPr="00BC65D2">
        <w:rPr>
          <w:rFonts w:ascii="Georgia" w:hAnsi="Georgia" w:cs="Arial"/>
          <w:bCs/>
        </w:rPr>
        <w:t>the Property</w:t>
      </w:r>
      <w:r w:rsidR="0062434E" w:rsidRPr="00BC65D2">
        <w:rPr>
          <w:rFonts w:ascii="Georgia" w:hAnsi="Georgia" w:cs="Arial"/>
          <w:bCs/>
        </w:rPr>
        <w:t>”</w:t>
      </w:r>
      <w:r w:rsidR="00657F7F" w:rsidRPr="00BC65D2">
        <w:rPr>
          <w:rFonts w:ascii="Georgia" w:hAnsi="Georgia" w:cs="Arial"/>
          <w:bCs/>
        </w:rPr>
        <w:t>)</w:t>
      </w:r>
      <w:r w:rsidR="00437588" w:rsidRPr="00BC65D2">
        <w:rPr>
          <w:rFonts w:ascii="Georgia" w:hAnsi="Georgia" w:cs="Arial"/>
          <w:bCs/>
        </w:rPr>
        <w:t xml:space="preserve">.  The Property </w:t>
      </w:r>
      <w:r w:rsidR="00D228ED" w:rsidRPr="00BC65D2">
        <w:rPr>
          <w:rFonts w:ascii="Georgia" w:hAnsi="Georgia" w:cs="Arial"/>
          <w:bCs/>
        </w:rPr>
        <w:t>wa</w:t>
      </w:r>
      <w:r w:rsidR="00437588" w:rsidRPr="00BC65D2">
        <w:rPr>
          <w:rFonts w:ascii="Georgia" w:hAnsi="Georgia" w:cs="Arial"/>
          <w:bCs/>
        </w:rPr>
        <w:t xml:space="preserve">s part of a purpose-built block of </w:t>
      </w:r>
      <w:r w:rsidR="00D228ED" w:rsidRPr="00BC65D2">
        <w:rPr>
          <w:rFonts w:ascii="Georgia" w:hAnsi="Georgia" w:cs="Arial"/>
          <w:bCs/>
        </w:rPr>
        <w:t xml:space="preserve">15 </w:t>
      </w:r>
      <w:r w:rsidR="00437588" w:rsidRPr="00BC65D2">
        <w:rPr>
          <w:rFonts w:ascii="Georgia" w:hAnsi="Georgia" w:cs="Arial"/>
          <w:bCs/>
        </w:rPr>
        <w:t>flats</w:t>
      </w:r>
      <w:r w:rsidR="00D228ED" w:rsidRPr="00BC65D2">
        <w:rPr>
          <w:rFonts w:ascii="Georgia" w:hAnsi="Georgia" w:cs="Arial"/>
          <w:bCs/>
        </w:rPr>
        <w:t>,</w:t>
      </w:r>
      <w:r w:rsidR="00437588" w:rsidRPr="00BC65D2">
        <w:rPr>
          <w:rFonts w:ascii="Georgia" w:hAnsi="Georgia" w:cs="Arial"/>
          <w:bCs/>
        </w:rPr>
        <w:t xml:space="preserve"> </w:t>
      </w:r>
      <w:r w:rsidR="00611DD3" w:rsidRPr="00BC65D2">
        <w:rPr>
          <w:rFonts w:ascii="Georgia" w:hAnsi="Georgia" w:cs="Arial"/>
          <w:bCs/>
        </w:rPr>
        <w:t xml:space="preserve">of which Playfield Properties Limited </w:t>
      </w:r>
      <w:r w:rsidR="00D228ED" w:rsidRPr="00BC65D2">
        <w:rPr>
          <w:rFonts w:ascii="Georgia" w:hAnsi="Georgia" w:cs="Arial"/>
          <w:bCs/>
        </w:rPr>
        <w:t>wa</w:t>
      </w:r>
      <w:r w:rsidR="00611DD3" w:rsidRPr="00BC65D2">
        <w:rPr>
          <w:rFonts w:ascii="Georgia" w:hAnsi="Georgia" w:cs="Arial"/>
          <w:bCs/>
        </w:rPr>
        <w:t>s the freeholder.</w:t>
      </w:r>
      <w:r w:rsidR="004B050F" w:rsidRPr="00BC65D2">
        <w:rPr>
          <w:rFonts w:ascii="Georgia" w:hAnsi="Georgia" w:cs="Arial"/>
          <w:bCs/>
        </w:rPr>
        <w:t xml:space="preserve">  </w:t>
      </w:r>
    </w:p>
    <w:p w14:paraId="33151C86" w14:textId="77777777" w:rsidR="004B050F" w:rsidRDefault="004B050F" w:rsidP="004B050F">
      <w:pPr>
        <w:pStyle w:val="ListParagraph"/>
        <w:autoSpaceDE w:val="0"/>
        <w:autoSpaceDN w:val="0"/>
        <w:adjustRightInd w:val="0"/>
        <w:spacing w:after="360"/>
        <w:ind w:left="851"/>
        <w:jc w:val="both"/>
        <w:rPr>
          <w:rFonts w:ascii="Georgia" w:hAnsi="Georgia" w:cs="Arial"/>
          <w:bCs/>
        </w:rPr>
      </w:pPr>
    </w:p>
    <w:p w14:paraId="3450552A" w14:textId="3946361D" w:rsidR="000E6B48" w:rsidRPr="00376375" w:rsidRDefault="001156D4" w:rsidP="00376375">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The </w:t>
      </w:r>
      <w:r w:rsidR="005D59DA">
        <w:rPr>
          <w:rFonts w:ascii="Georgia" w:hAnsi="Georgia" w:cs="Arial"/>
          <w:bCs/>
        </w:rPr>
        <w:t xml:space="preserve">relevant lease </w:t>
      </w:r>
      <w:r w:rsidR="00D228ED">
        <w:rPr>
          <w:rFonts w:ascii="Georgia" w:hAnsi="Georgia" w:cs="Arial"/>
          <w:bCs/>
        </w:rPr>
        <w:t>wa</w:t>
      </w:r>
      <w:r w:rsidR="005D59DA">
        <w:rPr>
          <w:rFonts w:ascii="Georgia" w:hAnsi="Georgia" w:cs="Arial"/>
          <w:bCs/>
        </w:rPr>
        <w:t>s dated 1 March 1965</w:t>
      </w:r>
      <w:r w:rsidR="00CE4D1E">
        <w:rPr>
          <w:rFonts w:ascii="Georgia" w:hAnsi="Georgia" w:cs="Arial"/>
          <w:bCs/>
        </w:rPr>
        <w:t xml:space="preserve">, </w:t>
      </w:r>
      <w:r w:rsidR="00FF006A">
        <w:rPr>
          <w:rFonts w:ascii="Georgia" w:hAnsi="Georgia" w:cs="Arial"/>
          <w:bCs/>
        </w:rPr>
        <w:t>registered with HM Land Registry under title number HD42628</w:t>
      </w:r>
      <w:r w:rsidR="00CE4D1E">
        <w:rPr>
          <w:rFonts w:ascii="Georgia" w:hAnsi="Georgia" w:cs="Arial"/>
          <w:bCs/>
        </w:rPr>
        <w:t xml:space="preserve">, and </w:t>
      </w:r>
      <w:r w:rsidR="005D59DA">
        <w:rPr>
          <w:rFonts w:ascii="Georgia" w:hAnsi="Georgia" w:cs="Arial"/>
          <w:bCs/>
        </w:rPr>
        <w:t xml:space="preserve">made between </w:t>
      </w:r>
      <w:r w:rsidR="004B050F">
        <w:rPr>
          <w:rFonts w:ascii="Georgia" w:hAnsi="Georgia" w:cs="Arial"/>
          <w:bCs/>
        </w:rPr>
        <w:t xml:space="preserve">Boreham Holt Management Limited </w:t>
      </w:r>
      <w:r w:rsidR="00B252E2">
        <w:rPr>
          <w:rFonts w:ascii="Georgia" w:hAnsi="Georgia" w:cs="Arial"/>
          <w:bCs/>
        </w:rPr>
        <w:t>(1)</w:t>
      </w:r>
      <w:r w:rsidR="0075225E">
        <w:rPr>
          <w:rFonts w:ascii="Georgia" w:hAnsi="Georgia" w:cs="Arial"/>
          <w:bCs/>
        </w:rPr>
        <w:t xml:space="preserve">, Waltham Cross Construction Company Limited </w:t>
      </w:r>
      <w:r w:rsidR="003A4205">
        <w:rPr>
          <w:rFonts w:ascii="Georgia" w:hAnsi="Georgia" w:cs="Arial"/>
          <w:bCs/>
        </w:rPr>
        <w:t>(</w:t>
      </w:r>
      <w:r w:rsidR="0075225E">
        <w:rPr>
          <w:rFonts w:ascii="Georgia" w:hAnsi="Georgia" w:cs="Arial"/>
          <w:bCs/>
        </w:rPr>
        <w:t xml:space="preserve">2) and Frank </w:t>
      </w:r>
      <w:r w:rsidR="0034594E">
        <w:rPr>
          <w:rFonts w:ascii="Georgia" w:hAnsi="Georgia" w:cs="Arial"/>
          <w:bCs/>
        </w:rPr>
        <w:t xml:space="preserve">Oswald Marsh (3) </w:t>
      </w:r>
      <w:r w:rsidR="0062434E">
        <w:rPr>
          <w:rFonts w:ascii="Georgia" w:hAnsi="Georgia" w:cs="Arial"/>
          <w:bCs/>
        </w:rPr>
        <w:t>(“the Lease”)</w:t>
      </w:r>
      <w:r w:rsidR="00EF5EE9">
        <w:rPr>
          <w:rFonts w:ascii="Georgia" w:hAnsi="Georgia" w:cs="Arial"/>
          <w:bCs/>
        </w:rPr>
        <w:t xml:space="preserve">.  Boreham Holt Management Limited </w:t>
      </w:r>
      <w:r w:rsidR="00CE4D1E">
        <w:rPr>
          <w:rFonts w:ascii="Georgia" w:hAnsi="Georgia" w:cs="Arial"/>
          <w:bCs/>
        </w:rPr>
        <w:t>wa</w:t>
      </w:r>
      <w:r w:rsidR="003D603A">
        <w:rPr>
          <w:rFonts w:ascii="Georgia" w:hAnsi="Georgia" w:cs="Arial"/>
          <w:bCs/>
        </w:rPr>
        <w:t>s the Applicant’s landlord</w:t>
      </w:r>
      <w:r w:rsidR="00607D72">
        <w:rPr>
          <w:rFonts w:ascii="Georgia" w:hAnsi="Georgia" w:cs="Arial"/>
          <w:bCs/>
        </w:rPr>
        <w:t>;</w:t>
      </w:r>
      <w:r w:rsidR="003D603A">
        <w:rPr>
          <w:rFonts w:ascii="Georgia" w:hAnsi="Georgia" w:cs="Arial"/>
          <w:bCs/>
        </w:rPr>
        <w:t xml:space="preserve"> </w:t>
      </w:r>
      <w:r w:rsidR="00607D72">
        <w:rPr>
          <w:rFonts w:ascii="Georgia" w:hAnsi="Georgia" w:cs="Arial"/>
          <w:bCs/>
        </w:rPr>
        <w:t xml:space="preserve">they </w:t>
      </w:r>
      <w:r w:rsidR="003D603A">
        <w:rPr>
          <w:rFonts w:ascii="Georgia" w:hAnsi="Georgia" w:cs="Arial"/>
          <w:bCs/>
        </w:rPr>
        <w:t>ha</w:t>
      </w:r>
      <w:r w:rsidR="00CE4D1E">
        <w:rPr>
          <w:rFonts w:ascii="Georgia" w:hAnsi="Georgia" w:cs="Arial"/>
          <w:bCs/>
        </w:rPr>
        <w:t>d</w:t>
      </w:r>
      <w:r w:rsidR="003D603A">
        <w:rPr>
          <w:rFonts w:ascii="Georgia" w:hAnsi="Georgia" w:cs="Arial"/>
          <w:bCs/>
        </w:rPr>
        <w:t xml:space="preserve"> appointed Trent Park Properties LLP </w:t>
      </w:r>
      <w:r w:rsidR="00EA2CA3">
        <w:rPr>
          <w:rFonts w:ascii="Georgia" w:hAnsi="Georgia" w:cs="Arial"/>
          <w:bCs/>
        </w:rPr>
        <w:t xml:space="preserve">(“Trent Park”) </w:t>
      </w:r>
      <w:r w:rsidR="003D603A">
        <w:rPr>
          <w:rFonts w:ascii="Georgia" w:hAnsi="Georgia" w:cs="Arial"/>
          <w:bCs/>
        </w:rPr>
        <w:t>as their managing agent for the Property.</w:t>
      </w:r>
    </w:p>
    <w:p w14:paraId="161EBD49" w14:textId="77777777" w:rsidR="000E6B48" w:rsidRPr="000E6B48" w:rsidRDefault="000E6B48" w:rsidP="000E6B48">
      <w:pPr>
        <w:pStyle w:val="ListParagraph"/>
        <w:autoSpaceDE w:val="0"/>
        <w:autoSpaceDN w:val="0"/>
        <w:adjustRightInd w:val="0"/>
        <w:spacing w:after="360"/>
        <w:ind w:left="851"/>
        <w:jc w:val="both"/>
        <w:rPr>
          <w:rFonts w:ascii="Georgia" w:hAnsi="Georgia" w:cs="Arial"/>
          <w:bCs/>
        </w:rPr>
      </w:pPr>
    </w:p>
    <w:p w14:paraId="14733E65" w14:textId="68A81A2D" w:rsidR="00D14E2F" w:rsidRDefault="00A94010" w:rsidP="001C52C7">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The </w:t>
      </w:r>
      <w:r w:rsidR="000D52D0">
        <w:rPr>
          <w:rFonts w:ascii="Georgia" w:hAnsi="Georgia" w:cs="Arial"/>
          <w:bCs/>
        </w:rPr>
        <w:t xml:space="preserve">Applicant </w:t>
      </w:r>
      <w:r w:rsidR="00B90953">
        <w:rPr>
          <w:rFonts w:ascii="Georgia" w:hAnsi="Georgia" w:cs="Arial"/>
          <w:bCs/>
        </w:rPr>
        <w:t xml:space="preserve">had </w:t>
      </w:r>
      <w:r w:rsidR="000D52D0">
        <w:rPr>
          <w:rFonts w:ascii="Georgia" w:hAnsi="Georgia" w:cs="Arial"/>
          <w:bCs/>
        </w:rPr>
        <w:t xml:space="preserve">made an application to the </w:t>
      </w:r>
      <w:r w:rsidR="0006027A">
        <w:rPr>
          <w:rFonts w:ascii="Georgia" w:hAnsi="Georgia" w:cs="Arial"/>
          <w:bCs/>
        </w:rPr>
        <w:t>Tribunal</w:t>
      </w:r>
      <w:r w:rsidR="000D52D0">
        <w:rPr>
          <w:rFonts w:ascii="Georgia" w:hAnsi="Georgia" w:cs="Arial"/>
          <w:bCs/>
        </w:rPr>
        <w:t xml:space="preserve"> dated 29 </w:t>
      </w:r>
      <w:r w:rsidR="0006027A">
        <w:rPr>
          <w:rFonts w:ascii="Georgia" w:hAnsi="Georgia" w:cs="Arial"/>
          <w:bCs/>
        </w:rPr>
        <w:t>November</w:t>
      </w:r>
      <w:r w:rsidR="000D52D0">
        <w:rPr>
          <w:rFonts w:ascii="Georgia" w:hAnsi="Georgia" w:cs="Arial"/>
          <w:bCs/>
        </w:rPr>
        <w:t xml:space="preserve"> 2023 in which he </w:t>
      </w:r>
      <w:r w:rsidR="00B5580C">
        <w:rPr>
          <w:rFonts w:ascii="Georgia" w:hAnsi="Georgia" w:cs="Arial"/>
          <w:bCs/>
        </w:rPr>
        <w:t xml:space="preserve">had </w:t>
      </w:r>
      <w:r w:rsidR="000D52D0">
        <w:rPr>
          <w:rFonts w:ascii="Georgia" w:hAnsi="Georgia" w:cs="Arial"/>
          <w:bCs/>
        </w:rPr>
        <w:t xml:space="preserve">sought a determination under section 27A of the </w:t>
      </w:r>
      <w:r w:rsidR="0006027A">
        <w:rPr>
          <w:rFonts w:ascii="Georgia" w:hAnsi="Georgia" w:cs="Arial"/>
          <w:bCs/>
        </w:rPr>
        <w:t>Landlord</w:t>
      </w:r>
      <w:r w:rsidR="000D52D0">
        <w:rPr>
          <w:rFonts w:ascii="Georgia" w:hAnsi="Georgia" w:cs="Arial"/>
          <w:bCs/>
        </w:rPr>
        <w:t xml:space="preserve"> and Tenant Act 1985 as to the payability of service charge</w:t>
      </w:r>
      <w:r w:rsidR="006A5F63">
        <w:rPr>
          <w:rFonts w:ascii="Georgia" w:hAnsi="Georgia" w:cs="Arial"/>
          <w:bCs/>
        </w:rPr>
        <w:t xml:space="preserve">s </w:t>
      </w:r>
      <w:r w:rsidR="00D84E52">
        <w:rPr>
          <w:rFonts w:ascii="Georgia" w:hAnsi="Georgia" w:cs="Arial"/>
          <w:bCs/>
        </w:rPr>
        <w:t>(“the First Application”)</w:t>
      </w:r>
      <w:r w:rsidR="00641EFA">
        <w:rPr>
          <w:rFonts w:ascii="Georgia" w:hAnsi="Georgia" w:cs="Arial"/>
          <w:bCs/>
        </w:rPr>
        <w:t xml:space="preserve">.  </w:t>
      </w:r>
      <w:r w:rsidR="005D0C58">
        <w:rPr>
          <w:rFonts w:ascii="Georgia" w:hAnsi="Georgia" w:cs="Arial"/>
          <w:bCs/>
        </w:rPr>
        <w:t xml:space="preserve">A hearing </w:t>
      </w:r>
      <w:r w:rsidR="00B5580C">
        <w:rPr>
          <w:rFonts w:ascii="Georgia" w:hAnsi="Georgia" w:cs="Arial"/>
          <w:bCs/>
        </w:rPr>
        <w:t>had taken</w:t>
      </w:r>
      <w:r w:rsidR="005D0C58">
        <w:rPr>
          <w:rFonts w:ascii="Georgia" w:hAnsi="Georgia" w:cs="Arial"/>
          <w:bCs/>
        </w:rPr>
        <w:t xml:space="preserve"> place on </w:t>
      </w:r>
      <w:r w:rsidR="00A42764">
        <w:rPr>
          <w:rFonts w:ascii="Georgia" w:hAnsi="Georgia" w:cs="Arial"/>
          <w:bCs/>
        </w:rPr>
        <w:t xml:space="preserve">27 March </w:t>
      </w:r>
      <w:proofErr w:type="gramStart"/>
      <w:r w:rsidR="00A42764">
        <w:rPr>
          <w:rFonts w:ascii="Georgia" w:hAnsi="Georgia" w:cs="Arial"/>
          <w:bCs/>
        </w:rPr>
        <w:t>2025</w:t>
      </w:r>
      <w:proofErr w:type="gramEnd"/>
      <w:r w:rsidR="00A42764">
        <w:rPr>
          <w:rFonts w:ascii="Georgia" w:hAnsi="Georgia" w:cs="Arial"/>
          <w:bCs/>
        </w:rPr>
        <w:t xml:space="preserve"> and</w:t>
      </w:r>
      <w:r w:rsidR="00912C49">
        <w:rPr>
          <w:rFonts w:ascii="Georgia" w:hAnsi="Georgia" w:cs="Arial"/>
          <w:bCs/>
        </w:rPr>
        <w:t>,</w:t>
      </w:r>
      <w:r w:rsidR="00A42764">
        <w:rPr>
          <w:rFonts w:ascii="Georgia" w:hAnsi="Georgia" w:cs="Arial"/>
          <w:bCs/>
        </w:rPr>
        <w:t xml:space="preserve"> a</w:t>
      </w:r>
      <w:r w:rsidR="00641EFA">
        <w:rPr>
          <w:rFonts w:ascii="Georgia" w:hAnsi="Georgia" w:cs="Arial"/>
          <w:bCs/>
        </w:rPr>
        <w:t xml:space="preserve">t the </w:t>
      </w:r>
      <w:r w:rsidR="001C52C7">
        <w:rPr>
          <w:rFonts w:ascii="Georgia" w:hAnsi="Georgia" w:cs="Arial"/>
          <w:bCs/>
        </w:rPr>
        <w:t>commencement</w:t>
      </w:r>
      <w:r w:rsidR="00641EFA">
        <w:rPr>
          <w:rFonts w:ascii="Georgia" w:hAnsi="Georgia" w:cs="Arial"/>
          <w:bCs/>
        </w:rPr>
        <w:t xml:space="preserve"> of that hearing, the Applicant </w:t>
      </w:r>
      <w:r w:rsidR="00B5580C">
        <w:rPr>
          <w:rFonts w:ascii="Georgia" w:hAnsi="Georgia" w:cs="Arial"/>
          <w:bCs/>
        </w:rPr>
        <w:t xml:space="preserve">had </w:t>
      </w:r>
      <w:r w:rsidR="001C52C7">
        <w:rPr>
          <w:rFonts w:ascii="Georgia" w:hAnsi="Georgia" w:cs="Arial"/>
          <w:bCs/>
        </w:rPr>
        <w:t xml:space="preserve">changed his position and </w:t>
      </w:r>
      <w:r w:rsidR="00641EFA">
        <w:rPr>
          <w:rFonts w:ascii="Georgia" w:hAnsi="Georgia" w:cs="Arial"/>
          <w:bCs/>
        </w:rPr>
        <w:t xml:space="preserve">confirmed that only </w:t>
      </w:r>
      <w:r w:rsidR="003B11D4">
        <w:rPr>
          <w:rFonts w:ascii="Georgia" w:hAnsi="Georgia" w:cs="Arial"/>
          <w:bCs/>
        </w:rPr>
        <w:t>one</w:t>
      </w:r>
      <w:r w:rsidR="00641EFA">
        <w:rPr>
          <w:rFonts w:ascii="Georgia" w:hAnsi="Georgia" w:cs="Arial"/>
          <w:bCs/>
        </w:rPr>
        <w:t xml:space="preserve"> service charge</w:t>
      </w:r>
      <w:r w:rsidR="00A14D95">
        <w:rPr>
          <w:rFonts w:ascii="Georgia" w:hAnsi="Georgia" w:cs="Arial"/>
          <w:bCs/>
        </w:rPr>
        <w:t xml:space="preserve"> item</w:t>
      </w:r>
      <w:r w:rsidR="00641EFA">
        <w:rPr>
          <w:rFonts w:ascii="Georgia" w:hAnsi="Georgia" w:cs="Arial"/>
          <w:bCs/>
        </w:rPr>
        <w:t xml:space="preserve"> remained in dispute</w:t>
      </w:r>
      <w:r w:rsidR="001C52C7">
        <w:rPr>
          <w:rFonts w:ascii="Georgia" w:hAnsi="Georgia" w:cs="Arial"/>
          <w:bCs/>
        </w:rPr>
        <w:t xml:space="preserve">.  </w:t>
      </w:r>
      <w:r w:rsidR="008B1C5B">
        <w:rPr>
          <w:rFonts w:ascii="Georgia" w:hAnsi="Georgia" w:cs="Arial"/>
          <w:bCs/>
        </w:rPr>
        <w:t xml:space="preserve">The </w:t>
      </w:r>
      <w:r w:rsidR="0006027A">
        <w:rPr>
          <w:rFonts w:ascii="Georgia" w:hAnsi="Georgia" w:cs="Arial"/>
          <w:bCs/>
        </w:rPr>
        <w:t>Tribunal</w:t>
      </w:r>
      <w:r w:rsidR="008B1C5B">
        <w:rPr>
          <w:rFonts w:ascii="Georgia" w:hAnsi="Georgia" w:cs="Arial"/>
          <w:bCs/>
        </w:rPr>
        <w:t xml:space="preserve"> </w:t>
      </w:r>
      <w:r w:rsidR="00912C49">
        <w:rPr>
          <w:rFonts w:ascii="Georgia" w:hAnsi="Georgia" w:cs="Arial"/>
          <w:bCs/>
        </w:rPr>
        <w:t>had given</w:t>
      </w:r>
      <w:r w:rsidR="008B1C5B">
        <w:rPr>
          <w:rFonts w:ascii="Georgia" w:hAnsi="Georgia" w:cs="Arial"/>
          <w:bCs/>
        </w:rPr>
        <w:t xml:space="preserve"> a written decision dated 7 April 2025</w:t>
      </w:r>
      <w:r w:rsidR="00912C49">
        <w:rPr>
          <w:rFonts w:ascii="Georgia" w:hAnsi="Georgia" w:cs="Arial"/>
          <w:bCs/>
        </w:rPr>
        <w:t>,</w:t>
      </w:r>
      <w:r w:rsidR="00A14D95">
        <w:rPr>
          <w:rFonts w:ascii="Georgia" w:hAnsi="Georgia" w:cs="Arial"/>
          <w:bCs/>
        </w:rPr>
        <w:t xml:space="preserve"> determining</w:t>
      </w:r>
      <w:r w:rsidR="00693B05">
        <w:rPr>
          <w:rFonts w:ascii="Georgia" w:hAnsi="Georgia" w:cs="Arial"/>
          <w:bCs/>
        </w:rPr>
        <w:t xml:space="preserve"> that</w:t>
      </w:r>
      <w:r w:rsidR="00930459">
        <w:rPr>
          <w:rFonts w:ascii="Georgia" w:hAnsi="Georgia" w:cs="Arial"/>
          <w:bCs/>
        </w:rPr>
        <w:t xml:space="preserve"> </w:t>
      </w:r>
      <w:r w:rsidR="001C52C7">
        <w:rPr>
          <w:rFonts w:ascii="Georgia" w:hAnsi="Georgia" w:cs="Arial"/>
          <w:bCs/>
        </w:rPr>
        <w:t>the</w:t>
      </w:r>
      <w:r w:rsidR="00E518DA">
        <w:rPr>
          <w:rFonts w:ascii="Georgia" w:hAnsi="Georgia" w:cs="Arial"/>
          <w:bCs/>
        </w:rPr>
        <w:t xml:space="preserve"> total amount claimed by the Respondent was payable</w:t>
      </w:r>
      <w:r w:rsidR="002D6103">
        <w:rPr>
          <w:rFonts w:ascii="Georgia" w:hAnsi="Georgia" w:cs="Arial"/>
          <w:bCs/>
        </w:rPr>
        <w:t xml:space="preserve">, </w:t>
      </w:r>
      <w:r w:rsidR="00E518DA">
        <w:rPr>
          <w:rFonts w:ascii="Georgia" w:hAnsi="Georgia" w:cs="Arial"/>
          <w:bCs/>
        </w:rPr>
        <w:t xml:space="preserve">and declined to make an order under section 20C of the Landlord and Tenant Act 1985, or under paragraph 5A of </w:t>
      </w:r>
      <w:r w:rsidR="009D687A">
        <w:rPr>
          <w:rFonts w:ascii="Georgia" w:hAnsi="Georgia" w:cs="Arial"/>
          <w:bCs/>
        </w:rPr>
        <w:t>Schedule</w:t>
      </w:r>
      <w:r w:rsidR="00E518DA">
        <w:rPr>
          <w:rFonts w:ascii="Georgia" w:hAnsi="Georgia" w:cs="Arial"/>
          <w:bCs/>
        </w:rPr>
        <w:t xml:space="preserve"> 11 to the Commonhold and Leasehold Reform Act 2002</w:t>
      </w:r>
      <w:r w:rsidR="0006732D">
        <w:rPr>
          <w:rFonts w:ascii="Georgia" w:hAnsi="Georgia" w:cs="Arial"/>
          <w:bCs/>
        </w:rPr>
        <w:t>.</w:t>
      </w:r>
    </w:p>
    <w:p w14:paraId="06047926" w14:textId="77777777" w:rsidR="00EA2CA3" w:rsidRDefault="00EA2CA3" w:rsidP="00EA2CA3">
      <w:pPr>
        <w:pStyle w:val="ListParagraph"/>
        <w:autoSpaceDE w:val="0"/>
        <w:autoSpaceDN w:val="0"/>
        <w:adjustRightInd w:val="0"/>
        <w:spacing w:after="360"/>
        <w:ind w:left="851"/>
        <w:jc w:val="both"/>
        <w:rPr>
          <w:rFonts w:ascii="Georgia" w:hAnsi="Georgia" w:cs="Arial"/>
          <w:bCs/>
        </w:rPr>
      </w:pPr>
    </w:p>
    <w:p w14:paraId="2124B9B9" w14:textId="2C543041" w:rsidR="00EA54DB" w:rsidRPr="00C9155E" w:rsidRDefault="009D687A" w:rsidP="00C9155E">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Following th</w:t>
      </w:r>
      <w:r w:rsidR="00EA2CA3">
        <w:rPr>
          <w:rFonts w:ascii="Georgia" w:hAnsi="Georgia" w:cs="Arial"/>
          <w:bCs/>
        </w:rPr>
        <w:t>e Tribunal’s decision, on 8 April 2025, Trent Park</w:t>
      </w:r>
      <w:r w:rsidR="00D84E52">
        <w:rPr>
          <w:rFonts w:ascii="Georgia" w:hAnsi="Georgia" w:cs="Arial"/>
          <w:bCs/>
        </w:rPr>
        <w:t xml:space="preserve"> </w:t>
      </w:r>
      <w:r w:rsidR="002B1D4B">
        <w:rPr>
          <w:rFonts w:ascii="Georgia" w:hAnsi="Georgia" w:cs="Arial"/>
          <w:bCs/>
        </w:rPr>
        <w:t xml:space="preserve">had </w:t>
      </w:r>
      <w:r w:rsidR="00D84E52">
        <w:rPr>
          <w:rFonts w:ascii="Georgia" w:hAnsi="Georgia" w:cs="Arial"/>
          <w:bCs/>
        </w:rPr>
        <w:t xml:space="preserve">sent the Applicant a demand for administration charges incurred by the Respondent in connection </w:t>
      </w:r>
      <w:r w:rsidR="002610A4">
        <w:rPr>
          <w:rFonts w:ascii="Georgia" w:hAnsi="Georgia" w:cs="Arial"/>
          <w:bCs/>
        </w:rPr>
        <w:t>with the First Application in the sum of £11,060</w:t>
      </w:r>
      <w:r w:rsidR="00930459">
        <w:rPr>
          <w:rFonts w:ascii="Georgia" w:hAnsi="Georgia" w:cs="Arial"/>
          <w:bCs/>
        </w:rPr>
        <w:t xml:space="preserve"> (the “</w:t>
      </w:r>
      <w:r w:rsidR="00732E4D">
        <w:rPr>
          <w:rFonts w:ascii="Georgia" w:hAnsi="Georgia" w:cs="Arial"/>
          <w:bCs/>
        </w:rPr>
        <w:t>I</w:t>
      </w:r>
      <w:r w:rsidR="00930459">
        <w:rPr>
          <w:rFonts w:ascii="Georgia" w:hAnsi="Georgia" w:cs="Arial"/>
          <w:bCs/>
        </w:rPr>
        <w:t>ncurred Costs”)</w:t>
      </w:r>
      <w:r w:rsidR="00703551">
        <w:rPr>
          <w:rFonts w:ascii="Georgia" w:hAnsi="Georgia" w:cs="Arial"/>
          <w:bCs/>
        </w:rPr>
        <w:t xml:space="preserve">.  </w:t>
      </w:r>
      <w:r w:rsidR="00C9155E">
        <w:rPr>
          <w:rFonts w:ascii="Georgia" w:hAnsi="Georgia" w:cs="Arial"/>
        </w:rPr>
        <w:t>A copy of this demand was</w:t>
      </w:r>
      <w:r w:rsidR="00EA54DB" w:rsidRPr="00C9155E">
        <w:rPr>
          <w:rFonts w:ascii="Georgia" w:hAnsi="Georgia" w:cs="Arial"/>
        </w:rPr>
        <w:t xml:space="preserve"> at page 102 of the </w:t>
      </w:r>
      <w:r w:rsidR="005230E9">
        <w:rPr>
          <w:rFonts w:ascii="Georgia" w:hAnsi="Georgia" w:cs="Arial"/>
        </w:rPr>
        <w:t xml:space="preserve">Respondent’s </w:t>
      </w:r>
      <w:r w:rsidR="00EA54DB" w:rsidRPr="00C9155E">
        <w:rPr>
          <w:rFonts w:ascii="Georgia" w:hAnsi="Georgia" w:cs="Arial"/>
        </w:rPr>
        <w:t>bundle</w:t>
      </w:r>
      <w:r w:rsidR="00D6717B">
        <w:rPr>
          <w:rFonts w:ascii="Georgia" w:hAnsi="Georgia" w:cs="Arial"/>
        </w:rPr>
        <w:t>.  T</w:t>
      </w:r>
      <w:r w:rsidR="00EA54DB" w:rsidRPr="00C9155E">
        <w:rPr>
          <w:rFonts w:ascii="Georgia" w:hAnsi="Georgia" w:cs="Arial"/>
        </w:rPr>
        <w:t>he</w:t>
      </w:r>
      <w:r w:rsidR="00C41730" w:rsidRPr="00C9155E">
        <w:rPr>
          <w:rFonts w:ascii="Georgia" w:hAnsi="Georgia" w:cs="Arial"/>
        </w:rPr>
        <w:t xml:space="preserve"> Incurred Costs </w:t>
      </w:r>
      <w:r w:rsidR="00D6717B">
        <w:rPr>
          <w:rFonts w:ascii="Georgia" w:hAnsi="Georgia" w:cs="Arial"/>
        </w:rPr>
        <w:t xml:space="preserve">were described </w:t>
      </w:r>
      <w:r w:rsidR="00EA54DB" w:rsidRPr="00C9155E">
        <w:rPr>
          <w:rFonts w:ascii="Georgia" w:hAnsi="Georgia" w:cs="Arial"/>
        </w:rPr>
        <w:t>a</w:t>
      </w:r>
      <w:r w:rsidR="00C41730" w:rsidRPr="00C9155E">
        <w:rPr>
          <w:rFonts w:ascii="Georgia" w:hAnsi="Georgia" w:cs="Arial"/>
        </w:rPr>
        <w:t>s</w:t>
      </w:r>
      <w:r w:rsidR="00EA54DB" w:rsidRPr="00C9155E">
        <w:rPr>
          <w:rFonts w:ascii="Georgia" w:hAnsi="Georgia" w:cs="Arial"/>
        </w:rPr>
        <w:t>:</w:t>
      </w:r>
    </w:p>
    <w:p w14:paraId="315AD852" w14:textId="7CA66D0F" w:rsidR="00703551" w:rsidRPr="0035567F" w:rsidRDefault="00EA54DB" w:rsidP="0035567F">
      <w:pPr>
        <w:autoSpaceDE w:val="0"/>
        <w:autoSpaceDN w:val="0"/>
        <w:adjustRightInd w:val="0"/>
        <w:spacing w:after="360"/>
        <w:ind w:left="1778"/>
        <w:jc w:val="both"/>
        <w:rPr>
          <w:rFonts w:ascii="Georgia" w:hAnsi="Georgia" w:cs="Arial"/>
        </w:rPr>
      </w:pPr>
      <w:r w:rsidRPr="004663C6">
        <w:rPr>
          <w:rFonts w:ascii="Georgia" w:hAnsi="Georgia" w:cs="Arial"/>
        </w:rPr>
        <w:lastRenderedPageBreak/>
        <w:t xml:space="preserve">“TPP Management Fees for time spent dealing with your </w:t>
      </w:r>
      <w:r w:rsidR="004124B1">
        <w:rPr>
          <w:rFonts w:ascii="Georgia" w:hAnsi="Georgia" w:cs="Arial"/>
        </w:rPr>
        <w:t xml:space="preserve">[the Applicant’s] </w:t>
      </w:r>
      <w:r w:rsidRPr="004663C6">
        <w:rPr>
          <w:rFonts w:ascii="Georgia" w:hAnsi="Georgia" w:cs="Arial"/>
        </w:rPr>
        <w:t xml:space="preserve">FTT application on behalf of the Respondent, including </w:t>
      </w:r>
      <w:r w:rsidR="0093545F">
        <w:rPr>
          <w:rFonts w:ascii="Georgia" w:hAnsi="Georgia" w:cs="Arial"/>
        </w:rPr>
        <w:t xml:space="preserve">preparing </w:t>
      </w:r>
      <w:r w:rsidRPr="004663C6">
        <w:rPr>
          <w:rFonts w:ascii="Georgia" w:hAnsi="Georgia" w:cs="Arial"/>
        </w:rPr>
        <w:t xml:space="preserve">the FTT bundle and attendance at the FTT hearing to represent the Respondent.  Time charged 73.73 hours at £150 per hour </w:t>
      </w:r>
      <w:proofErr w:type="spellStart"/>
      <w:r w:rsidRPr="004663C6">
        <w:rPr>
          <w:rFonts w:ascii="Georgia" w:hAnsi="Georgia" w:cs="Arial"/>
        </w:rPr>
        <w:t>inc</w:t>
      </w:r>
      <w:proofErr w:type="spellEnd"/>
      <w:r w:rsidRPr="004663C6">
        <w:rPr>
          <w:rFonts w:ascii="Georgia" w:hAnsi="Georgia" w:cs="Arial"/>
        </w:rPr>
        <w:t xml:space="preserve"> VAT as per timesheet”.</w:t>
      </w:r>
    </w:p>
    <w:p w14:paraId="7DBAE8A4" w14:textId="3D3517A1" w:rsidR="00703551" w:rsidRPr="00FC47C0" w:rsidRDefault="00703551" w:rsidP="00FC47C0">
      <w:pPr>
        <w:autoSpaceDE w:val="0"/>
        <w:autoSpaceDN w:val="0"/>
        <w:adjustRightInd w:val="0"/>
        <w:spacing w:after="360"/>
        <w:jc w:val="both"/>
        <w:rPr>
          <w:rFonts w:ascii="Georgia" w:hAnsi="Georgia" w:cs="Arial"/>
          <w:b/>
        </w:rPr>
      </w:pPr>
      <w:r w:rsidRPr="00703551">
        <w:rPr>
          <w:rFonts w:ascii="Georgia" w:hAnsi="Georgia" w:cs="Arial"/>
          <w:b/>
        </w:rPr>
        <w:t>The Hearing</w:t>
      </w:r>
    </w:p>
    <w:p w14:paraId="3D44A003" w14:textId="75CDD9AF" w:rsidR="00146571" w:rsidRDefault="00146571" w:rsidP="00146571">
      <w:pPr>
        <w:numPr>
          <w:ilvl w:val="0"/>
          <w:numId w:val="8"/>
        </w:numPr>
        <w:tabs>
          <w:tab w:val="num" w:pos="709"/>
        </w:tabs>
        <w:autoSpaceDE w:val="0"/>
        <w:autoSpaceDN w:val="0"/>
        <w:adjustRightInd w:val="0"/>
        <w:spacing w:after="360"/>
        <w:ind w:left="709" w:hanging="709"/>
        <w:jc w:val="both"/>
        <w:rPr>
          <w:rFonts w:ascii="Georgia" w:hAnsi="Georgia" w:cs="Arial"/>
        </w:rPr>
      </w:pPr>
      <w:r w:rsidRPr="007548FA">
        <w:rPr>
          <w:rFonts w:ascii="Georgia" w:hAnsi="Georgia" w:cs="Arial"/>
        </w:rPr>
        <w:t>The Applicant appeared in person</w:t>
      </w:r>
      <w:r>
        <w:rPr>
          <w:rFonts w:ascii="Georgia" w:hAnsi="Georgia" w:cs="Arial"/>
        </w:rPr>
        <w:t xml:space="preserve"> </w:t>
      </w:r>
      <w:r w:rsidRPr="007548FA">
        <w:rPr>
          <w:rFonts w:ascii="Georgia" w:hAnsi="Georgia" w:cs="Arial"/>
        </w:rPr>
        <w:t>at the hearing</w:t>
      </w:r>
      <w:r w:rsidR="00FC47C0">
        <w:rPr>
          <w:rFonts w:ascii="Georgia" w:hAnsi="Georgia" w:cs="Arial"/>
        </w:rPr>
        <w:t xml:space="preserve">. </w:t>
      </w:r>
      <w:r w:rsidRPr="007548FA">
        <w:rPr>
          <w:rFonts w:ascii="Georgia" w:hAnsi="Georgia" w:cs="Arial"/>
        </w:rPr>
        <w:t xml:space="preserve"> </w:t>
      </w:r>
      <w:r w:rsidR="00513728">
        <w:rPr>
          <w:rFonts w:ascii="Georgia" w:hAnsi="Georgia" w:cs="Arial"/>
        </w:rPr>
        <w:t>Gwyneth Everson, Counsel</w:t>
      </w:r>
      <w:r w:rsidR="007642BF">
        <w:rPr>
          <w:rFonts w:ascii="Georgia" w:hAnsi="Georgia" w:cs="Arial"/>
        </w:rPr>
        <w:t>,</w:t>
      </w:r>
      <w:r w:rsidR="00513728">
        <w:rPr>
          <w:rFonts w:ascii="Georgia" w:hAnsi="Georgia" w:cs="Arial"/>
        </w:rPr>
        <w:t xml:space="preserve"> appeared on behalf of the Respondent</w:t>
      </w:r>
      <w:r w:rsidR="00A76B84">
        <w:rPr>
          <w:rFonts w:ascii="Georgia" w:hAnsi="Georgia" w:cs="Arial"/>
        </w:rPr>
        <w:t xml:space="preserve">, </w:t>
      </w:r>
      <w:r w:rsidR="00513728">
        <w:rPr>
          <w:rFonts w:ascii="Georgia" w:hAnsi="Georgia" w:cs="Arial"/>
        </w:rPr>
        <w:t xml:space="preserve">instructed by </w:t>
      </w:r>
      <w:r w:rsidR="00D762D4">
        <w:rPr>
          <w:rFonts w:ascii="Georgia" w:hAnsi="Georgia" w:cs="Arial"/>
        </w:rPr>
        <w:t xml:space="preserve">Trent Park.  </w:t>
      </w:r>
      <w:r w:rsidR="002F7084">
        <w:rPr>
          <w:rFonts w:ascii="Georgia" w:hAnsi="Georgia" w:cs="Arial"/>
        </w:rPr>
        <w:t xml:space="preserve">Elliot </w:t>
      </w:r>
      <w:r w:rsidR="00A815EF">
        <w:rPr>
          <w:rFonts w:ascii="Georgia" w:hAnsi="Georgia" w:cs="Arial"/>
        </w:rPr>
        <w:t>Esterson</w:t>
      </w:r>
      <w:r w:rsidR="00670E4A">
        <w:rPr>
          <w:rFonts w:ascii="Georgia" w:hAnsi="Georgia" w:cs="Arial"/>
        </w:rPr>
        <w:t xml:space="preserve">, Senior Partner </w:t>
      </w:r>
      <w:r w:rsidR="00A815EF">
        <w:rPr>
          <w:rFonts w:ascii="Georgia" w:hAnsi="Georgia" w:cs="Arial"/>
        </w:rPr>
        <w:t xml:space="preserve">of </w:t>
      </w:r>
      <w:r w:rsidR="00513728">
        <w:rPr>
          <w:rFonts w:ascii="Georgia" w:hAnsi="Georgia" w:cs="Arial"/>
        </w:rPr>
        <w:t>Trent Park</w:t>
      </w:r>
      <w:r w:rsidR="00A815EF">
        <w:rPr>
          <w:rFonts w:ascii="Georgia" w:hAnsi="Georgia" w:cs="Arial"/>
        </w:rPr>
        <w:t>, also attended</w:t>
      </w:r>
      <w:r w:rsidR="00310252">
        <w:rPr>
          <w:rFonts w:ascii="Georgia" w:hAnsi="Georgia" w:cs="Arial"/>
        </w:rPr>
        <w:t xml:space="preserve"> to give evidence</w:t>
      </w:r>
      <w:r w:rsidR="00A815EF">
        <w:rPr>
          <w:rFonts w:ascii="Georgia" w:hAnsi="Georgia" w:cs="Arial"/>
        </w:rPr>
        <w:t xml:space="preserve">.  </w:t>
      </w:r>
      <w:r w:rsidR="00FB49A7">
        <w:rPr>
          <w:rFonts w:ascii="Georgia" w:hAnsi="Georgia" w:cs="Arial"/>
        </w:rPr>
        <w:t>Angela K</w:t>
      </w:r>
      <w:r w:rsidR="00CB45E3">
        <w:rPr>
          <w:rFonts w:ascii="Georgia" w:hAnsi="Georgia" w:cs="Arial"/>
        </w:rPr>
        <w:t>a</w:t>
      </w:r>
      <w:r w:rsidR="00FB49A7">
        <w:rPr>
          <w:rFonts w:ascii="Georgia" w:hAnsi="Georgia" w:cs="Arial"/>
        </w:rPr>
        <w:t>p</w:t>
      </w:r>
      <w:r w:rsidR="001938CB">
        <w:rPr>
          <w:rFonts w:ascii="Georgia" w:hAnsi="Georgia" w:cs="Arial"/>
        </w:rPr>
        <w:t>u</w:t>
      </w:r>
      <w:r w:rsidR="00FB49A7">
        <w:rPr>
          <w:rFonts w:ascii="Georgia" w:hAnsi="Georgia" w:cs="Arial"/>
        </w:rPr>
        <w:t>sta</w:t>
      </w:r>
      <w:r w:rsidR="006008C9">
        <w:rPr>
          <w:rFonts w:ascii="Georgia" w:hAnsi="Georgia" w:cs="Arial"/>
        </w:rPr>
        <w:t>, sole director of the Respondent,</w:t>
      </w:r>
      <w:r w:rsidR="00D762D4">
        <w:rPr>
          <w:rFonts w:ascii="Georgia" w:hAnsi="Georgia" w:cs="Arial"/>
        </w:rPr>
        <w:t xml:space="preserve"> was also present</w:t>
      </w:r>
      <w:r w:rsidR="00310252">
        <w:rPr>
          <w:rFonts w:ascii="Georgia" w:hAnsi="Georgia" w:cs="Arial"/>
        </w:rPr>
        <w:t>.</w:t>
      </w:r>
    </w:p>
    <w:p w14:paraId="0CBB5FBF" w14:textId="61E7829C" w:rsidR="00146571" w:rsidRDefault="00AC1F0F" w:rsidP="0014657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w:t>
      </w:r>
      <w:r w:rsidR="00146571">
        <w:rPr>
          <w:rFonts w:ascii="Georgia" w:hAnsi="Georgia" w:cs="Arial"/>
        </w:rPr>
        <w:t xml:space="preserve">he </w:t>
      </w:r>
      <w:r w:rsidR="00310252">
        <w:rPr>
          <w:rFonts w:ascii="Georgia" w:hAnsi="Georgia" w:cs="Arial"/>
        </w:rPr>
        <w:t>Applicant</w:t>
      </w:r>
      <w:r w:rsidR="00146571">
        <w:rPr>
          <w:rFonts w:ascii="Georgia" w:hAnsi="Georgia" w:cs="Arial"/>
        </w:rPr>
        <w:t xml:space="preserve"> </w:t>
      </w:r>
      <w:r w:rsidR="009262F1">
        <w:rPr>
          <w:rFonts w:ascii="Georgia" w:hAnsi="Georgia" w:cs="Arial"/>
        </w:rPr>
        <w:t xml:space="preserve">had </w:t>
      </w:r>
      <w:r w:rsidR="00146571">
        <w:rPr>
          <w:rFonts w:ascii="Georgia" w:hAnsi="Georgia" w:cs="Arial"/>
        </w:rPr>
        <w:t xml:space="preserve">prepared </w:t>
      </w:r>
      <w:r w:rsidR="002D6816">
        <w:rPr>
          <w:rFonts w:ascii="Georgia" w:hAnsi="Georgia" w:cs="Arial"/>
        </w:rPr>
        <w:t>two</w:t>
      </w:r>
      <w:r w:rsidR="00146571">
        <w:rPr>
          <w:rFonts w:ascii="Georgia" w:hAnsi="Georgia" w:cs="Arial"/>
        </w:rPr>
        <w:t xml:space="preserve"> bundle</w:t>
      </w:r>
      <w:r w:rsidR="00142447">
        <w:rPr>
          <w:rFonts w:ascii="Georgia" w:hAnsi="Georgia" w:cs="Arial"/>
        </w:rPr>
        <w:t>s</w:t>
      </w:r>
      <w:r w:rsidR="00146571">
        <w:rPr>
          <w:rFonts w:ascii="Georgia" w:hAnsi="Georgia" w:cs="Arial"/>
        </w:rPr>
        <w:t xml:space="preserve"> of documents </w:t>
      </w:r>
      <w:r w:rsidR="002D6816">
        <w:rPr>
          <w:rFonts w:ascii="Georgia" w:hAnsi="Georgia" w:cs="Arial"/>
        </w:rPr>
        <w:t>labelled “Bundle</w:t>
      </w:r>
      <w:r w:rsidR="00FE68EE">
        <w:rPr>
          <w:rFonts w:ascii="Georgia" w:hAnsi="Georgia" w:cs="Arial"/>
        </w:rPr>
        <w:t xml:space="preserve"> </w:t>
      </w:r>
      <w:r w:rsidR="002D6816">
        <w:rPr>
          <w:rFonts w:ascii="Georgia" w:hAnsi="Georgia" w:cs="Arial"/>
        </w:rPr>
        <w:t>1” and “Bundle 2”</w:t>
      </w:r>
      <w:r w:rsidR="00142447">
        <w:rPr>
          <w:rFonts w:ascii="Georgia" w:hAnsi="Georgia" w:cs="Arial"/>
        </w:rPr>
        <w:t xml:space="preserve">.  </w:t>
      </w:r>
      <w:r w:rsidR="00537DD5">
        <w:rPr>
          <w:rFonts w:ascii="Georgia" w:hAnsi="Georgia" w:cs="Arial"/>
        </w:rPr>
        <w:t>The Respondent</w:t>
      </w:r>
      <w:r w:rsidR="00192EB3">
        <w:rPr>
          <w:rFonts w:ascii="Georgia" w:hAnsi="Georgia" w:cs="Arial"/>
        </w:rPr>
        <w:t xml:space="preserve"> </w:t>
      </w:r>
      <w:r w:rsidR="00D96C90">
        <w:rPr>
          <w:rFonts w:ascii="Georgia" w:hAnsi="Georgia" w:cs="Arial"/>
        </w:rPr>
        <w:t xml:space="preserve">had </w:t>
      </w:r>
      <w:r w:rsidR="00192EB3">
        <w:rPr>
          <w:rFonts w:ascii="Georgia" w:hAnsi="Georgia" w:cs="Arial"/>
        </w:rPr>
        <w:t>produced a composite hearing bundle</w:t>
      </w:r>
      <w:r w:rsidR="00142447">
        <w:rPr>
          <w:rFonts w:ascii="Georgia" w:hAnsi="Georgia" w:cs="Arial"/>
        </w:rPr>
        <w:t xml:space="preserve"> which contained the documents that the Applicant had included in his bundles</w:t>
      </w:r>
      <w:r w:rsidR="00C70D99">
        <w:rPr>
          <w:rFonts w:ascii="Georgia" w:hAnsi="Georgia" w:cs="Arial"/>
        </w:rPr>
        <w:t>,</w:t>
      </w:r>
      <w:r w:rsidR="00192EB3">
        <w:rPr>
          <w:rFonts w:ascii="Georgia" w:hAnsi="Georgia" w:cs="Arial"/>
        </w:rPr>
        <w:t xml:space="preserve"> </w:t>
      </w:r>
      <w:proofErr w:type="gramStart"/>
      <w:r w:rsidR="00192EB3">
        <w:rPr>
          <w:rFonts w:ascii="Georgia" w:hAnsi="Georgia" w:cs="Arial"/>
        </w:rPr>
        <w:t xml:space="preserve">and </w:t>
      </w:r>
      <w:r w:rsidR="00C70D99">
        <w:rPr>
          <w:rFonts w:ascii="Georgia" w:hAnsi="Georgia" w:cs="Arial"/>
        </w:rPr>
        <w:t>also</w:t>
      </w:r>
      <w:proofErr w:type="gramEnd"/>
      <w:r w:rsidR="00C70D99">
        <w:rPr>
          <w:rFonts w:ascii="Georgia" w:hAnsi="Georgia" w:cs="Arial"/>
        </w:rPr>
        <w:t xml:space="preserve"> included</w:t>
      </w:r>
      <w:r w:rsidR="00192EB3">
        <w:rPr>
          <w:rFonts w:ascii="Georgia" w:hAnsi="Georgia" w:cs="Arial"/>
        </w:rPr>
        <w:t xml:space="preserve"> </w:t>
      </w:r>
      <w:r w:rsidR="00F43130">
        <w:rPr>
          <w:rFonts w:ascii="Georgia" w:hAnsi="Georgia" w:cs="Arial"/>
        </w:rPr>
        <w:t xml:space="preserve">the Tribunal’s </w:t>
      </w:r>
      <w:r w:rsidR="00FE68EE">
        <w:rPr>
          <w:rFonts w:ascii="Georgia" w:hAnsi="Georgia" w:cs="Arial"/>
        </w:rPr>
        <w:t>Directions</w:t>
      </w:r>
      <w:r w:rsidR="00B90FF3">
        <w:rPr>
          <w:rFonts w:ascii="Georgia" w:hAnsi="Georgia" w:cs="Arial"/>
        </w:rPr>
        <w:t xml:space="preserve">, </w:t>
      </w:r>
      <w:r w:rsidR="00C70D99">
        <w:rPr>
          <w:rFonts w:ascii="Georgia" w:hAnsi="Georgia" w:cs="Arial"/>
        </w:rPr>
        <w:t xml:space="preserve">Trent Park’s </w:t>
      </w:r>
      <w:r w:rsidR="00F43130">
        <w:rPr>
          <w:rFonts w:ascii="Georgia" w:hAnsi="Georgia" w:cs="Arial"/>
        </w:rPr>
        <w:t xml:space="preserve">Management </w:t>
      </w:r>
      <w:r w:rsidR="00FE68EE">
        <w:rPr>
          <w:rFonts w:ascii="Georgia" w:hAnsi="Georgia" w:cs="Arial"/>
        </w:rPr>
        <w:t>Agreement</w:t>
      </w:r>
      <w:r w:rsidR="00C70D99">
        <w:rPr>
          <w:rFonts w:ascii="Georgia" w:hAnsi="Georgia" w:cs="Arial"/>
        </w:rPr>
        <w:t xml:space="preserve"> with the Respondent</w:t>
      </w:r>
      <w:r w:rsidR="00F43130">
        <w:rPr>
          <w:rFonts w:ascii="Georgia" w:hAnsi="Georgia" w:cs="Arial"/>
        </w:rPr>
        <w:t xml:space="preserve"> and a complete copy of the decision of the Tribunal in the First Applica</w:t>
      </w:r>
      <w:r w:rsidR="00350E6A">
        <w:rPr>
          <w:rFonts w:ascii="Georgia" w:hAnsi="Georgia" w:cs="Arial"/>
        </w:rPr>
        <w:t>tion</w:t>
      </w:r>
      <w:r w:rsidR="00F43130">
        <w:rPr>
          <w:rFonts w:ascii="Georgia" w:hAnsi="Georgia" w:cs="Arial"/>
        </w:rPr>
        <w:t xml:space="preserve">.  </w:t>
      </w:r>
      <w:r w:rsidR="00537DD5">
        <w:rPr>
          <w:rFonts w:ascii="Georgia" w:hAnsi="Georgia" w:cs="Arial"/>
        </w:rPr>
        <w:t xml:space="preserve"> </w:t>
      </w:r>
      <w:r w:rsidR="00FE68EE">
        <w:rPr>
          <w:rFonts w:ascii="Georgia" w:hAnsi="Georgia" w:cs="Arial"/>
        </w:rPr>
        <w:t>Th</w:t>
      </w:r>
      <w:r w:rsidR="00471548">
        <w:rPr>
          <w:rFonts w:ascii="Georgia" w:hAnsi="Georgia" w:cs="Arial"/>
        </w:rPr>
        <w:t>ere was no dispute as to the documents before the Tribunal and therefore</w:t>
      </w:r>
      <w:r w:rsidR="005230E9">
        <w:rPr>
          <w:rFonts w:ascii="Georgia" w:hAnsi="Georgia" w:cs="Arial"/>
        </w:rPr>
        <w:t>,</w:t>
      </w:r>
      <w:r w:rsidR="00471548">
        <w:rPr>
          <w:rFonts w:ascii="Georgia" w:hAnsi="Georgia" w:cs="Arial"/>
        </w:rPr>
        <w:t xml:space="preserve"> for ease of reference, the Tribunal used the Respondent’s bundle as this was paginated and indexed.  Counsel for the Respondent had also produced a skeleton argument and a bundle of authorities</w:t>
      </w:r>
      <w:r w:rsidR="005230E9">
        <w:rPr>
          <w:rFonts w:ascii="Georgia" w:hAnsi="Georgia" w:cs="Arial"/>
        </w:rPr>
        <w:t>.</w:t>
      </w:r>
    </w:p>
    <w:p w14:paraId="0B54CEE6" w14:textId="76670D73" w:rsidR="00146571" w:rsidRDefault="00146571" w:rsidP="00471548">
      <w:pPr>
        <w:numPr>
          <w:ilvl w:val="0"/>
          <w:numId w:val="8"/>
        </w:numPr>
        <w:tabs>
          <w:tab w:val="num" w:pos="709"/>
        </w:tabs>
        <w:autoSpaceDE w:val="0"/>
        <w:autoSpaceDN w:val="0"/>
        <w:adjustRightInd w:val="0"/>
        <w:spacing w:after="360"/>
        <w:ind w:left="709" w:hanging="709"/>
        <w:jc w:val="both"/>
        <w:rPr>
          <w:rFonts w:ascii="Georgia" w:hAnsi="Georgia" w:cs="Arial"/>
        </w:rPr>
      </w:pPr>
      <w:r w:rsidRPr="00471548">
        <w:rPr>
          <w:rFonts w:ascii="Georgia" w:hAnsi="Georgia" w:cs="Arial"/>
        </w:rPr>
        <w:t xml:space="preserve">Neither party requested an inspection and the Tribunal did not consider that one was necessary, nor would it have been </w:t>
      </w:r>
      <w:proofErr w:type="gramStart"/>
      <w:r w:rsidRPr="00471548">
        <w:rPr>
          <w:rFonts w:ascii="Georgia" w:hAnsi="Georgia" w:cs="Arial"/>
        </w:rPr>
        <w:t>proportionate</w:t>
      </w:r>
      <w:proofErr w:type="gramEnd"/>
      <w:r w:rsidRPr="00471548">
        <w:rPr>
          <w:rFonts w:ascii="Georgia" w:hAnsi="Georgia" w:cs="Arial"/>
        </w:rPr>
        <w:t xml:space="preserve"> to the issues in dispute.  </w:t>
      </w:r>
    </w:p>
    <w:p w14:paraId="6F5975D7" w14:textId="410BB0DA" w:rsidR="00AA5511" w:rsidRPr="00AA5511" w:rsidRDefault="00AA5511" w:rsidP="00AA5511">
      <w:pPr>
        <w:autoSpaceDE w:val="0"/>
        <w:autoSpaceDN w:val="0"/>
        <w:adjustRightInd w:val="0"/>
        <w:spacing w:after="360"/>
        <w:jc w:val="both"/>
        <w:rPr>
          <w:rFonts w:ascii="Georgia" w:hAnsi="Georgia" w:cs="Arial"/>
          <w:b/>
          <w:bCs/>
        </w:rPr>
      </w:pPr>
      <w:r w:rsidRPr="00AA5511">
        <w:rPr>
          <w:rFonts w:ascii="Georgia" w:hAnsi="Georgia" w:cs="Arial"/>
          <w:b/>
          <w:bCs/>
        </w:rPr>
        <w:t>Issues in Dispute</w:t>
      </w:r>
    </w:p>
    <w:p w14:paraId="26A7471B" w14:textId="77777777" w:rsidR="003A7AE6" w:rsidRPr="003A7AE6" w:rsidRDefault="00AA5511" w:rsidP="00AA5511">
      <w:pPr>
        <w:numPr>
          <w:ilvl w:val="0"/>
          <w:numId w:val="8"/>
        </w:numPr>
        <w:tabs>
          <w:tab w:val="num" w:pos="709"/>
        </w:tabs>
        <w:autoSpaceDE w:val="0"/>
        <w:autoSpaceDN w:val="0"/>
        <w:adjustRightInd w:val="0"/>
        <w:spacing w:after="360"/>
        <w:ind w:left="709" w:hanging="709"/>
        <w:jc w:val="both"/>
        <w:rPr>
          <w:rFonts w:ascii="Georgia" w:hAnsi="Georgia" w:cs="Arial"/>
          <w:b/>
          <w:bCs/>
        </w:rPr>
      </w:pPr>
      <w:r w:rsidRPr="00997E59">
        <w:rPr>
          <w:rFonts w:ascii="Georgia" w:hAnsi="Georgia" w:cs="Arial"/>
        </w:rPr>
        <w:t>The issue</w:t>
      </w:r>
      <w:r w:rsidR="00EE149A">
        <w:rPr>
          <w:rFonts w:ascii="Georgia" w:hAnsi="Georgia" w:cs="Arial"/>
        </w:rPr>
        <w:t>s</w:t>
      </w:r>
      <w:r w:rsidRPr="00997E59">
        <w:rPr>
          <w:rFonts w:ascii="Georgia" w:hAnsi="Georgia" w:cs="Arial"/>
        </w:rPr>
        <w:t xml:space="preserve"> </w:t>
      </w:r>
      <w:r w:rsidR="009A0854">
        <w:rPr>
          <w:rFonts w:ascii="Georgia" w:hAnsi="Georgia" w:cs="Arial"/>
        </w:rPr>
        <w:t>be</w:t>
      </w:r>
      <w:r w:rsidRPr="00997E59">
        <w:rPr>
          <w:rFonts w:ascii="Georgia" w:hAnsi="Georgia" w:cs="Arial"/>
        </w:rPr>
        <w:t>for</w:t>
      </w:r>
      <w:r w:rsidR="009A0854">
        <w:rPr>
          <w:rFonts w:ascii="Georgia" w:hAnsi="Georgia" w:cs="Arial"/>
        </w:rPr>
        <w:t>e</w:t>
      </w:r>
      <w:r w:rsidRPr="00997E59">
        <w:rPr>
          <w:rFonts w:ascii="Georgia" w:hAnsi="Georgia" w:cs="Arial"/>
        </w:rPr>
        <w:t xml:space="preserve"> the Tribunal </w:t>
      </w:r>
      <w:r w:rsidR="00350E6A">
        <w:rPr>
          <w:rFonts w:ascii="Georgia" w:hAnsi="Georgia" w:cs="Arial"/>
        </w:rPr>
        <w:t>w</w:t>
      </w:r>
      <w:r w:rsidR="009A0854">
        <w:rPr>
          <w:rFonts w:ascii="Georgia" w:hAnsi="Georgia" w:cs="Arial"/>
        </w:rPr>
        <w:t>ere</w:t>
      </w:r>
      <w:r w:rsidRPr="00997E59">
        <w:rPr>
          <w:rFonts w:ascii="Georgia" w:hAnsi="Georgia" w:cs="Arial"/>
        </w:rPr>
        <w:t xml:space="preserve"> </w:t>
      </w:r>
      <w:r w:rsidR="00744D0F" w:rsidRPr="00997E59">
        <w:rPr>
          <w:rFonts w:ascii="Georgia" w:hAnsi="Georgia" w:cs="Arial"/>
        </w:rPr>
        <w:t>whether the Incurred Costs</w:t>
      </w:r>
      <w:r w:rsidR="00353323" w:rsidRPr="00997E59">
        <w:rPr>
          <w:rFonts w:ascii="Georgia" w:hAnsi="Georgia" w:cs="Arial"/>
        </w:rPr>
        <w:t xml:space="preserve"> </w:t>
      </w:r>
      <w:r w:rsidR="003A7AE6">
        <w:rPr>
          <w:rFonts w:ascii="Georgia" w:hAnsi="Georgia" w:cs="Arial"/>
        </w:rPr>
        <w:t>are recoverable under two provisions of the Lease:</w:t>
      </w:r>
    </w:p>
    <w:p w14:paraId="3872BF84" w14:textId="6B4E60D1" w:rsidR="00997E59" w:rsidRPr="00FF60CC" w:rsidRDefault="00033640" w:rsidP="003A7AE6">
      <w:pPr>
        <w:numPr>
          <w:ilvl w:val="1"/>
          <w:numId w:val="8"/>
        </w:numPr>
        <w:autoSpaceDE w:val="0"/>
        <w:autoSpaceDN w:val="0"/>
        <w:adjustRightInd w:val="0"/>
        <w:spacing w:after="360"/>
        <w:jc w:val="both"/>
        <w:rPr>
          <w:rFonts w:ascii="Georgia" w:hAnsi="Georgia" w:cs="Arial"/>
          <w:b/>
          <w:bCs/>
        </w:rPr>
      </w:pPr>
      <w:r>
        <w:rPr>
          <w:rFonts w:ascii="Georgia" w:hAnsi="Georgia" w:cs="Arial"/>
        </w:rPr>
        <w:t>The entire sum is recoverable from the Applicant as an administration charge under clause 3(xvi) of the Lease</w:t>
      </w:r>
      <w:r w:rsidR="00FF60CC">
        <w:rPr>
          <w:rFonts w:ascii="Georgia" w:hAnsi="Georgia" w:cs="Arial"/>
        </w:rPr>
        <w:t>.</w:t>
      </w:r>
    </w:p>
    <w:p w14:paraId="5EFD0076" w14:textId="38E51894" w:rsidR="00FF60CC" w:rsidRPr="00FF60CC" w:rsidRDefault="00FF60CC" w:rsidP="003A7AE6">
      <w:pPr>
        <w:numPr>
          <w:ilvl w:val="1"/>
          <w:numId w:val="8"/>
        </w:numPr>
        <w:autoSpaceDE w:val="0"/>
        <w:autoSpaceDN w:val="0"/>
        <w:adjustRightInd w:val="0"/>
        <w:spacing w:after="360"/>
        <w:jc w:val="both"/>
        <w:rPr>
          <w:rFonts w:ascii="Georgia" w:hAnsi="Georgia" w:cs="Arial"/>
        </w:rPr>
      </w:pPr>
      <w:r w:rsidRPr="00FF60CC">
        <w:rPr>
          <w:rFonts w:ascii="Georgia" w:hAnsi="Georgia" w:cs="Arial"/>
        </w:rPr>
        <w:t>Further, or alternatively, the Incurred Costs are recoverable from all the leaseholders by way of service charge under paragraph 13 of the Seventh Schedule to the Lease</w:t>
      </w:r>
      <w:r>
        <w:rPr>
          <w:rFonts w:ascii="Georgia" w:hAnsi="Georgia" w:cs="Arial"/>
        </w:rPr>
        <w:t>.</w:t>
      </w:r>
    </w:p>
    <w:p w14:paraId="09660F73" w14:textId="6BF1DB30" w:rsidR="00AA5511" w:rsidRPr="00997E59" w:rsidRDefault="00AA5511" w:rsidP="00997E59">
      <w:pPr>
        <w:autoSpaceDE w:val="0"/>
        <w:autoSpaceDN w:val="0"/>
        <w:adjustRightInd w:val="0"/>
        <w:spacing w:after="360"/>
        <w:jc w:val="both"/>
        <w:rPr>
          <w:rFonts w:ascii="Georgia" w:hAnsi="Georgia" w:cs="Arial"/>
          <w:b/>
          <w:bCs/>
        </w:rPr>
      </w:pPr>
      <w:r w:rsidRPr="00997E59">
        <w:rPr>
          <w:rFonts w:ascii="Georgia" w:hAnsi="Georgia" w:cs="Arial"/>
          <w:b/>
          <w:bCs/>
        </w:rPr>
        <w:t>The Lease</w:t>
      </w:r>
    </w:p>
    <w:p w14:paraId="2E0CB84B" w14:textId="4BB6CF34" w:rsidR="00D22E91" w:rsidRDefault="00997E59" w:rsidP="00997E5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The Respondent relied on two clauses within the Lease</w:t>
      </w:r>
      <w:r w:rsidR="00BA702A">
        <w:rPr>
          <w:rFonts w:ascii="Georgia" w:hAnsi="Georgia" w:cs="Arial"/>
        </w:rPr>
        <w:t>,</w:t>
      </w:r>
      <w:r>
        <w:rPr>
          <w:rFonts w:ascii="Georgia" w:hAnsi="Georgia" w:cs="Arial"/>
        </w:rPr>
        <w:t xml:space="preserve"> namely</w:t>
      </w:r>
      <w:r w:rsidR="00853276">
        <w:rPr>
          <w:rFonts w:ascii="Georgia" w:hAnsi="Georgia" w:cs="Arial"/>
        </w:rPr>
        <w:t xml:space="preserve"> Clause 3(xvi)</w:t>
      </w:r>
      <w:r w:rsidR="00DB117E">
        <w:rPr>
          <w:rFonts w:ascii="Georgia" w:hAnsi="Georgia" w:cs="Arial"/>
        </w:rPr>
        <w:t xml:space="preserve">, </w:t>
      </w:r>
      <w:r w:rsidR="007D7F8A">
        <w:rPr>
          <w:rFonts w:ascii="Georgia" w:hAnsi="Georgia" w:cs="Arial"/>
        </w:rPr>
        <w:t xml:space="preserve">and </w:t>
      </w:r>
      <w:r w:rsidR="00875AED">
        <w:rPr>
          <w:rFonts w:ascii="Georgia" w:hAnsi="Georgia" w:cs="Arial"/>
        </w:rPr>
        <w:t>Paragraph 13 of the Seventh Schedule</w:t>
      </w:r>
      <w:r w:rsidR="00D22E91">
        <w:rPr>
          <w:rFonts w:ascii="Georgia" w:hAnsi="Georgia" w:cs="Arial"/>
        </w:rPr>
        <w:t>.</w:t>
      </w:r>
    </w:p>
    <w:p w14:paraId="0CF7DB6F" w14:textId="0F23404D" w:rsidR="00997E59" w:rsidRDefault="00D22E91" w:rsidP="00997E5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lastRenderedPageBreak/>
        <w:t>Clause 3(xvi)</w:t>
      </w:r>
      <w:r w:rsidR="00875AED">
        <w:rPr>
          <w:rFonts w:ascii="Georgia" w:hAnsi="Georgia" w:cs="Arial"/>
        </w:rPr>
        <w:t xml:space="preserve"> </w:t>
      </w:r>
      <w:r w:rsidR="00DB117E">
        <w:rPr>
          <w:rFonts w:ascii="Georgia" w:hAnsi="Georgia" w:cs="Arial"/>
        </w:rPr>
        <w:t>oblige</w:t>
      </w:r>
      <w:r w:rsidR="002162D9">
        <w:rPr>
          <w:rFonts w:ascii="Georgia" w:hAnsi="Georgia" w:cs="Arial"/>
        </w:rPr>
        <w:t>d</w:t>
      </w:r>
      <w:r w:rsidR="00DB117E">
        <w:rPr>
          <w:rFonts w:ascii="Georgia" w:hAnsi="Georgia" w:cs="Arial"/>
        </w:rPr>
        <w:t xml:space="preserve"> the Applicant:</w:t>
      </w:r>
    </w:p>
    <w:p w14:paraId="34D5CEAA" w14:textId="5ABF3214" w:rsidR="00AA5511" w:rsidRPr="00F421B1" w:rsidRDefault="00DB117E" w:rsidP="002613B7">
      <w:pPr>
        <w:pStyle w:val="ListParagraph"/>
        <w:autoSpaceDE w:val="0"/>
        <w:autoSpaceDN w:val="0"/>
        <w:adjustRightInd w:val="0"/>
        <w:spacing w:after="360"/>
        <w:ind w:left="1778" w:right="515"/>
        <w:jc w:val="both"/>
        <w:rPr>
          <w:rFonts w:ascii="Georgia" w:hAnsi="Georgia" w:cs="Arial"/>
          <w:bCs/>
        </w:rPr>
      </w:pPr>
      <w:r w:rsidRPr="00DB117E">
        <w:rPr>
          <w:rFonts w:ascii="Georgia" w:hAnsi="Georgia" w:cs="Arial"/>
          <w:bCs/>
          <w:i/>
          <w:iCs/>
        </w:rPr>
        <w:t>“</w:t>
      </w:r>
      <w:r w:rsidRPr="00F421B1">
        <w:rPr>
          <w:rFonts w:ascii="Georgia" w:hAnsi="Georgia" w:cs="Arial"/>
          <w:bCs/>
        </w:rPr>
        <w:t>To pay all costs and expenses (including Solicitors’ costs and Surveyors’ fees) incurred by the Landlord for the purpose of or incidental to the preparation and service of any notice under Section 146 or Section 147 of the Law of Property Act 1925 notwithstanding that forfeiture may be avoided otherwise than by relief granted by the Court”</w:t>
      </w:r>
      <w:r w:rsidR="006B4B38">
        <w:rPr>
          <w:rFonts w:ascii="Georgia" w:hAnsi="Georgia" w:cs="Arial"/>
          <w:bCs/>
        </w:rPr>
        <w:t>.</w:t>
      </w:r>
    </w:p>
    <w:p w14:paraId="09174891" w14:textId="47750BBC" w:rsidR="00997E59" w:rsidRDefault="009F5273" w:rsidP="00471548">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Paragraph</w:t>
      </w:r>
      <w:r w:rsidR="00DB117E">
        <w:rPr>
          <w:rFonts w:ascii="Georgia" w:hAnsi="Georgia" w:cs="Arial"/>
        </w:rPr>
        <w:t xml:space="preserve"> 13 of the Seventh Schedule </w:t>
      </w:r>
      <w:r w:rsidR="00F44FFF">
        <w:rPr>
          <w:rFonts w:ascii="Georgia" w:hAnsi="Georgia" w:cs="Arial"/>
        </w:rPr>
        <w:t xml:space="preserve">set out the costs and expenses payable to the landlord to which the </w:t>
      </w:r>
      <w:r w:rsidR="005C53B8">
        <w:rPr>
          <w:rFonts w:ascii="Georgia" w:hAnsi="Georgia" w:cs="Arial"/>
        </w:rPr>
        <w:t>tenant</w:t>
      </w:r>
      <w:r w:rsidR="00F44FFF">
        <w:rPr>
          <w:rFonts w:ascii="Georgia" w:hAnsi="Georgia" w:cs="Arial"/>
        </w:rPr>
        <w:t xml:space="preserve"> </w:t>
      </w:r>
      <w:r w:rsidR="00A822F4">
        <w:rPr>
          <w:rFonts w:ascii="Georgia" w:hAnsi="Georgia" w:cs="Arial"/>
        </w:rPr>
        <w:t>wa</w:t>
      </w:r>
      <w:r w:rsidR="00F44FFF">
        <w:rPr>
          <w:rFonts w:ascii="Georgia" w:hAnsi="Georgia" w:cs="Arial"/>
        </w:rPr>
        <w:t xml:space="preserve">s to </w:t>
      </w:r>
      <w:r w:rsidR="005C53B8">
        <w:rPr>
          <w:rFonts w:ascii="Georgia" w:hAnsi="Georgia" w:cs="Arial"/>
        </w:rPr>
        <w:t>contribute</w:t>
      </w:r>
      <w:r w:rsidR="00F44FFF">
        <w:rPr>
          <w:rFonts w:ascii="Georgia" w:hAnsi="Georgia" w:cs="Arial"/>
        </w:rPr>
        <w:t xml:space="preserve"> by way of service </w:t>
      </w:r>
      <w:r w:rsidR="005C53B8">
        <w:rPr>
          <w:rFonts w:ascii="Georgia" w:hAnsi="Georgia" w:cs="Arial"/>
        </w:rPr>
        <w:t>charge.  Paragraph 13 state</w:t>
      </w:r>
      <w:r w:rsidR="00C06841">
        <w:rPr>
          <w:rFonts w:ascii="Georgia" w:hAnsi="Georgia" w:cs="Arial"/>
        </w:rPr>
        <w:t>d</w:t>
      </w:r>
      <w:r w:rsidR="005C53B8">
        <w:rPr>
          <w:rFonts w:ascii="Georgia" w:hAnsi="Georgia" w:cs="Arial"/>
        </w:rPr>
        <w:t>:</w:t>
      </w:r>
    </w:p>
    <w:p w14:paraId="4C0BFBB0" w14:textId="79C1E36D" w:rsidR="00206CC3" w:rsidRDefault="00206CC3" w:rsidP="00206CC3">
      <w:pPr>
        <w:autoSpaceDE w:val="0"/>
        <w:autoSpaceDN w:val="0"/>
        <w:adjustRightInd w:val="0"/>
        <w:spacing w:after="360"/>
        <w:ind w:left="1440"/>
        <w:jc w:val="both"/>
        <w:rPr>
          <w:rFonts w:ascii="Georgia" w:hAnsi="Georgia" w:cs="Arial"/>
        </w:rPr>
      </w:pPr>
      <w:r>
        <w:rPr>
          <w:rFonts w:ascii="Georgia" w:hAnsi="Georgia" w:cs="Arial"/>
        </w:rPr>
        <w:t xml:space="preserve">“All </w:t>
      </w:r>
      <w:proofErr w:type="gramStart"/>
      <w:r>
        <w:rPr>
          <w:rFonts w:ascii="Georgia" w:hAnsi="Georgia" w:cs="Arial"/>
        </w:rPr>
        <w:t>fees</w:t>
      </w:r>
      <w:proofErr w:type="gramEnd"/>
      <w:r>
        <w:rPr>
          <w:rFonts w:ascii="Georgia" w:hAnsi="Georgia" w:cs="Arial"/>
        </w:rPr>
        <w:t xml:space="preserve"> charges expenses and commission payable to any </w:t>
      </w:r>
      <w:r w:rsidR="008570A1">
        <w:rPr>
          <w:rFonts w:ascii="Georgia" w:hAnsi="Georgia" w:cs="Arial"/>
        </w:rPr>
        <w:t>S</w:t>
      </w:r>
      <w:r>
        <w:rPr>
          <w:rFonts w:ascii="Georgia" w:hAnsi="Georgia" w:cs="Arial"/>
        </w:rPr>
        <w:t xml:space="preserve">olicitor Accountant </w:t>
      </w:r>
      <w:r w:rsidR="008570A1">
        <w:rPr>
          <w:rFonts w:ascii="Georgia" w:hAnsi="Georgia" w:cs="Arial"/>
        </w:rPr>
        <w:t>S</w:t>
      </w:r>
      <w:r>
        <w:rPr>
          <w:rFonts w:ascii="Georgia" w:hAnsi="Georgia" w:cs="Arial"/>
        </w:rPr>
        <w:t>urveyor Architect or Man</w:t>
      </w:r>
      <w:r w:rsidR="00A822F4">
        <w:rPr>
          <w:rFonts w:ascii="Georgia" w:hAnsi="Georgia" w:cs="Arial"/>
        </w:rPr>
        <w:t>a</w:t>
      </w:r>
      <w:r>
        <w:rPr>
          <w:rFonts w:ascii="Georgia" w:hAnsi="Georgia" w:cs="Arial"/>
        </w:rPr>
        <w:t>ging Agent whom the Landlord may from time to time employ in connection with the management and for maintenance of the Reserved Property including the cost of causing to be prepared statement</w:t>
      </w:r>
      <w:r w:rsidR="008963C8">
        <w:rPr>
          <w:rFonts w:ascii="Georgia" w:hAnsi="Georgia" w:cs="Arial"/>
        </w:rPr>
        <w:t>s</w:t>
      </w:r>
      <w:r w:rsidR="003E5296">
        <w:rPr>
          <w:rFonts w:ascii="Georgia" w:hAnsi="Georgia" w:cs="Arial"/>
        </w:rPr>
        <w:t xml:space="preserve"> </w:t>
      </w:r>
      <w:r>
        <w:rPr>
          <w:rFonts w:ascii="Georgia" w:hAnsi="Georgia" w:cs="Arial"/>
        </w:rPr>
        <w:t>of the annual Service Cost and each service charge and incidental thereto”</w:t>
      </w:r>
      <w:r w:rsidR="003E5296">
        <w:rPr>
          <w:rFonts w:ascii="Georgia" w:hAnsi="Georgia" w:cs="Arial"/>
        </w:rPr>
        <w:t>.</w:t>
      </w:r>
    </w:p>
    <w:p w14:paraId="42B33C31" w14:textId="311B863C" w:rsidR="00886AFC" w:rsidRDefault="001928CF" w:rsidP="00886AFC">
      <w:pPr>
        <w:tabs>
          <w:tab w:val="num" w:pos="1778"/>
        </w:tabs>
        <w:autoSpaceDE w:val="0"/>
        <w:autoSpaceDN w:val="0"/>
        <w:adjustRightInd w:val="0"/>
        <w:spacing w:after="360"/>
        <w:jc w:val="both"/>
        <w:rPr>
          <w:rFonts w:ascii="Georgia" w:hAnsi="Georgia" w:cs="Arial"/>
          <w:b/>
          <w:bCs/>
        </w:rPr>
      </w:pPr>
      <w:r>
        <w:rPr>
          <w:rFonts w:ascii="Georgia" w:hAnsi="Georgia" w:cs="Arial"/>
          <w:b/>
          <w:bCs/>
        </w:rPr>
        <w:t xml:space="preserve">Administration Charge - </w:t>
      </w:r>
      <w:r w:rsidR="009F5273">
        <w:rPr>
          <w:rFonts w:ascii="Georgia" w:hAnsi="Georgia" w:cs="Arial"/>
          <w:b/>
          <w:bCs/>
        </w:rPr>
        <w:t>Clause 3</w:t>
      </w:r>
      <w:r w:rsidR="00F44FFF">
        <w:rPr>
          <w:rFonts w:ascii="Georgia" w:hAnsi="Georgia" w:cs="Arial"/>
          <w:b/>
          <w:bCs/>
        </w:rPr>
        <w:t>(xvi) of the Lease</w:t>
      </w:r>
    </w:p>
    <w:p w14:paraId="3CB0CA61" w14:textId="50B925A6" w:rsidR="00825165" w:rsidRPr="00886AFC" w:rsidRDefault="00825165" w:rsidP="00886AFC">
      <w:pPr>
        <w:tabs>
          <w:tab w:val="num" w:pos="1778"/>
        </w:tabs>
        <w:autoSpaceDE w:val="0"/>
        <w:autoSpaceDN w:val="0"/>
        <w:adjustRightInd w:val="0"/>
        <w:spacing w:after="360"/>
        <w:jc w:val="both"/>
        <w:rPr>
          <w:rFonts w:ascii="Georgia" w:hAnsi="Georgia" w:cs="Arial"/>
          <w:b/>
          <w:bCs/>
        </w:rPr>
      </w:pPr>
      <w:r>
        <w:rPr>
          <w:rFonts w:ascii="Georgia" w:hAnsi="Georgia" w:cs="Arial"/>
          <w:b/>
          <w:bCs/>
        </w:rPr>
        <w:t>The Respondent’s Position</w:t>
      </w:r>
    </w:p>
    <w:p w14:paraId="0BE0FFF0" w14:textId="1DEC29CC" w:rsidR="004F4C33" w:rsidRDefault="0049045B" w:rsidP="001C52C7">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The Respondent submitted that the Incurred Costs </w:t>
      </w:r>
      <w:r w:rsidR="00241B43">
        <w:rPr>
          <w:rFonts w:ascii="Georgia" w:hAnsi="Georgia" w:cs="Arial"/>
          <w:bCs/>
        </w:rPr>
        <w:t xml:space="preserve">were payable by the Applicant under </w:t>
      </w:r>
      <w:r w:rsidR="00CE326E">
        <w:rPr>
          <w:rFonts w:ascii="Georgia" w:hAnsi="Georgia" w:cs="Arial"/>
          <w:bCs/>
        </w:rPr>
        <w:t>Clause</w:t>
      </w:r>
      <w:r w:rsidR="00241B43">
        <w:rPr>
          <w:rFonts w:ascii="Georgia" w:hAnsi="Georgia" w:cs="Arial"/>
          <w:bCs/>
        </w:rPr>
        <w:t xml:space="preserve"> 3(xvi) </w:t>
      </w:r>
      <w:r w:rsidR="0041673A">
        <w:rPr>
          <w:rFonts w:ascii="Georgia" w:hAnsi="Georgia" w:cs="Arial"/>
          <w:bCs/>
        </w:rPr>
        <w:t xml:space="preserve">of the Lease </w:t>
      </w:r>
      <w:r w:rsidR="005D18C2">
        <w:rPr>
          <w:rFonts w:ascii="Georgia" w:hAnsi="Georgia" w:cs="Arial"/>
          <w:bCs/>
        </w:rPr>
        <w:t xml:space="preserve">as they had been incurred by the </w:t>
      </w:r>
      <w:r w:rsidR="00F15A59">
        <w:rPr>
          <w:rFonts w:ascii="Georgia" w:hAnsi="Georgia" w:cs="Arial"/>
          <w:bCs/>
        </w:rPr>
        <w:t>Respondent</w:t>
      </w:r>
      <w:r w:rsidR="005D18C2">
        <w:rPr>
          <w:rFonts w:ascii="Georgia" w:hAnsi="Georgia" w:cs="Arial"/>
          <w:bCs/>
        </w:rPr>
        <w:t xml:space="preserve"> for the purpose of or incidental to the preparation and service of any notice under section 146 or 147 of the Law of Property Act </w:t>
      </w:r>
      <w:r w:rsidR="00D34827">
        <w:rPr>
          <w:rFonts w:ascii="Georgia" w:hAnsi="Georgia" w:cs="Arial"/>
          <w:bCs/>
        </w:rPr>
        <w:t>1925</w:t>
      </w:r>
      <w:r w:rsidR="004F4C33">
        <w:rPr>
          <w:rFonts w:ascii="Georgia" w:hAnsi="Georgia" w:cs="Arial"/>
          <w:bCs/>
        </w:rPr>
        <w:t>.</w:t>
      </w:r>
    </w:p>
    <w:p w14:paraId="770E5416" w14:textId="724994DE" w:rsidR="0049045B" w:rsidRDefault="00241B43" w:rsidP="004F4C33">
      <w:pPr>
        <w:pStyle w:val="ListParagraph"/>
        <w:autoSpaceDE w:val="0"/>
        <w:autoSpaceDN w:val="0"/>
        <w:adjustRightInd w:val="0"/>
        <w:spacing w:after="360"/>
        <w:ind w:left="851"/>
        <w:jc w:val="both"/>
        <w:rPr>
          <w:rFonts w:ascii="Georgia" w:hAnsi="Georgia" w:cs="Arial"/>
          <w:bCs/>
        </w:rPr>
      </w:pPr>
      <w:r>
        <w:rPr>
          <w:rFonts w:ascii="Georgia" w:hAnsi="Georgia" w:cs="Arial"/>
          <w:bCs/>
        </w:rPr>
        <w:t xml:space="preserve"> </w:t>
      </w:r>
    </w:p>
    <w:p w14:paraId="2755FCCE" w14:textId="77777777" w:rsidR="00E77DF0" w:rsidRPr="00E77DF0" w:rsidRDefault="00E77DF0" w:rsidP="00E77DF0">
      <w:pPr>
        <w:pStyle w:val="ListParagraph"/>
        <w:rPr>
          <w:rFonts w:ascii="Georgia" w:hAnsi="Georgia" w:cs="Arial"/>
          <w:bCs/>
        </w:rPr>
      </w:pPr>
    </w:p>
    <w:p w14:paraId="40149E3B" w14:textId="696B602F" w:rsidR="00A473D2" w:rsidRPr="00E77DF0" w:rsidRDefault="004A6B88" w:rsidP="00A473D2">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F53230">
        <w:rPr>
          <w:rFonts w:ascii="Georgia" w:hAnsi="Georgia" w:cs="Arial"/>
          <w:bCs/>
        </w:rPr>
        <w:t xml:space="preserve">Counsel for the Respondent relied upon </w:t>
      </w:r>
      <w:r w:rsidRPr="00F53230">
        <w:rPr>
          <w:rFonts w:ascii="Georgia" w:hAnsi="Georgia" w:cs="Arial"/>
          <w:bCs/>
          <w:i/>
          <w:iCs/>
        </w:rPr>
        <w:t>Barrett v Robinson</w:t>
      </w:r>
      <w:r w:rsidRPr="00F53230">
        <w:rPr>
          <w:rFonts w:ascii="Georgia" w:hAnsi="Georgia" w:cs="Arial"/>
          <w:bCs/>
        </w:rPr>
        <w:t xml:space="preserve"> [2015] L.</w:t>
      </w:r>
      <w:proofErr w:type="gramStart"/>
      <w:r w:rsidRPr="00F53230">
        <w:rPr>
          <w:rFonts w:ascii="Georgia" w:hAnsi="Georgia" w:cs="Arial"/>
          <w:bCs/>
        </w:rPr>
        <w:t>&amp;.T.T.</w:t>
      </w:r>
      <w:proofErr w:type="gramEnd"/>
      <w:r w:rsidRPr="00F53230">
        <w:rPr>
          <w:rFonts w:ascii="Georgia" w:hAnsi="Georgia" w:cs="Arial"/>
          <w:bCs/>
        </w:rPr>
        <w:t xml:space="preserve"> 1 at [52]</w:t>
      </w:r>
      <w:r w:rsidR="00E55ACC">
        <w:rPr>
          <w:rFonts w:ascii="Georgia" w:hAnsi="Georgia" w:cs="Arial"/>
          <w:bCs/>
        </w:rPr>
        <w:t xml:space="preserve"> and submitted that forfeiture </w:t>
      </w:r>
      <w:r w:rsidR="00E55ACC" w:rsidRPr="00F26CD2">
        <w:rPr>
          <w:rFonts w:ascii="Georgia" w:hAnsi="Georgia" w:cs="Arial"/>
          <w:bCs/>
        </w:rPr>
        <w:t xml:space="preserve">need not be the whole or the primary reason for the expenditure and that it was sufficient that such an eventuality formed part of the reason for the expenditure.  </w:t>
      </w:r>
      <w:r w:rsidR="00A473D2" w:rsidRPr="00E77DF0">
        <w:rPr>
          <w:rFonts w:ascii="Georgia" w:hAnsi="Georgia" w:cs="Arial"/>
          <w:bCs/>
        </w:rPr>
        <w:t>Whilst the Respondent acknowledged that the Incurred Costs were in response to an application brought by the Applicant, it was th</w:t>
      </w:r>
      <w:r w:rsidR="001E4310">
        <w:rPr>
          <w:rFonts w:ascii="Georgia" w:hAnsi="Georgia" w:cs="Arial"/>
          <w:bCs/>
        </w:rPr>
        <w:t xml:space="preserve">eir </w:t>
      </w:r>
      <w:r w:rsidR="00A473D2" w:rsidRPr="00E77DF0">
        <w:rPr>
          <w:rFonts w:ascii="Georgia" w:hAnsi="Georgia" w:cs="Arial"/>
          <w:bCs/>
        </w:rPr>
        <w:t xml:space="preserve">position that they had forfeiture proceedings in mind at the time they were dealing with the First Application.  </w:t>
      </w:r>
    </w:p>
    <w:p w14:paraId="1FF15F35" w14:textId="5F4076C7" w:rsidR="00E002A4" w:rsidRPr="00B13CFD" w:rsidRDefault="00E002A4" w:rsidP="00B13CFD">
      <w:pPr>
        <w:pStyle w:val="ListParagraph"/>
        <w:autoSpaceDE w:val="0"/>
        <w:autoSpaceDN w:val="0"/>
        <w:adjustRightInd w:val="0"/>
        <w:spacing w:after="360"/>
        <w:ind w:left="851"/>
        <w:jc w:val="both"/>
        <w:rPr>
          <w:rFonts w:ascii="Georgia" w:hAnsi="Georgia" w:cs="Arial"/>
          <w:bCs/>
        </w:rPr>
      </w:pPr>
    </w:p>
    <w:p w14:paraId="0A5953D2" w14:textId="77777777" w:rsidR="00E002A4" w:rsidRPr="004A6B88" w:rsidRDefault="00E002A4" w:rsidP="00E002A4">
      <w:pPr>
        <w:pStyle w:val="ListParagraph"/>
        <w:autoSpaceDE w:val="0"/>
        <w:autoSpaceDN w:val="0"/>
        <w:adjustRightInd w:val="0"/>
        <w:spacing w:after="360"/>
        <w:ind w:left="851"/>
        <w:jc w:val="both"/>
        <w:rPr>
          <w:rFonts w:ascii="Georgia" w:hAnsi="Georgia" w:cs="Arial"/>
          <w:bCs/>
        </w:rPr>
      </w:pPr>
    </w:p>
    <w:p w14:paraId="17408790" w14:textId="277FB5D3" w:rsidR="00262BCE" w:rsidRDefault="00744D67" w:rsidP="00262BCE">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On behalf of the Respondent</w:t>
      </w:r>
      <w:r w:rsidR="00B76B29">
        <w:rPr>
          <w:rFonts w:ascii="Georgia" w:hAnsi="Georgia" w:cs="Arial"/>
          <w:bCs/>
        </w:rPr>
        <w:t>,</w:t>
      </w:r>
      <w:r>
        <w:rPr>
          <w:rFonts w:ascii="Georgia" w:hAnsi="Georgia" w:cs="Arial"/>
          <w:bCs/>
        </w:rPr>
        <w:t xml:space="preserve"> t</w:t>
      </w:r>
      <w:r w:rsidR="00785DA8">
        <w:rPr>
          <w:rFonts w:ascii="Georgia" w:hAnsi="Georgia" w:cs="Arial"/>
          <w:bCs/>
        </w:rPr>
        <w:t>he Tribunal heard oral evidence from Elliott Esterson</w:t>
      </w:r>
      <w:r w:rsidR="003B055B">
        <w:rPr>
          <w:rFonts w:ascii="Georgia" w:hAnsi="Georgia" w:cs="Arial"/>
          <w:bCs/>
        </w:rPr>
        <w:t xml:space="preserve">.  Additionally, the Tribunal </w:t>
      </w:r>
      <w:r w:rsidR="00785DA8">
        <w:rPr>
          <w:rFonts w:ascii="Georgia" w:hAnsi="Georgia" w:cs="Arial"/>
          <w:bCs/>
        </w:rPr>
        <w:t xml:space="preserve">had before it three written statements from </w:t>
      </w:r>
      <w:r w:rsidR="00262BCE">
        <w:rPr>
          <w:rFonts w:ascii="Georgia" w:hAnsi="Georgia" w:cs="Arial"/>
          <w:bCs/>
        </w:rPr>
        <w:t>Angela</w:t>
      </w:r>
      <w:r w:rsidR="001938CB">
        <w:rPr>
          <w:rFonts w:ascii="Georgia" w:hAnsi="Georgia" w:cs="Arial"/>
          <w:bCs/>
        </w:rPr>
        <w:t xml:space="preserve"> </w:t>
      </w:r>
      <w:r w:rsidR="00262BCE">
        <w:rPr>
          <w:rFonts w:ascii="Georgia" w:hAnsi="Georgia" w:cs="Arial"/>
          <w:bCs/>
        </w:rPr>
        <w:t>Kapusta (director of the Respondent), Laurence Gishen</w:t>
      </w:r>
      <w:r w:rsidR="00356C3F">
        <w:rPr>
          <w:rFonts w:ascii="Georgia" w:hAnsi="Georgia" w:cs="Arial"/>
          <w:bCs/>
        </w:rPr>
        <w:t xml:space="preserve">, </w:t>
      </w:r>
      <w:r w:rsidR="00262BCE">
        <w:rPr>
          <w:rFonts w:ascii="Georgia" w:hAnsi="Georgia" w:cs="Arial"/>
          <w:bCs/>
        </w:rPr>
        <w:t xml:space="preserve">a </w:t>
      </w:r>
      <w:r w:rsidR="00174C7E">
        <w:rPr>
          <w:rFonts w:ascii="Georgia" w:hAnsi="Georgia" w:cs="Arial"/>
          <w:bCs/>
        </w:rPr>
        <w:t>l</w:t>
      </w:r>
      <w:r w:rsidR="00262BCE">
        <w:rPr>
          <w:rFonts w:ascii="Georgia" w:hAnsi="Georgia" w:cs="Arial"/>
          <w:bCs/>
        </w:rPr>
        <w:t>easeholder</w:t>
      </w:r>
      <w:r w:rsidR="002D25CC">
        <w:rPr>
          <w:rFonts w:ascii="Georgia" w:hAnsi="Georgia" w:cs="Arial"/>
          <w:bCs/>
        </w:rPr>
        <w:t>, and</w:t>
      </w:r>
      <w:r w:rsidR="00262BCE">
        <w:rPr>
          <w:rFonts w:ascii="Georgia" w:hAnsi="Georgia" w:cs="Arial"/>
          <w:bCs/>
        </w:rPr>
        <w:t xml:space="preserve"> Barry Cohen, whose mother was a leasehold</w:t>
      </w:r>
      <w:r w:rsidR="001938CB">
        <w:rPr>
          <w:rFonts w:ascii="Georgia" w:hAnsi="Georgia" w:cs="Arial"/>
          <w:bCs/>
        </w:rPr>
        <w:t>er</w:t>
      </w:r>
      <w:r w:rsidR="00262BCE">
        <w:rPr>
          <w:rFonts w:ascii="Georgia" w:hAnsi="Georgia" w:cs="Arial"/>
          <w:bCs/>
        </w:rPr>
        <w:t xml:space="preserve">.  </w:t>
      </w:r>
      <w:r w:rsidR="002D25CC">
        <w:rPr>
          <w:rFonts w:ascii="Georgia" w:hAnsi="Georgia" w:cs="Arial"/>
          <w:bCs/>
        </w:rPr>
        <w:t>The</w:t>
      </w:r>
      <w:r w:rsidR="00C7327A">
        <w:rPr>
          <w:rFonts w:ascii="Georgia" w:hAnsi="Georgia" w:cs="Arial"/>
          <w:bCs/>
        </w:rPr>
        <w:t xml:space="preserve">se </w:t>
      </w:r>
      <w:r w:rsidR="00262BCE">
        <w:rPr>
          <w:rFonts w:ascii="Georgia" w:hAnsi="Georgia" w:cs="Arial"/>
          <w:bCs/>
        </w:rPr>
        <w:t>witness</w:t>
      </w:r>
      <w:r w:rsidR="004A669A">
        <w:rPr>
          <w:rFonts w:ascii="Georgia" w:hAnsi="Georgia" w:cs="Arial"/>
          <w:bCs/>
        </w:rPr>
        <w:t>es</w:t>
      </w:r>
      <w:r w:rsidR="00262BCE">
        <w:rPr>
          <w:rFonts w:ascii="Georgia" w:hAnsi="Georgia" w:cs="Arial"/>
          <w:bCs/>
        </w:rPr>
        <w:t xml:space="preserve"> </w:t>
      </w:r>
      <w:r w:rsidR="00C7327A">
        <w:rPr>
          <w:rFonts w:ascii="Georgia" w:hAnsi="Georgia" w:cs="Arial"/>
          <w:bCs/>
        </w:rPr>
        <w:t xml:space="preserve">did not give oral evidence to the Tribunal and were </w:t>
      </w:r>
      <w:r w:rsidR="00262BCE">
        <w:rPr>
          <w:rFonts w:ascii="Georgia" w:hAnsi="Georgia" w:cs="Arial"/>
          <w:bCs/>
        </w:rPr>
        <w:t xml:space="preserve">therefore not available for cross examination. </w:t>
      </w:r>
    </w:p>
    <w:p w14:paraId="1AAE971D" w14:textId="77777777" w:rsidR="00C7327A" w:rsidRPr="00C7327A" w:rsidRDefault="00C7327A" w:rsidP="00C7327A">
      <w:pPr>
        <w:pStyle w:val="ListParagraph"/>
        <w:rPr>
          <w:rFonts w:ascii="Georgia" w:hAnsi="Georgia" w:cs="Arial"/>
          <w:bCs/>
        </w:rPr>
      </w:pPr>
    </w:p>
    <w:p w14:paraId="190A7C5D" w14:textId="6D1415CB" w:rsidR="00785DA8" w:rsidRPr="00C7327A" w:rsidRDefault="00C7327A" w:rsidP="00C7327A">
      <w:pPr>
        <w:autoSpaceDE w:val="0"/>
        <w:autoSpaceDN w:val="0"/>
        <w:adjustRightInd w:val="0"/>
        <w:spacing w:after="360"/>
        <w:jc w:val="both"/>
        <w:rPr>
          <w:rFonts w:ascii="Georgia" w:hAnsi="Georgia" w:cs="Arial"/>
          <w:b/>
        </w:rPr>
      </w:pPr>
      <w:r w:rsidRPr="00C7327A">
        <w:rPr>
          <w:rFonts w:ascii="Georgia" w:hAnsi="Georgia" w:cs="Arial"/>
          <w:b/>
        </w:rPr>
        <w:lastRenderedPageBreak/>
        <w:t>Evidence of Elliott Esterson</w:t>
      </w:r>
    </w:p>
    <w:p w14:paraId="40D1C779" w14:textId="1368B9C8" w:rsidR="006E4D04" w:rsidRDefault="00092051" w:rsidP="001C52C7">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The Tribunal heard evidence from Elliott Esterson </w:t>
      </w:r>
      <w:r w:rsidR="002E08DC">
        <w:rPr>
          <w:rFonts w:ascii="Georgia" w:hAnsi="Georgia" w:cs="Arial"/>
          <w:bCs/>
        </w:rPr>
        <w:t xml:space="preserve">who </w:t>
      </w:r>
      <w:r w:rsidR="001938CB">
        <w:rPr>
          <w:rFonts w:ascii="Georgia" w:hAnsi="Georgia" w:cs="Arial"/>
          <w:bCs/>
        </w:rPr>
        <w:t>confirmed that</w:t>
      </w:r>
      <w:r w:rsidR="00FA20D7">
        <w:rPr>
          <w:rFonts w:ascii="Georgia" w:hAnsi="Georgia" w:cs="Arial"/>
          <w:bCs/>
        </w:rPr>
        <w:t xml:space="preserve"> </w:t>
      </w:r>
      <w:r w:rsidR="0021313D">
        <w:rPr>
          <w:rFonts w:ascii="Georgia" w:hAnsi="Georgia" w:cs="Arial"/>
          <w:bCs/>
        </w:rPr>
        <w:t>Trent Park had been the Respondent’s managing agents since</w:t>
      </w:r>
      <w:r w:rsidR="00FA2282">
        <w:rPr>
          <w:rFonts w:ascii="Georgia" w:hAnsi="Georgia" w:cs="Arial"/>
          <w:bCs/>
        </w:rPr>
        <w:t xml:space="preserve"> October 2025</w:t>
      </w:r>
      <w:r w:rsidR="00BE0447">
        <w:rPr>
          <w:rFonts w:ascii="Georgia" w:hAnsi="Georgia" w:cs="Arial"/>
          <w:bCs/>
        </w:rPr>
        <w:t xml:space="preserve">.  He </w:t>
      </w:r>
      <w:r w:rsidR="00E4605F">
        <w:rPr>
          <w:rFonts w:ascii="Georgia" w:hAnsi="Georgia" w:cs="Arial"/>
          <w:bCs/>
        </w:rPr>
        <w:t xml:space="preserve">confirmed that </w:t>
      </w:r>
      <w:r w:rsidR="00BE0447">
        <w:rPr>
          <w:rFonts w:ascii="Georgia" w:hAnsi="Georgia" w:cs="Arial"/>
          <w:bCs/>
        </w:rPr>
        <w:t>Trent Park</w:t>
      </w:r>
      <w:r w:rsidR="00E4605F">
        <w:rPr>
          <w:rFonts w:ascii="Georgia" w:hAnsi="Georgia" w:cs="Arial"/>
          <w:bCs/>
        </w:rPr>
        <w:t xml:space="preserve"> liaised and communicated with Angela Kapusta, the sole director of Boreham Holt Management Limited</w:t>
      </w:r>
      <w:r w:rsidR="00E47952">
        <w:rPr>
          <w:rFonts w:ascii="Georgia" w:hAnsi="Georgia" w:cs="Arial"/>
          <w:bCs/>
        </w:rPr>
        <w:t>,</w:t>
      </w:r>
      <w:r w:rsidR="00E4605F">
        <w:rPr>
          <w:rFonts w:ascii="Georgia" w:hAnsi="Georgia" w:cs="Arial"/>
          <w:bCs/>
        </w:rPr>
        <w:t xml:space="preserve"> </w:t>
      </w:r>
      <w:r w:rsidR="00485D5C">
        <w:rPr>
          <w:rFonts w:ascii="Georgia" w:hAnsi="Georgia" w:cs="Arial"/>
          <w:bCs/>
        </w:rPr>
        <w:t xml:space="preserve">in relation to all management and maintenance </w:t>
      </w:r>
      <w:r w:rsidR="006B3FF0">
        <w:rPr>
          <w:rFonts w:ascii="Georgia" w:hAnsi="Georgia" w:cs="Arial"/>
          <w:bCs/>
        </w:rPr>
        <w:t>matters relating to</w:t>
      </w:r>
      <w:r w:rsidR="00485D5C">
        <w:rPr>
          <w:rFonts w:ascii="Georgia" w:hAnsi="Georgia" w:cs="Arial"/>
          <w:bCs/>
        </w:rPr>
        <w:t xml:space="preserve"> 52-66 Boreham Holt</w:t>
      </w:r>
      <w:r w:rsidR="006B3FF0">
        <w:rPr>
          <w:rFonts w:ascii="Georgia" w:hAnsi="Georgia" w:cs="Arial"/>
          <w:bCs/>
        </w:rPr>
        <w:t>.</w:t>
      </w:r>
    </w:p>
    <w:p w14:paraId="636CDC9C" w14:textId="77777777" w:rsidR="00A413D4" w:rsidRPr="00A413D4" w:rsidRDefault="00A413D4" w:rsidP="00A413D4">
      <w:pPr>
        <w:pStyle w:val="ListParagraph"/>
        <w:rPr>
          <w:rFonts w:ascii="Georgia" w:hAnsi="Georgia" w:cs="Arial"/>
          <w:bCs/>
        </w:rPr>
      </w:pPr>
    </w:p>
    <w:p w14:paraId="4E390592" w14:textId="7860AC3F" w:rsidR="00ED0B01" w:rsidRPr="000264DC" w:rsidRDefault="009D4370" w:rsidP="000264DC">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Elliot Esterson told the Tribunal that</w:t>
      </w:r>
      <w:r w:rsidR="00E47952">
        <w:rPr>
          <w:rFonts w:ascii="Georgia" w:hAnsi="Georgia" w:cs="Arial"/>
          <w:bCs/>
        </w:rPr>
        <w:t xml:space="preserve">, </w:t>
      </w:r>
      <w:r>
        <w:rPr>
          <w:rFonts w:ascii="Georgia" w:hAnsi="Georgia" w:cs="Arial"/>
          <w:bCs/>
        </w:rPr>
        <w:t>when the major works, the subject of the First Application</w:t>
      </w:r>
      <w:r w:rsidR="00FA20D7">
        <w:rPr>
          <w:rFonts w:ascii="Georgia" w:hAnsi="Georgia" w:cs="Arial"/>
          <w:bCs/>
        </w:rPr>
        <w:t>,</w:t>
      </w:r>
      <w:r>
        <w:rPr>
          <w:rFonts w:ascii="Georgia" w:hAnsi="Georgia" w:cs="Arial"/>
          <w:bCs/>
        </w:rPr>
        <w:t xml:space="preserve"> </w:t>
      </w:r>
      <w:r w:rsidR="00E47952">
        <w:rPr>
          <w:rFonts w:ascii="Georgia" w:hAnsi="Georgia" w:cs="Arial"/>
          <w:bCs/>
        </w:rPr>
        <w:t>had been</w:t>
      </w:r>
      <w:r>
        <w:rPr>
          <w:rFonts w:ascii="Georgia" w:hAnsi="Georgia" w:cs="Arial"/>
          <w:bCs/>
        </w:rPr>
        <w:t xml:space="preserve"> </w:t>
      </w:r>
      <w:r w:rsidR="0081126B">
        <w:rPr>
          <w:rFonts w:ascii="Georgia" w:hAnsi="Georgia" w:cs="Arial"/>
          <w:bCs/>
        </w:rPr>
        <w:t xml:space="preserve">discussed at a meeting </w:t>
      </w:r>
      <w:r w:rsidR="00433F4F">
        <w:rPr>
          <w:rFonts w:ascii="Georgia" w:hAnsi="Georgia" w:cs="Arial"/>
          <w:bCs/>
        </w:rPr>
        <w:t xml:space="preserve">of </w:t>
      </w:r>
      <w:r w:rsidR="00D25728">
        <w:rPr>
          <w:rFonts w:ascii="Georgia" w:hAnsi="Georgia" w:cs="Arial"/>
          <w:bCs/>
        </w:rPr>
        <w:t xml:space="preserve">Boreham Holt Management </w:t>
      </w:r>
      <w:r w:rsidR="0003464E">
        <w:rPr>
          <w:rFonts w:ascii="Georgia" w:hAnsi="Georgia" w:cs="Arial"/>
          <w:bCs/>
        </w:rPr>
        <w:t>L</w:t>
      </w:r>
      <w:r w:rsidR="00D80CE3">
        <w:rPr>
          <w:rFonts w:ascii="Georgia" w:hAnsi="Georgia" w:cs="Arial"/>
          <w:bCs/>
        </w:rPr>
        <w:t>imited</w:t>
      </w:r>
      <w:r w:rsidR="00433F4F">
        <w:rPr>
          <w:rFonts w:ascii="Georgia" w:hAnsi="Georgia" w:cs="Arial"/>
          <w:bCs/>
        </w:rPr>
        <w:t xml:space="preserve"> </w:t>
      </w:r>
      <w:r w:rsidR="0081126B">
        <w:rPr>
          <w:rFonts w:ascii="Georgia" w:hAnsi="Georgia" w:cs="Arial"/>
          <w:bCs/>
        </w:rPr>
        <w:t xml:space="preserve">on 2 August 2023, </w:t>
      </w:r>
      <w:r w:rsidR="00FA063E">
        <w:rPr>
          <w:rFonts w:ascii="Georgia" w:hAnsi="Georgia" w:cs="Arial"/>
          <w:bCs/>
        </w:rPr>
        <w:t xml:space="preserve">leaseholders </w:t>
      </w:r>
      <w:r w:rsidR="00C804E4">
        <w:rPr>
          <w:rFonts w:ascii="Georgia" w:hAnsi="Georgia" w:cs="Arial"/>
          <w:bCs/>
        </w:rPr>
        <w:t>had been</w:t>
      </w:r>
      <w:r w:rsidR="00FA063E">
        <w:rPr>
          <w:rFonts w:ascii="Georgia" w:hAnsi="Georgia" w:cs="Arial"/>
          <w:bCs/>
        </w:rPr>
        <w:t xml:space="preserve"> told that any non-payment would result in legal proceedings being initiated</w:t>
      </w:r>
      <w:r w:rsidR="00D04AED">
        <w:rPr>
          <w:rFonts w:ascii="Georgia" w:hAnsi="Georgia" w:cs="Arial"/>
          <w:bCs/>
        </w:rPr>
        <w:t xml:space="preserve"> (page </w:t>
      </w:r>
      <w:r w:rsidR="00006D21">
        <w:rPr>
          <w:rFonts w:ascii="Georgia" w:hAnsi="Georgia" w:cs="Arial"/>
          <w:bCs/>
        </w:rPr>
        <w:t xml:space="preserve">163 of the </w:t>
      </w:r>
      <w:r w:rsidR="00D80CE3">
        <w:rPr>
          <w:rFonts w:ascii="Georgia" w:hAnsi="Georgia" w:cs="Arial"/>
          <w:bCs/>
        </w:rPr>
        <w:t>b</w:t>
      </w:r>
      <w:r w:rsidR="00006D21">
        <w:rPr>
          <w:rFonts w:ascii="Georgia" w:hAnsi="Georgia" w:cs="Arial"/>
          <w:bCs/>
        </w:rPr>
        <w:t>undle).</w:t>
      </w:r>
      <w:r w:rsidR="00AA6A1B">
        <w:rPr>
          <w:rFonts w:ascii="Georgia" w:hAnsi="Georgia" w:cs="Arial"/>
          <w:bCs/>
        </w:rPr>
        <w:t xml:space="preserve">  Further, when the Applicant </w:t>
      </w:r>
      <w:r w:rsidR="00C804E4">
        <w:rPr>
          <w:rFonts w:ascii="Georgia" w:hAnsi="Georgia" w:cs="Arial"/>
          <w:bCs/>
        </w:rPr>
        <w:t>had not made</w:t>
      </w:r>
      <w:r w:rsidR="00AA6A1B">
        <w:rPr>
          <w:rFonts w:ascii="Georgia" w:hAnsi="Georgia" w:cs="Arial"/>
          <w:bCs/>
        </w:rPr>
        <w:t xml:space="preserve"> payment, </w:t>
      </w:r>
      <w:r w:rsidR="0040010E" w:rsidRPr="000264DC">
        <w:rPr>
          <w:rFonts w:ascii="Georgia" w:hAnsi="Georgia" w:cs="Arial"/>
          <w:bCs/>
        </w:rPr>
        <w:t>letters chas</w:t>
      </w:r>
      <w:r w:rsidR="00C427AA">
        <w:rPr>
          <w:rFonts w:ascii="Georgia" w:hAnsi="Georgia" w:cs="Arial"/>
          <w:bCs/>
        </w:rPr>
        <w:t xml:space="preserve">ing payment </w:t>
      </w:r>
      <w:r w:rsidR="00A32E3A">
        <w:rPr>
          <w:rFonts w:ascii="Georgia" w:hAnsi="Georgia" w:cs="Arial"/>
          <w:bCs/>
        </w:rPr>
        <w:t>had been</w:t>
      </w:r>
      <w:r w:rsidR="0040010E" w:rsidRPr="000264DC">
        <w:rPr>
          <w:rFonts w:ascii="Georgia" w:hAnsi="Georgia" w:cs="Arial"/>
          <w:bCs/>
        </w:rPr>
        <w:t xml:space="preserve"> sent to the Applicant on 18 September 2023, 26 September 2023 and 6 November 2023</w:t>
      </w:r>
      <w:r w:rsidR="0055018B" w:rsidRPr="000264DC">
        <w:rPr>
          <w:rFonts w:ascii="Georgia" w:hAnsi="Georgia" w:cs="Arial"/>
          <w:bCs/>
        </w:rPr>
        <w:t>.</w:t>
      </w:r>
    </w:p>
    <w:p w14:paraId="2AFA26EE" w14:textId="77777777" w:rsidR="00211C62" w:rsidRPr="00211C62" w:rsidRDefault="00211C62" w:rsidP="00211C62">
      <w:pPr>
        <w:pStyle w:val="ListParagraph"/>
        <w:rPr>
          <w:rFonts w:ascii="Georgia" w:hAnsi="Georgia" w:cs="Arial"/>
          <w:bCs/>
        </w:rPr>
      </w:pPr>
    </w:p>
    <w:p w14:paraId="1DDA732F" w14:textId="11F952CB" w:rsidR="00FA7DDF" w:rsidRDefault="00FA7DDF" w:rsidP="00FA7DDF">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Elliot Esterson told the Tribunal that</w:t>
      </w:r>
      <w:r w:rsidR="00A32E3A">
        <w:rPr>
          <w:rFonts w:ascii="Georgia" w:hAnsi="Georgia" w:cs="Arial"/>
          <w:bCs/>
        </w:rPr>
        <w:t>,</w:t>
      </w:r>
      <w:r>
        <w:rPr>
          <w:rFonts w:ascii="Georgia" w:hAnsi="Georgia" w:cs="Arial"/>
          <w:bCs/>
        </w:rPr>
        <w:t xml:space="preserve"> as the Applicant</w:t>
      </w:r>
      <w:r w:rsidR="002D5CB3">
        <w:rPr>
          <w:rFonts w:ascii="Georgia" w:hAnsi="Georgia" w:cs="Arial"/>
          <w:bCs/>
        </w:rPr>
        <w:t xml:space="preserve">’s First Application </w:t>
      </w:r>
      <w:r w:rsidR="00A32E3A">
        <w:rPr>
          <w:rFonts w:ascii="Georgia" w:hAnsi="Georgia" w:cs="Arial"/>
          <w:bCs/>
        </w:rPr>
        <w:t xml:space="preserve">had </w:t>
      </w:r>
      <w:r>
        <w:rPr>
          <w:rFonts w:ascii="Georgia" w:hAnsi="Georgia" w:cs="Arial"/>
          <w:bCs/>
        </w:rPr>
        <w:t>dispute</w:t>
      </w:r>
      <w:r w:rsidR="007554CB">
        <w:rPr>
          <w:rFonts w:ascii="Georgia" w:hAnsi="Georgia" w:cs="Arial"/>
          <w:bCs/>
        </w:rPr>
        <w:t>d</w:t>
      </w:r>
      <w:r>
        <w:rPr>
          <w:rFonts w:ascii="Georgia" w:hAnsi="Georgia" w:cs="Arial"/>
          <w:bCs/>
        </w:rPr>
        <w:t xml:space="preserve"> the payability of the service charge</w:t>
      </w:r>
      <w:r w:rsidR="007554CB">
        <w:rPr>
          <w:rFonts w:ascii="Georgia" w:hAnsi="Georgia" w:cs="Arial"/>
          <w:bCs/>
        </w:rPr>
        <w:t>,</w:t>
      </w:r>
      <w:r>
        <w:rPr>
          <w:rFonts w:ascii="Georgia" w:hAnsi="Georgia" w:cs="Arial"/>
          <w:bCs/>
        </w:rPr>
        <w:t xml:space="preserve"> Trent Park </w:t>
      </w:r>
      <w:r w:rsidR="00A32E3A">
        <w:rPr>
          <w:rFonts w:ascii="Georgia" w:hAnsi="Georgia" w:cs="Arial"/>
          <w:bCs/>
        </w:rPr>
        <w:t xml:space="preserve">had </w:t>
      </w:r>
      <w:r>
        <w:rPr>
          <w:rFonts w:ascii="Georgia" w:hAnsi="Georgia" w:cs="Arial"/>
          <w:bCs/>
        </w:rPr>
        <w:t>responded to that application</w:t>
      </w:r>
      <w:r w:rsidR="00D65C4F">
        <w:rPr>
          <w:rFonts w:ascii="Georgia" w:hAnsi="Georgia" w:cs="Arial"/>
          <w:bCs/>
        </w:rPr>
        <w:t>,</w:t>
      </w:r>
      <w:r w:rsidR="007554CB">
        <w:rPr>
          <w:rFonts w:ascii="Georgia" w:hAnsi="Georgia" w:cs="Arial"/>
          <w:bCs/>
        </w:rPr>
        <w:t xml:space="preserve"> but </w:t>
      </w:r>
      <w:r w:rsidR="002D5B9A">
        <w:rPr>
          <w:rFonts w:ascii="Georgia" w:hAnsi="Georgia" w:cs="Arial"/>
          <w:bCs/>
        </w:rPr>
        <w:t>has been</w:t>
      </w:r>
      <w:r>
        <w:rPr>
          <w:rFonts w:ascii="Georgia" w:hAnsi="Georgia" w:cs="Arial"/>
          <w:bCs/>
        </w:rPr>
        <w:t xml:space="preserve"> mindful that if the Respondent was successful and the amount was found by the Tribunal to be payable,</w:t>
      </w:r>
      <w:r w:rsidR="00D65C4F">
        <w:rPr>
          <w:rFonts w:ascii="Georgia" w:hAnsi="Georgia" w:cs="Arial"/>
          <w:bCs/>
        </w:rPr>
        <w:t xml:space="preserve"> and</w:t>
      </w:r>
      <w:r>
        <w:rPr>
          <w:rFonts w:ascii="Georgia" w:hAnsi="Georgia" w:cs="Arial"/>
          <w:bCs/>
        </w:rPr>
        <w:t xml:space="preserve"> if the Applicant still refused to pay, forfeiture </w:t>
      </w:r>
      <w:r w:rsidR="002D5CB3">
        <w:rPr>
          <w:rFonts w:ascii="Georgia" w:hAnsi="Georgia" w:cs="Arial"/>
          <w:bCs/>
        </w:rPr>
        <w:t xml:space="preserve">proceedings </w:t>
      </w:r>
      <w:r>
        <w:rPr>
          <w:rFonts w:ascii="Georgia" w:hAnsi="Georgia" w:cs="Arial"/>
          <w:bCs/>
        </w:rPr>
        <w:t>could be used to collect the service charge arrears.  It was therefore the Respondent’s position that forfeiture had always been in the mind of the Respondent.</w:t>
      </w:r>
    </w:p>
    <w:p w14:paraId="020C9005" w14:textId="77777777" w:rsidR="002D5CB3" w:rsidRPr="002D5CB3" w:rsidRDefault="002D5CB3" w:rsidP="002D5CB3">
      <w:pPr>
        <w:pStyle w:val="ListParagraph"/>
        <w:rPr>
          <w:rFonts w:ascii="Georgia" w:hAnsi="Georgia" w:cs="Arial"/>
          <w:bCs/>
        </w:rPr>
      </w:pPr>
    </w:p>
    <w:p w14:paraId="2DB1335F" w14:textId="77777777" w:rsidR="002D5CB3" w:rsidRDefault="002D5CB3" w:rsidP="002D5CB3">
      <w:pPr>
        <w:pStyle w:val="ListParagraph"/>
        <w:autoSpaceDE w:val="0"/>
        <w:autoSpaceDN w:val="0"/>
        <w:adjustRightInd w:val="0"/>
        <w:spacing w:after="360"/>
        <w:ind w:left="851"/>
        <w:jc w:val="both"/>
        <w:rPr>
          <w:rFonts w:ascii="Georgia" w:hAnsi="Georgia" w:cs="Arial"/>
          <w:bCs/>
        </w:rPr>
      </w:pPr>
    </w:p>
    <w:p w14:paraId="1AC4A69B" w14:textId="5EF4CA85" w:rsidR="0016316C" w:rsidRPr="00FA7DDF" w:rsidRDefault="00D52561" w:rsidP="0016316C">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FA7DDF">
        <w:rPr>
          <w:rFonts w:ascii="Georgia" w:hAnsi="Georgia" w:cs="Arial"/>
          <w:bCs/>
        </w:rPr>
        <w:t xml:space="preserve">In terms of the debt recovery process used by </w:t>
      </w:r>
      <w:r w:rsidR="00211C62" w:rsidRPr="00FA7DDF">
        <w:rPr>
          <w:rFonts w:ascii="Georgia" w:hAnsi="Georgia" w:cs="Arial"/>
          <w:bCs/>
        </w:rPr>
        <w:t>Trent Park</w:t>
      </w:r>
      <w:r w:rsidRPr="00FA7DDF">
        <w:rPr>
          <w:rFonts w:ascii="Georgia" w:hAnsi="Georgia" w:cs="Arial"/>
          <w:bCs/>
        </w:rPr>
        <w:t>, Elliot Esterson stated that</w:t>
      </w:r>
      <w:r w:rsidR="00211C62" w:rsidRPr="00FA7DDF">
        <w:rPr>
          <w:rFonts w:ascii="Georgia" w:hAnsi="Georgia" w:cs="Arial"/>
          <w:bCs/>
        </w:rPr>
        <w:t xml:space="preserve"> ordinarily </w:t>
      </w:r>
      <w:r w:rsidRPr="00FA7DDF">
        <w:rPr>
          <w:rFonts w:ascii="Georgia" w:hAnsi="Georgia" w:cs="Arial"/>
          <w:bCs/>
        </w:rPr>
        <w:t>they used</w:t>
      </w:r>
      <w:r w:rsidR="00211C62" w:rsidRPr="00FA7DDF">
        <w:rPr>
          <w:rFonts w:ascii="Georgia" w:hAnsi="Georgia" w:cs="Arial"/>
          <w:bCs/>
        </w:rPr>
        <w:t xml:space="preserve"> Brady Solicitors</w:t>
      </w:r>
      <w:r w:rsidR="00A779AE">
        <w:rPr>
          <w:rFonts w:ascii="Georgia" w:hAnsi="Georgia" w:cs="Arial"/>
          <w:bCs/>
        </w:rPr>
        <w:t>;</w:t>
      </w:r>
      <w:r w:rsidRPr="00FA7DDF">
        <w:rPr>
          <w:rFonts w:ascii="Georgia" w:hAnsi="Georgia" w:cs="Arial"/>
          <w:bCs/>
        </w:rPr>
        <w:t xml:space="preserve"> </w:t>
      </w:r>
      <w:r w:rsidR="00211C62" w:rsidRPr="00FA7DDF">
        <w:rPr>
          <w:rFonts w:ascii="Georgia" w:hAnsi="Georgia" w:cs="Arial"/>
          <w:bCs/>
        </w:rPr>
        <w:t>however</w:t>
      </w:r>
      <w:r w:rsidR="00A779AE">
        <w:rPr>
          <w:rFonts w:ascii="Georgia" w:hAnsi="Georgia" w:cs="Arial"/>
          <w:bCs/>
        </w:rPr>
        <w:t xml:space="preserve">, </w:t>
      </w:r>
      <w:r w:rsidR="00211C62" w:rsidRPr="00FA7DDF">
        <w:rPr>
          <w:rFonts w:ascii="Georgia" w:hAnsi="Georgia" w:cs="Arial"/>
          <w:bCs/>
        </w:rPr>
        <w:t>because the Applicant had raised an issue with the appointment of the director, Gaby Hardwicke Solicitors</w:t>
      </w:r>
      <w:r w:rsidR="00D65C4F">
        <w:rPr>
          <w:rFonts w:ascii="Georgia" w:hAnsi="Georgia" w:cs="Arial"/>
          <w:bCs/>
        </w:rPr>
        <w:t xml:space="preserve"> </w:t>
      </w:r>
      <w:r w:rsidR="00907551">
        <w:rPr>
          <w:rFonts w:ascii="Georgia" w:hAnsi="Georgia" w:cs="Arial"/>
          <w:bCs/>
        </w:rPr>
        <w:t xml:space="preserve">had been </w:t>
      </w:r>
      <w:r w:rsidR="00D65C4F">
        <w:rPr>
          <w:rFonts w:ascii="Georgia" w:hAnsi="Georgia" w:cs="Arial"/>
          <w:bCs/>
        </w:rPr>
        <w:t xml:space="preserve">used instead as they had </w:t>
      </w:r>
      <w:r w:rsidR="00492A0E">
        <w:rPr>
          <w:rFonts w:ascii="Georgia" w:hAnsi="Georgia" w:cs="Arial"/>
          <w:bCs/>
        </w:rPr>
        <w:t>specialism in this area</w:t>
      </w:r>
      <w:r w:rsidR="00211C62" w:rsidRPr="00FA7DDF">
        <w:rPr>
          <w:rFonts w:ascii="Georgia" w:hAnsi="Georgia" w:cs="Arial"/>
          <w:bCs/>
        </w:rPr>
        <w:t xml:space="preserve">.  </w:t>
      </w:r>
    </w:p>
    <w:p w14:paraId="4938954E" w14:textId="77777777" w:rsidR="0016316C" w:rsidRPr="0016316C" w:rsidRDefault="0016316C" w:rsidP="0016316C">
      <w:pPr>
        <w:pStyle w:val="ListParagraph"/>
        <w:autoSpaceDE w:val="0"/>
        <w:autoSpaceDN w:val="0"/>
        <w:adjustRightInd w:val="0"/>
        <w:spacing w:after="360"/>
        <w:ind w:left="851"/>
        <w:jc w:val="both"/>
        <w:rPr>
          <w:rFonts w:ascii="Georgia" w:hAnsi="Georgia" w:cs="Arial"/>
          <w:bCs/>
        </w:rPr>
      </w:pPr>
    </w:p>
    <w:p w14:paraId="1FFCA9B0" w14:textId="24F2C8B9" w:rsidR="00B456AC" w:rsidRPr="0079754D" w:rsidRDefault="00B456AC" w:rsidP="00232E15">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79754D">
        <w:rPr>
          <w:rFonts w:ascii="Georgia" w:hAnsi="Georgia" w:cs="Arial"/>
          <w:bCs/>
        </w:rPr>
        <w:t>In cross examination</w:t>
      </w:r>
      <w:r w:rsidR="00314E3F" w:rsidRPr="0079754D">
        <w:rPr>
          <w:rFonts w:ascii="Georgia" w:hAnsi="Georgia" w:cs="Arial"/>
          <w:bCs/>
        </w:rPr>
        <w:t xml:space="preserve"> Elliot Esterson</w:t>
      </w:r>
      <w:r w:rsidR="00205574" w:rsidRPr="0079754D">
        <w:rPr>
          <w:rFonts w:ascii="Georgia" w:hAnsi="Georgia" w:cs="Arial"/>
          <w:bCs/>
        </w:rPr>
        <w:t xml:space="preserve"> confirmed that </w:t>
      </w:r>
      <w:r w:rsidR="00DA7DA0" w:rsidRPr="0079754D">
        <w:rPr>
          <w:rFonts w:ascii="Georgia" w:hAnsi="Georgia" w:cs="Arial"/>
          <w:bCs/>
        </w:rPr>
        <w:t xml:space="preserve">the </w:t>
      </w:r>
      <w:r w:rsidR="00D44438" w:rsidRPr="0079754D">
        <w:rPr>
          <w:rFonts w:ascii="Georgia" w:hAnsi="Georgia" w:cs="Arial"/>
          <w:bCs/>
        </w:rPr>
        <w:t>paperwork</w:t>
      </w:r>
      <w:r w:rsidR="00DA7DA0" w:rsidRPr="0079754D">
        <w:rPr>
          <w:rFonts w:ascii="Georgia" w:hAnsi="Georgia" w:cs="Arial"/>
          <w:bCs/>
        </w:rPr>
        <w:t xml:space="preserve"> from Brady solicitors was dated</w:t>
      </w:r>
      <w:r w:rsidR="009C4AD3" w:rsidRPr="0079754D">
        <w:rPr>
          <w:rFonts w:ascii="Georgia" w:hAnsi="Georgia" w:cs="Arial"/>
          <w:bCs/>
        </w:rPr>
        <w:t xml:space="preserve"> </w:t>
      </w:r>
      <w:r w:rsidR="00D76A47" w:rsidRPr="0079754D">
        <w:rPr>
          <w:rFonts w:ascii="Georgia" w:hAnsi="Georgia" w:cs="Arial"/>
          <w:bCs/>
        </w:rPr>
        <w:t xml:space="preserve">December 2025, whereas the First Application had concluded in </w:t>
      </w:r>
      <w:r w:rsidR="00D14BD2" w:rsidRPr="0079754D">
        <w:rPr>
          <w:rFonts w:ascii="Georgia" w:hAnsi="Georgia" w:cs="Arial"/>
          <w:bCs/>
        </w:rPr>
        <w:t xml:space="preserve">April </w:t>
      </w:r>
      <w:r w:rsidR="00D76A47" w:rsidRPr="0079754D">
        <w:rPr>
          <w:rFonts w:ascii="Georgia" w:hAnsi="Georgia" w:cs="Arial"/>
          <w:bCs/>
        </w:rPr>
        <w:t xml:space="preserve">2025.  </w:t>
      </w:r>
      <w:r w:rsidRPr="0079754D">
        <w:rPr>
          <w:rFonts w:ascii="Georgia" w:hAnsi="Georgia" w:cs="Arial"/>
          <w:bCs/>
        </w:rPr>
        <w:t xml:space="preserve"> Elliott Esterson confirmed that Brady Solicitors had not been instructed in relation to the Property but rather the information from Brady Solicitors </w:t>
      </w:r>
      <w:r w:rsidR="00492A0E" w:rsidRPr="0079754D">
        <w:rPr>
          <w:rFonts w:ascii="Georgia" w:hAnsi="Georgia" w:cs="Arial"/>
          <w:bCs/>
        </w:rPr>
        <w:t xml:space="preserve">was included within the bundle to demonstrate the Respondent’s </w:t>
      </w:r>
      <w:r w:rsidRPr="0079754D">
        <w:rPr>
          <w:rFonts w:ascii="Georgia" w:hAnsi="Georgia" w:cs="Arial"/>
          <w:bCs/>
        </w:rPr>
        <w:t>debt recovery process</w:t>
      </w:r>
      <w:r w:rsidR="00714773" w:rsidRPr="0079754D">
        <w:rPr>
          <w:rFonts w:ascii="Georgia" w:hAnsi="Georgia" w:cs="Arial"/>
          <w:bCs/>
        </w:rPr>
        <w:t>.</w:t>
      </w:r>
      <w:r w:rsidRPr="0079754D">
        <w:rPr>
          <w:rFonts w:ascii="Georgia" w:hAnsi="Georgia" w:cs="Arial"/>
          <w:bCs/>
        </w:rPr>
        <w:t xml:space="preserve"> </w:t>
      </w:r>
    </w:p>
    <w:p w14:paraId="58A95E0D" w14:textId="160728E3" w:rsidR="00AD7034" w:rsidRPr="007D3A5F" w:rsidRDefault="007D3A5F" w:rsidP="007D3A5F">
      <w:pPr>
        <w:rPr>
          <w:rFonts w:ascii="Georgia" w:hAnsi="Georgia" w:cs="Arial"/>
          <w:b/>
        </w:rPr>
      </w:pPr>
      <w:r w:rsidRPr="007D3A5F">
        <w:rPr>
          <w:rFonts w:ascii="Georgia" w:hAnsi="Georgia" w:cs="Arial"/>
          <w:b/>
        </w:rPr>
        <w:t>Written Statements</w:t>
      </w:r>
    </w:p>
    <w:p w14:paraId="37F1F74F" w14:textId="77777777" w:rsidR="00AD7034" w:rsidRDefault="00AD7034" w:rsidP="00AD7034">
      <w:pPr>
        <w:pStyle w:val="ListParagraph"/>
        <w:autoSpaceDE w:val="0"/>
        <w:autoSpaceDN w:val="0"/>
        <w:adjustRightInd w:val="0"/>
        <w:spacing w:after="360"/>
        <w:ind w:left="851"/>
        <w:jc w:val="both"/>
        <w:rPr>
          <w:rFonts w:ascii="Georgia" w:hAnsi="Georgia" w:cs="Arial"/>
          <w:bCs/>
        </w:rPr>
      </w:pPr>
    </w:p>
    <w:p w14:paraId="063FB4A7" w14:textId="566E1528" w:rsidR="004C5E19" w:rsidRDefault="007404DC" w:rsidP="00073531">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In her written statement, </w:t>
      </w:r>
      <w:r w:rsidR="00CD2E04">
        <w:rPr>
          <w:rFonts w:ascii="Georgia" w:hAnsi="Georgia" w:cs="Arial"/>
          <w:bCs/>
        </w:rPr>
        <w:t>Angela</w:t>
      </w:r>
      <w:r w:rsidR="0079754D">
        <w:rPr>
          <w:rFonts w:ascii="Georgia" w:hAnsi="Georgia" w:cs="Arial"/>
          <w:bCs/>
        </w:rPr>
        <w:t xml:space="preserve"> </w:t>
      </w:r>
      <w:r w:rsidR="00CD2E04">
        <w:rPr>
          <w:rFonts w:ascii="Georgia" w:hAnsi="Georgia" w:cs="Arial"/>
          <w:bCs/>
        </w:rPr>
        <w:t>Kapusta</w:t>
      </w:r>
      <w:r w:rsidR="00843693">
        <w:rPr>
          <w:rFonts w:ascii="Georgia" w:hAnsi="Georgia" w:cs="Arial"/>
          <w:bCs/>
        </w:rPr>
        <w:t xml:space="preserve"> (director of the Respondent</w:t>
      </w:r>
      <w:r w:rsidR="00CA1680">
        <w:rPr>
          <w:rFonts w:ascii="Georgia" w:hAnsi="Georgia" w:cs="Arial"/>
          <w:bCs/>
        </w:rPr>
        <w:t>)</w:t>
      </w:r>
      <w:r>
        <w:rPr>
          <w:rFonts w:ascii="Georgia" w:hAnsi="Georgia" w:cs="Arial"/>
          <w:bCs/>
        </w:rPr>
        <w:t xml:space="preserve"> </w:t>
      </w:r>
      <w:r w:rsidR="00786A84">
        <w:rPr>
          <w:rFonts w:ascii="Georgia" w:hAnsi="Georgia" w:cs="Arial"/>
          <w:bCs/>
        </w:rPr>
        <w:t>confirmed that</w:t>
      </w:r>
      <w:r w:rsidR="00CC0248">
        <w:rPr>
          <w:rFonts w:ascii="Georgia" w:hAnsi="Georgia" w:cs="Arial"/>
          <w:bCs/>
        </w:rPr>
        <w:t xml:space="preserve"> </w:t>
      </w:r>
      <w:r w:rsidR="00786A84">
        <w:rPr>
          <w:rFonts w:ascii="Georgia" w:hAnsi="Georgia" w:cs="Arial"/>
          <w:bCs/>
        </w:rPr>
        <w:t xml:space="preserve">she </w:t>
      </w:r>
      <w:r w:rsidR="005E66C7">
        <w:rPr>
          <w:rFonts w:ascii="Georgia" w:hAnsi="Georgia" w:cs="Arial"/>
          <w:bCs/>
        </w:rPr>
        <w:t xml:space="preserve">had </w:t>
      </w:r>
      <w:r w:rsidR="00786A84">
        <w:rPr>
          <w:rFonts w:ascii="Georgia" w:hAnsi="Georgia" w:cs="Arial"/>
          <w:bCs/>
        </w:rPr>
        <w:t xml:space="preserve">asked </w:t>
      </w:r>
      <w:r w:rsidR="00CC0248">
        <w:rPr>
          <w:rFonts w:ascii="Georgia" w:hAnsi="Georgia" w:cs="Arial"/>
          <w:bCs/>
        </w:rPr>
        <w:t xml:space="preserve">Elliot Esterson </w:t>
      </w:r>
      <w:r w:rsidR="007B75B5">
        <w:rPr>
          <w:rFonts w:ascii="Georgia" w:hAnsi="Georgia" w:cs="Arial"/>
          <w:bCs/>
        </w:rPr>
        <w:t xml:space="preserve">about the action that could be taken to recover service charge </w:t>
      </w:r>
      <w:r w:rsidR="00466433">
        <w:rPr>
          <w:rFonts w:ascii="Georgia" w:hAnsi="Georgia" w:cs="Arial"/>
          <w:bCs/>
        </w:rPr>
        <w:t>arrears</w:t>
      </w:r>
      <w:r w:rsidR="007B75B5">
        <w:rPr>
          <w:rFonts w:ascii="Georgia" w:hAnsi="Georgia" w:cs="Arial"/>
          <w:bCs/>
        </w:rPr>
        <w:t xml:space="preserve"> from the Applicant</w:t>
      </w:r>
      <w:r w:rsidR="004C593B">
        <w:rPr>
          <w:rFonts w:ascii="Georgia" w:hAnsi="Georgia" w:cs="Arial"/>
          <w:bCs/>
        </w:rPr>
        <w:t xml:space="preserve"> </w:t>
      </w:r>
      <w:r w:rsidR="006E5789">
        <w:rPr>
          <w:rFonts w:ascii="Georgia" w:hAnsi="Georgia" w:cs="Arial"/>
          <w:bCs/>
        </w:rPr>
        <w:t xml:space="preserve">if </w:t>
      </w:r>
      <w:r w:rsidR="004C593B">
        <w:rPr>
          <w:rFonts w:ascii="Georgia" w:hAnsi="Georgia" w:cs="Arial"/>
          <w:bCs/>
        </w:rPr>
        <w:t>he did not pay.</w:t>
      </w:r>
      <w:r w:rsidR="007B75B5">
        <w:rPr>
          <w:rFonts w:ascii="Georgia" w:hAnsi="Georgia" w:cs="Arial"/>
          <w:bCs/>
        </w:rPr>
        <w:t xml:space="preserve"> </w:t>
      </w:r>
      <w:r w:rsidR="004C593B">
        <w:rPr>
          <w:rFonts w:ascii="Georgia" w:hAnsi="Georgia" w:cs="Arial"/>
          <w:bCs/>
        </w:rPr>
        <w:t xml:space="preserve">  </w:t>
      </w:r>
      <w:r w:rsidR="005E66C7">
        <w:rPr>
          <w:rFonts w:ascii="Georgia" w:hAnsi="Georgia" w:cs="Arial"/>
          <w:bCs/>
        </w:rPr>
        <w:t xml:space="preserve">She confirmed </w:t>
      </w:r>
      <w:r w:rsidR="004C593B">
        <w:rPr>
          <w:rFonts w:ascii="Georgia" w:hAnsi="Georgia" w:cs="Arial"/>
          <w:bCs/>
        </w:rPr>
        <w:t xml:space="preserve">that </w:t>
      </w:r>
      <w:r w:rsidR="007B75B5">
        <w:rPr>
          <w:rFonts w:ascii="Georgia" w:hAnsi="Georgia" w:cs="Arial"/>
          <w:bCs/>
        </w:rPr>
        <w:t xml:space="preserve">Elliot Esterson </w:t>
      </w:r>
      <w:r w:rsidR="00F3071D">
        <w:rPr>
          <w:rFonts w:ascii="Georgia" w:hAnsi="Georgia" w:cs="Arial"/>
          <w:bCs/>
        </w:rPr>
        <w:t xml:space="preserve">had </w:t>
      </w:r>
      <w:r w:rsidR="004C593B">
        <w:rPr>
          <w:rFonts w:ascii="Georgia" w:hAnsi="Georgia" w:cs="Arial"/>
          <w:bCs/>
        </w:rPr>
        <w:t xml:space="preserve">answered by explaining </w:t>
      </w:r>
      <w:r w:rsidR="007B75B5">
        <w:rPr>
          <w:rFonts w:ascii="Georgia" w:hAnsi="Georgia" w:cs="Arial"/>
          <w:bCs/>
        </w:rPr>
        <w:t xml:space="preserve">that </w:t>
      </w:r>
      <w:r w:rsidR="00EB4A0C">
        <w:rPr>
          <w:rFonts w:ascii="Georgia" w:hAnsi="Georgia" w:cs="Arial"/>
          <w:bCs/>
        </w:rPr>
        <w:t xml:space="preserve">action could be taken </w:t>
      </w:r>
      <w:r w:rsidR="00B61A54">
        <w:rPr>
          <w:rFonts w:ascii="Georgia" w:hAnsi="Georgia" w:cs="Arial"/>
          <w:bCs/>
        </w:rPr>
        <w:t xml:space="preserve">in the County Court </w:t>
      </w:r>
      <w:r w:rsidR="00EB4A0C">
        <w:rPr>
          <w:rFonts w:ascii="Georgia" w:hAnsi="Georgia" w:cs="Arial"/>
          <w:bCs/>
        </w:rPr>
        <w:t xml:space="preserve">to obtain a judgement against the Applicant and that this judgement could be enforced by </w:t>
      </w:r>
      <w:r w:rsidR="000F6216">
        <w:rPr>
          <w:rFonts w:ascii="Georgia" w:hAnsi="Georgia" w:cs="Arial"/>
          <w:bCs/>
        </w:rPr>
        <w:t>obtaining a chargin</w:t>
      </w:r>
      <w:r w:rsidR="008A7A75">
        <w:rPr>
          <w:rFonts w:ascii="Georgia" w:hAnsi="Georgia" w:cs="Arial"/>
          <w:bCs/>
        </w:rPr>
        <w:t>g</w:t>
      </w:r>
      <w:r w:rsidR="000F6216">
        <w:rPr>
          <w:rFonts w:ascii="Georgia" w:hAnsi="Georgia" w:cs="Arial"/>
          <w:bCs/>
        </w:rPr>
        <w:t xml:space="preserve"> order</w:t>
      </w:r>
      <w:r w:rsidR="008A7A75">
        <w:rPr>
          <w:rFonts w:ascii="Georgia" w:hAnsi="Georgia" w:cs="Arial"/>
          <w:bCs/>
        </w:rPr>
        <w:t>,</w:t>
      </w:r>
      <w:r w:rsidR="00287785">
        <w:rPr>
          <w:rFonts w:ascii="Georgia" w:hAnsi="Georgia" w:cs="Arial"/>
          <w:bCs/>
        </w:rPr>
        <w:t xml:space="preserve"> and that in addition to the </w:t>
      </w:r>
      <w:r w:rsidR="00B34488">
        <w:rPr>
          <w:rFonts w:ascii="Georgia" w:hAnsi="Georgia" w:cs="Arial"/>
          <w:bCs/>
        </w:rPr>
        <w:lastRenderedPageBreak/>
        <w:t>C</w:t>
      </w:r>
      <w:r w:rsidR="00287785">
        <w:rPr>
          <w:rFonts w:ascii="Georgia" w:hAnsi="Georgia" w:cs="Arial"/>
          <w:bCs/>
        </w:rPr>
        <w:t xml:space="preserve">ounty </w:t>
      </w:r>
      <w:r w:rsidR="00B34488">
        <w:rPr>
          <w:rFonts w:ascii="Georgia" w:hAnsi="Georgia" w:cs="Arial"/>
          <w:bCs/>
        </w:rPr>
        <w:t>C</w:t>
      </w:r>
      <w:r w:rsidR="00287785">
        <w:rPr>
          <w:rFonts w:ascii="Georgia" w:hAnsi="Georgia" w:cs="Arial"/>
          <w:bCs/>
        </w:rPr>
        <w:t xml:space="preserve">ourt judgement route, forfeiture of the Applicant’s lease was also an option to </w:t>
      </w:r>
      <w:r w:rsidR="008A7A75">
        <w:rPr>
          <w:rFonts w:ascii="Georgia" w:hAnsi="Georgia" w:cs="Arial"/>
          <w:bCs/>
        </w:rPr>
        <w:t>recover</w:t>
      </w:r>
      <w:r w:rsidR="00287785">
        <w:rPr>
          <w:rFonts w:ascii="Georgia" w:hAnsi="Georgia" w:cs="Arial"/>
          <w:bCs/>
        </w:rPr>
        <w:t xml:space="preserve"> the arrears</w:t>
      </w:r>
      <w:r w:rsidR="00253DDE">
        <w:rPr>
          <w:rFonts w:ascii="Georgia" w:hAnsi="Georgia" w:cs="Arial"/>
          <w:bCs/>
        </w:rPr>
        <w:t xml:space="preserve">.  </w:t>
      </w:r>
    </w:p>
    <w:p w14:paraId="56AFB44D" w14:textId="77777777" w:rsidR="00073531" w:rsidRPr="00073531" w:rsidRDefault="00073531" w:rsidP="00073531">
      <w:pPr>
        <w:pStyle w:val="ListParagraph"/>
        <w:autoSpaceDE w:val="0"/>
        <w:autoSpaceDN w:val="0"/>
        <w:adjustRightInd w:val="0"/>
        <w:spacing w:after="360"/>
        <w:ind w:left="851"/>
        <w:jc w:val="both"/>
        <w:rPr>
          <w:rFonts w:ascii="Georgia" w:hAnsi="Georgia" w:cs="Arial"/>
          <w:bCs/>
        </w:rPr>
      </w:pPr>
    </w:p>
    <w:p w14:paraId="515515E0" w14:textId="619104FA" w:rsidR="00A93C5D" w:rsidRDefault="00073531" w:rsidP="0081588C">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In their written statements</w:t>
      </w:r>
      <w:r w:rsidR="006006A9">
        <w:rPr>
          <w:rFonts w:ascii="Georgia" w:hAnsi="Georgia" w:cs="Arial"/>
          <w:bCs/>
        </w:rPr>
        <w:t>,</w:t>
      </w:r>
      <w:r>
        <w:rPr>
          <w:rFonts w:ascii="Georgia" w:hAnsi="Georgia" w:cs="Arial"/>
          <w:bCs/>
        </w:rPr>
        <w:t xml:space="preserve"> both Laurence Gishen and Barry Cohen</w:t>
      </w:r>
      <w:r w:rsidR="00B3136E">
        <w:rPr>
          <w:rFonts w:ascii="Georgia" w:hAnsi="Georgia" w:cs="Arial"/>
          <w:bCs/>
        </w:rPr>
        <w:t xml:space="preserve"> </w:t>
      </w:r>
      <w:r w:rsidR="00742D15">
        <w:rPr>
          <w:rFonts w:ascii="Georgia" w:hAnsi="Georgia" w:cs="Arial"/>
          <w:bCs/>
        </w:rPr>
        <w:t xml:space="preserve">confirmed that </w:t>
      </w:r>
      <w:r w:rsidR="007D43FA">
        <w:rPr>
          <w:rFonts w:ascii="Georgia" w:hAnsi="Georgia" w:cs="Arial"/>
          <w:bCs/>
        </w:rPr>
        <w:t>Elliot</w:t>
      </w:r>
      <w:r w:rsidR="00227990">
        <w:rPr>
          <w:rFonts w:ascii="Georgia" w:hAnsi="Georgia" w:cs="Arial"/>
          <w:bCs/>
        </w:rPr>
        <w:t xml:space="preserve"> Esterson had telephone</w:t>
      </w:r>
      <w:r w:rsidR="00C722E1">
        <w:rPr>
          <w:rFonts w:ascii="Georgia" w:hAnsi="Georgia" w:cs="Arial"/>
          <w:bCs/>
        </w:rPr>
        <w:t>d</w:t>
      </w:r>
      <w:r w:rsidR="00227990">
        <w:rPr>
          <w:rFonts w:ascii="Georgia" w:hAnsi="Georgia" w:cs="Arial"/>
          <w:bCs/>
        </w:rPr>
        <w:t xml:space="preserve"> them </w:t>
      </w:r>
      <w:r w:rsidR="00334EF2">
        <w:rPr>
          <w:rFonts w:ascii="Georgia" w:hAnsi="Georgia" w:cs="Arial"/>
          <w:bCs/>
        </w:rPr>
        <w:t xml:space="preserve">separately </w:t>
      </w:r>
      <w:r w:rsidR="00005203">
        <w:rPr>
          <w:rFonts w:ascii="Georgia" w:hAnsi="Georgia" w:cs="Arial"/>
          <w:bCs/>
        </w:rPr>
        <w:t xml:space="preserve">to ask them to complete a witness statement on behalf of the Respondent </w:t>
      </w:r>
      <w:r w:rsidR="00DC46FB">
        <w:rPr>
          <w:rFonts w:ascii="Georgia" w:hAnsi="Georgia" w:cs="Arial"/>
          <w:bCs/>
        </w:rPr>
        <w:t>in the First Application</w:t>
      </w:r>
      <w:r w:rsidR="00D46575">
        <w:rPr>
          <w:rFonts w:ascii="Georgia" w:hAnsi="Georgia" w:cs="Arial"/>
          <w:bCs/>
        </w:rPr>
        <w:t xml:space="preserve">.  </w:t>
      </w:r>
      <w:r w:rsidR="00DC46FB">
        <w:rPr>
          <w:rFonts w:ascii="Georgia" w:hAnsi="Georgia" w:cs="Arial"/>
          <w:bCs/>
        </w:rPr>
        <w:t xml:space="preserve">Both Laurence Gishen and Barry Cohen </w:t>
      </w:r>
      <w:r w:rsidR="008259A5">
        <w:rPr>
          <w:rFonts w:ascii="Georgia" w:hAnsi="Georgia" w:cs="Arial"/>
          <w:bCs/>
        </w:rPr>
        <w:t>state</w:t>
      </w:r>
      <w:r w:rsidR="00D46575">
        <w:rPr>
          <w:rFonts w:ascii="Georgia" w:hAnsi="Georgia" w:cs="Arial"/>
          <w:bCs/>
        </w:rPr>
        <w:t xml:space="preserve">d that </w:t>
      </w:r>
      <w:r w:rsidR="006006A9">
        <w:rPr>
          <w:rFonts w:ascii="Georgia" w:hAnsi="Georgia" w:cs="Arial"/>
          <w:bCs/>
        </w:rPr>
        <w:t xml:space="preserve">whilst they were speaking to </w:t>
      </w:r>
      <w:r w:rsidR="007D43FA">
        <w:rPr>
          <w:rFonts w:ascii="Georgia" w:hAnsi="Georgia" w:cs="Arial"/>
          <w:bCs/>
        </w:rPr>
        <w:t>Elliot</w:t>
      </w:r>
      <w:r w:rsidR="00742D15">
        <w:rPr>
          <w:rFonts w:ascii="Georgia" w:hAnsi="Georgia" w:cs="Arial"/>
          <w:bCs/>
        </w:rPr>
        <w:t xml:space="preserve"> Esterson</w:t>
      </w:r>
      <w:r w:rsidR="006006A9">
        <w:rPr>
          <w:rFonts w:ascii="Georgia" w:hAnsi="Georgia" w:cs="Arial"/>
          <w:bCs/>
        </w:rPr>
        <w:t>,</w:t>
      </w:r>
      <w:r w:rsidR="00742D15">
        <w:rPr>
          <w:rFonts w:ascii="Georgia" w:hAnsi="Georgia" w:cs="Arial"/>
          <w:bCs/>
        </w:rPr>
        <w:t xml:space="preserve"> </w:t>
      </w:r>
      <w:r w:rsidR="006006A9">
        <w:rPr>
          <w:rFonts w:ascii="Georgia" w:hAnsi="Georgia" w:cs="Arial"/>
          <w:bCs/>
        </w:rPr>
        <w:t xml:space="preserve">they </w:t>
      </w:r>
      <w:r w:rsidR="00A66F73">
        <w:rPr>
          <w:rFonts w:ascii="Georgia" w:hAnsi="Georgia" w:cs="Arial"/>
          <w:bCs/>
        </w:rPr>
        <w:t xml:space="preserve">had </w:t>
      </w:r>
      <w:r w:rsidR="006006A9">
        <w:rPr>
          <w:rFonts w:ascii="Georgia" w:hAnsi="Georgia" w:cs="Arial"/>
          <w:bCs/>
        </w:rPr>
        <w:t xml:space="preserve">asked </w:t>
      </w:r>
      <w:r w:rsidR="00742D15">
        <w:rPr>
          <w:rFonts w:ascii="Georgia" w:hAnsi="Georgia" w:cs="Arial"/>
          <w:bCs/>
        </w:rPr>
        <w:t>what action c</w:t>
      </w:r>
      <w:r w:rsidR="007D43FA">
        <w:rPr>
          <w:rFonts w:ascii="Georgia" w:hAnsi="Georgia" w:cs="Arial"/>
          <w:bCs/>
        </w:rPr>
        <w:t>ould</w:t>
      </w:r>
      <w:r w:rsidR="00742D15">
        <w:rPr>
          <w:rFonts w:ascii="Georgia" w:hAnsi="Georgia" w:cs="Arial"/>
          <w:bCs/>
        </w:rPr>
        <w:t xml:space="preserve"> be taken to </w:t>
      </w:r>
      <w:r w:rsidR="004E5AFE" w:rsidRPr="00742D15">
        <w:rPr>
          <w:rFonts w:ascii="Georgia" w:hAnsi="Georgia" w:cs="Arial"/>
          <w:bCs/>
        </w:rPr>
        <w:t>recover the Applicant’s outstanding</w:t>
      </w:r>
      <w:r w:rsidR="003A324A">
        <w:rPr>
          <w:rFonts w:ascii="Georgia" w:hAnsi="Georgia" w:cs="Arial"/>
          <w:bCs/>
        </w:rPr>
        <w:t xml:space="preserve"> </w:t>
      </w:r>
      <w:r w:rsidR="004E5AFE" w:rsidRPr="00742D15">
        <w:rPr>
          <w:rFonts w:ascii="Georgia" w:hAnsi="Georgia" w:cs="Arial"/>
          <w:bCs/>
        </w:rPr>
        <w:t>service charge</w:t>
      </w:r>
      <w:r w:rsidR="003A324A">
        <w:rPr>
          <w:rFonts w:ascii="Georgia" w:hAnsi="Georgia" w:cs="Arial"/>
          <w:bCs/>
        </w:rPr>
        <w:t>s</w:t>
      </w:r>
      <w:r w:rsidR="004E5AFE" w:rsidRPr="00742D15">
        <w:rPr>
          <w:rFonts w:ascii="Georgia" w:hAnsi="Georgia" w:cs="Arial"/>
          <w:bCs/>
        </w:rPr>
        <w:t>.</w:t>
      </w:r>
      <w:r w:rsidR="00227990">
        <w:rPr>
          <w:rFonts w:ascii="Georgia" w:hAnsi="Georgia" w:cs="Arial"/>
          <w:bCs/>
        </w:rPr>
        <w:t xml:space="preserve">  Both statements confirmed </w:t>
      </w:r>
      <w:r w:rsidR="008259A5">
        <w:rPr>
          <w:rFonts w:ascii="Georgia" w:hAnsi="Georgia" w:cs="Arial"/>
          <w:bCs/>
        </w:rPr>
        <w:t xml:space="preserve">that </w:t>
      </w:r>
      <w:r w:rsidR="007D43FA">
        <w:rPr>
          <w:rFonts w:ascii="Georgia" w:hAnsi="Georgia" w:cs="Arial"/>
          <w:bCs/>
        </w:rPr>
        <w:t>Elliot</w:t>
      </w:r>
      <w:r w:rsidR="008259A5">
        <w:rPr>
          <w:rFonts w:ascii="Georgia" w:hAnsi="Georgia" w:cs="Arial"/>
          <w:bCs/>
        </w:rPr>
        <w:t xml:space="preserve"> Esterson </w:t>
      </w:r>
      <w:r w:rsidR="00A66F73">
        <w:rPr>
          <w:rFonts w:ascii="Georgia" w:hAnsi="Georgia" w:cs="Arial"/>
          <w:bCs/>
        </w:rPr>
        <w:t xml:space="preserve">had </w:t>
      </w:r>
      <w:r w:rsidR="007D43FA">
        <w:rPr>
          <w:rFonts w:ascii="Georgia" w:hAnsi="Georgia" w:cs="Arial"/>
          <w:bCs/>
        </w:rPr>
        <w:t>advised</w:t>
      </w:r>
      <w:r w:rsidR="008259A5">
        <w:rPr>
          <w:rFonts w:ascii="Georgia" w:hAnsi="Georgia" w:cs="Arial"/>
          <w:bCs/>
        </w:rPr>
        <w:t xml:space="preserve"> that</w:t>
      </w:r>
      <w:r w:rsidR="00A66F73">
        <w:rPr>
          <w:rFonts w:ascii="Georgia" w:hAnsi="Georgia" w:cs="Arial"/>
          <w:bCs/>
        </w:rPr>
        <w:t>,</w:t>
      </w:r>
      <w:r w:rsidR="008259A5">
        <w:rPr>
          <w:rFonts w:ascii="Georgia" w:hAnsi="Georgia" w:cs="Arial"/>
          <w:bCs/>
        </w:rPr>
        <w:t xml:space="preserve"> </w:t>
      </w:r>
      <w:r w:rsidR="00DE0CFF" w:rsidRPr="008259A5">
        <w:rPr>
          <w:rFonts w:ascii="Georgia" w:hAnsi="Georgia" w:cs="Arial"/>
          <w:bCs/>
        </w:rPr>
        <w:t>if the Applicant did not ma</w:t>
      </w:r>
      <w:r w:rsidR="003A324A">
        <w:rPr>
          <w:rFonts w:ascii="Georgia" w:hAnsi="Georgia" w:cs="Arial"/>
          <w:bCs/>
        </w:rPr>
        <w:t>k</w:t>
      </w:r>
      <w:r w:rsidR="00DE0CFF" w:rsidRPr="008259A5">
        <w:rPr>
          <w:rFonts w:ascii="Georgia" w:hAnsi="Georgia" w:cs="Arial"/>
          <w:bCs/>
        </w:rPr>
        <w:t>e payment</w:t>
      </w:r>
      <w:r w:rsidR="003A324A">
        <w:rPr>
          <w:rFonts w:ascii="Georgia" w:hAnsi="Georgia" w:cs="Arial"/>
          <w:bCs/>
        </w:rPr>
        <w:t>,</w:t>
      </w:r>
      <w:r w:rsidR="00DE0CFF" w:rsidRPr="008259A5">
        <w:rPr>
          <w:rFonts w:ascii="Georgia" w:hAnsi="Georgia" w:cs="Arial"/>
          <w:bCs/>
        </w:rPr>
        <w:t xml:space="preserve"> </w:t>
      </w:r>
      <w:r w:rsidR="00283829">
        <w:rPr>
          <w:rFonts w:ascii="Georgia" w:hAnsi="Georgia" w:cs="Arial"/>
          <w:bCs/>
        </w:rPr>
        <w:t xml:space="preserve">and </w:t>
      </w:r>
      <w:r w:rsidR="00DE0CFF" w:rsidRPr="008259A5">
        <w:rPr>
          <w:rFonts w:ascii="Georgia" w:hAnsi="Georgia" w:cs="Arial"/>
          <w:bCs/>
        </w:rPr>
        <w:t xml:space="preserve">if the </w:t>
      </w:r>
      <w:r w:rsidR="00AF7454" w:rsidRPr="008259A5">
        <w:rPr>
          <w:rFonts w:ascii="Georgia" w:hAnsi="Georgia" w:cs="Arial"/>
          <w:bCs/>
        </w:rPr>
        <w:t>Tribunal</w:t>
      </w:r>
      <w:r w:rsidR="00941BC3" w:rsidRPr="008259A5">
        <w:rPr>
          <w:rFonts w:ascii="Georgia" w:hAnsi="Georgia" w:cs="Arial"/>
          <w:bCs/>
        </w:rPr>
        <w:t xml:space="preserve"> determined that the Applicant was liable for these costs, an application seeking a County Court </w:t>
      </w:r>
      <w:r w:rsidR="00946E1B">
        <w:rPr>
          <w:rFonts w:ascii="Georgia" w:hAnsi="Georgia" w:cs="Arial"/>
          <w:bCs/>
        </w:rPr>
        <w:t>j</w:t>
      </w:r>
      <w:r w:rsidR="00AF7454" w:rsidRPr="008259A5">
        <w:rPr>
          <w:rFonts w:ascii="Georgia" w:hAnsi="Georgia" w:cs="Arial"/>
          <w:bCs/>
        </w:rPr>
        <w:t>udgment</w:t>
      </w:r>
      <w:r w:rsidR="00941BC3" w:rsidRPr="008259A5">
        <w:rPr>
          <w:rFonts w:ascii="Georgia" w:hAnsi="Georgia" w:cs="Arial"/>
          <w:bCs/>
        </w:rPr>
        <w:t xml:space="preserve"> </w:t>
      </w:r>
      <w:r w:rsidR="00AF7454">
        <w:rPr>
          <w:rFonts w:ascii="Georgia" w:hAnsi="Georgia" w:cs="Arial"/>
          <w:bCs/>
        </w:rPr>
        <w:t xml:space="preserve">could be made and </w:t>
      </w:r>
      <w:r w:rsidR="00283829">
        <w:rPr>
          <w:rFonts w:ascii="Georgia" w:hAnsi="Georgia" w:cs="Arial"/>
          <w:bCs/>
        </w:rPr>
        <w:t xml:space="preserve">enforced by way of </w:t>
      </w:r>
      <w:r w:rsidR="00941BC3" w:rsidRPr="008259A5">
        <w:rPr>
          <w:rFonts w:ascii="Georgia" w:hAnsi="Georgia" w:cs="Arial"/>
          <w:bCs/>
        </w:rPr>
        <w:t>a charging order against the Applicant’s property.</w:t>
      </w:r>
      <w:r w:rsidR="00283829">
        <w:rPr>
          <w:rFonts w:ascii="Georgia" w:hAnsi="Georgia" w:cs="Arial"/>
          <w:bCs/>
        </w:rPr>
        <w:t xml:space="preserve">  </w:t>
      </w:r>
      <w:r w:rsidR="001803E7">
        <w:rPr>
          <w:rFonts w:ascii="Georgia" w:hAnsi="Georgia" w:cs="Arial"/>
          <w:bCs/>
        </w:rPr>
        <w:t xml:space="preserve">Laurence Gishen’s statement </w:t>
      </w:r>
      <w:r w:rsidR="00D3103A">
        <w:rPr>
          <w:rFonts w:ascii="Georgia" w:hAnsi="Georgia" w:cs="Arial"/>
          <w:bCs/>
        </w:rPr>
        <w:t>recorded:</w:t>
      </w:r>
    </w:p>
    <w:p w14:paraId="37FCB650" w14:textId="77777777" w:rsidR="00A93C5D" w:rsidRDefault="00A93C5D" w:rsidP="009A1E6C">
      <w:pPr>
        <w:pStyle w:val="ListParagraph"/>
        <w:autoSpaceDE w:val="0"/>
        <w:autoSpaceDN w:val="0"/>
        <w:adjustRightInd w:val="0"/>
        <w:spacing w:after="360"/>
        <w:ind w:left="851"/>
        <w:jc w:val="both"/>
        <w:rPr>
          <w:rFonts w:ascii="Georgia" w:hAnsi="Georgia" w:cs="Arial"/>
          <w:bCs/>
        </w:rPr>
      </w:pPr>
    </w:p>
    <w:p w14:paraId="0ADE2C1F" w14:textId="2005F4B0" w:rsidR="00B735EC" w:rsidRDefault="00A93C5D" w:rsidP="00A93C5D">
      <w:pPr>
        <w:autoSpaceDE w:val="0"/>
        <w:autoSpaceDN w:val="0"/>
        <w:adjustRightInd w:val="0"/>
        <w:spacing w:after="360"/>
        <w:ind w:left="1778"/>
        <w:jc w:val="both"/>
        <w:rPr>
          <w:rFonts w:ascii="Georgia" w:hAnsi="Georgia" w:cs="Arial"/>
          <w:bCs/>
        </w:rPr>
      </w:pPr>
      <w:r>
        <w:rPr>
          <w:rFonts w:ascii="Georgia" w:hAnsi="Georgia" w:cs="Arial"/>
          <w:bCs/>
        </w:rPr>
        <w:t>“</w:t>
      </w:r>
      <w:r w:rsidR="00B735EC" w:rsidRPr="00A93C5D">
        <w:rPr>
          <w:rFonts w:ascii="Georgia" w:hAnsi="Georgia" w:cs="Arial"/>
          <w:bCs/>
        </w:rPr>
        <w:t xml:space="preserve">Mr Esterson also </w:t>
      </w:r>
      <w:r w:rsidR="00ED5763" w:rsidRPr="00A93C5D">
        <w:rPr>
          <w:rFonts w:ascii="Georgia" w:hAnsi="Georgia" w:cs="Arial"/>
          <w:bCs/>
        </w:rPr>
        <w:t xml:space="preserve">said </w:t>
      </w:r>
      <w:r w:rsidR="009A1E6C">
        <w:rPr>
          <w:rFonts w:ascii="Georgia" w:hAnsi="Georgia" w:cs="Arial"/>
          <w:bCs/>
        </w:rPr>
        <w:t xml:space="preserve">on this phone call </w:t>
      </w:r>
      <w:r w:rsidR="00B735EC" w:rsidRPr="00A93C5D">
        <w:rPr>
          <w:rFonts w:ascii="Georgia" w:hAnsi="Georgia" w:cs="Arial"/>
          <w:bCs/>
        </w:rPr>
        <w:t>that forfeiture of the Applicant’s lease was being considered</w:t>
      </w:r>
      <w:r w:rsidR="009A1E6C">
        <w:rPr>
          <w:rFonts w:ascii="Georgia" w:hAnsi="Georgia" w:cs="Arial"/>
          <w:bCs/>
        </w:rPr>
        <w:t xml:space="preserve">, </w:t>
      </w:r>
      <w:r w:rsidR="00B735EC" w:rsidRPr="00A93C5D">
        <w:rPr>
          <w:rFonts w:ascii="Georgia" w:hAnsi="Georgia" w:cs="Arial"/>
          <w:bCs/>
        </w:rPr>
        <w:t>subject to</w:t>
      </w:r>
      <w:r w:rsidR="00F623BB" w:rsidRPr="00A93C5D">
        <w:rPr>
          <w:rFonts w:ascii="Georgia" w:hAnsi="Georgia" w:cs="Arial"/>
          <w:bCs/>
        </w:rPr>
        <w:t xml:space="preserve"> </w:t>
      </w:r>
      <w:r w:rsidR="000A1CDA" w:rsidRPr="00A93C5D">
        <w:rPr>
          <w:rFonts w:ascii="Georgia" w:hAnsi="Georgia" w:cs="Arial"/>
          <w:bCs/>
        </w:rPr>
        <w:t>support and approval</w:t>
      </w:r>
      <w:r w:rsidR="00F623BB" w:rsidRPr="00A93C5D">
        <w:rPr>
          <w:rFonts w:ascii="Georgia" w:hAnsi="Georgia" w:cs="Arial"/>
          <w:bCs/>
        </w:rPr>
        <w:t xml:space="preserve"> from the freeholder</w:t>
      </w:r>
      <w:r w:rsidR="00D3103A">
        <w:rPr>
          <w:rFonts w:ascii="Georgia" w:hAnsi="Georgia" w:cs="Arial"/>
          <w:bCs/>
        </w:rPr>
        <w:t>”.</w:t>
      </w:r>
    </w:p>
    <w:p w14:paraId="5CC899F8" w14:textId="50A1FB0C" w:rsidR="00D3103A" w:rsidRDefault="00D3103A" w:rsidP="00D3103A">
      <w:pPr>
        <w:autoSpaceDE w:val="0"/>
        <w:autoSpaceDN w:val="0"/>
        <w:adjustRightInd w:val="0"/>
        <w:spacing w:after="360"/>
        <w:jc w:val="both"/>
        <w:rPr>
          <w:rFonts w:ascii="Georgia" w:hAnsi="Georgia" w:cs="Arial"/>
          <w:bCs/>
        </w:rPr>
      </w:pPr>
      <w:r>
        <w:rPr>
          <w:rFonts w:ascii="Georgia" w:hAnsi="Georgia" w:cs="Arial"/>
          <w:bCs/>
        </w:rPr>
        <w:tab/>
      </w:r>
      <w:r w:rsidR="00965809">
        <w:rPr>
          <w:rFonts w:ascii="Georgia" w:hAnsi="Georgia" w:cs="Arial"/>
          <w:bCs/>
        </w:rPr>
        <w:t xml:space="preserve">Barry Cohen’s statement recorded that: </w:t>
      </w:r>
    </w:p>
    <w:p w14:paraId="0F674089" w14:textId="0266BC88" w:rsidR="00264CD5" w:rsidRDefault="00264CD5" w:rsidP="00965809">
      <w:pPr>
        <w:autoSpaceDE w:val="0"/>
        <w:autoSpaceDN w:val="0"/>
        <w:adjustRightInd w:val="0"/>
        <w:spacing w:after="360"/>
        <w:jc w:val="both"/>
        <w:rPr>
          <w:rFonts w:ascii="Georgia" w:hAnsi="Georgia" w:cs="Arial"/>
          <w:bCs/>
        </w:rPr>
      </w:pPr>
    </w:p>
    <w:p w14:paraId="0B395E4F" w14:textId="6C897859" w:rsidR="00ED5763" w:rsidRPr="00091461" w:rsidRDefault="008E31FA" w:rsidP="00091461">
      <w:pPr>
        <w:autoSpaceDE w:val="0"/>
        <w:autoSpaceDN w:val="0"/>
        <w:adjustRightInd w:val="0"/>
        <w:spacing w:after="360"/>
        <w:ind w:left="1778"/>
        <w:jc w:val="both"/>
        <w:rPr>
          <w:rFonts w:ascii="Georgia" w:hAnsi="Georgia" w:cs="Arial"/>
          <w:bCs/>
        </w:rPr>
      </w:pPr>
      <w:r>
        <w:rPr>
          <w:rFonts w:ascii="Georgia" w:hAnsi="Georgia" w:cs="Arial"/>
          <w:bCs/>
        </w:rPr>
        <w:t>“Mr Esterson also mentioned that forfeiture of the Applicant’s lease was being considered subject to the freeholder</w:t>
      </w:r>
      <w:r w:rsidR="00965809">
        <w:rPr>
          <w:rFonts w:ascii="Georgia" w:hAnsi="Georgia" w:cs="Arial"/>
          <w:bCs/>
        </w:rPr>
        <w:t>’</w:t>
      </w:r>
      <w:r>
        <w:rPr>
          <w:rFonts w:ascii="Georgia" w:hAnsi="Georgia" w:cs="Arial"/>
          <w:bCs/>
        </w:rPr>
        <w:t>s agreement and assistance”</w:t>
      </w:r>
      <w:r w:rsidR="00A123DA">
        <w:rPr>
          <w:rFonts w:ascii="Georgia" w:hAnsi="Georgia" w:cs="Arial"/>
          <w:bCs/>
        </w:rPr>
        <w:t>.</w:t>
      </w:r>
    </w:p>
    <w:p w14:paraId="7458D124" w14:textId="4C14836B" w:rsidR="00126BB4" w:rsidRPr="00A41803" w:rsidRDefault="00C05E39" w:rsidP="00A41803">
      <w:pPr>
        <w:autoSpaceDE w:val="0"/>
        <w:autoSpaceDN w:val="0"/>
        <w:adjustRightInd w:val="0"/>
        <w:spacing w:after="360"/>
        <w:ind w:left="142"/>
        <w:jc w:val="both"/>
        <w:rPr>
          <w:rFonts w:ascii="Georgia" w:hAnsi="Georgia" w:cs="Arial"/>
          <w:b/>
        </w:rPr>
      </w:pPr>
      <w:r w:rsidRPr="00A41803">
        <w:rPr>
          <w:rFonts w:ascii="Georgia" w:hAnsi="Georgia" w:cs="Arial"/>
          <w:b/>
        </w:rPr>
        <w:t>The Applicant’s Position</w:t>
      </w:r>
    </w:p>
    <w:p w14:paraId="5062AB77" w14:textId="6C91B484" w:rsidR="00126BB4" w:rsidRDefault="00126BB4" w:rsidP="001C52C7">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The Applicant told the Tribunal that </w:t>
      </w:r>
      <w:r w:rsidR="00071568">
        <w:rPr>
          <w:rFonts w:ascii="Georgia" w:hAnsi="Georgia" w:cs="Arial"/>
          <w:bCs/>
        </w:rPr>
        <w:t xml:space="preserve">he had brought the First Application because </w:t>
      </w:r>
      <w:r w:rsidR="0042526C">
        <w:rPr>
          <w:rFonts w:ascii="Georgia" w:hAnsi="Georgia" w:cs="Arial"/>
          <w:bCs/>
        </w:rPr>
        <w:t xml:space="preserve">he wanted to have </w:t>
      </w:r>
      <w:r w:rsidR="006B63C3">
        <w:rPr>
          <w:rFonts w:ascii="Georgia" w:hAnsi="Georgia" w:cs="Arial"/>
          <w:bCs/>
        </w:rPr>
        <w:t>a</w:t>
      </w:r>
      <w:r w:rsidR="0042526C">
        <w:rPr>
          <w:rFonts w:ascii="Georgia" w:hAnsi="Georgia" w:cs="Arial"/>
          <w:bCs/>
        </w:rPr>
        <w:t xml:space="preserve"> resolution </w:t>
      </w:r>
      <w:r w:rsidR="00D159B0">
        <w:rPr>
          <w:rFonts w:ascii="Georgia" w:hAnsi="Georgia" w:cs="Arial"/>
          <w:bCs/>
        </w:rPr>
        <w:t>as to</w:t>
      </w:r>
      <w:r w:rsidR="007C0851">
        <w:rPr>
          <w:rFonts w:ascii="Georgia" w:hAnsi="Georgia" w:cs="Arial"/>
          <w:bCs/>
        </w:rPr>
        <w:t xml:space="preserve"> </w:t>
      </w:r>
      <w:r w:rsidR="0042526C">
        <w:rPr>
          <w:rFonts w:ascii="Georgia" w:hAnsi="Georgia" w:cs="Arial"/>
          <w:bCs/>
        </w:rPr>
        <w:t xml:space="preserve">the amount of service </w:t>
      </w:r>
      <w:proofErr w:type="gramStart"/>
      <w:r w:rsidR="0042526C">
        <w:rPr>
          <w:rFonts w:ascii="Georgia" w:hAnsi="Georgia" w:cs="Arial"/>
          <w:bCs/>
        </w:rPr>
        <w:t>charge</w:t>
      </w:r>
      <w:proofErr w:type="gramEnd"/>
      <w:r w:rsidR="0042526C">
        <w:rPr>
          <w:rFonts w:ascii="Georgia" w:hAnsi="Georgia" w:cs="Arial"/>
          <w:bCs/>
        </w:rPr>
        <w:t xml:space="preserve"> he was liable to pay</w:t>
      </w:r>
      <w:r w:rsidR="007C0851">
        <w:rPr>
          <w:rFonts w:ascii="Georgia" w:hAnsi="Georgia" w:cs="Arial"/>
          <w:bCs/>
        </w:rPr>
        <w:t>.  He</w:t>
      </w:r>
      <w:r w:rsidR="00AB39DD">
        <w:rPr>
          <w:rFonts w:ascii="Georgia" w:hAnsi="Georgia" w:cs="Arial"/>
          <w:bCs/>
        </w:rPr>
        <w:t xml:space="preserve"> </w:t>
      </w:r>
      <w:r w:rsidR="00F44A2B">
        <w:rPr>
          <w:rFonts w:ascii="Georgia" w:hAnsi="Georgia" w:cs="Arial"/>
          <w:bCs/>
        </w:rPr>
        <w:t xml:space="preserve">stated that he had </w:t>
      </w:r>
      <w:r w:rsidR="004D57E4">
        <w:rPr>
          <w:rFonts w:ascii="Georgia" w:hAnsi="Georgia" w:cs="Arial"/>
          <w:bCs/>
        </w:rPr>
        <w:t>“</w:t>
      </w:r>
      <w:r w:rsidR="000A29A5">
        <w:rPr>
          <w:rFonts w:ascii="Georgia" w:hAnsi="Georgia" w:cs="Arial"/>
          <w:bCs/>
        </w:rPr>
        <w:t>serious and genuine concerns</w:t>
      </w:r>
      <w:r w:rsidR="004D57E4">
        <w:rPr>
          <w:rFonts w:ascii="Georgia" w:hAnsi="Georgia" w:cs="Arial"/>
          <w:bCs/>
        </w:rPr>
        <w:t>”</w:t>
      </w:r>
      <w:r w:rsidR="00D03D2F">
        <w:rPr>
          <w:rFonts w:ascii="Georgia" w:hAnsi="Georgia" w:cs="Arial"/>
          <w:bCs/>
        </w:rPr>
        <w:t xml:space="preserve"> </w:t>
      </w:r>
      <w:r w:rsidR="00CB56F8">
        <w:rPr>
          <w:rFonts w:ascii="Georgia" w:hAnsi="Georgia" w:cs="Arial"/>
          <w:bCs/>
        </w:rPr>
        <w:t>and had</w:t>
      </w:r>
      <w:r w:rsidR="00D03D2F">
        <w:rPr>
          <w:rFonts w:ascii="Georgia" w:hAnsi="Georgia" w:cs="Arial"/>
          <w:bCs/>
        </w:rPr>
        <w:t xml:space="preserve"> turned to the Tribunal for help</w:t>
      </w:r>
      <w:r w:rsidR="0042526C">
        <w:rPr>
          <w:rFonts w:ascii="Georgia" w:hAnsi="Georgia" w:cs="Arial"/>
          <w:bCs/>
        </w:rPr>
        <w:t>.</w:t>
      </w:r>
      <w:r w:rsidR="006B63C3">
        <w:rPr>
          <w:rFonts w:ascii="Georgia" w:hAnsi="Georgia" w:cs="Arial"/>
          <w:bCs/>
        </w:rPr>
        <w:t xml:space="preserve">  </w:t>
      </w:r>
      <w:r w:rsidR="00313C3A">
        <w:rPr>
          <w:rFonts w:ascii="Georgia" w:hAnsi="Georgia" w:cs="Arial"/>
          <w:bCs/>
        </w:rPr>
        <w:t xml:space="preserve">The Applicant stated that in essence </w:t>
      </w:r>
      <w:r w:rsidR="00CB56F8">
        <w:rPr>
          <w:rFonts w:ascii="Georgia" w:hAnsi="Georgia" w:cs="Arial"/>
          <w:bCs/>
        </w:rPr>
        <w:t xml:space="preserve">he had </w:t>
      </w:r>
      <w:r w:rsidR="00313C3A">
        <w:rPr>
          <w:rFonts w:ascii="Georgia" w:hAnsi="Georgia" w:cs="Arial"/>
          <w:bCs/>
        </w:rPr>
        <w:t xml:space="preserve">wished to </w:t>
      </w:r>
      <w:r w:rsidR="006C7D64">
        <w:rPr>
          <w:rFonts w:ascii="Georgia" w:hAnsi="Georgia" w:cs="Arial"/>
          <w:bCs/>
        </w:rPr>
        <w:t>raise</w:t>
      </w:r>
      <w:r w:rsidR="00313C3A">
        <w:rPr>
          <w:rFonts w:ascii="Georgia" w:hAnsi="Georgia" w:cs="Arial"/>
          <w:bCs/>
        </w:rPr>
        <w:t xml:space="preserve"> two </w:t>
      </w:r>
      <w:r w:rsidR="001E1E72">
        <w:rPr>
          <w:rFonts w:ascii="Georgia" w:hAnsi="Georgia" w:cs="Arial"/>
          <w:bCs/>
        </w:rPr>
        <w:t>issues</w:t>
      </w:r>
      <w:r w:rsidR="008A5E47">
        <w:rPr>
          <w:rFonts w:ascii="Georgia" w:hAnsi="Georgia" w:cs="Arial"/>
          <w:bCs/>
        </w:rPr>
        <w:t>,</w:t>
      </w:r>
      <w:r w:rsidR="001E1E72">
        <w:rPr>
          <w:rFonts w:ascii="Georgia" w:hAnsi="Georgia" w:cs="Arial"/>
          <w:bCs/>
        </w:rPr>
        <w:t xml:space="preserve"> </w:t>
      </w:r>
      <w:r w:rsidR="00313C3A">
        <w:rPr>
          <w:rFonts w:ascii="Georgia" w:hAnsi="Georgia" w:cs="Arial"/>
          <w:bCs/>
        </w:rPr>
        <w:t>namely: was Angela Kapusta</w:t>
      </w:r>
      <w:r w:rsidR="006C7D64">
        <w:rPr>
          <w:rFonts w:ascii="Georgia" w:hAnsi="Georgia" w:cs="Arial"/>
          <w:bCs/>
        </w:rPr>
        <w:t xml:space="preserve"> an elected director of the Respondent; and, </w:t>
      </w:r>
      <w:r w:rsidR="004B7E17">
        <w:rPr>
          <w:rFonts w:ascii="Georgia" w:hAnsi="Georgia" w:cs="Arial"/>
          <w:bCs/>
        </w:rPr>
        <w:t>had</w:t>
      </w:r>
      <w:r w:rsidR="00787002">
        <w:rPr>
          <w:rFonts w:ascii="Georgia" w:hAnsi="Georgia" w:cs="Arial"/>
          <w:bCs/>
        </w:rPr>
        <w:t xml:space="preserve"> the section 20 notice </w:t>
      </w:r>
      <w:r w:rsidR="004B7E17">
        <w:rPr>
          <w:rFonts w:ascii="Georgia" w:hAnsi="Georgia" w:cs="Arial"/>
          <w:bCs/>
        </w:rPr>
        <w:t xml:space="preserve">been </w:t>
      </w:r>
      <w:r w:rsidR="00787002">
        <w:rPr>
          <w:rFonts w:ascii="Georgia" w:hAnsi="Georgia" w:cs="Arial"/>
          <w:bCs/>
        </w:rPr>
        <w:t>proper</w:t>
      </w:r>
      <w:r w:rsidR="00D159B0">
        <w:rPr>
          <w:rFonts w:ascii="Georgia" w:hAnsi="Georgia" w:cs="Arial"/>
          <w:bCs/>
        </w:rPr>
        <w:t>l</w:t>
      </w:r>
      <w:r w:rsidR="00787002">
        <w:rPr>
          <w:rFonts w:ascii="Georgia" w:hAnsi="Georgia" w:cs="Arial"/>
          <w:bCs/>
        </w:rPr>
        <w:t xml:space="preserve">y served </w:t>
      </w:r>
      <w:r w:rsidR="00D159B0">
        <w:rPr>
          <w:rFonts w:ascii="Georgia" w:hAnsi="Georgia" w:cs="Arial"/>
          <w:bCs/>
        </w:rPr>
        <w:t>and</w:t>
      </w:r>
      <w:r w:rsidR="00787002">
        <w:rPr>
          <w:rFonts w:ascii="Georgia" w:hAnsi="Georgia" w:cs="Arial"/>
          <w:bCs/>
        </w:rPr>
        <w:t xml:space="preserve"> the correct procedure followed.</w:t>
      </w:r>
      <w:r w:rsidR="006C7D64">
        <w:rPr>
          <w:rFonts w:ascii="Georgia" w:hAnsi="Georgia" w:cs="Arial"/>
          <w:bCs/>
        </w:rPr>
        <w:t xml:space="preserve"> </w:t>
      </w:r>
      <w:r w:rsidR="006B63C3">
        <w:rPr>
          <w:rFonts w:ascii="Georgia" w:hAnsi="Georgia" w:cs="Arial"/>
          <w:bCs/>
        </w:rPr>
        <w:t xml:space="preserve">He further confirmed that once the </w:t>
      </w:r>
      <w:r w:rsidR="00DD5096">
        <w:rPr>
          <w:rFonts w:ascii="Georgia" w:hAnsi="Georgia" w:cs="Arial"/>
          <w:bCs/>
        </w:rPr>
        <w:t>T</w:t>
      </w:r>
      <w:r w:rsidR="006B63C3">
        <w:rPr>
          <w:rFonts w:ascii="Georgia" w:hAnsi="Georgia" w:cs="Arial"/>
          <w:bCs/>
        </w:rPr>
        <w:t xml:space="preserve">ribunal had made its decision, </w:t>
      </w:r>
      <w:r w:rsidR="00341798">
        <w:rPr>
          <w:rFonts w:ascii="Georgia" w:hAnsi="Georgia" w:cs="Arial"/>
          <w:bCs/>
        </w:rPr>
        <w:t xml:space="preserve">he </w:t>
      </w:r>
      <w:r w:rsidR="008A5E47">
        <w:rPr>
          <w:rFonts w:ascii="Georgia" w:hAnsi="Georgia" w:cs="Arial"/>
          <w:bCs/>
        </w:rPr>
        <w:t xml:space="preserve">had </w:t>
      </w:r>
      <w:r w:rsidR="00341798">
        <w:rPr>
          <w:rFonts w:ascii="Georgia" w:hAnsi="Georgia" w:cs="Arial"/>
          <w:bCs/>
        </w:rPr>
        <w:t xml:space="preserve">paid the </w:t>
      </w:r>
      <w:r w:rsidR="006B63C3">
        <w:rPr>
          <w:rFonts w:ascii="Georgia" w:hAnsi="Georgia" w:cs="Arial"/>
          <w:bCs/>
        </w:rPr>
        <w:t>outstanding amount the next day.</w:t>
      </w:r>
      <w:r w:rsidR="00DD5096">
        <w:rPr>
          <w:rFonts w:ascii="Georgia" w:hAnsi="Georgia" w:cs="Arial"/>
          <w:bCs/>
        </w:rPr>
        <w:t xml:space="preserve">   He told the Tribunal that it </w:t>
      </w:r>
      <w:r w:rsidR="00FD49A0">
        <w:rPr>
          <w:rFonts w:ascii="Georgia" w:hAnsi="Georgia" w:cs="Arial"/>
          <w:bCs/>
        </w:rPr>
        <w:t>had</w:t>
      </w:r>
      <w:r w:rsidR="00DD5096">
        <w:rPr>
          <w:rFonts w:ascii="Georgia" w:hAnsi="Georgia" w:cs="Arial"/>
          <w:bCs/>
        </w:rPr>
        <w:t xml:space="preserve"> never </w:t>
      </w:r>
      <w:r w:rsidR="00FD49A0">
        <w:rPr>
          <w:rFonts w:ascii="Georgia" w:hAnsi="Georgia" w:cs="Arial"/>
          <w:bCs/>
        </w:rPr>
        <w:t xml:space="preserve">been </w:t>
      </w:r>
      <w:r w:rsidR="00DD5096">
        <w:rPr>
          <w:rFonts w:ascii="Georgia" w:hAnsi="Georgia" w:cs="Arial"/>
          <w:bCs/>
        </w:rPr>
        <w:t xml:space="preserve">his intention not to pay, he </w:t>
      </w:r>
      <w:r w:rsidR="00FD49A0">
        <w:rPr>
          <w:rFonts w:ascii="Georgia" w:hAnsi="Georgia" w:cs="Arial"/>
          <w:bCs/>
        </w:rPr>
        <w:t xml:space="preserve">had </w:t>
      </w:r>
      <w:r w:rsidR="00DD5096">
        <w:rPr>
          <w:rFonts w:ascii="Georgia" w:hAnsi="Georgia" w:cs="Arial"/>
          <w:bCs/>
        </w:rPr>
        <w:t>simply wanted confirmation from the Tribunal that the amount was payable.</w:t>
      </w:r>
    </w:p>
    <w:p w14:paraId="0476AB40" w14:textId="77777777" w:rsidR="00290F44" w:rsidRPr="00290F44" w:rsidRDefault="00290F44" w:rsidP="00290F44">
      <w:pPr>
        <w:pStyle w:val="ListParagraph"/>
        <w:rPr>
          <w:rFonts w:ascii="Georgia" w:hAnsi="Georgia" w:cs="Arial"/>
          <w:bCs/>
        </w:rPr>
      </w:pPr>
    </w:p>
    <w:p w14:paraId="6EEFC143" w14:textId="531BB2D2" w:rsidR="00C05E39" w:rsidRPr="00C05E39" w:rsidRDefault="00D80C99" w:rsidP="00C05E39">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The Applicant submitted that </w:t>
      </w:r>
      <w:r w:rsidR="002B577A">
        <w:rPr>
          <w:rFonts w:ascii="Georgia" w:hAnsi="Georgia" w:cs="Arial"/>
          <w:bCs/>
        </w:rPr>
        <w:t xml:space="preserve">there </w:t>
      </w:r>
      <w:r w:rsidR="00FD49A0">
        <w:rPr>
          <w:rFonts w:ascii="Georgia" w:hAnsi="Georgia" w:cs="Arial"/>
          <w:bCs/>
        </w:rPr>
        <w:t>had been</w:t>
      </w:r>
      <w:r w:rsidR="002B577A">
        <w:rPr>
          <w:rFonts w:ascii="Georgia" w:hAnsi="Georgia" w:cs="Arial"/>
          <w:bCs/>
        </w:rPr>
        <w:t xml:space="preserve"> no mention of </w:t>
      </w:r>
      <w:r w:rsidR="00852496">
        <w:rPr>
          <w:rFonts w:ascii="Georgia" w:hAnsi="Georgia" w:cs="Arial"/>
          <w:bCs/>
        </w:rPr>
        <w:t>forfeitur</w:t>
      </w:r>
      <w:r w:rsidR="00D159B0">
        <w:rPr>
          <w:rFonts w:ascii="Georgia" w:hAnsi="Georgia" w:cs="Arial"/>
          <w:bCs/>
        </w:rPr>
        <w:t xml:space="preserve">e </w:t>
      </w:r>
      <w:r w:rsidR="005507BD">
        <w:rPr>
          <w:rFonts w:ascii="Georgia" w:hAnsi="Georgia" w:cs="Arial"/>
          <w:bCs/>
        </w:rPr>
        <w:t xml:space="preserve">in </w:t>
      </w:r>
      <w:r w:rsidR="002B577A">
        <w:rPr>
          <w:rFonts w:ascii="Georgia" w:hAnsi="Georgia" w:cs="Arial"/>
          <w:bCs/>
        </w:rPr>
        <w:t>the First Application</w:t>
      </w:r>
      <w:r w:rsidR="005507BD">
        <w:rPr>
          <w:rFonts w:ascii="Georgia" w:hAnsi="Georgia" w:cs="Arial"/>
          <w:bCs/>
        </w:rPr>
        <w:t>, in</w:t>
      </w:r>
      <w:r w:rsidR="00AE4925">
        <w:rPr>
          <w:rFonts w:ascii="Georgia" w:hAnsi="Georgia" w:cs="Arial"/>
          <w:bCs/>
        </w:rPr>
        <w:t>cluding in</w:t>
      </w:r>
      <w:r w:rsidR="005507BD">
        <w:rPr>
          <w:rFonts w:ascii="Georgia" w:hAnsi="Georgia" w:cs="Arial"/>
          <w:bCs/>
        </w:rPr>
        <w:t xml:space="preserve"> any witness statement</w:t>
      </w:r>
      <w:r w:rsidR="00E62A7E">
        <w:rPr>
          <w:rFonts w:ascii="Georgia" w:hAnsi="Georgia" w:cs="Arial"/>
          <w:bCs/>
        </w:rPr>
        <w:t xml:space="preserve">.  The Applicant </w:t>
      </w:r>
      <w:r w:rsidR="00E450B0">
        <w:rPr>
          <w:rFonts w:ascii="Georgia" w:hAnsi="Georgia" w:cs="Arial"/>
          <w:bCs/>
        </w:rPr>
        <w:t xml:space="preserve">asked the </w:t>
      </w:r>
      <w:r w:rsidR="007359CA">
        <w:rPr>
          <w:rFonts w:ascii="Georgia" w:hAnsi="Georgia" w:cs="Arial"/>
          <w:bCs/>
        </w:rPr>
        <w:t>Tribunal</w:t>
      </w:r>
      <w:r w:rsidR="00E450B0">
        <w:rPr>
          <w:rFonts w:ascii="Georgia" w:hAnsi="Georgia" w:cs="Arial"/>
          <w:bCs/>
        </w:rPr>
        <w:t xml:space="preserve"> to note</w:t>
      </w:r>
      <w:r w:rsidR="00E62A7E">
        <w:rPr>
          <w:rFonts w:ascii="Georgia" w:hAnsi="Georgia" w:cs="Arial"/>
          <w:bCs/>
        </w:rPr>
        <w:t xml:space="preserve"> that the Respondent </w:t>
      </w:r>
      <w:r w:rsidR="00A12858">
        <w:rPr>
          <w:rFonts w:ascii="Georgia" w:hAnsi="Georgia" w:cs="Arial"/>
          <w:bCs/>
        </w:rPr>
        <w:t>had</w:t>
      </w:r>
      <w:r w:rsidR="00E62A7E">
        <w:rPr>
          <w:rFonts w:ascii="Georgia" w:hAnsi="Georgia" w:cs="Arial"/>
          <w:bCs/>
        </w:rPr>
        <w:t xml:space="preserve"> not contac</w:t>
      </w:r>
      <w:r w:rsidR="00A12858">
        <w:rPr>
          <w:rFonts w:ascii="Georgia" w:hAnsi="Georgia" w:cs="Arial"/>
          <w:bCs/>
        </w:rPr>
        <w:t xml:space="preserve">ted </w:t>
      </w:r>
      <w:r w:rsidR="00E62A7E">
        <w:rPr>
          <w:rFonts w:ascii="Georgia" w:hAnsi="Georgia" w:cs="Arial"/>
          <w:bCs/>
        </w:rPr>
        <w:t>the freeholder to ask if they would contemplate a for</w:t>
      </w:r>
      <w:r w:rsidR="003707F9">
        <w:rPr>
          <w:rFonts w:ascii="Georgia" w:hAnsi="Georgia" w:cs="Arial"/>
          <w:bCs/>
        </w:rPr>
        <w:t>feiture action until 3 June 2025</w:t>
      </w:r>
      <w:r w:rsidR="00A12858">
        <w:rPr>
          <w:rFonts w:ascii="Georgia" w:hAnsi="Georgia" w:cs="Arial"/>
          <w:bCs/>
        </w:rPr>
        <w:t>;</w:t>
      </w:r>
      <w:r w:rsidR="0011663E">
        <w:rPr>
          <w:rFonts w:ascii="Georgia" w:hAnsi="Georgia" w:cs="Arial"/>
          <w:bCs/>
        </w:rPr>
        <w:t xml:space="preserve"> this was after the </w:t>
      </w:r>
      <w:r w:rsidR="007359CA">
        <w:rPr>
          <w:rFonts w:ascii="Georgia" w:hAnsi="Georgia" w:cs="Arial"/>
          <w:bCs/>
        </w:rPr>
        <w:t>Tribunal</w:t>
      </w:r>
      <w:r w:rsidR="0011663E">
        <w:rPr>
          <w:rFonts w:ascii="Georgia" w:hAnsi="Georgia" w:cs="Arial"/>
          <w:bCs/>
        </w:rPr>
        <w:t xml:space="preserve"> had given its </w:t>
      </w:r>
      <w:r w:rsidR="0011663E">
        <w:rPr>
          <w:rFonts w:ascii="Georgia" w:hAnsi="Georgia" w:cs="Arial"/>
          <w:bCs/>
        </w:rPr>
        <w:lastRenderedPageBreak/>
        <w:t xml:space="preserve">decision </w:t>
      </w:r>
      <w:r w:rsidR="007359CA">
        <w:rPr>
          <w:rFonts w:ascii="Georgia" w:hAnsi="Georgia" w:cs="Arial"/>
          <w:bCs/>
        </w:rPr>
        <w:t>on the First Application</w:t>
      </w:r>
      <w:r w:rsidR="00B41705">
        <w:rPr>
          <w:rFonts w:ascii="Georgia" w:hAnsi="Georgia" w:cs="Arial"/>
          <w:bCs/>
        </w:rPr>
        <w:t xml:space="preserve">, </w:t>
      </w:r>
      <w:r w:rsidR="00B04A20">
        <w:rPr>
          <w:rFonts w:ascii="Georgia" w:hAnsi="Georgia" w:cs="Arial"/>
          <w:bCs/>
        </w:rPr>
        <w:t xml:space="preserve">and </w:t>
      </w:r>
      <w:r w:rsidR="007359CA">
        <w:rPr>
          <w:rFonts w:ascii="Georgia" w:hAnsi="Georgia" w:cs="Arial"/>
          <w:bCs/>
        </w:rPr>
        <w:t>after the Applicant had paid the outstanding amount of service charges</w:t>
      </w:r>
      <w:r w:rsidR="009F62BE">
        <w:rPr>
          <w:rFonts w:ascii="Georgia" w:hAnsi="Georgia" w:cs="Arial"/>
          <w:bCs/>
        </w:rPr>
        <w:t xml:space="preserve">.  </w:t>
      </w:r>
      <w:r w:rsidR="005A0AFB">
        <w:rPr>
          <w:rFonts w:ascii="Georgia" w:hAnsi="Georgia" w:cs="Arial"/>
          <w:bCs/>
        </w:rPr>
        <w:t xml:space="preserve">It was the Applicant’s position that the Respondent </w:t>
      </w:r>
      <w:r w:rsidR="00B051C5">
        <w:rPr>
          <w:rFonts w:ascii="Georgia" w:hAnsi="Georgia" w:cs="Arial"/>
          <w:bCs/>
        </w:rPr>
        <w:t xml:space="preserve">had </w:t>
      </w:r>
      <w:r w:rsidR="005A0AFB">
        <w:rPr>
          <w:rFonts w:ascii="Georgia" w:hAnsi="Georgia" w:cs="Arial"/>
          <w:bCs/>
        </w:rPr>
        <w:t xml:space="preserve">made this approach to the freeholder because they were aware that the </w:t>
      </w:r>
      <w:r w:rsidR="001621D8">
        <w:rPr>
          <w:rFonts w:ascii="Georgia" w:hAnsi="Georgia" w:cs="Arial"/>
          <w:bCs/>
        </w:rPr>
        <w:t>Applicant</w:t>
      </w:r>
      <w:r w:rsidR="00313C3A">
        <w:rPr>
          <w:rFonts w:ascii="Georgia" w:hAnsi="Georgia" w:cs="Arial"/>
          <w:bCs/>
        </w:rPr>
        <w:t xml:space="preserve"> </w:t>
      </w:r>
      <w:r w:rsidR="005A0AFB">
        <w:rPr>
          <w:rFonts w:ascii="Georgia" w:hAnsi="Georgia" w:cs="Arial"/>
          <w:bCs/>
        </w:rPr>
        <w:t xml:space="preserve">wished to </w:t>
      </w:r>
      <w:r w:rsidR="0030208E">
        <w:rPr>
          <w:rFonts w:ascii="Georgia" w:hAnsi="Georgia" w:cs="Arial"/>
          <w:bCs/>
        </w:rPr>
        <w:t>challenge th</w:t>
      </w:r>
      <w:r w:rsidR="00DD32D0">
        <w:rPr>
          <w:rFonts w:ascii="Georgia" w:hAnsi="Georgia" w:cs="Arial"/>
          <w:bCs/>
        </w:rPr>
        <w:t xml:space="preserve">e </w:t>
      </w:r>
      <w:r w:rsidR="009F62BE">
        <w:rPr>
          <w:rFonts w:ascii="Georgia" w:hAnsi="Georgia" w:cs="Arial"/>
          <w:bCs/>
        </w:rPr>
        <w:t>Incurred Costs</w:t>
      </w:r>
      <w:r w:rsidR="00DD32D0">
        <w:rPr>
          <w:rFonts w:ascii="Georgia" w:hAnsi="Georgia" w:cs="Arial"/>
          <w:bCs/>
        </w:rPr>
        <w:t>.</w:t>
      </w:r>
      <w:r w:rsidR="00C33D80">
        <w:rPr>
          <w:rFonts w:ascii="Georgia" w:hAnsi="Georgia" w:cs="Arial"/>
          <w:bCs/>
        </w:rPr>
        <w:t xml:space="preserve">  </w:t>
      </w:r>
      <w:r w:rsidR="00DD32D0">
        <w:rPr>
          <w:rFonts w:ascii="Georgia" w:hAnsi="Georgia" w:cs="Arial"/>
          <w:bCs/>
        </w:rPr>
        <w:t xml:space="preserve">  </w:t>
      </w:r>
      <w:r w:rsidR="00D634F3">
        <w:rPr>
          <w:rFonts w:ascii="Georgia" w:hAnsi="Georgia" w:cs="Arial"/>
          <w:bCs/>
        </w:rPr>
        <w:t xml:space="preserve">The Applicant further noted that no response from the freeholder was included within the </w:t>
      </w:r>
      <w:r w:rsidR="00AE4925">
        <w:rPr>
          <w:rFonts w:ascii="Georgia" w:hAnsi="Georgia" w:cs="Arial"/>
          <w:bCs/>
        </w:rPr>
        <w:t>b</w:t>
      </w:r>
      <w:r w:rsidR="00D634F3">
        <w:rPr>
          <w:rFonts w:ascii="Georgia" w:hAnsi="Georgia" w:cs="Arial"/>
          <w:bCs/>
        </w:rPr>
        <w:t>undle</w:t>
      </w:r>
      <w:r w:rsidR="004C0E17">
        <w:rPr>
          <w:rFonts w:ascii="Georgia" w:hAnsi="Georgia" w:cs="Arial"/>
          <w:bCs/>
        </w:rPr>
        <w:t>,</w:t>
      </w:r>
      <w:r w:rsidR="007D1F9A">
        <w:rPr>
          <w:rFonts w:ascii="Georgia" w:hAnsi="Georgia" w:cs="Arial"/>
          <w:bCs/>
        </w:rPr>
        <w:t xml:space="preserve"> and without the freeholder’s support, </w:t>
      </w:r>
      <w:r w:rsidR="004C0E17">
        <w:rPr>
          <w:rFonts w:ascii="Georgia" w:hAnsi="Georgia" w:cs="Arial"/>
          <w:bCs/>
        </w:rPr>
        <w:t xml:space="preserve">forfeiture </w:t>
      </w:r>
      <w:r w:rsidR="00B02BB5">
        <w:rPr>
          <w:rFonts w:ascii="Georgia" w:hAnsi="Georgia" w:cs="Arial"/>
          <w:bCs/>
        </w:rPr>
        <w:t>action could not be taken</w:t>
      </w:r>
      <w:r w:rsidR="007D1F9A">
        <w:rPr>
          <w:rFonts w:ascii="Georgia" w:hAnsi="Georgia" w:cs="Arial"/>
          <w:bCs/>
        </w:rPr>
        <w:t>.</w:t>
      </w:r>
    </w:p>
    <w:p w14:paraId="0757B60F" w14:textId="77777777" w:rsidR="00F96276" w:rsidRPr="00F96276" w:rsidRDefault="00F96276" w:rsidP="00F96276">
      <w:pPr>
        <w:pStyle w:val="ListParagraph"/>
        <w:rPr>
          <w:rFonts w:ascii="Georgia" w:hAnsi="Georgia" w:cs="Arial"/>
          <w:bCs/>
        </w:rPr>
      </w:pPr>
    </w:p>
    <w:p w14:paraId="5422D7F8" w14:textId="77777777" w:rsidR="00F96276" w:rsidRPr="00F96276" w:rsidRDefault="00F96276" w:rsidP="00F96276">
      <w:pPr>
        <w:pStyle w:val="ListParagraph"/>
        <w:rPr>
          <w:rFonts w:ascii="Georgia" w:hAnsi="Georgia" w:cs="Arial"/>
          <w:bCs/>
        </w:rPr>
      </w:pPr>
    </w:p>
    <w:p w14:paraId="4AE40DEC" w14:textId="50555F00" w:rsidR="00F96276" w:rsidRPr="00557855" w:rsidRDefault="00F96276" w:rsidP="00D11812">
      <w:pPr>
        <w:autoSpaceDE w:val="0"/>
        <w:autoSpaceDN w:val="0"/>
        <w:adjustRightInd w:val="0"/>
        <w:spacing w:after="360"/>
        <w:jc w:val="both"/>
        <w:rPr>
          <w:rFonts w:ascii="Georgia" w:hAnsi="Georgia" w:cs="Arial"/>
          <w:b/>
        </w:rPr>
      </w:pPr>
      <w:r w:rsidRPr="00557855">
        <w:rPr>
          <w:rFonts w:ascii="Georgia" w:hAnsi="Georgia" w:cs="Arial"/>
          <w:b/>
        </w:rPr>
        <w:t xml:space="preserve">Tribunal Decision – </w:t>
      </w:r>
      <w:r w:rsidR="006F4C36">
        <w:rPr>
          <w:rFonts w:ascii="Georgia" w:hAnsi="Georgia" w:cs="Arial"/>
          <w:b/>
        </w:rPr>
        <w:t xml:space="preserve">Clause </w:t>
      </w:r>
      <w:r w:rsidR="00F86082">
        <w:rPr>
          <w:rFonts w:ascii="Georgia" w:hAnsi="Georgia" w:cs="Arial"/>
          <w:b/>
          <w:bCs/>
        </w:rPr>
        <w:t>3(xvi) of the Lease</w:t>
      </w:r>
    </w:p>
    <w:p w14:paraId="39156A50" w14:textId="46DDD831" w:rsidR="0035771C" w:rsidRDefault="008805D0" w:rsidP="001C52C7">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I</w:t>
      </w:r>
      <w:r w:rsidRPr="008805D0">
        <w:rPr>
          <w:rFonts w:ascii="Georgia" w:hAnsi="Georgia" w:cs="Arial"/>
          <w:bCs/>
        </w:rPr>
        <w:t xml:space="preserve">n Barrett v Robinson, the Deputy President considered a clause by which the lessee covenanted: “To pay all reasonable costs charges and expenses (including solicitors' costs and surveyors' fees) incurred by the Lessor in or in contemplation of any proceedings or the preparation of any notice under section 146 of the Law of Property Act 1925 notwithstanding forfeiture is avoided otherwise than by relief granted by the Court.” </w:t>
      </w:r>
    </w:p>
    <w:p w14:paraId="5BA954F7" w14:textId="77777777" w:rsidR="0035771C" w:rsidRDefault="0035771C" w:rsidP="0035771C">
      <w:pPr>
        <w:pStyle w:val="ListParagraph"/>
        <w:autoSpaceDE w:val="0"/>
        <w:autoSpaceDN w:val="0"/>
        <w:adjustRightInd w:val="0"/>
        <w:spacing w:after="360"/>
        <w:ind w:left="851"/>
        <w:jc w:val="both"/>
        <w:rPr>
          <w:rFonts w:ascii="Georgia" w:hAnsi="Georgia" w:cs="Arial"/>
          <w:bCs/>
        </w:rPr>
      </w:pPr>
    </w:p>
    <w:p w14:paraId="408A7632" w14:textId="0F85E90E" w:rsidR="00E34270" w:rsidRDefault="008805D0" w:rsidP="001C52C7">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8805D0">
        <w:rPr>
          <w:rFonts w:ascii="Georgia" w:hAnsi="Georgia" w:cs="Arial"/>
          <w:bCs/>
        </w:rPr>
        <w:t>It was held that for costs to be recovered under this clause</w:t>
      </w:r>
      <w:r w:rsidR="005C1A9E">
        <w:rPr>
          <w:rFonts w:ascii="Georgia" w:hAnsi="Georgia" w:cs="Arial"/>
          <w:bCs/>
        </w:rPr>
        <w:t>,</w:t>
      </w:r>
      <w:r w:rsidRPr="008805D0">
        <w:rPr>
          <w:rFonts w:ascii="Georgia" w:hAnsi="Georgia" w:cs="Arial"/>
          <w:bCs/>
        </w:rPr>
        <w:t xml:space="preserve"> the landlord must show that they were incurred in or in contemplation of proceedings or the preparation of a notice under section 146 of the 1925 Act.</w:t>
      </w:r>
      <w:r w:rsidR="00E34270">
        <w:rPr>
          <w:rFonts w:ascii="Georgia" w:hAnsi="Georgia" w:cs="Arial"/>
          <w:bCs/>
        </w:rPr>
        <w:t xml:space="preserve"> </w:t>
      </w:r>
      <w:r w:rsidRPr="008805D0">
        <w:rPr>
          <w:rFonts w:ascii="Georgia" w:hAnsi="Georgia" w:cs="Arial"/>
          <w:bCs/>
        </w:rPr>
        <w:t xml:space="preserve"> At [51] and [5</w:t>
      </w:r>
      <w:r w:rsidR="0016706D">
        <w:rPr>
          <w:rFonts w:ascii="Georgia" w:hAnsi="Georgia" w:cs="Arial"/>
          <w:bCs/>
        </w:rPr>
        <w:t>2</w:t>
      </w:r>
      <w:r w:rsidRPr="008805D0">
        <w:rPr>
          <w:rFonts w:ascii="Georgia" w:hAnsi="Georgia" w:cs="Arial"/>
          <w:bCs/>
        </w:rPr>
        <w:t>] of the judgment, the Deputy President stated:</w:t>
      </w:r>
    </w:p>
    <w:p w14:paraId="1AE5333C" w14:textId="77777777" w:rsidR="00E34270" w:rsidRPr="00E34270" w:rsidRDefault="00E34270" w:rsidP="00E34270">
      <w:pPr>
        <w:pStyle w:val="ListParagraph"/>
        <w:rPr>
          <w:rFonts w:ascii="Georgia" w:hAnsi="Georgia" w:cs="Arial"/>
          <w:bCs/>
        </w:rPr>
      </w:pPr>
    </w:p>
    <w:p w14:paraId="2AAC2564" w14:textId="2A075A62" w:rsidR="005C1A9E" w:rsidRDefault="008805D0" w:rsidP="00EA6C20">
      <w:pPr>
        <w:pStyle w:val="ListParagraph"/>
        <w:autoSpaceDE w:val="0"/>
        <w:autoSpaceDN w:val="0"/>
        <w:adjustRightInd w:val="0"/>
        <w:spacing w:after="360"/>
        <w:ind w:left="1440" w:firstLine="60"/>
        <w:jc w:val="both"/>
        <w:rPr>
          <w:rFonts w:ascii="Georgia" w:hAnsi="Georgia" w:cs="Arial"/>
          <w:bCs/>
        </w:rPr>
      </w:pPr>
      <w:r w:rsidRPr="008805D0">
        <w:rPr>
          <w:rFonts w:ascii="Georgia" w:hAnsi="Georgia" w:cs="Arial"/>
          <w:bCs/>
        </w:rPr>
        <w:t>“51… Sometimes it will be obvious that such expense has been incurred, as when proceedings claiming the forfeiture of a lease are commenced, or a notice under section 146 is served. In other circumstances it will be less obvious. The statutory protection afforded by s</w:t>
      </w:r>
      <w:r w:rsidR="009E07D1">
        <w:rPr>
          <w:rFonts w:ascii="Georgia" w:hAnsi="Georgia" w:cs="Arial"/>
          <w:bCs/>
        </w:rPr>
        <w:t>.</w:t>
      </w:r>
      <w:r w:rsidRPr="008805D0">
        <w:rPr>
          <w:rFonts w:ascii="Georgia" w:hAnsi="Georgia" w:cs="Arial"/>
          <w:bCs/>
        </w:rPr>
        <w:t xml:space="preserve">81 of the 1996 Act requires that an application be made to the </w:t>
      </w:r>
      <w:r w:rsidR="00190435">
        <w:rPr>
          <w:rFonts w:ascii="Georgia" w:hAnsi="Georgia" w:cs="Arial"/>
          <w:bCs/>
        </w:rPr>
        <w:t>f</w:t>
      </w:r>
      <w:r w:rsidRPr="008805D0">
        <w:rPr>
          <w:rFonts w:ascii="Georgia" w:hAnsi="Georgia" w:cs="Arial"/>
          <w:bCs/>
        </w:rPr>
        <w:t xml:space="preserve">irst-tier </w:t>
      </w:r>
      <w:r w:rsidR="00190435">
        <w:rPr>
          <w:rFonts w:ascii="Georgia" w:hAnsi="Georgia" w:cs="Arial"/>
          <w:bCs/>
        </w:rPr>
        <w:t>t</w:t>
      </w:r>
      <w:r w:rsidRPr="008805D0">
        <w:rPr>
          <w:rFonts w:ascii="Georgia" w:hAnsi="Georgia" w:cs="Arial"/>
          <w:bCs/>
        </w:rPr>
        <w:t>ribunal for a determination of the amount of arrears of a service charge or administration charges which are payable before a s</w:t>
      </w:r>
      <w:r w:rsidR="005B28A0">
        <w:rPr>
          <w:rFonts w:ascii="Georgia" w:hAnsi="Georgia" w:cs="Arial"/>
          <w:bCs/>
        </w:rPr>
        <w:t>.</w:t>
      </w:r>
      <w:r w:rsidRPr="008805D0">
        <w:rPr>
          <w:rFonts w:ascii="Georgia" w:hAnsi="Georgia" w:cs="Arial"/>
          <w:bCs/>
        </w:rPr>
        <w:t>146 notice may be served, but proceedings before the First-tier Tribunal for the determination of the amount of a service or administration charge need not be a prelude to forfeiture proceedings at all. The First-tier Tribunal's jurisdiction under s</w:t>
      </w:r>
      <w:r w:rsidR="00871A18">
        <w:rPr>
          <w:rFonts w:ascii="Georgia" w:hAnsi="Georgia" w:cs="Arial"/>
          <w:bCs/>
        </w:rPr>
        <w:t>.</w:t>
      </w:r>
      <w:r w:rsidRPr="008805D0">
        <w:rPr>
          <w:rFonts w:ascii="Georgia" w:hAnsi="Georgia" w:cs="Arial"/>
          <w:bCs/>
        </w:rPr>
        <w:t xml:space="preserve">27A of the 1985 Act covers the same territory, and proceedings are often commenced in the County Court for the recovery of service charges without a claim for forfeiture being included. A landlord may or may not commence proceedings before the </w:t>
      </w:r>
      <w:r w:rsidR="005026DB">
        <w:rPr>
          <w:rFonts w:ascii="Georgia" w:hAnsi="Georgia" w:cs="Arial"/>
          <w:bCs/>
        </w:rPr>
        <w:t>f</w:t>
      </w:r>
      <w:r w:rsidRPr="008805D0">
        <w:rPr>
          <w:rFonts w:ascii="Georgia" w:hAnsi="Georgia" w:cs="Arial"/>
          <w:bCs/>
        </w:rPr>
        <w:t xml:space="preserve">irst-tier </w:t>
      </w:r>
      <w:r w:rsidR="005026DB">
        <w:rPr>
          <w:rFonts w:ascii="Georgia" w:hAnsi="Georgia" w:cs="Arial"/>
          <w:bCs/>
        </w:rPr>
        <w:t>t</w:t>
      </w:r>
      <w:r w:rsidRPr="008805D0">
        <w:rPr>
          <w:rFonts w:ascii="Georgia" w:hAnsi="Georgia" w:cs="Arial"/>
          <w:bCs/>
        </w:rPr>
        <w:t xml:space="preserve">ribunal with a view to forfeiture; a landlord may simply wish to receive payment of the sum due, without any desire to terminate the tenant's lease, or may not have thought far enough ahead to have reached the stage of considering what steps to take if the tenant fails to pay after a tribunal determination has been obtained. </w:t>
      </w:r>
    </w:p>
    <w:p w14:paraId="44CAE3B4" w14:textId="77777777" w:rsidR="005C1A9E" w:rsidRDefault="005C1A9E" w:rsidP="00EA6C20">
      <w:pPr>
        <w:pStyle w:val="ListParagraph"/>
        <w:autoSpaceDE w:val="0"/>
        <w:autoSpaceDN w:val="0"/>
        <w:adjustRightInd w:val="0"/>
        <w:spacing w:after="360"/>
        <w:ind w:left="1440" w:firstLine="60"/>
        <w:jc w:val="both"/>
        <w:rPr>
          <w:rFonts w:ascii="Georgia" w:hAnsi="Georgia" w:cs="Arial"/>
          <w:bCs/>
        </w:rPr>
      </w:pPr>
    </w:p>
    <w:p w14:paraId="639E5E6F" w14:textId="385AFAD9" w:rsidR="00564FCA" w:rsidRDefault="008805D0" w:rsidP="00EA6C20">
      <w:pPr>
        <w:pStyle w:val="ListParagraph"/>
        <w:autoSpaceDE w:val="0"/>
        <w:autoSpaceDN w:val="0"/>
        <w:adjustRightInd w:val="0"/>
        <w:spacing w:after="360"/>
        <w:ind w:left="1440" w:firstLine="60"/>
        <w:jc w:val="both"/>
        <w:rPr>
          <w:rFonts w:ascii="Georgia" w:hAnsi="Georgia" w:cs="Arial"/>
          <w:bCs/>
        </w:rPr>
      </w:pPr>
      <w:r w:rsidRPr="008805D0">
        <w:rPr>
          <w:rFonts w:ascii="Georgia" w:hAnsi="Georgia" w:cs="Arial"/>
          <w:bCs/>
        </w:rPr>
        <w:t>52. Costs will only be incurred in contemplation of proceedings, or the service of a notice under s</w:t>
      </w:r>
      <w:r w:rsidR="001B2BFF">
        <w:rPr>
          <w:rFonts w:ascii="Georgia" w:hAnsi="Georgia" w:cs="Arial"/>
          <w:bCs/>
        </w:rPr>
        <w:t>.</w:t>
      </w:r>
      <w:r w:rsidRPr="008805D0">
        <w:rPr>
          <w:rFonts w:ascii="Georgia" w:hAnsi="Georgia" w:cs="Arial"/>
          <w:bCs/>
        </w:rPr>
        <w:t xml:space="preserve">146 if, at the time the expenditure is incurred, the landlord has such proceedings or notice in mind as part of the reason for the expenditure. A landlord which does </w:t>
      </w:r>
      <w:r w:rsidRPr="008805D0">
        <w:rPr>
          <w:rFonts w:ascii="Georgia" w:hAnsi="Georgia" w:cs="Arial"/>
          <w:bCs/>
        </w:rPr>
        <w:lastRenderedPageBreak/>
        <w:t xml:space="preserve">not </w:t>
      </w:r>
      <w:r w:rsidRPr="00E41D4B">
        <w:rPr>
          <w:rFonts w:ascii="Georgia" w:hAnsi="Georgia" w:cs="Arial"/>
          <w:bCs/>
          <w:i/>
          <w:iCs/>
        </w:rPr>
        <w:t>in fact</w:t>
      </w:r>
      <w:r w:rsidRPr="008805D0">
        <w:rPr>
          <w:rFonts w:ascii="Georgia" w:hAnsi="Georgia" w:cs="Arial"/>
          <w:bCs/>
        </w:rPr>
        <w:t xml:space="preserve"> contemplate the service of a statutory notice when expenditure is incurred, will not be able to rely on a clause such as cl</w:t>
      </w:r>
      <w:r w:rsidR="00D74B43">
        <w:rPr>
          <w:rFonts w:ascii="Georgia" w:hAnsi="Georgia" w:cs="Arial"/>
          <w:bCs/>
        </w:rPr>
        <w:t>.</w:t>
      </w:r>
      <w:r w:rsidRPr="008805D0">
        <w:rPr>
          <w:rFonts w:ascii="Georgia" w:hAnsi="Georgia" w:cs="Arial"/>
          <w:bCs/>
        </w:rPr>
        <w:t xml:space="preserve">4(14) as providing a contractual right to recover its costs.” </w:t>
      </w:r>
    </w:p>
    <w:p w14:paraId="3B070592" w14:textId="77777777" w:rsidR="00EA6C20" w:rsidRPr="00EA6C20" w:rsidRDefault="00EA6C20" w:rsidP="00EA6C20">
      <w:pPr>
        <w:pStyle w:val="ListParagraph"/>
        <w:autoSpaceDE w:val="0"/>
        <w:autoSpaceDN w:val="0"/>
        <w:adjustRightInd w:val="0"/>
        <w:spacing w:after="360"/>
        <w:ind w:left="1440" w:firstLine="60"/>
        <w:jc w:val="both"/>
        <w:rPr>
          <w:rFonts w:ascii="Georgia" w:hAnsi="Georgia" w:cs="Arial"/>
          <w:bCs/>
        </w:rPr>
      </w:pPr>
    </w:p>
    <w:p w14:paraId="3F5F4CA6" w14:textId="1E17ECBF" w:rsidR="00C724D1" w:rsidRPr="00E84DCF" w:rsidRDefault="00EA6C20" w:rsidP="00E84DCF">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At </w:t>
      </w:r>
      <w:r w:rsidRPr="0088234B">
        <w:rPr>
          <w:rFonts w:ascii="Georgia" w:hAnsi="Georgia" w:cs="Arial"/>
          <w:bCs/>
        </w:rPr>
        <w:t>[57] the Deputy President stated: “It is always necessary to consider the terms of the particular indemnity covenant and whether any relevant contemplation or anticipation existed in fact in the circumstances of an individual case.”</w:t>
      </w:r>
      <w:r w:rsidR="00E84DCF">
        <w:rPr>
          <w:rFonts w:ascii="Georgia" w:hAnsi="Georgia" w:cs="Arial"/>
          <w:bCs/>
        </w:rPr>
        <w:t xml:space="preserve">  </w:t>
      </w:r>
      <w:r w:rsidR="00E84DCF" w:rsidRPr="00E84DCF">
        <w:rPr>
          <w:rFonts w:ascii="Georgia" w:hAnsi="Georgia" w:cs="Arial"/>
          <w:bCs/>
        </w:rPr>
        <w:t>Therefore</w:t>
      </w:r>
      <w:r w:rsidR="00C724D1" w:rsidRPr="00E84DCF">
        <w:rPr>
          <w:rFonts w:ascii="Georgia" w:hAnsi="Georgia" w:cs="Arial"/>
          <w:bCs/>
        </w:rPr>
        <w:t xml:space="preserve">, </w:t>
      </w:r>
      <w:proofErr w:type="gramStart"/>
      <w:r w:rsidR="00C724D1" w:rsidRPr="00E84DCF">
        <w:rPr>
          <w:rFonts w:ascii="Georgia" w:hAnsi="Georgia" w:cs="Arial"/>
          <w:bCs/>
        </w:rPr>
        <w:t>whether or not</w:t>
      </w:r>
      <w:proofErr w:type="gramEnd"/>
      <w:r w:rsidR="00C724D1" w:rsidRPr="00E84DCF">
        <w:rPr>
          <w:rFonts w:ascii="Georgia" w:hAnsi="Georgia" w:cs="Arial"/>
          <w:bCs/>
        </w:rPr>
        <w:t xml:space="preserve"> the costs claimed were incurred for the purpose of or incidental to the preparation and service of a notice under sections 146 or 147 of the Law of Property Act 1925 is a question of fact to be determined by this Tribunal </w:t>
      </w:r>
      <w:proofErr w:type="gramStart"/>
      <w:r w:rsidR="00C724D1" w:rsidRPr="00E84DCF">
        <w:rPr>
          <w:rFonts w:ascii="Georgia" w:hAnsi="Georgia" w:cs="Arial"/>
          <w:bCs/>
        </w:rPr>
        <w:t>on the basis of</w:t>
      </w:r>
      <w:proofErr w:type="gramEnd"/>
      <w:r w:rsidR="00C724D1" w:rsidRPr="00E84DCF">
        <w:rPr>
          <w:rFonts w:ascii="Georgia" w:hAnsi="Georgia" w:cs="Arial"/>
          <w:bCs/>
        </w:rPr>
        <w:t xml:space="preserve"> the evidence before it.</w:t>
      </w:r>
    </w:p>
    <w:p w14:paraId="0AB9892F" w14:textId="77777777" w:rsidR="00C724D1" w:rsidRDefault="00C724D1" w:rsidP="00EA6C20">
      <w:pPr>
        <w:pStyle w:val="ListParagraph"/>
        <w:autoSpaceDE w:val="0"/>
        <w:autoSpaceDN w:val="0"/>
        <w:adjustRightInd w:val="0"/>
        <w:spacing w:after="360"/>
        <w:ind w:left="851"/>
        <w:jc w:val="both"/>
        <w:rPr>
          <w:rFonts w:ascii="Georgia" w:hAnsi="Georgia" w:cs="Arial"/>
          <w:bCs/>
        </w:rPr>
      </w:pPr>
    </w:p>
    <w:p w14:paraId="09467E5E" w14:textId="68DD5A68" w:rsidR="00655AFA" w:rsidRDefault="00F9411B" w:rsidP="00655AFA">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655AFA">
        <w:rPr>
          <w:rFonts w:ascii="Georgia" w:hAnsi="Georgia" w:cs="Arial"/>
          <w:bCs/>
        </w:rPr>
        <w:t>Turning to the facts of the matter before th</w:t>
      </w:r>
      <w:r w:rsidR="00655AFA">
        <w:rPr>
          <w:rFonts w:ascii="Georgia" w:hAnsi="Georgia" w:cs="Arial"/>
          <w:bCs/>
        </w:rPr>
        <w:t>is</w:t>
      </w:r>
      <w:r w:rsidRPr="00655AFA">
        <w:rPr>
          <w:rFonts w:ascii="Georgia" w:hAnsi="Georgia" w:cs="Arial"/>
          <w:bCs/>
        </w:rPr>
        <w:t xml:space="preserve"> Tribunal</w:t>
      </w:r>
      <w:r w:rsidR="00655AFA">
        <w:rPr>
          <w:rFonts w:ascii="Georgia" w:hAnsi="Georgia" w:cs="Arial"/>
          <w:bCs/>
        </w:rPr>
        <w:t xml:space="preserve">, the Tribunal finds that the Incurred Costs were not </w:t>
      </w:r>
      <w:r w:rsidR="00A00652">
        <w:rPr>
          <w:rFonts w:ascii="Georgia" w:hAnsi="Georgia" w:cs="Arial"/>
          <w:bCs/>
        </w:rPr>
        <w:t>f</w:t>
      </w:r>
      <w:r w:rsidR="00655AFA">
        <w:rPr>
          <w:rFonts w:ascii="Georgia" w:hAnsi="Georgia" w:cs="Arial"/>
          <w:bCs/>
        </w:rPr>
        <w:t>or the purpose of or incidental to the preparation of a notice under section 146 or 147 of the Law of Property Act 1925</w:t>
      </w:r>
      <w:r w:rsidR="000A0334">
        <w:rPr>
          <w:rFonts w:ascii="Georgia" w:hAnsi="Georgia" w:cs="Arial"/>
          <w:bCs/>
        </w:rPr>
        <w:t xml:space="preserve"> or in contemplation</w:t>
      </w:r>
      <w:r w:rsidR="00F447D6">
        <w:rPr>
          <w:rFonts w:ascii="Georgia" w:hAnsi="Georgia" w:cs="Arial"/>
          <w:bCs/>
        </w:rPr>
        <w:t xml:space="preserve"> of proceedings</w:t>
      </w:r>
      <w:r w:rsidR="00655AFA">
        <w:rPr>
          <w:rFonts w:ascii="Georgia" w:hAnsi="Georgia" w:cs="Arial"/>
          <w:bCs/>
        </w:rPr>
        <w:t>.  The Tribunal reaches this decision for the following reasons:</w:t>
      </w:r>
    </w:p>
    <w:p w14:paraId="7640EF6B" w14:textId="77777777" w:rsidR="00655AFA" w:rsidRPr="00655AFA" w:rsidRDefault="00655AFA" w:rsidP="00655AFA">
      <w:pPr>
        <w:pStyle w:val="ListParagraph"/>
        <w:autoSpaceDE w:val="0"/>
        <w:autoSpaceDN w:val="0"/>
        <w:adjustRightInd w:val="0"/>
        <w:spacing w:after="360"/>
        <w:ind w:left="851"/>
        <w:jc w:val="both"/>
        <w:rPr>
          <w:rFonts w:ascii="Georgia" w:hAnsi="Georgia" w:cs="Arial"/>
          <w:bCs/>
        </w:rPr>
      </w:pPr>
    </w:p>
    <w:p w14:paraId="5B143FB7" w14:textId="1D174A9A" w:rsidR="007C4234" w:rsidRDefault="0088234B" w:rsidP="007C4234">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655AFA">
        <w:rPr>
          <w:rFonts w:ascii="Georgia" w:hAnsi="Georgia" w:cs="Arial"/>
          <w:bCs/>
        </w:rPr>
        <w:t>T</w:t>
      </w:r>
      <w:r w:rsidR="0085635D" w:rsidRPr="00655AFA">
        <w:rPr>
          <w:rFonts w:ascii="Georgia" w:hAnsi="Georgia" w:cs="Arial"/>
          <w:bCs/>
        </w:rPr>
        <w:t xml:space="preserve">he </w:t>
      </w:r>
      <w:r w:rsidR="00A6556F" w:rsidRPr="00655AFA">
        <w:rPr>
          <w:rFonts w:ascii="Georgia" w:hAnsi="Georgia" w:cs="Arial"/>
          <w:bCs/>
        </w:rPr>
        <w:t>First Application</w:t>
      </w:r>
      <w:r w:rsidR="0085635D" w:rsidRPr="00655AFA">
        <w:rPr>
          <w:rFonts w:ascii="Georgia" w:hAnsi="Georgia" w:cs="Arial"/>
          <w:bCs/>
        </w:rPr>
        <w:t xml:space="preserve"> before the </w:t>
      </w:r>
      <w:r w:rsidR="00110977" w:rsidRPr="00655AFA">
        <w:rPr>
          <w:rFonts w:ascii="Georgia" w:hAnsi="Georgia" w:cs="Arial"/>
          <w:bCs/>
        </w:rPr>
        <w:t>Tribunal</w:t>
      </w:r>
      <w:r w:rsidR="0085635D" w:rsidRPr="00655AFA">
        <w:rPr>
          <w:rFonts w:ascii="Georgia" w:hAnsi="Georgia" w:cs="Arial"/>
          <w:bCs/>
        </w:rPr>
        <w:t xml:space="preserve"> was brought by the Applicant </w:t>
      </w:r>
      <w:r w:rsidR="001C1D66" w:rsidRPr="00655AFA">
        <w:rPr>
          <w:rFonts w:ascii="Georgia" w:hAnsi="Georgia" w:cs="Arial"/>
          <w:bCs/>
        </w:rPr>
        <w:t xml:space="preserve">because he wished to challenge the payability of the service charges.  </w:t>
      </w:r>
    </w:p>
    <w:p w14:paraId="7ACE38B8" w14:textId="77777777" w:rsidR="006D1930" w:rsidRPr="00655AFA" w:rsidRDefault="006D1930" w:rsidP="006D1930">
      <w:pPr>
        <w:pStyle w:val="ListParagraph"/>
        <w:autoSpaceDE w:val="0"/>
        <w:autoSpaceDN w:val="0"/>
        <w:adjustRightInd w:val="0"/>
        <w:spacing w:after="360"/>
        <w:ind w:left="851"/>
        <w:jc w:val="both"/>
        <w:rPr>
          <w:rFonts w:ascii="Georgia" w:hAnsi="Georgia" w:cs="Arial"/>
          <w:bCs/>
        </w:rPr>
      </w:pPr>
    </w:p>
    <w:p w14:paraId="43293FEA" w14:textId="2817C42E" w:rsidR="008467CB" w:rsidRDefault="008467CB" w:rsidP="008467CB">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The invoice for the Incurred Costs clearly stated that the £11,060 was for:</w:t>
      </w:r>
    </w:p>
    <w:p w14:paraId="2085D68A" w14:textId="77777777" w:rsidR="008467CB" w:rsidRPr="004F2F12" w:rsidRDefault="008467CB" w:rsidP="008467CB">
      <w:pPr>
        <w:pStyle w:val="ListParagraph"/>
        <w:rPr>
          <w:rFonts w:ascii="Georgia" w:hAnsi="Georgia" w:cs="Arial"/>
          <w:bCs/>
        </w:rPr>
      </w:pPr>
    </w:p>
    <w:p w14:paraId="560B205C" w14:textId="5BAC874A" w:rsidR="008467CB" w:rsidRPr="006D1930" w:rsidRDefault="008467CB" w:rsidP="006D1930">
      <w:pPr>
        <w:autoSpaceDE w:val="0"/>
        <w:autoSpaceDN w:val="0"/>
        <w:adjustRightInd w:val="0"/>
        <w:spacing w:after="360"/>
        <w:ind w:left="1778"/>
        <w:jc w:val="both"/>
        <w:rPr>
          <w:rFonts w:ascii="Georgia" w:hAnsi="Georgia" w:cs="Arial"/>
          <w:bCs/>
        </w:rPr>
      </w:pPr>
      <w:r>
        <w:rPr>
          <w:rFonts w:ascii="Georgia" w:hAnsi="Georgia" w:cs="Arial"/>
          <w:bCs/>
        </w:rPr>
        <w:t>“TPP [Trent Park’s] Management Fees for time spent dealing with your [the Applicant</w:t>
      </w:r>
      <w:r w:rsidR="0025658E">
        <w:rPr>
          <w:rFonts w:ascii="Georgia" w:hAnsi="Georgia" w:cs="Arial"/>
          <w:bCs/>
        </w:rPr>
        <w:t>’</w:t>
      </w:r>
      <w:r>
        <w:rPr>
          <w:rFonts w:ascii="Georgia" w:hAnsi="Georgia" w:cs="Arial"/>
          <w:bCs/>
        </w:rPr>
        <w:t xml:space="preserve">s] application on behalf of the Respondent, including preparing the FTT </w:t>
      </w:r>
      <w:r w:rsidR="00580EC9">
        <w:rPr>
          <w:rFonts w:ascii="Georgia" w:hAnsi="Georgia" w:cs="Arial"/>
          <w:bCs/>
        </w:rPr>
        <w:t>bundle</w:t>
      </w:r>
      <w:r>
        <w:rPr>
          <w:rFonts w:ascii="Georgia" w:hAnsi="Georgia" w:cs="Arial"/>
          <w:bCs/>
        </w:rPr>
        <w:t xml:space="preserve"> and attendance at the FTT hearing to represent the Respondent”</w:t>
      </w:r>
    </w:p>
    <w:p w14:paraId="33480680" w14:textId="3263D9AB" w:rsidR="006D1930" w:rsidRDefault="008467CB" w:rsidP="006D1930">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B17372">
        <w:rPr>
          <w:rFonts w:ascii="Georgia" w:hAnsi="Georgia" w:cs="Arial"/>
          <w:bCs/>
        </w:rPr>
        <w:t>The Tribunal finds that this description is clear and makes no mention</w:t>
      </w:r>
      <w:r w:rsidR="00C1067C" w:rsidRPr="00B17372">
        <w:rPr>
          <w:rFonts w:ascii="Georgia" w:hAnsi="Georgia" w:cs="Arial"/>
          <w:bCs/>
        </w:rPr>
        <w:t xml:space="preserve"> </w:t>
      </w:r>
      <w:r w:rsidRPr="00B17372">
        <w:rPr>
          <w:rFonts w:ascii="Georgia" w:hAnsi="Georgia" w:cs="Arial"/>
          <w:bCs/>
        </w:rPr>
        <w:t xml:space="preserve">that the </w:t>
      </w:r>
      <w:r w:rsidR="00C1067C" w:rsidRPr="00B17372">
        <w:rPr>
          <w:rFonts w:ascii="Georgia" w:hAnsi="Georgia" w:cs="Arial"/>
          <w:bCs/>
        </w:rPr>
        <w:t>Incurred C</w:t>
      </w:r>
      <w:r w:rsidRPr="00B17372">
        <w:rPr>
          <w:rFonts w:ascii="Georgia" w:hAnsi="Georgia" w:cs="Arial"/>
          <w:bCs/>
        </w:rPr>
        <w:t xml:space="preserve">osts were in any way connected to </w:t>
      </w:r>
      <w:r w:rsidR="000011DB">
        <w:rPr>
          <w:rFonts w:ascii="Georgia" w:hAnsi="Georgia" w:cs="Arial"/>
          <w:bCs/>
        </w:rPr>
        <w:t xml:space="preserve">or in contemplation of </w:t>
      </w:r>
      <w:r w:rsidRPr="00B17372">
        <w:rPr>
          <w:rFonts w:ascii="Georgia" w:hAnsi="Georgia" w:cs="Arial"/>
          <w:bCs/>
        </w:rPr>
        <w:t xml:space="preserve">forfeiture proceedings.   </w:t>
      </w:r>
      <w:r w:rsidR="00033EE3" w:rsidRPr="00B17372">
        <w:rPr>
          <w:rFonts w:ascii="Georgia" w:hAnsi="Georgia" w:cs="Arial"/>
          <w:bCs/>
        </w:rPr>
        <w:t>The Tribunal accepts the Applicant’s evidence that no mention was made of forfeiture throughout the First Applica</w:t>
      </w:r>
      <w:r w:rsidR="000011DB">
        <w:rPr>
          <w:rFonts w:ascii="Georgia" w:hAnsi="Georgia" w:cs="Arial"/>
          <w:bCs/>
        </w:rPr>
        <w:t>tion</w:t>
      </w:r>
      <w:r w:rsidR="00B17372">
        <w:rPr>
          <w:rFonts w:ascii="Georgia" w:hAnsi="Georgia" w:cs="Arial"/>
          <w:bCs/>
        </w:rPr>
        <w:t>.</w:t>
      </w:r>
    </w:p>
    <w:p w14:paraId="059437DE" w14:textId="77777777" w:rsidR="00B17372" w:rsidRPr="00B17372" w:rsidRDefault="00B17372" w:rsidP="00B17372">
      <w:pPr>
        <w:pStyle w:val="ListParagraph"/>
        <w:autoSpaceDE w:val="0"/>
        <w:autoSpaceDN w:val="0"/>
        <w:adjustRightInd w:val="0"/>
        <w:spacing w:after="360"/>
        <w:ind w:left="851"/>
        <w:jc w:val="both"/>
        <w:rPr>
          <w:rFonts w:ascii="Georgia" w:hAnsi="Georgia" w:cs="Arial"/>
          <w:bCs/>
        </w:rPr>
      </w:pPr>
    </w:p>
    <w:p w14:paraId="492C1CCA" w14:textId="6CE0EBEA" w:rsidR="00CC4EC3" w:rsidRDefault="00B17372" w:rsidP="00ED0B01">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Turning to </w:t>
      </w:r>
      <w:r w:rsidR="00ED0B01">
        <w:rPr>
          <w:rFonts w:ascii="Georgia" w:hAnsi="Georgia" w:cs="Arial"/>
          <w:bCs/>
        </w:rPr>
        <w:t>E</w:t>
      </w:r>
      <w:r w:rsidR="00BC7A56">
        <w:rPr>
          <w:rFonts w:ascii="Georgia" w:hAnsi="Georgia" w:cs="Arial"/>
          <w:bCs/>
        </w:rPr>
        <w:t>l</w:t>
      </w:r>
      <w:r w:rsidR="00ED0B01">
        <w:rPr>
          <w:rFonts w:ascii="Georgia" w:hAnsi="Georgia" w:cs="Arial"/>
          <w:bCs/>
        </w:rPr>
        <w:t>liot Esterson</w:t>
      </w:r>
      <w:r>
        <w:rPr>
          <w:rFonts w:ascii="Georgia" w:hAnsi="Georgia" w:cs="Arial"/>
          <w:bCs/>
        </w:rPr>
        <w:t>’s evidence, he</w:t>
      </w:r>
      <w:r w:rsidR="00ED0B01">
        <w:rPr>
          <w:rFonts w:ascii="Georgia" w:hAnsi="Georgia" w:cs="Arial"/>
          <w:bCs/>
        </w:rPr>
        <w:t xml:space="preserve"> told the Tribunal that leaseholders were </w:t>
      </w:r>
      <w:r w:rsidR="00D26ABB">
        <w:rPr>
          <w:rFonts w:ascii="Georgia" w:hAnsi="Georgia" w:cs="Arial"/>
          <w:bCs/>
        </w:rPr>
        <w:t>informed</w:t>
      </w:r>
      <w:r w:rsidR="00ED0B01">
        <w:rPr>
          <w:rFonts w:ascii="Georgia" w:hAnsi="Georgia" w:cs="Arial"/>
          <w:bCs/>
        </w:rPr>
        <w:t xml:space="preserve"> at a meeting on 2 August 2023 that non-payment of the service charge for the major works would result in “legal </w:t>
      </w:r>
      <w:r w:rsidR="00B73758">
        <w:rPr>
          <w:rFonts w:ascii="Georgia" w:hAnsi="Georgia" w:cs="Arial"/>
          <w:bCs/>
        </w:rPr>
        <w:t>pr</w:t>
      </w:r>
      <w:r w:rsidR="00ED0B01">
        <w:rPr>
          <w:rFonts w:ascii="Georgia" w:hAnsi="Georgia" w:cs="Arial"/>
          <w:bCs/>
        </w:rPr>
        <w:t>oceedings”.  However</w:t>
      </w:r>
      <w:r w:rsidR="000011DB">
        <w:rPr>
          <w:rFonts w:ascii="Georgia" w:hAnsi="Georgia" w:cs="Arial"/>
          <w:bCs/>
        </w:rPr>
        <w:t>,</w:t>
      </w:r>
      <w:r w:rsidR="00ED0B01">
        <w:rPr>
          <w:rFonts w:ascii="Georgia" w:hAnsi="Georgia" w:cs="Arial"/>
          <w:bCs/>
        </w:rPr>
        <w:t xml:space="preserve"> the Tribunal does not find that this is sufficient to show that forfeiture proceedings were contemplated.  </w:t>
      </w:r>
      <w:r w:rsidR="003C0C8A">
        <w:rPr>
          <w:rFonts w:ascii="Georgia" w:hAnsi="Georgia" w:cs="Arial"/>
          <w:bCs/>
        </w:rPr>
        <w:t xml:space="preserve">The </w:t>
      </w:r>
      <w:r w:rsidR="006069A9">
        <w:rPr>
          <w:rFonts w:ascii="Georgia" w:hAnsi="Georgia" w:cs="Arial"/>
          <w:bCs/>
        </w:rPr>
        <w:t>minutes</w:t>
      </w:r>
      <w:r w:rsidR="003C0C8A">
        <w:rPr>
          <w:rFonts w:ascii="Georgia" w:hAnsi="Georgia" w:cs="Arial"/>
          <w:bCs/>
        </w:rPr>
        <w:t xml:space="preserve"> record that </w:t>
      </w:r>
      <w:r w:rsidR="000011DB">
        <w:rPr>
          <w:rFonts w:ascii="Georgia" w:hAnsi="Georgia" w:cs="Arial"/>
          <w:bCs/>
        </w:rPr>
        <w:t xml:space="preserve">there were </w:t>
      </w:r>
      <w:r w:rsidR="006F541A">
        <w:rPr>
          <w:rFonts w:ascii="Georgia" w:hAnsi="Georgia" w:cs="Arial"/>
          <w:bCs/>
        </w:rPr>
        <w:t xml:space="preserve">“some concerns raised over non-payment for the works” and that the </w:t>
      </w:r>
      <w:r w:rsidR="00E226FF">
        <w:rPr>
          <w:rFonts w:ascii="Georgia" w:hAnsi="Georgia" w:cs="Arial"/>
          <w:bCs/>
        </w:rPr>
        <w:t xml:space="preserve">reply given by Trent </w:t>
      </w:r>
      <w:r w:rsidR="009574BE">
        <w:rPr>
          <w:rFonts w:ascii="Georgia" w:hAnsi="Georgia" w:cs="Arial"/>
          <w:bCs/>
        </w:rPr>
        <w:t>P</w:t>
      </w:r>
      <w:r w:rsidR="003A28D1">
        <w:rPr>
          <w:rFonts w:ascii="Georgia" w:hAnsi="Georgia" w:cs="Arial"/>
          <w:bCs/>
        </w:rPr>
        <w:t>ark</w:t>
      </w:r>
      <w:r w:rsidR="00E226FF">
        <w:rPr>
          <w:rFonts w:ascii="Georgia" w:hAnsi="Georgia" w:cs="Arial"/>
          <w:bCs/>
        </w:rPr>
        <w:t xml:space="preserve"> was that “any non</w:t>
      </w:r>
      <w:r w:rsidR="002A5607">
        <w:rPr>
          <w:rFonts w:ascii="Georgia" w:hAnsi="Georgia" w:cs="Arial"/>
          <w:bCs/>
        </w:rPr>
        <w:t>-payment will result in legal proceedings be</w:t>
      </w:r>
      <w:r w:rsidR="000011DB">
        <w:rPr>
          <w:rFonts w:ascii="Georgia" w:hAnsi="Georgia" w:cs="Arial"/>
          <w:bCs/>
        </w:rPr>
        <w:t>ing</w:t>
      </w:r>
      <w:r w:rsidR="002A5607">
        <w:rPr>
          <w:rFonts w:ascii="Georgia" w:hAnsi="Georgia" w:cs="Arial"/>
          <w:bCs/>
        </w:rPr>
        <w:t xml:space="preserve"> </w:t>
      </w:r>
      <w:r w:rsidR="009574BE">
        <w:rPr>
          <w:rFonts w:ascii="Georgia" w:hAnsi="Georgia" w:cs="Arial"/>
          <w:bCs/>
        </w:rPr>
        <w:t>initiated</w:t>
      </w:r>
      <w:r w:rsidR="000011DB">
        <w:rPr>
          <w:rFonts w:ascii="Georgia" w:hAnsi="Georgia" w:cs="Arial"/>
          <w:bCs/>
        </w:rPr>
        <w:t>”</w:t>
      </w:r>
      <w:r w:rsidR="00AE7409">
        <w:rPr>
          <w:rFonts w:ascii="Georgia" w:hAnsi="Georgia" w:cs="Arial"/>
          <w:bCs/>
        </w:rPr>
        <w:t>;</w:t>
      </w:r>
      <w:r w:rsidR="000011DB">
        <w:rPr>
          <w:rFonts w:ascii="Georgia" w:hAnsi="Georgia" w:cs="Arial"/>
          <w:bCs/>
        </w:rPr>
        <w:t xml:space="preserve"> however</w:t>
      </w:r>
      <w:r w:rsidR="00C81037">
        <w:rPr>
          <w:rFonts w:ascii="Georgia" w:hAnsi="Georgia" w:cs="Arial"/>
          <w:bCs/>
        </w:rPr>
        <w:t>, t</w:t>
      </w:r>
      <w:r w:rsidR="002A5607">
        <w:rPr>
          <w:rFonts w:ascii="Georgia" w:hAnsi="Georgia" w:cs="Arial"/>
          <w:bCs/>
        </w:rPr>
        <w:t xml:space="preserve">he Tribunal finds that this is no more than a </w:t>
      </w:r>
      <w:r w:rsidR="009574BE">
        <w:rPr>
          <w:rFonts w:ascii="Georgia" w:hAnsi="Georgia" w:cs="Arial"/>
          <w:bCs/>
        </w:rPr>
        <w:t>general</w:t>
      </w:r>
      <w:r w:rsidR="002A5607">
        <w:rPr>
          <w:rFonts w:ascii="Georgia" w:hAnsi="Georgia" w:cs="Arial"/>
          <w:bCs/>
        </w:rPr>
        <w:t xml:space="preserve"> statement </w:t>
      </w:r>
      <w:r w:rsidR="00F33ED0">
        <w:rPr>
          <w:rFonts w:ascii="Georgia" w:hAnsi="Georgia" w:cs="Arial"/>
          <w:bCs/>
        </w:rPr>
        <w:t>that do</w:t>
      </w:r>
      <w:r w:rsidR="00B90EF4">
        <w:rPr>
          <w:rFonts w:ascii="Georgia" w:hAnsi="Georgia" w:cs="Arial"/>
          <w:bCs/>
        </w:rPr>
        <w:t xml:space="preserve"> not </w:t>
      </w:r>
      <w:r w:rsidR="00F33ED0">
        <w:rPr>
          <w:rFonts w:ascii="Georgia" w:hAnsi="Georgia" w:cs="Arial"/>
          <w:bCs/>
        </w:rPr>
        <w:t xml:space="preserve">mention forfeiture </w:t>
      </w:r>
      <w:r w:rsidR="002A5607">
        <w:rPr>
          <w:rFonts w:ascii="Georgia" w:hAnsi="Georgia" w:cs="Arial"/>
          <w:bCs/>
        </w:rPr>
        <w:t xml:space="preserve">and </w:t>
      </w:r>
      <w:r w:rsidR="00B90EF4">
        <w:rPr>
          <w:rFonts w:ascii="Georgia" w:hAnsi="Georgia" w:cs="Arial"/>
          <w:bCs/>
        </w:rPr>
        <w:t xml:space="preserve">were </w:t>
      </w:r>
      <w:r w:rsidR="002A5607">
        <w:rPr>
          <w:rFonts w:ascii="Georgia" w:hAnsi="Georgia" w:cs="Arial"/>
          <w:bCs/>
        </w:rPr>
        <w:t xml:space="preserve">not directed at the Applicant.  </w:t>
      </w:r>
    </w:p>
    <w:p w14:paraId="3C59502B" w14:textId="77777777" w:rsidR="00CC4EC3" w:rsidRPr="00CC4EC3" w:rsidRDefault="00CC4EC3" w:rsidP="00CC4EC3">
      <w:pPr>
        <w:pStyle w:val="ListParagraph"/>
        <w:rPr>
          <w:rFonts w:ascii="Georgia" w:hAnsi="Georgia" w:cs="Arial"/>
          <w:bCs/>
        </w:rPr>
      </w:pPr>
    </w:p>
    <w:p w14:paraId="0E4F33A1" w14:textId="19143227" w:rsidR="00C871CF" w:rsidRDefault="0055018B" w:rsidP="00C871CF">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CD0B9D">
        <w:rPr>
          <w:rFonts w:ascii="Georgia" w:hAnsi="Georgia" w:cs="Arial"/>
          <w:bCs/>
        </w:rPr>
        <w:t xml:space="preserve">Elliot Esterson produced letters </w:t>
      </w:r>
      <w:r w:rsidR="00487CEC" w:rsidRPr="00CD0B9D">
        <w:rPr>
          <w:rFonts w:ascii="Georgia" w:hAnsi="Georgia" w:cs="Arial"/>
          <w:bCs/>
        </w:rPr>
        <w:t xml:space="preserve">sent to the Applicant to chase payment of his service charge contribution for the major works </w:t>
      </w:r>
      <w:r w:rsidRPr="00CD0B9D">
        <w:rPr>
          <w:rFonts w:ascii="Georgia" w:hAnsi="Georgia" w:cs="Arial"/>
          <w:bCs/>
        </w:rPr>
        <w:t>on 18 September 2023, 26 September 2023 and 6 November 2023.</w:t>
      </w:r>
      <w:r w:rsidR="002D14D9" w:rsidRPr="00CD0B9D">
        <w:rPr>
          <w:rFonts w:ascii="Georgia" w:hAnsi="Georgia" w:cs="Arial"/>
          <w:bCs/>
        </w:rPr>
        <w:t xml:space="preserve">  </w:t>
      </w:r>
      <w:r w:rsidR="00CB5A0E" w:rsidRPr="00CD0B9D">
        <w:rPr>
          <w:rFonts w:ascii="Georgia" w:hAnsi="Georgia" w:cs="Arial"/>
          <w:bCs/>
        </w:rPr>
        <w:t xml:space="preserve">He also produced an </w:t>
      </w:r>
      <w:r w:rsidR="00CB5A0E" w:rsidRPr="00CD0B9D">
        <w:rPr>
          <w:rFonts w:ascii="Georgia" w:hAnsi="Georgia" w:cs="Arial"/>
          <w:bCs/>
        </w:rPr>
        <w:lastRenderedPageBreak/>
        <w:t>email of 26 September 20</w:t>
      </w:r>
      <w:r w:rsidR="001F4741" w:rsidRPr="00CD0B9D">
        <w:rPr>
          <w:rFonts w:ascii="Georgia" w:hAnsi="Georgia" w:cs="Arial"/>
          <w:bCs/>
        </w:rPr>
        <w:t>23 to the Applicant which stated that “we will continue with our debt recovery procedure</w:t>
      </w:r>
      <w:r w:rsidR="001F291E" w:rsidRPr="00CD0B9D">
        <w:rPr>
          <w:rFonts w:ascii="Georgia" w:hAnsi="Georgia" w:cs="Arial"/>
          <w:bCs/>
        </w:rPr>
        <w:t>, which will lead to this matter being passed to a debt recovery solicitors, who will take legal action to recover the unpaid char</w:t>
      </w:r>
      <w:r w:rsidR="00D359FD">
        <w:rPr>
          <w:rFonts w:ascii="Georgia" w:hAnsi="Georgia" w:cs="Arial"/>
          <w:bCs/>
        </w:rPr>
        <w:t>g</w:t>
      </w:r>
      <w:r w:rsidR="001F291E" w:rsidRPr="00CD0B9D">
        <w:rPr>
          <w:rFonts w:ascii="Georgia" w:hAnsi="Georgia" w:cs="Arial"/>
          <w:bCs/>
        </w:rPr>
        <w:t xml:space="preserve">es and their legal fees and costs”.  </w:t>
      </w:r>
      <w:r w:rsidR="002D14D9" w:rsidRPr="00CD0B9D">
        <w:rPr>
          <w:rFonts w:ascii="Georgia" w:hAnsi="Georgia" w:cs="Arial"/>
          <w:bCs/>
        </w:rPr>
        <w:t>However, these letters do not refer to forfeiture proceedings</w:t>
      </w:r>
      <w:r w:rsidR="005243DD" w:rsidRPr="00CD0B9D">
        <w:rPr>
          <w:rFonts w:ascii="Georgia" w:hAnsi="Georgia" w:cs="Arial"/>
          <w:bCs/>
        </w:rPr>
        <w:t xml:space="preserve">.  </w:t>
      </w:r>
    </w:p>
    <w:p w14:paraId="0EA7F62E" w14:textId="77777777" w:rsidR="00CD0B9D" w:rsidRPr="00CD0B9D" w:rsidRDefault="00CD0B9D" w:rsidP="00CD0B9D">
      <w:pPr>
        <w:pStyle w:val="ListParagraph"/>
        <w:autoSpaceDE w:val="0"/>
        <w:autoSpaceDN w:val="0"/>
        <w:adjustRightInd w:val="0"/>
        <w:spacing w:after="360"/>
        <w:ind w:left="851"/>
        <w:jc w:val="both"/>
        <w:rPr>
          <w:rFonts w:ascii="Georgia" w:hAnsi="Georgia" w:cs="Arial"/>
          <w:bCs/>
        </w:rPr>
      </w:pPr>
    </w:p>
    <w:p w14:paraId="072F2200" w14:textId="6E19C170" w:rsidR="00085857" w:rsidRPr="005022B1" w:rsidRDefault="00A26FDB" w:rsidP="005022B1">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 xml:space="preserve">Elliot Esterson confirmed that Gaby Hardwicke </w:t>
      </w:r>
      <w:r w:rsidR="00D359FD">
        <w:rPr>
          <w:rFonts w:ascii="Georgia" w:hAnsi="Georgia" w:cs="Arial"/>
          <w:bCs/>
        </w:rPr>
        <w:t>S</w:t>
      </w:r>
      <w:r>
        <w:rPr>
          <w:rFonts w:ascii="Georgia" w:hAnsi="Georgia" w:cs="Arial"/>
          <w:bCs/>
        </w:rPr>
        <w:t>olicitors were used as the Applicant’s case did not progress through what the Respondent describes as “their standard process” for debt collection using Brady solicitors</w:t>
      </w:r>
      <w:r w:rsidR="002C23D9">
        <w:rPr>
          <w:rFonts w:ascii="Georgia" w:hAnsi="Georgia" w:cs="Arial"/>
          <w:bCs/>
        </w:rPr>
        <w:t>.  This was because</w:t>
      </w:r>
      <w:r w:rsidR="00C034A7">
        <w:rPr>
          <w:rFonts w:ascii="Georgia" w:hAnsi="Georgia" w:cs="Arial"/>
          <w:bCs/>
        </w:rPr>
        <w:t xml:space="preserve"> the Applicant had raised issues that related to </w:t>
      </w:r>
      <w:r w:rsidR="00567982">
        <w:rPr>
          <w:rFonts w:ascii="Georgia" w:hAnsi="Georgia" w:cs="Arial"/>
          <w:bCs/>
        </w:rPr>
        <w:t>company law</w:t>
      </w:r>
      <w:r w:rsidR="00C034A7">
        <w:rPr>
          <w:rFonts w:ascii="Georgia" w:hAnsi="Georgia" w:cs="Arial"/>
          <w:bCs/>
        </w:rPr>
        <w:t xml:space="preserve"> (namely the appointment of a director).  </w:t>
      </w:r>
      <w:r w:rsidR="00567982">
        <w:rPr>
          <w:rFonts w:ascii="Georgia" w:hAnsi="Georgia" w:cs="Arial"/>
          <w:bCs/>
        </w:rPr>
        <w:t xml:space="preserve"> </w:t>
      </w:r>
      <w:r w:rsidR="002C23D9">
        <w:rPr>
          <w:rFonts w:ascii="Georgia" w:hAnsi="Georgia" w:cs="Arial"/>
          <w:bCs/>
        </w:rPr>
        <w:t xml:space="preserve">However, there was no evidence before the Tribunal to show that forfeiture proceedings were </w:t>
      </w:r>
      <w:r w:rsidR="0029229E">
        <w:rPr>
          <w:rFonts w:ascii="Georgia" w:hAnsi="Georgia" w:cs="Arial"/>
          <w:bCs/>
        </w:rPr>
        <w:t xml:space="preserve">contemplated.  The Tribunal is not satisfied, on a balance of probabilities, that </w:t>
      </w:r>
      <w:r w:rsidR="008922B4">
        <w:rPr>
          <w:rFonts w:ascii="Georgia" w:hAnsi="Georgia" w:cs="Arial"/>
          <w:bCs/>
        </w:rPr>
        <w:t>the</w:t>
      </w:r>
      <w:r w:rsidR="0029229E">
        <w:rPr>
          <w:rFonts w:ascii="Georgia" w:hAnsi="Georgia" w:cs="Arial"/>
          <w:bCs/>
        </w:rPr>
        <w:t xml:space="preserve"> </w:t>
      </w:r>
      <w:r w:rsidR="00921AF0">
        <w:rPr>
          <w:rFonts w:ascii="Georgia" w:hAnsi="Georgia" w:cs="Arial"/>
          <w:bCs/>
        </w:rPr>
        <w:t>refer</w:t>
      </w:r>
      <w:r w:rsidR="008922B4">
        <w:rPr>
          <w:rFonts w:ascii="Georgia" w:hAnsi="Georgia" w:cs="Arial"/>
          <w:bCs/>
        </w:rPr>
        <w:t>ral of</w:t>
      </w:r>
      <w:r w:rsidR="00921AF0">
        <w:rPr>
          <w:rFonts w:ascii="Georgia" w:hAnsi="Georgia" w:cs="Arial"/>
          <w:bCs/>
        </w:rPr>
        <w:t xml:space="preserve"> non-payment of service charges to a firm of solicitors is sufficient to show that forfeiture was contemplated in the Applicant’s case.</w:t>
      </w:r>
    </w:p>
    <w:p w14:paraId="6F937652" w14:textId="77777777" w:rsidR="00085857" w:rsidRPr="00085857" w:rsidRDefault="00085857" w:rsidP="000E5C34">
      <w:pPr>
        <w:pStyle w:val="ListParagraph"/>
        <w:autoSpaceDE w:val="0"/>
        <w:autoSpaceDN w:val="0"/>
        <w:adjustRightInd w:val="0"/>
        <w:spacing w:after="360"/>
        <w:ind w:left="851"/>
        <w:jc w:val="both"/>
        <w:rPr>
          <w:rFonts w:ascii="Georgia" w:hAnsi="Georgia" w:cs="Arial"/>
          <w:bCs/>
        </w:rPr>
      </w:pPr>
    </w:p>
    <w:p w14:paraId="75DEF4AA" w14:textId="0E2F87CB" w:rsidR="005C646F" w:rsidRDefault="00F4412E" w:rsidP="00BD5323">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T</w:t>
      </w:r>
      <w:r w:rsidR="005022B1">
        <w:rPr>
          <w:rFonts w:ascii="Georgia" w:hAnsi="Georgia" w:cs="Arial"/>
          <w:bCs/>
        </w:rPr>
        <w:t xml:space="preserve">he Respondent produced </w:t>
      </w:r>
      <w:r w:rsidR="001D6EE0">
        <w:rPr>
          <w:rFonts w:ascii="Georgia" w:hAnsi="Georgia" w:cs="Arial"/>
          <w:bCs/>
        </w:rPr>
        <w:t xml:space="preserve">written statements </w:t>
      </w:r>
      <w:r w:rsidR="00DB3934">
        <w:rPr>
          <w:rFonts w:ascii="Georgia" w:hAnsi="Georgia" w:cs="Arial"/>
          <w:bCs/>
        </w:rPr>
        <w:t xml:space="preserve">confirming </w:t>
      </w:r>
      <w:r w:rsidR="00F66291">
        <w:rPr>
          <w:rFonts w:ascii="Georgia" w:hAnsi="Georgia" w:cs="Arial"/>
          <w:bCs/>
        </w:rPr>
        <w:t>that forfeiture was an option available to the Respondent</w:t>
      </w:r>
      <w:r w:rsidR="00D139F6">
        <w:rPr>
          <w:rFonts w:ascii="Georgia" w:hAnsi="Georgia" w:cs="Arial"/>
          <w:bCs/>
        </w:rPr>
        <w:t>.  However</w:t>
      </w:r>
      <w:r w:rsidR="00F66291">
        <w:rPr>
          <w:rFonts w:ascii="Georgia" w:hAnsi="Georgia" w:cs="Arial"/>
          <w:bCs/>
        </w:rPr>
        <w:t xml:space="preserve">, the Tribunal attaches less weight to these statements as the makers were not available for cross examination and their evidence was not agreed.  </w:t>
      </w:r>
      <w:r w:rsidR="004539EB">
        <w:rPr>
          <w:rFonts w:ascii="Georgia" w:hAnsi="Georgia" w:cs="Arial"/>
          <w:bCs/>
        </w:rPr>
        <w:t>Further, the</w:t>
      </w:r>
      <w:r w:rsidR="00D139F6">
        <w:rPr>
          <w:rFonts w:ascii="Georgia" w:hAnsi="Georgia" w:cs="Arial"/>
          <w:bCs/>
        </w:rPr>
        <w:t>se</w:t>
      </w:r>
      <w:r w:rsidR="004539EB">
        <w:rPr>
          <w:rFonts w:ascii="Georgia" w:hAnsi="Georgia" w:cs="Arial"/>
          <w:bCs/>
        </w:rPr>
        <w:t xml:space="preserve"> witness statements show</w:t>
      </w:r>
      <w:r w:rsidR="00A373FD">
        <w:rPr>
          <w:rFonts w:ascii="Georgia" w:hAnsi="Georgia" w:cs="Arial"/>
          <w:bCs/>
        </w:rPr>
        <w:t>ed</w:t>
      </w:r>
      <w:r w:rsidR="00CA46DC">
        <w:rPr>
          <w:rFonts w:ascii="Georgia" w:hAnsi="Georgia" w:cs="Arial"/>
          <w:bCs/>
        </w:rPr>
        <w:t xml:space="preserve"> only</w:t>
      </w:r>
      <w:r w:rsidR="004539EB">
        <w:rPr>
          <w:rFonts w:ascii="Georgia" w:hAnsi="Georgia" w:cs="Arial"/>
          <w:bCs/>
        </w:rPr>
        <w:t xml:space="preserve"> that Elliot Esterson was asked to give detail of the options available rather than stating that forfeiture was contemplated.  </w:t>
      </w:r>
    </w:p>
    <w:p w14:paraId="055D1BA4" w14:textId="77777777" w:rsidR="005C646F" w:rsidRPr="005C646F" w:rsidRDefault="005C646F" w:rsidP="005C646F">
      <w:pPr>
        <w:pStyle w:val="ListParagraph"/>
        <w:rPr>
          <w:rFonts w:ascii="Georgia" w:hAnsi="Georgia" w:cs="Arial"/>
          <w:bCs/>
        </w:rPr>
      </w:pPr>
    </w:p>
    <w:p w14:paraId="1E10B210" w14:textId="00D6A4CF" w:rsidR="00C456C8" w:rsidRDefault="00F64307" w:rsidP="00A72B15">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sidRPr="00C456C8">
        <w:rPr>
          <w:rFonts w:ascii="Georgia" w:hAnsi="Georgia" w:cs="Arial"/>
          <w:bCs/>
        </w:rPr>
        <w:t>The Tribunal accept</w:t>
      </w:r>
      <w:r w:rsidR="00DB3934" w:rsidRPr="00C456C8">
        <w:rPr>
          <w:rFonts w:ascii="Georgia" w:hAnsi="Georgia" w:cs="Arial"/>
          <w:bCs/>
        </w:rPr>
        <w:t>s</w:t>
      </w:r>
      <w:r w:rsidRPr="00C456C8">
        <w:rPr>
          <w:rFonts w:ascii="Georgia" w:hAnsi="Georgia" w:cs="Arial"/>
          <w:bCs/>
        </w:rPr>
        <w:t xml:space="preserve"> the Applicant’s evidence </w:t>
      </w:r>
      <w:r w:rsidR="005945F2" w:rsidRPr="00C456C8">
        <w:rPr>
          <w:rFonts w:ascii="Georgia" w:hAnsi="Georgia" w:cs="Arial"/>
          <w:bCs/>
        </w:rPr>
        <w:t xml:space="preserve">that he </w:t>
      </w:r>
      <w:r w:rsidR="00FD35DD">
        <w:rPr>
          <w:rFonts w:ascii="Georgia" w:hAnsi="Georgia" w:cs="Arial"/>
          <w:bCs/>
        </w:rPr>
        <w:t xml:space="preserve">had </w:t>
      </w:r>
      <w:r w:rsidR="005945F2" w:rsidRPr="00C456C8">
        <w:rPr>
          <w:rFonts w:ascii="Georgia" w:hAnsi="Georgia" w:cs="Arial"/>
          <w:bCs/>
        </w:rPr>
        <w:t>brought the First Applicat</w:t>
      </w:r>
      <w:r w:rsidR="00A86497">
        <w:rPr>
          <w:rFonts w:ascii="Georgia" w:hAnsi="Georgia" w:cs="Arial"/>
          <w:bCs/>
        </w:rPr>
        <w:t>ion</w:t>
      </w:r>
      <w:r w:rsidR="005945F2" w:rsidRPr="00C456C8">
        <w:rPr>
          <w:rFonts w:ascii="Georgia" w:hAnsi="Georgia" w:cs="Arial"/>
          <w:bCs/>
        </w:rPr>
        <w:t xml:space="preserve"> because he had a genuine belief that the director was not properly appointed and that the service charge was not payable.  It was never his position that he was refusing to pay but rather he wanted the Tribunal to clarify wh</w:t>
      </w:r>
      <w:r w:rsidR="00EF30E1">
        <w:rPr>
          <w:rFonts w:ascii="Georgia" w:hAnsi="Georgia" w:cs="Arial"/>
          <w:bCs/>
        </w:rPr>
        <w:t>ether</w:t>
      </w:r>
      <w:r w:rsidR="005945F2" w:rsidRPr="00C456C8">
        <w:rPr>
          <w:rFonts w:ascii="Georgia" w:hAnsi="Georgia" w:cs="Arial"/>
          <w:bCs/>
        </w:rPr>
        <w:t xml:space="preserve"> he had to pay</w:t>
      </w:r>
      <w:r w:rsidR="0081304F" w:rsidRPr="00C456C8">
        <w:rPr>
          <w:rFonts w:ascii="Georgia" w:hAnsi="Georgia" w:cs="Arial"/>
          <w:bCs/>
        </w:rPr>
        <w:t xml:space="preserve">.  The Tribunal accepts that the Applicant </w:t>
      </w:r>
      <w:r w:rsidR="00EF30E1">
        <w:rPr>
          <w:rFonts w:ascii="Georgia" w:hAnsi="Georgia" w:cs="Arial"/>
          <w:bCs/>
        </w:rPr>
        <w:t xml:space="preserve">had </w:t>
      </w:r>
      <w:r w:rsidR="0081304F" w:rsidRPr="00C456C8">
        <w:rPr>
          <w:rFonts w:ascii="Georgia" w:hAnsi="Georgia" w:cs="Arial"/>
          <w:bCs/>
        </w:rPr>
        <w:t xml:space="preserve">set this out in his communication with the Respondent and in his First Application.  Further, the Tribunal accepts the Applicant’s evidence </w:t>
      </w:r>
      <w:r w:rsidRPr="00C456C8">
        <w:rPr>
          <w:rFonts w:ascii="Georgia" w:hAnsi="Georgia" w:cs="Arial"/>
          <w:bCs/>
        </w:rPr>
        <w:t>that</w:t>
      </w:r>
      <w:r w:rsidR="00B22095">
        <w:rPr>
          <w:rFonts w:ascii="Georgia" w:hAnsi="Georgia" w:cs="Arial"/>
          <w:bCs/>
        </w:rPr>
        <w:t>,</w:t>
      </w:r>
      <w:r w:rsidRPr="00C456C8">
        <w:rPr>
          <w:rFonts w:ascii="Georgia" w:hAnsi="Georgia" w:cs="Arial"/>
          <w:bCs/>
        </w:rPr>
        <w:t xml:space="preserve"> </w:t>
      </w:r>
      <w:r w:rsidR="00C30055" w:rsidRPr="00C456C8">
        <w:rPr>
          <w:rFonts w:ascii="Georgia" w:hAnsi="Georgia" w:cs="Arial"/>
          <w:bCs/>
        </w:rPr>
        <w:t xml:space="preserve">as soon as the Tribunal made its decision </w:t>
      </w:r>
      <w:r w:rsidR="004C3EBB" w:rsidRPr="00C456C8">
        <w:rPr>
          <w:rFonts w:ascii="Georgia" w:hAnsi="Georgia" w:cs="Arial"/>
          <w:bCs/>
        </w:rPr>
        <w:t xml:space="preserve">in </w:t>
      </w:r>
      <w:r w:rsidR="00C30055" w:rsidRPr="00C456C8">
        <w:rPr>
          <w:rFonts w:ascii="Georgia" w:hAnsi="Georgia" w:cs="Arial"/>
          <w:bCs/>
        </w:rPr>
        <w:t>the First Application</w:t>
      </w:r>
      <w:r w:rsidR="004C3EBB" w:rsidRPr="00C456C8">
        <w:rPr>
          <w:rFonts w:ascii="Georgia" w:hAnsi="Georgia" w:cs="Arial"/>
          <w:bCs/>
        </w:rPr>
        <w:t>,</w:t>
      </w:r>
      <w:r w:rsidR="00C30055" w:rsidRPr="00C456C8">
        <w:rPr>
          <w:rFonts w:ascii="Georgia" w:hAnsi="Georgia" w:cs="Arial"/>
          <w:bCs/>
        </w:rPr>
        <w:t xml:space="preserve"> he </w:t>
      </w:r>
      <w:r w:rsidR="00B22095">
        <w:rPr>
          <w:rFonts w:ascii="Georgia" w:hAnsi="Georgia" w:cs="Arial"/>
          <w:bCs/>
        </w:rPr>
        <w:t xml:space="preserve">had </w:t>
      </w:r>
      <w:r w:rsidR="00C30055" w:rsidRPr="00C456C8">
        <w:rPr>
          <w:rFonts w:ascii="Georgia" w:hAnsi="Georgia" w:cs="Arial"/>
          <w:bCs/>
        </w:rPr>
        <w:t xml:space="preserve">paid the outstanding service charge.  </w:t>
      </w:r>
    </w:p>
    <w:p w14:paraId="2B39B612" w14:textId="77777777" w:rsidR="00A72B15" w:rsidRPr="00A72B15" w:rsidRDefault="00A72B15" w:rsidP="00A72B15">
      <w:pPr>
        <w:pStyle w:val="ListParagraph"/>
        <w:rPr>
          <w:rFonts w:ascii="Georgia" w:hAnsi="Georgia" w:cs="Arial"/>
          <w:bCs/>
        </w:rPr>
      </w:pPr>
    </w:p>
    <w:p w14:paraId="71C3D902" w14:textId="1E68333C" w:rsidR="00741D51" w:rsidRPr="00265B72" w:rsidRDefault="005801A4" w:rsidP="00265B72">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rPr>
        <w:t xml:space="preserve">The Respondent </w:t>
      </w:r>
      <w:r w:rsidR="00601FD6">
        <w:rPr>
          <w:rFonts w:ascii="Georgia" w:hAnsi="Georgia" w:cs="Arial"/>
        </w:rPr>
        <w:t xml:space="preserve">as </w:t>
      </w:r>
      <w:r>
        <w:rPr>
          <w:rFonts w:ascii="Georgia" w:hAnsi="Georgia" w:cs="Arial"/>
        </w:rPr>
        <w:t xml:space="preserve">a management company </w:t>
      </w:r>
      <w:r w:rsidR="00601FD6">
        <w:rPr>
          <w:rFonts w:ascii="Georgia" w:hAnsi="Georgia" w:cs="Arial"/>
        </w:rPr>
        <w:t xml:space="preserve">would not </w:t>
      </w:r>
      <w:r w:rsidR="00A6578C">
        <w:rPr>
          <w:rFonts w:ascii="Georgia" w:hAnsi="Georgia" w:cs="Arial"/>
        </w:rPr>
        <w:t xml:space="preserve">be </w:t>
      </w:r>
      <w:proofErr w:type="gramStart"/>
      <w:r w:rsidR="00A6578C">
        <w:rPr>
          <w:rFonts w:ascii="Georgia" w:hAnsi="Georgia" w:cs="Arial"/>
        </w:rPr>
        <w:t>in a position</w:t>
      </w:r>
      <w:proofErr w:type="gramEnd"/>
      <w:r w:rsidR="00A6578C">
        <w:rPr>
          <w:rFonts w:ascii="Georgia" w:hAnsi="Georgia" w:cs="Arial"/>
        </w:rPr>
        <w:t xml:space="preserve"> to </w:t>
      </w:r>
      <w:r w:rsidR="00B431D4">
        <w:rPr>
          <w:rFonts w:ascii="Georgia" w:hAnsi="Georgia" w:cs="Arial"/>
        </w:rPr>
        <w:t xml:space="preserve">bring proceedings for forfeiture of the Lease.  It was not until after the First Applicant had concluded that </w:t>
      </w:r>
      <w:r w:rsidR="00067A1B">
        <w:rPr>
          <w:rFonts w:ascii="Georgia" w:hAnsi="Georgia" w:cs="Arial"/>
        </w:rPr>
        <w:t>the Respondent contacted the landlord regarding forfeiture.</w:t>
      </w:r>
      <w:r w:rsidR="00451BE0">
        <w:rPr>
          <w:rFonts w:ascii="Georgia" w:hAnsi="Georgia" w:cs="Arial"/>
        </w:rPr>
        <w:t xml:space="preserve">  </w:t>
      </w:r>
      <w:r w:rsidR="00741D51" w:rsidRPr="00265B72">
        <w:rPr>
          <w:rFonts w:ascii="Georgia" w:hAnsi="Georgia" w:cs="Arial"/>
        </w:rPr>
        <w:t xml:space="preserve">At page 101 </w:t>
      </w:r>
      <w:r w:rsidR="00A72B15">
        <w:rPr>
          <w:rFonts w:ascii="Georgia" w:hAnsi="Georgia" w:cs="Arial"/>
        </w:rPr>
        <w:t xml:space="preserve">of the bundle the Respondent produced </w:t>
      </w:r>
      <w:r w:rsidR="00741D51" w:rsidRPr="00265B72">
        <w:rPr>
          <w:rFonts w:ascii="Georgia" w:hAnsi="Georgia" w:cs="Arial"/>
        </w:rPr>
        <w:t>a copy of an email sent from Trent Park to the freeholder</w:t>
      </w:r>
      <w:r w:rsidR="00A50373">
        <w:rPr>
          <w:rFonts w:ascii="Georgia" w:hAnsi="Georgia" w:cs="Arial"/>
        </w:rPr>
        <w:t xml:space="preserve"> </w:t>
      </w:r>
      <w:r w:rsidR="00741D51" w:rsidRPr="00265B72">
        <w:rPr>
          <w:rFonts w:ascii="Georgia" w:hAnsi="Georgia" w:cs="Arial"/>
        </w:rPr>
        <w:t xml:space="preserve">dated 3 June 2025 (after the Tribunal’s determination of the First Application).  This email </w:t>
      </w:r>
      <w:r w:rsidR="00B22095">
        <w:rPr>
          <w:rFonts w:ascii="Georgia" w:hAnsi="Georgia" w:cs="Arial"/>
        </w:rPr>
        <w:t>was</w:t>
      </w:r>
      <w:r w:rsidR="00741D51" w:rsidRPr="00265B72">
        <w:rPr>
          <w:rFonts w:ascii="Georgia" w:hAnsi="Georgia" w:cs="Arial"/>
        </w:rPr>
        <w:t xml:space="preserve"> sent by Elliott Es</w:t>
      </w:r>
      <w:r w:rsidR="004803A7" w:rsidRPr="00265B72">
        <w:rPr>
          <w:rFonts w:ascii="Georgia" w:hAnsi="Georgia" w:cs="Arial"/>
        </w:rPr>
        <w:t>terson</w:t>
      </w:r>
      <w:r w:rsidR="00741D51" w:rsidRPr="00265B72">
        <w:rPr>
          <w:rFonts w:ascii="Georgia" w:hAnsi="Georgia" w:cs="Arial"/>
        </w:rPr>
        <w:t xml:space="preserve"> and state</w:t>
      </w:r>
      <w:r w:rsidR="00B22095">
        <w:rPr>
          <w:rFonts w:ascii="Georgia" w:hAnsi="Georgia" w:cs="Arial"/>
        </w:rPr>
        <w:t>d</w:t>
      </w:r>
      <w:r w:rsidR="00741D51" w:rsidRPr="00265B72">
        <w:rPr>
          <w:rFonts w:ascii="Georgia" w:hAnsi="Georgia" w:cs="Arial"/>
        </w:rPr>
        <w:t>:</w:t>
      </w:r>
    </w:p>
    <w:p w14:paraId="016920CF" w14:textId="77777777" w:rsidR="00741D51" w:rsidRDefault="00741D51" w:rsidP="00741D51">
      <w:pPr>
        <w:autoSpaceDE w:val="0"/>
        <w:autoSpaceDN w:val="0"/>
        <w:adjustRightInd w:val="0"/>
        <w:spacing w:after="360"/>
        <w:ind w:left="1778"/>
        <w:jc w:val="both"/>
        <w:rPr>
          <w:rFonts w:ascii="Georgia" w:hAnsi="Georgia" w:cs="Arial"/>
        </w:rPr>
      </w:pPr>
      <w:r>
        <w:rPr>
          <w:rFonts w:ascii="Georgia" w:hAnsi="Georgia" w:cs="Arial"/>
        </w:rPr>
        <w:t xml:space="preserve">“We need to collect the £11K debt to reimburse leaseholders for this cost.  One option may be to bring proceedings to forfeit his </w:t>
      </w:r>
      <w:proofErr w:type="gramStart"/>
      <w:r>
        <w:rPr>
          <w:rFonts w:ascii="Georgia" w:hAnsi="Georgia" w:cs="Arial"/>
        </w:rPr>
        <w:t>lease</w:t>
      </w:r>
      <w:proofErr w:type="gramEnd"/>
      <w:r>
        <w:rPr>
          <w:rFonts w:ascii="Georgia" w:hAnsi="Georgia" w:cs="Arial"/>
        </w:rPr>
        <w:t xml:space="preserve"> but we would need your full support and approval to do this, before we discuss this further with solicitors.</w:t>
      </w:r>
    </w:p>
    <w:p w14:paraId="656067C4" w14:textId="0B0F5E7D" w:rsidR="00487FB1" w:rsidRPr="00AA6F1D" w:rsidRDefault="00741D51" w:rsidP="00AA6F1D">
      <w:pPr>
        <w:autoSpaceDE w:val="0"/>
        <w:autoSpaceDN w:val="0"/>
        <w:adjustRightInd w:val="0"/>
        <w:spacing w:after="360"/>
        <w:ind w:left="1778"/>
        <w:jc w:val="both"/>
        <w:rPr>
          <w:rFonts w:ascii="Georgia" w:hAnsi="Georgia" w:cs="Arial"/>
        </w:rPr>
      </w:pPr>
      <w:r>
        <w:rPr>
          <w:rFonts w:ascii="Georgia" w:hAnsi="Georgia" w:cs="Arial"/>
        </w:rPr>
        <w:lastRenderedPageBreak/>
        <w:t>Please can you let me know if you would be interested in trying to forfeit his lease, if this is possible based on the arrears being administration charges as opposed to service charges?”</w:t>
      </w:r>
    </w:p>
    <w:p w14:paraId="68EE48ED" w14:textId="0A226A9B" w:rsidR="007A2833" w:rsidRDefault="00C8486A" w:rsidP="00F27721">
      <w:pPr>
        <w:pStyle w:val="ListParagraph"/>
        <w:numPr>
          <w:ilvl w:val="0"/>
          <w:numId w:val="8"/>
        </w:numPr>
        <w:tabs>
          <w:tab w:val="clear" w:pos="1778"/>
        </w:tabs>
        <w:autoSpaceDE w:val="0"/>
        <w:autoSpaceDN w:val="0"/>
        <w:adjustRightInd w:val="0"/>
        <w:spacing w:after="360"/>
        <w:ind w:left="851" w:hanging="709"/>
        <w:jc w:val="both"/>
        <w:rPr>
          <w:rFonts w:ascii="Georgia" w:hAnsi="Georgia" w:cs="Arial"/>
          <w:bCs/>
        </w:rPr>
      </w:pPr>
      <w:r>
        <w:rPr>
          <w:rFonts w:ascii="Georgia" w:hAnsi="Georgia" w:cs="Arial"/>
          <w:bCs/>
        </w:rPr>
        <w:t>T</w:t>
      </w:r>
      <w:r w:rsidR="00871606">
        <w:rPr>
          <w:rFonts w:ascii="Georgia" w:hAnsi="Georgia" w:cs="Arial"/>
          <w:bCs/>
        </w:rPr>
        <w:t xml:space="preserve">herefore, </w:t>
      </w:r>
      <w:r w:rsidR="00924342">
        <w:rPr>
          <w:rFonts w:ascii="Georgia" w:hAnsi="Georgia" w:cs="Arial"/>
          <w:bCs/>
        </w:rPr>
        <w:t>on the facts of this case</w:t>
      </w:r>
      <w:r w:rsidR="009202CC">
        <w:rPr>
          <w:rFonts w:ascii="Georgia" w:hAnsi="Georgia" w:cs="Arial"/>
          <w:bCs/>
        </w:rPr>
        <w:t xml:space="preserve"> and on the balance of probabilities</w:t>
      </w:r>
      <w:r w:rsidR="00924342">
        <w:rPr>
          <w:rFonts w:ascii="Georgia" w:hAnsi="Georgia" w:cs="Arial"/>
          <w:bCs/>
        </w:rPr>
        <w:t xml:space="preserve">, </w:t>
      </w:r>
      <w:r>
        <w:rPr>
          <w:rFonts w:ascii="Georgia" w:hAnsi="Georgia" w:cs="Arial"/>
          <w:bCs/>
        </w:rPr>
        <w:t>t</w:t>
      </w:r>
      <w:r w:rsidR="007A2833" w:rsidRPr="007A2833">
        <w:rPr>
          <w:rFonts w:ascii="Georgia" w:hAnsi="Georgia" w:cs="Arial"/>
          <w:bCs/>
        </w:rPr>
        <w:t>he Tribunal is not satisfied</w:t>
      </w:r>
      <w:r w:rsidR="00924342">
        <w:rPr>
          <w:rFonts w:ascii="Georgia" w:hAnsi="Georgia" w:cs="Arial"/>
          <w:bCs/>
        </w:rPr>
        <w:t xml:space="preserve"> </w:t>
      </w:r>
      <w:r w:rsidR="007A2833" w:rsidRPr="007A2833">
        <w:rPr>
          <w:rFonts w:ascii="Georgia" w:hAnsi="Georgia" w:cs="Arial"/>
          <w:bCs/>
        </w:rPr>
        <w:t xml:space="preserve">that the </w:t>
      </w:r>
      <w:r w:rsidR="00F27721">
        <w:rPr>
          <w:rFonts w:ascii="Georgia" w:hAnsi="Georgia" w:cs="Arial"/>
          <w:bCs/>
        </w:rPr>
        <w:t>Incurred C</w:t>
      </w:r>
      <w:r w:rsidR="007A2833" w:rsidRPr="007A2833">
        <w:rPr>
          <w:rFonts w:ascii="Georgia" w:hAnsi="Georgia" w:cs="Arial"/>
          <w:bCs/>
        </w:rPr>
        <w:t xml:space="preserve">osts were </w:t>
      </w:r>
      <w:r w:rsidR="009202CC">
        <w:rPr>
          <w:rFonts w:ascii="Georgia" w:hAnsi="Georgia" w:cs="Arial"/>
          <w:bCs/>
        </w:rPr>
        <w:t>expended</w:t>
      </w:r>
      <w:r w:rsidR="007A2833" w:rsidRPr="007A2833">
        <w:rPr>
          <w:rFonts w:ascii="Georgia" w:hAnsi="Georgia" w:cs="Arial"/>
          <w:bCs/>
        </w:rPr>
        <w:t xml:space="preserve"> for the purpose of or incidental to the preparation and service of a notice under sections 146 and/or 147 of the </w:t>
      </w:r>
      <w:r w:rsidR="00DC51D4">
        <w:rPr>
          <w:rFonts w:ascii="Georgia" w:hAnsi="Georgia" w:cs="Arial"/>
          <w:bCs/>
        </w:rPr>
        <w:t>Law of Property Act 1925</w:t>
      </w:r>
      <w:r w:rsidR="00924342">
        <w:rPr>
          <w:rFonts w:ascii="Georgia" w:hAnsi="Georgia" w:cs="Arial"/>
          <w:bCs/>
        </w:rPr>
        <w:t xml:space="preserve"> or in </w:t>
      </w:r>
      <w:r w:rsidR="00D57051">
        <w:rPr>
          <w:rFonts w:ascii="Georgia" w:hAnsi="Georgia" w:cs="Arial"/>
          <w:bCs/>
        </w:rPr>
        <w:t>contemplation thereof</w:t>
      </w:r>
      <w:r w:rsidR="00DC51D4">
        <w:rPr>
          <w:rFonts w:ascii="Georgia" w:hAnsi="Georgia" w:cs="Arial"/>
          <w:bCs/>
        </w:rPr>
        <w:t xml:space="preserve">.  </w:t>
      </w:r>
      <w:r w:rsidR="00DB2DD7">
        <w:rPr>
          <w:rFonts w:ascii="Georgia" w:hAnsi="Georgia" w:cs="Arial"/>
          <w:bCs/>
        </w:rPr>
        <w:t xml:space="preserve">The </w:t>
      </w:r>
      <w:r w:rsidR="00DC51D4">
        <w:rPr>
          <w:rFonts w:ascii="Georgia" w:hAnsi="Georgia" w:cs="Arial"/>
          <w:bCs/>
        </w:rPr>
        <w:t>Tribunal</w:t>
      </w:r>
      <w:r w:rsidR="00DB2DD7">
        <w:rPr>
          <w:rFonts w:ascii="Georgia" w:hAnsi="Georgia" w:cs="Arial"/>
          <w:bCs/>
        </w:rPr>
        <w:t xml:space="preserve"> finds that the </w:t>
      </w:r>
      <w:r w:rsidR="00D57051">
        <w:rPr>
          <w:rFonts w:ascii="Georgia" w:hAnsi="Georgia" w:cs="Arial"/>
          <w:bCs/>
        </w:rPr>
        <w:t>Incurred C</w:t>
      </w:r>
      <w:r w:rsidR="00DB2DD7">
        <w:rPr>
          <w:rFonts w:ascii="Georgia" w:hAnsi="Georgia" w:cs="Arial"/>
          <w:bCs/>
        </w:rPr>
        <w:t xml:space="preserve">osts were </w:t>
      </w:r>
      <w:r w:rsidR="00636198">
        <w:rPr>
          <w:rFonts w:ascii="Georgia" w:hAnsi="Georgia" w:cs="Arial"/>
          <w:bCs/>
        </w:rPr>
        <w:t>expended</w:t>
      </w:r>
      <w:r w:rsidR="00DB2DD7">
        <w:rPr>
          <w:rFonts w:ascii="Georgia" w:hAnsi="Georgia" w:cs="Arial"/>
          <w:bCs/>
        </w:rPr>
        <w:t xml:space="preserve"> </w:t>
      </w:r>
      <w:proofErr w:type="gramStart"/>
      <w:r w:rsidR="00DB2DD7">
        <w:rPr>
          <w:rFonts w:ascii="Georgia" w:hAnsi="Georgia" w:cs="Arial"/>
          <w:bCs/>
        </w:rPr>
        <w:t>in order to</w:t>
      </w:r>
      <w:proofErr w:type="gramEnd"/>
      <w:r w:rsidR="00DB2DD7">
        <w:rPr>
          <w:rFonts w:ascii="Georgia" w:hAnsi="Georgia" w:cs="Arial"/>
          <w:bCs/>
        </w:rPr>
        <w:t xml:space="preserve"> </w:t>
      </w:r>
      <w:r w:rsidR="00E0719A">
        <w:rPr>
          <w:rFonts w:ascii="Georgia" w:hAnsi="Georgia" w:cs="Arial"/>
          <w:bCs/>
        </w:rPr>
        <w:t>respond to the Applicant</w:t>
      </w:r>
      <w:r w:rsidR="00636198">
        <w:rPr>
          <w:rFonts w:ascii="Georgia" w:hAnsi="Georgia" w:cs="Arial"/>
          <w:bCs/>
        </w:rPr>
        <w:t>’</w:t>
      </w:r>
      <w:r w:rsidR="00E0719A">
        <w:rPr>
          <w:rFonts w:ascii="Georgia" w:hAnsi="Georgia" w:cs="Arial"/>
          <w:bCs/>
        </w:rPr>
        <w:t xml:space="preserve">s case before this Tribunal.  </w:t>
      </w:r>
      <w:r w:rsidR="007A2833" w:rsidRPr="007A2833">
        <w:rPr>
          <w:rFonts w:ascii="Georgia" w:hAnsi="Georgia" w:cs="Arial"/>
          <w:bCs/>
        </w:rPr>
        <w:t>The Tribunal therefore finds that the sums claimed are not recoverable as an administration charge pursuant to clause 3(</w:t>
      </w:r>
      <w:r w:rsidR="004516CE">
        <w:rPr>
          <w:rFonts w:ascii="Georgia" w:hAnsi="Georgia" w:cs="Arial"/>
          <w:bCs/>
        </w:rPr>
        <w:t>xvi)</w:t>
      </w:r>
      <w:r w:rsidR="007A2833" w:rsidRPr="007A2833">
        <w:rPr>
          <w:rFonts w:ascii="Georgia" w:hAnsi="Georgia" w:cs="Arial"/>
          <w:bCs/>
        </w:rPr>
        <w:t xml:space="preserve"> of the </w:t>
      </w:r>
      <w:r w:rsidR="004516CE">
        <w:rPr>
          <w:rFonts w:ascii="Georgia" w:hAnsi="Georgia" w:cs="Arial"/>
          <w:bCs/>
        </w:rPr>
        <w:t>L</w:t>
      </w:r>
      <w:r w:rsidR="007A2833" w:rsidRPr="007A2833">
        <w:rPr>
          <w:rFonts w:ascii="Georgia" w:hAnsi="Georgia" w:cs="Arial"/>
          <w:bCs/>
        </w:rPr>
        <w:t xml:space="preserve">ease. </w:t>
      </w:r>
    </w:p>
    <w:p w14:paraId="576EAD9A" w14:textId="7B82DE00" w:rsidR="00D14E2F" w:rsidRPr="002B7668" w:rsidRDefault="002B7668" w:rsidP="00F86082">
      <w:pPr>
        <w:autoSpaceDE w:val="0"/>
        <w:autoSpaceDN w:val="0"/>
        <w:adjustRightInd w:val="0"/>
        <w:spacing w:after="360"/>
        <w:jc w:val="both"/>
        <w:rPr>
          <w:rFonts w:ascii="Georgia" w:hAnsi="Georgia" w:cs="Arial"/>
          <w:b/>
        </w:rPr>
      </w:pPr>
      <w:r w:rsidRPr="002B7668">
        <w:rPr>
          <w:rFonts w:ascii="Georgia" w:hAnsi="Georgia" w:cs="Arial"/>
          <w:b/>
        </w:rPr>
        <w:t>Service Charge Provision</w:t>
      </w:r>
      <w:r>
        <w:rPr>
          <w:rFonts w:ascii="Georgia" w:hAnsi="Georgia" w:cs="Arial"/>
          <w:b/>
        </w:rPr>
        <w:t xml:space="preserve"> - </w:t>
      </w:r>
      <w:r w:rsidR="00ED0E7C" w:rsidRPr="00ED0E7C">
        <w:rPr>
          <w:rFonts w:ascii="Georgia" w:hAnsi="Georgia" w:cs="Arial"/>
          <w:b/>
          <w:bCs/>
        </w:rPr>
        <w:t>Paragraph</w:t>
      </w:r>
      <w:r w:rsidR="00F86082" w:rsidRPr="00ED0E7C">
        <w:rPr>
          <w:rFonts w:ascii="Georgia" w:hAnsi="Georgia" w:cs="Arial"/>
          <w:b/>
          <w:bCs/>
        </w:rPr>
        <w:t xml:space="preserve"> </w:t>
      </w:r>
      <w:r w:rsidR="00ED0E7C" w:rsidRPr="00ED0E7C">
        <w:rPr>
          <w:rFonts w:ascii="Georgia" w:hAnsi="Georgia" w:cs="Arial"/>
          <w:b/>
          <w:bCs/>
        </w:rPr>
        <w:t>13 of the Seventh Schedule of the Lease</w:t>
      </w:r>
    </w:p>
    <w:p w14:paraId="2EA27C45" w14:textId="32C250EE" w:rsidR="00102A51" w:rsidRDefault="009A1BB7" w:rsidP="009A1BB7">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Respondent submitted that the First Application related primarily to the maintenance of the </w:t>
      </w:r>
      <w:r w:rsidR="00102A51">
        <w:rPr>
          <w:rFonts w:ascii="Georgia" w:hAnsi="Georgia" w:cs="Arial"/>
        </w:rPr>
        <w:t>R</w:t>
      </w:r>
      <w:r>
        <w:rPr>
          <w:rFonts w:ascii="Georgia" w:hAnsi="Georgia" w:cs="Arial"/>
        </w:rPr>
        <w:t xml:space="preserve">eserved Property, namely the repair and decoration thereof.  </w:t>
      </w:r>
      <w:r w:rsidR="008333BB">
        <w:rPr>
          <w:rFonts w:ascii="Georgia" w:hAnsi="Georgia" w:cs="Arial"/>
        </w:rPr>
        <w:t xml:space="preserve">The </w:t>
      </w:r>
      <w:r w:rsidR="00102A51">
        <w:rPr>
          <w:rFonts w:ascii="Georgia" w:hAnsi="Georgia" w:cs="Arial"/>
        </w:rPr>
        <w:t xml:space="preserve">Reserved Property </w:t>
      </w:r>
      <w:r w:rsidR="00FF2965">
        <w:rPr>
          <w:rFonts w:ascii="Georgia" w:hAnsi="Georgia" w:cs="Arial"/>
        </w:rPr>
        <w:t>wa</w:t>
      </w:r>
      <w:r w:rsidR="00102A51">
        <w:rPr>
          <w:rFonts w:ascii="Georgia" w:hAnsi="Georgia" w:cs="Arial"/>
        </w:rPr>
        <w:t>s defined in the Lease as</w:t>
      </w:r>
      <w:r w:rsidR="00515999">
        <w:rPr>
          <w:rFonts w:ascii="Georgia" w:hAnsi="Georgia" w:cs="Arial"/>
        </w:rPr>
        <w:t xml:space="preserve"> </w:t>
      </w:r>
      <w:r w:rsidR="00102A51">
        <w:rPr>
          <w:rFonts w:ascii="Georgia" w:hAnsi="Georgia" w:cs="Arial"/>
        </w:rPr>
        <w:t>“</w:t>
      </w:r>
      <w:r w:rsidR="001443EE">
        <w:rPr>
          <w:rFonts w:ascii="Georgia" w:hAnsi="Georgia" w:cs="Arial"/>
        </w:rPr>
        <w:t xml:space="preserve">the part of the </w:t>
      </w:r>
      <w:r w:rsidR="007C4996">
        <w:rPr>
          <w:rFonts w:ascii="Georgia" w:hAnsi="Georgia" w:cs="Arial"/>
        </w:rPr>
        <w:t>Property</w:t>
      </w:r>
      <w:r w:rsidR="001443EE">
        <w:rPr>
          <w:rFonts w:ascii="Georgia" w:hAnsi="Georgia" w:cs="Arial"/>
        </w:rPr>
        <w:t xml:space="preserve"> no</w:t>
      </w:r>
      <w:r w:rsidR="00515999">
        <w:rPr>
          <w:rFonts w:ascii="Georgia" w:hAnsi="Georgia" w:cs="Arial"/>
        </w:rPr>
        <w:t>t</w:t>
      </w:r>
      <w:r w:rsidR="001443EE">
        <w:rPr>
          <w:rFonts w:ascii="Georgia" w:hAnsi="Georgia" w:cs="Arial"/>
        </w:rPr>
        <w:t xml:space="preserve"> included in the Flats being the property more particularly described in the Second </w:t>
      </w:r>
      <w:r w:rsidR="00515999">
        <w:rPr>
          <w:rFonts w:ascii="Georgia" w:hAnsi="Georgia" w:cs="Arial"/>
        </w:rPr>
        <w:t>Schedule</w:t>
      </w:r>
      <w:r w:rsidR="00D47321">
        <w:rPr>
          <w:rFonts w:ascii="Georgia" w:hAnsi="Georgia" w:cs="Arial"/>
        </w:rPr>
        <w:t xml:space="preserve">”.  </w:t>
      </w:r>
      <w:r w:rsidR="00515999">
        <w:rPr>
          <w:rFonts w:ascii="Georgia" w:hAnsi="Georgia" w:cs="Arial"/>
        </w:rPr>
        <w:t xml:space="preserve">In essence the </w:t>
      </w:r>
      <w:r w:rsidR="00D47321">
        <w:rPr>
          <w:rFonts w:ascii="Georgia" w:hAnsi="Georgia" w:cs="Arial"/>
        </w:rPr>
        <w:t xml:space="preserve">Second </w:t>
      </w:r>
      <w:r w:rsidR="00515999">
        <w:rPr>
          <w:rFonts w:ascii="Georgia" w:hAnsi="Georgia" w:cs="Arial"/>
        </w:rPr>
        <w:t>Schedule</w:t>
      </w:r>
      <w:r w:rsidR="00D47321">
        <w:rPr>
          <w:rFonts w:ascii="Georgia" w:hAnsi="Georgia" w:cs="Arial"/>
        </w:rPr>
        <w:t xml:space="preserve"> </w:t>
      </w:r>
      <w:r w:rsidR="007A463F">
        <w:rPr>
          <w:rFonts w:ascii="Georgia" w:hAnsi="Georgia" w:cs="Arial"/>
        </w:rPr>
        <w:t xml:space="preserve">defined </w:t>
      </w:r>
      <w:r w:rsidR="001C50F7">
        <w:rPr>
          <w:rFonts w:ascii="Georgia" w:hAnsi="Georgia" w:cs="Arial"/>
        </w:rPr>
        <w:t xml:space="preserve">the </w:t>
      </w:r>
      <w:r w:rsidR="007A463F">
        <w:rPr>
          <w:rFonts w:ascii="Georgia" w:hAnsi="Georgia" w:cs="Arial"/>
        </w:rPr>
        <w:t xml:space="preserve">Reserved Property as </w:t>
      </w:r>
      <w:r w:rsidR="00AC1501">
        <w:rPr>
          <w:rFonts w:ascii="Georgia" w:hAnsi="Georgia" w:cs="Arial"/>
        </w:rPr>
        <w:t xml:space="preserve">including </w:t>
      </w:r>
      <w:r w:rsidR="007A463F">
        <w:rPr>
          <w:rFonts w:ascii="Georgia" w:hAnsi="Georgia" w:cs="Arial"/>
        </w:rPr>
        <w:t xml:space="preserve">“the gardens </w:t>
      </w:r>
      <w:r w:rsidR="004435CA">
        <w:rPr>
          <w:rFonts w:ascii="Georgia" w:hAnsi="Georgia" w:cs="Arial"/>
        </w:rPr>
        <w:t xml:space="preserve">grounds </w:t>
      </w:r>
      <w:r w:rsidR="007A463F">
        <w:rPr>
          <w:rFonts w:ascii="Georgia" w:hAnsi="Georgia" w:cs="Arial"/>
        </w:rPr>
        <w:t xml:space="preserve">paths and </w:t>
      </w:r>
      <w:r w:rsidR="00C2253E">
        <w:rPr>
          <w:rFonts w:ascii="Georgia" w:hAnsi="Georgia" w:cs="Arial"/>
        </w:rPr>
        <w:t>(</w:t>
      </w:r>
      <w:r w:rsidR="00C01D07">
        <w:rPr>
          <w:rFonts w:ascii="Georgia" w:hAnsi="Georgia" w:cs="Arial"/>
        </w:rPr>
        <w:t>forecourts</w:t>
      </w:r>
      <w:r w:rsidR="00C2253E">
        <w:rPr>
          <w:rFonts w:ascii="Georgia" w:hAnsi="Georgia" w:cs="Arial"/>
        </w:rPr>
        <w:t>) forming part of the Property</w:t>
      </w:r>
      <w:r w:rsidR="00641DF7">
        <w:rPr>
          <w:rFonts w:ascii="Georgia" w:hAnsi="Georgia" w:cs="Arial"/>
        </w:rPr>
        <w:t>..</w:t>
      </w:r>
      <w:r w:rsidR="00C01D07">
        <w:rPr>
          <w:rFonts w:ascii="Georgia" w:hAnsi="Georgia" w:cs="Arial"/>
        </w:rPr>
        <w:t>.</w:t>
      </w:r>
      <w:r w:rsidR="00641DF7">
        <w:rPr>
          <w:rFonts w:ascii="Georgia" w:hAnsi="Georgia" w:cs="Arial"/>
        </w:rPr>
        <w:t>and also</w:t>
      </w:r>
      <w:r w:rsidR="00C01D07">
        <w:rPr>
          <w:rFonts w:ascii="Georgia" w:hAnsi="Georgia" w:cs="Arial"/>
        </w:rPr>
        <w:t xml:space="preserve"> </w:t>
      </w:r>
      <w:r w:rsidR="00ED1112">
        <w:rPr>
          <w:rFonts w:ascii="Georgia" w:hAnsi="Georgia" w:cs="Arial"/>
        </w:rPr>
        <w:t>t</w:t>
      </w:r>
      <w:r w:rsidR="00AC1501">
        <w:rPr>
          <w:rFonts w:ascii="Georgia" w:hAnsi="Georgia" w:cs="Arial"/>
        </w:rPr>
        <w:t xml:space="preserve">he halls staircases landings and other parts of the building forming part of the property which </w:t>
      </w:r>
      <w:r w:rsidR="004D1C1D">
        <w:rPr>
          <w:rFonts w:ascii="Georgia" w:hAnsi="Georgia" w:cs="Arial"/>
        </w:rPr>
        <w:t>a</w:t>
      </w:r>
      <w:r w:rsidR="00AC1501">
        <w:rPr>
          <w:rFonts w:ascii="Georgia" w:hAnsi="Georgia" w:cs="Arial"/>
        </w:rPr>
        <w:t xml:space="preserve">re used in </w:t>
      </w:r>
      <w:r w:rsidR="003D5CA0">
        <w:rPr>
          <w:rFonts w:ascii="Georgia" w:hAnsi="Georgia" w:cs="Arial"/>
        </w:rPr>
        <w:t xml:space="preserve">common by the </w:t>
      </w:r>
      <w:r w:rsidR="008346D7">
        <w:rPr>
          <w:rFonts w:ascii="Georgia" w:hAnsi="Georgia" w:cs="Arial"/>
        </w:rPr>
        <w:t>O</w:t>
      </w:r>
      <w:r w:rsidR="003D5CA0">
        <w:rPr>
          <w:rFonts w:ascii="Georgia" w:hAnsi="Georgia" w:cs="Arial"/>
        </w:rPr>
        <w:t xml:space="preserve">wner or occupier of any two or more of the Flats”.  It also </w:t>
      </w:r>
      <w:r w:rsidR="00FF2965">
        <w:rPr>
          <w:rFonts w:ascii="Georgia" w:hAnsi="Georgia" w:cs="Arial"/>
        </w:rPr>
        <w:t>included</w:t>
      </w:r>
      <w:r w:rsidR="003D5CA0">
        <w:rPr>
          <w:rFonts w:ascii="Georgia" w:hAnsi="Georgia" w:cs="Arial"/>
        </w:rPr>
        <w:t xml:space="preserve"> </w:t>
      </w:r>
      <w:r w:rsidR="00613A85">
        <w:rPr>
          <w:rFonts w:ascii="Georgia" w:hAnsi="Georgia" w:cs="Arial"/>
        </w:rPr>
        <w:t xml:space="preserve">the main structural parts of the building </w:t>
      </w:r>
      <w:r w:rsidR="002307BB">
        <w:rPr>
          <w:rFonts w:ascii="Georgia" w:hAnsi="Georgia" w:cs="Arial"/>
        </w:rPr>
        <w:t>such as</w:t>
      </w:r>
      <w:r w:rsidR="00DF40A5">
        <w:rPr>
          <w:rFonts w:ascii="Georgia" w:hAnsi="Georgia" w:cs="Arial"/>
        </w:rPr>
        <w:t xml:space="preserve"> </w:t>
      </w:r>
      <w:r w:rsidR="00254EA2">
        <w:rPr>
          <w:rFonts w:ascii="Georgia" w:hAnsi="Georgia" w:cs="Arial"/>
        </w:rPr>
        <w:t xml:space="preserve">the </w:t>
      </w:r>
      <w:r w:rsidR="00613A85">
        <w:rPr>
          <w:rFonts w:ascii="Georgia" w:hAnsi="Georgia" w:cs="Arial"/>
        </w:rPr>
        <w:t>roofs,</w:t>
      </w:r>
      <w:r w:rsidR="00254EA2">
        <w:rPr>
          <w:rFonts w:ascii="Georgia" w:hAnsi="Georgia" w:cs="Arial"/>
        </w:rPr>
        <w:t xml:space="preserve"> </w:t>
      </w:r>
      <w:r w:rsidR="00813098">
        <w:rPr>
          <w:rFonts w:ascii="Georgia" w:hAnsi="Georgia" w:cs="Arial"/>
        </w:rPr>
        <w:t>external parts</w:t>
      </w:r>
      <w:r w:rsidR="007C4996">
        <w:rPr>
          <w:rFonts w:ascii="Georgia" w:hAnsi="Georgia" w:cs="Arial"/>
        </w:rPr>
        <w:t>, cisterns, tanks and pipes etc.</w:t>
      </w:r>
    </w:p>
    <w:p w14:paraId="3F015C6A" w14:textId="75004632" w:rsidR="009A1BB7" w:rsidRPr="00025A07" w:rsidRDefault="009A1BB7" w:rsidP="009A1BB7">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w:t>
      </w:r>
      <w:r w:rsidR="006570D0">
        <w:rPr>
          <w:rFonts w:ascii="Georgia" w:hAnsi="Georgia" w:cs="Arial"/>
        </w:rPr>
        <w:t xml:space="preserve">Respondent submitted that the </w:t>
      </w:r>
      <w:r>
        <w:rPr>
          <w:rFonts w:ascii="Georgia" w:hAnsi="Georgia" w:cs="Arial"/>
        </w:rPr>
        <w:t xml:space="preserve">collection of the costs of maintenance by way of service charge was an integral part of management and maintenance of the Reserved Property, without which it would be impossible for the Respondent to comply with </w:t>
      </w:r>
      <w:r w:rsidR="00DF40A5">
        <w:rPr>
          <w:rFonts w:ascii="Georgia" w:hAnsi="Georgia" w:cs="Arial"/>
        </w:rPr>
        <w:t>their</w:t>
      </w:r>
      <w:r>
        <w:rPr>
          <w:rFonts w:ascii="Georgia" w:hAnsi="Georgia" w:cs="Arial"/>
        </w:rPr>
        <w:t xml:space="preserve"> obligations in the Lease.  Further that the Respondent’s only source of income </w:t>
      </w:r>
      <w:r w:rsidR="00DC4449">
        <w:rPr>
          <w:rFonts w:ascii="Georgia" w:hAnsi="Georgia" w:cs="Arial"/>
        </w:rPr>
        <w:t>wa</w:t>
      </w:r>
      <w:r>
        <w:rPr>
          <w:rFonts w:ascii="Georgia" w:hAnsi="Georgia" w:cs="Arial"/>
        </w:rPr>
        <w:t xml:space="preserve">s the service charge, and without collecting the charge, including by way of Tribunal proceedings, maintenance of the property would be impossible.  </w:t>
      </w:r>
      <w:r w:rsidR="00DC4449">
        <w:rPr>
          <w:rFonts w:ascii="Georgia" w:hAnsi="Georgia" w:cs="Arial"/>
        </w:rPr>
        <w:t>Therefore, it was the Respondent’s position that t</w:t>
      </w:r>
      <w:r>
        <w:rPr>
          <w:rFonts w:ascii="Georgia" w:hAnsi="Georgia" w:cs="Arial"/>
        </w:rPr>
        <w:t>he collection of service charges necessarily involve</w:t>
      </w:r>
      <w:r w:rsidR="00DC4449">
        <w:rPr>
          <w:rFonts w:ascii="Georgia" w:hAnsi="Georgia" w:cs="Arial"/>
        </w:rPr>
        <w:t>d</w:t>
      </w:r>
      <w:r>
        <w:rPr>
          <w:rFonts w:ascii="Georgia" w:hAnsi="Georgia" w:cs="Arial"/>
        </w:rPr>
        <w:t xml:space="preserve"> responding to </w:t>
      </w:r>
      <w:r w:rsidR="00961D45">
        <w:rPr>
          <w:rFonts w:ascii="Georgia" w:hAnsi="Georgia" w:cs="Arial"/>
        </w:rPr>
        <w:t>the Applicant’s</w:t>
      </w:r>
      <w:r>
        <w:rPr>
          <w:rFonts w:ascii="Georgia" w:hAnsi="Georgia" w:cs="Arial"/>
        </w:rPr>
        <w:t xml:space="preserve"> application under </w:t>
      </w:r>
      <w:r w:rsidR="001C0E2C">
        <w:rPr>
          <w:rFonts w:ascii="Georgia" w:hAnsi="Georgia" w:cs="Arial"/>
        </w:rPr>
        <w:t xml:space="preserve">section </w:t>
      </w:r>
      <w:r>
        <w:rPr>
          <w:rFonts w:ascii="Georgia" w:hAnsi="Georgia" w:cs="Arial"/>
        </w:rPr>
        <w:t>27A of the Landlord and Tenant Act 1985,</w:t>
      </w:r>
      <w:r w:rsidR="007F29BD">
        <w:rPr>
          <w:rFonts w:ascii="Georgia" w:hAnsi="Georgia" w:cs="Arial"/>
        </w:rPr>
        <w:t xml:space="preserve"> </w:t>
      </w:r>
      <w:r w:rsidR="00DC4449">
        <w:rPr>
          <w:rFonts w:ascii="Georgia" w:hAnsi="Georgia" w:cs="Arial"/>
        </w:rPr>
        <w:t>that</w:t>
      </w:r>
      <w:r>
        <w:rPr>
          <w:rFonts w:ascii="Georgia" w:hAnsi="Georgia" w:cs="Arial"/>
        </w:rPr>
        <w:t xml:space="preserve"> being part of the process of the administration of service charge arrears.  </w:t>
      </w:r>
    </w:p>
    <w:p w14:paraId="324317CA" w14:textId="730EDB98" w:rsidR="009A1BB7" w:rsidRDefault="009A1BB7" w:rsidP="009A1BB7">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It was the Respondent’s position that because paragraph 13 </w:t>
      </w:r>
      <w:r w:rsidR="008A5313">
        <w:rPr>
          <w:rFonts w:ascii="Georgia" w:hAnsi="Georgia" w:cs="Arial"/>
        </w:rPr>
        <w:t xml:space="preserve">of the Seventh Schedule </w:t>
      </w:r>
      <w:r>
        <w:rPr>
          <w:rFonts w:ascii="Georgia" w:hAnsi="Georgia" w:cs="Arial"/>
        </w:rPr>
        <w:t xml:space="preserve">referred explicitly to solicitors’ fees, it was the intention that legal fees were recoverable under this paragraph.  Further, the paragraph specifically </w:t>
      </w:r>
      <w:r w:rsidR="006F68AB">
        <w:rPr>
          <w:rFonts w:ascii="Georgia" w:hAnsi="Georgia" w:cs="Arial"/>
        </w:rPr>
        <w:t>referred</w:t>
      </w:r>
      <w:r>
        <w:rPr>
          <w:rFonts w:ascii="Georgia" w:hAnsi="Georgia" w:cs="Arial"/>
        </w:rPr>
        <w:t xml:space="preserve"> to </w:t>
      </w:r>
      <w:proofErr w:type="gramStart"/>
      <w:r>
        <w:rPr>
          <w:rFonts w:ascii="Georgia" w:hAnsi="Georgia" w:cs="Arial"/>
        </w:rPr>
        <w:t>costs</w:t>
      </w:r>
      <w:proofErr w:type="gramEnd"/>
      <w:r>
        <w:rPr>
          <w:rFonts w:ascii="Georgia" w:hAnsi="Georgia" w:cs="Arial"/>
        </w:rPr>
        <w:t xml:space="preserve"> incidental to the preparation of the service charge, suggesting that costs associated with the collection of service charges would be recoverable.  The Respondent therefore </w:t>
      </w:r>
      <w:r>
        <w:rPr>
          <w:rFonts w:ascii="Georgia" w:hAnsi="Georgia" w:cs="Arial"/>
        </w:rPr>
        <w:lastRenderedPageBreak/>
        <w:t xml:space="preserve">submitted that </w:t>
      </w:r>
      <w:r w:rsidR="007F29BD">
        <w:rPr>
          <w:rFonts w:ascii="Georgia" w:hAnsi="Georgia" w:cs="Arial"/>
        </w:rPr>
        <w:t xml:space="preserve">the </w:t>
      </w:r>
      <w:r>
        <w:rPr>
          <w:rFonts w:ascii="Georgia" w:hAnsi="Georgia" w:cs="Arial"/>
        </w:rPr>
        <w:t>Incurred Costs f</w:t>
      </w:r>
      <w:r w:rsidR="006F68AB">
        <w:rPr>
          <w:rFonts w:ascii="Georgia" w:hAnsi="Georgia" w:cs="Arial"/>
        </w:rPr>
        <w:t>ell</w:t>
      </w:r>
      <w:r>
        <w:rPr>
          <w:rFonts w:ascii="Georgia" w:hAnsi="Georgia" w:cs="Arial"/>
        </w:rPr>
        <w:t xml:space="preserve"> squarely within the scope of paragraph 13.</w:t>
      </w:r>
    </w:p>
    <w:p w14:paraId="52F46C96" w14:textId="30351274" w:rsidR="009A1BB7" w:rsidRDefault="009A1BB7" w:rsidP="009A1BB7">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Applicant submitted </w:t>
      </w:r>
      <w:r w:rsidR="006F68AB">
        <w:rPr>
          <w:rFonts w:ascii="Georgia" w:hAnsi="Georgia" w:cs="Arial"/>
        </w:rPr>
        <w:t xml:space="preserve">that </w:t>
      </w:r>
      <w:r>
        <w:rPr>
          <w:rFonts w:ascii="Georgia" w:hAnsi="Georgia" w:cs="Arial"/>
        </w:rPr>
        <w:t>a lease c</w:t>
      </w:r>
      <w:r w:rsidR="00802FA0">
        <w:rPr>
          <w:rFonts w:ascii="Georgia" w:hAnsi="Georgia" w:cs="Arial"/>
        </w:rPr>
        <w:t>ould</w:t>
      </w:r>
      <w:r>
        <w:rPr>
          <w:rFonts w:ascii="Georgia" w:hAnsi="Georgia" w:cs="Arial"/>
        </w:rPr>
        <w:t xml:space="preserve"> grant permission to charge litigation costs b</w:t>
      </w:r>
      <w:r w:rsidR="006F68AB">
        <w:rPr>
          <w:rFonts w:ascii="Georgia" w:hAnsi="Georgia" w:cs="Arial"/>
        </w:rPr>
        <w:t>ut that</w:t>
      </w:r>
      <w:r w:rsidR="00B9788C">
        <w:rPr>
          <w:rFonts w:ascii="Georgia" w:hAnsi="Georgia" w:cs="Arial"/>
        </w:rPr>
        <w:t>,</w:t>
      </w:r>
      <w:r w:rsidR="006F68AB">
        <w:rPr>
          <w:rFonts w:ascii="Georgia" w:hAnsi="Georgia" w:cs="Arial"/>
        </w:rPr>
        <w:t xml:space="preserve"> </w:t>
      </w:r>
      <w:proofErr w:type="gramStart"/>
      <w:r w:rsidR="006F68AB">
        <w:rPr>
          <w:rFonts w:ascii="Georgia" w:hAnsi="Georgia" w:cs="Arial"/>
        </w:rPr>
        <w:t>in order to</w:t>
      </w:r>
      <w:proofErr w:type="gramEnd"/>
      <w:r w:rsidR="006F68AB">
        <w:rPr>
          <w:rFonts w:ascii="Georgia" w:hAnsi="Georgia" w:cs="Arial"/>
        </w:rPr>
        <w:t xml:space="preserve"> do so, it must</w:t>
      </w:r>
      <w:r>
        <w:rPr>
          <w:rFonts w:ascii="Georgia" w:hAnsi="Georgia" w:cs="Arial"/>
        </w:rPr>
        <w:t xml:space="preserve"> includ</w:t>
      </w:r>
      <w:r w:rsidR="006F68AB">
        <w:rPr>
          <w:rFonts w:ascii="Georgia" w:hAnsi="Georgia" w:cs="Arial"/>
        </w:rPr>
        <w:t>e</w:t>
      </w:r>
      <w:r>
        <w:rPr>
          <w:rFonts w:ascii="Georgia" w:hAnsi="Georgia" w:cs="Arial"/>
        </w:rPr>
        <w:t xml:space="preserve"> a clear</w:t>
      </w:r>
      <w:r w:rsidR="006F68AB">
        <w:rPr>
          <w:rFonts w:ascii="Georgia" w:hAnsi="Georgia" w:cs="Arial"/>
        </w:rPr>
        <w:t>ly worded</w:t>
      </w:r>
      <w:r>
        <w:rPr>
          <w:rFonts w:ascii="Georgia" w:hAnsi="Georgia" w:cs="Arial"/>
        </w:rPr>
        <w:t xml:space="preserve"> clause that </w:t>
      </w:r>
      <w:r w:rsidR="004A1D5A">
        <w:rPr>
          <w:rFonts w:ascii="Georgia" w:hAnsi="Georgia" w:cs="Arial"/>
        </w:rPr>
        <w:t>specifie</w:t>
      </w:r>
      <w:r w:rsidR="00B9788C">
        <w:rPr>
          <w:rFonts w:ascii="Georgia" w:hAnsi="Georgia" w:cs="Arial"/>
        </w:rPr>
        <w:t>d</w:t>
      </w:r>
      <w:r w:rsidR="004A1D5A">
        <w:rPr>
          <w:rFonts w:ascii="Georgia" w:hAnsi="Georgia" w:cs="Arial"/>
        </w:rPr>
        <w:t xml:space="preserve"> that </w:t>
      </w:r>
      <w:r>
        <w:rPr>
          <w:rFonts w:ascii="Georgia" w:hAnsi="Georgia" w:cs="Arial"/>
        </w:rPr>
        <w:t xml:space="preserve">the landlord </w:t>
      </w:r>
      <w:r w:rsidR="00B9788C">
        <w:rPr>
          <w:rFonts w:ascii="Georgia" w:hAnsi="Georgia" w:cs="Arial"/>
        </w:rPr>
        <w:t>wa</w:t>
      </w:r>
      <w:r w:rsidR="004A1D5A">
        <w:rPr>
          <w:rFonts w:ascii="Georgia" w:hAnsi="Georgia" w:cs="Arial"/>
        </w:rPr>
        <w:t xml:space="preserve">s able </w:t>
      </w:r>
      <w:r>
        <w:rPr>
          <w:rFonts w:ascii="Georgia" w:hAnsi="Georgia" w:cs="Arial"/>
        </w:rPr>
        <w:t>to recover legal and professional fe</w:t>
      </w:r>
      <w:r w:rsidR="004A1D5A">
        <w:rPr>
          <w:rFonts w:ascii="Georgia" w:hAnsi="Georgia" w:cs="Arial"/>
        </w:rPr>
        <w:t>e</w:t>
      </w:r>
      <w:r>
        <w:rPr>
          <w:rFonts w:ascii="Georgia" w:hAnsi="Georgia" w:cs="Arial"/>
        </w:rPr>
        <w:t xml:space="preserve">s associated with a tenant’s breach of lease.  </w:t>
      </w:r>
      <w:r w:rsidR="004A1D5A">
        <w:rPr>
          <w:rFonts w:ascii="Georgia" w:hAnsi="Georgia" w:cs="Arial"/>
        </w:rPr>
        <w:t>The Applicant submitted that t</w:t>
      </w:r>
      <w:r>
        <w:rPr>
          <w:rFonts w:ascii="Georgia" w:hAnsi="Georgia" w:cs="Arial"/>
        </w:rPr>
        <w:t>his clause should specify that these costs c</w:t>
      </w:r>
      <w:r w:rsidR="00B9788C">
        <w:rPr>
          <w:rFonts w:ascii="Georgia" w:hAnsi="Georgia" w:cs="Arial"/>
        </w:rPr>
        <w:t>ould</w:t>
      </w:r>
      <w:r>
        <w:rPr>
          <w:rFonts w:ascii="Georgia" w:hAnsi="Georgia" w:cs="Arial"/>
        </w:rPr>
        <w:t xml:space="preserve"> be charges as an administration or service charge and should clearly define what types of costs </w:t>
      </w:r>
      <w:r w:rsidR="00B93FF0">
        <w:rPr>
          <w:rFonts w:ascii="Georgia" w:hAnsi="Georgia" w:cs="Arial"/>
        </w:rPr>
        <w:t>we</w:t>
      </w:r>
      <w:r>
        <w:rPr>
          <w:rFonts w:ascii="Georgia" w:hAnsi="Georgia" w:cs="Arial"/>
        </w:rPr>
        <w:t xml:space="preserve">re recoverable such as legal advice, tribunal fees and professional fees.  </w:t>
      </w:r>
      <w:r w:rsidR="00791784">
        <w:rPr>
          <w:rFonts w:ascii="Georgia" w:hAnsi="Georgia" w:cs="Arial"/>
        </w:rPr>
        <w:t>It was t</w:t>
      </w:r>
      <w:r>
        <w:rPr>
          <w:rFonts w:ascii="Georgia" w:hAnsi="Georgia" w:cs="Arial"/>
        </w:rPr>
        <w:t>he Applicant</w:t>
      </w:r>
      <w:r w:rsidR="00791784">
        <w:rPr>
          <w:rFonts w:ascii="Georgia" w:hAnsi="Georgia" w:cs="Arial"/>
        </w:rPr>
        <w:t xml:space="preserve">’s position </w:t>
      </w:r>
      <w:r>
        <w:rPr>
          <w:rFonts w:ascii="Georgia" w:hAnsi="Georgia" w:cs="Arial"/>
        </w:rPr>
        <w:t xml:space="preserve">that </w:t>
      </w:r>
      <w:r w:rsidR="00791784">
        <w:rPr>
          <w:rFonts w:ascii="Georgia" w:hAnsi="Georgia" w:cs="Arial"/>
        </w:rPr>
        <w:t>the</w:t>
      </w:r>
      <w:r>
        <w:rPr>
          <w:rFonts w:ascii="Georgia" w:hAnsi="Georgia" w:cs="Arial"/>
        </w:rPr>
        <w:t xml:space="preserve"> Lease made no </w:t>
      </w:r>
      <w:r w:rsidR="00220D5B">
        <w:rPr>
          <w:rFonts w:ascii="Georgia" w:hAnsi="Georgia" w:cs="Arial"/>
        </w:rPr>
        <w:t xml:space="preserve">such </w:t>
      </w:r>
      <w:r>
        <w:rPr>
          <w:rFonts w:ascii="Georgia" w:hAnsi="Georgia" w:cs="Arial"/>
        </w:rPr>
        <w:t>provision for the recovery of litigation costs.</w:t>
      </w:r>
    </w:p>
    <w:p w14:paraId="07937522" w14:textId="2F84CA78" w:rsidR="009A1BB7" w:rsidRPr="009A1BB7" w:rsidRDefault="009A1BB7" w:rsidP="009A1BB7">
      <w:pPr>
        <w:autoSpaceDE w:val="0"/>
        <w:autoSpaceDN w:val="0"/>
        <w:adjustRightInd w:val="0"/>
        <w:spacing w:after="360"/>
        <w:jc w:val="both"/>
        <w:rPr>
          <w:rFonts w:ascii="Georgia" w:hAnsi="Georgia" w:cs="Arial"/>
          <w:b/>
        </w:rPr>
      </w:pPr>
      <w:r w:rsidRPr="009A1BB7">
        <w:rPr>
          <w:rFonts w:ascii="Georgia" w:hAnsi="Georgia" w:cs="Arial"/>
          <w:b/>
          <w:bCs/>
        </w:rPr>
        <w:t xml:space="preserve">Tribunal </w:t>
      </w:r>
      <w:proofErr w:type="gramStart"/>
      <w:r w:rsidRPr="009A1BB7">
        <w:rPr>
          <w:rFonts w:ascii="Georgia" w:hAnsi="Georgia" w:cs="Arial"/>
          <w:b/>
          <w:bCs/>
        </w:rPr>
        <w:t>Decision  -</w:t>
      </w:r>
      <w:proofErr w:type="gramEnd"/>
      <w:r w:rsidRPr="009A1BB7">
        <w:rPr>
          <w:rFonts w:ascii="Georgia" w:hAnsi="Georgia" w:cs="Arial"/>
          <w:b/>
          <w:bCs/>
        </w:rPr>
        <w:t xml:space="preserve"> Service Charge Provision - Paragraph 13 of the Seventh Schedule of the</w:t>
      </w:r>
      <w:r w:rsidRPr="00ED0E7C">
        <w:rPr>
          <w:rFonts w:ascii="Georgia" w:hAnsi="Georgia" w:cs="Arial"/>
          <w:b/>
          <w:bCs/>
        </w:rPr>
        <w:t xml:space="preserve"> Lease</w:t>
      </w:r>
    </w:p>
    <w:p w14:paraId="45BB2C08" w14:textId="0ADA8D71" w:rsidR="00773659" w:rsidRDefault="008B274B" w:rsidP="008F35E3">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T</w:t>
      </w:r>
      <w:r w:rsidR="00BC7047">
        <w:rPr>
          <w:rFonts w:ascii="Georgia" w:hAnsi="Georgia" w:cs="Arial"/>
        </w:rPr>
        <w:t xml:space="preserve">he </w:t>
      </w:r>
      <w:r w:rsidR="00897CC7">
        <w:rPr>
          <w:rFonts w:ascii="Georgia" w:hAnsi="Georgia" w:cs="Arial"/>
        </w:rPr>
        <w:t>Application brought before the Tribunal is in relation to the demand that has been sent to the Applicant alone</w:t>
      </w:r>
      <w:r w:rsidR="002729C4">
        <w:rPr>
          <w:rFonts w:ascii="Georgia" w:hAnsi="Georgia" w:cs="Arial"/>
        </w:rPr>
        <w:t xml:space="preserve"> for the Incurred Costs.  </w:t>
      </w:r>
      <w:r w:rsidR="008A403D" w:rsidRPr="00D169AA">
        <w:rPr>
          <w:rFonts w:ascii="Georgia" w:hAnsi="Georgia" w:cs="Arial"/>
        </w:rPr>
        <w:t>If the Respondent cho</w:t>
      </w:r>
      <w:r w:rsidR="008A403D">
        <w:rPr>
          <w:rFonts w:ascii="Georgia" w:hAnsi="Georgia" w:cs="Arial"/>
        </w:rPr>
        <w:t>o</w:t>
      </w:r>
      <w:r w:rsidR="008A403D" w:rsidRPr="00D169AA">
        <w:rPr>
          <w:rFonts w:ascii="Georgia" w:hAnsi="Georgia" w:cs="Arial"/>
        </w:rPr>
        <w:t>ses to charge the Incurred Costs as a service charge, this amount will need to be properly demanded from all leaseholders</w:t>
      </w:r>
      <w:r w:rsidR="001770C5">
        <w:rPr>
          <w:rFonts w:ascii="Georgia" w:hAnsi="Georgia" w:cs="Arial"/>
        </w:rPr>
        <w:t xml:space="preserve"> in accordance with the Lease.</w:t>
      </w:r>
      <w:r w:rsidR="00847409">
        <w:rPr>
          <w:rFonts w:ascii="Georgia" w:hAnsi="Georgia" w:cs="Arial"/>
        </w:rPr>
        <w:t xml:space="preserve">  </w:t>
      </w:r>
      <w:r w:rsidR="001E6421" w:rsidRPr="008F35E3">
        <w:rPr>
          <w:rFonts w:ascii="Georgia" w:hAnsi="Georgia" w:cs="Arial"/>
        </w:rPr>
        <w:t>The Respondent w</w:t>
      </w:r>
      <w:r w:rsidR="00773659">
        <w:rPr>
          <w:rFonts w:ascii="Georgia" w:hAnsi="Georgia" w:cs="Arial"/>
        </w:rPr>
        <w:t>ould</w:t>
      </w:r>
      <w:r w:rsidR="001E6421" w:rsidRPr="008F35E3">
        <w:rPr>
          <w:rFonts w:ascii="Georgia" w:hAnsi="Georgia" w:cs="Arial"/>
        </w:rPr>
        <w:t xml:space="preserve"> need to satisfy themselves that the amount is payable under the Lease, that the work included is </w:t>
      </w:r>
      <w:r w:rsidR="001D2EF6" w:rsidRPr="008F35E3">
        <w:rPr>
          <w:rFonts w:ascii="Georgia" w:hAnsi="Georgia" w:cs="Arial"/>
        </w:rPr>
        <w:t>not covered</w:t>
      </w:r>
      <w:r w:rsidR="001E6421" w:rsidRPr="008F35E3">
        <w:rPr>
          <w:rFonts w:ascii="Georgia" w:hAnsi="Georgia" w:cs="Arial"/>
        </w:rPr>
        <w:t xml:space="preserve"> within the management fee that leaseholders are already paying, and that the amount charged has been reasonably incurred.   </w:t>
      </w:r>
      <w:r w:rsidR="00773659">
        <w:rPr>
          <w:rFonts w:ascii="Georgia" w:hAnsi="Georgia" w:cs="Arial"/>
        </w:rPr>
        <w:t xml:space="preserve">In the event of a dispute as to payability and reasonableness, an application could be made to this tribunal.  </w:t>
      </w:r>
    </w:p>
    <w:p w14:paraId="7D0D2042" w14:textId="38230EE6" w:rsidR="007C7529" w:rsidRPr="007C7529" w:rsidRDefault="007C7529" w:rsidP="007C7529">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It is therefore premature for the Tribunal to consider the payability a</w:t>
      </w:r>
      <w:r>
        <w:rPr>
          <w:rFonts w:ascii="Georgia" w:hAnsi="Georgia" w:cs="Arial"/>
        </w:rPr>
        <w:t>n</w:t>
      </w:r>
      <w:r>
        <w:rPr>
          <w:rFonts w:ascii="Georgia" w:hAnsi="Georgia" w:cs="Arial"/>
        </w:rPr>
        <w:t xml:space="preserve">d the reasonableness of the Incurred Costs given that they have not been demanded as a service charge.  </w:t>
      </w:r>
    </w:p>
    <w:p w14:paraId="054F0A6D" w14:textId="0E011114" w:rsidR="00A555F6" w:rsidRDefault="001E6421" w:rsidP="008F35E3">
      <w:pPr>
        <w:numPr>
          <w:ilvl w:val="0"/>
          <w:numId w:val="8"/>
        </w:numPr>
        <w:tabs>
          <w:tab w:val="num" w:pos="709"/>
        </w:tabs>
        <w:autoSpaceDE w:val="0"/>
        <w:autoSpaceDN w:val="0"/>
        <w:adjustRightInd w:val="0"/>
        <w:spacing w:after="360"/>
        <w:ind w:left="709" w:hanging="709"/>
        <w:jc w:val="both"/>
        <w:rPr>
          <w:rFonts w:ascii="Georgia" w:hAnsi="Georgia" w:cs="Arial"/>
        </w:rPr>
      </w:pPr>
      <w:r w:rsidRPr="008F35E3">
        <w:rPr>
          <w:rFonts w:ascii="Georgia" w:hAnsi="Georgia" w:cs="Arial"/>
        </w:rPr>
        <w:t xml:space="preserve">Further, and in any event, </w:t>
      </w:r>
      <w:proofErr w:type="gramStart"/>
      <w:r w:rsidRPr="008F35E3">
        <w:rPr>
          <w:rFonts w:ascii="Georgia" w:hAnsi="Georgia" w:cs="Arial"/>
        </w:rPr>
        <w:t>it would appear that leaseholders</w:t>
      </w:r>
      <w:proofErr w:type="gramEnd"/>
      <w:r w:rsidRPr="008F35E3">
        <w:rPr>
          <w:rFonts w:ascii="Georgia" w:hAnsi="Georgia" w:cs="Arial"/>
        </w:rPr>
        <w:t xml:space="preserve"> have already </w:t>
      </w:r>
      <w:r w:rsidR="00603392" w:rsidRPr="008F35E3">
        <w:rPr>
          <w:rFonts w:ascii="Georgia" w:hAnsi="Georgia" w:cs="Arial"/>
        </w:rPr>
        <w:t xml:space="preserve">received a demand </w:t>
      </w:r>
      <w:r w:rsidR="00B1229A" w:rsidRPr="008F35E3">
        <w:rPr>
          <w:rFonts w:ascii="Georgia" w:hAnsi="Georgia" w:cs="Arial"/>
        </w:rPr>
        <w:t>for £</w:t>
      </w:r>
      <w:r w:rsidRPr="008F35E3">
        <w:rPr>
          <w:rFonts w:ascii="Georgia" w:hAnsi="Georgia" w:cs="Arial"/>
        </w:rPr>
        <w:t xml:space="preserve">500 </w:t>
      </w:r>
      <w:r w:rsidR="00603392" w:rsidRPr="008F35E3">
        <w:rPr>
          <w:rFonts w:ascii="Georgia" w:hAnsi="Georgia" w:cs="Arial"/>
        </w:rPr>
        <w:t xml:space="preserve">on </w:t>
      </w:r>
      <w:r w:rsidRPr="008F35E3">
        <w:rPr>
          <w:rFonts w:ascii="Georgia" w:hAnsi="Georgia" w:cs="Arial"/>
        </w:rPr>
        <w:t>2 October 2024</w:t>
      </w:r>
      <w:r w:rsidR="00AD4DEF" w:rsidRPr="008F35E3">
        <w:rPr>
          <w:rFonts w:ascii="Georgia" w:hAnsi="Georgia" w:cs="Arial"/>
        </w:rPr>
        <w:t xml:space="preserve"> </w:t>
      </w:r>
      <w:r w:rsidR="00603392" w:rsidRPr="008F35E3">
        <w:rPr>
          <w:rFonts w:ascii="Georgia" w:hAnsi="Georgia" w:cs="Arial"/>
        </w:rPr>
        <w:t>described as “</w:t>
      </w:r>
      <w:r w:rsidR="00603392" w:rsidRPr="008F35E3">
        <w:rPr>
          <w:rFonts w:ascii="Georgia" w:hAnsi="Georgia" w:cs="Arial"/>
        </w:rPr>
        <w:t>share of expected costs to defend FTT application</w:t>
      </w:r>
      <w:r w:rsidR="00603392" w:rsidRPr="008F35E3">
        <w:rPr>
          <w:rFonts w:ascii="Georgia" w:hAnsi="Georgia" w:cs="Arial"/>
        </w:rPr>
        <w:t>”</w:t>
      </w:r>
      <w:r w:rsidRPr="008F35E3">
        <w:rPr>
          <w:rFonts w:ascii="Georgia" w:hAnsi="Georgia" w:cs="Arial"/>
        </w:rPr>
        <w:t xml:space="preserve">.  </w:t>
      </w:r>
      <w:r w:rsidR="00A555F6" w:rsidRPr="008F35E3">
        <w:rPr>
          <w:rFonts w:ascii="Georgia" w:hAnsi="Georgia" w:cs="Arial"/>
        </w:rPr>
        <w:t xml:space="preserve">This </w:t>
      </w:r>
      <w:r w:rsidR="00AD1FA3" w:rsidRPr="008F35E3">
        <w:rPr>
          <w:rFonts w:ascii="Georgia" w:hAnsi="Georgia" w:cs="Arial"/>
        </w:rPr>
        <w:t xml:space="preserve">demand does not form part of the application </w:t>
      </w:r>
      <w:r w:rsidR="00A555F6" w:rsidRPr="008F35E3">
        <w:rPr>
          <w:rFonts w:ascii="Georgia" w:hAnsi="Georgia" w:cs="Arial"/>
        </w:rPr>
        <w:t>before th</w:t>
      </w:r>
      <w:r w:rsidR="00AD1FA3" w:rsidRPr="008F35E3">
        <w:rPr>
          <w:rFonts w:ascii="Georgia" w:hAnsi="Georgia" w:cs="Arial"/>
        </w:rPr>
        <w:t xml:space="preserve">is </w:t>
      </w:r>
      <w:r w:rsidR="00A555F6" w:rsidRPr="008F35E3">
        <w:rPr>
          <w:rFonts w:ascii="Georgia" w:hAnsi="Georgia" w:cs="Arial"/>
        </w:rPr>
        <w:t xml:space="preserve">Tribunal. </w:t>
      </w:r>
      <w:r w:rsidR="00CD3E66">
        <w:rPr>
          <w:rFonts w:ascii="Georgia" w:hAnsi="Georgia" w:cs="Arial"/>
        </w:rPr>
        <w:t xml:space="preserve"> However, again, an</w:t>
      </w:r>
      <w:r w:rsidR="00454775">
        <w:rPr>
          <w:rFonts w:ascii="Georgia" w:hAnsi="Georgia" w:cs="Arial"/>
        </w:rPr>
        <w:t xml:space="preserve">y </w:t>
      </w:r>
      <w:r w:rsidR="00CD3E66">
        <w:rPr>
          <w:rFonts w:ascii="Georgia" w:hAnsi="Georgia" w:cs="Arial"/>
        </w:rPr>
        <w:t>dispute as to payability and reasonableness</w:t>
      </w:r>
      <w:r w:rsidR="00454775">
        <w:rPr>
          <w:rFonts w:ascii="Georgia" w:hAnsi="Georgia" w:cs="Arial"/>
        </w:rPr>
        <w:t xml:space="preserve"> of this demand can be determined </w:t>
      </w:r>
      <w:r w:rsidR="00710CA9">
        <w:rPr>
          <w:rFonts w:ascii="Georgia" w:hAnsi="Georgia" w:cs="Arial"/>
        </w:rPr>
        <w:t xml:space="preserve">with </w:t>
      </w:r>
      <w:r w:rsidR="001D2B6D">
        <w:rPr>
          <w:rFonts w:ascii="Georgia" w:hAnsi="Georgia" w:cs="Arial"/>
        </w:rPr>
        <w:t>an application</w:t>
      </w:r>
      <w:r w:rsidR="00710CA9">
        <w:rPr>
          <w:rFonts w:ascii="Georgia" w:hAnsi="Georgia" w:cs="Arial"/>
        </w:rPr>
        <w:t xml:space="preserve"> </w:t>
      </w:r>
      <w:r w:rsidR="001D2B6D">
        <w:rPr>
          <w:rFonts w:ascii="Georgia" w:hAnsi="Georgia" w:cs="Arial"/>
        </w:rPr>
        <w:t>made to this tribunal</w:t>
      </w:r>
      <w:r w:rsidR="00710CA9">
        <w:rPr>
          <w:rFonts w:ascii="Georgia" w:hAnsi="Georgia" w:cs="Arial"/>
        </w:rPr>
        <w:t>.</w:t>
      </w:r>
      <w:r w:rsidR="00CD3E66">
        <w:rPr>
          <w:rFonts w:ascii="Georgia" w:hAnsi="Georgia" w:cs="Arial"/>
        </w:rPr>
        <w:t xml:space="preserve"> </w:t>
      </w:r>
    </w:p>
    <w:p w14:paraId="4F1379A0" w14:textId="51F38B93" w:rsidR="00CD1F05" w:rsidRPr="00B46B3D" w:rsidRDefault="002A520D" w:rsidP="00D169AA">
      <w:pPr>
        <w:numPr>
          <w:ilvl w:val="0"/>
          <w:numId w:val="8"/>
        </w:numPr>
        <w:tabs>
          <w:tab w:val="num" w:pos="709"/>
        </w:tabs>
        <w:autoSpaceDE w:val="0"/>
        <w:autoSpaceDN w:val="0"/>
        <w:adjustRightInd w:val="0"/>
        <w:spacing w:after="360"/>
        <w:ind w:left="709" w:hanging="709"/>
        <w:jc w:val="both"/>
        <w:rPr>
          <w:rFonts w:ascii="Georgia" w:hAnsi="Georgia" w:cs="Arial"/>
        </w:rPr>
      </w:pPr>
      <w:r w:rsidRPr="00DE1E93">
        <w:rPr>
          <w:rFonts w:ascii="Georgia" w:hAnsi="Georgia" w:cs="Arial"/>
        </w:rPr>
        <w:t>For the avoidance of doubt, i</w:t>
      </w:r>
      <w:r w:rsidR="00AF3B75" w:rsidRPr="00DE1E93">
        <w:rPr>
          <w:rFonts w:ascii="Georgia" w:hAnsi="Georgia" w:cs="Arial"/>
        </w:rPr>
        <w:t>t is not possible for the Respondent to demand the Incurred Costs as a service charge under the Lease from the Applicant alone.</w:t>
      </w:r>
    </w:p>
    <w:p w14:paraId="6168C61A" w14:textId="1E62CB06" w:rsidR="000927B4" w:rsidRPr="00D169AA" w:rsidRDefault="000927B4" w:rsidP="00D169AA">
      <w:pPr>
        <w:autoSpaceDE w:val="0"/>
        <w:autoSpaceDN w:val="0"/>
        <w:adjustRightInd w:val="0"/>
        <w:spacing w:after="360"/>
        <w:jc w:val="both"/>
        <w:rPr>
          <w:rFonts w:ascii="Georgia" w:hAnsi="Georgia" w:cs="Arial"/>
          <w:b/>
        </w:rPr>
      </w:pPr>
      <w:r w:rsidRPr="00D169AA">
        <w:rPr>
          <w:rFonts w:ascii="Georgia" w:hAnsi="Georgia" w:cs="Arial"/>
          <w:b/>
        </w:rPr>
        <w:t xml:space="preserve">Application under s.20C </w:t>
      </w:r>
      <w:r w:rsidR="008E38F9" w:rsidRPr="00D169AA">
        <w:rPr>
          <w:rFonts w:ascii="Georgia" w:hAnsi="Georgia" w:cs="Arial"/>
          <w:b/>
        </w:rPr>
        <w:t>and Paragraph 5A in these Cost Proceedings (CAM/26/UE/LLD/2025/0001)</w:t>
      </w:r>
    </w:p>
    <w:p w14:paraId="12D49900" w14:textId="72A0D132" w:rsidR="001640AC" w:rsidRDefault="001640AC" w:rsidP="00C663E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The Applicant applied for an order under section 20C and </w:t>
      </w:r>
      <w:r w:rsidR="000F4568">
        <w:rPr>
          <w:rFonts w:ascii="Georgia" w:hAnsi="Georgia" w:cs="Arial"/>
        </w:rPr>
        <w:t>Paragraph</w:t>
      </w:r>
      <w:r>
        <w:rPr>
          <w:rFonts w:ascii="Georgia" w:hAnsi="Georgia" w:cs="Arial"/>
        </w:rPr>
        <w:t xml:space="preserve"> 5A in these proceedings.</w:t>
      </w:r>
    </w:p>
    <w:p w14:paraId="6E4D6526" w14:textId="19262551" w:rsidR="00677D84" w:rsidRDefault="001640AC" w:rsidP="00C663E1">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lastRenderedPageBreak/>
        <w:t xml:space="preserve">Counsel for the Respondent </w:t>
      </w:r>
      <w:r w:rsidR="006E7DD9">
        <w:rPr>
          <w:rFonts w:ascii="Georgia" w:hAnsi="Georgia" w:cs="Arial"/>
        </w:rPr>
        <w:t xml:space="preserve">averred that if the </w:t>
      </w:r>
      <w:r w:rsidR="000F4568">
        <w:rPr>
          <w:rFonts w:ascii="Georgia" w:hAnsi="Georgia" w:cs="Arial"/>
        </w:rPr>
        <w:t>Tribunal</w:t>
      </w:r>
      <w:r w:rsidR="006E7DD9">
        <w:rPr>
          <w:rFonts w:ascii="Georgia" w:hAnsi="Georgia" w:cs="Arial"/>
        </w:rPr>
        <w:t xml:space="preserve"> d</w:t>
      </w:r>
      <w:r w:rsidR="004F148B">
        <w:rPr>
          <w:rFonts w:ascii="Georgia" w:hAnsi="Georgia" w:cs="Arial"/>
        </w:rPr>
        <w:t>oe</w:t>
      </w:r>
      <w:r w:rsidR="006E7DD9">
        <w:rPr>
          <w:rFonts w:ascii="Georgia" w:hAnsi="Georgia" w:cs="Arial"/>
        </w:rPr>
        <w:t xml:space="preserve">s not find the Incurred Costs payable under the </w:t>
      </w:r>
      <w:proofErr w:type="gramStart"/>
      <w:r w:rsidR="006E7DD9">
        <w:rPr>
          <w:rFonts w:ascii="Georgia" w:hAnsi="Georgia" w:cs="Arial"/>
        </w:rPr>
        <w:t>Lease</w:t>
      </w:r>
      <w:proofErr w:type="gramEnd"/>
      <w:r w:rsidR="006E7DD9">
        <w:rPr>
          <w:rFonts w:ascii="Georgia" w:hAnsi="Georgia" w:cs="Arial"/>
        </w:rPr>
        <w:t xml:space="preserve"> then </w:t>
      </w:r>
      <w:r w:rsidR="005F63BC">
        <w:rPr>
          <w:rFonts w:ascii="Georgia" w:hAnsi="Georgia" w:cs="Arial"/>
        </w:rPr>
        <w:t xml:space="preserve">this application falls away.  However, </w:t>
      </w:r>
      <w:r w:rsidR="009C1931">
        <w:rPr>
          <w:rFonts w:ascii="Georgia" w:hAnsi="Georgia" w:cs="Arial"/>
        </w:rPr>
        <w:t xml:space="preserve">Counsel </w:t>
      </w:r>
      <w:r w:rsidR="00B26D8A">
        <w:rPr>
          <w:rFonts w:ascii="Georgia" w:hAnsi="Georgia" w:cs="Arial"/>
        </w:rPr>
        <w:t>advise</w:t>
      </w:r>
      <w:r w:rsidR="003767C2">
        <w:rPr>
          <w:rFonts w:ascii="Georgia" w:hAnsi="Georgia" w:cs="Arial"/>
        </w:rPr>
        <w:t>d</w:t>
      </w:r>
      <w:r w:rsidR="009C1931">
        <w:rPr>
          <w:rFonts w:ascii="Georgia" w:hAnsi="Georgia" w:cs="Arial"/>
        </w:rPr>
        <w:t xml:space="preserve"> that </w:t>
      </w:r>
      <w:r w:rsidR="005F63BC">
        <w:rPr>
          <w:rFonts w:ascii="Georgia" w:hAnsi="Georgia" w:cs="Arial"/>
        </w:rPr>
        <w:t>if the litigation costs are payable, Elliott E</w:t>
      </w:r>
      <w:r w:rsidR="001E6915">
        <w:rPr>
          <w:rFonts w:ascii="Georgia" w:hAnsi="Georgia" w:cs="Arial"/>
        </w:rPr>
        <w:t>sterson</w:t>
      </w:r>
      <w:r w:rsidR="005C1C84">
        <w:rPr>
          <w:rFonts w:ascii="Georgia" w:hAnsi="Georgia" w:cs="Arial"/>
        </w:rPr>
        <w:t xml:space="preserve"> </w:t>
      </w:r>
      <w:r w:rsidR="003767C2">
        <w:rPr>
          <w:rFonts w:ascii="Georgia" w:hAnsi="Georgia" w:cs="Arial"/>
        </w:rPr>
        <w:t xml:space="preserve">had </w:t>
      </w:r>
      <w:r w:rsidR="005C1C84">
        <w:rPr>
          <w:rFonts w:ascii="Georgia" w:hAnsi="Georgia" w:cs="Arial"/>
        </w:rPr>
        <w:t>stated that he had incurred 30 hours of work a</w:t>
      </w:r>
      <w:r w:rsidR="0023087C">
        <w:rPr>
          <w:rFonts w:ascii="Georgia" w:hAnsi="Georgia" w:cs="Arial"/>
        </w:rPr>
        <w:t>nd along with Counsel’s fee the costs were £</w:t>
      </w:r>
      <w:r w:rsidR="00677D84">
        <w:rPr>
          <w:rFonts w:ascii="Georgia" w:hAnsi="Georgia" w:cs="Arial"/>
        </w:rPr>
        <w:t>9,372.50.</w:t>
      </w:r>
    </w:p>
    <w:p w14:paraId="1E9479E4" w14:textId="2FDC2A9F" w:rsidR="00C70C8A" w:rsidRDefault="00677D84" w:rsidP="000B5644">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For the reasons set out above, the </w:t>
      </w:r>
      <w:r w:rsidR="000F4568">
        <w:rPr>
          <w:rFonts w:ascii="Georgia" w:hAnsi="Georgia" w:cs="Arial"/>
        </w:rPr>
        <w:t>Tribunal</w:t>
      </w:r>
      <w:r>
        <w:rPr>
          <w:rFonts w:ascii="Georgia" w:hAnsi="Georgia" w:cs="Arial"/>
        </w:rPr>
        <w:t xml:space="preserve"> does not find that the costs</w:t>
      </w:r>
      <w:r w:rsidR="001940B2">
        <w:rPr>
          <w:rFonts w:ascii="Georgia" w:hAnsi="Georgia" w:cs="Arial"/>
        </w:rPr>
        <w:t xml:space="preserve"> </w:t>
      </w:r>
      <w:r>
        <w:rPr>
          <w:rFonts w:ascii="Georgia" w:hAnsi="Georgia" w:cs="Arial"/>
        </w:rPr>
        <w:t>are payable under the Lease</w:t>
      </w:r>
      <w:r w:rsidR="00FA1AE2">
        <w:rPr>
          <w:rFonts w:ascii="Georgia" w:hAnsi="Georgia" w:cs="Arial"/>
        </w:rPr>
        <w:t xml:space="preserve"> as an administration charge</w:t>
      </w:r>
      <w:r>
        <w:rPr>
          <w:rFonts w:ascii="Georgia" w:hAnsi="Georgia" w:cs="Arial"/>
        </w:rPr>
        <w:t xml:space="preserve">.  </w:t>
      </w:r>
      <w:r w:rsidR="00C70C8A">
        <w:rPr>
          <w:rFonts w:ascii="Georgia" w:hAnsi="Georgia" w:cs="Arial"/>
        </w:rPr>
        <w:t xml:space="preserve"> </w:t>
      </w:r>
      <w:r w:rsidR="000B5644">
        <w:rPr>
          <w:rFonts w:ascii="Georgia" w:hAnsi="Georgia" w:cs="Arial"/>
        </w:rPr>
        <w:t xml:space="preserve"> </w:t>
      </w:r>
    </w:p>
    <w:p w14:paraId="7ED87A15" w14:textId="693A2D32" w:rsidR="000927B4" w:rsidRDefault="00C70C8A" w:rsidP="000B5644">
      <w:pPr>
        <w:numPr>
          <w:ilvl w:val="0"/>
          <w:numId w:val="8"/>
        </w:numPr>
        <w:tabs>
          <w:tab w:val="num" w:pos="709"/>
        </w:tabs>
        <w:autoSpaceDE w:val="0"/>
        <w:autoSpaceDN w:val="0"/>
        <w:adjustRightInd w:val="0"/>
        <w:spacing w:after="360"/>
        <w:ind w:left="709" w:hanging="709"/>
        <w:jc w:val="both"/>
        <w:rPr>
          <w:rFonts w:ascii="Georgia" w:hAnsi="Georgia" w:cs="Arial"/>
        </w:rPr>
      </w:pPr>
      <w:r>
        <w:rPr>
          <w:rFonts w:ascii="Georgia" w:hAnsi="Georgia" w:cs="Arial"/>
        </w:rPr>
        <w:t xml:space="preserve">In relation to </w:t>
      </w:r>
      <w:r w:rsidR="000C7A7F">
        <w:rPr>
          <w:rFonts w:ascii="Georgia" w:hAnsi="Georgia" w:cs="Arial"/>
        </w:rPr>
        <w:t xml:space="preserve">an order under section 20C, </w:t>
      </w:r>
      <w:r w:rsidR="000B5644">
        <w:rPr>
          <w:rFonts w:ascii="Georgia" w:hAnsi="Georgia" w:cs="Arial"/>
        </w:rPr>
        <w:t xml:space="preserve">given the findings made in this decision, </w:t>
      </w:r>
      <w:r w:rsidR="00184A1A" w:rsidRPr="000B5644">
        <w:rPr>
          <w:rFonts w:ascii="Georgia" w:hAnsi="Georgia" w:cs="Arial"/>
        </w:rPr>
        <w:t xml:space="preserve">the </w:t>
      </w:r>
      <w:r w:rsidR="000B5644" w:rsidRPr="000B5644">
        <w:rPr>
          <w:rFonts w:ascii="Georgia" w:hAnsi="Georgia" w:cs="Arial"/>
        </w:rPr>
        <w:t>Tribunal</w:t>
      </w:r>
      <w:r w:rsidR="00184A1A" w:rsidRPr="000B5644">
        <w:rPr>
          <w:rFonts w:ascii="Georgia" w:hAnsi="Georgia" w:cs="Arial"/>
        </w:rPr>
        <w:t xml:space="preserve"> determines that it </w:t>
      </w:r>
      <w:r w:rsidR="000B5644">
        <w:rPr>
          <w:rFonts w:ascii="Georgia" w:hAnsi="Georgia" w:cs="Arial"/>
        </w:rPr>
        <w:t>would be</w:t>
      </w:r>
      <w:r w:rsidR="00184A1A" w:rsidRPr="000B5644">
        <w:rPr>
          <w:rFonts w:ascii="Georgia" w:hAnsi="Georgia" w:cs="Arial"/>
        </w:rPr>
        <w:t xml:space="preserve"> just </w:t>
      </w:r>
      <w:r w:rsidR="00DC558A">
        <w:rPr>
          <w:rFonts w:ascii="Georgia" w:hAnsi="Georgia" w:cs="Arial"/>
        </w:rPr>
        <w:t xml:space="preserve">and equitable </w:t>
      </w:r>
      <w:r w:rsidR="00184A1A" w:rsidRPr="000B5644">
        <w:rPr>
          <w:rFonts w:ascii="Georgia" w:hAnsi="Georgia" w:cs="Arial"/>
        </w:rPr>
        <w:t xml:space="preserve">to make an order </w:t>
      </w:r>
      <w:r w:rsidR="000927B4" w:rsidRPr="000B5644">
        <w:rPr>
          <w:rFonts w:ascii="Georgia" w:hAnsi="Georgia" w:cs="Arial"/>
        </w:rPr>
        <w:t>under section 20C of the 1985 Act</w:t>
      </w:r>
      <w:r w:rsidR="00F1504E">
        <w:rPr>
          <w:rFonts w:ascii="Georgia" w:hAnsi="Georgia" w:cs="Arial"/>
        </w:rPr>
        <w:t xml:space="preserve"> </w:t>
      </w:r>
      <w:r w:rsidR="000927B4" w:rsidRPr="000B5644">
        <w:rPr>
          <w:rFonts w:ascii="Georgia" w:hAnsi="Georgia" w:cs="Arial"/>
        </w:rPr>
        <w:t>so that the</w:t>
      </w:r>
      <w:r w:rsidR="00F1504E">
        <w:rPr>
          <w:rFonts w:ascii="Georgia" w:hAnsi="Georgia" w:cs="Arial"/>
        </w:rPr>
        <w:t xml:space="preserve"> </w:t>
      </w:r>
      <w:r w:rsidR="000927B4" w:rsidRPr="000B5644">
        <w:rPr>
          <w:rFonts w:ascii="Georgia" w:hAnsi="Georgia" w:cs="Arial"/>
        </w:rPr>
        <w:t xml:space="preserve">Respondent may not pass any of </w:t>
      </w:r>
      <w:r w:rsidR="00DB7C94">
        <w:rPr>
          <w:rFonts w:ascii="Georgia" w:hAnsi="Georgia" w:cs="Arial"/>
        </w:rPr>
        <w:t>their</w:t>
      </w:r>
      <w:r w:rsidR="000927B4" w:rsidRPr="000B5644">
        <w:rPr>
          <w:rFonts w:ascii="Georgia" w:hAnsi="Georgia" w:cs="Arial"/>
        </w:rPr>
        <w:t xml:space="preserve"> costs incurred in connection with the proceedings before the </w:t>
      </w:r>
      <w:r w:rsidR="00DB7C94">
        <w:rPr>
          <w:rFonts w:ascii="Georgia" w:hAnsi="Georgia" w:cs="Arial"/>
        </w:rPr>
        <w:t>T</w:t>
      </w:r>
      <w:r w:rsidR="000927B4" w:rsidRPr="000B5644">
        <w:rPr>
          <w:rFonts w:ascii="Georgia" w:hAnsi="Georgia" w:cs="Arial"/>
        </w:rPr>
        <w:t>ribunal through the service charge.</w:t>
      </w:r>
    </w:p>
    <w:p w14:paraId="2FD864A1" w14:textId="77777777" w:rsidR="000927B4" w:rsidRDefault="000927B4" w:rsidP="00C663E1">
      <w:pPr>
        <w:autoSpaceDE w:val="0"/>
        <w:autoSpaceDN w:val="0"/>
        <w:adjustRightInd w:val="0"/>
        <w:spacing w:after="360"/>
        <w:jc w:val="both"/>
        <w:rPr>
          <w:rFonts w:ascii="Georgia" w:hAnsi="Georgia" w:cs="Arial"/>
        </w:rPr>
      </w:pPr>
    </w:p>
    <w:p w14:paraId="174B5747" w14:textId="344D18A5" w:rsidR="000927B4" w:rsidRPr="00C472F9" w:rsidRDefault="00C472F9" w:rsidP="0046328F">
      <w:pPr>
        <w:spacing w:after="240"/>
        <w:rPr>
          <w:rFonts w:ascii="Georgia" w:hAnsi="Georgia"/>
          <w:b/>
          <w:bCs/>
        </w:rPr>
      </w:pPr>
      <w:r w:rsidRPr="00C472F9">
        <w:rPr>
          <w:rFonts w:ascii="Georgia" w:hAnsi="Georgia"/>
          <w:b/>
          <w:bCs/>
        </w:rPr>
        <w:t>Name:</w:t>
      </w:r>
      <w:r>
        <w:rPr>
          <w:rFonts w:ascii="Georgia" w:hAnsi="Georgia"/>
        </w:rPr>
        <w:t xml:space="preserve"> Judge Bernadette MacQueen</w:t>
      </w:r>
      <w:r>
        <w:rPr>
          <w:rFonts w:ascii="Georgia" w:hAnsi="Georgia"/>
        </w:rPr>
        <w:tab/>
      </w:r>
      <w:r>
        <w:rPr>
          <w:rFonts w:ascii="Georgia" w:hAnsi="Georgia"/>
        </w:rPr>
        <w:tab/>
      </w:r>
      <w:r w:rsidRPr="00C472F9">
        <w:rPr>
          <w:rFonts w:ascii="Georgia" w:hAnsi="Georgia"/>
          <w:b/>
          <w:bCs/>
        </w:rPr>
        <w:t>Date:</w:t>
      </w:r>
      <w:r w:rsidR="00DB7C94">
        <w:rPr>
          <w:rFonts w:ascii="Georgia" w:hAnsi="Georgia"/>
          <w:b/>
          <w:bCs/>
        </w:rPr>
        <w:t xml:space="preserve"> </w:t>
      </w:r>
      <w:r w:rsidR="00DB7C94" w:rsidRPr="00BF346B">
        <w:rPr>
          <w:rFonts w:ascii="Georgia" w:hAnsi="Georgia"/>
        </w:rPr>
        <w:t>2</w:t>
      </w:r>
      <w:r w:rsidR="00A76DBA" w:rsidRPr="00BF346B">
        <w:rPr>
          <w:rFonts w:ascii="Georgia" w:hAnsi="Georgia"/>
        </w:rPr>
        <w:t>6</w:t>
      </w:r>
      <w:r w:rsidR="00DB7C94" w:rsidRPr="00BF346B">
        <w:rPr>
          <w:rFonts w:ascii="Georgia" w:hAnsi="Georgia"/>
        </w:rPr>
        <w:t xml:space="preserve"> February 2026</w:t>
      </w:r>
    </w:p>
    <w:p w14:paraId="4D857AC3" w14:textId="77777777" w:rsidR="00C472F9" w:rsidRDefault="00C472F9" w:rsidP="0046328F">
      <w:pPr>
        <w:spacing w:after="240"/>
        <w:jc w:val="center"/>
        <w:rPr>
          <w:rFonts w:ascii="Georgia" w:hAnsi="Georgia"/>
          <w:b/>
          <w:u w:val="single"/>
        </w:rPr>
      </w:pPr>
    </w:p>
    <w:p w14:paraId="28AC455B" w14:textId="77777777" w:rsidR="00C472F9" w:rsidRDefault="00C472F9" w:rsidP="0046328F">
      <w:pPr>
        <w:spacing w:after="240"/>
        <w:jc w:val="center"/>
        <w:rPr>
          <w:rFonts w:ascii="Georgia" w:hAnsi="Georgia"/>
          <w:b/>
          <w:u w:val="single"/>
        </w:rPr>
      </w:pPr>
    </w:p>
    <w:p w14:paraId="61459464" w14:textId="77777777" w:rsidR="00BF346B" w:rsidRDefault="00BF346B" w:rsidP="0046328F">
      <w:pPr>
        <w:spacing w:after="240"/>
        <w:jc w:val="center"/>
        <w:rPr>
          <w:rFonts w:ascii="Georgia" w:hAnsi="Georgia"/>
          <w:b/>
          <w:u w:val="single"/>
        </w:rPr>
      </w:pPr>
    </w:p>
    <w:p w14:paraId="42153B8F" w14:textId="64498C16" w:rsidR="001B55C5" w:rsidRDefault="001B55C5" w:rsidP="0046328F">
      <w:pPr>
        <w:spacing w:after="240"/>
        <w:jc w:val="center"/>
        <w:rPr>
          <w:rFonts w:ascii="Georgia" w:hAnsi="Georgia"/>
          <w:b/>
          <w:u w:val="single"/>
        </w:rPr>
      </w:pPr>
      <w:r>
        <w:rPr>
          <w:rFonts w:ascii="Georgia" w:hAnsi="Georgia"/>
          <w:b/>
          <w:u w:val="single"/>
        </w:rPr>
        <w:br w:type="page"/>
      </w:r>
    </w:p>
    <w:p w14:paraId="7490105D" w14:textId="77777777" w:rsidR="00BF346B" w:rsidRDefault="00BF346B" w:rsidP="0046328F">
      <w:pPr>
        <w:spacing w:after="240"/>
        <w:jc w:val="center"/>
        <w:rPr>
          <w:rFonts w:ascii="Georgia" w:hAnsi="Georgia"/>
          <w:b/>
          <w:u w:val="single"/>
        </w:rPr>
      </w:pPr>
    </w:p>
    <w:p w14:paraId="1F272ECB" w14:textId="77777777" w:rsidR="00BF346B" w:rsidRDefault="00BF346B" w:rsidP="0046328F">
      <w:pPr>
        <w:spacing w:after="240"/>
        <w:jc w:val="center"/>
        <w:rPr>
          <w:rFonts w:ascii="Georgia" w:hAnsi="Georgia"/>
          <w:b/>
          <w:u w:val="single"/>
        </w:rPr>
      </w:pPr>
    </w:p>
    <w:p w14:paraId="172C4533" w14:textId="77777777" w:rsidR="00BF346B" w:rsidRDefault="00BF346B" w:rsidP="0046328F">
      <w:pPr>
        <w:spacing w:after="240"/>
        <w:jc w:val="center"/>
        <w:rPr>
          <w:rFonts w:ascii="Georgia" w:hAnsi="Georgia"/>
          <w:b/>
          <w:u w:val="single"/>
        </w:rPr>
      </w:pPr>
    </w:p>
    <w:p w14:paraId="51A183A1" w14:textId="77777777" w:rsidR="00BF346B" w:rsidRDefault="00BF346B" w:rsidP="0046328F">
      <w:pPr>
        <w:spacing w:after="240"/>
        <w:jc w:val="center"/>
        <w:rPr>
          <w:rFonts w:ascii="Georgia" w:hAnsi="Georgia"/>
          <w:b/>
          <w:u w:val="single"/>
        </w:rPr>
      </w:pPr>
    </w:p>
    <w:p w14:paraId="7A13719D" w14:textId="77777777" w:rsidR="00C472F9" w:rsidRDefault="00C472F9" w:rsidP="0046328F">
      <w:pPr>
        <w:spacing w:after="240"/>
        <w:jc w:val="center"/>
        <w:rPr>
          <w:rFonts w:ascii="Georgia" w:hAnsi="Georgia"/>
          <w:b/>
          <w:u w:val="single"/>
        </w:rPr>
      </w:pPr>
    </w:p>
    <w:p w14:paraId="3BAA5511" w14:textId="73ED84FA" w:rsidR="00624111" w:rsidRPr="005710A8" w:rsidRDefault="00624111" w:rsidP="0046328F">
      <w:pPr>
        <w:spacing w:after="240"/>
        <w:jc w:val="center"/>
        <w:rPr>
          <w:rFonts w:ascii="Georgia" w:hAnsi="Georgia"/>
          <w:b/>
          <w:u w:val="single"/>
        </w:rPr>
      </w:pPr>
      <w:r w:rsidRPr="005710A8">
        <w:rPr>
          <w:rFonts w:ascii="Georgia" w:hAnsi="Georgia"/>
          <w:b/>
          <w:u w:val="single"/>
        </w:rPr>
        <w:t xml:space="preserve">Rights </w:t>
      </w:r>
      <w:r>
        <w:rPr>
          <w:rFonts w:ascii="Georgia" w:hAnsi="Georgia"/>
          <w:b/>
          <w:u w:val="single"/>
        </w:rPr>
        <w:t>o</w:t>
      </w:r>
      <w:r w:rsidRPr="005710A8">
        <w:rPr>
          <w:rFonts w:ascii="Georgia" w:hAnsi="Georgia"/>
          <w:b/>
          <w:u w:val="single"/>
        </w:rPr>
        <w:t xml:space="preserve">f </w:t>
      </w:r>
      <w:r>
        <w:rPr>
          <w:rFonts w:ascii="Georgia" w:hAnsi="Georgia"/>
          <w:b/>
          <w:u w:val="single"/>
        </w:rPr>
        <w:t>a</w:t>
      </w:r>
      <w:r w:rsidRPr="005710A8">
        <w:rPr>
          <w:rFonts w:ascii="Georgia" w:hAnsi="Georgia"/>
          <w:b/>
          <w:u w:val="single"/>
        </w:rPr>
        <w:t>ppeal</w:t>
      </w:r>
    </w:p>
    <w:p w14:paraId="3CD43B4C" w14:textId="77777777" w:rsidR="00624111" w:rsidRPr="009150F9" w:rsidRDefault="00624111" w:rsidP="0046328F">
      <w:pPr>
        <w:tabs>
          <w:tab w:val="left" w:pos="720"/>
        </w:tabs>
        <w:spacing w:after="240"/>
        <w:jc w:val="both"/>
        <w:rPr>
          <w:rFonts w:ascii="Georgia" w:hAnsi="Georgia"/>
        </w:rPr>
      </w:pPr>
      <w:r w:rsidRPr="009150F9">
        <w:rPr>
          <w:rFonts w:ascii="Georgia" w:hAnsi="Georgia"/>
        </w:rPr>
        <w:t>By rule 36(2) of the Tribunal Procedure (First-tier Tribunal) (Property Chamber) Rules 2013, the tribunal is required to notify the parties about any right of appeal</w:t>
      </w:r>
      <w:r>
        <w:rPr>
          <w:rFonts w:ascii="Georgia" w:hAnsi="Georgia"/>
        </w:rPr>
        <w:t xml:space="preserve"> they may have</w:t>
      </w:r>
      <w:r w:rsidRPr="009150F9">
        <w:rPr>
          <w:rFonts w:ascii="Georgia" w:hAnsi="Georgia"/>
        </w:rPr>
        <w:t>.</w:t>
      </w:r>
    </w:p>
    <w:p w14:paraId="34F3B764" w14:textId="77777777" w:rsidR="00624111" w:rsidRPr="005710A8" w:rsidRDefault="00624111" w:rsidP="0046328F">
      <w:pPr>
        <w:tabs>
          <w:tab w:val="left" w:pos="720"/>
        </w:tabs>
        <w:spacing w:after="240"/>
        <w:jc w:val="both"/>
        <w:rPr>
          <w:rFonts w:ascii="Georgia" w:hAnsi="Georgia"/>
        </w:rPr>
      </w:pPr>
      <w:r>
        <w:rPr>
          <w:rFonts w:ascii="Georgia" w:hAnsi="Georgia"/>
        </w:rPr>
        <w:t>If a party wishes</w:t>
      </w:r>
      <w:r w:rsidRPr="005710A8">
        <w:rPr>
          <w:rFonts w:ascii="Georgia" w:hAnsi="Georgia"/>
        </w:rPr>
        <w:t xml:space="preserve"> to appeal this decision to the Upper Tribunal (Lands Chamber)</w:t>
      </w:r>
      <w:r>
        <w:rPr>
          <w:rFonts w:ascii="Georgia" w:hAnsi="Georgia"/>
        </w:rPr>
        <w:t>,</w:t>
      </w:r>
      <w:r w:rsidRPr="005710A8">
        <w:rPr>
          <w:rFonts w:ascii="Georgia" w:hAnsi="Georgia"/>
        </w:rPr>
        <w:t xml:space="preserve"> </w:t>
      </w:r>
      <w:r>
        <w:rPr>
          <w:rFonts w:ascii="Georgia" w:hAnsi="Georgia"/>
        </w:rPr>
        <w:t>then a written application for permission must be made</w:t>
      </w:r>
      <w:r w:rsidRPr="005710A8">
        <w:rPr>
          <w:rFonts w:ascii="Georgia" w:hAnsi="Georgia"/>
        </w:rPr>
        <w:t xml:space="preserve"> to the First-tier Tribunal at the </w:t>
      </w:r>
      <w:r>
        <w:rPr>
          <w:rFonts w:ascii="Georgia" w:hAnsi="Georgia"/>
        </w:rPr>
        <w:t>r</w:t>
      </w:r>
      <w:r w:rsidRPr="005710A8">
        <w:rPr>
          <w:rFonts w:ascii="Georgia" w:hAnsi="Georgia"/>
        </w:rPr>
        <w:t>egional office which</w:t>
      </w:r>
      <w:r>
        <w:rPr>
          <w:rFonts w:ascii="Georgia" w:hAnsi="Georgia"/>
        </w:rPr>
        <w:t xml:space="preserve"> has been dealing with the case.</w:t>
      </w:r>
    </w:p>
    <w:p w14:paraId="04CF3692" w14:textId="77777777" w:rsidR="00624111" w:rsidRPr="005710A8" w:rsidRDefault="00624111" w:rsidP="0046328F">
      <w:pPr>
        <w:tabs>
          <w:tab w:val="left" w:pos="720"/>
        </w:tabs>
        <w:spacing w:after="240"/>
        <w:jc w:val="both"/>
        <w:rPr>
          <w:rFonts w:ascii="Georgia" w:hAnsi="Georgia"/>
        </w:rPr>
      </w:pPr>
      <w:r w:rsidRPr="005710A8">
        <w:rPr>
          <w:rFonts w:ascii="Georgia" w:hAnsi="Georgia"/>
        </w:rPr>
        <w:t>The applica</w:t>
      </w:r>
      <w:r>
        <w:rPr>
          <w:rFonts w:ascii="Georgia" w:hAnsi="Georgia"/>
        </w:rPr>
        <w:t>tion for permission to appeal must arrive at the regional office</w:t>
      </w:r>
      <w:r w:rsidRPr="005710A8">
        <w:rPr>
          <w:rFonts w:ascii="Georgia" w:hAnsi="Georgia"/>
        </w:rPr>
        <w:t xml:space="preserve"> within 28 days after the </w:t>
      </w:r>
      <w:r>
        <w:rPr>
          <w:rFonts w:ascii="Georgia" w:hAnsi="Georgia"/>
        </w:rPr>
        <w:t>t</w:t>
      </w:r>
      <w:r w:rsidRPr="005710A8">
        <w:rPr>
          <w:rFonts w:ascii="Georgia" w:hAnsi="Georgia"/>
        </w:rPr>
        <w:t xml:space="preserve">ribunal sends </w:t>
      </w:r>
      <w:r>
        <w:rPr>
          <w:rFonts w:ascii="Georgia" w:hAnsi="Georgia"/>
        </w:rPr>
        <w:t xml:space="preserve">written reasons for the decision </w:t>
      </w:r>
      <w:r w:rsidRPr="005710A8">
        <w:rPr>
          <w:rFonts w:ascii="Georgia" w:hAnsi="Georgia"/>
        </w:rPr>
        <w:t>to th</w:t>
      </w:r>
      <w:r>
        <w:rPr>
          <w:rFonts w:ascii="Georgia" w:hAnsi="Georgia"/>
        </w:rPr>
        <w:t>e person making the application</w:t>
      </w:r>
      <w:r w:rsidRPr="005710A8">
        <w:rPr>
          <w:rFonts w:ascii="Georgia" w:hAnsi="Georgia"/>
        </w:rPr>
        <w:t>.</w:t>
      </w:r>
    </w:p>
    <w:p w14:paraId="1C6D3E35" w14:textId="77777777" w:rsidR="00624111" w:rsidRPr="005710A8" w:rsidRDefault="00624111" w:rsidP="0046328F">
      <w:pPr>
        <w:tabs>
          <w:tab w:val="left" w:pos="720"/>
        </w:tabs>
        <w:spacing w:after="240"/>
        <w:jc w:val="both"/>
        <w:rPr>
          <w:rFonts w:ascii="Georgia" w:hAnsi="Georgia"/>
        </w:rPr>
      </w:pPr>
      <w:r w:rsidRPr="005710A8">
        <w:rPr>
          <w:rFonts w:ascii="Georgia" w:hAnsi="Georgia"/>
        </w:rPr>
        <w:t xml:space="preserve">If the </w:t>
      </w:r>
      <w:r>
        <w:rPr>
          <w:rFonts w:ascii="Georgia" w:hAnsi="Georgia"/>
        </w:rPr>
        <w:t>application is not made within</w:t>
      </w:r>
      <w:r w:rsidRPr="005710A8">
        <w:rPr>
          <w:rFonts w:ascii="Georgia" w:hAnsi="Georgia"/>
        </w:rPr>
        <w:t xml:space="preserve"> the 28</w:t>
      </w:r>
      <w:r w:rsidR="00C213DB">
        <w:rPr>
          <w:rFonts w:ascii="Georgia" w:hAnsi="Georgia"/>
        </w:rPr>
        <w:t>-</w:t>
      </w:r>
      <w:r>
        <w:rPr>
          <w:rFonts w:ascii="Georgia" w:hAnsi="Georgia"/>
        </w:rPr>
        <w:t>day time limit, such application must include</w:t>
      </w:r>
      <w:r w:rsidRPr="005710A8">
        <w:rPr>
          <w:rFonts w:ascii="Georgia" w:hAnsi="Georgia"/>
        </w:rPr>
        <w:t xml:space="preserve"> a request for an extension of time and the reason for not complying with the 28</w:t>
      </w:r>
      <w:r w:rsidR="00C213DB">
        <w:rPr>
          <w:rFonts w:ascii="Georgia" w:hAnsi="Georgia"/>
        </w:rPr>
        <w:t>-</w:t>
      </w:r>
      <w:r w:rsidRPr="005710A8">
        <w:rPr>
          <w:rFonts w:ascii="Georgia" w:hAnsi="Georgia"/>
        </w:rPr>
        <w:t xml:space="preserve">day time limit; the </w:t>
      </w:r>
      <w:r>
        <w:rPr>
          <w:rFonts w:ascii="Georgia" w:hAnsi="Georgia"/>
        </w:rPr>
        <w:t>t</w:t>
      </w:r>
      <w:r w:rsidRPr="005710A8">
        <w:rPr>
          <w:rFonts w:ascii="Georgia" w:hAnsi="Georgia"/>
        </w:rPr>
        <w:t>ribunal will then</w:t>
      </w:r>
      <w:r>
        <w:rPr>
          <w:rFonts w:ascii="Georgia" w:hAnsi="Georgia"/>
        </w:rPr>
        <w:t xml:space="preserve"> look at such reason(s) and</w:t>
      </w:r>
      <w:r w:rsidRPr="005710A8">
        <w:rPr>
          <w:rFonts w:ascii="Georgia" w:hAnsi="Georgia"/>
        </w:rPr>
        <w:t xml:space="preserve"> deci</w:t>
      </w:r>
      <w:r>
        <w:rPr>
          <w:rFonts w:ascii="Georgia" w:hAnsi="Georgia"/>
        </w:rPr>
        <w:t>de whether</w:t>
      </w:r>
      <w:r w:rsidRPr="005710A8">
        <w:rPr>
          <w:rFonts w:ascii="Georgia" w:hAnsi="Georgia"/>
        </w:rPr>
        <w:t xml:space="preserve"> to allow the application for permission to appeal to proceed</w:t>
      </w:r>
      <w:r>
        <w:rPr>
          <w:rFonts w:ascii="Georgia" w:hAnsi="Georgia"/>
        </w:rPr>
        <w:t>, despite not being within the time limit</w:t>
      </w:r>
      <w:r w:rsidRPr="005710A8">
        <w:rPr>
          <w:rFonts w:ascii="Georgia" w:hAnsi="Georgia"/>
        </w:rPr>
        <w:t>.</w:t>
      </w:r>
    </w:p>
    <w:p w14:paraId="25F82F74" w14:textId="77777777" w:rsidR="00624111" w:rsidRDefault="00624111" w:rsidP="0046328F">
      <w:pPr>
        <w:tabs>
          <w:tab w:val="left" w:pos="720"/>
        </w:tabs>
        <w:spacing w:after="240"/>
        <w:jc w:val="both"/>
        <w:rPr>
          <w:rFonts w:ascii="Georgia" w:hAnsi="Georgia"/>
        </w:rPr>
      </w:pPr>
      <w:r w:rsidRPr="005710A8">
        <w:rPr>
          <w:rFonts w:ascii="Georgia" w:hAnsi="Georgia"/>
        </w:rPr>
        <w:t xml:space="preserve">The application for permission to appeal must identify the decision of the </w:t>
      </w:r>
      <w:r>
        <w:rPr>
          <w:rFonts w:ascii="Georgia" w:hAnsi="Georgia"/>
        </w:rPr>
        <w:t>t</w:t>
      </w:r>
      <w:r w:rsidRPr="005710A8">
        <w:rPr>
          <w:rFonts w:ascii="Georgia" w:hAnsi="Georgia"/>
        </w:rPr>
        <w:t>ribunal to which it relates</w:t>
      </w:r>
      <w:r>
        <w:rPr>
          <w:rFonts w:ascii="Georgia" w:hAnsi="Georgia"/>
        </w:rPr>
        <w:t xml:space="preserve"> (i.e. give the date, the property and the case number), state the grounds of appeal</w:t>
      </w:r>
      <w:r w:rsidRPr="005710A8">
        <w:rPr>
          <w:rFonts w:ascii="Georgia" w:hAnsi="Georgia"/>
        </w:rPr>
        <w:t xml:space="preserve"> and state the result the party making the application is seeking</w:t>
      </w:r>
      <w:r>
        <w:rPr>
          <w:rFonts w:ascii="Georgia" w:hAnsi="Georgia"/>
        </w:rPr>
        <w:t>.</w:t>
      </w:r>
    </w:p>
    <w:p w14:paraId="3D413175" w14:textId="77777777" w:rsidR="006B47DA" w:rsidRDefault="006B47DA" w:rsidP="0046328F">
      <w:pPr>
        <w:tabs>
          <w:tab w:val="left" w:pos="720"/>
        </w:tabs>
        <w:spacing w:after="240"/>
        <w:jc w:val="both"/>
        <w:rPr>
          <w:rFonts w:ascii="Georgia" w:hAnsi="Georgia"/>
        </w:rPr>
      </w:pPr>
      <w:r>
        <w:rPr>
          <w:rFonts w:ascii="Georgia" w:hAnsi="Georgia"/>
        </w:rPr>
        <w:t xml:space="preserve">If the tribunal refuses to grant permission to appeal, </w:t>
      </w:r>
      <w:r w:rsidRPr="00FE0873">
        <w:rPr>
          <w:rFonts w:ascii="Georgia" w:hAnsi="Georgia"/>
        </w:rPr>
        <w:t xml:space="preserve">a further application for permission may be made </w:t>
      </w:r>
      <w:r>
        <w:rPr>
          <w:rFonts w:ascii="Georgia" w:hAnsi="Georgia"/>
        </w:rPr>
        <w:t>to the Upper Tribunal (Lands Chamber).</w:t>
      </w:r>
    </w:p>
    <w:sectPr w:rsidR="006B47DA" w:rsidSect="005A327A">
      <w:headerReference w:type="even" r:id="rId12"/>
      <w:footerReference w:type="even" r:id="rId13"/>
      <w:footerReference w:type="default" r:id="rId14"/>
      <w:footerReference w:type="first" r:id="rId15"/>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BDF7" w14:textId="77777777" w:rsidR="000F56E5" w:rsidRDefault="000F56E5">
      <w:r>
        <w:separator/>
      </w:r>
    </w:p>
  </w:endnote>
  <w:endnote w:type="continuationSeparator" w:id="0">
    <w:p w14:paraId="7116F3D9" w14:textId="77777777" w:rsidR="000F56E5" w:rsidRDefault="000F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BT">
    <w:altName w:val="Times New Roman"/>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9B0D" w14:textId="77777777" w:rsidR="00BD1D27" w:rsidRDefault="00BD1D27" w:rsidP="00A50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CE0E72" w14:textId="77777777" w:rsidR="00BD1D27" w:rsidRDefault="00BD1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1E25" w14:textId="7CAE8781" w:rsidR="00BD1D27" w:rsidRPr="005A327A" w:rsidRDefault="00BD1D27" w:rsidP="00C27ECE">
    <w:pPr>
      <w:pStyle w:val="Footer"/>
      <w:jc w:val="center"/>
      <w:rPr>
        <w:rFonts w:ascii="Georgia" w:hAnsi="Georgia"/>
      </w:rPr>
    </w:pPr>
    <w:r w:rsidRPr="005A327A">
      <w:rPr>
        <w:rStyle w:val="PageNumber"/>
        <w:rFonts w:ascii="Georgia" w:hAnsi="Georgia"/>
      </w:rPr>
      <w:fldChar w:fldCharType="begin"/>
    </w:r>
    <w:r w:rsidRPr="005A327A">
      <w:rPr>
        <w:rStyle w:val="PageNumber"/>
        <w:rFonts w:ascii="Georgia" w:hAnsi="Georgia"/>
      </w:rPr>
      <w:instrText xml:space="preserve"> PAGE </w:instrText>
    </w:r>
    <w:r w:rsidRPr="005A327A">
      <w:rPr>
        <w:rStyle w:val="PageNumber"/>
        <w:rFonts w:ascii="Georgia" w:hAnsi="Georgia"/>
      </w:rPr>
      <w:fldChar w:fldCharType="separate"/>
    </w:r>
    <w:r w:rsidR="00360047">
      <w:rPr>
        <w:rStyle w:val="PageNumber"/>
        <w:rFonts w:ascii="Georgia" w:hAnsi="Georgia"/>
        <w:noProof/>
      </w:rPr>
      <w:t>5</w:t>
    </w:r>
    <w:r w:rsidRPr="005A327A">
      <w:rPr>
        <w:rStyle w:val="PageNumber"/>
        <w:rFonts w:ascii="Georgia" w:hAnsi="Georg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EF93" w14:textId="77777777" w:rsidR="00BD1D27" w:rsidRPr="005620EA" w:rsidRDefault="00BD1D27" w:rsidP="005A327A">
    <w:pPr>
      <w:jc w:val="center"/>
      <w:rPr>
        <w:rFonts w:ascii="Georgia" w:hAnsi="Georgia"/>
        <w:sz w:val="20"/>
        <w:szCs w:val="20"/>
      </w:rPr>
    </w:pPr>
    <w:r w:rsidRPr="005620EA">
      <w:rPr>
        <w:rFonts w:ascii="Georgia" w:hAnsi="Georgia"/>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8A10" w14:textId="77777777" w:rsidR="000F56E5" w:rsidRDefault="000F56E5">
      <w:r>
        <w:separator/>
      </w:r>
    </w:p>
  </w:footnote>
  <w:footnote w:type="continuationSeparator" w:id="0">
    <w:p w14:paraId="44F12B2E" w14:textId="77777777" w:rsidR="000F56E5" w:rsidRDefault="000F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696" w14:textId="77777777" w:rsidR="00BD1D27" w:rsidRDefault="00BD1D27" w:rsidP="00A500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2209" w14:textId="77777777" w:rsidR="00BD1D27" w:rsidRDefault="00BD1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2ED"/>
    <w:multiLevelType w:val="hybridMultilevel"/>
    <w:tmpl w:val="307091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B543BB"/>
    <w:multiLevelType w:val="hybridMultilevel"/>
    <w:tmpl w:val="4F782DCA"/>
    <w:lvl w:ilvl="0" w:tplc="EF82FF2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9394A"/>
    <w:multiLevelType w:val="hybridMultilevel"/>
    <w:tmpl w:val="839457A8"/>
    <w:lvl w:ilvl="0" w:tplc="761800B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767167"/>
    <w:multiLevelType w:val="hybridMultilevel"/>
    <w:tmpl w:val="781EA456"/>
    <w:lvl w:ilvl="0" w:tplc="CED8B392">
      <w:start w:val="1"/>
      <w:numFmt w:val="lowerRoman"/>
      <w:lvlText w:val="(%1)"/>
      <w:lvlJc w:val="left"/>
      <w:pPr>
        <w:tabs>
          <w:tab w:val="num" w:pos="1140"/>
        </w:tabs>
        <w:ind w:left="1140" w:hanging="72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 w15:restartNumberingAfterBreak="0">
    <w:nsid w:val="2B6C1BD8"/>
    <w:multiLevelType w:val="multilevel"/>
    <w:tmpl w:val="EFDEAD20"/>
    <w:lvl w:ilvl="0">
      <w:start w:val="1"/>
      <w:numFmt w:val="decimal"/>
      <w:lvlText w:val="%1."/>
      <w:lvlJc w:val="left"/>
      <w:pPr>
        <w:tabs>
          <w:tab w:val="num" w:pos="1778"/>
        </w:tabs>
        <w:ind w:left="1778" w:hanging="360"/>
      </w:pPr>
      <w:rPr>
        <w:b w:val="0"/>
        <w:bCs w:val="0"/>
      </w:rPr>
    </w:lvl>
    <w:lvl w:ilvl="1">
      <w:start w:val="1"/>
      <w:numFmt w:val="lowerRoman"/>
      <w:lvlText w:val="(%2)"/>
      <w:lvlJc w:val="left"/>
      <w:pPr>
        <w:tabs>
          <w:tab w:val="num" w:pos="2722"/>
        </w:tabs>
        <w:ind w:left="2722" w:hanging="944"/>
      </w:pPr>
      <w:rPr>
        <w:b w:val="0"/>
        <w:bCs w:val="0"/>
      </w:rPr>
    </w:lvl>
    <w:lvl w:ilvl="2">
      <w:start w:val="1"/>
      <w:numFmt w:val="lowerLetter"/>
      <w:lvlText w:val="(%3)"/>
      <w:lvlJc w:val="left"/>
      <w:pPr>
        <w:tabs>
          <w:tab w:val="num" w:pos="3403"/>
        </w:tabs>
        <w:ind w:left="3403" w:hanging="1265"/>
      </w:pPr>
    </w:lvl>
    <w:lvl w:ilvl="3">
      <w:start w:val="1"/>
      <w:numFmt w:val="decimal"/>
      <w:lvlText w:val="(%4)"/>
      <w:lvlJc w:val="left"/>
      <w:pPr>
        <w:tabs>
          <w:tab w:val="num" w:pos="2858"/>
        </w:tabs>
        <w:ind w:left="2858" w:hanging="360"/>
      </w:pPr>
    </w:lvl>
    <w:lvl w:ilvl="4">
      <w:start w:val="1"/>
      <w:numFmt w:val="lowerLetter"/>
      <w:lvlText w:val="(%5)"/>
      <w:lvlJc w:val="left"/>
      <w:pPr>
        <w:tabs>
          <w:tab w:val="num" w:pos="3218"/>
        </w:tabs>
        <w:ind w:left="3218" w:hanging="360"/>
      </w:pPr>
    </w:lvl>
    <w:lvl w:ilvl="5">
      <w:start w:val="1"/>
      <w:numFmt w:val="lowerRoman"/>
      <w:lvlText w:val="(%6)"/>
      <w:lvlJc w:val="left"/>
      <w:pPr>
        <w:tabs>
          <w:tab w:val="num" w:pos="3578"/>
        </w:tabs>
        <w:ind w:left="3578" w:hanging="360"/>
      </w:pPr>
    </w:lvl>
    <w:lvl w:ilvl="6">
      <w:start w:val="1"/>
      <w:numFmt w:val="decimal"/>
      <w:lvlText w:val="%7."/>
      <w:lvlJc w:val="left"/>
      <w:pPr>
        <w:tabs>
          <w:tab w:val="num" w:pos="3938"/>
        </w:tabs>
        <w:ind w:left="3938" w:hanging="360"/>
      </w:pPr>
    </w:lvl>
    <w:lvl w:ilvl="7">
      <w:start w:val="1"/>
      <w:numFmt w:val="lowerLetter"/>
      <w:lvlText w:val="%8."/>
      <w:lvlJc w:val="left"/>
      <w:pPr>
        <w:tabs>
          <w:tab w:val="num" w:pos="4298"/>
        </w:tabs>
        <w:ind w:left="4298" w:hanging="360"/>
      </w:pPr>
    </w:lvl>
    <w:lvl w:ilvl="8">
      <w:start w:val="1"/>
      <w:numFmt w:val="lowerRoman"/>
      <w:lvlText w:val="%9."/>
      <w:lvlJc w:val="left"/>
      <w:pPr>
        <w:tabs>
          <w:tab w:val="num" w:pos="4658"/>
        </w:tabs>
        <w:ind w:left="4658" w:hanging="360"/>
      </w:pPr>
    </w:lvl>
  </w:abstractNum>
  <w:abstractNum w:abstractNumId="5" w15:restartNumberingAfterBreak="0">
    <w:nsid w:val="3B6C63B2"/>
    <w:multiLevelType w:val="hybridMultilevel"/>
    <w:tmpl w:val="A8066726"/>
    <w:lvl w:ilvl="0" w:tplc="41CEEEB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BA86A08"/>
    <w:multiLevelType w:val="hybridMultilevel"/>
    <w:tmpl w:val="13867364"/>
    <w:lvl w:ilvl="0" w:tplc="FFFFFFFF">
      <w:start w:val="1"/>
      <w:numFmt w:val="decimal"/>
      <w:lvlText w:val="(%1)"/>
      <w:lvlJc w:val="left"/>
      <w:pPr>
        <w:tabs>
          <w:tab w:val="num" w:pos="170"/>
        </w:tabs>
        <w:ind w:left="170" w:hanging="17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539665A"/>
    <w:multiLevelType w:val="hybridMultilevel"/>
    <w:tmpl w:val="BF56F776"/>
    <w:lvl w:ilvl="0" w:tplc="6C66DF76">
      <w:start w:val="1"/>
      <w:numFmt w:val="upperLetter"/>
      <w:lvlText w:val="(%1)"/>
      <w:lvlJc w:val="left"/>
      <w:pPr>
        <w:tabs>
          <w:tab w:val="num" w:pos="4034"/>
        </w:tabs>
        <w:ind w:left="4034" w:hanging="794"/>
      </w:pPr>
      <w:rPr>
        <w:rFonts w:ascii="Georgia" w:hAnsi="Georg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86C0C33"/>
    <w:multiLevelType w:val="hybridMultilevel"/>
    <w:tmpl w:val="F386EEF8"/>
    <w:lvl w:ilvl="0" w:tplc="00C27690">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8DA2150"/>
    <w:multiLevelType w:val="hybridMultilevel"/>
    <w:tmpl w:val="B42CA35A"/>
    <w:lvl w:ilvl="0" w:tplc="333499BE">
      <w:start w:val="1"/>
      <w:numFmt w:val="decimal"/>
      <w:lvlText w:val="%1."/>
      <w:lvlJc w:val="left"/>
      <w:pPr>
        <w:tabs>
          <w:tab w:val="num" w:pos="720"/>
        </w:tabs>
        <w:ind w:left="720" w:hanging="360"/>
      </w:pPr>
      <w:rPr>
        <w:rFonts w:cs="Times New Roman"/>
        <w:b w:val="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0" w15:restartNumberingAfterBreak="0">
    <w:nsid w:val="50F228C7"/>
    <w:multiLevelType w:val="hybridMultilevel"/>
    <w:tmpl w:val="2A4E6E72"/>
    <w:lvl w:ilvl="0" w:tplc="79DC4D1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1583DEC"/>
    <w:multiLevelType w:val="hybridMultilevel"/>
    <w:tmpl w:val="AACE42CE"/>
    <w:lvl w:ilvl="0" w:tplc="048822FA">
      <w:start w:val="1"/>
      <w:numFmt w:val="lowerRoman"/>
      <w:lvlText w:val="(%1)"/>
      <w:lvlJc w:val="left"/>
      <w:pPr>
        <w:tabs>
          <w:tab w:val="num" w:pos="1493"/>
        </w:tabs>
        <w:ind w:left="1493" w:hanging="360"/>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2" w15:restartNumberingAfterBreak="0">
    <w:nsid w:val="694E2D6E"/>
    <w:multiLevelType w:val="hybridMultilevel"/>
    <w:tmpl w:val="963874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14421515">
    <w:abstractNumId w:val="0"/>
  </w:num>
  <w:num w:numId="2" w16cid:durableId="1953324503">
    <w:abstractNumId w:val="12"/>
  </w:num>
  <w:num w:numId="3" w16cid:durableId="990791068">
    <w:abstractNumId w:val="5"/>
  </w:num>
  <w:num w:numId="4" w16cid:durableId="2097901143">
    <w:abstractNumId w:val="8"/>
  </w:num>
  <w:num w:numId="5" w16cid:durableId="1690327789">
    <w:abstractNumId w:val="3"/>
  </w:num>
  <w:num w:numId="6" w16cid:durableId="518740548">
    <w:abstractNumId w:val="10"/>
  </w:num>
  <w:num w:numId="7" w16cid:durableId="1125545484">
    <w:abstractNumId w:val="2"/>
  </w:num>
  <w:num w:numId="8" w16cid:durableId="1731725752">
    <w:abstractNumId w:val="4"/>
  </w:num>
  <w:num w:numId="9" w16cid:durableId="1472207184">
    <w:abstractNumId w:val="6"/>
  </w:num>
  <w:num w:numId="10" w16cid:durableId="1916236684">
    <w:abstractNumId w:val="11"/>
  </w:num>
  <w:num w:numId="11" w16cid:durableId="2047875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3102806">
    <w:abstractNumId w:val="1"/>
  </w:num>
  <w:num w:numId="13" w16cid:durableId="2002149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652A41-363A-4442-BC8C-A9F891F6876A}"/>
    <w:docVar w:name="dgnword-eventsink" w:val="501871712"/>
  </w:docVars>
  <w:rsids>
    <w:rsidRoot w:val="00CD3CD2"/>
    <w:rsid w:val="000011DB"/>
    <w:rsid w:val="00005203"/>
    <w:rsid w:val="00006D21"/>
    <w:rsid w:val="000077C5"/>
    <w:rsid w:val="0001030A"/>
    <w:rsid w:val="00013010"/>
    <w:rsid w:val="00014D0E"/>
    <w:rsid w:val="00015BC2"/>
    <w:rsid w:val="00022279"/>
    <w:rsid w:val="000258EA"/>
    <w:rsid w:val="00025A07"/>
    <w:rsid w:val="000264DC"/>
    <w:rsid w:val="00027344"/>
    <w:rsid w:val="00030015"/>
    <w:rsid w:val="000307F5"/>
    <w:rsid w:val="00032411"/>
    <w:rsid w:val="0003362F"/>
    <w:rsid w:val="00033640"/>
    <w:rsid w:val="00033EE3"/>
    <w:rsid w:val="0003464E"/>
    <w:rsid w:val="000402EE"/>
    <w:rsid w:val="00043870"/>
    <w:rsid w:val="00044925"/>
    <w:rsid w:val="0006027A"/>
    <w:rsid w:val="00060806"/>
    <w:rsid w:val="00061A1C"/>
    <w:rsid w:val="0006405B"/>
    <w:rsid w:val="000656B8"/>
    <w:rsid w:val="00065763"/>
    <w:rsid w:val="0006732D"/>
    <w:rsid w:val="00067A1B"/>
    <w:rsid w:val="00071568"/>
    <w:rsid w:val="00073531"/>
    <w:rsid w:val="00084838"/>
    <w:rsid w:val="00085857"/>
    <w:rsid w:val="00091294"/>
    <w:rsid w:val="00091461"/>
    <w:rsid w:val="00092051"/>
    <w:rsid w:val="000927B4"/>
    <w:rsid w:val="00092C14"/>
    <w:rsid w:val="00092C41"/>
    <w:rsid w:val="000951C5"/>
    <w:rsid w:val="00097DF1"/>
    <w:rsid w:val="000A0334"/>
    <w:rsid w:val="000A15CF"/>
    <w:rsid w:val="000A1CDA"/>
    <w:rsid w:val="000A29A5"/>
    <w:rsid w:val="000A3A1A"/>
    <w:rsid w:val="000A4A44"/>
    <w:rsid w:val="000B246A"/>
    <w:rsid w:val="000B37E9"/>
    <w:rsid w:val="000B5644"/>
    <w:rsid w:val="000B5B29"/>
    <w:rsid w:val="000C18EF"/>
    <w:rsid w:val="000C2BA6"/>
    <w:rsid w:val="000C3CA0"/>
    <w:rsid w:val="000C5229"/>
    <w:rsid w:val="000C5D4F"/>
    <w:rsid w:val="000C6072"/>
    <w:rsid w:val="000C7A7F"/>
    <w:rsid w:val="000D228A"/>
    <w:rsid w:val="000D46FF"/>
    <w:rsid w:val="000D52D0"/>
    <w:rsid w:val="000E0234"/>
    <w:rsid w:val="000E5C34"/>
    <w:rsid w:val="000E615C"/>
    <w:rsid w:val="000E68E9"/>
    <w:rsid w:val="000E6B48"/>
    <w:rsid w:val="000F0279"/>
    <w:rsid w:val="000F1130"/>
    <w:rsid w:val="000F4568"/>
    <w:rsid w:val="000F505E"/>
    <w:rsid w:val="000F56E5"/>
    <w:rsid w:val="000F6216"/>
    <w:rsid w:val="00101189"/>
    <w:rsid w:val="00102A51"/>
    <w:rsid w:val="001044EB"/>
    <w:rsid w:val="00110142"/>
    <w:rsid w:val="00110977"/>
    <w:rsid w:val="00111AE3"/>
    <w:rsid w:val="00111F22"/>
    <w:rsid w:val="00113604"/>
    <w:rsid w:val="00113F92"/>
    <w:rsid w:val="001156D4"/>
    <w:rsid w:val="0011663E"/>
    <w:rsid w:val="0011740A"/>
    <w:rsid w:val="00120983"/>
    <w:rsid w:val="00122E70"/>
    <w:rsid w:val="001263A1"/>
    <w:rsid w:val="00126BB4"/>
    <w:rsid w:val="00131260"/>
    <w:rsid w:val="00131974"/>
    <w:rsid w:val="00135DD5"/>
    <w:rsid w:val="00136B2E"/>
    <w:rsid w:val="001371DE"/>
    <w:rsid w:val="00142447"/>
    <w:rsid w:val="0014261B"/>
    <w:rsid w:val="001443EE"/>
    <w:rsid w:val="00146571"/>
    <w:rsid w:val="00147C62"/>
    <w:rsid w:val="0016098D"/>
    <w:rsid w:val="0016130D"/>
    <w:rsid w:val="001621D8"/>
    <w:rsid w:val="0016316C"/>
    <w:rsid w:val="001635DE"/>
    <w:rsid w:val="001640AC"/>
    <w:rsid w:val="0016706D"/>
    <w:rsid w:val="001713E5"/>
    <w:rsid w:val="00171D02"/>
    <w:rsid w:val="00173826"/>
    <w:rsid w:val="00174C7E"/>
    <w:rsid w:val="00174DB6"/>
    <w:rsid w:val="00176382"/>
    <w:rsid w:val="001770C5"/>
    <w:rsid w:val="001803E7"/>
    <w:rsid w:val="00181E14"/>
    <w:rsid w:val="00182240"/>
    <w:rsid w:val="00184A1A"/>
    <w:rsid w:val="001855F9"/>
    <w:rsid w:val="0018590F"/>
    <w:rsid w:val="00185D02"/>
    <w:rsid w:val="00186FBD"/>
    <w:rsid w:val="0018733B"/>
    <w:rsid w:val="00187D8B"/>
    <w:rsid w:val="00190435"/>
    <w:rsid w:val="001928CF"/>
    <w:rsid w:val="00192EB3"/>
    <w:rsid w:val="001938CB"/>
    <w:rsid w:val="001940B2"/>
    <w:rsid w:val="00195BEB"/>
    <w:rsid w:val="00196CB2"/>
    <w:rsid w:val="001A04C3"/>
    <w:rsid w:val="001A10FC"/>
    <w:rsid w:val="001A21A1"/>
    <w:rsid w:val="001A31A9"/>
    <w:rsid w:val="001A7546"/>
    <w:rsid w:val="001B211A"/>
    <w:rsid w:val="001B23AA"/>
    <w:rsid w:val="001B28F2"/>
    <w:rsid w:val="001B2BFF"/>
    <w:rsid w:val="001B55C5"/>
    <w:rsid w:val="001B650D"/>
    <w:rsid w:val="001B704F"/>
    <w:rsid w:val="001B753A"/>
    <w:rsid w:val="001C000B"/>
    <w:rsid w:val="001C0E2C"/>
    <w:rsid w:val="001C1D66"/>
    <w:rsid w:val="001C20D9"/>
    <w:rsid w:val="001C50F7"/>
    <w:rsid w:val="001C52C4"/>
    <w:rsid w:val="001C52C7"/>
    <w:rsid w:val="001D0E1B"/>
    <w:rsid w:val="001D178D"/>
    <w:rsid w:val="001D26EA"/>
    <w:rsid w:val="001D2AE5"/>
    <w:rsid w:val="001D2B6D"/>
    <w:rsid w:val="001D2EF6"/>
    <w:rsid w:val="001D6EE0"/>
    <w:rsid w:val="001D7AB7"/>
    <w:rsid w:val="001D7C0E"/>
    <w:rsid w:val="001E1D64"/>
    <w:rsid w:val="001E1E72"/>
    <w:rsid w:val="001E2E59"/>
    <w:rsid w:val="001E4310"/>
    <w:rsid w:val="001E4B65"/>
    <w:rsid w:val="001E6421"/>
    <w:rsid w:val="001E6915"/>
    <w:rsid w:val="001E69CE"/>
    <w:rsid w:val="001F0332"/>
    <w:rsid w:val="001F291E"/>
    <w:rsid w:val="001F4741"/>
    <w:rsid w:val="001F4BF7"/>
    <w:rsid w:val="002016F6"/>
    <w:rsid w:val="002034A5"/>
    <w:rsid w:val="00203D05"/>
    <w:rsid w:val="00204AF2"/>
    <w:rsid w:val="00205574"/>
    <w:rsid w:val="00205B45"/>
    <w:rsid w:val="00206CC3"/>
    <w:rsid w:val="00211AB0"/>
    <w:rsid w:val="00211C62"/>
    <w:rsid w:val="00212BBE"/>
    <w:rsid w:val="0021313D"/>
    <w:rsid w:val="00215120"/>
    <w:rsid w:val="002162D9"/>
    <w:rsid w:val="00220D5B"/>
    <w:rsid w:val="0022226D"/>
    <w:rsid w:val="00227990"/>
    <w:rsid w:val="002307BB"/>
    <w:rsid w:val="0023087C"/>
    <w:rsid w:val="00230A33"/>
    <w:rsid w:val="0023233D"/>
    <w:rsid w:val="00232E15"/>
    <w:rsid w:val="00233EDA"/>
    <w:rsid w:val="00236AD6"/>
    <w:rsid w:val="0024152B"/>
    <w:rsid w:val="00241B43"/>
    <w:rsid w:val="00253DDE"/>
    <w:rsid w:val="0025473E"/>
    <w:rsid w:val="00254EA2"/>
    <w:rsid w:val="0025658E"/>
    <w:rsid w:val="002610A4"/>
    <w:rsid w:val="002613B7"/>
    <w:rsid w:val="00262BCE"/>
    <w:rsid w:val="00264CD5"/>
    <w:rsid w:val="00265353"/>
    <w:rsid w:val="00265B21"/>
    <w:rsid w:val="00265B72"/>
    <w:rsid w:val="00266496"/>
    <w:rsid w:val="002666FC"/>
    <w:rsid w:val="002677DF"/>
    <w:rsid w:val="00270F74"/>
    <w:rsid w:val="00271239"/>
    <w:rsid w:val="002729C4"/>
    <w:rsid w:val="00274316"/>
    <w:rsid w:val="00274B6A"/>
    <w:rsid w:val="00283829"/>
    <w:rsid w:val="00284735"/>
    <w:rsid w:val="00285F3D"/>
    <w:rsid w:val="00285F4B"/>
    <w:rsid w:val="00287785"/>
    <w:rsid w:val="00290F44"/>
    <w:rsid w:val="0029229E"/>
    <w:rsid w:val="002925E4"/>
    <w:rsid w:val="00292924"/>
    <w:rsid w:val="0029510F"/>
    <w:rsid w:val="0029782F"/>
    <w:rsid w:val="002A0544"/>
    <w:rsid w:val="002A0780"/>
    <w:rsid w:val="002A4653"/>
    <w:rsid w:val="002A520D"/>
    <w:rsid w:val="002A53E6"/>
    <w:rsid w:val="002A5607"/>
    <w:rsid w:val="002A5EA8"/>
    <w:rsid w:val="002B0CF7"/>
    <w:rsid w:val="002B1D4B"/>
    <w:rsid w:val="002B261C"/>
    <w:rsid w:val="002B4B1B"/>
    <w:rsid w:val="002B577A"/>
    <w:rsid w:val="002B6A7A"/>
    <w:rsid w:val="002B7668"/>
    <w:rsid w:val="002C23D9"/>
    <w:rsid w:val="002C2CAC"/>
    <w:rsid w:val="002C2EB8"/>
    <w:rsid w:val="002D14D9"/>
    <w:rsid w:val="002D25CC"/>
    <w:rsid w:val="002D4C2F"/>
    <w:rsid w:val="002D53FB"/>
    <w:rsid w:val="002D5B9A"/>
    <w:rsid w:val="002D5CB3"/>
    <w:rsid w:val="002D6103"/>
    <w:rsid w:val="002D6816"/>
    <w:rsid w:val="002D7197"/>
    <w:rsid w:val="002E08DC"/>
    <w:rsid w:val="002E2780"/>
    <w:rsid w:val="002E71C6"/>
    <w:rsid w:val="002E71DC"/>
    <w:rsid w:val="002E7991"/>
    <w:rsid w:val="002F05C0"/>
    <w:rsid w:val="002F0F0C"/>
    <w:rsid w:val="002F35E1"/>
    <w:rsid w:val="002F61BE"/>
    <w:rsid w:val="002F7084"/>
    <w:rsid w:val="002F7957"/>
    <w:rsid w:val="00300B1F"/>
    <w:rsid w:val="00301D18"/>
    <w:rsid w:val="0030208E"/>
    <w:rsid w:val="0030397D"/>
    <w:rsid w:val="003061D2"/>
    <w:rsid w:val="00310252"/>
    <w:rsid w:val="00313A34"/>
    <w:rsid w:val="00313C3A"/>
    <w:rsid w:val="00314E3F"/>
    <w:rsid w:val="00320484"/>
    <w:rsid w:val="00325DD3"/>
    <w:rsid w:val="00326CB4"/>
    <w:rsid w:val="00326CED"/>
    <w:rsid w:val="00331AC7"/>
    <w:rsid w:val="00333D78"/>
    <w:rsid w:val="00334EF2"/>
    <w:rsid w:val="00341798"/>
    <w:rsid w:val="0034594E"/>
    <w:rsid w:val="00346837"/>
    <w:rsid w:val="00350E6A"/>
    <w:rsid w:val="00352002"/>
    <w:rsid w:val="00353323"/>
    <w:rsid w:val="0035567F"/>
    <w:rsid w:val="00356C3F"/>
    <w:rsid w:val="00357534"/>
    <w:rsid w:val="0035771C"/>
    <w:rsid w:val="00360047"/>
    <w:rsid w:val="0036048F"/>
    <w:rsid w:val="00362C3E"/>
    <w:rsid w:val="0036308E"/>
    <w:rsid w:val="00364EAD"/>
    <w:rsid w:val="003658D4"/>
    <w:rsid w:val="003674E9"/>
    <w:rsid w:val="003707F9"/>
    <w:rsid w:val="00371611"/>
    <w:rsid w:val="0037289B"/>
    <w:rsid w:val="00376375"/>
    <w:rsid w:val="003767C2"/>
    <w:rsid w:val="003803EC"/>
    <w:rsid w:val="003918A7"/>
    <w:rsid w:val="0039323C"/>
    <w:rsid w:val="00396359"/>
    <w:rsid w:val="00396E87"/>
    <w:rsid w:val="003979A3"/>
    <w:rsid w:val="003A0D70"/>
    <w:rsid w:val="003A189A"/>
    <w:rsid w:val="003A257A"/>
    <w:rsid w:val="003A28D1"/>
    <w:rsid w:val="003A324A"/>
    <w:rsid w:val="003A4205"/>
    <w:rsid w:val="003A4290"/>
    <w:rsid w:val="003A60BC"/>
    <w:rsid w:val="003A6B1C"/>
    <w:rsid w:val="003A6BD1"/>
    <w:rsid w:val="003A7AE6"/>
    <w:rsid w:val="003B055B"/>
    <w:rsid w:val="003B11D4"/>
    <w:rsid w:val="003C0746"/>
    <w:rsid w:val="003C0C8A"/>
    <w:rsid w:val="003C5359"/>
    <w:rsid w:val="003C72F2"/>
    <w:rsid w:val="003C760A"/>
    <w:rsid w:val="003D00F2"/>
    <w:rsid w:val="003D02E5"/>
    <w:rsid w:val="003D043D"/>
    <w:rsid w:val="003D0F2C"/>
    <w:rsid w:val="003D12B8"/>
    <w:rsid w:val="003D3E6B"/>
    <w:rsid w:val="003D54D8"/>
    <w:rsid w:val="003D5CA0"/>
    <w:rsid w:val="003D603A"/>
    <w:rsid w:val="003E5296"/>
    <w:rsid w:val="003F0E33"/>
    <w:rsid w:val="0040010E"/>
    <w:rsid w:val="0040177D"/>
    <w:rsid w:val="00402917"/>
    <w:rsid w:val="00402C86"/>
    <w:rsid w:val="0041064A"/>
    <w:rsid w:val="004124B1"/>
    <w:rsid w:val="00415210"/>
    <w:rsid w:val="00416288"/>
    <w:rsid w:val="0041673A"/>
    <w:rsid w:val="004169D7"/>
    <w:rsid w:val="00417092"/>
    <w:rsid w:val="00420064"/>
    <w:rsid w:val="00422384"/>
    <w:rsid w:val="0042526C"/>
    <w:rsid w:val="004254FD"/>
    <w:rsid w:val="004310C5"/>
    <w:rsid w:val="004311C3"/>
    <w:rsid w:val="004325AA"/>
    <w:rsid w:val="00433F4F"/>
    <w:rsid w:val="00437588"/>
    <w:rsid w:val="00440343"/>
    <w:rsid w:val="00442963"/>
    <w:rsid w:val="004435CA"/>
    <w:rsid w:val="00444F4D"/>
    <w:rsid w:val="004457BA"/>
    <w:rsid w:val="004516CE"/>
    <w:rsid w:val="00451BE0"/>
    <w:rsid w:val="004539EB"/>
    <w:rsid w:val="00454775"/>
    <w:rsid w:val="00456500"/>
    <w:rsid w:val="004572AC"/>
    <w:rsid w:val="00460ADD"/>
    <w:rsid w:val="00461A6A"/>
    <w:rsid w:val="0046328F"/>
    <w:rsid w:val="00463D29"/>
    <w:rsid w:val="00464C8C"/>
    <w:rsid w:val="004663C6"/>
    <w:rsid w:val="00466433"/>
    <w:rsid w:val="00467DF0"/>
    <w:rsid w:val="00471548"/>
    <w:rsid w:val="00472421"/>
    <w:rsid w:val="004803A7"/>
    <w:rsid w:val="00482B37"/>
    <w:rsid w:val="00483207"/>
    <w:rsid w:val="00483AFE"/>
    <w:rsid w:val="00485D5C"/>
    <w:rsid w:val="00487CEC"/>
    <w:rsid w:val="00487FB1"/>
    <w:rsid w:val="0049045B"/>
    <w:rsid w:val="004912AC"/>
    <w:rsid w:val="004920DE"/>
    <w:rsid w:val="00492A0E"/>
    <w:rsid w:val="004958FB"/>
    <w:rsid w:val="00496F44"/>
    <w:rsid w:val="004A09AB"/>
    <w:rsid w:val="004A0FB6"/>
    <w:rsid w:val="004A1D5A"/>
    <w:rsid w:val="004A2633"/>
    <w:rsid w:val="004A4D12"/>
    <w:rsid w:val="004A50D4"/>
    <w:rsid w:val="004A669A"/>
    <w:rsid w:val="004A6B88"/>
    <w:rsid w:val="004B050F"/>
    <w:rsid w:val="004B7E17"/>
    <w:rsid w:val="004C060B"/>
    <w:rsid w:val="004C0E17"/>
    <w:rsid w:val="004C0F1E"/>
    <w:rsid w:val="004C102A"/>
    <w:rsid w:val="004C1243"/>
    <w:rsid w:val="004C3EBB"/>
    <w:rsid w:val="004C593B"/>
    <w:rsid w:val="004C5E19"/>
    <w:rsid w:val="004C725E"/>
    <w:rsid w:val="004D1C1D"/>
    <w:rsid w:val="004D24C3"/>
    <w:rsid w:val="004D2954"/>
    <w:rsid w:val="004D3F9A"/>
    <w:rsid w:val="004D410F"/>
    <w:rsid w:val="004D57E4"/>
    <w:rsid w:val="004E1BB9"/>
    <w:rsid w:val="004E1CC4"/>
    <w:rsid w:val="004E26AD"/>
    <w:rsid w:val="004E2D64"/>
    <w:rsid w:val="004E56FC"/>
    <w:rsid w:val="004E5AFE"/>
    <w:rsid w:val="004E65E9"/>
    <w:rsid w:val="004F148B"/>
    <w:rsid w:val="004F1E59"/>
    <w:rsid w:val="004F2F12"/>
    <w:rsid w:val="004F4C33"/>
    <w:rsid w:val="004F5DE6"/>
    <w:rsid w:val="00500157"/>
    <w:rsid w:val="005022B1"/>
    <w:rsid w:val="005026DB"/>
    <w:rsid w:val="005044E4"/>
    <w:rsid w:val="0050502C"/>
    <w:rsid w:val="00507D2C"/>
    <w:rsid w:val="00510571"/>
    <w:rsid w:val="005117B7"/>
    <w:rsid w:val="00512663"/>
    <w:rsid w:val="00513728"/>
    <w:rsid w:val="0051548B"/>
    <w:rsid w:val="00515999"/>
    <w:rsid w:val="00520AB4"/>
    <w:rsid w:val="005230E9"/>
    <w:rsid w:val="00523346"/>
    <w:rsid w:val="00523B9F"/>
    <w:rsid w:val="00523E33"/>
    <w:rsid w:val="005243DD"/>
    <w:rsid w:val="00531C3F"/>
    <w:rsid w:val="00531F36"/>
    <w:rsid w:val="00535AF9"/>
    <w:rsid w:val="0053671E"/>
    <w:rsid w:val="00536DD2"/>
    <w:rsid w:val="00537712"/>
    <w:rsid w:val="00537DD5"/>
    <w:rsid w:val="00545A41"/>
    <w:rsid w:val="00546FA2"/>
    <w:rsid w:val="00547E3C"/>
    <w:rsid w:val="0055018B"/>
    <w:rsid w:val="005507BD"/>
    <w:rsid w:val="00550B1F"/>
    <w:rsid w:val="00550E3B"/>
    <w:rsid w:val="00552276"/>
    <w:rsid w:val="00557855"/>
    <w:rsid w:val="005620EA"/>
    <w:rsid w:val="00564FCA"/>
    <w:rsid w:val="00567982"/>
    <w:rsid w:val="00572EA7"/>
    <w:rsid w:val="00574016"/>
    <w:rsid w:val="005801A4"/>
    <w:rsid w:val="00580EC9"/>
    <w:rsid w:val="0058276C"/>
    <w:rsid w:val="0059051A"/>
    <w:rsid w:val="00592A4C"/>
    <w:rsid w:val="0059331A"/>
    <w:rsid w:val="005945F2"/>
    <w:rsid w:val="005A08AA"/>
    <w:rsid w:val="005A0AFB"/>
    <w:rsid w:val="005A24FD"/>
    <w:rsid w:val="005A327A"/>
    <w:rsid w:val="005B28A0"/>
    <w:rsid w:val="005B290A"/>
    <w:rsid w:val="005B3578"/>
    <w:rsid w:val="005B7063"/>
    <w:rsid w:val="005B74C9"/>
    <w:rsid w:val="005C1A9E"/>
    <w:rsid w:val="005C1C16"/>
    <w:rsid w:val="005C1C84"/>
    <w:rsid w:val="005C1D8E"/>
    <w:rsid w:val="005C2BEB"/>
    <w:rsid w:val="005C4607"/>
    <w:rsid w:val="005C4779"/>
    <w:rsid w:val="005C4AE6"/>
    <w:rsid w:val="005C53B8"/>
    <w:rsid w:val="005C646F"/>
    <w:rsid w:val="005C6576"/>
    <w:rsid w:val="005C7A19"/>
    <w:rsid w:val="005C7E18"/>
    <w:rsid w:val="005D0C58"/>
    <w:rsid w:val="005D18C2"/>
    <w:rsid w:val="005D3B86"/>
    <w:rsid w:val="005D4471"/>
    <w:rsid w:val="005D59DA"/>
    <w:rsid w:val="005E00C8"/>
    <w:rsid w:val="005E0535"/>
    <w:rsid w:val="005E3FFB"/>
    <w:rsid w:val="005E4195"/>
    <w:rsid w:val="005E5260"/>
    <w:rsid w:val="005E66C7"/>
    <w:rsid w:val="005E6D93"/>
    <w:rsid w:val="005F3A71"/>
    <w:rsid w:val="005F4055"/>
    <w:rsid w:val="005F63BC"/>
    <w:rsid w:val="005F7A9A"/>
    <w:rsid w:val="006006A9"/>
    <w:rsid w:val="006008C9"/>
    <w:rsid w:val="00601FD6"/>
    <w:rsid w:val="006031F7"/>
    <w:rsid w:val="00603392"/>
    <w:rsid w:val="006035E4"/>
    <w:rsid w:val="00603E3D"/>
    <w:rsid w:val="006069A9"/>
    <w:rsid w:val="00607D72"/>
    <w:rsid w:val="006104ED"/>
    <w:rsid w:val="00611DD3"/>
    <w:rsid w:val="00613A85"/>
    <w:rsid w:val="00614150"/>
    <w:rsid w:val="00616335"/>
    <w:rsid w:val="00617940"/>
    <w:rsid w:val="00622C08"/>
    <w:rsid w:val="0062387B"/>
    <w:rsid w:val="006240B7"/>
    <w:rsid w:val="00624111"/>
    <w:rsid w:val="0062434E"/>
    <w:rsid w:val="00631885"/>
    <w:rsid w:val="00632148"/>
    <w:rsid w:val="0063456C"/>
    <w:rsid w:val="00636135"/>
    <w:rsid w:val="00636198"/>
    <w:rsid w:val="006369B5"/>
    <w:rsid w:val="00641DF7"/>
    <w:rsid w:val="00641EFA"/>
    <w:rsid w:val="00641FFB"/>
    <w:rsid w:val="00645490"/>
    <w:rsid w:val="006462C0"/>
    <w:rsid w:val="00652694"/>
    <w:rsid w:val="00655AFA"/>
    <w:rsid w:val="006570D0"/>
    <w:rsid w:val="00657238"/>
    <w:rsid w:val="00657F7F"/>
    <w:rsid w:val="006604A4"/>
    <w:rsid w:val="00663555"/>
    <w:rsid w:val="00670BB6"/>
    <w:rsid w:val="00670E4A"/>
    <w:rsid w:val="00671568"/>
    <w:rsid w:val="006715D2"/>
    <w:rsid w:val="0067260E"/>
    <w:rsid w:val="0067275A"/>
    <w:rsid w:val="006729D5"/>
    <w:rsid w:val="00674556"/>
    <w:rsid w:val="00676045"/>
    <w:rsid w:val="00677850"/>
    <w:rsid w:val="00677D84"/>
    <w:rsid w:val="00680116"/>
    <w:rsid w:val="00682CAF"/>
    <w:rsid w:val="00691C79"/>
    <w:rsid w:val="00692551"/>
    <w:rsid w:val="006929F5"/>
    <w:rsid w:val="00693B05"/>
    <w:rsid w:val="0069489B"/>
    <w:rsid w:val="00694C56"/>
    <w:rsid w:val="006A1734"/>
    <w:rsid w:val="006A5F63"/>
    <w:rsid w:val="006A6869"/>
    <w:rsid w:val="006A7F90"/>
    <w:rsid w:val="006B014C"/>
    <w:rsid w:val="006B06F1"/>
    <w:rsid w:val="006B33DC"/>
    <w:rsid w:val="006B3FF0"/>
    <w:rsid w:val="006B47DA"/>
    <w:rsid w:val="006B4B38"/>
    <w:rsid w:val="006B63C3"/>
    <w:rsid w:val="006C033B"/>
    <w:rsid w:val="006C13D7"/>
    <w:rsid w:val="006C1E6C"/>
    <w:rsid w:val="006C34D8"/>
    <w:rsid w:val="006C4348"/>
    <w:rsid w:val="006C67C9"/>
    <w:rsid w:val="006C7A55"/>
    <w:rsid w:val="006C7D64"/>
    <w:rsid w:val="006D0E17"/>
    <w:rsid w:val="006D1930"/>
    <w:rsid w:val="006D3446"/>
    <w:rsid w:val="006D3DFF"/>
    <w:rsid w:val="006D68CD"/>
    <w:rsid w:val="006E09DD"/>
    <w:rsid w:val="006E29DF"/>
    <w:rsid w:val="006E4D04"/>
    <w:rsid w:val="006E5789"/>
    <w:rsid w:val="006E6F85"/>
    <w:rsid w:val="006E735B"/>
    <w:rsid w:val="006E7DD9"/>
    <w:rsid w:val="006F07A3"/>
    <w:rsid w:val="006F1BC3"/>
    <w:rsid w:val="006F4C36"/>
    <w:rsid w:val="006F541A"/>
    <w:rsid w:val="006F575D"/>
    <w:rsid w:val="006F5BC1"/>
    <w:rsid w:val="006F68AB"/>
    <w:rsid w:val="006F72B4"/>
    <w:rsid w:val="00700D0D"/>
    <w:rsid w:val="00703551"/>
    <w:rsid w:val="00710CA9"/>
    <w:rsid w:val="00712847"/>
    <w:rsid w:val="00713A17"/>
    <w:rsid w:val="00714345"/>
    <w:rsid w:val="00714773"/>
    <w:rsid w:val="00714D17"/>
    <w:rsid w:val="0071542B"/>
    <w:rsid w:val="00717F5B"/>
    <w:rsid w:val="00720AAB"/>
    <w:rsid w:val="00724F05"/>
    <w:rsid w:val="00730D41"/>
    <w:rsid w:val="00732243"/>
    <w:rsid w:val="00732E4D"/>
    <w:rsid w:val="00733F20"/>
    <w:rsid w:val="00734E5F"/>
    <w:rsid w:val="00734EB6"/>
    <w:rsid w:val="00734F75"/>
    <w:rsid w:val="007359CA"/>
    <w:rsid w:val="00736EB1"/>
    <w:rsid w:val="00737115"/>
    <w:rsid w:val="007404DC"/>
    <w:rsid w:val="00740A66"/>
    <w:rsid w:val="00741D51"/>
    <w:rsid w:val="00742D15"/>
    <w:rsid w:val="00743978"/>
    <w:rsid w:val="00744D0F"/>
    <w:rsid w:val="00744D67"/>
    <w:rsid w:val="007468EF"/>
    <w:rsid w:val="00747492"/>
    <w:rsid w:val="0075225E"/>
    <w:rsid w:val="00753DDD"/>
    <w:rsid w:val="007554CB"/>
    <w:rsid w:val="00762322"/>
    <w:rsid w:val="007642BF"/>
    <w:rsid w:val="007666F3"/>
    <w:rsid w:val="0076709B"/>
    <w:rsid w:val="00767407"/>
    <w:rsid w:val="007709AB"/>
    <w:rsid w:val="00771C92"/>
    <w:rsid w:val="00773659"/>
    <w:rsid w:val="00773CF4"/>
    <w:rsid w:val="007850E4"/>
    <w:rsid w:val="00785CA6"/>
    <w:rsid w:val="00785DA8"/>
    <w:rsid w:val="00786A84"/>
    <w:rsid w:val="00787002"/>
    <w:rsid w:val="0079175A"/>
    <w:rsid w:val="00791784"/>
    <w:rsid w:val="00792C1A"/>
    <w:rsid w:val="0079391F"/>
    <w:rsid w:val="00794900"/>
    <w:rsid w:val="0079619E"/>
    <w:rsid w:val="007969A7"/>
    <w:rsid w:val="0079754D"/>
    <w:rsid w:val="007A0152"/>
    <w:rsid w:val="007A1043"/>
    <w:rsid w:val="007A2833"/>
    <w:rsid w:val="007A463F"/>
    <w:rsid w:val="007B75B5"/>
    <w:rsid w:val="007C04F2"/>
    <w:rsid w:val="007C0851"/>
    <w:rsid w:val="007C0CF5"/>
    <w:rsid w:val="007C2757"/>
    <w:rsid w:val="007C3A19"/>
    <w:rsid w:val="007C4234"/>
    <w:rsid w:val="007C4996"/>
    <w:rsid w:val="007C723E"/>
    <w:rsid w:val="007C7529"/>
    <w:rsid w:val="007D1BB8"/>
    <w:rsid w:val="007D1F9A"/>
    <w:rsid w:val="007D2D20"/>
    <w:rsid w:val="007D3A5F"/>
    <w:rsid w:val="007D43FA"/>
    <w:rsid w:val="007D7030"/>
    <w:rsid w:val="007D7F8A"/>
    <w:rsid w:val="007E367B"/>
    <w:rsid w:val="007E3A9B"/>
    <w:rsid w:val="007E585A"/>
    <w:rsid w:val="007E60D3"/>
    <w:rsid w:val="007E713C"/>
    <w:rsid w:val="007F1C70"/>
    <w:rsid w:val="007F29BD"/>
    <w:rsid w:val="007F43CA"/>
    <w:rsid w:val="007F43D6"/>
    <w:rsid w:val="008008FD"/>
    <w:rsid w:val="0080269C"/>
    <w:rsid w:val="00802FA0"/>
    <w:rsid w:val="00803675"/>
    <w:rsid w:val="00805693"/>
    <w:rsid w:val="0080740F"/>
    <w:rsid w:val="0081126B"/>
    <w:rsid w:val="0081304F"/>
    <w:rsid w:val="00813098"/>
    <w:rsid w:val="008151B9"/>
    <w:rsid w:val="0081588C"/>
    <w:rsid w:val="008220BA"/>
    <w:rsid w:val="008224E8"/>
    <w:rsid w:val="00822887"/>
    <w:rsid w:val="00823417"/>
    <w:rsid w:val="00823690"/>
    <w:rsid w:val="00825165"/>
    <w:rsid w:val="008259A5"/>
    <w:rsid w:val="00826452"/>
    <w:rsid w:val="00827792"/>
    <w:rsid w:val="00830935"/>
    <w:rsid w:val="0083223C"/>
    <w:rsid w:val="00832ED4"/>
    <w:rsid w:val="008333BB"/>
    <w:rsid w:val="008346D7"/>
    <w:rsid w:val="0083663C"/>
    <w:rsid w:val="00836B09"/>
    <w:rsid w:val="00837628"/>
    <w:rsid w:val="00843693"/>
    <w:rsid w:val="008445F8"/>
    <w:rsid w:val="008467CB"/>
    <w:rsid w:val="00846F62"/>
    <w:rsid w:val="00847409"/>
    <w:rsid w:val="008479BD"/>
    <w:rsid w:val="00851DD9"/>
    <w:rsid w:val="00852496"/>
    <w:rsid w:val="00853276"/>
    <w:rsid w:val="008538C7"/>
    <w:rsid w:val="00855E53"/>
    <w:rsid w:val="0085635D"/>
    <w:rsid w:val="008570A1"/>
    <w:rsid w:val="00857470"/>
    <w:rsid w:val="00867960"/>
    <w:rsid w:val="00867D20"/>
    <w:rsid w:val="00871606"/>
    <w:rsid w:val="00871A18"/>
    <w:rsid w:val="00873961"/>
    <w:rsid w:val="00875AED"/>
    <w:rsid w:val="00875E72"/>
    <w:rsid w:val="008805D0"/>
    <w:rsid w:val="0088185D"/>
    <w:rsid w:val="0088234B"/>
    <w:rsid w:val="00882B67"/>
    <w:rsid w:val="008849FA"/>
    <w:rsid w:val="00886AFC"/>
    <w:rsid w:val="0088785E"/>
    <w:rsid w:val="00887D3F"/>
    <w:rsid w:val="008913EB"/>
    <w:rsid w:val="00891C79"/>
    <w:rsid w:val="008922B4"/>
    <w:rsid w:val="008931C3"/>
    <w:rsid w:val="008963C8"/>
    <w:rsid w:val="00897CC7"/>
    <w:rsid w:val="008A25EA"/>
    <w:rsid w:val="008A2C81"/>
    <w:rsid w:val="008A403D"/>
    <w:rsid w:val="008A5199"/>
    <w:rsid w:val="008A5313"/>
    <w:rsid w:val="008A595D"/>
    <w:rsid w:val="008A5E47"/>
    <w:rsid w:val="008A7A75"/>
    <w:rsid w:val="008B00A0"/>
    <w:rsid w:val="008B1C5B"/>
    <w:rsid w:val="008B274B"/>
    <w:rsid w:val="008B5023"/>
    <w:rsid w:val="008C1305"/>
    <w:rsid w:val="008C162C"/>
    <w:rsid w:val="008C21BE"/>
    <w:rsid w:val="008C46CC"/>
    <w:rsid w:val="008D1061"/>
    <w:rsid w:val="008D1444"/>
    <w:rsid w:val="008D5DC9"/>
    <w:rsid w:val="008D623D"/>
    <w:rsid w:val="008E1192"/>
    <w:rsid w:val="008E1238"/>
    <w:rsid w:val="008E23CA"/>
    <w:rsid w:val="008E3117"/>
    <w:rsid w:val="008E31FA"/>
    <w:rsid w:val="008E3654"/>
    <w:rsid w:val="008E38F9"/>
    <w:rsid w:val="008E75B3"/>
    <w:rsid w:val="008E7FFE"/>
    <w:rsid w:val="008F13B9"/>
    <w:rsid w:val="008F1624"/>
    <w:rsid w:val="008F35E3"/>
    <w:rsid w:val="009012FD"/>
    <w:rsid w:val="00901CC5"/>
    <w:rsid w:val="00904B9E"/>
    <w:rsid w:val="00907551"/>
    <w:rsid w:val="00910A55"/>
    <w:rsid w:val="00912C49"/>
    <w:rsid w:val="00912D64"/>
    <w:rsid w:val="009202CC"/>
    <w:rsid w:val="009211F0"/>
    <w:rsid w:val="00921AF0"/>
    <w:rsid w:val="0092260E"/>
    <w:rsid w:val="00923D24"/>
    <w:rsid w:val="009241AA"/>
    <w:rsid w:val="00924342"/>
    <w:rsid w:val="009262F1"/>
    <w:rsid w:val="009263E1"/>
    <w:rsid w:val="00930459"/>
    <w:rsid w:val="00934A28"/>
    <w:rsid w:val="0093545F"/>
    <w:rsid w:val="00936A6A"/>
    <w:rsid w:val="009419A2"/>
    <w:rsid w:val="00941BC3"/>
    <w:rsid w:val="009437E2"/>
    <w:rsid w:val="00945F93"/>
    <w:rsid w:val="00946E1B"/>
    <w:rsid w:val="009520B2"/>
    <w:rsid w:val="00952762"/>
    <w:rsid w:val="009527E2"/>
    <w:rsid w:val="00953556"/>
    <w:rsid w:val="0095395A"/>
    <w:rsid w:val="00955E2D"/>
    <w:rsid w:val="009574BE"/>
    <w:rsid w:val="009617A9"/>
    <w:rsid w:val="00961C43"/>
    <w:rsid w:val="00961D45"/>
    <w:rsid w:val="00961F2A"/>
    <w:rsid w:val="00962D8C"/>
    <w:rsid w:val="0096327F"/>
    <w:rsid w:val="0096370E"/>
    <w:rsid w:val="00964F35"/>
    <w:rsid w:val="00965809"/>
    <w:rsid w:val="00966044"/>
    <w:rsid w:val="00966DF4"/>
    <w:rsid w:val="00967FE7"/>
    <w:rsid w:val="009712A2"/>
    <w:rsid w:val="0097218B"/>
    <w:rsid w:val="0097682A"/>
    <w:rsid w:val="009843FC"/>
    <w:rsid w:val="00985B5B"/>
    <w:rsid w:val="00990B4C"/>
    <w:rsid w:val="00994023"/>
    <w:rsid w:val="00994957"/>
    <w:rsid w:val="0099516C"/>
    <w:rsid w:val="00997E59"/>
    <w:rsid w:val="009A0854"/>
    <w:rsid w:val="009A18B6"/>
    <w:rsid w:val="009A1BB7"/>
    <w:rsid w:val="009A1E6C"/>
    <w:rsid w:val="009A3B6A"/>
    <w:rsid w:val="009B046E"/>
    <w:rsid w:val="009B57DE"/>
    <w:rsid w:val="009C1931"/>
    <w:rsid w:val="009C202A"/>
    <w:rsid w:val="009C4AD3"/>
    <w:rsid w:val="009C516E"/>
    <w:rsid w:val="009C5E53"/>
    <w:rsid w:val="009C7C7A"/>
    <w:rsid w:val="009D044C"/>
    <w:rsid w:val="009D10A0"/>
    <w:rsid w:val="009D22EF"/>
    <w:rsid w:val="009D26DF"/>
    <w:rsid w:val="009D3285"/>
    <w:rsid w:val="009D4244"/>
    <w:rsid w:val="009D4370"/>
    <w:rsid w:val="009D5E77"/>
    <w:rsid w:val="009D687A"/>
    <w:rsid w:val="009E063B"/>
    <w:rsid w:val="009E07D1"/>
    <w:rsid w:val="009E4FCC"/>
    <w:rsid w:val="009E54D1"/>
    <w:rsid w:val="009E6C15"/>
    <w:rsid w:val="009E710D"/>
    <w:rsid w:val="009F37AA"/>
    <w:rsid w:val="009F430D"/>
    <w:rsid w:val="009F5273"/>
    <w:rsid w:val="009F62BE"/>
    <w:rsid w:val="00A001E7"/>
    <w:rsid w:val="00A00652"/>
    <w:rsid w:val="00A01D3A"/>
    <w:rsid w:val="00A05B51"/>
    <w:rsid w:val="00A05BF2"/>
    <w:rsid w:val="00A06C77"/>
    <w:rsid w:val="00A110CB"/>
    <w:rsid w:val="00A1211C"/>
    <w:rsid w:val="00A123DA"/>
    <w:rsid w:val="00A12858"/>
    <w:rsid w:val="00A14D95"/>
    <w:rsid w:val="00A17C77"/>
    <w:rsid w:val="00A2283B"/>
    <w:rsid w:val="00A23162"/>
    <w:rsid w:val="00A2450A"/>
    <w:rsid w:val="00A26FDB"/>
    <w:rsid w:val="00A31034"/>
    <w:rsid w:val="00A32E3A"/>
    <w:rsid w:val="00A334CF"/>
    <w:rsid w:val="00A373FD"/>
    <w:rsid w:val="00A411E1"/>
    <w:rsid w:val="00A413D4"/>
    <w:rsid w:val="00A41803"/>
    <w:rsid w:val="00A42764"/>
    <w:rsid w:val="00A42FBC"/>
    <w:rsid w:val="00A4333E"/>
    <w:rsid w:val="00A4530C"/>
    <w:rsid w:val="00A45E2D"/>
    <w:rsid w:val="00A461BF"/>
    <w:rsid w:val="00A464C2"/>
    <w:rsid w:val="00A46750"/>
    <w:rsid w:val="00A46AD0"/>
    <w:rsid w:val="00A473D2"/>
    <w:rsid w:val="00A50057"/>
    <w:rsid w:val="00A50373"/>
    <w:rsid w:val="00A520F0"/>
    <w:rsid w:val="00A54A1A"/>
    <w:rsid w:val="00A555F6"/>
    <w:rsid w:val="00A6556F"/>
    <w:rsid w:val="00A6578C"/>
    <w:rsid w:val="00A65D76"/>
    <w:rsid w:val="00A66F73"/>
    <w:rsid w:val="00A70787"/>
    <w:rsid w:val="00A72972"/>
    <w:rsid w:val="00A72B15"/>
    <w:rsid w:val="00A740A6"/>
    <w:rsid w:val="00A76B84"/>
    <w:rsid w:val="00A76DBA"/>
    <w:rsid w:val="00A7716D"/>
    <w:rsid w:val="00A779AE"/>
    <w:rsid w:val="00A8044E"/>
    <w:rsid w:val="00A81368"/>
    <w:rsid w:val="00A815EF"/>
    <w:rsid w:val="00A81CBD"/>
    <w:rsid w:val="00A822F4"/>
    <w:rsid w:val="00A84D61"/>
    <w:rsid w:val="00A86497"/>
    <w:rsid w:val="00A869B0"/>
    <w:rsid w:val="00A926A5"/>
    <w:rsid w:val="00A932E8"/>
    <w:rsid w:val="00A93C5D"/>
    <w:rsid w:val="00A93EDF"/>
    <w:rsid w:val="00A94010"/>
    <w:rsid w:val="00AA3914"/>
    <w:rsid w:val="00AA3B99"/>
    <w:rsid w:val="00AA453F"/>
    <w:rsid w:val="00AA52AB"/>
    <w:rsid w:val="00AA5511"/>
    <w:rsid w:val="00AA6A1B"/>
    <w:rsid w:val="00AA6F1D"/>
    <w:rsid w:val="00AB1680"/>
    <w:rsid w:val="00AB38FF"/>
    <w:rsid w:val="00AB39DD"/>
    <w:rsid w:val="00AB5E7F"/>
    <w:rsid w:val="00AC1501"/>
    <w:rsid w:val="00AC1F0F"/>
    <w:rsid w:val="00AC74BA"/>
    <w:rsid w:val="00AD0378"/>
    <w:rsid w:val="00AD0B11"/>
    <w:rsid w:val="00AD0C15"/>
    <w:rsid w:val="00AD1FA3"/>
    <w:rsid w:val="00AD264B"/>
    <w:rsid w:val="00AD4DEF"/>
    <w:rsid w:val="00AD5D84"/>
    <w:rsid w:val="00AD7034"/>
    <w:rsid w:val="00AD75F1"/>
    <w:rsid w:val="00AE1557"/>
    <w:rsid w:val="00AE2562"/>
    <w:rsid w:val="00AE2C32"/>
    <w:rsid w:val="00AE450D"/>
    <w:rsid w:val="00AE4925"/>
    <w:rsid w:val="00AE7409"/>
    <w:rsid w:val="00AF14EF"/>
    <w:rsid w:val="00AF274E"/>
    <w:rsid w:val="00AF3B75"/>
    <w:rsid w:val="00AF44D6"/>
    <w:rsid w:val="00AF6AB6"/>
    <w:rsid w:val="00AF7454"/>
    <w:rsid w:val="00B0079E"/>
    <w:rsid w:val="00B00807"/>
    <w:rsid w:val="00B02BB5"/>
    <w:rsid w:val="00B0436A"/>
    <w:rsid w:val="00B04A20"/>
    <w:rsid w:val="00B051C5"/>
    <w:rsid w:val="00B053CB"/>
    <w:rsid w:val="00B062D1"/>
    <w:rsid w:val="00B1229A"/>
    <w:rsid w:val="00B13CFD"/>
    <w:rsid w:val="00B17372"/>
    <w:rsid w:val="00B17AF7"/>
    <w:rsid w:val="00B22095"/>
    <w:rsid w:val="00B23D50"/>
    <w:rsid w:val="00B24200"/>
    <w:rsid w:val="00B252E2"/>
    <w:rsid w:val="00B26D8A"/>
    <w:rsid w:val="00B3136E"/>
    <w:rsid w:val="00B31AC5"/>
    <w:rsid w:val="00B33B46"/>
    <w:rsid w:val="00B34488"/>
    <w:rsid w:val="00B35A6A"/>
    <w:rsid w:val="00B36497"/>
    <w:rsid w:val="00B40833"/>
    <w:rsid w:val="00B40AB0"/>
    <w:rsid w:val="00B40B36"/>
    <w:rsid w:val="00B41705"/>
    <w:rsid w:val="00B431D4"/>
    <w:rsid w:val="00B4463A"/>
    <w:rsid w:val="00B456AC"/>
    <w:rsid w:val="00B46B3D"/>
    <w:rsid w:val="00B478CE"/>
    <w:rsid w:val="00B508DF"/>
    <w:rsid w:val="00B519AA"/>
    <w:rsid w:val="00B528C7"/>
    <w:rsid w:val="00B52C7A"/>
    <w:rsid w:val="00B53617"/>
    <w:rsid w:val="00B5468C"/>
    <w:rsid w:val="00B5580C"/>
    <w:rsid w:val="00B61A54"/>
    <w:rsid w:val="00B62613"/>
    <w:rsid w:val="00B66EA6"/>
    <w:rsid w:val="00B702EE"/>
    <w:rsid w:val="00B7039B"/>
    <w:rsid w:val="00B72684"/>
    <w:rsid w:val="00B735EC"/>
    <w:rsid w:val="00B73758"/>
    <w:rsid w:val="00B74A6C"/>
    <w:rsid w:val="00B756E3"/>
    <w:rsid w:val="00B7621C"/>
    <w:rsid w:val="00B76B29"/>
    <w:rsid w:val="00B77B6C"/>
    <w:rsid w:val="00B77DF1"/>
    <w:rsid w:val="00B80E8C"/>
    <w:rsid w:val="00B82B88"/>
    <w:rsid w:val="00B8459B"/>
    <w:rsid w:val="00B864AF"/>
    <w:rsid w:val="00B86575"/>
    <w:rsid w:val="00B87E0C"/>
    <w:rsid w:val="00B90226"/>
    <w:rsid w:val="00B90953"/>
    <w:rsid w:val="00B9098D"/>
    <w:rsid w:val="00B90EF4"/>
    <w:rsid w:val="00B90FF3"/>
    <w:rsid w:val="00B92CA2"/>
    <w:rsid w:val="00B93FF0"/>
    <w:rsid w:val="00B9788C"/>
    <w:rsid w:val="00BA2724"/>
    <w:rsid w:val="00BA2EDB"/>
    <w:rsid w:val="00BA4B80"/>
    <w:rsid w:val="00BA54AF"/>
    <w:rsid w:val="00BA6E15"/>
    <w:rsid w:val="00BA702A"/>
    <w:rsid w:val="00BB18C4"/>
    <w:rsid w:val="00BB3150"/>
    <w:rsid w:val="00BB44E3"/>
    <w:rsid w:val="00BB5094"/>
    <w:rsid w:val="00BB7406"/>
    <w:rsid w:val="00BC65D2"/>
    <w:rsid w:val="00BC7047"/>
    <w:rsid w:val="00BC7A56"/>
    <w:rsid w:val="00BD0113"/>
    <w:rsid w:val="00BD085D"/>
    <w:rsid w:val="00BD1227"/>
    <w:rsid w:val="00BD1D27"/>
    <w:rsid w:val="00BD5323"/>
    <w:rsid w:val="00BD6320"/>
    <w:rsid w:val="00BD73BE"/>
    <w:rsid w:val="00BE0447"/>
    <w:rsid w:val="00BE051C"/>
    <w:rsid w:val="00BE0E2E"/>
    <w:rsid w:val="00BE40B9"/>
    <w:rsid w:val="00BE5B0A"/>
    <w:rsid w:val="00BE61E3"/>
    <w:rsid w:val="00BE63FC"/>
    <w:rsid w:val="00BE7A12"/>
    <w:rsid w:val="00BF30E1"/>
    <w:rsid w:val="00BF346B"/>
    <w:rsid w:val="00C00238"/>
    <w:rsid w:val="00C006E9"/>
    <w:rsid w:val="00C01D07"/>
    <w:rsid w:val="00C034A7"/>
    <w:rsid w:val="00C05E39"/>
    <w:rsid w:val="00C06841"/>
    <w:rsid w:val="00C1067C"/>
    <w:rsid w:val="00C11744"/>
    <w:rsid w:val="00C13DA3"/>
    <w:rsid w:val="00C147C9"/>
    <w:rsid w:val="00C14858"/>
    <w:rsid w:val="00C14BD9"/>
    <w:rsid w:val="00C14F99"/>
    <w:rsid w:val="00C1702A"/>
    <w:rsid w:val="00C1779A"/>
    <w:rsid w:val="00C213DB"/>
    <w:rsid w:val="00C2253E"/>
    <w:rsid w:val="00C2280D"/>
    <w:rsid w:val="00C2402F"/>
    <w:rsid w:val="00C27ECE"/>
    <w:rsid w:val="00C27EEB"/>
    <w:rsid w:val="00C30055"/>
    <w:rsid w:val="00C31C75"/>
    <w:rsid w:val="00C3219C"/>
    <w:rsid w:val="00C33D80"/>
    <w:rsid w:val="00C4046F"/>
    <w:rsid w:val="00C41730"/>
    <w:rsid w:val="00C41A11"/>
    <w:rsid w:val="00C427AA"/>
    <w:rsid w:val="00C42A9A"/>
    <w:rsid w:val="00C456C8"/>
    <w:rsid w:val="00C46315"/>
    <w:rsid w:val="00C472F9"/>
    <w:rsid w:val="00C5089E"/>
    <w:rsid w:val="00C53476"/>
    <w:rsid w:val="00C5396C"/>
    <w:rsid w:val="00C57243"/>
    <w:rsid w:val="00C65496"/>
    <w:rsid w:val="00C663E1"/>
    <w:rsid w:val="00C67A4B"/>
    <w:rsid w:val="00C70C8A"/>
    <w:rsid w:val="00C70D99"/>
    <w:rsid w:val="00C71C95"/>
    <w:rsid w:val="00C72088"/>
    <w:rsid w:val="00C722E1"/>
    <w:rsid w:val="00C724D1"/>
    <w:rsid w:val="00C7275A"/>
    <w:rsid w:val="00C7327A"/>
    <w:rsid w:val="00C7454D"/>
    <w:rsid w:val="00C764A4"/>
    <w:rsid w:val="00C80497"/>
    <w:rsid w:val="00C804E4"/>
    <w:rsid w:val="00C806A0"/>
    <w:rsid w:val="00C80CE7"/>
    <w:rsid w:val="00C81037"/>
    <w:rsid w:val="00C816F2"/>
    <w:rsid w:val="00C8236D"/>
    <w:rsid w:val="00C8486A"/>
    <w:rsid w:val="00C85258"/>
    <w:rsid w:val="00C871CF"/>
    <w:rsid w:val="00C9155E"/>
    <w:rsid w:val="00C9156D"/>
    <w:rsid w:val="00C94071"/>
    <w:rsid w:val="00C970F9"/>
    <w:rsid w:val="00CA045E"/>
    <w:rsid w:val="00CA1680"/>
    <w:rsid w:val="00CA46DC"/>
    <w:rsid w:val="00CA4E8F"/>
    <w:rsid w:val="00CA6C25"/>
    <w:rsid w:val="00CB0346"/>
    <w:rsid w:val="00CB0AB4"/>
    <w:rsid w:val="00CB1B7A"/>
    <w:rsid w:val="00CB34F0"/>
    <w:rsid w:val="00CB45E3"/>
    <w:rsid w:val="00CB4A65"/>
    <w:rsid w:val="00CB56F8"/>
    <w:rsid w:val="00CB5A0E"/>
    <w:rsid w:val="00CB5F2A"/>
    <w:rsid w:val="00CB7B61"/>
    <w:rsid w:val="00CC0248"/>
    <w:rsid w:val="00CC07F7"/>
    <w:rsid w:val="00CC2F36"/>
    <w:rsid w:val="00CC3EF2"/>
    <w:rsid w:val="00CC4EC3"/>
    <w:rsid w:val="00CC7703"/>
    <w:rsid w:val="00CD0134"/>
    <w:rsid w:val="00CD0B9D"/>
    <w:rsid w:val="00CD1F05"/>
    <w:rsid w:val="00CD253C"/>
    <w:rsid w:val="00CD2E04"/>
    <w:rsid w:val="00CD3852"/>
    <w:rsid w:val="00CD3CD2"/>
    <w:rsid w:val="00CD3E66"/>
    <w:rsid w:val="00CD48EA"/>
    <w:rsid w:val="00CD71E1"/>
    <w:rsid w:val="00CE02A4"/>
    <w:rsid w:val="00CE15D3"/>
    <w:rsid w:val="00CE1F52"/>
    <w:rsid w:val="00CE326E"/>
    <w:rsid w:val="00CE4973"/>
    <w:rsid w:val="00CE4D1E"/>
    <w:rsid w:val="00CF20EC"/>
    <w:rsid w:val="00CF2671"/>
    <w:rsid w:val="00CF5396"/>
    <w:rsid w:val="00CF62A2"/>
    <w:rsid w:val="00CF7707"/>
    <w:rsid w:val="00D01C10"/>
    <w:rsid w:val="00D01C8E"/>
    <w:rsid w:val="00D03D2F"/>
    <w:rsid w:val="00D04AED"/>
    <w:rsid w:val="00D05B36"/>
    <w:rsid w:val="00D0700D"/>
    <w:rsid w:val="00D07975"/>
    <w:rsid w:val="00D11812"/>
    <w:rsid w:val="00D120A3"/>
    <w:rsid w:val="00D139F6"/>
    <w:rsid w:val="00D14BD2"/>
    <w:rsid w:val="00D14E2F"/>
    <w:rsid w:val="00D159B0"/>
    <w:rsid w:val="00D15B9D"/>
    <w:rsid w:val="00D169AA"/>
    <w:rsid w:val="00D16EC5"/>
    <w:rsid w:val="00D17105"/>
    <w:rsid w:val="00D228ED"/>
    <w:rsid w:val="00D22E91"/>
    <w:rsid w:val="00D25728"/>
    <w:rsid w:val="00D25933"/>
    <w:rsid w:val="00D26ABB"/>
    <w:rsid w:val="00D26D1D"/>
    <w:rsid w:val="00D30750"/>
    <w:rsid w:val="00D3103A"/>
    <w:rsid w:val="00D33347"/>
    <w:rsid w:val="00D34827"/>
    <w:rsid w:val="00D359FD"/>
    <w:rsid w:val="00D43EAA"/>
    <w:rsid w:val="00D44438"/>
    <w:rsid w:val="00D464B7"/>
    <w:rsid w:val="00D46575"/>
    <w:rsid w:val="00D47321"/>
    <w:rsid w:val="00D50A2B"/>
    <w:rsid w:val="00D52561"/>
    <w:rsid w:val="00D535FC"/>
    <w:rsid w:val="00D56BD0"/>
    <w:rsid w:val="00D57051"/>
    <w:rsid w:val="00D634F3"/>
    <w:rsid w:val="00D64515"/>
    <w:rsid w:val="00D64A93"/>
    <w:rsid w:val="00D65C4F"/>
    <w:rsid w:val="00D66852"/>
    <w:rsid w:val="00D6717B"/>
    <w:rsid w:val="00D70FAC"/>
    <w:rsid w:val="00D74B43"/>
    <w:rsid w:val="00D762D4"/>
    <w:rsid w:val="00D76A47"/>
    <w:rsid w:val="00D80C99"/>
    <w:rsid w:val="00D80CE3"/>
    <w:rsid w:val="00D83A25"/>
    <w:rsid w:val="00D84341"/>
    <w:rsid w:val="00D84E52"/>
    <w:rsid w:val="00D90625"/>
    <w:rsid w:val="00D918D0"/>
    <w:rsid w:val="00D96C90"/>
    <w:rsid w:val="00DA01ED"/>
    <w:rsid w:val="00DA16E9"/>
    <w:rsid w:val="00DA1738"/>
    <w:rsid w:val="00DA4A93"/>
    <w:rsid w:val="00DA63DA"/>
    <w:rsid w:val="00DA7DA0"/>
    <w:rsid w:val="00DB117E"/>
    <w:rsid w:val="00DB2DD7"/>
    <w:rsid w:val="00DB3934"/>
    <w:rsid w:val="00DB4F1F"/>
    <w:rsid w:val="00DB64A1"/>
    <w:rsid w:val="00DB7C94"/>
    <w:rsid w:val="00DC3953"/>
    <w:rsid w:val="00DC4449"/>
    <w:rsid w:val="00DC46FB"/>
    <w:rsid w:val="00DC51D4"/>
    <w:rsid w:val="00DC558A"/>
    <w:rsid w:val="00DC5D3D"/>
    <w:rsid w:val="00DC71AC"/>
    <w:rsid w:val="00DC777D"/>
    <w:rsid w:val="00DD32D0"/>
    <w:rsid w:val="00DD5096"/>
    <w:rsid w:val="00DD6FB8"/>
    <w:rsid w:val="00DE0BFB"/>
    <w:rsid w:val="00DE0CFF"/>
    <w:rsid w:val="00DE1E93"/>
    <w:rsid w:val="00DE413A"/>
    <w:rsid w:val="00DE429D"/>
    <w:rsid w:val="00DE70B2"/>
    <w:rsid w:val="00DF1E41"/>
    <w:rsid w:val="00DF3904"/>
    <w:rsid w:val="00DF40A5"/>
    <w:rsid w:val="00DF434F"/>
    <w:rsid w:val="00DF5762"/>
    <w:rsid w:val="00DF7C92"/>
    <w:rsid w:val="00E002A4"/>
    <w:rsid w:val="00E01208"/>
    <w:rsid w:val="00E016A5"/>
    <w:rsid w:val="00E047CB"/>
    <w:rsid w:val="00E062BA"/>
    <w:rsid w:val="00E0718F"/>
    <w:rsid w:val="00E0719A"/>
    <w:rsid w:val="00E12D89"/>
    <w:rsid w:val="00E12F57"/>
    <w:rsid w:val="00E20DC7"/>
    <w:rsid w:val="00E226FF"/>
    <w:rsid w:val="00E23261"/>
    <w:rsid w:val="00E273D2"/>
    <w:rsid w:val="00E27956"/>
    <w:rsid w:val="00E3130A"/>
    <w:rsid w:val="00E31513"/>
    <w:rsid w:val="00E34270"/>
    <w:rsid w:val="00E369A7"/>
    <w:rsid w:val="00E37033"/>
    <w:rsid w:val="00E40D4D"/>
    <w:rsid w:val="00E41D4B"/>
    <w:rsid w:val="00E42FF2"/>
    <w:rsid w:val="00E450B0"/>
    <w:rsid w:val="00E453C0"/>
    <w:rsid w:val="00E458A2"/>
    <w:rsid w:val="00E45A7B"/>
    <w:rsid w:val="00E4605F"/>
    <w:rsid w:val="00E47952"/>
    <w:rsid w:val="00E50A7F"/>
    <w:rsid w:val="00E511B1"/>
    <w:rsid w:val="00E518DA"/>
    <w:rsid w:val="00E524C9"/>
    <w:rsid w:val="00E556D9"/>
    <w:rsid w:val="00E55ACC"/>
    <w:rsid w:val="00E575A5"/>
    <w:rsid w:val="00E602DB"/>
    <w:rsid w:val="00E608F4"/>
    <w:rsid w:val="00E62468"/>
    <w:rsid w:val="00E62A7E"/>
    <w:rsid w:val="00E63594"/>
    <w:rsid w:val="00E642D8"/>
    <w:rsid w:val="00E65390"/>
    <w:rsid w:val="00E6780E"/>
    <w:rsid w:val="00E7236A"/>
    <w:rsid w:val="00E72A2D"/>
    <w:rsid w:val="00E749C2"/>
    <w:rsid w:val="00E75875"/>
    <w:rsid w:val="00E769DA"/>
    <w:rsid w:val="00E77DF0"/>
    <w:rsid w:val="00E84929"/>
    <w:rsid w:val="00E84DCF"/>
    <w:rsid w:val="00E85381"/>
    <w:rsid w:val="00E872A1"/>
    <w:rsid w:val="00E918DC"/>
    <w:rsid w:val="00E92340"/>
    <w:rsid w:val="00E92CCC"/>
    <w:rsid w:val="00E9704B"/>
    <w:rsid w:val="00EA0BAD"/>
    <w:rsid w:val="00EA23BA"/>
    <w:rsid w:val="00EA2C7C"/>
    <w:rsid w:val="00EA2CA3"/>
    <w:rsid w:val="00EA333E"/>
    <w:rsid w:val="00EA54DB"/>
    <w:rsid w:val="00EA6C20"/>
    <w:rsid w:val="00EB1F1C"/>
    <w:rsid w:val="00EB438C"/>
    <w:rsid w:val="00EB4A0C"/>
    <w:rsid w:val="00EB7B92"/>
    <w:rsid w:val="00EC126E"/>
    <w:rsid w:val="00EC17A8"/>
    <w:rsid w:val="00EC481D"/>
    <w:rsid w:val="00EC7602"/>
    <w:rsid w:val="00EC76C7"/>
    <w:rsid w:val="00ED0B01"/>
    <w:rsid w:val="00ED0E7C"/>
    <w:rsid w:val="00ED1112"/>
    <w:rsid w:val="00ED35E8"/>
    <w:rsid w:val="00ED48DD"/>
    <w:rsid w:val="00ED5763"/>
    <w:rsid w:val="00ED7DF3"/>
    <w:rsid w:val="00ED7ECB"/>
    <w:rsid w:val="00EE0440"/>
    <w:rsid w:val="00EE12EA"/>
    <w:rsid w:val="00EE149A"/>
    <w:rsid w:val="00EF137E"/>
    <w:rsid w:val="00EF30E1"/>
    <w:rsid w:val="00EF4884"/>
    <w:rsid w:val="00EF5EE9"/>
    <w:rsid w:val="00F0416C"/>
    <w:rsid w:val="00F0710E"/>
    <w:rsid w:val="00F100BB"/>
    <w:rsid w:val="00F109B2"/>
    <w:rsid w:val="00F12326"/>
    <w:rsid w:val="00F1381C"/>
    <w:rsid w:val="00F1504E"/>
    <w:rsid w:val="00F15A59"/>
    <w:rsid w:val="00F2242A"/>
    <w:rsid w:val="00F250DF"/>
    <w:rsid w:val="00F26CD2"/>
    <w:rsid w:val="00F27721"/>
    <w:rsid w:val="00F27863"/>
    <w:rsid w:val="00F3071D"/>
    <w:rsid w:val="00F32366"/>
    <w:rsid w:val="00F33ED0"/>
    <w:rsid w:val="00F3458A"/>
    <w:rsid w:val="00F34A50"/>
    <w:rsid w:val="00F34BE0"/>
    <w:rsid w:val="00F421B1"/>
    <w:rsid w:val="00F43130"/>
    <w:rsid w:val="00F4412E"/>
    <w:rsid w:val="00F446C6"/>
    <w:rsid w:val="00F447D6"/>
    <w:rsid w:val="00F44A2B"/>
    <w:rsid w:val="00F44FFF"/>
    <w:rsid w:val="00F53230"/>
    <w:rsid w:val="00F57097"/>
    <w:rsid w:val="00F623BB"/>
    <w:rsid w:val="00F64307"/>
    <w:rsid w:val="00F66291"/>
    <w:rsid w:val="00F67605"/>
    <w:rsid w:val="00F7020E"/>
    <w:rsid w:val="00F71F25"/>
    <w:rsid w:val="00F82ABB"/>
    <w:rsid w:val="00F83554"/>
    <w:rsid w:val="00F848FC"/>
    <w:rsid w:val="00F86082"/>
    <w:rsid w:val="00F93956"/>
    <w:rsid w:val="00F9399B"/>
    <w:rsid w:val="00F9411B"/>
    <w:rsid w:val="00F94166"/>
    <w:rsid w:val="00F9508F"/>
    <w:rsid w:val="00F96276"/>
    <w:rsid w:val="00F972A1"/>
    <w:rsid w:val="00FA063E"/>
    <w:rsid w:val="00FA1AE2"/>
    <w:rsid w:val="00FA20D7"/>
    <w:rsid w:val="00FA2282"/>
    <w:rsid w:val="00FA7268"/>
    <w:rsid w:val="00FA7DDF"/>
    <w:rsid w:val="00FB20D0"/>
    <w:rsid w:val="00FB2E81"/>
    <w:rsid w:val="00FB49A7"/>
    <w:rsid w:val="00FC0675"/>
    <w:rsid w:val="00FC47C0"/>
    <w:rsid w:val="00FD275A"/>
    <w:rsid w:val="00FD2BF4"/>
    <w:rsid w:val="00FD35DD"/>
    <w:rsid w:val="00FD4512"/>
    <w:rsid w:val="00FD49A0"/>
    <w:rsid w:val="00FD74DC"/>
    <w:rsid w:val="00FE0ED3"/>
    <w:rsid w:val="00FE0F25"/>
    <w:rsid w:val="00FE156B"/>
    <w:rsid w:val="00FE553B"/>
    <w:rsid w:val="00FE55EB"/>
    <w:rsid w:val="00FE68EE"/>
    <w:rsid w:val="00FF006A"/>
    <w:rsid w:val="00FF1220"/>
    <w:rsid w:val="00FF1E66"/>
    <w:rsid w:val="00FF2965"/>
    <w:rsid w:val="00FF5F40"/>
    <w:rsid w:val="00FF60CC"/>
    <w:rsid w:val="0609D2D5"/>
    <w:rsid w:val="0EA31633"/>
    <w:rsid w:val="15D45BAF"/>
    <w:rsid w:val="1AE3C1FB"/>
    <w:rsid w:val="1D9CC396"/>
    <w:rsid w:val="1E2DB07D"/>
    <w:rsid w:val="1E63E3C2"/>
    <w:rsid w:val="1E8E2336"/>
    <w:rsid w:val="2092C19E"/>
    <w:rsid w:val="2314EECE"/>
    <w:rsid w:val="254B5CD4"/>
    <w:rsid w:val="27ACC2E4"/>
    <w:rsid w:val="300E8D72"/>
    <w:rsid w:val="38426684"/>
    <w:rsid w:val="39A2A0F7"/>
    <w:rsid w:val="3A55B558"/>
    <w:rsid w:val="471E983C"/>
    <w:rsid w:val="49F8D74A"/>
    <w:rsid w:val="4E8245C2"/>
    <w:rsid w:val="4E99AD10"/>
    <w:rsid w:val="5B3511C6"/>
    <w:rsid w:val="66561C03"/>
    <w:rsid w:val="6B1F290F"/>
    <w:rsid w:val="6BE202CB"/>
    <w:rsid w:val="724C7D02"/>
    <w:rsid w:val="76040189"/>
    <w:rsid w:val="7AC0777C"/>
    <w:rsid w:val="7CF4E399"/>
    <w:rsid w:val="7D4ED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956A0"/>
  <w15:chartTrackingRefBased/>
  <w15:docId w15:val="{72A5727C-E003-4D3C-AA51-411E1226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43EAA"/>
    <w:pPr>
      <w:keepNext/>
      <w:jc w:val="center"/>
      <w:outlineLvl w:val="0"/>
    </w:pPr>
    <w:rPr>
      <w:rFonts w:ascii="Arial" w:hAnsi="Arial"/>
      <w:b/>
      <w:bC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3EAA"/>
    <w:pPr>
      <w:jc w:val="center"/>
    </w:pPr>
    <w:rPr>
      <w:rFonts w:ascii="Arial" w:hAnsi="Arial"/>
      <w:b/>
      <w:bCs/>
      <w:sz w:val="32"/>
      <w:lang w:eastAsia="en-US"/>
    </w:rPr>
  </w:style>
  <w:style w:type="paragraph" w:styleId="Footer">
    <w:name w:val="footer"/>
    <w:basedOn w:val="Normal"/>
    <w:rsid w:val="00D43EAA"/>
    <w:pPr>
      <w:tabs>
        <w:tab w:val="center" w:pos="4153"/>
        <w:tab w:val="right" w:pos="8306"/>
      </w:tabs>
    </w:pPr>
    <w:rPr>
      <w:spacing w:val="-3"/>
      <w:szCs w:val="20"/>
      <w:lang w:eastAsia="en-US"/>
    </w:rPr>
  </w:style>
  <w:style w:type="paragraph" w:styleId="Header">
    <w:name w:val="header"/>
    <w:basedOn w:val="Normal"/>
    <w:rsid w:val="00D43EAA"/>
    <w:pPr>
      <w:tabs>
        <w:tab w:val="center" w:pos="4153"/>
        <w:tab w:val="right" w:pos="8306"/>
      </w:tabs>
    </w:pPr>
  </w:style>
  <w:style w:type="character" w:styleId="PageNumber">
    <w:name w:val="page number"/>
    <w:basedOn w:val="DefaultParagraphFont"/>
    <w:rsid w:val="00D43EAA"/>
  </w:style>
  <w:style w:type="table" w:styleId="TableGrid">
    <w:name w:val="Table Grid"/>
    <w:basedOn w:val="TableNormal"/>
    <w:rsid w:val="0072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next w:val="Normal"/>
    <w:rsid w:val="000927B4"/>
    <w:pPr>
      <w:autoSpaceDE w:val="0"/>
      <w:autoSpaceDN w:val="0"/>
      <w:adjustRightInd w:val="0"/>
    </w:pPr>
    <w:rPr>
      <w:rFonts w:ascii="Verdana" w:hAnsi="Verdana"/>
      <w:lang w:val="en-US" w:eastAsia="en-US"/>
    </w:rPr>
  </w:style>
  <w:style w:type="paragraph" w:styleId="FootnoteText">
    <w:name w:val="footnote text"/>
    <w:basedOn w:val="Normal"/>
    <w:semiHidden/>
    <w:rsid w:val="000927B4"/>
    <w:rPr>
      <w:rFonts w:ascii="ZapfHumnst BT" w:hAnsi="ZapfHumnst BT"/>
      <w:sz w:val="20"/>
      <w:szCs w:val="20"/>
      <w:lang w:eastAsia="en-US"/>
    </w:rPr>
  </w:style>
  <w:style w:type="character" w:styleId="FootnoteReference">
    <w:name w:val="footnote reference"/>
    <w:semiHidden/>
    <w:rsid w:val="000927B4"/>
    <w:rPr>
      <w:vertAlign w:val="superscript"/>
    </w:rPr>
  </w:style>
  <w:style w:type="paragraph" w:customStyle="1" w:styleId="Default">
    <w:name w:val="Default"/>
    <w:rsid w:val="00D14E2F"/>
    <w:pPr>
      <w:autoSpaceDE w:val="0"/>
      <w:autoSpaceDN w:val="0"/>
      <w:adjustRightInd w:val="0"/>
    </w:pPr>
    <w:rPr>
      <w:color w:val="000000"/>
      <w:sz w:val="24"/>
      <w:szCs w:val="24"/>
    </w:rPr>
  </w:style>
  <w:style w:type="paragraph" w:styleId="ListParagraph">
    <w:name w:val="List Paragraph"/>
    <w:basedOn w:val="Normal"/>
    <w:uiPriority w:val="34"/>
    <w:qFormat/>
    <w:rsid w:val="00A00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872a79b5-d9d6-4593-a8a7-149981f7045e" xsi:nil="true"/>
    <_ip_UnifiedCompliancePolicyUIAction xmlns="http://schemas.microsoft.com/sharepoint/v3" xsi:nil="true"/>
    <_ip_UnifiedCompliancePolicyProperties xmlns="http://schemas.microsoft.com/sharepoint/v3" xsi:nil="true"/>
    <lcf76f155ced4ddcb4097134ff3c332f xmlns="872a79b5-d9d6-4593-a8a7-149981f7045e">
      <Terms xmlns="http://schemas.microsoft.com/office/infopath/2007/PartnerControls"/>
    </lcf76f155ced4ddcb4097134ff3c332f>
    <TaxCatchAll xmlns="2520a3a8-e6dc-4611-b3d5-a302db2a6b5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799E0FD73D3E4D84862663A4D33FCE" ma:contentTypeVersion="29" ma:contentTypeDescription="Create a new document." ma:contentTypeScope="" ma:versionID="0c527e1487db5b2ccc963be3a5131ecc">
  <xsd:schema xmlns:xsd="http://www.w3.org/2001/XMLSchema" xmlns:xs="http://www.w3.org/2001/XMLSchema" xmlns:p="http://schemas.microsoft.com/office/2006/metadata/properties" xmlns:ns1="http://schemas.microsoft.com/sharepoint/v3" xmlns:ns2="872a79b5-d9d6-4593-a8a7-149981f7045e" xmlns:ns3="2520a3a8-e6dc-4611-b3d5-a302db2a6b56" targetNamespace="http://schemas.microsoft.com/office/2006/metadata/properties" ma:root="true" ma:fieldsID="45738d5f2ef700d40c00a500427c3957" ns1:_="" ns2:_="" ns3:_="">
    <xsd:import namespace="http://schemas.microsoft.com/sharepoint/v3"/>
    <xsd:import namespace="872a79b5-d9d6-4593-a8a7-149981f7045e"/>
    <xsd:import namespace="2520a3a8-e6dc-4611-b3d5-a302db2a6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ocation" minOccurs="0"/>
                <xsd:element ref="ns2:e2cc5988-1fd5-414a-8d74-38cbf33f3316CountryOrRegion" minOccurs="0"/>
                <xsd:element ref="ns2:e2cc5988-1fd5-414a-8d74-38cbf33f3316State" minOccurs="0"/>
                <xsd:element ref="ns2:e2cc5988-1fd5-414a-8d74-38cbf33f3316City" minOccurs="0"/>
                <xsd:element ref="ns2:e2cc5988-1fd5-414a-8d74-38cbf33f3316PostalCode" minOccurs="0"/>
                <xsd:element ref="ns2:e2cc5988-1fd5-414a-8d74-38cbf33f3316Street" minOccurs="0"/>
                <xsd:element ref="ns2:e2cc5988-1fd5-414a-8d74-38cbf33f3316GeoLoc" minOccurs="0"/>
                <xsd:element ref="ns2:e2cc5988-1fd5-414a-8d74-38cbf33f3316DispNam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a79b5-d9d6-4593-a8a7-149981f70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ocation" ma:index="12" nillable="true" ma:displayName="location" ma:format="Dropdown" ma:internalName="location">
      <xsd:simpleType>
        <xsd:restriction base="dms:Unknown"/>
      </xsd:simpleType>
    </xsd:element>
    <xsd:element name="e2cc5988-1fd5-414a-8d74-38cbf33f3316CountryOrRegion" ma:index="13" nillable="true" ma:displayName="location: Country/Region" ma:internalName="CountryOrRegion" ma:readOnly="true">
      <xsd:simpleType>
        <xsd:restriction base="dms:Text"/>
      </xsd:simpleType>
    </xsd:element>
    <xsd:element name="e2cc5988-1fd5-414a-8d74-38cbf33f3316State" ma:index="14" nillable="true" ma:displayName="location: State" ma:internalName="State" ma:readOnly="true">
      <xsd:simpleType>
        <xsd:restriction base="dms:Text"/>
      </xsd:simpleType>
    </xsd:element>
    <xsd:element name="e2cc5988-1fd5-414a-8d74-38cbf33f3316City" ma:index="15" nillable="true" ma:displayName="location: City" ma:internalName="City" ma:readOnly="true">
      <xsd:simpleType>
        <xsd:restriction base="dms:Text"/>
      </xsd:simpleType>
    </xsd:element>
    <xsd:element name="e2cc5988-1fd5-414a-8d74-38cbf33f3316PostalCode" ma:index="16" nillable="true" ma:displayName="location: Postal Code" ma:internalName="PostalCode" ma:readOnly="true">
      <xsd:simpleType>
        <xsd:restriction base="dms:Text"/>
      </xsd:simpleType>
    </xsd:element>
    <xsd:element name="e2cc5988-1fd5-414a-8d74-38cbf33f3316Street" ma:index="17" nillable="true" ma:displayName="location: Street" ma:internalName="Street" ma:readOnly="true">
      <xsd:simpleType>
        <xsd:restriction base="dms:Text"/>
      </xsd:simpleType>
    </xsd:element>
    <xsd:element name="e2cc5988-1fd5-414a-8d74-38cbf33f3316GeoLoc" ma:index="18" nillable="true" ma:displayName="location: Coordinates" ma:internalName="GeoLoc" ma:readOnly="true">
      <xsd:simpleType>
        <xsd:restriction base="dms:Unknown"/>
      </xsd:simpleType>
    </xsd:element>
    <xsd:element name="e2cc5988-1fd5-414a-8d74-38cbf33f3316DispName" ma:index="19" nillable="true" ma:displayName="location: Name" ma:internalName="DispNa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8ba0e65-2c90-4787-ac70-332a6a7478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0a3a8-e6dc-4611-b3d5-a302db2a6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8afd9c5f-7bbf-49bb-b74a-6c96a817ca0a}" ma:internalName="TaxCatchAll" ma:showField="CatchAllData" ma:web="2520a3a8-e6dc-4611-b3d5-a302db2a6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41C5D-6BC2-4A8C-A245-A19FC1C2369E}">
  <ds:schemaRefs>
    <ds:schemaRef ds:uri="http://schemas.microsoft.com/office/2006/metadata/properties"/>
    <ds:schemaRef ds:uri="http://schemas.microsoft.com/office/infopath/2007/PartnerControls"/>
    <ds:schemaRef ds:uri="872a79b5-d9d6-4593-a8a7-149981f7045e"/>
    <ds:schemaRef ds:uri="http://schemas.microsoft.com/sharepoint/v3"/>
    <ds:schemaRef ds:uri="2520a3a8-e6dc-4611-b3d5-a302db2a6b56"/>
  </ds:schemaRefs>
</ds:datastoreItem>
</file>

<file path=customXml/itemProps2.xml><?xml version="1.0" encoding="utf-8"?>
<ds:datastoreItem xmlns:ds="http://schemas.openxmlformats.org/officeDocument/2006/customXml" ds:itemID="{626C200E-C538-4670-86B2-79DE54CB9EC8}">
  <ds:schemaRefs>
    <ds:schemaRef ds:uri="http://schemas.microsoft.com/office/2006/metadata/longProperties"/>
  </ds:schemaRefs>
</ds:datastoreItem>
</file>

<file path=customXml/itemProps3.xml><?xml version="1.0" encoding="utf-8"?>
<ds:datastoreItem xmlns:ds="http://schemas.openxmlformats.org/officeDocument/2006/customXml" ds:itemID="{7F14588C-2CF7-406A-8AED-C2C46AA6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2a79b5-d9d6-4593-a8a7-149981f7045e"/>
    <ds:schemaRef ds:uri="2520a3a8-e6dc-4611-b3d5-a302db2a6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88116-08E7-4660-A4F4-BBCFFBC77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13</Pages>
  <Words>4571</Words>
  <Characters>23318</Characters>
  <Application>Microsoft Office Word</Application>
  <DocSecurity>0</DocSecurity>
  <Lines>506</Lines>
  <Paragraphs>134</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phu95p</dc:creator>
  <cp:keywords/>
  <dc:description/>
  <cp:lastModifiedBy>MacQueen, Tribunal Judge Bernadette</cp:lastModifiedBy>
  <cp:revision>1323</cp:revision>
  <cp:lastPrinted>2013-05-16T14:48:00Z</cp:lastPrinted>
  <dcterms:created xsi:type="dcterms:W3CDTF">2026-02-05T08:55:00Z</dcterms:created>
  <dcterms:modified xsi:type="dcterms:W3CDTF">2026-02-26T13:30:00Z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Vance, Deputy Regional Tribunal Judge Amran</vt:lpwstr>
  </property>
  <property fmtid="{D5CDD505-2E9C-101B-9397-08002B2CF9AE}" pid="3" name="display_urn:schemas-microsoft-com:office:office#Author">
    <vt:lpwstr>Vance, Deputy Regional Tribunal Judge Amran</vt:lpwstr>
  </property>
  <property fmtid="{D5CDD505-2E9C-101B-9397-08002B2CF9AE}" pid="4" name="Order">
    <vt:lpwstr>173900.000000000</vt:lpwstr>
  </property>
  <property fmtid="{D5CDD505-2E9C-101B-9397-08002B2CF9AE}" pid="5" name="ComplianceAssetId">
    <vt:lpwstr/>
  </property>
  <property fmtid="{D5CDD505-2E9C-101B-9397-08002B2CF9AE}" pid="6" name="ContentTypeId">
    <vt:lpwstr>0x010100A4799E0FD73D3E4D84862663A4D33FCE</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MediaServiceImageTags">
    <vt:lpwstr/>
  </property>
</Properties>
</file>