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F91435" w14:textId="77777777" w:rsidR="00D728BE" w:rsidRPr="00B03DD3" w:rsidRDefault="00BE2C8A" w:rsidP="006850F3">
      <w:pPr>
        <w:jc w:val="center"/>
        <w:rPr>
          <w:b/>
          <w:sz w:val="28"/>
          <w:u w:val="single"/>
        </w:rPr>
      </w:pPr>
      <w:r w:rsidRPr="00B03DD3">
        <w:rPr>
          <w:b/>
          <w:sz w:val="28"/>
          <w:u w:val="single"/>
        </w:rPr>
        <w:t>Mental Health and Disclosure</w:t>
      </w:r>
    </w:p>
    <w:p w14:paraId="348939F4" w14:textId="77777777" w:rsidR="00BE2C8A" w:rsidRPr="00C634DB" w:rsidRDefault="00BE2C8A">
      <w:pPr>
        <w:rPr>
          <w:sz w:val="22"/>
        </w:rPr>
      </w:pPr>
      <w:r w:rsidRPr="00C634DB">
        <w:rPr>
          <w:sz w:val="22"/>
        </w:rPr>
        <w:t xml:space="preserve">Colleagues </w:t>
      </w:r>
      <w:r w:rsidR="006850F3">
        <w:rPr>
          <w:sz w:val="22"/>
        </w:rPr>
        <w:t xml:space="preserve">have requested </w:t>
      </w:r>
      <w:r w:rsidRPr="00C634DB">
        <w:rPr>
          <w:sz w:val="22"/>
        </w:rPr>
        <w:t xml:space="preserve">guidance on the disclosure of information relating to mental health matters, </w:t>
      </w:r>
      <w:r w:rsidR="00B01DF9">
        <w:rPr>
          <w:sz w:val="22"/>
        </w:rPr>
        <w:t>something</w:t>
      </w:r>
      <w:r w:rsidRPr="00C634DB">
        <w:rPr>
          <w:sz w:val="22"/>
        </w:rPr>
        <w:t xml:space="preserve"> that has long-</w:t>
      </w:r>
      <w:r w:rsidR="00B03DD3">
        <w:rPr>
          <w:sz w:val="22"/>
        </w:rPr>
        <w:t xml:space="preserve">been </w:t>
      </w:r>
      <w:r w:rsidRPr="00C634DB">
        <w:rPr>
          <w:sz w:val="22"/>
        </w:rPr>
        <w:t xml:space="preserve">described as </w:t>
      </w:r>
      <w:r w:rsidR="00B01DF9">
        <w:rPr>
          <w:sz w:val="22"/>
        </w:rPr>
        <w:t xml:space="preserve">one of </w:t>
      </w:r>
      <w:r w:rsidRPr="00C634DB">
        <w:rPr>
          <w:sz w:val="22"/>
        </w:rPr>
        <w:t xml:space="preserve">the most difficult </w:t>
      </w:r>
      <w:r w:rsidR="00B01DF9">
        <w:rPr>
          <w:sz w:val="22"/>
        </w:rPr>
        <w:t>aspects</w:t>
      </w:r>
      <w:r w:rsidRPr="00C634DB">
        <w:rPr>
          <w:sz w:val="22"/>
        </w:rPr>
        <w:t xml:space="preserve"> of disclosure consideration.</w:t>
      </w:r>
    </w:p>
    <w:p w14:paraId="0F81137F" w14:textId="77777777" w:rsidR="000767E1" w:rsidRDefault="00B03DD3" w:rsidP="000767E1">
      <w:pPr>
        <w:spacing w:after="0"/>
        <w:rPr>
          <w:sz w:val="22"/>
        </w:rPr>
      </w:pPr>
      <w:r>
        <w:rPr>
          <w:sz w:val="22"/>
        </w:rPr>
        <w:t>We</w:t>
      </w:r>
      <w:r w:rsidR="00BE2C8A" w:rsidRPr="00C634DB">
        <w:rPr>
          <w:sz w:val="22"/>
        </w:rPr>
        <w:t xml:space="preserve"> will begin by </w:t>
      </w:r>
      <w:r w:rsidR="00C217C7">
        <w:rPr>
          <w:sz w:val="22"/>
        </w:rPr>
        <w:t xml:space="preserve">first </w:t>
      </w:r>
      <w:r w:rsidR="003A4602">
        <w:rPr>
          <w:sz w:val="22"/>
        </w:rPr>
        <w:t>covering</w:t>
      </w:r>
      <w:r w:rsidR="00BE2C8A" w:rsidRPr="00C634DB">
        <w:rPr>
          <w:sz w:val="22"/>
        </w:rPr>
        <w:t xml:space="preserve"> some old and familiar ground</w:t>
      </w:r>
      <w:r w:rsidR="003A4602">
        <w:rPr>
          <w:sz w:val="22"/>
        </w:rPr>
        <w:t xml:space="preserve"> as a reference point</w:t>
      </w:r>
      <w:r w:rsidR="00BE2C8A" w:rsidRPr="00C634DB">
        <w:rPr>
          <w:sz w:val="22"/>
        </w:rPr>
        <w:t xml:space="preserve">: </w:t>
      </w:r>
    </w:p>
    <w:p w14:paraId="65D5980C" w14:textId="77777777" w:rsidR="00BE2C8A" w:rsidRPr="00C634DB" w:rsidRDefault="00C217C7">
      <w:pPr>
        <w:rPr>
          <w:sz w:val="22"/>
        </w:rPr>
      </w:pPr>
      <w:r>
        <w:rPr>
          <w:sz w:val="22"/>
        </w:rPr>
        <w:t>I</w:t>
      </w:r>
      <w:r w:rsidRPr="00C634DB">
        <w:rPr>
          <w:sz w:val="22"/>
        </w:rPr>
        <w:t>n the opinion of the Chief Officer</w:t>
      </w:r>
      <w:r>
        <w:rPr>
          <w:sz w:val="22"/>
        </w:rPr>
        <w:t>, i</w:t>
      </w:r>
      <w:r w:rsidR="00BE2C8A" w:rsidRPr="00C634DB">
        <w:rPr>
          <w:sz w:val="22"/>
        </w:rPr>
        <w:t>nformation being disclosed should</w:t>
      </w:r>
      <w:r>
        <w:rPr>
          <w:sz w:val="22"/>
        </w:rPr>
        <w:t xml:space="preserve"> pass the tests of</w:t>
      </w:r>
      <w:r w:rsidR="00BE2C8A" w:rsidRPr="00C634DB">
        <w:rPr>
          <w:sz w:val="22"/>
        </w:rPr>
        <w:t xml:space="preserve"> </w:t>
      </w:r>
      <w:r w:rsidR="00B03DD3">
        <w:rPr>
          <w:b/>
          <w:i/>
          <w:sz w:val="22"/>
        </w:rPr>
        <w:t>reasonably believes to</w:t>
      </w:r>
      <w:r w:rsidR="008D0BA2" w:rsidRPr="008D0BA2">
        <w:rPr>
          <w:b/>
          <w:i/>
          <w:sz w:val="22"/>
        </w:rPr>
        <w:t xml:space="preserve"> be</w:t>
      </w:r>
      <w:r w:rsidR="008D0BA2">
        <w:rPr>
          <w:sz w:val="22"/>
        </w:rPr>
        <w:t xml:space="preserve"> </w:t>
      </w:r>
      <w:r w:rsidR="00BE2C8A" w:rsidRPr="00C634DB">
        <w:rPr>
          <w:b/>
          <w:i/>
          <w:sz w:val="22"/>
        </w:rPr>
        <w:t>relevant</w:t>
      </w:r>
      <w:r w:rsidR="000767E1">
        <w:rPr>
          <w:sz w:val="22"/>
        </w:rPr>
        <w:t xml:space="preserve"> and</w:t>
      </w:r>
      <w:r w:rsidR="00BE2C8A" w:rsidRPr="00C634DB">
        <w:rPr>
          <w:sz w:val="22"/>
        </w:rPr>
        <w:t xml:space="preserve"> </w:t>
      </w:r>
      <w:r w:rsidR="00BE2C8A" w:rsidRPr="00C634DB">
        <w:rPr>
          <w:b/>
          <w:i/>
          <w:sz w:val="22"/>
        </w:rPr>
        <w:t xml:space="preserve">ought </w:t>
      </w:r>
      <w:r w:rsidR="00BE2C8A" w:rsidRPr="00934E33">
        <w:rPr>
          <w:b/>
          <w:i/>
          <w:sz w:val="22"/>
        </w:rPr>
        <w:t xml:space="preserve">to be </w:t>
      </w:r>
      <w:r w:rsidR="008D0BA2" w:rsidRPr="00934E33">
        <w:rPr>
          <w:b/>
          <w:i/>
          <w:sz w:val="22"/>
        </w:rPr>
        <w:t>included</w:t>
      </w:r>
      <w:r w:rsidR="008D0BA2">
        <w:rPr>
          <w:sz w:val="22"/>
        </w:rPr>
        <w:t xml:space="preserve"> in the certificate (disclosed)</w:t>
      </w:r>
      <w:r w:rsidR="00BE2C8A" w:rsidRPr="00C634DB">
        <w:rPr>
          <w:sz w:val="22"/>
        </w:rPr>
        <w:t>.</w:t>
      </w:r>
    </w:p>
    <w:p w14:paraId="4E36E4F1" w14:textId="37D98157" w:rsidR="00BE2C8A" w:rsidRPr="00C634DB" w:rsidRDefault="00BE2C8A" w:rsidP="00C634DB">
      <w:pPr>
        <w:numPr>
          <w:ilvl w:val="0"/>
          <w:numId w:val="1"/>
        </w:numPr>
        <w:rPr>
          <w:sz w:val="22"/>
        </w:rPr>
      </w:pPr>
      <w:proofErr w:type="gramStart"/>
      <w:r w:rsidRPr="00C634DB">
        <w:rPr>
          <w:sz w:val="22"/>
        </w:rPr>
        <w:t>In order to</w:t>
      </w:r>
      <w:proofErr w:type="gramEnd"/>
      <w:r w:rsidRPr="00C634DB">
        <w:rPr>
          <w:sz w:val="22"/>
        </w:rPr>
        <w:t xml:space="preserve"> be deemed </w:t>
      </w:r>
      <w:r w:rsidRPr="00C634DB">
        <w:rPr>
          <w:b/>
          <w:i/>
          <w:sz w:val="22"/>
        </w:rPr>
        <w:t>relevant</w:t>
      </w:r>
      <w:r w:rsidRPr="00C634DB">
        <w:rPr>
          <w:sz w:val="22"/>
        </w:rPr>
        <w:t xml:space="preserve">, there must be a </w:t>
      </w:r>
      <w:r w:rsidR="003A4602">
        <w:rPr>
          <w:sz w:val="22"/>
        </w:rPr>
        <w:t>reasonable</w:t>
      </w:r>
      <w:r w:rsidRPr="00C634DB">
        <w:rPr>
          <w:sz w:val="22"/>
        </w:rPr>
        <w:t xml:space="preserve"> and identifiable risk </w:t>
      </w:r>
      <w:r w:rsidR="003A4602">
        <w:rPr>
          <w:sz w:val="22"/>
        </w:rPr>
        <w:t xml:space="preserve">that the employer needs to be aware of (usually a risk </w:t>
      </w:r>
      <w:r w:rsidR="00776D3E" w:rsidRPr="00865A36">
        <w:rPr>
          <w:sz w:val="22"/>
        </w:rPr>
        <w:t>others</w:t>
      </w:r>
      <w:r w:rsidR="003A4602">
        <w:rPr>
          <w:sz w:val="22"/>
        </w:rPr>
        <w:t>)</w:t>
      </w:r>
    </w:p>
    <w:p w14:paraId="2AF9D090" w14:textId="77777777" w:rsidR="00BE2C8A" w:rsidRPr="00C634DB" w:rsidRDefault="00BE2C8A" w:rsidP="00C634DB">
      <w:pPr>
        <w:numPr>
          <w:ilvl w:val="0"/>
          <w:numId w:val="1"/>
        </w:numPr>
        <w:rPr>
          <w:sz w:val="22"/>
        </w:rPr>
      </w:pPr>
      <w:r w:rsidRPr="00C634DB">
        <w:rPr>
          <w:sz w:val="22"/>
        </w:rPr>
        <w:t xml:space="preserve">To conclude that information </w:t>
      </w:r>
      <w:r w:rsidRPr="00C634DB">
        <w:rPr>
          <w:b/>
          <w:i/>
          <w:sz w:val="22"/>
        </w:rPr>
        <w:t xml:space="preserve">ought to be </w:t>
      </w:r>
      <w:r w:rsidR="00934E33">
        <w:rPr>
          <w:b/>
          <w:i/>
          <w:sz w:val="22"/>
        </w:rPr>
        <w:t>included</w:t>
      </w:r>
      <w:r w:rsidRPr="00C634DB">
        <w:rPr>
          <w:sz w:val="22"/>
        </w:rPr>
        <w:t xml:space="preserve">, one must have already </w:t>
      </w:r>
      <w:r w:rsidR="00C634DB" w:rsidRPr="00C634DB">
        <w:rPr>
          <w:sz w:val="22"/>
        </w:rPr>
        <w:t>determined</w:t>
      </w:r>
      <w:r w:rsidRPr="00C634DB">
        <w:rPr>
          <w:sz w:val="22"/>
        </w:rPr>
        <w:t xml:space="preserve"> that it is </w:t>
      </w:r>
      <w:r w:rsidRPr="00C634DB">
        <w:rPr>
          <w:b/>
          <w:i/>
          <w:sz w:val="22"/>
        </w:rPr>
        <w:t>relevant</w:t>
      </w:r>
      <w:r w:rsidRPr="00C634DB">
        <w:rPr>
          <w:sz w:val="22"/>
        </w:rPr>
        <w:t xml:space="preserve"> and that </w:t>
      </w:r>
      <w:r w:rsidR="003A4602">
        <w:rPr>
          <w:sz w:val="22"/>
        </w:rPr>
        <w:t>any</w:t>
      </w:r>
      <w:r w:rsidRPr="00C634DB">
        <w:rPr>
          <w:sz w:val="22"/>
        </w:rPr>
        <w:t xml:space="preserve"> risk </w:t>
      </w:r>
      <w:r w:rsidR="003A4602">
        <w:rPr>
          <w:sz w:val="22"/>
        </w:rPr>
        <w:t>from non-disclosure</w:t>
      </w:r>
      <w:r w:rsidRPr="00C634DB">
        <w:rPr>
          <w:sz w:val="22"/>
        </w:rPr>
        <w:t xml:space="preserve"> outweighs the likely impact upon the private life of the applicant (</w:t>
      </w:r>
      <w:r w:rsidR="00C634DB" w:rsidRPr="00C634DB">
        <w:rPr>
          <w:sz w:val="22"/>
        </w:rPr>
        <w:t xml:space="preserve">that </w:t>
      </w:r>
      <w:r w:rsidR="00114359">
        <w:rPr>
          <w:sz w:val="22"/>
        </w:rPr>
        <w:t>any</w:t>
      </w:r>
      <w:r w:rsidRPr="00C634DB">
        <w:rPr>
          <w:sz w:val="22"/>
        </w:rPr>
        <w:t xml:space="preserve"> infringement upon their Human Rights</w:t>
      </w:r>
      <w:r w:rsidR="00C634DB" w:rsidRPr="00C634DB">
        <w:rPr>
          <w:sz w:val="22"/>
        </w:rPr>
        <w:t xml:space="preserve"> is justifiable</w:t>
      </w:r>
      <w:r w:rsidR="00114359">
        <w:rPr>
          <w:sz w:val="22"/>
        </w:rPr>
        <w:t>)</w:t>
      </w:r>
    </w:p>
    <w:p w14:paraId="4CC2E413" w14:textId="77777777" w:rsidR="00C634DB" w:rsidRPr="00C634DB" w:rsidRDefault="00BE2C8A">
      <w:pPr>
        <w:rPr>
          <w:sz w:val="22"/>
        </w:rPr>
      </w:pPr>
      <w:r w:rsidRPr="00C634DB">
        <w:rPr>
          <w:sz w:val="22"/>
        </w:rPr>
        <w:t xml:space="preserve">These two tenets </w:t>
      </w:r>
      <w:r w:rsidR="00302FA6">
        <w:rPr>
          <w:sz w:val="22"/>
        </w:rPr>
        <w:t>–</w:t>
      </w:r>
      <w:r w:rsidRPr="00C634DB">
        <w:rPr>
          <w:sz w:val="22"/>
        </w:rPr>
        <w:t xml:space="preserve"> </w:t>
      </w:r>
      <w:r w:rsidR="00302FA6">
        <w:rPr>
          <w:sz w:val="22"/>
        </w:rPr>
        <w:t>‘</w:t>
      </w:r>
      <w:r w:rsidRPr="00C634DB">
        <w:rPr>
          <w:b/>
          <w:i/>
          <w:sz w:val="22"/>
        </w:rPr>
        <w:t>relevant</w:t>
      </w:r>
      <w:r w:rsidR="00302FA6">
        <w:rPr>
          <w:b/>
          <w:i/>
          <w:sz w:val="22"/>
        </w:rPr>
        <w:t>’</w:t>
      </w:r>
      <w:r w:rsidRPr="00C634DB">
        <w:rPr>
          <w:sz w:val="22"/>
        </w:rPr>
        <w:t xml:space="preserve"> and </w:t>
      </w:r>
      <w:r w:rsidR="00302FA6">
        <w:rPr>
          <w:sz w:val="22"/>
        </w:rPr>
        <w:t>‘</w:t>
      </w:r>
      <w:r w:rsidRPr="00C634DB">
        <w:rPr>
          <w:b/>
          <w:i/>
          <w:sz w:val="22"/>
        </w:rPr>
        <w:t>ought to</w:t>
      </w:r>
      <w:r w:rsidR="00302FA6">
        <w:rPr>
          <w:b/>
          <w:i/>
          <w:sz w:val="22"/>
        </w:rPr>
        <w:t>’</w:t>
      </w:r>
      <w:r w:rsidRPr="00C634DB">
        <w:rPr>
          <w:sz w:val="22"/>
        </w:rPr>
        <w:t xml:space="preserve"> - must be given equal weight and information must pass both tests before </w:t>
      </w:r>
      <w:r w:rsidR="00C634DB" w:rsidRPr="00C634DB">
        <w:rPr>
          <w:sz w:val="22"/>
        </w:rPr>
        <w:t>it can be disclosed. Information relating to mental health is not exempt from this</w:t>
      </w:r>
      <w:r w:rsidR="00C634DB">
        <w:rPr>
          <w:sz w:val="22"/>
        </w:rPr>
        <w:t xml:space="preserve"> and the following should be read with this in mind.</w:t>
      </w:r>
    </w:p>
    <w:p w14:paraId="25C12A6A" w14:textId="6587B51D" w:rsidR="006A34F6" w:rsidRPr="008E04D4" w:rsidRDefault="00C634DB" w:rsidP="006A34F6">
      <w:pPr>
        <w:rPr>
          <w:color w:val="0070C0"/>
          <w:sz w:val="22"/>
        </w:rPr>
      </w:pPr>
      <w:r w:rsidRPr="00C634DB">
        <w:rPr>
          <w:sz w:val="22"/>
        </w:rPr>
        <w:t>One of the first considerations to be made should be that of the veracity of the information – is it a matter of</w:t>
      </w:r>
      <w:r w:rsidR="00B03DD3">
        <w:rPr>
          <w:sz w:val="22"/>
        </w:rPr>
        <w:t xml:space="preserve"> record that an individual has</w:t>
      </w:r>
      <w:r w:rsidRPr="00C634DB">
        <w:rPr>
          <w:sz w:val="22"/>
        </w:rPr>
        <w:t xml:space="preserve"> a (professionally) diagnosed mental illness or do your records state that </w:t>
      </w:r>
      <w:r w:rsidR="00C217C7">
        <w:rPr>
          <w:sz w:val="22"/>
        </w:rPr>
        <w:t>‘</w:t>
      </w:r>
      <w:r w:rsidRPr="00C634DB">
        <w:rPr>
          <w:sz w:val="22"/>
        </w:rPr>
        <w:t xml:space="preserve">Mr Alias’s neighbour </w:t>
      </w:r>
      <w:r w:rsidR="00C217C7">
        <w:rPr>
          <w:sz w:val="22"/>
        </w:rPr>
        <w:t>alleged</w:t>
      </w:r>
      <w:r w:rsidRPr="00C634DB">
        <w:rPr>
          <w:sz w:val="22"/>
        </w:rPr>
        <w:t xml:space="preserve"> that Mr Alias had mental problems</w:t>
      </w:r>
      <w:r w:rsidR="00C217C7">
        <w:rPr>
          <w:sz w:val="22"/>
        </w:rPr>
        <w:t>’</w:t>
      </w:r>
      <w:r w:rsidRPr="00C634DB">
        <w:rPr>
          <w:sz w:val="22"/>
        </w:rPr>
        <w:t xml:space="preserve">? If it is unclear just how genuine or accurate the information is, </w:t>
      </w:r>
      <w:r w:rsidR="00F46305" w:rsidRPr="002E5468">
        <w:rPr>
          <w:sz w:val="22"/>
        </w:rPr>
        <w:t xml:space="preserve">you may need to </w:t>
      </w:r>
      <w:r w:rsidR="00C217C7" w:rsidRPr="002E5468">
        <w:rPr>
          <w:sz w:val="22"/>
        </w:rPr>
        <w:t>take reasonable steps to find out</w:t>
      </w:r>
      <w:r w:rsidR="00CF1548">
        <w:rPr>
          <w:strike/>
          <w:color w:val="FF0000"/>
          <w:sz w:val="22"/>
        </w:rPr>
        <w:t>.</w:t>
      </w:r>
    </w:p>
    <w:p w14:paraId="6BB49CD8" w14:textId="5A211F7F" w:rsidR="00C634DB" w:rsidRPr="00C634DB" w:rsidRDefault="00FE4906">
      <w:pPr>
        <w:rPr>
          <w:sz w:val="22"/>
        </w:rPr>
      </w:pPr>
      <w:r>
        <w:rPr>
          <w:sz w:val="22"/>
        </w:rPr>
        <w:t>B</w:t>
      </w:r>
      <w:r w:rsidR="00032134" w:rsidRPr="00032134">
        <w:rPr>
          <w:sz w:val="22"/>
        </w:rPr>
        <w:t>ear in mind - if</w:t>
      </w:r>
      <w:r w:rsidR="00C634DB" w:rsidRPr="00032134">
        <w:rPr>
          <w:sz w:val="22"/>
        </w:rPr>
        <w:t xml:space="preserve"> the information is </w:t>
      </w:r>
      <w:r w:rsidR="00032134" w:rsidRPr="00032134">
        <w:rPr>
          <w:sz w:val="22"/>
        </w:rPr>
        <w:t xml:space="preserve">not </w:t>
      </w:r>
      <w:r w:rsidR="00C634DB" w:rsidRPr="00032134">
        <w:rPr>
          <w:sz w:val="22"/>
        </w:rPr>
        <w:t>actually rel</w:t>
      </w:r>
      <w:r w:rsidR="00032134" w:rsidRPr="00032134">
        <w:rPr>
          <w:sz w:val="22"/>
        </w:rPr>
        <w:t xml:space="preserve">evant to considerations of risk, there is no need to take </w:t>
      </w:r>
      <w:r w:rsidR="00F46305">
        <w:rPr>
          <w:sz w:val="22"/>
        </w:rPr>
        <w:t xml:space="preserve">any </w:t>
      </w:r>
      <w:r w:rsidR="00032134" w:rsidRPr="00032134">
        <w:rPr>
          <w:sz w:val="22"/>
        </w:rPr>
        <w:t xml:space="preserve">steps to establish </w:t>
      </w:r>
      <w:r w:rsidR="00C634DB" w:rsidRPr="00032134">
        <w:rPr>
          <w:sz w:val="22"/>
        </w:rPr>
        <w:t>whether the information is reliable</w:t>
      </w:r>
      <w:r w:rsidR="00B03DD3">
        <w:rPr>
          <w:sz w:val="22"/>
        </w:rPr>
        <w:t xml:space="preserve"> </w:t>
      </w:r>
      <w:r w:rsidR="00C217C7" w:rsidRPr="00032134">
        <w:rPr>
          <w:sz w:val="22"/>
        </w:rPr>
        <w:t>/</w:t>
      </w:r>
      <w:r w:rsidR="00B03DD3">
        <w:rPr>
          <w:sz w:val="22"/>
        </w:rPr>
        <w:t xml:space="preserve"> </w:t>
      </w:r>
      <w:r w:rsidR="00C217C7" w:rsidRPr="00032134">
        <w:rPr>
          <w:sz w:val="22"/>
        </w:rPr>
        <w:t>accurate</w:t>
      </w:r>
      <w:r w:rsidR="00032134" w:rsidRPr="00032134">
        <w:rPr>
          <w:sz w:val="22"/>
        </w:rPr>
        <w:t xml:space="preserve"> </w:t>
      </w:r>
      <w:r w:rsidR="00C634DB" w:rsidRPr="00032134">
        <w:rPr>
          <w:sz w:val="22"/>
        </w:rPr>
        <w:t xml:space="preserve">as you will </w:t>
      </w:r>
      <w:r w:rsidR="00032134" w:rsidRPr="00032134">
        <w:rPr>
          <w:sz w:val="22"/>
        </w:rPr>
        <w:t>have no reason to disclose (and vice-versa)</w:t>
      </w:r>
      <w:r w:rsidR="00032134">
        <w:rPr>
          <w:sz w:val="22"/>
        </w:rPr>
        <w:t>.</w:t>
      </w:r>
    </w:p>
    <w:p w14:paraId="0AF1F28C" w14:textId="77777777" w:rsidR="00B03DD3" w:rsidRDefault="00B03DD3" w:rsidP="008571FF">
      <w:pPr>
        <w:spacing w:after="0"/>
        <w:rPr>
          <w:b/>
          <w:u w:val="single"/>
        </w:rPr>
      </w:pPr>
    </w:p>
    <w:p w14:paraId="7EF2A3DF" w14:textId="77777777" w:rsidR="008571FF" w:rsidRPr="00EC012E" w:rsidRDefault="008571FF" w:rsidP="008571FF">
      <w:pPr>
        <w:spacing w:after="0"/>
        <w:rPr>
          <w:b/>
          <w:u w:val="single"/>
        </w:rPr>
      </w:pPr>
      <w:r w:rsidRPr="00EC012E">
        <w:rPr>
          <w:b/>
          <w:u w:val="single"/>
        </w:rPr>
        <w:t>The nature of the illness</w:t>
      </w:r>
      <w:r w:rsidR="00A85155" w:rsidRPr="00EC012E">
        <w:rPr>
          <w:b/>
          <w:u w:val="single"/>
        </w:rPr>
        <w:t>/condition</w:t>
      </w:r>
    </w:p>
    <w:p w14:paraId="3D859900" w14:textId="223C04E9" w:rsidR="00C634DB" w:rsidRPr="00EC012E" w:rsidRDefault="00C634DB">
      <w:pPr>
        <w:rPr>
          <w:sz w:val="22"/>
        </w:rPr>
      </w:pPr>
      <w:r w:rsidRPr="00EC012E">
        <w:rPr>
          <w:sz w:val="22"/>
        </w:rPr>
        <w:t xml:space="preserve">Where you are satisfied that </w:t>
      </w:r>
      <w:r w:rsidR="009D52EF" w:rsidRPr="00EC012E">
        <w:rPr>
          <w:sz w:val="22"/>
        </w:rPr>
        <w:t xml:space="preserve">you have established that your individual has a mental illness / condition (on receipt of confirmation from </w:t>
      </w:r>
      <w:r w:rsidR="008571FF" w:rsidRPr="00EC012E">
        <w:rPr>
          <w:sz w:val="22"/>
        </w:rPr>
        <w:t xml:space="preserve">a </w:t>
      </w:r>
      <w:r w:rsidR="007A3645" w:rsidRPr="00EC012E">
        <w:rPr>
          <w:sz w:val="22"/>
        </w:rPr>
        <w:t>qualified medical practitioner</w:t>
      </w:r>
      <w:r w:rsidR="009D52EF" w:rsidRPr="00EC012E">
        <w:rPr>
          <w:sz w:val="22"/>
        </w:rPr>
        <w:t xml:space="preserve">, for example) </w:t>
      </w:r>
      <w:r w:rsidRPr="00EC012E">
        <w:rPr>
          <w:sz w:val="22"/>
        </w:rPr>
        <w:t xml:space="preserve">you must </w:t>
      </w:r>
      <w:r w:rsidR="009D52EF" w:rsidRPr="00EC012E">
        <w:rPr>
          <w:sz w:val="22"/>
        </w:rPr>
        <w:t xml:space="preserve">then </w:t>
      </w:r>
      <w:r w:rsidR="00032134" w:rsidRPr="00EC012E">
        <w:rPr>
          <w:sz w:val="22"/>
        </w:rPr>
        <w:t>determine</w:t>
      </w:r>
      <w:r w:rsidRPr="00EC012E">
        <w:rPr>
          <w:sz w:val="22"/>
        </w:rPr>
        <w:t xml:space="preserve"> whether this is relevant to considerations of risk to </w:t>
      </w:r>
      <w:r w:rsidR="005E4104" w:rsidRPr="00CF1548">
        <w:rPr>
          <w:sz w:val="22"/>
        </w:rPr>
        <w:t>others</w:t>
      </w:r>
      <w:r w:rsidRPr="00EC012E">
        <w:rPr>
          <w:sz w:val="22"/>
        </w:rPr>
        <w:t xml:space="preserve">. In addition to the ‘usual’ </w:t>
      </w:r>
      <w:r w:rsidR="00B03DD3" w:rsidRPr="00EC012E">
        <w:rPr>
          <w:sz w:val="22"/>
        </w:rPr>
        <w:t xml:space="preserve">QAF </w:t>
      </w:r>
      <w:r w:rsidRPr="00EC012E">
        <w:rPr>
          <w:sz w:val="22"/>
        </w:rPr>
        <w:t>considerations, one must consider the following:</w:t>
      </w:r>
    </w:p>
    <w:p w14:paraId="494B598F" w14:textId="77777777" w:rsidR="00A9589A" w:rsidRPr="00EC012E" w:rsidRDefault="00A9589A" w:rsidP="003642FF">
      <w:pPr>
        <w:numPr>
          <w:ilvl w:val="0"/>
          <w:numId w:val="2"/>
        </w:numPr>
        <w:spacing w:after="120"/>
        <w:ind w:left="714" w:hanging="357"/>
        <w:rPr>
          <w:sz w:val="22"/>
        </w:rPr>
      </w:pPr>
      <w:r w:rsidRPr="00EC012E">
        <w:rPr>
          <w:sz w:val="22"/>
        </w:rPr>
        <w:t>there are many different categories of mental illness</w:t>
      </w:r>
      <w:r w:rsidR="000931B9" w:rsidRPr="00EC012E">
        <w:rPr>
          <w:sz w:val="22"/>
        </w:rPr>
        <w:t>/condition</w:t>
      </w:r>
      <w:r w:rsidRPr="00EC012E">
        <w:rPr>
          <w:sz w:val="22"/>
        </w:rPr>
        <w:t xml:space="preserve"> (avoid generalisation)</w:t>
      </w:r>
    </w:p>
    <w:p w14:paraId="6AB7A481" w14:textId="77777777" w:rsidR="00C634DB" w:rsidRPr="00EC012E" w:rsidRDefault="00C634DB" w:rsidP="003642FF">
      <w:pPr>
        <w:numPr>
          <w:ilvl w:val="0"/>
          <w:numId w:val="2"/>
        </w:numPr>
        <w:spacing w:after="120"/>
        <w:ind w:left="714" w:hanging="357"/>
        <w:rPr>
          <w:sz w:val="22"/>
        </w:rPr>
      </w:pPr>
      <w:r w:rsidRPr="00EC012E">
        <w:rPr>
          <w:sz w:val="22"/>
        </w:rPr>
        <w:t>you are not an expert in mental health</w:t>
      </w:r>
      <w:r w:rsidR="00A9589A" w:rsidRPr="00EC012E">
        <w:rPr>
          <w:sz w:val="22"/>
        </w:rPr>
        <w:t xml:space="preserve"> (and are not expected to be)</w:t>
      </w:r>
    </w:p>
    <w:p w14:paraId="222ED5BC" w14:textId="77777777" w:rsidR="00C634DB" w:rsidRPr="00EC012E" w:rsidRDefault="000931B9" w:rsidP="003642FF">
      <w:pPr>
        <w:numPr>
          <w:ilvl w:val="0"/>
          <w:numId w:val="2"/>
        </w:numPr>
        <w:spacing w:after="120"/>
        <w:ind w:left="714" w:hanging="357"/>
        <w:rPr>
          <w:sz w:val="22"/>
        </w:rPr>
      </w:pPr>
      <w:r w:rsidRPr="00EC012E">
        <w:rPr>
          <w:sz w:val="22"/>
        </w:rPr>
        <w:t>experiencing</w:t>
      </w:r>
      <w:r w:rsidR="00C634DB" w:rsidRPr="00EC012E">
        <w:rPr>
          <w:sz w:val="22"/>
        </w:rPr>
        <w:t xml:space="preserve"> mental illness is not a crime</w:t>
      </w:r>
      <w:r w:rsidRPr="00EC012E">
        <w:rPr>
          <w:sz w:val="22"/>
        </w:rPr>
        <w:t xml:space="preserve"> – </w:t>
      </w:r>
      <w:r w:rsidR="00B03DD3" w:rsidRPr="00EC012E">
        <w:rPr>
          <w:sz w:val="22"/>
        </w:rPr>
        <w:t xml:space="preserve">only </w:t>
      </w:r>
      <w:r w:rsidRPr="00EC012E">
        <w:rPr>
          <w:sz w:val="22"/>
        </w:rPr>
        <w:t xml:space="preserve">other factors </w:t>
      </w:r>
      <w:r w:rsidR="00B03DD3" w:rsidRPr="00EC012E">
        <w:rPr>
          <w:sz w:val="22"/>
        </w:rPr>
        <w:t>can</w:t>
      </w:r>
      <w:r w:rsidRPr="00EC012E">
        <w:rPr>
          <w:sz w:val="22"/>
        </w:rPr>
        <w:t xml:space="preserve"> make it relevant</w:t>
      </w:r>
    </w:p>
    <w:p w14:paraId="79CA6436" w14:textId="77777777" w:rsidR="00C634DB" w:rsidRPr="00EC012E" w:rsidRDefault="00C634DB" w:rsidP="003642FF">
      <w:pPr>
        <w:numPr>
          <w:ilvl w:val="0"/>
          <w:numId w:val="2"/>
        </w:numPr>
        <w:spacing w:after="120"/>
        <w:ind w:left="714" w:hanging="357"/>
        <w:rPr>
          <w:sz w:val="22"/>
        </w:rPr>
      </w:pPr>
      <w:r w:rsidRPr="00EC012E">
        <w:rPr>
          <w:sz w:val="22"/>
        </w:rPr>
        <w:t xml:space="preserve"> </w:t>
      </w:r>
      <w:r w:rsidR="00F46305" w:rsidRPr="00EC012E">
        <w:rPr>
          <w:sz w:val="22"/>
        </w:rPr>
        <w:t>anyone</w:t>
      </w:r>
      <w:r w:rsidR="00A9589A" w:rsidRPr="00EC012E">
        <w:rPr>
          <w:sz w:val="22"/>
        </w:rPr>
        <w:t xml:space="preserve"> </w:t>
      </w:r>
      <w:r w:rsidR="000931B9" w:rsidRPr="00EC012E">
        <w:rPr>
          <w:sz w:val="22"/>
        </w:rPr>
        <w:t>experiencing mental</w:t>
      </w:r>
      <w:r w:rsidRPr="00EC012E">
        <w:rPr>
          <w:sz w:val="22"/>
        </w:rPr>
        <w:t xml:space="preserve"> </w:t>
      </w:r>
      <w:r w:rsidRPr="00EC012E">
        <w:rPr>
          <w:b/>
          <w:i/>
          <w:sz w:val="22"/>
        </w:rPr>
        <w:t>illness</w:t>
      </w:r>
      <w:r w:rsidRPr="00EC012E">
        <w:rPr>
          <w:sz w:val="22"/>
        </w:rPr>
        <w:t>, can</w:t>
      </w:r>
      <w:r w:rsidRPr="00EC012E">
        <w:rPr>
          <w:b/>
          <w:i/>
          <w:sz w:val="22"/>
        </w:rPr>
        <w:t xml:space="preserve"> </w:t>
      </w:r>
      <w:r w:rsidR="000931B9" w:rsidRPr="00EC012E">
        <w:rPr>
          <w:b/>
          <w:i/>
          <w:sz w:val="22"/>
        </w:rPr>
        <w:t>recover/</w:t>
      </w:r>
      <w:r w:rsidR="00646E1C" w:rsidRPr="00EC012E">
        <w:rPr>
          <w:b/>
          <w:i/>
          <w:sz w:val="22"/>
        </w:rPr>
        <w:t xml:space="preserve">successfully </w:t>
      </w:r>
      <w:r w:rsidR="000931B9" w:rsidRPr="00EC012E">
        <w:rPr>
          <w:b/>
          <w:i/>
          <w:sz w:val="22"/>
        </w:rPr>
        <w:t>manage their condition</w:t>
      </w:r>
    </w:p>
    <w:p w14:paraId="6473606E" w14:textId="77777777" w:rsidR="007A3645" w:rsidRPr="00EC012E" w:rsidRDefault="007A3645" w:rsidP="003642FF">
      <w:pPr>
        <w:numPr>
          <w:ilvl w:val="0"/>
          <w:numId w:val="2"/>
        </w:numPr>
        <w:spacing w:after="120"/>
        <w:ind w:left="714" w:hanging="357"/>
        <w:rPr>
          <w:sz w:val="22"/>
        </w:rPr>
      </w:pPr>
      <w:r w:rsidRPr="00EC012E">
        <w:rPr>
          <w:sz w:val="22"/>
        </w:rPr>
        <w:t xml:space="preserve">self-testimony alone may not be sufficient grounds to determine that an individual does have or has had a mental illness / condition </w:t>
      </w:r>
    </w:p>
    <w:p w14:paraId="509A5009" w14:textId="77777777" w:rsidR="00324F27" w:rsidRDefault="00324F27" w:rsidP="00B03DD3">
      <w:pPr>
        <w:spacing w:after="0"/>
        <w:rPr>
          <w:sz w:val="22"/>
        </w:rPr>
      </w:pPr>
    </w:p>
    <w:p w14:paraId="134586D7" w14:textId="58944D7C" w:rsidR="00324F27" w:rsidRDefault="00324F27" w:rsidP="00324F27">
      <w:pPr>
        <w:tabs>
          <w:tab w:val="left" w:pos="1150"/>
        </w:tabs>
        <w:spacing w:after="0"/>
        <w:rPr>
          <w:sz w:val="22"/>
        </w:rPr>
      </w:pPr>
      <w:r>
        <w:rPr>
          <w:sz w:val="22"/>
        </w:rPr>
        <w:tab/>
      </w:r>
    </w:p>
    <w:p w14:paraId="39473CB2" w14:textId="73FB85B6" w:rsidR="00B03DD3" w:rsidRDefault="00B03DD3" w:rsidP="00B03DD3">
      <w:pPr>
        <w:spacing w:after="0"/>
        <w:rPr>
          <w:sz w:val="22"/>
        </w:rPr>
      </w:pPr>
      <w:r w:rsidRPr="00324F27">
        <w:rPr>
          <w:sz w:val="22"/>
        </w:rPr>
        <w:br w:type="page"/>
      </w:r>
      <w:r w:rsidR="00F46305">
        <w:rPr>
          <w:sz w:val="22"/>
        </w:rPr>
        <w:lastRenderedPageBreak/>
        <w:t>So, h</w:t>
      </w:r>
      <w:r w:rsidR="008571FF">
        <w:rPr>
          <w:sz w:val="22"/>
        </w:rPr>
        <w:t xml:space="preserve">ow does the illness </w:t>
      </w:r>
      <w:r>
        <w:rPr>
          <w:sz w:val="22"/>
        </w:rPr>
        <w:t xml:space="preserve">/ condition </w:t>
      </w:r>
      <w:r w:rsidR="008571FF">
        <w:rPr>
          <w:sz w:val="22"/>
        </w:rPr>
        <w:t xml:space="preserve">manifest itself? </w:t>
      </w:r>
    </w:p>
    <w:p w14:paraId="7CF03F3E" w14:textId="77777777" w:rsidR="00B03DD3" w:rsidRDefault="008571FF" w:rsidP="00B03DD3">
      <w:pPr>
        <w:numPr>
          <w:ilvl w:val="0"/>
          <w:numId w:val="5"/>
        </w:numPr>
        <w:spacing w:after="120"/>
        <w:rPr>
          <w:sz w:val="22"/>
        </w:rPr>
      </w:pPr>
      <w:r>
        <w:rPr>
          <w:sz w:val="22"/>
        </w:rPr>
        <w:t xml:space="preserve">Can the individual act responsibly? </w:t>
      </w:r>
    </w:p>
    <w:p w14:paraId="27B731C6" w14:textId="77777777" w:rsidR="00B03DD3" w:rsidRDefault="008571FF" w:rsidP="00B03DD3">
      <w:pPr>
        <w:numPr>
          <w:ilvl w:val="0"/>
          <w:numId w:val="5"/>
        </w:numPr>
        <w:spacing w:after="120"/>
        <w:rPr>
          <w:sz w:val="22"/>
        </w:rPr>
      </w:pPr>
      <w:r>
        <w:rPr>
          <w:sz w:val="22"/>
        </w:rPr>
        <w:t xml:space="preserve">Has their behaviour </w:t>
      </w:r>
      <w:r w:rsidR="00032134">
        <w:rPr>
          <w:sz w:val="22"/>
        </w:rPr>
        <w:t xml:space="preserve">placed </w:t>
      </w:r>
      <w:r>
        <w:rPr>
          <w:sz w:val="22"/>
        </w:rPr>
        <w:t>them or others</w:t>
      </w:r>
      <w:r w:rsidR="00032134">
        <w:rPr>
          <w:sz w:val="22"/>
        </w:rPr>
        <w:t xml:space="preserve"> at risk of harm</w:t>
      </w:r>
      <w:r>
        <w:rPr>
          <w:sz w:val="22"/>
        </w:rPr>
        <w:t xml:space="preserve">? </w:t>
      </w:r>
    </w:p>
    <w:p w14:paraId="39FD4356" w14:textId="77777777" w:rsidR="00B03DD3" w:rsidRDefault="008571FF" w:rsidP="00B03DD3">
      <w:pPr>
        <w:numPr>
          <w:ilvl w:val="0"/>
          <w:numId w:val="5"/>
        </w:numPr>
        <w:spacing w:after="120"/>
        <w:rPr>
          <w:sz w:val="22"/>
        </w:rPr>
      </w:pPr>
      <w:r>
        <w:rPr>
          <w:sz w:val="22"/>
        </w:rPr>
        <w:t>Does their medication</w:t>
      </w:r>
      <w:r w:rsidR="00032134">
        <w:rPr>
          <w:sz w:val="22"/>
        </w:rPr>
        <w:t xml:space="preserve"> (or non-administration of prescribed medication)</w:t>
      </w:r>
      <w:r>
        <w:rPr>
          <w:sz w:val="22"/>
        </w:rPr>
        <w:t xml:space="preserve"> </w:t>
      </w:r>
      <w:r w:rsidR="00B03DD3">
        <w:rPr>
          <w:sz w:val="22"/>
        </w:rPr>
        <w:t xml:space="preserve">significantly </w:t>
      </w:r>
      <w:r>
        <w:rPr>
          <w:sz w:val="22"/>
        </w:rPr>
        <w:t xml:space="preserve">affect their behaviour? </w:t>
      </w:r>
    </w:p>
    <w:p w14:paraId="440CFBE1" w14:textId="77777777" w:rsidR="00B03DD3" w:rsidRDefault="00032134" w:rsidP="00B03DD3">
      <w:pPr>
        <w:numPr>
          <w:ilvl w:val="0"/>
          <w:numId w:val="5"/>
        </w:numPr>
        <w:spacing w:after="120"/>
        <w:rPr>
          <w:sz w:val="22"/>
        </w:rPr>
      </w:pPr>
      <w:r>
        <w:rPr>
          <w:sz w:val="22"/>
        </w:rPr>
        <w:t xml:space="preserve">Is their judgement impaired? </w:t>
      </w:r>
    </w:p>
    <w:p w14:paraId="4127C513" w14:textId="77777777" w:rsidR="008571FF" w:rsidRDefault="008571FF" w:rsidP="00B03DD3">
      <w:pPr>
        <w:numPr>
          <w:ilvl w:val="0"/>
          <w:numId w:val="5"/>
        </w:numPr>
        <w:spacing w:after="120"/>
        <w:rPr>
          <w:sz w:val="22"/>
        </w:rPr>
      </w:pPr>
      <w:r>
        <w:rPr>
          <w:sz w:val="22"/>
        </w:rPr>
        <w:t xml:space="preserve">Does any of this suggest that it may be </w:t>
      </w:r>
      <w:r w:rsidRPr="00B54E88">
        <w:rPr>
          <w:b/>
          <w:i/>
          <w:sz w:val="22"/>
        </w:rPr>
        <w:t>relevant to the application</w:t>
      </w:r>
      <w:r>
        <w:rPr>
          <w:sz w:val="22"/>
        </w:rPr>
        <w:t>?</w:t>
      </w:r>
    </w:p>
    <w:p w14:paraId="2DC037AE" w14:textId="5AF71C25" w:rsidR="00032134" w:rsidRPr="008E5950" w:rsidRDefault="008571FF" w:rsidP="00032134">
      <w:pPr>
        <w:rPr>
          <w:color w:val="000000"/>
          <w:sz w:val="22"/>
        </w:rPr>
      </w:pPr>
      <w:r>
        <w:rPr>
          <w:sz w:val="22"/>
        </w:rPr>
        <w:t>T</w:t>
      </w:r>
      <w:r w:rsidR="00C634DB">
        <w:rPr>
          <w:sz w:val="22"/>
        </w:rPr>
        <w:t xml:space="preserve">he age of the information - how long ago the person was ill - is </w:t>
      </w:r>
      <w:r w:rsidR="00F77246">
        <w:rPr>
          <w:sz w:val="22"/>
        </w:rPr>
        <w:t xml:space="preserve">also </w:t>
      </w:r>
      <w:r w:rsidR="00C634DB">
        <w:rPr>
          <w:sz w:val="22"/>
        </w:rPr>
        <w:t>an important factor. E</w:t>
      </w:r>
      <w:r w:rsidR="00C634DB" w:rsidRPr="00C634DB">
        <w:rPr>
          <w:sz w:val="22"/>
        </w:rPr>
        <w:t xml:space="preserve">stablishing a </w:t>
      </w:r>
      <w:r w:rsidR="00F77246" w:rsidRPr="00C634DB">
        <w:rPr>
          <w:sz w:val="22"/>
        </w:rPr>
        <w:t>person’s</w:t>
      </w:r>
      <w:r w:rsidR="00C634DB" w:rsidRPr="00C634DB">
        <w:rPr>
          <w:sz w:val="22"/>
        </w:rPr>
        <w:t xml:space="preserve"> </w:t>
      </w:r>
      <w:r w:rsidR="00C634DB" w:rsidRPr="00B03DD3">
        <w:rPr>
          <w:b/>
          <w:sz w:val="22"/>
        </w:rPr>
        <w:t>current</w:t>
      </w:r>
      <w:r w:rsidR="00C634DB" w:rsidRPr="00C634DB">
        <w:rPr>
          <w:sz w:val="22"/>
        </w:rPr>
        <w:t xml:space="preserve"> state of health </w:t>
      </w:r>
      <w:r w:rsidR="00032134" w:rsidRPr="00C634DB">
        <w:rPr>
          <w:sz w:val="22"/>
        </w:rPr>
        <w:t xml:space="preserve">is advisable </w:t>
      </w:r>
      <w:r w:rsidR="00C634DB" w:rsidRPr="00C634DB">
        <w:rPr>
          <w:sz w:val="22"/>
        </w:rPr>
        <w:t>(thereby informing your considerations</w:t>
      </w:r>
      <w:r w:rsidR="00C634DB">
        <w:rPr>
          <w:sz w:val="22"/>
        </w:rPr>
        <w:t xml:space="preserve"> of </w:t>
      </w:r>
      <w:r w:rsidR="00C634DB" w:rsidRPr="00C634DB">
        <w:rPr>
          <w:sz w:val="22"/>
        </w:rPr>
        <w:t>the potential risk to</w:t>
      </w:r>
      <w:r w:rsidR="00575AD4">
        <w:rPr>
          <w:sz w:val="22"/>
        </w:rPr>
        <w:t xml:space="preserve"> </w:t>
      </w:r>
      <w:r w:rsidR="00575AD4" w:rsidRPr="008E5950">
        <w:rPr>
          <w:sz w:val="22"/>
        </w:rPr>
        <w:t>others</w:t>
      </w:r>
      <w:r w:rsidR="00C634DB" w:rsidRPr="00C634DB">
        <w:rPr>
          <w:sz w:val="22"/>
        </w:rPr>
        <w:t>)</w:t>
      </w:r>
      <w:r w:rsidR="00C634DB">
        <w:rPr>
          <w:sz w:val="22"/>
        </w:rPr>
        <w:t xml:space="preserve">, </w:t>
      </w:r>
      <w:r w:rsidR="00C634DB" w:rsidRPr="00665A7E">
        <w:rPr>
          <w:sz w:val="22"/>
        </w:rPr>
        <w:t xml:space="preserve">whether via </w:t>
      </w:r>
      <w:r w:rsidR="00032134" w:rsidRPr="00665A7E">
        <w:rPr>
          <w:sz w:val="22"/>
        </w:rPr>
        <w:t xml:space="preserve">contact with </w:t>
      </w:r>
      <w:r w:rsidR="00C634DB" w:rsidRPr="00665A7E">
        <w:rPr>
          <w:sz w:val="22"/>
        </w:rPr>
        <w:t xml:space="preserve">the doctor/institution recorded in your files or via </w:t>
      </w:r>
      <w:r w:rsidR="00032134" w:rsidRPr="00665A7E">
        <w:rPr>
          <w:sz w:val="22"/>
        </w:rPr>
        <w:t xml:space="preserve">applicant </w:t>
      </w:r>
      <w:r w:rsidR="00C634DB" w:rsidRPr="00665A7E">
        <w:rPr>
          <w:sz w:val="22"/>
        </w:rPr>
        <w:t>representations.</w:t>
      </w:r>
      <w:r w:rsidR="00665A7E">
        <w:rPr>
          <w:color w:val="FF0000"/>
          <w:sz w:val="22"/>
        </w:rPr>
        <w:t xml:space="preserve">  </w:t>
      </w:r>
      <w:r w:rsidR="00665A7E">
        <w:rPr>
          <w:color w:val="000000"/>
          <w:sz w:val="22"/>
        </w:rPr>
        <w:t>Care should be taken</w:t>
      </w:r>
      <w:r w:rsidR="008E04D4">
        <w:rPr>
          <w:color w:val="000000"/>
          <w:sz w:val="22"/>
        </w:rPr>
        <w:t xml:space="preserve"> </w:t>
      </w:r>
      <w:r w:rsidR="008E04D4" w:rsidRPr="008E5950">
        <w:rPr>
          <w:sz w:val="22"/>
        </w:rPr>
        <w:t>when</w:t>
      </w:r>
      <w:r w:rsidR="00665A7E">
        <w:rPr>
          <w:color w:val="000000"/>
          <w:sz w:val="22"/>
        </w:rPr>
        <w:t xml:space="preserve"> seeking representations from any third party e.g. a medical professional without the knowledge and permission from the individual concerned.</w:t>
      </w:r>
    </w:p>
    <w:p w14:paraId="4224D684" w14:textId="77777777" w:rsidR="00F77246" w:rsidRPr="000931B9" w:rsidRDefault="00F77246" w:rsidP="00B03DD3">
      <w:pPr>
        <w:spacing w:after="0" w:line="240" w:lineRule="auto"/>
        <w:rPr>
          <w:b/>
          <w:u w:val="single"/>
        </w:rPr>
      </w:pPr>
      <w:r w:rsidRPr="000931B9">
        <w:rPr>
          <w:b/>
          <w:u w:val="single"/>
        </w:rPr>
        <w:t>Impact on the applicant</w:t>
      </w:r>
    </w:p>
    <w:p w14:paraId="1A466AA9" w14:textId="77777777" w:rsidR="000931B9" w:rsidRDefault="000931B9" w:rsidP="00B03DD3">
      <w:pPr>
        <w:rPr>
          <w:sz w:val="22"/>
        </w:rPr>
      </w:pPr>
      <w:r w:rsidRPr="000931B9">
        <w:rPr>
          <w:sz w:val="22"/>
          <w:szCs w:val="24"/>
          <w:lang w:val="en-US"/>
        </w:rPr>
        <w:t xml:space="preserve">The </w:t>
      </w:r>
      <w:proofErr w:type="gramStart"/>
      <w:r w:rsidRPr="000931B9">
        <w:rPr>
          <w:sz w:val="22"/>
          <w:szCs w:val="24"/>
          <w:lang w:val="en-US"/>
        </w:rPr>
        <w:t>long term</w:t>
      </w:r>
      <w:proofErr w:type="gramEnd"/>
      <w:r w:rsidRPr="000931B9">
        <w:rPr>
          <w:sz w:val="22"/>
          <w:szCs w:val="24"/>
          <w:lang w:val="en-US"/>
        </w:rPr>
        <w:t xml:space="preserve"> effects of public disclosure of experiencing mental health problems can be extremely damaging to the individual concerned and to their friends and family. Social stigma and discrimination can, for many people, lead to exclusion from employment opportunities or community activities</w:t>
      </w:r>
      <w:r w:rsidR="00B03DD3">
        <w:rPr>
          <w:sz w:val="22"/>
          <w:szCs w:val="24"/>
          <w:lang w:val="en-US"/>
        </w:rPr>
        <w:t xml:space="preserve">, </w:t>
      </w:r>
      <w:r w:rsidRPr="000931B9">
        <w:rPr>
          <w:sz w:val="22"/>
          <w:szCs w:val="24"/>
          <w:lang w:val="en-US"/>
        </w:rPr>
        <w:t>worsening or causing the recurrence of symptoms</w:t>
      </w:r>
      <w:r w:rsidR="00B03DD3">
        <w:rPr>
          <w:sz w:val="22"/>
          <w:szCs w:val="24"/>
          <w:lang w:val="en-US"/>
        </w:rPr>
        <w:t xml:space="preserve"> leading to</w:t>
      </w:r>
      <w:r w:rsidRPr="000931B9">
        <w:rPr>
          <w:sz w:val="22"/>
          <w:szCs w:val="24"/>
          <w:lang w:val="en-US"/>
        </w:rPr>
        <w:t xml:space="preserve"> distress, breakdown of family relationships and further harassment and abuse.</w:t>
      </w:r>
    </w:p>
    <w:p w14:paraId="44406F80" w14:textId="38B7DD51" w:rsidR="00017EA4" w:rsidRPr="007318C9" w:rsidRDefault="00302FA6" w:rsidP="000931B9">
      <w:pPr>
        <w:spacing w:before="240"/>
        <w:rPr>
          <w:sz w:val="22"/>
        </w:rPr>
      </w:pPr>
      <w:r w:rsidRPr="0061091A">
        <w:rPr>
          <w:sz w:val="22"/>
        </w:rPr>
        <w:t xml:space="preserve">The </w:t>
      </w:r>
      <w:r w:rsidRPr="0061091A">
        <w:rPr>
          <w:b/>
          <w:i/>
          <w:sz w:val="22"/>
        </w:rPr>
        <w:t>‘ought to’</w:t>
      </w:r>
      <w:r w:rsidRPr="0061091A">
        <w:rPr>
          <w:sz w:val="22"/>
        </w:rPr>
        <w:t xml:space="preserve"> consideration for mental health must be applied with </w:t>
      </w:r>
      <w:proofErr w:type="gramStart"/>
      <w:r w:rsidRPr="0061091A">
        <w:rPr>
          <w:sz w:val="22"/>
        </w:rPr>
        <w:t>particular consideration</w:t>
      </w:r>
      <w:proofErr w:type="gramEnd"/>
      <w:r w:rsidRPr="0061091A">
        <w:rPr>
          <w:sz w:val="22"/>
        </w:rPr>
        <w:t xml:space="preserve"> given to the impact of the disclosure on the mental health of a person who you now know </w:t>
      </w:r>
      <w:r w:rsidR="000931B9" w:rsidRPr="0061091A">
        <w:rPr>
          <w:sz w:val="22"/>
        </w:rPr>
        <w:t>may</w:t>
      </w:r>
      <w:r w:rsidRPr="0061091A">
        <w:rPr>
          <w:sz w:val="22"/>
        </w:rPr>
        <w:t xml:space="preserve"> </w:t>
      </w:r>
      <w:r w:rsidR="000931B9" w:rsidRPr="0061091A">
        <w:rPr>
          <w:sz w:val="22"/>
        </w:rPr>
        <w:t xml:space="preserve">experience problems with their mental </w:t>
      </w:r>
      <w:r w:rsidR="00B03DD3" w:rsidRPr="0061091A">
        <w:rPr>
          <w:sz w:val="22"/>
        </w:rPr>
        <w:t xml:space="preserve">and physical </w:t>
      </w:r>
      <w:r w:rsidR="000931B9" w:rsidRPr="0061091A">
        <w:rPr>
          <w:sz w:val="22"/>
        </w:rPr>
        <w:t>wellbeing and resilience</w:t>
      </w:r>
      <w:r w:rsidRPr="0061091A">
        <w:rPr>
          <w:sz w:val="22"/>
        </w:rPr>
        <w:t xml:space="preserve"> – how will your disclosure affect them? </w:t>
      </w:r>
      <w:r w:rsidR="00017EA4">
        <w:rPr>
          <w:sz w:val="22"/>
        </w:rPr>
        <w:t xml:space="preserve"> </w:t>
      </w:r>
      <w:r w:rsidR="00E62EE1" w:rsidRPr="007318C9">
        <w:rPr>
          <w:sz w:val="22"/>
        </w:rPr>
        <w:t>From Section 2.3</w:t>
      </w:r>
      <w:r w:rsidR="00E756E9" w:rsidRPr="007318C9">
        <w:rPr>
          <w:sz w:val="22"/>
        </w:rPr>
        <w:t xml:space="preserve"> of the AT3</w:t>
      </w:r>
      <w:r w:rsidR="00E62EE1" w:rsidRPr="007318C9">
        <w:rPr>
          <w:sz w:val="22"/>
        </w:rPr>
        <w:t xml:space="preserve"> onwards you should be considering whether any form of disclosure could have a negative </w:t>
      </w:r>
      <w:proofErr w:type="spellStart"/>
      <w:proofErr w:type="gramStart"/>
      <w:r w:rsidR="00E62EE1" w:rsidRPr="007318C9">
        <w:rPr>
          <w:sz w:val="22"/>
        </w:rPr>
        <w:t>affect</w:t>
      </w:r>
      <w:proofErr w:type="spellEnd"/>
      <w:proofErr w:type="gramEnd"/>
      <w:r w:rsidR="00E62EE1" w:rsidRPr="007318C9">
        <w:rPr>
          <w:sz w:val="22"/>
        </w:rPr>
        <w:t xml:space="preserve"> on an applicant’s and/or Third Party’s </w:t>
      </w:r>
      <w:r w:rsidR="003A544A" w:rsidRPr="007318C9">
        <w:rPr>
          <w:sz w:val="22"/>
        </w:rPr>
        <w:t>mental health and if this impact is concluded as significant enough</w:t>
      </w:r>
      <w:r w:rsidR="009A71EA" w:rsidRPr="007318C9">
        <w:rPr>
          <w:sz w:val="22"/>
        </w:rPr>
        <w:t>,</w:t>
      </w:r>
      <w:r w:rsidR="003A544A" w:rsidRPr="007318C9">
        <w:rPr>
          <w:sz w:val="22"/>
        </w:rPr>
        <w:t xml:space="preserve"> </w:t>
      </w:r>
      <w:r w:rsidR="00437C68" w:rsidRPr="007318C9">
        <w:rPr>
          <w:sz w:val="22"/>
        </w:rPr>
        <w:t>could it</w:t>
      </w:r>
      <w:r w:rsidR="003A544A" w:rsidRPr="007318C9">
        <w:rPr>
          <w:sz w:val="22"/>
        </w:rPr>
        <w:t xml:space="preserve"> affect your decision to disclose</w:t>
      </w:r>
      <w:r w:rsidR="00437C68" w:rsidRPr="007318C9">
        <w:rPr>
          <w:sz w:val="22"/>
        </w:rPr>
        <w:t>?</w:t>
      </w:r>
    </w:p>
    <w:p w14:paraId="1A768DAB" w14:textId="46389491" w:rsidR="00302FA6" w:rsidRPr="00F472AA" w:rsidRDefault="00032134" w:rsidP="000931B9">
      <w:pPr>
        <w:spacing w:before="240"/>
        <w:rPr>
          <w:sz w:val="22"/>
        </w:rPr>
      </w:pPr>
      <w:r w:rsidRPr="0061091A">
        <w:rPr>
          <w:sz w:val="22"/>
        </w:rPr>
        <w:t>Could</w:t>
      </w:r>
      <w:r w:rsidR="00302FA6" w:rsidRPr="0061091A">
        <w:rPr>
          <w:sz w:val="22"/>
        </w:rPr>
        <w:t xml:space="preserve"> representations mitigate the potential impact on their </w:t>
      </w:r>
      <w:r w:rsidR="0040784D" w:rsidRPr="00F472AA">
        <w:rPr>
          <w:sz w:val="22"/>
        </w:rPr>
        <w:t xml:space="preserve">compared to </w:t>
      </w:r>
      <w:r w:rsidR="0061091A" w:rsidRPr="00F472AA">
        <w:rPr>
          <w:sz w:val="22"/>
        </w:rPr>
        <w:t>a disclosure being made on a certificate without the applicant’s prior knowledge that this disclosure is being made</w:t>
      </w:r>
      <w:r w:rsidR="00302FA6" w:rsidRPr="00F472AA">
        <w:rPr>
          <w:sz w:val="22"/>
        </w:rPr>
        <w:t>?</w:t>
      </w:r>
      <w:r w:rsidR="004B694A" w:rsidRPr="00F472AA">
        <w:rPr>
          <w:sz w:val="22"/>
        </w:rPr>
        <w:t xml:space="preserve">  </w:t>
      </w:r>
      <w:r w:rsidR="00F574C8" w:rsidRPr="00F472AA">
        <w:rPr>
          <w:sz w:val="22"/>
        </w:rPr>
        <w:t xml:space="preserve">Could representations be used to help mitigate the impact of any </w:t>
      </w:r>
      <w:r w:rsidR="0056700F" w:rsidRPr="00F472AA">
        <w:rPr>
          <w:sz w:val="22"/>
        </w:rPr>
        <w:t xml:space="preserve">information that is being considered for </w:t>
      </w:r>
      <w:r w:rsidR="00F574C8" w:rsidRPr="00F472AA">
        <w:rPr>
          <w:sz w:val="22"/>
        </w:rPr>
        <w:t>disclosure?</w:t>
      </w:r>
    </w:p>
    <w:p w14:paraId="2AEE1FF8" w14:textId="489AC1FA" w:rsidR="00302FA6" w:rsidRDefault="00302FA6" w:rsidP="000931B9">
      <w:pPr>
        <w:spacing w:before="240"/>
        <w:rPr>
          <w:color w:val="000000"/>
          <w:sz w:val="22"/>
        </w:rPr>
      </w:pPr>
      <w:r>
        <w:rPr>
          <w:sz w:val="22"/>
        </w:rPr>
        <w:t xml:space="preserve">Ultimately, after considering </w:t>
      </w:r>
      <w:proofErr w:type="gramStart"/>
      <w:r>
        <w:rPr>
          <w:sz w:val="22"/>
        </w:rPr>
        <w:t>all of</w:t>
      </w:r>
      <w:proofErr w:type="gramEnd"/>
      <w:r>
        <w:rPr>
          <w:sz w:val="22"/>
        </w:rPr>
        <w:t xml:space="preserve"> the information (and any representations from the applicant or medical professionals) you will still need to determine whether the risk to </w:t>
      </w:r>
      <w:r w:rsidR="00A73A67" w:rsidRPr="00F472AA">
        <w:rPr>
          <w:sz w:val="22"/>
        </w:rPr>
        <w:t>others</w:t>
      </w:r>
      <w:r w:rsidR="00A73A67">
        <w:rPr>
          <w:color w:val="0070C0"/>
          <w:sz w:val="22"/>
        </w:rPr>
        <w:t xml:space="preserve"> </w:t>
      </w:r>
      <w:r>
        <w:rPr>
          <w:sz w:val="22"/>
        </w:rPr>
        <w:t xml:space="preserve">outweighs the applicant’s right to a private life. </w:t>
      </w:r>
      <w:r>
        <w:rPr>
          <w:color w:val="000000"/>
          <w:sz w:val="22"/>
        </w:rPr>
        <w:t xml:space="preserve">You must establish </w:t>
      </w:r>
      <w:proofErr w:type="gramStart"/>
      <w:r>
        <w:rPr>
          <w:color w:val="000000"/>
          <w:sz w:val="22"/>
        </w:rPr>
        <w:t>whether or not</w:t>
      </w:r>
      <w:proofErr w:type="gramEnd"/>
      <w:r>
        <w:rPr>
          <w:color w:val="000000"/>
          <w:sz w:val="22"/>
        </w:rPr>
        <w:t xml:space="preserve"> you believe that the impact of disclosure on the private life of the applicant outweighs the potential risk to </w:t>
      </w:r>
      <w:r w:rsidR="000F0C7F" w:rsidRPr="00F472AA">
        <w:rPr>
          <w:sz w:val="22"/>
        </w:rPr>
        <w:t>others</w:t>
      </w:r>
      <w:r>
        <w:rPr>
          <w:color w:val="000000"/>
          <w:sz w:val="22"/>
        </w:rPr>
        <w:t xml:space="preserve"> from making no disclosure. In every case </w:t>
      </w:r>
      <w:r w:rsidR="00E709AD" w:rsidRPr="00F472AA">
        <w:rPr>
          <w:sz w:val="22"/>
        </w:rPr>
        <w:t>you</w:t>
      </w:r>
      <w:r w:rsidR="00E709AD">
        <w:rPr>
          <w:color w:val="0070C0"/>
          <w:sz w:val="22"/>
        </w:rPr>
        <w:t xml:space="preserve"> </w:t>
      </w:r>
      <w:r>
        <w:rPr>
          <w:color w:val="000000"/>
          <w:sz w:val="22"/>
        </w:rPr>
        <w:t>must consider whether there is likely to be an interference with the applicant’s private life, and if so whether that interference can be justified.</w:t>
      </w:r>
    </w:p>
    <w:p w14:paraId="0C4D2CF0" w14:textId="74106D6F" w:rsidR="00302FA6" w:rsidRDefault="00B54E88" w:rsidP="000931B9">
      <w:pPr>
        <w:spacing w:before="240"/>
        <w:rPr>
          <w:sz w:val="22"/>
        </w:rPr>
      </w:pPr>
      <w:r>
        <w:rPr>
          <w:color w:val="000000"/>
          <w:sz w:val="22"/>
        </w:rPr>
        <w:t>Where such relevant information exists, it is likely that</w:t>
      </w:r>
      <w:r w:rsidR="00302FA6">
        <w:rPr>
          <w:color w:val="000000"/>
          <w:sz w:val="22"/>
        </w:rPr>
        <w:t xml:space="preserve"> there will be both disruption to the private life of the applicant </w:t>
      </w:r>
      <w:r w:rsidR="00302FA6" w:rsidRPr="00032134">
        <w:rPr>
          <w:b/>
          <w:color w:val="000000"/>
          <w:sz w:val="22"/>
        </w:rPr>
        <w:t>and</w:t>
      </w:r>
      <w:r w:rsidR="00302FA6">
        <w:rPr>
          <w:color w:val="000000"/>
          <w:sz w:val="22"/>
        </w:rPr>
        <w:t xml:space="preserve"> a risk of harm to </w:t>
      </w:r>
      <w:r w:rsidR="00E709AD" w:rsidRPr="00F472AA">
        <w:rPr>
          <w:sz w:val="22"/>
        </w:rPr>
        <w:t>others</w:t>
      </w:r>
      <w:r w:rsidR="00302FA6">
        <w:rPr>
          <w:color w:val="000000"/>
          <w:sz w:val="22"/>
        </w:rPr>
        <w:t>. In such circumstances, the opinion of the courts is that</w:t>
      </w:r>
      <w:r w:rsidR="00B03DD3">
        <w:rPr>
          <w:color w:val="000000"/>
          <w:sz w:val="22"/>
        </w:rPr>
        <w:t>,</w:t>
      </w:r>
      <w:r w:rsidR="00302FA6">
        <w:rPr>
          <w:color w:val="000000"/>
          <w:sz w:val="22"/>
        </w:rPr>
        <w:t xml:space="preserve"> whilst Parliament has provided the pressing need through the application of statute, the authorising officer is required to consider whether the intrusion (from disclosure, upon the private life of the individual) is proportionate.</w:t>
      </w:r>
    </w:p>
    <w:p w14:paraId="07C19D60" w14:textId="77777777" w:rsidR="00302FA6" w:rsidRDefault="00302FA6" w:rsidP="000931B9">
      <w:pPr>
        <w:spacing w:before="240"/>
        <w:rPr>
          <w:color w:val="000000"/>
          <w:sz w:val="22"/>
        </w:rPr>
      </w:pPr>
      <w:r>
        <w:rPr>
          <w:sz w:val="22"/>
        </w:rPr>
        <w:lastRenderedPageBreak/>
        <w:t>Where you conclude ‘</w:t>
      </w:r>
      <w:proofErr w:type="spellStart"/>
      <w:r>
        <w:rPr>
          <w:sz w:val="22"/>
        </w:rPr>
        <w:t>yes’</w:t>
      </w:r>
      <w:proofErr w:type="spellEnd"/>
      <w:r>
        <w:rPr>
          <w:sz w:val="22"/>
        </w:rPr>
        <w:t xml:space="preserve"> - the risk to the vulnerable, from non-disclosure, is too great - you must ensure that your disclosure, whilst remaining</w:t>
      </w:r>
      <w:r w:rsidR="00032134">
        <w:rPr>
          <w:sz w:val="22"/>
        </w:rPr>
        <w:t xml:space="preserve"> accurate and</w:t>
      </w:r>
      <w:r>
        <w:rPr>
          <w:sz w:val="22"/>
        </w:rPr>
        <w:t xml:space="preserve"> informative, is also proportionate: </w:t>
      </w:r>
      <w:r w:rsidRPr="00302FA6">
        <w:rPr>
          <w:i/>
          <w:color w:val="000000"/>
          <w:sz w:val="22"/>
        </w:rPr>
        <w:t xml:space="preserve">“An enhanced disclosure must be meticulous and </w:t>
      </w:r>
      <w:proofErr w:type="gramStart"/>
      <w:r w:rsidRPr="00302FA6">
        <w:rPr>
          <w:i/>
          <w:color w:val="000000"/>
          <w:sz w:val="22"/>
        </w:rPr>
        <w:t>accurate, and</w:t>
      </w:r>
      <w:proofErr w:type="gramEnd"/>
      <w:r w:rsidRPr="00302FA6">
        <w:rPr>
          <w:i/>
          <w:color w:val="000000"/>
          <w:sz w:val="22"/>
        </w:rPr>
        <w:t xml:space="preserve"> go no further than is justified”</w:t>
      </w:r>
      <w:r>
        <w:rPr>
          <w:color w:val="000000"/>
          <w:sz w:val="22"/>
        </w:rPr>
        <w:t xml:space="preserve"> (Laws LJ).</w:t>
      </w:r>
    </w:p>
    <w:p w14:paraId="29BF2978" w14:textId="77777777" w:rsidR="00E41A69" w:rsidRPr="00E41A69" w:rsidRDefault="00E41A69" w:rsidP="000931B9">
      <w:pPr>
        <w:spacing w:before="240"/>
        <w:rPr>
          <w:i/>
          <w:sz w:val="22"/>
        </w:rPr>
      </w:pPr>
      <w:r w:rsidRPr="00E41A69">
        <w:rPr>
          <w:i/>
          <w:sz w:val="22"/>
        </w:rPr>
        <w:t xml:space="preserve">“Excluding a person from employment in her chosen field is liable to affect her ability to develop relationships with others, and the problems that this creates as regards the possibility of earning a living can have serious repercussions on the enjoyment of her private life…She is entitled also to have her good name and reputation protected …. The fact that a person has been excluded from employment is likely to get about and, if it does, the stigma will be considerable”.  “The question in these cases will be whether the interference with her private life can be justified”. </w:t>
      </w:r>
      <w:r w:rsidRPr="00C62CCE">
        <w:rPr>
          <w:sz w:val="22"/>
        </w:rPr>
        <w:t>[Case of L]</w:t>
      </w:r>
    </w:p>
    <w:p w14:paraId="25A69FE9" w14:textId="77777777" w:rsidR="00B03DD3" w:rsidRDefault="00B03DD3" w:rsidP="008571FF">
      <w:pPr>
        <w:spacing w:after="0"/>
        <w:rPr>
          <w:b/>
          <w:color w:val="000000"/>
          <w:u w:val="single"/>
        </w:rPr>
      </w:pPr>
    </w:p>
    <w:p w14:paraId="045173C8" w14:textId="77777777" w:rsidR="008571FF" w:rsidRPr="008571FF" w:rsidRDefault="008571FF" w:rsidP="008571FF">
      <w:pPr>
        <w:spacing w:after="0"/>
        <w:rPr>
          <w:b/>
          <w:color w:val="000000"/>
          <w:u w:val="single"/>
        </w:rPr>
      </w:pPr>
      <w:r w:rsidRPr="008571FF">
        <w:rPr>
          <w:b/>
          <w:color w:val="000000"/>
          <w:u w:val="single"/>
        </w:rPr>
        <w:t>Wording</w:t>
      </w:r>
    </w:p>
    <w:p w14:paraId="43D373BB" w14:textId="77777777" w:rsidR="00B03DD3" w:rsidRDefault="008571FF" w:rsidP="00C634DB">
      <w:pPr>
        <w:rPr>
          <w:color w:val="000000"/>
          <w:sz w:val="22"/>
        </w:rPr>
      </w:pPr>
      <w:r>
        <w:rPr>
          <w:color w:val="000000"/>
          <w:sz w:val="22"/>
        </w:rPr>
        <w:t>Care should be taken to avoid the following</w:t>
      </w:r>
      <w:r w:rsidR="00032134">
        <w:rPr>
          <w:color w:val="000000"/>
          <w:sz w:val="22"/>
        </w:rPr>
        <w:t xml:space="preserve"> type of disclosure</w:t>
      </w:r>
      <w:r>
        <w:rPr>
          <w:color w:val="000000"/>
          <w:sz w:val="22"/>
        </w:rPr>
        <w:t>:</w:t>
      </w:r>
    </w:p>
    <w:p w14:paraId="220BAFFE" w14:textId="77777777" w:rsidR="00B03DD3" w:rsidRPr="006929D4" w:rsidRDefault="008571FF" w:rsidP="00C634DB">
      <w:pPr>
        <w:rPr>
          <w:color w:val="FF0000"/>
          <w:sz w:val="22"/>
        </w:rPr>
      </w:pPr>
      <w:r w:rsidRPr="00B03DD3">
        <w:rPr>
          <w:i/>
          <w:color w:val="000000"/>
          <w:sz w:val="22"/>
        </w:rPr>
        <w:t xml:space="preserve"> </w:t>
      </w:r>
      <w:r w:rsidRPr="006929D4">
        <w:rPr>
          <w:i/>
          <w:color w:val="FF0000"/>
          <w:sz w:val="22"/>
        </w:rPr>
        <w:t xml:space="preserve">“Wessex Police are not in a position to know whether Mr Alias may pose a </w:t>
      </w:r>
      <w:proofErr w:type="gramStart"/>
      <w:r w:rsidRPr="006929D4">
        <w:rPr>
          <w:i/>
          <w:color w:val="FF0000"/>
          <w:sz w:val="22"/>
        </w:rPr>
        <w:t>risk</w:t>
      </w:r>
      <w:proofErr w:type="gramEnd"/>
      <w:r w:rsidRPr="006929D4">
        <w:rPr>
          <w:i/>
          <w:color w:val="FF0000"/>
          <w:sz w:val="22"/>
        </w:rPr>
        <w:t xml:space="preserve"> but his prospective employer will be in a position to assess any risk for themselves</w:t>
      </w:r>
      <w:r w:rsidR="00B03DD3" w:rsidRPr="006929D4">
        <w:rPr>
          <w:i/>
          <w:color w:val="FF0000"/>
          <w:sz w:val="22"/>
        </w:rPr>
        <w:t>.</w:t>
      </w:r>
      <w:r w:rsidRPr="006929D4">
        <w:rPr>
          <w:i/>
          <w:color w:val="FF0000"/>
          <w:sz w:val="22"/>
        </w:rPr>
        <w:t>”</w:t>
      </w:r>
      <w:r w:rsidRPr="006929D4">
        <w:rPr>
          <w:color w:val="FF0000"/>
          <w:sz w:val="22"/>
        </w:rPr>
        <w:t xml:space="preserve"> </w:t>
      </w:r>
    </w:p>
    <w:p w14:paraId="356B5BB2" w14:textId="558C9C58" w:rsidR="008571FF" w:rsidRPr="00E91053" w:rsidRDefault="00B03DD3" w:rsidP="00C634DB">
      <w:pPr>
        <w:rPr>
          <w:sz w:val="22"/>
        </w:rPr>
      </w:pPr>
      <w:r w:rsidRPr="00E91053">
        <w:rPr>
          <w:sz w:val="22"/>
        </w:rPr>
        <w:t>I</w:t>
      </w:r>
      <w:r w:rsidR="008571FF" w:rsidRPr="00E91053">
        <w:rPr>
          <w:sz w:val="22"/>
        </w:rPr>
        <w:t>f the risk is not identified</w:t>
      </w:r>
      <w:r w:rsidRPr="00E91053">
        <w:rPr>
          <w:sz w:val="22"/>
        </w:rPr>
        <w:t xml:space="preserve"> </w:t>
      </w:r>
      <w:r w:rsidR="002836CB" w:rsidRPr="00E91053">
        <w:rPr>
          <w:sz w:val="22"/>
        </w:rPr>
        <w:t>then,</w:t>
      </w:r>
      <w:r w:rsidRPr="00E91053">
        <w:rPr>
          <w:sz w:val="22"/>
        </w:rPr>
        <w:t xml:space="preserve"> it is not known -</w:t>
      </w:r>
      <w:r w:rsidR="008571FF" w:rsidRPr="00E91053">
        <w:rPr>
          <w:sz w:val="22"/>
        </w:rPr>
        <w:t xml:space="preserve"> how could this pass both tests (</w:t>
      </w:r>
      <w:r w:rsidR="008571FF" w:rsidRPr="00E91053">
        <w:rPr>
          <w:b/>
          <w:i/>
          <w:sz w:val="22"/>
        </w:rPr>
        <w:t>relevant</w:t>
      </w:r>
      <w:r w:rsidR="008571FF" w:rsidRPr="00E91053">
        <w:rPr>
          <w:sz w:val="22"/>
        </w:rPr>
        <w:t xml:space="preserve"> and </w:t>
      </w:r>
      <w:r w:rsidR="008571FF" w:rsidRPr="00E91053">
        <w:rPr>
          <w:b/>
          <w:i/>
          <w:sz w:val="22"/>
        </w:rPr>
        <w:t>ought to</w:t>
      </w:r>
      <w:r w:rsidR="008571FF" w:rsidRPr="00E91053">
        <w:rPr>
          <w:sz w:val="22"/>
        </w:rPr>
        <w:t>?)</w:t>
      </w:r>
      <w:r w:rsidR="00532920" w:rsidRPr="00E91053">
        <w:rPr>
          <w:sz w:val="22"/>
        </w:rPr>
        <w:t xml:space="preserve">. A disclosure should be self-contained, clear and concise </w:t>
      </w:r>
      <w:r w:rsidR="00032134" w:rsidRPr="00E91053">
        <w:rPr>
          <w:sz w:val="22"/>
        </w:rPr>
        <w:t>– it must</w:t>
      </w:r>
      <w:r w:rsidR="00532920" w:rsidRPr="00E91053">
        <w:rPr>
          <w:sz w:val="22"/>
        </w:rPr>
        <w:t xml:space="preserve"> not leave the reader with unanswered questions or wondering why </w:t>
      </w:r>
      <w:r w:rsidR="00032134" w:rsidRPr="00E91053">
        <w:rPr>
          <w:sz w:val="22"/>
        </w:rPr>
        <w:t>you</w:t>
      </w:r>
      <w:r w:rsidR="00532920" w:rsidRPr="00E91053">
        <w:rPr>
          <w:sz w:val="22"/>
        </w:rPr>
        <w:t xml:space="preserve"> deemed </w:t>
      </w:r>
      <w:r w:rsidR="00032134" w:rsidRPr="00E91053">
        <w:rPr>
          <w:sz w:val="22"/>
        </w:rPr>
        <w:t xml:space="preserve">it </w:t>
      </w:r>
      <w:r w:rsidR="00532920" w:rsidRPr="00E91053">
        <w:rPr>
          <w:sz w:val="22"/>
        </w:rPr>
        <w:t>necessary to disclose at all.</w:t>
      </w:r>
    </w:p>
    <w:p w14:paraId="72A98CE2" w14:textId="77777777" w:rsidR="00302FA6" w:rsidRPr="00E91053" w:rsidRDefault="00302FA6" w:rsidP="00C634DB">
      <w:pPr>
        <w:rPr>
          <w:sz w:val="22"/>
        </w:rPr>
      </w:pPr>
      <w:r w:rsidRPr="00E91053">
        <w:rPr>
          <w:sz w:val="22"/>
        </w:rPr>
        <w:t xml:space="preserve">The dignity of the individual should also be a </w:t>
      </w:r>
      <w:proofErr w:type="gramStart"/>
      <w:r w:rsidRPr="00E91053">
        <w:rPr>
          <w:sz w:val="22"/>
        </w:rPr>
        <w:t>consideration</w:t>
      </w:r>
      <w:proofErr w:type="gramEnd"/>
      <w:r w:rsidRPr="00E91053">
        <w:rPr>
          <w:sz w:val="22"/>
        </w:rPr>
        <w:t xml:space="preserve"> and your disclosure should not reveal aspects of their </w:t>
      </w:r>
      <w:r w:rsidR="00B03DD3" w:rsidRPr="00E91053">
        <w:rPr>
          <w:sz w:val="22"/>
        </w:rPr>
        <w:t>illness -</w:t>
      </w:r>
      <w:r w:rsidRPr="00E91053">
        <w:rPr>
          <w:sz w:val="22"/>
        </w:rPr>
        <w:t xml:space="preserve"> or of specifics aspect</w:t>
      </w:r>
      <w:r w:rsidR="00B03DD3" w:rsidRPr="00E91053">
        <w:rPr>
          <w:sz w:val="22"/>
        </w:rPr>
        <w:t>s of their behaviour whilst ill -</w:t>
      </w:r>
      <w:r w:rsidRPr="00E91053">
        <w:rPr>
          <w:sz w:val="22"/>
        </w:rPr>
        <w:t xml:space="preserve"> that are neither relevant nor proportionate to need.</w:t>
      </w:r>
    </w:p>
    <w:p w14:paraId="6D8EB668" w14:textId="77777777" w:rsidR="00F77246" w:rsidRDefault="00F77246" w:rsidP="00F77246">
      <w:pPr>
        <w:spacing w:after="0"/>
        <w:rPr>
          <w:b/>
          <w:color w:val="000000"/>
          <w:u w:val="single"/>
        </w:rPr>
      </w:pPr>
    </w:p>
    <w:p w14:paraId="16F89ACF" w14:textId="77777777" w:rsidR="00F77246" w:rsidRPr="008571FF" w:rsidRDefault="00F77246" w:rsidP="00F77246">
      <w:pPr>
        <w:spacing w:after="0"/>
        <w:rPr>
          <w:b/>
          <w:color w:val="000000"/>
          <w:u w:val="single"/>
        </w:rPr>
      </w:pPr>
      <w:r>
        <w:rPr>
          <w:b/>
          <w:color w:val="000000"/>
          <w:u w:val="single"/>
        </w:rPr>
        <w:t>Conclusion</w:t>
      </w:r>
    </w:p>
    <w:p w14:paraId="5A57C7BF" w14:textId="77777777" w:rsidR="00402676" w:rsidRDefault="00302FA6" w:rsidP="00C634DB">
      <w:pPr>
        <w:rPr>
          <w:sz w:val="22"/>
        </w:rPr>
      </w:pPr>
      <w:r>
        <w:rPr>
          <w:sz w:val="22"/>
        </w:rPr>
        <w:t xml:space="preserve">QAF </w:t>
      </w:r>
      <w:r w:rsidR="00F77246">
        <w:rPr>
          <w:sz w:val="22"/>
        </w:rPr>
        <w:t xml:space="preserve">(and related reference </w:t>
      </w:r>
      <w:r w:rsidR="00532920">
        <w:rPr>
          <w:sz w:val="22"/>
        </w:rPr>
        <w:t>matter</w:t>
      </w:r>
      <w:r w:rsidR="00F77246">
        <w:rPr>
          <w:sz w:val="22"/>
        </w:rPr>
        <w:t xml:space="preserve">) </w:t>
      </w:r>
      <w:r>
        <w:rPr>
          <w:sz w:val="22"/>
        </w:rPr>
        <w:t xml:space="preserve">contains all that is </w:t>
      </w:r>
      <w:r w:rsidR="00402676">
        <w:rPr>
          <w:sz w:val="22"/>
        </w:rPr>
        <w:t>necessary</w:t>
      </w:r>
      <w:r>
        <w:rPr>
          <w:sz w:val="22"/>
        </w:rPr>
        <w:t xml:space="preserve"> for one to </w:t>
      </w:r>
      <w:r w:rsidR="00D35C0F">
        <w:rPr>
          <w:sz w:val="22"/>
        </w:rPr>
        <w:t>begin assessing</w:t>
      </w:r>
      <w:r>
        <w:rPr>
          <w:sz w:val="22"/>
        </w:rPr>
        <w:t xml:space="preserve"> information concerning matters of mental health</w:t>
      </w:r>
      <w:r w:rsidR="00A85155">
        <w:rPr>
          <w:sz w:val="22"/>
        </w:rPr>
        <w:t>; assessment of less clear-cut cases or those with incomplete information present the greatest challenge. Consider:</w:t>
      </w:r>
    </w:p>
    <w:p w14:paraId="7496CE57" w14:textId="35431E75" w:rsidR="00402676" w:rsidRPr="00E91053" w:rsidRDefault="00D35C0F" w:rsidP="00402676">
      <w:pPr>
        <w:numPr>
          <w:ilvl w:val="0"/>
          <w:numId w:val="3"/>
        </w:numPr>
        <w:spacing w:after="60"/>
        <w:ind w:left="714" w:hanging="357"/>
        <w:rPr>
          <w:sz w:val="22"/>
          <w:szCs w:val="24"/>
        </w:rPr>
      </w:pPr>
      <w:r w:rsidRPr="003642FF">
        <w:rPr>
          <w:sz w:val="20"/>
        </w:rPr>
        <w:t>‘</w:t>
      </w:r>
      <w:r w:rsidR="00402676" w:rsidRPr="00E91053">
        <w:rPr>
          <w:sz w:val="22"/>
          <w:szCs w:val="24"/>
        </w:rPr>
        <w:t>relevant</w:t>
      </w:r>
      <w:r w:rsidRPr="00E91053">
        <w:rPr>
          <w:sz w:val="22"/>
          <w:szCs w:val="24"/>
        </w:rPr>
        <w:t>’</w:t>
      </w:r>
      <w:r w:rsidR="00402676" w:rsidRPr="00E91053">
        <w:rPr>
          <w:sz w:val="22"/>
          <w:szCs w:val="24"/>
        </w:rPr>
        <w:t xml:space="preserve"> </w:t>
      </w:r>
      <w:r w:rsidR="00A85155" w:rsidRPr="00E91053">
        <w:rPr>
          <w:sz w:val="22"/>
          <w:szCs w:val="24"/>
        </w:rPr>
        <w:t xml:space="preserve">– have you clearly established a </w:t>
      </w:r>
      <w:r w:rsidR="00B03DD3" w:rsidRPr="00E91053">
        <w:rPr>
          <w:sz w:val="22"/>
          <w:szCs w:val="24"/>
          <w:u w:val="single"/>
        </w:rPr>
        <w:t xml:space="preserve">clear and </w:t>
      </w:r>
      <w:r w:rsidR="00A85155" w:rsidRPr="00E91053">
        <w:rPr>
          <w:sz w:val="22"/>
          <w:szCs w:val="24"/>
          <w:u w:val="single"/>
        </w:rPr>
        <w:t>current</w:t>
      </w:r>
      <w:r w:rsidR="00A85155" w:rsidRPr="00E91053">
        <w:rPr>
          <w:sz w:val="22"/>
          <w:szCs w:val="24"/>
        </w:rPr>
        <w:t xml:space="preserve"> risk to </w:t>
      </w:r>
      <w:r w:rsidR="00E91053" w:rsidRPr="00F472AA">
        <w:rPr>
          <w:sz w:val="22"/>
          <w:szCs w:val="24"/>
        </w:rPr>
        <w:t>others</w:t>
      </w:r>
      <w:r w:rsidR="00A85155" w:rsidRPr="00E91053">
        <w:rPr>
          <w:sz w:val="22"/>
          <w:szCs w:val="24"/>
        </w:rPr>
        <w:t>?</w:t>
      </w:r>
    </w:p>
    <w:p w14:paraId="5876C548" w14:textId="77777777" w:rsidR="00402676" w:rsidRPr="00E91053" w:rsidRDefault="00A85155" w:rsidP="00402676">
      <w:pPr>
        <w:numPr>
          <w:ilvl w:val="0"/>
          <w:numId w:val="3"/>
        </w:numPr>
        <w:spacing w:after="60"/>
        <w:ind w:left="714" w:hanging="357"/>
        <w:rPr>
          <w:sz w:val="22"/>
          <w:szCs w:val="24"/>
        </w:rPr>
      </w:pPr>
      <w:r w:rsidRPr="00E91053">
        <w:rPr>
          <w:sz w:val="22"/>
          <w:szCs w:val="24"/>
        </w:rPr>
        <w:t>s</w:t>
      </w:r>
      <w:r w:rsidR="00402676" w:rsidRPr="00E91053">
        <w:rPr>
          <w:sz w:val="22"/>
          <w:szCs w:val="24"/>
        </w:rPr>
        <w:t>ubstantiation</w:t>
      </w:r>
      <w:r w:rsidRPr="00E91053">
        <w:rPr>
          <w:sz w:val="22"/>
          <w:szCs w:val="24"/>
        </w:rPr>
        <w:t xml:space="preserve"> – </w:t>
      </w:r>
      <w:r w:rsidR="00AE0404" w:rsidRPr="00E91053">
        <w:rPr>
          <w:sz w:val="22"/>
          <w:szCs w:val="24"/>
        </w:rPr>
        <w:t xml:space="preserve">is your information </w:t>
      </w:r>
      <w:r w:rsidRPr="00E91053">
        <w:rPr>
          <w:sz w:val="22"/>
          <w:szCs w:val="24"/>
        </w:rPr>
        <w:t xml:space="preserve">hearsay or confirmed by </w:t>
      </w:r>
      <w:r w:rsidR="00B03DD3" w:rsidRPr="00E91053">
        <w:rPr>
          <w:sz w:val="22"/>
          <w:szCs w:val="24"/>
        </w:rPr>
        <w:t xml:space="preserve">a </w:t>
      </w:r>
      <w:r w:rsidRPr="00E91053">
        <w:rPr>
          <w:sz w:val="22"/>
          <w:szCs w:val="24"/>
        </w:rPr>
        <w:t>qualified party?</w:t>
      </w:r>
    </w:p>
    <w:p w14:paraId="5F7B47BA" w14:textId="77777777" w:rsidR="00A85155" w:rsidRPr="00E91053" w:rsidRDefault="00A85155" w:rsidP="00A85155">
      <w:pPr>
        <w:numPr>
          <w:ilvl w:val="0"/>
          <w:numId w:val="3"/>
        </w:numPr>
        <w:spacing w:after="60"/>
        <w:ind w:left="714" w:hanging="357"/>
        <w:rPr>
          <w:sz w:val="22"/>
          <w:szCs w:val="24"/>
        </w:rPr>
      </w:pPr>
      <w:r w:rsidRPr="00E91053">
        <w:rPr>
          <w:sz w:val="22"/>
          <w:szCs w:val="24"/>
        </w:rPr>
        <w:t>p</w:t>
      </w:r>
      <w:r w:rsidR="00AE0404" w:rsidRPr="00E91053">
        <w:rPr>
          <w:sz w:val="22"/>
          <w:szCs w:val="24"/>
        </w:rPr>
        <w:t>roportionate</w:t>
      </w:r>
      <w:r w:rsidRPr="00E91053">
        <w:rPr>
          <w:sz w:val="22"/>
          <w:szCs w:val="24"/>
        </w:rPr>
        <w:t xml:space="preserve"> – </w:t>
      </w:r>
      <w:r w:rsidR="00AE0404" w:rsidRPr="00E91053">
        <w:rPr>
          <w:sz w:val="22"/>
          <w:szCs w:val="24"/>
        </w:rPr>
        <w:t>would</w:t>
      </w:r>
      <w:r w:rsidRPr="00E91053">
        <w:rPr>
          <w:sz w:val="22"/>
          <w:szCs w:val="24"/>
        </w:rPr>
        <w:t xml:space="preserve"> disclosure </w:t>
      </w:r>
      <w:r w:rsidR="00AE0404" w:rsidRPr="00E91053">
        <w:rPr>
          <w:sz w:val="22"/>
          <w:szCs w:val="24"/>
        </w:rPr>
        <w:t xml:space="preserve">be </w:t>
      </w:r>
      <w:r w:rsidRPr="00E91053">
        <w:rPr>
          <w:sz w:val="22"/>
          <w:szCs w:val="24"/>
        </w:rPr>
        <w:t>proportionate in this instance?</w:t>
      </w:r>
    </w:p>
    <w:p w14:paraId="177B8BFB" w14:textId="77777777" w:rsidR="00A85155" w:rsidRPr="00E91053" w:rsidRDefault="00A85155" w:rsidP="00A85155">
      <w:pPr>
        <w:numPr>
          <w:ilvl w:val="0"/>
          <w:numId w:val="3"/>
        </w:numPr>
        <w:spacing w:after="60"/>
        <w:ind w:left="714" w:hanging="357"/>
        <w:rPr>
          <w:sz w:val="22"/>
          <w:szCs w:val="24"/>
        </w:rPr>
      </w:pPr>
      <w:r w:rsidRPr="00E91053">
        <w:rPr>
          <w:sz w:val="22"/>
          <w:szCs w:val="24"/>
        </w:rPr>
        <w:t xml:space="preserve">representation – do you need to </w:t>
      </w:r>
      <w:r w:rsidR="00AE0404" w:rsidRPr="00E91053">
        <w:rPr>
          <w:sz w:val="22"/>
          <w:szCs w:val="24"/>
        </w:rPr>
        <w:t>check</w:t>
      </w:r>
      <w:r w:rsidR="00B03DD3" w:rsidRPr="00E91053">
        <w:rPr>
          <w:sz w:val="22"/>
          <w:szCs w:val="24"/>
        </w:rPr>
        <w:t xml:space="preserve"> or confirm</w:t>
      </w:r>
      <w:r w:rsidRPr="00E91053">
        <w:rPr>
          <w:sz w:val="22"/>
          <w:szCs w:val="24"/>
        </w:rPr>
        <w:t xml:space="preserve"> pertinent aspects of the information?</w:t>
      </w:r>
    </w:p>
    <w:p w14:paraId="79B5D4C0" w14:textId="77777777" w:rsidR="00AE0404" w:rsidRPr="00E91053" w:rsidRDefault="00AE0404" w:rsidP="00AE0404">
      <w:pPr>
        <w:numPr>
          <w:ilvl w:val="0"/>
          <w:numId w:val="3"/>
        </w:numPr>
        <w:spacing w:after="60"/>
        <w:ind w:left="714" w:hanging="357"/>
        <w:rPr>
          <w:sz w:val="22"/>
          <w:szCs w:val="24"/>
        </w:rPr>
      </w:pPr>
      <w:r w:rsidRPr="00E91053">
        <w:rPr>
          <w:sz w:val="22"/>
          <w:szCs w:val="24"/>
        </w:rPr>
        <w:t>‘</w:t>
      </w:r>
      <w:proofErr w:type="gramStart"/>
      <w:r w:rsidRPr="00E91053">
        <w:rPr>
          <w:sz w:val="22"/>
          <w:szCs w:val="24"/>
        </w:rPr>
        <w:t>ought</w:t>
      </w:r>
      <w:proofErr w:type="gramEnd"/>
      <w:r w:rsidRPr="00E91053">
        <w:rPr>
          <w:sz w:val="22"/>
          <w:szCs w:val="24"/>
        </w:rPr>
        <w:t xml:space="preserve"> to’ – is disclosure necessary? </w:t>
      </w:r>
      <w:r w:rsidR="00AB4954" w:rsidRPr="00E91053">
        <w:rPr>
          <w:sz w:val="22"/>
          <w:szCs w:val="24"/>
        </w:rPr>
        <w:t>Have you assessed</w:t>
      </w:r>
      <w:r w:rsidRPr="00E91053">
        <w:rPr>
          <w:sz w:val="22"/>
          <w:szCs w:val="24"/>
        </w:rPr>
        <w:t xml:space="preserve"> </w:t>
      </w:r>
      <w:r w:rsidR="00B03DD3" w:rsidRPr="00E91053">
        <w:rPr>
          <w:sz w:val="22"/>
          <w:szCs w:val="24"/>
        </w:rPr>
        <w:t xml:space="preserve">the </w:t>
      </w:r>
      <w:r w:rsidRPr="00E91053">
        <w:rPr>
          <w:sz w:val="22"/>
          <w:szCs w:val="24"/>
        </w:rPr>
        <w:t xml:space="preserve">impact on the applicant? </w:t>
      </w:r>
    </w:p>
    <w:p w14:paraId="4FAFCF46" w14:textId="3C119CF3" w:rsidR="00AE0404" w:rsidRPr="00E91053" w:rsidRDefault="00AE0404" w:rsidP="00D35C0F">
      <w:pPr>
        <w:numPr>
          <w:ilvl w:val="0"/>
          <w:numId w:val="3"/>
        </w:numPr>
        <w:spacing w:after="60"/>
        <w:ind w:left="714" w:hanging="357"/>
        <w:rPr>
          <w:sz w:val="22"/>
          <w:szCs w:val="24"/>
        </w:rPr>
      </w:pPr>
      <w:r w:rsidRPr="00E91053">
        <w:rPr>
          <w:sz w:val="22"/>
          <w:szCs w:val="24"/>
        </w:rPr>
        <w:t>reasonable (Wednesbury Principles</w:t>
      </w:r>
      <w:r w:rsidR="00A73C9B">
        <w:rPr>
          <w:sz w:val="22"/>
          <w:szCs w:val="24"/>
        </w:rPr>
        <w:t>*</w:t>
      </w:r>
      <w:r w:rsidRPr="00E91053">
        <w:rPr>
          <w:sz w:val="22"/>
          <w:szCs w:val="24"/>
        </w:rPr>
        <w:t>) – are your opinions/conclusions reasonable?</w:t>
      </w:r>
    </w:p>
    <w:p w14:paraId="26AF7E48" w14:textId="77777777" w:rsidR="00D35C0F" w:rsidRPr="00E91053" w:rsidRDefault="00D35C0F" w:rsidP="00D35C0F">
      <w:pPr>
        <w:numPr>
          <w:ilvl w:val="0"/>
          <w:numId w:val="3"/>
        </w:numPr>
        <w:spacing w:after="60"/>
        <w:ind w:left="714" w:hanging="357"/>
        <w:rPr>
          <w:sz w:val="22"/>
          <w:szCs w:val="24"/>
        </w:rPr>
      </w:pPr>
      <w:r w:rsidRPr="00E91053">
        <w:rPr>
          <w:sz w:val="22"/>
          <w:szCs w:val="24"/>
        </w:rPr>
        <w:t xml:space="preserve">final </w:t>
      </w:r>
      <w:r w:rsidR="00402676" w:rsidRPr="00E91053">
        <w:rPr>
          <w:sz w:val="22"/>
          <w:szCs w:val="24"/>
        </w:rPr>
        <w:t>disclosure text</w:t>
      </w:r>
      <w:r w:rsidR="00A85155" w:rsidRPr="00E91053">
        <w:rPr>
          <w:sz w:val="22"/>
          <w:szCs w:val="24"/>
        </w:rPr>
        <w:t xml:space="preserve"> – </w:t>
      </w:r>
      <w:r w:rsidR="00AE0404" w:rsidRPr="00E91053">
        <w:rPr>
          <w:sz w:val="22"/>
          <w:szCs w:val="24"/>
        </w:rPr>
        <w:t>are you disclosing</w:t>
      </w:r>
      <w:r w:rsidR="00A85155" w:rsidRPr="00E91053">
        <w:rPr>
          <w:sz w:val="22"/>
          <w:szCs w:val="24"/>
        </w:rPr>
        <w:t xml:space="preserve"> more than is justified</w:t>
      </w:r>
      <w:r w:rsidR="00AE0404" w:rsidRPr="00E91053">
        <w:rPr>
          <w:sz w:val="22"/>
          <w:szCs w:val="24"/>
        </w:rPr>
        <w:t>?</w:t>
      </w:r>
      <w:r w:rsidR="00AB4954" w:rsidRPr="00E91053">
        <w:rPr>
          <w:sz w:val="22"/>
          <w:szCs w:val="24"/>
        </w:rPr>
        <w:t xml:space="preserve"> Is it balanced?</w:t>
      </w:r>
    </w:p>
    <w:p w14:paraId="358C5F6E" w14:textId="77777777" w:rsidR="00B54E88" w:rsidRDefault="00B54E88" w:rsidP="00B54E88">
      <w:pPr>
        <w:spacing w:after="60"/>
        <w:rPr>
          <w:sz w:val="20"/>
        </w:rPr>
      </w:pPr>
    </w:p>
    <w:p w14:paraId="40BA9177" w14:textId="77777777" w:rsidR="00F96F1D" w:rsidRDefault="00F96F1D" w:rsidP="00B54E88">
      <w:pPr>
        <w:spacing w:after="60"/>
        <w:rPr>
          <w:sz w:val="20"/>
        </w:rPr>
      </w:pPr>
    </w:p>
    <w:p w14:paraId="436A0826" w14:textId="77777777" w:rsidR="00F96F1D" w:rsidRDefault="00F96F1D" w:rsidP="00B54E88">
      <w:pPr>
        <w:spacing w:after="60"/>
        <w:rPr>
          <w:sz w:val="20"/>
        </w:rPr>
      </w:pPr>
    </w:p>
    <w:p w14:paraId="5D22AFD7" w14:textId="77777777" w:rsidR="00F96F1D" w:rsidRDefault="00F96F1D" w:rsidP="00B54E88">
      <w:pPr>
        <w:spacing w:after="60"/>
        <w:rPr>
          <w:sz w:val="20"/>
        </w:rPr>
      </w:pPr>
    </w:p>
    <w:p w14:paraId="2C9544B5" w14:textId="3BA82148" w:rsidR="00FB2DE3" w:rsidRPr="00F96F1D" w:rsidRDefault="00A73C9B" w:rsidP="00FB2DE3">
      <w:pPr>
        <w:autoSpaceDE w:val="0"/>
        <w:autoSpaceDN w:val="0"/>
        <w:adjustRightInd w:val="0"/>
        <w:spacing w:line="288" w:lineRule="auto"/>
        <w:rPr>
          <w:sz w:val="22"/>
          <w:u w:val="single"/>
        </w:rPr>
      </w:pPr>
      <w:r w:rsidRPr="00F96F1D">
        <w:rPr>
          <w:b/>
          <w:bCs/>
          <w:sz w:val="22"/>
        </w:rPr>
        <w:lastRenderedPageBreak/>
        <w:t>*</w:t>
      </w:r>
      <w:r w:rsidR="00FB2DE3" w:rsidRPr="00F96F1D">
        <w:rPr>
          <w:b/>
          <w:bCs/>
          <w:sz w:val="22"/>
        </w:rPr>
        <w:t>The Wednesbury Principles</w:t>
      </w:r>
    </w:p>
    <w:p w14:paraId="7579A3D9" w14:textId="3F146E58" w:rsidR="00FB2DE3" w:rsidRPr="00F96F1D" w:rsidRDefault="00FB2DE3" w:rsidP="00FB2DE3">
      <w:pPr>
        <w:autoSpaceDE w:val="0"/>
        <w:autoSpaceDN w:val="0"/>
        <w:adjustRightInd w:val="0"/>
        <w:spacing w:line="288" w:lineRule="auto"/>
        <w:rPr>
          <w:sz w:val="22"/>
        </w:rPr>
      </w:pPr>
      <w:r w:rsidRPr="00F96F1D">
        <w:rPr>
          <w:i/>
          <w:iCs/>
          <w:sz w:val="22"/>
        </w:rPr>
        <w:t xml:space="preserve"> </w:t>
      </w:r>
      <w:r w:rsidRPr="00F96F1D">
        <w:rPr>
          <w:sz w:val="22"/>
        </w:rPr>
        <w:t xml:space="preserve">- play an integral part of your </w:t>
      </w:r>
      <w:r w:rsidR="00A73C9B" w:rsidRPr="00F96F1D">
        <w:rPr>
          <w:sz w:val="22"/>
        </w:rPr>
        <w:t>decision-making</w:t>
      </w:r>
      <w:r w:rsidRPr="00F96F1D">
        <w:rPr>
          <w:sz w:val="22"/>
        </w:rPr>
        <w:t xml:space="preserve"> process. </w:t>
      </w:r>
    </w:p>
    <w:p w14:paraId="568FC2B4" w14:textId="77777777" w:rsidR="00FB2DE3" w:rsidRPr="00F96F1D" w:rsidRDefault="00FB2DE3" w:rsidP="00FB2DE3">
      <w:pPr>
        <w:autoSpaceDE w:val="0"/>
        <w:autoSpaceDN w:val="0"/>
        <w:adjustRightInd w:val="0"/>
        <w:spacing w:after="60" w:line="288" w:lineRule="auto"/>
        <w:rPr>
          <w:sz w:val="22"/>
        </w:rPr>
      </w:pPr>
      <w:r w:rsidRPr="00F96F1D">
        <w:rPr>
          <w:sz w:val="22"/>
        </w:rPr>
        <w:t>The following is taken from the Treasury Solicitor’s Department publication “</w:t>
      </w:r>
      <w:r w:rsidRPr="00F96F1D">
        <w:rPr>
          <w:i/>
          <w:iCs/>
          <w:sz w:val="22"/>
        </w:rPr>
        <w:t>The Judge over your shoulder</w:t>
      </w:r>
      <w:r w:rsidRPr="00F96F1D">
        <w:rPr>
          <w:sz w:val="22"/>
        </w:rPr>
        <w:t xml:space="preserve">” (recommended reading): </w:t>
      </w:r>
    </w:p>
    <w:p w14:paraId="642D4B6E" w14:textId="77777777" w:rsidR="00FB2DE3" w:rsidRPr="00F96F1D" w:rsidRDefault="00FB2DE3" w:rsidP="00FB2DE3">
      <w:pPr>
        <w:autoSpaceDE w:val="0"/>
        <w:autoSpaceDN w:val="0"/>
        <w:adjustRightInd w:val="0"/>
        <w:spacing w:line="288" w:lineRule="auto"/>
        <w:rPr>
          <w:i/>
          <w:iCs/>
          <w:sz w:val="22"/>
          <w:lang w:val="en-US"/>
        </w:rPr>
      </w:pPr>
      <w:r w:rsidRPr="00F96F1D">
        <w:rPr>
          <w:i/>
          <w:iCs/>
          <w:sz w:val="22"/>
        </w:rPr>
        <w:t>“</w:t>
      </w:r>
      <w:r w:rsidRPr="00F96F1D">
        <w:rPr>
          <w:i/>
          <w:iCs/>
          <w:sz w:val="22"/>
          <w:lang w:val="en-US"/>
        </w:rPr>
        <w:t xml:space="preserve">There are three "logical principles" to be followed in </w:t>
      </w:r>
      <w:proofErr w:type="gramStart"/>
      <w:r w:rsidRPr="00F96F1D">
        <w:rPr>
          <w:i/>
          <w:iCs/>
          <w:sz w:val="22"/>
          <w:lang w:val="en-US"/>
        </w:rPr>
        <w:t>making a decision</w:t>
      </w:r>
      <w:proofErr w:type="gramEnd"/>
      <w:r w:rsidRPr="00F96F1D">
        <w:rPr>
          <w:i/>
          <w:iCs/>
          <w:sz w:val="22"/>
        </w:rPr>
        <w:t>, t</w:t>
      </w:r>
      <w:r w:rsidRPr="00F96F1D">
        <w:rPr>
          <w:i/>
          <w:iCs/>
          <w:sz w:val="22"/>
          <w:lang w:val="en-US"/>
        </w:rPr>
        <w:t>hey are called the "</w:t>
      </w:r>
      <w:proofErr w:type="spellStart"/>
      <w:r w:rsidRPr="00F96F1D">
        <w:rPr>
          <w:i/>
          <w:iCs/>
          <w:sz w:val="22"/>
          <w:lang w:val="en-US"/>
        </w:rPr>
        <w:t>Wednesbury</w:t>
      </w:r>
      <w:proofErr w:type="spellEnd"/>
      <w:r w:rsidRPr="00F96F1D">
        <w:rPr>
          <w:i/>
          <w:iCs/>
          <w:sz w:val="22"/>
          <w:lang w:val="en-US"/>
        </w:rPr>
        <w:t xml:space="preserve"> principles", after the licensing case in which they were formulated:</w:t>
      </w:r>
    </w:p>
    <w:p w14:paraId="38B3A536" w14:textId="77777777" w:rsidR="00FB2DE3" w:rsidRPr="00F96F1D" w:rsidRDefault="00FB2DE3" w:rsidP="00FB2DE3">
      <w:pPr>
        <w:numPr>
          <w:ilvl w:val="0"/>
          <w:numId w:val="6"/>
        </w:numPr>
        <w:autoSpaceDE w:val="0"/>
        <w:autoSpaceDN w:val="0"/>
        <w:adjustRightInd w:val="0"/>
        <w:spacing w:before="60" w:after="0" w:line="288" w:lineRule="auto"/>
        <w:ind w:left="360" w:hanging="360"/>
        <w:rPr>
          <w:i/>
          <w:iCs/>
          <w:sz w:val="22"/>
          <w:lang w:val="en-US"/>
        </w:rPr>
      </w:pPr>
      <w:r w:rsidRPr="00F96F1D">
        <w:rPr>
          <w:i/>
          <w:iCs/>
          <w:sz w:val="22"/>
          <w:lang w:val="en-US"/>
        </w:rPr>
        <w:t xml:space="preserve">to </w:t>
      </w:r>
      <w:proofErr w:type="gramStart"/>
      <w:r w:rsidRPr="00F96F1D">
        <w:rPr>
          <w:i/>
          <w:iCs/>
          <w:sz w:val="22"/>
          <w:lang w:val="en-US"/>
        </w:rPr>
        <w:t>take into account</w:t>
      </w:r>
      <w:proofErr w:type="gramEnd"/>
      <w:r w:rsidRPr="00F96F1D">
        <w:rPr>
          <w:i/>
          <w:iCs/>
          <w:sz w:val="22"/>
          <w:lang w:val="en-US"/>
        </w:rPr>
        <w:t xml:space="preserve"> all relevant considerations</w:t>
      </w:r>
    </w:p>
    <w:p w14:paraId="5ED5D1D2" w14:textId="77777777" w:rsidR="00FB2DE3" w:rsidRPr="00F96F1D" w:rsidRDefault="00FB2DE3" w:rsidP="00FB2DE3">
      <w:pPr>
        <w:numPr>
          <w:ilvl w:val="0"/>
          <w:numId w:val="7"/>
        </w:numPr>
        <w:autoSpaceDE w:val="0"/>
        <w:autoSpaceDN w:val="0"/>
        <w:adjustRightInd w:val="0"/>
        <w:spacing w:after="0" w:line="288" w:lineRule="auto"/>
        <w:ind w:left="360" w:hanging="360"/>
        <w:rPr>
          <w:i/>
          <w:iCs/>
          <w:sz w:val="22"/>
          <w:lang w:val="en-US"/>
        </w:rPr>
      </w:pPr>
      <w:r w:rsidRPr="00F96F1D">
        <w:rPr>
          <w:i/>
          <w:iCs/>
          <w:sz w:val="22"/>
          <w:lang w:val="en-US"/>
        </w:rPr>
        <w:t xml:space="preserve">not to </w:t>
      </w:r>
      <w:proofErr w:type="gramStart"/>
      <w:r w:rsidRPr="00F96F1D">
        <w:rPr>
          <w:i/>
          <w:iCs/>
          <w:sz w:val="22"/>
          <w:lang w:val="en-US"/>
        </w:rPr>
        <w:t>take into account</w:t>
      </w:r>
      <w:proofErr w:type="gramEnd"/>
      <w:r w:rsidRPr="00F96F1D">
        <w:rPr>
          <w:i/>
          <w:iCs/>
          <w:sz w:val="22"/>
          <w:lang w:val="en-US"/>
        </w:rPr>
        <w:t xml:space="preserve"> an irrelevant consideration</w:t>
      </w:r>
    </w:p>
    <w:p w14:paraId="4BDF50E3" w14:textId="77777777" w:rsidR="00FB2DE3" w:rsidRPr="00F96F1D" w:rsidRDefault="00FB2DE3" w:rsidP="00FB2DE3">
      <w:pPr>
        <w:numPr>
          <w:ilvl w:val="0"/>
          <w:numId w:val="8"/>
        </w:numPr>
        <w:autoSpaceDE w:val="0"/>
        <w:autoSpaceDN w:val="0"/>
        <w:adjustRightInd w:val="0"/>
        <w:spacing w:after="0" w:line="240" w:lineRule="auto"/>
        <w:ind w:left="360" w:hanging="360"/>
        <w:rPr>
          <w:i/>
          <w:iCs/>
          <w:sz w:val="22"/>
          <w:lang w:val="en-US"/>
        </w:rPr>
      </w:pPr>
      <w:r w:rsidRPr="00F96F1D">
        <w:rPr>
          <w:i/>
          <w:iCs/>
          <w:sz w:val="22"/>
          <w:lang w:val="en-US"/>
        </w:rPr>
        <w:t>not to take a decision which is so unreasonable that no reasonable person properly directing himself</w:t>
      </w:r>
      <w:r w:rsidRPr="00F96F1D">
        <w:rPr>
          <w:i/>
          <w:iCs/>
          <w:sz w:val="22"/>
        </w:rPr>
        <w:t xml:space="preserve"> </w:t>
      </w:r>
      <w:r w:rsidRPr="00F96F1D">
        <w:rPr>
          <w:i/>
          <w:iCs/>
          <w:sz w:val="22"/>
          <w:lang w:val="en-US"/>
        </w:rPr>
        <w:t>could have taken it</w:t>
      </w:r>
    </w:p>
    <w:p w14:paraId="512EE802" w14:textId="77777777" w:rsidR="00FB2DE3" w:rsidRPr="00F96F1D" w:rsidRDefault="00FB2DE3" w:rsidP="00FB2DE3">
      <w:pPr>
        <w:autoSpaceDE w:val="0"/>
        <w:autoSpaceDN w:val="0"/>
        <w:adjustRightInd w:val="0"/>
        <w:spacing w:line="288" w:lineRule="auto"/>
        <w:rPr>
          <w:i/>
          <w:iCs/>
          <w:sz w:val="22"/>
        </w:rPr>
      </w:pPr>
    </w:p>
    <w:p w14:paraId="0F8782E0" w14:textId="77777777" w:rsidR="00FB2DE3" w:rsidRPr="00F96F1D" w:rsidRDefault="00FB2DE3" w:rsidP="00FB2DE3">
      <w:pPr>
        <w:autoSpaceDE w:val="0"/>
        <w:autoSpaceDN w:val="0"/>
        <w:adjustRightInd w:val="0"/>
        <w:rPr>
          <w:i/>
          <w:iCs/>
          <w:sz w:val="22"/>
        </w:rPr>
      </w:pPr>
      <w:r w:rsidRPr="00F96F1D">
        <w:rPr>
          <w:i/>
          <w:iCs/>
          <w:sz w:val="22"/>
        </w:rPr>
        <w:t>Even</w:t>
      </w:r>
      <w:r w:rsidRPr="00F96F1D">
        <w:rPr>
          <w:i/>
          <w:iCs/>
          <w:sz w:val="22"/>
          <w:lang w:val="en-US"/>
        </w:rPr>
        <w:t xml:space="preserve"> if the decision-maker has followed the first and second principles,</w:t>
      </w:r>
      <w:r w:rsidRPr="00F96F1D">
        <w:rPr>
          <w:i/>
          <w:iCs/>
          <w:sz w:val="22"/>
        </w:rPr>
        <w:t xml:space="preserve"> </w:t>
      </w:r>
      <w:r w:rsidRPr="00F96F1D">
        <w:rPr>
          <w:i/>
          <w:iCs/>
          <w:sz w:val="22"/>
          <w:lang w:val="en-US"/>
        </w:rPr>
        <w:t>he may still have come to a decision which is so wildly unreasonable or perverse that it cannot have</w:t>
      </w:r>
      <w:r w:rsidRPr="00F96F1D">
        <w:rPr>
          <w:i/>
          <w:iCs/>
          <w:sz w:val="22"/>
        </w:rPr>
        <w:t xml:space="preserve"> </w:t>
      </w:r>
      <w:r w:rsidRPr="00F96F1D">
        <w:rPr>
          <w:i/>
          <w:iCs/>
          <w:sz w:val="22"/>
          <w:lang w:val="en-US"/>
        </w:rPr>
        <w:t>been within his discretion to make it, and it was therefore unlawful. He may have had before him all the</w:t>
      </w:r>
      <w:r w:rsidRPr="00F96F1D">
        <w:rPr>
          <w:i/>
          <w:iCs/>
          <w:sz w:val="22"/>
        </w:rPr>
        <w:t xml:space="preserve"> </w:t>
      </w:r>
      <w:r w:rsidRPr="00F96F1D">
        <w:rPr>
          <w:i/>
          <w:iCs/>
          <w:sz w:val="22"/>
          <w:lang w:val="en-US"/>
        </w:rPr>
        <w:t>relevant information and none that was irrelevant, but he may nonetheless have attached wholly disproportionate</w:t>
      </w:r>
      <w:r w:rsidRPr="00F96F1D">
        <w:rPr>
          <w:i/>
          <w:iCs/>
          <w:sz w:val="22"/>
        </w:rPr>
        <w:t xml:space="preserve"> </w:t>
      </w:r>
      <w:r w:rsidRPr="00F96F1D">
        <w:rPr>
          <w:i/>
          <w:iCs/>
          <w:sz w:val="22"/>
          <w:lang w:val="en-US"/>
        </w:rPr>
        <w:t>weight to a particular factor or made some other logical blunder, which turned his whole</w:t>
      </w:r>
      <w:r w:rsidRPr="00F96F1D">
        <w:rPr>
          <w:i/>
          <w:iCs/>
          <w:sz w:val="22"/>
        </w:rPr>
        <w:t xml:space="preserve"> </w:t>
      </w:r>
      <w:r w:rsidRPr="00F96F1D">
        <w:rPr>
          <w:i/>
          <w:iCs/>
          <w:sz w:val="22"/>
          <w:lang w:val="en-US"/>
        </w:rPr>
        <w:t>reasoning process awry.</w:t>
      </w:r>
      <w:r w:rsidRPr="00F96F1D">
        <w:rPr>
          <w:i/>
          <w:iCs/>
          <w:sz w:val="22"/>
        </w:rPr>
        <w:t>”</w:t>
      </w:r>
    </w:p>
    <w:p w14:paraId="6535DF8B" w14:textId="310875A0" w:rsidR="00B54E88" w:rsidRPr="00F217BB" w:rsidRDefault="00B54E88" w:rsidP="00FB2DE3">
      <w:pPr>
        <w:spacing w:after="60"/>
        <w:rPr>
          <w:color w:val="0070C0"/>
          <w:sz w:val="20"/>
        </w:rPr>
      </w:pPr>
    </w:p>
    <w:sectPr w:rsidR="00B54E88" w:rsidRPr="00F217BB" w:rsidSect="00B03DD3">
      <w:headerReference w:type="even" r:id="rId11"/>
      <w:headerReference w:type="default" r:id="rId12"/>
      <w:footerReference w:type="even" r:id="rId13"/>
      <w:footerReference w:type="default" r:id="rId14"/>
      <w:headerReference w:type="first" r:id="rId15"/>
      <w:footerReference w:type="first" r:id="rId16"/>
      <w:pgSz w:w="11906" w:h="16838"/>
      <w:pgMar w:top="1021" w:right="1440" w:bottom="85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A1546D" w14:textId="77777777" w:rsidR="00166015" w:rsidRDefault="00166015" w:rsidP="006850F3">
      <w:pPr>
        <w:spacing w:after="0" w:line="240" w:lineRule="auto"/>
      </w:pPr>
      <w:r>
        <w:separator/>
      </w:r>
    </w:p>
  </w:endnote>
  <w:endnote w:type="continuationSeparator" w:id="0">
    <w:p w14:paraId="70EAB227" w14:textId="77777777" w:rsidR="00166015" w:rsidRDefault="00166015" w:rsidP="006850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F863A5" w14:textId="77777777" w:rsidR="006B76FB" w:rsidRDefault="006B76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3E493" w14:textId="283164DC" w:rsidR="00C0224B" w:rsidRDefault="00C0224B" w:rsidP="00B03DD3">
    <w:pPr>
      <w:pStyle w:val="Footer"/>
      <w:jc w:val="right"/>
    </w:pPr>
    <w:r>
      <w:rPr>
        <w:rFonts w:ascii="Franklin Gothic Book" w:hAnsi="Franklin Gothic Book"/>
        <w:i/>
        <w:sz w:val="20"/>
      </w:rPr>
      <w:t>QAF v</w:t>
    </w:r>
    <w:r w:rsidR="00324F27">
      <w:rPr>
        <w:rFonts w:ascii="Franklin Gothic Book" w:hAnsi="Franklin Gothic Book"/>
        <w:i/>
        <w:sz w:val="20"/>
      </w:rPr>
      <w:t>10</w:t>
    </w:r>
    <w:r>
      <w:rPr>
        <w:rFonts w:ascii="Franklin Gothic Book" w:hAnsi="Franklin Gothic Book"/>
        <w:i/>
        <w:sz w:val="20"/>
      </w:rPr>
      <w:t xml:space="preserve"> GD3 Mental Health Guidance      </w:t>
    </w:r>
    <w:r w:rsidRPr="005752DE">
      <w:rPr>
        <w:rFonts w:ascii="Franklin Gothic Book" w:hAnsi="Franklin Gothic Book"/>
        <w:i/>
        <w:sz w:val="20"/>
      </w:rPr>
      <w:t xml:space="preserve">             </w:t>
    </w:r>
    <w:r>
      <w:rPr>
        <w:rFonts w:ascii="Franklin Gothic Book" w:hAnsi="Franklin Gothic Book"/>
        <w:i/>
        <w:sz w:val="20"/>
      </w:rPr>
      <w:t xml:space="preserve">     </w:t>
    </w:r>
    <w:r w:rsidRPr="005752DE">
      <w:rPr>
        <w:rFonts w:ascii="Franklin Gothic Book" w:hAnsi="Franklin Gothic Book"/>
        <w:i/>
        <w:sz w:val="20"/>
      </w:rPr>
      <w:t xml:space="preserve">    </w:t>
    </w:r>
    <w:r w:rsidRPr="005752DE">
      <w:rPr>
        <w:rStyle w:val="PageNumber"/>
        <w:rFonts w:ascii="Franklin Gothic Book" w:hAnsi="Franklin Gothic Book"/>
        <w:i/>
        <w:sz w:val="20"/>
      </w:rPr>
      <w:fldChar w:fldCharType="begin"/>
    </w:r>
    <w:r w:rsidRPr="005752DE">
      <w:rPr>
        <w:rStyle w:val="PageNumber"/>
        <w:rFonts w:ascii="Franklin Gothic Book" w:hAnsi="Franklin Gothic Book"/>
        <w:i/>
        <w:sz w:val="20"/>
      </w:rPr>
      <w:instrText xml:space="preserve"> PAGE </w:instrText>
    </w:r>
    <w:r w:rsidRPr="005752DE">
      <w:rPr>
        <w:rStyle w:val="PageNumber"/>
        <w:rFonts w:ascii="Franklin Gothic Book" w:hAnsi="Franklin Gothic Book"/>
        <w:i/>
        <w:sz w:val="20"/>
      </w:rPr>
      <w:fldChar w:fldCharType="separate"/>
    </w:r>
    <w:r w:rsidR="009E5911">
      <w:rPr>
        <w:rStyle w:val="PageNumber"/>
        <w:rFonts w:ascii="Franklin Gothic Book" w:hAnsi="Franklin Gothic Book"/>
        <w:i/>
        <w:noProof/>
        <w:sz w:val="20"/>
      </w:rPr>
      <w:t>1</w:t>
    </w:r>
    <w:r w:rsidRPr="005752DE">
      <w:rPr>
        <w:rStyle w:val="PageNumber"/>
        <w:rFonts w:ascii="Franklin Gothic Book" w:hAnsi="Franklin Gothic Book"/>
        <w:i/>
        <w:sz w:val="20"/>
      </w:rPr>
      <w:fldChar w:fldCharType="end"/>
    </w:r>
    <w:r w:rsidRPr="005752DE">
      <w:rPr>
        <w:rStyle w:val="PageNumber"/>
        <w:rFonts w:ascii="Franklin Gothic Book" w:hAnsi="Franklin Gothic Book"/>
        <w:i/>
        <w:sz w:val="20"/>
      </w:rPr>
      <w:t xml:space="preserve"> of </w:t>
    </w:r>
    <w:r w:rsidRPr="005752DE">
      <w:rPr>
        <w:rStyle w:val="PageNumber"/>
        <w:rFonts w:ascii="Franklin Gothic Book" w:hAnsi="Franklin Gothic Book"/>
        <w:i/>
        <w:sz w:val="20"/>
      </w:rPr>
      <w:fldChar w:fldCharType="begin"/>
    </w:r>
    <w:r w:rsidRPr="005752DE">
      <w:rPr>
        <w:rStyle w:val="PageNumber"/>
        <w:rFonts w:ascii="Franklin Gothic Book" w:hAnsi="Franklin Gothic Book"/>
        <w:i/>
        <w:sz w:val="20"/>
      </w:rPr>
      <w:instrText xml:space="preserve"> NUMPAGES </w:instrText>
    </w:r>
    <w:r w:rsidRPr="005752DE">
      <w:rPr>
        <w:rStyle w:val="PageNumber"/>
        <w:rFonts w:ascii="Franklin Gothic Book" w:hAnsi="Franklin Gothic Book"/>
        <w:i/>
        <w:sz w:val="20"/>
      </w:rPr>
      <w:fldChar w:fldCharType="separate"/>
    </w:r>
    <w:r w:rsidR="009E5911">
      <w:rPr>
        <w:rStyle w:val="PageNumber"/>
        <w:rFonts w:ascii="Franklin Gothic Book" w:hAnsi="Franklin Gothic Book"/>
        <w:i/>
        <w:noProof/>
        <w:sz w:val="20"/>
      </w:rPr>
      <w:t>3</w:t>
    </w:r>
    <w:r w:rsidRPr="005752DE">
      <w:rPr>
        <w:rStyle w:val="PageNumber"/>
        <w:rFonts w:ascii="Franklin Gothic Book" w:hAnsi="Franklin Gothic Book"/>
        <w:i/>
        <w:sz w:val="20"/>
      </w:rPr>
      <w:fldChar w:fldCharType="end"/>
    </w:r>
    <w:r w:rsidRPr="005752DE">
      <w:rPr>
        <w:rStyle w:val="PageNumber"/>
        <w:rFonts w:ascii="Franklin Gothic Book" w:hAnsi="Franklin Gothic Book"/>
        <w:i/>
        <w:sz w:val="20"/>
      </w:rPr>
      <w:t xml:space="preserve">       </w:t>
    </w:r>
    <w:r>
      <w:rPr>
        <w:rStyle w:val="PageNumber"/>
        <w:rFonts w:ascii="Franklin Gothic Book" w:hAnsi="Franklin Gothic Book"/>
        <w:i/>
        <w:sz w:val="20"/>
      </w:rPr>
      <w:t xml:space="preserve">                              </w:t>
    </w:r>
    <w:r w:rsidRPr="005752DE">
      <w:rPr>
        <w:rStyle w:val="PageNumber"/>
        <w:rFonts w:ascii="Franklin Gothic Book" w:hAnsi="Franklin Gothic Book"/>
        <w:i/>
        <w:sz w:val="20"/>
      </w:rPr>
      <w:t xml:space="preserve"> </w:t>
    </w:r>
    <w:r w:rsidRPr="005752DE">
      <w:rPr>
        <w:rStyle w:val="PageNumber"/>
        <w:rFonts w:ascii="Franklin Gothic Book" w:hAnsi="Franklin Gothic Book"/>
        <w:i/>
        <w:sz w:val="20"/>
      </w:rPr>
      <w:tab/>
    </w:r>
    <w:r>
      <w:rPr>
        <w:rStyle w:val="PageNumber"/>
        <w:rFonts w:ascii="Franklin Gothic Book" w:hAnsi="Franklin Gothic Book"/>
        <w:i/>
        <w:sz w:val="18"/>
      </w:rPr>
      <w:t>Issue Date</w:t>
    </w:r>
    <w:r w:rsidRPr="005752DE">
      <w:rPr>
        <w:rStyle w:val="PageNumber"/>
        <w:rFonts w:ascii="Franklin Gothic Book" w:hAnsi="Franklin Gothic Book"/>
        <w:i/>
        <w:sz w:val="18"/>
      </w:rPr>
      <w:t xml:space="preserve">: </w:t>
    </w:r>
    <w:r w:rsidR="006B76FB">
      <w:rPr>
        <w:rStyle w:val="PageNumber"/>
        <w:rFonts w:ascii="Franklin Gothic Book" w:hAnsi="Franklin Gothic Book"/>
        <w:i/>
        <w:sz w:val="18"/>
      </w:rPr>
      <w:t>September 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F11E4" w14:textId="77777777" w:rsidR="006B76FB" w:rsidRDefault="006B76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B1F50C" w14:textId="77777777" w:rsidR="00166015" w:rsidRDefault="00166015" w:rsidP="006850F3">
      <w:pPr>
        <w:spacing w:after="0" w:line="240" w:lineRule="auto"/>
      </w:pPr>
      <w:r>
        <w:separator/>
      </w:r>
    </w:p>
  </w:footnote>
  <w:footnote w:type="continuationSeparator" w:id="0">
    <w:p w14:paraId="4A037A67" w14:textId="77777777" w:rsidR="00166015" w:rsidRDefault="00166015" w:rsidP="006850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53924" w14:textId="77777777" w:rsidR="006B76FB" w:rsidRDefault="006B76F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3E3574" w14:textId="77777777" w:rsidR="00C0224B" w:rsidRDefault="00C0224B" w:rsidP="00B03DD3">
    <w:pPr>
      <w:pStyle w:val="Header"/>
      <w:tabs>
        <w:tab w:val="clear" w:pos="4513"/>
        <w:tab w:val="clear" w:pos="9026"/>
        <w:tab w:val="center" w:pos="4153"/>
        <w:tab w:val="right" w:pos="8306"/>
      </w:tabs>
      <w:spacing w:after="0" w:line="240" w:lineRule="auto"/>
      <w:jc w:val="center"/>
      <w:rPr>
        <w:rFonts w:ascii="Arial Narrow" w:eastAsia="Times New Roman" w:hAnsi="Arial Narrow"/>
        <w:b/>
        <w:sz w:val="28"/>
        <w:szCs w:val="28"/>
        <w:lang w:eastAsia="en-GB"/>
      </w:rPr>
    </w:pPr>
    <w:r w:rsidRPr="00B03DD3">
      <w:rPr>
        <w:rFonts w:ascii="Arial Narrow" w:eastAsia="Times New Roman" w:hAnsi="Arial Narrow"/>
        <w:b/>
        <w:sz w:val="28"/>
        <w:szCs w:val="28"/>
        <w:lang w:eastAsia="en-GB"/>
      </w:rPr>
      <w:t xml:space="preserve">QAF GD </w:t>
    </w:r>
    <w:r>
      <w:rPr>
        <w:rFonts w:ascii="Arial Narrow" w:eastAsia="Times New Roman" w:hAnsi="Arial Narrow"/>
        <w:b/>
        <w:sz w:val="28"/>
        <w:szCs w:val="28"/>
        <w:lang w:eastAsia="en-GB"/>
      </w:rPr>
      <w:t>3</w:t>
    </w:r>
    <w:r w:rsidRPr="00B03DD3">
      <w:rPr>
        <w:rFonts w:ascii="Arial Narrow" w:eastAsia="Times New Roman" w:hAnsi="Arial Narrow"/>
        <w:b/>
        <w:sz w:val="28"/>
        <w:szCs w:val="28"/>
        <w:lang w:eastAsia="en-GB"/>
      </w:rPr>
      <w:t xml:space="preserve"> </w:t>
    </w:r>
    <w:r>
      <w:rPr>
        <w:rFonts w:ascii="Arial Narrow" w:eastAsia="Times New Roman" w:hAnsi="Arial Narrow"/>
        <w:b/>
        <w:sz w:val="28"/>
        <w:szCs w:val="28"/>
        <w:lang w:eastAsia="en-GB"/>
      </w:rPr>
      <w:t>–</w:t>
    </w:r>
    <w:r w:rsidRPr="00B03DD3">
      <w:rPr>
        <w:rFonts w:ascii="Arial Narrow" w:eastAsia="Times New Roman" w:hAnsi="Arial Narrow"/>
        <w:b/>
        <w:sz w:val="28"/>
        <w:szCs w:val="28"/>
        <w:lang w:eastAsia="en-GB"/>
      </w:rPr>
      <w:t xml:space="preserve"> </w:t>
    </w:r>
    <w:r>
      <w:rPr>
        <w:rFonts w:ascii="Arial Narrow" w:eastAsia="Times New Roman" w:hAnsi="Arial Narrow"/>
        <w:b/>
        <w:sz w:val="28"/>
        <w:szCs w:val="28"/>
        <w:lang w:eastAsia="en-GB"/>
      </w:rPr>
      <w:t>Mental Health</w:t>
    </w:r>
    <w:r w:rsidRPr="00B03DD3">
      <w:rPr>
        <w:rFonts w:ascii="Arial Narrow" w:eastAsia="Times New Roman" w:hAnsi="Arial Narrow"/>
        <w:b/>
        <w:sz w:val="28"/>
        <w:szCs w:val="28"/>
        <w:lang w:eastAsia="en-GB"/>
      </w:rPr>
      <w:t xml:space="preserve"> Guidance</w:t>
    </w:r>
  </w:p>
  <w:p w14:paraId="0C9568AD" w14:textId="77777777" w:rsidR="00C0224B" w:rsidRPr="00B03DD3" w:rsidRDefault="00C0224B" w:rsidP="00B03DD3">
    <w:pPr>
      <w:pStyle w:val="Header"/>
      <w:tabs>
        <w:tab w:val="clear" w:pos="4513"/>
        <w:tab w:val="clear" w:pos="9026"/>
        <w:tab w:val="center" w:pos="4153"/>
        <w:tab w:val="right" w:pos="8306"/>
      </w:tabs>
      <w:spacing w:after="0" w:line="240" w:lineRule="auto"/>
      <w:jc w:val="center"/>
      <w:rPr>
        <w:rFonts w:ascii="Arial Narrow" w:eastAsia="Times New Roman" w:hAnsi="Arial Narrow"/>
        <w:b/>
        <w:sz w:val="28"/>
        <w:szCs w:val="28"/>
        <w:lang w:eastAsia="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29649" w14:textId="77777777" w:rsidR="006B76FB" w:rsidRDefault="006B76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4CDE5804"/>
    <w:lvl w:ilvl="0">
      <w:numFmt w:val="bullet"/>
      <w:lvlText w:val="*"/>
      <w:lvlJc w:val="left"/>
    </w:lvl>
  </w:abstractNum>
  <w:abstractNum w:abstractNumId="1" w15:restartNumberingAfterBreak="0">
    <w:nsid w:val="21AC0ED4"/>
    <w:multiLevelType w:val="hybridMultilevel"/>
    <w:tmpl w:val="0A7C72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A403C7"/>
    <w:multiLevelType w:val="hybridMultilevel"/>
    <w:tmpl w:val="2C6477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DFE351E"/>
    <w:multiLevelType w:val="hybridMultilevel"/>
    <w:tmpl w:val="03E820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56C2237"/>
    <w:multiLevelType w:val="hybridMultilevel"/>
    <w:tmpl w:val="83DE6F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C962E67"/>
    <w:multiLevelType w:val="hybridMultilevel"/>
    <w:tmpl w:val="E0A0DD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29703878">
    <w:abstractNumId w:val="2"/>
  </w:num>
  <w:num w:numId="2" w16cid:durableId="794371766">
    <w:abstractNumId w:val="5"/>
  </w:num>
  <w:num w:numId="3" w16cid:durableId="1788740667">
    <w:abstractNumId w:val="4"/>
  </w:num>
  <w:num w:numId="4" w16cid:durableId="2081829570">
    <w:abstractNumId w:val="1"/>
  </w:num>
  <w:num w:numId="5" w16cid:durableId="131294446">
    <w:abstractNumId w:val="3"/>
  </w:num>
  <w:num w:numId="6" w16cid:durableId="808132742">
    <w:abstractNumId w:val="0"/>
    <w:lvlOverride w:ilvl="0">
      <w:lvl w:ilvl="0">
        <w:numFmt w:val="bullet"/>
        <w:lvlText w:val="1"/>
        <w:legacy w:legacy="1" w:legacySpace="0" w:legacyIndent="0"/>
        <w:lvlJc w:val="left"/>
        <w:rPr>
          <w:rFonts w:ascii="Arial Narrow" w:hAnsi="Arial Narrow" w:hint="default"/>
          <w:sz w:val="24"/>
        </w:rPr>
      </w:lvl>
    </w:lvlOverride>
  </w:num>
  <w:num w:numId="7" w16cid:durableId="1881553410">
    <w:abstractNumId w:val="0"/>
    <w:lvlOverride w:ilvl="0">
      <w:lvl w:ilvl="0">
        <w:numFmt w:val="bullet"/>
        <w:lvlText w:val="2"/>
        <w:legacy w:legacy="1" w:legacySpace="0" w:legacyIndent="0"/>
        <w:lvlJc w:val="left"/>
        <w:rPr>
          <w:rFonts w:ascii="Arial Narrow" w:hAnsi="Arial Narrow" w:hint="default"/>
          <w:sz w:val="24"/>
        </w:rPr>
      </w:lvl>
    </w:lvlOverride>
  </w:num>
  <w:num w:numId="8" w16cid:durableId="266544919">
    <w:abstractNumId w:val="0"/>
    <w:lvlOverride w:ilvl="0">
      <w:lvl w:ilvl="0">
        <w:numFmt w:val="bullet"/>
        <w:lvlText w:val="3"/>
        <w:legacy w:legacy="1" w:legacySpace="0" w:legacyIndent="0"/>
        <w:lvlJc w:val="left"/>
        <w:rPr>
          <w:rFonts w:ascii="Arial Narrow" w:hAnsi="Arial Narrow" w:hint="default"/>
          <w:sz w:val="24"/>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grammar="clean"/>
  <w:doNotTrackMoves/>
  <w:defaultTabStop w:val="720"/>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E2C8A"/>
    <w:rsid w:val="00017EA4"/>
    <w:rsid w:val="00032134"/>
    <w:rsid w:val="00074219"/>
    <w:rsid w:val="000767E1"/>
    <w:rsid w:val="000931B9"/>
    <w:rsid w:val="000C35B0"/>
    <w:rsid w:val="000F0C7F"/>
    <w:rsid w:val="00114359"/>
    <w:rsid w:val="001310D4"/>
    <w:rsid w:val="00166015"/>
    <w:rsid w:val="00184C51"/>
    <w:rsid w:val="001960D7"/>
    <w:rsid w:val="001E63AD"/>
    <w:rsid w:val="002077F6"/>
    <w:rsid w:val="00212DA4"/>
    <w:rsid w:val="00236187"/>
    <w:rsid w:val="00237B7A"/>
    <w:rsid w:val="00262674"/>
    <w:rsid w:val="0028185B"/>
    <w:rsid w:val="002836CB"/>
    <w:rsid w:val="002A4227"/>
    <w:rsid w:val="002D52E7"/>
    <w:rsid w:val="002E5468"/>
    <w:rsid w:val="00302FA6"/>
    <w:rsid w:val="00324F27"/>
    <w:rsid w:val="00340470"/>
    <w:rsid w:val="00362BEC"/>
    <w:rsid w:val="003642FF"/>
    <w:rsid w:val="003A41BA"/>
    <w:rsid w:val="003A4602"/>
    <w:rsid w:val="003A544A"/>
    <w:rsid w:val="003A7062"/>
    <w:rsid w:val="003D6F35"/>
    <w:rsid w:val="00402676"/>
    <w:rsid w:val="0040784D"/>
    <w:rsid w:val="00416D64"/>
    <w:rsid w:val="004313DA"/>
    <w:rsid w:val="00437C68"/>
    <w:rsid w:val="0045006C"/>
    <w:rsid w:val="00457417"/>
    <w:rsid w:val="00474113"/>
    <w:rsid w:val="00486B03"/>
    <w:rsid w:val="00492EDD"/>
    <w:rsid w:val="004B694A"/>
    <w:rsid w:val="004D7282"/>
    <w:rsid w:val="004E61A7"/>
    <w:rsid w:val="00532920"/>
    <w:rsid w:val="0056700F"/>
    <w:rsid w:val="005725AD"/>
    <w:rsid w:val="00575AD4"/>
    <w:rsid w:val="00586F5B"/>
    <w:rsid w:val="0059149E"/>
    <w:rsid w:val="005A715F"/>
    <w:rsid w:val="005C014D"/>
    <w:rsid w:val="005E4104"/>
    <w:rsid w:val="005F69F2"/>
    <w:rsid w:val="0061091A"/>
    <w:rsid w:val="00630362"/>
    <w:rsid w:val="00646E1C"/>
    <w:rsid w:val="00653180"/>
    <w:rsid w:val="0065556E"/>
    <w:rsid w:val="00665A7E"/>
    <w:rsid w:val="006850F3"/>
    <w:rsid w:val="00686CBD"/>
    <w:rsid w:val="006929D4"/>
    <w:rsid w:val="00695075"/>
    <w:rsid w:val="006A0E15"/>
    <w:rsid w:val="006A34F6"/>
    <w:rsid w:val="006B76FB"/>
    <w:rsid w:val="00702ED0"/>
    <w:rsid w:val="007219BD"/>
    <w:rsid w:val="007318C9"/>
    <w:rsid w:val="007332AC"/>
    <w:rsid w:val="0075001B"/>
    <w:rsid w:val="00776D3E"/>
    <w:rsid w:val="00777582"/>
    <w:rsid w:val="00787FAD"/>
    <w:rsid w:val="007A3645"/>
    <w:rsid w:val="007D15F9"/>
    <w:rsid w:val="007F6BE3"/>
    <w:rsid w:val="008571FF"/>
    <w:rsid w:val="0086199E"/>
    <w:rsid w:val="00865A36"/>
    <w:rsid w:val="008A2828"/>
    <w:rsid w:val="008A62BD"/>
    <w:rsid w:val="008D0BA2"/>
    <w:rsid w:val="008E04D4"/>
    <w:rsid w:val="008E3E2D"/>
    <w:rsid w:val="008E5950"/>
    <w:rsid w:val="008F1246"/>
    <w:rsid w:val="00916EA4"/>
    <w:rsid w:val="00934E33"/>
    <w:rsid w:val="0095541F"/>
    <w:rsid w:val="009A71EA"/>
    <w:rsid w:val="009D52EF"/>
    <w:rsid w:val="009E44CB"/>
    <w:rsid w:val="009E5911"/>
    <w:rsid w:val="009F4B66"/>
    <w:rsid w:val="00A275BF"/>
    <w:rsid w:val="00A434CD"/>
    <w:rsid w:val="00A5196F"/>
    <w:rsid w:val="00A522B2"/>
    <w:rsid w:val="00A73A67"/>
    <w:rsid w:val="00A73C9B"/>
    <w:rsid w:val="00A74F01"/>
    <w:rsid w:val="00A85155"/>
    <w:rsid w:val="00A92155"/>
    <w:rsid w:val="00A9589A"/>
    <w:rsid w:val="00AB4954"/>
    <w:rsid w:val="00AE0404"/>
    <w:rsid w:val="00AE20C3"/>
    <w:rsid w:val="00B01DF9"/>
    <w:rsid w:val="00B03DD3"/>
    <w:rsid w:val="00B14535"/>
    <w:rsid w:val="00B20A56"/>
    <w:rsid w:val="00B3310F"/>
    <w:rsid w:val="00B54E88"/>
    <w:rsid w:val="00B60B8D"/>
    <w:rsid w:val="00B7187B"/>
    <w:rsid w:val="00B912B5"/>
    <w:rsid w:val="00BB6ED5"/>
    <w:rsid w:val="00BD0D45"/>
    <w:rsid w:val="00BE2C8A"/>
    <w:rsid w:val="00C0224B"/>
    <w:rsid w:val="00C13C7F"/>
    <w:rsid w:val="00C217C7"/>
    <w:rsid w:val="00C24856"/>
    <w:rsid w:val="00C27F48"/>
    <w:rsid w:val="00C40F5B"/>
    <w:rsid w:val="00C50867"/>
    <w:rsid w:val="00C52C69"/>
    <w:rsid w:val="00C62CCE"/>
    <w:rsid w:val="00C634DB"/>
    <w:rsid w:val="00C76E61"/>
    <w:rsid w:val="00C86240"/>
    <w:rsid w:val="00CC5563"/>
    <w:rsid w:val="00CD57E8"/>
    <w:rsid w:val="00CF1548"/>
    <w:rsid w:val="00D007C8"/>
    <w:rsid w:val="00D03A86"/>
    <w:rsid w:val="00D24E7A"/>
    <w:rsid w:val="00D32BC0"/>
    <w:rsid w:val="00D35C0F"/>
    <w:rsid w:val="00D55D3D"/>
    <w:rsid w:val="00D60617"/>
    <w:rsid w:val="00D728BE"/>
    <w:rsid w:val="00D869AD"/>
    <w:rsid w:val="00DC27C6"/>
    <w:rsid w:val="00DC3B4F"/>
    <w:rsid w:val="00DC5CA2"/>
    <w:rsid w:val="00DD6F3A"/>
    <w:rsid w:val="00DE57E3"/>
    <w:rsid w:val="00E25116"/>
    <w:rsid w:val="00E3110A"/>
    <w:rsid w:val="00E41A69"/>
    <w:rsid w:val="00E62EE1"/>
    <w:rsid w:val="00E709AD"/>
    <w:rsid w:val="00E756E9"/>
    <w:rsid w:val="00E91053"/>
    <w:rsid w:val="00EC012E"/>
    <w:rsid w:val="00F217BB"/>
    <w:rsid w:val="00F25A1C"/>
    <w:rsid w:val="00F2728C"/>
    <w:rsid w:val="00F27ADD"/>
    <w:rsid w:val="00F363CB"/>
    <w:rsid w:val="00F45F72"/>
    <w:rsid w:val="00F46305"/>
    <w:rsid w:val="00F472AA"/>
    <w:rsid w:val="00F545D9"/>
    <w:rsid w:val="00F574C8"/>
    <w:rsid w:val="00F64377"/>
    <w:rsid w:val="00F77246"/>
    <w:rsid w:val="00F96F1D"/>
    <w:rsid w:val="00FB2DE3"/>
    <w:rsid w:val="00FE49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AE2CCA"/>
  <w15:chartTrackingRefBased/>
  <w15:docId w15:val="{3FFEAF99-211F-48FB-9822-D892258B9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28BE"/>
    <w:pPr>
      <w:spacing w:after="200" w:line="276" w:lineRule="auto"/>
    </w:pPr>
    <w:rPr>
      <w:sz w:val="24"/>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6850F3"/>
    <w:pPr>
      <w:tabs>
        <w:tab w:val="center" w:pos="4513"/>
        <w:tab w:val="right" w:pos="9026"/>
      </w:tabs>
    </w:pPr>
  </w:style>
  <w:style w:type="character" w:customStyle="1" w:styleId="HeaderChar">
    <w:name w:val="Header Char"/>
    <w:link w:val="Header"/>
    <w:uiPriority w:val="99"/>
    <w:rsid w:val="006850F3"/>
    <w:rPr>
      <w:sz w:val="24"/>
      <w:szCs w:val="22"/>
      <w:lang w:eastAsia="en-US"/>
    </w:rPr>
  </w:style>
  <w:style w:type="paragraph" w:styleId="Footer">
    <w:name w:val="footer"/>
    <w:basedOn w:val="Normal"/>
    <w:link w:val="FooterChar"/>
    <w:unhideWhenUsed/>
    <w:rsid w:val="006850F3"/>
    <w:pPr>
      <w:tabs>
        <w:tab w:val="center" w:pos="4513"/>
        <w:tab w:val="right" w:pos="9026"/>
      </w:tabs>
    </w:pPr>
  </w:style>
  <w:style w:type="character" w:customStyle="1" w:styleId="FooterChar">
    <w:name w:val="Footer Char"/>
    <w:link w:val="Footer"/>
    <w:uiPriority w:val="99"/>
    <w:rsid w:val="006850F3"/>
    <w:rPr>
      <w:sz w:val="24"/>
      <w:szCs w:val="22"/>
      <w:lang w:eastAsia="en-US"/>
    </w:rPr>
  </w:style>
  <w:style w:type="paragraph" w:styleId="ListParagraph">
    <w:name w:val="List Paragraph"/>
    <w:basedOn w:val="Normal"/>
    <w:qFormat/>
    <w:rsid w:val="00E41A69"/>
    <w:pPr>
      <w:spacing w:after="0" w:line="240" w:lineRule="auto"/>
      <w:ind w:left="720"/>
      <w:contextualSpacing/>
    </w:pPr>
    <w:rPr>
      <w:rFonts w:ascii="Cambria" w:eastAsia="Cambria" w:hAnsi="Cambria" w:cs="Times New Roman"/>
      <w:szCs w:val="24"/>
      <w:lang w:val="en-US"/>
    </w:rPr>
  </w:style>
  <w:style w:type="paragraph" w:styleId="BalloonText">
    <w:name w:val="Balloon Text"/>
    <w:basedOn w:val="Normal"/>
    <w:link w:val="BalloonTextChar"/>
    <w:uiPriority w:val="99"/>
    <w:semiHidden/>
    <w:unhideWhenUsed/>
    <w:rsid w:val="0028185B"/>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28185B"/>
    <w:rPr>
      <w:rFonts w:ascii="Tahoma" w:hAnsi="Tahoma" w:cs="Tahoma"/>
      <w:sz w:val="16"/>
      <w:szCs w:val="16"/>
      <w:lang w:eastAsia="en-US"/>
    </w:rPr>
  </w:style>
  <w:style w:type="character" w:styleId="PageNumber">
    <w:name w:val="page number"/>
    <w:basedOn w:val="DefaultParagraphFont"/>
    <w:rsid w:val="00B03D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HO document" ma:contentTypeID="0x010100A5BF1C78D9F64B679A5EBDE1C6598EBC010068AA103FA9904D49A5C48A0F152BF9F7" ma:contentTypeVersion="13" ma:contentTypeDescription="Create a new document." ma:contentTypeScope="" ma:versionID="26bdba8b42de6368d6bcc0832d47dbdd">
  <xsd:schema xmlns:xsd="http://www.w3.org/2001/XMLSchema" xmlns:xs="http://www.w3.org/2001/XMLSchema" xmlns:p="http://schemas.microsoft.com/office/2006/metadata/properties" xmlns:ns2="60b4899e-55b4-4231-8241-12d69350e134" xmlns:ns3="87123c6c-b1ca-4f35-bd74-c830a9e7ea33" xmlns:ns4="6e3115d8-a6a4-43c4-ba11-a6db740cf8a1" targetNamespace="http://schemas.microsoft.com/office/2006/metadata/properties" ma:root="true" ma:fieldsID="2748e73f3899cac23ec5b83157490123" ns2:_="" ns3:_="" ns4:_="">
    <xsd:import namespace="60b4899e-55b4-4231-8241-12d69350e134"/>
    <xsd:import namespace="87123c6c-b1ca-4f35-bd74-c830a9e7ea33"/>
    <xsd:import namespace="6e3115d8-a6a4-43c4-ba11-a6db740cf8a1"/>
    <xsd:element name="properties">
      <xsd:complexType>
        <xsd:sequence>
          <xsd:element name="documentManagement">
            <xsd:complexType>
              <xsd:all>
                <xsd:element ref="ns2:lae2bfa7b6474897ab4a53f76ea236c7" minOccurs="0"/>
                <xsd:element ref="ns3:TaxCatchAll" minOccurs="0"/>
                <xsd:element ref="ns3:TaxCatchAllLabel" minOccurs="0"/>
                <xsd:element ref="ns2:cf401361b24e474cb011be6eb76c0e76" minOccurs="0"/>
                <xsd:element ref="ns2:jb5e598af17141539648acf311d7477b" minOccurs="0"/>
                <xsd:element ref="ns2:n7493b4506bf40e28c373b1e51a33445" minOccurs="0"/>
                <xsd:element ref="ns2:HOMigrated" minOccurs="0"/>
                <xsd:element ref="ns3:SharedWithUsers" minOccurs="0"/>
                <xsd:element ref="ns3:SharedWithDetails" minOccurs="0"/>
                <xsd:element ref="ns4:MediaServiceMetadata" minOccurs="0"/>
                <xsd:element ref="ns4:MediaServiceFastMetadata" minOccurs="0"/>
                <xsd:element ref="ns4:Force" minOccurs="0"/>
                <xsd:element ref="ns4:MediaServiceDateTaken" minOccurs="0"/>
                <xsd:element ref="ns4:MediaServiceObjectDetectorVersions" minOccurs="0"/>
                <xsd:element ref="ns4:MediaLengthInSecond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b4899e-55b4-4231-8241-12d69350e134"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3;#Official|14c80daa-741b-422c-9722-f71693c9ede4" ma:fieldId="{5ae2bfa7-b647-4897-ab4a-53f76ea236c7}" ma:sspId="93e580ec-c125-41f3-a307-e1c841722a86" ma:termSetId="56209604-fc17-4ace-9b7b-f45f0f17d50b" ma:anchorId="00000000-0000-0000-0000-000000000000" ma:open="false" ma:isKeyword="false">
      <xsd:complexType>
        <xsd:sequence>
          <xsd:element ref="pc:Terms" minOccurs="0" maxOccurs="1"/>
        </xsd:sequence>
      </xsd:complexType>
    </xsd:element>
    <xsd:element name="cf401361b24e474cb011be6eb76c0e76" ma:index="12" ma:taxonomy="true" ma:internalName="cf401361b24e474cb011be6eb76c0e76" ma:taxonomyFieldName="HOCopyrightLevel" ma:displayName="Copyright level" ma:readOnly="false" ma:default="4;#Crown|69589897-2828-4761-976e-717fd8e631c9" ma:fieldId="{cf401361-b24e-474c-b011-be6eb76c0e76}" ma:sspId="93e580ec-c125-41f3-a307-e1c841722a86" ma:termSetId="bdd694c6-7266-48f2-93d6-d15992cd203e" ma:anchorId="00000000-0000-0000-0000-000000000000" ma:open="false" ma:isKeyword="false">
      <xsd:complexType>
        <xsd:sequence>
          <xsd:element ref="pc:Terms" minOccurs="0" maxOccurs="1"/>
        </xsd:sequence>
      </xsd:complexType>
    </xsd:element>
    <xsd:element name="jb5e598af17141539648acf311d7477b" ma:index="14" nillable="true" ma:taxonomy="true" ma:internalName="jb5e598af17141539648acf311d7477b" ma:taxonomyFieldName="HOBusinessUnit" ma:displayName="Business unit" ma:readOnly="false" ma:default="9;#Police Performance and Standards (P)|ff93d990-11fb-4ff8-99b4-fd9cd04da812" ma:fieldId="{3b5e598a-f171-4153-9648-acf311d7477b}" ma:sspId="93e580ec-c125-41f3-a307-e1c841722a86" ma:termSetId="55eb802e-fbca-455b-a7d2-d5919d4ea3d2" ma:anchorId="00000000-0000-0000-0000-000000000000" ma:open="false" ma:isKeyword="false">
      <xsd:complexType>
        <xsd:sequence>
          <xsd:element ref="pc:Terms" minOccurs="0" maxOccurs="1"/>
        </xsd:sequence>
      </xsd:complexType>
    </xsd:element>
    <xsd:element name="n7493b4506bf40e28c373b1e51a33445" ma:index="16" nillable="true" ma:taxonomy="true" ma:internalName="n7493b4506bf40e28c373b1e51a33445" ma:taxonomyFieldName="HOSiteType" ma:displayName="Site type" ma:readOnly="false" ma:default="2;#Business Administration|5cf5151c-6415-40e6-83ef-762094d505d0" ma:fieldId="{77493b45-06bf-40e2-8c37-3b1e51a33445}" ma:sspId="93e580ec-c125-41f3-a307-e1c841722a86" ma:termSetId="4518b03a-1a05-49af-8bf2-e5548589f21b" ma:anchorId="00000000-0000-0000-0000-000000000000" ma:open="false" ma:isKeyword="false">
      <xsd:complexType>
        <xsd:sequence>
          <xsd:element ref="pc:Terms" minOccurs="0" maxOccurs="1"/>
        </xsd:sequence>
      </xsd:complexType>
    </xsd:element>
    <xsd:element name="HOMigrated" ma:index="18" nillable="true" ma:displayName="Migrated" ma:default="0" ma:internalName="HOMigrate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7123c6c-b1ca-4f35-bd74-c830a9e7ea33"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de1e8025-d542-41d3-b529-9d99d282c114}" ma:internalName="TaxCatchAll" ma:readOnly="false" ma:showField="CatchAllData" ma:web="87123c6c-b1ca-4f35-bd74-c830a9e7ea33">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de1e8025-d542-41d3-b529-9d99d282c114}" ma:internalName="TaxCatchAllLabel" ma:readOnly="false" ma:showField="CatchAllDataLabel" ma:web="87123c6c-b1ca-4f35-bd74-c830a9e7ea33">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e3115d8-a6a4-43c4-ba11-a6db740cf8a1" elementFormDefault="qualified">
    <xsd:import namespace="http://schemas.microsoft.com/office/2006/documentManagement/types"/>
    <xsd:import namespace="http://schemas.microsoft.com/office/infopath/2007/PartnerControls"/>
    <xsd:element name="MediaServiceMetadata" ma:index="21" nillable="true" ma:displayName="MediaServiceMetadata" ma:hidden="true" ma:internalName="MediaServiceMetadata" ma:readOnly="true">
      <xsd:simpleType>
        <xsd:restriction base="dms:Note"/>
      </xsd:simpleType>
    </xsd:element>
    <xsd:element name="MediaServiceFastMetadata" ma:index="22" nillable="true" ma:displayName="MediaServiceFastMetadata" ma:hidden="true" ma:internalName="MediaServiceFastMetadata" ma:readOnly="true">
      <xsd:simpleType>
        <xsd:restriction base="dms:Note"/>
      </xsd:simpleType>
    </xsd:element>
    <xsd:element name="Force" ma:index="23" nillable="true" ma:displayName="Force" ma:format="Dropdown" ma:internalName="Force">
      <xsd:simpleType>
        <xsd:restriction base="dms:Text">
          <xsd:maxLength value="255"/>
        </xsd:restriction>
      </xsd:simpleType>
    </xsd:element>
    <xsd:element name="MediaServiceDateTaken" ma:index="24" nillable="true" ma:displayName="MediaServiceDateTaken" ma:hidden="true" ma:indexed="true" ma:internalName="MediaServiceDateTaken" ma:readOnly="true">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jb5e598af17141539648acf311d7477b xmlns="60b4899e-55b4-4231-8241-12d69350e134">
      <Terms xmlns="http://schemas.microsoft.com/office/infopath/2007/PartnerControls">
        <TermInfo xmlns="http://schemas.microsoft.com/office/infopath/2007/PartnerControls">
          <TermName xmlns="http://schemas.microsoft.com/office/infopath/2007/PartnerControls">Disclosure Operations Directorate</TermName>
          <TermId xmlns="http://schemas.microsoft.com/office/infopath/2007/PartnerControls">2ca535e2-e0be-4b60-b778-ffbb92a77038</TermId>
        </TermInfo>
      </Terms>
    </jb5e598af17141539648acf311d7477b>
    <TaxCatchAllLabel xmlns="87123c6c-b1ca-4f35-bd74-c830a9e7ea33" xsi:nil="true"/>
    <HOMigrated xmlns="60b4899e-55b4-4231-8241-12d69350e134">false</HOMigrated>
    <cf401361b24e474cb011be6eb76c0e76 xmlns="60b4899e-55b4-4231-8241-12d69350e134">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TaxCatchAll xmlns="87123c6c-b1ca-4f35-bd74-c830a9e7ea33">
      <Value>4</Value>
      <Value>3</Value>
      <Value>2</Value>
      <Value>1</Value>
    </TaxCatchAll>
    <lae2bfa7b6474897ab4a53f76ea236c7 xmlns="60b4899e-55b4-4231-8241-12d69350e134">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n7493b4506bf40e28c373b1e51a33445 xmlns="60b4899e-55b4-4231-8241-12d69350e134">
      <Terms xmlns="http://schemas.microsoft.com/office/infopath/2007/PartnerControls">
        <TermInfo xmlns="http://schemas.microsoft.com/office/infopath/2007/PartnerControls">
          <TermName xmlns="http://schemas.microsoft.com/office/infopath/2007/PartnerControls">Business Administration</TermName>
          <TermId xmlns="http://schemas.microsoft.com/office/infopath/2007/PartnerControls">5cf5151c-6415-40e6-83ef-762094d505d0</TermId>
        </TermInfo>
      </Terms>
    </n7493b4506bf40e28c373b1e51a33445>
    <Force xmlns="6e3115d8-a6a4-43c4-ba11-a6db740cf8a1"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C6BB79C-E90E-49B4-A625-3A862EF3B1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b4899e-55b4-4231-8241-12d69350e134"/>
    <ds:schemaRef ds:uri="87123c6c-b1ca-4f35-bd74-c830a9e7ea33"/>
    <ds:schemaRef ds:uri="6e3115d8-a6a4-43c4-ba11-a6db740cf8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9F382A-3352-45AC-98FE-C47083FDFDAB}">
  <ds:schemaRefs>
    <ds:schemaRef ds:uri="http://schemas.openxmlformats.org/officeDocument/2006/bibliography"/>
  </ds:schemaRefs>
</ds:datastoreItem>
</file>

<file path=customXml/itemProps3.xml><?xml version="1.0" encoding="utf-8"?>
<ds:datastoreItem xmlns:ds="http://schemas.openxmlformats.org/officeDocument/2006/customXml" ds:itemID="{93511C7D-46B4-48BC-8A0F-EC28F190A839}">
  <ds:schemaRefs>
    <ds:schemaRef ds:uri="http://schemas.microsoft.com/office/2006/metadata/properties"/>
    <ds:schemaRef ds:uri="http://schemas.microsoft.com/office/infopath/2007/PartnerControls"/>
    <ds:schemaRef ds:uri="60b4899e-55b4-4231-8241-12d69350e134"/>
    <ds:schemaRef ds:uri="87123c6c-b1ca-4f35-bd74-c830a9e7ea33"/>
    <ds:schemaRef ds:uri="6e3115d8-a6a4-43c4-ba11-a6db740cf8a1"/>
  </ds:schemaRefs>
</ds:datastoreItem>
</file>

<file path=customXml/itemProps4.xml><?xml version="1.0" encoding="utf-8"?>
<ds:datastoreItem xmlns:ds="http://schemas.openxmlformats.org/officeDocument/2006/customXml" ds:itemID="{F4731E87-C50A-4BB8-8541-E6209426A94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4</Pages>
  <Words>1503</Words>
  <Characters>7996</Characters>
  <Application>Microsoft Office Word</Application>
  <DocSecurity>0</DocSecurity>
  <Lines>140</Lines>
  <Paragraphs>62</Paragraphs>
  <ScaleCrop>false</ScaleCrop>
  <HeadingPairs>
    <vt:vector size="2" baseType="variant">
      <vt:variant>
        <vt:lpstr>Title</vt:lpstr>
      </vt:variant>
      <vt:variant>
        <vt:i4>1</vt:i4>
      </vt:variant>
    </vt:vector>
  </HeadingPairs>
  <TitlesOfParts>
    <vt:vector size="1" baseType="lpstr">
      <vt:lpstr/>
    </vt:vector>
  </TitlesOfParts>
  <Company>Home Office</Company>
  <LinksUpToDate>false</LinksUpToDate>
  <CharactersWithSpaces>9437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Fityo</dc:creator>
  <cp:keywords/>
  <cp:lastModifiedBy>Janet Burke (DBS)</cp:lastModifiedBy>
  <cp:revision>49</cp:revision>
  <cp:lastPrinted>2016-06-08T13:39:00Z</cp:lastPrinted>
  <dcterms:created xsi:type="dcterms:W3CDTF">2023-12-27T14:59:00Z</dcterms:created>
  <dcterms:modified xsi:type="dcterms:W3CDTF">2026-02-18T13:50:00Z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0x010100A5BF1C78D9F64B679A5EBDE1C6598EBC010068AA103FA9904D49A5C48A0F152BF9F7</vt:lpwstr>
  </property>
  <property fmtid="{D5CDD505-2E9C-101B-9397-08002B2CF9AE}" pid="3" name="HOCopyrightLevel">
    <vt:lpwstr>4;#Crown|69589897-2828-4761-976e-717fd8e631c9</vt:lpwstr>
  </property>
  <property fmtid="{D5CDD505-2E9C-101B-9397-08002B2CF9AE}" pid="4" name="HOGovernmentSecurityClassification">
    <vt:lpwstr>3;#Official|14c80daa-741b-422c-9722-f71693c9ede4</vt:lpwstr>
  </property>
  <property fmtid="{D5CDD505-2E9C-101B-9397-08002B2CF9AE}" pid="5" name="HOSiteType">
    <vt:lpwstr>2;#Business Administration|5cf5151c-6415-40e6-83ef-762094d505d0</vt:lpwstr>
  </property>
  <property fmtid="{D5CDD505-2E9C-101B-9397-08002B2CF9AE}" pid="6" name="HOBusinessUnit">
    <vt:lpwstr>1;#Disclosure Operations Directorate|2ca535e2-e0be-4b60-b778-ffbb92a77038</vt:lpwstr>
  </property>
  <property fmtid="{D5CDD505-2E9C-101B-9397-08002B2CF9AE}" pid="7" name="docLang">
    <vt:lpwstr>en</vt:lpwstr>
  </property>
</Properties>
</file>