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6E72" w14:textId="77777777" w:rsidR="00CE4E55" w:rsidRDefault="00CE4E55" w:rsidP="00CE4E55">
      <w:pPr>
        <w:pStyle w:val="Conditions1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70AA1306" wp14:editId="70165568">
            <wp:extent cx="3035935" cy="359410"/>
            <wp:effectExtent l="0" t="0" r="0" b="2540"/>
            <wp:docPr id="1987044769" name="Picture 3" descr="Planning insp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44769" name="Picture 3" descr="Planning inspectorat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6C722" w14:textId="77777777" w:rsidR="00CE4E55" w:rsidRDefault="00CE4E55" w:rsidP="00CE4E55"/>
    <w:tbl>
      <w:tblPr>
        <w:tblW w:w="9356" w:type="dxa"/>
        <w:tblInd w:w="108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E4E55" w:rsidRPr="003C3FF8" w14:paraId="737C41DC" w14:textId="77777777" w:rsidTr="006E1CD1">
        <w:trPr>
          <w:cantSplit/>
          <w:trHeight w:val="23"/>
        </w:trPr>
        <w:tc>
          <w:tcPr>
            <w:tcW w:w="9356" w:type="dxa"/>
          </w:tcPr>
          <w:p w14:paraId="15623447" w14:textId="77777777" w:rsidR="00CE4E55" w:rsidRPr="003C3FF8" w:rsidRDefault="00CE4E55" w:rsidP="006E1CD1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bookmarkStart w:id="0" w:name="bmkTable00"/>
            <w:bookmarkEnd w:id="0"/>
            <w:r>
              <w:rPr>
                <w:rFonts w:ascii="Arial" w:hAnsi="Arial" w:cs="Arial"/>
                <w:b/>
                <w:color w:val="000000"/>
                <w:sz w:val="40"/>
                <w:szCs w:val="40"/>
              </w:rPr>
              <w:t>Order</w:t>
            </w:r>
            <w:r w:rsidRPr="003C3FF8">
              <w:rPr>
                <w:rFonts w:ascii="Arial" w:hAnsi="Arial" w:cs="Arial"/>
                <w:b/>
                <w:color w:val="000000"/>
                <w:sz w:val="40"/>
                <w:szCs w:val="40"/>
              </w:rPr>
              <w:t xml:space="preserve"> Decision</w:t>
            </w:r>
          </w:p>
        </w:tc>
      </w:tr>
      <w:tr w:rsidR="00CE4E55" w:rsidRPr="003C3FF8" w14:paraId="0B905CCA" w14:textId="77777777" w:rsidTr="006E1CD1">
        <w:trPr>
          <w:cantSplit/>
          <w:trHeight w:val="23"/>
        </w:trPr>
        <w:tc>
          <w:tcPr>
            <w:tcW w:w="9356" w:type="dxa"/>
          </w:tcPr>
          <w:p w14:paraId="5E089D88" w14:textId="77777777" w:rsidR="00CE4E55" w:rsidRPr="003C3FF8" w:rsidRDefault="00CE4E55" w:rsidP="006E1CD1">
            <w:pPr>
              <w:spacing w:before="180"/>
              <w:ind w:left="-108" w:right="34"/>
              <w:rPr>
                <w:rFonts w:ascii="Arial" w:hAnsi="Arial" w:cs="Arial"/>
                <w:b/>
                <w:color w:val="000000"/>
                <w:sz w:val="16"/>
                <w:szCs w:val="22"/>
              </w:rPr>
            </w:pPr>
            <w:r w:rsidRPr="003C3FF8">
              <w:rPr>
                <w:rFonts w:ascii="Arial" w:hAnsi="Arial" w:cs="Arial"/>
                <w:b/>
                <w:color w:val="000000"/>
                <w:szCs w:val="22"/>
              </w:rPr>
              <w:t>by Laura Renaudon LLM LARTPI Solicitor</w:t>
            </w:r>
          </w:p>
        </w:tc>
      </w:tr>
      <w:tr w:rsidR="00CE4E55" w:rsidRPr="003C3FF8" w14:paraId="25938C78" w14:textId="77777777" w:rsidTr="006E1CD1">
        <w:trPr>
          <w:cantSplit/>
          <w:trHeight w:val="23"/>
        </w:trPr>
        <w:tc>
          <w:tcPr>
            <w:tcW w:w="9356" w:type="dxa"/>
          </w:tcPr>
          <w:p w14:paraId="3C445C3E" w14:textId="77777777" w:rsidR="00CE4E55" w:rsidRPr="003C3FF8" w:rsidRDefault="00CE4E55" w:rsidP="006E1CD1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3FF8">
              <w:rPr>
                <w:rFonts w:ascii="Arial" w:hAnsi="Arial" w:cs="Arial"/>
                <w:b/>
                <w:color w:val="000000"/>
                <w:sz w:val="16"/>
                <w:szCs w:val="16"/>
              </w:rPr>
              <w:t>an Inspector appointed by the Secretary of State for Environment, Food and Rural Affairs</w:t>
            </w:r>
          </w:p>
        </w:tc>
      </w:tr>
      <w:tr w:rsidR="00CE4E55" w:rsidRPr="003C3FF8" w14:paraId="685B0C94" w14:textId="77777777" w:rsidTr="006E1CD1">
        <w:trPr>
          <w:cantSplit/>
          <w:trHeight w:val="23"/>
        </w:trPr>
        <w:tc>
          <w:tcPr>
            <w:tcW w:w="9356" w:type="dxa"/>
          </w:tcPr>
          <w:p w14:paraId="2880982F" w14:textId="0EA69963" w:rsidR="00CE4E55" w:rsidRPr="003C3FF8" w:rsidRDefault="00CE4E55" w:rsidP="006E1CD1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3FF8">
              <w:rPr>
                <w:rFonts w:ascii="Arial" w:hAnsi="Arial" w:cs="Arial"/>
                <w:b/>
                <w:color w:val="000000"/>
                <w:sz w:val="16"/>
                <w:szCs w:val="16"/>
              </w:rPr>
              <w:t>Decision date:</w:t>
            </w:r>
            <w:r w:rsidR="006B74A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03 February 2026</w:t>
            </w:r>
          </w:p>
        </w:tc>
      </w:tr>
    </w:tbl>
    <w:p w14:paraId="07FE6AE0" w14:textId="77777777" w:rsidR="00CE4E55" w:rsidRPr="003172C1" w:rsidRDefault="00CE4E55" w:rsidP="003172C1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0"/>
      </w:tblGrid>
      <w:tr w:rsidR="00CE4E55" w:rsidRPr="003C3FF8" w14:paraId="0C6D4FF9" w14:textId="77777777" w:rsidTr="006E1CD1">
        <w:tc>
          <w:tcPr>
            <w:tcW w:w="9520" w:type="dxa"/>
          </w:tcPr>
          <w:p w14:paraId="4656D670" w14:textId="36DE7B73" w:rsidR="00CE4E55" w:rsidRPr="00533F28" w:rsidRDefault="00CE4E55" w:rsidP="003172C1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Order</w:t>
            </w:r>
            <w:r w:rsidRPr="00533F28">
              <w:rPr>
                <w:rFonts w:ascii="Arial" w:hAnsi="Arial" w:cs="Arial"/>
                <w:b/>
                <w:color w:val="000000"/>
                <w:szCs w:val="22"/>
              </w:rPr>
              <w:t xml:space="preserve"> Ref: ROW/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33</w:t>
            </w:r>
            <w:r w:rsidR="002522E7">
              <w:rPr>
                <w:rFonts w:ascii="Arial" w:hAnsi="Arial" w:cs="Arial"/>
                <w:b/>
                <w:color w:val="000000"/>
                <w:szCs w:val="22"/>
              </w:rPr>
              <w:t>55182</w:t>
            </w:r>
          </w:p>
        </w:tc>
      </w:tr>
      <w:tr w:rsidR="00CE4E55" w:rsidRPr="003C3FF8" w14:paraId="4CE89808" w14:textId="77777777" w:rsidTr="006E1CD1">
        <w:tc>
          <w:tcPr>
            <w:tcW w:w="9520" w:type="dxa"/>
          </w:tcPr>
          <w:p w14:paraId="58A1A94B" w14:textId="77777777" w:rsidR="00CE4E55" w:rsidRPr="003172C1" w:rsidRDefault="00CE4E55" w:rsidP="003172C1">
            <w:pPr>
              <w:pStyle w:val="TBullet"/>
              <w:numPr>
                <w:ilvl w:val="0"/>
                <w:numId w:val="0"/>
              </w:numPr>
              <w:spacing w:after="100" w:afterAutospacing="1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E55" w:rsidRPr="003C3FF8" w14:paraId="1AA7C127" w14:textId="77777777" w:rsidTr="006E1CD1">
        <w:tc>
          <w:tcPr>
            <w:tcW w:w="952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20"/>
            </w:tblGrid>
            <w:tr w:rsidR="00CE4E55" w:rsidRPr="00B054BB" w14:paraId="0AFC815E" w14:textId="77777777" w:rsidTr="006E1CD1">
              <w:tc>
                <w:tcPr>
                  <w:tcW w:w="9520" w:type="dxa"/>
                </w:tcPr>
                <w:p w14:paraId="121D596E" w14:textId="589DBAAF" w:rsidR="00CE4E55" w:rsidRPr="00880C72" w:rsidRDefault="00CE4E55" w:rsidP="003172C1">
                  <w:pPr>
                    <w:pStyle w:val="TBullet"/>
                    <w:spacing w:before="100" w:before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80C72">
                    <w:rPr>
                      <w:rFonts w:ascii="Arial" w:hAnsi="Arial" w:cs="Arial"/>
                      <w:sz w:val="22"/>
                      <w:szCs w:val="22"/>
                    </w:rPr>
                    <w:t>Th</w:t>
                  </w:r>
                  <w:r w:rsidR="00123B54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  <w:r w:rsidRPr="00880C72">
                    <w:rPr>
                      <w:rFonts w:ascii="Arial" w:hAnsi="Arial" w:cs="Arial"/>
                      <w:sz w:val="22"/>
                      <w:szCs w:val="22"/>
                    </w:rPr>
                    <w:t xml:space="preserve"> Order is made under Section 53(2)(b) of the Wildlife and Countryside Act 1981 (</w:t>
                  </w:r>
                  <w:r w:rsidR="000D27C1">
                    <w:rPr>
                      <w:rFonts w:ascii="Arial" w:hAnsi="Arial" w:cs="Arial"/>
                      <w:sz w:val="22"/>
                      <w:szCs w:val="22"/>
                    </w:rPr>
                    <w:t>‘</w:t>
                  </w:r>
                  <w:r w:rsidRPr="00880C72">
                    <w:rPr>
                      <w:rFonts w:ascii="Arial" w:hAnsi="Arial" w:cs="Arial"/>
                      <w:sz w:val="22"/>
                      <w:szCs w:val="22"/>
                    </w:rPr>
                    <w:t>the 1981 Act</w:t>
                  </w:r>
                  <w:r w:rsidR="000D27C1">
                    <w:rPr>
                      <w:rFonts w:ascii="Arial" w:hAnsi="Arial" w:cs="Arial"/>
                      <w:sz w:val="22"/>
                      <w:szCs w:val="22"/>
                    </w:rPr>
                    <w:t>’</w:t>
                  </w:r>
                  <w:r w:rsidRPr="00880C72">
                    <w:rPr>
                      <w:rFonts w:ascii="Arial" w:hAnsi="Arial" w:cs="Arial"/>
                      <w:sz w:val="22"/>
                      <w:szCs w:val="22"/>
                    </w:rPr>
                    <w:t>) and is known as the</w:t>
                  </w:r>
                  <w:r w:rsidR="00B82771" w:rsidRPr="00880C7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C3115">
                    <w:rPr>
                      <w:rFonts w:ascii="Arial" w:hAnsi="Arial" w:cs="Arial"/>
                      <w:sz w:val="22"/>
                      <w:szCs w:val="22"/>
                    </w:rPr>
                    <w:t>Cornwall</w:t>
                  </w:r>
                  <w:r w:rsidR="00B82771" w:rsidRPr="00880C72">
                    <w:rPr>
                      <w:rFonts w:ascii="Arial" w:hAnsi="Arial" w:cs="Arial"/>
                      <w:sz w:val="22"/>
                      <w:szCs w:val="22"/>
                    </w:rPr>
                    <w:t xml:space="preserve"> C</w:t>
                  </w:r>
                  <w:r w:rsidR="00F717DC" w:rsidRPr="00880C72">
                    <w:rPr>
                      <w:rFonts w:ascii="Arial" w:hAnsi="Arial" w:cs="Arial"/>
                      <w:sz w:val="22"/>
                      <w:szCs w:val="22"/>
                    </w:rPr>
                    <w:t xml:space="preserve">ouncil </w:t>
                  </w:r>
                  <w:r w:rsidR="00B82771" w:rsidRPr="00880C72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B76C14">
                    <w:rPr>
                      <w:rFonts w:ascii="Arial" w:hAnsi="Arial" w:cs="Arial"/>
                      <w:sz w:val="22"/>
                      <w:szCs w:val="22"/>
                    </w:rPr>
                    <w:t xml:space="preserve">Addition of a footpath at </w:t>
                  </w:r>
                  <w:proofErr w:type="spellStart"/>
                  <w:r w:rsidR="00B76C14">
                    <w:rPr>
                      <w:rFonts w:ascii="Arial" w:hAnsi="Arial" w:cs="Arial"/>
                      <w:sz w:val="22"/>
                      <w:szCs w:val="22"/>
                    </w:rPr>
                    <w:t>Laflouder</w:t>
                  </w:r>
                  <w:proofErr w:type="spellEnd"/>
                  <w:r w:rsidR="00B76C14">
                    <w:rPr>
                      <w:rFonts w:ascii="Arial" w:hAnsi="Arial" w:cs="Arial"/>
                      <w:sz w:val="22"/>
                      <w:szCs w:val="22"/>
                    </w:rPr>
                    <w:t xml:space="preserve"> Lane in the Parish of Mullion</w:t>
                  </w:r>
                  <w:r w:rsidR="00F717DC" w:rsidRPr="00880C72"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Pr="00880C72">
                    <w:rPr>
                      <w:rFonts w:ascii="Arial" w:hAnsi="Arial" w:cs="Arial"/>
                      <w:sz w:val="22"/>
                      <w:szCs w:val="22"/>
                    </w:rPr>
                    <w:t>Modification Order</w:t>
                  </w:r>
                  <w:r w:rsidR="00F717DC" w:rsidRPr="00880C7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880C72"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F717DC" w:rsidRPr="00880C72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Pr="00880C7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CE4E55" w:rsidRPr="00B054BB" w14:paraId="3A28434B" w14:textId="77777777" w:rsidTr="006E1CD1">
              <w:tc>
                <w:tcPr>
                  <w:tcW w:w="9520" w:type="dxa"/>
                </w:tcPr>
                <w:p w14:paraId="13FBB3AA" w14:textId="3014C557" w:rsidR="00CE4E55" w:rsidRPr="008316B2" w:rsidRDefault="00CE4E55" w:rsidP="003172C1">
                  <w:pPr>
                    <w:pStyle w:val="TBulle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16B2">
                    <w:rPr>
                      <w:rFonts w:ascii="Arial" w:hAnsi="Arial" w:cs="Arial"/>
                      <w:sz w:val="22"/>
                      <w:szCs w:val="22"/>
                    </w:rPr>
                    <w:t xml:space="preserve">The Order is dated </w:t>
                  </w:r>
                  <w:r w:rsidR="00123B54">
                    <w:rPr>
                      <w:rFonts w:ascii="Arial" w:hAnsi="Arial" w:cs="Arial"/>
                      <w:sz w:val="22"/>
                      <w:szCs w:val="22"/>
                    </w:rPr>
                    <w:t>16 July</w:t>
                  </w:r>
                  <w:r w:rsidR="00F717DC">
                    <w:rPr>
                      <w:rFonts w:ascii="Arial" w:hAnsi="Arial" w:cs="Arial"/>
                      <w:sz w:val="22"/>
                      <w:szCs w:val="22"/>
                    </w:rPr>
                    <w:t xml:space="preserve"> 2024</w:t>
                  </w:r>
                  <w:r w:rsidRPr="008316B2">
                    <w:rPr>
                      <w:rFonts w:ascii="Arial" w:hAnsi="Arial" w:cs="Arial"/>
                      <w:sz w:val="22"/>
                      <w:szCs w:val="22"/>
                    </w:rPr>
                    <w:t xml:space="preserve"> and proposes to modify the Definitive Map and Statement </w:t>
                  </w:r>
                  <w:r w:rsidR="00C20352">
                    <w:rPr>
                      <w:rFonts w:ascii="Arial" w:hAnsi="Arial" w:cs="Arial"/>
                      <w:sz w:val="22"/>
                      <w:szCs w:val="22"/>
                    </w:rPr>
                    <w:t xml:space="preserve">(‘DMS’) </w:t>
                  </w:r>
                  <w:r w:rsidRPr="008316B2">
                    <w:rPr>
                      <w:rFonts w:ascii="Arial" w:hAnsi="Arial" w:cs="Arial"/>
                      <w:sz w:val="22"/>
                      <w:szCs w:val="22"/>
                    </w:rPr>
                    <w:t xml:space="preserve">for the area by </w:t>
                  </w:r>
                  <w:r w:rsidR="00F717DC">
                    <w:rPr>
                      <w:rFonts w:ascii="Arial" w:hAnsi="Arial" w:cs="Arial"/>
                      <w:sz w:val="22"/>
                      <w:szCs w:val="22"/>
                    </w:rPr>
                    <w:t>adding a footpath</w:t>
                  </w:r>
                  <w:r w:rsidRPr="008316B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CE4E55" w:rsidRPr="00B054BB" w14:paraId="68030001" w14:textId="77777777" w:rsidTr="006E1CD1">
              <w:tc>
                <w:tcPr>
                  <w:tcW w:w="9520" w:type="dxa"/>
                </w:tcPr>
                <w:p w14:paraId="35AA797A" w14:textId="5CE9B0EE" w:rsidR="00DC2981" w:rsidRPr="00DC2981" w:rsidRDefault="00CE4E55" w:rsidP="00DC2981">
                  <w:pPr>
                    <w:pStyle w:val="TBullet"/>
                    <w:spacing w:before="100" w:before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16B2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="00583158">
                    <w:rPr>
                      <w:rFonts w:ascii="Arial" w:hAnsi="Arial" w:cs="Arial"/>
                      <w:sz w:val="22"/>
                      <w:szCs w:val="22"/>
                    </w:rPr>
                    <w:t>hree representations had been made but t</w:t>
                  </w:r>
                  <w:r w:rsidRPr="008316B2">
                    <w:rPr>
                      <w:rFonts w:ascii="Arial" w:hAnsi="Arial" w:cs="Arial"/>
                      <w:sz w:val="22"/>
                      <w:szCs w:val="22"/>
                    </w:rPr>
                    <w:t>here w</w:t>
                  </w:r>
                  <w:r w:rsidR="00123B54">
                    <w:rPr>
                      <w:rFonts w:ascii="Arial" w:hAnsi="Arial" w:cs="Arial"/>
                      <w:sz w:val="22"/>
                      <w:szCs w:val="22"/>
                    </w:rPr>
                    <w:t>ere no</w:t>
                  </w:r>
                  <w:r w:rsidRPr="008316B2">
                    <w:rPr>
                      <w:rFonts w:ascii="Arial" w:hAnsi="Arial" w:cs="Arial"/>
                      <w:sz w:val="22"/>
                      <w:szCs w:val="22"/>
                    </w:rPr>
                    <w:t xml:space="preserve"> objection</w:t>
                  </w:r>
                  <w:r w:rsidR="00123B54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8316B2">
                    <w:rPr>
                      <w:rFonts w:ascii="Arial" w:hAnsi="Arial" w:cs="Arial"/>
                      <w:sz w:val="22"/>
                      <w:szCs w:val="22"/>
                    </w:rPr>
                    <w:t xml:space="preserve"> outstanding when </w:t>
                  </w:r>
                  <w:r w:rsidR="00F717DC">
                    <w:rPr>
                      <w:rFonts w:ascii="Arial" w:hAnsi="Arial" w:cs="Arial"/>
                      <w:sz w:val="22"/>
                      <w:szCs w:val="22"/>
                    </w:rPr>
                    <w:t>the C</w:t>
                  </w:r>
                  <w:r w:rsidR="00123B54">
                    <w:rPr>
                      <w:rFonts w:ascii="Arial" w:hAnsi="Arial" w:cs="Arial"/>
                      <w:sz w:val="22"/>
                      <w:szCs w:val="22"/>
                    </w:rPr>
                    <w:t>ornwall</w:t>
                  </w:r>
                  <w:r w:rsidRPr="008316B2">
                    <w:rPr>
                      <w:rFonts w:ascii="Arial" w:hAnsi="Arial" w:cs="Arial"/>
                      <w:sz w:val="22"/>
                      <w:szCs w:val="22"/>
                    </w:rPr>
                    <w:t xml:space="preserve"> Council (‘the Council’) submitted the Order to the Secretary of State for Environment, Food and Rural Affairs for confirmation.</w:t>
                  </w:r>
                </w:p>
              </w:tc>
            </w:tr>
            <w:tr w:rsidR="00CE4E55" w:rsidRPr="00B054BB" w14:paraId="41F430DA" w14:textId="77777777" w:rsidTr="006E1CD1">
              <w:tc>
                <w:tcPr>
                  <w:tcW w:w="9520" w:type="dxa"/>
                </w:tcPr>
                <w:p w14:paraId="56241987" w14:textId="77777777" w:rsidR="00CE4E55" w:rsidRPr="00B054BB" w:rsidRDefault="00CE4E55" w:rsidP="003172C1">
                  <w:pPr>
                    <w:rPr>
                      <w:rFonts w:ascii="Arial" w:hAnsi="Arial" w:cs="Arial"/>
                      <w:b/>
                      <w:color w:val="000000"/>
                      <w:szCs w:val="22"/>
                    </w:rPr>
                  </w:pPr>
                  <w:r w:rsidRPr="00B054BB">
                    <w:rPr>
                      <w:rFonts w:ascii="Arial" w:hAnsi="Arial" w:cs="Arial"/>
                      <w:b/>
                      <w:color w:val="000000"/>
                      <w:szCs w:val="22"/>
                    </w:rPr>
                    <w:t xml:space="preserve">Summary of Decision: </w:t>
                  </w:r>
                  <w:r w:rsidRPr="00033C5F">
                    <w:rPr>
                      <w:rFonts w:ascii="Arial" w:hAnsi="Arial" w:cs="Arial"/>
                      <w:b/>
                      <w:color w:val="000000"/>
                      <w:szCs w:val="22"/>
                    </w:rPr>
                    <w:t>The Order is confirmed.</w:t>
                  </w:r>
                </w:p>
              </w:tc>
            </w:tr>
          </w:tbl>
          <w:p w14:paraId="5002E8BF" w14:textId="77777777" w:rsidR="00CE4E55" w:rsidRPr="00533F28" w:rsidRDefault="00CE4E55" w:rsidP="00DC206A">
            <w:pPr>
              <w:pStyle w:val="TBullet"/>
              <w:numPr>
                <w:ilvl w:val="0"/>
                <w:numId w:val="0"/>
              </w:numPr>
              <w:spacing w:before="100" w:beforeAutospacing="1" w:after="100" w:afterAutospacing="1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E55" w:rsidRPr="003C3FF8" w14:paraId="7B32AB85" w14:textId="77777777" w:rsidTr="006E1CD1">
        <w:tc>
          <w:tcPr>
            <w:tcW w:w="9520" w:type="dxa"/>
            <w:tcBorders>
              <w:bottom w:val="single" w:sz="6" w:space="0" w:color="000000"/>
            </w:tcBorders>
          </w:tcPr>
          <w:p w14:paraId="30A9BFDF" w14:textId="77777777" w:rsidR="00CE4E55" w:rsidRPr="00DC2981" w:rsidRDefault="00CE4E55" w:rsidP="003172C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bookmarkStart w:id="1" w:name="bmkReturn"/>
            <w:bookmarkEnd w:id="1"/>
          </w:p>
        </w:tc>
      </w:tr>
    </w:tbl>
    <w:p w14:paraId="7287BAD1" w14:textId="1C566607" w:rsidR="00123B54" w:rsidRPr="00123B54" w:rsidRDefault="00123B54" w:rsidP="003172C1">
      <w:pPr>
        <w:pStyle w:val="Heading6blackfont"/>
        <w:spacing w:before="0"/>
        <w:rPr>
          <w:rFonts w:ascii="Arial" w:hAnsi="Arial" w:cs="Arial"/>
        </w:rPr>
      </w:pPr>
      <w:r>
        <w:rPr>
          <w:rFonts w:ascii="Arial" w:hAnsi="Arial" w:cs="Arial"/>
        </w:rPr>
        <w:t>Preliminary Matters</w:t>
      </w:r>
    </w:p>
    <w:p w14:paraId="5161F288" w14:textId="77777777" w:rsidR="00066A52" w:rsidRDefault="00BE4DC5" w:rsidP="00CE4E55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</w:rPr>
      </w:pPr>
      <w:r w:rsidRPr="00DD56CE">
        <w:rPr>
          <w:rFonts w:ascii="Arial" w:hAnsi="Arial" w:cs="Arial"/>
        </w:rPr>
        <w:t xml:space="preserve">Although there are no objections to the Order, the Council </w:t>
      </w:r>
      <w:r w:rsidR="004B1FAF" w:rsidRPr="00DD56CE">
        <w:rPr>
          <w:rFonts w:ascii="Arial" w:hAnsi="Arial" w:cs="Arial"/>
        </w:rPr>
        <w:t xml:space="preserve">made the Order only upon the direction by the Secretary of State to do so. </w:t>
      </w:r>
      <w:r w:rsidR="00583158" w:rsidRPr="00DD56CE">
        <w:rPr>
          <w:rFonts w:ascii="Arial" w:hAnsi="Arial" w:cs="Arial"/>
        </w:rPr>
        <w:t>After receiving representations</w:t>
      </w:r>
      <w:r w:rsidR="00291E9D" w:rsidRPr="00DD56CE">
        <w:rPr>
          <w:rFonts w:ascii="Arial" w:hAnsi="Arial" w:cs="Arial"/>
        </w:rPr>
        <w:t>,</w:t>
      </w:r>
      <w:r w:rsidR="004B1FAF" w:rsidRPr="00DD56CE">
        <w:rPr>
          <w:rFonts w:ascii="Arial" w:hAnsi="Arial" w:cs="Arial"/>
        </w:rPr>
        <w:t xml:space="preserve"> they have submitted the Order for confirmation</w:t>
      </w:r>
      <w:r w:rsidR="00DD56CE">
        <w:rPr>
          <w:rFonts w:ascii="Arial" w:hAnsi="Arial" w:cs="Arial"/>
        </w:rPr>
        <w:t xml:space="preserve"> </w:t>
      </w:r>
      <w:r w:rsidR="00775700" w:rsidRPr="00DD56CE">
        <w:rPr>
          <w:rFonts w:ascii="Arial" w:hAnsi="Arial" w:cs="Arial"/>
        </w:rPr>
        <w:t>and have themselves taken a neutral stance in the proceedings.</w:t>
      </w:r>
      <w:r w:rsidR="004B1FAF" w:rsidRPr="00DD56CE">
        <w:rPr>
          <w:rFonts w:ascii="Arial" w:hAnsi="Arial" w:cs="Arial"/>
        </w:rPr>
        <w:t xml:space="preserve"> </w:t>
      </w:r>
    </w:p>
    <w:p w14:paraId="4B0F6475" w14:textId="2AF69940" w:rsidR="00BA1684" w:rsidRPr="00DD56CE" w:rsidRDefault="00DD56CE" w:rsidP="00CE4E55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</w:rPr>
      </w:pPr>
      <w:r w:rsidRPr="00DD56CE">
        <w:rPr>
          <w:rFonts w:ascii="Arial" w:hAnsi="Arial" w:cs="Arial"/>
        </w:rPr>
        <w:t>I have determined the case on the papers without the need to visit the site.</w:t>
      </w:r>
    </w:p>
    <w:p w14:paraId="5DD8B3D0" w14:textId="25281C45" w:rsidR="00BA1684" w:rsidRPr="00BA1684" w:rsidRDefault="00BA1684" w:rsidP="003172C1">
      <w:pPr>
        <w:pStyle w:val="Style1"/>
        <w:spacing w:line="360" w:lineRule="auto"/>
        <w:ind w:left="0" w:firstLine="0"/>
        <w:rPr>
          <w:rFonts w:ascii="Arial" w:hAnsi="Arial" w:cs="Arial"/>
          <w:b/>
          <w:bCs/>
        </w:rPr>
      </w:pPr>
      <w:r w:rsidRPr="00BA1684">
        <w:rPr>
          <w:rFonts w:ascii="Arial" w:hAnsi="Arial" w:cs="Arial"/>
          <w:b/>
          <w:bCs/>
        </w:rPr>
        <w:t>The Main Issues</w:t>
      </w:r>
    </w:p>
    <w:p w14:paraId="70D6E8C7" w14:textId="514404C0" w:rsidR="00F14F2B" w:rsidRDefault="00BA1684" w:rsidP="003172C1">
      <w:pPr>
        <w:pStyle w:val="Style1"/>
        <w:numPr>
          <w:ilvl w:val="0"/>
          <w:numId w:val="4"/>
        </w:numPr>
        <w:tabs>
          <w:tab w:val="clear" w:pos="720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="00A067A5">
        <w:rPr>
          <w:rFonts w:ascii="Arial" w:hAnsi="Arial" w:cs="Arial"/>
        </w:rPr>
        <w:t xml:space="preserve">31 of the Highways Act 1980 (‘the 1980 Act’) </w:t>
      </w:r>
      <w:r w:rsidR="000D27C1">
        <w:rPr>
          <w:rFonts w:ascii="Arial" w:hAnsi="Arial" w:cs="Arial"/>
        </w:rPr>
        <w:t xml:space="preserve">provides that where a way over land </w:t>
      </w:r>
      <w:r w:rsidR="00E25182">
        <w:rPr>
          <w:rFonts w:ascii="Arial" w:hAnsi="Arial" w:cs="Arial"/>
        </w:rPr>
        <w:t>has been actually e</w:t>
      </w:r>
      <w:r w:rsidR="00954106">
        <w:rPr>
          <w:rFonts w:ascii="Arial" w:hAnsi="Arial" w:cs="Arial"/>
        </w:rPr>
        <w:t>n</w:t>
      </w:r>
      <w:r w:rsidR="00E25182">
        <w:rPr>
          <w:rFonts w:ascii="Arial" w:hAnsi="Arial" w:cs="Arial"/>
        </w:rPr>
        <w:t xml:space="preserve">joyed by the public as of right and without interruption for a full period of 20 years, the way is to be deemed to have been dedicated as a highway, in the absence of sufficient evidence </w:t>
      </w:r>
      <w:r w:rsidR="00954106">
        <w:rPr>
          <w:rFonts w:ascii="Arial" w:hAnsi="Arial" w:cs="Arial"/>
        </w:rPr>
        <w:t xml:space="preserve">of </w:t>
      </w:r>
      <w:proofErr w:type="spellStart"/>
      <w:r w:rsidR="00954106">
        <w:rPr>
          <w:rFonts w:ascii="Arial" w:hAnsi="Arial" w:cs="Arial"/>
        </w:rPr>
        <w:t>there</w:t>
      </w:r>
      <w:proofErr w:type="spellEnd"/>
      <w:r w:rsidR="00954106">
        <w:rPr>
          <w:rFonts w:ascii="Arial" w:hAnsi="Arial" w:cs="Arial"/>
        </w:rPr>
        <w:t xml:space="preserve"> having been no intention to dedicate it during that period</w:t>
      </w:r>
      <w:r w:rsidR="00597B15">
        <w:rPr>
          <w:rFonts w:ascii="Arial" w:hAnsi="Arial" w:cs="Arial"/>
        </w:rPr>
        <w:t xml:space="preserve"> (‘the criteria’)</w:t>
      </w:r>
      <w:r w:rsidR="00954106">
        <w:rPr>
          <w:rFonts w:ascii="Arial" w:hAnsi="Arial" w:cs="Arial"/>
        </w:rPr>
        <w:t>.</w:t>
      </w:r>
      <w:r w:rsidR="00F7011E">
        <w:rPr>
          <w:rFonts w:ascii="Arial" w:hAnsi="Arial" w:cs="Arial"/>
        </w:rPr>
        <w:t xml:space="preserve"> An exception applies where the wa</w:t>
      </w:r>
      <w:r w:rsidR="002F0A18">
        <w:rPr>
          <w:rFonts w:ascii="Arial" w:hAnsi="Arial" w:cs="Arial"/>
        </w:rPr>
        <w:t xml:space="preserve">y is of such character that no presumption of dedication could arise, but it is not suggested that that is of any </w:t>
      </w:r>
      <w:r w:rsidR="00DD56CE">
        <w:rPr>
          <w:rFonts w:ascii="Arial" w:hAnsi="Arial" w:cs="Arial"/>
        </w:rPr>
        <w:t>relevance</w:t>
      </w:r>
      <w:r w:rsidR="00805784">
        <w:rPr>
          <w:rFonts w:ascii="Arial" w:hAnsi="Arial" w:cs="Arial"/>
        </w:rPr>
        <w:t xml:space="preserve"> here</w:t>
      </w:r>
      <w:r w:rsidR="002F0A18">
        <w:rPr>
          <w:rFonts w:ascii="Arial" w:hAnsi="Arial" w:cs="Arial"/>
        </w:rPr>
        <w:t xml:space="preserve">. </w:t>
      </w:r>
      <w:r w:rsidR="00CD7131">
        <w:rPr>
          <w:rFonts w:ascii="Arial" w:hAnsi="Arial" w:cs="Arial"/>
        </w:rPr>
        <w:t>The relevant 20 year period is to be calculated retrospectively from when the use of the way was brought into question (which may be the date of</w:t>
      </w:r>
      <w:r w:rsidR="00A71E0B">
        <w:rPr>
          <w:rFonts w:ascii="Arial" w:hAnsi="Arial" w:cs="Arial"/>
        </w:rPr>
        <w:t xml:space="preserve"> any application to record it on the DMS).</w:t>
      </w:r>
    </w:p>
    <w:p w14:paraId="28647009" w14:textId="518229F3" w:rsidR="00007E62" w:rsidRDefault="00007E62" w:rsidP="00CE4E55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section is enacted without prejudice to any inference of public rights of way that might arise at common law. </w:t>
      </w:r>
      <w:r w:rsidRPr="00811363">
        <w:rPr>
          <w:rFonts w:ascii="Arial" w:hAnsi="Arial" w:cs="Arial"/>
        </w:rPr>
        <w:t>Common law requires me to consider whether the use of the path and the actions of the landowner have been of such a nature that the dedication of the path by the landowner can be inferred.</w:t>
      </w:r>
      <w:r>
        <w:rPr>
          <w:rFonts w:ascii="Arial" w:hAnsi="Arial" w:cs="Arial"/>
        </w:rPr>
        <w:t xml:space="preserve"> Whilst any person purporting to dedicate a right of way must have had the capacity to so dedicate it, there is no suggestion that this could not have been the case here.</w:t>
      </w:r>
      <w:r w:rsidR="00A71E0B">
        <w:rPr>
          <w:rFonts w:ascii="Arial" w:hAnsi="Arial" w:cs="Arial"/>
        </w:rPr>
        <w:t xml:space="preserve"> </w:t>
      </w:r>
      <w:r w:rsidR="00E852C7">
        <w:rPr>
          <w:rFonts w:ascii="Arial" w:hAnsi="Arial" w:cs="Arial"/>
        </w:rPr>
        <w:t xml:space="preserve">In assessing the question of a common law dedication, </w:t>
      </w:r>
      <w:r w:rsidR="00C64040">
        <w:rPr>
          <w:rFonts w:ascii="Arial" w:hAnsi="Arial" w:cs="Arial"/>
        </w:rPr>
        <w:t xml:space="preserve">20 years’ use of the way </w:t>
      </w:r>
      <w:r w:rsidR="00DD4926">
        <w:rPr>
          <w:rFonts w:ascii="Arial" w:hAnsi="Arial" w:cs="Arial"/>
        </w:rPr>
        <w:t xml:space="preserve">by the public </w:t>
      </w:r>
      <w:r w:rsidR="00C64040">
        <w:rPr>
          <w:rFonts w:ascii="Arial" w:hAnsi="Arial" w:cs="Arial"/>
        </w:rPr>
        <w:t xml:space="preserve">need not (necessarily) be demonstrated, and the period for consideration </w:t>
      </w:r>
      <w:r w:rsidR="005E2102">
        <w:rPr>
          <w:rFonts w:ascii="Arial" w:hAnsi="Arial" w:cs="Arial"/>
        </w:rPr>
        <w:t>is not limited to the period prior to</w:t>
      </w:r>
      <w:r w:rsidR="00DD56CE">
        <w:rPr>
          <w:rFonts w:ascii="Arial" w:hAnsi="Arial" w:cs="Arial"/>
        </w:rPr>
        <w:t xml:space="preserve"> the </w:t>
      </w:r>
      <w:r w:rsidR="00DD4926">
        <w:rPr>
          <w:rFonts w:ascii="Arial" w:hAnsi="Arial" w:cs="Arial"/>
        </w:rPr>
        <w:t xml:space="preserve">DMS </w:t>
      </w:r>
      <w:r w:rsidR="00DD56CE">
        <w:rPr>
          <w:rFonts w:ascii="Arial" w:hAnsi="Arial" w:cs="Arial"/>
        </w:rPr>
        <w:t>modification</w:t>
      </w:r>
      <w:r w:rsidR="005E2102">
        <w:rPr>
          <w:rFonts w:ascii="Arial" w:hAnsi="Arial" w:cs="Arial"/>
        </w:rPr>
        <w:t xml:space="preserve"> application having been made</w:t>
      </w:r>
      <w:r w:rsidR="00DD56CE">
        <w:rPr>
          <w:rFonts w:ascii="Arial" w:hAnsi="Arial" w:cs="Arial"/>
        </w:rPr>
        <w:t>.</w:t>
      </w:r>
    </w:p>
    <w:p w14:paraId="2C02C8D0" w14:textId="14B4B927" w:rsidR="00743297" w:rsidRDefault="002F0A18" w:rsidP="00CE4E55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</w:rPr>
      </w:pPr>
      <w:r>
        <w:rPr>
          <w:rFonts w:ascii="Arial" w:hAnsi="Arial" w:cs="Arial"/>
        </w:rPr>
        <w:t>Thus t</w:t>
      </w:r>
      <w:r w:rsidR="00CE4E55" w:rsidRPr="000F5FA2">
        <w:rPr>
          <w:rFonts w:ascii="Arial" w:hAnsi="Arial" w:cs="Arial"/>
        </w:rPr>
        <w:t xml:space="preserve">he </w:t>
      </w:r>
      <w:r w:rsidR="00CE4E55">
        <w:rPr>
          <w:rFonts w:ascii="Arial" w:hAnsi="Arial" w:cs="Arial"/>
        </w:rPr>
        <w:t>main question arising in the case is whether</w:t>
      </w:r>
      <w:r>
        <w:rPr>
          <w:rFonts w:ascii="Arial" w:hAnsi="Arial" w:cs="Arial"/>
        </w:rPr>
        <w:t xml:space="preserve"> the Order route has been used so as to satisfy the criteria of section 31 of the 1980 Act</w:t>
      </w:r>
      <w:r w:rsidR="007536CE">
        <w:rPr>
          <w:rFonts w:ascii="Arial" w:hAnsi="Arial" w:cs="Arial"/>
        </w:rPr>
        <w:t>, or alternatively that a common law dedication has taken place</w:t>
      </w:r>
      <w:r>
        <w:rPr>
          <w:rFonts w:ascii="Arial" w:hAnsi="Arial" w:cs="Arial"/>
        </w:rPr>
        <w:t>.</w:t>
      </w:r>
      <w:r w:rsidR="00140472">
        <w:rPr>
          <w:rFonts w:ascii="Arial" w:hAnsi="Arial" w:cs="Arial"/>
        </w:rPr>
        <w:t xml:space="preserve"> </w:t>
      </w:r>
      <w:r w:rsidR="004C2537">
        <w:rPr>
          <w:rFonts w:ascii="Arial" w:hAnsi="Arial" w:cs="Arial"/>
        </w:rPr>
        <w:t>The relevant standard of proof is that of the balance of probabilities</w:t>
      </w:r>
      <w:r w:rsidR="00A10787">
        <w:rPr>
          <w:rFonts w:ascii="Arial" w:hAnsi="Arial" w:cs="Arial"/>
        </w:rPr>
        <w:t>,</w:t>
      </w:r>
      <w:r w:rsidR="00615832">
        <w:rPr>
          <w:rFonts w:ascii="Arial" w:hAnsi="Arial" w:cs="Arial"/>
        </w:rPr>
        <w:t xml:space="preserve"> which is to say</w:t>
      </w:r>
      <w:r w:rsidR="0038500E">
        <w:rPr>
          <w:rFonts w:ascii="Arial" w:hAnsi="Arial" w:cs="Arial"/>
        </w:rPr>
        <w:t xml:space="preserve"> </w:t>
      </w:r>
      <w:r w:rsidR="00A10787">
        <w:rPr>
          <w:rFonts w:ascii="Arial" w:hAnsi="Arial" w:cs="Arial"/>
        </w:rPr>
        <w:t>that</w:t>
      </w:r>
      <w:r w:rsidR="00615832">
        <w:rPr>
          <w:rFonts w:ascii="Arial" w:hAnsi="Arial" w:cs="Arial"/>
        </w:rPr>
        <w:t xml:space="preserve"> I must be satisfied it is more likely than not that the relevant criteria are </w:t>
      </w:r>
      <w:r w:rsidR="0038500E">
        <w:rPr>
          <w:rFonts w:ascii="Arial" w:hAnsi="Arial" w:cs="Arial"/>
        </w:rPr>
        <w:t>met</w:t>
      </w:r>
      <w:r w:rsidR="00615832">
        <w:rPr>
          <w:rFonts w:ascii="Arial" w:hAnsi="Arial" w:cs="Arial"/>
        </w:rPr>
        <w:t xml:space="preserve">. </w:t>
      </w:r>
      <w:r w:rsidR="00CD5188">
        <w:rPr>
          <w:rFonts w:ascii="Arial" w:hAnsi="Arial" w:cs="Arial"/>
        </w:rPr>
        <w:t>This is known as ‘Test A’</w:t>
      </w:r>
      <w:r w:rsidR="00692F76">
        <w:rPr>
          <w:rFonts w:ascii="Arial" w:hAnsi="Arial" w:cs="Arial"/>
        </w:rPr>
        <w:t>, deriving from relevant caselaw</w:t>
      </w:r>
      <w:r w:rsidR="00C028B0">
        <w:rPr>
          <w:rFonts w:ascii="Arial" w:hAnsi="Arial" w:cs="Arial"/>
        </w:rPr>
        <w:t xml:space="preserve"> including that of </w:t>
      </w:r>
      <w:r w:rsidR="00C028B0">
        <w:rPr>
          <w:rFonts w:ascii="Arial" w:hAnsi="Arial" w:cs="Arial"/>
          <w:i/>
          <w:iCs/>
          <w:u w:val="single"/>
        </w:rPr>
        <w:t xml:space="preserve">R v SSE ex </w:t>
      </w:r>
      <w:proofErr w:type="spellStart"/>
      <w:r w:rsidR="00C028B0">
        <w:rPr>
          <w:rFonts w:ascii="Arial" w:hAnsi="Arial" w:cs="Arial"/>
          <w:i/>
          <w:iCs/>
          <w:u w:val="single"/>
        </w:rPr>
        <w:t>parte</w:t>
      </w:r>
      <w:proofErr w:type="spellEnd"/>
      <w:r w:rsidR="00C028B0">
        <w:rPr>
          <w:rFonts w:ascii="Arial" w:hAnsi="Arial" w:cs="Arial"/>
          <w:i/>
          <w:iCs/>
          <w:u w:val="single"/>
        </w:rPr>
        <w:t xml:space="preserve"> Norton &amp; Bagshaw</w:t>
      </w:r>
      <w:r w:rsidR="00C028B0">
        <w:rPr>
          <w:rFonts w:ascii="Arial" w:hAnsi="Arial" w:cs="Arial"/>
        </w:rPr>
        <w:t xml:space="preserve"> [1994] </w:t>
      </w:r>
      <w:r w:rsidR="00F14F2B">
        <w:rPr>
          <w:rFonts w:ascii="Arial" w:hAnsi="Arial" w:cs="Arial"/>
        </w:rPr>
        <w:t>68 P&amp;CR 402.</w:t>
      </w:r>
    </w:p>
    <w:p w14:paraId="03990CAB" w14:textId="2632AF38" w:rsidR="00CE4E55" w:rsidRDefault="00140472" w:rsidP="00CE4E55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determining that question, section 32 of the 1980 Act provides that I am to take into consi</w:t>
      </w:r>
      <w:r w:rsidR="00F83A26">
        <w:rPr>
          <w:rFonts w:ascii="Arial" w:hAnsi="Arial" w:cs="Arial"/>
        </w:rPr>
        <w:t>deration any map, plan or history of the locality or other relevant document, giving those documents such weight</w:t>
      </w:r>
      <w:r w:rsidR="00375D62">
        <w:rPr>
          <w:rFonts w:ascii="Arial" w:hAnsi="Arial" w:cs="Arial"/>
        </w:rPr>
        <w:t xml:space="preserve"> as is justified by the circumstances</w:t>
      </w:r>
      <w:r w:rsidR="00CE4E55">
        <w:rPr>
          <w:rFonts w:ascii="Arial" w:hAnsi="Arial" w:cs="Arial"/>
        </w:rPr>
        <w:t>.</w:t>
      </w:r>
      <w:r w:rsidR="004850B7">
        <w:rPr>
          <w:rFonts w:ascii="Arial" w:hAnsi="Arial" w:cs="Arial"/>
        </w:rPr>
        <w:t xml:space="preserve"> </w:t>
      </w:r>
    </w:p>
    <w:p w14:paraId="7610E37D" w14:textId="4954FE5B" w:rsidR="00F311F5" w:rsidRDefault="006C6874" w:rsidP="00CE4E55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</w:rPr>
      </w:pPr>
      <w:r>
        <w:rPr>
          <w:rFonts w:ascii="Arial" w:hAnsi="Arial" w:cs="Arial"/>
        </w:rPr>
        <w:t>A copy of the Order Map is appended to this decision for ease of reference.</w:t>
      </w:r>
    </w:p>
    <w:p w14:paraId="2187B0A6" w14:textId="77777777" w:rsidR="00CE4E55" w:rsidRPr="00195DD6" w:rsidRDefault="00CE4E55" w:rsidP="003172C1">
      <w:pPr>
        <w:pStyle w:val="Heading6blackfont"/>
        <w:spacing w:line="360" w:lineRule="auto"/>
        <w:rPr>
          <w:rFonts w:ascii="Arial" w:hAnsi="Arial" w:cs="Arial"/>
        </w:rPr>
      </w:pPr>
      <w:r w:rsidRPr="00195DD6">
        <w:rPr>
          <w:rFonts w:ascii="Arial" w:hAnsi="Arial" w:cs="Arial"/>
        </w:rPr>
        <w:t>Reasons</w:t>
      </w:r>
    </w:p>
    <w:p w14:paraId="5BD0A33A" w14:textId="02BE7DFA" w:rsidR="002522E7" w:rsidRDefault="009D1359" w:rsidP="003172C1">
      <w:pPr>
        <w:pStyle w:val="Style1"/>
        <w:numPr>
          <w:ilvl w:val="0"/>
          <w:numId w:val="4"/>
        </w:numPr>
        <w:tabs>
          <w:tab w:val="clear" w:pos="720"/>
        </w:tabs>
        <w:spacing w:befor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previous Inspector who directed the Council to make the Order (under reference ROW/3319177)</w:t>
      </w:r>
      <w:r w:rsidR="000D5E7B">
        <w:rPr>
          <w:rFonts w:ascii="Arial" w:hAnsi="Arial" w:cs="Arial"/>
          <w:bCs/>
        </w:rPr>
        <w:t xml:space="preserve"> noted that the documentary evidence showed that the route did not appear</w:t>
      </w:r>
      <w:r w:rsidR="00AF358E">
        <w:rPr>
          <w:rFonts w:ascii="Arial" w:hAnsi="Arial" w:cs="Arial"/>
          <w:bCs/>
        </w:rPr>
        <w:t xml:space="preserve"> on maps</w:t>
      </w:r>
      <w:r w:rsidR="000D5E7B">
        <w:rPr>
          <w:rFonts w:ascii="Arial" w:hAnsi="Arial" w:cs="Arial"/>
          <w:bCs/>
        </w:rPr>
        <w:t xml:space="preserve"> in any form until the Ordnance Survey (‘OS’) map of 1961</w:t>
      </w:r>
      <w:r w:rsidR="007F4FE6">
        <w:rPr>
          <w:rFonts w:ascii="Arial" w:hAnsi="Arial" w:cs="Arial"/>
          <w:bCs/>
        </w:rPr>
        <w:t>; and thus the</w:t>
      </w:r>
      <w:r w:rsidR="00066A52">
        <w:rPr>
          <w:rFonts w:ascii="Arial" w:hAnsi="Arial" w:cs="Arial"/>
          <w:bCs/>
        </w:rPr>
        <w:t xml:space="preserve"> historic</w:t>
      </w:r>
      <w:r w:rsidR="007F4FE6">
        <w:rPr>
          <w:rFonts w:ascii="Arial" w:hAnsi="Arial" w:cs="Arial"/>
          <w:bCs/>
        </w:rPr>
        <w:t xml:space="preserve"> documentary evidence was of little assistance. I note that the showing of the route on OS maps has followed the post-war construction of </w:t>
      </w:r>
      <w:r w:rsidR="00697D25">
        <w:rPr>
          <w:rFonts w:ascii="Arial" w:hAnsi="Arial" w:cs="Arial"/>
          <w:bCs/>
        </w:rPr>
        <w:t>‘</w:t>
      </w:r>
      <w:proofErr w:type="spellStart"/>
      <w:r w:rsidR="00697D25">
        <w:rPr>
          <w:rFonts w:ascii="Arial" w:hAnsi="Arial" w:cs="Arial"/>
          <w:bCs/>
        </w:rPr>
        <w:t>Tressider</w:t>
      </w:r>
      <w:proofErr w:type="spellEnd"/>
      <w:r w:rsidR="00697D25">
        <w:rPr>
          <w:rFonts w:ascii="Arial" w:hAnsi="Arial" w:cs="Arial"/>
          <w:bCs/>
        </w:rPr>
        <w:t>’, the westernmost dwelling to the north of the route. The route evidently constitutes a private access road to that dwelling</w:t>
      </w:r>
      <w:r w:rsidR="009B0EFA">
        <w:rPr>
          <w:rFonts w:ascii="Arial" w:hAnsi="Arial" w:cs="Arial"/>
          <w:bCs/>
        </w:rPr>
        <w:t>. It connects with walked paths on the National Trust land</w:t>
      </w:r>
      <w:r w:rsidR="00EB555C">
        <w:rPr>
          <w:rFonts w:ascii="Arial" w:hAnsi="Arial" w:cs="Arial"/>
          <w:bCs/>
        </w:rPr>
        <w:t xml:space="preserve"> to the west, on the cliffside.</w:t>
      </w:r>
    </w:p>
    <w:p w14:paraId="7F5D152E" w14:textId="7EDE0354" w:rsidR="00EB555C" w:rsidRDefault="00EB555C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application was </w:t>
      </w:r>
      <w:r w:rsidR="00690680">
        <w:rPr>
          <w:rFonts w:ascii="Arial" w:hAnsi="Arial" w:cs="Arial"/>
          <w:bCs/>
        </w:rPr>
        <w:t xml:space="preserve">made on 2 December 2004. </w:t>
      </w:r>
      <w:r w:rsidR="00F90E6E">
        <w:rPr>
          <w:rFonts w:ascii="Arial" w:hAnsi="Arial" w:cs="Arial"/>
          <w:bCs/>
        </w:rPr>
        <w:t xml:space="preserve">Thus the relevant 20 year period for consideration under the </w:t>
      </w:r>
      <w:r w:rsidR="00660CEA">
        <w:rPr>
          <w:rFonts w:ascii="Arial" w:hAnsi="Arial" w:cs="Arial"/>
          <w:bCs/>
        </w:rPr>
        <w:t xml:space="preserve">section 31 provisions is between 1984 and 2004. The application was </w:t>
      </w:r>
      <w:r>
        <w:rPr>
          <w:rFonts w:ascii="Arial" w:hAnsi="Arial" w:cs="Arial"/>
          <w:bCs/>
        </w:rPr>
        <w:t xml:space="preserve">concerned not only with recording </w:t>
      </w:r>
      <w:r w:rsidR="00C20352">
        <w:rPr>
          <w:rFonts w:ascii="Arial" w:hAnsi="Arial" w:cs="Arial"/>
          <w:bCs/>
        </w:rPr>
        <w:t xml:space="preserve">the current Order route on the DMS but </w:t>
      </w:r>
      <w:r w:rsidR="00476639">
        <w:rPr>
          <w:rFonts w:ascii="Arial" w:hAnsi="Arial" w:cs="Arial"/>
          <w:bCs/>
        </w:rPr>
        <w:t xml:space="preserve">it </w:t>
      </w:r>
      <w:r w:rsidR="00C20352">
        <w:rPr>
          <w:rFonts w:ascii="Arial" w:hAnsi="Arial" w:cs="Arial"/>
          <w:bCs/>
        </w:rPr>
        <w:t xml:space="preserve">also sought to remove a nearby path to the south from the DMS. To that extent, the application was unsuccessful, and the southern path remains on the DMS. A number of ‘user evidence forms’ were obtained, and these were mainly concerned with </w:t>
      </w:r>
      <w:r w:rsidR="00E32208">
        <w:rPr>
          <w:rFonts w:ascii="Arial" w:hAnsi="Arial" w:cs="Arial"/>
          <w:bCs/>
        </w:rPr>
        <w:t>the presence or absence of the southern route. Little reference was made to the use of the existing Order route</w:t>
      </w:r>
      <w:r w:rsidR="00342F1A">
        <w:rPr>
          <w:rFonts w:ascii="Arial" w:hAnsi="Arial" w:cs="Arial"/>
          <w:bCs/>
        </w:rPr>
        <w:t xml:space="preserve"> by those who filled in the forms.</w:t>
      </w:r>
    </w:p>
    <w:p w14:paraId="28A61B04" w14:textId="3879CEBC" w:rsidR="00EF4C2A" w:rsidRDefault="00342F1A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Nonetheless a number of users </w:t>
      </w:r>
      <w:r w:rsidR="00DD33B3">
        <w:rPr>
          <w:rFonts w:ascii="Arial" w:hAnsi="Arial" w:cs="Arial"/>
          <w:bCs/>
        </w:rPr>
        <w:t>did advert to the use of the Order route. To refer to those users by the number given to their forms</w:t>
      </w:r>
      <w:r w:rsidR="009D1D8F">
        <w:rPr>
          <w:rFonts w:ascii="Arial" w:hAnsi="Arial" w:cs="Arial"/>
          <w:bCs/>
        </w:rPr>
        <w:t>, user no. 10 stated that his recollection dated back to 1960, and in the intervening years he had not know</w:t>
      </w:r>
      <w:r w:rsidR="007C4387">
        <w:rPr>
          <w:rFonts w:ascii="Arial" w:hAnsi="Arial" w:cs="Arial"/>
          <w:bCs/>
        </w:rPr>
        <w:t>n</w:t>
      </w:r>
      <w:r w:rsidR="009D1D8F">
        <w:rPr>
          <w:rFonts w:ascii="Arial" w:hAnsi="Arial" w:cs="Arial"/>
          <w:bCs/>
        </w:rPr>
        <w:t xml:space="preserve"> the path to run other than the existing course, i.e. north of the Polbream boundary wall. </w:t>
      </w:r>
      <w:r w:rsidR="007C4387">
        <w:rPr>
          <w:rFonts w:ascii="Arial" w:hAnsi="Arial" w:cs="Arial"/>
          <w:bCs/>
        </w:rPr>
        <w:t>I take this to be a description of the Order route. User n</w:t>
      </w:r>
      <w:r w:rsidR="005E1004">
        <w:rPr>
          <w:rFonts w:ascii="Arial" w:hAnsi="Arial" w:cs="Arial"/>
          <w:bCs/>
        </w:rPr>
        <w:t xml:space="preserve">o. </w:t>
      </w:r>
      <w:r w:rsidR="00E35C83">
        <w:rPr>
          <w:rFonts w:ascii="Arial" w:hAnsi="Arial" w:cs="Arial"/>
          <w:bCs/>
        </w:rPr>
        <w:t>11 referred to walking along the coastal path from Mullion, at least 300 times a year. Her annotated plan showed the Order route as being the route she had ‘always used’, with her use beginning in 1974</w:t>
      </w:r>
      <w:r w:rsidR="00C93D4C">
        <w:rPr>
          <w:rFonts w:ascii="Arial" w:hAnsi="Arial" w:cs="Arial"/>
          <w:bCs/>
        </w:rPr>
        <w:t xml:space="preserve">. </w:t>
      </w:r>
      <w:r w:rsidR="00A823AA">
        <w:rPr>
          <w:rFonts w:ascii="Arial" w:hAnsi="Arial" w:cs="Arial"/>
          <w:bCs/>
        </w:rPr>
        <w:t>User n</w:t>
      </w:r>
      <w:r w:rsidR="00C93D4C">
        <w:rPr>
          <w:rFonts w:ascii="Arial" w:hAnsi="Arial" w:cs="Arial"/>
          <w:bCs/>
        </w:rPr>
        <w:t xml:space="preserve">o. 8 </w:t>
      </w:r>
      <w:r w:rsidR="00810F6A">
        <w:rPr>
          <w:rFonts w:ascii="Arial" w:hAnsi="Arial" w:cs="Arial"/>
          <w:bCs/>
        </w:rPr>
        <w:t xml:space="preserve">stated that the ‘southern’ route ‘does not exist’ and that to her knowledge it [the route] has always run north of the boundary wall of Polbream. Her plan was annotated </w:t>
      </w:r>
      <w:r w:rsidR="00536B58">
        <w:rPr>
          <w:rFonts w:ascii="Arial" w:hAnsi="Arial" w:cs="Arial"/>
          <w:bCs/>
        </w:rPr>
        <w:t xml:space="preserve">to say that this (the Order route) was the footway that she had always walked, although she did not give her dates of user. </w:t>
      </w:r>
    </w:p>
    <w:p w14:paraId="5AE28786" w14:textId="64B245EE" w:rsidR="00975EDA" w:rsidRDefault="00EF4C2A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User n</w:t>
      </w:r>
      <w:r w:rsidR="00536B58">
        <w:rPr>
          <w:rFonts w:ascii="Arial" w:hAnsi="Arial" w:cs="Arial"/>
          <w:bCs/>
        </w:rPr>
        <w:t xml:space="preserve">o. 8, who again gave no dates of user, stated that to his knowledge the </w:t>
      </w:r>
      <w:r w:rsidR="00E33093">
        <w:rPr>
          <w:rFonts w:ascii="Arial" w:hAnsi="Arial" w:cs="Arial"/>
          <w:bCs/>
        </w:rPr>
        <w:t>route ha</w:t>
      </w:r>
      <w:r w:rsidR="00A823AA">
        <w:rPr>
          <w:rFonts w:ascii="Arial" w:hAnsi="Arial" w:cs="Arial"/>
          <w:bCs/>
        </w:rPr>
        <w:t>d</w:t>
      </w:r>
      <w:r w:rsidR="00E33093">
        <w:rPr>
          <w:rFonts w:ascii="Arial" w:hAnsi="Arial" w:cs="Arial"/>
          <w:bCs/>
        </w:rPr>
        <w:t xml:space="preserve"> always run north of the boundary wall of Polbream. Although giving no specific dates of user, he was then </w:t>
      </w:r>
      <w:r w:rsidR="00975EDA">
        <w:rPr>
          <w:rFonts w:ascii="Arial" w:hAnsi="Arial" w:cs="Arial"/>
          <w:bCs/>
        </w:rPr>
        <w:t>57 years old and had lived in Mullion all his life. He had never known a path in any other position than the one he had walked over, which was north of the boundary wall of Polbream. His plan was annotated to that effect.</w:t>
      </w:r>
    </w:p>
    <w:p w14:paraId="17099478" w14:textId="66C95FAA" w:rsidR="00342F1A" w:rsidRDefault="00EF4C2A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User n</w:t>
      </w:r>
      <w:r w:rsidR="008C02E3">
        <w:rPr>
          <w:rFonts w:ascii="Arial" w:hAnsi="Arial" w:cs="Arial"/>
          <w:bCs/>
        </w:rPr>
        <w:t>o. 3, then a 64 year old, stated that to his knowledge the route had alway</w:t>
      </w:r>
      <w:r w:rsidR="00315103">
        <w:rPr>
          <w:rFonts w:ascii="Arial" w:hAnsi="Arial" w:cs="Arial"/>
          <w:bCs/>
        </w:rPr>
        <w:t>s run north of the boundary wall of Polbream</w:t>
      </w:r>
      <w:r w:rsidR="00536B58">
        <w:rPr>
          <w:rFonts w:ascii="Arial" w:hAnsi="Arial" w:cs="Arial"/>
          <w:bCs/>
        </w:rPr>
        <w:t xml:space="preserve">. </w:t>
      </w:r>
      <w:r w:rsidR="00315103">
        <w:rPr>
          <w:rFonts w:ascii="Arial" w:hAnsi="Arial" w:cs="Arial"/>
          <w:bCs/>
        </w:rPr>
        <w:t xml:space="preserve">No. 1 stated that the path from </w:t>
      </w:r>
      <w:proofErr w:type="spellStart"/>
      <w:r w:rsidR="00315103">
        <w:rPr>
          <w:rFonts w:ascii="Arial" w:hAnsi="Arial" w:cs="Arial"/>
          <w:bCs/>
        </w:rPr>
        <w:t>Laflouder</w:t>
      </w:r>
      <w:proofErr w:type="spellEnd"/>
      <w:r w:rsidR="00315103">
        <w:rPr>
          <w:rFonts w:ascii="Arial" w:hAnsi="Arial" w:cs="Arial"/>
          <w:bCs/>
        </w:rPr>
        <w:t xml:space="preserve"> Lane to the cliff path outside Polbream boundary </w:t>
      </w:r>
      <w:r w:rsidR="000018A6">
        <w:rPr>
          <w:rFonts w:ascii="Arial" w:hAnsi="Arial" w:cs="Arial"/>
          <w:bCs/>
        </w:rPr>
        <w:t>h</w:t>
      </w:r>
      <w:r w:rsidR="00315103">
        <w:rPr>
          <w:rFonts w:ascii="Arial" w:hAnsi="Arial" w:cs="Arial"/>
          <w:bCs/>
        </w:rPr>
        <w:t>as always been where it is now, not down Polbream Drive.</w:t>
      </w:r>
    </w:p>
    <w:p w14:paraId="007E25E2" w14:textId="49246297" w:rsidR="00783533" w:rsidRDefault="00EE2638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letter from the occupier of </w:t>
      </w:r>
      <w:proofErr w:type="spellStart"/>
      <w:r>
        <w:rPr>
          <w:rFonts w:ascii="Arial" w:hAnsi="Arial" w:cs="Arial"/>
          <w:bCs/>
        </w:rPr>
        <w:t>Tressider</w:t>
      </w:r>
      <w:proofErr w:type="spellEnd"/>
      <w:r>
        <w:rPr>
          <w:rFonts w:ascii="Arial" w:hAnsi="Arial" w:cs="Arial"/>
          <w:bCs/>
        </w:rPr>
        <w:t xml:space="preserve"> of 1 September 2002 stated that she had lived at the property </w:t>
      </w:r>
      <w:r w:rsidR="00E40033">
        <w:rPr>
          <w:rFonts w:ascii="Arial" w:hAnsi="Arial" w:cs="Arial"/>
          <w:bCs/>
        </w:rPr>
        <w:t>since 1956. During that tim</w:t>
      </w:r>
      <w:r w:rsidR="00E31379">
        <w:rPr>
          <w:rFonts w:ascii="Arial" w:hAnsi="Arial" w:cs="Arial"/>
          <w:bCs/>
        </w:rPr>
        <w:t>e</w:t>
      </w:r>
      <w:r w:rsidR="00E40033">
        <w:rPr>
          <w:rFonts w:ascii="Arial" w:hAnsi="Arial" w:cs="Arial"/>
          <w:bCs/>
        </w:rPr>
        <w:t xml:space="preserve">, access to the beach and coastal path was established either along Coroner’s Lane and across Polbream land to the beach; or to the end of </w:t>
      </w:r>
      <w:proofErr w:type="spellStart"/>
      <w:r w:rsidR="00E40033">
        <w:rPr>
          <w:rFonts w:ascii="Arial" w:hAnsi="Arial" w:cs="Arial"/>
          <w:bCs/>
        </w:rPr>
        <w:t>Laflouder</w:t>
      </w:r>
      <w:proofErr w:type="spellEnd"/>
      <w:r w:rsidR="00E40033">
        <w:rPr>
          <w:rFonts w:ascii="Arial" w:hAnsi="Arial" w:cs="Arial"/>
          <w:bCs/>
        </w:rPr>
        <w:t xml:space="preserve"> Lane onto National Trust land, and pathway, to the Coastal Footpath, which then crosses Polbream land adjacent to the cliffs, and Polbream Point. </w:t>
      </w:r>
    </w:p>
    <w:p w14:paraId="2006DCFF" w14:textId="5FC9A476" w:rsidR="00D00A20" w:rsidRDefault="00D00A20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Correspondence of 2005 </w:t>
      </w:r>
      <w:r w:rsidR="008052E2">
        <w:rPr>
          <w:rFonts w:ascii="Arial" w:hAnsi="Arial" w:cs="Arial"/>
          <w:bCs/>
        </w:rPr>
        <w:t xml:space="preserve">from the Ramblers’ Association’s local Rights of Way Officer, in appearing to refer to the application </w:t>
      </w:r>
      <w:r w:rsidR="00B57749">
        <w:rPr>
          <w:rFonts w:ascii="Arial" w:hAnsi="Arial" w:cs="Arial"/>
          <w:bCs/>
        </w:rPr>
        <w:t xml:space="preserve">map, </w:t>
      </w:r>
      <w:r w:rsidR="002E540C">
        <w:rPr>
          <w:rFonts w:ascii="Arial" w:hAnsi="Arial" w:cs="Arial"/>
          <w:bCs/>
        </w:rPr>
        <w:t xml:space="preserve">stated that she knew the path intimately and had walked it practically daily </w:t>
      </w:r>
      <w:r w:rsidR="00435F8E">
        <w:rPr>
          <w:rFonts w:ascii="Arial" w:hAnsi="Arial" w:cs="Arial"/>
          <w:bCs/>
        </w:rPr>
        <w:t xml:space="preserve">since moving to the area. She stated that the path walked over the previous 26 years was the Order route, and </w:t>
      </w:r>
      <w:r w:rsidR="00163A7B">
        <w:rPr>
          <w:rFonts w:ascii="Arial" w:hAnsi="Arial" w:cs="Arial"/>
          <w:bCs/>
        </w:rPr>
        <w:t xml:space="preserve">that she had seen many walkers, both local and visitors, using the path. </w:t>
      </w:r>
    </w:p>
    <w:p w14:paraId="136C77CA" w14:textId="28C9488F" w:rsidR="00E30DF7" w:rsidRDefault="00CF7DBF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The previous Inspector </w:t>
      </w:r>
      <w:r w:rsidR="00127591">
        <w:rPr>
          <w:rFonts w:ascii="Arial" w:hAnsi="Arial" w:cs="Arial"/>
          <w:bCs/>
        </w:rPr>
        <w:t>on considering this information</w:t>
      </w:r>
      <w:r w:rsidR="00667705">
        <w:rPr>
          <w:rFonts w:ascii="Arial" w:hAnsi="Arial" w:cs="Arial"/>
          <w:bCs/>
        </w:rPr>
        <w:t xml:space="preserve"> directed the Council to make the present Order.</w:t>
      </w:r>
    </w:p>
    <w:p w14:paraId="74CD42E1" w14:textId="433EBECC" w:rsidR="00667705" w:rsidRDefault="00667705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Since that Order was made, </w:t>
      </w:r>
      <w:r w:rsidR="00DD1F3D">
        <w:rPr>
          <w:rFonts w:ascii="Arial" w:hAnsi="Arial" w:cs="Arial"/>
          <w:bCs/>
        </w:rPr>
        <w:t>there have been no further user evidence forms, but there has been some correspondence from adjoining neighbours. The occupiers of Polbream, to the south</w:t>
      </w:r>
      <w:r w:rsidR="00662C65">
        <w:rPr>
          <w:rFonts w:ascii="Arial" w:hAnsi="Arial" w:cs="Arial"/>
          <w:bCs/>
        </w:rPr>
        <w:t xml:space="preserve">, are supportive of the Order, “reflecting as it does daily usage of route A-B by tens of people in the locality”. The present occupiers of </w:t>
      </w:r>
      <w:proofErr w:type="spellStart"/>
      <w:r w:rsidR="00662C65">
        <w:rPr>
          <w:rFonts w:ascii="Arial" w:hAnsi="Arial" w:cs="Arial"/>
          <w:bCs/>
        </w:rPr>
        <w:t>Tressider</w:t>
      </w:r>
      <w:proofErr w:type="spellEnd"/>
      <w:r w:rsidR="00662C65">
        <w:rPr>
          <w:rFonts w:ascii="Arial" w:hAnsi="Arial" w:cs="Arial"/>
          <w:bCs/>
        </w:rPr>
        <w:t xml:space="preserve"> also support the proposed modification</w:t>
      </w:r>
      <w:r w:rsidR="00F44327">
        <w:rPr>
          <w:rFonts w:ascii="Arial" w:hAnsi="Arial" w:cs="Arial"/>
          <w:bCs/>
        </w:rPr>
        <w:t>. As far as they are aware, since coming to Mullion nearly 20 years ago, the path has been used by the public as a footpath and is designated as such by the Ordnance Survey.</w:t>
      </w:r>
      <w:r w:rsidR="00237519">
        <w:rPr>
          <w:rFonts w:ascii="Arial" w:hAnsi="Arial" w:cs="Arial"/>
          <w:bCs/>
        </w:rPr>
        <w:t xml:space="preserve"> The West Cornwall Footpath Preservation Society </w:t>
      </w:r>
      <w:r w:rsidR="00F90875">
        <w:rPr>
          <w:rFonts w:ascii="Arial" w:hAnsi="Arial" w:cs="Arial"/>
          <w:bCs/>
        </w:rPr>
        <w:t xml:space="preserve">note that the route is extant on the ground and also way marked. </w:t>
      </w:r>
    </w:p>
    <w:p w14:paraId="77BDDE4E" w14:textId="65C37994" w:rsidR="00D16A84" w:rsidRDefault="00242178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presence of a route on an OS map is not determinative of what, if any public rights exist over it. </w:t>
      </w:r>
      <w:r w:rsidR="00D01259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here is little first-hand evidence </w:t>
      </w:r>
      <w:r w:rsidR="00751266">
        <w:rPr>
          <w:rFonts w:ascii="Arial" w:hAnsi="Arial" w:cs="Arial"/>
          <w:bCs/>
        </w:rPr>
        <w:t xml:space="preserve">of people saying that they personally used the route without let or hindrance. </w:t>
      </w:r>
      <w:r w:rsidR="00B1626F">
        <w:rPr>
          <w:rFonts w:ascii="Arial" w:hAnsi="Arial" w:cs="Arial"/>
          <w:bCs/>
        </w:rPr>
        <w:t>However, b</w:t>
      </w:r>
      <w:r w:rsidR="00751266">
        <w:rPr>
          <w:rFonts w:ascii="Arial" w:hAnsi="Arial" w:cs="Arial"/>
          <w:bCs/>
        </w:rPr>
        <w:t xml:space="preserve">oth adjoining occupiers of the route have witnessed </w:t>
      </w:r>
      <w:r w:rsidR="00F36378">
        <w:rPr>
          <w:rFonts w:ascii="Arial" w:hAnsi="Arial" w:cs="Arial"/>
          <w:bCs/>
        </w:rPr>
        <w:t>the use of the route as a footpath</w:t>
      </w:r>
      <w:r w:rsidR="00B1626F">
        <w:rPr>
          <w:rFonts w:ascii="Arial" w:hAnsi="Arial" w:cs="Arial"/>
          <w:bCs/>
        </w:rPr>
        <w:t xml:space="preserve">. This is </w:t>
      </w:r>
      <w:r w:rsidR="00A80F8F">
        <w:rPr>
          <w:rFonts w:ascii="Arial" w:hAnsi="Arial" w:cs="Arial"/>
          <w:bCs/>
        </w:rPr>
        <w:t>mainly</w:t>
      </w:r>
      <w:r w:rsidR="0077685A">
        <w:rPr>
          <w:rFonts w:ascii="Arial" w:hAnsi="Arial" w:cs="Arial"/>
          <w:bCs/>
        </w:rPr>
        <w:t xml:space="preserve"> after the </w:t>
      </w:r>
      <w:r w:rsidR="009D7BEB">
        <w:rPr>
          <w:rFonts w:ascii="Arial" w:hAnsi="Arial" w:cs="Arial"/>
          <w:bCs/>
        </w:rPr>
        <w:t xml:space="preserve">20 year </w:t>
      </w:r>
      <w:r w:rsidR="0077685A">
        <w:rPr>
          <w:rFonts w:ascii="Arial" w:hAnsi="Arial" w:cs="Arial"/>
          <w:bCs/>
        </w:rPr>
        <w:t xml:space="preserve">period for consideration </w:t>
      </w:r>
      <w:r w:rsidR="009D7BEB">
        <w:rPr>
          <w:rFonts w:ascii="Arial" w:hAnsi="Arial" w:cs="Arial"/>
          <w:bCs/>
        </w:rPr>
        <w:t>under section 31</w:t>
      </w:r>
      <w:r w:rsidR="00B1626F">
        <w:rPr>
          <w:rFonts w:ascii="Arial" w:hAnsi="Arial" w:cs="Arial"/>
          <w:bCs/>
        </w:rPr>
        <w:t>, but is relevant to the assessment under common law</w:t>
      </w:r>
      <w:r w:rsidR="00F36378">
        <w:rPr>
          <w:rFonts w:ascii="Arial" w:hAnsi="Arial" w:cs="Arial"/>
          <w:bCs/>
        </w:rPr>
        <w:t xml:space="preserve">. </w:t>
      </w:r>
    </w:p>
    <w:p w14:paraId="54A45A0F" w14:textId="04B03A6B" w:rsidR="00F44327" w:rsidRDefault="00F36378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Those users filling in user evidence forms</w:t>
      </w:r>
      <w:r w:rsidR="00EB4DC3">
        <w:rPr>
          <w:rFonts w:ascii="Arial" w:hAnsi="Arial" w:cs="Arial"/>
          <w:bCs/>
        </w:rPr>
        <w:t xml:space="preserve"> around </w:t>
      </w:r>
      <w:r w:rsidR="00C45663">
        <w:rPr>
          <w:rFonts w:ascii="Arial" w:hAnsi="Arial" w:cs="Arial"/>
          <w:bCs/>
        </w:rPr>
        <w:t>2</w:t>
      </w:r>
      <w:r w:rsidR="00EB4DC3">
        <w:rPr>
          <w:rFonts w:ascii="Arial" w:hAnsi="Arial" w:cs="Arial"/>
          <w:bCs/>
        </w:rPr>
        <w:t xml:space="preserve">0 years ago evidently thought that the Order route was the ‘proper’ route, and it is not obvious why they would have said so </w:t>
      </w:r>
      <w:r w:rsidR="00B716B3">
        <w:rPr>
          <w:rFonts w:ascii="Arial" w:hAnsi="Arial" w:cs="Arial"/>
          <w:bCs/>
        </w:rPr>
        <w:t xml:space="preserve">if they did not think it was used, or use it themselves. The route lies in a coastal area </w:t>
      </w:r>
      <w:r w:rsidR="00BB0981">
        <w:rPr>
          <w:rFonts w:ascii="Arial" w:hAnsi="Arial" w:cs="Arial"/>
          <w:bCs/>
        </w:rPr>
        <w:t xml:space="preserve">attracting walkers and, given what is said about </w:t>
      </w:r>
      <w:proofErr w:type="spellStart"/>
      <w:r w:rsidR="00BB0981">
        <w:rPr>
          <w:rFonts w:ascii="Arial" w:hAnsi="Arial" w:cs="Arial"/>
          <w:bCs/>
        </w:rPr>
        <w:t>there</w:t>
      </w:r>
      <w:proofErr w:type="spellEnd"/>
      <w:r w:rsidR="00BB0981">
        <w:rPr>
          <w:rFonts w:ascii="Arial" w:hAnsi="Arial" w:cs="Arial"/>
          <w:bCs/>
        </w:rPr>
        <w:t xml:space="preserve"> having been a ‘private’ sign at the end of the Polbream driveway, </w:t>
      </w:r>
      <w:r w:rsidR="003A3940">
        <w:rPr>
          <w:rFonts w:ascii="Arial" w:hAnsi="Arial" w:cs="Arial"/>
          <w:bCs/>
        </w:rPr>
        <w:t xml:space="preserve">yet </w:t>
      </w:r>
      <w:r w:rsidR="00BB0981">
        <w:rPr>
          <w:rFonts w:ascii="Arial" w:hAnsi="Arial" w:cs="Arial"/>
          <w:bCs/>
        </w:rPr>
        <w:t xml:space="preserve">with no obvious restriction </w:t>
      </w:r>
      <w:r w:rsidR="003A3940">
        <w:rPr>
          <w:rFonts w:ascii="Arial" w:hAnsi="Arial" w:cs="Arial"/>
          <w:bCs/>
        </w:rPr>
        <w:t xml:space="preserve">on the alternative Order route, it can readily be inferred that the route has in fact been used extensively by the public. There is no suggestion that any such </w:t>
      </w:r>
      <w:r w:rsidR="00F748B8">
        <w:rPr>
          <w:rFonts w:ascii="Arial" w:hAnsi="Arial" w:cs="Arial"/>
          <w:bCs/>
        </w:rPr>
        <w:t xml:space="preserve">use of the </w:t>
      </w:r>
      <w:r w:rsidR="003A3940">
        <w:rPr>
          <w:rFonts w:ascii="Arial" w:hAnsi="Arial" w:cs="Arial"/>
          <w:bCs/>
        </w:rPr>
        <w:t xml:space="preserve">route on foot has been </w:t>
      </w:r>
      <w:r w:rsidR="00237519">
        <w:rPr>
          <w:rFonts w:ascii="Arial" w:hAnsi="Arial" w:cs="Arial"/>
          <w:bCs/>
        </w:rPr>
        <w:t xml:space="preserve">by force, in secret or with permission. </w:t>
      </w:r>
    </w:p>
    <w:p w14:paraId="3E687084" w14:textId="0A32243B" w:rsidR="005678CC" w:rsidRDefault="009C1069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apparent continuation of the use of the route by the public in the </w:t>
      </w:r>
      <w:r w:rsidR="00C6106C">
        <w:rPr>
          <w:rFonts w:ascii="Arial" w:hAnsi="Arial" w:cs="Arial"/>
          <w:bCs/>
        </w:rPr>
        <w:t xml:space="preserve">years since the application was made, as </w:t>
      </w:r>
      <w:r w:rsidR="00586CA6">
        <w:rPr>
          <w:rFonts w:ascii="Arial" w:hAnsi="Arial" w:cs="Arial"/>
          <w:bCs/>
        </w:rPr>
        <w:t>is indicated</w:t>
      </w:r>
      <w:r w:rsidR="00C6106C">
        <w:rPr>
          <w:rFonts w:ascii="Arial" w:hAnsi="Arial" w:cs="Arial"/>
          <w:bCs/>
        </w:rPr>
        <w:t xml:space="preserve"> by the correspondence from the adjoining occupiers and the Footpath Preservation Society, is</w:t>
      </w:r>
      <w:r w:rsidR="006F61B8">
        <w:rPr>
          <w:rFonts w:ascii="Arial" w:hAnsi="Arial" w:cs="Arial"/>
          <w:bCs/>
        </w:rPr>
        <w:t xml:space="preserve"> not </w:t>
      </w:r>
      <w:r w:rsidR="00A9507E">
        <w:rPr>
          <w:rFonts w:ascii="Arial" w:hAnsi="Arial" w:cs="Arial"/>
          <w:bCs/>
        </w:rPr>
        <w:t>directl</w:t>
      </w:r>
      <w:r w:rsidR="006F61B8">
        <w:rPr>
          <w:rFonts w:ascii="Arial" w:hAnsi="Arial" w:cs="Arial"/>
          <w:bCs/>
        </w:rPr>
        <w:t xml:space="preserve">y relevant to establishing whether the </w:t>
      </w:r>
      <w:r w:rsidR="004730F7">
        <w:rPr>
          <w:rFonts w:ascii="Arial" w:hAnsi="Arial" w:cs="Arial"/>
          <w:bCs/>
        </w:rPr>
        <w:t>use over the 20 years to 2004 had been as of right</w:t>
      </w:r>
      <w:r w:rsidR="001A5665">
        <w:rPr>
          <w:rFonts w:ascii="Arial" w:hAnsi="Arial" w:cs="Arial"/>
          <w:bCs/>
        </w:rPr>
        <w:t>, for the purpose of the section 31</w:t>
      </w:r>
      <w:r w:rsidR="00DF517E">
        <w:rPr>
          <w:rFonts w:ascii="Arial" w:hAnsi="Arial" w:cs="Arial"/>
          <w:bCs/>
        </w:rPr>
        <w:t xml:space="preserve"> statutory test</w:t>
      </w:r>
      <w:r w:rsidR="004730F7">
        <w:rPr>
          <w:rFonts w:ascii="Arial" w:hAnsi="Arial" w:cs="Arial"/>
          <w:bCs/>
        </w:rPr>
        <w:t xml:space="preserve">. </w:t>
      </w:r>
      <w:r w:rsidR="006F4D83">
        <w:rPr>
          <w:rFonts w:ascii="Arial" w:hAnsi="Arial" w:cs="Arial"/>
          <w:bCs/>
        </w:rPr>
        <w:t>However, t</w:t>
      </w:r>
      <w:r w:rsidR="004730F7">
        <w:rPr>
          <w:rFonts w:ascii="Arial" w:hAnsi="Arial" w:cs="Arial"/>
          <w:bCs/>
        </w:rPr>
        <w:t xml:space="preserve">he lack of </w:t>
      </w:r>
      <w:r w:rsidR="00CC7747">
        <w:rPr>
          <w:rFonts w:ascii="Arial" w:hAnsi="Arial" w:cs="Arial"/>
          <w:bCs/>
        </w:rPr>
        <w:t xml:space="preserve">objection to the Order, or of any </w:t>
      </w:r>
      <w:r w:rsidR="004730F7">
        <w:rPr>
          <w:rFonts w:ascii="Arial" w:hAnsi="Arial" w:cs="Arial"/>
          <w:bCs/>
        </w:rPr>
        <w:t xml:space="preserve">contention </w:t>
      </w:r>
      <w:r w:rsidR="00005495">
        <w:rPr>
          <w:rFonts w:ascii="Arial" w:hAnsi="Arial" w:cs="Arial"/>
          <w:bCs/>
        </w:rPr>
        <w:t xml:space="preserve">as to </w:t>
      </w:r>
      <w:r w:rsidR="006F4D83">
        <w:rPr>
          <w:rFonts w:ascii="Arial" w:hAnsi="Arial" w:cs="Arial"/>
          <w:bCs/>
        </w:rPr>
        <w:t>the public’s use</w:t>
      </w:r>
      <w:r w:rsidR="00005495">
        <w:rPr>
          <w:rFonts w:ascii="Arial" w:hAnsi="Arial" w:cs="Arial"/>
          <w:bCs/>
        </w:rPr>
        <w:t xml:space="preserve"> arising from the 2004 application</w:t>
      </w:r>
      <w:r w:rsidR="00DF517E">
        <w:rPr>
          <w:rFonts w:ascii="Arial" w:hAnsi="Arial" w:cs="Arial"/>
          <w:bCs/>
        </w:rPr>
        <w:t>, or of any apparent objection to the use</w:t>
      </w:r>
      <w:r w:rsidR="00D16A84">
        <w:rPr>
          <w:rFonts w:ascii="Arial" w:hAnsi="Arial" w:cs="Arial"/>
          <w:bCs/>
        </w:rPr>
        <w:t xml:space="preserve"> or to the waymarking of it</w:t>
      </w:r>
      <w:r w:rsidR="00DF517E">
        <w:rPr>
          <w:rFonts w:ascii="Arial" w:hAnsi="Arial" w:cs="Arial"/>
          <w:bCs/>
        </w:rPr>
        <w:t xml:space="preserve"> in the period </w:t>
      </w:r>
      <w:r w:rsidR="00C03D72">
        <w:rPr>
          <w:rFonts w:ascii="Arial" w:hAnsi="Arial" w:cs="Arial"/>
          <w:bCs/>
        </w:rPr>
        <w:t xml:space="preserve">since that application was made, </w:t>
      </w:r>
      <w:r w:rsidR="00005495">
        <w:rPr>
          <w:rFonts w:ascii="Arial" w:hAnsi="Arial" w:cs="Arial"/>
          <w:bCs/>
        </w:rPr>
        <w:t xml:space="preserve">does </w:t>
      </w:r>
      <w:r w:rsidR="00C03D72">
        <w:rPr>
          <w:rFonts w:ascii="Arial" w:hAnsi="Arial" w:cs="Arial"/>
          <w:bCs/>
        </w:rPr>
        <w:t xml:space="preserve">give rise to a strong inference of </w:t>
      </w:r>
      <w:r w:rsidR="00005495">
        <w:rPr>
          <w:rFonts w:ascii="Arial" w:hAnsi="Arial" w:cs="Arial"/>
          <w:bCs/>
        </w:rPr>
        <w:t>the landowner’s acquiescence</w:t>
      </w:r>
      <w:r w:rsidR="00495003">
        <w:rPr>
          <w:rFonts w:ascii="Arial" w:hAnsi="Arial" w:cs="Arial"/>
          <w:bCs/>
        </w:rPr>
        <w:t xml:space="preserve"> in t</w:t>
      </w:r>
      <w:r w:rsidR="00C03D72">
        <w:rPr>
          <w:rFonts w:ascii="Arial" w:hAnsi="Arial" w:cs="Arial"/>
          <w:bCs/>
        </w:rPr>
        <w:t>he use</w:t>
      </w:r>
      <w:r w:rsidR="006F4D83">
        <w:rPr>
          <w:rFonts w:ascii="Arial" w:hAnsi="Arial" w:cs="Arial"/>
          <w:bCs/>
        </w:rPr>
        <w:t xml:space="preserve">. </w:t>
      </w:r>
    </w:p>
    <w:p w14:paraId="68AE6046" w14:textId="77777777" w:rsidR="00D16A84" w:rsidRDefault="00465535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Although</w:t>
      </w:r>
      <w:r w:rsidR="00237519">
        <w:rPr>
          <w:rFonts w:ascii="Arial" w:hAnsi="Arial" w:cs="Arial"/>
          <w:bCs/>
        </w:rPr>
        <w:t xml:space="preserve"> the actual evidence of users</w:t>
      </w:r>
      <w:r w:rsidR="005678CC">
        <w:rPr>
          <w:rFonts w:ascii="Arial" w:hAnsi="Arial" w:cs="Arial"/>
          <w:bCs/>
        </w:rPr>
        <w:t xml:space="preserve"> during the relevant </w:t>
      </w:r>
      <w:r>
        <w:rPr>
          <w:rFonts w:ascii="Arial" w:hAnsi="Arial" w:cs="Arial"/>
          <w:bCs/>
        </w:rPr>
        <w:t xml:space="preserve">20 year </w:t>
      </w:r>
      <w:r w:rsidR="005678CC">
        <w:rPr>
          <w:rFonts w:ascii="Arial" w:hAnsi="Arial" w:cs="Arial"/>
          <w:bCs/>
        </w:rPr>
        <w:t>period</w:t>
      </w:r>
      <w:r w:rsidR="00237519">
        <w:rPr>
          <w:rFonts w:ascii="Arial" w:hAnsi="Arial" w:cs="Arial"/>
          <w:bCs/>
        </w:rPr>
        <w:t xml:space="preserve"> is fairly scant, the surrounding circumstances </w:t>
      </w:r>
      <w:r w:rsidR="005678CC">
        <w:rPr>
          <w:rFonts w:ascii="Arial" w:hAnsi="Arial" w:cs="Arial"/>
          <w:bCs/>
        </w:rPr>
        <w:t>including the location of the route and its</w:t>
      </w:r>
      <w:r w:rsidR="00800C09">
        <w:rPr>
          <w:rFonts w:ascii="Arial" w:hAnsi="Arial" w:cs="Arial"/>
          <w:bCs/>
        </w:rPr>
        <w:t xml:space="preserve"> point of access onto the National Trust land on the southwest Cornish coast</w:t>
      </w:r>
      <w:r w:rsidR="006C6F3C">
        <w:rPr>
          <w:rFonts w:ascii="Arial" w:hAnsi="Arial" w:cs="Arial"/>
          <w:bCs/>
        </w:rPr>
        <w:t>al</w:t>
      </w:r>
      <w:r w:rsidR="00800C09">
        <w:rPr>
          <w:rFonts w:ascii="Arial" w:hAnsi="Arial" w:cs="Arial"/>
          <w:bCs/>
        </w:rPr>
        <w:t xml:space="preserve"> cliffside</w:t>
      </w:r>
      <w:r w:rsidR="00976256">
        <w:rPr>
          <w:rFonts w:ascii="Arial" w:hAnsi="Arial" w:cs="Arial"/>
          <w:bCs/>
        </w:rPr>
        <w:t xml:space="preserve"> lead me to infer that the route probably </w:t>
      </w:r>
      <w:r w:rsidR="00D16A84">
        <w:rPr>
          <w:rFonts w:ascii="Arial" w:hAnsi="Arial" w:cs="Arial"/>
          <w:bCs/>
        </w:rPr>
        <w:t>was</w:t>
      </w:r>
      <w:r w:rsidR="00976256">
        <w:rPr>
          <w:rFonts w:ascii="Arial" w:hAnsi="Arial" w:cs="Arial"/>
          <w:bCs/>
        </w:rPr>
        <w:t xml:space="preserve"> used by the public as of right during the relevant period to 2004</w:t>
      </w:r>
      <w:r w:rsidR="00F566D0">
        <w:rPr>
          <w:rFonts w:ascii="Arial" w:hAnsi="Arial" w:cs="Arial"/>
          <w:bCs/>
        </w:rPr>
        <w:t>, when considering the provisions of section 31</w:t>
      </w:r>
      <w:r w:rsidR="00976256">
        <w:rPr>
          <w:rFonts w:ascii="Arial" w:hAnsi="Arial" w:cs="Arial"/>
          <w:bCs/>
        </w:rPr>
        <w:t>.</w:t>
      </w:r>
      <w:r w:rsidR="003D766E">
        <w:rPr>
          <w:rFonts w:ascii="Arial" w:hAnsi="Arial" w:cs="Arial"/>
          <w:bCs/>
        </w:rPr>
        <w:t xml:space="preserve"> </w:t>
      </w:r>
    </w:p>
    <w:p w14:paraId="24C91744" w14:textId="0CDAAC0A" w:rsidR="00237519" w:rsidRPr="002522E7" w:rsidRDefault="003D766E" w:rsidP="002522E7">
      <w:pPr>
        <w:pStyle w:val="Style1"/>
        <w:numPr>
          <w:ilvl w:val="0"/>
          <w:numId w:val="4"/>
        </w:numPr>
        <w:tabs>
          <w:tab w:val="clear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Whether or not that statutory test is satisfied, however, I am wholly satisfied that </w:t>
      </w:r>
      <w:r w:rsidR="009F0514">
        <w:rPr>
          <w:rFonts w:ascii="Arial" w:hAnsi="Arial" w:cs="Arial"/>
          <w:bCs/>
        </w:rPr>
        <w:t xml:space="preserve">a dedication at common law may </w:t>
      </w:r>
      <w:r w:rsidR="00D16A84">
        <w:rPr>
          <w:rFonts w:ascii="Arial" w:hAnsi="Arial" w:cs="Arial"/>
          <w:bCs/>
        </w:rPr>
        <w:t xml:space="preserve">now </w:t>
      </w:r>
      <w:r w:rsidR="009F0514">
        <w:rPr>
          <w:rFonts w:ascii="Arial" w:hAnsi="Arial" w:cs="Arial"/>
          <w:bCs/>
        </w:rPr>
        <w:t>be properly inferred</w:t>
      </w:r>
      <w:r w:rsidR="00F16FE6">
        <w:rPr>
          <w:rFonts w:ascii="Arial" w:hAnsi="Arial" w:cs="Arial"/>
          <w:bCs/>
        </w:rPr>
        <w:t xml:space="preserve"> from all the evidence including that post-dating the </w:t>
      </w:r>
      <w:r w:rsidR="006877A5">
        <w:rPr>
          <w:rFonts w:ascii="Arial" w:hAnsi="Arial" w:cs="Arial"/>
          <w:bCs/>
        </w:rPr>
        <w:t xml:space="preserve">2004 </w:t>
      </w:r>
      <w:r w:rsidR="00F16FE6">
        <w:rPr>
          <w:rFonts w:ascii="Arial" w:hAnsi="Arial" w:cs="Arial"/>
          <w:bCs/>
        </w:rPr>
        <w:t>modification application</w:t>
      </w:r>
      <w:r w:rsidR="009F0514">
        <w:rPr>
          <w:rFonts w:ascii="Arial" w:hAnsi="Arial" w:cs="Arial"/>
          <w:bCs/>
        </w:rPr>
        <w:t xml:space="preserve">. </w:t>
      </w:r>
      <w:r w:rsidR="006C6F3C">
        <w:rPr>
          <w:rFonts w:ascii="Arial" w:hAnsi="Arial" w:cs="Arial"/>
          <w:bCs/>
        </w:rPr>
        <w:t xml:space="preserve">There is no evidence to the contrary, and what actual evidence there is supports such a conclusion. </w:t>
      </w:r>
      <w:r w:rsidR="00976256">
        <w:rPr>
          <w:rFonts w:ascii="Arial" w:hAnsi="Arial" w:cs="Arial"/>
          <w:bCs/>
        </w:rPr>
        <w:t>For these reasons I find that ‘Test A’</w:t>
      </w:r>
      <w:r w:rsidR="00EC55C2">
        <w:rPr>
          <w:rFonts w:ascii="Arial" w:hAnsi="Arial" w:cs="Arial"/>
          <w:bCs/>
        </w:rPr>
        <w:t>,</w:t>
      </w:r>
      <w:r w:rsidR="00976256">
        <w:rPr>
          <w:rFonts w:ascii="Arial" w:hAnsi="Arial" w:cs="Arial"/>
          <w:bCs/>
        </w:rPr>
        <w:t xml:space="preserve"> is made out</w:t>
      </w:r>
      <w:r w:rsidR="001A21FD">
        <w:rPr>
          <w:rFonts w:ascii="Arial" w:hAnsi="Arial" w:cs="Arial"/>
          <w:bCs/>
        </w:rPr>
        <w:t xml:space="preserve">, </w:t>
      </w:r>
      <w:r w:rsidR="00976256">
        <w:rPr>
          <w:rFonts w:ascii="Arial" w:hAnsi="Arial" w:cs="Arial"/>
          <w:bCs/>
        </w:rPr>
        <w:t>and that the Order should be confirmed.</w:t>
      </w:r>
    </w:p>
    <w:p w14:paraId="47F85E5D" w14:textId="53DA78C7" w:rsidR="00CE4E55" w:rsidRPr="00195DD6" w:rsidRDefault="00CE4E55" w:rsidP="00670447">
      <w:pPr>
        <w:pStyle w:val="Style1"/>
        <w:spacing w:line="360" w:lineRule="auto"/>
        <w:ind w:left="0" w:firstLine="0"/>
        <w:rPr>
          <w:rFonts w:ascii="Arial" w:hAnsi="Arial" w:cs="Arial"/>
          <w:b/>
        </w:rPr>
      </w:pPr>
      <w:r w:rsidRPr="00195DD6">
        <w:rPr>
          <w:rFonts w:ascii="Arial" w:hAnsi="Arial" w:cs="Arial"/>
          <w:b/>
        </w:rPr>
        <w:t>Conclusion</w:t>
      </w:r>
    </w:p>
    <w:p w14:paraId="1E48F206" w14:textId="01B74BF6" w:rsidR="00CE4E55" w:rsidRDefault="00CE4E55" w:rsidP="00670447">
      <w:pPr>
        <w:pStyle w:val="Style1"/>
        <w:numPr>
          <w:ilvl w:val="0"/>
          <w:numId w:val="4"/>
        </w:numPr>
        <w:tabs>
          <w:tab w:val="clear" w:pos="720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I conclude that the requirements for </w:t>
      </w:r>
      <w:r w:rsidR="00551D34">
        <w:rPr>
          <w:rFonts w:ascii="Arial" w:hAnsi="Arial" w:cs="Arial"/>
        </w:rPr>
        <w:t>confirming</w:t>
      </w:r>
      <w:r>
        <w:rPr>
          <w:rFonts w:ascii="Arial" w:hAnsi="Arial" w:cs="Arial"/>
        </w:rPr>
        <w:t xml:space="preserve"> the Order </w:t>
      </w:r>
      <w:r w:rsidR="00551D3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re satisfied. </w:t>
      </w:r>
    </w:p>
    <w:p w14:paraId="6F799AA8" w14:textId="171C1BB4" w:rsidR="00CE4E55" w:rsidRDefault="00CE4E55" w:rsidP="00670447">
      <w:pPr>
        <w:pStyle w:val="Style1"/>
        <w:spacing w:line="360" w:lineRule="auto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Formal Decision</w:t>
      </w:r>
    </w:p>
    <w:p w14:paraId="272F0E00" w14:textId="7C5AAF41" w:rsidR="00CE4E55" w:rsidRPr="00AA060E" w:rsidRDefault="002522E7" w:rsidP="00670447">
      <w:pPr>
        <w:pStyle w:val="Style1"/>
        <w:numPr>
          <w:ilvl w:val="0"/>
          <w:numId w:val="4"/>
        </w:numPr>
        <w:tabs>
          <w:tab w:val="clear" w:pos="720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I confirm the Order</w:t>
      </w:r>
      <w:r w:rsidR="00CE4E55" w:rsidRPr="00AA060E">
        <w:rPr>
          <w:rFonts w:ascii="Arial" w:hAnsi="Arial" w:cs="Arial"/>
        </w:rPr>
        <w:t>.</w:t>
      </w:r>
    </w:p>
    <w:p w14:paraId="5338F04A" w14:textId="77777777" w:rsidR="00CE4E55" w:rsidRPr="00B24C4B" w:rsidRDefault="00CE4E55" w:rsidP="00F72F24">
      <w:pPr>
        <w:pStyle w:val="Style1"/>
        <w:spacing w:before="120"/>
        <w:ind w:left="0" w:firstLine="0"/>
        <w:rPr>
          <w:rFonts w:ascii="Monotype Corsiva" w:hAnsi="Monotype Corsiva" w:cs="Arial"/>
          <w:sz w:val="36"/>
          <w:szCs w:val="36"/>
        </w:rPr>
      </w:pPr>
      <w:r>
        <w:rPr>
          <w:rFonts w:ascii="Monotype Corsiva" w:hAnsi="Monotype Corsiva" w:cs="Arial"/>
          <w:sz w:val="36"/>
          <w:szCs w:val="36"/>
        </w:rPr>
        <w:t xml:space="preserve">Laura Renaudon </w:t>
      </w:r>
    </w:p>
    <w:p w14:paraId="1804DCFB" w14:textId="2C11D3F0" w:rsidR="00E97B50" w:rsidRDefault="00CE4E55" w:rsidP="00F72F24">
      <w:pPr>
        <w:pStyle w:val="Style1"/>
        <w:spacing w:before="120"/>
        <w:ind w:left="0" w:firstLine="0"/>
      </w:pPr>
      <w:r>
        <w:rPr>
          <w:rFonts w:ascii="Arial" w:hAnsi="Arial" w:cs="Arial"/>
        </w:rPr>
        <w:t>INSPECTOR</w:t>
      </w:r>
    </w:p>
    <w:p w14:paraId="0E866329" w14:textId="72247731" w:rsidR="00E97B50" w:rsidRDefault="00E97B50">
      <w:pPr>
        <w:rPr>
          <w:b/>
          <w:bCs/>
        </w:rPr>
      </w:pPr>
      <w:r>
        <w:rPr>
          <w:b/>
          <w:bCs/>
        </w:rPr>
        <w:lastRenderedPageBreak/>
        <w:t xml:space="preserve">THE ORDER </w:t>
      </w:r>
      <w:r w:rsidR="006C6874">
        <w:rPr>
          <w:b/>
          <w:bCs/>
        </w:rPr>
        <w:t>MAP</w:t>
      </w:r>
    </w:p>
    <w:p w14:paraId="12CBDD07" w14:textId="77777777" w:rsidR="00D96AEF" w:rsidRDefault="00D96AEF">
      <w:pPr>
        <w:rPr>
          <w:b/>
          <w:bCs/>
        </w:rPr>
      </w:pPr>
    </w:p>
    <w:p w14:paraId="1F5E86A8" w14:textId="099AB81D" w:rsidR="00D96AEF" w:rsidRPr="00E97B50" w:rsidRDefault="00C66F06">
      <w:pPr>
        <w:rPr>
          <w:b/>
          <w:bCs/>
        </w:rPr>
      </w:pPr>
      <w:r w:rsidRPr="00C66F06">
        <w:rPr>
          <w:b/>
          <w:bCs/>
          <w:noProof/>
        </w:rPr>
        <w:drawing>
          <wp:inline distT="0" distB="0" distL="0" distR="0" wp14:anchorId="0F95F8FE" wp14:editId="23687FD6">
            <wp:extent cx="5908040" cy="4086225"/>
            <wp:effectExtent l="0" t="0" r="0" b="9525"/>
            <wp:docPr id="864704957" name="Picture 1" descr="Order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04957" name="Picture 1" descr="Order ma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AEF" w:rsidRPr="00E97B50" w:rsidSect="00CE4E5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80" w:right="1077" w:bottom="1276" w:left="1525" w:header="624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153B" w14:textId="77777777" w:rsidR="00946F3A" w:rsidRDefault="00946F3A">
      <w:r>
        <w:separator/>
      </w:r>
    </w:p>
  </w:endnote>
  <w:endnote w:type="continuationSeparator" w:id="0">
    <w:p w14:paraId="7C43A608" w14:textId="77777777" w:rsidR="00946F3A" w:rsidRDefault="0094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555F" w14:textId="77777777" w:rsidR="00CE4E55" w:rsidRDefault="00CE4E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3C42C" w14:textId="77777777" w:rsidR="00CE4E55" w:rsidRDefault="00CE4E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B138" w14:textId="77777777" w:rsidR="00CE4E55" w:rsidRDefault="00CE4E55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158A39" wp14:editId="5864A68A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984AC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25A365DF" w14:textId="77777777" w:rsidR="00CE4E55" w:rsidRPr="00E45340" w:rsidRDefault="00CE4E55" w:rsidP="00E45340">
    <w:pPr>
      <w:pStyle w:val="Footer"/>
      <w:ind w:right="-52"/>
      <w:rPr>
        <w:sz w:val="16"/>
        <w:szCs w:val="16"/>
      </w:rPr>
    </w:pPr>
    <w:hyperlink r:id="rId1" w:history="1">
      <w:r w:rsidRPr="00026922">
        <w:rPr>
          <w:rStyle w:val="Hyperlink"/>
          <w:sz w:val="16"/>
          <w:szCs w:val="16"/>
        </w:rPr>
        <w:t>https://www.gov.uk/planning-inspectorate</w:t>
      </w:r>
    </w:hyperlink>
    <w:r>
      <w:rPr>
        <w:sz w:val="16"/>
        <w:szCs w:val="16"/>
      </w:rPr>
      <w:t xml:space="preserve">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02EB" w14:textId="77777777" w:rsidR="00CE4E55" w:rsidRDefault="00CE4E55" w:rsidP="003C3FF8">
    <w:pPr>
      <w:pStyle w:val="Footer"/>
      <w:pBdr>
        <w:bottom w:val="none" w:sz="0" w:space="0" w:color="000000"/>
      </w:pBdr>
      <w:ind w:right="-5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C0E62C" wp14:editId="434AEC7E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3E873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  <w:p w14:paraId="024FB590" w14:textId="77777777" w:rsidR="00CE4E55" w:rsidRPr="00451EE4" w:rsidRDefault="00CE4E55">
    <w:pPr>
      <w:pStyle w:val="Footer"/>
      <w:ind w:right="-52"/>
      <w:rPr>
        <w:sz w:val="16"/>
        <w:szCs w:val="16"/>
      </w:rPr>
    </w:pPr>
    <w:hyperlink r:id="rId1" w:history="1">
      <w:r w:rsidRPr="00026922">
        <w:rPr>
          <w:rStyle w:val="Hyperlink"/>
          <w:sz w:val="16"/>
          <w:szCs w:val="16"/>
        </w:rPr>
        <w:t>https://www.gov.uk/planning-inspectorate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1502" w14:textId="77777777" w:rsidR="00946F3A" w:rsidRDefault="00946F3A">
      <w:r>
        <w:separator/>
      </w:r>
    </w:p>
  </w:footnote>
  <w:footnote w:type="continuationSeparator" w:id="0">
    <w:p w14:paraId="1B0BBB6A" w14:textId="77777777" w:rsidR="00946F3A" w:rsidRDefault="0094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CE4E55" w14:paraId="06C1343B" w14:textId="77777777">
      <w:tc>
        <w:tcPr>
          <w:tcW w:w="9520" w:type="dxa"/>
        </w:tcPr>
        <w:p w14:paraId="3074AA97" w14:textId="5C78C8FB" w:rsidR="00C06B8C" w:rsidRDefault="004850B7">
          <w:pPr>
            <w:pStyle w:val="Footer"/>
          </w:pPr>
          <w:r>
            <w:t>Order</w:t>
          </w:r>
          <w:r w:rsidR="00CE4E55">
            <w:t xml:space="preserve"> Decision ROW/33</w:t>
          </w:r>
          <w:r w:rsidR="002522E7">
            <w:t>55182</w:t>
          </w:r>
        </w:p>
      </w:tc>
    </w:tr>
  </w:tbl>
  <w:p w14:paraId="3CFD78F3" w14:textId="77777777" w:rsidR="00CE4E55" w:rsidRDefault="00CE4E55" w:rsidP="00087477">
    <w:pPr>
      <w:pStyle w:val="Footer"/>
      <w:spacing w:after="18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965142A" wp14:editId="15C36953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943600" cy="0"/>
              <wp:effectExtent l="0" t="0" r="0" b="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7F3B7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Dfnnj9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E350" w14:textId="77777777" w:rsidR="00CE4E55" w:rsidRDefault="00CE4E55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D7A15"/>
    <w:multiLevelType w:val="multilevel"/>
    <w:tmpl w:val="98183D82"/>
    <w:styleLink w:val="StylesList"/>
    <w:lvl w:ilvl="0">
      <w:start w:val="1"/>
      <w:numFmt w:val="decimal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1" w15:restartNumberingAfterBreak="0">
    <w:nsid w:val="4DED4C13"/>
    <w:multiLevelType w:val="multilevel"/>
    <w:tmpl w:val="A22611FC"/>
    <w:styleLink w:val="ConditionsList"/>
    <w:lvl w:ilvl="0">
      <w:start w:val="1"/>
      <w:numFmt w:val="decimal"/>
      <w:pStyle w:val="Conditions1"/>
      <w:lvlText w:val="%1)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sz w:val="22"/>
      </w:rPr>
    </w:lvl>
    <w:lvl w:ilvl="1">
      <w:start w:val="1"/>
      <w:numFmt w:val="none"/>
      <w:lvlRestart w:val="0"/>
      <w:pStyle w:val="ConditionsNoNumber"/>
      <w:lvlText w:val="%2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lowerRoman"/>
      <w:pStyle w:val="Conditions2"/>
      <w:lvlText w:val="%3)"/>
      <w:lvlJc w:val="left"/>
      <w:pPr>
        <w:tabs>
          <w:tab w:val="num" w:pos="1616"/>
        </w:tabs>
        <w:ind w:left="1616" w:hanging="539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bullet"/>
      <w:lvlRestart w:val="2"/>
      <w:pStyle w:val="ConditionsBullet"/>
      <w:lvlText w:val=""/>
      <w:lvlJc w:val="left"/>
      <w:pPr>
        <w:tabs>
          <w:tab w:val="num" w:pos="2155"/>
        </w:tabs>
        <w:ind w:left="2155" w:hanging="539"/>
      </w:pPr>
      <w:rPr>
        <w:rFonts w:ascii="Symbol" w:hAnsi="Symbol" w:hint="default"/>
      </w:rPr>
    </w:lvl>
    <w:lvl w:ilvl="4">
      <w:start w:val="1"/>
      <w:numFmt w:val="none"/>
      <w:pStyle w:val="ConditionsNoNumberNoSpaceBefore"/>
      <w:lvlText w:val=""/>
      <w:lvlJc w:val="left"/>
      <w:pPr>
        <w:tabs>
          <w:tab w:val="num" w:pos="1077"/>
        </w:tabs>
        <w:ind w:left="1077" w:hanging="64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5B7639F"/>
    <w:multiLevelType w:val="multilevel"/>
    <w:tmpl w:val="A22611FC"/>
    <w:numStyleLink w:val="ConditionsList"/>
  </w:abstractNum>
  <w:abstractNum w:abstractNumId="3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0504079">
    <w:abstractNumId w:val="3"/>
  </w:num>
  <w:num w:numId="2" w16cid:durableId="689457646">
    <w:abstractNumId w:val="1"/>
  </w:num>
  <w:num w:numId="3" w16cid:durableId="64308365">
    <w:abstractNumId w:val="0"/>
  </w:num>
  <w:num w:numId="4" w16cid:durableId="4391866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sz w:val="22"/>
          <w:szCs w:val="22"/>
        </w:rPr>
      </w:lvl>
    </w:lvlOverride>
  </w:num>
  <w:num w:numId="5" w16cid:durableId="137770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14"/>
    <w:rsid w:val="000018A6"/>
    <w:rsid w:val="00004D2B"/>
    <w:rsid w:val="00005495"/>
    <w:rsid w:val="00006583"/>
    <w:rsid w:val="00007E62"/>
    <w:rsid w:val="0002242A"/>
    <w:rsid w:val="00043B49"/>
    <w:rsid w:val="00066A52"/>
    <w:rsid w:val="000C52AD"/>
    <w:rsid w:val="000D27C1"/>
    <w:rsid w:val="000D5E7B"/>
    <w:rsid w:val="000E35A8"/>
    <w:rsid w:val="000E66DC"/>
    <w:rsid w:val="000E6C55"/>
    <w:rsid w:val="001170E3"/>
    <w:rsid w:val="00123B54"/>
    <w:rsid w:val="00127591"/>
    <w:rsid w:val="00127791"/>
    <w:rsid w:val="00140472"/>
    <w:rsid w:val="0015229D"/>
    <w:rsid w:val="00163A7B"/>
    <w:rsid w:val="001768EF"/>
    <w:rsid w:val="00181A8B"/>
    <w:rsid w:val="001865BD"/>
    <w:rsid w:val="00195DD6"/>
    <w:rsid w:val="001A21FD"/>
    <w:rsid w:val="001A5665"/>
    <w:rsid w:val="001D6682"/>
    <w:rsid w:val="001E70BB"/>
    <w:rsid w:val="001F0595"/>
    <w:rsid w:val="002145BA"/>
    <w:rsid w:val="00220072"/>
    <w:rsid w:val="002270ED"/>
    <w:rsid w:val="0023045D"/>
    <w:rsid w:val="00233004"/>
    <w:rsid w:val="00237519"/>
    <w:rsid w:val="00240036"/>
    <w:rsid w:val="00242178"/>
    <w:rsid w:val="002522E7"/>
    <w:rsid w:val="002609B5"/>
    <w:rsid w:val="00281D47"/>
    <w:rsid w:val="00291E9D"/>
    <w:rsid w:val="002A7F3C"/>
    <w:rsid w:val="002D39BA"/>
    <w:rsid w:val="002E1872"/>
    <w:rsid w:val="002E41EC"/>
    <w:rsid w:val="002E540C"/>
    <w:rsid w:val="002F0A18"/>
    <w:rsid w:val="002F1853"/>
    <w:rsid w:val="00302645"/>
    <w:rsid w:val="00315103"/>
    <w:rsid w:val="003172C1"/>
    <w:rsid w:val="0032124A"/>
    <w:rsid w:val="00340A64"/>
    <w:rsid w:val="00342483"/>
    <w:rsid w:val="00342F1A"/>
    <w:rsid w:val="00353140"/>
    <w:rsid w:val="0036100E"/>
    <w:rsid w:val="00370A97"/>
    <w:rsid w:val="00375D62"/>
    <w:rsid w:val="0038500E"/>
    <w:rsid w:val="003906C3"/>
    <w:rsid w:val="003A3940"/>
    <w:rsid w:val="003C0914"/>
    <w:rsid w:val="003D100F"/>
    <w:rsid w:val="003D766E"/>
    <w:rsid w:val="003F2304"/>
    <w:rsid w:val="00421D38"/>
    <w:rsid w:val="00435F8E"/>
    <w:rsid w:val="00465535"/>
    <w:rsid w:val="004730F7"/>
    <w:rsid w:val="00476639"/>
    <w:rsid w:val="004850B7"/>
    <w:rsid w:val="00495003"/>
    <w:rsid w:val="004A1AC4"/>
    <w:rsid w:val="004A4B94"/>
    <w:rsid w:val="004B1FAF"/>
    <w:rsid w:val="004B4762"/>
    <w:rsid w:val="004B7DDC"/>
    <w:rsid w:val="004C0065"/>
    <w:rsid w:val="004C2537"/>
    <w:rsid w:val="004C6686"/>
    <w:rsid w:val="004C7849"/>
    <w:rsid w:val="004D2807"/>
    <w:rsid w:val="004E10E3"/>
    <w:rsid w:val="004E7CD9"/>
    <w:rsid w:val="00515B6C"/>
    <w:rsid w:val="005216E5"/>
    <w:rsid w:val="00524849"/>
    <w:rsid w:val="005259FC"/>
    <w:rsid w:val="00536B58"/>
    <w:rsid w:val="00551D34"/>
    <w:rsid w:val="00552DC5"/>
    <w:rsid w:val="00562194"/>
    <w:rsid w:val="005678CC"/>
    <w:rsid w:val="00583158"/>
    <w:rsid w:val="00586CA6"/>
    <w:rsid w:val="00590F10"/>
    <w:rsid w:val="005940FB"/>
    <w:rsid w:val="005979F4"/>
    <w:rsid w:val="00597B15"/>
    <w:rsid w:val="005A7EED"/>
    <w:rsid w:val="005B174A"/>
    <w:rsid w:val="005E1004"/>
    <w:rsid w:val="005E2102"/>
    <w:rsid w:val="005E427E"/>
    <w:rsid w:val="005E4B13"/>
    <w:rsid w:val="005F19F2"/>
    <w:rsid w:val="005F1B7E"/>
    <w:rsid w:val="005F2ED2"/>
    <w:rsid w:val="00600B30"/>
    <w:rsid w:val="00615832"/>
    <w:rsid w:val="006307F0"/>
    <w:rsid w:val="00641384"/>
    <w:rsid w:val="006446BF"/>
    <w:rsid w:val="00646488"/>
    <w:rsid w:val="0064744B"/>
    <w:rsid w:val="00651165"/>
    <w:rsid w:val="00660CEA"/>
    <w:rsid w:val="00662C65"/>
    <w:rsid w:val="00667705"/>
    <w:rsid w:val="00670447"/>
    <w:rsid w:val="00672084"/>
    <w:rsid w:val="006742EE"/>
    <w:rsid w:val="006822F7"/>
    <w:rsid w:val="006834C6"/>
    <w:rsid w:val="00686F01"/>
    <w:rsid w:val="006877A5"/>
    <w:rsid w:val="00690680"/>
    <w:rsid w:val="00690D5B"/>
    <w:rsid w:val="00692F76"/>
    <w:rsid w:val="00697B49"/>
    <w:rsid w:val="00697D25"/>
    <w:rsid w:val="006A3B2F"/>
    <w:rsid w:val="006B0D15"/>
    <w:rsid w:val="006B6BD2"/>
    <w:rsid w:val="006B74A2"/>
    <w:rsid w:val="006C6874"/>
    <w:rsid w:val="006C6F3C"/>
    <w:rsid w:val="006E2845"/>
    <w:rsid w:val="006E699C"/>
    <w:rsid w:val="006E6A4B"/>
    <w:rsid w:val="006F01D3"/>
    <w:rsid w:val="006F4D83"/>
    <w:rsid w:val="006F61B8"/>
    <w:rsid w:val="00733429"/>
    <w:rsid w:val="00743297"/>
    <w:rsid w:val="007441B5"/>
    <w:rsid w:val="00746E09"/>
    <w:rsid w:val="007473AD"/>
    <w:rsid w:val="00751266"/>
    <w:rsid w:val="00752F1B"/>
    <w:rsid w:val="007536CE"/>
    <w:rsid w:val="00775700"/>
    <w:rsid w:val="0077685A"/>
    <w:rsid w:val="00783533"/>
    <w:rsid w:val="00785D90"/>
    <w:rsid w:val="00785EED"/>
    <w:rsid w:val="00793A60"/>
    <w:rsid w:val="007A38E6"/>
    <w:rsid w:val="007B0B03"/>
    <w:rsid w:val="007C4387"/>
    <w:rsid w:val="007E0946"/>
    <w:rsid w:val="007E3D3D"/>
    <w:rsid w:val="007E5C9B"/>
    <w:rsid w:val="007F4FE6"/>
    <w:rsid w:val="00800C09"/>
    <w:rsid w:val="0080276A"/>
    <w:rsid w:val="008052E2"/>
    <w:rsid w:val="00805784"/>
    <w:rsid w:val="0080710C"/>
    <w:rsid w:val="00810F6A"/>
    <w:rsid w:val="008174D8"/>
    <w:rsid w:val="0082545D"/>
    <w:rsid w:val="00862307"/>
    <w:rsid w:val="00874DF7"/>
    <w:rsid w:val="0087516E"/>
    <w:rsid w:val="00880C72"/>
    <w:rsid w:val="008C02E3"/>
    <w:rsid w:val="008C3ADE"/>
    <w:rsid w:val="008C69F6"/>
    <w:rsid w:val="008D16C7"/>
    <w:rsid w:val="008D3987"/>
    <w:rsid w:val="008D62E6"/>
    <w:rsid w:val="008D6A17"/>
    <w:rsid w:val="00900D2E"/>
    <w:rsid w:val="0091249D"/>
    <w:rsid w:val="00916E6E"/>
    <w:rsid w:val="0092162B"/>
    <w:rsid w:val="00922A6F"/>
    <w:rsid w:val="00934C4B"/>
    <w:rsid w:val="00946F3A"/>
    <w:rsid w:val="00954106"/>
    <w:rsid w:val="00975EDA"/>
    <w:rsid w:val="00976256"/>
    <w:rsid w:val="00980492"/>
    <w:rsid w:val="009A74C3"/>
    <w:rsid w:val="009B0EFA"/>
    <w:rsid w:val="009C1069"/>
    <w:rsid w:val="009D1359"/>
    <w:rsid w:val="009D1D8F"/>
    <w:rsid w:val="009D4B88"/>
    <w:rsid w:val="009D518F"/>
    <w:rsid w:val="009D7BEB"/>
    <w:rsid w:val="009E04DE"/>
    <w:rsid w:val="009E7180"/>
    <w:rsid w:val="009F0514"/>
    <w:rsid w:val="00A067A5"/>
    <w:rsid w:val="00A10787"/>
    <w:rsid w:val="00A26A70"/>
    <w:rsid w:val="00A34DF9"/>
    <w:rsid w:val="00A4041A"/>
    <w:rsid w:val="00A71E0B"/>
    <w:rsid w:val="00A80F8F"/>
    <w:rsid w:val="00A823AA"/>
    <w:rsid w:val="00A9507E"/>
    <w:rsid w:val="00A96C7C"/>
    <w:rsid w:val="00AB7257"/>
    <w:rsid w:val="00AC7E00"/>
    <w:rsid w:val="00AE0338"/>
    <w:rsid w:val="00AE0DF2"/>
    <w:rsid w:val="00AE506F"/>
    <w:rsid w:val="00AF358E"/>
    <w:rsid w:val="00AF6115"/>
    <w:rsid w:val="00B1626F"/>
    <w:rsid w:val="00B21F29"/>
    <w:rsid w:val="00B36DC0"/>
    <w:rsid w:val="00B57749"/>
    <w:rsid w:val="00B6199D"/>
    <w:rsid w:val="00B716B3"/>
    <w:rsid w:val="00B71BDD"/>
    <w:rsid w:val="00B73CDD"/>
    <w:rsid w:val="00B76C14"/>
    <w:rsid w:val="00B82771"/>
    <w:rsid w:val="00B873F0"/>
    <w:rsid w:val="00BA1684"/>
    <w:rsid w:val="00BA4A3E"/>
    <w:rsid w:val="00BA69D1"/>
    <w:rsid w:val="00BB0052"/>
    <w:rsid w:val="00BB0981"/>
    <w:rsid w:val="00BB09E3"/>
    <w:rsid w:val="00BB50D9"/>
    <w:rsid w:val="00BC6C0E"/>
    <w:rsid w:val="00BE4DC5"/>
    <w:rsid w:val="00BF0F11"/>
    <w:rsid w:val="00C01AD6"/>
    <w:rsid w:val="00C028B0"/>
    <w:rsid w:val="00C03D72"/>
    <w:rsid w:val="00C06B8C"/>
    <w:rsid w:val="00C07363"/>
    <w:rsid w:val="00C147A9"/>
    <w:rsid w:val="00C20352"/>
    <w:rsid w:val="00C26ED1"/>
    <w:rsid w:val="00C365D4"/>
    <w:rsid w:val="00C45663"/>
    <w:rsid w:val="00C47980"/>
    <w:rsid w:val="00C6106C"/>
    <w:rsid w:val="00C612C3"/>
    <w:rsid w:val="00C64040"/>
    <w:rsid w:val="00C66F06"/>
    <w:rsid w:val="00C67FDB"/>
    <w:rsid w:val="00C93D4C"/>
    <w:rsid w:val="00CC64B1"/>
    <w:rsid w:val="00CC7747"/>
    <w:rsid w:val="00CC7D7C"/>
    <w:rsid w:val="00CD2616"/>
    <w:rsid w:val="00CD47FF"/>
    <w:rsid w:val="00CD5188"/>
    <w:rsid w:val="00CD7131"/>
    <w:rsid w:val="00CE4E55"/>
    <w:rsid w:val="00CF335C"/>
    <w:rsid w:val="00CF7993"/>
    <w:rsid w:val="00CF7DBF"/>
    <w:rsid w:val="00D00A20"/>
    <w:rsid w:val="00D01259"/>
    <w:rsid w:val="00D110F2"/>
    <w:rsid w:val="00D115C4"/>
    <w:rsid w:val="00D152BC"/>
    <w:rsid w:val="00D164E5"/>
    <w:rsid w:val="00D16A84"/>
    <w:rsid w:val="00D27A66"/>
    <w:rsid w:val="00D3575D"/>
    <w:rsid w:val="00D438EB"/>
    <w:rsid w:val="00D6385D"/>
    <w:rsid w:val="00D646E7"/>
    <w:rsid w:val="00D83EDD"/>
    <w:rsid w:val="00D87A48"/>
    <w:rsid w:val="00D92F02"/>
    <w:rsid w:val="00D96AEF"/>
    <w:rsid w:val="00D97862"/>
    <w:rsid w:val="00DC206A"/>
    <w:rsid w:val="00DC2981"/>
    <w:rsid w:val="00DD1F3D"/>
    <w:rsid w:val="00DD33B3"/>
    <w:rsid w:val="00DD4926"/>
    <w:rsid w:val="00DD56CE"/>
    <w:rsid w:val="00DD6398"/>
    <w:rsid w:val="00DD76BA"/>
    <w:rsid w:val="00DF517E"/>
    <w:rsid w:val="00E25182"/>
    <w:rsid w:val="00E30DF7"/>
    <w:rsid w:val="00E31379"/>
    <w:rsid w:val="00E32208"/>
    <w:rsid w:val="00E33093"/>
    <w:rsid w:val="00E35C83"/>
    <w:rsid w:val="00E3673E"/>
    <w:rsid w:val="00E36F8C"/>
    <w:rsid w:val="00E40033"/>
    <w:rsid w:val="00E47309"/>
    <w:rsid w:val="00E65C4C"/>
    <w:rsid w:val="00E735BF"/>
    <w:rsid w:val="00E815A1"/>
    <w:rsid w:val="00E852C7"/>
    <w:rsid w:val="00E969B9"/>
    <w:rsid w:val="00E97B50"/>
    <w:rsid w:val="00EA56F8"/>
    <w:rsid w:val="00EB2DDF"/>
    <w:rsid w:val="00EB4DC3"/>
    <w:rsid w:val="00EB555C"/>
    <w:rsid w:val="00EC3115"/>
    <w:rsid w:val="00EC55C2"/>
    <w:rsid w:val="00EE2638"/>
    <w:rsid w:val="00EF1D3C"/>
    <w:rsid w:val="00EF2EEE"/>
    <w:rsid w:val="00EF4C2A"/>
    <w:rsid w:val="00F032E0"/>
    <w:rsid w:val="00F140CA"/>
    <w:rsid w:val="00F14F2B"/>
    <w:rsid w:val="00F16FE6"/>
    <w:rsid w:val="00F22802"/>
    <w:rsid w:val="00F237D8"/>
    <w:rsid w:val="00F311F5"/>
    <w:rsid w:val="00F36378"/>
    <w:rsid w:val="00F375F0"/>
    <w:rsid w:val="00F44327"/>
    <w:rsid w:val="00F45796"/>
    <w:rsid w:val="00F47F67"/>
    <w:rsid w:val="00F566D0"/>
    <w:rsid w:val="00F7011E"/>
    <w:rsid w:val="00F717DC"/>
    <w:rsid w:val="00F72F24"/>
    <w:rsid w:val="00F748B8"/>
    <w:rsid w:val="00F77260"/>
    <w:rsid w:val="00F83A26"/>
    <w:rsid w:val="00F90875"/>
    <w:rsid w:val="00F90E6E"/>
    <w:rsid w:val="00FB5A32"/>
    <w:rsid w:val="00FE2D44"/>
    <w:rsid w:val="00FF1363"/>
    <w:rsid w:val="00FF346F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E40C"/>
  <w15:chartTrackingRefBased/>
  <w15:docId w15:val="{A1D8DF75-03ED-4E95-8A46-9DBD9F84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55"/>
    <w:pPr>
      <w:spacing w:after="0" w:line="240" w:lineRule="auto"/>
    </w:pPr>
    <w:rPr>
      <w:rFonts w:ascii="Verdana" w:eastAsia="Times New Roman" w:hAnsi="Verdana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C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C0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C0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C0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C0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C0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3C0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9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E4E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E4E55"/>
    <w:rPr>
      <w:rFonts w:ascii="Verdana" w:eastAsia="Times New Roman" w:hAnsi="Verdana" w:cs="Times New Roman"/>
      <w:kern w:val="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CE4E55"/>
    <w:pPr>
      <w:tabs>
        <w:tab w:val="center" w:pos="4153"/>
        <w:tab w:val="right" w:pos="830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CE4E55"/>
    <w:rPr>
      <w:rFonts w:ascii="Verdana" w:eastAsia="Times New Roman" w:hAnsi="Verdana" w:cs="Times New Roman"/>
      <w:kern w:val="0"/>
      <w:sz w:val="18"/>
      <w:szCs w:val="20"/>
      <w:lang w:eastAsia="en-GB"/>
      <w14:ligatures w14:val="none"/>
    </w:rPr>
  </w:style>
  <w:style w:type="character" w:styleId="PageNumber">
    <w:name w:val="page number"/>
    <w:basedOn w:val="DefaultParagraphFont"/>
    <w:rsid w:val="00CE4E55"/>
    <w:rPr>
      <w:rFonts w:ascii="Verdana" w:hAnsi="Verdana"/>
      <w:sz w:val="18"/>
    </w:rPr>
  </w:style>
  <w:style w:type="paragraph" w:customStyle="1" w:styleId="Noindent">
    <w:name w:val="No indent"/>
    <w:basedOn w:val="Normal"/>
    <w:rsid w:val="00CE4E55"/>
    <w:pPr>
      <w:tabs>
        <w:tab w:val="left" w:pos="426"/>
      </w:tabs>
    </w:pPr>
  </w:style>
  <w:style w:type="paragraph" w:customStyle="1" w:styleId="TBullet">
    <w:name w:val="T_Bullet"/>
    <w:basedOn w:val="Normal"/>
    <w:rsid w:val="00CE4E55"/>
    <w:pPr>
      <w:numPr>
        <w:numId w:val="1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rsid w:val="00CE4E55"/>
    <w:pPr>
      <w:keepNext w:val="0"/>
      <w:keepLines w:val="0"/>
      <w:tabs>
        <w:tab w:val="left" w:pos="432"/>
      </w:tabs>
      <w:spacing w:before="180" w:after="0"/>
      <w:ind w:left="431" w:hanging="431"/>
    </w:pPr>
    <w:rPr>
      <w:rFonts w:ascii="Verdana" w:eastAsia="Times New Roman" w:hAnsi="Verdana" w:cs="Times New Roman"/>
      <w:color w:val="000000"/>
      <w:kern w:val="28"/>
      <w:sz w:val="22"/>
      <w:szCs w:val="20"/>
    </w:rPr>
  </w:style>
  <w:style w:type="paragraph" w:customStyle="1" w:styleId="Conditions1">
    <w:name w:val="Conditions1"/>
    <w:rsid w:val="00CE4E55"/>
    <w:pPr>
      <w:numPr>
        <w:numId w:val="5"/>
      </w:numPr>
      <w:spacing w:before="120" w:after="0" w:line="240" w:lineRule="auto"/>
    </w:pPr>
    <w:rPr>
      <w:rFonts w:ascii="Verdana" w:eastAsia="Times New Roman" w:hAnsi="Verdana" w:cs="Times New Roman"/>
      <w:kern w:val="0"/>
      <w:szCs w:val="20"/>
      <w:lang w:eastAsia="en-GB"/>
      <w14:ligatures w14:val="none"/>
    </w:rPr>
  </w:style>
  <w:style w:type="paragraph" w:customStyle="1" w:styleId="Conditions2">
    <w:name w:val="Conditions2"/>
    <w:rsid w:val="00CE4E55"/>
    <w:pPr>
      <w:numPr>
        <w:ilvl w:val="2"/>
        <w:numId w:val="5"/>
      </w:numPr>
      <w:spacing w:before="60" w:after="0" w:line="240" w:lineRule="auto"/>
    </w:pPr>
    <w:rPr>
      <w:rFonts w:ascii="Verdana" w:eastAsia="Times New Roman" w:hAnsi="Verdana" w:cs="Times New Roman"/>
      <w:kern w:val="0"/>
      <w:szCs w:val="20"/>
      <w:lang w:eastAsia="en-GB"/>
      <w14:ligatures w14:val="none"/>
    </w:rPr>
  </w:style>
  <w:style w:type="paragraph" w:customStyle="1" w:styleId="Heading6blackfont">
    <w:name w:val="Heading 6 + black font"/>
    <w:basedOn w:val="Heading6"/>
    <w:next w:val="Style1"/>
    <w:rsid w:val="00CE4E55"/>
    <w:pPr>
      <w:keepLines w:val="0"/>
      <w:widowControl w:val="0"/>
      <w:spacing w:before="180"/>
    </w:pPr>
    <w:rPr>
      <w:rFonts w:eastAsia="Times New Roman" w:cs="Times New Roman"/>
      <w:b/>
      <w:i w:val="0"/>
      <w:iCs w:val="0"/>
      <w:color w:val="000000"/>
    </w:rPr>
  </w:style>
  <w:style w:type="character" w:styleId="Hyperlink">
    <w:name w:val="Hyperlink"/>
    <w:basedOn w:val="DefaultParagraphFont"/>
    <w:rsid w:val="00CE4E55"/>
    <w:rPr>
      <w:color w:val="0000FF"/>
      <w:u w:val="single"/>
    </w:rPr>
  </w:style>
  <w:style w:type="paragraph" w:customStyle="1" w:styleId="ConditionsBullet">
    <w:name w:val="ConditionsBullet"/>
    <w:basedOn w:val="Conditions2"/>
    <w:qFormat/>
    <w:rsid w:val="00CE4E55"/>
    <w:pPr>
      <w:numPr>
        <w:ilvl w:val="3"/>
      </w:numPr>
      <w:spacing w:before="0"/>
    </w:pPr>
  </w:style>
  <w:style w:type="numbering" w:customStyle="1" w:styleId="ConditionsList">
    <w:name w:val="ConditionsList"/>
    <w:uiPriority w:val="99"/>
    <w:rsid w:val="00CE4E55"/>
    <w:pPr>
      <w:numPr>
        <w:numId w:val="2"/>
      </w:numPr>
    </w:pPr>
  </w:style>
  <w:style w:type="paragraph" w:customStyle="1" w:styleId="ConditionsNoNumber">
    <w:name w:val="ConditionsNoNumber"/>
    <w:basedOn w:val="Normal"/>
    <w:qFormat/>
    <w:rsid w:val="00CE4E55"/>
    <w:pPr>
      <w:numPr>
        <w:ilvl w:val="1"/>
        <w:numId w:val="5"/>
      </w:numPr>
      <w:spacing w:before="120"/>
    </w:pPr>
  </w:style>
  <w:style w:type="paragraph" w:customStyle="1" w:styleId="ConditionsNoNumberNoSpaceBefore">
    <w:name w:val="ConditionsNoNumberNoSpaceBefore"/>
    <w:basedOn w:val="ConditionsNoNumber"/>
    <w:qFormat/>
    <w:rsid w:val="00CE4E55"/>
    <w:pPr>
      <w:numPr>
        <w:ilvl w:val="4"/>
      </w:numPr>
      <w:spacing w:before="0"/>
    </w:pPr>
  </w:style>
  <w:style w:type="numbering" w:customStyle="1" w:styleId="StylesList">
    <w:name w:val="StylesList"/>
    <w:uiPriority w:val="99"/>
    <w:rsid w:val="00CE4E5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bec75bf8ef12038c7c713e2e9904971c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2edc934045839d470ed1aaacd7f7ec40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NUMBER xmlns="171a6d4e-846b-4045-8024-24f3590889ec" xsi:nil="true"/>
    <lcf76f155ced4ddcb4097134ff3c332f xmlns="171a6d4e-846b-4045-8024-24f35908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968B0C-3D7E-4A7D-B70C-8D7E92F9C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13B3B-0B66-4997-8E0E-8410A9498FC3}"/>
</file>

<file path=customXml/itemProps3.xml><?xml version="1.0" encoding="utf-8"?>
<ds:datastoreItem xmlns:ds="http://schemas.openxmlformats.org/officeDocument/2006/customXml" ds:itemID="{8ED55B1F-728C-43C6-ACBD-DEAFF588C068}">
  <ds:schemaRefs>
    <ds:schemaRef ds:uri="http://schemas.microsoft.com/office/2006/metadata/properties"/>
    <ds:schemaRef ds:uri="http://schemas.microsoft.com/office/infopath/2007/PartnerControls"/>
    <ds:schemaRef ds:uri="c9a31704-8876-44e3-a39c-721bd2a9d2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Renaudon, Laura</dc:creator>
  <cp:keywords/>
  <dc:description/>
  <cp:lastModifiedBy>Dom Dobbs</cp:lastModifiedBy>
  <cp:revision>321</cp:revision>
  <cp:lastPrinted>2026-02-03T15:30:00Z</cp:lastPrinted>
  <dcterms:created xsi:type="dcterms:W3CDTF">2025-10-17T10:36:00Z</dcterms:created>
  <dcterms:modified xsi:type="dcterms:W3CDTF">2026-02-03T15:31:00Z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0x0101002AA54CDEF871A647AC44520C841F1B03</vt:lpwstr>
  </property>
</Properties>
</file>