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9D4A" w14:textId="2777761D" w:rsidR="65494E3F" w:rsidRPr="00E74170" w:rsidRDefault="65494E3F" w:rsidP="00E74170">
      <w:pPr>
        <w:pStyle w:val="Title"/>
        <w:rPr>
          <w:rFonts w:ascii="Arial" w:hAnsi="Arial" w:cs="Arial"/>
          <w:sz w:val="16"/>
          <w:szCs w:val="16"/>
        </w:rPr>
      </w:pPr>
      <w:r w:rsidRPr="00E74170">
        <w:rPr>
          <w:rFonts w:ascii="Arial" w:hAnsi="Arial" w:cs="Arial"/>
          <w:sz w:val="40"/>
          <w:szCs w:val="40"/>
        </w:rPr>
        <w:t xml:space="preserve">December </w:t>
      </w:r>
      <w:r w:rsidR="009001F5" w:rsidRPr="00E74170">
        <w:rPr>
          <w:rFonts w:ascii="Arial" w:hAnsi="Arial" w:cs="Arial"/>
          <w:sz w:val="40"/>
          <w:szCs w:val="40"/>
        </w:rPr>
        <w:t>Non-Dom</w:t>
      </w:r>
      <w:r w:rsidR="00E74170">
        <w:rPr>
          <w:rFonts w:ascii="Arial" w:hAnsi="Arial" w:cs="Arial"/>
          <w:sz w:val="40"/>
          <w:szCs w:val="40"/>
        </w:rPr>
        <w:t>icile Reforms, WEF-CTLG</w:t>
      </w:r>
      <w:r w:rsidR="009001F5" w:rsidRPr="00E74170">
        <w:rPr>
          <w:rFonts w:ascii="Arial" w:hAnsi="Arial" w:cs="Arial"/>
          <w:sz w:val="40"/>
          <w:szCs w:val="40"/>
        </w:rPr>
        <w:t xml:space="preserve"> Sub-Group Meeting </w:t>
      </w:r>
      <w:r w:rsidR="374F6695" w:rsidRPr="00E74170">
        <w:rPr>
          <w:rFonts w:ascii="Arial" w:hAnsi="Arial" w:cs="Arial"/>
          <w:sz w:val="40"/>
          <w:szCs w:val="40"/>
        </w:rPr>
        <w:t>Minutes</w:t>
      </w:r>
    </w:p>
    <w:p w14:paraId="71E42672" w14:textId="637669CE" w:rsidR="4D831B06" w:rsidRDefault="4D831B06" w:rsidP="4D831B06">
      <w:pPr>
        <w:pStyle w:val="Title"/>
        <w:jc w:val="center"/>
        <w:rPr>
          <w:rFonts w:ascii="Arial" w:hAnsi="Arial" w:cs="Arial"/>
          <w:sz w:val="24"/>
          <w:szCs w:val="24"/>
        </w:rPr>
      </w:pPr>
    </w:p>
    <w:p w14:paraId="3BE4766A" w14:textId="7BEFD3F0" w:rsidR="4F37D94E" w:rsidRDefault="4F37D94E" w:rsidP="4D831B06">
      <w:pPr>
        <w:rPr>
          <w:rFonts w:ascii="Arial" w:hAnsi="Arial" w:cs="Arial"/>
        </w:rPr>
      </w:pPr>
      <w:r w:rsidRPr="4D831B06">
        <w:rPr>
          <w:rFonts w:ascii="Arial" w:hAnsi="Arial" w:cs="Arial"/>
        </w:rPr>
        <w:t>Date: Thursday 16</w:t>
      </w:r>
      <w:r w:rsidRPr="4D831B06">
        <w:rPr>
          <w:rFonts w:ascii="Arial" w:hAnsi="Arial" w:cs="Arial"/>
          <w:vertAlign w:val="superscript"/>
        </w:rPr>
        <w:t>th</w:t>
      </w:r>
      <w:r w:rsidRPr="4D831B06">
        <w:rPr>
          <w:rFonts w:ascii="Arial" w:hAnsi="Arial" w:cs="Arial"/>
        </w:rPr>
        <w:t xml:space="preserve"> December</w:t>
      </w:r>
    </w:p>
    <w:p w14:paraId="7B3C8C21" w14:textId="77777777" w:rsidR="009001F5" w:rsidRPr="00034810" w:rsidRDefault="009001F5">
      <w:pPr>
        <w:rPr>
          <w:rFonts w:ascii="Arial" w:hAnsi="Arial" w:cs="Arial"/>
        </w:rPr>
      </w:pPr>
      <w:r w:rsidRPr="00034810">
        <w:rPr>
          <w:rFonts w:ascii="Arial" w:hAnsi="Arial" w:cs="Arial"/>
        </w:rPr>
        <w:t>Time: 2:00pm – 3:30pm</w:t>
      </w:r>
    </w:p>
    <w:p w14:paraId="5CD8CA11" w14:textId="77777777" w:rsidR="009001F5" w:rsidRPr="00034810" w:rsidRDefault="009001F5">
      <w:pPr>
        <w:rPr>
          <w:rFonts w:ascii="Arial" w:hAnsi="Arial" w:cs="Arial"/>
        </w:rPr>
      </w:pPr>
      <w:r w:rsidRPr="00034810">
        <w:rPr>
          <w:rFonts w:ascii="Arial" w:hAnsi="Arial" w:cs="Arial"/>
        </w:rPr>
        <w:t>Location: Virtual</w:t>
      </w:r>
    </w:p>
    <w:p w14:paraId="7D3A7E30" w14:textId="557BC753" w:rsidR="009001F5" w:rsidRPr="00034810" w:rsidRDefault="009001F5" w:rsidP="2E82AB4C">
      <w:pPr>
        <w:rPr>
          <w:rFonts w:ascii="Arial" w:eastAsia="Arial" w:hAnsi="Arial" w:cs="Arial"/>
        </w:rPr>
      </w:pPr>
      <w:r w:rsidRPr="3D882181">
        <w:rPr>
          <w:rFonts w:ascii="Arial" w:hAnsi="Arial" w:cs="Arial"/>
        </w:rPr>
        <w:t>Chair: Mark Ropka</w:t>
      </w:r>
      <w:r w:rsidR="34F7968B" w:rsidRPr="3D882181">
        <w:rPr>
          <w:rFonts w:ascii="Arial" w:hAnsi="Arial" w:cs="Arial"/>
        </w:rPr>
        <w:t>- WMBC Wealthy</w:t>
      </w:r>
    </w:p>
    <w:p w14:paraId="51955E81" w14:textId="0A421B60" w:rsidR="001BD6D9" w:rsidRDefault="001BD6D9" w:rsidP="3D882181">
      <w:pPr>
        <w:rPr>
          <w:rFonts w:ascii="Arial" w:hAnsi="Arial" w:cs="Arial"/>
          <w:b/>
          <w:bCs/>
        </w:rPr>
      </w:pPr>
      <w:r w:rsidRPr="3D882181">
        <w:rPr>
          <w:rFonts w:ascii="Arial" w:hAnsi="Arial" w:cs="Arial"/>
          <w:b/>
          <w:bCs/>
        </w:rPr>
        <w:t>HMRC</w:t>
      </w:r>
    </w:p>
    <w:p w14:paraId="271571F9" w14:textId="4F45A430" w:rsidR="009001F5" w:rsidRPr="00034810" w:rsidRDefault="663E687A" w:rsidP="2E82AB4C">
      <w:pPr>
        <w:pStyle w:val="ListParagraph"/>
        <w:numPr>
          <w:ilvl w:val="0"/>
          <w:numId w:val="1"/>
        </w:numPr>
        <w:rPr>
          <w:rFonts w:ascii="Arial" w:eastAsia="Arial" w:hAnsi="Arial" w:cs="Arial"/>
        </w:rPr>
      </w:pPr>
      <w:r w:rsidRPr="3D882181">
        <w:rPr>
          <w:rFonts w:ascii="Arial" w:eastAsia="Arial" w:hAnsi="Arial" w:cs="Arial"/>
        </w:rPr>
        <w:t xml:space="preserve">Daniel Butler </w:t>
      </w:r>
    </w:p>
    <w:p w14:paraId="54056D09" w14:textId="728C5FAB" w:rsidR="009001F5" w:rsidRPr="00034810" w:rsidRDefault="663E687A" w:rsidP="2E82AB4C">
      <w:pPr>
        <w:pStyle w:val="ListParagraph"/>
        <w:numPr>
          <w:ilvl w:val="0"/>
          <w:numId w:val="1"/>
        </w:numPr>
        <w:spacing w:after="0"/>
        <w:rPr>
          <w:rFonts w:ascii="Arial" w:eastAsia="Arial" w:hAnsi="Arial" w:cs="Arial"/>
        </w:rPr>
      </w:pPr>
      <w:r w:rsidRPr="3D882181">
        <w:rPr>
          <w:rFonts w:ascii="Arial" w:eastAsia="Arial" w:hAnsi="Arial" w:cs="Arial"/>
        </w:rPr>
        <w:t xml:space="preserve">Jhonti Bird </w:t>
      </w:r>
    </w:p>
    <w:p w14:paraId="3F1F925D" w14:textId="0709DC52" w:rsidR="009001F5" w:rsidRPr="00034810" w:rsidRDefault="663E687A" w:rsidP="2E82AB4C">
      <w:pPr>
        <w:pStyle w:val="ListParagraph"/>
        <w:numPr>
          <w:ilvl w:val="0"/>
          <w:numId w:val="1"/>
        </w:numPr>
        <w:spacing w:after="0"/>
        <w:rPr>
          <w:rFonts w:ascii="Arial" w:eastAsia="Arial" w:hAnsi="Arial" w:cs="Arial"/>
        </w:rPr>
      </w:pPr>
      <w:r w:rsidRPr="3D882181">
        <w:rPr>
          <w:rFonts w:ascii="Arial" w:eastAsia="Arial" w:hAnsi="Arial" w:cs="Arial"/>
        </w:rPr>
        <w:t xml:space="preserve">Gordon Hawthorn </w:t>
      </w:r>
    </w:p>
    <w:p w14:paraId="2A8666E4" w14:textId="278CC76A" w:rsidR="009001F5" w:rsidRPr="00034810" w:rsidRDefault="663E687A" w:rsidP="2E82AB4C">
      <w:pPr>
        <w:pStyle w:val="ListParagraph"/>
        <w:numPr>
          <w:ilvl w:val="0"/>
          <w:numId w:val="1"/>
        </w:numPr>
        <w:spacing w:after="0"/>
        <w:rPr>
          <w:rFonts w:ascii="Arial" w:eastAsia="Arial" w:hAnsi="Arial" w:cs="Arial"/>
        </w:rPr>
      </w:pPr>
      <w:r w:rsidRPr="3D882181">
        <w:rPr>
          <w:rFonts w:ascii="Arial" w:eastAsia="Arial" w:hAnsi="Arial" w:cs="Arial"/>
        </w:rPr>
        <w:t xml:space="preserve">Usman Khan </w:t>
      </w:r>
    </w:p>
    <w:p w14:paraId="2F534061" w14:textId="385BF6C3" w:rsidR="009001F5" w:rsidRPr="00034810" w:rsidRDefault="3EFF1142" w:rsidP="2E82AB4C">
      <w:pPr>
        <w:pStyle w:val="ListParagraph"/>
        <w:numPr>
          <w:ilvl w:val="0"/>
          <w:numId w:val="1"/>
        </w:numPr>
        <w:spacing w:after="0"/>
        <w:rPr>
          <w:rFonts w:ascii="Arial" w:eastAsia="Arial" w:hAnsi="Arial" w:cs="Arial"/>
        </w:rPr>
      </w:pPr>
      <w:r w:rsidRPr="3D882181">
        <w:rPr>
          <w:rFonts w:ascii="Arial" w:eastAsia="Arial" w:hAnsi="Arial" w:cs="Arial"/>
        </w:rPr>
        <w:t>Elizabeth McAuley</w:t>
      </w:r>
      <w:r w:rsidR="7825B768" w:rsidRPr="3D882181">
        <w:rPr>
          <w:rFonts w:ascii="Arial" w:eastAsia="Arial" w:hAnsi="Arial" w:cs="Arial"/>
        </w:rPr>
        <w:t xml:space="preserve">   </w:t>
      </w:r>
    </w:p>
    <w:p w14:paraId="063033C9" w14:textId="779701F5" w:rsidR="009001F5" w:rsidRPr="00034810" w:rsidRDefault="3EFF1142" w:rsidP="2E82AB4C">
      <w:pPr>
        <w:pStyle w:val="ListParagraph"/>
        <w:numPr>
          <w:ilvl w:val="0"/>
          <w:numId w:val="1"/>
        </w:numPr>
        <w:spacing w:after="0"/>
        <w:rPr>
          <w:rFonts w:ascii="Arial" w:eastAsia="Arial" w:hAnsi="Arial" w:cs="Arial"/>
        </w:rPr>
      </w:pPr>
      <w:r w:rsidRPr="3D882181">
        <w:rPr>
          <w:rFonts w:ascii="Arial" w:eastAsia="Arial" w:hAnsi="Arial" w:cs="Arial"/>
        </w:rPr>
        <w:t>Jo Pearce</w:t>
      </w:r>
      <w:r w:rsidR="6EEB1A32" w:rsidRPr="3D882181">
        <w:rPr>
          <w:rFonts w:ascii="Arial" w:eastAsia="Arial" w:hAnsi="Arial" w:cs="Arial"/>
        </w:rPr>
        <w:t xml:space="preserve">   </w:t>
      </w:r>
    </w:p>
    <w:p w14:paraId="50F6BE6F" w14:textId="385D028A" w:rsidR="009001F5" w:rsidRPr="00034810" w:rsidRDefault="3EFF1142" w:rsidP="2E82AB4C">
      <w:pPr>
        <w:pStyle w:val="ListParagraph"/>
        <w:numPr>
          <w:ilvl w:val="0"/>
          <w:numId w:val="1"/>
        </w:numPr>
        <w:spacing w:after="0"/>
        <w:rPr>
          <w:rFonts w:ascii="Arial" w:eastAsia="Arial" w:hAnsi="Arial" w:cs="Arial"/>
        </w:rPr>
      </w:pPr>
      <w:r w:rsidRPr="3D882181">
        <w:rPr>
          <w:rFonts w:ascii="Arial" w:eastAsia="Arial" w:hAnsi="Arial" w:cs="Arial"/>
        </w:rPr>
        <w:t xml:space="preserve">Paul </w:t>
      </w:r>
      <w:r w:rsidR="7FBA9869" w:rsidRPr="3D882181">
        <w:rPr>
          <w:rFonts w:ascii="Arial" w:eastAsia="Arial" w:hAnsi="Arial" w:cs="Arial"/>
        </w:rPr>
        <w:t>Hamer</w:t>
      </w:r>
    </w:p>
    <w:p w14:paraId="733CF3A6" w14:textId="2DBA8B8D" w:rsidR="009001F5" w:rsidRPr="00034810" w:rsidRDefault="6AD3B859" w:rsidP="2E82AB4C">
      <w:pPr>
        <w:pStyle w:val="ListParagraph"/>
        <w:numPr>
          <w:ilvl w:val="0"/>
          <w:numId w:val="1"/>
        </w:numPr>
        <w:spacing w:after="0"/>
        <w:rPr>
          <w:rFonts w:ascii="Arial" w:eastAsia="Arial" w:hAnsi="Arial" w:cs="Arial"/>
        </w:rPr>
      </w:pPr>
      <w:r w:rsidRPr="3D882181">
        <w:rPr>
          <w:rFonts w:ascii="Arial" w:eastAsia="Arial" w:hAnsi="Arial" w:cs="Arial"/>
        </w:rPr>
        <w:t>Helen Adamson</w:t>
      </w:r>
    </w:p>
    <w:p w14:paraId="1FCFFBAF" w14:textId="404241DE" w:rsidR="009001F5" w:rsidRPr="00034810" w:rsidRDefault="6AD3B859" w:rsidP="2E82AB4C">
      <w:pPr>
        <w:pStyle w:val="ListParagraph"/>
        <w:numPr>
          <w:ilvl w:val="0"/>
          <w:numId w:val="1"/>
        </w:numPr>
        <w:spacing w:after="0"/>
        <w:rPr>
          <w:rFonts w:ascii="Arial" w:eastAsia="Arial" w:hAnsi="Arial" w:cs="Arial"/>
        </w:rPr>
      </w:pPr>
      <w:r w:rsidRPr="3D882181">
        <w:rPr>
          <w:rFonts w:ascii="Arial" w:eastAsia="Arial" w:hAnsi="Arial" w:cs="Arial"/>
        </w:rPr>
        <w:t>Ashley Penny</w:t>
      </w:r>
    </w:p>
    <w:p w14:paraId="24F88C71" w14:textId="1F579D98" w:rsidR="009001F5" w:rsidRPr="00034810" w:rsidRDefault="6AD3B859" w:rsidP="2E82AB4C">
      <w:pPr>
        <w:pStyle w:val="ListParagraph"/>
        <w:numPr>
          <w:ilvl w:val="0"/>
          <w:numId w:val="1"/>
        </w:numPr>
        <w:spacing w:after="0"/>
        <w:rPr>
          <w:rFonts w:ascii="Arial" w:eastAsia="Arial" w:hAnsi="Arial" w:cs="Arial"/>
        </w:rPr>
      </w:pPr>
      <w:r w:rsidRPr="3D882181">
        <w:rPr>
          <w:rFonts w:ascii="Arial" w:eastAsia="Arial" w:hAnsi="Arial" w:cs="Arial"/>
        </w:rPr>
        <w:t>Carmel Saunders</w:t>
      </w:r>
    </w:p>
    <w:p w14:paraId="192B6FCA" w14:textId="2DF116FE" w:rsidR="009001F5" w:rsidRPr="00034810" w:rsidRDefault="6AD3B859" w:rsidP="2E82AB4C">
      <w:pPr>
        <w:pStyle w:val="ListParagraph"/>
        <w:numPr>
          <w:ilvl w:val="0"/>
          <w:numId w:val="1"/>
        </w:numPr>
        <w:spacing w:after="0"/>
        <w:rPr>
          <w:rFonts w:ascii="Arial" w:eastAsia="Arial" w:hAnsi="Arial" w:cs="Arial"/>
        </w:rPr>
      </w:pPr>
      <w:r w:rsidRPr="3D882181">
        <w:rPr>
          <w:rFonts w:ascii="Arial" w:eastAsia="Arial" w:hAnsi="Arial" w:cs="Arial"/>
        </w:rPr>
        <w:t>Helena Willis</w:t>
      </w:r>
    </w:p>
    <w:p w14:paraId="02A45D67" w14:textId="6019CCDB" w:rsidR="009001F5" w:rsidRPr="00034810" w:rsidRDefault="6AD3B859" w:rsidP="2E82AB4C">
      <w:pPr>
        <w:pStyle w:val="ListParagraph"/>
        <w:numPr>
          <w:ilvl w:val="0"/>
          <w:numId w:val="1"/>
        </w:numPr>
        <w:spacing w:after="0"/>
        <w:rPr>
          <w:rFonts w:ascii="Arial" w:eastAsia="Arial" w:hAnsi="Arial" w:cs="Arial"/>
        </w:rPr>
      </w:pPr>
      <w:r w:rsidRPr="3D882181">
        <w:rPr>
          <w:rFonts w:ascii="Arial" w:eastAsia="Arial" w:hAnsi="Arial" w:cs="Arial"/>
        </w:rPr>
        <w:t>Al Hackney</w:t>
      </w:r>
    </w:p>
    <w:p w14:paraId="052FE01D" w14:textId="737886AB" w:rsidR="009001F5" w:rsidRPr="00034810" w:rsidRDefault="009001F5" w:rsidP="3D882181">
      <w:pPr>
        <w:spacing w:after="0"/>
        <w:rPr>
          <w:rFonts w:ascii="Arial" w:eastAsia="Arial" w:hAnsi="Arial" w:cs="Arial"/>
        </w:rPr>
      </w:pPr>
    </w:p>
    <w:p w14:paraId="66876A22" w14:textId="2F2341CC" w:rsidR="009001F5" w:rsidRPr="00034810" w:rsidRDefault="34AE511F" w:rsidP="3D882181">
      <w:pPr>
        <w:spacing w:after="0"/>
        <w:rPr>
          <w:rFonts w:ascii="Arial" w:eastAsia="Arial" w:hAnsi="Arial" w:cs="Arial"/>
          <w:b/>
          <w:bCs/>
        </w:rPr>
      </w:pPr>
      <w:r w:rsidRPr="3D882181">
        <w:rPr>
          <w:rFonts w:ascii="Arial" w:eastAsia="Arial" w:hAnsi="Arial" w:cs="Arial"/>
          <w:b/>
          <w:bCs/>
        </w:rPr>
        <w:t>External</w:t>
      </w:r>
      <w:r w:rsidR="2463AFC8" w:rsidRPr="3D882181">
        <w:rPr>
          <w:rFonts w:ascii="Arial" w:eastAsia="Arial" w:hAnsi="Arial" w:cs="Arial"/>
          <w:b/>
          <w:bCs/>
        </w:rPr>
        <w:t xml:space="preserve">  </w:t>
      </w:r>
    </w:p>
    <w:p w14:paraId="63874023" w14:textId="06A1C904" w:rsidR="009001F5" w:rsidRPr="00034810" w:rsidRDefault="663E687A" w:rsidP="2E82AB4C">
      <w:pPr>
        <w:pStyle w:val="ListParagraph"/>
        <w:numPr>
          <w:ilvl w:val="0"/>
          <w:numId w:val="1"/>
        </w:numPr>
        <w:spacing w:after="0"/>
        <w:rPr>
          <w:rFonts w:ascii="Arial" w:eastAsia="Arial" w:hAnsi="Arial" w:cs="Arial"/>
        </w:rPr>
      </w:pPr>
      <w:r w:rsidRPr="3D882181">
        <w:rPr>
          <w:rFonts w:ascii="Arial" w:eastAsia="Arial" w:hAnsi="Arial" w:cs="Arial"/>
        </w:rPr>
        <w:t>Seamus Murphy</w:t>
      </w:r>
    </w:p>
    <w:p w14:paraId="1C76E89D" w14:textId="3E80308E" w:rsidR="009001F5" w:rsidRPr="00034810" w:rsidRDefault="663E687A" w:rsidP="2E82AB4C">
      <w:pPr>
        <w:pStyle w:val="ListParagraph"/>
        <w:numPr>
          <w:ilvl w:val="0"/>
          <w:numId w:val="1"/>
        </w:numPr>
        <w:spacing w:after="0"/>
        <w:rPr>
          <w:rFonts w:ascii="Arial" w:eastAsia="Arial" w:hAnsi="Arial" w:cs="Arial"/>
        </w:rPr>
      </w:pPr>
      <w:r w:rsidRPr="3D882181">
        <w:rPr>
          <w:rFonts w:ascii="Arial" w:eastAsia="Arial" w:hAnsi="Arial" w:cs="Arial"/>
        </w:rPr>
        <w:t xml:space="preserve">Robin Vos </w:t>
      </w:r>
    </w:p>
    <w:p w14:paraId="50EA6288" w14:textId="6CE72D72" w:rsidR="009001F5" w:rsidRPr="00034810" w:rsidRDefault="663E687A" w:rsidP="2E82AB4C">
      <w:pPr>
        <w:pStyle w:val="ListParagraph"/>
        <w:numPr>
          <w:ilvl w:val="0"/>
          <w:numId w:val="1"/>
        </w:numPr>
        <w:spacing w:after="0"/>
        <w:rPr>
          <w:rFonts w:ascii="Arial" w:eastAsia="Arial" w:hAnsi="Arial" w:cs="Arial"/>
        </w:rPr>
      </w:pPr>
      <w:r w:rsidRPr="2E82AB4C">
        <w:rPr>
          <w:rFonts w:ascii="Arial" w:eastAsia="Arial" w:hAnsi="Arial" w:cs="Arial"/>
        </w:rPr>
        <w:t>Elizabeth Goshtai</w:t>
      </w:r>
    </w:p>
    <w:p w14:paraId="77D024BA" w14:textId="7847BE71" w:rsidR="009001F5" w:rsidRPr="00034810" w:rsidRDefault="663E687A" w:rsidP="2E82AB4C">
      <w:pPr>
        <w:pStyle w:val="ListParagraph"/>
        <w:numPr>
          <w:ilvl w:val="0"/>
          <w:numId w:val="1"/>
        </w:numPr>
        <w:spacing w:after="0"/>
        <w:rPr>
          <w:rFonts w:ascii="Arial" w:eastAsia="Arial" w:hAnsi="Arial" w:cs="Arial"/>
        </w:rPr>
      </w:pPr>
      <w:r w:rsidRPr="2E82AB4C">
        <w:rPr>
          <w:rFonts w:ascii="Arial" w:eastAsia="Arial" w:hAnsi="Arial" w:cs="Arial"/>
        </w:rPr>
        <w:t>Alexandra Britton‑Davis</w:t>
      </w:r>
    </w:p>
    <w:p w14:paraId="6AABFC02" w14:textId="41D6D233" w:rsidR="009001F5" w:rsidRPr="00034810" w:rsidRDefault="663E687A" w:rsidP="2E82AB4C">
      <w:pPr>
        <w:pStyle w:val="ListParagraph"/>
        <w:numPr>
          <w:ilvl w:val="0"/>
          <w:numId w:val="1"/>
        </w:numPr>
        <w:spacing w:after="0"/>
        <w:rPr>
          <w:rFonts w:ascii="Arial" w:eastAsia="Arial" w:hAnsi="Arial" w:cs="Arial"/>
        </w:rPr>
      </w:pPr>
      <w:r w:rsidRPr="2E82AB4C">
        <w:rPr>
          <w:rFonts w:ascii="Arial" w:eastAsia="Arial" w:hAnsi="Arial" w:cs="Arial"/>
        </w:rPr>
        <w:t>David Wright</w:t>
      </w:r>
    </w:p>
    <w:p w14:paraId="12098F74" w14:textId="0EE0CF7A" w:rsidR="009001F5" w:rsidRPr="00034810" w:rsidRDefault="663E687A" w:rsidP="2E82AB4C">
      <w:pPr>
        <w:pStyle w:val="ListParagraph"/>
        <w:numPr>
          <w:ilvl w:val="0"/>
          <w:numId w:val="1"/>
        </w:numPr>
        <w:spacing w:after="0"/>
        <w:rPr>
          <w:rFonts w:ascii="Arial" w:eastAsia="Arial" w:hAnsi="Arial" w:cs="Arial"/>
        </w:rPr>
      </w:pPr>
      <w:r w:rsidRPr="2E82AB4C">
        <w:rPr>
          <w:rFonts w:ascii="Arial" w:eastAsia="Arial" w:hAnsi="Arial" w:cs="Arial"/>
        </w:rPr>
        <w:t>Michelle Robinson</w:t>
      </w:r>
    </w:p>
    <w:p w14:paraId="1ACA2AB8" w14:textId="50430EFC" w:rsidR="009001F5" w:rsidRPr="00034810" w:rsidRDefault="663E687A" w:rsidP="2E82AB4C">
      <w:pPr>
        <w:pStyle w:val="ListParagraph"/>
        <w:numPr>
          <w:ilvl w:val="0"/>
          <w:numId w:val="1"/>
        </w:numPr>
        <w:spacing w:after="0"/>
        <w:rPr>
          <w:rFonts w:ascii="Arial" w:eastAsia="Arial" w:hAnsi="Arial" w:cs="Arial"/>
        </w:rPr>
      </w:pPr>
      <w:r w:rsidRPr="2E82AB4C">
        <w:rPr>
          <w:rFonts w:ascii="Arial" w:eastAsia="Arial" w:hAnsi="Arial" w:cs="Arial"/>
        </w:rPr>
        <w:t>Simon Jennings</w:t>
      </w:r>
    </w:p>
    <w:p w14:paraId="7E8C3F8A" w14:textId="0786FE16" w:rsidR="009001F5" w:rsidRPr="00034810" w:rsidRDefault="663E687A" w:rsidP="2E82AB4C">
      <w:pPr>
        <w:pStyle w:val="ListParagraph"/>
        <w:numPr>
          <w:ilvl w:val="0"/>
          <w:numId w:val="1"/>
        </w:numPr>
        <w:spacing w:after="0"/>
        <w:rPr>
          <w:rFonts w:ascii="Arial" w:eastAsia="Arial" w:hAnsi="Arial" w:cs="Arial"/>
        </w:rPr>
      </w:pPr>
      <w:r w:rsidRPr="27E5D426">
        <w:rPr>
          <w:rFonts w:ascii="Arial" w:eastAsia="Arial" w:hAnsi="Arial" w:cs="Arial"/>
        </w:rPr>
        <w:t>Katherine Ford</w:t>
      </w:r>
    </w:p>
    <w:p w14:paraId="11F8FDFC" w14:textId="0206E147" w:rsidR="009001F5" w:rsidRPr="00681941" w:rsidRDefault="078363F6" w:rsidP="3D882181">
      <w:pPr>
        <w:pStyle w:val="ListParagraph"/>
        <w:numPr>
          <w:ilvl w:val="0"/>
          <w:numId w:val="1"/>
        </w:numPr>
        <w:spacing w:after="0"/>
        <w:rPr>
          <w:rFonts w:ascii="Arial" w:hAnsi="Arial" w:cs="Arial"/>
          <w:b/>
          <w:bCs/>
          <w:lang w:val="en-GB"/>
        </w:rPr>
      </w:pPr>
      <w:r w:rsidRPr="3D882181">
        <w:rPr>
          <w:rFonts w:ascii="Arial" w:eastAsia="Arial" w:hAnsi="Arial" w:cs="Arial"/>
        </w:rPr>
        <w:t xml:space="preserve">Ruth Sadlier  </w:t>
      </w:r>
    </w:p>
    <w:p w14:paraId="749400BD" w14:textId="5E55FB1A" w:rsidR="009001F5" w:rsidRPr="00681941" w:rsidRDefault="009001F5" w:rsidP="3D882181">
      <w:pPr>
        <w:spacing w:after="0"/>
        <w:rPr>
          <w:rFonts w:ascii="Arial" w:hAnsi="Arial" w:cs="Arial"/>
          <w:b/>
          <w:bCs/>
          <w:lang w:val="en-GB"/>
        </w:rPr>
      </w:pPr>
    </w:p>
    <w:p w14:paraId="0A00243A" w14:textId="4FCDE06F" w:rsidR="009001F5" w:rsidRPr="00681941" w:rsidRDefault="009001F5" w:rsidP="3D882181">
      <w:pPr>
        <w:spacing w:after="0"/>
        <w:rPr>
          <w:rFonts w:ascii="Arial" w:hAnsi="Arial" w:cs="Arial"/>
          <w:b/>
          <w:bCs/>
          <w:lang w:val="en-GB"/>
        </w:rPr>
      </w:pPr>
    </w:p>
    <w:p w14:paraId="72189D70" w14:textId="06796BAD" w:rsidR="009001F5" w:rsidRPr="00681941" w:rsidRDefault="009001F5" w:rsidP="3D882181">
      <w:pPr>
        <w:spacing w:after="0"/>
        <w:rPr>
          <w:rFonts w:ascii="Arial" w:hAnsi="Arial" w:cs="Arial"/>
          <w:b/>
          <w:bCs/>
          <w:lang w:val="en-GB"/>
        </w:rPr>
      </w:pPr>
    </w:p>
    <w:p w14:paraId="564F5E9A" w14:textId="20C8A486" w:rsidR="009001F5" w:rsidRPr="00681941" w:rsidRDefault="009001F5" w:rsidP="3D882181">
      <w:pPr>
        <w:spacing w:after="0"/>
        <w:rPr>
          <w:rFonts w:ascii="Arial" w:hAnsi="Arial" w:cs="Arial"/>
          <w:b/>
          <w:bCs/>
          <w:lang w:val="en-GB"/>
        </w:rPr>
      </w:pPr>
    </w:p>
    <w:p w14:paraId="107D4F69" w14:textId="3889C81B" w:rsidR="009001F5" w:rsidRPr="00681941" w:rsidRDefault="009001F5" w:rsidP="3D882181">
      <w:pPr>
        <w:spacing w:after="0"/>
        <w:rPr>
          <w:rFonts w:ascii="Arial" w:hAnsi="Arial" w:cs="Arial"/>
          <w:b/>
          <w:bCs/>
          <w:lang w:val="en-GB"/>
        </w:rPr>
      </w:pPr>
      <w:r w:rsidRPr="3D882181">
        <w:rPr>
          <w:rFonts w:ascii="Arial" w:hAnsi="Arial" w:cs="Arial"/>
          <w:b/>
          <w:bCs/>
          <w:lang w:val="en-GB"/>
        </w:rPr>
        <w:t>Welcome and Housekeeping</w:t>
      </w:r>
    </w:p>
    <w:p w14:paraId="325C1668" w14:textId="77777777" w:rsidR="009001F5" w:rsidRPr="00034810" w:rsidRDefault="009001F5">
      <w:pPr>
        <w:rPr>
          <w:rFonts w:ascii="Arial" w:hAnsi="Arial" w:cs="Arial"/>
        </w:rPr>
      </w:pPr>
      <w:r w:rsidRPr="00034810">
        <w:rPr>
          <w:rFonts w:ascii="Arial" w:hAnsi="Arial" w:cs="Arial"/>
        </w:rPr>
        <w:lastRenderedPageBreak/>
        <w:t>The Chair opened the meeting, confirming the use of automated transcription for minute-taking and reminding attendees to disable other meeting assistants for GDPR compliance. Attendees were invited to raise any objections to recording; none were raised.</w:t>
      </w:r>
    </w:p>
    <w:p w14:paraId="11D47484" w14:textId="302CB63F" w:rsidR="009001F5" w:rsidRPr="00681941" w:rsidRDefault="009001F5">
      <w:pPr>
        <w:pStyle w:val="Heading1"/>
        <w:rPr>
          <w:rFonts w:ascii="Arial" w:eastAsiaTheme="minorEastAsia" w:hAnsi="Arial" w:cs="Arial"/>
          <w:b/>
          <w:bCs/>
          <w:color w:val="auto"/>
          <w:sz w:val="24"/>
          <w:szCs w:val="24"/>
          <w:lang w:val="en-GB"/>
        </w:rPr>
      </w:pPr>
      <w:r w:rsidRPr="00681941">
        <w:rPr>
          <w:rFonts w:ascii="Arial" w:eastAsiaTheme="minorEastAsia" w:hAnsi="Arial" w:cs="Arial"/>
          <w:b/>
          <w:bCs/>
          <w:color w:val="auto"/>
          <w:sz w:val="24"/>
          <w:szCs w:val="24"/>
          <w:lang w:val="en-GB"/>
        </w:rPr>
        <w:t>Previous Actions</w:t>
      </w:r>
    </w:p>
    <w:p w14:paraId="1E86B28A" w14:textId="52EE1054" w:rsidR="009001F5" w:rsidRPr="00034810" w:rsidRDefault="009001F5">
      <w:pPr>
        <w:rPr>
          <w:rFonts w:ascii="Arial" w:hAnsi="Arial" w:cs="Arial"/>
        </w:rPr>
      </w:pPr>
      <w:r w:rsidRPr="00034810">
        <w:rPr>
          <w:rFonts w:ascii="Arial" w:hAnsi="Arial" w:cs="Arial"/>
        </w:rPr>
        <w:t xml:space="preserve">The only outstanding action was HMRC providing access to the external SharePoint for those with difficulties. </w:t>
      </w:r>
      <w:r w:rsidR="00471FC2">
        <w:rPr>
          <w:rFonts w:ascii="Arial" w:hAnsi="Arial" w:cs="Arial"/>
        </w:rPr>
        <w:t xml:space="preserve">One possible member expressed an issue. They will monitor and let </w:t>
      </w:r>
      <w:r w:rsidR="001C391F">
        <w:rPr>
          <w:rFonts w:ascii="Arial" w:hAnsi="Arial" w:cs="Arial"/>
        </w:rPr>
        <w:t>HMRC</w:t>
      </w:r>
      <w:r w:rsidR="00471FC2">
        <w:rPr>
          <w:rFonts w:ascii="Arial" w:hAnsi="Arial" w:cs="Arial"/>
        </w:rPr>
        <w:t xml:space="preserve"> know if it remains unresolved.</w:t>
      </w:r>
    </w:p>
    <w:p w14:paraId="22716A5D" w14:textId="208CAF14" w:rsidR="009001F5" w:rsidRPr="00681941" w:rsidRDefault="009001F5">
      <w:pPr>
        <w:pStyle w:val="Heading1"/>
        <w:rPr>
          <w:rFonts w:ascii="Arial" w:eastAsiaTheme="minorEastAsia" w:hAnsi="Arial" w:cs="Arial"/>
          <w:b/>
          <w:bCs/>
          <w:color w:val="auto"/>
          <w:sz w:val="24"/>
          <w:szCs w:val="24"/>
          <w:lang w:val="en-GB"/>
        </w:rPr>
      </w:pPr>
      <w:r w:rsidRPr="00681941">
        <w:rPr>
          <w:rFonts w:ascii="Arial" w:eastAsiaTheme="minorEastAsia" w:hAnsi="Arial" w:cs="Arial"/>
          <w:b/>
          <w:bCs/>
          <w:color w:val="auto"/>
          <w:sz w:val="24"/>
          <w:szCs w:val="24"/>
          <w:lang w:val="en-GB"/>
        </w:rPr>
        <w:t>Finance Bill and Draft Legislation – Technical Amendments</w:t>
      </w:r>
    </w:p>
    <w:p w14:paraId="2301B97C" w14:textId="17694C38" w:rsidR="00431BAB" w:rsidRPr="00431BAB" w:rsidRDefault="00431BAB" w:rsidP="00431BAB">
      <w:pPr>
        <w:rPr>
          <w:rFonts w:ascii="Arial" w:hAnsi="Arial" w:cs="Arial"/>
          <w:lang w:val="en-GB"/>
        </w:rPr>
      </w:pPr>
      <w:r>
        <w:rPr>
          <w:rFonts w:ascii="Arial" w:hAnsi="Arial" w:cs="Arial"/>
          <w:lang w:val="en-GB"/>
        </w:rPr>
        <w:t>HMRC updated that m</w:t>
      </w:r>
      <w:r w:rsidRPr="00431BAB">
        <w:rPr>
          <w:rFonts w:ascii="Arial" w:hAnsi="Arial" w:cs="Arial"/>
          <w:lang w:val="en-GB"/>
        </w:rPr>
        <w:t>inor corrective amendments have been made to the broader residence-based tax regime established in the Finance Act 2025, ensuring it operates as originally intended, without altering the underlying policy position. Amendments across the new residence</w:t>
      </w:r>
      <w:r w:rsidR="006A6D3C">
        <w:rPr>
          <w:rFonts w:ascii="Arial" w:hAnsi="Arial" w:cs="Arial"/>
          <w:lang w:val="en-GB"/>
        </w:rPr>
        <w:t>-</w:t>
      </w:r>
      <w:r w:rsidRPr="00431BAB">
        <w:rPr>
          <w:rFonts w:ascii="Arial" w:hAnsi="Arial" w:cs="Arial"/>
          <w:lang w:val="en-GB"/>
        </w:rPr>
        <w:t>based </w:t>
      </w:r>
      <w:r w:rsidR="008771BB">
        <w:rPr>
          <w:rFonts w:ascii="Arial" w:hAnsi="Arial" w:cs="Arial"/>
          <w:lang w:val="en-GB"/>
        </w:rPr>
        <w:t>Foreign Income and Gains (</w:t>
      </w:r>
      <w:r w:rsidRPr="00431BAB">
        <w:rPr>
          <w:rFonts w:ascii="Arial" w:hAnsi="Arial" w:cs="Arial"/>
          <w:lang w:val="en-GB"/>
        </w:rPr>
        <w:t>FIG</w:t>
      </w:r>
      <w:r w:rsidR="008771BB">
        <w:rPr>
          <w:rFonts w:ascii="Arial" w:hAnsi="Arial" w:cs="Arial"/>
          <w:lang w:val="en-GB"/>
        </w:rPr>
        <w:t>)</w:t>
      </w:r>
      <w:r w:rsidRPr="00431BAB">
        <w:rPr>
          <w:rFonts w:ascii="Arial" w:hAnsi="Arial" w:cs="Arial"/>
          <w:lang w:val="en-GB"/>
        </w:rPr>
        <w:t xml:space="preserve"> regime and </w:t>
      </w:r>
      <w:r w:rsidR="002A7A2C" w:rsidRPr="00431BAB">
        <w:rPr>
          <w:rFonts w:ascii="Arial" w:hAnsi="Arial" w:cs="Arial"/>
          <w:lang w:val="en-GB"/>
        </w:rPr>
        <w:t>T</w:t>
      </w:r>
      <w:r w:rsidR="002A7A2C">
        <w:rPr>
          <w:rFonts w:ascii="Arial" w:hAnsi="Arial" w:cs="Arial"/>
          <w:lang w:val="en-GB"/>
        </w:rPr>
        <w:t>emporary</w:t>
      </w:r>
      <w:r w:rsidR="006A6D3C">
        <w:rPr>
          <w:rFonts w:ascii="Arial" w:hAnsi="Arial" w:cs="Arial"/>
          <w:lang w:val="en-GB"/>
        </w:rPr>
        <w:t xml:space="preserve"> Repatriation Facility</w:t>
      </w:r>
      <w:r w:rsidR="008771BB">
        <w:rPr>
          <w:rFonts w:ascii="Arial" w:hAnsi="Arial" w:cs="Arial"/>
          <w:lang w:val="en-GB"/>
        </w:rPr>
        <w:t xml:space="preserve"> (TRF) include</w:t>
      </w:r>
      <w:r w:rsidR="006A6D3C" w:rsidRPr="006A6D3C">
        <w:rPr>
          <w:rFonts w:ascii="Arial" w:hAnsi="Arial" w:cs="Arial"/>
          <w:lang w:val="en-GB"/>
        </w:rPr>
        <w:t>:</w:t>
      </w:r>
    </w:p>
    <w:p w14:paraId="14359DBF" w14:textId="3D783F80" w:rsidR="00431BAB" w:rsidRPr="00431BAB" w:rsidRDefault="00431BAB" w:rsidP="001F248C">
      <w:pPr>
        <w:numPr>
          <w:ilvl w:val="0"/>
          <w:numId w:val="12"/>
        </w:numPr>
        <w:rPr>
          <w:rFonts w:ascii="Arial" w:hAnsi="Arial" w:cs="Arial"/>
          <w:lang w:val="en-GB"/>
        </w:rPr>
      </w:pPr>
      <w:r w:rsidRPr="76CDFA97">
        <w:rPr>
          <w:rFonts w:ascii="Arial" w:hAnsi="Arial" w:cs="Arial"/>
          <w:lang w:val="en-GB"/>
        </w:rPr>
        <w:t>Ensur</w:t>
      </w:r>
      <w:r w:rsidR="006A6D3C" w:rsidRPr="76CDFA97">
        <w:rPr>
          <w:rFonts w:ascii="Arial" w:hAnsi="Arial" w:cs="Arial"/>
          <w:lang w:val="en-GB"/>
        </w:rPr>
        <w:t>e</w:t>
      </w:r>
      <w:r w:rsidRPr="76CDFA97">
        <w:rPr>
          <w:rFonts w:ascii="Arial" w:hAnsi="Arial" w:cs="Arial"/>
          <w:lang w:val="en-GB"/>
        </w:rPr>
        <w:t xml:space="preserve"> that the FIG relief is only deductible against the specific foreign income or gains to which the claim relate. </w:t>
      </w:r>
    </w:p>
    <w:p w14:paraId="67F157BD" w14:textId="77777777" w:rsidR="00431BAB" w:rsidRPr="00431BAB" w:rsidRDefault="00431BAB" w:rsidP="001F248C">
      <w:pPr>
        <w:numPr>
          <w:ilvl w:val="0"/>
          <w:numId w:val="13"/>
        </w:numPr>
        <w:rPr>
          <w:rFonts w:ascii="Arial" w:hAnsi="Arial" w:cs="Arial"/>
          <w:lang w:val="en-GB"/>
        </w:rPr>
      </w:pPr>
      <w:r w:rsidRPr="00431BAB">
        <w:rPr>
          <w:rFonts w:ascii="Arial" w:hAnsi="Arial" w:cs="Arial"/>
          <w:lang w:val="en-GB"/>
        </w:rPr>
        <w:t>Clarify that income from a Qualified Asset Holding Companies (QAHC) is qualifying foreign income of an individual only to the extent that the individual provided investment management services in connection with investment arrangements to which a QAHC is party.    </w:t>
      </w:r>
    </w:p>
    <w:p w14:paraId="30BFE612" w14:textId="77777777" w:rsidR="00431BAB" w:rsidRPr="00431BAB" w:rsidRDefault="00431BAB" w:rsidP="001F248C">
      <w:pPr>
        <w:numPr>
          <w:ilvl w:val="0"/>
          <w:numId w:val="14"/>
        </w:numPr>
        <w:rPr>
          <w:rFonts w:ascii="Arial" w:hAnsi="Arial" w:cs="Arial"/>
          <w:lang w:val="en-GB"/>
        </w:rPr>
      </w:pPr>
      <w:r w:rsidRPr="00431BAB">
        <w:rPr>
          <w:rFonts w:ascii="Arial" w:hAnsi="Arial" w:cs="Arial"/>
          <w:lang w:val="en-GB"/>
        </w:rPr>
        <w:t>Make it expressly clear that in order to be a qualifying new resident, the individual must be at least 10 years old at the start of the tax year. </w:t>
      </w:r>
    </w:p>
    <w:p w14:paraId="4CEA1668" w14:textId="545ECFD4" w:rsidR="00431BAB" w:rsidRPr="00431BAB" w:rsidRDefault="00431BAB" w:rsidP="001F248C">
      <w:pPr>
        <w:numPr>
          <w:ilvl w:val="0"/>
          <w:numId w:val="15"/>
        </w:numPr>
        <w:rPr>
          <w:rFonts w:ascii="Arial" w:hAnsi="Arial" w:cs="Arial"/>
          <w:lang w:val="en-GB"/>
        </w:rPr>
      </w:pPr>
      <w:r w:rsidRPr="00431BAB">
        <w:rPr>
          <w:rFonts w:ascii="Arial" w:hAnsi="Arial" w:cs="Arial"/>
          <w:lang w:val="en-GB"/>
        </w:rPr>
        <w:t>Remov</w:t>
      </w:r>
      <w:r w:rsidR="00EB7C3A">
        <w:rPr>
          <w:rFonts w:ascii="Arial" w:hAnsi="Arial" w:cs="Arial"/>
          <w:lang w:val="en-GB"/>
        </w:rPr>
        <w:t>ing</w:t>
      </w:r>
      <w:r w:rsidRPr="00431BAB">
        <w:rPr>
          <w:rFonts w:ascii="Arial" w:hAnsi="Arial" w:cs="Arial"/>
          <w:lang w:val="en-GB"/>
        </w:rPr>
        <w:t xml:space="preserve"> the inclusion of “or a long-term UK resident within the meaning of Inheritance Tax Act1984” from within the definition of residence of personal representatives. </w:t>
      </w:r>
    </w:p>
    <w:p w14:paraId="4B6A73C4" w14:textId="5457CC02" w:rsidR="00431BAB" w:rsidRPr="00431BAB" w:rsidRDefault="00431BAB" w:rsidP="001F248C">
      <w:pPr>
        <w:numPr>
          <w:ilvl w:val="0"/>
          <w:numId w:val="16"/>
        </w:numPr>
        <w:rPr>
          <w:rFonts w:ascii="Arial" w:hAnsi="Arial" w:cs="Arial"/>
          <w:lang w:val="en-GB"/>
        </w:rPr>
      </w:pPr>
      <w:r w:rsidRPr="76CDFA97">
        <w:rPr>
          <w:rFonts w:ascii="Arial" w:hAnsi="Arial" w:cs="Arial"/>
          <w:lang w:val="en-GB"/>
        </w:rPr>
        <w:t>Ensur</w:t>
      </w:r>
      <w:r w:rsidR="00EB7C3A" w:rsidRPr="76CDFA97">
        <w:rPr>
          <w:rFonts w:ascii="Arial" w:hAnsi="Arial" w:cs="Arial"/>
          <w:lang w:val="en-GB"/>
        </w:rPr>
        <w:t>ing</w:t>
      </w:r>
      <w:r w:rsidRPr="76CDFA97">
        <w:rPr>
          <w:rFonts w:ascii="Arial" w:hAnsi="Arial" w:cs="Arial"/>
          <w:lang w:val="en-GB"/>
        </w:rPr>
        <w:t xml:space="preserve"> that </w:t>
      </w:r>
      <w:r w:rsidR="008771BB" w:rsidRPr="76CDFA97">
        <w:rPr>
          <w:rFonts w:ascii="Arial" w:hAnsi="Arial" w:cs="Arial"/>
          <w:lang w:val="en-GB"/>
        </w:rPr>
        <w:t>Offshore Income and Gains (</w:t>
      </w:r>
      <w:r w:rsidRPr="76CDFA97">
        <w:rPr>
          <w:rFonts w:ascii="Arial" w:hAnsi="Arial" w:cs="Arial"/>
          <w:lang w:val="en-GB"/>
        </w:rPr>
        <w:t>OIGs</w:t>
      </w:r>
      <w:r w:rsidR="008771BB" w:rsidRPr="76CDFA97">
        <w:rPr>
          <w:rFonts w:ascii="Arial" w:hAnsi="Arial" w:cs="Arial"/>
          <w:lang w:val="en-GB"/>
        </w:rPr>
        <w:t>)</w:t>
      </w:r>
      <w:r w:rsidRPr="76CDFA97">
        <w:rPr>
          <w:rFonts w:ascii="Arial" w:hAnsi="Arial" w:cs="Arial"/>
          <w:lang w:val="en-GB"/>
        </w:rPr>
        <w:t> that arise in the 2025/26</w:t>
      </w:r>
      <w:r w:rsidR="009B2481" w:rsidRPr="76CDFA97">
        <w:rPr>
          <w:rFonts w:ascii="Arial" w:hAnsi="Arial" w:cs="Arial"/>
          <w:lang w:val="en-GB"/>
        </w:rPr>
        <w:t>, 2026/27 or 2027/28</w:t>
      </w:r>
      <w:r w:rsidRPr="76CDFA97">
        <w:rPr>
          <w:rFonts w:ascii="Arial" w:hAnsi="Arial" w:cs="Arial"/>
          <w:lang w:val="en-GB"/>
        </w:rPr>
        <w:t xml:space="preserve"> tax year can be successfully “leapfrogged” in order to make a TRF designation and to ensure that OIGs that arose in prior years can successfully be designated under the TRF. </w:t>
      </w:r>
    </w:p>
    <w:p w14:paraId="4DE7F3D4" w14:textId="77777777" w:rsidR="00431BAB" w:rsidRPr="00431BAB" w:rsidRDefault="00431BAB" w:rsidP="001F248C">
      <w:pPr>
        <w:numPr>
          <w:ilvl w:val="0"/>
          <w:numId w:val="17"/>
        </w:numPr>
        <w:rPr>
          <w:rFonts w:ascii="Arial" w:hAnsi="Arial" w:cs="Arial"/>
          <w:lang w:val="en-GB"/>
        </w:rPr>
      </w:pPr>
      <w:r w:rsidRPr="00431BAB">
        <w:rPr>
          <w:rFonts w:ascii="Arial" w:hAnsi="Arial" w:cs="Arial"/>
          <w:lang w:val="en-GB"/>
        </w:rPr>
        <w:t>Determine the value of an amount of qualifying overseas capital as the value of the amount that would be taxed on remittance when it first arose to the individual. </w:t>
      </w:r>
    </w:p>
    <w:p w14:paraId="5681ECBF" w14:textId="4588D807" w:rsidR="00431BAB" w:rsidRPr="00431BAB" w:rsidRDefault="00431BAB" w:rsidP="001F248C">
      <w:pPr>
        <w:numPr>
          <w:ilvl w:val="0"/>
          <w:numId w:val="18"/>
        </w:numPr>
        <w:rPr>
          <w:rFonts w:ascii="Arial" w:hAnsi="Arial" w:cs="Arial"/>
          <w:lang w:val="en-GB"/>
        </w:rPr>
      </w:pPr>
      <w:r w:rsidRPr="76CDFA97">
        <w:rPr>
          <w:rFonts w:ascii="Arial" w:hAnsi="Arial" w:cs="Arial"/>
          <w:lang w:val="en-GB"/>
        </w:rPr>
        <w:t>Confirm TRF designations can be made on amounts of FIG where tax on the foreign amount is paid from other sources. </w:t>
      </w:r>
    </w:p>
    <w:p w14:paraId="51644855" w14:textId="7B38EEBF" w:rsidR="00431BAB" w:rsidRPr="00431BAB" w:rsidRDefault="00431BAB" w:rsidP="001F248C">
      <w:pPr>
        <w:numPr>
          <w:ilvl w:val="0"/>
          <w:numId w:val="19"/>
        </w:numPr>
        <w:rPr>
          <w:rFonts w:ascii="Arial" w:hAnsi="Arial" w:cs="Arial"/>
          <w:lang w:val="en-GB"/>
        </w:rPr>
      </w:pPr>
      <w:r w:rsidRPr="76CDFA97">
        <w:rPr>
          <w:rFonts w:ascii="Arial" w:hAnsi="Arial" w:cs="Arial"/>
          <w:lang w:val="en-GB"/>
        </w:rPr>
        <w:t>Ensure that an income tax or capital gains tax reduction can be claimed where a TRF charge has been paid on same amount.  For example</w:t>
      </w:r>
      <w:r w:rsidR="00AD4973" w:rsidRPr="76CDFA97">
        <w:rPr>
          <w:rFonts w:ascii="Arial" w:hAnsi="Arial" w:cs="Arial"/>
          <w:lang w:val="en-GB"/>
        </w:rPr>
        <w:t>,</w:t>
      </w:r>
      <w:r w:rsidRPr="76CDFA97">
        <w:rPr>
          <w:rFonts w:ascii="Arial" w:hAnsi="Arial" w:cs="Arial"/>
          <w:lang w:val="en-GB"/>
        </w:rPr>
        <w:t> where an individual has mistakenly claimed remittance basis for a year they were not entitled to</w:t>
      </w:r>
      <w:r w:rsidR="00A85409" w:rsidRPr="76CDFA97">
        <w:rPr>
          <w:rFonts w:ascii="Arial" w:hAnsi="Arial" w:cs="Arial"/>
          <w:lang w:val="en-GB"/>
        </w:rPr>
        <w:t xml:space="preserve"> and makes a TRF designation election on the same amount</w:t>
      </w:r>
      <w:r w:rsidRPr="76CDFA97">
        <w:rPr>
          <w:rFonts w:ascii="Arial" w:hAnsi="Arial" w:cs="Arial"/>
          <w:lang w:val="en-GB"/>
        </w:rPr>
        <w:t>. </w:t>
      </w:r>
    </w:p>
    <w:p w14:paraId="0F37C2C4" w14:textId="77777777" w:rsidR="00431BAB" w:rsidRPr="00431BAB" w:rsidRDefault="00431BAB" w:rsidP="001F248C">
      <w:pPr>
        <w:numPr>
          <w:ilvl w:val="0"/>
          <w:numId w:val="20"/>
        </w:numPr>
        <w:rPr>
          <w:rFonts w:ascii="Arial" w:hAnsi="Arial" w:cs="Arial"/>
          <w:lang w:val="en-GB"/>
        </w:rPr>
      </w:pPr>
      <w:r w:rsidRPr="00431BAB">
        <w:rPr>
          <w:rFonts w:ascii="Arial" w:hAnsi="Arial" w:cs="Arial"/>
          <w:lang w:val="en-GB"/>
        </w:rPr>
        <w:t>Clarify that where an amount is designated for the TRF under a “remittance provision”, this will mean that no further tax charge will arise when the amount is remitted, however, a further TRF designation will be required with respect to distributions from overseas settlements. </w:t>
      </w:r>
    </w:p>
    <w:p w14:paraId="6937A388" w14:textId="77777777" w:rsidR="00431BAB" w:rsidRPr="00431BAB" w:rsidRDefault="00431BAB" w:rsidP="001F248C">
      <w:pPr>
        <w:numPr>
          <w:ilvl w:val="0"/>
          <w:numId w:val="21"/>
        </w:numPr>
        <w:rPr>
          <w:rFonts w:ascii="Arial" w:hAnsi="Arial" w:cs="Arial"/>
          <w:lang w:val="en-GB"/>
        </w:rPr>
      </w:pPr>
      <w:r w:rsidRPr="00431BAB">
        <w:rPr>
          <w:rFonts w:ascii="Arial" w:hAnsi="Arial" w:cs="Arial"/>
          <w:lang w:val="en-GB"/>
        </w:rPr>
        <w:t>Ensure that where a designation is made but there is an amount of FIG which derives from the same income or gains (so called “Quantum FIG”) only one designation is required. </w:t>
      </w:r>
    </w:p>
    <w:p w14:paraId="16897971" w14:textId="7D5420B5" w:rsidR="00431BAB" w:rsidRPr="00431BAB" w:rsidRDefault="12610A57" w:rsidP="001F248C">
      <w:pPr>
        <w:numPr>
          <w:ilvl w:val="0"/>
          <w:numId w:val="22"/>
        </w:numPr>
        <w:rPr>
          <w:rFonts w:ascii="Arial" w:hAnsi="Arial" w:cs="Arial"/>
          <w:lang w:val="en-GB"/>
        </w:rPr>
      </w:pPr>
      <w:r w:rsidRPr="76CDFA97">
        <w:rPr>
          <w:rFonts w:ascii="Arial" w:hAnsi="Arial" w:cs="Arial"/>
          <w:lang w:val="en-GB"/>
        </w:rPr>
        <w:t xml:space="preserve">Where an overseas trust makes a capital distribution to </w:t>
      </w:r>
      <w:r w:rsidR="74AF85DA" w:rsidRPr="76CDFA97">
        <w:rPr>
          <w:rFonts w:ascii="Arial" w:hAnsi="Arial" w:cs="Arial"/>
          <w:lang w:val="en-GB"/>
        </w:rPr>
        <w:t xml:space="preserve">a </w:t>
      </w:r>
      <w:r w:rsidRPr="76CDFA97">
        <w:rPr>
          <w:rFonts w:ascii="Arial" w:hAnsi="Arial" w:cs="Arial"/>
          <w:lang w:val="en-GB"/>
        </w:rPr>
        <w:t>UK resident beneficiar</w:t>
      </w:r>
      <w:r w:rsidR="26B91A41" w:rsidRPr="76CDFA97">
        <w:rPr>
          <w:rFonts w:ascii="Arial" w:hAnsi="Arial" w:cs="Arial"/>
          <w:lang w:val="en-GB"/>
        </w:rPr>
        <w:t>y</w:t>
      </w:r>
      <w:r w:rsidRPr="76CDFA97">
        <w:rPr>
          <w:rFonts w:ascii="Arial" w:hAnsi="Arial" w:cs="Arial"/>
          <w:lang w:val="en-GB"/>
        </w:rPr>
        <w:t xml:space="preserve">, the </w:t>
      </w:r>
      <w:r w:rsidR="1DF0F662" w:rsidRPr="76CDFA97">
        <w:rPr>
          <w:rFonts w:ascii="Arial" w:hAnsi="Arial" w:cs="Arial"/>
          <w:lang w:val="en-GB"/>
        </w:rPr>
        <w:t xml:space="preserve">asset, payment or benefit that is received </w:t>
      </w:r>
      <w:r w:rsidRPr="76CDFA97">
        <w:rPr>
          <w:rFonts w:ascii="Arial" w:hAnsi="Arial" w:cs="Arial"/>
          <w:lang w:val="en-GB"/>
        </w:rPr>
        <w:t xml:space="preserve">can be “matched” to income </w:t>
      </w:r>
      <w:r w:rsidR="0D17EA75" w:rsidRPr="76CDFA97">
        <w:rPr>
          <w:rFonts w:ascii="Arial" w:hAnsi="Arial" w:cs="Arial"/>
          <w:lang w:val="en-GB"/>
        </w:rPr>
        <w:t xml:space="preserve">that arose in the trust </w:t>
      </w:r>
      <w:proofErr w:type="gramStart"/>
      <w:r w:rsidR="0D17EA75" w:rsidRPr="76CDFA97">
        <w:rPr>
          <w:rFonts w:ascii="Arial" w:hAnsi="Arial" w:cs="Arial"/>
          <w:lang w:val="en-GB"/>
        </w:rPr>
        <w:t>structure</w:t>
      </w:r>
      <w:proofErr w:type="gramEnd"/>
      <w:r w:rsidR="0D17EA75" w:rsidRPr="76CDFA97">
        <w:rPr>
          <w:rFonts w:ascii="Arial" w:hAnsi="Arial" w:cs="Arial"/>
          <w:lang w:val="en-GB"/>
        </w:rPr>
        <w:t xml:space="preserve"> and the UK resident taxpayer will be subject to income tax</w:t>
      </w:r>
      <w:r w:rsidR="7D75822E" w:rsidRPr="76CDFA97">
        <w:rPr>
          <w:rFonts w:ascii="Arial" w:hAnsi="Arial" w:cs="Arial"/>
          <w:lang w:val="en-GB"/>
        </w:rPr>
        <w:t>. If the income arose prior to 6 April 2025, the taxpayer may also be able to make a designation</w:t>
      </w:r>
      <w:r w:rsidR="3C67D86B" w:rsidRPr="76CDFA97">
        <w:rPr>
          <w:rFonts w:ascii="Arial" w:hAnsi="Arial" w:cs="Arial"/>
          <w:lang w:val="en-GB"/>
        </w:rPr>
        <w:t xml:space="preserve"> of the asset, payment or benefit under the TRF</w:t>
      </w:r>
      <w:r w:rsidR="0D17EA75" w:rsidRPr="76CDFA97">
        <w:rPr>
          <w:rFonts w:ascii="Arial" w:hAnsi="Arial" w:cs="Arial"/>
          <w:lang w:val="en-GB"/>
        </w:rPr>
        <w:t>.</w:t>
      </w:r>
      <w:r w:rsidRPr="76CDFA97">
        <w:rPr>
          <w:rFonts w:ascii="Arial" w:hAnsi="Arial" w:cs="Arial"/>
          <w:lang w:val="en-GB"/>
        </w:rPr>
        <w:t xml:space="preserve"> </w:t>
      </w:r>
      <w:r w:rsidR="6DFF8C90" w:rsidRPr="76CDFA97">
        <w:rPr>
          <w:rFonts w:ascii="Arial" w:hAnsi="Arial" w:cs="Arial"/>
          <w:lang w:val="en-GB"/>
        </w:rPr>
        <w:t>The amendment c</w:t>
      </w:r>
      <w:r w:rsidR="00431BAB" w:rsidRPr="76CDFA97">
        <w:rPr>
          <w:rFonts w:ascii="Arial" w:hAnsi="Arial" w:cs="Arial"/>
          <w:lang w:val="en-GB"/>
        </w:rPr>
        <w:t>onfirm</w:t>
      </w:r>
      <w:r w:rsidR="0134C8AB" w:rsidRPr="76CDFA97">
        <w:rPr>
          <w:rFonts w:ascii="Arial" w:hAnsi="Arial" w:cs="Arial"/>
          <w:lang w:val="en-GB"/>
        </w:rPr>
        <w:t>s</w:t>
      </w:r>
      <w:r w:rsidR="00431BAB" w:rsidRPr="76CDFA97">
        <w:rPr>
          <w:rFonts w:ascii="Arial" w:hAnsi="Arial" w:cs="Arial"/>
          <w:lang w:val="en-GB"/>
        </w:rPr>
        <w:t xml:space="preserve"> that where a capital distribution from </w:t>
      </w:r>
      <w:r w:rsidR="755F2C76" w:rsidRPr="76CDFA97">
        <w:rPr>
          <w:rFonts w:ascii="Arial" w:hAnsi="Arial" w:cs="Arial"/>
          <w:lang w:val="en-GB"/>
        </w:rPr>
        <w:t>an overseas</w:t>
      </w:r>
      <w:r w:rsidR="00431BAB" w:rsidRPr="76CDFA97">
        <w:rPr>
          <w:rFonts w:ascii="Arial" w:hAnsi="Arial" w:cs="Arial"/>
          <w:lang w:val="en-GB"/>
        </w:rPr>
        <w:t xml:space="preserve"> trust is also deemed to be subject to income tax, there is no liability to </w:t>
      </w:r>
      <w:r w:rsidR="3885A9C6" w:rsidRPr="76CDFA97">
        <w:rPr>
          <w:rFonts w:ascii="Arial" w:hAnsi="Arial" w:cs="Arial"/>
          <w:lang w:val="en-GB"/>
        </w:rPr>
        <w:t>an</w:t>
      </w:r>
      <w:r w:rsidR="00431BAB" w:rsidRPr="76CDFA97">
        <w:rPr>
          <w:rFonts w:ascii="Arial" w:hAnsi="Arial" w:cs="Arial"/>
          <w:lang w:val="en-GB"/>
        </w:rPr>
        <w:t xml:space="preserve"> </w:t>
      </w:r>
      <w:r w:rsidR="00D9343B" w:rsidRPr="76CDFA97">
        <w:rPr>
          <w:rFonts w:ascii="Arial" w:hAnsi="Arial" w:cs="Arial"/>
          <w:lang w:val="en-GB"/>
        </w:rPr>
        <w:t>inheritance tax (</w:t>
      </w:r>
      <w:r w:rsidR="00431BAB" w:rsidRPr="76CDFA97">
        <w:rPr>
          <w:rFonts w:ascii="Arial" w:hAnsi="Arial" w:cs="Arial"/>
          <w:lang w:val="en-GB"/>
        </w:rPr>
        <w:t>IHT</w:t>
      </w:r>
      <w:r w:rsidR="00D9343B" w:rsidRPr="76CDFA97">
        <w:rPr>
          <w:rFonts w:ascii="Arial" w:hAnsi="Arial" w:cs="Arial"/>
          <w:lang w:val="en-GB"/>
        </w:rPr>
        <w:t>)</w:t>
      </w:r>
      <w:r w:rsidR="3E3634FD" w:rsidRPr="76CDFA97">
        <w:rPr>
          <w:rFonts w:ascii="Arial" w:hAnsi="Arial" w:cs="Arial"/>
          <w:lang w:val="en-GB"/>
        </w:rPr>
        <w:t xml:space="preserve"> exit charge as s65(5)(b) will apply</w:t>
      </w:r>
      <w:r w:rsidR="00431BAB" w:rsidRPr="76CDFA97">
        <w:rPr>
          <w:rFonts w:ascii="Arial" w:hAnsi="Arial" w:cs="Arial"/>
          <w:lang w:val="en-GB"/>
        </w:rPr>
        <w:t>. If, however, a designation is made under the TRF then holdover relief will be possible where C</w:t>
      </w:r>
      <w:r w:rsidR="00FB544B" w:rsidRPr="76CDFA97">
        <w:rPr>
          <w:rFonts w:ascii="Arial" w:hAnsi="Arial" w:cs="Arial"/>
          <w:lang w:val="en-GB"/>
        </w:rPr>
        <w:t xml:space="preserve">apital </w:t>
      </w:r>
      <w:r w:rsidR="00431BAB" w:rsidRPr="76CDFA97">
        <w:rPr>
          <w:rFonts w:ascii="Arial" w:hAnsi="Arial" w:cs="Arial"/>
          <w:lang w:val="en-GB"/>
        </w:rPr>
        <w:t>G</w:t>
      </w:r>
      <w:r w:rsidR="00FB544B" w:rsidRPr="76CDFA97">
        <w:rPr>
          <w:rFonts w:ascii="Arial" w:hAnsi="Arial" w:cs="Arial"/>
          <w:lang w:val="en-GB"/>
        </w:rPr>
        <w:t xml:space="preserve">ains </w:t>
      </w:r>
      <w:r w:rsidR="00431BAB" w:rsidRPr="76CDFA97">
        <w:rPr>
          <w:rFonts w:ascii="Arial" w:hAnsi="Arial" w:cs="Arial"/>
          <w:lang w:val="en-GB"/>
        </w:rPr>
        <w:t>T</w:t>
      </w:r>
      <w:r w:rsidR="00FB544B" w:rsidRPr="76CDFA97">
        <w:rPr>
          <w:rFonts w:ascii="Arial" w:hAnsi="Arial" w:cs="Arial"/>
          <w:lang w:val="en-GB"/>
        </w:rPr>
        <w:t>ax (CGT)</w:t>
      </w:r>
      <w:r w:rsidR="00431BAB" w:rsidRPr="76CDFA97">
        <w:rPr>
          <w:rFonts w:ascii="Arial" w:hAnsi="Arial" w:cs="Arial"/>
          <w:lang w:val="en-GB"/>
        </w:rPr>
        <w:t xml:space="preserve"> applies on </w:t>
      </w:r>
      <w:r w:rsidR="56B8D524" w:rsidRPr="76CDFA97">
        <w:rPr>
          <w:rFonts w:ascii="Arial" w:hAnsi="Arial" w:cs="Arial"/>
          <w:lang w:val="en-GB"/>
        </w:rPr>
        <w:t>any</w:t>
      </w:r>
      <w:r w:rsidR="00431BAB" w:rsidRPr="76CDFA97">
        <w:rPr>
          <w:rFonts w:ascii="Arial" w:hAnsi="Arial" w:cs="Arial"/>
          <w:lang w:val="en-GB"/>
        </w:rPr>
        <w:t xml:space="preserve"> gain arising on the distribution. </w:t>
      </w:r>
    </w:p>
    <w:p w14:paraId="3304A025" w14:textId="77777777" w:rsidR="00431BAB" w:rsidRPr="00431BAB" w:rsidRDefault="00431BAB" w:rsidP="001F248C">
      <w:pPr>
        <w:numPr>
          <w:ilvl w:val="0"/>
          <w:numId w:val="23"/>
        </w:numPr>
        <w:rPr>
          <w:rFonts w:ascii="Arial" w:hAnsi="Arial" w:cs="Arial"/>
          <w:lang w:val="en-GB"/>
        </w:rPr>
      </w:pPr>
      <w:r w:rsidRPr="00431BAB">
        <w:rPr>
          <w:rFonts w:ascii="Arial" w:hAnsi="Arial" w:cs="Arial"/>
          <w:lang w:val="en-GB"/>
        </w:rPr>
        <w:t>Ensure that a TRF designation made in a tax return can be amended provided the amendment takes place within the amendment window. </w:t>
      </w:r>
    </w:p>
    <w:p w14:paraId="538078D7" w14:textId="77777777" w:rsidR="00431BAB" w:rsidRDefault="00431BAB" w:rsidP="001F248C">
      <w:pPr>
        <w:numPr>
          <w:ilvl w:val="0"/>
          <w:numId w:val="24"/>
        </w:numPr>
        <w:rPr>
          <w:rFonts w:ascii="Arial" w:hAnsi="Arial" w:cs="Arial"/>
        </w:rPr>
      </w:pPr>
      <w:r w:rsidRPr="00431BAB">
        <w:rPr>
          <w:rFonts w:ascii="Arial" w:hAnsi="Arial" w:cs="Arial"/>
        </w:rPr>
        <w:t>Ensure that the definition of “TRF Capital” within the mixed fund rules covers both “remittance provision” and non</w:t>
      </w:r>
      <w:proofErr w:type="gramStart"/>
      <w:r w:rsidRPr="00431BAB">
        <w:rPr>
          <w:rFonts w:ascii="Arial" w:hAnsi="Arial" w:cs="Arial"/>
        </w:rPr>
        <w:t>-“</w:t>
      </w:r>
      <w:proofErr w:type="gramEnd"/>
      <w:r w:rsidRPr="00431BAB">
        <w:rPr>
          <w:rFonts w:ascii="Arial" w:hAnsi="Arial" w:cs="Arial"/>
        </w:rPr>
        <w:t>remittance provision” designations, giving more flexibility with respect to the mixed fund ordering rules. </w:t>
      </w:r>
    </w:p>
    <w:p w14:paraId="02F2CD6F" w14:textId="1F77AE0D" w:rsidR="00B42EC1" w:rsidRPr="00B42EC1" w:rsidRDefault="00B42EC1" w:rsidP="001F248C">
      <w:pPr>
        <w:pStyle w:val="ListParagraph"/>
        <w:numPr>
          <w:ilvl w:val="0"/>
          <w:numId w:val="24"/>
        </w:numPr>
        <w:rPr>
          <w:rFonts w:ascii="Arial" w:hAnsi="Arial" w:cs="Arial"/>
          <w:lang w:val="en-GB"/>
        </w:rPr>
      </w:pPr>
      <w:r w:rsidRPr="00B42EC1">
        <w:rPr>
          <w:rFonts w:ascii="Arial" w:hAnsi="Arial" w:cs="Arial"/>
          <w:lang w:val="en-GB"/>
        </w:rPr>
        <w:t>Clarified the legislation with regards to minor changes to onward gifts, close family member rules and Transitional Trust Income so far as these are affected by the removal of trust protections. </w:t>
      </w:r>
    </w:p>
    <w:p w14:paraId="4B4FC753" w14:textId="67E839E1" w:rsidR="006A6D3C" w:rsidRPr="006A6D3C" w:rsidRDefault="006A6D3C" w:rsidP="76CDFA97">
      <w:pPr>
        <w:pStyle w:val="Heading1"/>
        <w:rPr>
          <w:rFonts w:ascii="Arial" w:eastAsiaTheme="minorEastAsia" w:hAnsi="Arial" w:cs="Arial"/>
          <w:b/>
          <w:bCs/>
          <w:color w:val="auto"/>
          <w:sz w:val="24"/>
          <w:szCs w:val="24"/>
          <w:lang w:val="en-GB"/>
        </w:rPr>
      </w:pPr>
      <w:r w:rsidRPr="76CDFA97">
        <w:rPr>
          <w:rFonts w:ascii="Arial" w:eastAsiaTheme="minorEastAsia" w:hAnsi="Arial" w:cs="Arial"/>
          <w:b/>
          <w:bCs/>
          <w:color w:val="auto"/>
          <w:sz w:val="24"/>
          <w:szCs w:val="24"/>
          <w:lang w:val="en-GB"/>
        </w:rPr>
        <w:t xml:space="preserve">TRF </w:t>
      </w:r>
      <w:r w:rsidR="00A6322F" w:rsidRPr="76CDFA97">
        <w:rPr>
          <w:rFonts w:ascii="Arial" w:eastAsiaTheme="minorEastAsia" w:hAnsi="Arial" w:cs="Arial"/>
          <w:b/>
          <w:bCs/>
          <w:color w:val="auto"/>
          <w:sz w:val="24"/>
          <w:szCs w:val="24"/>
          <w:lang w:val="en-GB"/>
        </w:rPr>
        <w:t>d</w:t>
      </w:r>
      <w:r w:rsidRPr="76CDFA97">
        <w:rPr>
          <w:rFonts w:ascii="Arial" w:eastAsiaTheme="minorEastAsia" w:hAnsi="Arial" w:cs="Arial"/>
          <w:b/>
          <w:bCs/>
          <w:color w:val="auto"/>
          <w:sz w:val="24"/>
          <w:szCs w:val="24"/>
          <w:lang w:val="en-GB"/>
        </w:rPr>
        <w:t xml:space="preserve">esignations and </w:t>
      </w:r>
      <w:r w:rsidR="00A6322F" w:rsidRPr="76CDFA97">
        <w:rPr>
          <w:rFonts w:ascii="Arial" w:eastAsiaTheme="minorEastAsia" w:hAnsi="Arial" w:cs="Arial"/>
          <w:b/>
          <w:bCs/>
          <w:color w:val="auto"/>
          <w:sz w:val="24"/>
          <w:szCs w:val="24"/>
          <w:lang w:val="en-GB"/>
        </w:rPr>
        <w:t>f</w:t>
      </w:r>
      <w:r w:rsidRPr="76CDFA97">
        <w:rPr>
          <w:rFonts w:ascii="Arial" w:eastAsiaTheme="minorEastAsia" w:hAnsi="Arial" w:cs="Arial"/>
          <w:b/>
          <w:bCs/>
          <w:color w:val="auto"/>
          <w:sz w:val="24"/>
          <w:szCs w:val="24"/>
          <w:lang w:val="en-GB"/>
        </w:rPr>
        <w:t xml:space="preserve">oreign </w:t>
      </w:r>
      <w:r w:rsidR="00A6322F" w:rsidRPr="76CDFA97">
        <w:rPr>
          <w:rFonts w:ascii="Arial" w:eastAsiaTheme="minorEastAsia" w:hAnsi="Arial" w:cs="Arial"/>
          <w:b/>
          <w:bCs/>
          <w:color w:val="auto"/>
          <w:sz w:val="24"/>
          <w:szCs w:val="24"/>
          <w:lang w:val="en-GB"/>
        </w:rPr>
        <w:t>t</w:t>
      </w:r>
      <w:r w:rsidRPr="76CDFA97">
        <w:rPr>
          <w:rFonts w:ascii="Arial" w:eastAsiaTheme="minorEastAsia" w:hAnsi="Arial" w:cs="Arial"/>
          <w:b/>
          <w:bCs/>
          <w:color w:val="auto"/>
          <w:sz w:val="24"/>
          <w:szCs w:val="24"/>
          <w:lang w:val="en-GB"/>
        </w:rPr>
        <w:t xml:space="preserve">ax </w:t>
      </w:r>
      <w:r w:rsidR="00A6322F" w:rsidRPr="76CDFA97">
        <w:rPr>
          <w:rFonts w:ascii="Arial" w:eastAsiaTheme="minorEastAsia" w:hAnsi="Arial" w:cs="Arial"/>
          <w:b/>
          <w:bCs/>
          <w:color w:val="auto"/>
          <w:sz w:val="24"/>
          <w:szCs w:val="24"/>
          <w:lang w:val="en-GB"/>
        </w:rPr>
        <w:t>p</w:t>
      </w:r>
      <w:r w:rsidRPr="76CDFA97">
        <w:rPr>
          <w:rFonts w:ascii="Arial" w:eastAsiaTheme="minorEastAsia" w:hAnsi="Arial" w:cs="Arial"/>
          <w:b/>
          <w:bCs/>
          <w:color w:val="auto"/>
          <w:sz w:val="24"/>
          <w:szCs w:val="24"/>
          <w:lang w:val="en-GB"/>
        </w:rPr>
        <w:t xml:space="preserve">aid from </w:t>
      </w:r>
      <w:r w:rsidR="00A6322F" w:rsidRPr="76CDFA97">
        <w:rPr>
          <w:rFonts w:ascii="Arial" w:eastAsiaTheme="minorEastAsia" w:hAnsi="Arial" w:cs="Arial"/>
          <w:b/>
          <w:bCs/>
          <w:color w:val="auto"/>
          <w:sz w:val="24"/>
          <w:szCs w:val="24"/>
          <w:lang w:val="en-GB"/>
        </w:rPr>
        <w:t>s</w:t>
      </w:r>
      <w:r w:rsidRPr="76CDFA97">
        <w:rPr>
          <w:rFonts w:ascii="Arial" w:eastAsiaTheme="minorEastAsia" w:hAnsi="Arial" w:cs="Arial"/>
          <w:b/>
          <w:bCs/>
          <w:color w:val="auto"/>
          <w:sz w:val="24"/>
          <w:szCs w:val="24"/>
          <w:lang w:val="en-GB"/>
        </w:rPr>
        <w:t xml:space="preserve">eparate </w:t>
      </w:r>
      <w:r w:rsidR="00A6322F" w:rsidRPr="76CDFA97">
        <w:rPr>
          <w:rFonts w:ascii="Arial" w:eastAsiaTheme="minorEastAsia" w:hAnsi="Arial" w:cs="Arial"/>
          <w:b/>
          <w:bCs/>
          <w:color w:val="auto"/>
          <w:sz w:val="24"/>
          <w:szCs w:val="24"/>
          <w:lang w:val="en-GB"/>
        </w:rPr>
        <w:t>a</w:t>
      </w:r>
      <w:r w:rsidRPr="76CDFA97">
        <w:rPr>
          <w:rFonts w:ascii="Arial" w:eastAsiaTheme="minorEastAsia" w:hAnsi="Arial" w:cs="Arial"/>
          <w:b/>
          <w:bCs/>
          <w:color w:val="auto"/>
          <w:sz w:val="24"/>
          <w:szCs w:val="24"/>
          <w:lang w:val="en-GB"/>
        </w:rPr>
        <w:t>ccounts</w:t>
      </w:r>
    </w:p>
    <w:p w14:paraId="4E9E9511" w14:textId="4D5CEA96" w:rsidR="006A6D3C" w:rsidRDefault="006A6D3C" w:rsidP="006A6D3C">
      <w:pPr>
        <w:rPr>
          <w:rFonts w:ascii="Arial" w:hAnsi="Arial" w:cs="Arial"/>
        </w:rPr>
      </w:pPr>
      <w:r w:rsidRPr="00034810">
        <w:rPr>
          <w:rFonts w:ascii="Arial" w:hAnsi="Arial" w:cs="Arial"/>
        </w:rPr>
        <w:t xml:space="preserve">Questions were raised about whether TRF designation can be made if foreign tax has been paid from a different account than the one holding the income/gain. HMRC clarified that legislation has been amended to allow TRF designation on amounts where tax has been paid from another account. </w:t>
      </w:r>
      <w:r w:rsidRPr="00034810">
        <w:rPr>
          <w:rFonts w:ascii="Arial" w:eastAsia="Times New Roman" w:hAnsi="Arial" w:cs="Arial"/>
          <w:color w:val="424242"/>
          <w:kern w:val="0"/>
          <w:lang w:eastAsia="en-GB"/>
          <w14:ligatures w14:val="none"/>
        </w:rPr>
        <w:t xml:space="preserve">The intention is to provide flexibility and remove the need to trace tax payments across accounts. </w:t>
      </w:r>
      <w:r w:rsidRPr="00034810">
        <w:rPr>
          <w:rFonts w:ascii="Arial" w:hAnsi="Arial" w:cs="Arial"/>
        </w:rPr>
        <w:t xml:space="preserve"> </w:t>
      </w:r>
      <w:r w:rsidR="00E445BD" w:rsidRPr="76CDFA97">
        <w:rPr>
          <w:rFonts w:ascii="Arial" w:hAnsi="Arial" w:cs="Arial"/>
        </w:rPr>
        <w:t>Customers</w:t>
      </w:r>
      <w:r w:rsidRPr="00034810">
        <w:rPr>
          <w:rFonts w:ascii="Arial" w:hAnsi="Arial" w:cs="Arial"/>
        </w:rPr>
        <w:t xml:space="preserve"> have the flexibility to designate either the net or gross amount, provided the tax has genuinely been paid.</w:t>
      </w:r>
      <w:r w:rsidRPr="76CDFA97">
        <w:rPr>
          <w:rFonts w:ascii="Arial" w:hAnsi="Arial" w:cs="Arial"/>
        </w:rPr>
        <w:t xml:space="preserve">  HMRC will provide examples in guidance.</w:t>
      </w:r>
    </w:p>
    <w:p w14:paraId="7F0A4013" w14:textId="7DF44771" w:rsidR="3D882181" w:rsidRDefault="3D882181" w:rsidP="3D882181">
      <w:pPr>
        <w:rPr>
          <w:rFonts w:ascii="Arial" w:hAnsi="Arial" w:cs="Arial"/>
          <w:b/>
          <w:bCs/>
        </w:rPr>
      </w:pPr>
    </w:p>
    <w:p w14:paraId="485F3129" w14:textId="63DC7D5C" w:rsidR="00DF6866" w:rsidRPr="00DF6866" w:rsidRDefault="00DF6866" w:rsidP="006A6D3C">
      <w:pPr>
        <w:rPr>
          <w:rFonts w:ascii="Arial" w:hAnsi="Arial" w:cs="Arial"/>
          <w:b/>
          <w:bCs/>
        </w:rPr>
      </w:pPr>
      <w:r w:rsidRPr="00DF6866">
        <w:rPr>
          <w:rFonts w:ascii="Arial" w:hAnsi="Arial" w:cs="Arial"/>
          <w:b/>
          <w:bCs/>
        </w:rPr>
        <w:t>Valuation</w:t>
      </w:r>
      <w:r>
        <w:rPr>
          <w:rFonts w:ascii="Arial" w:hAnsi="Arial" w:cs="Arial"/>
          <w:b/>
          <w:bCs/>
        </w:rPr>
        <w:t xml:space="preserve"> for TRF</w:t>
      </w:r>
      <w:r w:rsidRPr="00DF6866">
        <w:rPr>
          <w:rFonts w:ascii="Arial" w:hAnsi="Arial" w:cs="Arial"/>
          <w:b/>
          <w:bCs/>
        </w:rPr>
        <w:t xml:space="preserve"> where a mixed fund account has fallen in value</w:t>
      </w:r>
    </w:p>
    <w:p w14:paraId="6294C1EE" w14:textId="00A0495F" w:rsidR="006A6D3C" w:rsidRDefault="00DF6866" w:rsidP="006A6D3C">
      <w:pPr>
        <w:rPr>
          <w:rFonts w:ascii="Arial" w:hAnsi="Arial" w:cs="Arial"/>
        </w:rPr>
      </w:pPr>
      <w:r w:rsidRPr="76CDFA97">
        <w:rPr>
          <w:rFonts w:ascii="Arial" w:hAnsi="Arial" w:cs="Arial"/>
        </w:rPr>
        <w:t xml:space="preserve">Attendees expressed concern about the complexity of identifying historic FIG values when valuing capital for TRF purposes, where asset values have changed. HMRC </w:t>
      </w:r>
      <w:r w:rsidR="00D9343B" w:rsidRPr="76CDFA97">
        <w:rPr>
          <w:rFonts w:ascii="Arial" w:hAnsi="Arial" w:cs="Arial"/>
        </w:rPr>
        <w:t xml:space="preserve">indicated </w:t>
      </w:r>
      <w:r w:rsidRPr="76CDFA97">
        <w:rPr>
          <w:rFonts w:ascii="Arial" w:hAnsi="Arial" w:cs="Arial"/>
        </w:rPr>
        <w:t>that the value should be based on the amount that would have been taxed on remittance when it first arose. Guidance will address scenarios where assets have fallen in value</w:t>
      </w:r>
      <w:r w:rsidR="00814854" w:rsidRPr="76CDFA97">
        <w:rPr>
          <w:rFonts w:ascii="Arial" w:hAnsi="Arial" w:cs="Arial"/>
        </w:rPr>
        <w:t>.</w:t>
      </w:r>
    </w:p>
    <w:p w14:paraId="22A4FB5D" w14:textId="24F1F853" w:rsidR="00814854" w:rsidRPr="000C31B8" w:rsidRDefault="000C31B8" w:rsidP="006A6D3C">
      <w:pPr>
        <w:rPr>
          <w:rFonts w:ascii="Arial" w:hAnsi="Arial" w:cs="Arial"/>
          <w:b/>
          <w:bCs/>
        </w:rPr>
      </w:pPr>
      <w:r w:rsidRPr="76CDFA97">
        <w:rPr>
          <w:rFonts w:ascii="Arial" w:hAnsi="Arial" w:cs="Arial"/>
          <w:b/>
          <w:bCs/>
        </w:rPr>
        <w:t>Claims to relief from capital gains</w:t>
      </w:r>
    </w:p>
    <w:p w14:paraId="7750543F" w14:textId="2113DF09" w:rsidR="00241360" w:rsidRDefault="00241360" w:rsidP="006A6D3C">
      <w:pPr>
        <w:rPr>
          <w:rFonts w:ascii="Arial" w:hAnsi="Arial" w:cs="Arial"/>
        </w:rPr>
      </w:pPr>
      <w:r w:rsidRPr="6947826F">
        <w:rPr>
          <w:rFonts w:ascii="Arial" w:hAnsi="Arial" w:cs="Arial"/>
        </w:rPr>
        <w:t>A query was raised about amendments relating to FIG claims for foreign gains and whether amendments ha</w:t>
      </w:r>
      <w:r w:rsidR="57FC0F38" w:rsidRPr="6947826F">
        <w:rPr>
          <w:rFonts w:ascii="Arial" w:hAnsi="Arial" w:cs="Arial"/>
        </w:rPr>
        <w:t>ve</w:t>
      </w:r>
      <w:r w:rsidRPr="6947826F">
        <w:rPr>
          <w:rFonts w:ascii="Arial" w:hAnsi="Arial" w:cs="Arial"/>
        </w:rPr>
        <w:t xml:space="preserve"> introduced a different process here.  HMRC clarified that amendments had not changed the intended reporting approach and were minor technical fixes.</w:t>
      </w:r>
    </w:p>
    <w:p w14:paraId="18208414" w14:textId="5B41DABC" w:rsidR="00897BCD" w:rsidRPr="00957456" w:rsidRDefault="00957456" w:rsidP="006A6D3C">
      <w:pPr>
        <w:rPr>
          <w:rFonts w:ascii="Arial" w:hAnsi="Arial" w:cs="Arial"/>
          <w:b/>
          <w:bCs/>
        </w:rPr>
      </w:pPr>
      <w:r w:rsidRPr="00957456">
        <w:rPr>
          <w:rFonts w:ascii="Arial" w:hAnsi="Arial" w:cs="Arial"/>
          <w:b/>
          <w:bCs/>
        </w:rPr>
        <w:t>Legislative</w:t>
      </w:r>
      <w:r w:rsidR="00897BCD" w:rsidRPr="00957456">
        <w:rPr>
          <w:rFonts w:ascii="Arial" w:hAnsi="Arial" w:cs="Arial"/>
          <w:b/>
          <w:bCs/>
        </w:rPr>
        <w:t xml:space="preserve"> drafting </w:t>
      </w:r>
      <w:r w:rsidR="004F3AAD" w:rsidRPr="00957456">
        <w:rPr>
          <w:rFonts w:ascii="Arial" w:hAnsi="Arial" w:cs="Arial"/>
          <w:b/>
          <w:bCs/>
        </w:rPr>
        <w:t xml:space="preserve">on interaction of TRF </w:t>
      </w:r>
      <w:r w:rsidRPr="00957456">
        <w:rPr>
          <w:rFonts w:ascii="Arial" w:hAnsi="Arial" w:cs="Arial"/>
          <w:b/>
          <w:bCs/>
        </w:rPr>
        <w:t>with matched distributions from OIGs</w:t>
      </w:r>
    </w:p>
    <w:p w14:paraId="7DF300CF" w14:textId="202B82ED" w:rsidR="00957456" w:rsidRDefault="00985101" w:rsidP="006A6D3C">
      <w:pPr>
        <w:rPr>
          <w:rFonts w:ascii="Arial" w:hAnsi="Arial" w:cs="Arial"/>
        </w:rPr>
      </w:pPr>
      <w:r w:rsidRPr="6947826F">
        <w:rPr>
          <w:rFonts w:ascii="Arial" w:hAnsi="Arial" w:cs="Arial"/>
        </w:rPr>
        <w:t xml:space="preserve">Questions were raised regarding the TRF clauses which relate to capital payments from OIGs and whether there was a requirement to be able to match </w:t>
      </w:r>
      <w:proofErr w:type="gramStart"/>
      <w:r w:rsidRPr="6947826F">
        <w:rPr>
          <w:rFonts w:ascii="Arial" w:hAnsi="Arial" w:cs="Arial"/>
        </w:rPr>
        <w:t>to</w:t>
      </w:r>
      <w:proofErr w:type="gramEnd"/>
      <w:r w:rsidRPr="6947826F">
        <w:rPr>
          <w:rFonts w:ascii="Arial" w:hAnsi="Arial" w:cs="Arial"/>
        </w:rPr>
        <w:t xml:space="preserve"> gains </w:t>
      </w:r>
      <w:proofErr w:type="gramStart"/>
      <w:r w:rsidRPr="6947826F">
        <w:rPr>
          <w:rFonts w:ascii="Arial" w:hAnsi="Arial" w:cs="Arial"/>
        </w:rPr>
        <w:t>in order to</w:t>
      </w:r>
      <w:proofErr w:type="gramEnd"/>
      <w:r w:rsidRPr="6947826F">
        <w:rPr>
          <w:rFonts w:ascii="Arial" w:hAnsi="Arial" w:cs="Arial"/>
        </w:rPr>
        <w:t xml:space="preserve"> access a TRF designation.  HMRC clarified it was not the policy intent that a gains pool </w:t>
      </w:r>
      <w:r w:rsidR="00241360" w:rsidRPr="6947826F">
        <w:rPr>
          <w:rFonts w:ascii="Arial" w:hAnsi="Arial" w:cs="Arial"/>
        </w:rPr>
        <w:t>is a requirement and asked members to send any comments to the inbox if they felt the legislation didn’t quite work as intended.</w:t>
      </w:r>
    </w:p>
    <w:p w14:paraId="6A67684D" w14:textId="7BF7D02B" w:rsidR="002C72D1" w:rsidRDefault="002C72D1" w:rsidP="002848AE">
      <w:pPr>
        <w:rPr>
          <w:rFonts w:ascii="Arial" w:hAnsi="Arial" w:cs="Arial"/>
        </w:rPr>
      </w:pPr>
      <w:r>
        <w:rPr>
          <w:rFonts w:ascii="Arial" w:hAnsi="Arial" w:cs="Arial"/>
        </w:rPr>
        <w:t>HMRC further provided an overview of wider legislative updates.</w:t>
      </w:r>
    </w:p>
    <w:p w14:paraId="200DD380" w14:textId="06A105C7" w:rsidR="002848AE" w:rsidRPr="002848AE" w:rsidRDefault="002848AE" w:rsidP="002848AE">
      <w:pPr>
        <w:rPr>
          <w:rFonts w:ascii="Arial" w:hAnsi="Arial" w:cs="Arial"/>
          <w:lang w:val="en-GB"/>
        </w:rPr>
      </w:pPr>
      <w:r w:rsidRPr="002848AE">
        <w:rPr>
          <w:rFonts w:ascii="Arial" w:hAnsi="Arial" w:cs="Arial"/>
          <w:b/>
          <w:bCs/>
          <w:lang w:val="en-GB"/>
        </w:rPr>
        <w:t>PAYE Notifications for Globally Mobile Employees </w:t>
      </w:r>
      <w:r w:rsidRPr="002848AE">
        <w:rPr>
          <w:rFonts w:ascii="Arial" w:hAnsi="Arial" w:cs="Arial"/>
          <w:lang w:val="en-GB"/>
        </w:rPr>
        <w:t> </w:t>
      </w:r>
    </w:p>
    <w:p w14:paraId="4D779138" w14:textId="71BFB31A" w:rsidR="002848AE" w:rsidRPr="002848AE" w:rsidRDefault="00120C39" w:rsidP="002848AE">
      <w:pPr>
        <w:rPr>
          <w:rFonts w:ascii="Arial" w:hAnsi="Arial" w:cs="Arial"/>
          <w:lang w:val="en-GB"/>
        </w:rPr>
      </w:pPr>
      <w:r>
        <w:rPr>
          <w:rFonts w:ascii="Arial" w:hAnsi="Arial" w:cs="Arial"/>
          <w:lang w:val="en-GB"/>
        </w:rPr>
        <w:t>Legislation has been updated</w:t>
      </w:r>
      <w:r w:rsidR="002848AE" w:rsidRPr="002848AE">
        <w:rPr>
          <w:rFonts w:ascii="Arial" w:hAnsi="Arial" w:cs="Arial"/>
          <w:lang w:val="en-GB"/>
        </w:rPr>
        <w:t> to require employers who submit a PAYE notification form to HMRC on behalf of a qualifying new resident to check if the proportion of income they want to exclude from PAYE exceeds 30%. If it does, the legislative change will require them to limit the in-year relief provided to no more than 30% of the employee’s income. </w:t>
      </w:r>
    </w:p>
    <w:p w14:paraId="5C672342" w14:textId="404A8787" w:rsidR="002848AE" w:rsidRPr="002848AE" w:rsidRDefault="002848AE" w:rsidP="002848AE">
      <w:pPr>
        <w:rPr>
          <w:rFonts w:ascii="Arial" w:hAnsi="Arial" w:cs="Arial"/>
          <w:lang w:val="en-GB"/>
        </w:rPr>
      </w:pPr>
      <w:r w:rsidRPr="002848AE">
        <w:rPr>
          <w:rFonts w:ascii="Arial" w:hAnsi="Arial" w:cs="Arial"/>
          <w:b/>
          <w:bCs/>
          <w:lang w:val="en-GB"/>
        </w:rPr>
        <w:t>I</w:t>
      </w:r>
      <w:r w:rsidR="00D9343B">
        <w:rPr>
          <w:rFonts w:ascii="Arial" w:hAnsi="Arial" w:cs="Arial"/>
          <w:b/>
          <w:bCs/>
          <w:lang w:val="en-GB"/>
        </w:rPr>
        <w:t>HT</w:t>
      </w:r>
      <w:r w:rsidRPr="002848AE">
        <w:rPr>
          <w:rFonts w:ascii="Arial" w:hAnsi="Arial" w:cs="Arial"/>
          <w:lang w:val="en-GB"/>
        </w:rPr>
        <w:t> </w:t>
      </w:r>
    </w:p>
    <w:p w14:paraId="7BC0860C" w14:textId="77777777" w:rsidR="002848AE" w:rsidRPr="002848AE" w:rsidRDefault="002848AE" w:rsidP="00640FBC">
      <w:pPr>
        <w:rPr>
          <w:rFonts w:ascii="Arial" w:hAnsi="Arial" w:cs="Arial"/>
          <w:lang w:val="en-GB"/>
        </w:rPr>
      </w:pPr>
      <w:r w:rsidRPr="002848AE">
        <w:rPr>
          <w:rFonts w:ascii="Arial" w:hAnsi="Arial" w:cs="Arial"/>
          <w:lang w:val="en-GB"/>
        </w:rPr>
        <w:t>Capping IHT trust charges for excluded property in trusts </w:t>
      </w:r>
      <w:proofErr w:type="gramStart"/>
      <w:r w:rsidRPr="002848AE">
        <w:rPr>
          <w:rFonts w:ascii="Arial" w:hAnsi="Arial" w:cs="Arial"/>
          <w:lang w:val="en-GB"/>
        </w:rPr>
        <w:t>at</w:t>
      </w:r>
      <w:proofErr w:type="gramEnd"/>
      <w:r w:rsidRPr="002848AE">
        <w:rPr>
          <w:rFonts w:ascii="Arial" w:hAnsi="Arial" w:cs="Arial"/>
          <w:lang w:val="en-GB"/>
        </w:rPr>
        <w:t> 30 October 2024 - This measure introduces a cap on relevant property IHT charges for trusts which held excluded property </w:t>
      </w:r>
      <w:proofErr w:type="gramStart"/>
      <w:r w:rsidRPr="002848AE">
        <w:rPr>
          <w:rFonts w:ascii="Arial" w:hAnsi="Arial" w:cs="Arial"/>
          <w:lang w:val="en-GB"/>
        </w:rPr>
        <w:t>at</w:t>
      </w:r>
      <w:proofErr w:type="gramEnd"/>
      <w:r w:rsidRPr="002848AE">
        <w:rPr>
          <w:rFonts w:ascii="Arial" w:hAnsi="Arial" w:cs="Arial"/>
          <w:lang w:val="en-GB"/>
        </w:rPr>
        <w:t> 30 October 2024.   </w:t>
      </w:r>
    </w:p>
    <w:p w14:paraId="23E369DB" w14:textId="26170509" w:rsidR="002848AE" w:rsidRPr="002848AE" w:rsidRDefault="00995C69" w:rsidP="006D456D">
      <w:pPr>
        <w:rPr>
          <w:rFonts w:ascii="Arial" w:hAnsi="Arial" w:cs="Arial"/>
          <w:lang w:val="en-GB"/>
        </w:rPr>
      </w:pPr>
      <w:r>
        <w:rPr>
          <w:rFonts w:ascii="Arial" w:hAnsi="Arial" w:cs="Arial"/>
          <w:lang w:val="en-GB"/>
        </w:rPr>
        <w:t xml:space="preserve">Other </w:t>
      </w:r>
      <w:r w:rsidR="002848AE" w:rsidRPr="002848AE">
        <w:rPr>
          <w:rFonts w:ascii="Arial" w:hAnsi="Arial" w:cs="Arial"/>
          <w:lang w:val="en-GB"/>
        </w:rPr>
        <w:t xml:space="preserve">IHT measures </w:t>
      </w:r>
      <w:r>
        <w:rPr>
          <w:rFonts w:ascii="Arial" w:hAnsi="Arial" w:cs="Arial"/>
          <w:lang w:val="en-GB"/>
        </w:rPr>
        <w:t xml:space="preserve">that </w:t>
      </w:r>
      <w:r w:rsidR="002848AE" w:rsidRPr="002848AE">
        <w:rPr>
          <w:rFonts w:ascii="Arial" w:hAnsi="Arial" w:cs="Arial"/>
          <w:lang w:val="en-GB"/>
        </w:rPr>
        <w:t>were announced at Budget 2025 in respect of the residence-based regime include: </w:t>
      </w:r>
    </w:p>
    <w:p w14:paraId="6660B4D2" w14:textId="5C28F7E5" w:rsidR="002848AE" w:rsidRPr="002848AE" w:rsidRDefault="002848AE" w:rsidP="001F248C">
      <w:pPr>
        <w:numPr>
          <w:ilvl w:val="0"/>
          <w:numId w:val="25"/>
        </w:numPr>
        <w:rPr>
          <w:rFonts w:ascii="Arial" w:hAnsi="Arial" w:cs="Arial"/>
          <w:lang w:val="en-GB"/>
        </w:rPr>
      </w:pPr>
      <w:r w:rsidRPr="002848AE">
        <w:rPr>
          <w:rFonts w:ascii="Arial" w:hAnsi="Arial" w:cs="Arial"/>
          <w:lang w:val="en-GB"/>
        </w:rPr>
        <w:t>legislation that looks-through non-UK companies or similar bodies to capture the value of UK agricultural land and buildings for IHT purposes. This follows the existing treatment for UK residential property.   </w:t>
      </w:r>
    </w:p>
    <w:p w14:paraId="2705DA52" w14:textId="77777777" w:rsidR="002848AE" w:rsidRPr="002848AE" w:rsidRDefault="002848AE" w:rsidP="001F248C">
      <w:pPr>
        <w:numPr>
          <w:ilvl w:val="0"/>
          <w:numId w:val="26"/>
        </w:numPr>
        <w:rPr>
          <w:rFonts w:ascii="Arial" w:hAnsi="Arial" w:cs="Arial"/>
          <w:lang w:val="en-GB"/>
        </w:rPr>
      </w:pPr>
      <w:r w:rsidRPr="002848AE">
        <w:rPr>
          <w:rFonts w:ascii="Arial" w:hAnsi="Arial" w:cs="Arial"/>
          <w:lang w:val="en-GB"/>
        </w:rPr>
        <w:t>Where a settlor ceases to be a long-term UK resident, there will be an IHT charge if there is a later change in situs of their trust assets from UK to non-UK.  </w:t>
      </w:r>
    </w:p>
    <w:p w14:paraId="5A872C73" w14:textId="137AF8DF" w:rsidR="00F8229C" w:rsidRPr="00E74170" w:rsidRDefault="002848AE" w:rsidP="001F248C">
      <w:pPr>
        <w:numPr>
          <w:ilvl w:val="0"/>
          <w:numId w:val="27"/>
        </w:numPr>
        <w:rPr>
          <w:rFonts w:ascii="Arial" w:hAnsi="Arial" w:cs="Arial"/>
          <w:lang w:val="en-GB"/>
        </w:rPr>
      </w:pPr>
      <w:r w:rsidRPr="002848AE">
        <w:rPr>
          <w:rFonts w:ascii="Arial" w:hAnsi="Arial" w:cs="Arial"/>
          <w:lang w:val="en-GB"/>
        </w:rPr>
        <w:t>In line with other taxes, IHT charity exemption will be restricted to gifts made directly to UK charities and community amateur sports clubs. This change does not affect the separate IHT regime for property held in trusts.  </w:t>
      </w:r>
    </w:p>
    <w:p w14:paraId="71C1E42E" w14:textId="29730598" w:rsidR="002848AE" w:rsidRPr="00E74170" w:rsidRDefault="006D456D" w:rsidP="002848AE">
      <w:pPr>
        <w:rPr>
          <w:rFonts w:ascii="Arial" w:hAnsi="Arial" w:cs="Arial"/>
          <w:b/>
          <w:bCs/>
          <w:lang w:val="en-GB"/>
        </w:rPr>
      </w:pPr>
      <w:r w:rsidRPr="00E74170">
        <w:rPr>
          <w:rFonts w:ascii="Arial" w:hAnsi="Arial" w:cs="Arial"/>
          <w:b/>
          <w:bCs/>
          <w:lang w:val="en-GB"/>
        </w:rPr>
        <w:t>HMRC also provided clarification in response to a number of queries wh</w:t>
      </w:r>
      <w:r w:rsidR="00F8229C" w:rsidRPr="00E74170">
        <w:rPr>
          <w:rFonts w:ascii="Arial" w:hAnsi="Arial" w:cs="Arial"/>
          <w:b/>
          <w:bCs/>
          <w:lang w:val="en-GB"/>
        </w:rPr>
        <w:t>ich</w:t>
      </w:r>
      <w:r w:rsidRPr="00E74170">
        <w:rPr>
          <w:rFonts w:ascii="Arial" w:hAnsi="Arial" w:cs="Arial"/>
          <w:b/>
          <w:bCs/>
          <w:lang w:val="en-GB"/>
        </w:rPr>
        <w:t xml:space="preserve"> had been submitted by members</w:t>
      </w:r>
      <w:r w:rsidR="00F8229C" w:rsidRPr="00E74170">
        <w:rPr>
          <w:rFonts w:ascii="Arial" w:hAnsi="Arial" w:cs="Arial"/>
          <w:b/>
          <w:bCs/>
          <w:lang w:val="en-GB"/>
        </w:rPr>
        <w:t>.</w:t>
      </w:r>
    </w:p>
    <w:p w14:paraId="73C40983" w14:textId="47AD1F19" w:rsidR="002848AE" w:rsidRPr="002848AE" w:rsidRDefault="002848AE" w:rsidP="2E82AB4C">
      <w:pPr>
        <w:numPr>
          <w:ilvl w:val="0"/>
          <w:numId w:val="28"/>
        </w:numPr>
        <w:tabs>
          <w:tab w:val="clear" w:pos="360"/>
          <w:tab w:val="num" w:pos="720"/>
        </w:tabs>
        <w:rPr>
          <w:rFonts w:ascii="Arial" w:hAnsi="Arial" w:cs="Arial"/>
        </w:rPr>
      </w:pPr>
      <w:r w:rsidRPr="2E82AB4C">
        <w:rPr>
          <w:rFonts w:ascii="Arial" w:hAnsi="Arial" w:cs="Arial"/>
        </w:rPr>
        <w:t>“Double FIG”</w:t>
      </w:r>
      <w:proofErr w:type="gramStart"/>
      <w:r w:rsidR="008A3F55" w:rsidRPr="2E82AB4C">
        <w:rPr>
          <w:rFonts w:ascii="Arial" w:hAnsi="Arial" w:cs="Arial"/>
        </w:rPr>
        <w:t xml:space="preserve">- </w:t>
      </w:r>
      <w:r w:rsidRPr="2E82AB4C">
        <w:rPr>
          <w:rFonts w:ascii="Arial" w:hAnsi="Arial" w:cs="Arial"/>
        </w:rPr>
        <w:t xml:space="preserve"> (</w:t>
      </w:r>
      <w:proofErr w:type="gramEnd"/>
      <w:r w:rsidRPr="2E82AB4C">
        <w:rPr>
          <w:rFonts w:ascii="Arial" w:hAnsi="Arial" w:cs="Arial"/>
        </w:rPr>
        <w:t xml:space="preserve">one asset derived from two lots of </w:t>
      </w:r>
      <w:proofErr w:type="gramStart"/>
      <w:r w:rsidRPr="2E82AB4C">
        <w:rPr>
          <w:rFonts w:ascii="Arial" w:hAnsi="Arial" w:cs="Arial"/>
        </w:rPr>
        <w:t>FIG</w:t>
      </w:r>
      <w:proofErr w:type="gramEnd"/>
      <w:r w:rsidRPr="2E82AB4C">
        <w:rPr>
          <w:rFonts w:ascii="Arial" w:hAnsi="Arial" w:cs="Arial"/>
        </w:rPr>
        <w:t xml:space="preserve"> – for example. capital payment from a trust matched with trust gains but also derived from FIG that the settlor originally settled) – </w:t>
      </w:r>
      <w:r w:rsidR="008A3F55" w:rsidRPr="2E82AB4C">
        <w:rPr>
          <w:rFonts w:ascii="Arial" w:hAnsi="Arial" w:cs="Arial"/>
        </w:rPr>
        <w:t xml:space="preserve">this </w:t>
      </w:r>
      <w:r w:rsidRPr="2E82AB4C">
        <w:rPr>
          <w:rFonts w:ascii="Arial" w:hAnsi="Arial" w:cs="Arial"/>
        </w:rPr>
        <w:t>leads to a double tax charge under para 13 as published in Finance Bill.  Is this intended? </w:t>
      </w:r>
    </w:p>
    <w:p w14:paraId="42ADEBD0" w14:textId="578ECC69" w:rsidR="002848AE" w:rsidRPr="002848AE" w:rsidRDefault="004A2BF9" w:rsidP="002848AE">
      <w:pPr>
        <w:rPr>
          <w:rFonts w:ascii="Arial" w:hAnsi="Arial" w:cs="Arial"/>
          <w:lang w:val="en-GB"/>
        </w:rPr>
      </w:pPr>
      <w:r>
        <w:rPr>
          <w:rFonts w:ascii="Arial" w:hAnsi="Arial" w:cs="Arial"/>
          <w:lang w:val="en-GB"/>
        </w:rPr>
        <w:t xml:space="preserve">HMRC updated that this is </w:t>
      </w:r>
      <w:r w:rsidR="00F619EC">
        <w:rPr>
          <w:rFonts w:ascii="Arial" w:hAnsi="Arial" w:cs="Arial"/>
          <w:lang w:val="en-GB"/>
        </w:rPr>
        <w:t xml:space="preserve">as </w:t>
      </w:r>
      <w:r>
        <w:rPr>
          <w:rFonts w:ascii="Arial" w:hAnsi="Arial" w:cs="Arial"/>
          <w:lang w:val="en-GB"/>
        </w:rPr>
        <w:t xml:space="preserve">intended: </w:t>
      </w:r>
      <w:r w:rsidR="00271357">
        <w:rPr>
          <w:rFonts w:ascii="Arial" w:hAnsi="Arial" w:cs="Arial"/>
          <w:lang w:val="en-GB"/>
        </w:rPr>
        <w:t>The</w:t>
      </w:r>
      <w:r w:rsidR="002848AE" w:rsidRPr="002848AE">
        <w:rPr>
          <w:rFonts w:ascii="Arial" w:hAnsi="Arial" w:cs="Arial"/>
          <w:lang w:val="en-GB"/>
        </w:rPr>
        <w:t xml:space="preserve"> government has always intended the </w:t>
      </w:r>
      <w:r w:rsidR="008A3F55">
        <w:rPr>
          <w:rFonts w:ascii="Arial" w:hAnsi="Arial" w:cs="Arial"/>
          <w:lang w:val="en-GB"/>
        </w:rPr>
        <w:t>TRF</w:t>
      </w:r>
      <w:r w:rsidR="002848AE" w:rsidRPr="002848AE">
        <w:rPr>
          <w:rFonts w:ascii="Arial" w:hAnsi="Arial" w:cs="Arial"/>
          <w:lang w:val="en-GB"/>
        </w:rPr>
        <w:t xml:space="preserve"> to be a generous relief which can be applied to untaxed income and gains as well as to untaxed distributions from overseas settlements. In circumstances where both these scenarios arise, it is right that two separate designations are required.    </w:t>
      </w:r>
    </w:p>
    <w:p w14:paraId="2A6B5FC0" w14:textId="77777777" w:rsidR="00271357" w:rsidRDefault="002848AE" w:rsidP="001F248C">
      <w:pPr>
        <w:numPr>
          <w:ilvl w:val="0"/>
          <w:numId w:val="29"/>
        </w:numPr>
        <w:rPr>
          <w:rFonts w:ascii="Arial" w:hAnsi="Arial" w:cs="Arial"/>
          <w:lang w:val="en-GB"/>
        </w:rPr>
      </w:pPr>
      <w:r w:rsidRPr="002848AE">
        <w:rPr>
          <w:rFonts w:ascii="Arial" w:hAnsi="Arial" w:cs="Arial"/>
          <w:lang w:val="en-GB"/>
        </w:rPr>
        <w:t>In addition is it intended that a capital payment from a trust eligible for TRF will not be subject to IHT exit charge if it can be shown that it is matched to pre-April 2025 protected income?  </w:t>
      </w:r>
    </w:p>
    <w:p w14:paraId="18AB17AE" w14:textId="1380D5CE" w:rsidR="002848AE" w:rsidRDefault="002848AE" w:rsidP="00271357">
      <w:pPr>
        <w:rPr>
          <w:rFonts w:ascii="Arial" w:hAnsi="Arial" w:cs="Arial"/>
          <w:lang w:val="en-GB"/>
        </w:rPr>
      </w:pPr>
      <w:r w:rsidRPr="002848AE">
        <w:rPr>
          <w:rFonts w:ascii="Arial" w:hAnsi="Arial" w:cs="Arial"/>
          <w:lang w:val="en-GB"/>
        </w:rPr>
        <w:t>A capital payment from a trust eligible for TRF will not be subject to IHT exit charge if it can be shown that it is matched to pre-April 2025 protected income.</w:t>
      </w:r>
    </w:p>
    <w:p w14:paraId="77743BB0" w14:textId="50970D3C" w:rsidR="00427A32" w:rsidRDefault="002848AE" w:rsidP="001F248C">
      <w:pPr>
        <w:numPr>
          <w:ilvl w:val="0"/>
          <w:numId w:val="30"/>
        </w:numPr>
        <w:rPr>
          <w:rFonts w:ascii="Arial" w:hAnsi="Arial" w:cs="Arial"/>
          <w:lang w:val="en-GB"/>
        </w:rPr>
      </w:pPr>
      <w:r w:rsidRPr="002848AE">
        <w:rPr>
          <w:rFonts w:ascii="Arial" w:hAnsi="Arial" w:cs="Arial"/>
          <w:lang w:val="en-GB"/>
        </w:rPr>
        <w:t>What is the position on a transfer of an asset from a trust that is non-resident but not excluded property.   Do HMRC accept that hold over relief under s</w:t>
      </w:r>
      <w:r w:rsidR="00F30E33">
        <w:rPr>
          <w:rFonts w:ascii="Arial" w:hAnsi="Arial" w:cs="Arial"/>
          <w:lang w:val="en-GB"/>
        </w:rPr>
        <w:t xml:space="preserve">ection </w:t>
      </w:r>
      <w:r w:rsidRPr="002848AE">
        <w:rPr>
          <w:rFonts w:ascii="Arial" w:hAnsi="Arial" w:cs="Arial"/>
          <w:lang w:val="en-GB"/>
        </w:rPr>
        <w:t>260 T</w:t>
      </w:r>
      <w:r w:rsidR="00F30E33">
        <w:rPr>
          <w:rFonts w:ascii="Arial" w:hAnsi="Arial" w:cs="Arial"/>
          <w:lang w:val="en-GB"/>
        </w:rPr>
        <w:t xml:space="preserve">axation of </w:t>
      </w:r>
      <w:r w:rsidR="00F30E33" w:rsidRPr="002848AE">
        <w:rPr>
          <w:rFonts w:ascii="Arial" w:hAnsi="Arial" w:cs="Arial"/>
          <w:lang w:val="en-GB"/>
        </w:rPr>
        <w:t>C</w:t>
      </w:r>
      <w:r w:rsidR="00F30E33">
        <w:rPr>
          <w:rFonts w:ascii="Arial" w:hAnsi="Arial" w:cs="Arial"/>
          <w:lang w:val="en-GB"/>
        </w:rPr>
        <w:t xml:space="preserve">hargeable </w:t>
      </w:r>
      <w:r w:rsidRPr="002848AE">
        <w:rPr>
          <w:rFonts w:ascii="Arial" w:hAnsi="Arial" w:cs="Arial"/>
          <w:lang w:val="en-GB"/>
        </w:rPr>
        <w:t>G</w:t>
      </w:r>
      <w:r w:rsidR="00F30E33">
        <w:rPr>
          <w:rFonts w:ascii="Arial" w:hAnsi="Arial" w:cs="Arial"/>
          <w:lang w:val="en-GB"/>
        </w:rPr>
        <w:t xml:space="preserve">ains </w:t>
      </w:r>
      <w:r w:rsidRPr="002848AE">
        <w:rPr>
          <w:rFonts w:ascii="Arial" w:hAnsi="Arial" w:cs="Arial"/>
          <w:lang w:val="en-GB"/>
        </w:rPr>
        <w:t>A</w:t>
      </w:r>
      <w:r w:rsidR="00F30E33">
        <w:rPr>
          <w:rFonts w:ascii="Arial" w:hAnsi="Arial" w:cs="Arial"/>
          <w:lang w:val="en-GB"/>
        </w:rPr>
        <w:t>ct</w:t>
      </w:r>
      <w:r w:rsidRPr="002848AE">
        <w:rPr>
          <w:rFonts w:ascii="Arial" w:hAnsi="Arial" w:cs="Arial"/>
          <w:lang w:val="en-GB"/>
        </w:rPr>
        <w:t xml:space="preserve"> 1992 is available. (Relevant to the recent amendment in F</w:t>
      </w:r>
      <w:r w:rsidR="00F30E33">
        <w:rPr>
          <w:rFonts w:ascii="Arial" w:hAnsi="Arial" w:cs="Arial"/>
          <w:lang w:val="en-GB"/>
        </w:rPr>
        <w:t xml:space="preserve">inance </w:t>
      </w:r>
      <w:r w:rsidRPr="002848AE">
        <w:rPr>
          <w:rFonts w:ascii="Arial" w:hAnsi="Arial" w:cs="Arial"/>
          <w:lang w:val="en-GB"/>
        </w:rPr>
        <w:t>B</w:t>
      </w:r>
      <w:r w:rsidR="00F30E33">
        <w:rPr>
          <w:rFonts w:ascii="Arial" w:hAnsi="Arial" w:cs="Arial"/>
          <w:lang w:val="en-GB"/>
        </w:rPr>
        <w:t>ill (FB)</w:t>
      </w:r>
      <w:r w:rsidRPr="002848AE">
        <w:rPr>
          <w:rFonts w:ascii="Arial" w:hAnsi="Arial" w:cs="Arial"/>
          <w:lang w:val="en-GB"/>
        </w:rPr>
        <w:t>).  </w:t>
      </w:r>
    </w:p>
    <w:p w14:paraId="11BA658F" w14:textId="34568D37" w:rsidR="002848AE" w:rsidRPr="002848AE" w:rsidRDefault="002848AE" w:rsidP="00427A32">
      <w:pPr>
        <w:rPr>
          <w:rFonts w:ascii="Arial" w:hAnsi="Arial" w:cs="Arial"/>
          <w:lang w:val="en-GB"/>
        </w:rPr>
      </w:pPr>
      <w:r w:rsidRPr="002848AE">
        <w:rPr>
          <w:rFonts w:ascii="Arial" w:hAnsi="Arial" w:cs="Arial"/>
          <w:lang w:val="en-GB"/>
        </w:rPr>
        <w:t>Where an IHT charge is due upon the distribution of a capital payment, hold over relief is available in the usual way. In order to facilitate the use of TRF, legislation contained within FB 2025 (No.2), additionally enables trust distributions - made and designated for TRF - to be treated as chargeable to IHT for the purposes of eligibility to CGT hold over relief.  </w:t>
      </w:r>
    </w:p>
    <w:p w14:paraId="2B96C71F" w14:textId="4DE3A8FD" w:rsidR="0057131B" w:rsidRPr="0057131B" w:rsidRDefault="00266D59" w:rsidP="0057131B">
      <w:pPr>
        <w:pStyle w:val="ListParagraph"/>
        <w:numPr>
          <w:ilvl w:val="0"/>
          <w:numId w:val="30"/>
        </w:numPr>
        <w:rPr>
          <w:rFonts w:ascii="Arial" w:hAnsi="Arial" w:cs="Arial"/>
          <w:lang w:val="en-GB"/>
        </w:rPr>
      </w:pPr>
      <w:r w:rsidRPr="76CDFA97">
        <w:rPr>
          <w:rFonts w:ascii="Arial" w:hAnsi="Arial" w:cs="Arial"/>
          <w:lang w:val="en-GB"/>
        </w:rPr>
        <w:t>It’s unclear why trust capital distributions to new UK arrivers are ignored for CGT but treated much more heavily for income tax</w:t>
      </w:r>
      <w:r w:rsidR="002848AE" w:rsidRPr="76CDFA97">
        <w:rPr>
          <w:rFonts w:ascii="Arial" w:hAnsi="Arial" w:cs="Arial"/>
          <w:lang w:val="en-GB"/>
        </w:rPr>
        <w:t xml:space="preserve">. </w:t>
      </w:r>
      <w:r w:rsidR="0057131B" w:rsidRPr="76CDFA97">
        <w:rPr>
          <w:rFonts w:ascii="Arial" w:hAnsi="Arial" w:cs="Arial"/>
          <w:lang w:val="en-GB"/>
        </w:rPr>
        <w:t>CGT</w:t>
      </w:r>
      <w:r w:rsidR="00173F0B" w:rsidRPr="76CDFA97">
        <w:rPr>
          <w:rFonts w:ascii="Arial" w:hAnsi="Arial" w:cs="Arial"/>
          <w:lang w:val="en-GB"/>
        </w:rPr>
        <w:t xml:space="preserve"> rules</w:t>
      </w:r>
      <w:r w:rsidR="0057131B" w:rsidRPr="76CDFA97">
        <w:rPr>
          <w:rFonts w:ascii="Arial" w:hAnsi="Arial" w:cs="Arial"/>
          <w:lang w:val="en-GB"/>
        </w:rPr>
        <w:t xml:space="preserve"> simply </w:t>
      </w:r>
      <w:proofErr w:type="gramStart"/>
      <w:r w:rsidR="0057131B" w:rsidRPr="76CDFA97">
        <w:rPr>
          <w:rFonts w:ascii="Arial" w:hAnsi="Arial" w:cs="Arial"/>
          <w:lang w:val="en-GB"/>
        </w:rPr>
        <w:t>disregards</w:t>
      </w:r>
      <w:proofErr w:type="gramEnd"/>
      <w:r w:rsidR="0057131B" w:rsidRPr="76CDFA97">
        <w:rPr>
          <w:rFonts w:ascii="Arial" w:hAnsi="Arial" w:cs="Arial"/>
          <w:lang w:val="en-GB"/>
        </w:rPr>
        <w:t xml:space="preserve"> the capital payment entirely, with no matching and no future consequences, whilst </w:t>
      </w:r>
      <w:r w:rsidR="00173F0B" w:rsidRPr="76CDFA97">
        <w:rPr>
          <w:rFonts w:ascii="Arial" w:hAnsi="Arial" w:cs="Arial"/>
          <w:lang w:val="en-GB"/>
        </w:rPr>
        <w:t xml:space="preserve">the </w:t>
      </w:r>
      <w:r w:rsidR="0057131B" w:rsidRPr="76CDFA97">
        <w:rPr>
          <w:rFonts w:ascii="Arial" w:hAnsi="Arial" w:cs="Arial"/>
          <w:lang w:val="en-GB"/>
        </w:rPr>
        <w:t xml:space="preserve">Income tax </w:t>
      </w:r>
      <w:r w:rsidR="00173F0B" w:rsidRPr="76CDFA97">
        <w:rPr>
          <w:rFonts w:ascii="Arial" w:hAnsi="Arial" w:cs="Arial"/>
          <w:lang w:val="en-GB"/>
        </w:rPr>
        <w:t xml:space="preserve">rules </w:t>
      </w:r>
      <w:r w:rsidR="0057131B" w:rsidRPr="76CDFA97">
        <w:rPr>
          <w:rFonts w:ascii="Arial" w:hAnsi="Arial" w:cs="Arial"/>
          <w:lang w:val="en-GB"/>
        </w:rPr>
        <w:t>rel</w:t>
      </w:r>
      <w:r w:rsidR="00173F0B" w:rsidRPr="76CDFA97">
        <w:rPr>
          <w:rFonts w:ascii="Arial" w:hAnsi="Arial" w:cs="Arial"/>
          <w:lang w:val="en-GB"/>
        </w:rPr>
        <w:t>y</w:t>
      </w:r>
      <w:r w:rsidR="0057131B" w:rsidRPr="76CDFA97">
        <w:rPr>
          <w:rFonts w:ascii="Arial" w:hAnsi="Arial" w:cs="Arial"/>
          <w:lang w:val="en-GB"/>
        </w:rPr>
        <w:t xml:space="preserve"> on complex notional income rules (ITA 2007 s732), which are impractical for new arrivals and trustees who haven’t tracked UK</w:t>
      </w:r>
      <w:r w:rsidR="0057131B" w:rsidRPr="76CDFA97">
        <w:rPr>
          <w:rFonts w:ascii="Cambria Math" w:hAnsi="Cambria Math" w:cs="Cambria Math"/>
          <w:lang w:val="en-GB"/>
        </w:rPr>
        <w:t>‑</w:t>
      </w:r>
      <w:r w:rsidR="0057131B" w:rsidRPr="76CDFA97">
        <w:rPr>
          <w:rFonts w:ascii="Arial" w:hAnsi="Arial" w:cs="Arial"/>
          <w:lang w:val="en-GB"/>
        </w:rPr>
        <w:t>style income pools. The mismatch between the two systems creates anomalies that wouldn’t exist if income tax followed the CGT approach.</w:t>
      </w:r>
    </w:p>
    <w:p w14:paraId="00308338" w14:textId="526DC669" w:rsidR="002848AE" w:rsidRPr="002848AE" w:rsidRDefault="00814854" w:rsidP="002848AE">
      <w:pPr>
        <w:rPr>
          <w:rFonts w:ascii="Arial" w:hAnsi="Arial" w:cs="Arial"/>
          <w:lang w:val="en-GB"/>
        </w:rPr>
      </w:pPr>
      <w:r>
        <w:rPr>
          <w:rFonts w:ascii="Arial" w:hAnsi="Arial" w:cs="Arial"/>
          <w:lang w:val="en-GB"/>
        </w:rPr>
        <w:t>HMRC</w:t>
      </w:r>
      <w:r w:rsidR="002848AE" w:rsidRPr="002848AE">
        <w:rPr>
          <w:rFonts w:ascii="Arial" w:hAnsi="Arial" w:cs="Arial"/>
          <w:lang w:val="en-GB"/>
        </w:rPr>
        <w:t xml:space="preserve"> acknowledge</w:t>
      </w:r>
      <w:r w:rsidR="004A2BF9">
        <w:rPr>
          <w:rFonts w:ascii="Arial" w:hAnsi="Arial" w:cs="Arial"/>
          <w:lang w:val="en-GB"/>
        </w:rPr>
        <w:t>d</w:t>
      </w:r>
      <w:r w:rsidR="002848AE" w:rsidRPr="002848AE">
        <w:rPr>
          <w:rFonts w:ascii="Arial" w:hAnsi="Arial" w:cs="Arial"/>
          <w:lang w:val="en-GB"/>
        </w:rPr>
        <w:t xml:space="preserve"> that there is a difference in treatment for matching in relation to capital payments made during the FIG regime period, to a person claiming the relief, which are matched to gains vs income.  </w:t>
      </w:r>
      <w:r w:rsidR="009F1E79">
        <w:rPr>
          <w:rFonts w:ascii="Arial" w:hAnsi="Arial" w:cs="Arial"/>
          <w:lang w:val="en-GB"/>
        </w:rPr>
        <w:t>This can be considered a</w:t>
      </w:r>
      <w:r w:rsidR="002848AE" w:rsidRPr="002848AE">
        <w:rPr>
          <w:rFonts w:ascii="Arial" w:hAnsi="Arial" w:cs="Arial"/>
          <w:lang w:val="en-GB"/>
        </w:rPr>
        <w:t>s part of the review into Personal Tax Offshore Anti Avoidance legislation</w:t>
      </w:r>
      <w:r w:rsidR="009F1E79">
        <w:rPr>
          <w:rFonts w:ascii="Arial" w:hAnsi="Arial" w:cs="Arial"/>
          <w:lang w:val="en-GB"/>
        </w:rPr>
        <w:t>.</w:t>
      </w:r>
    </w:p>
    <w:p w14:paraId="0B7FFFF5" w14:textId="4ED45274" w:rsidR="00C465BA" w:rsidRPr="006069F0" w:rsidRDefault="00C465BA" w:rsidP="00E74170">
      <w:pPr>
        <w:rPr>
          <w:rFonts w:ascii="Arial" w:hAnsi="Arial" w:cs="Arial"/>
          <w:b/>
          <w:bCs/>
          <w:lang w:val="en-GB"/>
        </w:rPr>
      </w:pPr>
      <w:bookmarkStart w:id="0" w:name="_Hlk216868882"/>
      <w:r w:rsidRPr="006069F0">
        <w:rPr>
          <w:rFonts w:ascii="Arial" w:hAnsi="Arial" w:cs="Arial"/>
          <w:b/>
          <w:bCs/>
          <w:lang w:val="en-GB"/>
        </w:rPr>
        <w:t>Guidance updates</w:t>
      </w:r>
    </w:p>
    <w:p w14:paraId="7493D10B" w14:textId="0184A0FF" w:rsidR="00681941" w:rsidRPr="00681941" w:rsidRDefault="00E74170" w:rsidP="00681941">
      <w:pPr>
        <w:rPr>
          <w:rFonts w:ascii="Arial" w:hAnsi="Arial" w:cs="Arial"/>
          <w:b/>
          <w:bCs/>
          <w:lang w:val="en-GB"/>
        </w:rPr>
      </w:pPr>
      <w:r w:rsidRPr="006069F0">
        <w:rPr>
          <w:rFonts w:ascii="Arial" w:hAnsi="Arial" w:cs="Arial"/>
          <w:b/>
          <w:bCs/>
          <w:lang w:val="en-GB"/>
        </w:rPr>
        <w:t>HMRC provided an overview of a</w:t>
      </w:r>
      <w:r w:rsidR="00681941" w:rsidRPr="00681941">
        <w:rPr>
          <w:rFonts w:ascii="Arial" w:hAnsi="Arial" w:cs="Arial"/>
          <w:b/>
          <w:bCs/>
          <w:lang w:val="en-GB"/>
        </w:rPr>
        <w:t>reas where we have published updates since our last meeting on 14 October 2025: </w:t>
      </w:r>
      <w:r w:rsidR="00681941" w:rsidRPr="00681941">
        <w:rPr>
          <w:rFonts w:ascii="Arial" w:hAnsi="Arial" w:cs="Arial"/>
          <w:lang w:val="en-GB"/>
        </w:rPr>
        <w:t> </w:t>
      </w:r>
    </w:p>
    <w:p w14:paraId="65C780C4" w14:textId="77777777" w:rsidR="00681941" w:rsidRPr="00681941" w:rsidRDefault="00681941" w:rsidP="00681941">
      <w:pPr>
        <w:rPr>
          <w:rFonts w:ascii="Arial" w:hAnsi="Arial" w:cs="Arial"/>
          <w:lang w:val="en-GB"/>
        </w:rPr>
      </w:pPr>
      <w:r w:rsidRPr="00681941">
        <w:rPr>
          <w:rFonts w:ascii="Arial" w:hAnsi="Arial" w:cs="Arial"/>
          <w:b/>
          <w:bCs/>
          <w:lang w:val="en-GB"/>
        </w:rPr>
        <w:t>Inheritance Tax Manual</w:t>
      </w:r>
      <w:r w:rsidRPr="00681941">
        <w:rPr>
          <w:rFonts w:ascii="Arial" w:hAnsi="Arial" w:cs="Arial"/>
          <w:lang w:val="en-GB"/>
        </w:rPr>
        <w:t> </w:t>
      </w:r>
    </w:p>
    <w:p w14:paraId="7199E5AE" w14:textId="41813B18" w:rsidR="00681941" w:rsidRPr="00681941" w:rsidRDefault="00E74170" w:rsidP="001F248C">
      <w:pPr>
        <w:numPr>
          <w:ilvl w:val="0"/>
          <w:numId w:val="31"/>
        </w:numPr>
        <w:tabs>
          <w:tab w:val="clear" w:pos="720"/>
          <w:tab w:val="num" w:pos="360"/>
        </w:tabs>
        <w:ind w:left="360"/>
        <w:rPr>
          <w:rFonts w:ascii="Arial" w:hAnsi="Arial" w:cs="Arial"/>
          <w:lang w:val="en-GB"/>
        </w:rPr>
      </w:pPr>
      <w:r w:rsidRPr="006069F0">
        <w:rPr>
          <w:rFonts w:ascii="Arial" w:hAnsi="Arial" w:cs="Arial"/>
          <w:lang w:val="en-GB"/>
        </w:rPr>
        <w:t>Guidance was updated</w:t>
      </w:r>
      <w:r w:rsidR="00681941" w:rsidRPr="00681941">
        <w:rPr>
          <w:rFonts w:ascii="Arial" w:hAnsi="Arial" w:cs="Arial"/>
          <w:lang w:val="en-GB"/>
        </w:rPr>
        <w:t xml:space="preserve"> on 15 December 2025 to clarify the application of UK and US double tax conventions. Various stakeholders have </w:t>
      </w:r>
      <w:r w:rsidR="009F1E79">
        <w:rPr>
          <w:rFonts w:ascii="Arial" w:hAnsi="Arial" w:cs="Arial"/>
          <w:lang w:val="en-GB"/>
        </w:rPr>
        <w:t>asked</w:t>
      </w:r>
      <w:r w:rsidR="00681941" w:rsidRPr="00681941">
        <w:rPr>
          <w:rFonts w:ascii="Arial" w:hAnsi="Arial" w:cs="Arial"/>
          <w:lang w:val="en-GB"/>
        </w:rPr>
        <w:t xml:space="preserve"> about the US/UK tax treaty in light of the new long-term UK residence test. </w:t>
      </w:r>
    </w:p>
    <w:p w14:paraId="380D4B9B" w14:textId="77777777" w:rsidR="00681941" w:rsidRPr="00681941" w:rsidRDefault="00681941" w:rsidP="001F248C">
      <w:pPr>
        <w:numPr>
          <w:ilvl w:val="0"/>
          <w:numId w:val="32"/>
        </w:numPr>
        <w:tabs>
          <w:tab w:val="clear" w:pos="720"/>
          <w:tab w:val="num" w:pos="360"/>
        </w:tabs>
        <w:ind w:left="360"/>
        <w:rPr>
          <w:rFonts w:ascii="Arial" w:hAnsi="Arial" w:cs="Arial"/>
          <w:lang w:val="en-GB"/>
        </w:rPr>
      </w:pPr>
      <w:r w:rsidRPr="00681941">
        <w:rPr>
          <w:rFonts w:ascii="Arial" w:hAnsi="Arial" w:cs="Arial"/>
          <w:lang w:val="en-GB"/>
        </w:rPr>
        <w:t>The US/UK tax treaty contains specific provisions allocating taxing rights in relation to settlements made at a time when the settlor was domiciled in the USA and not a UK national.  Therefore, even when a settlor of such a trust is long-term UK resident, any ten-year anniversary or proportionate charge may attract full relief under the treaty.  However, this does not extend to UK immoveable property or assets of a UK business (and see IHTM04315 for indirectly owned UK residential property).  This has been confirmed in the updated guidance at IHTM47071. </w:t>
      </w:r>
    </w:p>
    <w:p w14:paraId="711A5BD6" w14:textId="77777777" w:rsidR="00681941" w:rsidRPr="00681941" w:rsidRDefault="00681941" w:rsidP="001F248C">
      <w:pPr>
        <w:numPr>
          <w:ilvl w:val="0"/>
          <w:numId w:val="33"/>
        </w:numPr>
        <w:tabs>
          <w:tab w:val="clear" w:pos="720"/>
          <w:tab w:val="num" w:pos="360"/>
        </w:tabs>
        <w:ind w:left="360"/>
        <w:rPr>
          <w:rFonts w:ascii="Arial" w:hAnsi="Arial" w:cs="Arial"/>
          <w:lang w:val="en-GB"/>
        </w:rPr>
      </w:pPr>
      <w:r w:rsidRPr="00681941">
        <w:rPr>
          <w:rFonts w:ascii="Arial" w:hAnsi="Arial" w:cs="Arial"/>
          <w:lang w:val="en-GB"/>
        </w:rPr>
        <w:t>In addition, because the US does not have an equivalent occasion of charge, there is nothing for the US to certify on a Form 742 and so the guidance has been updated at IHTM27170 and IHTM27177 to confirm that this is not required. </w:t>
      </w:r>
    </w:p>
    <w:p w14:paraId="1B421B7A" w14:textId="12B52B45" w:rsidR="00681941" w:rsidRPr="00681941" w:rsidRDefault="00681941" w:rsidP="001F248C">
      <w:pPr>
        <w:numPr>
          <w:ilvl w:val="0"/>
          <w:numId w:val="34"/>
        </w:numPr>
        <w:tabs>
          <w:tab w:val="clear" w:pos="720"/>
          <w:tab w:val="num" w:pos="360"/>
        </w:tabs>
        <w:ind w:left="360"/>
        <w:rPr>
          <w:rFonts w:ascii="Arial" w:hAnsi="Arial" w:cs="Arial"/>
          <w:lang w:val="en-GB"/>
        </w:rPr>
      </w:pPr>
      <w:r w:rsidRPr="00681941">
        <w:rPr>
          <w:rFonts w:ascii="Arial" w:hAnsi="Arial" w:cs="Arial"/>
          <w:lang w:val="en-GB"/>
        </w:rPr>
        <w:t xml:space="preserve">The </w:t>
      </w:r>
      <w:r w:rsidR="009A15A7">
        <w:rPr>
          <w:rFonts w:ascii="Arial" w:hAnsi="Arial" w:cs="Arial"/>
          <w:lang w:val="en-GB"/>
        </w:rPr>
        <w:t xml:space="preserve">form </w:t>
      </w:r>
      <w:r w:rsidRPr="00681941">
        <w:rPr>
          <w:rFonts w:ascii="Arial" w:hAnsi="Arial" w:cs="Arial"/>
          <w:lang w:val="en-GB"/>
        </w:rPr>
        <w:t>IHT100 notes have also been updated to confirm that treaty relief should be entered into the reliefs and exemptions section, and to confirm that where treaty relief depends on domicile, a form D31 is required. </w:t>
      </w:r>
    </w:p>
    <w:p w14:paraId="1F25C952" w14:textId="15C4CC35" w:rsidR="006069F0" w:rsidRDefault="00681941" w:rsidP="001F248C">
      <w:pPr>
        <w:numPr>
          <w:ilvl w:val="0"/>
          <w:numId w:val="35"/>
        </w:numPr>
        <w:tabs>
          <w:tab w:val="clear" w:pos="720"/>
          <w:tab w:val="num" w:pos="360"/>
        </w:tabs>
        <w:ind w:left="360"/>
        <w:rPr>
          <w:rFonts w:ascii="Arial" w:hAnsi="Arial" w:cs="Arial"/>
          <w:lang w:val="en-GB"/>
        </w:rPr>
      </w:pPr>
      <w:r w:rsidRPr="00681941">
        <w:rPr>
          <w:rFonts w:ascii="Arial" w:hAnsi="Arial" w:cs="Arial"/>
          <w:lang w:val="en-GB"/>
        </w:rPr>
        <w:t>Whilst it is recognised that, in some cases, the treaty may offer full relief such that a nil charge arises, this will not always be the case, for example if there are UK situs assets.  Even in cases of full relief, HMRC needs the opportunity to consider the return and whether the treaty relief is correctly claimed.  Therefore, it is not proposed that there are any amendments to the returns, but this will be kept under review as the new regime progresses.  This has been confirmed in the updated guidance at IHTM47071. </w:t>
      </w:r>
    </w:p>
    <w:p w14:paraId="2B55393C" w14:textId="183D5651" w:rsidR="006069F0" w:rsidRDefault="00681941" w:rsidP="001F248C">
      <w:pPr>
        <w:numPr>
          <w:ilvl w:val="0"/>
          <w:numId w:val="35"/>
        </w:numPr>
        <w:tabs>
          <w:tab w:val="clear" w:pos="720"/>
          <w:tab w:val="num" w:pos="360"/>
        </w:tabs>
        <w:ind w:left="360"/>
        <w:rPr>
          <w:rFonts w:ascii="Arial" w:hAnsi="Arial" w:cs="Arial"/>
          <w:lang w:val="en-GB"/>
        </w:rPr>
      </w:pPr>
      <w:r w:rsidRPr="00681941">
        <w:rPr>
          <w:rFonts w:ascii="Arial" w:hAnsi="Arial" w:cs="Arial"/>
          <w:b/>
          <w:bCs/>
          <w:lang w:val="en-GB"/>
        </w:rPr>
        <w:t>Transfers between trusts:</w:t>
      </w:r>
      <w:r w:rsidRPr="00681941">
        <w:rPr>
          <w:rFonts w:ascii="Arial" w:hAnsi="Arial" w:cs="Arial"/>
          <w:lang w:val="en-GB"/>
        </w:rPr>
        <w:t xml:space="preserve">  IHTM42603 </w:t>
      </w:r>
      <w:r w:rsidR="009A15A7">
        <w:rPr>
          <w:rFonts w:ascii="Arial" w:hAnsi="Arial" w:cs="Arial"/>
          <w:lang w:val="en-GB"/>
        </w:rPr>
        <w:t>has also been updated</w:t>
      </w:r>
      <w:r w:rsidR="002D6C6D">
        <w:rPr>
          <w:rFonts w:ascii="Arial" w:hAnsi="Arial" w:cs="Arial"/>
          <w:lang w:val="en-GB"/>
        </w:rPr>
        <w:t xml:space="preserve"> </w:t>
      </w:r>
      <w:r w:rsidRPr="00681941">
        <w:rPr>
          <w:rFonts w:ascii="Arial" w:hAnsi="Arial" w:cs="Arial"/>
          <w:lang w:val="en-GB"/>
        </w:rPr>
        <w:t>to add an extra example on the operation of s</w:t>
      </w:r>
      <w:r w:rsidR="002D6C6D">
        <w:rPr>
          <w:rFonts w:ascii="Arial" w:hAnsi="Arial" w:cs="Arial"/>
          <w:lang w:val="en-GB"/>
        </w:rPr>
        <w:t xml:space="preserve">ection </w:t>
      </w:r>
      <w:r w:rsidRPr="00681941">
        <w:rPr>
          <w:rFonts w:ascii="Arial" w:hAnsi="Arial" w:cs="Arial"/>
          <w:lang w:val="en-GB"/>
        </w:rPr>
        <w:t>81B I</w:t>
      </w:r>
      <w:r w:rsidR="002D6C6D">
        <w:rPr>
          <w:rFonts w:ascii="Arial" w:hAnsi="Arial" w:cs="Arial"/>
          <w:lang w:val="en-GB"/>
        </w:rPr>
        <w:t xml:space="preserve">nheritance Tax </w:t>
      </w:r>
      <w:r w:rsidRPr="00681941">
        <w:rPr>
          <w:rFonts w:ascii="Arial" w:hAnsi="Arial" w:cs="Arial"/>
          <w:lang w:val="en-GB"/>
        </w:rPr>
        <w:t>A</w:t>
      </w:r>
      <w:r w:rsidR="002D6C6D">
        <w:rPr>
          <w:rFonts w:ascii="Arial" w:hAnsi="Arial" w:cs="Arial"/>
          <w:lang w:val="en-GB"/>
        </w:rPr>
        <w:t>ct</w:t>
      </w:r>
      <w:r w:rsidRPr="00681941">
        <w:rPr>
          <w:rFonts w:ascii="Arial" w:hAnsi="Arial" w:cs="Arial"/>
          <w:lang w:val="en-GB"/>
        </w:rPr>
        <w:t xml:space="preserve"> 1984 as requested. We are happy to receive further feedback via the inbox if further clarity is required. </w:t>
      </w:r>
    </w:p>
    <w:p w14:paraId="66C11EA5" w14:textId="1ACD2A44" w:rsidR="00D70ED8" w:rsidRPr="00681941" w:rsidRDefault="00681941" w:rsidP="004D6D31">
      <w:pPr>
        <w:numPr>
          <w:ilvl w:val="0"/>
          <w:numId w:val="35"/>
        </w:numPr>
        <w:tabs>
          <w:tab w:val="clear" w:pos="720"/>
          <w:tab w:val="num" w:pos="360"/>
        </w:tabs>
        <w:ind w:left="360"/>
        <w:rPr>
          <w:rFonts w:ascii="Arial" w:hAnsi="Arial" w:cs="Arial"/>
          <w:lang w:val="en-GB"/>
        </w:rPr>
      </w:pPr>
      <w:r w:rsidRPr="76CDFA97">
        <w:rPr>
          <w:rFonts w:ascii="Arial" w:hAnsi="Arial" w:cs="Arial"/>
          <w:b/>
          <w:bCs/>
          <w:lang w:val="en-GB"/>
        </w:rPr>
        <w:t>G</w:t>
      </w:r>
      <w:r w:rsidR="002D6C6D" w:rsidRPr="76CDFA97">
        <w:rPr>
          <w:rFonts w:ascii="Arial" w:hAnsi="Arial" w:cs="Arial"/>
          <w:b/>
          <w:bCs/>
          <w:lang w:val="en-GB"/>
        </w:rPr>
        <w:t>ifts with reservation of benefit</w:t>
      </w:r>
      <w:r w:rsidRPr="76CDFA97">
        <w:rPr>
          <w:rFonts w:ascii="Arial" w:hAnsi="Arial" w:cs="Arial"/>
          <w:b/>
          <w:bCs/>
          <w:lang w:val="en-GB"/>
        </w:rPr>
        <w:t xml:space="preserve"> and transfers between trusts </w:t>
      </w:r>
      <w:r w:rsidRPr="76CDFA97">
        <w:rPr>
          <w:rFonts w:ascii="Arial" w:hAnsi="Arial" w:cs="Arial"/>
          <w:lang w:val="en-GB"/>
        </w:rPr>
        <w:t xml:space="preserve">Section 102(7C) was added </w:t>
      </w:r>
      <w:r w:rsidR="56BF0C49" w:rsidRPr="76CDFA97">
        <w:rPr>
          <w:rFonts w:ascii="Arial" w:hAnsi="Arial" w:cs="Arial"/>
          <w:lang w:val="en-GB"/>
        </w:rPr>
        <w:t xml:space="preserve">to the Finance Act 1986 </w:t>
      </w:r>
      <w:r w:rsidRPr="76CDFA97">
        <w:rPr>
          <w:rFonts w:ascii="Arial" w:hAnsi="Arial" w:cs="Arial"/>
          <w:lang w:val="en-GB"/>
        </w:rPr>
        <w:t xml:space="preserve">by way of government amendment </w:t>
      </w:r>
      <w:r w:rsidR="6FA30CFC" w:rsidRPr="76CDFA97">
        <w:rPr>
          <w:rFonts w:ascii="Arial" w:hAnsi="Arial" w:cs="Arial"/>
          <w:lang w:val="en-GB"/>
        </w:rPr>
        <w:t xml:space="preserve">as part of these reforms </w:t>
      </w:r>
      <w:r w:rsidRPr="76CDFA97">
        <w:rPr>
          <w:rFonts w:ascii="Arial" w:hAnsi="Arial" w:cs="Arial"/>
          <w:lang w:val="en-GB"/>
        </w:rPr>
        <w:t>to deal with any possible difficulties relating to these transitional cases.  No further amendment is proposed. </w:t>
      </w:r>
    </w:p>
    <w:p w14:paraId="39CB7A46" w14:textId="08DA9F38" w:rsidR="00681941" w:rsidRPr="00681941" w:rsidRDefault="00681941" w:rsidP="006069F0">
      <w:pPr>
        <w:rPr>
          <w:rFonts w:ascii="Arial" w:hAnsi="Arial" w:cs="Arial"/>
          <w:lang w:val="en-GB"/>
        </w:rPr>
      </w:pPr>
      <w:r w:rsidRPr="00681941">
        <w:rPr>
          <w:rFonts w:ascii="Arial" w:hAnsi="Arial" w:cs="Arial"/>
          <w:b/>
          <w:bCs/>
          <w:lang w:val="en-GB"/>
        </w:rPr>
        <w:t>Residence and FIG Regime Manual</w:t>
      </w:r>
      <w:r w:rsidR="004C0D6E">
        <w:rPr>
          <w:rFonts w:ascii="Arial" w:hAnsi="Arial" w:cs="Arial"/>
          <w:b/>
          <w:bCs/>
          <w:lang w:val="en-GB"/>
        </w:rPr>
        <w:t xml:space="preserve"> (RFIG)</w:t>
      </w:r>
    </w:p>
    <w:p w14:paraId="7A14D640" w14:textId="77777777" w:rsidR="006069F0" w:rsidRDefault="00681941" w:rsidP="001F248C">
      <w:pPr>
        <w:numPr>
          <w:ilvl w:val="0"/>
          <w:numId w:val="36"/>
        </w:numPr>
        <w:tabs>
          <w:tab w:val="num" w:pos="720"/>
        </w:tabs>
        <w:rPr>
          <w:rFonts w:ascii="Arial" w:hAnsi="Arial" w:cs="Arial"/>
          <w:lang w:val="en-GB"/>
        </w:rPr>
      </w:pPr>
      <w:r w:rsidRPr="00681941">
        <w:rPr>
          <w:rFonts w:ascii="Arial" w:hAnsi="Arial" w:cs="Arial"/>
          <w:lang w:val="en-GB"/>
        </w:rPr>
        <w:t>Further guidance on the interaction of the FIG regime and double taxation agreements has been published at RFIG 43000 clarifying that a claim for FIG relief will not affect a treaty residence determination. </w:t>
      </w:r>
    </w:p>
    <w:p w14:paraId="4E1EA6DF" w14:textId="1BE75D75" w:rsidR="00681941" w:rsidRPr="00681941" w:rsidRDefault="006069F0" w:rsidP="001F248C">
      <w:pPr>
        <w:numPr>
          <w:ilvl w:val="0"/>
          <w:numId w:val="36"/>
        </w:numPr>
        <w:tabs>
          <w:tab w:val="num" w:pos="720"/>
        </w:tabs>
        <w:rPr>
          <w:rFonts w:ascii="Arial" w:hAnsi="Arial" w:cs="Arial"/>
          <w:lang w:val="en-GB"/>
        </w:rPr>
      </w:pPr>
      <w:r>
        <w:rPr>
          <w:rFonts w:ascii="Arial" w:hAnsi="Arial" w:cs="Arial"/>
          <w:lang w:val="en-GB"/>
        </w:rPr>
        <w:t>Members raised that they would welcome HMRC’s views on recent OECD commentary regarding the views of the USA on how to interpret US DTA’s with regards to dual residents.</w:t>
      </w:r>
    </w:p>
    <w:p w14:paraId="08F491E1" w14:textId="3A29735C" w:rsidR="00681941" w:rsidRPr="00681941" w:rsidRDefault="00681941" w:rsidP="006069F0">
      <w:pPr>
        <w:rPr>
          <w:rFonts w:ascii="Arial" w:hAnsi="Arial" w:cs="Arial"/>
          <w:lang w:val="en-GB"/>
        </w:rPr>
      </w:pPr>
      <w:r w:rsidRPr="00681941">
        <w:rPr>
          <w:rFonts w:ascii="Arial" w:hAnsi="Arial" w:cs="Arial"/>
          <w:b/>
          <w:bCs/>
          <w:lang w:val="en-GB"/>
        </w:rPr>
        <w:t>Residence, Domicile and Remittance Basis Manual </w:t>
      </w:r>
    </w:p>
    <w:p w14:paraId="27596B76" w14:textId="70CE3994" w:rsidR="00681941" w:rsidRPr="00681941" w:rsidRDefault="006069F0" w:rsidP="001F248C">
      <w:pPr>
        <w:numPr>
          <w:ilvl w:val="0"/>
          <w:numId w:val="37"/>
        </w:numPr>
        <w:tabs>
          <w:tab w:val="clear" w:pos="720"/>
          <w:tab w:val="num" w:pos="360"/>
        </w:tabs>
        <w:ind w:left="360"/>
        <w:rPr>
          <w:rFonts w:ascii="Arial" w:hAnsi="Arial" w:cs="Arial"/>
          <w:lang w:val="en-GB"/>
        </w:rPr>
      </w:pPr>
      <w:r>
        <w:rPr>
          <w:rFonts w:ascii="Arial" w:hAnsi="Arial" w:cs="Arial"/>
          <w:lang w:val="en-GB"/>
        </w:rPr>
        <w:t>HMRC thanked</w:t>
      </w:r>
      <w:r w:rsidR="00681941" w:rsidRPr="00681941">
        <w:rPr>
          <w:rFonts w:ascii="Arial" w:hAnsi="Arial" w:cs="Arial"/>
          <w:lang w:val="en-GB"/>
        </w:rPr>
        <w:t> CIOT/STEP for their correspondence and feedback on guidance for S809P(12) (RDRM35010), this has been considered and the guidance page has now been updated and published</w:t>
      </w:r>
      <w:r>
        <w:rPr>
          <w:rFonts w:ascii="Arial" w:hAnsi="Arial" w:cs="Arial"/>
          <w:lang w:val="en-GB"/>
        </w:rPr>
        <w:t xml:space="preserve">. </w:t>
      </w:r>
      <w:r w:rsidR="00681941" w:rsidRPr="00681941">
        <w:rPr>
          <w:rFonts w:ascii="Arial" w:hAnsi="Arial" w:cs="Arial"/>
          <w:lang w:val="en-GB"/>
        </w:rPr>
        <w:t>We are happy to receive any further comments</w:t>
      </w:r>
      <w:r>
        <w:rPr>
          <w:rFonts w:ascii="Arial" w:hAnsi="Arial" w:cs="Arial"/>
          <w:lang w:val="en-GB"/>
        </w:rPr>
        <w:t>.</w:t>
      </w:r>
      <w:r w:rsidR="00681941" w:rsidRPr="00681941">
        <w:rPr>
          <w:rFonts w:ascii="Arial" w:hAnsi="Arial" w:cs="Arial"/>
          <w:lang w:val="en-GB"/>
        </w:rPr>
        <w:t> </w:t>
      </w:r>
    </w:p>
    <w:p w14:paraId="063ABD88" w14:textId="60ADD44C" w:rsidR="00681941" w:rsidRPr="00681941" w:rsidRDefault="00681941" w:rsidP="002339D6">
      <w:pPr>
        <w:rPr>
          <w:rFonts w:ascii="Arial" w:hAnsi="Arial" w:cs="Arial"/>
          <w:lang w:val="en-GB"/>
        </w:rPr>
      </w:pPr>
      <w:r w:rsidRPr="00681941">
        <w:rPr>
          <w:rFonts w:ascii="Arial" w:hAnsi="Arial" w:cs="Arial"/>
          <w:lang w:val="en-GB"/>
        </w:rPr>
        <w:t> </w:t>
      </w:r>
      <w:r w:rsidR="002339D6" w:rsidRPr="002339D6">
        <w:rPr>
          <w:rFonts w:ascii="Arial" w:hAnsi="Arial" w:cs="Arial"/>
          <w:b/>
          <w:bCs/>
          <w:lang w:val="en-GB"/>
        </w:rPr>
        <w:t>P</w:t>
      </w:r>
      <w:r w:rsidRPr="00681941">
        <w:rPr>
          <w:rFonts w:ascii="Arial" w:hAnsi="Arial" w:cs="Arial"/>
          <w:b/>
          <w:bCs/>
          <w:lang w:val="en-GB"/>
        </w:rPr>
        <w:t>AYE Manual </w:t>
      </w:r>
    </w:p>
    <w:p w14:paraId="1482D327" w14:textId="4BDB292D" w:rsidR="002339D6" w:rsidRDefault="004C0D6E" w:rsidP="001F248C">
      <w:pPr>
        <w:numPr>
          <w:ilvl w:val="0"/>
          <w:numId w:val="38"/>
        </w:numPr>
        <w:tabs>
          <w:tab w:val="num" w:pos="720"/>
        </w:tabs>
        <w:rPr>
          <w:rFonts w:ascii="Arial" w:hAnsi="Arial" w:cs="Arial"/>
          <w:lang w:val="en-GB"/>
        </w:rPr>
      </w:pPr>
      <w:r>
        <w:rPr>
          <w:rFonts w:ascii="Arial" w:hAnsi="Arial" w:cs="Arial"/>
          <w:lang w:val="en-GB"/>
        </w:rPr>
        <w:t>T</w:t>
      </w:r>
      <w:r w:rsidR="00681941" w:rsidRPr="00681941">
        <w:rPr>
          <w:rFonts w:ascii="Arial" w:hAnsi="Arial" w:cs="Arial"/>
          <w:lang w:val="en-GB"/>
        </w:rPr>
        <w:t xml:space="preserve">he guidance </w:t>
      </w:r>
      <w:r>
        <w:rPr>
          <w:rFonts w:ascii="Arial" w:hAnsi="Arial" w:cs="Arial"/>
          <w:lang w:val="en-GB"/>
        </w:rPr>
        <w:t xml:space="preserve">has been updated </w:t>
      </w:r>
      <w:r w:rsidR="00681941" w:rsidRPr="00681941">
        <w:rPr>
          <w:rFonts w:ascii="Arial" w:hAnsi="Arial" w:cs="Arial"/>
          <w:lang w:val="en-GB"/>
        </w:rPr>
        <w:t>to provide clarification on how O</w:t>
      </w:r>
      <w:r>
        <w:rPr>
          <w:rFonts w:ascii="Arial" w:hAnsi="Arial" w:cs="Arial"/>
          <w:lang w:val="en-GB"/>
        </w:rPr>
        <w:t xml:space="preserve">verseas </w:t>
      </w:r>
      <w:r w:rsidR="00681941" w:rsidRPr="00681941">
        <w:rPr>
          <w:rFonts w:ascii="Arial" w:hAnsi="Arial" w:cs="Arial"/>
          <w:lang w:val="en-GB"/>
        </w:rPr>
        <w:t>W</w:t>
      </w:r>
      <w:r>
        <w:rPr>
          <w:rFonts w:ascii="Arial" w:hAnsi="Arial" w:cs="Arial"/>
          <w:lang w:val="en-GB"/>
        </w:rPr>
        <w:t xml:space="preserve">orkday </w:t>
      </w:r>
      <w:r w:rsidR="00681941" w:rsidRPr="00681941">
        <w:rPr>
          <w:rFonts w:ascii="Arial" w:hAnsi="Arial" w:cs="Arial"/>
          <w:lang w:val="en-GB"/>
        </w:rPr>
        <w:t>R</w:t>
      </w:r>
      <w:r>
        <w:rPr>
          <w:rFonts w:ascii="Arial" w:hAnsi="Arial" w:cs="Arial"/>
          <w:lang w:val="en-GB"/>
        </w:rPr>
        <w:t>elief</w:t>
      </w:r>
      <w:r w:rsidR="00681941" w:rsidRPr="00681941">
        <w:rPr>
          <w:rFonts w:ascii="Arial" w:hAnsi="Arial" w:cs="Arial"/>
          <w:lang w:val="en-GB"/>
        </w:rPr>
        <w:t xml:space="preserve"> financial limits interact with Appendix 6 arrangements</w:t>
      </w:r>
      <w:r>
        <w:rPr>
          <w:rFonts w:ascii="Arial" w:hAnsi="Arial" w:cs="Arial"/>
          <w:lang w:val="en-GB"/>
        </w:rPr>
        <w:t>.</w:t>
      </w:r>
      <w:r w:rsidR="00681941" w:rsidRPr="00681941">
        <w:rPr>
          <w:rFonts w:ascii="Arial" w:hAnsi="Arial" w:cs="Arial"/>
          <w:lang w:val="en-GB"/>
        </w:rPr>
        <w:t> </w:t>
      </w:r>
    </w:p>
    <w:p w14:paraId="3A2CEF2C" w14:textId="4139F2D2" w:rsidR="00681941" w:rsidRPr="00681941" w:rsidRDefault="00681941" w:rsidP="001F248C">
      <w:pPr>
        <w:numPr>
          <w:ilvl w:val="0"/>
          <w:numId w:val="38"/>
        </w:numPr>
        <w:tabs>
          <w:tab w:val="num" w:pos="720"/>
        </w:tabs>
        <w:rPr>
          <w:rFonts w:ascii="Arial" w:hAnsi="Arial" w:cs="Arial"/>
          <w:lang w:val="en-GB"/>
        </w:rPr>
      </w:pPr>
      <w:r w:rsidRPr="00681941">
        <w:rPr>
          <w:rFonts w:ascii="Arial" w:hAnsi="Arial" w:cs="Arial"/>
          <w:lang w:val="en-GB"/>
        </w:rPr>
        <w:t xml:space="preserve">Guidance </w:t>
      </w:r>
      <w:r w:rsidR="002339D6" w:rsidRPr="002339D6">
        <w:rPr>
          <w:rFonts w:ascii="Arial" w:hAnsi="Arial" w:cs="Arial"/>
          <w:lang w:val="en-GB"/>
        </w:rPr>
        <w:t>has been published</w:t>
      </w:r>
      <w:r w:rsidRPr="00681941">
        <w:rPr>
          <w:rFonts w:ascii="Arial" w:hAnsi="Arial" w:cs="Arial"/>
          <w:lang w:val="en-GB"/>
        </w:rPr>
        <w:t xml:space="preserve"> in guidance sheet ‘New employee coming to work from abroad – Modified Payments Arrangements’ dealing with this point. We are happy to receive further feedback via the inbox if further clarity is required. </w:t>
      </w:r>
    </w:p>
    <w:p w14:paraId="68E039BB" w14:textId="0E12B686" w:rsidR="00681941" w:rsidRPr="00681941" w:rsidRDefault="00D70ED8" w:rsidP="00681941">
      <w:pPr>
        <w:rPr>
          <w:rFonts w:ascii="Arial" w:hAnsi="Arial" w:cs="Arial"/>
          <w:lang w:val="en-GB"/>
        </w:rPr>
      </w:pPr>
      <w:r>
        <w:rPr>
          <w:rFonts w:ascii="Arial" w:hAnsi="Arial" w:cs="Arial"/>
          <w:lang w:val="en-GB"/>
        </w:rPr>
        <w:t>HMRC</w:t>
      </w:r>
      <w:r w:rsidR="00681941" w:rsidRPr="00681941">
        <w:rPr>
          <w:rFonts w:ascii="Arial" w:hAnsi="Arial" w:cs="Arial"/>
          <w:lang w:val="en-GB"/>
        </w:rPr>
        <w:t xml:space="preserve"> welcome</w:t>
      </w:r>
      <w:r>
        <w:rPr>
          <w:rFonts w:ascii="Arial" w:hAnsi="Arial" w:cs="Arial"/>
          <w:lang w:val="en-GB"/>
        </w:rPr>
        <w:t>d</w:t>
      </w:r>
      <w:r w:rsidR="00681941" w:rsidRPr="00681941">
        <w:rPr>
          <w:rFonts w:ascii="Arial" w:hAnsi="Arial" w:cs="Arial"/>
          <w:lang w:val="en-GB"/>
        </w:rPr>
        <w:t xml:space="preserve"> further feedback from members across areas of </w:t>
      </w:r>
      <w:proofErr w:type="gramStart"/>
      <w:r w:rsidR="00681941" w:rsidRPr="00681941">
        <w:rPr>
          <w:rFonts w:ascii="Arial" w:hAnsi="Arial" w:cs="Arial"/>
          <w:lang w:val="en-GB"/>
        </w:rPr>
        <w:t>guidance, and</w:t>
      </w:r>
      <w:proofErr w:type="gramEnd"/>
      <w:r w:rsidR="00681941" w:rsidRPr="00681941">
        <w:rPr>
          <w:rFonts w:ascii="Arial" w:hAnsi="Arial" w:cs="Arial"/>
          <w:lang w:val="en-GB"/>
        </w:rPr>
        <w:t> will look to make updates once the finance bill has received royal assent and have manuals up to date for April. </w:t>
      </w:r>
    </w:p>
    <w:p w14:paraId="261FA043" w14:textId="4D524617" w:rsidR="009001F5" w:rsidRPr="00E57A59" w:rsidRDefault="009001F5">
      <w:pPr>
        <w:pStyle w:val="Heading1"/>
        <w:rPr>
          <w:rFonts w:ascii="Arial" w:eastAsiaTheme="minorEastAsia" w:hAnsi="Arial" w:cs="Arial"/>
          <w:b/>
          <w:bCs/>
          <w:color w:val="auto"/>
          <w:sz w:val="24"/>
          <w:szCs w:val="24"/>
          <w:lang w:val="en-GB"/>
        </w:rPr>
      </w:pPr>
      <w:r w:rsidRPr="00E57A59">
        <w:rPr>
          <w:rFonts w:ascii="Arial" w:eastAsiaTheme="minorEastAsia" w:hAnsi="Arial" w:cs="Arial"/>
          <w:b/>
          <w:bCs/>
          <w:color w:val="auto"/>
          <w:sz w:val="24"/>
          <w:szCs w:val="24"/>
          <w:lang w:val="en-GB"/>
        </w:rPr>
        <w:t xml:space="preserve">Making Tax Digital </w:t>
      </w:r>
      <w:r w:rsidR="00241360" w:rsidRPr="00E57A59">
        <w:rPr>
          <w:rFonts w:ascii="Arial" w:eastAsiaTheme="minorEastAsia" w:hAnsi="Arial" w:cs="Arial"/>
          <w:b/>
          <w:bCs/>
          <w:color w:val="auto"/>
          <w:sz w:val="24"/>
          <w:szCs w:val="24"/>
          <w:lang w:val="en-GB"/>
        </w:rPr>
        <w:t xml:space="preserve">guidance </w:t>
      </w:r>
      <w:r w:rsidRPr="00E57A59">
        <w:rPr>
          <w:rFonts w:ascii="Arial" w:eastAsiaTheme="minorEastAsia" w:hAnsi="Arial" w:cs="Arial"/>
          <w:b/>
          <w:bCs/>
          <w:color w:val="auto"/>
          <w:sz w:val="24"/>
          <w:szCs w:val="24"/>
          <w:lang w:val="en-GB"/>
        </w:rPr>
        <w:t>&amp; SA109</w:t>
      </w:r>
      <w:r w:rsidR="00241360" w:rsidRPr="00E57A59">
        <w:rPr>
          <w:rFonts w:ascii="Arial" w:eastAsiaTheme="minorEastAsia" w:hAnsi="Arial" w:cs="Arial"/>
          <w:b/>
          <w:bCs/>
          <w:color w:val="auto"/>
          <w:sz w:val="24"/>
          <w:szCs w:val="24"/>
          <w:lang w:val="en-GB"/>
        </w:rPr>
        <w:t xml:space="preserve"> publication</w:t>
      </w:r>
    </w:p>
    <w:bookmarkEnd w:id="0"/>
    <w:p w14:paraId="598640BC" w14:textId="1F1E9A36" w:rsidR="00856B95" w:rsidRDefault="009001F5" w:rsidP="4D831B06">
      <w:pPr>
        <w:rPr>
          <w:rFonts w:ascii="Arial" w:hAnsi="Arial" w:cs="Arial"/>
        </w:rPr>
      </w:pPr>
      <w:r w:rsidRPr="00034810">
        <w:rPr>
          <w:rFonts w:ascii="Arial" w:hAnsi="Arial" w:cs="Arial"/>
        </w:rPr>
        <w:t xml:space="preserve">Attendees asked about the availability of </w:t>
      </w:r>
      <w:r w:rsidR="00C465BA">
        <w:rPr>
          <w:rFonts w:ascii="Arial" w:hAnsi="Arial" w:cs="Arial"/>
        </w:rPr>
        <w:t>2025-26 Self-</w:t>
      </w:r>
      <w:r w:rsidR="004D747A">
        <w:rPr>
          <w:rFonts w:ascii="Arial" w:hAnsi="Arial" w:cs="Arial"/>
        </w:rPr>
        <w:t>A</w:t>
      </w:r>
      <w:r w:rsidR="00C465BA">
        <w:rPr>
          <w:rFonts w:ascii="Arial" w:hAnsi="Arial" w:cs="Arial"/>
        </w:rPr>
        <w:t>ssessment</w:t>
      </w:r>
      <w:r w:rsidR="004D747A">
        <w:rPr>
          <w:rFonts w:ascii="Arial" w:hAnsi="Arial" w:cs="Arial"/>
        </w:rPr>
        <w:t xml:space="preserve"> (SA)</w:t>
      </w:r>
      <w:r w:rsidR="00C465BA">
        <w:rPr>
          <w:rFonts w:ascii="Arial" w:hAnsi="Arial" w:cs="Arial"/>
        </w:rPr>
        <w:t xml:space="preserve"> forms</w:t>
      </w:r>
      <w:r w:rsidRPr="00034810">
        <w:rPr>
          <w:rFonts w:ascii="Arial" w:hAnsi="Arial" w:cs="Arial"/>
        </w:rPr>
        <w:t xml:space="preserve"> and </w:t>
      </w:r>
      <w:r w:rsidR="00C465BA">
        <w:rPr>
          <w:rFonts w:ascii="Arial" w:hAnsi="Arial" w:cs="Arial"/>
        </w:rPr>
        <w:t xml:space="preserve">further guidance on </w:t>
      </w:r>
      <w:r w:rsidRPr="00034810">
        <w:rPr>
          <w:rFonts w:ascii="Arial" w:hAnsi="Arial" w:cs="Arial"/>
        </w:rPr>
        <w:t xml:space="preserve">the interaction with Making Tax Digital (MTD) and the SA109 form. </w:t>
      </w:r>
    </w:p>
    <w:p w14:paraId="1693C6B7" w14:textId="3D159212" w:rsidR="00856B95" w:rsidRDefault="009001F5" w:rsidP="4D831B06">
      <w:pPr>
        <w:rPr>
          <w:rFonts w:ascii="Arial" w:hAnsi="Arial" w:cs="Arial"/>
        </w:rPr>
      </w:pPr>
      <w:r w:rsidRPr="76CDFA97">
        <w:rPr>
          <w:rFonts w:ascii="Arial" w:hAnsi="Arial" w:cs="Arial"/>
        </w:rPr>
        <w:t xml:space="preserve">HMRC stated that </w:t>
      </w:r>
      <w:r w:rsidR="00B6642E" w:rsidRPr="76CDFA97">
        <w:rPr>
          <w:rFonts w:ascii="Arial" w:hAnsi="Arial" w:cs="Arial"/>
        </w:rPr>
        <w:t xml:space="preserve">updated </w:t>
      </w:r>
      <w:r w:rsidR="00856B95" w:rsidRPr="76CDFA97">
        <w:rPr>
          <w:rFonts w:ascii="Arial" w:hAnsi="Arial" w:cs="Arial"/>
        </w:rPr>
        <w:t xml:space="preserve">MTD </w:t>
      </w:r>
      <w:r w:rsidR="00B6642E" w:rsidRPr="76CDFA97">
        <w:rPr>
          <w:rFonts w:ascii="Arial" w:hAnsi="Arial" w:cs="Arial"/>
        </w:rPr>
        <w:t>legislation is</w:t>
      </w:r>
      <w:r w:rsidRPr="76CDFA97">
        <w:rPr>
          <w:rFonts w:ascii="Arial" w:hAnsi="Arial" w:cs="Arial"/>
        </w:rPr>
        <w:t xml:space="preserve"> expected to be published </w:t>
      </w:r>
      <w:r w:rsidR="00B6642E" w:rsidRPr="76CDFA97">
        <w:rPr>
          <w:rFonts w:ascii="Arial" w:hAnsi="Arial" w:cs="Arial"/>
        </w:rPr>
        <w:t xml:space="preserve">after </w:t>
      </w:r>
      <w:r w:rsidR="00241360" w:rsidRPr="76CDFA97">
        <w:rPr>
          <w:rFonts w:ascii="Arial" w:hAnsi="Arial" w:cs="Arial"/>
        </w:rPr>
        <w:t xml:space="preserve">royal assent of the </w:t>
      </w:r>
      <w:r w:rsidR="004C0D6E" w:rsidRPr="76CDFA97">
        <w:rPr>
          <w:rFonts w:ascii="Arial" w:hAnsi="Arial" w:cs="Arial"/>
        </w:rPr>
        <w:t>FB</w:t>
      </w:r>
      <w:r w:rsidRPr="76CDFA97">
        <w:rPr>
          <w:rFonts w:ascii="Arial" w:hAnsi="Arial" w:cs="Arial"/>
        </w:rPr>
        <w:t>.</w:t>
      </w:r>
      <w:r w:rsidR="00C465BA" w:rsidRPr="76CDFA97">
        <w:rPr>
          <w:rFonts w:ascii="Arial" w:hAnsi="Arial" w:cs="Arial"/>
        </w:rPr>
        <w:t xml:space="preserve">  Guidance has been published on MTD deferral and exemption categories here </w:t>
      </w:r>
      <w:hyperlink r:id="rId10">
        <w:r w:rsidR="004D747A" w:rsidRPr="76CDFA97">
          <w:rPr>
            <w:rStyle w:val="Hyperlink"/>
            <w:rFonts w:ascii="Arial" w:hAnsi="Arial" w:cs="Arial"/>
          </w:rPr>
          <w:t>www.gov.uk/guidance/check-if-youre-eligible-for-making-tax-digital-for-income-tax</w:t>
        </w:r>
      </w:hyperlink>
      <w:r w:rsidR="00C465BA" w:rsidRPr="76CDFA97">
        <w:rPr>
          <w:rFonts w:ascii="Arial" w:hAnsi="Arial" w:cs="Arial"/>
        </w:rPr>
        <w:t xml:space="preserve"> with further guidance </w:t>
      </w:r>
      <w:r w:rsidR="00061569" w:rsidRPr="76CDFA97">
        <w:rPr>
          <w:rFonts w:ascii="Arial" w:hAnsi="Arial" w:cs="Arial"/>
        </w:rPr>
        <w:t xml:space="preserve">for customers seeking an exemption or deferral </w:t>
      </w:r>
      <w:r w:rsidR="00C465BA" w:rsidRPr="76CDFA97">
        <w:rPr>
          <w:rFonts w:ascii="Arial" w:hAnsi="Arial" w:cs="Arial"/>
        </w:rPr>
        <w:t>planned for publication over the coming months.</w:t>
      </w:r>
    </w:p>
    <w:p w14:paraId="2653EA8E" w14:textId="7F919121" w:rsidR="009001F5" w:rsidRPr="00034810" w:rsidRDefault="009001F5" w:rsidP="4D831B06">
      <w:pPr>
        <w:rPr>
          <w:rFonts w:ascii="Arial" w:eastAsia="Times New Roman" w:hAnsi="Arial" w:cs="Arial"/>
          <w:color w:val="424242"/>
          <w:lang w:eastAsia="en-GB"/>
        </w:rPr>
      </w:pPr>
      <w:r w:rsidRPr="00034810">
        <w:rPr>
          <w:rFonts w:ascii="Arial" w:hAnsi="Arial" w:cs="Arial"/>
        </w:rPr>
        <w:t xml:space="preserve">HMRC will </w:t>
      </w:r>
      <w:r w:rsidRPr="00034810">
        <w:rPr>
          <w:rFonts w:ascii="Arial" w:eastAsia="Times New Roman" w:hAnsi="Arial" w:cs="Arial"/>
          <w:color w:val="424242"/>
          <w:kern w:val="0"/>
          <w:lang w:eastAsia="en-GB"/>
          <w14:ligatures w14:val="none"/>
        </w:rPr>
        <w:t xml:space="preserve">explore whether draft </w:t>
      </w:r>
      <w:r w:rsidR="00856B95">
        <w:rPr>
          <w:rFonts w:ascii="Arial" w:eastAsia="Times New Roman" w:hAnsi="Arial" w:cs="Arial"/>
          <w:color w:val="424242"/>
          <w:kern w:val="0"/>
          <w:lang w:eastAsia="en-GB"/>
          <w14:ligatures w14:val="none"/>
        </w:rPr>
        <w:t>SA forms</w:t>
      </w:r>
      <w:r w:rsidRPr="00034810">
        <w:rPr>
          <w:rFonts w:ascii="Arial" w:eastAsia="Times New Roman" w:hAnsi="Arial" w:cs="Arial"/>
          <w:color w:val="424242"/>
          <w:kern w:val="0"/>
          <w:lang w:eastAsia="en-GB"/>
          <w14:ligatures w14:val="none"/>
        </w:rPr>
        <w:t xml:space="preserve"> and notes</w:t>
      </w:r>
      <w:r w:rsidR="00856B95">
        <w:rPr>
          <w:rFonts w:ascii="Arial" w:eastAsia="Times New Roman" w:hAnsi="Arial" w:cs="Arial"/>
          <w:color w:val="424242"/>
          <w:kern w:val="0"/>
          <w:lang w:eastAsia="en-GB"/>
          <w14:ligatures w14:val="none"/>
        </w:rPr>
        <w:t xml:space="preserve"> pages</w:t>
      </w:r>
      <w:r w:rsidRPr="00034810">
        <w:rPr>
          <w:rFonts w:ascii="Arial" w:eastAsia="Times New Roman" w:hAnsi="Arial" w:cs="Arial"/>
          <w:color w:val="424242"/>
          <w:kern w:val="0"/>
          <w:lang w:eastAsia="en-GB"/>
          <w14:ligatures w14:val="none"/>
        </w:rPr>
        <w:t xml:space="preserve"> can be shared with stakeholders earlier</w:t>
      </w:r>
      <w:r w:rsidR="00856B95">
        <w:rPr>
          <w:rFonts w:ascii="Arial" w:eastAsia="Times New Roman" w:hAnsi="Arial" w:cs="Arial"/>
          <w:color w:val="424242"/>
          <w:kern w:val="0"/>
          <w:lang w:eastAsia="en-GB"/>
          <w14:ligatures w14:val="none"/>
        </w:rPr>
        <w:t xml:space="preserve"> than the planned April publication date</w:t>
      </w:r>
      <w:r w:rsidRPr="00034810">
        <w:rPr>
          <w:rFonts w:ascii="Arial" w:eastAsia="Times New Roman" w:hAnsi="Arial" w:cs="Arial"/>
          <w:color w:val="424242"/>
          <w:kern w:val="0"/>
          <w:lang w:eastAsia="en-GB"/>
          <w14:ligatures w14:val="none"/>
        </w:rPr>
        <w:t>.</w:t>
      </w:r>
    </w:p>
    <w:p w14:paraId="4A7D61ED" w14:textId="5E140F93" w:rsidR="009001F5" w:rsidRPr="004D55EE" w:rsidRDefault="009001F5">
      <w:pPr>
        <w:pStyle w:val="Heading1"/>
        <w:rPr>
          <w:rFonts w:ascii="Arial" w:eastAsiaTheme="minorEastAsia" w:hAnsi="Arial" w:cs="Arial"/>
          <w:b/>
          <w:bCs/>
          <w:color w:val="auto"/>
          <w:sz w:val="24"/>
          <w:szCs w:val="24"/>
          <w:lang w:val="en-GB"/>
        </w:rPr>
      </w:pPr>
      <w:r w:rsidRPr="004D55EE">
        <w:rPr>
          <w:rFonts w:ascii="Arial" w:eastAsiaTheme="minorEastAsia" w:hAnsi="Arial" w:cs="Arial"/>
          <w:b/>
          <w:bCs/>
          <w:color w:val="auto"/>
          <w:sz w:val="24"/>
          <w:szCs w:val="24"/>
          <w:lang w:val="en-GB"/>
        </w:rPr>
        <w:t>Guidance and Communication</w:t>
      </w:r>
    </w:p>
    <w:p w14:paraId="2FA3F657" w14:textId="7BB0D0F5" w:rsidR="009001F5" w:rsidRPr="00C50D2F" w:rsidRDefault="009001F5" w:rsidP="004D55EE">
      <w:pPr>
        <w:rPr>
          <w:rFonts w:ascii="Arial" w:hAnsi="Arial" w:cs="Arial"/>
          <w:lang w:val="en-GB"/>
        </w:rPr>
      </w:pPr>
      <w:r w:rsidRPr="00034810">
        <w:rPr>
          <w:rFonts w:ascii="Arial" w:hAnsi="Arial" w:cs="Arial"/>
        </w:rPr>
        <w:t xml:space="preserve">HMRC </w:t>
      </w:r>
      <w:r w:rsidR="00336FE1">
        <w:rPr>
          <w:rFonts w:ascii="Arial" w:hAnsi="Arial" w:cs="Arial"/>
        </w:rPr>
        <w:t xml:space="preserve">will continue to consider </w:t>
      </w:r>
      <w:r w:rsidRPr="00034810">
        <w:rPr>
          <w:rFonts w:ascii="Arial" w:hAnsi="Arial" w:cs="Arial"/>
        </w:rPr>
        <w:t xml:space="preserve">providing further examples and guidance, especially on areas such as trust distributions and TRF. The group discussed whether HMRC educational letters should also be sent to represented </w:t>
      </w:r>
      <w:r w:rsidR="00336FE1">
        <w:rPr>
          <w:rFonts w:ascii="Arial" w:hAnsi="Arial" w:cs="Arial"/>
        </w:rPr>
        <w:t>customers</w:t>
      </w:r>
      <w:r w:rsidRPr="00034810">
        <w:rPr>
          <w:rFonts w:ascii="Arial" w:hAnsi="Arial" w:cs="Arial"/>
        </w:rPr>
        <w:t>. There was consensus that this would be helpful, as communication from HMRC can reinforce the importance of changes and support agents in advising their clients.</w:t>
      </w:r>
    </w:p>
    <w:p w14:paraId="402E3BC0" w14:textId="3A688DE9" w:rsidR="009001F5" w:rsidRPr="004D55EE" w:rsidRDefault="009001F5">
      <w:pPr>
        <w:pStyle w:val="Heading1"/>
        <w:rPr>
          <w:rFonts w:ascii="Arial" w:eastAsiaTheme="minorEastAsia" w:hAnsi="Arial" w:cs="Arial"/>
          <w:b/>
          <w:bCs/>
          <w:color w:val="auto"/>
          <w:sz w:val="24"/>
          <w:szCs w:val="24"/>
          <w:lang w:val="en-GB"/>
        </w:rPr>
      </w:pPr>
      <w:r w:rsidRPr="004D55EE">
        <w:rPr>
          <w:rFonts w:ascii="Arial" w:eastAsiaTheme="minorEastAsia" w:hAnsi="Arial" w:cs="Arial"/>
          <w:b/>
          <w:bCs/>
          <w:color w:val="auto"/>
          <w:sz w:val="24"/>
          <w:szCs w:val="24"/>
          <w:lang w:val="en-GB"/>
        </w:rPr>
        <w:t>Actions and Next Steps</w:t>
      </w:r>
    </w:p>
    <w:p w14:paraId="7F9B5D22" w14:textId="34CF43FB" w:rsidR="00471FC2" w:rsidRDefault="00471FC2">
      <w:pPr>
        <w:rPr>
          <w:rFonts w:ascii="Arial" w:hAnsi="Arial" w:cs="Arial"/>
        </w:rPr>
      </w:pPr>
      <w:r w:rsidRPr="2E82AB4C">
        <w:rPr>
          <w:rFonts w:ascii="Arial" w:hAnsi="Arial" w:cs="Arial"/>
        </w:rPr>
        <w:t xml:space="preserve">HMRC to give new member access to </w:t>
      </w:r>
      <w:r w:rsidR="112B2852" w:rsidRPr="2E82AB4C">
        <w:rPr>
          <w:rFonts w:ascii="Arial" w:hAnsi="Arial" w:cs="Arial"/>
        </w:rPr>
        <w:t>SharePoint</w:t>
      </w:r>
      <w:r w:rsidRPr="2E82AB4C">
        <w:rPr>
          <w:rFonts w:ascii="Arial" w:hAnsi="Arial" w:cs="Arial"/>
        </w:rPr>
        <w:t xml:space="preserve"> site.</w:t>
      </w:r>
    </w:p>
    <w:p w14:paraId="48B70DEA" w14:textId="0650E587" w:rsidR="009001F5" w:rsidRPr="00034810" w:rsidRDefault="00471FC2">
      <w:pPr>
        <w:rPr>
          <w:rFonts w:ascii="Arial" w:hAnsi="Arial" w:cs="Arial"/>
        </w:rPr>
      </w:pPr>
      <w:r>
        <w:rPr>
          <w:rFonts w:ascii="Arial" w:hAnsi="Arial" w:cs="Arial"/>
        </w:rPr>
        <w:t>H</w:t>
      </w:r>
      <w:r w:rsidR="009001F5" w:rsidRPr="00034810">
        <w:rPr>
          <w:rFonts w:ascii="Arial" w:hAnsi="Arial" w:cs="Arial"/>
        </w:rPr>
        <w:t>MRC to circulate a consolidated list of queries and their status (addressed by legislation, guidance, or outstanding).</w:t>
      </w:r>
    </w:p>
    <w:p w14:paraId="319DA9B1" w14:textId="494D4449" w:rsidR="009001F5" w:rsidRDefault="009001F5">
      <w:pPr>
        <w:rPr>
          <w:rFonts w:ascii="Arial" w:hAnsi="Arial" w:cs="Arial"/>
        </w:rPr>
      </w:pPr>
      <w:r w:rsidRPr="4D831B06">
        <w:rPr>
          <w:rFonts w:ascii="Arial" w:hAnsi="Arial" w:cs="Arial"/>
        </w:rPr>
        <w:t>HMRC</w:t>
      </w:r>
      <w:r w:rsidR="7D064875" w:rsidRPr="4D831B06">
        <w:rPr>
          <w:rFonts w:ascii="Arial" w:hAnsi="Arial" w:cs="Arial"/>
        </w:rPr>
        <w:t xml:space="preserve"> to</w:t>
      </w:r>
      <w:r w:rsidRPr="4D831B06">
        <w:rPr>
          <w:rFonts w:ascii="Arial" w:hAnsi="Arial" w:cs="Arial"/>
        </w:rPr>
        <w:t xml:space="preserve"> </w:t>
      </w:r>
      <w:r w:rsidR="1F398221" w:rsidRPr="4D831B06">
        <w:rPr>
          <w:rFonts w:ascii="Arial" w:hAnsi="Arial" w:cs="Arial"/>
        </w:rPr>
        <w:t>consider</w:t>
      </w:r>
      <w:r w:rsidRPr="4D831B06">
        <w:rPr>
          <w:rFonts w:ascii="Arial" w:hAnsi="Arial" w:cs="Arial"/>
        </w:rPr>
        <w:t xml:space="preserve"> sharing draft </w:t>
      </w:r>
      <w:r w:rsidR="00D70ED8">
        <w:rPr>
          <w:rFonts w:ascii="Arial" w:hAnsi="Arial" w:cs="Arial"/>
        </w:rPr>
        <w:t xml:space="preserve">SA </w:t>
      </w:r>
      <w:r w:rsidRPr="4D831B06">
        <w:rPr>
          <w:rFonts w:ascii="Arial" w:hAnsi="Arial" w:cs="Arial"/>
        </w:rPr>
        <w:t>forms with stakeholders.</w:t>
      </w:r>
    </w:p>
    <w:p w14:paraId="0883C36C" w14:textId="4099BC09" w:rsidR="009001F5" w:rsidRPr="00C50D2F" w:rsidRDefault="009001F5">
      <w:pPr>
        <w:rPr>
          <w:rFonts w:ascii="Arial" w:hAnsi="Arial" w:cs="Arial"/>
        </w:rPr>
      </w:pPr>
      <w:r w:rsidRPr="00C50D2F">
        <w:rPr>
          <w:rFonts w:ascii="Arial" w:hAnsi="Arial" w:cs="Arial"/>
        </w:rPr>
        <w:t xml:space="preserve">Attendees to provide written examples or queries to HMRC </w:t>
      </w:r>
      <w:r w:rsidR="00E57A59">
        <w:rPr>
          <w:rFonts w:ascii="Arial" w:hAnsi="Arial" w:cs="Arial"/>
        </w:rPr>
        <w:t xml:space="preserve">on published legislation </w:t>
      </w:r>
      <w:r w:rsidRPr="00C50D2F">
        <w:rPr>
          <w:rFonts w:ascii="Arial" w:hAnsi="Arial" w:cs="Arial"/>
        </w:rPr>
        <w:t>for further clarification.</w:t>
      </w:r>
    </w:p>
    <w:p w14:paraId="41ECAABA" w14:textId="00FA817F" w:rsidR="009001F5" w:rsidRPr="00C50D2F" w:rsidRDefault="009001F5">
      <w:pPr>
        <w:spacing w:line="300" w:lineRule="atLeast"/>
        <w:rPr>
          <w:rFonts w:ascii="Arial" w:hAnsi="Arial" w:cs="Arial"/>
          <w:lang w:val="en-GB"/>
        </w:rPr>
      </w:pPr>
      <w:r w:rsidRPr="00C50D2F">
        <w:rPr>
          <w:rFonts w:ascii="Arial" w:hAnsi="Arial" w:cs="Arial"/>
        </w:rPr>
        <w:t xml:space="preserve">Attendees </w:t>
      </w:r>
      <w:r w:rsidR="7525DB4C" w:rsidRPr="00C50D2F">
        <w:rPr>
          <w:rFonts w:ascii="Arial" w:hAnsi="Arial" w:cs="Arial"/>
        </w:rPr>
        <w:t>to provide further legislative</w:t>
      </w:r>
      <w:r w:rsidR="00DC13E3" w:rsidRPr="00C50D2F">
        <w:rPr>
          <w:rFonts w:ascii="Arial" w:hAnsi="Arial" w:cs="Arial"/>
        </w:rPr>
        <w:t xml:space="preserve"> </w:t>
      </w:r>
      <w:r w:rsidRPr="002C5CC6">
        <w:rPr>
          <w:rFonts w:ascii="Arial" w:eastAsia="Times New Roman" w:hAnsi="Arial" w:cs="Arial"/>
          <w:kern w:val="0"/>
          <w:lang w:val="en-GB" w:eastAsia="en-GB"/>
          <w14:ligatures w14:val="none"/>
        </w:rPr>
        <w:t xml:space="preserve">feedback </w:t>
      </w:r>
      <w:r w:rsidR="58360FF3" w:rsidRPr="002C5CC6">
        <w:rPr>
          <w:rFonts w:ascii="Arial" w:eastAsia="Times New Roman" w:hAnsi="Arial" w:cs="Arial"/>
          <w:kern w:val="0"/>
          <w:lang w:val="en-GB" w:eastAsia="en-GB"/>
          <w14:ligatures w14:val="none"/>
        </w:rPr>
        <w:t>to HMRC</w:t>
      </w:r>
      <w:r w:rsidR="00471FC2">
        <w:rPr>
          <w:rFonts w:ascii="Arial" w:eastAsia="Times New Roman" w:hAnsi="Arial" w:cs="Arial"/>
          <w:kern w:val="0"/>
          <w:lang w:val="en-GB" w:eastAsia="en-GB"/>
          <w14:ligatures w14:val="none"/>
        </w:rPr>
        <w:t>. This will</w:t>
      </w:r>
      <w:r w:rsidRPr="00C50D2F">
        <w:rPr>
          <w:rFonts w:ascii="Arial" w:eastAsia="Times New Roman" w:hAnsi="Arial" w:cs="Arial"/>
          <w:kern w:val="0"/>
          <w:lang w:val="en-GB" w:eastAsia="en-GB"/>
          <w14:ligatures w14:val="none"/>
        </w:rPr>
        <w:t xml:space="preserve"> help</w:t>
      </w:r>
      <w:r w:rsidR="00471FC2">
        <w:rPr>
          <w:rFonts w:ascii="Arial" w:eastAsia="Times New Roman" w:hAnsi="Arial" w:cs="Arial"/>
          <w:kern w:val="0"/>
          <w:lang w:val="en-GB" w:eastAsia="en-GB"/>
          <w14:ligatures w14:val="none"/>
        </w:rPr>
        <w:t xml:space="preserve"> HMRC</w:t>
      </w:r>
      <w:r w:rsidRPr="00C50D2F">
        <w:rPr>
          <w:rFonts w:ascii="Arial" w:eastAsia="Times New Roman" w:hAnsi="Arial" w:cs="Arial"/>
          <w:kern w:val="0"/>
          <w:lang w:val="en-GB" w:eastAsia="en-GB"/>
          <w14:ligatures w14:val="none"/>
        </w:rPr>
        <w:t xml:space="preserve"> review points promptly</w:t>
      </w:r>
      <w:r w:rsidR="00EE22C4">
        <w:rPr>
          <w:rFonts w:ascii="Arial" w:eastAsia="Times New Roman" w:hAnsi="Arial" w:cs="Arial"/>
          <w:kern w:val="0"/>
          <w:lang w:val="en-GB" w:eastAsia="en-GB"/>
          <w14:ligatures w14:val="none"/>
        </w:rPr>
        <w:t xml:space="preserve"> although</w:t>
      </w:r>
      <w:r w:rsidRPr="00C50D2F">
        <w:rPr>
          <w:rFonts w:ascii="Arial" w:eastAsia="Times New Roman" w:hAnsi="Arial" w:cs="Arial"/>
          <w:kern w:val="0"/>
          <w:lang w:val="en-GB" w:eastAsia="en-GB"/>
          <w14:ligatures w14:val="none"/>
        </w:rPr>
        <w:t xml:space="preserve"> </w:t>
      </w:r>
      <w:r w:rsidR="00EE22C4">
        <w:rPr>
          <w:rFonts w:ascii="Arial" w:eastAsia="Times New Roman" w:hAnsi="Arial" w:cs="Arial"/>
          <w:kern w:val="0"/>
          <w:lang w:val="en-GB" w:eastAsia="en-GB"/>
          <w14:ligatures w14:val="none"/>
        </w:rPr>
        <w:t>s</w:t>
      </w:r>
      <w:r w:rsidRPr="00C50D2F">
        <w:rPr>
          <w:rFonts w:ascii="Arial" w:eastAsia="Times New Roman" w:hAnsi="Arial" w:cs="Arial"/>
          <w:kern w:val="0"/>
          <w:lang w:val="en-GB" w:eastAsia="en-GB"/>
          <w14:ligatures w14:val="none"/>
        </w:rPr>
        <w:t xml:space="preserve">haring is optional and should align with each organisation’s protocols. </w:t>
      </w:r>
    </w:p>
    <w:p w14:paraId="2F5E66A8" w14:textId="100855F1" w:rsidR="009001F5" w:rsidRPr="00034810" w:rsidRDefault="00DC13E3">
      <w:pPr>
        <w:rPr>
          <w:rFonts w:ascii="Arial" w:hAnsi="Arial" w:cs="Arial"/>
        </w:rPr>
      </w:pPr>
      <w:r>
        <w:rPr>
          <w:rFonts w:ascii="Arial" w:hAnsi="Arial" w:cs="Arial"/>
        </w:rPr>
        <w:t>Agreement that the n</w:t>
      </w:r>
      <w:r w:rsidR="009001F5" w:rsidRPr="00034810">
        <w:rPr>
          <w:rFonts w:ascii="Arial" w:hAnsi="Arial" w:cs="Arial"/>
        </w:rPr>
        <w:t>ext meeting to be scheduled for February, avoiding the January filing season.</w:t>
      </w:r>
    </w:p>
    <w:p w14:paraId="539500A4" w14:textId="6296CD01" w:rsidR="009001F5" w:rsidRPr="004D55EE" w:rsidRDefault="009001F5">
      <w:pPr>
        <w:pStyle w:val="Heading1"/>
        <w:rPr>
          <w:rFonts w:ascii="Arial" w:eastAsiaTheme="minorEastAsia" w:hAnsi="Arial" w:cs="Arial"/>
          <w:b/>
          <w:bCs/>
          <w:color w:val="auto"/>
          <w:sz w:val="24"/>
          <w:szCs w:val="24"/>
          <w:lang w:val="en-GB"/>
        </w:rPr>
      </w:pPr>
      <w:r w:rsidRPr="004D55EE">
        <w:rPr>
          <w:rFonts w:ascii="Arial" w:eastAsiaTheme="minorEastAsia" w:hAnsi="Arial" w:cs="Arial"/>
          <w:b/>
          <w:bCs/>
          <w:color w:val="auto"/>
          <w:sz w:val="24"/>
          <w:szCs w:val="24"/>
          <w:lang w:val="en-GB"/>
        </w:rPr>
        <w:t>Any Other Business</w:t>
      </w:r>
    </w:p>
    <w:p w14:paraId="1646639B" w14:textId="77777777" w:rsidR="009001F5" w:rsidRPr="00034810" w:rsidRDefault="009001F5">
      <w:pPr>
        <w:rPr>
          <w:rFonts w:ascii="Arial" w:hAnsi="Arial" w:cs="Arial"/>
        </w:rPr>
      </w:pPr>
      <w:r w:rsidRPr="00034810">
        <w:rPr>
          <w:rFonts w:ascii="Arial" w:hAnsi="Arial" w:cs="Arial"/>
        </w:rPr>
        <w:t>The group discussed the value of HMRC communications to both represented and unrepresented taxpayers. No further business was raised.</w:t>
      </w:r>
    </w:p>
    <w:p w14:paraId="2567E47D" w14:textId="01530FA1" w:rsidR="009001F5" w:rsidRPr="004D55EE" w:rsidRDefault="009001F5">
      <w:pPr>
        <w:pStyle w:val="Heading1"/>
        <w:rPr>
          <w:rFonts w:ascii="Arial" w:eastAsiaTheme="minorEastAsia" w:hAnsi="Arial" w:cs="Arial"/>
          <w:b/>
          <w:bCs/>
          <w:color w:val="auto"/>
          <w:sz w:val="24"/>
          <w:szCs w:val="24"/>
          <w:lang w:val="en-GB"/>
        </w:rPr>
      </w:pPr>
      <w:r w:rsidRPr="004D55EE">
        <w:rPr>
          <w:rFonts w:ascii="Arial" w:eastAsiaTheme="minorEastAsia" w:hAnsi="Arial" w:cs="Arial"/>
          <w:b/>
          <w:bCs/>
          <w:color w:val="auto"/>
          <w:sz w:val="24"/>
          <w:szCs w:val="24"/>
          <w:lang w:val="en-GB"/>
        </w:rPr>
        <w:t>Close</w:t>
      </w:r>
    </w:p>
    <w:p w14:paraId="1DB54536" w14:textId="77777777" w:rsidR="009001F5" w:rsidRPr="00034810" w:rsidRDefault="009001F5">
      <w:pPr>
        <w:rPr>
          <w:rFonts w:ascii="Arial" w:hAnsi="Arial" w:cs="Arial"/>
        </w:rPr>
      </w:pPr>
      <w:r w:rsidRPr="2E82AB4C">
        <w:rPr>
          <w:rFonts w:ascii="Arial" w:hAnsi="Arial" w:cs="Arial"/>
        </w:rPr>
        <w:t>The meeting was closed with thanks to all participants. Draft minutes will be circulated within 28 days.</w:t>
      </w:r>
    </w:p>
    <w:p w14:paraId="4E2CEC21" w14:textId="77777777" w:rsidR="009001F5" w:rsidRPr="00034810" w:rsidRDefault="009001F5">
      <w:pPr>
        <w:rPr>
          <w:rFonts w:ascii="Arial" w:hAnsi="Arial" w:cs="Arial"/>
        </w:rPr>
      </w:pPr>
      <w:r w:rsidRPr="00034810">
        <w:rPr>
          <w:rFonts w:ascii="Arial" w:hAnsi="Arial" w:cs="Arial"/>
        </w:rPr>
        <w:t>Prepared by: Sub-Group Secretary</w:t>
      </w:r>
    </w:p>
    <w:p w14:paraId="2C6B7AB7" w14:textId="77777777" w:rsidR="009001F5" w:rsidRDefault="009001F5">
      <w:r w:rsidRPr="00034810">
        <w:rPr>
          <w:rFonts w:ascii="Arial" w:hAnsi="Arial" w:cs="Arial"/>
        </w:rPr>
        <w:t>Date: 16 December</w:t>
      </w:r>
      <w:r>
        <w:t xml:space="preserve"> 2025</w:t>
      </w:r>
    </w:p>
    <w:sectPr w:rsidR="009001F5">
      <w:footerReference w:type="even"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68BBB" w14:textId="77777777" w:rsidR="00CB7FFB" w:rsidRDefault="00CB7FFB" w:rsidP="009001F5">
      <w:pPr>
        <w:spacing w:after="0" w:line="240" w:lineRule="auto"/>
      </w:pPr>
      <w:r>
        <w:separator/>
      </w:r>
    </w:p>
  </w:endnote>
  <w:endnote w:type="continuationSeparator" w:id="0">
    <w:p w14:paraId="6DA1D754" w14:textId="77777777" w:rsidR="00CB7FFB" w:rsidRDefault="00CB7FFB" w:rsidP="00900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CBE7" w14:textId="0C43A65F" w:rsidR="009001F5" w:rsidRDefault="009001F5">
    <w:pPr>
      <w:pStyle w:val="Footer"/>
    </w:pPr>
    <w:r>
      <w:rPr>
        <w:noProof/>
      </w:rPr>
      <mc:AlternateContent>
        <mc:Choice Requires="wps">
          <w:drawing>
            <wp:anchor distT="0" distB="0" distL="0" distR="0" simplePos="0" relativeHeight="251658241" behindDoc="0" locked="0" layoutInCell="1" allowOverlap="1" wp14:anchorId="1A52537F" wp14:editId="54FEA75E">
              <wp:simplePos x="635" y="635"/>
              <wp:positionH relativeFrom="page">
                <wp:align>center</wp:align>
              </wp:positionH>
              <wp:positionV relativeFrom="page">
                <wp:align>bottom</wp:align>
              </wp:positionV>
              <wp:extent cx="518795" cy="370205"/>
              <wp:effectExtent l="0" t="0" r="14605" b="0"/>
              <wp:wrapNone/>
              <wp:docPr id="1656711415"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404B03BC" w14:textId="18DB2827" w:rsidR="009001F5" w:rsidRPr="009001F5" w:rsidRDefault="009001F5" w:rsidP="009001F5">
                          <w:pPr>
                            <w:spacing w:after="0"/>
                            <w:rPr>
                              <w:rFonts w:ascii="Aptos" w:eastAsia="Aptos" w:hAnsi="Aptos" w:cs="Aptos"/>
                              <w:noProof/>
                              <w:color w:val="000000"/>
                              <w:sz w:val="20"/>
                              <w:szCs w:val="20"/>
                            </w:rPr>
                          </w:pPr>
                          <w:r w:rsidRPr="009001F5">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52537F"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KOCgIAABUEAAAOAAAAZHJzL2Uyb0RvYy54bWysU8Fu2zAMvQ/YPwi6L3YyZG2NOEXWIsOA&#10;oC2QDj0rshQbkERBUmJnXz9KtpOu7WnYRaZJ6pF8fFrcdlqRo3C+AVPS6SSnRBgOVWP2Jf31vP5y&#10;TYkPzFRMgRElPQlPb5efPy1aW4gZ1KAq4QiCGF+0tqR1CLbIMs9roZmfgBUGgxKcZgF/3T6rHGsR&#10;XatsluffshZcZR1w4T167/sgXSZ8KQUPj1J6EYgqKfYW0unSuYtntlywYu+YrRs+tMH+oQvNGoNF&#10;z1D3LDBycM07KN1wBx5kmHDQGUjZcJFmwGmm+ZtptjWzIs2C5Hh7psn/P1j+cNzaJ0dC9x06XGAk&#10;pLW+8OiM83TS6fjFTgnGkcLTmTbRBcLROZ9eX93MKeEY+nqVz/J5RMkul63z4YcATaJRUodbSWSx&#10;48aHPnVMibUMrBul0maU+cuBmNGTXTqMVuh23dD2DqoTTuOgX7S3fN1gzQ3z4Yk53CwOgGoNj3hI&#10;BW1JYbAoqcH9/sgf85FwjFLSolJKalDKlKifBhcRRTUabjR2yZje5PMc4+ag7wD1N8WnYHky0euC&#10;Gk3pQL+gjlexEIaY4ViupLvRvAu9ZPEdcLFapSTUj2VhY7aWR+jIUyTxuXthzg5MB1zRA4wyYsUb&#10;wvvceNPb1SEg7WkbkdOeyIFq1F7a5/BOorhf/6esy2te/gEAAP//AwBQSwMEFAAGAAgAAAAhAHg5&#10;dNfaAAAAAwEAAA8AAABkcnMvZG93bnJldi54bWxMj8FqwkAQhu+FvsMyhd7qRkNtSLORIvSkFNRe&#10;elt3xyRtdjZkNxrf3tGLvQwM/8833xSL0bXiiH1oPCmYThIQSMbbhioF37vPlwxEiJqsbj2hgjMG&#10;WJSPD4XOrT/RBo/bWAmGUMi1gjrGLpcymBqdDhPfIXF28L3Tkde+krbXJ4a7Vs6SZC6dbogv1LrD&#10;ZY3mbzs4Ba+buB6+aJf+jLPz76pbmvSwMko9P40f7yAijvFehqs+q0PJTns/kA2iVcCPxNvkLJu+&#10;gdgzN0tBloX8715eAAAA//8DAFBLAQItABQABgAIAAAAIQC2gziS/gAAAOEBAAATAAAAAAAAAAAA&#10;AAAAAAAAAABbQ29udGVudF9UeXBlc10ueG1sUEsBAi0AFAAGAAgAAAAhADj9If/WAAAAlAEAAAsA&#10;AAAAAAAAAAAAAAAALwEAAF9yZWxzLy5yZWxzUEsBAi0AFAAGAAgAAAAhAEKoIo4KAgAAFQQAAA4A&#10;AAAAAAAAAAAAAAAALgIAAGRycy9lMm9Eb2MueG1sUEsBAi0AFAAGAAgAAAAhAHg5dNfaAAAAAwEA&#10;AA8AAAAAAAAAAAAAAAAAZAQAAGRycy9kb3ducmV2LnhtbFBLBQYAAAAABAAEAPMAAABrBQAAAAA=&#10;" filled="f" stroked="f">
              <v:textbox style="mso-fit-shape-to-text:t" inset="0,0,0,15pt">
                <w:txbxContent>
                  <w:p w14:paraId="404B03BC" w14:textId="18DB2827" w:rsidR="009001F5" w:rsidRPr="009001F5" w:rsidRDefault="009001F5" w:rsidP="009001F5">
                    <w:pPr>
                      <w:spacing w:after="0"/>
                      <w:rPr>
                        <w:rFonts w:ascii="Aptos" w:eastAsia="Aptos" w:hAnsi="Aptos" w:cs="Aptos"/>
                        <w:noProof/>
                        <w:color w:val="000000"/>
                        <w:sz w:val="20"/>
                        <w:szCs w:val="20"/>
                      </w:rPr>
                    </w:pPr>
                    <w:r w:rsidRPr="009001F5">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DB6CB" w14:textId="35763151" w:rsidR="009001F5" w:rsidRDefault="009001F5">
    <w:pPr>
      <w:pStyle w:val="Footer"/>
    </w:pPr>
    <w:r>
      <w:rPr>
        <w:noProof/>
      </w:rPr>
      <mc:AlternateContent>
        <mc:Choice Requires="wps">
          <w:drawing>
            <wp:anchor distT="0" distB="0" distL="0" distR="0" simplePos="0" relativeHeight="251658240" behindDoc="0" locked="0" layoutInCell="1" allowOverlap="1" wp14:anchorId="124EBBCF" wp14:editId="4AB172B2">
              <wp:simplePos x="635" y="635"/>
              <wp:positionH relativeFrom="page">
                <wp:align>center</wp:align>
              </wp:positionH>
              <wp:positionV relativeFrom="page">
                <wp:align>bottom</wp:align>
              </wp:positionV>
              <wp:extent cx="518795" cy="370205"/>
              <wp:effectExtent l="0" t="0" r="14605" b="0"/>
              <wp:wrapNone/>
              <wp:docPr id="836041458"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293FD7CC" w14:textId="11466E13" w:rsidR="009001F5" w:rsidRPr="009001F5" w:rsidRDefault="009001F5" w:rsidP="009001F5">
                          <w:pPr>
                            <w:spacing w:after="0"/>
                            <w:rPr>
                              <w:rFonts w:ascii="Aptos" w:eastAsia="Aptos" w:hAnsi="Aptos" w:cs="Aptos"/>
                              <w:noProof/>
                              <w:color w:val="000000"/>
                              <w:sz w:val="20"/>
                              <w:szCs w:val="20"/>
                            </w:rPr>
                          </w:pPr>
                          <w:r w:rsidRPr="009001F5">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4EBBCF" id="_x0000_t202" coordsize="21600,21600" o:spt="202" path="m,l,21600r21600,l21600,xe">
              <v:stroke joinstyle="miter"/>
              <v:path gradientshapeok="t" o:connecttype="rect"/>
            </v:shapetype>
            <v:shape id="Text Box 1" o:spid="_x0000_s1027"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wDQ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XVm+53UJ1oKIRh397JdUOlN8KHJ4G0YJqDRBse&#10;6dAGupLD2eKsBvz5N3/MJ94pyllHgim5JUVzZr5b2kfU1mjgaOySMb3J5znF7aG9A5LhlF6Ek8kk&#10;LwYzmhqhfSE5r2IhCgkrqVzJd6N5Fwbl0nOQarVKSSQjJ8LGbp2M0JGuyOVz/yLQnQkPtKkHGNUk&#10;ine8D7nxpnerQyD201IitQORZ8ZJgmmt5+cSNf72P2VdHvXyFwAAAP//AwBQSwMEFAAGAAgAAAAh&#10;AHg5dNfaAAAAAwEAAA8AAABkcnMvZG93bnJldi54bWxMj8FqwkAQhu+FvsMyhd7qRkNtSLORIvSk&#10;FNReelt3xyRtdjZkNxrf3tGLvQwM/8833xSL0bXiiH1oPCmYThIQSMbbhioF37vPlwxEiJqsbj2h&#10;gjMGWJSPD4XOrT/RBo/bWAmGUMi1gjrGLpcymBqdDhPfIXF28L3Tkde+krbXJ4a7Vs6SZC6dbogv&#10;1LrDZY3mbzs4Ba+buB6+aJf+jLPz76pbmvSwMko9P40f7yAijvFehqs+q0PJTns/kA2iVcCPxNvk&#10;LJu+gdgzN0tBloX8715eAAAA//8DAFBLAQItABQABgAIAAAAIQC2gziS/gAAAOEBAAATAAAAAAAA&#10;AAAAAAAAAAAAAABbQ29udGVudF9UeXBlc10ueG1sUEsBAi0AFAAGAAgAAAAhADj9If/WAAAAlAEA&#10;AAsAAAAAAAAAAAAAAAAALwEAAF9yZWxzLy5yZWxzUEsBAi0AFAAGAAgAAAAhABDQBvANAgAAHAQA&#10;AA4AAAAAAAAAAAAAAAAALgIAAGRycy9lMm9Eb2MueG1sUEsBAi0AFAAGAAgAAAAhAHg5dNfaAAAA&#10;AwEAAA8AAAAAAAAAAAAAAAAAZwQAAGRycy9kb3ducmV2LnhtbFBLBQYAAAAABAAEAPMAAABuBQAA&#10;AAA=&#10;" filled="f" stroked="f">
              <v:textbox style="mso-fit-shape-to-text:t" inset="0,0,0,15pt">
                <w:txbxContent>
                  <w:p w14:paraId="293FD7CC" w14:textId="11466E13" w:rsidR="009001F5" w:rsidRPr="009001F5" w:rsidRDefault="009001F5" w:rsidP="009001F5">
                    <w:pPr>
                      <w:spacing w:after="0"/>
                      <w:rPr>
                        <w:rFonts w:ascii="Aptos" w:eastAsia="Aptos" w:hAnsi="Aptos" w:cs="Aptos"/>
                        <w:noProof/>
                        <w:color w:val="000000"/>
                        <w:sz w:val="20"/>
                        <w:szCs w:val="20"/>
                      </w:rPr>
                    </w:pPr>
                    <w:r w:rsidRPr="009001F5">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851F0" w14:textId="77777777" w:rsidR="00CB7FFB" w:rsidRDefault="00CB7FFB" w:rsidP="009001F5">
      <w:pPr>
        <w:spacing w:after="0" w:line="240" w:lineRule="auto"/>
      </w:pPr>
      <w:r>
        <w:separator/>
      </w:r>
    </w:p>
  </w:footnote>
  <w:footnote w:type="continuationSeparator" w:id="0">
    <w:p w14:paraId="25CAF75B" w14:textId="77777777" w:rsidR="00CB7FFB" w:rsidRDefault="00CB7FFB" w:rsidP="009001F5">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2hVBUMFLrgQ/d9" int2:id="DxSL6Ner">
      <int2:state int2:value="Rejected" int2:type="spell"/>
    </int2:textHash>
    <int2:textHash int2:hashCode="FNbcWndPAgD0Tx" int2:id="SLiKho1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E67C9"/>
    <w:multiLevelType w:val="multilevel"/>
    <w:tmpl w:val="93827E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17B6E43"/>
    <w:multiLevelType w:val="multilevel"/>
    <w:tmpl w:val="B31601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17D423E"/>
    <w:multiLevelType w:val="multilevel"/>
    <w:tmpl w:val="F5EE5B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515C181"/>
    <w:multiLevelType w:val="hybridMultilevel"/>
    <w:tmpl w:val="CC766F84"/>
    <w:lvl w:ilvl="0" w:tplc="A336D5B8">
      <w:start w:val="1"/>
      <w:numFmt w:val="bullet"/>
      <w:lvlText w:val=""/>
      <w:lvlJc w:val="left"/>
      <w:pPr>
        <w:ind w:left="720" w:hanging="360"/>
      </w:pPr>
      <w:rPr>
        <w:rFonts w:ascii="Symbol" w:hAnsi="Symbol" w:hint="default"/>
      </w:rPr>
    </w:lvl>
    <w:lvl w:ilvl="1" w:tplc="9B045DD4">
      <w:start w:val="1"/>
      <w:numFmt w:val="bullet"/>
      <w:lvlText w:val="o"/>
      <w:lvlJc w:val="left"/>
      <w:pPr>
        <w:ind w:left="1440" w:hanging="360"/>
      </w:pPr>
      <w:rPr>
        <w:rFonts w:ascii="Courier New" w:hAnsi="Courier New" w:hint="default"/>
      </w:rPr>
    </w:lvl>
    <w:lvl w:ilvl="2" w:tplc="060EBA0E">
      <w:start w:val="1"/>
      <w:numFmt w:val="bullet"/>
      <w:lvlText w:val=""/>
      <w:lvlJc w:val="left"/>
      <w:pPr>
        <w:ind w:left="2160" w:hanging="360"/>
      </w:pPr>
      <w:rPr>
        <w:rFonts w:ascii="Wingdings" w:hAnsi="Wingdings" w:hint="default"/>
      </w:rPr>
    </w:lvl>
    <w:lvl w:ilvl="3" w:tplc="2B748118">
      <w:start w:val="1"/>
      <w:numFmt w:val="bullet"/>
      <w:lvlText w:val=""/>
      <w:lvlJc w:val="left"/>
      <w:pPr>
        <w:ind w:left="2880" w:hanging="360"/>
      </w:pPr>
      <w:rPr>
        <w:rFonts w:ascii="Symbol" w:hAnsi="Symbol" w:hint="default"/>
      </w:rPr>
    </w:lvl>
    <w:lvl w:ilvl="4" w:tplc="DA3834CE">
      <w:start w:val="1"/>
      <w:numFmt w:val="bullet"/>
      <w:lvlText w:val="o"/>
      <w:lvlJc w:val="left"/>
      <w:pPr>
        <w:ind w:left="3600" w:hanging="360"/>
      </w:pPr>
      <w:rPr>
        <w:rFonts w:ascii="Courier New" w:hAnsi="Courier New" w:hint="default"/>
      </w:rPr>
    </w:lvl>
    <w:lvl w:ilvl="5" w:tplc="122ED0E2">
      <w:start w:val="1"/>
      <w:numFmt w:val="bullet"/>
      <w:lvlText w:val=""/>
      <w:lvlJc w:val="left"/>
      <w:pPr>
        <w:ind w:left="4320" w:hanging="360"/>
      </w:pPr>
      <w:rPr>
        <w:rFonts w:ascii="Wingdings" w:hAnsi="Wingdings" w:hint="default"/>
      </w:rPr>
    </w:lvl>
    <w:lvl w:ilvl="6" w:tplc="11F2EE52">
      <w:start w:val="1"/>
      <w:numFmt w:val="bullet"/>
      <w:lvlText w:val=""/>
      <w:lvlJc w:val="left"/>
      <w:pPr>
        <w:ind w:left="5040" w:hanging="360"/>
      </w:pPr>
      <w:rPr>
        <w:rFonts w:ascii="Symbol" w:hAnsi="Symbol" w:hint="default"/>
      </w:rPr>
    </w:lvl>
    <w:lvl w:ilvl="7" w:tplc="5224C554">
      <w:start w:val="1"/>
      <w:numFmt w:val="bullet"/>
      <w:lvlText w:val="o"/>
      <w:lvlJc w:val="left"/>
      <w:pPr>
        <w:ind w:left="5760" w:hanging="360"/>
      </w:pPr>
      <w:rPr>
        <w:rFonts w:ascii="Courier New" w:hAnsi="Courier New" w:hint="default"/>
      </w:rPr>
    </w:lvl>
    <w:lvl w:ilvl="8" w:tplc="A278446E">
      <w:start w:val="1"/>
      <w:numFmt w:val="bullet"/>
      <w:lvlText w:val=""/>
      <w:lvlJc w:val="left"/>
      <w:pPr>
        <w:ind w:left="6480" w:hanging="360"/>
      </w:pPr>
      <w:rPr>
        <w:rFonts w:ascii="Wingdings" w:hAnsi="Wingdings" w:hint="default"/>
      </w:rPr>
    </w:lvl>
  </w:abstractNum>
  <w:abstractNum w:abstractNumId="14" w15:restartNumberingAfterBreak="0">
    <w:nsid w:val="0CE72ACD"/>
    <w:multiLevelType w:val="multilevel"/>
    <w:tmpl w:val="6958CB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F94971"/>
    <w:multiLevelType w:val="multilevel"/>
    <w:tmpl w:val="764EFB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66E39FD"/>
    <w:multiLevelType w:val="multilevel"/>
    <w:tmpl w:val="E31C6C6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A245EA"/>
    <w:multiLevelType w:val="multilevel"/>
    <w:tmpl w:val="DBF4CA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A8F59C0"/>
    <w:multiLevelType w:val="multilevel"/>
    <w:tmpl w:val="C1FA38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0561262"/>
    <w:multiLevelType w:val="multilevel"/>
    <w:tmpl w:val="F1B8C06E"/>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33A456EC"/>
    <w:multiLevelType w:val="multilevel"/>
    <w:tmpl w:val="B23C23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0A6E1B"/>
    <w:multiLevelType w:val="multilevel"/>
    <w:tmpl w:val="7DCA0A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CF5D26"/>
    <w:multiLevelType w:val="multilevel"/>
    <w:tmpl w:val="9F4CB2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6BD1163"/>
    <w:multiLevelType w:val="multilevel"/>
    <w:tmpl w:val="7D3499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6E7AC3"/>
    <w:multiLevelType w:val="multilevel"/>
    <w:tmpl w:val="E184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546349"/>
    <w:multiLevelType w:val="multilevel"/>
    <w:tmpl w:val="77487D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884FD5"/>
    <w:multiLevelType w:val="multilevel"/>
    <w:tmpl w:val="E4D8F05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C843EC"/>
    <w:multiLevelType w:val="multilevel"/>
    <w:tmpl w:val="D0168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835F66"/>
    <w:multiLevelType w:val="multilevel"/>
    <w:tmpl w:val="1262B8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EF142D"/>
    <w:multiLevelType w:val="multilevel"/>
    <w:tmpl w:val="504E4B84"/>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0" w15:restartNumberingAfterBreak="0">
    <w:nsid w:val="5FC37767"/>
    <w:multiLevelType w:val="multilevel"/>
    <w:tmpl w:val="1F0A0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5A5AF3"/>
    <w:multiLevelType w:val="multilevel"/>
    <w:tmpl w:val="DDDCC8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4C0A5D"/>
    <w:multiLevelType w:val="multilevel"/>
    <w:tmpl w:val="97AE5F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9F826AD"/>
    <w:multiLevelType w:val="multilevel"/>
    <w:tmpl w:val="EFCC2F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BBC4BE7"/>
    <w:multiLevelType w:val="multilevel"/>
    <w:tmpl w:val="59BA92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1367CFC"/>
    <w:multiLevelType w:val="multilevel"/>
    <w:tmpl w:val="2C4239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CCE465C"/>
    <w:multiLevelType w:val="multilevel"/>
    <w:tmpl w:val="DEE69752"/>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37" w15:restartNumberingAfterBreak="0">
    <w:nsid w:val="7F9B364E"/>
    <w:multiLevelType w:val="multilevel"/>
    <w:tmpl w:val="1088ABC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7403784">
    <w:abstractNumId w:val="13"/>
  </w:num>
  <w:num w:numId="2" w16cid:durableId="1567960367">
    <w:abstractNumId w:val="9"/>
  </w:num>
  <w:num w:numId="3" w16cid:durableId="966591539">
    <w:abstractNumId w:val="7"/>
  </w:num>
  <w:num w:numId="4" w16cid:durableId="1566836399">
    <w:abstractNumId w:val="6"/>
  </w:num>
  <w:num w:numId="5" w16cid:durableId="774254728">
    <w:abstractNumId w:val="5"/>
  </w:num>
  <w:num w:numId="6" w16cid:durableId="1690519602">
    <w:abstractNumId w:val="4"/>
  </w:num>
  <w:num w:numId="7" w16cid:durableId="1651517433">
    <w:abstractNumId w:val="8"/>
  </w:num>
  <w:num w:numId="8" w16cid:durableId="1993868796">
    <w:abstractNumId w:val="3"/>
  </w:num>
  <w:num w:numId="9" w16cid:durableId="1797212007">
    <w:abstractNumId w:val="2"/>
  </w:num>
  <w:num w:numId="10" w16cid:durableId="1976715822">
    <w:abstractNumId w:val="1"/>
  </w:num>
  <w:num w:numId="11" w16cid:durableId="355926133">
    <w:abstractNumId w:val="0"/>
  </w:num>
  <w:num w:numId="12" w16cid:durableId="745035196">
    <w:abstractNumId w:val="27"/>
  </w:num>
  <w:num w:numId="13" w16cid:durableId="99449007">
    <w:abstractNumId w:val="30"/>
  </w:num>
  <w:num w:numId="14" w16cid:durableId="1327051274">
    <w:abstractNumId w:val="20"/>
  </w:num>
  <w:num w:numId="15" w16cid:durableId="2036541941">
    <w:abstractNumId w:val="31"/>
  </w:num>
  <w:num w:numId="16" w16cid:durableId="1455102051">
    <w:abstractNumId w:val="25"/>
  </w:num>
  <w:num w:numId="17" w16cid:durableId="1308626773">
    <w:abstractNumId w:val="23"/>
  </w:num>
  <w:num w:numId="18" w16cid:durableId="639113193">
    <w:abstractNumId w:val="26"/>
  </w:num>
  <w:num w:numId="19" w16cid:durableId="1603142475">
    <w:abstractNumId w:val="11"/>
  </w:num>
  <w:num w:numId="20" w16cid:durableId="260646227">
    <w:abstractNumId w:val="14"/>
  </w:num>
  <w:num w:numId="21" w16cid:durableId="33652371">
    <w:abstractNumId w:val="15"/>
  </w:num>
  <w:num w:numId="22" w16cid:durableId="1802073002">
    <w:abstractNumId w:val="16"/>
  </w:num>
  <w:num w:numId="23" w16cid:durableId="1993363822">
    <w:abstractNumId w:val="37"/>
  </w:num>
  <w:num w:numId="24" w16cid:durableId="970549184">
    <w:abstractNumId w:val="21"/>
  </w:num>
  <w:num w:numId="25" w16cid:durableId="870455568">
    <w:abstractNumId w:val="17"/>
  </w:num>
  <w:num w:numId="26" w16cid:durableId="610822747">
    <w:abstractNumId w:val="18"/>
  </w:num>
  <w:num w:numId="27" w16cid:durableId="1659918781">
    <w:abstractNumId w:val="12"/>
  </w:num>
  <w:num w:numId="28" w16cid:durableId="1343168718">
    <w:abstractNumId w:val="33"/>
  </w:num>
  <w:num w:numId="29" w16cid:durableId="1578977710">
    <w:abstractNumId w:val="19"/>
  </w:num>
  <w:num w:numId="30" w16cid:durableId="447970481">
    <w:abstractNumId w:val="28"/>
  </w:num>
  <w:num w:numId="31" w16cid:durableId="913047906">
    <w:abstractNumId w:val="24"/>
  </w:num>
  <w:num w:numId="32" w16cid:durableId="1746225241">
    <w:abstractNumId w:val="10"/>
  </w:num>
  <w:num w:numId="33" w16cid:durableId="1016469330">
    <w:abstractNumId w:val="22"/>
  </w:num>
  <w:num w:numId="34" w16cid:durableId="158276075">
    <w:abstractNumId w:val="32"/>
  </w:num>
  <w:num w:numId="35" w16cid:durableId="1698239736">
    <w:abstractNumId w:val="35"/>
  </w:num>
  <w:num w:numId="36" w16cid:durableId="1185483960">
    <w:abstractNumId w:val="36"/>
  </w:num>
  <w:num w:numId="37" w16cid:durableId="1078284824">
    <w:abstractNumId w:val="34"/>
  </w:num>
  <w:num w:numId="38" w16cid:durableId="1257902479">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529F"/>
    <w:rsid w:val="00016461"/>
    <w:rsid w:val="00021B63"/>
    <w:rsid w:val="00037737"/>
    <w:rsid w:val="00040B2B"/>
    <w:rsid w:val="00052135"/>
    <w:rsid w:val="00056CE6"/>
    <w:rsid w:val="00061569"/>
    <w:rsid w:val="0007157D"/>
    <w:rsid w:val="00072CF7"/>
    <w:rsid w:val="00076F23"/>
    <w:rsid w:val="000B1749"/>
    <w:rsid w:val="000B47D2"/>
    <w:rsid w:val="000C31B8"/>
    <w:rsid w:val="000C469C"/>
    <w:rsid w:val="000E6E14"/>
    <w:rsid w:val="000F0417"/>
    <w:rsid w:val="001036FB"/>
    <w:rsid w:val="001134C8"/>
    <w:rsid w:val="00114230"/>
    <w:rsid w:val="00120C39"/>
    <w:rsid w:val="0012377F"/>
    <w:rsid w:val="00126E14"/>
    <w:rsid w:val="00166523"/>
    <w:rsid w:val="001705B3"/>
    <w:rsid w:val="00171D8C"/>
    <w:rsid w:val="00173F0B"/>
    <w:rsid w:val="001946AE"/>
    <w:rsid w:val="001B11B4"/>
    <w:rsid w:val="001BD6D9"/>
    <w:rsid w:val="001C391F"/>
    <w:rsid w:val="001D74C6"/>
    <w:rsid w:val="001F248C"/>
    <w:rsid w:val="001F40EA"/>
    <w:rsid w:val="00206383"/>
    <w:rsid w:val="00215600"/>
    <w:rsid w:val="0021639D"/>
    <w:rsid w:val="00223CF7"/>
    <w:rsid w:val="002339D6"/>
    <w:rsid w:val="00240B2A"/>
    <w:rsid w:val="00241360"/>
    <w:rsid w:val="0024358F"/>
    <w:rsid w:val="002521EE"/>
    <w:rsid w:val="00252724"/>
    <w:rsid w:val="0026350E"/>
    <w:rsid w:val="00266D59"/>
    <w:rsid w:val="00271357"/>
    <w:rsid w:val="002848AE"/>
    <w:rsid w:val="00291DC0"/>
    <w:rsid w:val="00293BB0"/>
    <w:rsid w:val="002A7A2C"/>
    <w:rsid w:val="002C07B7"/>
    <w:rsid w:val="002C72D1"/>
    <w:rsid w:val="002D6C6D"/>
    <w:rsid w:val="002E51AB"/>
    <w:rsid w:val="002E6174"/>
    <w:rsid w:val="00302A92"/>
    <w:rsid w:val="00307C0C"/>
    <w:rsid w:val="00311573"/>
    <w:rsid w:val="00314807"/>
    <w:rsid w:val="00324B44"/>
    <w:rsid w:val="003343CE"/>
    <w:rsid w:val="00336FE1"/>
    <w:rsid w:val="00343F7B"/>
    <w:rsid w:val="00344C52"/>
    <w:rsid w:val="003452A5"/>
    <w:rsid w:val="00362581"/>
    <w:rsid w:val="0036562D"/>
    <w:rsid w:val="00381606"/>
    <w:rsid w:val="003830FE"/>
    <w:rsid w:val="00390183"/>
    <w:rsid w:val="003914A3"/>
    <w:rsid w:val="003972E5"/>
    <w:rsid w:val="003D1F18"/>
    <w:rsid w:val="003E03EB"/>
    <w:rsid w:val="003F38C4"/>
    <w:rsid w:val="003F5E49"/>
    <w:rsid w:val="004009ED"/>
    <w:rsid w:val="00407576"/>
    <w:rsid w:val="00425560"/>
    <w:rsid w:val="0042592F"/>
    <w:rsid w:val="00427A32"/>
    <w:rsid w:val="00430191"/>
    <w:rsid w:val="00431BAB"/>
    <w:rsid w:val="00432F86"/>
    <w:rsid w:val="004376B1"/>
    <w:rsid w:val="004409B1"/>
    <w:rsid w:val="0046055B"/>
    <w:rsid w:val="00471FC2"/>
    <w:rsid w:val="00476164"/>
    <w:rsid w:val="004873CC"/>
    <w:rsid w:val="004875FD"/>
    <w:rsid w:val="004976E0"/>
    <w:rsid w:val="004A110E"/>
    <w:rsid w:val="004A2BF9"/>
    <w:rsid w:val="004B0AB5"/>
    <w:rsid w:val="004B0B31"/>
    <w:rsid w:val="004C0D6E"/>
    <w:rsid w:val="004D55EE"/>
    <w:rsid w:val="004D6D31"/>
    <w:rsid w:val="004D747A"/>
    <w:rsid w:val="004F38AB"/>
    <w:rsid w:val="004F3AAD"/>
    <w:rsid w:val="004F7AC5"/>
    <w:rsid w:val="00513780"/>
    <w:rsid w:val="00516597"/>
    <w:rsid w:val="00522D5B"/>
    <w:rsid w:val="005257AF"/>
    <w:rsid w:val="005326A6"/>
    <w:rsid w:val="005456B2"/>
    <w:rsid w:val="0054590E"/>
    <w:rsid w:val="005476DE"/>
    <w:rsid w:val="00553574"/>
    <w:rsid w:val="00556EA4"/>
    <w:rsid w:val="0057131B"/>
    <w:rsid w:val="005838A0"/>
    <w:rsid w:val="00585914"/>
    <w:rsid w:val="0059585F"/>
    <w:rsid w:val="005A534A"/>
    <w:rsid w:val="005C4A76"/>
    <w:rsid w:val="0060148E"/>
    <w:rsid w:val="006017BC"/>
    <w:rsid w:val="006069F0"/>
    <w:rsid w:val="00627921"/>
    <w:rsid w:val="0064087A"/>
    <w:rsid w:val="00640FBC"/>
    <w:rsid w:val="006417FF"/>
    <w:rsid w:val="00650E1D"/>
    <w:rsid w:val="00653E57"/>
    <w:rsid w:val="00681941"/>
    <w:rsid w:val="00682B46"/>
    <w:rsid w:val="006842B8"/>
    <w:rsid w:val="00697554"/>
    <w:rsid w:val="006A045F"/>
    <w:rsid w:val="006A6D3C"/>
    <w:rsid w:val="006C30D1"/>
    <w:rsid w:val="006D456D"/>
    <w:rsid w:val="006D5818"/>
    <w:rsid w:val="006E071D"/>
    <w:rsid w:val="006E0FC2"/>
    <w:rsid w:val="006F1A43"/>
    <w:rsid w:val="006F3453"/>
    <w:rsid w:val="0072305F"/>
    <w:rsid w:val="00730E9E"/>
    <w:rsid w:val="007408F9"/>
    <w:rsid w:val="00753261"/>
    <w:rsid w:val="007553B1"/>
    <w:rsid w:val="007A4E56"/>
    <w:rsid w:val="007B30FE"/>
    <w:rsid w:val="007B637E"/>
    <w:rsid w:val="007C43B8"/>
    <w:rsid w:val="007C4D79"/>
    <w:rsid w:val="007E08E6"/>
    <w:rsid w:val="007F0A1F"/>
    <w:rsid w:val="007F1515"/>
    <w:rsid w:val="00800ECD"/>
    <w:rsid w:val="00814854"/>
    <w:rsid w:val="00816455"/>
    <w:rsid w:val="00821068"/>
    <w:rsid w:val="00827C87"/>
    <w:rsid w:val="00833F25"/>
    <w:rsid w:val="00840AEE"/>
    <w:rsid w:val="00852459"/>
    <w:rsid w:val="00856B95"/>
    <w:rsid w:val="00857141"/>
    <w:rsid w:val="00860963"/>
    <w:rsid w:val="00870C5F"/>
    <w:rsid w:val="00874A4F"/>
    <w:rsid w:val="008771BB"/>
    <w:rsid w:val="00877D21"/>
    <w:rsid w:val="00885195"/>
    <w:rsid w:val="0089332F"/>
    <w:rsid w:val="00897BCD"/>
    <w:rsid w:val="008A3EBF"/>
    <w:rsid w:val="008A3F55"/>
    <w:rsid w:val="008B34B4"/>
    <w:rsid w:val="008B5E36"/>
    <w:rsid w:val="008B7E37"/>
    <w:rsid w:val="008C45B3"/>
    <w:rsid w:val="008E0841"/>
    <w:rsid w:val="008F3537"/>
    <w:rsid w:val="009001F5"/>
    <w:rsid w:val="00914AF8"/>
    <w:rsid w:val="0094105C"/>
    <w:rsid w:val="0095120D"/>
    <w:rsid w:val="00957456"/>
    <w:rsid w:val="00985101"/>
    <w:rsid w:val="009865B3"/>
    <w:rsid w:val="00993A31"/>
    <w:rsid w:val="00995C69"/>
    <w:rsid w:val="00996956"/>
    <w:rsid w:val="009A15A7"/>
    <w:rsid w:val="009B2481"/>
    <w:rsid w:val="009C26A6"/>
    <w:rsid w:val="009C63DC"/>
    <w:rsid w:val="009D2C15"/>
    <w:rsid w:val="009F1E79"/>
    <w:rsid w:val="00A00D09"/>
    <w:rsid w:val="00A01CDC"/>
    <w:rsid w:val="00A17D52"/>
    <w:rsid w:val="00A20880"/>
    <w:rsid w:val="00A352C8"/>
    <w:rsid w:val="00A35C2E"/>
    <w:rsid w:val="00A433EA"/>
    <w:rsid w:val="00A60CAB"/>
    <w:rsid w:val="00A6256D"/>
    <w:rsid w:val="00A6322F"/>
    <w:rsid w:val="00A661B2"/>
    <w:rsid w:val="00A66263"/>
    <w:rsid w:val="00A707B8"/>
    <w:rsid w:val="00A76108"/>
    <w:rsid w:val="00A85409"/>
    <w:rsid w:val="00A87423"/>
    <w:rsid w:val="00A91044"/>
    <w:rsid w:val="00AA59AC"/>
    <w:rsid w:val="00AC0C3D"/>
    <w:rsid w:val="00AC6C4F"/>
    <w:rsid w:val="00AD4973"/>
    <w:rsid w:val="00B0327B"/>
    <w:rsid w:val="00B1255F"/>
    <w:rsid w:val="00B12F61"/>
    <w:rsid w:val="00B16A21"/>
    <w:rsid w:val="00B30182"/>
    <w:rsid w:val="00B312AE"/>
    <w:rsid w:val="00B37619"/>
    <w:rsid w:val="00B41C2B"/>
    <w:rsid w:val="00B42EC1"/>
    <w:rsid w:val="00B45FAE"/>
    <w:rsid w:val="00B613C5"/>
    <w:rsid w:val="00B64E78"/>
    <w:rsid w:val="00B6642E"/>
    <w:rsid w:val="00B72391"/>
    <w:rsid w:val="00B80564"/>
    <w:rsid w:val="00B85D81"/>
    <w:rsid w:val="00B94A22"/>
    <w:rsid w:val="00B9525C"/>
    <w:rsid w:val="00BA13BB"/>
    <w:rsid w:val="00BA3A31"/>
    <w:rsid w:val="00BF1C0A"/>
    <w:rsid w:val="00BF584A"/>
    <w:rsid w:val="00C0295D"/>
    <w:rsid w:val="00C26D93"/>
    <w:rsid w:val="00C27141"/>
    <w:rsid w:val="00C33FCC"/>
    <w:rsid w:val="00C465BA"/>
    <w:rsid w:val="00C51961"/>
    <w:rsid w:val="00C71A68"/>
    <w:rsid w:val="00C7798C"/>
    <w:rsid w:val="00CA2FD0"/>
    <w:rsid w:val="00CB7FFB"/>
    <w:rsid w:val="00CD053A"/>
    <w:rsid w:val="00CD7FBC"/>
    <w:rsid w:val="00D0672B"/>
    <w:rsid w:val="00D14673"/>
    <w:rsid w:val="00D32292"/>
    <w:rsid w:val="00D33F60"/>
    <w:rsid w:val="00D4793B"/>
    <w:rsid w:val="00D70ED8"/>
    <w:rsid w:val="00D735FC"/>
    <w:rsid w:val="00D75435"/>
    <w:rsid w:val="00D7603F"/>
    <w:rsid w:val="00D7705B"/>
    <w:rsid w:val="00D8402F"/>
    <w:rsid w:val="00D9343B"/>
    <w:rsid w:val="00DA68E8"/>
    <w:rsid w:val="00DA6C12"/>
    <w:rsid w:val="00DC01A6"/>
    <w:rsid w:val="00DC13E3"/>
    <w:rsid w:val="00DD3276"/>
    <w:rsid w:val="00DD5DF8"/>
    <w:rsid w:val="00DE07D7"/>
    <w:rsid w:val="00DE5146"/>
    <w:rsid w:val="00DE5AFA"/>
    <w:rsid w:val="00DF2FBF"/>
    <w:rsid w:val="00DF6866"/>
    <w:rsid w:val="00E041AD"/>
    <w:rsid w:val="00E16029"/>
    <w:rsid w:val="00E35FE0"/>
    <w:rsid w:val="00E445BD"/>
    <w:rsid w:val="00E5037F"/>
    <w:rsid w:val="00E53B2D"/>
    <w:rsid w:val="00E56385"/>
    <w:rsid w:val="00E57A59"/>
    <w:rsid w:val="00E632D7"/>
    <w:rsid w:val="00E6772B"/>
    <w:rsid w:val="00E74170"/>
    <w:rsid w:val="00E7434D"/>
    <w:rsid w:val="00E843EC"/>
    <w:rsid w:val="00E86E1A"/>
    <w:rsid w:val="00E93C02"/>
    <w:rsid w:val="00E93F2D"/>
    <w:rsid w:val="00EB7C3A"/>
    <w:rsid w:val="00EC7EF5"/>
    <w:rsid w:val="00ED7C4C"/>
    <w:rsid w:val="00EE22C4"/>
    <w:rsid w:val="00EE3491"/>
    <w:rsid w:val="00EE5049"/>
    <w:rsid w:val="00EE5AB7"/>
    <w:rsid w:val="00EF6DBB"/>
    <w:rsid w:val="00F00601"/>
    <w:rsid w:val="00F30E33"/>
    <w:rsid w:val="00F41E94"/>
    <w:rsid w:val="00F44E5F"/>
    <w:rsid w:val="00F55969"/>
    <w:rsid w:val="00F56812"/>
    <w:rsid w:val="00F57164"/>
    <w:rsid w:val="00F619EC"/>
    <w:rsid w:val="00F65BE1"/>
    <w:rsid w:val="00F66FC8"/>
    <w:rsid w:val="00F74BF8"/>
    <w:rsid w:val="00F8229C"/>
    <w:rsid w:val="00F82CDE"/>
    <w:rsid w:val="00F956D4"/>
    <w:rsid w:val="00FB3270"/>
    <w:rsid w:val="00FB544B"/>
    <w:rsid w:val="00FC39A5"/>
    <w:rsid w:val="00FE684F"/>
    <w:rsid w:val="0134C8AB"/>
    <w:rsid w:val="0158EA27"/>
    <w:rsid w:val="047E7F75"/>
    <w:rsid w:val="05CB8E22"/>
    <w:rsid w:val="0740FB4B"/>
    <w:rsid w:val="078363F6"/>
    <w:rsid w:val="0A7237AD"/>
    <w:rsid w:val="0B4CB0C7"/>
    <w:rsid w:val="0D17EA75"/>
    <w:rsid w:val="105F056B"/>
    <w:rsid w:val="112B2852"/>
    <w:rsid w:val="12610A57"/>
    <w:rsid w:val="13E44741"/>
    <w:rsid w:val="142AA293"/>
    <w:rsid w:val="145DDC06"/>
    <w:rsid w:val="175EE0FC"/>
    <w:rsid w:val="182009FF"/>
    <w:rsid w:val="182A7545"/>
    <w:rsid w:val="1AE30756"/>
    <w:rsid w:val="1DF0F662"/>
    <w:rsid w:val="1E7F53BB"/>
    <w:rsid w:val="1F398221"/>
    <w:rsid w:val="1F8D6634"/>
    <w:rsid w:val="217343A2"/>
    <w:rsid w:val="22E0355B"/>
    <w:rsid w:val="2463AFC8"/>
    <w:rsid w:val="26B91A41"/>
    <w:rsid w:val="27E5D426"/>
    <w:rsid w:val="2BFD3E0B"/>
    <w:rsid w:val="2E82AB4C"/>
    <w:rsid w:val="2F06233C"/>
    <w:rsid w:val="2FD6F2C0"/>
    <w:rsid w:val="30A8A375"/>
    <w:rsid w:val="31E55070"/>
    <w:rsid w:val="32D4152F"/>
    <w:rsid w:val="34AE511F"/>
    <w:rsid w:val="34F7968B"/>
    <w:rsid w:val="3575C203"/>
    <w:rsid w:val="370F4FAD"/>
    <w:rsid w:val="374F6695"/>
    <w:rsid w:val="3885A9C6"/>
    <w:rsid w:val="39D2989E"/>
    <w:rsid w:val="3A26831A"/>
    <w:rsid w:val="3C67D86B"/>
    <w:rsid w:val="3D03AD72"/>
    <w:rsid w:val="3D882181"/>
    <w:rsid w:val="3E3634FD"/>
    <w:rsid w:val="3EFF1142"/>
    <w:rsid w:val="3F324D0F"/>
    <w:rsid w:val="3F92CEAA"/>
    <w:rsid w:val="42F51039"/>
    <w:rsid w:val="43A90E02"/>
    <w:rsid w:val="44F49E3D"/>
    <w:rsid w:val="4C21F5F2"/>
    <w:rsid w:val="4C9D2FD7"/>
    <w:rsid w:val="4D05366C"/>
    <w:rsid w:val="4D831B06"/>
    <w:rsid w:val="4DC79EA7"/>
    <w:rsid w:val="4EC936B0"/>
    <w:rsid w:val="4F37D94E"/>
    <w:rsid w:val="54143461"/>
    <w:rsid w:val="54D595CF"/>
    <w:rsid w:val="56B8D524"/>
    <w:rsid w:val="56BF0C49"/>
    <w:rsid w:val="57FC0F38"/>
    <w:rsid w:val="58360FF3"/>
    <w:rsid w:val="597D9C35"/>
    <w:rsid w:val="5DEBE129"/>
    <w:rsid w:val="5E7619CA"/>
    <w:rsid w:val="5E81C626"/>
    <w:rsid w:val="6407A84A"/>
    <w:rsid w:val="65494E3F"/>
    <w:rsid w:val="663E687A"/>
    <w:rsid w:val="6947826F"/>
    <w:rsid w:val="6AD3B859"/>
    <w:rsid w:val="6C795571"/>
    <w:rsid w:val="6C835EDD"/>
    <w:rsid w:val="6C8F65A7"/>
    <w:rsid w:val="6DFF8C90"/>
    <w:rsid w:val="6E0E430B"/>
    <w:rsid w:val="6EEB1A32"/>
    <w:rsid w:val="6FA30CFC"/>
    <w:rsid w:val="73BD590C"/>
    <w:rsid w:val="73F1F78D"/>
    <w:rsid w:val="74AF85DA"/>
    <w:rsid w:val="7525DB4C"/>
    <w:rsid w:val="755F2C76"/>
    <w:rsid w:val="76CDFA97"/>
    <w:rsid w:val="77A6A9EF"/>
    <w:rsid w:val="7825B768"/>
    <w:rsid w:val="79FE54CA"/>
    <w:rsid w:val="7D064875"/>
    <w:rsid w:val="7D75822E"/>
    <w:rsid w:val="7F6804E3"/>
    <w:rsid w:val="7FBA98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8A7A5"/>
  <w15:chartTrackingRefBased/>
  <w15:docId w15:val="{29FA1924-7F07-453C-A191-B42F2AF64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2"/>
      </w:numPr>
      <w:contextualSpacing/>
    </w:pPr>
  </w:style>
  <w:style w:type="paragraph" w:styleId="ListBullet2">
    <w:name w:val="List Bullet 2"/>
    <w:basedOn w:val="Normal"/>
    <w:uiPriority w:val="99"/>
    <w:unhideWhenUsed/>
    <w:rsid w:val="00827C87"/>
    <w:pPr>
      <w:numPr>
        <w:numId w:val="3"/>
      </w:numPr>
      <w:contextualSpacing/>
    </w:pPr>
  </w:style>
  <w:style w:type="paragraph" w:styleId="ListBullet3">
    <w:name w:val="List Bullet 3"/>
    <w:basedOn w:val="Normal"/>
    <w:uiPriority w:val="99"/>
    <w:unhideWhenUsed/>
    <w:rsid w:val="00827C87"/>
    <w:pPr>
      <w:numPr>
        <w:numId w:val="4"/>
      </w:numPr>
      <w:contextualSpacing/>
    </w:pPr>
  </w:style>
  <w:style w:type="paragraph" w:styleId="ListBullet4">
    <w:name w:val="List Bullet 4"/>
    <w:basedOn w:val="Normal"/>
    <w:uiPriority w:val="99"/>
    <w:unhideWhenUsed/>
    <w:rsid w:val="00827C87"/>
    <w:pPr>
      <w:numPr>
        <w:numId w:val="5"/>
      </w:numPr>
      <w:contextualSpacing/>
    </w:pPr>
  </w:style>
  <w:style w:type="paragraph" w:styleId="ListBullet5">
    <w:name w:val="List Bullet 5"/>
    <w:basedOn w:val="Normal"/>
    <w:uiPriority w:val="99"/>
    <w:unhideWhenUsed/>
    <w:rsid w:val="00827C87"/>
    <w:pPr>
      <w:numPr>
        <w:numId w:val="6"/>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7"/>
      </w:numPr>
      <w:contextualSpacing/>
    </w:pPr>
  </w:style>
  <w:style w:type="paragraph" w:styleId="ListNumber2">
    <w:name w:val="List Number 2"/>
    <w:basedOn w:val="Normal"/>
    <w:uiPriority w:val="99"/>
    <w:unhideWhenUsed/>
    <w:rsid w:val="00827C87"/>
    <w:pPr>
      <w:numPr>
        <w:numId w:val="8"/>
      </w:numPr>
      <w:contextualSpacing/>
    </w:pPr>
  </w:style>
  <w:style w:type="paragraph" w:styleId="ListNumber3">
    <w:name w:val="List Number 3"/>
    <w:basedOn w:val="Normal"/>
    <w:uiPriority w:val="99"/>
    <w:unhideWhenUsed/>
    <w:rsid w:val="00827C87"/>
    <w:pPr>
      <w:numPr>
        <w:numId w:val="9"/>
      </w:numPr>
      <w:contextualSpacing/>
    </w:pPr>
  </w:style>
  <w:style w:type="paragraph" w:styleId="ListNumber4">
    <w:name w:val="List Number 4"/>
    <w:basedOn w:val="Normal"/>
    <w:uiPriority w:val="99"/>
    <w:unhideWhenUsed/>
    <w:rsid w:val="00827C87"/>
    <w:pPr>
      <w:numPr>
        <w:numId w:val="10"/>
      </w:numPr>
      <w:contextualSpacing/>
    </w:pPr>
  </w:style>
  <w:style w:type="paragraph" w:styleId="ListNumber5">
    <w:name w:val="List Number 5"/>
    <w:basedOn w:val="Normal"/>
    <w:uiPriority w:val="99"/>
    <w:unhideWhenUsed/>
    <w:rsid w:val="00827C87"/>
    <w:pPr>
      <w:numPr>
        <w:numId w:val="11"/>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sid w:val="00016461"/>
    <w:rPr>
      <w:color w:val="2B579A"/>
      <w:shd w:val="clear" w:color="auto" w:fill="E1DFDD"/>
    </w:rPr>
  </w:style>
  <w:style w:type="character" w:styleId="Hyperlink">
    <w:name w:val="Hyperlink"/>
    <w:basedOn w:val="DefaultParagraphFont"/>
    <w:uiPriority w:val="99"/>
    <w:unhideWhenUsed/>
    <w:rsid w:val="00C465BA"/>
    <w:rPr>
      <w:color w:val="467886" w:themeColor="hyperlink"/>
      <w:u w:val="single"/>
    </w:rPr>
  </w:style>
  <w:style w:type="character" w:styleId="UnresolvedMention">
    <w:name w:val="Unresolved Mention"/>
    <w:basedOn w:val="DefaultParagraphFont"/>
    <w:uiPriority w:val="99"/>
    <w:semiHidden/>
    <w:unhideWhenUsed/>
    <w:rsid w:val="00C465BA"/>
    <w:rPr>
      <w:color w:val="605E5C"/>
      <w:shd w:val="clear" w:color="auto" w:fill="E1DFDD"/>
    </w:rPr>
  </w:style>
  <w:style w:type="character" w:styleId="FollowedHyperlink">
    <w:name w:val="FollowedHyperlink"/>
    <w:basedOn w:val="DefaultParagraphFont"/>
    <w:uiPriority w:val="99"/>
    <w:semiHidden/>
    <w:unhideWhenUsed/>
    <w:rsid w:val="00061569"/>
    <w:rPr>
      <w:color w:val="96607D" w:themeColor="followedHyperlink"/>
      <w:u w:val="single"/>
    </w:rPr>
  </w:style>
  <w:style w:type="paragraph" w:styleId="Revision">
    <w:name w:val="Revision"/>
    <w:hidden/>
    <w:uiPriority w:val="99"/>
    <w:semiHidden/>
    <w:rsid w:val="00E843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www.gov.uk/guidance/check-if-youre-eligible-for-making-tax-digital-for-income-ta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0F948C679CE74B8BA3CBC4DFE27F14" ma:contentTypeVersion="7" ma:contentTypeDescription="Create a new document." ma:contentTypeScope="" ma:versionID="8e482f59c7539d42d30069c5f612cbe6">
  <xsd:schema xmlns:xsd="http://www.w3.org/2001/XMLSchema" xmlns:xs="http://www.w3.org/2001/XMLSchema" xmlns:p="http://schemas.microsoft.com/office/2006/metadata/properties" xmlns:ns2="289cdec3-ccbb-481a-a8ae-1bbcbd2e6991" targetNamespace="http://schemas.microsoft.com/office/2006/metadata/properties" ma:root="true" ma:fieldsID="6e7a265f9da8e8b797bfd1a2a508af08" ns2:_="">
    <xsd:import namespace="289cdec3-ccbb-481a-a8ae-1bbcbd2e6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9cdec3-ccbb-481a-a8ae-1bbcbd2e6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63C8B-1A1D-419B-92B3-8C7A5DC04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9cdec3-ccbb-481a-a8ae-1bbcbd2e6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910C72-D993-428F-A3E8-E8DDA5E446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FBE92E-BFF7-4753-AEFA-C74399233591}">
  <ds:schemaRefs>
    <ds:schemaRef ds:uri="http://schemas.microsoft.com/sharepoint/v3/contenttype/forms"/>
  </ds:schemaRefs>
</ds:datastoreItem>
</file>

<file path=docMetadata/LabelInfo.xml><?xml version="1.0" encoding="utf-8"?>
<clbl:labelList xmlns:clbl="http://schemas.microsoft.com/office/2020/mipLabelMetadata">
  <clbl:label id="{f9af038e-07b4-4369-a678-c835687cb272}" enabled="1" method="Standard" siteId="{ac52f73c-fd1a-4a9a-8e7a-4a248f3139e1}"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2605</Words>
  <Characters>13685</Characters>
  <Application>Microsoft Office Word</Application>
  <DocSecurity>0</DocSecurity>
  <Lines>271</Lines>
  <Paragraphs>112</Paragraphs>
  <ScaleCrop>false</ScaleCrop>
  <Company/>
  <LinksUpToDate>false</LinksUpToDate>
  <CharactersWithSpaces>16288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Pearce, Jo (WMBC Wealthy)</dc:creator>
  <cp:keywords/>
  <dc:description/>
  <cp:lastModifiedBy>Barclay, Mike (Communications)</cp:lastModifiedBy>
  <cp:revision>4</cp:revision>
  <dcterms:created xsi:type="dcterms:W3CDTF">2026-02-17T09:29:00Z</dcterms:created>
  <dcterms:modified xsi:type="dcterms:W3CDTF">2026-02-17T09:32:00Z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31d4faf2,62bf68f7,1ecf9ac9</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ContentTypeId">
    <vt:lpwstr>0x010100F30F948C679CE74B8BA3CBC4DFE27F14</vt:lpwstr>
  </property>
  <property fmtid="{D5CDD505-2E9C-101B-9397-08002B2CF9AE}" pid="6" name="docLang">
    <vt:lpwstr>en</vt:lpwstr>
  </property>
</Properties>
</file>