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4151F" w14:textId="77777777" w:rsidR="006B1580" w:rsidRDefault="006B1580"/>
    <w:tbl>
      <w:tblPr>
        <w:tblStyle w:val="TableGrid"/>
        <w:tblW w:w="0" w:type="auto"/>
        <w:tblInd w:w="-5" w:type="dxa"/>
        <w:tblLook w:val="04A0" w:firstRow="1" w:lastRow="0" w:firstColumn="1" w:lastColumn="0" w:noHBand="0" w:noVBand="1"/>
      </w:tblPr>
      <w:tblGrid>
        <w:gridCol w:w="9916"/>
      </w:tblGrid>
      <w:tr w:rsidR="006B1580" w14:paraId="35D2839F" w14:textId="77777777" w:rsidTr="006B1580">
        <w:tc>
          <w:tcPr>
            <w:tcW w:w="9916" w:type="dxa"/>
            <w:shd w:val="clear" w:color="auto" w:fill="0F1290"/>
          </w:tcPr>
          <w:p w14:paraId="3472DEC4" w14:textId="77777777" w:rsidR="006B1580" w:rsidRDefault="006B1580" w:rsidP="006B1580">
            <w:pPr>
              <w:ind w:left="180"/>
              <w:jc w:val="center"/>
              <w:rPr>
                <w:sz w:val="28"/>
                <w:szCs w:val="28"/>
              </w:rPr>
            </w:pPr>
          </w:p>
          <w:p w14:paraId="6119147E" w14:textId="1D37A248" w:rsidR="006B1580" w:rsidRPr="006B1580" w:rsidRDefault="006B1580" w:rsidP="006B1580">
            <w:pPr>
              <w:ind w:left="180"/>
              <w:jc w:val="center"/>
              <w:rPr>
                <w:sz w:val="28"/>
                <w:szCs w:val="28"/>
              </w:rPr>
            </w:pPr>
            <w:r w:rsidRPr="006B1580">
              <w:rPr>
                <w:sz w:val="28"/>
                <w:szCs w:val="28"/>
              </w:rPr>
              <w:t>202</w:t>
            </w:r>
            <w:r w:rsidR="00B104D2">
              <w:rPr>
                <w:sz w:val="28"/>
                <w:szCs w:val="28"/>
              </w:rPr>
              <w:t>6</w:t>
            </w:r>
            <w:r w:rsidRPr="006B1580">
              <w:rPr>
                <w:sz w:val="28"/>
                <w:szCs w:val="28"/>
              </w:rPr>
              <w:t xml:space="preserve"> Blood Compliance Report </w:t>
            </w:r>
            <w:r w:rsidR="00057BDA">
              <w:rPr>
                <w:sz w:val="28"/>
                <w:szCs w:val="28"/>
              </w:rPr>
              <w:t xml:space="preserve">and Declaration </w:t>
            </w:r>
            <w:r w:rsidRPr="006B1580">
              <w:rPr>
                <w:sz w:val="28"/>
                <w:szCs w:val="28"/>
              </w:rPr>
              <w:t>Guidance Notes</w:t>
            </w:r>
            <w:r w:rsidR="00057BDA">
              <w:rPr>
                <w:sz w:val="28"/>
                <w:szCs w:val="28"/>
              </w:rPr>
              <w:t xml:space="preserve"> for Hospital Blood Banks </w:t>
            </w:r>
          </w:p>
          <w:p w14:paraId="7D8D6E6F" w14:textId="77777777" w:rsidR="006B1580" w:rsidRDefault="006B1580" w:rsidP="006B1580">
            <w:pPr>
              <w:jc w:val="center"/>
              <w:rPr>
                <w:sz w:val="28"/>
                <w:szCs w:val="28"/>
              </w:rPr>
            </w:pPr>
          </w:p>
        </w:tc>
      </w:tr>
    </w:tbl>
    <w:p w14:paraId="35F8DC6F" w14:textId="26287538" w:rsidR="00D87B0E" w:rsidRDefault="00D87B0E" w:rsidP="00416B42"/>
    <w:p w14:paraId="79259E23" w14:textId="333098C8" w:rsidR="006B1580" w:rsidRDefault="006B1580" w:rsidP="00416B42"/>
    <w:p w14:paraId="6A61F211" w14:textId="237B8C4C" w:rsidR="006B1580" w:rsidRDefault="006B1580" w:rsidP="00416B42">
      <w:r>
        <w:t>Index</w:t>
      </w:r>
    </w:p>
    <w:p w14:paraId="55C205E4" w14:textId="0F68E435" w:rsidR="006B1580" w:rsidRDefault="006B1580" w:rsidP="00416B42"/>
    <w:p w14:paraId="6C301889" w14:textId="77777777" w:rsidR="00DB1172" w:rsidRDefault="00DB1172" w:rsidP="00DB1172">
      <w:pPr>
        <w:pStyle w:val="ListParagraph"/>
        <w:numPr>
          <w:ilvl w:val="0"/>
          <w:numId w:val="27"/>
        </w:numPr>
      </w:pPr>
      <w:r>
        <w:t>Introduction</w:t>
      </w:r>
    </w:p>
    <w:p w14:paraId="21C640F7" w14:textId="77777777" w:rsidR="00DB1172" w:rsidRDefault="00DB1172" w:rsidP="00DB1172">
      <w:pPr>
        <w:pStyle w:val="ListParagraph"/>
        <w:numPr>
          <w:ilvl w:val="0"/>
          <w:numId w:val="27"/>
        </w:numPr>
      </w:pPr>
      <w:r>
        <w:t>General</w:t>
      </w:r>
    </w:p>
    <w:p w14:paraId="3678F3B0" w14:textId="77777777" w:rsidR="00DB1172" w:rsidRDefault="00DB1172" w:rsidP="00DB1172">
      <w:pPr>
        <w:pStyle w:val="ListParagraph"/>
        <w:numPr>
          <w:ilvl w:val="0"/>
          <w:numId w:val="27"/>
        </w:numPr>
      </w:pPr>
      <w:r>
        <w:t>Completing and submitting a Blood Compliance Report (BCR)</w:t>
      </w:r>
    </w:p>
    <w:p w14:paraId="591B880E" w14:textId="77777777" w:rsidR="00602309" w:rsidRDefault="00602309" w:rsidP="00602309">
      <w:pPr>
        <w:pStyle w:val="ListParagraph"/>
        <w:numPr>
          <w:ilvl w:val="0"/>
          <w:numId w:val="27"/>
        </w:numPr>
      </w:pPr>
      <w:r>
        <w:t>Downloading and saving the BCR</w:t>
      </w:r>
    </w:p>
    <w:p w14:paraId="20D6816E" w14:textId="77777777" w:rsidR="00DB1172" w:rsidRDefault="00DB1172" w:rsidP="00DB1172">
      <w:pPr>
        <w:pStyle w:val="ListParagraph"/>
        <w:numPr>
          <w:ilvl w:val="0"/>
          <w:numId w:val="27"/>
        </w:numPr>
      </w:pPr>
      <w:r>
        <w:t>How to complete the BCR</w:t>
      </w:r>
    </w:p>
    <w:p w14:paraId="2240731D" w14:textId="77777777" w:rsidR="00DB1172" w:rsidRDefault="00DB1172" w:rsidP="00DB1172">
      <w:pPr>
        <w:pStyle w:val="ListParagraph"/>
        <w:numPr>
          <w:ilvl w:val="0"/>
          <w:numId w:val="27"/>
        </w:numPr>
      </w:pPr>
      <w:r>
        <w:t>Checking the accuracy of answers</w:t>
      </w:r>
    </w:p>
    <w:p w14:paraId="272660D9" w14:textId="77777777" w:rsidR="00DB1172" w:rsidRDefault="00DB1172" w:rsidP="00DB1172">
      <w:pPr>
        <w:pStyle w:val="ListParagraph"/>
        <w:numPr>
          <w:ilvl w:val="0"/>
          <w:numId w:val="27"/>
        </w:numPr>
      </w:pPr>
      <w:r>
        <w:t>Completing the BCR declaration page</w:t>
      </w:r>
    </w:p>
    <w:p w14:paraId="73B1E9C7" w14:textId="77777777" w:rsidR="00DB1172" w:rsidRDefault="00DB1172" w:rsidP="00DB1172">
      <w:pPr>
        <w:pStyle w:val="ListParagraph"/>
        <w:numPr>
          <w:ilvl w:val="0"/>
          <w:numId w:val="27"/>
        </w:numPr>
      </w:pPr>
      <w:r>
        <w:t>Submitting the BCR and declaration</w:t>
      </w:r>
    </w:p>
    <w:p w14:paraId="460779B4" w14:textId="47269385" w:rsidR="006B1580" w:rsidRDefault="00DB1172" w:rsidP="00DB1172">
      <w:pPr>
        <w:pStyle w:val="ListParagraph"/>
        <w:numPr>
          <w:ilvl w:val="0"/>
          <w:numId w:val="27"/>
        </w:numPr>
      </w:pPr>
      <w:r>
        <w:t>Following submission</w:t>
      </w:r>
      <w:r w:rsidR="006B1580">
        <w:br w:type="page"/>
      </w:r>
    </w:p>
    <w:p w14:paraId="33DD4445" w14:textId="768901BD" w:rsidR="006B1580" w:rsidRPr="00505E2A" w:rsidRDefault="00057BDA" w:rsidP="00505E2A">
      <w:pPr>
        <w:pStyle w:val="ListParagraph"/>
        <w:numPr>
          <w:ilvl w:val="0"/>
          <w:numId w:val="15"/>
        </w:numPr>
        <w:rPr>
          <w:b/>
          <w:bCs/>
        </w:rPr>
      </w:pPr>
      <w:r w:rsidRPr="00505E2A">
        <w:rPr>
          <w:b/>
          <w:bCs/>
        </w:rPr>
        <w:lastRenderedPageBreak/>
        <w:t>Introduction</w:t>
      </w:r>
    </w:p>
    <w:p w14:paraId="0114B077" w14:textId="11C28200" w:rsidR="00057BDA" w:rsidRDefault="00057BDA" w:rsidP="00057BDA">
      <w:pPr>
        <w:pStyle w:val="ListParagraph"/>
        <w:ind w:left="360"/>
      </w:pPr>
    </w:p>
    <w:p w14:paraId="6E01F963" w14:textId="485A91DA" w:rsidR="00057BDA" w:rsidRDefault="00057BDA" w:rsidP="00505E2A">
      <w:r>
        <w:t>The purpose of this document is to provide guidance for Hospital Blood Banks and Blood Facilities in the requirements for providing declarations of compliance and compliance reports to ensure compliance with the UK Blood Safety and Quality Regulations (SI 2005/50 as amended).</w:t>
      </w:r>
    </w:p>
    <w:p w14:paraId="559A2658" w14:textId="77777777" w:rsidR="00057BDA" w:rsidRDefault="00057BDA" w:rsidP="00057BDA">
      <w:pPr>
        <w:pStyle w:val="ListParagraph"/>
        <w:ind w:left="360"/>
      </w:pPr>
    </w:p>
    <w:p w14:paraId="7F22D66D" w14:textId="747F6C47" w:rsidR="00057BDA" w:rsidRPr="00505E2A" w:rsidRDefault="00A87A90" w:rsidP="00505E2A">
      <w:pPr>
        <w:pStyle w:val="ListParagraph"/>
        <w:numPr>
          <w:ilvl w:val="0"/>
          <w:numId w:val="15"/>
        </w:numPr>
        <w:rPr>
          <w:b/>
          <w:bCs/>
        </w:rPr>
      </w:pPr>
      <w:r w:rsidRPr="00505E2A">
        <w:rPr>
          <w:b/>
          <w:bCs/>
        </w:rPr>
        <w:t>General</w:t>
      </w:r>
    </w:p>
    <w:p w14:paraId="5769CF36" w14:textId="77777777" w:rsidR="00A87A90" w:rsidRDefault="00A87A90" w:rsidP="00A87A90">
      <w:pPr>
        <w:pStyle w:val="ListParagraph"/>
        <w:ind w:left="360"/>
      </w:pPr>
    </w:p>
    <w:p w14:paraId="6C6186DB" w14:textId="5BD89314" w:rsidR="00A87A90" w:rsidRDefault="00A87A90" w:rsidP="00C27266">
      <w:pPr>
        <w:pStyle w:val="ListParagraph"/>
        <w:numPr>
          <w:ilvl w:val="1"/>
          <w:numId w:val="15"/>
        </w:numPr>
        <w:ind w:left="1276" w:hanging="916"/>
        <w:rPr>
          <w:u w:val="single"/>
        </w:rPr>
      </w:pPr>
      <w:r w:rsidRPr="006E6919">
        <w:rPr>
          <w:u w:val="single"/>
        </w:rPr>
        <w:t>Hospital Blood Bank</w:t>
      </w:r>
      <w:r w:rsidR="004B6BF5" w:rsidRPr="006E6919">
        <w:rPr>
          <w:u w:val="single"/>
        </w:rPr>
        <w:t xml:space="preserve"> (HBB)</w:t>
      </w:r>
    </w:p>
    <w:p w14:paraId="1E8F3C6F" w14:textId="77777777" w:rsidR="006705F7" w:rsidRDefault="006705F7" w:rsidP="006705F7">
      <w:pPr>
        <w:pStyle w:val="ListParagraph"/>
        <w:ind w:left="1276"/>
        <w:rPr>
          <w:u w:val="single"/>
        </w:rPr>
      </w:pPr>
    </w:p>
    <w:p w14:paraId="42A6CDA3" w14:textId="77777777" w:rsidR="006705F7" w:rsidRDefault="006705F7" w:rsidP="006705F7">
      <w:pPr>
        <w:pStyle w:val="ListParagraph"/>
        <w:numPr>
          <w:ilvl w:val="2"/>
          <w:numId w:val="15"/>
        </w:numPr>
      </w:pPr>
      <w:r>
        <w:t>An HBB is a unit within a hospital which:</w:t>
      </w:r>
    </w:p>
    <w:p w14:paraId="142BB425" w14:textId="77777777" w:rsidR="006705F7" w:rsidRDefault="006705F7" w:rsidP="006705F7">
      <w:pPr>
        <w:pStyle w:val="ListParagraph"/>
        <w:numPr>
          <w:ilvl w:val="0"/>
          <w:numId w:val="20"/>
        </w:numPr>
      </w:pPr>
      <w:r>
        <w:t>stores and distributes blood</w:t>
      </w:r>
    </w:p>
    <w:p w14:paraId="6BAA9F51" w14:textId="77777777" w:rsidR="006705F7" w:rsidRDefault="006705F7" w:rsidP="006705F7">
      <w:pPr>
        <w:pStyle w:val="ListParagraph"/>
        <w:numPr>
          <w:ilvl w:val="0"/>
          <w:numId w:val="20"/>
        </w:numPr>
      </w:pPr>
      <w:r>
        <w:t>performs compatibility tests on blood and blood components exclusively for use in hospital facilities, including hospital-based transfusion activities.</w:t>
      </w:r>
    </w:p>
    <w:p w14:paraId="0BAEE941" w14:textId="77777777" w:rsidR="006705F7" w:rsidRDefault="006705F7" w:rsidP="006705F7">
      <w:pPr>
        <w:pStyle w:val="ListParagraph"/>
        <w:ind w:left="1224"/>
      </w:pPr>
    </w:p>
    <w:p w14:paraId="50371BC8" w14:textId="77777777" w:rsidR="006705F7" w:rsidRDefault="006705F7" w:rsidP="006705F7">
      <w:pPr>
        <w:pStyle w:val="ListParagraph"/>
        <w:numPr>
          <w:ilvl w:val="2"/>
          <w:numId w:val="15"/>
        </w:numPr>
      </w:pPr>
      <w:r>
        <w:t>HBBs must:</w:t>
      </w:r>
    </w:p>
    <w:p w14:paraId="6D31B832" w14:textId="77777777" w:rsidR="006705F7" w:rsidRDefault="006705F7" w:rsidP="006705F7">
      <w:pPr>
        <w:pStyle w:val="ListParagraph"/>
        <w:numPr>
          <w:ilvl w:val="0"/>
          <w:numId w:val="21"/>
        </w:numPr>
      </w:pPr>
      <w:bookmarkStart w:id="0" w:name="_Hlk32935213"/>
      <w:r>
        <w:t>Submit an annual compliance report (Blood Compliance Report) and pay a compliance fee</w:t>
      </w:r>
    </w:p>
    <w:bookmarkEnd w:id="0"/>
    <w:p w14:paraId="27744FA0" w14:textId="77777777" w:rsidR="006705F7" w:rsidRDefault="006705F7" w:rsidP="006705F7">
      <w:pPr>
        <w:pStyle w:val="ListParagraph"/>
        <w:numPr>
          <w:ilvl w:val="0"/>
          <w:numId w:val="21"/>
        </w:numPr>
        <w:rPr>
          <w:rFonts w:eastAsia="Times" w:cs="Arial"/>
          <w:bCs/>
          <w:i/>
          <w:iCs/>
          <w:szCs w:val="22"/>
          <w:lang w:eastAsia="en-US"/>
        </w:rPr>
      </w:pPr>
      <w:r>
        <w:t xml:space="preserve">Pay a </w:t>
      </w:r>
      <w:proofErr w:type="spellStart"/>
      <w:r>
        <w:t>haemovigilance</w:t>
      </w:r>
      <w:proofErr w:type="spellEnd"/>
      <w:r>
        <w:t xml:space="preserve"> fee</w:t>
      </w:r>
      <w:r w:rsidRPr="00AC7D99">
        <w:rPr>
          <w:rFonts w:eastAsia="Times" w:cs="Arial"/>
          <w:bCs/>
          <w:i/>
          <w:iCs/>
          <w:szCs w:val="22"/>
          <w:lang w:eastAsia="en-US"/>
        </w:rPr>
        <w:t xml:space="preserve"> </w:t>
      </w:r>
    </w:p>
    <w:p w14:paraId="341F7189" w14:textId="77777777" w:rsidR="006705F7" w:rsidRPr="00AC7D99" w:rsidRDefault="006705F7" w:rsidP="006705F7">
      <w:pPr>
        <w:pStyle w:val="ListParagraph"/>
        <w:ind w:left="1152"/>
        <w:rPr>
          <w:rFonts w:eastAsia="Times" w:cs="Arial"/>
          <w:bCs/>
          <w:i/>
          <w:iCs/>
          <w:szCs w:val="22"/>
          <w:lang w:eastAsia="en-US"/>
        </w:rPr>
      </w:pPr>
    </w:p>
    <w:p w14:paraId="35536864" w14:textId="77777777" w:rsidR="006705F7" w:rsidRPr="00AC7D99" w:rsidRDefault="006705F7" w:rsidP="006705F7">
      <w:pPr>
        <w:ind w:left="360"/>
        <w:rPr>
          <w:rFonts w:eastAsia="Times" w:cs="Arial"/>
          <w:bCs/>
          <w:i/>
          <w:iCs/>
          <w:szCs w:val="22"/>
          <w:lang w:eastAsia="en-US"/>
        </w:rPr>
      </w:pPr>
      <w:r w:rsidRPr="00AC7D99">
        <w:rPr>
          <w:rFonts w:eastAsia="Times" w:cs="Arial"/>
          <w:bCs/>
          <w:i/>
          <w:iCs/>
          <w:szCs w:val="22"/>
          <w:lang w:eastAsia="en-US"/>
        </w:rPr>
        <w:t xml:space="preserve">Transfusion laboratory sites which are named on a </w:t>
      </w:r>
      <w:bookmarkStart w:id="1" w:name="OLE_LINK1"/>
      <w:bookmarkStart w:id="2" w:name="OLE_LINK2"/>
      <w:r w:rsidRPr="00AC7D99">
        <w:rPr>
          <w:rFonts w:eastAsia="Times" w:cs="Arial"/>
          <w:bCs/>
          <w:i/>
          <w:iCs/>
          <w:szCs w:val="22"/>
          <w:lang w:eastAsia="en-US"/>
        </w:rPr>
        <w:t>Blood Establishment Authorisation</w:t>
      </w:r>
      <w:bookmarkEnd w:id="1"/>
      <w:bookmarkEnd w:id="2"/>
      <w:r w:rsidRPr="00AC7D99">
        <w:rPr>
          <w:rFonts w:eastAsia="Times" w:cs="Arial"/>
          <w:bCs/>
          <w:i/>
          <w:iCs/>
          <w:szCs w:val="22"/>
          <w:lang w:eastAsia="en-US"/>
        </w:rPr>
        <w:t xml:space="preserve"> (BEA) to perform blood collection, processing or donor testing are not required to submit a BCR.</w:t>
      </w:r>
    </w:p>
    <w:p w14:paraId="0805732B" w14:textId="77777777" w:rsidR="006705F7" w:rsidRDefault="006705F7" w:rsidP="006705F7">
      <w:pPr>
        <w:pStyle w:val="ListParagraph"/>
        <w:ind w:left="1276"/>
        <w:rPr>
          <w:u w:val="single"/>
        </w:rPr>
      </w:pPr>
    </w:p>
    <w:p w14:paraId="1EE38F56" w14:textId="18D1A0AC" w:rsidR="00A87A90" w:rsidRPr="006705F7" w:rsidRDefault="00A87A90" w:rsidP="006705F7">
      <w:pPr>
        <w:pStyle w:val="ListParagraph"/>
        <w:numPr>
          <w:ilvl w:val="1"/>
          <w:numId w:val="15"/>
        </w:numPr>
        <w:ind w:left="1276" w:hanging="916"/>
        <w:rPr>
          <w:u w:val="single"/>
        </w:rPr>
      </w:pPr>
      <w:r w:rsidRPr="006705F7">
        <w:rPr>
          <w:u w:val="single"/>
        </w:rPr>
        <w:t>Blood Facility</w:t>
      </w:r>
    </w:p>
    <w:p w14:paraId="3D0D99A9" w14:textId="77777777" w:rsidR="00AC7D99" w:rsidRDefault="00AC7D99" w:rsidP="00AC7D99">
      <w:pPr>
        <w:pStyle w:val="ListParagraph"/>
        <w:ind w:left="792"/>
      </w:pPr>
    </w:p>
    <w:p w14:paraId="1239ED01" w14:textId="3B35CBAC" w:rsidR="00AC7D99" w:rsidRDefault="00A87A90" w:rsidP="006E6919">
      <w:pPr>
        <w:pStyle w:val="ListParagraph"/>
        <w:numPr>
          <w:ilvl w:val="2"/>
          <w:numId w:val="15"/>
        </w:numPr>
      </w:pPr>
      <w:r>
        <w:t>A blood facility is a site that receives blood from a hospital blood bank for transfusion purposes but does not perform compatibility tests.</w:t>
      </w:r>
    </w:p>
    <w:p w14:paraId="19D352D0" w14:textId="77777777" w:rsidR="006E6919" w:rsidRDefault="006E6919" w:rsidP="006E6919">
      <w:pPr>
        <w:pStyle w:val="ListParagraph"/>
        <w:ind w:left="1224"/>
      </w:pPr>
    </w:p>
    <w:p w14:paraId="102D71F9" w14:textId="1C07F0CE" w:rsidR="006E6919" w:rsidRPr="007C6804" w:rsidRDefault="006E6919" w:rsidP="006E6919">
      <w:pPr>
        <w:ind w:left="720"/>
        <w:rPr>
          <w:i/>
          <w:iCs/>
        </w:rPr>
      </w:pPr>
      <w:r w:rsidRPr="007C6804">
        <w:rPr>
          <w:i/>
          <w:iCs/>
        </w:rPr>
        <w:t>A ward within the same hospital site as a hospital blood bank is not considered to be a separate facility.</w:t>
      </w:r>
    </w:p>
    <w:p w14:paraId="12BD6DF4" w14:textId="77777777" w:rsidR="00AC7D99" w:rsidRDefault="00AC7D99" w:rsidP="00AC7D99">
      <w:pPr>
        <w:pStyle w:val="ListParagraph"/>
        <w:ind w:left="1224"/>
      </w:pPr>
    </w:p>
    <w:p w14:paraId="3FEDBD3B" w14:textId="7C936A1C" w:rsidR="006E6919" w:rsidRDefault="006E6919" w:rsidP="006E6919">
      <w:pPr>
        <w:pStyle w:val="ListParagraph"/>
        <w:numPr>
          <w:ilvl w:val="2"/>
          <w:numId w:val="15"/>
        </w:numPr>
      </w:pPr>
      <w:r>
        <w:t>Facilities may perform three key tasks which are covered by the scope of a blood compliance report (BCR). These are:</w:t>
      </w:r>
    </w:p>
    <w:p w14:paraId="7963248B" w14:textId="77777777" w:rsidR="006E6919" w:rsidRDefault="006E6919" w:rsidP="006E6919">
      <w:pPr>
        <w:pStyle w:val="ListParagraph"/>
        <w:numPr>
          <w:ilvl w:val="0"/>
          <w:numId w:val="24"/>
        </w:numPr>
      </w:pPr>
      <w:r>
        <w:t>The control of monitoring, maintenance and calibration of any controlled temperature storage equipment on site.</w:t>
      </w:r>
    </w:p>
    <w:p w14:paraId="6B7DE194" w14:textId="77777777" w:rsidR="006E6919" w:rsidRDefault="006E6919" w:rsidP="006E6919">
      <w:pPr>
        <w:pStyle w:val="ListParagraph"/>
        <w:numPr>
          <w:ilvl w:val="0"/>
          <w:numId w:val="24"/>
        </w:numPr>
      </w:pPr>
      <w:r>
        <w:t>Reporting of serious adverse events and reactions to SABRE</w:t>
      </w:r>
    </w:p>
    <w:p w14:paraId="5743D8FC" w14:textId="23159401" w:rsidR="006E6919" w:rsidRDefault="006E6919" w:rsidP="006E6919">
      <w:pPr>
        <w:pStyle w:val="ListParagraph"/>
        <w:numPr>
          <w:ilvl w:val="0"/>
          <w:numId w:val="24"/>
        </w:numPr>
      </w:pPr>
      <w:r>
        <w:t>Maintenance of traceability records</w:t>
      </w:r>
    </w:p>
    <w:p w14:paraId="0DDBA5B6" w14:textId="77777777" w:rsidR="006E6919" w:rsidRDefault="006E6919" w:rsidP="006E6919">
      <w:pPr>
        <w:ind w:left="720"/>
      </w:pPr>
    </w:p>
    <w:p w14:paraId="3E5ABA72" w14:textId="2276D346" w:rsidR="006E6919" w:rsidRDefault="006E6919" w:rsidP="006E6919">
      <w:pPr>
        <w:pStyle w:val="ListParagraph"/>
        <w:rPr>
          <w:rFonts w:eastAsia="Times" w:cs="Arial"/>
          <w:b/>
          <w:i/>
          <w:iCs/>
          <w:szCs w:val="22"/>
          <w:lang w:eastAsia="en-US"/>
        </w:rPr>
      </w:pPr>
      <w:r w:rsidRPr="006E6919">
        <w:rPr>
          <w:rFonts w:eastAsia="Times" w:cs="Arial"/>
          <w:b/>
          <w:i/>
          <w:iCs/>
          <w:szCs w:val="22"/>
          <w:lang w:eastAsia="en-US"/>
        </w:rPr>
        <w:t xml:space="preserve">A ‘Facility’ should have a Service Level Agreement (or similar document) in place if the supplying Hospital Blood Bank is responsible for </w:t>
      </w:r>
      <w:r w:rsidR="00383A30">
        <w:rPr>
          <w:rFonts w:eastAsia="Times" w:cs="Arial"/>
          <w:b/>
          <w:i/>
          <w:iCs/>
          <w:szCs w:val="22"/>
          <w:lang w:eastAsia="en-US"/>
        </w:rPr>
        <w:t xml:space="preserve">any of </w:t>
      </w:r>
      <w:r w:rsidRPr="006E6919">
        <w:rPr>
          <w:rFonts w:eastAsia="Times" w:cs="Arial"/>
          <w:b/>
          <w:i/>
          <w:iCs/>
          <w:szCs w:val="22"/>
          <w:lang w:eastAsia="en-US"/>
        </w:rPr>
        <w:t>these functions.</w:t>
      </w:r>
    </w:p>
    <w:p w14:paraId="4393D788" w14:textId="77777777" w:rsidR="004F4AA0" w:rsidRPr="006E6919" w:rsidRDefault="004F4AA0" w:rsidP="006E6919">
      <w:pPr>
        <w:pStyle w:val="ListParagraph"/>
        <w:rPr>
          <w:rFonts w:eastAsia="Times" w:cs="Arial"/>
          <w:b/>
          <w:i/>
          <w:iCs/>
          <w:szCs w:val="22"/>
          <w:lang w:eastAsia="en-US"/>
        </w:rPr>
      </w:pPr>
    </w:p>
    <w:p w14:paraId="42C27AB8" w14:textId="77777777" w:rsidR="004F4AA0" w:rsidRPr="004F4AA0" w:rsidRDefault="004F4AA0" w:rsidP="004F4AA0">
      <w:pPr>
        <w:pStyle w:val="ListParagraph"/>
        <w:rPr>
          <w:lang w:val="en"/>
        </w:rPr>
      </w:pPr>
      <w:r w:rsidRPr="004F4AA0">
        <w:rPr>
          <w:lang w:val="en"/>
        </w:rPr>
        <w:t>Where HBBs supply blood components to other sites within the same Trust, shared quality systems and standard operating procedures may be relied on in lieu of an agreement to ensure compliance with the BSQRs.</w:t>
      </w:r>
    </w:p>
    <w:p w14:paraId="6E200637" w14:textId="77777777" w:rsidR="006E6919" w:rsidRDefault="006E6919" w:rsidP="006E6919">
      <w:pPr>
        <w:pStyle w:val="ListParagraph"/>
      </w:pPr>
    </w:p>
    <w:p w14:paraId="471CA76B" w14:textId="314F8BFD" w:rsidR="00505E2A" w:rsidRDefault="00505E2A" w:rsidP="00505E2A">
      <w:pPr>
        <w:ind w:left="720"/>
      </w:pPr>
    </w:p>
    <w:p w14:paraId="65D9729C" w14:textId="3AB03D98" w:rsidR="00A87A90" w:rsidRDefault="00A6140F" w:rsidP="00505E2A">
      <w:pPr>
        <w:pStyle w:val="ListParagraph"/>
        <w:numPr>
          <w:ilvl w:val="0"/>
          <w:numId w:val="15"/>
        </w:numPr>
        <w:rPr>
          <w:b/>
          <w:bCs/>
        </w:rPr>
      </w:pPr>
      <w:r>
        <w:rPr>
          <w:b/>
          <w:bCs/>
        </w:rPr>
        <w:t>Completing and submitting a Blood Compliance Report (BCR)</w:t>
      </w:r>
    </w:p>
    <w:p w14:paraId="1637D17B" w14:textId="77777777" w:rsidR="00A6140F" w:rsidRDefault="00A6140F" w:rsidP="00A6140F">
      <w:pPr>
        <w:pStyle w:val="ListParagraph"/>
        <w:ind w:left="360"/>
        <w:rPr>
          <w:b/>
          <w:bCs/>
        </w:rPr>
      </w:pPr>
    </w:p>
    <w:p w14:paraId="202D1363" w14:textId="69ED422A" w:rsidR="00A6140F" w:rsidRDefault="00A6140F" w:rsidP="00C27266">
      <w:pPr>
        <w:pStyle w:val="ListParagraph"/>
        <w:numPr>
          <w:ilvl w:val="1"/>
          <w:numId w:val="15"/>
        </w:numPr>
        <w:ind w:left="1134" w:hanging="774"/>
      </w:pPr>
      <w:r>
        <w:t>The d</w:t>
      </w:r>
      <w:r w:rsidRPr="00A6140F">
        <w:t xml:space="preserve">eadline for submission of </w:t>
      </w:r>
      <w:r>
        <w:t>the BCR</w:t>
      </w:r>
      <w:r w:rsidRPr="00A6140F">
        <w:t xml:space="preserve"> is </w:t>
      </w:r>
      <w:r w:rsidRPr="000821BA">
        <w:rPr>
          <w:b/>
          <w:bCs/>
        </w:rPr>
        <w:t>30th April 202</w:t>
      </w:r>
      <w:r w:rsidR="00E53FB3">
        <w:rPr>
          <w:b/>
          <w:bCs/>
        </w:rPr>
        <w:t>6</w:t>
      </w:r>
      <w:r>
        <w:t>.</w:t>
      </w:r>
    </w:p>
    <w:p w14:paraId="77F38246" w14:textId="77777777" w:rsidR="00BF5C9D" w:rsidRPr="00A6140F" w:rsidRDefault="00BF5C9D" w:rsidP="003908FA"/>
    <w:p w14:paraId="7556FFF0" w14:textId="60DD77A6" w:rsidR="00A6140F" w:rsidRDefault="00A6140F" w:rsidP="00C27266">
      <w:pPr>
        <w:pStyle w:val="ListParagraph"/>
        <w:numPr>
          <w:ilvl w:val="1"/>
          <w:numId w:val="15"/>
        </w:numPr>
        <w:ind w:left="1134" w:hanging="774"/>
      </w:pPr>
      <w:r>
        <w:t xml:space="preserve">The </w:t>
      </w:r>
      <w:hyperlink r:id="rId11" w:history="1">
        <w:r w:rsidR="006406B2" w:rsidRPr="006406B2">
          <w:rPr>
            <w:rStyle w:val="Hyperlink"/>
          </w:rPr>
          <w:t>hospital blood bank declaration</w:t>
        </w:r>
      </w:hyperlink>
      <w:r w:rsidR="006406B2">
        <w:t xml:space="preserve"> </w:t>
      </w:r>
      <w:r>
        <w:t xml:space="preserve">form should </w:t>
      </w:r>
      <w:r w:rsidR="00BF5C9D">
        <w:t>accompany</w:t>
      </w:r>
      <w:r>
        <w:t xml:space="preserve"> the </w:t>
      </w:r>
      <w:r w:rsidR="00BF5C9D">
        <w:t xml:space="preserve">BCR. </w:t>
      </w:r>
    </w:p>
    <w:p w14:paraId="1E2A9F84" w14:textId="77777777" w:rsidR="00A6140F" w:rsidRPr="00AB7B2C" w:rsidRDefault="00A6140F" w:rsidP="00C27266">
      <w:pPr>
        <w:ind w:left="1134" w:hanging="774"/>
        <w:rPr>
          <w:b/>
          <w:bCs/>
        </w:rPr>
      </w:pPr>
    </w:p>
    <w:p w14:paraId="029314D3" w14:textId="0C9C49C2" w:rsidR="00A6140F" w:rsidRPr="00BF5C9D" w:rsidRDefault="00A6140F" w:rsidP="00C27266">
      <w:pPr>
        <w:pStyle w:val="ListParagraph"/>
        <w:numPr>
          <w:ilvl w:val="1"/>
          <w:numId w:val="15"/>
        </w:numPr>
        <w:ind w:left="1134" w:hanging="774"/>
      </w:pPr>
      <w:r w:rsidRPr="00A6140F">
        <w:t>Please complete one Compliance Report for each Transfusion Laboratory (including satellite laboratories operated under the same management structure as any main laboratory)</w:t>
      </w:r>
      <w:r w:rsidR="000821BA">
        <w:rPr>
          <w:color w:val="FF0000"/>
        </w:rPr>
        <w:t>.</w:t>
      </w:r>
    </w:p>
    <w:p w14:paraId="423EDD8D" w14:textId="77777777" w:rsidR="00BF5C9D" w:rsidRPr="00BF5C9D" w:rsidRDefault="00BF5C9D" w:rsidP="00C27266">
      <w:pPr>
        <w:pStyle w:val="ListParagraph"/>
        <w:ind w:left="1134" w:hanging="774"/>
      </w:pPr>
    </w:p>
    <w:p w14:paraId="4477FFED" w14:textId="198E8920" w:rsidR="00BF5C9D" w:rsidRPr="000821BA" w:rsidRDefault="00BF5C9D" w:rsidP="00C27266">
      <w:pPr>
        <w:pStyle w:val="ListParagraph"/>
        <w:numPr>
          <w:ilvl w:val="1"/>
          <w:numId w:val="15"/>
        </w:numPr>
        <w:ind w:left="1134" w:hanging="774"/>
      </w:pPr>
      <w:r w:rsidRPr="00BF5C9D">
        <w:t xml:space="preserve">The </w:t>
      </w:r>
      <w:r w:rsidR="00B225C3">
        <w:t>2026</w:t>
      </w:r>
      <w:r w:rsidRPr="00BF5C9D">
        <w:t xml:space="preserve"> Hospital Blood Bank Compliance Report must be completed electronically and submitted as a Microsoft Excel file (.</w:t>
      </w:r>
      <w:proofErr w:type="spellStart"/>
      <w:r w:rsidRPr="00BF5C9D">
        <w:t>xls</w:t>
      </w:r>
      <w:proofErr w:type="spellEnd"/>
      <w:r w:rsidRPr="00BF5C9D">
        <w:t>) when completed (</w:t>
      </w:r>
      <w:r w:rsidRPr="000821BA">
        <w:t xml:space="preserve">see section </w:t>
      </w:r>
      <w:r w:rsidR="000821BA" w:rsidRPr="000821BA">
        <w:t>6</w:t>
      </w:r>
      <w:r w:rsidRPr="000821BA">
        <w:t xml:space="preserve"> of this guidance note for file download and saving instructions).</w:t>
      </w:r>
    </w:p>
    <w:p w14:paraId="017AE6B6" w14:textId="77777777" w:rsidR="00BF5C9D" w:rsidRDefault="00BF5C9D" w:rsidP="00C27266">
      <w:pPr>
        <w:pStyle w:val="ListParagraph"/>
        <w:ind w:left="1134" w:hanging="774"/>
        <w:rPr>
          <w:color w:val="FF0000"/>
        </w:rPr>
      </w:pPr>
    </w:p>
    <w:p w14:paraId="698D85E4" w14:textId="218F4F6A" w:rsidR="00BF5C9D" w:rsidRPr="00AB7B2C" w:rsidRDefault="00BF5C9D" w:rsidP="00C27266">
      <w:pPr>
        <w:pStyle w:val="ListParagraph"/>
        <w:numPr>
          <w:ilvl w:val="1"/>
          <w:numId w:val="15"/>
        </w:numPr>
        <w:ind w:left="1134" w:hanging="774"/>
        <w:rPr>
          <w:color w:val="FF0000"/>
        </w:rPr>
      </w:pPr>
      <w:r>
        <w:rPr>
          <w:color w:val="000000" w:themeColor="text1"/>
        </w:rPr>
        <w:t>Follow instructions and look for menu arrows indicating menu-selected responses</w:t>
      </w:r>
      <w:r w:rsidR="00AB7B2C">
        <w:rPr>
          <w:color w:val="000000" w:themeColor="text1"/>
        </w:rPr>
        <w:t>. Most other boxes will require text or numbers. An error message will appear when a text answer is given where a numerical response is required.</w:t>
      </w:r>
      <w:r>
        <w:rPr>
          <w:color w:val="000000" w:themeColor="text1"/>
        </w:rPr>
        <w:t xml:space="preserve"> </w:t>
      </w:r>
    </w:p>
    <w:p w14:paraId="12D4E10F" w14:textId="77777777" w:rsidR="00A6140F" w:rsidRPr="00A6140F" w:rsidRDefault="00A6140F" w:rsidP="00C27266">
      <w:pPr>
        <w:pStyle w:val="ListParagraph"/>
        <w:ind w:left="1134" w:hanging="774"/>
      </w:pPr>
    </w:p>
    <w:p w14:paraId="3C8F240D" w14:textId="67B15C54" w:rsidR="00BF5C9D" w:rsidRDefault="00BF5C9D" w:rsidP="00C27266">
      <w:pPr>
        <w:pStyle w:val="ListParagraph"/>
        <w:numPr>
          <w:ilvl w:val="1"/>
          <w:numId w:val="15"/>
        </w:numPr>
        <w:ind w:left="1134" w:hanging="774"/>
      </w:pPr>
      <w:r w:rsidRPr="00BF5C9D">
        <w:t xml:space="preserve">The compliance report is </w:t>
      </w:r>
      <w:r w:rsidR="000209F4">
        <w:t>p</w:t>
      </w:r>
      <w:r w:rsidR="000209F4" w:rsidRPr="00BF5C9D">
        <w:t xml:space="preserve">assword </w:t>
      </w:r>
      <w:r w:rsidRPr="00BF5C9D">
        <w:t>protected to prevent changes made to the questions. It is not designed to be printed and completed manually. It is possible to use the Print Screen function to print a section of the BCR template as required, e.g. to use as a guide when collating the relevant information to complete the form electronically. However</w:t>
      </w:r>
      <w:r>
        <w:t>, care must be taken as</w:t>
      </w:r>
      <w:r w:rsidRPr="00BF5C9D">
        <w:t xml:space="preserve"> it is not possible to determine from the appearance of a printed copy whether a question requires a menu-selected response or a free-text response</w:t>
      </w:r>
      <w:r>
        <w:t>.</w:t>
      </w:r>
    </w:p>
    <w:p w14:paraId="4321EC40" w14:textId="77777777" w:rsidR="00BF5C9D" w:rsidRDefault="00BF5C9D" w:rsidP="00C27266">
      <w:pPr>
        <w:pStyle w:val="ListParagraph"/>
        <w:ind w:left="1134" w:hanging="774"/>
      </w:pPr>
    </w:p>
    <w:p w14:paraId="2FA2D19F" w14:textId="5D1DC946" w:rsidR="00C27266" w:rsidRDefault="00A6140F" w:rsidP="006705F7">
      <w:pPr>
        <w:pStyle w:val="ListParagraph"/>
        <w:numPr>
          <w:ilvl w:val="1"/>
          <w:numId w:val="15"/>
        </w:numPr>
        <w:ind w:left="1134" w:hanging="774"/>
      </w:pPr>
      <w:r w:rsidRPr="00A6140F">
        <w:t xml:space="preserve">Answers to questions should be based upon the systems currently in place at the time of report completion. </w:t>
      </w:r>
    </w:p>
    <w:p w14:paraId="78933F35" w14:textId="77777777" w:rsidR="006705F7" w:rsidRPr="006705F7" w:rsidRDefault="006705F7" w:rsidP="006705F7">
      <w:pPr>
        <w:pStyle w:val="ListParagraph"/>
        <w:ind w:left="360"/>
      </w:pPr>
    </w:p>
    <w:p w14:paraId="1FE9ABCB" w14:textId="25609FFD" w:rsidR="007C6804" w:rsidRPr="0000030A" w:rsidRDefault="006705F7" w:rsidP="006705F7">
      <w:pPr>
        <w:pStyle w:val="ListParagraph"/>
        <w:numPr>
          <w:ilvl w:val="1"/>
          <w:numId w:val="15"/>
        </w:numPr>
        <w:ind w:left="1134" w:hanging="774"/>
      </w:pPr>
      <w:r w:rsidRPr="006705F7">
        <w:rPr>
          <w:rFonts w:eastAsia="Times" w:cs="Arial"/>
          <w:szCs w:val="22"/>
          <w:lang w:eastAsia="en-US"/>
        </w:rPr>
        <w:t>Some questions in the compliance report are ‘nested’, i.e. the requirement to answer a specific question may be dependent upon the answer provided to previous questions.</w:t>
      </w:r>
    </w:p>
    <w:p w14:paraId="06E67811" w14:textId="77777777" w:rsidR="0000030A" w:rsidRPr="0000030A" w:rsidRDefault="0000030A" w:rsidP="0000030A">
      <w:pPr>
        <w:pStyle w:val="ListParagraph"/>
        <w:ind w:left="1134"/>
      </w:pPr>
    </w:p>
    <w:p w14:paraId="740CAD48" w14:textId="2E7B7055" w:rsidR="0000030A" w:rsidRDefault="0000030A" w:rsidP="006705F7">
      <w:pPr>
        <w:pStyle w:val="ListParagraph"/>
        <w:numPr>
          <w:ilvl w:val="1"/>
          <w:numId w:val="15"/>
        </w:numPr>
        <w:ind w:left="1134" w:hanging="774"/>
        <w:rPr>
          <w:b/>
          <w:bCs/>
        </w:rPr>
      </w:pPr>
      <w:r w:rsidRPr="000821BA">
        <w:rPr>
          <w:b/>
          <w:bCs/>
        </w:rPr>
        <w:t xml:space="preserve">The accuracy of information provided in </w:t>
      </w:r>
      <w:r w:rsidR="00032FDD">
        <w:rPr>
          <w:b/>
          <w:bCs/>
        </w:rPr>
        <w:t xml:space="preserve">the </w:t>
      </w:r>
      <w:r w:rsidRPr="000821BA">
        <w:rPr>
          <w:b/>
          <w:bCs/>
        </w:rPr>
        <w:t xml:space="preserve">Compliance Report responses will be verified during site inspections. This may include ‘control’ inspections of sites </w:t>
      </w:r>
      <w:r w:rsidR="00FA4419">
        <w:rPr>
          <w:b/>
          <w:bCs/>
        </w:rPr>
        <w:t xml:space="preserve">that </w:t>
      </w:r>
      <w:r w:rsidRPr="000821BA">
        <w:rPr>
          <w:b/>
          <w:bCs/>
        </w:rPr>
        <w:t xml:space="preserve">appear compliant </w:t>
      </w:r>
      <w:proofErr w:type="gramStart"/>
      <w:r w:rsidRPr="000821BA">
        <w:rPr>
          <w:b/>
          <w:bCs/>
        </w:rPr>
        <w:t>on the basis of</w:t>
      </w:r>
      <w:proofErr w:type="gramEnd"/>
      <w:r w:rsidRPr="000821BA">
        <w:rPr>
          <w:b/>
          <w:bCs/>
        </w:rPr>
        <w:t xml:space="preserve"> the information supplied to validate the assessment process.</w:t>
      </w:r>
    </w:p>
    <w:p w14:paraId="34BEAF27" w14:textId="77777777" w:rsidR="00602309" w:rsidRDefault="00602309" w:rsidP="00602309">
      <w:pPr>
        <w:pStyle w:val="ListParagraph"/>
        <w:ind w:left="1134"/>
        <w:rPr>
          <w:b/>
          <w:bCs/>
        </w:rPr>
      </w:pPr>
    </w:p>
    <w:p w14:paraId="68E972AE" w14:textId="77777777" w:rsidR="00602309" w:rsidRPr="006212CD" w:rsidRDefault="00602309" w:rsidP="00602309">
      <w:pPr>
        <w:pStyle w:val="ListParagraph"/>
        <w:numPr>
          <w:ilvl w:val="0"/>
          <w:numId w:val="15"/>
        </w:numPr>
        <w:rPr>
          <w:b/>
          <w:bCs/>
        </w:rPr>
      </w:pPr>
      <w:r w:rsidRPr="006212CD">
        <w:rPr>
          <w:b/>
          <w:bCs/>
        </w:rPr>
        <w:t>Downloading and saving the BCR</w:t>
      </w:r>
    </w:p>
    <w:p w14:paraId="5EE17339" w14:textId="77777777" w:rsidR="00602309" w:rsidRDefault="00602309" w:rsidP="00602309">
      <w:pPr>
        <w:pStyle w:val="ListParagraph"/>
        <w:ind w:left="792"/>
      </w:pPr>
    </w:p>
    <w:p w14:paraId="0A0E2EC6" w14:textId="77777777" w:rsidR="00602309" w:rsidRDefault="00602309" w:rsidP="00602309">
      <w:pPr>
        <w:pStyle w:val="ListParagraph"/>
        <w:numPr>
          <w:ilvl w:val="1"/>
          <w:numId w:val="15"/>
        </w:numPr>
      </w:pPr>
      <w:r>
        <w:t>Downloading and saving the compliance report form</w:t>
      </w:r>
    </w:p>
    <w:p w14:paraId="5D2505F8" w14:textId="77777777" w:rsidR="00602309" w:rsidRDefault="00602309" w:rsidP="00602309">
      <w:pPr>
        <w:pStyle w:val="ListParagraph"/>
        <w:ind w:left="792"/>
      </w:pPr>
    </w:p>
    <w:p w14:paraId="79D77D98" w14:textId="2C7ED117" w:rsidR="00D94EA0" w:rsidRPr="00D94EA0" w:rsidRDefault="00602309" w:rsidP="00D94EA0">
      <w:pPr>
        <w:pStyle w:val="ListParagraph"/>
        <w:ind w:left="792"/>
      </w:pPr>
      <w:r>
        <w:t xml:space="preserve">The form should be downloaded from the GOV.UK </w:t>
      </w:r>
      <w:r w:rsidR="00D94EA0" w:rsidRPr="00D94EA0">
        <w:t>“Health and social care, medicines, medical devices, Blood regulation and safety</w:t>
      </w:r>
      <w:r w:rsidR="00F137C4">
        <w:t>’</w:t>
      </w:r>
    </w:p>
    <w:p w14:paraId="1CAEEE0E" w14:textId="77777777" w:rsidR="00602309" w:rsidRDefault="00602309" w:rsidP="00602309">
      <w:pPr>
        <w:pStyle w:val="ListParagraph"/>
        <w:ind w:left="792"/>
      </w:pPr>
    </w:p>
    <w:p w14:paraId="7DEF5CEF" w14:textId="77777777" w:rsidR="00602309" w:rsidRDefault="00602309" w:rsidP="00602309">
      <w:pPr>
        <w:pStyle w:val="ListParagraph"/>
        <w:ind w:left="792"/>
      </w:pPr>
      <w:hyperlink r:id="rId12" w:history="1">
        <w:r w:rsidRPr="007365FB">
          <w:rPr>
            <w:rStyle w:val="Hyperlink"/>
          </w:rPr>
          <w:t>https://www.gov.uk/government/publications/blood-bank-compliance-report-template</w:t>
        </w:r>
      </w:hyperlink>
    </w:p>
    <w:p w14:paraId="62CD3276" w14:textId="77777777" w:rsidR="00602309" w:rsidRDefault="00602309" w:rsidP="00602309"/>
    <w:p w14:paraId="7515B999" w14:textId="77777777" w:rsidR="00602309" w:rsidRDefault="00602309" w:rsidP="00602309">
      <w:pPr>
        <w:pStyle w:val="ListParagraph"/>
        <w:ind w:left="792"/>
      </w:pPr>
      <w:r>
        <w:t>and saved on the local IT system. This will allow the report to be completed in more than one work session if required and enable the file to be periodically saved while answering questions. The form is not designed to be completed ‘on-line’ in one session, and there is no facility to save a partially completed file on the MHRA’s website.</w:t>
      </w:r>
    </w:p>
    <w:p w14:paraId="5D7E0F87" w14:textId="77777777" w:rsidR="00602309" w:rsidRPr="00080033" w:rsidRDefault="00602309" w:rsidP="00602309">
      <w:pPr>
        <w:pStyle w:val="ListParagraph"/>
        <w:ind w:left="792"/>
        <w:rPr>
          <w:color w:val="FF0000"/>
        </w:rPr>
      </w:pPr>
    </w:p>
    <w:p w14:paraId="18E448DF" w14:textId="30B9F8F4" w:rsidR="00602309" w:rsidRPr="00080033" w:rsidRDefault="0017327D" w:rsidP="00602309">
      <w:pPr>
        <w:pStyle w:val="ListParagraph"/>
        <w:numPr>
          <w:ilvl w:val="2"/>
          <w:numId w:val="15"/>
        </w:numPr>
        <w:rPr>
          <w:color w:val="FF0000"/>
        </w:rPr>
      </w:pPr>
      <w:r w:rsidRPr="00080033">
        <w:rPr>
          <w:color w:val="FF0000"/>
        </w:rPr>
        <w:t xml:space="preserve">Please </w:t>
      </w:r>
      <w:r w:rsidR="006F4BD6" w:rsidRPr="00080033">
        <w:rPr>
          <w:color w:val="FF0000"/>
        </w:rPr>
        <w:t xml:space="preserve">save the form </w:t>
      </w:r>
      <w:r w:rsidR="00D64447" w:rsidRPr="00080033">
        <w:rPr>
          <w:color w:val="FF0000"/>
        </w:rPr>
        <w:t xml:space="preserve">as </w:t>
      </w:r>
      <w:r w:rsidR="001D6224" w:rsidRPr="00080033">
        <w:rPr>
          <w:color w:val="FF0000"/>
        </w:rPr>
        <w:t>‘BCR_2026</w:t>
      </w:r>
      <w:proofErr w:type="gramStart"/>
      <w:r w:rsidR="001D6224" w:rsidRPr="00080033">
        <w:rPr>
          <w:color w:val="FF0000"/>
        </w:rPr>
        <w:t>_[</w:t>
      </w:r>
      <w:proofErr w:type="gramEnd"/>
      <w:r w:rsidR="001D6224" w:rsidRPr="00080033">
        <w:rPr>
          <w:color w:val="FF0000"/>
        </w:rPr>
        <w:t>Hospital Name]</w:t>
      </w:r>
    </w:p>
    <w:p w14:paraId="08CC5BFF" w14:textId="77777777" w:rsidR="00602309" w:rsidRDefault="00602309" w:rsidP="00602309">
      <w:pPr>
        <w:pStyle w:val="ListParagraph"/>
        <w:ind w:left="1224"/>
      </w:pPr>
    </w:p>
    <w:p w14:paraId="22F1F5F8" w14:textId="77777777" w:rsidR="00602309" w:rsidRDefault="00602309" w:rsidP="00602309">
      <w:pPr>
        <w:pStyle w:val="ListParagraph"/>
        <w:numPr>
          <w:ilvl w:val="3"/>
          <w:numId w:val="15"/>
        </w:numPr>
      </w:pPr>
      <w:r>
        <w:t>If you are using Microsoft Excel version 2003 or lower, the file will be automatically saved as an acceptable Excel workbook format.</w:t>
      </w:r>
    </w:p>
    <w:p w14:paraId="3775E4A4" w14:textId="77777777" w:rsidR="00602309" w:rsidRDefault="00602309" w:rsidP="00602309">
      <w:pPr>
        <w:pStyle w:val="ListParagraph"/>
        <w:numPr>
          <w:ilvl w:val="3"/>
          <w:numId w:val="15"/>
        </w:numPr>
      </w:pPr>
      <w:r>
        <w:t>If you are using a version of Microsoft Excel higher than the original Excel 2003 file (i.e. Excel 2007 or higher) please ensure that the file type is listed as Excel 2003 workbook format (or Excel 97-2003 workbook format).</w:t>
      </w:r>
    </w:p>
    <w:p w14:paraId="4F250736" w14:textId="77777777" w:rsidR="00602309" w:rsidRPr="000821BA" w:rsidRDefault="00602309" w:rsidP="00602309">
      <w:pPr>
        <w:pStyle w:val="ListParagraph"/>
        <w:ind w:left="360"/>
        <w:rPr>
          <w:b/>
          <w:bCs/>
        </w:rPr>
      </w:pPr>
    </w:p>
    <w:p w14:paraId="6017571B" w14:textId="77777777" w:rsidR="007C6804" w:rsidRDefault="007C6804" w:rsidP="007C6804">
      <w:pPr>
        <w:pStyle w:val="ListParagraph"/>
        <w:ind w:left="792"/>
      </w:pPr>
    </w:p>
    <w:p w14:paraId="575D8AC3" w14:textId="77777777" w:rsidR="007C6804" w:rsidRDefault="007C6804" w:rsidP="007C6804">
      <w:pPr>
        <w:pStyle w:val="ListParagraph"/>
        <w:ind w:left="1152"/>
      </w:pPr>
    </w:p>
    <w:p w14:paraId="59631954" w14:textId="1EF50515" w:rsidR="004B6BF5" w:rsidRPr="001277D0" w:rsidRDefault="006705F7" w:rsidP="00505E2A">
      <w:pPr>
        <w:pStyle w:val="ListParagraph"/>
        <w:numPr>
          <w:ilvl w:val="0"/>
          <w:numId w:val="15"/>
        </w:numPr>
        <w:rPr>
          <w:b/>
          <w:bCs/>
        </w:rPr>
      </w:pPr>
      <w:r w:rsidRPr="001277D0">
        <w:rPr>
          <w:b/>
          <w:bCs/>
        </w:rPr>
        <w:t>How to complete the BCR</w:t>
      </w:r>
    </w:p>
    <w:p w14:paraId="38D0B3B2" w14:textId="398A8EED" w:rsidR="001277D0" w:rsidRDefault="001277D0" w:rsidP="001277D0">
      <w:pPr>
        <w:pStyle w:val="ListParagraph"/>
        <w:ind w:left="360"/>
      </w:pPr>
    </w:p>
    <w:p w14:paraId="1399FD15" w14:textId="24E82616" w:rsidR="001277D0" w:rsidRDefault="001277D0" w:rsidP="001277D0">
      <w:pPr>
        <w:pStyle w:val="ListParagraph"/>
        <w:ind w:left="360"/>
        <w:rPr>
          <w:i/>
          <w:iCs/>
        </w:rPr>
      </w:pPr>
      <w:r w:rsidRPr="001277D0">
        <w:rPr>
          <w:i/>
          <w:iCs/>
        </w:rPr>
        <w:t>Note the BCR has been changed but the section / question numbers have not. You will note that some sections are not available, for example Sections K and V or some question numbers, e.g. questions C 3.1 to 3.5, do not appear.</w:t>
      </w:r>
    </w:p>
    <w:p w14:paraId="7909DBDA" w14:textId="0A442D70" w:rsidR="002030D8" w:rsidRDefault="002030D8" w:rsidP="001277D0">
      <w:pPr>
        <w:pStyle w:val="ListParagraph"/>
        <w:ind w:left="360"/>
        <w:rPr>
          <w:i/>
          <w:iCs/>
        </w:rPr>
      </w:pPr>
    </w:p>
    <w:p w14:paraId="748FE33F" w14:textId="6637BB10" w:rsidR="002030D8" w:rsidRPr="002030D8" w:rsidRDefault="00CC2952" w:rsidP="001277D0">
      <w:pPr>
        <w:pStyle w:val="ListParagraph"/>
        <w:ind w:left="360"/>
        <w:rPr>
          <w:b/>
          <w:bCs/>
          <w:color w:val="FF0000"/>
        </w:rPr>
      </w:pPr>
      <w:r>
        <w:rPr>
          <w:b/>
          <w:bCs/>
          <w:color w:val="FF0000"/>
        </w:rPr>
        <w:t>The following question h</w:t>
      </w:r>
      <w:r w:rsidR="00381005">
        <w:rPr>
          <w:b/>
          <w:bCs/>
          <w:color w:val="FF0000"/>
        </w:rPr>
        <w:t>as</w:t>
      </w:r>
      <w:r>
        <w:rPr>
          <w:b/>
          <w:bCs/>
          <w:color w:val="FF0000"/>
        </w:rPr>
        <w:t xml:space="preserve"> been </w:t>
      </w:r>
      <w:r w:rsidRPr="003A1692">
        <w:rPr>
          <w:b/>
          <w:bCs/>
          <w:color w:val="FF0000"/>
        </w:rPr>
        <w:t xml:space="preserve">changed for </w:t>
      </w:r>
      <w:r w:rsidR="00B225C3" w:rsidRPr="003A1692">
        <w:rPr>
          <w:b/>
          <w:bCs/>
          <w:color w:val="FF0000"/>
        </w:rPr>
        <w:t>2026</w:t>
      </w:r>
      <w:r w:rsidRPr="003A1692">
        <w:rPr>
          <w:b/>
          <w:bCs/>
          <w:color w:val="FF0000"/>
        </w:rPr>
        <w:t xml:space="preserve">: </w:t>
      </w:r>
      <w:r w:rsidR="003A1692">
        <w:rPr>
          <w:b/>
          <w:bCs/>
          <w:color w:val="FF0000"/>
        </w:rPr>
        <w:t>O1.4</w:t>
      </w:r>
    </w:p>
    <w:p w14:paraId="7818A159" w14:textId="63F2C093" w:rsidR="000821BA" w:rsidRDefault="000821BA" w:rsidP="001277D0">
      <w:pPr>
        <w:pStyle w:val="ListParagraph"/>
        <w:ind w:left="360"/>
        <w:rPr>
          <w:i/>
          <w:iCs/>
        </w:rPr>
      </w:pPr>
    </w:p>
    <w:p w14:paraId="72D2C14F" w14:textId="4ECB78B0" w:rsidR="000821BA" w:rsidRPr="000821BA" w:rsidRDefault="000821BA" w:rsidP="001277D0">
      <w:pPr>
        <w:pStyle w:val="ListParagraph"/>
        <w:ind w:left="360"/>
      </w:pPr>
      <w:r w:rsidRPr="000821BA">
        <w:t>The regulatory references for each BCR section can be found in Annex 1</w:t>
      </w:r>
    </w:p>
    <w:p w14:paraId="0A50B465" w14:textId="77777777" w:rsidR="006705F7" w:rsidRDefault="006705F7" w:rsidP="006705F7">
      <w:pPr>
        <w:pStyle w:val="ListParagraph"/>
        <w:ind w:left="360"/>
      </w:pPr>
    </w:p>
    <w:p w14:paraId="0E950AAA" w14:textId="06C6E1D2" w:rsidR="00931AA7" w:rsidRDefault="00931AA7" w:rsidP="00931AA7">
      <w:pPr>
        <w:pStyle w:val="ListParagraph"/>
        <w:numPr>
          <w:ilvl w:val="1"/>
          <w:numId w:val="15"/>
        </w:numPr>
      </w:pPr>
      <w:r>
        <w:t xml:space="preserve">  Section A</w:t>
      </w:r>
    </w:p>
    <w:p w14:paraId="16D1E266" w14:textId="77777777" w:rsidR="00931AA7" w:rsidRDefault="00931AA7" w:rsidP="00931AA7">
      <w:pPr>
        <w:pStyle w:val="ListParagraph"/>
        <w:ind w:left="792"/>
      </w:pPr>
    </w:p>
    <w:p w14:paraId="47083ACE" w14:textId="7F5D6BD9" w:rsidR="00931AA7" w:rsidRDefault="00931AA7" w:rsidP="00931AA7">
      <w:pPr>
        <w:pStyle w:val="ListParagraph"/>
        <w:numPr>
          <w:ilvl w:val="2"/>
          <w:numId w:val="15"/>
        </w:numPr>
      </w:pPr>
      <w:r w:rsidRPr="00931AA7">
        <w:t>Questions A1– A11: Hospital name and address</w:t>
      </w:r>
    </w:p>
    <w:p w14:paraId="3DFF66CF" w14:textId="77777777" w:rsidR="00F71D9A" w:rsidRDefault="00F71D9A" w:rsidP="00F71D9A">
      <w:pPr>
        <w:pStyle w:val="ListParagraph"/>
        <w:ind w:left="1224"/>
      </w:pPr>
    </w:p>
    <w:p w14:paraId="7573FD6F" w14:textId="77777777" w:rsidR="00024587" w:rsidRDefault="00F71D9A" w:rsidP="00F71D9A">
      <w:pPr>
        <w:pStyle w:val="ListParagraph"/>
        <w:ind w:left="1440"/>
      </w:pPr>
      <w:r>
        <w:t xml:space="preserve">Ensure that the appropriate fields are completed with the name of the hospital and the name of the Trust / healthcare provider that is responsible for the site where the HBB is located. Where the HBB is managed by e.g. a pathology partnership this should be listed in A9. </w:t>
      </w:r>
    </w:p>
    <w:p w14:paraId="6AB6BC29" w14:textId="3F529C70" w:rsidR="00F71D9A" w:rsidRDefault="007D4DC8" w:rsidP="00F71D9A">
      <w:pPr>
        <w:pStyle w:val="ListParagraph"/>
        <w:ind w:left="1440"/>
      </w:pPr>
      <w:r>
        <w:t>Please provide</w:t>
      </w:r>
      <w:r w:rsidR="00454D4E">
        <w:t xml:space="preserve"> details for invoicing, </w:t>
      </w:r>
      <w:proofErr w:type="gramStart"/>
      <w:r w:rsidR="00454D4E">
        <w:t>including;</w:t>
      </w:r>
      <w:proofErr w:type="gramEnd"/>
      <w:r>
        <w:t xml:space="preserve"> a generic email</w:t>
      </w:r>
      <w:r w:rsidR="005271D6">
        <w:t xml:space="preserve"> address</w:t>
      </w:r>
      <w:r w:rsidR="00C738B2">
        <w:t>,</w:t>
      </w:r>
      <w:r>
        <w:t xml:space="preserve"> </w:t>
      </w:r>
      <w:r w:rsidR="005271D6">
        <w:t>or an additional email address in case of any queries</w:t>
      </w:r>
      <w:r w:rsidR="00454D4E">
        <w:t>,</w:t>
      </w:r>
      <w:r w:rsidR="002030D8">
        <w:t xml:space="preserve"> a </w:t>
      </w:r>
      <w:r w:rsidR="00454D4E">
        <w:t>purchase order (</w:t>
      </w:r>
      <w:r w:rsidR="002030D8">
        <w:t>PO</w:t>
      </w:r>
      <w:r w:rsidR="00454D4E">
        <w:t>)</w:t>
      </w:r>
      <w:r w:rsidR="002030D8">
        <w:t xml:space="preserve"> number where one is required by your Trust</w:t>
      </w:r>
      <w:r w:rsidR="00454D4E">
        <w:t>, and the name of the organisation responsible for paying the invoice.</w:t>
      </w:r>
    </w:p>
    <w:p w14:paraId="7765EC2F" w14:textId="77777777" w:rsidR="00F71D9A" w:rsidRDefault="00F71D9A" w:rsidP="00F71D9A">
      <w:pPr>
        <w:pStyle w:val="ListParagraph"/>
        <w:ind w:left="1224"/>
      </w:pPr>
    </w:p>
    <w:p w14:paraId="01CCD63C" w14:textId="1C39152F" w:rsidR="00F71D9A" w:rsidRDefault="00F71D9A" w:rsidP="00F71D9A">
      <w:pPr>
        <w:pStyle w:val="ListParagraph"/>
        <w:numPr>
          <w:ilvl w:val="2"/>
          <w:numId w:val="15"/>
        </w:numPr>
      </w:pPr>
      <w:r>
        <w:t>Questions A12 – A16: number of blood components issues each year.</w:t>
      </w:r>
    </w:p>
    <w:p w14:paraId="54EE707C" w14:textId="77777777" w:rsidR="00F71D9A" w:rsidRDefault="00F71D9A" w:rsidP="00F71D9A">
      <w:pPr>
        <w:pStyle w:val="ListParagraph"/>
        <w:ind w:left="1224"/>
      </w:pPr>
    </w:p>
    <w:p w14:paraId="70CE0933" w14:textId="68535221" w:rsidR="00F71D9A" w:rsidRDefault="00F71D9A" w:rsidP="00F71D9A">
      <w:pPr>
        <w:pStyle w:val="ListParagraph"/>
        <w:ind w:left="1440"/>
      </w:pPr>
      <w:r>
        <w:t>Each blood component should be counted as ‘issued’ each time it is identified for a specific patient. For example, if a unit of cross-matched red cells are unused and subsequently re-issued for another patient, this should count as 2 issues. This information is used as part of the BCR assessment process to obtain an indication of transfusion laboratory workload.</w:t>
      </w:r>
    </w:p>
    <w:p w14:paraId="5F82A0D7" w14:textId="77777777" w:rsidR="00F71D9A" w:rsidRDefault="00F71D9A" w:rsidP="00F71D9A">
      <w:pPr>
        <w:pStyle w:val="ListParagraph"/>
        <w:ind w:left="360"/>
      </w:pPr>
    </w:p>
    <w:p w14:paraId="2B43EFCD" w14:textId="316144AE" w:rsidR="00F71D9A" w:rsidRDefault="00F71D9A" w:rsidP="00F71D9A">
      <w:pPr>
        <w:pStyle w:val="ListParagraph"/>
        <w:ind w:left="1440"/>
        <w:rPr>
          <w:i/>
          <w:iCs/>
        </w:rPr>
      </w:pPr>
      <w:r w:rsidRPr="00F71D9A">
        <w:rPr>
          <w:i/>
          <w:iCs/>
        </w:rPr>
        <w:t>Please note that this information differs from that required as part of the SABRE annual report, where each individual blood component is counted as a single unit, irrespective of the number of ‘issue and return’ cycles.</w:t>
      </w:r>
    </w:p>
    <w:p w14:paraId="7B948240" w14:textId="77777777" w:rsidR="00F71D9A" w:rsidRPr="00F71D9A" w:rsidRDefault="00F71D9A" w:rsidP="00F71D9A">
      <w:pPr>
        <w:pStyle w:val="ListParagraph"/>
        <w:ind w:left="1440"/>
        <w:rPr>
          <w:i/>
          <w:iCs/>
        </w:rPr>
      </w:pPr>
    </w:p>
    <w:p w14:paraId="0C867DCC" w14:textId="37859FE0" w:rsidR="00F71D9A" w:rsidRDefault="00F71D9A" w:rsidP="002030D8">
      <w:pPr>
        <w:pStyle w:val="ListParagraph"/>
        <w:numPr>
          <w:ilvl w:val="1"/>
          <w:numId w:val="15"/>
        </w:numPr>
      </w:pPr>
      <w:r>
        <w:t>Section C</w:t>
      </w:r>
    </w:p>
    <w:p w14:paraId="0D1B1AA6" w14:textId="4FBA3A3F" w:rsidR="00F71D9A" w:rsidRDefault="00F71D9A" w:rsidP="001277D0">
      <w:pPr>
        <w:pStyle w:val="ListParagraph"/>
        <w:ind w:left="1224"/>
      </w:pPr>
    </w:p>
    <w:p w14:paraId="63DA076D" w14:textId="77777777" w:rsidR="00F71D9A" w:rsidRDefault="00F71D9A" w:rsidP="00F71D9A">
      <w:pPr>
        <w:pStyle w:val="ListParagraph"/>
        <w:numPr>
          <w:ilvl w:val="2"/>
          <w:numId w:val="15"/>
        </w:numPr>
      </w:pPr>
      <w:r>
        <w:t>Question C3.6 - How many significant changes have you had in TOTAL?</w:t>
      </w:r>
    </w:p>
    <w:p w14:paraId="3E5BD87C" w14:textId="77777777" w:rsidR="00F71D9A" w:rsidRDefault="00F71D9A" w:rsidP="00F71D9A">
      <w:pPr>
        <w:pStyle w:val="ListParagraph"/>
        <w:ind w:left="792"/>
      </w:pPr>
    </w:p>
    <w:p w14:paraId="7CF99C20" w14:textId="25D57512" w:rsidR="00383A30" w:rsidRDefault="00383A30" w:rsidP="001277D0">
      <w:pPr>
        <w:pStyle w:val="ListParagraph"/>
        <w:ind w:left="1440"/>
      </w:pPr>
      <w:r>
        <w:t xml:space="preserve">A significant change is one that </w:t>
      </w:r>
      <w:r w:rsidR="00077C6E">
        <w:t>may affect the quality, traceability, availability or effect of components or the safety of components or patients.</w:t>
      </w:r>
    </w:p>
    <w:p w14:paraId="648CD87F" w14:textId="356A71C2" w:rsidR="00F71D9A" w:rsidRDefault="00F71D9A" w:rsidP="001277D0">
      <w:pPr>
        <w:pStyle w:val="ListParagraph"/>
        <w:ind w:left="1440"/>
      </w:pPr>
      <w:r>
        <w:t xml:space="preserve">Multiple changes to a single system (e.g. two upgrades to an analyser during the year) </w:t>
      </w:r>
      <w:r w:rsidR="000209F4">
        <w:t xml:space="preserve">should </w:t>
      </w:r>
      <w:r>
        <w:t>be counted as two changes for the purposes of question C3.6.</w:t>
      </w:r>
    </w:p>
    <w:p w14:paraId="4F9AFD23" w14:textId="07EE0381" w:rsidR="00077C6E" w:rsidRDefault="00077C6E" w:rsidP="001277D0">
      <w:pPr>
        <w:pStyle w:val="ListParagraph"/>
        <w:ind w:left="1440"/>
      </w:pPr>
    </w:p>
    <w:p w14:paraId="510932E5" w14:textId="77777777" w:rsidR="00077C6E" w:rsidRDefault="00077C6E" w:rsidP="001277D0">
      <w:pPr>
        <w:pStyle w:val="ListParagraph"/>
        <w:ind w:left="1440"/>
      </w:pPr>
    </w:p>
    <w:p w14:paraId="634798FD" w14:textId="77777777" w:rsidR="00747234" w:rsidRDefault="00747234" w:rsidP="00747234"/>
    <w:p w14:paraId="2EE82DFD" w14:textId="6D69C921" w:rsidR="00F71D9A" w:rsidRDefault="00747234" w:rsidP="00F71D9A">
      <w:pPr>
        <w:pStyle w:val="ListParagraph"/>
        <w:numPr>
          <w:ilvl w:val="1"/>
          <w:numId w:val="15"/>
        </w:numPr>
      </w:pPr>
      <w:r>
        <w:t>Section E</w:t>
      </w:r>
    </w:p>
    <w:p w14:paraId="796BD7C7" w14:textId="77777777" w:rsidR="00F71D9A" w:rsidRDefault="00F71D9A" w:rsidP="00F71D9A">
      <w:pPr>
        <w:pStyle w:val="ListParagraph"/>
        <w:ind w:left="1224"/>
      </w:pPr>
    </w:p>
    <w:p w14:paraId="1A2070B8" w14:textId="7D503566" w:rsidR="00F71D9A" w:rsidRDefault="00747234" w:rsidP="00F71D9A">
      <w:pPr>
        <w:pStyle w:val="ListParagraph"/>
        <w:numPr>
          <w:ilvl w:val="2"/>
          <w:numId w:val="15"/>
        </w:numPr>
      </w:pPr>
      <w:r>
        <w:t xml:space="preserve">Question </w:t>
      </w:r>
      <w:r w:rsidR="00E92CDE">
        <w:t>E</w:t>
      </w:r>
      <w:r>
        <w:t>6 – Resource planning</w:t>
      </w:r>
    </w:p>
    <w:p w14:paraId="2BEF6C24" w14:textId="77777777" w:rsidR="00747234" w:rsidRDefault="00747234" w:rsidP="00747234">
      <w:pPr>
        <w:pStyle w:val="ListParagraph"/>
        <w:ind w:left="1224"/>
      </w:pPr>
    </w:p>
    <w:p w14:paraId="41CE799A" w14:textId="2476C3BF" w:rsidR="00747234" w:rsidRDefault="00747234" w:rsidP="00747234">
      <w:pPr>
        <w:pStyle w:val="ListParagraph"/>
        <w:ind w:left="1440"/>
      </w:pPr>
      <w:r>
        <w:t>The Good Practice Guide requires the organisation to have adequately trained personnel to carry out transfusion related activities and to maintain the Quality Management System. There should be a documented justification of the resourcing of the HBB</w:t>
      </w:r>
      <w:r w:rsidR="00701436">
        <w:t xml:space="preserve"> including laboratory equipment such as analysers</w:t>
      </w:r>
      <w:r>
        <w:t>.</w:t>
      </w:r>
    </w:p>
    <w:p w14:paraId="13FC342C" w14:textId="77777777" w:rsidR="00747234" w:rsidRDefault="00747234" w:rsidP="00747234">
      <w:pPr>
        <w:pStyle w:val="ListParagraph"/>
        <w:ind w:left="1224"/>
      </w:pPr>
    </w:p>
    <w:p w14:paraId="59DBA64A" w14:textId="091D8CE2" w:rsidR="00747234" w:rsidRDefault="00747234" w:rsidP="00F71D9A">
      <w:pPr>
        <w:pStyle w:val="ListParagraph"/>
        <w:numPr>
          <w:ilvl w:val="2"/>
          <w:numId w:val="15"/>
        </w:numPr>
      </w:pPr>
      <w:r>
        <w:t xml:space="preserve">Question </w:t>
      </w:r>
      <w:r w:rsidR="00E92CDE">
        <w:t>E</w:t>
      </w:r>
      <w:r>
        <w:t>7.4 – Staffing issues</w:t>
      </w:r>
    </w:p>
    <w:p w14:paraId="5021DA7A" w14:textId="77777777" w:rsidR="00747234" w:rsidRDefault="00747234" w:rsidP="00747234">
      <w:pPr>
        <w:pStyle w:val="ListParagraph"/>
        <w:ind w:left="1224"/>
      </w:pPr>
    </w:p>
    <w:p w14:paraId="6D1F7E87" w14:textId="77777777" w:rsidR="00747234" w:rsidRPr="00747234" w:rsidRDefault="00747234" w:rsidP="00747234">
      <w:pPr>
        <w:pStyle w:val="ListParagraph"/>
        <w:ind w:left="1080" w:firstLine="360"/>
      </w:pPr>
      <w:r w:rsidRPr="00747234">
        <w:t>Only a numerical answer is accepted. Please do not enter No or Yes.</w:t>
      </w:r>
    </w:p>
    <w:p w14:paraId="6C45F494" w14:textId="77777777" w:rsidR="00747234" w:rsidRPr="00747234" w:rsidRDefault="00747234" w:rsidP="00747234">
      <w:pPr>
        <w:pStyle w:val="ListParagraph"/>
        <w:ind w:left="1080" w:firstLine="360"/>
      </w:pPr>
      <w:r w:rsidRPr="00747234">
        <w:t>If there is no impact, please enter “0”.</w:t>
      </w:r>
    </w:p>
    <w:p w14:paraId="52C4D590" w14:textId="3DC753C9" w:rsidR="00747234" w:rsidRDefault="00747234" w:rsidP="00747234">
      <w:pPr>
        <w:pStyle w:val="ListParagraph"/>
        <w:ind w:left="1440"/>
      </w:pPr>
      <w:r w:rsidRPr="00747234">
        <w:t>If there is impact due to on-going staff issues, please enter the level of understaffing (average during the reporting year) as a decimal fraction (i.e. if 20% understaffing,</w:t>
      </w:r>
      <w:r>
        <w:t xml:space="preserve"> enter 0.20).</w:t>
      </w:r>
    </w:p>
    <w:p w14:paraId="740C8911" w14:textId="77777777" w:rsidR="00747234" w:rsidRDefault="00747234" w:rsidP="00747234">
      <w:pPr>
        <w:pStyle w:val="ListParagraph"/>
        <w:ind w:left="1080"/>
      </w:pPr>
    </w:p>
    <w:p w14:paraId="6441E2A2" w14:textId="2DF900CF" w:rsidR="00747234" w:rsidRDefault="00747234" w:rsidP="00747234">
      <w:pPr>
        <w:pStyle w:val="ListParagraph"/>
        <w:numPr>
          <w:ilvl w:val="1"/>
          <w:numId w:val="15"/>
        </w:numPr>
      </w:pPr>
      <w:r>
        <w:t xml:space="preserve">Section </w:t>
      </w:r>
      <w:r w:rsidR="00DE6531">
        <w:t>F</w:t>
      </w:r>
    </w:p>
    <w:p w14:paraId="44A0C962" w14:textId="77777777" w:rsidR="0043275A" w:rsidRDefault="0043275A" w:rsidP="0043275A">
      <w:pPr>
        <w:pStyle w:val="ListParagraph"/>
        <w:ind w:left="792"/>
      </w:pPr>
    </w:p>
    <w:p w14:paraId="681FFB4F" w14:textId="4DB27345" w:rsidR="0043275A" w:rsidRDefault="0043275A" w:rsidP="0043275A">
      <w:pPr>
        <w:pStyle w:val="ListParagraph"/>
        <w:numPr>
          <w:ilvl w:val="2"/>
          <w:numId w:val="15"/>
        </w:numPr>
      </w:pPr>
      <w:r>
        <w:t xml:space="preserve">Question </w:t>
      </w:r>
      <w:r w:rsidR="00E92CDE">
        <w:t>F</w:t>
      </w:r>
      <w:r>
        <w:t xml:space="preserve">5 – </w:t>
      </w:r>
      <w:r w:rsidR="002A3B81">
        <w:t>T</w:t>
      </w:r>
      <w:r>
        <w:t>raining for laboratory staff</w:t>
      </w:r>
    </w:p>
    <w:p w14:paraId="31A0E1C9" w14:textId="0402ADD8" w:rsidR="0043275A" w:rsidRDefault="0043275A" w:rsidP="0043275A">
      <w:pPr>
        <w:pStyle w:val="ListParagraph"/>
        <w:ind w:left="1224"/>
      </w:pPr>
    </w:p>
    <w:p w14:paraId="75D3F86E" w14:textId="714D417E" w:rsidR="0043275A" w:rsidRDefault="0043275A" w:rsidP="0043275A">
      <w:pPr>
        <w:pStyle w:val="ListParagraph"/>
        <w:ind w:left="1440"/>
      </w:pPr>
      <w:r w:rsidRPr="004E20A2">
        <w:t xml:space="preserve">This question </w:t>
      </w:r>
      <w:r w:rsidR="00A47517" w:rsidRPr="004E20A2">
        <w:t>asking whether</w:t>
      </w:r>
      <w:r w:rsidRPr="004E20A2">
        <w:t xml:space="preserve"> all staff performing tasks unsupervised have documented training in place.</w:t>
      </w:r>
      <w:r w:rsidR="00A47517" w:rsidRPr="004E20A2">
        <w:t xml:space="preserve"> This includes staff that may </w:t>
      </w:r>
      <w:r w:rsidR="002A3B81" w:rsidRPr="004E20A2">
        <w:t xml:space="preserve">work out of hours alone and </w:t>
      </w:r>
      <w:r w:rsidR="00FA4419" w:rsidRPr="004E20A2">
        <w:t xml:space="preserve">locums and </w:t>
      </w:r>
      <w:r w:rsidR="002A3B81" w:rsidRPr="004E20A2">
        <w:t>would require competence in key quality systems such as incident reporting as well as pre-transfusion tests.</w:t>
      </w:r>
    </w:p>
    <w:p w14:paraId="5508CD80" w14:textId="77777777" w:rsidR="00E92CDE" w:rsidRDefault="00E92CDE" w:rsidP="0043275A">
      <w:pPr>
        <w:pStyle w:val="ListParagraph"/>
        <w:ind w:left="1440"/>
      </w:pPr>
    </w:p>
    <w:p w14:paraId="0E65766C" w14:textId="77777777" w:rsidR="00DE6531" w:rsidRDefault="00DE6531" w:rsidP="00DE6531">
      <w:pPr>
        <w:pStyle w:val="ListParagraph"/>
        <w:ind w:left="792"/>
      </w:pPr>
    </w:p>
    <w:p w14:paraId="5F2E6DAD" w14:textId="325AC93E" w:rsidR="00DE6531" w:rsidRDefault="00DE6531" w:rsidP="00747234">
      <w:pPr>
        <w:pStyle w:val="ListParagraph"/>
        <w:numPr>
          <w:ilvl w:val="1"/>
          <w:numId w:val="15"/>
        </w:numPr>
      </w:pPr>
      <w:r>
        <w:t xml:space="preserve">Section </w:t>
      </w:r>
      <w:r w:rsidR="00E92CDE">
        <w:t>G</w:t>
      </w:r>
    </w:p>
    <w:p w14:paraId="742A1A42" w14:textId="707A87F6" w:rsidR="00104262" w:rsidRDefault="00104262" w:rsidP="00E92CDE">
      <w:pPr>
        <w:pStyle w:val="ListParagraph"/>
        <w:numPr>
          <w:ilvl w:val="2"/>
          <w:numId w:val="15"/>
        </w:numPr>
      </w:pPr>
      <w:r>
        <w:t>Question G1.6</w:t>
      </w:r>
      <w:r w:rsidR="00227188">
        <w:t xml:space="preserve"> (NEW)</w:t>
      </w:r>
      <w:r>
        <w:t xml:space="preserve"> –Compliance with</w:t>
      </w:r>
      <w:r w:rsidR="001141A8">
        <w:t xml:space="preserve"> Good Practice Guide </w:t>
      </w:r>
      <w:r w:rsidR="004F154A">
        <w:t>21</w:t>
      </w:r>
      <w:r w:rsidR="004F154A" w:rsidRPr="00E177DF">
        <w:rPr>
          <w:vertAlign w:val="superscript"/>
        </w:rPr>
        <w:t>st</w:t>
      </w:r>
      <w:r w:rsidR="004F154A">
        <w:t xml:space="preserve"> Edition</w:t>
      </w:r>
    </w:p>
    <w:p w14:paraId="12CD97AB" w14:textId="77777777" w:rsidR="004F154A" w:rsidRDefault="004F154A" w:rsidP="004F154A">
      <w:pPr>
        <w:pStyle w:val="ListParagraph"/>
        <w:ind w:left="1440"/>
      </w:pPr>
    </w:p>
    <w:p w14:paraId="32E6B81B" w14:textId="2151F501" w:rsidR="004F154A" w:rsidRDefault="004F154A" w:rsidP="004F154A">
      <w:pPr>
        <w:pStyle w:val="ListParagraph"/>
        <w:ind w:left="1440"/>
      </w:pPr>
      <w:r>
        <w:t xml:space="preserve">This question has been changed, it is asking whether a gap analysis has been performed </w:t>
      </w:r>
      <w:r w:rsidR="004E0FBF">
        <w:t>to ensure that the Quality Management System meets the requirements of EDQM Guide to the preparation</w:t>
      </w:r>
      <w:r w:rsidR="00F718C9">
        <w:t>, use and quality assurance of Blood components 21</w:t>
      </w:r>
      <w:r w:rsidR="00F718C9" w:rsidRPr="00E177DF">
        <w:rPr>
          <w:vertAlign w:val="superscript"/>
        </w:rPr>
        <w:t>st</w:t>
      </w:r>
      <w:r w:rsidR="00F718C9">
        <w:t xml:space="preserve"> Edition 2023.</w:t>
      </w:r>
    </w:p>
    <w:p w14:paraId="79AED90E" w14:textId="77777777" w:rsidR="00F718C9" w:rsidRDefault="00F718C9" w:rsidP="00E177DF">
      <w:pPr>
        <w:pStyle w:val="ListParagraph"/>
        <w:ind w:left="1440"/>
      </w:pPr>
    </w:p>
    <w:p w14:paraId="5FE7204B" w14:textId="7CCD89BD" w:rsidR="00E92CDE" w:rsidRDefault="00E92CDE" w:rsidP="00E92CDE">
      <w:pPr>
        <w:pStyle w:val="ListParagraph"/>
        <w:numPr>
          <w:ilvl w:val="2"/>
          <w:numId w:val="15"/>
        </w:numPr>
      </w:pPr>
      <w:r>
        <w:t>Question G1.7 – Senior management oversight</w:t>
      </w:r>
    </w:p>
    <w:p w14:paraId="01253D68" w14:textId="0CB15D0E" w:rsidR="00E92CDE" w:rsidRDefault="00E92CDE" w:rsidP="00E92CDE">
      <w:pPr>
        <w:pStyle w:val="ListParagraph"/>
        <w:ind w:left="1224"/>
      </w:pPr>
    </w:p>
    <w:p w14:paraId="0B4BA441" w14:textId="42582DFB" w:rsidR="00E92CDE" w:rsidRDefault="00E92CDE" w:rsidP="00E92CDE">
      <w:pPr>
        <w:pStyle w:val="ListParagraph"/>
        <w:ind w:left="1440"/>
      </w:pPr>
      <w:r>
        <w:t xml:space="preserve">An answer of </w:t>
      </w:r>
      <w:r w:rsidR="00F7053C">
        <w:t>“Yes”</w:t>
      </w:r>
      <w:r>
        <w:t xml:space="preserve"> to this question should only be used where there is documented review of the QMS, at for example meetings attended by senior management, and where </w:t>
      </w:r>
      <w:r w:rsidR="00701436">
        <w:t xml:space="preserve">there are </w:t>
      </w:r>
      <w:r>
        <w:t xml:space="preserve">issues such as overdue CAPA, audits, change controls </w:t>
      </w:r>
      <w:r w:rsidR="00701436">
        <w:t xml:space="preserve">discussed </w:t>
      </w:r>
      <w:r>
        <w:t>that there are documented actions supported by senior management.</w:t>
      </w:r>
    </w:p>
    <w:p w14:paraId="57A9EEBF" w14:textId="77777777" w:rsidR="00E92CDE" w:rsidRDefault="00E92CDE" w:rsidP="00E92CDE">
      <w:pPr>
        <w:pStyle w:val="ListParagraph"/>
        <w:ind w:left="1440"/>
      </w:pPr>
    </w:p>
    <w:p w14:paraId="71170B45" w14:textId="0CE29795" w:rsidR="00E92CDE" w:rsidRDefault="00E92CDE" w:rsidP="00747234">
      <w:pPr>
        <w:pStyle w:val="ListParagraph"/>
        <w:numPr>
          <w:ilvl w:val="1"/>
          <w:numId w:val="15"/>
        </w:numPr>
      </w:pPr>
      <w:r>
        <w:t>Section H</w:t>
      </w:r>
    </w:p>
    <w:p w14:paraId="6DCD8370" w14:textId="77777777" w:rsidR="00747234" w:rsidRDefault="00747234" w:rsidP="00747234">
      <w:pPr>
        <w:pStyle w:val="ListParagraph"/>
        <w:ind w:left="1224"/>
      </w:pPr>
    </w:p>
    <w:p w14:paraId="3C54DA58" w14:textId="2C42AC0E" w:rsidR="002030D8" w:rsidRDefault="002030D8" w:rsidP="00F71D9A">
      <w:pPr>
        <w:pStyle w:val="ListParagraph"/>
        <w:numPr>
          <w:ilvl w:val="2"/>
          <w:numId w:val="15"/>
        </w:numPr>
      </w:pPr>
      <w:r>
        <w:t>Question H3 – trending of incidents</w:t>
      </w:r>
    </w:p>
    <w:p w14:paraId="6E0BB781" w14:textId="528BB40B" w:rsidR="002030D8" w:rsidRDefault="002030D8" w:rsidP="002030D8">
      <w:pPr>
        <w:pStyle w:val="ListParagraph"/>
        <w:ind w:left="1440"/>
      </w:pPr>
    </w:p>
    <w:p w14:paraId="4938EFA9" w14:textId="65B660EF" w:rsidR="002030D8" w:rsidRDefault="002030D8" w:rsidP="002030D8">
      <w:pPr>
        <w:pStyle w:val="ListParagraph"/>
        <w:ind w:left="1440"/>
      </w:pPr>
      <w:r>
        <w:t>Incidents should be analysed to identify quality problems that may require corrective action or to identify unfavourable trends that may require preventative action.</w:t>
      </w:r>
    </w:p>
    <w:p w14:paraId="20B198E7" w14:textId="77777777" w:rsidR="002030D8" w:rsidRDefault="002030D8" w:rsidP="002030D8">
      <w:pPr>
        <w:pStyle w:val="ListParagraph"/>
        <w:ind w:left="1440"/>
      </w:pPr>
    </w:p>
    <w:p w14:paraId="7BE97766" w14:textId="4D9B43A4" w:rsidR="00E431EB" w:rsidRDefault="00E431EB" w:rsidP="00F71D9A">
      <w:pPr>
        <w:pStyle w:val="ListParagraph"/>
        <w:numPr>
          <w:ilvl w:val="2"/>
          <w:numId w:val="15"/>
        </w:numPr>
      </w:pPr>
      <w:r>
        <w:t>Question H4</w:t>
      </w:r>
      <w:r w:rsidR="00227188">
        <w:t xml:space="preserve"> (NEW)</w:t>
      </w:r>
      <w:r>
        <w:t xml:space="preserve"> – Potential for harm</w:t>
      </w:r>
    </w:p>
    <w:p w14:paraId="61043FEC" w14:textId="77777777" w:rsidR="00E431EB" w:rsidRDefault="00E431EB" w:rsidP="00E431EB">
      <w:pPr>
        <w:pStyle w:val="ListParagraph"/>
        <w:ind w:left="1224"/>
      </w:pPr>
    </w:p>
    <w:p w14:paraId="3A2B641E" w14:textId="00AA0828" w:rsidR="00E431EB" w:rsidRDefault="00457256" w:rsidP="00E431EB">
      <w:pPr>
        <w:pStyle w:val="ListParagraph"/>
        <w:ind w:left="1440"/>
      </w:pPr>
      <w:r>
        <w:t xml:space="preserve">The question has been changed and clarified to ask where there is a procedural requirement </w:t>
      </w:r>
      <w:r w:rsidR="00F301FC">
        <w:t xml:space="preserve">for investigations to </w:t>
      </w:r>
      <w:r w:rsidR="00AA28A6">
        <w:t xml:space="preserve">assess the ‘potential for harm for this type of incident’ and not the ‘actual harm caused by the incident under investigation’ alone. </w:t>
      </w:r>
    </w:p>
    <w:p w14:paraId="73616E4E" w14:textId="77777777" w:rsidR="00E431EB" w:rsidRDefault="00E431EB" w:rsidP="00E431EB"/>
    <w:p w14:paraId="19289509" w14:textId="75E48B6F" w:rsidR="00E431EB" w:rsidRDefault="00E431EB" w:rsidP="00F71D9A">
      <w:pPr>
        <w:pStyle w:val="ListParagraph"/>
        <w:numPr>
          <w:ilvl w:val="2"/>
          <w:numId w:val="15"/>
        </w:numPr>
      </w:pPr>
      <w:r>
        <w:t>Question H5 – Timescale</w:t>
      </w:r>
    </w:p>
    <w:p w14:paraId="5AEA857F" w14:textId="5BC61024" w:rsidR="00E431EB" w:rsidRDefault="00E431EB" w:rsidP="00E431EB">
      <w:pPr>
        <w:pStyle w:val="ListParagraph"/>
        <w:ind w:left="1440"/>
      </w:pPr>
    </w:p>
    <w:p w14:paraId="586627CB" w14:textId="500ACF61" w:rsidR="00E431EB" w:rsidRDefault="00E431EB" w:rsidP="00E431EB">
      <w:pPr>
        <w:pStyle w:val="ListParagraph"/>
        <w:ind w:left="1440"/>
      </w:pPr>
      <w:r>
        <w:t>Note this timescale is for investigation of the incident and does not include CAPA.</w:t>
      </w:r>
    </w:p>
    <w:p w14:paraId="49C29D1F" w14:textId="77777777" w:rsidR="00E431EB" w:rsidRDefault="00E431EB" w:rsidP="00E431EB"/>
    <w:p w14:paraId="0DC257DB" w14:textId="3B55228B" w:rsidR="00747234" w:rsidRDefault="00747234" w:rsidP="00F71D9A">
      <w:pPr>
        <w:pStyle w:val="ListParagraph"/>
        <w:numPr>
          <w:ilvl w:val="2"/>
          <w:numId w:val="15"/>
        </w:numPr>
      </w:pPr>
      <w:r w:rsidRPr="00747234">
        <w:t xml:space="preserve">Question H5.2 </w:t>
      </w:r>
      <w:r>
        <w:t>–</w:t>
      </w:r>
      <w:r w:rsidRPr="00747234">
        <w:t xml:space="preserve"> </w:t>
      </w:r>
      <w:r>
        <w:t>Open investigations</w:t>
      </w:r>
    </w:p>
    <w:p w14:paraId="4C1AFB86" w14:textId="7B10DACF" w:rsidR="002030D8" w:rsidRDefault="002030D8" w:rsidP="002030D8">
      <w:pPr>
        <w:pStyle w:val="ListParagraph"/>
        <w:ind w:left="1440"/>
      </w:pPr>
    </w:p>
    <w:p w14:paraId="50A7239F" w14:textId="1F8A150E" w:rsidR="002030D8" w:rsidRDefault="002030D8" w:rsidP="002030D8">
      <w:pPr>
        <w:pStyle w:val="ListParagraph"/>
        <w:ind w:left="1440"/>
      </w:pPr>
      <w:r w:rsidRPr="002030D8">
        <w:t xml:space="preserve">This is a snapshot of the number of investigations that remained open on 1st </w:t>
      </w:r>
      <w:r w:rsidRPr="00191BCA">
        <w:t>December 202</w:t>
      </w:r>
      <w:r w:rsidR="004E20A2" w:rsidRPr="00191BCA">
        <w:t>4</w:t>
      </w:r>
      <w:r w:rsidRPr="002030D8">
        <w:t xml:space="preserve"> therefore please include all investigations that remained open and were overdue by more than a month on 1st December. You do not need to include for example an investigation that was overdue by two months but was closed in Oct 202</w:t>
      </w:r>
      <w:r w:rsidR="004E20A2">
        <w:t>4</w:t>
      </w:r>
      <w:r w:rsidRPr="002030D8">
        <w:t>.</w:t>
      </w:r>
    </w:p>
    <w:p w14:paraId="4956DB18" w14:textId="77777777" w:rsidR="002030D8" w:rsidRDefault="002030D8" w:rsidP="002030D8">
      <w:pPr>
        <w:pStyle w:val="ListParagraph"/>
        <w:ind w:left="1224"/>
      </w:pPr>
    </w:p>
    <w:p w14:paraId="09FC9E64" w14:textId="16079AFC" w:rsidR="002030D8" w:rsidRPr="00E177DF" w:rsidRDefault="002030D8" w:rsidP="00F71D9A">
      <w:pPr>
        <w:pStyle w:val="ListParagraph"/>
        <w:numPr>
          <w:ilvl w:val="2"/>
          <w:numId w:val="15"/>
        </w:numPr>
      </w:pPr>
      <w:r w:rsidRPr="00E177DF">
        <w:t>Question H10</w:t>
      </w:r>
      <w:r w:rsidR="001D17F2" w:rsidRPr="00E177DF">
        <w:t xml:space="preserve"> </w:t>
      </w:r>
    </w:p>
    <w:p w14:paraId="3D4A90BE" w14:textId="77777777" w:rsidR="00747234" w:rsidRDefault="00747234" w:rsidP="002030D8"/>
    <w:p w14:paraId="4C2180B9" w14:textId="1751667B" w:rsidR="00747234" w:rsidRDefault="002030D8" w:rsidP="00747234">
      <w:pPr>
        <w:pStyle w:val="ListParagraph"/>
        <w:ind w:left="1440"/>
      </w:pPr>
      <w:bookmarkStart w:id="3" w:name="_Hlk97887553"/>
      <w:r>
        <w:t xml:space="preserve">Personnel must be </w:t>
      </w:r>
      <w:r w:rsidR="001D17F2">
        <w:t xml:space="preserve">trained appropriately for their specific </w:t>
      </w:r>
      <w:proofErr w:type="gramStart"/>
      <w:r w:rsidR="001D17F2">
        <w:t>tasks</w:t>
      </w:r>
      <w:proofErr w:type="gramEnd"/>
      <w:r w:rsidR="001D17F2">
        <w:t xml:space="preserve"> and this includes quality related tasks.</w:t>
      </w:r>
    </w:p>
    <w:bookmarkEnd w:id="3"/>
    <w:p w14:paraId="07C214B6" w14:textId="77777777" w:rsidR="002030D8" w:rsidRDefault="002030D8" w:rsidP="00747234">
      <w:pPr>
        <w:pStyle w:val="ListParagraph"/>
        <w:ind w:left="1440"/>
      </w:pPr>
    </w:p>
    <w:p w14:paraId="2C5EF1E9" w14:textId="77777777" w:rsidR="00747234" w:rsidRDefault="00747234" w:rsidP="00747234">
      <w:pPr>
        <w:pStyle w:val="ListParagraph"/>
        <w:ind w:left="1224"/>
      </w:pPr>
    </w:p>
    <w:p w14:paraId="5B6A671D" w14:textId="748E9088" w:rsidR="00747234" w:rsidRDefault="00747234" w:rsidP="00747234">
      <w:pPr>
        <w:pStyle w:val="ListParagraph"/>
        <w:numPr>
          <w:ilvl w:val="1"/>
          <w:numId w:val="15"/>
        </w:numPr>
      </w:pPr>
      <w:r>
        <w:t xml:space="preserve">Section </w:t>
      </w:r>
      <w:r w:rsidR="00DE6531">
        <w:t>I</w:t>
      </w:r>
    </w:p>
    <w:p w14:paraId="1C4BA583" w14:textId="77777777" w:rsidR="002A3B81" w:rsidRDefault="002A3B81" w:rsidP="002A3B81">
      <w:pPr>
        <w:pStyle w:val="ListParagraph"/>
        <w:ind w:left="792"/>
      </w:pPr>
    </w:p>
    <w:p w14:paraId="63FC9C01" w14:textId="0F7DB489" w:rsidR="00C47890" w:rsidRDefault="00C47890" w:rsidP="002A3B81">
      <w:pPr>
        <w:pStyle w:val="ListParagraph"/>
        <w:numPr>
          <w:ilvl w:val="2"/>
          <w:numId w:val="15"/>
        </w:numPr>
      </w:pPr>
      <w:r>
        <w:t xml:space="preserve">Question I1.2 </w:t>
      </w:r>
      <w:r w:rsidR="00A50D23">
        <w:t>–</w:t>
      </w:r>
      <w:r>
        <w:t xml:space="preserve"> </w:t>
      </w:r>
      <w:r w:rsidR="00A50D23">
        <w:t>Timelines for recall completion</w:t>
      </w:r>
    </w:p>
    <w:p w14:paraId="3512633A" w14:textId="77777777" w:rsidR="00A50D23" w:rsidRDefault="00A50D23" w:rsidP="00A50D23">
      <w:pPr>
        <w:pStyle w:val="ListParagraph"/>
        <w:ind w:left="1440"/>
      </w:pPr>
    </w:p>
    <w:p w14:paraId="58824C05" w14:textId="26C78C13" w:rsidR="00A50D23" w:rsidRDefault="00A50D23" w:rsidP="00A50D23">
      <w:pPr>
        <w:pStyle w:val="ListParagraph"/>
        <w:ind w:left="1440"/>
      </w:pPr>
      <w:r>
        <w:t>This is a new question</w:t>
      </w:r>
      <w:r w:rsidR="00041768">
        <w:t>, timelines for the completion of recalls should be prescribed in the relevant procedure.</w:t>
      </w:r>
    </w:p>
    <w:p w14:paraId="75E4FCDF" w14:textId="77777777" w:rsidR="00A50D23" w:rsidRDefault="00A50D23" w:rsidP="00E177DF">
      <w:pPr>
        <w:pStyle w:val="ListParagraph"/>
        <w:ind w:left="1440"/>
      </w:pPr>
    </w:p>
    <w:p w14:paraId="208DA20D" w14:textId="05C14EE7" w:rsidR="002A3B81" w:rsidRDefault="002A3B81" w:rsidP="002A3B81">
      <w:pPr>
        <w:pStyle w:val="ListParagraph"/>
        <w:numPr>
          <w:ilvl w:val="2"/>
          <w:numId w:val="15"/>
        </w:numPr>
      </w:pPr>
      <w:r>
        <w:t xml:space="preserve">Question </w:t>
      </w:r>
      <w:r w:rsidR="0018641C">
        <w:t>I</w:t>
      </w:r>
      <w:r>
        <w:t>1.4 – Effectiveness of recall</w:t>
      </w:r>
    </w:p>
    <w:p w14:paraId="65079B8C" w14:textId="6FE746C3" w:rsidR="002A3B81" w:rsidRDefault="002A3B81" w:rsidP="002A3B81">
      <w:pPr>
        <w:pStyle w:val="ListParagraph"/>
        <w:ind w:left="1224"/>
      </w:pPr>
    </w:p>
    <w:p w14:paraId="16929F2D" w14:textId="47D6CC32" w:rsidR="002A3B81" w:rsidRDefault="002A3B81" w:rsidP="002A3B81">
      <w:pPr>
        <w:pStyle w:val="ListParagraph"/>
        <w:ind w:left="1440"/>
      </w:pPr>
      <w:r>
        <w:t xml:space="preserve">The effectiveness of the arrangements for recalls should be regularly evaluated. This question is asking whether your evaluation considers all forms of recall including internal recalls in your schedule of evaluation. If you have had several external </w:t>
      </w:r>
      <w:r w:rsidR="001A16B0">
        <w:t>recalls,</w:t>
      </w:r>
      <w:r>
        <w:t xml:space="preserve"> then these may be reviewed but internal recall</w:t>
      </w:r>
      <w:r w:rsidR="005E1732">
        <w:t xml:space="preserve"> </w:t>
      </w:r>
      <w:r>
        <w:t>may need to be carried out via a ‘mock’ recall.</w:t>
      </w:r>
      <w:r w:rsidR="001A16B0">
        <w:t xml:space="preserve"> Consideration should be given to different scenarios in internal recall such as analyser test card failure.</w:t>
      </w:r>
    </w:p>
    <w:p w14:paraId="6DDFADE9" w14:textId="77777777" w:rsidR="00DE6531" w:rsidRDefault="00DE6531" w:rsidP="002A3B81"/>
    <w:p w14:paraId="15D85CCC" w14:textId="3CD16EB8" w:rsidR="00DE6531" w:rsidRDefault="00DE6531" w:rsidP="00747234">
      <w:pPr>
        <w:pStyle w:val="ListParagraph"/>
        <w:numPr>
          <w:ilvl w:val="1"/>
          <w:numId w:val="15"/>
        </w:numPr>
      </w:pPr>
      <w:r>
        <w:t xml:space="preserve">Section </w:t>
      </w:r>
      <w:r w:rsidR="001D17F2">
        <w:t>J</w:t>
      </w:r>
    </w:p>
    <w:p w14:paraId="59C4A4D6" w14:textId="67F47983" w:rsidR="001D17F2" w:rsidRDefault="001D17F2" w:rsidP="001D17F2">
      <w:pPr>
        <w:pStyle w:val="ListParagraph"/>
        <w:ind w:left="1440"/>
      </w:pPr>
    </w:p>
    <w:p w14:paraId="28E67347" w14:textId="372B48D2" w:rsidR="001D17F2" w:rsidRDefault="00C83C6A" w:rsidP="001D17F2">
      <w:pPr>
        <w:pStyle w:val="ListParagraph"/>
        <w:ind w:left="1440"/>
      </w:pPr>
      <w:r>
        <w:t>I</w:t>
      </w:r>
      <w:r w:rsidR="001D17F2">
        <w:t>nvestigation</w:t>
      </w:r>
      <w:r>
        <w:t xml:space="preserve"> and reporting</w:t>
      </w:r>
      <w:r w:rsidR="001D17F2">
        <w:t xml:space="preserve"> of serious adverse events (SAE) and serious adverse reactions (SAR)</w:t>
      </w:r>
      <w:r>
        <w:t xml:space="preserve"> should be perfo</w:t>
      </w:r>
      <w:r w:rsidR="00D64ABB">
        <w:t>rmed in a timely manner.</w:t>
      </w:r>
    </w:p>
    <w:p w14:paraId="1BF31009" w14:textId="77777777" w:rsidR="001D17F2" w:rsidRDefault="001D17F2" w:rsidP="001D17F2">
      <w:pPr>
        <w:pStyle w:val="ListParagraph"/>
        <w:ind w:left="792"/>
      </w:pPr>
    </w:p>
    <w:p w14:paraId="19D59655" w14:textId="435F3C31" w:rsidR="001D17F2" w:rsidRDefault="001D17F2" w:rsidP="00747234">
      <w:pPr>
        <w:pStyle w:val="ListParagraph"/>
        <w:numPr>
          <w:ilvl w:val="1"/>
          <w:numId w:val="15"/>
        </w:numPr>
      </w:pPr>
      <w:r>
        <w:t>Section L</w:t>
      </w:r>
    </w:p>
    <w:p w14:paraId="4C137A9B" w14:textId="77777777" w:rsidR="00DE6531" w:rsidRDefault="00DE6531" w:rsidP="00DE6531">
      <w:pPr>
        <w:pStyle w:val="ListParagraph"/>
        <w:ind w:left="792"/>
      </w:pPr>
    </w:p>
    <w:p w14:paraId="6EE5032F" w14:textId="19CB10C5" w:rsidR="00DE6531" w:rsidRDefault="00DE6531" w:rsidP="00DE6531">
      <w:pPr>
        <w:pStyle w:val="ListParagraph"/>
        <w:numPr>
          <w:ilvl w:val="2"/>
          <w:numId w:val="15"/>
        </w:numPr>
      </w:pPr>
      <w:r>
        <w:t>Question L1.6 – Open audit non-conformances</w:t>
      </w:r>
    </w:p>
    <w:p w14:paraId="1E4F16C2" w14:textId="77777777" w:rsidR="00E92CDE" w:rsidRDefault="00E92CDE" w:rsidP="00E92CDE">
      <w:pPr>
        <w:pStyle w:val="ListParagraph"/>
        <w:ind w:left="1224"/>
      </w:pPr>
    </w:p>
    <w:p w14:paraId="184BF728" w14:textId="09E2E807" w:rsidR="00E92CDE" w:rsidRDefault="00E92CDE" w:rsidP="00E92CDE">
      <w:pPr>
        <w:pStyle w:val="ListParagraph"/>
        <w:ind w:left="1440"/>
      </w:pPr>
      <w:r w:rsidRPr="00DE6531">
        <w:t xml:space="preserve">This is a snapshot of the number of audit non-conformances that remained open on </w:t>
      </w:r>
      <w:proofErr w:type="gramStart"/>
      <w:r w:rsidRPr="00DE6531">
        <w:t>1st December 20</w:t>
      </w:r>
      <w:r w:rsidR="004F4AA0">
        <w:t>2</w:t>
      </w:r>
      <w:r w:rsidR="0049229F">
        <w:t>4</w:t>
      </w:r>
      <w:proofErr w:type="gramEnd"/>
      <w:r w:rsidR="001D17F2">
        <w:t xml:space="preserve"> </w:t>
      </w:r>
      <w:r w:rsidRPr="00DE6531">
        <w:t>therefore</w:t>
      </w:r>
      <w:r w:rsidR="001F3DE2">
        <w:t>,</w:t>
      </w:r>
      <w:r w:rsidRPr="00DE6531">
        <w:t xml:space="preserve"> please include all non-conformances that remained open and were overdue by more than a month on 1st December. You do not need to include for example a non-conformance that was overdue by two months but was closed in Oct 20</w:t>
      </w:r>
      <w:r w:rsidR="004F4AA0">
        <w:t>2</w:t>
      </w:r>
      <w:r w:rsidR="0049229F">
        <w:t>4</w:t>
      </w:r>
      <w:r w:rsidRPr="00DE6531">
        <w:t>.</w:t>
      </w:r>
    </w:p>
    <w:p w14:paraId="7B49B2E8" w14:textId="77777777" w:rsidR="00DE6531" w:rsidRDefault="00DE6531" w:rsidP="00032FDD"/>
    <w:p w14:paraId="0B008905" w14:textId="42782407" w:rsidR="0018641C" w:rsidRDefault="00DE6531" w:rsidP="00032FDD">
      <w:pPr>
        <w:pStyle w:val="ListParagraph"/>
        <w:numPr>
          <w:ilvl w:val="1"/>
          <w:numId w:val="15"/>
        </w:numPr>
      </w:pPr>
      <w:r>
        <w:t>Section N</w:t>
      </w:r>
    </w:p>
    <w:p w14:paraId="413DF9BB" w14:textId="77777777" w:rsidR="0000030A" w:rsidRDefault="0000030A" w:rsidP="0000030A">
      <w:pPr>
        <w:pStyle w:val="ListParagraph"/>
        <w:ind w:left="1728"/>
      </w:pPr>
    </w:p>
    <w:p w14:paraId="2CA2C790" w14:textId="03104CA0" w:rsidR="00B30302" w:rsidRDefault="00B30302" w:rsidP="00B30302">
      <w:pPr>
        <w:pStyle w:val="ListParagraph"/>
        <w:numPr>
          <w:ilvl w:val="2"/>
          <w:numId w:val="15"/>
        </w:numPr>
      </w:pPr>
      <w:r>
        <w:t>Question N4</w:t>
      </w:r>
      <w:r w:rsidR="00B92E4E">
        <w:t xml:space="preserve"> Validation Master Plan</w:t>
      </w:r>
    </w:p>
    <w:p w14:paraId="0AE0FE87" w14:textId="77777777" w:rsidR="00B30302" w:rsidRDefault="00B30302" w:rsidP="00B92E4E">
      <w:pPr>
        <w:ind w:left="720"/>
      </w:pPr>
    </w:p>
    <w:p w14:paraId="63A3B4EB" w14:textId="40F6884A" w:rsidR="00B92E4E" w:rsidRDefault="00502139" w:rsidP="00B92E4E">
      <w:pPr>
        <w:ind w:left="720"/>
      </w:pPr>
      <w:r>
        <w:t xml:space="preserve">A documented validation master plan should be in place in accordance with </w:t>
      </w:r>
      <w:r w:rsidR="00F17219">
        <w:t>GPG 4.3.</w:t>
      </w:r>
    </w:p>
    <w:p w14:paraId="4A860960" w14:textId="77777777" w:rsidR="00B92E4E" w:rsidRDefault="00B92E4E" w:rsidP="00E177DF">
      <w:pPr>
        <w:ind w:left="720"/>
      </w:pPr>
    </w:p>
    <w:p w14:paraId="4CDE064A" w14:textId="2189FA26" w:rsidR="0000030A" w:rsidRDefault="0000030A" w:rsidP="0018641C">
      <w:pPr>
        <w:pStyle w:val="ListParagraph"/>
        <w:numPr>
          <w:ilvl w:val="2"/>
          <w:numId w:val="15"/>
        </w:numPr>
      </w:pPr>
      <w:r>
        <w:t>Question N7.2 – Transport over 30 minutes</w:t>
      </w:r>
    </w:p>
    <w:p w14:paraId="5C95B377" w14:textId="454E3A21" w:rsidR="0018641C" w:rsidRDefault="0018641C" w:rsidP="0000030A">
      <w:pPr>
        <w:pStyle w:val="ListParagraph"/>
        <w:ind w:left="1440"/>
      </w:pPr>
    </w:p>
    <w:p w14:paraId="423441B9" w14:textId="2F503D2A" w:rsidR="0018641C" w:rsidRDefault="0000030A" w:rsidP="00032FDD">
      <w:pPr>
        <w:pStyle w:val="ListParagraph"/>
        <w:ind w:left="1440"/>
      </w:pPr>
      <w:r>
        <w:t xml:space="preserve">If you </w:t>
      </w:r>
      <w:r w:rsidRPr="0000030A">
        <w:rPr>
          <w:u w:val="single"/>
        </w:rPr>
        <w:t>do not</w:t>
      </w:r>
      <w:r>
        <w:t xml:space="preserve"> transport blood components to areas where the transportation area </w:t>
      </w:r>
      <w:r w:rsidR="00E92CDE">
        <w:t xml:space="preserve">is over 30 minutes away, then answer </w:t>
      </w:r>
      <w:r w:rsidR="0091116D">
        <w:t>‘</w:t>
      </w:r>
      <w:proofErr w:type="spellStart"/>
      <w:r w:rsidR="00E92CDE">
        <w:t>yes</w:t>
      </w:r>
      <w:r w:rsidR="0091116D">
        <w:t>’</w:t>
      </w:r>
      <w:proofErr w:type="spellEnd"/>
      <w:r w:rsidR="00E92CDE">
        <w:t xml:space="preserve"> to this question as validation is only required where transportation takes more than 30 mins.</w:t>
      </w:r>
    </w:p>
    <w:p w14:paraId="5BCE9121" w14:textId="77777777" w:rsidR="00E431EB" w:rsidRDefault="00E431EB" w:rsidP="00E431EB">
      <w:pPr>
        <w:pStyle w:val="ListParagraph"/>
        <w:ind w:left="1224"/>
      </w:pPr>
    </w:p>
    <w:p w14:paraId="40F827D2" w14:textId="222388D2" w:rsidR="00E431EB" w:rsidRDefault="00E431EB" w:rsidP="00E431EB">
      <w:pPr>
        <w:pStyle w:val="ListParagraph"/>
        <w:numPr>
          <w:ilvl w:val="2"/>
          <w:numId w:val="15"/>
        </w:numPr>
      </w:pPr>
      <w:r>
        <w:t>Question N8.1.1</w:t>
      </w:r>
    </w:p>
    <w:p w14:paraId="42E43250" w14:textId="77777777" w:rsidR="00E431EB" w:rsidRDefault="00E431EB" w:rsidP="00E431EB">
      <w:pPr>
        <w:pStyle w:val="ListParagraph"/>
        <w:ind w:left="2160"/>
      </w:pPr>
    </w:p>
    <w:p w14:paraId="71C5B23D" w14:textId="5255F830" w:rsidR="00E431EB" w:rsidRDefault="00E431EB" w:rsidP="00E431EB">
      <w:pPr>
        <w:pStyle w:val="ListParagraph"/>
        <w:ind w:left="1440"/>
      </w:pPr>
      <w:r>
        <w:t xml:space="preserve">Changes to SOPs and records controlled within the document control system are acceptable. If this is the </w:t>
      </w:r>
      <w:r w:rsidR="005E1732">
        <w:t>case</w:t>
      </w:r>
      <w:r>
        <w:t xml:space="preserve"> answer </w:t>
      </w:r>
      <w:r w:rsidR="00030494">
        <w:t>‘</w:t>
      </w:r>
      <w:proofErr w:type="spellStart"/>
      <w:r w:rsidR="00030494">
        <w:t>y</w:t>
      </w:r>
      <w:r>
        <w:t>es</w:t>
      </w:r>
      <w:r w:rsidR="00030494">
        <w:t>’</w:t>
      </w:r>
      <w:proofErr w:type="spellEnd"/>
      <w:r>
        <w:t xml:space="preserve"> to this question.</w:t>
      </w:r>
    </w:p>
    <w:p w14:paraId="48449F01" w14:textId="77777777" w:rsidR="00E431EB" w:rsidRDefault="00E431EB" w:rsidP="00E431EB">
      <w:pPr>
        <w:pStyle w:val="ListParagraph"/>
        <w:ind w:left="1728"/>
      </w:pPr>
    </w:p>
    <w:p w14:paraId="48EC0909" w14:textId="28D3CC0C" w:rsidR="00E431EB" w:rsidRDefault="00E431EB" w:rsidP="00E431EB">
      <w:pPr>
        <w:pStyle w:val="ListParagraph"/>
        <w:numPr>
          <w:ilvl w:val="2"/>
          <w:numId w:val="15"/>
        </w:numPr>
      </w:pPr>
      <w:r>
        <w:t xml:space="preserve">Question </w:t>
      </w:r>
      <w:r w:rsidR="005E1732">
        <w:t>N</w:t>
      </w:r>
      <w:r>
        <w:t>8.1.3</w:t>
      </w:r>
    </w:p>
    <w:p w14:paraId="15595878" w14:textId="77777777" w:rsidR="00E431EB" w:rsidRDefault="00E431EB" w:rsidP="00E431EB">
      <w:pPr>
        <w:pStyle w:val="ListParagraph"/>
        <w:ind w:left="1728"/>
      </w:pPr>
    </w:p>
    <w:p w14:paraId="06C3F7F8" w14:textId="2E2FB338" w:rsidR="00E431EB" w:rsidRDefault="005E1732" w:rsidP="00E431EB">
      <w:pPr>
        <w:pStyle w:val="ListParagraph"/>
        <w:ind w:left="1440"/>
      </w:pPr>
      <w:r>
        <w:t>Significant c</w:t>
      </w:r>
      <w:r w:rsidR="00E431EB">
        <w:t>hanges to the laboratory management structure should be handled through the change control system to ensure that the impact has been assessed appropriately.</w:t>
      </w:r>
      <w:r>
        <w:t xml:space="preserve"> For example</w:t>
      </w:r>
      <w:r w:rsidR="001F3DE2">
        <w:t>,</w:t>
      </w:r>
      <w:r>
        <w:t xml:space="preserve"> the addition of new roles or the removal of roles or sharing of roles across sites or disciplines.</w:t>
      </w:r>
    </w:p>
    <w:p w14:paraId="169CE23A" w14:textId="77777777" w:rsidR="0018641C" w:rsidRDefault="0018641C" w:rsidP="006212CD"/>
    <w:p w14:paraId="7B8EE2DC" w14:textId="49B0DEC1" w:rsidR="00DE6531" w:rsidRDefault="00DE6531" w:rsidP="00DE6531">
      <w:pPr>
        <w:pStyle w:val="ListParagraph"/>
        <w:ind w:left="792"/>
      </w:pPr>
    </w:p>
    <w:p w14:paraId="11A56A74" w14:textId="498C26F6" w:rsidR="00DE6531" w:rsidRDefault="00DE6531" w:rsidP="00DE6531">
      <w:pPr>
        <w:pStyle w:val="ListParagraph"/>
        <w:numPr>
          <w:ilvl w:val="1"/>
          <w:numId w:val="15"/>
        </w:numPr>
      </w:pPr>
      <w:r>
        <w:t xml:space="preserve">Section </w:t>
      </w:r>
      <w:r w:rsidR="005E1732">
        <w:t>O</w:t>
      </w:r>
    </w:p>
    <w:p w14:paraId="20BF93F8" w14:textId="77777777" w:rsidR="005E1732" w:rsidRDefault="005E1732" w:rsidP="005E1732">
      <w:pPr>
        <w:pStyle w:val="ListParagraph"/>
        <w:ind w:left="792"/>
      </w:pPr>
    </w:p>
    <w:p w14:paraId="03A4E6BE" w14:textId="5E2B8752" w:rsidR="00B65027" w:rsidRDefault="00B65027" w:rsidP="005E1732">
      <w:pPr>
        <w:pStyle w:val="ListParagraph"/>
        <w:numPr>
          <w:ilvl w:val="2"/>
          <w:numId w:val="15"/>
        </w:numPr>
      </w:pPr>
      <w:r>
        <w:t>Question O1</w:t>
      </w:r>
      <w:r w:rsidR="00930C2D">
        <w:t xml:space="preserve"> (NEW)</w:t>
      </w:r>
    </w:p>
    <w:p w14:paraId="5A046F76" w14:textId="77777777" w:rsidR="00B65027" w:rsidRDefault="00B65027" w:rsidP="00B65027">
      <w:pPr>
        <w:pStyle w:val="ListParagraph"/>
        <w:ind w:left="1224"/>
      </w:pPr>
    </w:p>
    <w:p w14:paraId="4E72118F" w14:textId="641E0300" w:rsidR="004041ED" w:rsidRDefault="004041ED" w:rsidP="00B65027">
      <w:pPr>
        <w:pStyle w:val="ListParagraph"/>
        <w:ind w:left="1224"/>
      </w:pPr>
      <w:r>
        <w:t xml:space="preserve">Please detail </w:t>
      </w:r>
      <w:r w:rsidR="008B0B19">
        <w:t xml:space="preserve">whether the Hospital Blood Bank has implemented a new LIMS within the last 3 years.  Please </w:t>
      </w:r>
      <w:r w:rsidR="00AC7634">
        <w:t xml:space="preserve">only state </w:t>
      </w:r>
      <w:r w:rsidR="009D46E6">
        <w:t>‘</w:t>
      </w:r>
      <w:proofErr w:type="spellStart"/>
      <w:r w:rsidR="00AC7634">
        <w:t>yes</w:t>
      </w:r>
      <w:r w:rsidR="009D46E6">
        <w:t>’</w:t>
      </w:r>
      <w:proofErr w:type="spellEnd"/>
      <w:r w:rsidR="009D46E6">
        <w:t xml:space="preserve"> to </w:t>
      </w:r>
      <w:r w:rsidR="002E7294">
        <w:t>question O1.4</w:t>
      </w:r>
      <w:r w:rsidR="00B03A7B">
        <w:t>.1</w:t>
      </w:r>
      <w:r w:rsidR="00AC7634">
        <w:t xml:space="preserve"> if the following documentation </w:t>
      </w:r>
      <w:r w:rsidR="00FA6C22">
        <w:t>was</w:t>
      </w:r>
      <w:r w:rsidR="00AC7634">
        <w:t xml:space="preserve"> approved</w:t>
      </w:r>
      <w:r w:rsidR="00FA6C22">
        <w:t xml:space="preserve"> by a member of Blood Transfusion that confirms that the validation</w:t>
      </w:r>
      <w:r w:rsidR="00C3503C">
        <w:t xml:space="preserve"> </w:t>
      </w:r>
      <w:r w:rsidR="007874EB">
        <w:t>complied</w:t>
      </w:r>
      <w:r w:rsidR="00C3503C">
        <w:t xml:space="preserve"> with GMP requirements as stated in </w:t>
      </w:r>
      <w:r w:rsidR="009336FE">
        <w:t>the Good Practice Guidelines 4.3</w:t>
      </w:r>
      <w:r w:rsidR="00535DEC">
        <w:t>:</w:t>
      </w:r>
    </w:p>
    <w:p w14:paraId="563959E7" w14:textId="326FD36A" w:rsidR="00535DEC" w:rsidRDefault="00535DEC" w:rsidP="00080033">
      <w:pPr>
        <w:pStyle w:val="ListParagraph"/>
        <w:numPr>
          <w:ilvl w:val="0"/>
          <w:numId w:val="28"/>
        </w:numPr>
      </w:pPr>
      <w:r>
        <w:t>User requirement specification</w:t>
      </w:r>
    </w:p>
    <w:p w14:paraId="07FB72C1" w14:textId="0AEF9710" w:rsidR="00535DEC" w:rsidRDefault="00535DEC" w:rsidP="00080033">
      <w:pPr>
        <w:pStyle w:val="ListParagraph"/>
        <w:numPr>
          <w:ilvl w:val="0"/>
          <w:numId w:val="28"/>
        </w:numPr>
      </w:pPr>
      <w:r>
        <w:t>Installation Qualification</w:t>
      </w:r>
    </w:p>
    <w:p w14:paraId="7BC76DD2" w14:textId="584F4D9D" w:rsidR="00535DEC" w:rsidRDefault="00535DEC" w:rsidP="00080033">
      <w:pPr>
        <w:pStyle w:val="ListParagraph"/>
        <w:numPr>
          <w:ilvl w:val="0"/>
          <w:numId w:val="28"/>
        </w:numPr>
      </w:pPr>
      <w:r>
        <w:t>Operation Qualification</w:t>
      </w:r>
    </w:p>
    <w:p w14:paraId="020063F7" w14:textId="4C423FAC" w:rsidR="00C3503C" w:rsidRDefault="00C3503C">
      <w:pPr>
        <w:pStyle w:val="ListParagraph"/>
        <w:numPr>
          <w:ilvl w:val="0"/>
          <w:numId w:val="28"/>
        </w:numPr>
      </w:pPr>
      <w:r>
        <w:t>Performance Qualification</w:t>
      </w:r>
    </w:p>
    <w:p w14:paraId="1672F4A5" w14:textId="77777777" w:rsidR="006006B6" w:rsidRDefault="006006B6" w:rsidP="00080033">
      <w:pPr>
        <w:ind w:left="1584"/>
      </w:pPr>
    </w:p>
    <w:p w14:paraId="0D426514" w14:textId="672B933C" w:rsidR="00B65027" w:rsidRDefault="000F2DBE" w:rsidP="00B65027">
      <w:pPr>
        <w:pStyle w:val="ListParagraph"/>
        <w:ind w:left="1224"/>
      </w:pPr>
      <w:r>
        <w:t xml:space="preserve">Additional </w:t>
      </w:r>
      <w:r w:rsidR="00024E62">
        <w:t>References</w:t>
      </w:r>
      <w:r w:rsidR="0067639F">
        <w:t>:</w:t>
      </w:r>
    </w:p>
    <w:p w14:paraId="665C2115" w14:textId="652A3F74" w:rsidR="0067639F" w:rsidRDefault="0067639F" w:rsidP="00B65027">
      <w:pPr>
        <w:pStyle w:val="ListParagraph"/>
        <w:ind w:left="1224"/>
      </w:pPr>
      <w:r>
        <w:t>B</w:t>
      </w:r>
      <w:r w:rsidR="007C089D">
        <w:t>ritish Society fo</w:t>
      </w:r>
      <w:r w:rsidR="001C61BF">
        <w:t>r</w:t>
      </w:r>
      <w:r w:rsidR="007C089D">
        <w:t xml:space="preserve"> Haematology</w:t>
      </w:r>
      <w:r w:rsidR="001C61BF">
        <w:t>: Guidelines for validation and qualification, including change control, for hospital transfusion laboratories</w:t>
      </w:r>
    </w:p>
    <w:p w14:paraId="5B29198E" w14:textId="4C7F79EE" w:rsidR="001C61BF" w:rsidRDefault="0077624B" w:rsidP="00B65027">
      <w:pPr>
        <w:pStyle w:val="ListParagraph"/>
        <w:ind w:left="1224"/>
      </w:pPr>
      <w:r>
        <w:t xml:space="preserve">British Society for </w:t>
      </w:r>
      <w:r w:rsidR="00024E62">
        <w:t>Haematology</w:t>
      </w:r>
      <w:r>
        <w:t xml:space="preserve">: Guidelines for validation and qualification, including change control, for </w:t>
      </w:r>
      <w:r w:rsidR="00024E62">
        <w:t>hospital transfusion laboratories.</w:t>
      </w:r>
    </w:p>
    <w:p w14:paraId="392D4271" w14:textId="77777777" w:rsidR="00024E62" w:rsidRDefault="00024E62" w:rsidP="00080033">
      <w:pPr>
        <w:pStyle w:val="ListParagraph"/>
        <w:ind w:left="1224"/>
      </w:pPr>
    </w:p>
    <w:p w14:paraId="42C98F52" w14:textId="2487AA81" w:rsidR="005E1732" w:rsidRDefault="005E1732" w:rsidP="005E1732">
      <w:pPr>
        <w:pStyle w:val="ListParagraph"/>
        <w:numPr>
          <w:ilvl w:val="2"/>
          <w:numId w:val="15"/>
        </w:numPr>
      </w:pPr>
      <w:r>
        <w:t>Question O3</w:t>
      </w:r>
    </w:p>
    <w:p w14:paraId="39CFC8C6" w14:textId="735616B0" w:rsidR="005E1732" w:rsidRDefault="005E1732" w:rsidP="005E1732">
      <w:pPr>
        <w:pStyle w:val="ListParagraph"/>
        <w:ind w:left="1224"/>
      </w:pPr>
    </w:p>
    <w:p w14:paraId="48B15812" w14:textId="70DFFADC" w:rsidR="005E1732" w:rsidRDefault="005E1732" w:rsidP="005E1732">
      <w:pPr>
        <w:pStyle w:val="ListParagraph"/>
        <w:ind w:left="1440"/>
      </w:pPr>
      <w:r>
        <w:t xml:space="preserve">Only answer </w:t>
      </w:r>
      <w:r w:rsidR="004801E1">
        <w:t>“Yes”</w:t>
      </w:r>
      <w:r>
        <w:t xml:space="preserve"> to this question where a legacy system is routinely accessed as part of the laboratory procedure. </w:t>
      </w:r>
    </w:p>
    <w:p w14:paraId="1C654616" w14:textId="77777777" w:rsidR="005E1732" w:rsidRDefault="005E1732" w:rsidP="005E1732">
      <w:pPr>
        <w:pStyle w:val="ListParagraph"/>
        <w:ind w:left="792"/>
      </w:pPr>
    </w:p>
    <w:p w14:paraId="456651AA" w14:textId="610CC9D6" w:rsidR="005E1732" w:rsidRDefault="005E1732" w:rsidP="00DE6531">
      <w:pPr>
        <w:pStyle w:val="ListParagraph"/>
        <w:numPr>
          <w:ilvl w:val="1"/>
          <w:numId w:val="15"/>
        </w:numPr>
      </w:pPr>
      <w:r>
        <w:t>Section P</w:t>
      </w:r>
    </w:p>
    <w:p w14:paraId="69B2ACD6" w14:textId="77777777" w:rsidR="0018641C" w:rsidRDefault="0018641C" w:rsidP="0018641C">
      <w:pPr>
        <w:pStyle w:val="ListParagraph"/>
        <w:ind w:left="792"/>
      </w:pPr>
    </w:p>
    <w:p w14:paraId="7651B3EC" w14:textId="3B1AB0C6" w:rsidR="0018641C" w:rsidRDefault="0018641C" w:rsidP="0018641C">
      <w:pPr>
        <w:pStyle w:val="ListParagraph"/>
        <w:numPr>
          <w:ilvl w:val="2"/>
          <w:numId w:val="15"/>
        </w:numPr>
      </w:pPr>
      <w:r>
        <w:t>Question P3.4.3</w:t>
      </w:r>
    </w:p>
    <w:p w14:paraId="09FC7E8A" w14:textId="368F291C" w:rsidR="0018641C" w:rsidRDefault="0018641C" w:rsidP="0018641C">
      <w:pPr>
        <w:pStyle w:val="ListParagraph"/>
        <w:ind w:left="1224"/>
      </w:pPr>
    </w:p>
    <w:p w14:paraId="2D28DAC2" w14:textId="2FE8D43E" w:rsidR="0018641C" w:rsidRDefault="00B11801" w:rsidP="0018641C">
      <w:pPr>
        <w:pStyle w:val="ListParagraph"/>
        <w:ind w:left="1440"/>
      </w:pPr>
      <w:r>
        <w:t>W</w:t>
      </w:r>
      <w:r w:rsidR="0018641C">
        <w:t>hen there is an IQC failure</w:t>
      </w:r>
      <w:r>
        <w:t>,</w:t>
      </w:r>
      <w:r w:rsidR="0018641C">
        <w:t xml:space="preserve"> the impact o</w:t>
      </w:r>
      <w:r w:rsidR="0000030A">
        <w:t>n</w:t>
      </w:r>
      <w:r w:rsidR="0018641C">
        <w:t xml:space="preserve"> all samples</w:t>
      </w:r>
      <w:r w:rsidR="00061BCD">
        <w:t>,</w:t>
      </w:r>
      <w:r w:rsidR="0018641C">
        <w:t xml:space="preserve"> back to the last successful </w:t>
      </w:r>
      <w:r w:rsidR="0000030A">
        <w:t xml:space="preserve">IQC run </w:t>
      </w:r>
      <w:r w:rsidR="00061BCD">
        <w:t>should be</w:t>
      </w:r>
      <w:r w:rsidR="0000030A">
        <w:t xml:space="preserve"> considered. Procedures should clarify where it is acceptable to carry out a simple rerun of the IQC because the IQC failure was due to obvious reasons such as ‘short sample’.  </w:t>
      </w:r>
    </w:p>
    <w:p w14:paraId="0C8130D8" w14:textId="77777777" w:rsidR="00FC4AC6" w:rsidRDefault="00FC4AC6" w:rsidP="00E177DF"/>
    <w:p w14:paraId="31891764" w14:textId="77777777" w:rsidR="00DE6531" w:rsidRDefault="00DE6531" w:rsidP="00DE6531">
      <w:pPr>
        <w:pStyle w:val="ListParagraph"/>
        <w:ind w:left="792"/>
      </w:pPr>
    </w:p>
    <w:p w14:paraId="7967628D" w14:textId="77777777" w:rsidR="00066AB9" w:rsidRDefault="00066AB9" w:rsidP="00DE6531">
      <w:pPr>
        <w:pStyle w:val="ListParagraph"/>
        <w:ind w:left="792"/>
      </w:pPr>
    </w:p>
    <w:p w14:paraId="4FEF815A" w14:textId="0A4F0B2E" w:rsidR="00DE6531" w:rsidRDefault="00DE6531" w:rsidP="00DE6531">
      <w:pPr>
        <w:pStyle w:val="ListParagraph"/>
        <w:numPr>
          <w:ilvl w:val="1"/>
          <w:numId w:val="15"/>
        </w:numPr>
      </w:pPr>
      <w:r>
        <w:t>Section R</w:t>
      </w:r>
    </w:p>
    <w:p w14:paraId="156C9B89" w14:textId="77777777" w:rsidR="005039C4" w:rsidRDefault="005039C4" w:rsidP="005039C4">
      <w:pPr>
        <w:pStyle w:val="ListParagraph"/>
        <w:ind w:left="792"/>
      </w:pPr>
    </w:p>
    <w:p w14:paraId="13290357" w14:textId="5955DCA6" w:rsidR="005039C4" w:rsidRDefault="005039C4" w:rsidP="005039C4">
      <w:pPr>
        <w:pStyle w:val="ListParagraph"/>
        <w:ind w:left="1440"/>
      </w:pPr>
      <w:r>
        <w:t xml:space="preserve">If the Hospital Blood Bank supplies other sites with blood components (e.g. other local hospitals or Hospices), the details of these sites should be listed in Section R. Please provide full name and address for each facility. Ensure that an </w:t>
      </w:r>
      <w:proofErr w:type="gramStart"/>
      <w:r>
        <w:t>up to date</w:t>
      </w:r>
      <w:proofErr w:type="gramEnd"/>
      <w:r>
        <w:t xml:space="preserve"> contact email is included.</w:t>
      </w:r>
    </w:p>
    <w:p w14:paraId="079DB089" w14:textId="77777777" w:rsidR="005039C4" w:rsidRDefault="005039C4" w:rsidP="005039C4"/>
    <w:p w14:paraId="478A2E2B" w14:textId="274C83D5" w:rsidR="005039C4" w:rsidRDefault="005039C4" w:rsidP="005039C4">
      <w:pPr>
        <w:pStyle w:val="ListParagraph"/>
        <w:ind w:left="1440"/>
      </w:pPr>
      <w:r>
        <w:t xml:space="preserve">The compliance report template provides space for 10 external distribution sites; if more than 10 are supplied, additional sites can be reported including the same information using the </w:t>
      </w:r>
      <w:r w:rsidR="00B225C3">
        <w:t>2026</w:t>
      </w:r>
      <w:r>
        <w:t xml:space="preserve"> Distribution sites addendum page (Microsoft Word document). This can be downloaded from the GOV.UK ‘Medicines, medical devices and blood regulation and safety’</w:t>
      </w:r>
    </w:p>
    <w:p w14:paraId="1B19FC84" w14:textId="77777777" w:rsidR="005039C4" w:rsidRDefault="005039C4" w:rsidP="005039C4">
      <w:pPr>
        <w:pStyle w:val="ListParagraph"/>
        <w:ind w:left="1440"/>
      </w:pPr>
    </w:p>
    <w:p w14:paraId="4EF92613" w14:textId="3C3ACCBE" w:rsidR="005039C4" w:rsidRDefault="005039C4" w:rsidP="005039C4">
      <w:pPr>
        <w:pStyle w:val="ListParagraph"/>
        <w:ind w:left="1440"/>
      </w:pPr>
      <w:hyperlink r:id="rId13" w:history="1">
        <w:r w:rsidRPr="007365FB">
          <w:rPr>
            <w:rStyle w:val="Hyperlink"/>
          </w:rPr>
          <w:t>https://www.gov.uk/government/publications/blood-bank-compliance-report-template</w:t>
        </w:r>
      </w:hyperlink>
    </w:p>
    <w:p w14:paraId="473683BD" w14:textId="77777777" w:rsidR="005039C4" w:rsidRDefault="005039C4" w:rsidP="005039C4">
      <w:pPr>
        <w:pStyle w:val="ListParagraph"/>
        <w:ind w:left="1440"/>
      </w:pPr>
    </w:p>
    <w:p w14:paraId="024B2427" w14:textId="5B7F5DB2" w:rsidR="005039C4" w:rsidRDefault="005039C4" w:rsidP="005039C4">
      <w:pPr>
        <w:pStyle w:val="ListParagraph"/>
        <w:ind w:left="1440"/>
      </w:pPr>
      <w:r>
        <w:t>It is important that the first 10 sites supplied are completed on the Hospital Blood Bank Compliance Report (</w:t>
      </w:r>
      <w:r w:rsidR="00B225C3">
        <w:t>2026</w:t>
      </w:r>
      <w:r>
        <w:t>).</w:t>
      </w:r>
    </w:p>
    <w:p w14:paraId="19EF9369" w14:textId="011DB15D" w:rsidR="005039C4" w:rsidRDefault="005039C4" w:rsidP="005039C4">
      <w:pPr>
        <w:pStyle w:val="ListParagraph"/>
        <w:ind w:left="1440"/>
      </w:pPr>
    </w:p>
    <w:p w14:paraId="55067552" w14:textId="1C36296E" w:rsidR="004F4AA0" w:rsidRPr="004F4AA0" w:rsidRDefault="004F4AA0" w:rsidP="004F4AA0">
      <w:pPr>
        <w:pStyle w:val="ListParagraph"/>
        <w:ind w:left="1440"/>
        <w:rPr>
          <w:lang w:val="en"/>
        </w:rPr>
      </w:pPr>
      <w:r w:rsidRPr="004F4AA0">
        <w:rPr>
          <w:lang w:val="en"/>
        </w:rPr>
        <w:t xml:space="preserve">Blood facilities do not need to complete a compliance report or declaration for </w:t>
      </w:r>
      <w:r w:rsidR="00B225C3">
        <w:rPr>
          <w:lang w:val="en"/>
        </w:rPr>
        <w:t>2026</w:t>
      </w:r>
      <w:r w:rsidRPr="004F4AA0">
        <w:rPr>
          <w:lang w:val="en"/>
        </w:rPr>
        <w:t xml:space="preserve"> but must ensure that they have an agreement in place with the HBB that intends to supply them with blood components. The agreement should confirm the responsibility of the facility to comply with the BSQRs, with specific reference to storage (where relevant), traceability and reporting of serious adverse reactions and events.</w:t>
      </w:r>
    </w:p>
    <w:p w14:paraId="6B29F940" w14:textId="77777777" w:rsidR="004F4AA0" w:rsidRDefault="004F4AA0" w:rsidP="005039C4">
      <w:pPr>
        <w:pStyle w:val="ListParagraph"/>
        <w:ind w:left="1440"/>
      </w:pPr>
    </w:p>
    <w:p w14:paraId="6129FDE5" w14:textId="77777777" w:rsidR="00DE6531" w:rsidRDefault="00DE6531" w:rsidP="00DE6531">
      <w:pPr>
        <w:pStyle w:val="ListParagraph"/>
        <w:ind w:left="792"/>
      </w:pPr>
    </w:p>
    <w:p w14:paraId="1A218067" w14:textId="135A515F" w:rsidR="00DE6531" w:rsidRDefault="00DE6531" w:rsidP="00DE6531">
      <w:pPr>
        <w:pStyle w:val="ListParagraph"/>
        <w:numPr>
          <w:ilvl w:val="1"/>
          <w:numId w:val="15"/>
        </w:numPr>
      </w:pPr>
      <w:r>
        <w:t xml:space="preserve">Section </w:t>
      </w:r>
      <w:r w:rsidR="0043275A">
        <w:t>T</w:t>
      </w:r>
      <w:r>
        <w:t xml:space="preserve"> and </w:t>
      </w:r>
      <w:r w:rsidR="0043275A">
        <w:t>U</w:t>
      </w:r>
    </w:p>
    <w:p w14:paraId="7F628480" w14:textId="77777777" w:rsidR="005039C4" w:rsidRDefault="005039C4" w:rsidP="005039C4">
      <w:pPr>
        <w:pStyle w:val="ListParagraph"/>
        <w:ind w:left="792"/>
      </w:pPr>
    </w:p>
    <w:p w14:paraId="1682EDC9" w14:textId="7350FF90" w:rsidR="005039C4" w:rsidRDefault="005039C4" w:rsidP="005039C4">
      <w:pPr>
        <w:pStyle w:val="ListParagraph"/>
        <w:ind w:left="1440"/>
      </w:pPr>
      <w:r w:rsidRPr="005039C4">
        <w:t xml:space="preserve">Apart from Corrective Action Commitments and Proposed </w:t>
      </w:r>
      <w:r w:rsidR="005E1732">
        <w:t>C</w:t>
      </w:r>
      <w:r w:rsidRPr="005039C4">
        <w:t xml:space="preserve">orrective </w:t>
      </w:r>
      <w:r w:rsidR="005E1732">
        <w:t>A</w:t>
      </w:r>
      <w:r w:rsidRPr="005039C4">
        <w:t>ctions, any clarifying remark can be documented in these sections.</w:t>
      </w:r>
      <w:r w:rsidR="0043275A" w:rsidRPr="0043275A">
        <w:t xml:space="preserve"> Individual non-compliance indicators, if accompanied by robust corrective action plan in Section </w:t>
      </w:r>
      <w:r w:rsidR="0043275A">
        <w:t>U</w:t>
      </w:r>
      <w:r w:rsidR="0043275A" w:rsidRPr="0043275A">
        <w:t>, may not in themselves result in a final decision of non-compliance.</w:t>
      </w:r>
    </w:p>
    <w:p w14:paraId="3E7EB2B2" w14:textId="77777777" w:rsidR="005039C4" w:rsidRDefault="005039C4" w:rsidP="005039C4"/>
    <w:p w14:paraId="5511B25B" w14:textId="30291E55" w:rsidR="005039C4" w:rsidRDefault="005039C4" w:rsidP="00DE6531">
      <w:pPr>
        <w:pStyle w:val="ListParagraph"/>
        <w:numPr>
          <w:ilvl w:val="1"/>
          <w:numId w:val="15"/>
        </w:numPr>
      </w:pPr>
      <w:r>
        <w:t>Missing response alerts</w:t>
      </w:r>
    </w:p>
    <w:p w14:paraId="347D809D" w14:textId="77777777" w:rsidR="005039C4" w:rsidRDefault="005039C4" w:rsidP="005039C4">
      <w:pPr>
        <w:pStyle w:val="ListParagraph"/>
        <w:ind w:left="792"/>
      </w:pPr>
    </w:p>
    <w:p w14:paraId="68AAE3FB" w14:textId="40AB861E" w:rsidR="005039C4" w:rsidRDefault="005039C4" w:rsidP="005039C4">
      <w:pPr>
        <w:pStyle w:val="ListParagraph"/>
        <w:ind w:left="1440"/>
      </w:pPr>
      <w:r w:rsidRPr="005039C4">
        <w:t>A table at the end of the compliance report template will alert the user to any questions which have not been answered. The table will adapt to the responses provided and will only flag missing responses to valid questions.</w:t>
      </w:r>
      <w:r w:rsidR="0043275A">
        <w:t xml:space="preserve"> If an indicator appears please revisit the question highlighted.</w:t>
      </w:r>
    </w:p>
    <w:p w14:paraId="3D04D3A8" w14:textId="77777777" w:rsidR="005039C4" w:rsidRDefault="005039C4" w:rsidP="005039C4">
      <w:pPr>
        <w:pStyle w:val="ListParagraph"/>
        <w:ind w:left="1440"/>
      </w:pPr>
    </w:p>
    <w:p w14:paraId="7EF8F703" w14:textId="18F96975" w:rsidR="005039C4" w:rsidRPr="006212CD" w:rsidRDefault="005039C4" w:rsidP="005039C4">
      <w:pPr>
        <w:pStyle w:val="ListParagraph"/>
        <w:numPr>
          <w:ilvl w:val="0"/>
          <w:numId w:val="15"/>
        </w:numPr>
        <w:rPr>
          <w:b/>
          <w:bCs/>
        </w:rPr>
      </w:pPr>
      <w:r w:rsidRPr="006212CD">
        <w:rPr>
          <w:b/>
          <w:bCs/>
        </w:rPr>
        <w:t>C</w:t>
      </w:r>
      <w:r w:rsidR="006F2C55" w:rsidRPr="006212CD">
        <w:rPr>
          <w:b/>
          <w:bCs/>
        </w:rPr>
        <w:t>hecking the accuracy of answers</w:t>
      </w:r>
    </w:p>
    <w:p w14:paraId="05A4B727" w14:textId="77777777" w:rsidR="005039C4" w:rsidRDefault="005039C4" w:rsidP="005039C4">
      <w:pPr>
        <w:pStyle w:val="ListParagraph"/>
        <w:ind w:left="792"/>
      </w:pPr>
    </w:p>
    <w:p w14:paraId="5B4D5F85" w14:textId="77777777" w:rsidR="005039C4" w:rsidRDefault="005039C4" w:rsidP="005039C4">
      <w:pPr>
        <w:pStyle w:val="ListParagraph"/>
        <w:ind w:left="792"/>
      </w:pPr>
    </w:p>
    <w:p w14:paraId="4511C7DC" w14:textId="02A3E59F" w:rsidR="006F2C55" w:rsidRDefault="006F2C55" w:rsidP="006F2C55">
      <w:pPr>
        <w:pStyle w:val="ListParagraph"/>
        <w:ind w:left="792"/>
      </w:pPr>
      <w:r>
        <w:t xml:space="preserve">Some numerical and menu-based responses automatically alert MHRA to risk indicators. It is therefore important that responses are accurate, as mistakes may lead to a laboratory being assigned a higher risk score. High risk scores may result in an inspection. </w:t>
      </w:r>
    </w:p>
    <w:p w14:paraId="64ACBADC" w14:textId="77777777" w:rsidR="006F2C55" w:rsidRDefault="006F2C55" w:rsidP="006F2C55">
      <w:pPr>
        <w:pStyle w:val="ListParagraph"/>
        <w:ind w:left="792"/>
      </w:pPr>
    </w:p>
    <w:p w14:paraId="77B328F8" w14:textId="7984A573" w:rsidR="006F2C55" w:rsidRDefault="006F2C55" w:rsidP="006F2C55">
      <w:pPr>
        <w:pStyle w:val="ListParagraph"/>
        <w:ind w:left="792"/>
      </w:pPr>
      <w:r>
        <w:t xml:space="preserve">It is recommended that responses are checked for accuracy before submission to MHRA. </w:t>
      </w:r>
      <w:proofErr w:type="gramStart"/>
      <w:r>
        <w:t>In particular, compliance</w:t>
      </w:r>
      <w:proofErr w:type="gramEnd"/>
      <w:r>
        <w:t xml:space="preserve"> reports received in previous years have identified errors when reporting temperature alarm settings (e.g. maximum and minimum alarm settings for freezer alarms reported as ‘maximum temperature -45°C, minimum temperature -30°C’, when they should read as ‘maximum temperature -30°C, minimum temperature -45°C’).</w:t>
      </w:r>
    </w:p>
    <w:p w14:paraId="70CC21E3" w14:textId="77777777" w:rsidR="006F2C55" w:rsidRDefault="006F2C55" w:rsidP="006F2C55"/>
    <w:p w14:paraId="751CD8C8" w14:textId="77777777" w:rsidR="006F2C55" w:rsidRDefault="006F2C55" w:rsidP="006F2C55">
      <w:pPr>
        <w:pStyle w:val="ListParagraph"/>
        <w:ind w:left="1728"/>
      </w:pPr>
    </w:p>
    <w:p w14:paraId="066D48BB" w14:textId="7B38C91F" w:rsidR="006F2C55" w:rsidRPr="006212CD" w:rsidRDefault="00961338" w:rsidP="006F2C55">
      <w:pPr>
        <w:pStyle w:val="ListParagraph"/>
        <w:numPr>
          <w:ilvl w:val="0"/>
          <w:numId w:val="15"/>
        </w:numPr>
        <w:rPr>
          <w:b/>
          <w:bCs/>
        </w:rPr>
      </w:pPr>
      <w:r w:rsidRPr="006212CD">
        <w:rPr>
          <w:b/>
          <w:bCs/>
        </w:rPr>
        <w:t>Completing the BCR declaration page</w:t>
      </w:r>
    </w:p>
    <w:p w14:paraId="4C88B27B" w14:textId="77777777" w:rsidR="00961338" w:rsidRDefault="00961338" w:rsidP="00961338">
      <w:pPr>
        <w:pStyle w:val="ListParagraph"/>
        <w:ind w:left="360"/>
      </w:pPr>
    </w:p>
    <w:p w14:paraId="36456B62" w14:textId="77777777" w:rsidR="00961338" w:rsidRDefault="00961338" w:rsidP="00961338">
      <w:pPr>
        <w:pStyle w:val="ListParagraph"/>
        <w:numPr>
          <w:ilvl w:val="1"/>
          <w:numId w:val="15"/>
        </w:numPr>
      </w:pPr>
      <w:r>
        <w:t xml:space="preserve">The declaration page is a separate document which can be downloaded from the GOV.UK. </w:t>
      </w:r>
    </w:p>
    <w:p w14:paraId="20356E5D" w14:textId="77777777" w:rsidR="00961338" w:rsidRDefault="00961338" w:rsidP="00961338">
      <w:pPr>
        <w:pStyle w:val="ListParagraph"/>
        <w:ind w:left="360"/>
      </w:pPr>
    </w:p>
    <w:p w14:paraId="3CD79E82" w14:textId="77777777" w:rsidR="00961338" w:rsidRDefault="00961338" w:rsidP="00961338">
      <w:pPr>
        <w:pStyle w:val="ListParagraph"/>
        <w:numPr>
          <w:ilvl w:val="1"/>
          <w:numId w:val="15"/>
        </w:numPr>
      </w:pPr>
      <w:r>
        <w:t xml:space="preserve">Signed declaration pages must be returned by email with the compliance report. </w:t>
      </w:r>
    </w:p>
    <w:p w14:paraId="36E8A7F6" w14:textId="77777777" w:rsidR="00961338" w:rsidRDefault="00961338" w:rsidP="00961338">
      <w:pPr>
        <w:pStyle w:val="ListParagraph"/>
        <w:ind w:left="360"/>
      </w:pPr>
    </w:p>
    <w:p w14:paraId="16804DD4" w14:textId="77777777" w:rsidR="00961338" w:rsidRDefault="00961338" w:rsidP="00961338">
      <w:pPr>
        <w:pStyle w:val="ListParagraph"/>
        <w:numPr>
          <w:ilvl w:val="1"/>
          <w:numId w:val="15"/>
        </w:numPr>
      </w:pPr>
      <w:r>
        <w:t>If the Trust has more than 1 hospital blood bank, please scan only one declaration form for each hospital blood bank at a time as each one is saved with the BCR under the site number.</w:t>
      </w:r>
    </w:p>
    <w:p w14:paraId="0002577D" w14:textId="77777777" w:rsidR="00961338" w:rsidRDefault="00961338" w:rsidP="00961338"/>
    <w:p w14:paraId="74E2FA99" w14:textId="79071BC2" w:rsidR="00961338" w:rsidRDefault="00961338" w:rsidP="00961338">
      <w:pPr>
        <w:pStyle w:val="ListParagraph"/>
        <w:numPr>
          <w:ilvl w:val="1"/>
          <w:numId w:val="15"/>
        </w:numPr>
      </w:pPr>
      <w:r>
        <w:t>The declaration must be printed and ‘wet’ signed before scanning. If document scanning equipment is not available to the transfusion laboratory, the declaration page may be returned as a hard copy to:</w:t>
      </w:r>
    </w:p>
    <w:p w14:paraId="42B4B585" w14:textId="77777777" w:rsidR="00961338" w:rsidRDefault="00961338" w:rsidP="00961338">
      <w:pPr>
        <w:pStyle w:val="ListParagraph"/>
        <w:ind w:left="360"/>
      </w:pPr>
    </w:p>
    <w:p w14:paraId="29A49359" w14:textId="77777777" w:rsidR="00961338" w:rsidRDefault="00961338" w:rsidP="00961338">
      <w:pPr>
        <w:pStyle w:val="ListParagraph"/>
        <w:ind w:left="360"/>
        <w:jc w:val="center"/>
      </w:pPr>
      <w:r>
        <w:t>Blood Compliance Reports</w:t>
      </w:r>
    </w:p>
    <w:p w14:paraId="29B5839E" w14:textId="1889BE85" w:rsidR="00961338" w:rsidRDefault="00961338" w:rsidP="00961338">
      <w:pPr>
        <w:pStyle w:val="ListParagraph"/>
        <w:ind w:left="360"/>
        <w:jc w:val="center"/>
      </w:pPr>
      <w:r>
        <w:t>MHRA</w:t>
      </w:r>
    </w:p>
    <w:p w14:paraId="33870669" w14:textId="77777777" w:rsidR="00961338" w:rsidRDefault="00961338" w:rsidP="00961338">
      <w:pPr>
        <w:pStyle w:val="ListParagraph"/>
        <w:ind w:left="360"/>
        <w:jc w:val="center"/>
      </w:pPr>
      <w:r>
        <w:t>10 South Colonnade</w:t>
      </w:r>
    </w:p>
    <w:p w14:paraId="5E0DC4F5" w14:textId="77777777" w:rsidR="00961338" w:rsidRDefault="00961338" w:rsidP="00961338">
      <w:pPr>
        <w:pStyle w:val="ListParagraph"/>
        <w:ind w:left="360"/>
        <w:jc w:val="center"/>
      </w:pPr>
      <w:r>
        <w:t>Canary Wharf E14 4PU</w:t>
      </w:r>
    </w:p>
    <w:p w14:paraId="5149CA89" w14:textId="77777777" w:rsidR="00961338" w:rsidRDefault="00961338" w:rsidP="00961338">
      <w:pPr>
        <w:pStyle w:val="ListParagraph"/>
        <w:ind w:left="360"/>
        <w:jc w:val="center"/>
      </w:pPr>
      <w:r>
        <w:t>London</w:t>
      </w:r>
    </w:p>
    <w:p w14:paraId="16EBDA51" w14:textId="77777777" w:rsidR="00961338" w:rsidRDefault="00961338" w:rsidP="00961338">
      <w:pPr>
        <w:pStyle w:val="ListParagraph"/>
        <w:ind w:left="360"/>
      </w:pPr>
      <w:r>
        <w:t xml:space="preserve"> </w:t>
      </w:r>
    </w:p>
    <w:p w14:paraId="71230228" w14:textId="77777777" w:rsidR="00961338" w:rsidRDefault="00961338" w:rsidP="00961338">
      <w:pPr>
        <w:pStyle w:val="ListParagraph"/>
        <w:numPr>
          <w:ilvl w:val="1"/>
          <w:numId w:val="15"/>
        </w:numPr>
      </w:pPr>
      <w:r>
        <w:t>The person responsible for signing the “Compliance Report completed by” section on the declaration form must ensure all the questions are completed on the BCR, and the completed answers are true and accurate.</w:t>
      </w:r>
    </w:p>
    <w:p w14:paraId="6716A33A" w14:textId="77777777" w:rsidR="00961338" w:rsidRDefault="00961338" w:rsidP="00961338">
      <w:pPr>
        <w:pStyle w:val="ListParagraph"/>
        <w:ind w:left="360"/>
      </w:pPr>
    </w:p>
    <w:p w14:paraId="6A80DB15" w14:textId="77777777" w:rsidR="00961338" w:rsidRDefault="00961338" w:rsidP="00961338">
      <w:pPr>
        <w:pStyle w:val="ListParagraph"/>
        <w:numPr>
          <w:ilvl w:val="1"/>
          <w:numId w:val="15"/>
        </w:numPr>
      </w:pPr>
      <w:r>
        <w:t xml:space="preserve">The report must be signed by the Chief Executive Officer (in the case of hospital blood bank located in a hospital managed by a health service body), or the Registered Person (in the case of an independent hospital). </w:t>
      </w:r>
    </w:p>
    <w:p w14:paraId="6C61ADDC" w14:textId="77777777" w:rsidR="00961338" w:rsidRDefault="00961338" w:rsidP="00961338">
      <w:pPr>
        <w:pStyle w:val="ListParagraph"/>
        <w:ind w:left="360"/>
      </w:pPr>
    </w:p>
    <w:p w14:paraId="7A57CD13" w14:textId="741DD4FF" w:rsidR="00961338" w:rsidRDefault="00961338" w:rsidP="00961338">
      <w:pPr>
        <w:pStyle w:val="ListParagraph"/>
        <w:numPr>
          <w:ilvl w:val="1"/>
          <w:numId w:val="15"/>
        </w:numPr>
      </w:pPr>
      <w:r>
        <w:t xml:space="preserve">The content of the declaration should be read carefully by the CEO or Registered Person before signing. </w:t>
      </w:r>
    </w:p>
    <w:p w14:paraId="37813F1C" w14:textId="77777777" w:rsidR="000821BA" w:rsidRDefault="000821BA" w:rsidP="000821BA">
      <w:pPr>
        <w:pStyle w:val="ListParagraph"/>
        <w:ind w:left="792"/>
      </w:pPr>
    </w:p>
    <w:p w14:paraId="3D4DFE34" w14:textId="2B595089" w:rsidR="000821BA" w:rsidRPr="000821BA" w:rsidRDefault="000821BA" w:rsidP="000821BA">
      <w:pPr>
        <w:pStyle w:val="ListParagraph"/>
        <w:numPr>
          <w:ilvl w:val="0"/>
          <w:numId w:val="15"/>
        </w:numPr>
        <w:rPr>
          <w:b/>
          <w:bCs/>
        </w:rPr>
      </w:pPr>
      <w:bookmarkStart w:id="4" w:name="_Hlk33191871"/>
      <w:r w:rsidRPr="000821BA">
        <w:rPr>
          <w:b/>
          <w:bCs/>
        </w:rPr>
        <w:t>Submitting the BCR and declaration</w:t>
      </w:r>
    </w:p>
    <w:bookmarkEnd w:id="4"/>
    <w:p w14:paraId="1C736A6B" w14:textId="77777777" w:rsidR="000821BA" w:rsidRDefault="000821BA" w:rsidP="000821BA">
      <w:pPr>
        <w:pStyle w:val="ListParagraph"/>
        <w:ind w:left="360"/>
      </w:pPr>
    </w:p>
    <w:p w14:paraId="6D387E7C" w14:textId="3646A450" w:rsidR="000821BA" w:rsidRDefault="000821BA" w:rsidP="000821BA">
      <w:pPr>
        <w:pStyle w:val="ListParagraph"/>
        <w:numPr>
          <w:ilvl w:val="1"/>
          <w:numId w:val="15"/>
        </w:numPr>
      </w:pPr>
      <w:bookmarkStart w:id="5" w:name="_Hlk33191904"/>
      <w:r>
        <w:t xml:space="preserve">Email the BCR and declaration to </w:t>
      </w:r>
      <w:hyperlink r:id="rId14" w:history="1">
        <w:r w:rsidRPr="007818E2">
          <w:rPr>
            <w:rStyle w:val="Hyperlink"/>
          </w:rPr>
          <w:t>bcr@mhra.gov.uk</w:t>
        </w:r>
      </w:hyperlink>
      <w:r>
        <w:t>.</w:t>
      </w:r>
    </w:p>
    <w:bookmarkEnd w:id="5"/>
    <w:p w14:paraId="4F1A51E0" w14:textId="77777777" w:rsidR="000821BA" w:rsidRDefault="000821BA" w:rsidP="000821BA">
      <w:pPr>
        <w:pStyle w:val="ListParagraph"/>
        <w:ind w:left="792"/>
      </w:pPr>
    </w:p>
    <w:p w14:paraId="3EEA4582" w14:textId="7EC13086" w:rsidR="000821BA" w:rsidRDefault="000821BA" w:rsidP="000821BA">
      <w:pPr>
        <w:pStyle w:val="ListParagraph"/>
        <w:numPr>
          <w:ilvl w:val="1"/>
          <w:numId w:val="15"/>
        </w:numPr>
      </w:pPr>
      <w:r>
        <w:t>Send the forms individually i.e. one hospital BCR and declaration per email.</w:t>
      </w:r>
    </w:p>
    <w:p w14:paraId="546F86FB" w14:textId="77777777" w:rsidR="000821BA" w:rsidRDefault="000821BA" w:rsidP="000821BA">
      <w:pPr>
        <w:pStyle w:val="ListParagraph"/>
        <w:ind w:left="792"/>
      </w:pPr>
    </w:p>
    <w:p w14:paraId="2C8ED654" w14:textId="23585A9D" w:rsidR="000821BA" w:rsidRPr="00080033" w:rsidRDefault="000821BA" w:rsidP="000821BA">
      <w:pPr>
        <w:pStyle w:val="ListParagraph"/>
        <w:numPr>
          <w:ilvl w:val="1"/>
          <w:numId w:val="15"/>
        </w:numPr>
        <w:rPr>
          <w:u w:val="single"/>
        </w:rPr>
      </w:pPr>
      <w:r w:rsidRPr="00080033">
        <w:rPr>
          <w:u w:val="single"/>
        </w:rPr>
        <w:t>Send with email subject heading ‘</w:t>
      </w:r>
      <w:r w:rsidR="00265652" w:rsidRPr="00080033">
        <w:rPr>
          <w:u w:val="single"/>
        </w:rPr>
        <w:t>[</w:t>
      </w:r>
      <w:r w:rsidRPr="00080033">
        <w:rPr>
          <w:u w:val="single"/>
        </w:rPr>
        <w:t>Hospital Name</w:t>
      </w:r>
      <w:r w:rsidR="00265652" w:rsidRPr="00080033">
        <w:rPr>
          <w:u w:val="single"/>
        </w:rPr>
        <w:t>]</w:t>
      </w:r>
      <w:r w:rsidRPr="00080033">
        <w:rPr>
          <w:u w:val="single"/>
        </w:rPr>
        <w:t xml:space="preserve"> – BCR </w:t>
      </w:r>
      <w:r w:rsidR="00B225C3" w:rsidRPr="00080033">
        <w:rPr>
          <w:u w:val="single"/>
        </w:rPr>
        <w:t>2026</w:t>
      </w:r>
      <w:r w:rsidRPr="00080033">
        <w:rPr>
          <w:u w:val="single"/>
        </w:rPr>
        <w:t>’.</w:t>
      </w:r>
    </w:p>
    <w:p w14:paraId="12DA51F3" w14:textId="77777777" w:rsidR="000821BA" w:rsidRDefault="000821BA" w:rsidP="000821BA">
      <w:pPr>
        <w:pStyle w:val="ListParagraph"/>
        <w:ind w:left="792"/>
      </w:pPr>
    </w:p>
    <w:p w14:paraId="14ABD5BD" w14:textId="04BC2B99" w:rsidR="000821BA" w:rsidRPr="007D5E60" w:rsidRDefault="000821BA" w:rsidP="000821BA">
      <w:pPr>
        <w:pStyle w:val="ListParagraph"/>
        <w:numPr>
          <w:ilvl w:val="0"/>
          <w:numId w:val="15"/>
        </w:numPr>
        <w:rPr>
          <w:b/>
          <w:bCs/>
        </w:rPr>
      </w:pPr>
      <w:r w:rsidRPr="007D5E60">
        <w:rPr>
          <w:b/>
          <w:bCs/>
        </w:rPr>
        <w:t>Following submission</w:t>
      </w:r>
    </w:p>
    <w:p w14:paraId="41E14920" w14:textId="77777777" w:rsidR="000821BA" w:rsidRDefault="000821BA" w:rsidP="000821BA">
      <w:pPr>
        <w:pStyle w:val="ListParagraph"/>
        <w:ind w:left="360"/>
      </w:pPr>
    </w:p>
    <w:p w14:paraId="03AC516B" w14:textId="69138760" w:rsidR="000821BA" w:rsidRPr="000821BA" w:rsidRDefault="000821BA" w:rsidP="000821BA">
      <w:pPr>
        <w:pStyle w:val="ListParagraph"/>
        <w:numPr>
          <w:ilvl w:val="1"/>
          <w:numId w:val="15"/>
        </w:numPr>
      </w:pPr>
      <w:r w:rsidRPr="000821BA">
        <w:rPr>
          <w:lang w:val="en"/>
        </w:rPr>
        <w:t>Following the BCR assessment, Hospital Blood Banks will be provided with a BCR Assessment Confirmation Letter to confirm that assessment has been completed, without indicating the outcome (i.e. inspection or no inspection).</w:t>
      </w:r>
    </w:p>
    <w:p w14:paraId="2D3D6563" w14:textId="77777777" w:rsidR="000821BA" w:rsidRPr="000821BA" w:rsidRDefault="000821BA" w:rsidP="000821BA">
      <w:pPr>
        <w:pStyle w:val="ListParagraph"/>
        <w:ind w:left="792"/>
      </w:pPr>
    </w:p>
    <w:p w14:paraId="7804BEAA" w14:textId="0F98ED44" w:rsidR="000821BA" w:rsidRDefault="000821BA" w:rsidP="000821BA">
      <w:pPr>
        <w:pStyle w:val="ListParagraph"/>
        <w:numPr>
          <w:ilvl w:val="1"/>
          <w:numId w:val="15"/>
        </w:numPr>
      </w:pPr>
      <w:r w:rsidRPr="000821BA">
        <w:t xml:space="preserve">The level of compliance determined will be used to inform the inspection programme for </w:t>
      </w:r>
      <w:r w:rsidR="00B225C3">
        <w:t>2026</w:t>
      </w:r>
      <w:r w:rsidRPr="000821BA">
        <w:t>/202</w:t>
      </w:r>
      <w:r w:rsidR="00673ADF">
        <w:t>7</w:t>
      </w:r>
    </w:p>
    <w:p w14:paraId="548D1FB3" w14:textId="77777777" w:rsidR="000821BA" w:rsidRDefault="000821BA" w:rsidP="000821BA">
      <w:pPr>
        <w:pStyle w:val="ListParagraph"/>
        <w:ind w:left="792"/>
      </w:pPr>
    </w:p>
    <w:p w14:paraId="33854C56" w14:textId="5AB86D33" w:rsidR="000821BA" w:rsidRPr="000821BA" w:rsidRDefault="000821BA" w:rsidP="000821BA">
      <w:pPr>
        <w:pStyle w:val="ListParagraph"/>
        <w:numPr>
          <w:ilvl w:val="1"/>
          <w:numId w:val="15"/>
        </w:numPr>
      </w:pPr>
      <w:r w:rsidRPr="00602309">
        <w:t>The Hospital Blood Banks selected for inspection will be contacted by the inspectors to arrange a date.</w:t>
      </w:r>
    </w:p>
    <w:p w14:paraId="704229F2" w14:textId="77777777" w:rsidR="000821BA" w:rsidRPr="000821BA" w:rsidRDefault="000821BA" w:rsidP="000821BA">
      <w:pPr>
        <w:pStyle w:val="ListParagraph"/>
        <w:ind w:left="792"/>
      </w:pPr>
    </w:p>
    <w:p w14:paraId="1BB42A72" w14:textId="346D66A7" w:rsidR="006B1580" w:rsidRDefault="000821BA">
      <w:r w:rsidRPr="000821BA">
        <w:t>All inspections will be performed with a maximum of 7 days’ notice.</w:t>
      </w:r>
      <w:r w:rsidR="006B1580">
        <w:br w:type="page"/>
      </w:r>
    </w:p>
    <w:p w14:paraId="3B3989E6" w14:textId="247BE53C" w:rsidR="006B1580" w:rsidRDefault="006B1580" w:rsidP="00416B42"/>
    <w:p w14:paraId="502D0074" w14:textId="0955FE68" w:rsidR="000821BA" w:rsidRPr="000821BA" w:rsidRDefault="000821BA" w:rsidP="000821BA">
      <w:pPr>
        <w:rPr>
          <w:rFonts w:eastAsia="Times" w:cs="Arial"/>
          <w:b/>
          <w:szCs w:val="22"/>
          <w:u w:val="single"/>
          <w:lang w:eastAsia="en-US"/>
        </w:rPr>
      </w:pPr>
      <w:r w:rsidRPr="000821BA">
        <w:rPr>
          <w:rFonts w:eastAsia="Times" w:cs="Arial"/>
          <w:b/>
          <w:szCs w:val="22"/>
          <w:u w:val="single"/>
          <w:lang w:eastAsia="en-US"/>
        </w:rPr>
        <w:t>ANNEX</w:t>
      </w:r>
      <w:r>
        <w:rPr>
          <w:rFonts w:eastAsia="Times" w:cs="Arial"/>
          <w:b/>
          <w:szCs w:val="22"/>
          <w:u w:val="single"/>
          <w:lang w:eastAsia="en-US"/>
        </w:rPr>
        <w:t xml:space="preserve"> 1</w:t>
      </w:r>
    </w:p>
    <w:p w14:paraId="69773024" w14:textId="77777777" w:rsidR="000821BA" w:rsidRPr="000821BA" w:rsidRDefault="000821BA" w:rsidP="000821BA">
      <w:pPr>
        <w:rPr>
          <w:rFonts w:eastAsia="Times" w:cs="Arial"/>
          <w:b/>
          <w:szCs w:val="22"/>
          <w:lang w:eastAsia="en-US"/>
        </w:rPr>
      </w:pPr>
    </w:p>
    <w:p w14:paraId="1C7EB24B" w14:textId="77777777" w:rsidR="000821BA" w:rsidRPr="000821BA" w:rsidRDefault="000821BA" w:rsidP="000821BA">
      <w:pPr>
        <w:rPr>
          <w:rFonts w:eastAsia="Times" w:cs="Arial"/>
          <w:b/>
          <w:szCs w:val="22"/>
          <w:lang w:eastAsia="en-US"/>
        </w:rPr>
      </w:pPr>
      <w:r w:rsidRPr="000821BA">
        <w:rPr>
          <w:rFonts w:eastAsia="Times" w:cs="Arial"/>
          <w:b/>
          <w:szCs w:val="22"/>
          <w:lang w:eastAsia="en-US"/>
        </w:rPr>
        <w:t>Regulatory references for each BCR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3276"/>
        <w:gridCol w:w="3902"/>
      </w:tblGrid>
      <w:tr w:rsidR="000821BA" w:rsidRPr="000821BA" w14:paraId="61478528" w14:textId="77777777" w:rsidTr="009914D3">
        <w:tc>
          <w:tcPr>
            <w:tcW w:w="1344" w:type="dxa"/>
          </w:tcPr>
          <w:p w14:paraId="438A9939" w14:textId="77777777" w:rsidR="000821BA" w:rsidRPr="000821BA" w:rsidRDefault="000821BA" w:rsidP="000821BA">
            <w:pPr>
              <w:rPr>
                <w:rFonts w:eastAsia="Times" w:cs="Arial"/>
                <w:b/>
                <w:szCs w:val="22"/>
                <w:lang w:eastAsia="en-US"/>
              </w:rPr>
            </w:pPr>
            <w:r w:rsidRPr="000821BA">
              <w:rPr>
                <w:rFonts w:eastAsia="Times" w:cs="Arial"/>
                <w:b/>
                <w:szCs w:val="22"/>
                <w:lang w:eastAsia="en-US"/>
              </w:rPr>
              <w:t>BCR Section</w:t>
            </w:r>
          </w:p>
        </w:tc>
        <w:tc>
          <w:tcPr>
            <w:tcW w:w="3276" w:type="dxa"/>
          </w:tcPr>
          <w:p w14:paraId="3724FF77" w14:textId="77777777" w:rsidR="000821BA" w:rsidRPr="000821BA" w:rsidRDefault="000821BA" w:rsidP="000821BA">
            <w:pPr>
              <w:rPr>
                <w:rFonts w:eastAsia="Times" w:cs="Arial"/>
                <w:b/>
                <w:szCs w:val="22"/>
                <w:lang w:eastAsia="en-US"/>
              </w:rPr>
            </w:pPr>
            <w:r w:rsidRPr="000821BA">
              <w:rPr>
                <w:rFonts w:eastAsia="Times" w:cs="Arial"/>
                <w:b/>
                <w:szCs w:val="22"/>
                <w:lang w:eastAsia="en-US"/>
              </w:rPr>
              <w:t>Section Title</w:t>
            </w:r>
          </w:p>
        </w:tc>
        <w:tc>
          <w:tcPr>
            <w:tcW w:w="3902" w:type="dxa"/>
            <w:tcBorders>
              <w:bottom w:val="single" w:sz="4" w:space="0" w:color="auto"/>
            </w:tcBorders>
          </w:tcPr>
          <w:p w14:paraId="21695751" w14:textId="77777777" w:rsidR="000821BA" w:rsidRPr="000821BA" w:rsidRDefault="000821BA" w:rsidP="000821BA">
            <w:pPr>
              <w:rPr>
                <w:rFonts w:eastAsia="Times" w:cs="Arial"/>
                <w:b/>
                <w:szCs w:val="22"/>
                <w:lang w:eastAsia="en-US"/>
              </w:rPr>
            </w:pPr>
            <w:r w:rsidRPr="000821BA">
              <w:rPr>
                <w:rFonts w:eastAsia="Times" w:cs="Arial"/>
                <w:b/>
                <w:szCs w:val="22"/>
                <w:lang w:eastAsia="en-US"/>
              </w:rPr>
              <w:t>Reference</w:t>
            </w:r>
          </w:p>
        </w:tc>
      </w:tr>
      <w:tr w:rsidR="000821BA" w:rsidRPr="000821BA" w14:paraId="4A54731F" w14:textId="77777777" w:rsidTr="009914D3">
        <w:tc>
          <w:tcPr>
            <w:tcW w:w="1344" w:type="dxa"/>
          </w:tcPr>
          <w:p w14:paraId="0FCC3B5B" w14:textId="77777777" w:rsidR="000821BA" w:rsidRPr="000821BA" w:rsidRDefault="000821BA" w:rsidP="000821BA">
            <w:pPr>
              <w:rPr>
                <w:rFonts w:eastAsia="Times" w:cs="Arial"/>
                <w:szCs w:val="22"/>
                <w:lang w:eastAsia="en-US"/>
              </w:rPr>
            </w:pPr>
            <w:r w:rsidRPr="000821BA">
              <w:rPr>
                <w:rFonts w:eastAsia="Times" w:cs="Arial"/>
                <w:szCs w:val="22"/>
                <w:lang w:eastAsia="en-US"/>
              </w:rPr>
              <w:t>A</w:t>
            </w:r>
          </w:p>
        </w:tc>
        <w:tc>
          <w:tcPr>
            <w:tcW w:w="3276" w:type="dxa"/>
          </w:tcPr>
          <w:p w14:paraId="290DD426" w14:textId="77777777" w:rsidR="000821BA" w:rsidRPr="000821BA" w:rsidRDefault="000821BA" w:rsidP="000821BA">
            <w:pPr>
              <w:rPr>
                <w:rFonts w:eastAsia="Times" w:cs="Arial"/>
                <w:szCs w:val="22"/>
                <w:lang w:eastAsia="en-US"/>
              </w:rPr>
            </w:pPr>
            <w:r w:rsidRPr="000821BA">
              <w:rPr>
                <w:rFonts w:eastAsia="Times" w:cs="Arial"/>
                <w:szCs w:val="22"/>
                <w:lang w:eastAsia="en-US"/>
              </w:rPr>
              <w:t>General Information</w:t>
            </w:r>
          </w:p>
        </w:tc>
        <w:tc>
          <w:tcPr>
            <w:tcW w:w="3902" w:type="dxa"/>
            <w:shd w:val="clear" w:color="auto" w:fill="595959"/>
          </w:tcPr>
          <w:p w14:paraId="1290713A" w14:textId="77777777" w:rsidR="000821BA" w:rsidRPr="000821BA" w:rsidRDefault="000821BA" w:rsidP="000821BA">
            <w:pPr>
              <w:rPr>
                <w:rFonts w:eastAsia="Times" w:cs="Arial"/>
                <w:szCs w:val="22"/>
                <w:lang w:eastAsia="en-US"/>
              </w:rPr>
            </w:pPr>
          </w:p>
        </w:tc>
      </w:tr>
      <w:tr w:rsidR="000821BA" w:rsidRPr="000821BA" w14:paraId="6BA600BE" w14:textId="77777777" w:rsidTr="009914D3">
        <w:tc>
          <w:tcPr>
            <w:tcW w:w="1344" w:type="dxa"/>
          </w:tcPr>
          <w:p w14:paraId="24D136D1" w14:textId="77777777" w:rsidR="000821BA" w:rsidRPr="000821BA" w:rsidRDefault="000821BA" w:rsidP="000821BA">
            <w:pPr>
              <w:rPr>
                <w:rFonts w:eastAsia="Times" w:cs="Arial"/>
                <w:szCs w:val="22"/>
                <w:lang w:eastAsia="en-US"/>
              </w:rPr>
            </w:pPr>
            <w:r w:rsidRPr="000821BA">
              <w:rPr>
                <w:rFonts w:eastAsia="Times" w:cs="Arial"/>
                <w:szCs w:val="22"/>
                <w:lang w:eastAsia="en-US"/>
              </w:rPr>
              <w:t>B</w:t>
            </w:r>
          </w:p>
        </w:tc>
        <w:tc>
          <w:tcPr>
            <w:tcW w:w="3276" w:type="dxa"/>
          </w:tcPr>
          <w:p w14:paraId="0930BF81" w14:textId="77777777" w:rsidR="000821BA" w:rsidRPr="000821BA" w:rsidRDefault="000821BA" w:rsidP="000821BA">
            <w:pPr>
              <w:rPr>
                <w:rFonts w:eastAsia="Times" w:cs="Arial"/>
                <w:szCs w:val="22"/>
                <w:lang w:eastAsia="en-US"/>
              </w:rPr>
            </w:pPr>
            <w:r w:rsidRPr="000821BA">
              <w:rPr>
                <w:rFonts w:eastAsia="Times" w:cs="Arial"/>
                <w:szCs w:val="22"/>
                <w:lang w:eastAsia="en-US"/>
              </w:rPr>
              <w:t>Activities Undertaken</w:t>
            </w:r>
          </w:p>
        </w:tc>
        <w:tc>
          <w:tcPr>
            <w:tcW w:w="3902" w:type="dxa"/>
            <w:shd w:val="clear" w:color="auto" w:fill="595959"/>
          </w:tcPr>
          <w:p w14:paraId="2E2F6798" w14:textId="77777777" w:rsidR="000821BA" w:rsidRPr="000821BA" w:rsidRDefault="000821BA" w:rsidP="000821BA">
            <w:pPr>
              <w:rPr>
                <w:rFonts w:eastAsia="Times" w:cs="Arial"/>
                <w:szCs w:val="22"/>
                <w:lang w:eastAsia="en-US"/>
              </w:rPr>
            </w:pPr>
          </w:p>
        </w:tc>
      </w:tr>
      <w:tr w:rsidR="000821BA" w:rsidRPr="000821BA" w14:paraId="4885911E" w14:textId="77777777" w:rsidTr="009914D3">
        <w:tc>
          <w:tcPr>
            <w:tcW w:w="1344" w:type="dxa"/>
          </w:tcPr>
          <w:p w14:paraId="5A7760A6" w14:textId="77777777" w:rsidR="000821BA" w:rsidRPr="000821BA" w:rsidRDefault="000821BA" w:rsidP="000821BA">
            <w:pPr>
              <w:rPr>
                <w:rFonts w:eastAsia="Times" w:cs="Arial"/>
                <w:szCs w:val="22"/>
                <w:lang w:eastAsia="en-US"/>
              </w:rPr>
            </w:pPr>
            <w:r w:rsidRPr="000821BA">
              <w:rPr>
                <w:rFonts w:eastAsia="Times" w:cs="Arial"/>
                <w:szCs w:val="22"/>
                <w:lang w:eastAsia="en-US"/>
              </w:rPr>
              <w:t>C</w:t>
            </w:r>
          </w:p>
        </w:tc>
        <w:tc>
          <w:tcPr>
            <w:tcW w:w="3276" w:type="dxa"/>
          </w:tcPr>
          <w:p w14:paraId="30C3A23D" w14:textId="77777777" w:rsidR="000821BA" w:rsidRPr="000821BA" w:rsidRDefault="000821BA" w:rsidP="000821BA">
            <w:pPr>
              <w:rPr>
                <w:rFonts w:eastAsia="Times" w:cs="Arial"/>
                <w:szCs w:val="22"/>
                <w:lang w:eastAsia="en-US"/>
              </w:rPr>
            </w:pPr>
            <w:r w:rsidRPr="000821BA">
              <w:rPr>
                <w:rFonts w:eastAsia="Times" w:cs="Arial"/>
                <w:szCs w:val="22"/>
                <w:lang w:eastAsia="en-US"/>
              </w:rPr>
              <w:t>Previous Compliance Reports</w:t>
            </w:r>
          </w:p>
        </w:tc>
        <w:tc>
          <w:tcPr>
            <w:tcW w:w="3902" w:type="dxa"/>
            <w:shd w:val="clear" w:color="auto" w:fill="595959"/>
          </w:tcPr>
          <w:p w14:paraId="5C33C125" w14:textId="77777777" w:rsidR="000821BA" w:rsidRPr="000821BA" w:rsidRDefault="000821BA" w:rsidP="000821BA">
            <w:pPr>
              <w:rPr>
                <w:rFonts w:eastAsia="Times" w:cs="Arial"/>
                <w:szCs w:val="22"/>
                <w:lang w:eastAsia="en-US"/>
              </w:rPr>
            </w:pPr>
          </w:p>
        </w:tc>
      </w:tr>
      <w:tr w:rsidR="000821BA" w:rsidRPr="000821BA" w14:paraId="5A25368A" w14:textId="77777777" w:rsidTr="009914D3">
        <w:tc>
          <w:tcPr>
            <w:tcW w:w="1344" w:type="dxa"/>
          </w:tcPr>
          <w:p w14:paraId="471CFC39" w14:textId="77777777" w:rsidR="000821BA" w:rsidRPr="000821BA" w:rsidRDefault="000821BA" w:rsidP="000821BA">
            <w:pPr>
              <w:rPr>
                <w:rFonts w:eastAsia="Times" w:cs="Arial"/>
                <w:szCs w:val="22"/>
                <w:lang w:eastAsia="en-US"/>
              </w:rPr>
            </w:pPr>
            <w:r w:rsidRPr="000821BA">
              <w:rPr>
                <w:rFonts w:eastAsia="Times" w:cs="Arial"/>
                <w:szCs w:val="22"/>
                <w:lang w:eastAsia="en-US"/>
              </w:rPr>
              <w:t>D</w:t>
            </w:r>
          </w:p>
        </w:tc>
        <w:tc>
          <w:tcPr>
            <w:tcW w:w="3276" w:type="dxa"/>
          </w:tcPr>
          <w:p w14:paraId="3E04E5C2" w14:textId="77777777" w:rsidR="000821BA" w:rsidRPr="000821BA" w:rsidRDefault="000821BA" w:rsidP="000821BA">
            <w:pPr>
              <w:rPr>
                <w:rFonts w:eastAsia="Times" w:cs="Arial"/>
                <w:szCs w:val="22"/>
                <w:lang w:eastAsia="en-US"/>
              </w:rPr>
            </w:pPr>
            <w:r w:rsidRPr="000821BA">
              <w:rPr>
                <w:rFonts w:eastAsia="Times" w:cs="Arial"/>
                <w:szCs w:val="22"/>
                <w:lang w:eastAsia="en-US"/>
              </w:rPr>
              <w:t>MHRA Inspection History</w:t>
            </w:r>
          </w:p>
        </w:tc>
        <w:tc>
          <w:tcPr>
            <w:tcW w:w="3902" w:type="dxa"/>
            <w:shd w:val="clear" w:color="auto" w:fill="595959"/>
          </w:tcPr>
          <w:p w14:paraId="5CEF0F27" w14:textId="77777777" w:rsidR="000821BA" w:rsidRPr="000821BA" w:rsidRDefault="000821BA" w:rsidP="000821BA">
            <w:pPr>
              <w:rPr>
                <w:rFonts w:eastAsia="Times" w:cs="Arial"/>
                <w:szCs w:val="22"/>
                <w:lang w:eastAsia="en-US"/>
              </w:rPr>
            </w:pPr>
          </w:p>
        </w:tc>
      </w:tr>
      <w:tr w:rsidR="000821BA" w:rsidRPr="000821BA" w14:paraId="2B54850F" w14:textId="77777777" w:rsidTr="009914D3">
        <w:tc>
          <w:tcPr>
            <w:tcW w:w="1344" w:type="dxa"/>
          </w:tcPr>
          <w:p w14:paraId="60AA3122" w14:textId="77777777" w:rsidR="000821BA" w:rsidRPr="000821BA" w:rsidRDefault="000821BA" w:rsidP="000821BA">
            <w:pPr>
              <w:rPr>
                <w:rFonts w:eastAsia="Times" w:cs="Arial"/>
                <w:szCs w:val="22"/>
                <w:lang w:eastAsia="en-US"/>
              </w:rPr>
            </w:pPr>
            <w:r w:rsidRPr="000821BA">
              <w:rPr>
                <w:rFonts w:eastAsia="Times" w:cs="Arial"/>
                <w:szCs w:val="22"/>
                <w:lang w:eastAsia="en-US"/>
              </w:rPr>
              <w:t>E</w:t>
            </w:r>
          </w:p>
        </w:tc>
        <w:tc>
          <w:tcPr>
            <w:tcW w:w="3276" w:type="dxa"/>
          </w:tcPr>
          <w:p w14:paraId="7C2BDFDB" w14:textId="77777777" w:rsidR="000821BA" w:rsidRPr="000821BA" w:rsidRDefault="000821BA" w:rsidP="000821BA">
            <w:pPr>
              <w:rPr>
                <w:rFonts w:eastAsia="Times" w:cs="Arial"/>
                <w:szCs w:val="22"/>
                <w:lang w:eastAsia="en-US"/>
              </w:rPr>
            </w:pPr>
            <w:r w:rsidRPr="000821BA">
              <w:rPr>
                <w:rFonts w:eastAsia="Times" w:cs="Arial"/>
                <w:szCs w:val="22"/>
                <w:lang w:eastAsia="en-US"/>
              </w:rPr>
              <w:t>Key Personnel</w:t>
            </w:r>
          </w:p>
        </w:tc>
        <w:tc>
          <w:tcPr>
            <w:tcW w:w="3902" w:type="dxa"/>
          </w:tcPr>
          <w:p w14:paraId="3A37D416"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para 2.1</w:t>
            </w:r>
          </w:p>
          <w:p w14:paraId="0AD02FD4"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2</w:t>
            </w:r>
          </w:p>
          <w:p w14:paraId="6FC797B4" w14:textId="77777777" w:rsidR="000821BA" w:rsidRPr="000821BA" w:rsidRDefault="000821BA" w:rsidP="000821BA">
            <w:pPr>
              <w:rPr>
                <w:rFonts w:eastAsia="Times" w:cs="Arial"/>
                <w:szCs w:val="22"/>
                <w:lang w:eastAsia="en-US"/>
              </w:rPr>
            </w:pPr>
          </w:p>
          <w:p w14:paraId="5713BD5D" w14:textId="77777777" w:rsidR="000821BA" w:rsidRPr="000821BA" w:rsidRDefault="000821BA" w:rsidP="000821BA">
            <w:pPr>
              <w:rPr>
                <w:rFonts w:eastAsia="Times" w:cs="Arial"/>
                <w:i/>
                <w:szCs w:val="22"/>
                <w:lang w:eastAsia="en-US"/>
              </w:rPr>
            </w:pPr>
            <w:r w:rsidRPr="000821BA">
              <w:rPr>
                <w:rFonts w:eastAsia="Times" w:cs="Arial"/>
                <w:i/>
                <w:szCs w:val="22"/>
                <w:lang w:eastAsia="en-US"/>
              </w:rPr>
              <w:t>If transfusion services at the site named in section A are provided by an external contractor, or another Hospital site, the contact details of the Service Provider should be listed in section E.</w:t>
            </w:r>
          </w:p>
        </w:tc>
      </w:tr>
      <w:tr w:rsidR="000821BA" w:rsidRPr="000821BA" w14:paraId="084D1F9E" w14:textId="77777777" w:rsidTr="009914D3">
        <w:tc>
          <w:tcPr>
            <w:tcW w:w="1344" w:type="dxa"/>
          </w:tcPr>
          <w:p w14:paraId="648155FB" w14:textId="77777777" w:rsidR="000821BA" w:rsidRPr="000821BA" w:rsidRDefault="000821BA" w:rsidP="000821BA">
            <w:pPr>
              <w:rPr>
                <w:rFonts w:eastAsia="Times" w:cs="Arial"/>
                <w:szCs w:val="22"/>
                <w:lang w:eastAsia="en-US"/>
              </w:rPr>
            </w:pPr>
            <w:r w:rsidRPr="000821BA">
              <w:rPr>
                <w:rFonts w:eastAsia="Times" w:cs="Arial"/>
                <w:szCs w:val="22"/>
                <w:lang w:eastAsia="en-US"/>
              </w:rPr>
              <w:t>F</w:t>
            </w:r>
          </w:p>
        </w:tc>
        <w:tc>
          <w:tcPr>
            <w:tcW w:w="3276" w:type="dxa"/>
          </w:tcPr>
          <w:p w14:paraId="50CC6D9A" w14:textId="77777777" w:rsidR="000821BA" w:rsidRPr="000821BA" w:rsidRDefault="000821BA" w:rsidP="000821BA">
            <w:pPr>
              <w:rPr>
                <w:rFonts w:eastAsia="Times" w:cs="Arial"/>
                <w:szCs w:val="22"/>
                <w:lang w:eastAsia="en-US"/>
              </w:rPr>
            </w:pPr>
            <w:r w:rsidRPr="000821BA">
              <w:rPr>
                <w:rFonts w:eastAsia="Times" w:cs="Arial"/>
                <w:szCs w:val="22"/>
                <w:lang w:eastAsia="en-US"/>
              </w:rPr>
              <w:t>Training</w:t>
            </w:r>
          </w:p>
        </w:tc>
        <w:tc>
          <w:tcPr>
            <w:tcW w:w="3902" w:type="dxa"/>
          </w:tcPr>
          <w:p w14:paraId="4D958A9B"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a</w:t>
            </w:r>
          </w:p>
          <w:p w14:paraId="7CF33818"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2</w:t>
            </w:r>
          </w:p>
          <w:p w14:paraId="19BBDE1E"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2</w:t>
            </w:r>
          </w:p>
          <w:p w14:paraId="5744DFDE" w14:textId="77777777" w:rsidR="000821BA" w:rsidRPr="000821BA" w:rsidRDefault="000821BA" w:rsidP="000821BA">
            <w:pPr>
              <w:rPr>
                <w:rFonts w:eastAsia="Times" w:cs="Arial"/>
                <w:szCs w:val="22"/>
                <w:lang w:eastAsia="en-US"/>
              </w:rPr>
            </w:pPr>
          </w:p>
        </w:tc>
      </w:tr>
      <w:tr w:rsidR="000821BA" w:rsidRPr="000821BA" w14:paraId="11C183A3" w14:textId="77777777" w:rsidTr="009914D3">
        <w:tc>
          <w:tcPr>
            <w:tcW w:w="1344" w:type="dxa"/>
          </w:tcPr>
          <w:p w14:paraId="11C2AD51" w14:textId="77777777" w:rsidR="000821BA" w:rsidRPr="000821BA" w:rsidRDefault="000821BA" w:rsidP="000821BA">
            <w:pPr>
              <w:rPr>
                <w:rFonts w:eastAsia="Times" w:cs="Arial"/>
                <w:szCs w:val="22"/>
                <w:lang w:eastAsia="en-US"/>
              </w:rPr>
            </w:pPr>
            <w:r w:rsidRPr="000821BA">
              <w:rPr>
                <w:rFonts w:eastAsia="Times" w:cs="Arial"/>
                <w:szCs w:val="22"/>
                <w:lang w:eastAsia="en-US"/>
              </w:rPr>
              <w:t>G</w:t>
            </w:r>
          </w:p>
        </w:tc>
        <w:tc>
          <w:tcPr>
            <w:tcW w:w="3276" w:type="dxa"/>
          </w:tcPr>
          <w:p w14:paraId="747FC9C0" w14:textId="77777777" w:rsidR="000821BA" w:rsidRPr="000821BA" w:rsidRDefault="000821BA" w:rsidP="000821BA">
            <w:pPr>
              <w:rPr>
                <w:rFonts w:eastAsia="Times" w:cs="Arial"/>
                <w:szCs w:val="22"/>
                <w:lang w:eastAsia="en-US"/>
              </w:rPr>
            </w:pPr>
            <w:r w:rsidRPr="000821BA">
              <w:rPr>
                <w:rFonts w:eastAsia="Times" w:cs="Arial"/>
                <w:szCs w:val="22"/>
                <w:lang w:eastAsia="en-US"/>
              </w:rPr>
              <w:t>Quality Management System</w:t>
            </w:r>
          </w:p>
        </w:tc>
        <w:tc>
          <w:tcPr>
            <w:tcW w:w="3902" w:type="dxa"/>
          </w:tcPr>
          <w:p w14:paraId="656BB5F8"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b</w:t>
            </w:r>
          </w:p>
          <w:p w14:paraId="7030E899"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1</w:t>
            </w:r>
          </w:p>
          <w:p w14:paraId="1F5818F0"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1</w:t>
            </w:r>
          </w:p>
        </w:tc>
      </w:tr>
      <w:tr w:rsidR="000821BA" w:rsidRPr="000821BA" w14:paraId="4DDC0EF5" w14:textId="77777777" w:rsidTr="009914D3">
        <w:tc>
          <w:tcPr>
            <w:tcW w:w="1344" w:type="dxa"/>
          </w:tcPr>
          <w:p w14:paraId="47E3AC87" w14:textId="77777777" w:rsidR="000821BA" w:rsidRPr="000821BA" w:rsidRDefault="000821BA" w:rsidP="000821BA">
            <w:pPr>
              <w:rPr>
                <w:rFonts w:eastAsia="Times" w:cs="Arial"/>
                <w:szCs w:val="22"/>
                <w:lang w:eastAsia="en-US"/>
              </w:rPr>
            </w:pPr>
            <w:r w:rsidRPr="000821BA">
              <w:rPr>
                <w:rFonts w:eastAsia="Times" w:cs="Arial"/>
                <w:szCs w:val="22"/>
                <w:lang w:eastAsia="en-US"/>
              </w:rPr>
              <w:t>H</w:t>
            </w:r>
          </w:p>
        </w:tc>
        <w:tc>
          <w:tcPr>
            <w:tcW w:w="3276" w:type="dxa"/>
          </w:tcPr>
          <w:p w14:paraId="045E863F" w14:textId="77777777" w:rsidR="000821BA" w:rsidRPr="000821BA" w:rsidRDefault="000821BA" w:rsidP="000821BA">
            <w:pPr>
              <w:rPr>
                <w:rFonts w:eastAsia="Times" w:cs="Arial"/>
                <w:szCs w:val="22"/>
                <w:lang w:eastAsia="en-US"/>
              </w:rPr>
            </w:pPr>
            <w:r w:rsidRPr="000821BA">
              <w:rPr>
                <w:rFonts w:eastAsia="Times" w:cs="Arial"/>
                <w:szCs w:val="22"/>
                <w:lang w:eastAsia="en-US"/>
              </w:rPr>
              <w:t>Corrective and Preventative Action (CAPA)</w:t>
            </w:r>
          </w:p>
        </w:tc>
        <w:tc>
          <w:tcPr>
            <w:tcW w:w="3902" w:type="dxa"/>
          </w:tcPr>
          <w:p w14:paraId="3950D223"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b</w:t>
            </w:r>
          </w:p>
          <w:p w14:paraId="6C9A6BD8"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para 1.2 .1 &amp; section 9.4</w:t>
            </w:r>
          </w:p>
          <w:p w14:paraId="7B282338"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1.2, 9.1, 9.2</w:t>
            </w:r>
          </w:p>
        </w:tc>
      </w:tr>
      <w:tr w:rsidR="000821BA" w:rsidRPr="000821BA" w14:paraId="7F37A1DF" w14:textId="77777777" w:rsidTr="009914D3">
        <w:tc>
          <w:tcPr>
            <w:tcW w:w="1344" w:type="dxa"/>
          </w:tcPr>
          <w:p w14:paraId="0E36B156" w14:textId="77777777" w:rsidR="000821BA" w:rsidRPr="000821BA" w:rsidRDefault="000821BA" w:rsidP="000821BA">
            <w:pPr>
              <w:rPr>
                <w:rFonts w:eastAsia="Times" w:cs="Arial"/>
                <w:szCs w:val="22"/>
                <w:lang w:eastAsia="en-US"/>
              </w:rPr>
            </w:pPr>
            <w:r w:rsidRPr="000821BA">
              <w:rPr>
                <w:rFonts w:eastAsia="Times" w:cs="Arial"/>
                <w:szCs w:val="22"/>
                <w:lang w:eastAsia="en-US"/>
              </w:rPr>
              <w:t>I</w:t>
            </w:r>
          </w:p>
        </w:tc>
        <w:tc>
          <w:tcPr>
            <w:tcW w:w="3276" w:type="dxa"/>
          </w:tcPr>
          <w:p w14:paraId="633DEC08" w14:textId="77777777" w:rsidR="000821BA" w:rsidRPr="000821BA" w:rsidRDefault="000821BA" w:rsidP="000821BA">
            <w:pPr>
              <w:rPr>
                <w:rFonts w:eastAsia="Times" w:cs="Arial"/>
                <w:szCs w:val="22"/>
                <w:lang w:eastAsia="en-US"/>
              </w:rPr>
            </w:pPr>
            <w:r w:rsidRPr="000821BA">
              <w:rPr>
                <w:rFonts w:eastAsia="Times" w:cs="Arial"/>
                <w:szCs w:val="22"/>
                <w:lang w:eastAsia="en-US"/>
              </w:rPr>
              <w:t>Component recall</w:t>
            </w:r>
          </w:p>
        </w:tc>
        <w:tc>
          <w:tcPr>
            <w:tcW w:w="3902" w:type="dxa"/>
          </w:tcPr>
          <w:p w14:paraId="5994ED29"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g</w:t>
            </w:r>
          </w:p>
          <w:p w14:paraId="415B1A35"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9.3</w:t>
            </w:r>
          </w:p>
          <w:p w14:paraId="5F0934B3"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1.2, 1.3, 9.3</w:t>
            </w:r>
          </w:p>
        </w:tc>
      </w:tr>
      <w:tr w:rsidR="000821BA" w:rsidRPr="000821BA" w14:paraId="7D0DBE90" w14:textId="77777777" w:rsidTr="009914D3">
        <w:tc>
          <w:tcPr>
            <w:tcW w:w="1344" w:type="dxa"/>
          </w:tcPr>
          <w:p w14:paraId="1449E8F7" w14:textId="77777777" w:rsidR="000821BA" w:rsidRPr="000821BA" w:rsidRDefault="000821BA" w:rsidP="000821BA">
            <w:pPr>
              <w:rPr>
                <w:rFonts w:eastAsia="Times" w:cs="Arial"/>
                <w:szCs w:val="22"/>
                <w:lang w:eastAsia="en-US"/>
              </w:rPr>
            </w:pPr>
            <w:r w:rsidRPr="000821BA">
              <w:rPr>
                <w:rFonts w:eastAsia="Times" w:cs="Arial"/>
                <w:szCs w:val="22"/>
                <w:lang w:eastAsia="en-US"/>
              </w:rPr>
              <w:t>J</w:t>
            </w:r>
          </w:p>
        </w:tc>
        <w:tc>
          <w:tcPr>
            <w:tcW w:w="3276" w:type="dxa"/>
          </w:tcPr>
          <w:p w14:paraId="727B166E" w14:textId="77777777" w:rsidR="000821BA" w:rsidRPr="000821BA" w:rsidRDefault="000821BA" w:rsidP="000821BA">
            <w:pPr>
              <w:rPr>
                <w:rFonts w:eastAsia="Times" w:cs="Arial"/>
                <w:szCs w:val="22"/>
                <w:lang w:eastAsia="en-US"/>
              </w:rPr>
            </w:pPr>
            <w:r w:rsidRPr="000821BA">
              <w:rPr>
                <w:rFonts w:eastAsia="Times" w:cs="Arial"/>
                <w:szCs w:val="22"/>
                <w:lang w:eastAsia="en-US"/>
              </w:rPr>
              <w:t>Reporting Serious Adverse Events (SAE) and Serious Adverse Reactions (SAR)</w:t>
            </w:r>
          </w:p>
        </w:tc>
        <w:tc>
          <w:tcPr>
            <w:tcW w:w="3902" w:type="dxa"/>
            <w:tcBorders>
              <w:bottom w:val="single" w:sz="4" w:space="0" w:color="auto"/>
            </w:tcBorders>
          </w:tcPr>
          <w:p w14:paraId="77187DD5"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f and Regulation 12B</w:t>
            </w:r>
          </w:p>
          <w:p w14:paraId="01A04899"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9.2</w:t>
            </w:r>
          </w:p>
        </w:tc>
      </w:tr>
      <w:tr w:rsidR="000821BA" w:rsidRPr="000821BA" w14:paraId="2BBB53EA" w14:textId="77777777" w:rsidTr="009914D3">
        <w:tc>
          <w:tcPr>
            <w:tcW w:w="1344" w:type="dxa"/>
          </w:tcPr>
          <w:p w14:paraId="1354A83B" w14:textId="77777777" w:rsidR="000821BA" w:rsidRPr="000821BA" w:rsidRDefault="000821BA" w:rsidP="000821BA">
            <w:pPr>
              <w:rPr>
                <w:rFonts w:eastAsia="Times" w:cs="Arial"/>
                <w:szCs w:val="22"/>
                <w:lang w:eastAsia="en-US"/>
              </w:rPr>
            </w:pPr>
            <w:r w:rsidRPr="000821BA">
              <w:rPr>
                <w:rFonts w:eastAsia="Times" w:cs="Arial"/>
                <w:szCs w:val="22"/>
                <w:lang w:eastAsia="en-US"/>
              </w:rPr>
              <w:t>L</w:t>
            </w:r>
          </w:p>
        </w:tc>
        <w:tc>
          <w:tcPr>
            <w:tcW w:w="3276" w:type="dxa"/>
          </w:tcPr>
          <w:p w14:paraId="31C69F80"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Self Inspection</w:t>
            </w:r>
            <w:proofErr w:type="spellEnd"/>
            <w:r w:rsidRPr="000821BA">
              <w:rPr>
                <w:rFonts w:eastAsia="Times" w:cs="Arial"/>
                <w:szCs w:val="22"/>
                <w:lang w:eastAsia="en-US"/>
              </w:rPr>
              <w:t xml:space="preserve"> (Internal Audit)</w:t>
            </w:r>
          </w:p>
        </w:tc>
        <w:tc>
          <w:tcPr>
            <w:tcW w:w="3902" w:type="dxa"/>
          </w:tcPr>
          <w:p w14:paraId="2BE1B097"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b</w:t>
            </w:r>
          </w:p>
          <w:p w14:paraId="0C406873"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10</w:t>
            </w:r>
          </w:p>
          <w:p w14:paraId="1DF3C438"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10</w:t>
            </w:r>
          </w:p>
        </w:tc>
      </w:tr>
      <w:tr w:rsidR="000821BA" w:rsidRPr="000821BA" w14:paraId="4793206F" w14:textId="77777777" w:rsidTr="009914D3">
        <w:tc>
          <w:tcPr>
            <w:tcW w:w="1344" w:type="dxa"/>
          </w:tcPr>
          <w:p w14:paraId="4C8EFAFE" w14:textId="77777777" w:rsidR="000821BA" w:rsidRPr="000821BA" w:rsidRDefault="000821BA" w:rsidP="000821BA">
            <w:pPr>
              <w:rPr>
                <w:rFonts w:eastAsia="Times" w:cs="Arial"/>
                <w:szCs w:val="22"/>
                <w:lang w:eastAsia="en-US"/>
              </w:rPr>
            </w:pPr>
            <w:r w:rsidRPr="000821BA">
              <w:rPr>
                <w:rFonts w:eastAsia="Times" w:cs="Arial"/>
                <w:szCs w:val="22"/>
                <w:lang w:eastAsia="en-US"/>
              </w:rPr>
              <w:t>M</w:t>
            </w:r>
          </w:p>
        </w:tc>
        <w:tc>
          <w:tcPr>
            <w:tcW w:w="3276" w:type="dxa"/>
          </w:tcPr>
          <w:p w14:paraId="243FCAF3" w14:textId="77777777" w:rsidR="000821BA" w:rsidRPr="000821BA" w:rsidRDefault="000821BA" w:rsidP="000821BA">
            <w:pPr>
              <w:rPr>
                <w:rFonts w:eastAsia="Times" w:cs="Arial"/>
                <w:szCs w:val="22"/>
                <w:lang w:eastAsia="en-US"/>
              </w:rPr>
            </w:pPr>
            <w:r w:rsidRPr="000821BA">
              <w:rPr>
                <w:rFonts w:eastAsia="Times" w:cs="Arial"/>
                <w:szCs w:val="22"/>
                <w:lang w:eastAsia="en-US"/>
              </w:rPr>
              <w:t>Equipment maintenance and calibration</w:t>
            </w:r>
          </w:p>
        </w:tc>
        <w:tc>
          <w:tcPr>
            <w:tcW w:w="3902" w:type="dxa"/>
          </w:tcPr>
          <w:p w14:paraId="3E599C9A"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b</w:t>
            </w:r>
          </w:p>
          <w:p w14:paraId="0ED98EFF"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para 4.1 and 4.2</w:t>
            </w:r>
          </w:p>
          <w:p w14:paraId="4B4F9850"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4.1</w:t>
            </w:r>
          </w:p>
        </w:tc>
      </w:tr>
    </w:tbl>
    <w:p w14:paraId="72502753" w14:textId="77777777" w:rsidR="000821BA" w:rsidRPr="000821BA" w:rsidRDefault="000821BA" w:rsidP="000821BA">
      <w:pPr>
        <w:rPr>
          <w:rFonts w:eastAsia="Times" w:cs="Arial"/>
          <w:b/>
          <w:szCs w:val="22"/>
          <w:lang w:eastAsia="en-US"/>
        </w:rPr>
      </w:pPr>
    </w:p>
    <w:p w14:paraId="080195AA" w14:textId="77777777" w:rsidR="000821BA" w:rsidRPr="000821BA" w:rsidRDefault="000821BA" w:rsidP="000821BA">
      <w:pPr>
        <w:rPr>
          <w:rFonts w:eastAsia="Times" w:cs="Arial"/>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3276"/>
        <w:gridCol w:w="3902"/>
      </w:tblGrid>
      <w:tr w:rsidR="000821BA" w:rsidRPr="000821BA" w14:paraId="3AB9724E" w14:textId="77777777" w:rsidTr="009914D3">
        <w:tc>
          <w:tcPr>
            <w:tcW w:w="1344" w:type="dxa"/>
          </w:tcPr>
          <w:p w14:paraId="3FD74DA2" w14:textId="77777777" w:rsidR="000821BA" w:rsidRPr="000821BA" w:rsidRDefault="000821BA" w:rsidP="000821BA">
            <w:pPr>
              <w:rPr>
                <w:rFonts w:eastAsia="Times" w:cs="Arial"/>
                <w:szCs w:val="22"/>
                <w:lang w:eastAsia="en-US"/>
              </w:rPr>
            </w:pPr>
            <w:r w:rsidRPr="000821BA">
              <w:rPr>
                <w:rFonts w:eastAsia="Times" w:cs="Arial"/>
                <w:szCs w:val="22"/>
                <w:lang w:eastAsia="en-US"/>
              </w:rPr>
              <w:t>N</w:t>
            </w:r>
          </w:p>
        </w:tc>
        <w:tc>
          <w:tcPr>
            <w:tcW w:w="3276" w:type="dxa"/>
          </w:tcPr>
          <w:p w14:paraId="41CA2681" w14:textId="77777777" w:rsidR="000821BA" w:rsidRPr="000821BA" w:rsidRDefault="000821BA" w:rsidP="000821BA">
            <w:pPr>
              <w:rPr>
                <w:rFonts w:eastAsia="Times" w:cs="Arial"/>
                <w:szCs w:val="22"/>
                <w:lang w:eastAsia="en-US"/>
              </w:rPr>
            </w:pPr>
            <w:r w:rsidRPr="000821BA">
              <w:rPr>
                <w:rFonts w:eastAsia="Times" w:cs="Arial"/>
                <w:szCs w:val="22"/>
                <w:lang w:eastAsia="en-US"/>
              </w:rPr>
              <w:t>Qualification, Validation and change control</w:t>
            </w:r>
          </w:p>
        </w:tc>
        <w:tc>
          <w:tcPr>
            <w:tcW w:w="3902" w:type="dxa"/>
          </w:tcPr>
          <w:p w14:paraId="0333F6DD"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c</w:t>
            </w:r>
          </w:p>
          <w:p w14:paraId="7B922126"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para 1.2.2, 4.1, 4.5, 6.3.1, 7.2</w:t>
            </w:r>
          </w:p>
          <w:p w14:paraId="300E96BC"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4.3, 4.6</w:t>
            </w:r>
          </w:p>
        </w:tc>
      </w:tr>
      <w:tr w:rsidR="000821BA" w:rsidRPr="000821BA" w14:paraId="4A233390" w14:textId="77777777" w:rsidTr="009914D3">
        <w:tc>
          <w:tcPr>
            <w:tcW w:w="1344" w:type="dxa"/>
          </w:tcPr>
          <w:p w14:paraId="7762E32A" w14:textId="77777777" w:rsidR="000821BA" w:rsidRPr="000821BA" w:rsidRDefault="000821BA" w:rsidP="000821BA">
            <w:pPr>
              <w:rPr>
                <w:rFonts w:eastAsia="Times" w:cs="Arial"/>
                <w:szCs w:val="22"/>
                <w:lang w:eastAsia="en-US"/>
              </w:rPr>
            </w:pPr>
            <w:r w:rsidRPr="000821BA">
              <w:rPr>
                <w:rFonts w:eastAsia="Times" w:cs="Arial"/>
                <w:szCs w:val="22"/>
                <w:lang w:eastAsia="en-US"/>
              </w:rPr>
              <w:t>O</w:t>
            </w:r>
          </w:p>
        </w:tc>
        <w:tc>
          <w:tcPr>
            <w:tcW w:w="3276" w:type="dxa"/>
          </w:tcPr>
          <w:p w14:paraId="27B1B161" w14:textId="77777777" w:rsidR="000821BA" w:rsidRPr="000821BA" w:rsidRDefault="000821BA" w:rsidP="000821BA">
            <w:pPr>
              <w:rPr>
                <w:rFonts w:eastAsia="Times" w:cs="Arial"/>
                <w:szCs w:val="22"/>
                <w:lang w:eastAsia="en-US"/>
              </w:rPr>
            </w:pPr>
            <w:r w:rsidRPr="000821BA">
              <w:rPr>
                <w:rFonts w:eastAsia="Times" w:cs="Arial"/>
                <w:szCs w:val="22"/>
                <w:lang w:eastAsia="en-US"/>
              </w:rPr>
              <w:t>Computerised systems and data management</w:t>
            </w:r>
          </w:p>
        </w:tc>
        <w:tc>
          <w:tcPr>
            <w:tcW w:w="3902" w:type="dxa"/>
          </w:tcPr>
          <w:p w14:paraId="66EE9819"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para 4.5</w:t>
            </w:r>
          </w:p>
          <w:p w14:paraId="6A4DEA52" w14:textId="3FD1CD51"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4.2,</w:t>
            </w:r>
            <w:r w:rsidR="00FA4415">
              <w:rPr>
                <w:rFonts w:eastAsia="Times" w:cs="Arial"/>
                <w:szCs w:val="22"/>
                <w:lang w:eastAsia="en-US"/>
              </w:rPr>
              <w:t xml:space="preserve"> 4.3,</w:t>
            </w:r>
            <w:r w:rsidRPr="000821BA">
              <w:rPr>
                <w:rFonts w:eastAsia="Times" w:cs="Arial"/>
                <w:szCs w:val="22"/>
                <w:lang w:eastAsia="en-US"/>
              </w:rPr>
              <w:t xml:space="preserve"> 5.4</w:t>
            </w:r>
          </w:p>
        </w:tc>
      </w:tr>
      <w:tr w:rsidR="000821BA" w:rsidRPr="000821BA" w14:paraId="38A648C6" w14:textId="77777777" w:rsidTr="009914D3">
        <w:tc>
          <w:tcPr>
            <w:tcW w:w="1344" w:type="dxa"/>
          </w:tcPr>
          <w:p w14:paraId="437E0B1B" w14:textId="77777777" w:rsidR="000821BA" w:rsidRPr="000821BA" w:rsidRDefault="000821BA" w:rsidP="000821BA">
            <w:pPr>
              <w:rPr>
                <w:rFonts w:eastAsia="Times" w:cs="Arial"/>
                <w:szCs w:val="22"/>
                <w:lang w:eastAsia="en-US"/>
              </w:rPr>
            </w:pPr>
            <w:r w:rsidRPr="000821BA">
              <w:rPr>
                <w:rFonts w:eastAsia="Times" w:cs="Arial"/>
                <w:szCs w:val="22"/>
                <w:lang w:eastAsia="en-US"/>
              </w:rPr>
              <w:t>P</w:t>
            </w:r>
          </w:p>
        </w:tc>
        <w:tc>
          <w:tcPr>
            <w:tcW w:w="3276" w:type="dxa"/>
          </w:tcPr>
          <w:p w14:paraId="557CE4F2" w14:textId="77777777" w:rsidR="000821BA" w:rsidRPr="000821BA" w:rsidRDefault="000821BA" w:rsidP="000821BA">
            <w:pPr>
              <w:rPr>
                <w:rFonts w:eastAsia="Times" w:cs="Arial"/>
                <w:szCs w:val="22"/>
                <w:lang w:eastAsia="en-US"/>
              </w:rPr>
            </w:pPr>
            <w:r w:rsidRPr="000821BA">
              <w:rPr>
                <w:rFonts w:eastAsia="Times" w:cs="Arial"/>
                <w:szCs w:val="22"/>
                <w:lang w:eastAsia="en-US"/>
              </w:rPr>
              <w:t>Pre-transfusion testing</w:t>
            </w:r>
          </w:p>
        </w:tc>
        <w:tc>
          <w:tcPr>
            <w:tcW w:w="3902" w:type="dxa"/>
          </w:tcPr>
          <w:p w14:paraId="33680576"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para 4.3, 6.3</w:t>
            </w:r>
          </w:p>
        </w:tc>
      </w:tr>
      <w:tr w:rsidR="000821BA" w:rsidRPr="000821BA" w14:paraId="7CFCDCB6" w14:textId="77777777" w:rsidTr="009914D3">
        <w:tc>
          <w:tcPr>
            <w:tcW w:w="1344" w:type="dxa"/>
          </w:tcPr>
          <w:p w14:paraId="5E42A3A7" w14:textId="77777777" w:rsidR="000821BA" w:rsidRPr="000821BA" w:rsidRDefault="000821BA" w:rsidP="000821BA">
            <w:pPr>
              <w:rPr>
                <w:rFonts w:eastAsia="Times" w:cs="Arial"/>
                <w:szCs w:val="22"/>
                <w:lang w:eastAsia="en-US"/>
              </w:rPr>
            </w:pPr>
            <w:r w:rsidRPr="000821BA">
              <w:rPr>
                <w:rFonts w:eastAsia="Times" w:cs="Arial"/>
                <w:szCs w:val="22"/>
                <w:lang w:eastAsia="en-US"/>
              </w:rPr>
              <w:t>Q</w:t>
            </w:r>
          </w:p>
        </w:tc>
        <w:tc>
          <w:tcPr>
            <w:tcW w:w="3276" w:type="dxa"/>
          </w:tcPr>
          <w:p w14:paraId="3D8D21B3" w14:textId="77777777" w:rsidR="000821BA" w:rsidRPr="000821BA" w:rsidRDefault="000821BA" w:rsidP="000821BA">
            <w:pPr>
              <w:rPr>
                <w:rFonts w:eastAsia="Times" w:cs="Arial"/>
                <w:szCs w:val="22"/>
                <w:lang w:eastAsia="en-US"/>
              </w:rPr>
            </w:pPr>
            <w:r w:rsidRPr="000821BA">
              <w:rPr>
                <w:rFonts w:eastAsia="Times" w:cs="Arial"/>
                <w:szCs w:val="22"/>
                <w:lang w:eastAsia="en-US"/>
              </w:rPr>
              <w:t>Description of systems in place for traceability of blood components</w:t>
            </w:r>
          </w:p>
        </w:tc>
        <w:tc>
          <w:tcPr>
            <w:tcW w:w="3902" w:type="dxa"/>
          </w:tcPr>
          <w:p w14:paraId="6A52964F" w14:textId="77777777" w:rsidR="000821BA" w:rsidRPr="000821BA" w:rsidRDefault="000821BA" w:rsidP="000821BA">
            <w:pPr>
              <w:rPr>
                <w:rFonts w:eastAsia="Times" w:cs="Arial"/>
                <w:szCs w:val="22"/>
                <w:lang w:eastAsia="en-US"/>
              </w:rPr>
            </w:pPr>
            <w:r w:rsidRPr="000821BA">
              <w:rPr>
                <w:rFonts w:eastAsia="Times" w:cs="Arial"/>
                <w:szCs w:val="22"/>
                <w:lang w:eastAsia="en-US"/>
              </w:rPr>
              <w:t xml:space="preserve">BSQR (SI 2005 No.50) Regulation 9 (1) e, </w:t>
            </w:r>
            <w:proofErr w:type="spellStart"/>
            <w:r w:rsidRPr="000821BA">
              <w:rPr>
                <w:rFonts w:eastAsia="Times" w:cs="Arial"/>
                <w:szCs w:val="22"/>
                <w:lang w:eastAsia="en-US"/>
              </w:rPr>
              <w:t>i</w:t>
            </w:r>
            <w:proofErr w:type="spellEnd"/>
            <w:r w:rsidRPr="000821BA">
              <w:rPr>
                <w:rFonts w:eastAsia="Times" w:cs="Arial"/>
                <w:szCs w:val="22"/>
                <w:lang w:eastAsia="en-US"/>
              </w:rPr>
              <w:t>, j and 9 (2)</w:t>
            </w:r>
          </w:p>
          <w:p w14:paraId="7D5D3D12"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2005/61</w:t>
            </w:r>
          </w:p>
        </w:tc>
      </w:tr>
      <w:tr w:rsidR="000821BA" w:rsidRPr="000821BA" w14:paraId="0E74A1E5" w14:textId="77777777" w:rsidTr="009914D3">
        <w:tc>
          <w:tcPr>
            <w:tcW w:w="1344" w:type="dxa"/>
          </w:tcPr>
          <w:p w14:paraId="0BAC3804" w14:textId="77777777" w:rsidR="000821BA" w:rsidRPr="000821BA" w:rsidRDefault="000821BA" w:rsidP="000821BA">
            <w:pPr>
              <w:rPr>
                <w:rFonts w:eastAsia="Times" w:cs="Arial"/>
                <w:szCs w:val="22"/>
                <w:lang w:eastAsia="en-US"/>
              </w:rPr>
            </w:pPr>
            <w:r w:rsidRPr="000821BA">
              <w:rPr>
                <w:rFonts w:eastAsia="Times" w:cs="Arial"/>
                <w:szCs w:val="22"/>
                <w:lang w:eastAsia="en-US"/>
              </w:rPr>
              <w:t>R</w:t>
            </w:r>
          </w:p>
        </w:tc>
        <w:tc>
          <w:tcPr>
            <w:tcW w:w="3276" w:type="dxa"/>
          </w:tcPr>
          <w:p w14:paraId="68EDBBB4" w14:textId="77777777" w:rsidR="000821BA" w:rsidRPr="000821BA" w:rsidRDefault="000821BA" w:rsidP="000821BA">
            <w:pPr>
              <w:rPr>
                <w:rFonts w:eastAsia="Times" w:cs="Arial"/>
                <w:szCs w:val="22"/>
                <w:lang w:eastAsia="en-US"/>
              </w:rPr>
            </w:pPr>
            <w:r w:rsidRPr="000821BA">
              <w:rPr>
                <w:rFonts w:eastAsia="Times" w:cs="Arial"/>
                <w:szCs w:val="22"/>
                <w:lang w:eastAsia="en-US"/>
              </w:rPr>
              <w:t>Distribution of blood components</w:t>
            </w:r>
          </w:p>
        </w:tc>
        <w:tc>
          <w:tcPr>
            <w:tcW w:w="3902" w:type="dxa"/>
          </w:tcPr>
          <w:p w14:paraId="0346E8D2" w14:textId="77777777" w:rsidR="000821BA" w:rsidRPr="000821BA" w:rsidRDefault="000821BA" w:rsidP="000821BA">
            <w:pPr>
              <w:rPr>
                <w:rFonts w:eastAsia="Times" w:cs="Arial"/>
                <w:szCs w:val="22"/>
                <w:lang w:eastAsia="en-US"/>
              </w:rPr>
            </w:pPr>
            <w:r w:rsidRPr="000821BA">
              <w:rPr>
                <w:rFonts w:eastAsia="Times" w:cs="Arial"/>
                <w:szCs w:val="22"/>
                <w:lang w:eastAsia="en-US"/>
              </w:rPr>
              <w:t>BSQR (SI 2005 No.50) Regulation 9 (1) h</w:t>
            </w:r>
          </w:p>
          <w:p w14:paraId="525E8080"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7</w:t>
            </w:r>
          </w:p>
        </w:tc>
      </w:tr>
      <w:tr w:rsidR="000821BA" w:rsidRPr="000821BA" w14:paraId="789976EC" w14:textId="77777777" w:rsidTr="009914D3">
        <w:tc>
          <w:tcPr>
            <w:tcW w:w="1344" w:type="dxa"/>
          </w:tcPr>
          <w:p w14:paraId="2B738E2F" w14:textId="77777777" w:rsidR="000821BA" w:rsidRPr="000821BA" w:rsidRDefault="000821BA" w:rsidP="000821BA">
            <w:pPr>
              <w:rPr>
                <w:rFonts w:eastAsia="Times" w:cs="Arial"/>
                <w:szCs w:val="22"/>
                <w:lang w:eastAsia="en-US"/>
              </w:rPr>
            </w:pPr>
            <w:r w:rsidRPr="000821BA">
              <w:rPr>
                <w:rFonts w:eastAsia="Times" w:cs="Arial"/>
                <w:szCs w:val="22"/>
                <w:lang w:eastAsia="en-US"/>
              </w:rPr>
              <w:t>S</w:t>
            </w:r>
          </w:p>
        </w:tc>
        <w:tc>
          <w:tcPr>
            <w:tcW w:w="3276" w:type="dxa"/>
          </w:tcPr>
          <w:p w14:paraId="0B225933" w14:textId="77777777" w:rsidR="000821BA" w:rsidRPr="000821BA" w:rsidRDefault="000821BA" w:rsidP="000821BA">
            <w:pPr>
              <w:rPr>
                <w:rFonts w:eastAsia="Times" w:cs="Arial"/>
                <w:szCs w:val="22"/>
                <w:lang w:eastAsia="en-US"/>
              </w:rPr>
            </w:pPr>
            <w:r w:rsidRPr="000821BA">
              <w:rPr>
                <w:rFonts w:eastAsia="Times" w:cs="Arial"/>
                <w:szCs w:val="22"/>
                <w:lang w:eastAsia="en-US"/>
              </w:rPr>
              <w:t>Work contracted to third parties</w:t>
            </w:r>
          </w:p>
        </w:tc>
        <w:tc>
          <w:tcPr>
            <w:tcW w:w="3902" w:type="dxa"/>
            <w:tcBorders>
              <w:bottom w:val="single" w:sz="4" w:space="0" w:color="auto"/>
            </w:tcBorders>
          </w:tcPr>
          <w:p w14:paraId="3FC4AEE0" w14:textId="77777777" w:rsidR="000821BA" w:rsidRPr="000821BA" w:rsidRDefault="000821BA" w:rsidP="000821BA">
            <w:pPr>
              <w:rPr>
                <w:rFonts w:eastAsia="Times" w:cs="Arial"/>
                <w:szCs w:val="22"/>
                <w:lang w:eastAsia="en-US"/>
              </w:rPr>
            </w:pPr>
            <w:r w:rsidRPr="000821BA">
              <w:rPr>
                <w:rFonts w:eastAsia="Times" w:cs="Arial"/>
                <w:szCs w:val="22"/>
                <w:lang w:eastAsia="en-US"/>
              </w:rPr>
              <w:t>Directive 2005/62 Annex, section 8</w:t>
            </w:r>
          </w:p>
          <w:p w14:paraId="7775ADCD" w14:textId="77777777" w:rsidR="000821BA" w:rsidRPr="000821BA" w:rsidRDefault="000821BA" w:rsidP="000821BA">
            <w:pPr>
              <w:rPr>
                <w:rFonts w:eastAsia="Times" w:cs="Arial"/>
                <w:szCs w:val="22"/>
                <w:lang w:eastAsia="en-US"/>
              </w:rPr>
            </w:pPr>
            <w:proofErr w:type="spellStart"/>
            <w:r w:rsidRPr="000821BA">
              <w:rPr>
                <w:rFonts w:eastAsia="Times" w:cs="Arial"/>
                <w:szCs w:val="22"/>
                <w:lang w:eastAsia="en-US"/>
              </w:rPr>
              <w:t>CoE</w:t>
            </w:r>
            <w:proofErr w:type="spellEnd"/>
            <w:r w:rsidRPr="000821BA">
              <w:rPr>
                <w:rFonts w:eastAsia="Times" w:cs="Arial"/>
                <w:szCs w:val="22"/>
                <w:lang w:eastAsia="en-US"/>
              </w:rPr>
              <w:t xml:space="preserve"> GPG 8</w:t>
            </w:r>
          </w:p>
        </w:tc>
      </w:tr>
      <w:tr w:rsidR="000821BA" w:rsidRPr="000821BA" w14:paraId="5A038B80" w14:textId="77777777" w:rsidTr="009914D3">
        <w:tc>
          <w:tcPr>
            <w:tcW w:w="1344" w:type="dxa"/>
          </w:tcPr>
          <w:p w14:paraId="327439D7" w14:textId="42ED0E00" w:rsidR="000821BA" w:rsidRPr="000821BA" w:rsidRDefault="000821BA" w:rsidP="000821BA">
            <w:pPr>
              <w:rPr>
                <w:rFonts w:eastAsia="Times" w:cs="Arial"/>
                <w:szCs w:val="22"/>
                <w:lang w:eastAsia="en-US"/>
              </w:rPr>
            </w:pPr>
            <w:r w:rsidRPr="000821BA">
              <w:rPr>
                <w:rFonts w:eastAsia="Times" w:cs="Arial"/>
                <w:szCs w:val="22"/>
                <w:lang w:eastAsia="en-US"/>
              </w:rPr>
              <w:t>T</w:t>
            </w:r>
            <w:r w:rsidR="004801E1">
              <w:rPr>
                <w:rFonts w:eastAsia="Times" w:cs="Arial"/>
                <w:szCs w:val="22"/>
                <w:lang w:eastAsia="en-US"/>
              </w:rPr>
              <w:t>,</w:t>
            </w:r>
            <w:r w:rsidR="009F61A9">
              <w:rPr>
                <w:rFonts w:eastAsia="Times" w:cs="Arial"/>
                <w:szCs w:val="22"/>
                <w:lang w:eastAsia="en-US"/>
              </w:rPr>
              <w:t xml:space="preserve"> </w:t>
            </w:r>
            <w:r w:rsidRPr="000821BA">
              <w:rPr>
                <w:rFonts w:eastAsia="Times" w:cs="Arial"/>
                <w:szCs w:val="22"/>
                <w:lang w:eastAsia="en-US"/>
              </w:rPr>
              <w:t>U</w:t>
            </w:r>
          </w:p>
        </w:tc>
        <w:tc>
          <w:tcPr>
            <w:tcW w:w="3276" w:type="dxa"/>
          </w:tcPr>
          <w:p w14:paraId="2FDBBB8F" w14:textId="77777777" w:rsidR="000821BA" w:rsidRPr="000821BA" w:rsidRDefault="000821BA" w:rsidP="000821BA">
            <w:pPr>
              <w:rPr>
                <w:rFonts w:eastAsia="Times" w:cs="Arial"/>
                <w:szCs w:val="22"/>
                <w:lang w:eastAsia="en-US"/>
              </w:rPr>
            </w:pPr>
            <w:r w:rsidRPr="000821BA">
              <w:rPr>
                <w:rFonts w:eastAsia="Times" w:cs="Arial"/>
                <w:szCs w:val="22"/>
                <w:lang w:eastAsia="en-US"/>
              </w:rPr>
              <w:t xml:space="preserve">Corrective Actions, Preventive Actions </w:t>
            </w:r>
          </w:p>
        </w:tc>
        <w:tc>
          <w:tcPr>
            <w:tcW w:w="3902" w:type="dxa"/>
            <w:shd w:val="clear" w:color="auto" w:fill="595959"/>
          </w:tcPr>
          <w:p w14:paraId="1BB7173F" w14:textId="77777777" w:rsidR="000821BA" w:rsidRPr="000821BA" w:rsidRDefault="000821BA" w:rsidP="000821BA">
            <w:pPr>
              <w:rPr>
                <w:rFonts w:eastAsia="Times" w:cs="Arial"/>
                <w:szCs w:val="22"/>
                <w:lang w:eastAsia="en-US"/>
              </w:rPr>
            </w:pPr>
          </w:p>
        </w:tc>
      </w:tr>
    </w:tbl>
    <w:p w14:paraId="4015E80B" w14:textId="4892B24F" w:rsidR="00BF5C9D" w:rsidRPr="00416B42" w:rsidRDefault="00BF5C9D" w:rsidP="00416B42"/>
    <w:sectPr w:rsidR="00BF5C9D" w:rsidRPr="00416B42" w:rsidSect="00EE2B1A">
      <w:headerReference w:type="default" r:id="rId15"/>
      <w:footerReference w:type="even" r:id="rId16"/>
      <w:footerReference w:type="default" r:id="rId17"/>
      <w:headerReference w:type="first" r:id="rId18"/>
      <w:footerReference w:type="first" r:id="rId19"/>
      <w:pgSz w:w="11906" w:h="16838" w:code="9"/>
      <w:pgMar w:top="851" w:right="1134" w:bottom="1701" w:left="851" w:header="0"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4D22" w14:textId="77777777" w:rsidR="00C37B98" w:rsidRDefault="00C37B98">
      <w:r>
        <w:separator/>
      </w:r>
    </w:p>
  </w:endnote>
  <w:endnote w:type="continuationSeparator" w:id="0">
    <w:p w14:paraId="6756A571" w14:textId="77777777" w:rsidR="00C37B98" w:rsidRDefault="00C37B98">
      <w:r>
        <w:continuationSeparator/>
      </w:r>
    </w:p>
  </w:endnote>
  <w:endnote w:type="continuationNotice" w:id="1">
    <w:p w14:paraId="16D3EE24" w14:textId="77777777" w:rsidR="00C37B98" w:rsidRDefault="00C37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0993" w14:textId="77777777" w:rsidR="00AB7B2C" w:rsidRDefault="00AB7B2C"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419F3" w14:textId="77777777" w:rsidR="00AB7B2C" w:rsidRDefault="00AB7B2C"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425157"/>
      <w:docPartObj>
        <w:docPartGallery w:val="Page Numbers (Bottom of Page)"/>
        <w:docPartUnique/>
      </w:docPartObj>
    </w:sdtPr>
    <w:sdtEndPr>
      <w:rPr>
        <w:color w:val="7F7F7F" w:themeColor="background1" w:themeShade="7F"/>
        <w:spacing w:val="60"/>
      </w:rPr>
    </w:sdtEndPr>
    <w:sdtContent>
      <w:p w14:paraId="01B4CC3C" w14:textId="0A8FB037" w:rsidR="00AB7B2C" w:rsidRDefault="00AB7B2C">
        <w:pPr>
          <w:pStyle w:val="Footer"/>
          <w:pBdr>
            <w:top w:val="single" w:sz="4" w:space="1" w:color="D9D9D9" w:themeColor="background1" w:themeShade="D9"/>
          </w:pBdr>
        </w:pPr>
        <w:r>
          <w:fldChar w:fldCharType="begin"/>
        </w:r>
        <w:r>
          <w:instrText xml:space="preserve"> PAGE   \* MERGEFORMAT </w:instrText>
        </w:r>
        <w:r>
          <w:fldChar w:fldCharType="separate"/>
        </w:r>
        <w:r w:rsidR="00777F20">
          <w:rPr>
            <w:noProof/>
          </w:rPr>
          <w:t>11</w:t>
        </w:r>
        <w:r>
          <w:rPr>
            <w:noProof/>
          </w:rPr>
          <w:fldChar w:fldCharType="end"/>
        </w:r>
        <w:r>
          <w:t xml:space="preserve"> | </w:t>
        </w:r>
        <w:r>
          <w:rPr>
            <w:color w:val="7F7F7F" w:themeColor="background1" w:themeShade="7F"/>
            <w:spacing w:val="60"/>
          </w:rPr>
          <w:t>Page</w:t>
        </w:r>
      </w:p>
    </w:sdtContent>
  </w:sdt>
  <w:p w14:paraId="44F18CD6" w14:textId="77777777" w:rsidR="00AB7B2C" w:rsidRDefault="00AB7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659039"/>
      <w:docPartObj>
        <w:docPartGallery w:val="Page Numbers (Bottom of Page)"/>
        <w:docPartUnique/>
      </w:docPartObj>
    </w:sdtPr>
    <w:sdtEndPr>
      <w:rPr>
        <w:color w:val="7F7F7F" w:themeColor="background1" w:themeShade="7F"/>
        <w:spacing w:val="60"/>
      </w:rPr>
    </w:sdtEndPr>
    <w:sdtContent>
      <w:p w14:paraId="7A852929" w14:textId="68728DB6" w:rsidR="00AB7B2C" w:rsidRDefault="00AB7B2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7F20" w:rsidRPr="00777F20">
          <w:rPr>
            <w:b/>
            <w:bCs/>
            <w:noProof/>
          </w:rPr>
          <w:t>1</w:t>
        </w:r>
        <w:r>
          <w:rPr>
            <w:b/>
            <w:bCs/>
            <w:noProof/>
          </w:rPr>
          <w:fldChar w:fldCharType="end"/>
        </w:r>
        <w:r>
          <w:rPr>
            <w:b/>
            <w:bCs/>
          </w:rPr>
          <w:t xml:space="preserve"> | </w:t>
        </w:r>
        <w:r>
          <w:rPr>
            <w:color w:val="7F7F7F" w:themeColor="background1" w:themeShade="7F"/>
            <w:spacing w:val="60"/>
          </w:rPr>
          <w:t>Page</w:t>
        </w:r>
      </w:p>
    </w:sdtContent>
  </w:sdt>
  <w:p w14:paraId="2A4D821C" w14:textId="77777777" w:rsidR="00AB7B2C" w:rsidRDefault="00AB7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6A079" w14:textId="77777777" w:rsidR="00C37B98" w:rsidRDefault="00C37B98">
      <w:r>
        <w:separator/>
      </w:r>
    </w:p>
  </w:footnote>
  <w:footnote w:type="continuationSeparator" w:id="0">
    <w:p w14:paraId="43661190" w14:textId="77777777" w:rsidR="00C37B98" w:rsidRDefault="00C37B98">
      <w:r>
        <w:continuationSeparator/>
      </w:r>
    </w:p>
  </w:footnote>
  <w:footnote w:type="continuationNotice" w:id="1">
    <w:p w14:paraId="05099654" w14:textId="77777777" w:rsidR="00C37B98" w:rsidRDefault="00C37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60AD" w14:textId="31A49654" w:rsidR="00AB7B2C" w:rsidRDefault="00AB7B2C">
    <w:pPr>
      <w:pStyle w:val="Header"/>
    </w:pPr>
    <w:r>
      <w:rPr>
        <w:noProof/>
        <w:sz w:val="22"/>
        <w:szCs w:val="22"/>
      </w:rPr>
      <w:drawing>
        <wp:inline distT="0" distB="0" distL="0" distR="0" wp14:anchorId="4D394154" wp14:editId="5CC26162">
          <wp:extent cx="6724308" cy="958215"/>
          <wp:effectExtent l="0" t="0" r="635" b="0"/>
          <wp:docPr id="2" name="Picture 2" descr="Agency with M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with MH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558" cy="959676"/>
                  </a:xfrm>
                  <a:prstGeom prst="rect">
                    <a:avLst/>
                  </a:prstGeom>
                  <a:noFill/>
                  <a:ln>
                    <a:noFill/>
                  </a:ln>
                </pic:spPr>
              </pic:pic>
            </a:graphicData>
          </a:graphic>
        </wp:inline>
      </w:drawing>
    </w:r>
  </w:p>
  <w:p w14:paraId="53C7DF51" w14:textId="3AABF363" w:rsidR="00AB7B2C" w:rsidRDefault="00AB7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837D" w14:textId="3E57C8BD" w:rsidR="00AB7B2C" w:rsidRPr="005758AD" w:rsidRDefault="00AB7B2C" w:rsidP="00EE2B1A">
    <w:pPr>
      <w:pStyle w:val="Header"/>
      <w:spacing w:after="480"/>
      <w:ind w:left="-851"/>
      <w:rPr>
        <w:sz w:val="22"/>
        <w:szCs w:val="22"/>
      </w:rPr>
    </w:pPr>
    <w:r>
      <w:rPr>
        <w:noProof/>
        <w:sz w:val="22"/>
        <w:szCs w:val="22"/>
      </w:rPr>
      <w:drawing>
        <wp:inline distT="0" distB="0" distL="0" distR="0" wp14:anchorId="3FBB5224" wp14:editId="11BA97A1">
          <wp:extent cx="7543800" cy="1143000"/>
          <wp:effectExtent l="0" t="0" r="0" b="0"/>
          <wp:docPr id="1" name="Picture 1" descr="Agency with M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ncy with MH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B64137"/>
    <w:multiLevelType w:val="hybridMultilevel"/>
    <w:tmpl w:val="1A161CA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0E840D67"/>
    <w:multiLevelType w:val="hybridMultilevel"/>
    <w:tmpl w:val="93B89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391066"/>
    <w:multiLevelType w:val="hybridMultilevel"/>
    <w:tmpl w:val="7B20E7C4"/>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 w15:restartNumberingAfterBreak="0">
    <w:nsid w:val="2E3901B7"/>
    <w:multiLevelType w:val="hybridMultilevel"/>
    <w:tmpl w:val="F63C16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6981F75"/>
    <w:multiLevelType w:val="multilevel"/>
    <w:tmpl w:val="50BCCE2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8" w15:restartNumberingAfterBreak="0">
    <w:nsid w:val="373C36E8"/>
    <w:multiLevelType w:val="multilevel"/>
    <w:tmpl w:val="9FC8425A"/>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60408"/>
    <w:multiLevelType w:val="multilevel"/>
    <w:tmpl w:val="50BCCE2C"/>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0" w15:restartNumberingAfterBreak="0">
    <w:nsid w:val="496E5456"/>
    <w:multiLevelType w:val="multilevel"/>
    <w:tmpl w:val="50BCCE2C"/>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1" w15:restartNumberingAfterBreak="0">
    <w:nsid w:val="4EB40DFB"/>
    <w:multiLevelType w:val="hybridMultilevel"/>
    <w:tmpl w:val="EC82FF96"/>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2" w15:restartNumberingAfterBreak="0">
    <w:nsid w:val="59747A90"/>
    <w:multiLevelType w:val="multilevel"/>
    <w:tmpl w:val="50BCCE2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3" w15:restartNumberingAfterBreak="0">
    <w:nsid w:val="60E743A8"/>
    <w:multiLevelType w:val="multilevel"/>
    <w:tmpl w:val="50BCCE2C"/>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24" w15:restartNumberingAfterBreak="0">
    <w:nsid w:val="67184AC2"/>
    <w:multiLevelType w:val="multilevel"/>
    <w:tmpl w:val="50BCCE2C"/>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5" w15:restartNumberingAfterBreak="0">
    <w:nsid w:val="678C44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818378D"/>
    <w:multiLevelType w:val="multilevel"/>
    <w:tmpl w:val="50BCCE2C"/>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7" w15:restartNumberingAfterBreak="0">
    <w:nsid w:val="7A0D13CA"/>
    <w:multiLevelType w:val="multilevel"/>
    <w:tmpl w:val="50BCCE2C"/>
    <w:lvl w:ilvl="0">
      <w:start w:val="1"/>
      <w:numFmt w:val="bullet"/>
      <w:lvlText w:val=""/>
      <w:lvlJc w:val="left"/>
      <w:pPr>
        <w:ind w:left="1584" w:hanging="360"/>
      </w:pPr>
      <w:rPr>
        <w:rFonts w:ascii="Symbol" w:hAnsi="Symbol" w:hint="default"/>
      </w:r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num w:numId="1" w16cid:durableId="1117063922">
    <w:abstractNumId w:val="9"/>
  </w:num>
  <w:num w:numId="2" w16cid:durableId="497229185">
    <w:abstractNumId w:val="7"/>
  </w:num>
  <w:num w:numId="3" w16cid:durableId="766117764">
    <w:abstractNumId w:val="6"/>
  </w:num>
  <w:num w:numId="4" w16cid:durableId="727920824">
    <w:abstractNumId w:val="5"/>
  </w:num>
  <w:num w:numId="5" w16cid:durableId="1658806904">
    <w:abstractNumId w:val="4"/>
  </w:num>
  <w:num w:numId="6" w16cid:durableId="1896550391">
    <w:abstractNumId w:val="8"/>
  </w:num>
  <w:num w:numId="7" w16cid:durableId="1817914632">
    <w:abstractNumId w:val="3"/>
  </w:num>
  <w:num w:numId="8" w16cid:durableId="1835338764">
    <w:abstractNumId w:val="2"/>
  </w:num>
  <w:num w:numId="9" w16cid:durableId="79836262">
    <w:abstractNumId w:val="1"/>
  </w:num>
  <w:num w:numId="10" w16cid:durableId="1301496896">
    <w:abstractNumId w:val="0"/>
  </w:num>
  <w:num w:numId="11" w16cid:durableId="778111306">
    <w:abstractNumId w:val="16"/>
  </w:num>
  <w:num w:numId="12" w16cid:durableId="1718359398">
    <w:abstractNumId w:val="13"/>
  </w:num>
  <w:num w:numId="13" w16cid:durableId="1038050055">
    <w:abstractNumId w:val="12"/>
  </w:num>
  <w:num w:numId="14" w16cid:durableId="247426385">
    <w:abstractNumId w:val="25"/>
  </w:num>
  <w:num w:numId="15" w16cid:durableId="1088893569">
    <w:abstractNumId w:val="18"/>
  </w:num>
  <w:num w:numId="16" w16cid:durableId="1820728665">
    <w:abstractNumId w:val="11"/>
  </w:num>
  <w:num w:numId="17" w16cid:durableId="1572351452">
    <w:abstractNumId w:val="15"/>
  </w:num>
  <w:num w:numId="18" w16cid:durableId="1871062447">
    <w:abstractNumId w:val="10"/>
  </w:num>
  <w:num w:numId="19" w16cid:durableId="1620989958">
    <w:abstractNumId w:val="22"/>
  </w:num>
  <w:num w:numId="20" w16cid:durableId="606355569">
    <w:abstractNumId w:val="26"/>
  </w:num>
  <w:num w:numId="21" w16cid:durableId="1000818537">
    <w:abstractNumId w:val="24"/>
  </w:num>
  <w:num w:numId="22" w16cid:durableId="1423994021">
    <w:abstractNumId w:val="19"/>
  </w:num>
  <w:num w:numId="23" w16cid:durableId="246306786">
    <w:abstractNumId w:val="20"/>
  </w:num>
  <w:num w:numId="24" w16cid:durableId="142505091">
    <w:abstractNumId w:val="23"/>
  </w:num>
  <w:num w:numId="25" w16cid:durableId="195774770">
    <w:abstractNumId w:val="17"/>
  </w:num>
  <w:num w:numId="26" w16cid:durableId="1761677696">
    <w:abstractNumId w:val="27"/>
  </w:num>
  <w:num w:numId="27" w16cid:durableId="1405832840">
    <w:abstractNumId w:val="14"/>
  </w:num>
  <w:num w:numId="28" w16cid:durableId="20487907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5E"/>
    <w:rsid w:val="0000030A"/>
    <w:rsid w:val="00003112"/>
    <w:rsid w:val="000209F4"/>
    <w:rsid w:val="00024587"/>
    <w:rsid w:val="00024E62"/>
    <w:rsid w:val="00030494"/>
    <w:rsid w:val="00031876"/>
    <w:rsid w:val="00032FDD"/>
    <w:rsid w:val="00041768"/>
    <w:rsid w:val="00056A0D"/>
    <w:rsid w:val="00057BDA"/>
    <w:rsid w:val="00061BCD"/>
    <w:rsid w:val="00066AB9"/>
    <w:rsid w:val="00072C05"/>
    <w:rsid w:val="00072D01"/>
    <w:rsid w:val="00077C6E"/>
    <w:rsid w:val="00080033"/>
    <w:rsid w:val="000821BA"/>
    <w:rsid w:val="00095648"/>
    <w:rsid w:val="000E3E81"/>
    <w:rsid w:val="000F2DBE"/>
    <w:rsid w:val="00104262"/>
    <w:rsid w:val="001141A8"/>
    <w:rsid w:val="001252D2"/>
    <w:rsid w:val="001277D0"/>
    <w:rsid w:val="00136291"/>
    <w:rsid w:val="001514F9"/>
    <w:rsid w:val="00151A05"/>
    <w:rsid w:val="0017327D"/>
    <w:rsid w:val="00180833"/>
    <w:rsid w:val="00183E28"/>
    <w:rsid w:val="0018641C"/>
    <w:rsid w:val="00191BCA"/>
    <w:rsid w:val="00192EEF"/>
    <w:rsid w:val="001A16B0"/>
    <w:rsid w:val="001A351D"/>
    <w:rsid w:val="001B3A6F"/>
    <w:rsid w:val="001C61BF"/>
    <w:rsid w:val="001D17F2"/>
    <w:rsid w:val="001D6224"/>
    <w:rsid w:val="001F3DE2"/>
    <w:rsid w:val="002030D8"/>
    <w:rsid w:val="00227188"/>
    <w:rsid w:val="00256490"/>
    <w:rsid w:val="00263E16"/>
    <w:rsid w:val="00265652"/>
    <w:rsid w:val="00277BD5"/>
    <w:rsid w:val="00293F81"/>
    <w:rsid w:val="002A2363"/>
    <w:rsid w:val="002A3B81"/>
    <w:rsid w:val="002C0CA0"/>
    <w:rsid w:val="002E06E9"/>
    <w:rsid w:val="002E516F"/>
    <w:rsid w:val="002E7294"/>
    <w:rsid w:val="002F1B02"/>
    <w:rsid w:val="00325D5A"/>
    <w:rsid w:val="003274A4"/>
    <w:rsid w:val="00342078"/>
    <w:rsid w:val="00355CD6"/>
    <w:rsid w:val="00360D10"/>
    <w:rsid w:val="00373596"/>
    <w:rsid w:val="00375E03"/>
    <w:rsid w:val="00381005"/>
    <w:rsid w:val="00383A30"/>
    <w:rsid w:val="003908FA"/>
    <w:rsid w:val="003933B5"/>
    <w:rsid w:val="003A1692"/>
    <w:rsid w:val="003B73CF"/>
    <w:rsid w:val="004041ED"/>
    <w:rsid w:val="004134F5"/>
    <w:rsid w:val="00413B48"/>
    <w:rsid w:val="00416B42"/>
    <w:rsid w:val="0042769B"/>
    <w:rsid w:val="0043275A"/>
    <w:rsid w:val="00454D4E"/>
    <w:rsid w:val="00457256"/>
    <w:rsid w:val="004801E1"/>
    <w:rsid w:val="0049229F"/>
    <w:rsid w:val="00497DA5"/>
    <w:rsid w:val="004B6BF5"/>
    <w:rsid w:val="004C3ED9"/>
    <w:rsid w:val="004E0FBF"/>
    <w:rsid w:val="004E20A2"/>
    <w:rsid w:val="004F154A"/>
    <w:rsid w:val="004F4AA0"/>
    <w:rsid w:val="00501D9E"/>
    <w:rsid w:val="00502139"/>
    <w:rsid w:val="005039C4"/>
    <w:rsid w:val="00505E2A"/>
    <w:rsid w:val="00511EC0"/>
    <w:rsid w:val="005271D6"/>
    <w:rsid w:val="00535DEC"/>
    <w:rsid w:val="005403F0"/>
    <w:rsid w:val="00554A96"/>
    <w:rsid w:val="005758AD"/>
    <w:rsid w:val="00595FED"/>
    <w:rsid w:val="005A01A7"/>
    <w:rsid w:val="005A055D"/>
    <w:rsid w:val="005B21FF"/>
    <w:rsid w:val="005B6ABE"/>
    <w:rsid w:val="005C603B"/>
    <w:rsid w:val="005D195B"/>
    <w:rsid w:val="005E1732"/>
    <w:rsid w:val="005E7C9D"/>
    <w:rsid w:val="006006B6"/>
    <w:rsid w:val="00602309"/>
    <w:rsid w:val="00606991"/>
    <w:rsid w:val="006069C3"/>
    <w:rsid w:val="0061178A"/>
    <w:rsid w:val="00617F03"/>
    <w:rsid w:val="006212CD"/>
    <w:rsid w:val="0063374B"/>
    <w:rsid w:val="006406B2"/>
    <w:rsid w:val="006428ED"/>
    <w:rsid w:val="006432E1"/>
    <w:rsid w:val="00645F37"/>
    <w:rsid w:val="00655EE5"/>
    <w:rsid w:val="006705F7"/>
    <w:rsid w:val="00673ADF"/>
    <w:rsid w:val="0067639F"/>
    <w:rsid w:val="00682E57"/>
    <w:rsid w:val="00684F0A"/>
    <w:rsid w:val="006A68B0"/>
    <w:rsid w:val="006A6D5D"/>
    <w:rsid w:val="006B1580"/>
    <w:rsid w:val="006B617D"/>
    <w:rsid w:val="006E6919"/>
    <w:rsid w:val="006F2C55"/>
    <w:rsid w:val="006F352E"/>
    <w:rsid w:val="006F4BD6"/>
    <w:rsid w:val="00701436"/>
    <w:rsid w:val="007159AC"/>
    <w:rsid w:val="0072544D"/>
    <w:rsid w:val="00747234"/>
    <w:rsid w:val="00762A74"/>
    <w:rsid w:val="0077624B"/>
    <w:rsid w:val="00776666"/>
    <w:rsid w:val="007773BC"/>
    <w:rsid w:val="00777F20"/>
    <w:rsid w:val="0078380D"/>
    <w:rsid w:val="007874EB"/>
    <w:rsid w:val="0079245C"/>
    <w:rsid w:val="00792F10"/>
    <w:rsid w:val="007A06C4"/>
    <w:rsid w:val="007A7DA2"/>
    <w:rsid w:val="007C089D"/>
    <w:rsid w:val="007C6804"/>
    <w:rsid w:val="007D4DC8"/>
    <w:rsid w:val="007D5E60"/>
    <w:rsid w:val="0080490A"/>
    <w:rsid w:val="008074AE"/>
    <w:rsid w:val="00821CBE"/>
    <w:rsid w:val="00832308"/>
    <w:rsid w:val="00834F8D"/>
    <w:rsid w:val="008507C1"/>
    <w:rsid w:val="00853359"/>
    <w:rsid w:val="008A3560"/>
    <w:rsid w:val="008A4F18"/>
    <w:rsid w:val="008A6779"/>
    <w:rsid w:val="008B0710"/>
    <w:rsid w:val="008B0B19"/>
    <w:rsid w:val="008B2423"/>
    <w:rsid w:val="008C46EC"/>
    <w:rsid w:val="008F014A"/>
    <w:rsid w:val="00900B85"/>
    <w:rsid w:val="0091116D"/>
    <w:rsid w:val="00930C2D"/>
    <w:rsid w:val="00931AA7"/>
    <w:rsid w:val="009336FE"/>
    <w:rsid w:val="0095712D"/>
    <w:rsid w:val="00961338"/>
    <w:rsid w:val="00980565"/>
    <w:rsid w:val="009A12A6"/>
    <w:rsid w:val="009A325F"/>
    <w:rsid w:val="009B7CCB"/>
    <w:rsid w:val="009D46E6"/>
    <w:rsid w:val="009F61A9"/>
    <w:rsid w:val="00A12652"/>
    <w:rsid w:val="00A13C5E"/>
    <w:rsid w:val="00A21F6F"/>
    <w:rsid w:val="00A26B60"/>
    <w:rsid w:val="00A322A3"/>
    <w:rsid w:val="00A47517"/>
    <w:rsid w:val="00A50D23"/>
    <w:rsid w:val="00A6140F"/>
    <w:rsid w:val="00A74FCD"/>
    <w:rsid w:val="00A87A90"/>
    <w:rsid w:val="00A92F32"/>
    <w:rsid w:val="00AA28A6"/>
    <w:rsid w:val="00AB3AEF"/>
    <w:rsid w:val="00AB7B2C"/>
    <w:rsid w:val="00AC5D47"/>
    <w:rsid w:val="00AC7634"/>
    <w:rsid w:val="00AC7D99"/>
    <w:rsid w:val="00AD26CA"/>
    <w:rsid w:val="00AD495C"/>
    <w:rsid w:val="00AD631E"/>
    <w:rsid w:val="00B011E8"/>
    <w:rsid w:val="00B03A7B"/>
    <w:rsid w:val="00B104D2"/>
    <w:rsid w:val="00B11801"/>
    <w:rsid w:val="00B12F2D"/>
    <w:rsid w:val="00B16997"/>
    <w:rsid w:val="00B225C3"/>
    <w:rsid w:val="00B30302"/>
    <w:rsid w:val="00B450E6"/>
    <w:rsid w:val="00B52ABB"/>
    <w:rsid w:val="00B6104B"/>
    <w:rsid w:val="00B644A0"/>
    <w:rsid w:val="00B65027"/>
    <w:rsid w:val="00B80998"/>
    <w:rsid w:val="00B9108E"/>
    <w:rsid w:val="00B92E4E"/>
    <w:rsid w:val="00BD0F64"/>
    <w:rsid w:val="00BE097D"/>
    <w:rsid w:val="00BF5C9D"/>
    <w:rsid w:val="00C03557"/>
    <w:rsid w:val="00C0710C"/>
    <w:rsid w:val="00C27266"/>
    <w:rsid w:val="00C3503C"/>
    <w:rsid w:val="00C37B98"/>
    <w:rsid w:val="00C466E3"/>
    <w:rsid w:val="00C47890"/>
    <w:rsid w:val="00C50C82"/>
    <w:rsid w:val="00C602E0"/>
    <w:rsid w:val="00C65486"/>
    <w:rsid w:val="00C738B2"/>
    <w:rsid w:val="00C83C6A"/>
    <w:rsid w:val="00C95706"/>
    <w:rsid w:val="00CA13C9"/>
    <w:rsid w:val="00CA187D"/>
    <w:rsid w:val="00CC2952"/>
    <w:rsid w:val="00CE5CE2"/>
    <w:rsid w:val="00CF026B"/>
    <w:rsid w:val="00CF0A52"/>
    <w:rsid w:val="00D05375"/>
    <w:rsid w:val="00D3199E"/>
    <w:rsid w:val="00D51E34"/>
    <w:rsid w:val="00D64447"/>
    <w:rsid w:val="00D64ABB"/>
    <w:rsid w:val="00D87B0E"/>
    <w:rsid w:val="00D94EA0"/>
    <w:rsid w:val="00DB02A6"/>
    <w:rsid w:val="00DB1172"/>
    <w:rsid w:val="00DB38DF"/>
    <w:rsid w:val="00DB7EA6"/>
    <w:rsid w:val="00DE6531"/>
    <w:rsid w:val="00E001EF"/>
    <w:rsid w:val="00E166B4"/>
    <w:rsid w:val="00E177DF"/>
    <w:rsid w:val="00E431EB"/>
    <w:rsid w:val="00E53FB3"/>
    <w:rsid w:val="00E70712"/>
    <w:rsid w:val="00E837ED"/>
    <w:rsid w:val="00E9026E"/>
    <w:rsid w:val="00E92CDE"/>
    <w:rsid w:val="00ED1945"/>
    <w:rsid w:val="00ED5507"/>
    <w:rsid w:val="00ED6DBE"/>
    <w:rsid w:val="00EE2B1A"/>
    <w:rsid w:val="00F039A1"/>
    <w:rsid w:val="00F124E0"/>
    <w:rsid w:val="00F137C4"/>
    <w:rsid w:val="00F17219"/>
    <w:rsid w:val="00F17B40"/>
    <w:rsid w:val="00F301FC"/>
    <w:rsid w:val="00F30970"/>
    <w:rsid w:val="00F7053C"/>
    <w:rsid w:val="00F718C9"/>
    <w:rsid w:val="00F71D9A"/>
    <w:rsid w:val="00F740EB"/>
    <w:rsid w:val="00F81394"/>
    <w:rsid w:val="00F919B6"/>
    <w:rsid w:val="00F968EB"/>
    <w:rsid w:val="00FA34D5"/>
    <w:rsid w:val="00FA4415"/>
    <w:rsid w:val="00FA4419"/>
    <w:rsid w:val="00FA5DA0"/>
    <w:rsid w:val="00FA6C22"/>
    <w:rsid w:val="00FC4AC6"/>
    <w:rsid w:val="00FF3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7FA83"/>
  <w15:docId w15:val="{9C9DAA44-B519-4BE3-BCAD-C7A139C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7DA5"/>
    <w:rPr>
      <w:rFonts w:ascii="Arial" w:hAnsi="Arial"/>
      <w:sz w:val="22"/>
      <w:szCs w:val="24"/>
    </w:rPr>
  </w:style>
  <w:style w:type="paragraph" w:styleId="Heading1">
    <w:name w:val="heading 1"/>
    <w:next w:val="Normal"/>
    <w:qFormat/>
    <w:rsid w:val="00497DA5"/>
    <w:pPr>
      <w:keepNext/>
      <w:spacing w:before="480" w:after="240"/>
      <w:outlineLvl w:val="0"/>
    </w:pPr>
    <w:rPr>
      <w:rFonts w:ascii="Arial" w:hAnsi="Arial" w:cs="Arial"/>
      <w:b/>
      <w:bCs/>
      <w:sz w:val="36"/>
      <w:szCs w:val="32"/>
    </w:rPr>
  </w:style>
  <w:style w:type="paragraph" w:styleId="Heading2">
    <w:name w:val="heading 2"/>
    <w:basedOn w:val="Heading1"/>
    <w:next w:val="Normal"/>
    <w:qFormat/>
    <w:rsid w:val="00497DA5"/>
    <w:pPr>
      <w:spacing w:before="240"/>
      <w:outlineLvl w:val="1"/>
    </w:pPr>
    <w:rPr>
      <w:bCs w:val="0"/>
      <w:iCs/>
      <w:sz w:val="28"/>
      <w:szCs w:val="28"/>
    </w:rPr>
  </w:style>
  <w:style w:type="paragraph" w:styleId="Heading3">
    <w:name w:val="heading 3"/>
    <w:basedOn w:val="Heading1"/>
    <w:next w:val="Normal"/>
    <w:qFormat/>
    <w:rsid w:val="00497DA5"/>
    <w:pPr>
      <w:spacing w:before="120" w:after="120"/>
      <w:outlineLvl w:val="2"/>
    </w:pPr>
    <w:rPr>
      <w:bCs w:val="0"/>
      <w:sz w:val="24"/>
      <w:szCs w:val="26"/>
    </w:rPr>
  </w:style>
  <w:style w:type="paragraph" w:styleId="Heading4">
    <w:name w:val="heading 4"/>
    <w:basedOn w:val="Normal"/>
    <w:next w:val="Normal"/>
    <w:qFormat/>
    <w:rsid w:val="00497DA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AD631E"/>
  </w:style>
  <w:style w:type="paragraph" w:customStyle="1" w:styleId="address">
    <w:name w:val="address"/>
    <w:rsid w:val="002E516F"/>
    <w:pPr>
      <w:tabs>
        <w:tab w:val="left" w:pos="170"/>
      </w:tabs>
    </w:pPr>
    <w:rPr>
      <w:rFonts w:ascii="Arial" w:hAnsi="Arial"/>
      <w:sz w:val="18"/>
      <w:szCs w:val="24"/>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rsid w:val="002E516F"/>
    <w:pPr>
      <w:ind w:left="284" w:hanging="284"/>
    </w:pPr>
    <w:rPr>
      <w:rFonts w:ascii="Arial" w:hAnsi="Arial"/>
      <w:sz w:val="18"/>
      <w:szCs w:val="24"/>
    </w:rPr>
  </w:style>
  <w:style w:type="character" w:styleId="PageNumber">
    <w:name w:val="page number"/>
    <w:basedOn w:val="DefaultParagraphFont"/>
    <w:semiHidden/>
    <w:rsid w:val="00497DA5"/>
  </w:style>
  <w:style w:type="paragraph" w:customStyle="1" w:styleId="webaddress">
    <w:name w:val="web address"/>
    <w:rsid w:val="00AD631E"/>
    <w:rPr>
      <w:rFonts w:ascii="Arial" w:hAnsi="Arial"/>
      <w:b/>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spacing w:after="120"/>
      <w:ind w:left="1440" w:right="1440"/>
    </w:pPr>
  </w:style>
  <w:style w:type="paragraph" w:styleId="BodyText">
    <w:name w:val="Body Text"/>
    <w:basedOn w:val="Normal"/>
    <w:semiHidden/>
    <w:rsid w:val="00497DA5"/>
    <w:pPr>
      <w:spacing w:after="120"/>
    </w:pPr>
  </w:style>
  <w:style w:type="paragraph" w:styleId="BodyText2">
    <w:name w:val="Body Text 2"/>
    <w:basedOn w:val="Normal"/>
    <w:semiHidden/>
    <w:rsid w:val="00497DA5"/>
    <w:pPr>
      <w:spacing w:after="120" w:line="480" w:lineRule="auto"/>
    </w:pPr>
  </w:style>
  <w:style w:type="paragraph" w:styleId="BodyText3">
    <w:name w:val="Body Text 3"/>
    <w:basedOn w:val="Normal"/>
    <w:semiHidden/>
    <w:rsid w:val="00497DA5"/>
    <w:pPr>
      <w:spacing w:after="120"/>
    </w:pPr>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spacing w:after="120"/>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after="120" w:line="480" w:lineRule="auto"/>
      <w:ind w:left="283"/>
    </w:pPr>
  </w:style>
  <w:style w:type="paragraph" w:styleId="BodyTextIndent3">
    <w:name w:val="Body Text Indent 3"/>
    <w:basedOn w:val="Normal"/>
    <w:semiHidden/>
    <w:rsid w:val="00497DA5"/>
    <w:pPr>
      <w:spacing w:after="120"/>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semiHidden/>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spacing w:after="120"/>
      <w:ind w:left="283"/>
    </w:pPr>
  </w:style>
  <w:style w:type="paragraph" w:styleId="ListContinue2">
    <w:name w:val="List Continue 2"/>
    <w:basedOn w:val="Normal"/>
    <w:semiHidden/>
    <w:rsid w:val="00497DA5"/>
    <w:pPr>
      <w:spacing w:after="120"/>
      <w:ind w:left="566"/>
    </w:pPr>
  </w:style>
  <w:style w:type="paragraph" w:styleId="ListContinue3">
    <w:name w:val="List Continue 3"/>
    <w:basedOn w:val="Normal"/>
    <w:semiHidden/>
    <w:rsid w:val="00497DA5"/>
    <w:pPr>
      <w:spacing w:after="120"/>
      <w:ind w:left="849"/>
    </w:pPr>
  </w:style>
  <w:style w:type="paragraph" w:styleId="ListContinue4">
    <w:name w:val="List Continue 4"/>
    <w:basedOn w:val="Normal"/>
    <w:semiHidden/>
    <w:rsid w:val="00497DA5"/>
    <w:pPr>
      <w:spacing w:after="120"/>
      <w:ind w:left="1132"/>
    </w:pPr>
  </w:style>
  <w:style w:type="paragraph" w:styleId="ListContinue5">
    <w:name w:val="List Continue 5"/>
    <w:basedOn w:val="Normal"/>
    <w:semiHidden/>
    <w:rsid w:val="00497DA5"/>
    <w:pPr>
      <w:spacing w:after="120"/>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qFormat/>
    <w:rsid w:val="00497DA5"/>
    <w:rPr>
      <w:b/>
      <w:bCs/>
    </w:rPr>
  </w:style>
  <w:style w:type="paragraph" w:styleId="Subtitle">
    <w:name w:val="Subtitle"/>
    <w:basedOn w:val="Normal"/>
    <w:qFormat/>
    <w:rsid w:val="00497DA5"/>
    <w:pPr>
      <w:spacing w:after="60"/>
      <w:jc w:val="center"/>
      <w:outlineLvl w:val="1"/>
    </w:pPr>
    <w:rPr>
      <w:rFonts w:cs="Arial"/>
      <w:sz w:val="2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497DA5"/>
    <w:pPr>
      <w:spacing w:before="240" w:after="60"/>
      <w:jc w:val="center"/>
      <w:outlineLvl w:val="0"/>
    </w:pPr>
    <w:rPr>
      <w:rFonts w:cs="Arial"/>
      <w:b/>
      <w:bCs/>
      <w:kern w:val="28"/>
      <w:sz w:val="32"/>
      <w:szCs w:val="32"/>
    </w:rPr>
  </w:style>
  <w:style w:type="character" w:customStyle="1" w:styleId="FooterChar">
    <w:name w:val="Footer Char"/>
    <w:basedOn w:val="DefaultParagraphFont"/>
    <w:link w:val="Footer"/>
    <w:uiPriority w:val="99"/>
    <w:rsid w:val="006B1580"/>
    <w:rPr>
      <w:rFonts w:ascii="Arial" w:hAnsi="Arial"/>
      <w:sz w:val="18"/>
      <w:szCs w:val="24"/>
    </w:rPr>
  </w:style>
  <w:style w:type="character" w:customStyle="1" w:styleId="HeaderChar">
    <w:name w:val="Header Char"/>
    <w:basedOn w:val="DefaultParagraphFont"/>
    <w:link w:val="Header"/>
    <w:uiPriority w:val="99"/>
    <w:rsid w:val="006B1580"/>
    <w:rPr>
      <w:rFonts w:ascii="Arial" w:hAnsi="Arial"/>
      <w:sz w:val="18"/>
      <w:szCs w:val="24"/>
    </w:rPr>
  </w:style>
  <w:style w:type="paragraph" w:styleId="ListParagraph">
    <w:name w:val="List Paragraph"/>
    <w:basedOn w:val="Normal"/>
    <w:uiPriority w:val="34"/>
    <w:qFormat/>
    <w:rsid w:val="00057BDA"/>
    <w:pPr>
      <w:ind w:left="720"/>
      <w:contextualSpacing/>
    </w:pPr>
  </w:style>
  <w:style w:type="character" w:customStyle="1" w:styleId="UnresolvedMention1">
    <w:name w:val="Unresolved Mention1"/>
    <w:basedOn w:val="DefaultParagraphFont"/>
    <w:uiPriority w:val="99"/>
    <w:semiHidden/>
    <w:unhideWhenUsed/>
    <w:rsid w:val="00A6140F"/>
    <w:rPr>
      <w:color w:val="605E5C"/>
      <w:shd w:val="clear" w:color="auto" w:fill="E1DFDD"/>
    </w:rPr>
  </w:style>
  <w:style w:type="character" w:styleId="CommentReference">
    <w:name w:val="annotation reference"/>
    <w:basedOn w:val="DefaultParagraphFont"/>
    <w:semiHidden/>
    <w:unhideWhenUsed/>
    <w:rsid w:val="00F7053C"/>
    <w:rPr>
      <w:sz w:val="16"/>
      <w:szCs w:val="16"/>
    </w:rPr>
  </w:style>
  <w:style w:type="paragraph" w:styleId="CommentText">
    <w:name w:val="annotation text"/>
    <w:basedOn w:val="Normal"/>
    <w:link w:val="CommentTextChar"/>
    <w:unhideWhenUsed/>
    <w:rsid w:val="00F7053C"/>
    <w:rPr>
      <w:sz w:val="20"/>
      <w:szCs w:val="20"/>
    </w:rPr>
  </w:style>
  <w:style w:type="character" w:customStyle="1" w:styleId="CommentTextChar">
    <w:name w:val="Comment Text Char"/>
    <w:basedOn w:val="DefaultParagraphFont"/>
    <w:link w:val="CommentText"/>
    <w:rsid w:val="00F7053C"/>
    <w:rPr>
      <w:rFonts w:ascii="Arial" w:hAnsi="Arial"/>
    </w:rPr>
  </w:style>
  <w:style w:type="paragraph" w:styleId="CommentSubject">
    <w:name w:val="annotation subject"/>
    <w:basedOn w:val="CommentText"/>
    <w:next w:val="CommentText"/>
    <w:link w:val="CommentSubjectChar"/>
    <w:semiHidden/>
    <w:unhideWhenUsed/>
    <w:rsid w:val="00F7053C"/>
    <w:rPr>
      <w:b/>
      <w:bCs/>
    </w:rPr>
  </w:style>
  <w:style w:type="character" w:customStyle="1" w:styleId="CommentSubjectChar">
    <w:name w:val="Comment Subject Char"/>
    <w:basedOn w:val="CommentTextChar"/>
    <w:link w:val="CommentSubject"/>
    <w:semiHidden/>
    <w:rsid w:val="00F7053C"/>
    <w:rPr>
      <w:rFonts w:ascii="Arial" w:hAnsi="Arial"/>
      <w:b/>
      <w:bCs/>
    </w:rPr>
  </w:style>
  <w:style w:type="paragraph" w:styleId="Revision">
    <w:name w:val="Revision"/>
    <w:hidden/>
    <w:uiPriority w:val="99"/>
    <w:semiHidden/>
    <w:rsid w:val="00E70712"/>
    <w:rPr>
      <w:rFonts w:ascii="Arial" w:hAnsi="Arial"/>
      <w:sz w:val="22"/>
      <w:szCs w:val="24"/>
    </w:rPr>
  </w:style>
  <w:style w:type="character" w:styleId="UnresolvedMention">
    <w:name w:val="Unresolved Mention"/>
    <w:basedOn w:val="DefaultParagraphFont"/>
    <w:uiPriority w:val="99"/>
    <w:semiHidden/>
    <w:unhideWhenUsed/>
    <w:rsid w:val="0064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989253">
      <w:bodyDiv w:val="1"/>
      <w:marLeft w:val="0"/>
      <w:marRight w:val="0"/>
      <w:marTop w:val="0"/>
      <w:marBottom w:val="0"/>
      <w:divBdr>
        <w:top w:val="none" w:sz="0" w:space="0" w:color="auto"/>
        <w:left w:val="none" w:sz="0" w:space="0" w:color="auto"/>
        <w:bottom w:val="none" w:sz="0" w:space="0" w:color="auto"/>
        <w:right w:val="none" w:sz="0" w:space="0" w:color="auto"/>
      </w:divBdr>
    </w:div>
    <w:div w:id="370305731">
      <w:bodyDiv w:val="1"/>
      <w:marLeft w:val="0"/>
      <w:marRight w:val="0"/>
      <w:marTop w:val="0"/>
      <w:marBottom w:val="0"/>
      <w:divBdr>
        <w:top w:val="none" w:sz="0" w:space="0" w:color="auto"/>
        <w:left w:val="none" w:sz="0" w:space="0" w:color="auto"/>
        <w:bottom w:val="none" w:sz="0" w:space="0" w:color="auto"/>
        <w:right w:val="none" w:sz="0" w:space="0" w:color="auto"/>
      </w:divBdr>
    </w:div>
    <w:div w:id="438374702">
      <w:bodyDiv w:val="1"/>
      <w:marLeft w:val="0"/>
      <w:marRight w:val="0"/>
      <w:marTop w:val="0"/>
      <w:marBottom w:val="0"/>
      <w:divBdr>
        <w:top w:val="none" w:sz="0" w:space="0" w:color="auto"/>
        <w:left w:val="none" w:sz="0" w:space="0" w:color="auto"/>
        <w:bottom w:val="none" w:sz="0" w:space="0" w:color="auto"/>
        <w:right w:val="none" w:sz="0" w:space="0" w:color="auto"/>
      </w:divBdr>
    </w:div>
    <w:div w:id="1215971381">
      <w:bodyDiv w:val="1"/>
      <w:marLeft w:val="0"/>
      <w:marRight w:val="0"/>
      <w:marTop w:val="0"/>
      <w:marBottom w:val="0"/>
      <w:divBdr>
        <w:top w:val="none" w:sz="0" w:space="0" w:color="auto"/>
        <w:left w:val="none" w:sz="0" w:space="0" w:color="auto"/>
        <w:bottom w:val="none" w:sz="0" w:space="0" w:color="auto"/>
        <w:right w:val="none" w:sz="0" w:space="0" w:color="auto"/>
      </w:divBdr>
    </w:div>
    <w:div w:id="1343779308">
      <w:bodyDiv w:val="1"/>
      <w:marLeft w:val="0"/>
      <w:marRight w:val="0"/>
      <w:marTop w:val="0"/>
      <w:marBottom w:val="0"/>
      <w:divBdr>
        <w:top w:val="none" w:sz="0" w:space="0" w:color="auto"/>
        <w:left w:val="none" w:sz="0" w:space="0" w:color="auto"/>
        <w:bottom w:val="none" w:sz="0" w:space="0" w:color="auto"/>
        <w:right w:val="none" w:sz="0" w:space="0" w:color="auto"/>
      </w:divBdr>
    </w:div>
    <w:div w:id="1595480815">
      <w:bodyDiv w:val="1"/>
      <w:marLeft w:val="0"/>
      <w:marRight w:val="0"/>
      <w:marTop w:val="0"/>
      <w:marBottom w:val="0"/>
      <w:divBdr>
        <w:top w:val="none" w:sz="0" w:space="0" w:color="auto"/>
        <w:left w:val="none" w:sz="0" w:space="0" w:color="auto"/>
        <w:bottom w:val="none" w:sz="0" w:space="0" w:color="auto"/>
        <w:right w:val="none" w:sz="0" w:space="0" w:color="auto"/>
      </w:divBdr>
    </w:div>
    <w:div w:id="209770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lood-bank-compliance-report-templat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blood-bank-compliance-report-templat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blood-bank-compliance-report-templ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r@mhr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38ec887c5c24b7597ee90d37b16f021 xmlns="603af227-bd41-4012-ae1b-08ada9265a1f">
      <Terms xmlns="http://schemas.microsoft.com/office/infopath/2007/PartnerControls"/>
    </d38ec887c5c24b7597ee90d37b16f021>
    <lcf76f155ced4ddcb4097134ff3c332f xmlns="c455276e-cc28-43a0-8e0b-836146b93c27">
      <Terms xmlns="http://schemas.microsoft.com/office/infopath/2007/PartnerControls"/>
    </lcf76f155ced4ddcb4097134ff3c332f>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gramme and Project" ma:contentTypeID="0x0101005DC155F682264648A38C2A02D853A29A02002B711902E1FB6B48AFF75BA24495A1A2" ma:contentTypeVersion="15" ma:contentTypeDescription="The base content type for all Agency documents" ma:contentTypeScope="" ma:versionID="e23b9b94d5c029b5bf79a09b296d1128">
  <xsd:schema xmlns:xsd="http://www.w3.org/2001/XMLSchema" xmlns:xs="http://www.w3.org/2001/XMLSchema" xmlns:p="http://schemas.microsoft.com/office/2006/metadata/properties" xmlns:ns2="603af227-bd41-4012-ae1b-08ada9265a1f" xmlns:ns3="c455276e-cc28-43a0-8e0b-836146b93c27" targetNamespace="http://schemas.microsoft.com/office/2006/metadata/properties" ma:root="true" ma:fieldsID="ac8ce8ed260c6e3f038c62d13685b360" ns2:_="" ns3:_="">
    <xsd:import namespace="603af227-bd41-4012-ae1b-08ada9265a1f"/>
    <xsd:import namespace="c455276e-cc28-43a0-8e0b-836146b93c27"/>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DateTaken" minOccurs="0"/>
                <xsd:element ref="ns3:MediaServiceAutoTag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5fa78468-e0c2-424a-bab2-951bab1e661b}" ma:internalName="TaxCatchAll" ma:showField="CatchAllData"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a78468-e0c2-424a-bab2-951bab1e661b}" ma:internalName="TaxCatchAllLabel" ma:readOnly="true" ma:showField="CatchAllDataLabel" ma:web="603af227-bd41-4012-ae1b-08ada9265a1f">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indexed="true"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5276e-cc28-43a0-8e0b-836146b93c27" elementFormDefault="qualified">
    <xsd:import namespace="http://schemas.microsoft.com/office/2006/documentManagement/types"/>
    <xsd:import namespace="http://schemas.microsoft.com/office/infopath/2007/PartnerControls"/>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BDBFA-B081-470E-9EA7-337BEE858127}">
  <ds:schemaRefs>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c455276e-cc28-43a0-8e0b-836146b93c27"/>
    <ds:schemaRef ds:uri="603af227-bd41-4012-ae1b-08ada9265a1f"/>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553841B5-C008-44B0-80D9-8380F1C8AFFC}">
  <ds:schemaRefs>
    <ds:schemaRef ds:uri="http://schemas.microsoft.com/sharepoint/v3/contenttype/forms"/>
  </ds:schemaRefs>
</ds:datastoreItem>
</file>

<file path=customXml/itemProps3.xml><?xml version="1.0" encoding="utf-8"?>
<ds:datastoreItem xmlns:ds="http://schemas.openxmlformats.org/officeDocument/2006/customXml" ds:itemID="{FAE6F82D-0F5F-40B3-8BF9-FB8D1107A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c455276e-cc28-43a0-8e0b-836146b93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9DFFF8-6C61-4551-95BC-98D392C1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3178</Words>
  <Characters>17027</Characters>
  <Application>Microsoft Office Word</Application>
  <DocSecurity>0</DocSecurity>
  <Lines>327</Lines>
  <Paragraphs>210</Paragraphs>
  <ScaleCrop>false</ScaleCrop>
  <HeadingPairs>
    <vt:vector size="2" baseType="variant">
      <vt:variant>
        <vt:lpstr>Title</vt:lpstr>
      </vt:variant>
      <vt:variant>
        <vt:i4>1</vt:i4>
      </vt:variant>
    </vt:vector>
  </HeadingPairs>
  <TitlesOfParts>
    <vt:vector size="1" baseType="lpstr">
      <vt:lpstr>letter</vt:lpstr>
    </vt:vector>
  </TitlesOfParts>
  <Company>MHRA</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Charlton, Therese</dc:creator>
  <cp:keywords>letter</cp:keywords>
  <cp:lastModifiedBy>Goodliff, Julie</cp:lastModifiedBy>
  <cp:revision>111</cp:revision>
  <cp:lastPrinted>2015-05-21T16:32:00Z</cp:lastPrinted>
  <dcterms:created xsi:type="dcterms:W3CDTF">2025-02-27T12:28:00Z</dcterms:created>
  <dcterms:modified xsi:type="dcterms:W3CDTF">2026-02-11T13:07:00Z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0x0101005DC155F682264648A38C2A02D853A29A02002B711902E1FB6B48AFF75BA24495A1A2</vt:lpwstr>
  </property>
  <property fmtid="{D5CDD505-2E9C-101B-9397-08002B2CF9AE}" pid="3" name="SecurityClassification">
    <vt:lpwstr>1;#Official|9d42bd58-89d2-4e46-94bb-80d8f31efd91</vt:lpwstr>
  </property>
  <property fmtid="{D5CDD505-2E9C-101B-9397-08002B2CF9AE}" pid="4" name="AgencyKeywords">
    <vt:lpwstr/>
  </property>
  <property fmtid="{D5CDD505-2E9C-101B-9397-08002B2CF9AE}" pid="5" name="MediaServiceImageTags">
    <vt:lpwstr/>
  </property>
</Properties>
</file>