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1781" w14:textId="77777777" w:rsidR="00EB4BBA" w:rsidRDefault="00EB4BBA" w:rsidP="00EB4BBA">
      <w:pPr>
        <w:pStyle w:val="AppendixTitle"/>
        <w:jc w:val="right"/>
      </w:pPr>
    </w:p>
    <w:p w14:paraId="76EEB994" w14:textId="77777777" w:rsidR="00EB4BBA" w:rsidRDefault="00EB4BBA" w:rsidP="00EB4BBA">
      <w:pPr>
        <w:pStyle w:val="DBSMainTitleHeading-CorporateColour"/>
        <w:rPr>
          <w:rFonts w:eastAsia="Arial"/>
        </w:rPr>
      </w:pPr>
      <w:bookmarkStart w:id="0" w:name="Title"/>
    </w:p>
    <w:p w14:paraId="3F525D93" w14:textId="77777777" w:rsidR="00EB4BBA" w:rsidRDefault="00EB4BBA" w:rsidP="00EB4BBA">
      <w:pPr>
        <w:pStyle w:val="DBSMainTitleHeading-CorporateColour"/>
        <w:rPr>
          <w:rFonts w:eastAsia="Arial"/>
        </w:rPr>
      </w:pPr>
      <w:r>
        <w:rPr>
          <w:rFonts w:eastAsia="Arial"/>
        </w:rPr>
        <w:t xml:space="preserve">Disclosure and Barring Service </w:t>
      </w:r>
    </w:p>
    <w:p w14:paraId="55DC9F27" w14:textId="77777777" w:rsidR="00EB4BBA" w:rsidRDefault="00EB4BBA" w:rsidP="00EB4BBA">
      <w:pPr>
        <w:pStyle w:val="DBSMainTitleHeading-CorporateColour"/>
      </w:pPr>
      <w:r>
        <w:t xml:space="preserve">Chief Executive’s Scheme of Delegation </w:t>
      </w:r>
    </w:p>
    <w:p w14:paraId="0BD27157" w14:textId="77777777" w:rsidR="00EB4BBA" w:rsidRDefault="00EB4BBA" w:rsidP="00EB4BBA"/>
    <w:p w14:paraId="2352C5BD" w14:textId="77777777" w:rsidR="00EB4BBA" w:rsidRDefault="00EB4BBA" w:rsidP="00EB4BBA"/>
    <w:p w14:paraId="3978A0CD" w14:textId="77777777" w:rsidR="00EB4BBA" w:rsidRDefault="00EB4BBA" w:rsidP="00EB4BBA"/>
    <w:tbl>
      <w:tblPr>
        <w:tblStyle w:val="TableGrid"/>
        <w:tblW w:w="0" w:type="auto"/>
        <w:tblLook w:val="04A0" w:firstRow="1" w:lastRow="0" w:firstColumn="1" w:lastColumn="0" w:noHBand="0" w:noVBand="1"/>
      </w:tblPr>
      <w:tblGrid>
        <w:gridCol w:w="2918"/>
        <w:gridCol w:w="2918"/>
      </w:tblGrid>
      <w:tr w:rsidR="00EB4BBA" w14:paraId="0AE8F172" w14:textId="77777777" w:rsidTr="00DC4A92">
        <w:tc>
          <w:tcPr>
            <w:tcW w:w="2918" w:type="dxa"/>
          </w:tcPr>
          <w:p w14:paraId="63BDBAB4" w14:textId="77777777" w:rsidR="00EB4BBA" w:rsidRDefault="00EB4BBA" w:rsidP="00DC4A92">
            <w:pPr>
              <w:pStyle w:val="TableBody"/>
            </w:pPr>
            <w:r>
              <w:t>Effective from</w:t>
            </w:r>
          </w:p>
        </w:tc>
        <w:tc>
          <w:tcPr>
            <w:tcW w:w="2918" w:type="dxa"/>
          </w:tcPr>
          <w:p w14:paraId="00B06A41" w14:textId="157CC526" w:rsidR="00EB4BBA" w:rsidRPr="005E0DC7" w:rsidRDefault="00B50253" w:rsidP="00DC4A92">
            <w:pPr>
              <w:pStyle w:val="TableBody"/>
            </w:pPr>
            <w:r>
              <w:t>7 January 2026</w:t>
            </w:r>
          </w:p>
        </w:tc>
      </w:tr>
      <w:tr w:rsidR="00EB4BBA" w14:paraId="33C34ABD" w14:textId="77777777" w:rsidTr="00DC4A92">
        <w:tc>
          <w:tcPr>
            <w:tcW w:w="2918" w:type="dxa"/>
          </w:tcPr>
          <w:p w14:paraId="25834DE0" w14:textId="77777777" w:rsidR="00EB4BBA" w:rsidRDefault="00EB4BBA" w:rsidP="00DC4A92">
            <w:pPr>
              <w:pStyle w:val="TableBody"/>
            </w:pPr>
            <w:r>
              <w:t>Owner</w:t>
            </w:r>
          </w:p>
        </w:tc>
        <w:tc>
          <w:tcPr>
            <w:tcW w:w="2918" w:type="dxa"/>
          </w:tcPr>
          <w:p w14:paraId="394F56D7" w14:textId="77777777" w:rsidR="00EB4BBA" w:rsidRDefault="00EB4BBA" w:rsidP="00DC4A92">
            <w:pPr>
              <w:pStyle w:val="TableBody"/>
            </w:pPr>
            <w:r>
              <w:t>Board Secretary</w:t>
            </w:r>
          </w:p>
        </w:tc>
      </w:tr>
      <w:tr w:rsidR="00EB4BBA" w14:paraId="4F8DE04A" w14:textId="77777777" w:rsidTr="00DC4A92">
        <w:tc>
          <w:tcPr>
            <w:tcW w:w="2918" w:type="dxa"/>
          </w:tcPr>
          <w:p w14:paraId="66170189" w14:textId="77777777" w:rsidR="00EB4BBA" w:rsidRDefault="00EB4BBA" w:rsidP="00DC4A92">
            <w:pPr>
              <w:pStyle w:val="TableBody"/>
            </w:pPr>
            <w:r>
              <w:t>Approver</w:t>
            </w:r>
          </w:p>
        </w:tc>
        <w:tc>
          <w:tcPr>
            <w:tcW w:w="2918" w:type="dxa"/>
          </w:tcPr>
          <w:p w14:paraId="1BA2CC8C" w14:textId="77777777" w:rsidR="00EB4BBA" w:rsidRDefault="00EB4BBA" w:rsidP="00DC4A92">
            <w:pPr>
              <w:pStyle w:val="TableBody"/>
            </w:pPr>
            <w:r>
              <w:t>Chief Executive</w:t>
            </w:r>
          </w:p>
        </w:tc>
      </w:tr>
    </w:tbl>
    <w:p w14:paraId="10E25106" w14:textId="77777777" w:rsidR="00EB4BBA" w:rsidRDefault="00EB4BBA" w:rsidP="00EB4BBA">
      <w:pPr>
        <w:pStyle w:val="Heading1"/>
        <w:numPr>
          <w:ilvl w:val="0"/>
          <w:numId w:val="0"/>
        </w:numPr>
        <w:ind w:left="720" w:hanging="720"/>
      </w:pPr>
      <w:bookmarkStart w:id="1" w:name="_Toc72659413"/>
      <w:bookmarkStart w:id="2" w:name="_Toc45023832"/>
      <w:bookmarkEnd w:id="0"/>
    </w:p>
    <w:p w14:paraId="554B1A5C" w14:textId="77777777" w:rsidR="00EB4BBA" w:rsidRPr="00971769" w:rsidRDefault="00EB4BBA" w:rsidP="00EB4BBA">
      <w:r>
        <w:br w:type="page"/>
      </w:r>
      <w:bookmarkStart w:id="3" w:name="Body"/>
      <w:bookmarkStart w:id="4" w:name="_Toc45023833"/>
      <w:bookmarkEnd w:id="1"/>
      <w:bookmarkEnd w:id="2"/>
      <w:bookmarkEnd w:id="3"/>
    </w:p>
    <w:p w14:paraId="3D3F2AB1" w14:textId="77777777" w:rsidR="00EB4BBA" w:rsidRDefault="00EB4BBA" w:rsidP="00EB4BBA">
      <w:pPr>
        <w:pStyle w:val="Heading10"/>
      </w:pPr>
      <w:r w:rsidRPr="00971769">
        <w:lastRenderedPageBreak/>
        <w:t>Introduction</w:t>
      </w:r>
      <w:bookmarkEnd w:id="4"/>
    </w:p>
    <w:p w14:paraId="3B559806" w14:textId="77777777" w:rsidR="00EB4BBA" w:rsidRDefault="00EB4BBA" w:rsidP="00EB4BBA">
      <w:pPr>
        <w:pStyle w:val="NormalNumbered"/>
      </w:pPr>
      <w:r w:rsidRPr="00DC7F97">
        <w:t>The</w:t>
      </w:r>
      <w:r>
        <w:t xml:space="preserve"> DBS Board has agreed: </w:t>
      </w:r>
    </w:p>
    <w:p w14:paraId="5DB60235" w14:textId="77777777" w:rsidR="00EB4BBA" w:rsidRDefault="00EB4BBA" w:rsidP="00936C7D">
      <w:pPr>
        <w:pStyle w:val="NormalNumbered"/>
        <w:numPr>
          <w:ilvl w:val="2"/>
          <w:numId w:val="4"/>
        </w:numPr>
      </w:pPr>
      <w:r>
        <w:t xml:space="preserve">the areas on which it will make decisions, </w:t>
      </w:r>
    </w:p>
    <w:p w14:paraId="2A7F97E7" w14:textId="77777777" w:rsidR="00EB4BBA" w:rsidRDefault="00EB4BBA" w:rsidP="00936C7D">
      <w:pPr>
        <w:pStyle w:val="NormalNumbered"/>
        <w:numPr>
          <w:ilvl w:val="2"/>
          <w:numId w:val="4"/>
        </w:numPr>
      </w:pPr>
      <w:r>
        <w:t>the areas delegated to the DBS Chairman, and</w:t>
      </w:r>
    </w:p>
    <w:p w14:paraId="7BF33AED" w14:textId="77777777" w:rsidR="00EB4BBA" w:rsidRDefault="00EB4BBA" w:rsidP="00936C7D">
      <w:pPr>
        <w:pStyle w:val="NormalNumbered"/>
        <w:numPr>
          <w:ilvl w:val="2"/>
          <w:numId w:val="4"/>
        </w:numPr>
      </w:pPr>
      <w:r>
        <w:t>areas delegated to its committees.</w:t>
      </w:r>
    </w:p>
    <w:p w14:paraId="3D289746" w14:textId="77777777" w:rsidR="00EB4BBA" w:rsidRDefault="00EB4BBA" w:rsidP="00EB4BBA">
      <w:pPr>
        <w:pStyle w:val="NormalNumbered"/>
      </w:pPr>
      <w:r>
        <w:t xml:space="preserve">Everything else is delegated </w:t>
      </w:r>
      <w:r w:rsidRPr="004422C2">
        <w:rPr>
          <w:b/>
        </w:rPr>
        <w:t>to</w:t>
      </w:r>
      <w:r>
        <w:t xml:space="preserve"> the Chief Executive.</w:t>
      </w:r>
    </w:p>
    <w:p w14:paraId="594037F6" w14:textId="77777777" w:rsidR="00EB4BBA" w:rsidRDefault="00EB4BBA" w:rsidP="00EB4BBA">
      <w:pPr>
        <w:pStyle w:val="NormalNumbered"/>
      </w:pPr>
      <w:r>
        <w:t xml:space="preserve">Delegation of decisions </w:t>
      </w:r>
      <w:r w:rsidRPr="004422C2">
        <w:rPr>
          <w:b/>
        </w:rPr>
        <w:t>from</w:t>
      </w:r>
      <w:r>
        <w:t xml:space="preserve"> the Chief Executive is managed by:</w:t>
      </w:r>
    </w:p>
    <w:p w14:paraId="0FAFC8EA" w14:textId="77777777" w:rsidR="00EB4BBA" w:rsidRPr="00A7726E" w:rsidRDefault="00EB4BBA" w:rsidP="00936C7D">
      <w:pPr>
        <w:pStyle w:val="NormalNumbered"/>
        <w:numPr>
          <w:ilvl w:val="2"/>
          <w:numId w:val="4"/>
        </w:numPr>
      </w:pPr>
      <w:bookmarkStart w:id="5" w:name="_Hlk47104249"/>
      <w:r w:rsidRPr="00A7726E">
        <w:t>specific decisions being delegated explicitly by the Chief Executive to individuals for a limited purpose</w:t>
      </w:r>
    </w:p>
    <w:bookmarkEnd w:id="5"/>
    <w:p w14:paraId="65BB65BD" w14:textId="77777777" w:rsidR="00EB4BBA" w:rsidRPr="00A7726E" w:rsidRDefault="00EB4BBA" w:rsidP="00936C7D">
      <w:pPr>
        <w:pStyle w:val="NormalNumbered"/>
        <w:numPr>
          <w:ilvl w:val="2"/>
          <w:numId w:val="4"/>
        </w:numPr>
      </w:pPr>
      <w:r w:rsidRPr="00A7726E">
        <w:t xml:space="preserve">Delegation of budgets to Budget Holders and Budget Managers, which will always be in writing  </w:t>
      </w:r>
    </w:p>
    <w:p w14:paraId="613AEE5B" w14:textId="77777777" w:rsidR="00EB4BBA" w:rsidRPr="00A7726E" w:rsidRDefault="00EB4BBA" w:rsidP="00936C7D">
      <w:pPr>
        <w:pStyle w:val="NormalNumbered"/>
        <w:numPr>
          <w:ilvl w:val="2"/>
          <w:numId w:val="4"/>
        </w:numPr>
      </w:pPr>
      <w:r w:rsidRPr="00A7726E">
        <w:t xml:space="preserve">this document </w:t>
      </w:r>
    </w:p>
    <w:p w14:paraId="2CD70C13" w14:textId="77777777" w:rsidR="00EB4BBA" w:rsidRDefault="00EB4BBA" w:rsidP="00936C7D">
      <w:pPr>
        <w:pStyle w:val="NormalNumbered"/>
        <w:numPr>
          <w:ilvl w:val="2"/>
          <w:numId w:val="4"/>
        </w:numPr>
      </w:pPr>
      <w:r w:rsidRPr="00A7726E">
        <w:t>DBS policies</w:t>
      </w:r>
      <w:r>
        <w:t>.</w:t>
      </w:r>
    </w:p>
    <w:p w14:paraId="50F707C6" w14:textId="77777777" w:rsidR="00EB4BBA" w:rsidRPr="004422C2" w:rsidRDefault="00EB4BBA" w:rsidP="00EB4BBA">
      <w:pPr>
        <w:pStyle w:val="NormalNumbered"/>
      </w:pPr>
      <w:r>
        <w:t>Any conflict of interpretation between the different sources of delegation from the Chief Executive will be resolved by considering the precedence of the sources in the order set out above, for example this document will take precedence over DBS policies.</w:t>
      </w:r>
    </w:p>
    <w:p w14:paraId="2FF20CB9" w14:textId="77777777" w:rsidR="00EB4BBA" w:rsidRDefault="00EB4BBA" w:rsidP="00EB4BBA">
      <w:pPr>
        <w:pStyle w:val="NormalNumbered"/>
      </w:pPr>
      <w:r>
        <w:t>For the avoidance of doubt, any decisions not explicitly delegated are retained by the Chief Executive.</w:t>
      </w:r>
    </w:p>
    <w:p w14:paraId="73DEEE38" w14:textId="77777777" w:rsidR="00EB4BBA" w:rsidRDefault="00EB4BBA" w:rsidP="00EB4BBA">
      <w:pPr>
        <w:pStyle w:val="NormalNumbered"/>
      </w:pPr>
      <w:r>
        <w:t>The Chief Executive will appoint Budget Holders. All decisions that involve the commitment of financial resources will additionally require the agreement of the Budget Holder or a Budget Manager from whose budget the commitment will be funded.</w:t>
      </w:r>
    </w:p>
    <w:p w14:paraId="4A65D274" w14:textId="77777777" w:rsidR="00EB4BBA" w:rsidRDefault="00EB4BBA" w:rsidP="00EB4BBA">
      <w:pPr>
        <w:pStyle w:val="NormalNumbered"/>
      </w:pPr>
      <w:r>
        <w:t>Any decisions taken must be consistent with the:</w:t>
      </w:r>
    </w:p>
    <w:p w14:paraId="3F478C93" w14:textId="77777777" w:rsidR="00EB4BBA" w:rsidRDefault="00EB4BBA" w:rsidP="00936C7D">
      <w:pPr>
        <w:pStyle w:val="NormalNumbered"/>
        <w:numPr>
          <w:ilvl w:val="2"/>
          <w:numId w:val="4"/>
        </w:numPr>
      </w:pPr>
      <w:r>
        <w:t>DBS’s legal powers as established explicitly or implicitly in legislation;</w:t>
      </w:r>
    </w:p>
    <w:p w14:paraId="36E8B47A" w14:textId="77777777" w:rsidR="00EB4BBA" w:rsidRDefault="00EB4BBA" w:rsidP="00936C7D">
      <w:pPr>
        <w:pStyle w:val="NormalNumbered"/>
        <w:numPr>
          <w:ilvl w:val="2"/>
          <w:numId w:val="4"/>
        </w:numPr>
      </w:pPr>
      <w:r>
        <w:t>delegation to the Chief Executive as Accounting Officer</w:t>
      </w:r>
    </w:p>
    <w:p w14:paraId="18607454" w14:textId="77777777" w:rsidR="00EB4BBA" w:rsidRDefault="00EB4BBA" w:rsidP="00936C7D">
      <w:pPr>
        <w:pStyle w:val="NormalNumbered"/>
        <w:numPr>
          <w:ilvl w:val="2"/>
          <w:numId w:val="4"/>
        </w:numPr>
      </w:pPr>
      <w:r>
        <w:t>DBS’s strategic and business plan.</w:t>
      </w:r>
    </w:p>
    <w:p w14:paraId="475B8359" w14:textId="77777777" w:rsidR="00EB4BBA" w:rsidRDefault="00EB4BBA" w:rsidP="00EB4BBA">
      <w:pPr>
        <w:pStyle w:val="NormalNumbered"/>
      </w:pPr>
      <w:r>
        <w:t>The DBS board expects all proposals and transactions to be completed in a way that achieves optimum value for money. No proposal or transaction should be disaggregated to facilitate seeking approval for it at a different level than would otherwise be required.</w:t>
      </w:r>
    </w:p>
    <w:p w14:paraId="1CCAB617" w14:textId="77777777" w:rsidR="00EB4BBA" w:rsidRPr="0095363D" w:rsidRDefault="00EB4BBA" w:rsidP="00EB4BBA">
      <w:pPr>
        <w:pStyle w:val="Bulletlist"/>
        <w:numPr>
          <w:ilvl w:val="0"/>
          <w:numId w:val="0"/>
        </w:numPr>
        <w:ind w:left="720"/>
      </w:pPr>
    </w:p>
    <w:p w14:paraId="27B85225" w14:textId="77777777" w:rsidR="00EB4BBA" w:rsidRPr="0095363D" w:rsidRDefault="00EB4BBA" w:rsidP="00936C7D">
      <w:pPr>
        <w:pStyle w:val="Heading1"/>
        <w:pageBreakBefore/>
        <w:numPr>
          <w:ilvl w:val="0"/>
          <w:numId w:val="7"/>
        </w:numPr>
        <w:tabs>
          <w:tab w:val="clear" w:pos="720"/>
        </w:tabs>
        <w:spacing w:before="0" w:after="960" w:line="252" w:lineRule="auto"/>
        <w:ind w:left="1021" w:hanging="360"/>
        <w:jc w:val="both"/>
        <w:sectPr w:rsidR="00EB4BBA" w:rsidRPr="0095363D" w:rsidSect="00EB4BBA">
          <w:footerReference w:type="default" r:id="rId12"/>
          <w:pgSz w:w="11906" w:h="16838" w:code="9"/>
          <w:pgMar w:top="851" w:right="1701" w:bottom="567" w:left="1440" w:header="624" w:footer="851" w:gutter="0"/>
          <w:pgNumType w:start="1"/>
          <w:cols w:space="708"/>
          <w:docGrid w:linePitch="360"/>
        </w:sectPr>
      </w:pPr>
      <w:bookmarkStart w:id="6" w:name="_Hlk32921579"/>
    </w:p>
    <w:p w14:paraId="65341B59" w14:textId="77777777" w:rsidR="00EB4BBA" w:rsidRDefault="00EB4BBA" w:rsidP="00EB4BBA">
      <w:pPr>
        <w:pStyle w:val="Heading10"/>
      </w:pPr>
      <w:bookmarkStart w:id="7" w:name="_Toc45023834"/>
      <w:r>
        <w:lastRenderedPageBreak/>
        <w:t>Table of delegations</w:t>
      </w:r>
      <w:bookmarkEnd w:id="7"/>
      <w:r>
        <w:t xml:space="preserve"> </w:t>
      </w:r>
    </w:p>
    <w:p w14:paraId="1B0A113B" w14:textId="47159EC9" w:rsidR="00EB4BBA" w:rsidRDefault="00EB4BBA" w:rsidP="00EB4BBA">
      <w:pPr>
        <w:pStyle w:val="NormalNumbered"/>
      </w:pPr>
      <w:r>
        <w:t>The Chief Executive has not delegated any decisions that are novel, contentious or repercussive</w:t>
      </w:r>
      <w:r>
        <w:rPr>
          <w:rStyle w:val="FootnoteReference"/>
        </w:rPr>
        <w:footnoteReference w:id="1"/>
      </w:r>
      <w:r>
        <w:t>. In every instance they must be referred via a</w:t>
      </w:r>
      <w:r w:rsidR="004F064C">
        <w:t>n Executive</w:t>
      </w:r>
      <w:r>
        <w:t xml:space="preserve"> Director to the Chief Executive to decide whether the decision needs to be referred to the Board.</w:t>
      </w:r>
    </w:p>
    <w:p w14:paraId="6C43CD7C" w14:textId="272AE48C" w:rsidR="00EB4BBA" w:rsidRPr="00E35410" w:rsidRDefault="00EB4BBA" w:rsidP="00EB4BBA">
      <w:pPr>
        <w:pStyle w:val="NormalNumbered"/>
      </w:pPr>
      <w:r>
        <w:t>All decisions must be consistent with DBS policies in place at the time of the decisions. Any exceptions must be reported to Exec Team for a decision.</w:t>
      </w:r>
    </w:p>
    <w:tbl>
      <w:tblPr>
        <w:tblStyle w:val="DBSReport1"/>
        <w:tblW w:w="13580" w:type="dxa"/>
        <w:tblLayout w:type="fixed"/>
        <w:tblLook w:val="06A0" w:firstRow="1" w:lastRow="0" w:firstColumn="1" w:lastColumn="0" w:noHBand="1" w:noVBand="1"/>
      </w:tblPr>
      <w:tblGrid>
        <w:gridCol w:w="1809"/>
        <w:gridCol w:w="3140"/>
        <w:gridCol w:w="3327"/>
        <w:gridCol w:w="65"/>
        <w:gridCol w:w="3392"/>
        <w:gridCol w:w="1847"/>
      </w:tblGrid>
      <w:tr w:rsidR="00EB4BBA" w:rsidRPr="00EB4BBA" w14:paraId="78462057" w14:textId="77777777" w:rsidTr="00EB4B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49" w:type="dxa"/>
            <w:gridSpan w:val="2"/>
          </w:tcPr>
          <w:p w14:paraId="002F1213" w14:textId="77777777" w:rsidR="00EB4BBA" w:rsidRPr="00EB4BBA" w:rsidRDefault="00EB4BBA" w:rsidP="00EB4BBA">
            <w:pPr>
              <w:pStyle w:val="TableBody"/>
            </w:pPr>
            <w:bookmarkStart w:id="8" w:name="_Hlk149210504"/>
            <w:bookmarkStart w:id="9" w:name="_Hlk149210537"/>
            <w:bookmarkEnd w:id="6"/>
            <w:r w:rsidRPr="00EB4BBA">
              <w:t>Subject</w:t>
            </w:r>
          </w:p>
        </w:tc>
        <w:tc>
          <w:tcPr>
            <w:tcW w:w="3327" w:type="dxa"/>
          </w:tcPr>
          <w:p w14:paraId="28D5187A" w14:textId="77777777" w:rsidR="00EB4BBA" w:rsidRPr="00EB4BBA" w:rsidRDefault="00EB4BBA" w:rsidP="00EB4BBA">
            <w:pPr>
              <w:pStyle w:val="TableBody"/>
              <w:cnfStyle w:val="100000000000" w:firstRow="1" w:lastRow="0" w:firstColumn="0" w:lastColumn="0" w:oddVBand="0" w:evenVBand="0" w:oddHBand="0" w:evenHBand="0" w:firstRowFirstColumn="0" w:firstRowLastColumn="0" w:lastRowFirstColumn="0" w:lastRowLastColumn="0"/>
            </w:pPr>
            <w:r w:rsidRPr="00EB4BBA">
              <w:t>Limits</w:t>
            </w:r>
          </w:p>
        </w:tc>
        <w:tc>
          <w:tcPr>
            <w:tcW w:w="3457" w:type="dxa"/>
            <w:gridSpan w:val="2"/>
          </w:tcPr>
          <w:p w14:paraId="1218D54B" w14:textId="77777777" w:rsidR="00EB4BBA" w:rsidRPr="00EB4BBA" w:rsidRDefault="00EB4BBA" w:rsidP="00EB4BBA">
            <w:pPr>
              <w:pStyle w:val="TableBody"/>
              <w:cnfStyle w:val="100000000000" w:firstRow="1" w:lastRow="0" w:firstColumn="0" w:lastColumn="0" w:oddVBand="0" w:evenVBand="0" w:oddHBand="0" w:evenHBand="0" w:firstRowFirstColumn="0" w:firstRowLastColumn="0" w:lastRowFirstColumn="0" w:lastRowLastColumn="0"/>
            </w:pPr>
            <w:r w:rsidRPr="00EB4BBA">
              <w:t>Designated</w:t>
            </w:r>
            <w:r w:rsidRPr="00EB4BBA">
              <w:rPr>
                <w:rStyle w:val="FootnoteReference"/>
              </w:rPr>
              <w:footnoteReference w:id="2"/>
            </w:r>
          </w:p>
        </w:tc>
        <w:tc>
          <w:tcPr>
            <w:tcW w:w="1847" w:type="dxa"/>
          </w:tcPr>
          <w:p w14:paraId="5DBB5F5B" w14:textId="77777777" w:rsidR="00EB4BBA" w:rsidRPr="00EB4BBA" w:rsidRDefault="00EB4BBA" w:rsidP="00EB4BBA">
            <w:pPr>
              <w:pStyle w:val="TableBody"/>
              <w:cnfStyle w:val="100000000000" w:firstRow="1" w:lastRow="0" w:firstColumn="0" w:lastColumn="0" w:oddVBand="0" w:evenVBand="0" w:oddHBand="0" w:evenHBand="0" w:firstRowFirstColumn="0" w:firstRowLastColumn="0" w:lastRowFirstColumn="0" w:lastRowLastColumn="0"/>
            </w:pPr>
            <w:r w:rsidRPr="00EB4BBA">
              <w:t>Comment</w:t>
            </w:r>
          </w:p>
        </w:tc>
      </w:tr>
      <w:tr w:rsidR="00EB4BBA" w:rsidRPr="00EB4BBA" w14:paraId="39CBBFF5"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3553943B" w14:textId="77777777" w:rsidR="00EB4BBA" w:rsidRPr="00EB4BBA" w:rsidRDefault="00EB4BBA" w:rsidP="00EB4BBA">
            <w:pPr>
              <w:pStyle w:val="TableBody"/>
            </w:pPr>
            <w:r w:rsidRPr="00EB4BBA">
              <w:t>Annual report and accounts</w:t>
            </w:r>
          </w:p>
        </w:tc>
        <w:tc>
          <w:tcPr>
            <w:tcW w:w="3140" w:type="dxa"/>
          </w:tcPr>
          <w:p w14:paraId="626A6131"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27" w:type="dxa"/>
          </w:tcPr>
          <w:p w14:paraId="261F72C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1F827424" w14:textId="28580B05" w:rsidR="00EB4BBA" w:rsidRPr="00EB4BBA" w:rsidRDefault="004F064C" w:rsidP="00EB4BBA">
            <w:pPr>
              <w:pStyle w:val="TableBody"/>
              <w:cnfStyle w:val="000000000000" w:firstRow="0" w:lastRow="0" w:firstColumn="0" w:lastColumn="0" w:oddVBand="0" w:evenVBand="0" w:oddHBand="0" w:evenHBand="0" w:firstRowFirstColumn="0" w:firstRowLastColumn="0" w:lastRowFirstColumn="0" w:lastRowLastColumn="0"/>
            </w:pPr>
            <w:r>
              <w:t xml:space="preserve">Executive Director </w:t>
            </w:r>
            <w:r w:rsidR="00EB4BBA" w:rsidRPr="00EB4BBA">
              <w:t>Finance and Commercial</w:t>
            </w:r>
          </w:p>
        </w:tc>
        <w:tc>
          <w:tcPr>
            <w:tcW w:w="1847" w:type="dxa"/>
          </w:tcPr>
          <w:p w14:paraId="6AAE3FA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696DA8E6" w14:textId="77777777" w:rsidTr="00EB4BBA">
        <w:trPr>
          <w:trHeight w:val="714"/>
        </w:trPr>
        <w:tc>
          <w:tcPr>
            <w:cnfStyle w:val="001000000000" w:firstRow="0" w:lastRow="0" w:firstColumn="1" w:lastColumn="0" w:oddVBand="0" w:evenVBand="0" w:oddHBand="0" w:evenHBand="0" w:firstRowFirstColumn="0" w:firstRowLastColumn="0" w:lastRowFirstColumn="0" w:lastRowLastColumn="0"/>
            <w:tcW w:w="1809" w:type="dxa"/>
          </w:tcPr>
          <w:p w14:paraId="588FE3E2" w14:textId="77777777" w:rsidR="00EB4BBA" w:rsidRPr="00EB4BBA" w:rsidRDefault="00EB4BBA" w:rsidP="00EB4BBA">
            <w:pPr>
              <w:pStyle w:val="TableBody"/>
            </w:pPr>
            <w:r w:rsidRPr="00EB4BBA">
              <w:t>Anti-Fraud</w:t>
            </w:r>
          </w:p>
        </w:tc>
        <w:tc>
          <w:tcPr>
            <w:tcW w:w="3140" w:type="dxa"/>
          </w:tcPr>
          <w:p w14:paraId="232632B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Ensure corporate and directorate systems of control are operating effectively.</w:t>
            </w:r>
          </w:p>
        </w:tc>
        <w:tc>
          <w:tcPr>
            <w:tcW w:w="3327" w:type="dxa"/>
          </w:tcPr>
          <w:p w14:paraId="0B735EC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640703A1" w14:textId="709B7161" w:rsidR="00EB4BBA" w:rsidRPr="00EB4BBA" w:rsidRDefault="004F064C" w:rsidP="00EB4BBA">
            <w:pPr>
              <w:pStyle w:val="TableBody"/>
              <w:cnfStyle w:val="000000000000" w:firstRow="0" w:lastRow="0" w:firstColumn="0" w:lastColumn="0" w:oddVBand="0" w:evenVBand="0" w:oddHBand="0" w:evenHBand="0" w:firstRowFirstColumn="0" w:firstRowLastColumn="0" w:lastRowFirstColumn="0" w:lastRowLastColumn="0"/>
            </w:pPr>
            <w:r>
              <w:t xml:space="preserve">Executive </w:t>
            </w:r>
            <w:r w:rsidR="00EB4BBA" w:rsidRPr="00EB4BBA">
              <w:t>Directors</w:t>
            </w:r>
          </w:p>
        </w:tc>
        <w:tc>
          <w:tcPr>
            <w:tcW w:w="1847" w:type="dxa"/>
          </w:tcPr>
          <w:p w14:paraId="7C231871"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1C60F3E6" w14:textId="77777777" w:rsidTr="00EB4BBA">
        <w:trPr>
          <w:trHeight w:val="714"/>
        </w:trPr>
        <w:tc>
          <w:tcPr>
            <w:cnfStyle w:val="001000000000" w:firstRow="0" w:lastRow="0" w:firstColumn="1" w:lastColumn="0" w:oddVBand="0" w:evenVBand="0" w:oddHBand="0" w:evenHBand="0" w:firstRowFirstColumn="0" w:firstRowLastColumn="0" w:lastRowFirstColumn="0" w:lastRowLastColumn="0"/>
            <w:tcW w:w="1809" w:type="dxa"/>
          </w:tcPr>
          <w:p w14:paraId="2EF57784" w14:textId="77777777" w:rsidR="00EB4BBA" w:rsidRPr="00EB4BBA" w:rsidRDefault="00EB4BBA" w:rsidP="00EB4BBA">
            <w:pPr>
              <w:pStyle w:val="TableBody"/>
            </w:pPr>
            <w:r w:rsidRPr="00EB4BBA">
              <w:t>Complaints</w:t>
            </w:r>
          </w:p>
        </w:tc>
        <w:tc>
          <w:tcPr>
            <w:tcW w:w="3140" w:type="dxa"/>
          </w:tcPr>
          <w:p w14:paraId="19F6D56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Responding to stage 1 customer complaints </w:t>
            </w:r>
          </w:p>
        </w:tc>
        <w:tc>
          <w:tcPr>
            <w:tcW w:w="3327" w:type="dxa"/>
          </w:tcPr>
          <w:p w14:paraId="2D649639"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06E3D41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SEO and above</w:t>
            </w:r>
          </w:p>
        </w:tc>
        <w:tc>
          <w:tcPr>
            <w:tcW w:w="1847" w:type="dxa"/>
          </w:tcPr>
          <w:p w14:paraId="6D4C1F7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63251F90" w14:textId="77777777" w:rsidTr="00EB4BBA">
        <w:trPr>
          <w:trHeight w:val="714"/>
        </w:trPr>
        <w:tc>
          <w:tcPr>
            <w:cnfStyle w:val="001000000000" w:firstRow="0" w:lastRow="0" w:firstColumn="1" w:lastColumn="0" w:oddVBand="0" w:evenVBand="0" w:oddHBand="0" w:evenHBand="0" w:firstRowFirstColumn="0" w:firstRowLastColumn="0" w:lastRowFirstColumn="0" w:lastRowLastColumn="0"/>
            <w:tcW w:w="1809" w:type="dxa"/>
          </w:tcPr>
          <w:p w14:paraId="4E799133" w14:textId="77777777" w:rsidR="00EB4BBA" w:rsidRPr="00EB4BBA" w:rsidRDefault="00EB4BBA" w:rsidP="00EB4BBA">
            <w:pPr>
              <w:pStyle w:val="TableBody"/>
            </w:pPr>
          </w:p>
        </w:tc>
        <w:tc>
          <w:tcPr>
            <w:tcW w:w="3140" w:type="dxa"/>
          </w:tcPr>
          <w:p w14:paraId="28C438C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Responding to stage 2 customer complaints </w:t>
            </w:r>
          </w:p>
        </w:tc>
        <w:tc>
          <w:tcPr>
            <w:tcW w:w="3327" w:type="dxa"/>
          </w:tcPr>
          <w:p w14:paraId="0AC30FA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783D0A1B" w14:textId="463C3E3F"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SCS </w:t>
            </w:r>
            <w:r w:rsidR="004F064C">
              <w:t xml:space="preserve">equivalent </w:t>
            </w:r>
            <w:r w:rsidRPr="00EB4BBA">
              <w:t>level only</w:t>
            </w:r>
          </w:p>
        </w:tc>
        <w:tc>
          <w:tcPr>
            <w:tcW w:w="1847" w:type="dxa"/>
          </w:tcPr>
          <w:p w14:paraId="58B998B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20122A85" w14:textId="77777777" w:rsidTr="00EB4BBA">
        <w:trPr>
          <w:trHeight w:val="714"/>
        </w:trPr>
        <w:tc>
          <w:tcPr>
            <w:cnfStyle w:val="001000000000" w:firstRow="0" w:lastRow="0" w:firstColumn="1" w:lastColumn="0" w:oddVBand="0" w:evenVBand="0" w:oddHBand="0" w:evenHBand="0" w:firstRowFirstColumn="0" w:firstRowLastColumn="0" w:lastRowFirstColumn="0" w:lastRowLastColumn="0"/>
            <w:tcW w:w="1809" w:type="dxa"/>
          </w:tcPr>
          <w:p w14:paraId="2238CB27" w14:textId="77777777" w:rsidR="00EB4BBA" w:rsidRPr="00EB4BBA" w:rsidRDefault="00EB4BBA" w:rsidP="00EB4BBA">
            <w:pPr>
              <w:pStyle w:val="TableBody"/>
            </w:pPr>
          </w:p>
        </w:tc>
        <w:tc>
          <w:tcPr>
            <w:tcW w:w="3140" w:type="dxa"/>
          </w:tcPr>
          <w:p w14:paraId="77D669F6"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Approving Redress Payments</w:t>
            </w:r>
          </w:p>
        </w:tc>
        <w:tc>
          <w:tcPr>
            <w:tcW w:w="3327" w:type="dxa"/>
          </w:tcPr>
          <w:p w14:paraId="77ABF78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Consistent with DBS redress policy</w:t>
            </w:r>
          </w:p>
        </w:tc>
        <w:tc>
          <w:tcPr>
            <w:tcW w:w="3457" w:type="dxa"/>
            <w:gridSpan w:val="2"/>
          </w:tcPr>
          <w:p w14:paraId="1B44DFB9" w14:textId="00E40A76"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Executive Director </w:t>
            </w:r>
            <w:r w:rsidR="002007C5">
              <w:t>of</w:t>
            </w:r>
            <w:r w:rsidR="002007C5" w:rsidRPr="00EB4BBA">
              <w:t xml:space="preserve"> </w:t>
            </w:r>
            <w:r w:rsidRPr="00EB4BBA">
              <w:t>Operation</w:t>
            </w:r>
            <w:r w:rsidR="004F064C">
              <w:t>s</w:t>
            </w:r>
          </w:p>
        </w:tc>
        <w:tc>
          <w:tcPr>
            <w:tcW w:w="1847" w:type="dxa"/>
          </w:tcPr>
          <w:p w14:paraId="3C478DA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Note. Redress payments additionally require Home Office approval.</w:t>
            </w:r>
          </w:p>
        </w:tc>
      </w:tr>
      <w:tr w:rsidR="00EB4BBA" w:rsidRPr="00EB4BBA" w14:paraId="7E418900" w14:textId="77777777" w:rsidTr="00EB4BBA">
        <w:trPr>
          <w:trHeight w:val="298"/>
        </w:trPr>
        <w:tc>
          <w:tcPr>
            <w:cnfStyle w:val="001000000000" w:firstRow="0" w:lastRow="0" w:firstColumn="1" w:lastColumn="0" w:oddVBand="0" w:evenVBand="0" w:oddHBand="0" w:evenHBand="0" w:firstRowFirstColumn="0" w:firstRowLastColumn="0" w:lastRowFirstColumn="0" w:lastRowLastColumn="0"/>
            <w:tcW w:w="1809" w:type="dxa"/>
          </w:tcPr>
          <w:p w14:paraId="73F5E48A" w14:textId="77777777" w:rsidR="00EB4BBA" w:rsidRPr="00EB4BBA" w:rsidRDefault="00EB4BBA" w:rsidP="00EB4BBA">
            <w:pPr>
              <w:pStyle w:val="TableBody"/>
            </w:pPr>
            <w:r w:rsidRPr="00EB4BBA">
              <w:t>Corporate governance</w:t>
            </w:r>
          </w:p>
        </w:tc>
        <w:tc>
          <w:tcPr>
            <w:tcW w:w="3140" w:type="dxa"/>
          </w:tcPr>
          <w:p w14:paraId="3B4D7320" w14:textId="1BD9D290"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Approval of Terms of Reference for </w:t>
            </w:r>
            <w:r>
              <w:t xml:space="preserve">Executive </w:t>
            </w:r>
            <w:r w:rsidRPr="00EB4BBA">
              <w:lastRenderedPageBreak/>
              <w:t>Team (</w:t>
            </w:r>
            <w:r>
              <w:t>Exec Team</w:t>
            </w:r>
            <w:r w:rsidRPr="00EB4BBA">
              <w:t xml:space="preserve">) and any </w:t>
            </w:r>
            <w:r>
              <w:t xml:space="preserve">Exec Team </w:t>
            </w:r>
            <w:r w:rsidRPr="00EB4BBA">
              <w:t>subgroups</w:t>
            </w:r>
          </w:p>
        </w:tc>
        <w:tc>
          <w:tcPr>
            <w:tcW w:w="3327" w:type="dxa"/>
          </w:tcPr>
          <w:p w14:paraId="2546692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193D6898" w14:textId="218B0F39"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t>Executive</w:t>
            </w:r>
            <w:r w:rsidRPr="00EB4BBA">
              <w:t xml:space="preserve"> Team</w:t>
            </w:r>
          </w:p>
        </w:tc>
        <w:tc>
          <w:tcPr>
            <w:tcW w:w="1847" w:type="dxa"/>
          </w:tcPr>
          <w:p w14:paraId="63E25E1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101EA53C" w14:textId="77777777" w:rsidTr="00EB4BBA">
        <w:trPr>
          <w:trHeight w:val="298"/>
        </w:trPr>
        <w:tc>
          <w:tcPr>
            <w:cnfStyle w:val="001000000000" w:firstRow="0" w:lastRow="0" w:firstColumn="1" w:lastColumn="0" w:oddVBand="0" w:evenVBand="0" w:oddHBand="0" w:evenHBand="0" w:firstRowFirstColumn="0" w:firstRowLastColumn="0" w:lastRowFirstColumn="0" w:lastRowLastColumn="0"/>
            <w:tcW w:w="1809" w:type="dxa"/>
          </w:tcPr>
          <w:p w14:paraId="3331B89E" w14:textId="77777777" w:rsidR="00EB4BBA" w:rsidRPr="00EB4BBA" w:rsidRDefault="00EB4BBA" w:rsidP="00EB4BBA">
            <w:pPr>
              <w:pStyle w:val="TableBody"/>
            </w:pPr>
          </w:p>
        </w:tc>
        <w:tc>
          <w:tcPr>
            <w:tcW w:w="3140" w:type="dxa"/>
          </w:tcPr>
          <w:p w14:paraId="1584435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Creation of executive groups</w:t>
            </w:r>
          </w:p>
        </w:tc>
        <w:tc>
          <w:tcPr>
            <w:tcW w:w="3327" w:type="dxa"/>
          </w:tcPr>
          <w:p w14:paraId="0E1928F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Must not empower the group with responsibilities / accountabilities not already held by the individuals creating the group.</w:t>
            </w:r>
          </w:p>
        </w:tc>
        <w:tc>
          <w:tcPr>
            <w:tcW w:w="3457" w:type="dxa"/>
            <w:gridSpan w:val="2"/>
          </w:tcPr>
          <w:p w14:paraId="76447D7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DBS staff</w:t>
            </w:r>
          </w:p>
        </w:tc>
        <w:tc>
          <w:tcPr>
            <w:tcW w:w="1847" w:type="dxa"/>
          </w:tcPr>
          <w:p w14:paraId="3C8D345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4560E801"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02B5B349" w14:textId="77777777" w:rsidR="00EB4BBA" w:rsidRPr="00EB4BBA" w:rsidRDefault="00EB4BBA" w:rsidP="00EB4BBA">
            <w:pPr>
              <w:pStyle w:val="TableBody"/>
            </w:pPr>
            <w:r w:rsidRPr="00EB4BBA">
              <w:t>Financial management</w:t>
            </w:r>
          </w:p>
        </w:tc>
        <w:tc>
          <w:tcPr>
            <w:tcW w:w="3140" w:type="dxa"/>
          </w:tcPr>
          <w:p w14:paraId="0FABABB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Payments to Police forces</w:t>
            </w:r>
          </w:p>
        </w:tc>
        <w:tc>
          <w:tcPr>
            <w:tcW w:w="3327" w:type="dxa"/>
          </w:tcPr>
          <w:p w14:paraId="47E88904" w14:textId="1664F61D"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Must be within 5% tolerance per force of a schedule agreed by </w:t>
            </w:r>
            <w:r>
              <w:t>Exec Tem</w:t>
            </w:r>
          </w:p>
        </w:tc>
        <w:tc>
          <w:tcPr>
            <w:tcW w:w="3457" w:type="dxa"/>
            <w:gridSpan w:val="2"/>
          </w:tcPr>
          <w:p w14:paraId="3EDD4C00" w14:textId="137B34D2"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Executive Director </w:t>
            </w:r>
            <w:r w:rsidR="002007C5">
              <w:t>of</w:t>
            </w:r>
            <w:r w:rsidRPr="00EB4BBA">
              <w:t xml:space="preserve"> Operation</w:t>
            </w:r>
            <w:r w:rsidR="002007C5">
              <w:t>s</w:t>
            </w:r>
          </w:p>
        </w:tc>
        <w:tc>
          <w:tcPr>
            <w:tcW w:w="1847" w:type="dxa"/>
          </w:tcPr>
          <w:p w14:paraId="4AB964E8" w14:textId="155BA804"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The Executive Director </w:t>
            </w:r>
            <w:r w:rsidR="002007C5">
              <w:t>of</w:t>
            </w:r>
            <w:r w:rsidR="002007C5" w:rsidRPr="00EB4BBA">
              <w:t xml:space="preserve"> </w:t>
            </w:r>
            <w:r w:rsidRPr="00EB4BBA">
              <w:t>Operation</w:t>
            </w:r>
            <w:r w:rsidR="002007C5">
              <w:t>s</w:t>
            </w:r>
            <w:r w:rsidRPr="00EB4BBA">
              <w:t xml:space="preserve"> will recommend to </w:t>
            </w:r>
            <w:r>
              <w:t>Exec Team</w:t>
            </w:r>
            <w:r w:rsidRPr="00EB4BBA">
              <w:t xml:space="preserve"> a schedule setting out proposed payments by police force and product consistent with the budget set by the Board.</w:t>
            </w:r>
          </w:p>
        </w:tc>
      </w:tr>
      <w:tr w:rsidR="00EB4BBA" w:rsidRPr="00EB4BBA" w14:paraId="6A23D186"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31B15265" w14:textId="77777777" w:rsidR="00EB4BBA" w:rsidRPr="00EB4BBA" w:rsidRDefault="00EB4BBA" w:rsidP="00EB4BBA">
            <w:pPr>
              <w:pStyle w:val="TableBody"/>
            </w:pPr>
          </w:p>
        </w:tc>
        <w:tc>
          <w:tcPr>
            <w:tcW w:w="3140" w:type="dxa"/>
          </w:tcPr>
          <w:p w14:paraId="7AB2B2F9"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Budget Delegation to a Budget Manager</w:t>
            </w:r>
          </w:p>
        </w:tc>
        <w:tc>
          <w:tcPr>
            <w:tcW w:w="3327" w:type="dxa"/>
          </w:tcPr>
          <w:p w14:paraId="3488E2D5"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Directorate budget may be sub delegated by the relevant Budget Holder.</w:t>
            </w:r>
          </w:p>
          <w:p w14:paraId="0272E045"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Delegation must be by letter drafted by DBS Finance and signed by Budget Holder.</w:t>
            </w:r>
          </w:p>
        </w:tc>
        <w:tc>
          <w:tcPr>
            <w:tcW w:w="3457" w:type="dxa"/>
            <w:gridSpan w:val="2"/>
          </w:tcPr>
          <w:p w14:paraId="0C127735"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Budget Holder</w:t>
            </w:r>
          </w:p>
        </w:tc>
        <w:tc>
          <w:tcPr>
            <w:tcW w:w="1847" w:type="dxa"/>
          </w:tcPr>
          <w:p w14:paraId="3B73F251"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The Accounting Officer appoints Budget Holders</w:t>
            </w:r>
          </w:p>
        </w:tc>
      </w:tr>
      <w:tr w:rsidR="00EB4BBA" w:rsidRPr="00EB4BBA" w14:paraId="56D19030" w14:textId="77777777" w:rsidTr="00EB4BBA">
        <w:trPr>
          <w:trHeight w:val="630"/>
        </w:trPr>
        <w:tc>
          <w:tcPr>
            <w:cnfStyle w:val="001000000000" w:firstRow="0" w:lastRow="0" w:firstColumn="1" w:lastColumn="0" w:oddVBand="0" w:evenVBand="0" w:oddHBand="0" w:evenHBand="0" w:firstRowFirstColumn="0" w:firstRowLastColumn="0" w:lastRowFirstColumn="0" w:lastRowLastColumn="0"/>
            <w:tcW w:w="1809" w:type="dxa"/>
          </w:tcPr>
          <w:p w14:paraId="7B29F6DD" w14:textId="77777777" w:rsidR="00EB4BBA" w:rsidRPr="00EB4BBA" w:rsidRDefault="00EB4BBA" w:rsidP="00EB4BBA">
            <w:pPr>
              <w:pStyle w:val="TableBody"/>
            </w:pPr>
          </w:p>
        </w:tc>
        <w:tc>
          <w:tcPr>
            <w:tcW w:w="3140" w:type="dxa"/>
          </w:tcPr>
          <w:p w14:paraId="13F07FC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Commitment of financial resources</w:t>
            </w:r>
          </w:p>
        </w:tc>
        <w:tc>
          <w:tcPr>
            <w:tcW w:w="3327" w:type="dxa"/>
          </w:tcPr>
          <w:p w14:paraId="0C63137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Commitment must be affordable within delegated budget</w:t>
            </w:r>
          </w:p>
        </w:tc>
        <w:tc>
          <w:tcPr>
            <w:tcW w:w="3457" w:type="dxa"/>
            <w:gridSpan w:val="2"/>
          </w:tcPr>
          <w:p w14:paraId="4FEEA714"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Budget Holder or Budget Manager</w:t>
            </w:r>
          </w:p>
        </w:tc>
        <w:tc>
          <w:tcPr>
            <w:tcW w:w="1847" w:type="dxa"/>
          </w:tcPr>
          <w:p w14:paraId="118C84D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765819D9" w14:textId="77777777" w:rsidTr="00EB4BBA">
        <w:tc>
          <w:tcPr>
            <w:cnfStyle w:val="001000000000" w:firstRow="0" w:lastRow="0" w:firstColumn="1" w:lastColumn="0" w:oddVBand="0" w:evenVBand="0" w:oddHBand="0" w:evenHBand="0" w:firstRowFirstColumn="0" w:firstRowLastColumn="0" w:lastRowFirstColumn="0" w:lastRowLastColumn="0"/>
            <w:tcW w:w="1809" w:type="dxa"/>
            <w:vMerge w:val="restart"/>
          </w:tcPr>
          <w:p w14:paraId="409557FB" w14:textId="77777777" w:rsidR="00EB4BBA" w:rsidRPr="00EB4BBA" w:rsidRDefault="00EB4BBA" w:rsidP="00EB4BBA">
            <w:pPr>
              <w:pStyle w:val="TableBody"/>
            </w:pPr>
          </w:p>
        </w:tc>
        <w:tc>
          <w:tcPr>
            <w:tcW w:w="3140" w:type="dxa"/>
            <w:vMerge w:val="restart"/>
          </w:tcPr>
          <w:p w14:paraId="3C5D0A2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Write Offs</w:t>
            </w:r>
          </w:p>
        </w:tc>
        <w:tc>
          <w:tcPr>
            <w:tcW w:w="3327" w:type="dxa"/>
          </w:tcPr>
          <w:p w14:paraId="585B6F6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£2 500</w:t>
            </w:r>
          </w:p>
        </w:tc>
        <w:tc>
          <w:tcPr>
            <w:tcW w:w="3457" w:type="dxa"/>
            <w:gridSpan w:val="2"/>
          </w:tcPr>
          <w:p w14:paraId="46CEB311" w14:textId="78496569" w:rsidR="00EB4BBA" w:rsidRPr="00EB4BBA" w:rsidRDefault="00972F9A" w:rsidP="00EB4BBA">
            <w:pPr>
              <w:pStyle w:val="TableBody"/>
              <w:cnfStyle w:val="000000000000" w:firstRow="0" w:lastRow="0" w:firstColumn="0" w:lastColumn="0" w:oddVBand="0" w:evenVBand="0" w:oddHBand="0" w:evenHBand="0" w:firstRowFirstColumn="0" w:firstRowLastColumn="0" w:lastRowFirstColumn="0" w:lastRowLastColumn="0"/>
            </w:pPr>
            <w:r>
              <w:t xml:space="preserve">Executive Director of </w:t>
            </w:r>
            <w:r w:rsidR="00EB4BBA" w:rsidRPr="00EB4BBA">
              <w:t>Finance and Commercial</w:t>
            </w:r>
          </w:p>
        </w:tc>
        <w:tc>
          <w:tcPr>
            <w:tcW w:w="1847" w:type="dxa"/>
            <w:vMerge w:val="restart"/>
          </w:tcPr>
          <w:p w14:paraId="02B8606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534E25EF" w14:textId="77777777" w:rsidTr="00EB4BBA">
        <w:tc>
          <w:tcPr>
            <w:cnfStyle w:val="001000000000" w:firstRow="0" w:lastRow="0" w:firstColumn="1" w:lastColumn="0" w:oddVBand="0" w:evenVBand="0" w:oddHBand="0" w:evenHBand="0" w:firstRowFirstColumn="0" w:firstRowLastColumn="0" w:lastRowFirstColumn="0" w:lastRowLastColumn="0"/>
            <w:tcW w:w="1809" w:type="dxa"/>
            <w:vMerge/>
          </w:tcPr>
          <w:p w14:paraId="2CE49B63" w14:textId="77777777" w:rsidR="00EB4BBA" w:rsidRPr="00EB4BBA" w:rsidRDefault="00EB4BBA" w:rsidP="00EB4BBA">
            <w:pPr>
              <w:pStyle w:val="TableBody"/>
            </w:pPr>
          </w:p>
        </w:tc>
        <w:tc>
          <w:tcPr>
            <w:tcW w:w="3140" w:type="dxa"/>
            <w:vMerge/>
          </w:tcPr>
          <w:p w14:paraId="5929F19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27" w:type="dxa"/>
          </w:tcPr>
          <w:p w14:paraId="39270D45"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£1 000</w:t>
            </w:r>
          </w:p>
        </w:tc>
        <w:tc>
          <w:tcPr>
            <w:tcW w:w="3457" w:type="dxa"/>
            <w:gridSpan w:val="2"/>
          </w:tcPr>
          <w:p w14:paraId="2A34E5D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G6/G7 Senior Finance Manager</w:t>
            </w:r>
          </w:p>
        </w:tc>
        <w:tc>
          <w:tcPr>
            <w:tcW w:w="1847" w:type="dxa"/>
            <w:vMerge/>
          </w:tcPr>
          <w:p w14:paraId="4A6301F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68097673"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7812222E" w14:textId="77777777" w:rsidR="00EB4BBA" w:rsidRPr="00EB4BBA" w:rsidRDefault="00EB4BBA" w:rsidP="00EB4BBA">
            <w:pPr>
              <w:pStyle w:val="TableBody"/>
            </w:pPr>
          </w:p>
        </w:tc>
        <w:tc>
          <w:tcPr>
            <w:tcW w:w="3140" w:type="dxa"/>
          </w:tcPr>
          <w:p w14:paraId="6AB62F2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27" w:type="dxa"/>
          </w:tcPr>
          <w:p w14:paraId="6A3CC3E9"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£500</w:t>
            </w:r>
          </w:p>
        </w:tc>
        <w:tc>
          <w:tcPr>
            <w:tcW w:w="3457" w:type="dxa"/>
            <w:gridSpan w:val="2"/>
          </w:tcPr>
          <w:p w14:paraId="3834B76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SEO Financial Accounts</w:t>
            </w:r>
          </w:p>
        </w:tc>
        <w:tc>
          <w:tcPr>
            <w:tcW w:w="1847" w:type="dxa"/>
            <w:vMerge/>
          </w:tcPr>
          <w:p w14:paraId="596DE57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3BC80000"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4E1200A7" w14:textId="77777777" w:rsidR="00EB4BBA" w:rsidRPr="00EB4BBA" w:rsidRDefault="00EB4BBA" w:rsidP="00EB4BBA">
            <w:pPr>
              <w:pStyle w:val="TableBody"/>
            </w:pPr>
          </w:p>
        </w:tc>
        <w:tc>
          <w:tcPr>
            <w:tcW w:w="3140" w:type="dxa"/>
          </w:tcPr>
          <w:p w14:paraId="23AFEF9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Commitment of financial resources from the Strategic Investment Fund</w:t>
            </w:r>
          </w:p>
        </w:tc>
        <w:tc>
          <w:tcPr>
            <w:tcW w:w="3327" w:type="dxa"/>
          </w:tcPr>
          <w:p w14:paraId="2F8672E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Up to £1 000 000</w:t>
            </w:r>
          </w:p>
        </w:tc>
        <w:tc>
          <w:tcPr>
            <w:tcW w:w="3457" w:type="dxa"/>
            <w:gridSpan w:val="2"/>
          </w:tcPr>
          <w:p w14:paraId="53F2F0F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Strategic Plan Oversight Group</w:t>
            </w:r>
          </w:p>
        </w:tc>
        <w:tc>
          <w:tcPr>
            <w:tcW w:w="1847" w:type="dxa"/>
          </w:tcPr>
          <w:p w14:paraId="2A1326E6"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Will also require Budget Holder or Budget Manager approval</w:t>
            </w:r>
          </w:p>
        </w:tc>
      </w:tr>
      <w:tr w:rsidR="00EB4BBA" w:rsidRPr="00EB4BBA" w14:paraId="32D3A4D3"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02B4CD8E" w14:textId="77777777" w:rsidR="00EB4BBA" w:rsidRPr="00EB4BBA" w:rsidRDefault="00EB4BBA" w:rsidP="00EB4BBA">
            <w:pPr>
              <w:pStyle w:val="TableBody"/>
            </w:pPr>
            <w:r w:rsidRPr="00EB4BBA">
              <w:t>Health and Safety</w:t>
            </w:r>
          </w:p>
        </w:tc>
        <w:tc>
          <w:tcPr>
            <w:tcW w:w="3140" w:type="dxa"/>
          </w:tcPr>
          <w:p w14:paraId="6D3E73F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27" w:type="dxa"/>
          </w:tcPr>
          <w:p w14:paraId="0FF47B9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31372A8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1847" w:type="dxa"/>
          </w:tcPr>
          <w:p w14:paraId="2C68280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Health and Safety Framework sets this out</w:t>
            </w:r>
          </w:p>
        </w:tc>
      </w:tr>
      <w:tr w:rsidR="00EB4BBA" w:rsidRPr="00EB4BBA" w14:paraId="425745AB"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7C671328" w14:textId="77777777" w:rsidR="00EB4BBA" w:rsidRPr="00EB4BBA" w:rsidRDefault="00EB4BBA" w:rsidP="00EB4BBA">
            <w:pPr>
              <w:pStyle w:val="TableBody"/>
            </w:pPr>
            <w:commentRangeStart w:id="10"/>
            <w:r w:rsidRPr="00EB4BBA">
              <w:t>Legal issues</w:t>
            </w:r>
            <w:commentRangeEnd w:id="10"/>
            <w:r w:rsidR="001E3CAD">
              <w:rPr>
                <w:rStyle w:val="CommentReference"/>
                <w:rFonts w:cs="Times New Roman"/>
                <w:color w:val="auto"/>
              </w:rPr>
              <w:commentReference w:id="10"/>
            </w:r>
          </w:p>
        </w:tc>
        <w:tc>
          <w:tcPr>
            <w:tcW w:w="3140" w:type="dxa"/>
          </w:tcPr>
          <w:p w14:paraId="1956E3F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Approval of decisions concerning litigation that will not have a material impact on DBS’s reputation, finances or operation.</w:t>
            </w:r>
          </w:p>
        </w:tc>
        <w:tc>
          <w:tcPr>
            <w:tcW w:w="3327" w:type="dxa"/>
          </w:tcPr>
          <w:p w14:paraId="35733226"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Payments of up to £100 000 if ordered by a Court</w:t>
            </w:r>
          </w:p>
        </w:tc>
        <w:tc>
          <w:tcPr>
            <w:tcW w:w="3457" w:type="dxa"/>
            <w:gridSpan w:val="2"/>
          </w:tcPr>
          <w:p w14:paraId="1F57ABFB" w14:textId="3881446D"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t>General Counsel</w:t>
            </w:r>
          </w:p>
        </w:tc>
        <w:tc>
          <w:tcPr>
            <w:tcW w:w="1847" w:type="dxa"/>
          </w:tcPr>
          <w:p w14:paraId="016D7D4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Board has retained approval of decisions concerning litigation that could have a material impact on DBS’s reputation, finances or operation.</w:t>
            </w:r>
          </w:p>
          <w:p w14:paraId="606CA08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Note that Home Office may need to approve special payments.</w:t>
            </w:r>
          </w:p>
        </w:tc>
      </w:tr>
      <w:tr w:rsidR="00EB4BBA" w:rsidRPr="00EB4BBA" w14:paraId="09FEF19A"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29188245" w14:textId="77777777" w:rsidR="00EB4BBA" w:rsidRPr="00EB4BBA" w:rsidRDefault="00EB4BBA" w:rsidP="00EB4BBA">
            <w:pPr>
              <w:pStyle w:val="TableBody"/>
            </w:pPr>
          </w:p>
        </w:tc>
        <w:tc>
          <w:tcPr>
            <w:tcW w:w="3140" w:type="dxa"/>
          </w:tcPr>
          <w:p w14:paraId="2C4A600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Commissioning of legal advice</w:t>
            </w:r>
          </w:p>
        </w:tc>
        <w:tc>
          <w:tcPr>
            <w:tcW w:w="3327" w:type="dxa"/>
          </w:tcPr>
          <w:p w14:paraId="3C534AB5"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Not related to matters concerning the Board nor Corporate Governance</w:t>
            </w:r>
          </w:p>
        </w:tc>
        <w:tc>
          <w:tcPr>
            <w:tcW w:w="3457" w:type="dxa"/>
            <w:gridSpan w:val="2"/>
          </w:tcPr>
          <w:p w14:paraId="6265CAE2" w14:textId="6BA8C01F"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t>General Counsel</w:t>
            </w:r>
          </w:p>
        </w:tc>
        <w:tc>
          <w:tcPr>
            <w:tcW w:w="1847" w:type="dxa"/>
          </w:tcPr>
          <w:p w14:paraId="762524B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Procurement may need Home Office approval.</w:t>
            </w:r>
          </w:p>
        </w:tc>
      </w:tr>
      <w:tr w:rsidR="00EB4BBA" w:rsidRPr="00EB4BBA" w14:paraId="591A77EA"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14876881" w14:textId="77777777" w:rsidR="00EB4BBA" w:rsidRPr="00EB4BBA" w:rsidRDefault="00EB4BBA" w:rsidP="00EB4BBA">
            <w:pPr>
              <w:pStyle w:val="TableBody"/>
            </w:pPr>
          </w:p>
        </w:tc>
        <w:tc>
          <w:tcPr>
            <w:tcW w:w="3140" w:type="dxa"/>
          </w:tcPr>
          <w:p w14:paraId="29C0E24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27" w:type="dxa"/>
          </w:tcPr>
          <w:p w14:paraId="67B46C5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Matters related to the Board and Corporate Governance</w:t>
            </w:r>
          </w:p>
        </w:tc>
        <w:tc>
          <w:tcPr>
            <w:tcW w:w="3457" w:type="dxa"/>
            <w:gridSpan w:val="2"/>
          </w:tcPr>
          <w:p w14:paraId="0FAE380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Board Secretary</w:t>
            </w:r>
          </w:p>
        </w:tc>
        <w:tc>
          <w:tcPr>
            <w:tcW w:w="1847" w:type="dxa"/>
          </w:tcPr>
          <w:p w14:paraId="29A925C3" w14:textId="32C463AF"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Procurement may need Home Office approval. Where possible the Board Secretary will liaise with the </w:t>
            </w:r>
            <w:r w:rsidR="0045039D">
              <w:t>General Counsel</w:t>
            </w:r>
            <w:r w:rsidRPr="00EB4BBA">
              <w:t>.</w:t>
            </w:r>
          </w:p>
        </w:tc>
      </w:tr>
      <w:bookmarkEnd w:id="8"/>
      <w:tr w:rsidR="00EB4BBA" w:rsidRPr="00EB4BBA" w14:paraId="45F01700" w14:textId="77777777" w:rsidTr="00EB4BBA">
        <w:trPr>
          <w:trHeight w:val="755"/>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777302F" w14:textId="77777777" w:rsidR="00EB4BBA" w:rsidRPr="00EB4BBA" w:rsidRDefault="00EB4BBA" w:rsidP="00EB4BBA">
            <w:pPr>
              <w:pStyle w:val="TableBody"/>
            </w:pPr>
            <w:r w:rsidRPr="00EB4BBA">
              <w:t>Procurement</w:t>
            </w:r>
          </w:p>
        </w:tc>
        <w:tc>
          <w:tcPr>
            <w:tcW w:w="3140" w:type="dxa"/>
            <w:vMerge w:val="restart"/>
          </w:tcPr>
          <w:p w14:paraId="628075A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Entering contractual commitments, committing expenditure including: issuing notices for new procurements, running competitive activity, approving Purchase Orders, awarding and amending contracts.</w:t>
            </w:r>
          </w:p>
        </w:tc>
        <w:tc>
          <w:tcPr>
            <w:tcW w:w="3327" w:type="dxa"/>
          </w:tcPr>
          <w:p w14:paraId="752E8E29"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Consistent with Home Office’s Budget Holder’s Handbook including Cabinet Office and HMT Controls and consistent with an approved procurement business case</w:t>
            </w:r>
            <w:r w:rsidRPr="002B1F5C">
              <w:rPr>
                <w:rStyle w:val="FootnoteReference"/>
              </w:rPr>
              <w:footnoteReference w:id="3"/>
            </w:r>
          </w:p>
          <w:p w14:paraId="1610BCD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1B289CE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1847" w:type="dxa"/>
            <w:vMerge w:val="restart"/>
          </w:tcPr>
          <w:p w14:paraId="60AF738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Commitment must be confirmed by Budget Holder or Budget Manager</w:t>
            </w:r>
          </w:p>
        </w:tc>
      </w:tr>
      <w:tr w:rsidR="00EB4BBA" w:rsidRPr="00EB4BBA" w14:paraId="06FEABE6" w14:textId="77777777" w:rsidTr="00EB4BBA">
        <w:trPr>
          <w:trHeight w:val="289"/>
        </w:trPr>
        <w:tc>
          <w:tcPr>
            <w:cnfStyle w:val="001000000000" w:firstRow="0" w:lastRow="0" w:firstColumn="1" w:lastColumn="0" w:oddVBand="0" w:evenVBand="0" w:oddHBand="0" w:evenHBand="0" w:firstRowFirstColumn="0" w:firstRowLastColumn="0" w:lastRowFirstColumn="0" w:lastRowLastColumn="0"/>
            <w:tcW w:w="1809" w:type="dxa"/>
            <w:vMerge/>
          </w:tcPr>
          <w:p w14:paraId="26AF4660" w14:textId="77777777" w:rsidR="00EB4BBA" w:rsidRPr="00EB4BBA" w:rsidRDefault="00EB4BBA" w:rsidP="00EB4BBA">
            <w:pPr>
              <w:pStyle w:val="TableBody"/>
            </w:pPr>
          </w:p>
        </w:tc>
        <w:tc>
          <w:tcPr>
            <w:tcW w:w="3140" w:type="dxa"/>
            <w:vMerge/>
          </w:tcPr>
          <w:p w14:paraId="2D2B8F84"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92" w:type="dxa"/>
            <w:gridSpan w:val="2"/>
          </w:tcPr>
          <w:p w14:paraId="7B2D8F1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Total value up to £50m </w:t>
            </w:r>
            <w:proofErr w:type="spellStart"/>
            <w:r w:rsidRPr="00EB4BBA">
              <w:t>inc</w:t>
            </w:r>
            <w:proofErr w:type="spellEnd"/>
            <w:r w:rsidRPr="00EB4BBA">
              <w:t xml:space="preserve"> VAT</w:t>
            </w:r>
          </w:p>
        </w:tc>
        <w:tc>
          <w:tcPr>
            <w:tcW w:w="3392" w:type="dxa"/>
          </w:tcPr>
          <w:p w14:paraId="1DD78B40" w14:textId="48E44FF6" w:rsidR="00EB4BBA" w:rsidRPr="00EB4BBA" w:rsidDel="005E39B1" w:rsidRDefault="00972F9A" w:rsidP="00EB4BBA">
            <w:pPr>
              <w:pStyle w:val="TableBody"/>
              <w:cnfStyle w:val="000000000000" w:firstRow="0" w:lastRow="0" w:firstColumn="0" w:lastColumn="0" w:oddVBand="0" w:evenVBand="0" w:oddHBand="0" w:evenHBand="0" w:firstRowFirstColumn="0" w:firstRowLastColumn="0" w:lastRowFirstColumn="0" w:lastRowLastColumn="0"/>
            </w:pPr>
            <w:r>
              <w:t xml:space="preserve">Executive Director of </w:t>
            </w:r>
            <w:r w:rsidR="00EB4BBA" w:rsidRPr="00EB4BBA">
              <w:t xml:space="preserve">Finance and </w:t>
            </w:r>
            <w:proofErr w:type="gramStart"/>
            <w:r w:rsidR="00EB4BBA" w:rsidRPr="00EB4BBA">
              <w:t>Commercial(</w:t>
            </w:r>
            <w:proofErr w:type="gramEnd"/>
            <w:r w:rsidR="008D2408">
              <w:t>EDFC</w:t>
            </w:r>
            <w:r w:rsidR="00EB4BBA" w:rsidRPr="00EB4BBA">
              <w:t>)</w:t>
            </w:r>
          </w:p>
        </w:tc>
        <w:tc>
          <w:tcPr>
            <w:tcW w:w="1847" w:type="dxa"/>
            <w:vMerge/>
          </w:tcPr>
          <w:p w14:paraId="7105CFB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1BF54FBC" w14:textId="77777777" w:rsidTr="00EB4BBA">
        <w:trPr>
          <w:trHeight w:val="197"/>
        </w:trPr>
        <w:tc>
          <w:tcPr>
            <w:cnfStyle w:val="001000000000" w:firstRow="0" w:lastRow="0" w:firstColumn="1" w:lastColumn="0" w:oddVBand="0" w:evenVBand="0" w:oddHBand="0" w:evenHBand="0" w:firstRowFirstColumn="0" w:firstRowLastColumn="0" w:lastRowFirstColumn="0" w:lastRowLastColumn="0"/>
            <w:tcW w:w="1809" w:type="dxa"/>
            <w:vMerge/>
          </w:tcPr>
          <w:p w14:paraId="73155950" w14:textId="77777777" w:rsidR="00EB4BBA" w:rsidRPr="00EB4BBA" w:rsidRDefault="00EB4BBA" w:rsidP="00EB4BBA">
            <w:pPr>
              <w:pStyle w:val="TableBody"/>
            </w:pPr>
          </w:p>
        </w:tc>
        <w:tc>
          <w:tcPr>
            <w:tcW w:w="3140" w:type="dxa"/>
            <w:vMerge/>
          </w:tcPr>
          <w:p w14:paraId="15104C3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92" w:type="dxa"/>
            <w:gridSpan w:val="2"/>
          </w:tcPr>
          <w:p w14:paraId="2D47F70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Total value up to £25m </w:t>
            </w:r>
            <w:proofErr w:type="spellStart"/>
            <w:r w:rsidRPr="00EB4BBA">
              <w:t>inc</w:t>
            </w:r>
            <w:proofErr w:type="spellEnd"/>
            <w:r w:rsidRPr="00EB4BBA">
              <w:t xml:space="preserve"> VAT</w:t>
            </w:r>
          </w:p>
        </w:tc>
        <w:tc>
          <w:tcPr>
            <w:tcW w:w="3392" w:type="dxa"/>
          </w:tcPr>
          <w:p w14:paraId="3CDB96DD" w14:textId="79DC7D3C"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Grade 6s with written authorisation from </w:t>
            </w:r>
            <w:r w:rsidR="008D2408">
              <w:t>EDFC</w:t>
            </w:r>
          </w:p>
        </w:tc>
        <w:tc>
          <w:tcPr>
            <w:tcW w:w="1847" w:type="dxa"/>
            <w:vMerge/>
          </w:tcPr>
          <w:p w14:paraId="4F376A49"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5344042E" w14:textId="77777777" w:rsidTr="00EB4BBA">
        <w:trPr>
          <w:trHeight w:val="197"/>
        </w:trPr>
        <w:tc>
          <w:tcPr>
            <w:cnfStyle w:val="001000000000" w:firstRow="0" w:lastRow="0" w:firstColumn="1" w:lastColumn="0" w:oddVBand="0" w:evenVBand="0" w:oddHBand="0" w:evenHBand="0" w:firstRowFirstColumn="0" w:firstRowLastColumn="0" w:lastRowFirstColumn="0" w:lastRowLastColumn="0"/>
            <w:tcW w:w="1809" w:type="dxa"/>
            <w:vMerge/>
          </w:tcPr>
          <w:p w14:paraId="2D009147" w14:textId="77777777" w:rsidR="00EB4BBA" w:rsidRPr="00EB4BBA" w:rsidRDefault="00EB4BBA" w:rsidP="00EB4BBA">
            <w:pPr>
              <w:pStyle w:val="TableBody"/>
            </w:pPr>
          </w:p>
        </w:tc>
        <w:tc>
          <w:tcPr>
            <w:tcW w:w="3140" w:type="dxa"/>
            <w:vMerge/>
          </w:tcPr>
          <w:p w14:paraId="09D20A31"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92" w:type="dxa"/>
            <w:gridSpan w:val="2"/>
          </w:tcPr>
          <w:p w14:paraId="59DDB285"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Total value up to £10m </w:t>
            </w:r>
            <w:proofErr w:type="spellStart"/>
            <w:r w:rsidRPr="00EB4BBA">
              <w:t>inc</w:t>
            </w:r>
            <w:proofErr w:type="spellEnd"/>
            <w:r w:rsidRPr="00EB4BBA">
              <w:t xml:space="preserve"> VAT</w:t>
            </w:r>
          </w:p>
        </w:tc>
        <w:tc>
          <w:tcPr>
            <w:tcW w:w="3392" w:type="dxa"/>
          </w:tcPr>
          <w:p w14:paraId="2916856A" w14:textId="1ABD6414"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Grade 7s with written authorisation from </w:t>
            </w:r>
            <w:r w:rsidR="008D2408">
              <w:t>EDFC</w:t>
            </w:r>
          </w:p>
        </w:tc>
        <w:tc>
          <w:tcPr>
            <w:tcW w:w="1847" w:type="dxa"/>
            <w:vMerge/>
          </w:tcPr>
          <w:p w14:paraId="6008F8F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20EB6B84" w14:textId="77777777" w:rsidTr="00EB4BBA">
        <w:trPr>
          <w:trHeight w:val="196"/>
        </w:trPr>
        <w:tc>
          <w:tcPr>
            <w:cnfStyle w:val="001000000000" w:firstRow="0" w:lastRow="0" w:firstColumn="1" w:lastColumn="0" w:oddVBand="0" w:evenVBand="0" w:oddHBand="0" w:evenHBand="0" w:firstRowFirstColumn="0" w:firstRowLastColumn="0" w:lastRowFirstColumn="0" w:lastRowLastColumn="0"/>
            <w:tcW w:w="1809" w:type="dxa"/>
            <w:vMerge/>
          </w:tcPr>
          <w:p w14:paraId="73613A7D" w14:textId="77777777" w:rsidR="00EB4BBA" w:rsidRPr="00EB4BBA" w:rsidRDefault="00EB4BBA" w:rsidP="00EB4BBA">
            <w:pPr>
              <w:pStyle w:val="TableBody"/>
            </w:pPr>
          </w:p>
        </w:tc>
        <w:tc>
          <w:tcPr>
            <w:tcW w:w="3140" w:type="dxa"/>
            <w:vMerge/>
          </w:tcPr>
          <w:p w14:paraId="740DCF2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92" w:type="dxa"/>
            <w:gridSpan w:val="2"/>
          </w:tcPr>
          <w:p w14:paraId="50D22EF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Total value up to £1m </w:t>
            </w:r>
            <w:proofErr w:type="spellStart"/>
            <w:r w:rsidRPr="00EB4BBA">
              <w:t>inc</w:t>
            </w:r>
            <w:proofErr w:type="spellEnd"/>
            <w:r w:rsidRPr="00EB4BBA">
              <w:t xml:space="preserve"> VAT</w:t>
            </w:r>
          </w:p>
        </w:tc>
        <w:tc>
          <w:tcPr>
            <w:tcW w:w="3392" w:type="dxa"/>
          </w:tcPr>
          <w:p w14:paraId="2A6195ED" w14:textId="6EB521B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SEOs with written authorisation from</w:t>
            </w:r>
            <w:r w:rsidR="008D2408">
              <w:t xml:space="preserve"> EDFC</w:t>
            </w:r>
          </w:p>
        </w:tc>
        <w:tc>
          <w:tcPr>
            <w:tcW w:w="1847" w:type="dxa"/>
            <w:vMerge/>
          </w:tcPr>
          <w:p w14:paraId="7CC15BC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23D8784E" w14:textId="77777777" w:rsidTr="00EB4BBA">
        <w:trPr>
          <w:trHeight w:val="231"/>
        </w:trPr>
        <w:tc>
          <w:tcPr>
            <w:cnfStyle w:val="001000000000" w:firstRow="0" w:lastRow="0" w:firstColumn="1" w:lastColumn="0" w:oddVBand="0" w:evenVBand="0" w:oddHBand="0" w:evenHBand="0" w:firstRowFirstColumn="0" w:firstRowLastColumn="0" w:lastRowFirstColumn="0" w:lastRowLastColumn="0"/>
            <w:tcW w:w="1809" w:type="dxa"/>
          </w:tcPr>
          <w:p w14:paraId="028868AB" w14:textId="77777777" w:rsidR="00EB4BBA" w:rsidRPr="00EB4BBA" w:rsidRDefault="00EB4BBA" w:rsidP="00EB4BBA">
            <w:pPr>
              <w:pStyle w:val="TableBody"/>
            </w:pPr>
          </w:p>
        </w:tc>
        <w:tc>
          <w:tcPr>
            <w:tcW w:w="3140" w:type="dxa"/>
          </w:tcPr>
          <w:p w14:paraId="4624271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Approving business cases for procurements</w:t>
            </w:r>
          </w:p>
        </w:tc>
        <w:tc>
          <w:tcPr>
            <w:tcW w:w="3327" w:type="dxa"/>
          </w:tcPr>
          <w:p w14:paraId="73FB5A7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Not expected to have a total value of £1m or higher, or</w:t>
            </w:r>
          </w:p>
          <w:p w14:paraId="0CCA8D4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Not assessed to have a high or very high likelihood of being of interest to ministers, the public or press, or</w:t>
            </w:r>
          </w:p>
          <w:p w14:paraId="519AB4F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Not a business case that the board has identified that it wants to approve</w:t>
            </w:r>
          </w:p>
        </w:tc>
        <w:tc>
          <w:tcPr>
            <w:tcW w:w="3457" w:type="dxa"/>
            <w:gridSpan w:val="2"/>
          </w:tcPr>
          <w:p w14:paraId="371DF95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Budget Holder / Budget Manager</w:t>
            </w:r>
          </w:p>
        </w:tc>
        <w:tc>
          <w:tcPr>
            <w:tcW w:w="1847" w:type="dxa"/>
          </w:tcPr>
          <w:p w14:paraId="13F4727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 business case must be in place for every procurement.</w:t>
            </w:r>
          </w:p>
        </w:tc>
      </w:tr>
      <w:tr w:rsidR="00EB4BBA" w:rsidRPr="00EB4BBA" w14:paraId="2894A1C9" w14:textId="77777777" w:rsidTr="00EB4BBA">
        <w:trPr>
          <w:trHeight w:val="510"/>
        </w:trPr>
        <w:tc>
          <w:tcPr>
            <w:cnfStyle w:val="001000000000" w:firstRow="0" w:lastRow="0" w:firstColumn="1" w:lastColumn="0" w:oddVBand="0" w:evenVBand="0" w:oddHBand="0" w:evenHBand="0" w:firstRowFirstColumn="0" w:firstRowLastColumn="0" w:lastRowFirstColumn="0" w:lastRowLastColumn="0"/>
            <w:tcW w:w="1809" w:type="dxa"/>
          </w:tcPr>
          <w:p w14:paraId="428C14D7" w14:textId="77777777" w:rsidR="00EB4BBA" w:rsidRPr="00EB4BBA" w:rsidRDefault="00EB4BBA" w:rsidP="00EB4BBA">
            <w:pPr>
              <w:pStyle w:val="TableBody"/>
            </w:pPr>
            <w:bookmarkStart w:id="11" w:name="_Hlk149214915"/>
          </w:p>
          <w:p w14:paraId="1308410B" w14:textId="77777777" w:rsidR="00EB4BBA" w:rsidRPr="00EB4BBA" w:rsidRDefault="00EB4BBA" w:rsidP="00EB4BBA">
            <w:pPr>
              <w:pStyle w:val="TableBody"/>
            </w:pPr>
          </w:p>
          <w:p w14:paraId="3EB3FAAB" w14:textId="77777777" w:rsidR="00EB4BBA" w:rsidRPr="00EB4BBA" w:rsidRDefault="00EB4BBA" w:rsidP="00EB4BBA">
            <w:pPr>
              <w:pStyle w:val="TableBody"/>
            </w:pPr>
          </w:p>
        </w:tc>
        <w:tc>
          <w:tcPr>
            <w:tcW w:w="3140" w:type="dxa"/>
          </w:tcPr>
          <w:p w14:paraId="19A44A64"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Approving Requisitions</w:t>
            </w:r>
          </w:p>
        </w:tc>
        <w:tc>
          <w:tcPr>
            <w:tcW w:w="3327" w:type="dxa"/>
          </w:tcPr>
          <w:p w14:paraId="4EC690C1"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As set out in letter from Finance and Commercial Director. Must ensure there is budgetary approval from a budget manager</w:t>
            </w:r>
          </w:p>
        </w:tc>
        <w:tc>
          <w:tcPr>
            <w:tcW w:w="3457" w:type="dxa"/>
            <w:gridSpan w:val="2"/>
          </w:tcPr>
          <w:p w14:paraId="32AC1F52" w14:textId="35DB4A24"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DBS Staff appointed with Financial Authority to approve requisitions by </w:t>
            </w:r>
            <w:r w:rsidR="0011557A">
              <w:t xml:space="preserve">the Executive Director of </w:t>
            </w:r>
            <w:r w:rsidRPr="00EB4BBA">
              <w:t>Finance and Commercial</w:t>
            </w:r>
          </w:p>
        </w:tc>
        <w:tc>
          <w:tcPr>
            <w:tcW w:w="1847" w:type="dxa"/>
          </w:tcPr>
          <w:p w14:paraId="103A5326"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Limits are set in Metis</w:t>
            </w:r>
          </w:p>
        </w:tc>
      </w:tr>
      <w:bookmarkEnd w:id="11"/>
      <w:tr w:rsidR="00EB4BBA" w:rsidRPr="00EB4BBA" w14:paraId="11FAA79C" w14:textId="77777777" w:rsidTr="00EB4BBA">
        <w:trPr>
          <w:trHeight w:val="510"/>
        </w:trPr>
        <w:tc>
          <w:tcPr>
            <w:cnfStyle w:val="001000000000" w:firstRow="0" w:lastRow="0" w:firstColumn="1" w:lastColumn="0" w:oddVBand="0" w:evenVBand="0" w:oddHBand="0" w:evenHBand="0" w:firstRowFirstColumn="0" w:firstRowLastColumn="0" w:lastRowFirstColumn="0" w:lastRowLastColumn="0"/>
            <w:tcW w:w="1809" w:type="dxa"/>
          </w:tcPr>
          <w:p w14:paraId="690F72B6" w14:textId="77777777" w:rsidR="00EB4BBA" w:rsidRPr="00EB4BBA" w:rsidRDefault="00EB4BBA" w:rsidP="00EB4BBA">
            <w:pPr>
              <w:pStyle w:val="TableBody"/>
            </w:pPr>
          </w:p>
        </w:tc>
        <w:tc>
          <w:tcPr>
            <w:tcW w:w="3140" w:type="dxa"/>
          </w:tcPr>
          <w:p w14:paraId="10B0900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Receipting for goods and services delivered</w:t>
            </w:r>
          </w:p>
        </w:tc>
        <w:tc>
          <w:tcPr>
            <w:tcW w:w="3327" w:type="dxa"/>
          </w:tcPr>
          <w:p w14:paraId="6092233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As set out in letter from Finance and Commercial Director</w:t>
            </w:r>
          </w:p>
        </w:tc>
        <w:tc>
          <w:tcPr>
            <w:tcW w:w="3457" w:type="dxa"/>
            <w:gridSpan w:val="2"/>
          </w:tcPr>
          <w:p w14:paraId="615D4061" w14:textId="54713914"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DBS Staff appointed by </w:t>
            </w:r>
            <w:r w:rsidR="003E0E23">
              <w:t xml:space="preserve">the Executive </w:t>
            </w:r>
            <w:r w:rsidR="00840C57">
              <w:t>Director</w:t>
            </w:r>
            <w:r w:rsidR="003E0E23">
              <w:t xml:space="preserve"> of </w:t>
            </w:r>
            <w:r w:rsidRPr="00EB4BBA">
              <w:t>Finance and Commercial</w:t>
            </w:r>
          </w:p>
        </w:tc>
        <w:tc>
          <w:tcPr>
            <w:tcW w:w="1847" w:type="dxa"/>
          </w:tcPr>
          <w:p w14:paraId="517BB5C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Limits are set in Metis</w:t>
            </w:r>
          </w:p>
        </w:tc>
      </w:tr>
      <w:tr w:rsidR="00EB4BBA" w:rsidRPr="00EB4BBA" w14:paraId="67119D9B" w14:textId="77777777" w:rsidTr="00EB4BBA">
        <w:trPr>
          <w:trHeight w:val="510"/>
        </w:trPr>
        <w:tc>
          <w:tcPr>
            <w:cnfStyle w:val="001000000000" w:firstRow="0" w:lastRow="0" w:firstColumn="1" w:lastColumn="0" w:oddVBand="0" w:evenVBand="0" w:oddHBand="0" w:evenHBand="0" w:firstRowFirstColumn="0" w:firstRowLastColumn="0" w:lastRowFirstColumn="0" w:lastRowLastColumn="0"/>
            <w:tcW w:w="1809" w:type="dxa"/>
          </w:tcPr>
          <w:p w14:paraId="57FCC43E" w14:textId="77777777" w:rsidR="00EB4BBA" w:rsidRPr="00EB4BBA" w:rsidRDefault="00EB4BBA" w:rsidP="00EB4BBA">
            <w:pPr>
              <w:pStyle w:val="TableBody"/>
            </w:pPr>
          </w:p>
        </w:tc>
        <w:tc>
          <w:tcPr>
            <w:tcW w:w="3140" w:type="dxa"/>
          </w:tcPr>
          <w:p w14:paraId="17015DA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Contract Management</w:t>
            </w:r>
          </w:p>
        </w:tc>
        <w:tc>
          <w:tcPr>
            <w:tcW w:w="3327" w:type="dxa"/>
          </w:tcPr>
          <w:p w14:paraId="2A73D04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3809F52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Commercial Team</w:t>
            </w:r>
          </w:p>
          <w:p w14:paraId="710DDBC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1847" w:type="dxa"/>
          </w:tcPr>
          <w:p w14:paraId="3BB698D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0CFC7DC8" w14:textId="77777777" w:rsidTr="00EB4BBA">
        <w:trPr>
          <w:trHeight w:val="510"/>
        </w:trPr>
        <w:tc>
          <w:tcPr>
            <w:cnfStyle w:val="001000000000" w:firstRow="0" w:lastRow="0" w:firstColumn="1" w:lastColumn="0" w:oddVBand="0" w:evenVBand="0" w:oddHBand="0" w:evenHBand="0" w:firstRowFirstColumn="0" w:firstRowLastColumn="0" w:lastRowFirstColumn="0" w:lastRowLastColumn="0"/>
            <w:tcW w:w="1809" w:type="dxa"/>
          </w:tcPr>
          <w:p w14:paraId="29D84409" w14:textId="77777777" w:rsidR="00EB4BBA" w:rsidRPr="00EB4BBA" w:rsidRDefault="00EB4BBA" w:rsidP="00EB4BBA">
            <w:pPr>
              <w:pStyle w:val="TableBody"/>
            </w:pPr>
          </w:p>
        </w:tc>
        <w:tc>
          <w:tcPr>
            <w:tcW w:w="3140" w:type="dxa"/>
          </w:tcPr>
          <w:p w14:paraId="68B6E95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Supplier Relationship Management</w:t>
            </w:r>
          </w:p>
        </w:tc>
        <w:tc>
          <w:tcPr>
            <w:tcW w:w="3327" w:type="dxa"/>
          </w:tcPr>
          <w:p w14:paraId="4C232AF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All DBS managed contracts</w:t>
            </w:r>
          </w:p>
        </w:tc>
        <w:tc>
          <w:tcPr>
            <w:tcW w:w="3457" w:type="dxa"/>
            <w:gridSpan w:val="2"/>
          </w:tcPr>
          <w:p w14:paraId="7C34169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Supplier Relationship Management (SRM) Function</w:t>
            </w:r>
          </w:p>
        </w:tc>
        <w:tc>
          <w:tcPr>
            <w:tcW w:w="1847" w:type="dxa"/>
          </w:tcPr>
          <w:p w14:paraId="7553053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003BDABA" w14:textId="77777777" w:rsidTr="00EB4BBA">
        <w:tc>
          <w:tcPr>
            <w:cnfStyle w:val="001000000000" w:firstRow="0" w:lastRow="0" w:firstColumn="1" w:lastColumn="0" w:oddVBand="0" w:evenVBand="0" w:oddHBand="0" w:evenHBand="0" w:firstRowFirstColumn="0" w:firstRowLastColumn="0" w:lastRowFirstColumn="0" w:lastRowLastColumn="0"/>
            <w:tcW w:w="1809" w:type="dxa"/>
          </w:tcPr>
          <w:p w14:paraId="4D7210EF" w14:textId="77777777" w:rsidR="00EB4BBA" w:rsidRPr="00EB4BBA" w:rsidRDefault="00EB4BBA" w:rsidP="00EB4BBA">
            <w:pPr>
              <w:pStyle w:val="TableBody"/>
            </w:pPr>
            <w:r w:rsidRPr="00EB4BBA">
              <w:t>Risk management</w:t>
            </w:r>
          </w:p>
        </w:tc>
        <w:tc>
          <w:tcPr>
            <w:tcW w:w="3140" w:type="dxa"/>
          </w:tcPr>
          <w:p w14:paraId="2C009244"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27" w:type="dxa"/>
          </w:tcPr>
          <w:p w14:paraId="2CF814B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443EA9E9"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1847" w:type="dxa"/>
          </w:tcPr>
          <w:p w14:paraId="330920C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Risk Management Framework sets this out.</w:t>
            </w:r>
          </w:p>
        </w:tc>
      </w:tr>
      <w:tr w:rsidR="00EB4BBA" w:rsidRPr="00EB4BBA" w14:paraId="05D1EDA8"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1342AFEB" w14:textId="77777777" w:rsidR="00EB4BBA" w:rsidRPr="00EB4BBA" w:rsidRDefault="00EB4BBA" w:rsidP="00EB4BBA">
            <w:pPr>
              <w:pStyle w:val="TableBody"/>
            </w:pPr>
            <w:r w:rsidRPr="00EB4BBA">
              <w:t>Staff matters</w:t>
            </w:r>
          </w:p>
        </w:tc>
        <w:tc>
          <w:tcPr>
            <w:tcW w:w="3140" w:type="dxa"/>
          </w:tcPr>
          <w:p w14:paraId="0063938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Recruitment</w:t>
            </w:r>
          </w:p>
        </w:tc>
        <w:tc>
          <w:tcPr>
            <w:tcW w:w="3327" w:type="dxa"/>
          </w:tcPr>
          <w:p w14:paraId="071E888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Within staffing complement and no change to team structure </w:t>
            </w:r>
          </w:p>
        </w:tc>
        <w:tc>
          <w:tcPr>
            <w:tcW w:w="3457" w:type="dxa"/>
            <w:gridSpan w:val="2"/>
          </w:tcPr>
          <w:p w14:paraId="39674AD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Budget Holder / Budget Manager </w:t>
            </w:r>
          </w:p>
          <w:p w14:paraId="4AAFA259"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1847" w:type="dxa"/>
          </w:tcPr>
          <w:p w14:paraId="4EF41B8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3993B711"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6196FC0E" w14:textId="77777777" w:rsidR="00EB4BBA" w:rsidRPr="00EB4BBA" w:rsidRDefault="00EB4BBA" w:rsidP="00EB4BBA">
            <w:pPr>
              <w:pStyle w:val="TableBody"/>
            </w:pPr>
          </w:p>
        </w:tc>
        <w:tc>
          <w:tcPr>
            <w:tcW w:w="3140" w:type="dxa"/>
          </w:tcPr>
          <w:p w14:paraId="78507D8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Temporary Promotion</w:t>
            </w:r>
          </w:p>
        </w:tc>
        <w:tc>
          <w:tcPr>
            <w:tcW w:w="3327" w:type="dxa"/>
          </w:tcPr>
          <w:p w14:paraId="42EB7E3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5F56521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People Steering Group</w:t>
            </w:r>
          </w:p>
        </w:tc>
        <w:tc>
          <w:tcPr>
            <w:tcW w:w="1847" w:type="dxa"/>
          </w:tcPr>
          <w:p w14:paraId="0D98CA4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496ECD6C"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72E2DB64" w14:textId="77777777" w:rsidR="00EB4BBA" w:rsidRPr="00EB4BBA" w:rsidRDefault="00EB4BBA" w:rsidP="00EB4BBA">
            <w:pPr>
              <w:pStyle w:val="TableBody"/>
            </w:pPr>
          </w:p>
        </w:tc>
        <w:tc>
          <w:tcPr>
            <w:tcW w:w="3140" w:type="dxa"/>
          </w:tcPr>
          <w:p w14:paraId="040791D4"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Approval of Deputising Allowance as per DBS Policy</w:t>
            </w:r>
          </w:p>
        </w:tc>
        <w:tc>
          <w:tcPr>
            <w:tcW w:w="3327" w:type="dxa"/>
          </w:tcPr>
          <w:p w14:paraId="3172274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p w14:paraId="035A215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33BDF02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Budget Holder / Budget Manager</w:t>
            </w:r>
          </w:p>
        </w:tc>
        <w:tc>
          <w:tcPr>
            <w:tcW w:w="1847" w:type="dxa"/>
          </w:tcPr>
          <w:p w14:paraId="18B3EBE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7FAB9DA9"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3ACB7869" w14:textId="77777777" w:rsidR="00EB4BBA" w:rsidRPr="00EB4BBA" w:rsidRDefault="00EB4BBA" w:rsidP="00EB4BBA">
            <w:pPr>
              <w:pStyle w:val="TableBody"/>
            </w:pPr>
          </w:p>
        </w:tc>
        <w:tc>
          <w:tcPr>
            <w:tcW w:w="3140" w:type="dxa"/>
          </w:tcPr>
          <w:p w14:paraId="2AD7154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Approval of Higher Responsibility Allowance as per DBS Policy</w:t>
            </w:r>
          </w:p>
        </w:tc>
        <w:tc>
          <w:tcPr>
            <w:tcW w:w="3327" w:type="dxa"/>
          </w:tcPr>
          <w:p w14:paraId="185758E6"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69FA33D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Budget Holder / Budget Manager</w:t>
            </w:r>
          </w:p>
        </w:tc>
        <w:tc>
          <w:tcPr>
            <w:tcW w:w="1847" w:type="dxa"/>
          </w:tcPr>
          <w:p w14:paraId="3EA29E9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1C46EF60"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75CC582C" w14:textId="77777777" w:rsidR="00EB4BBA" w:rsidRPr="00EB4BBA" w:rsidRDefault="00EB4BBA" w:rsidP="00EB4BBA">
            <w:pPr>
              <w:pStyle w:val="TableBody"/>
            </w:pPr>
          </w:p>
        </w:tc>
        <w:tc>
          <w:tcPr>
            <w:tcW w:w="3140" w:type="dxa"/>
          </w:tcPr>
          <w:p w14:paraId="3B5F92E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Approval of Flexible Working Applications</w:t>
            </w:r>
          </w:p>
        </w:tc>
        <w:tc>
          <w:tcPr>
            <w:tcW w:w="3327" w:type="dxa"/>
          </w:tcPr>
          <w:p w14:paraId="5C92CE8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0709F68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SEO or above</w:t>
            </w:r>
          </w:p>
        </w:tc>
        <w:tc>
          <w:tcPr>
            <w:tcW w:w="1847" w:type="dxa"/>
          </w:tcPr>
          <w:p w14:paraId="24423DB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00474F3A"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6859F171" w14:textId="77777777" w:rsidR="00EB4BBA" w:rsidRPr="00EB4BBA" w:rsidRDefault="00EB4BBA" w:rsidP="00EB4BBA">
            <w:pPr>
              <w:pStyle w:val="TableBody"/>
            </w:pPr>
          </w:p>
        </w:tc>
        <w:tc>
          <w:tcPr>
            <w:tcW w:w="3140" w:type="dxa"/>
          </w:tcPr>
          <w:p w14:paraId="5D906566"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Changes to structure</w:t>
            </w:r>
          </w:p>
        </w:tc>
        <w:tc>
          <w:tcPr>
            <w:tcW w:w="3327" w:type="dxa"/>
          </w:tcPr>
          <w:p w14:paraId="078EE2B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0F9CF04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People Steering Group</w:t>
            </w:r>
          </w:p>
        </w:tc>
        <w:tc>
          <w:tcPr>
            <w:tcW w:w="1847" w:type="dxa"/>
          </w:tcPr>
          <w:p w14:paraId="12B9E30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56AAF0D3"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4AB702B7" w14:textId="77777777" w:rsidR="00EB4BBA" w:rsidRPr="00EB4BBA" w:rsidRDefault="00EB4BBA" w:rsidP="00EB4BBA">
            <w:pPr>
              <w:pStyle w:val="TableBody"/>
            </w:pPr>
          </w:p>
        </w:tc>
        <w:tc>
          <w:tcPr>
            <w:tcW w:w="3140" w:type="dxa"/>
          </w:tcPr>
          <w:p w14:paraId="69F00B7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bookmarkStart w:id="12" w:name="_Hlk196480409"/>
            <w:r w:rsidRPr="00EB4BBA">
              <w:t>Approval of requests to use contingent contract labour</w:t>
            </w:r>
            <w:bookmarkEnd w:id="12"/>
            <w:r w:rsidRPr="00EB4BBA">
              <w:t xml:space="preserve"> (CCL) non-SIF funded</w:t>
            </w:r>
          </w:p>
        </w:tc>
        <w:tc>
          <w:tcPr>
            <w:tcW w:w="3327" w:type="dxa"/>
          </w:tcPr>
          <w:p w14:paraId="38F57694"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Affordable within the Contingent Contract Labour budget set by the Chief Executive</w:t>
            </w:r>
          </w:p>
          <w:p w14:paraId="3BD2E02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For a maximum period for an incumbent not exceeding 2 years</w:t>
            </w:r>
          </w:p>
        </w:tc>
        <w:tc>
          <w:tcPr>
            <w:tcW w:w="3457" w:type="dxa"/>
            <w:gridSpan w:val="2"/>
          </w:tcPr>
          <w:p w14:paraId="23ED666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People Steering Group</w:t>
            </w:r>
          </w:p>
        </w:tc>
        <w:tc>
          <w:tcPr>
            <w:tcW w:w="1847" w:type="dxa"/>
          </w:tcPr>
          <w:p w14:paraId="657F108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101A0E56"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76E5B54D" w14:textId="77777777" w:rsidR="00EB4BBA" w:rsidRPr="00EB4BBA" w:rsidRDefault="00EB4BBA" w:rsidP="00EB4BBA">
            <w:pPr>
              <w:pStyle w:val="TableBody"/>
            </w:pPr>
          </w:p>
        </w:tc>
        <w:tc>
          <w:tcPr>
            <w:tcW w:w="3140" w:type="dxa"/>
          </w:tcPr>
          <w:p w14:paraId="65694554"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Approval of requests to use contingent contract labour (CCL) SIF funded</w:t>
            </w:r>
          </w:p>
        </w:tc>
        <w:tc>
          <w:tcPr>
            <w:tcW w:w="3327" w:type="dxa"/>
          </w:tcPr>
          <w:p w14:paraId="1295992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Affordable within the SIF budget</w:t>
            </w:r>
          </w:p>
          <w:p w14:paraId="1022689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For a maximum period for an incumbent not exceeding 2 years</w:t>
            </w:r>
          </w:p>
        </w:tc>
        <w:tc>
          <w:tcPr>
            <w:tcW w:w="3457" w:type="dxa"/>
            <w:gridSpan w:val="2"/>
          </w:tcPr>
          <w:p w14:paraId="1313D58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Strategic Plan Oversight Group</w:t>
            </w:r>
          </w:p>
        </w:tc>
        <w:tc>
          <w:tcPr>
            <w:tcW w:w="1847" w:type="dxa"/>
          </w:tcPr>
          <w:p w14:paraId="7AF47AD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3AFB4CC3"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52A4A693" w14:textId="77777777" w:rsidR="00EB4BBA" w:rsidRPr="00EB4BBA" w:rsidRDefault="00EB4BBA" w:rsidP="00EB4BBA">
            <w:pPr>
              <w:pStyle w:val="TableBody"/>
            </w:pPr>
          </w:p>
        </w:tc>
        <w:tc>
          <w:tcPr>
            <w:tcW w:w="3140" w:type="dxa"/>
          </w:tcPr>
          <w:p w14:paraId="11972B2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Loans or Secondments in or out</w:t>
            </w:r>
          </w:p>
        </w:tc>
        <w:tc>
          <w:tcPr>
            <w:tcW w:w="3327" w:type="dxa"/>
          </w:tcPr>
          <w:p w14:paraId="6F5E164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078AAA9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People Steering Group</w:t>
            </w:r>
          </w:p>
        </w:tc>
        <w:tc>
          <w:tcPr>
            <w:tcW w:w="1847" w:type="dxa"/>
          </w:tcPr>
          <w:p w14:paraId="6DBE5CC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46F08A1B"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55BCAD7B" w14:textId="77777777" w:rsidR="00EB4BBA" w:rsidRPr="00EB4BBA" w:rsidRDefault="00EB4BBA" w:rsidP="00EB4BBA">
            <w:pPr>
              <w:pStyle w:val="TableBody"/>
            </w:pPr>
          </w:p>
        </w:tc>
        <w:tc>
          <w:tcPr>
            <w:tcW w:w="3140" w:type="dxa"/>
          </w:tcPr>
          <w:p w14:paraId="42581CF4" w14:textId="1330977F"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Approval of training not considered essential to an employee’s role</w:t>
            </w:r>
          </w:p>
        </w:tc>
        <w:tc>
          <w:tcPr>
            <w:tcW w:w="3327" w:type="dxa"/>
          </w:tcPr>
          <w:p w14:paraId="495B8B3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&lt;£20 000</w:t>
            </w:r>
          </w:p>
          <w:p w14:paraId="57F991C1"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 learning contract must be agreed setting out repayment terms in the event the employee</w:t>
            </w:r>
          </w:p>
          <w:p w14:paraId="1C5976D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lastRenderedPageBreak/>
              <w:t>decides to leave DBS employment within 24 months of completing the training, or</w:t>
            </w:r>
          </w:p>
          <w:p w14:paraId="2F31459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discontinues the training, or </w:t>
            </w:r>
          </w:p>
          <w:p w14:paraId="104774C5"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materially fails to adhere to the service provider’s requirements, or</w:t>
            </w:r>
          </w:p>
          <w:p w14:paraId="205764E9"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materially fails to complete any aspect of the training.</w:t>
            </w:r>
          </w:p>
        </w:tc>
        <w:tc>
          <w:tcPr>
            <w:tcW w:w="3457" w:type="dxa"/>
            <w:gridSpan w:val="2"/>
          </w:tcPr>
          <w:p w14:paraId="53C71316"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lastRenderedPageBreak/>
              <w:t>People Steering Group</w:t>
            </w:r>
          </w:p>
        </w:tc>
        <w:tc>
          <w:tcPr>
            <w:tcW w:w="1847" w:type="dxa"/>
          </w:tcPr>
          <w:p w14:paraId="1734280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47E528F7"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14EF076D" w14:textId="77777777" w:rsidR="00EB4BBA" w:rsidRPr="00EB4BBA" w:rsidRDefault="00EB4BBA" w:rsidP="00EB4BBA">
            <w:pPr>
              <w:pStyle w:val="TableBody"/>
            </w:pPr>
          </w:p>
        </w:tc>
        <w:tc>
          <w:tcPr>
            <w:tcW w:w="3140" w:type="dxa"/>
          </w:tcPr>
          <w:p w14:paraId="30FC9D5E" w14:textId="06EB560D"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Changes to staffing– addition, deletion and changing grade of posts </w:t>
            </w:r>
          </w:p>
        </w:tc>
        <w:tc>
          <w:tcPr>
            <w:tcW w:w="3327" w:type="dxa"/>
          </w:tcPr>
          <w:p w14:paraId="662DDE89" w14:textId="68C1D159" w:rsidR="00EB4BBA" w:rsidRPr="00EB4BBA" w:rsidRDefault="00CB40D0" w:rsidP="00EB4BBA">
            <w:pPr>
              <w:pStyle w:val="TableBody"/>
              <w:cnfStyle w:val="000000000000" w:firstRow="0" w:lastRow="0" w:firstColumn="0" w:lastColumn="0" w:oddVBand="0" w:evenVBand="0" w:oddHBand="0" w:evenHBand="0" w:firstRowFirstColumn="0" w:firstRowLastColumn="0" w:lastRowFirstColumn="0" w:lastRowLastColumn="0"/>
            </w:pPr>
            <w:r>
              <w:t xml:space="preserve">Must be consistent with the Approved Establishment set for the budget holder in a </w:t>
            </w:r>
            <w:r w:rsidR="00977E33">
              <w:t xml:space="preserve">delegated budget authority letter </w:t>
            </w:r>
            <w:r w:rsidR="007D2014">
              <w:t>from the Chief Executive</w:t>
            </w:r>
            <w:r w:rsidR="008D62C5">
              <w:t>.</w:t>
            </w:r>
          </w:p>
        </w:tc>
        <w:tc>
          <w:tcPr>
            <w:tcW w:w="3457" w:type="dxa"/>
            <w:gridSpan w:val="2"/>
          </w:tcPr>
          <w:p w14:paraId="08BF213D" w14:textId="6E8920FD" w:rsidR="00EB4BBA" w:rsidRPr="00EB4BBA" w:rsidRDefault="00855E1E" w:rsidP="00EB4BBA">
            <w:pPr>
              <w:pStyle w:val="TableBody"/>
              <w:cnfStyle w:val="000000000000" w:firstRow="0" w:lastRow="0" w:firstColumn="0" w:lastColumn="0" w:oddVBand="0" w:evenVBand="0" w:oddHBand="0" w:evenHBand="0" w:firstRowFirstColumn="0" w:firstRowLastColumn="0" w:lastRowFirstColumn="0" w:lastRowLastColumn="0"/>
            </w:pPr>
            <w:r>
              <w:t>Budget Holder</w:t>
            </w:r>
          </w:p>
        </w:tc>
        <w:tc>
          <w:tcPr>
            <w:tcW w:w="1847" w:type="dxa"/>
          </w:tcPr>
          <w:p w14:paraId="276AD11E" w14:textId="71E108EB"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The </w:t>
            </w:r>
            <w:r w:rsidR="008D62C5">
              <w:t>Approved Establishment</w:t>
            </w:r>
            <w:r w:rsidRPr="00EB4BBA">
              <w:t xml:space="preserve"> is the total number of FTE posts at each grade. It is set by the Chief Executive.</w:t>
            </w:r>
          </w:p>
        </w:tc>
      </w:tr>
      <w:tr w:rsidR="007D06B4" w:rsidRPr="00EB4BBA" w14:paraId="6778220E" w14:textId="77777777" w:rsidTr="00EB4BBA">
        <w:trPr>
          <w:trHeight w:val="462"/>
        </w:trPr>
        <w:tc>
          <w:tcPr>
            <w:cnfStyle w:val="001000000000" w:firstRow="0" w:lastRow="0" w:firstColumn="1" w:lastColumn="0" w:oddVBand="0" w:evenVBand="0" w:oddHBand="0" w:evenHBand="0" w:firstRowFirstColumn="0" w:firstRowLastColumn="0" w:lastRowFirstColumn="0" w:lastRowLastColumn="0"/>
            <w:tcW w:w="1809" w:type="dxa"/>
          </w:tcPr>
          <w:p w14:paraId="31610A3A" w14:textId="77777777" w:rsidR="007D06B4" w:rsidRPr="00EB4BBA" w:rsidRDefault="007D06B4" w:rsidP="00EB4BBA">
            <w:pPr>
              <w:pStyle w:val="TableBody"/>
            </w:pPr>
          </w:p>
        </w:tc>
        <w:tc>
          <w:tcPr>
            <w:tcW w:w="3140" w:type="dxa"/>
          </w:tcPr>
          <w:p w14:paraId="72D231A1" w14:textId="790C3251" w:rsidR="007D06B4" w:rsidRPr="00EB4BBA" w:rsidRDefault="007D06B4" w:rsidP="00EB4BBA">
            <w:pPr>
              <w:pStyle w:val="TableBody"/>
              <w:cnfStyle w:val="000000000000" w:firstRow="0" w:lastRow="0" w:firstColumn="0" w:lastColumn="0" w:oddVBand="0" w:evenVBand="0" w:oddHBand="0" w:evenHBand="0" w:firstRowFirstColumn="0" w:firstRowLastColumn="0" w:lastRowFirstColumn="0" w:lastRowLastColumn="0"/>
            </w:pPr>
            <w:r w:rsidRPr="00EB4BBA">
              <w:t>Changes to staffing– addition, deletion and changing grade of posts</w:t>
            </w:r>
          </w:p>
        </w:tc>
        <w:tc>
          <w:tcPr>
            <w:tcW w:w="3327" w:type="dxa"/>
          </w:tcPr>
          <w:p w14:paraId="04C6D02C" w14:textId="33548E33" w:rsidR="007D06B4" w:rsidRPr="00EB4BBA" w:rsidRDefault="00C109CA" w:rsidP="00EB4BBA">
            <w:pPr>
              <w:pStyle w:val="TableBody"/>
              <w:cnfStyle w:val="000000000000" w:firstRow="0" w:lastRow="0" w:firstColumn="0" w:lastColumn="0" w:oddVBand="0" w:evenVBand="0" w:oddHBand="0" w:evenHBand="0" w:firstRowFirstColumn="0" w:firstRowLastColumn="0" w:lastRowFirstColumn="0" w:lastRowLastColumn="0"/>
            </w:pPr>
            <w:r>
              <w:t xml:space="preserve">Must be consistent with the </w:t>
            </w:r>
            <w:r w:rsidR="006236E0">
              <w:t xml:space="preserve">Approved Establishment for the DBS </w:t>
            </w:r>
            <w:r w:rsidR="00C5660B">
              <w:t>which the Chief Executive provides in writing to the People Steering Group</w:t>
            </w:r>
          </w:p>
        </w:tc>
        <w:tc>
          <w:tcPr>
            <w:tcW w:w="3457" w:type="dxa"/>
            <w:gridSpan w:val="2"/>
          </w:tcPr>
          <w:p w14:paraId="5A2CE400" w14:textId="3589DC6C" w:rsidR="007D06B4" w:rsidRPr="00EB4BBA" w:rsidRDefault="00855E1E" w:rsidP="00EB4BBA">
            <w:pPr>
              <w:pStyle w:val="TableBody"/>
              <w:cnfStyle w:val="000000000000" w:firstRow="0" w:lastRow="0" w:firstColumn="0" w:lastColumn="0" w:oddVBand="0" w:evenVBand="0" w:oddHBand="0" w:evenHBand="0" w:firstRowFirstColumn="0" w:firstRowLastColumn="0" w:lastRowFirstColumn="0" w:lastRowLastColumn="0"/>
            </w:pPr>
            <w:r w:rsidRPr="00EB4BBA">
              <w:t>People Steering Group</w:t>
            </w:r>
          </w:p>
        </w:tc>
        <w:tc>
          <w:tcPr>
            <w:tcW w:w="1847" w:type="dxa"/>
          </w:tcPr>
          <w:p w14:paraId="0733C0CD" w14:textId="244DE341" w:rsidR="007D06B4" w:rsidRPr="00EB4BBA" w:rsidRDefault="00A96804" w:rsidP="00EB4BBA">
            <w:pPr>
              <w:pStyle w:val="TableBody"/>
              <w:cnfStyle w:val="000000000000" w:firstRow="0" w:lastRow="0" w:firstColumn="0" w:lastColumn="0" w:oddVBand="0" w:evenVBand="0" w:oddHBand="0" w:evenHBand="0" w:firstRowFirstColumn="0" w:firstRowLastColumn="0" w:lastRowFirstColumn="0" w:lastRowLastColumn="0"/>
            </w:pPr>
            <w:r>
              <w:t xml:space="preserve">PSG may agree changes to staffing where they exceed the budget </w:t>
            </w:r>
            <w:proofErr w:type="gramStart"/>
            <w:r>
              <w:t>holders</w:t>
            </w:r>
            <w:proofErr w:type="gramEnd"/>
            <w:r w:rsidR="003B16FA">
              <w:t xml:space="preserve"> authority, provided they are consistent with the Approved Establishment</w:t>
            </w:r>
          </w:p>
        </w:tc>
      </w:tr>
      <w:tr w:rsidR="00EB4BBA" w:rsidRPr="00EB4BBA" w14:paraId="31F12C8B" w14:textId="77777777" w:rsidTr="00EB4BBA">
        <w:trPr>
          <w:trHeight w:val="282"/>
        </w:trPr>
        <w:tc>
          <w:tcPr>
            <w:cnfStyle w:val="001000000000" w:firstRow="0" w:lastRow="0" w:firstColumn="1" w:lastColumn="0" w:oddVBand="0" w:evenVBand="0" w:oddHBand="0" w:evenHBand="0" w:firstRowFirstColumn="0" w:firstRowLastColumn="0" w:lastRowFirstColumn="0" w:lastRowLastColumn="0"/>
            <w:tcW w:w="1809" w:type="dxa"/>
          </w:tcPr>
          <w:p w14:paraId="3D6166FE" w14:textId="77777777" w:rsidR="00EB4BBA" w:rsidRPr="00EB4BBA" w:rsidRDefault="00EB4BBA" w:rsidP="00EB4BBA">
            <w:pPr>
              <w:pStyle w:val="TableBody"/>
            </w:pPr>
          </w:p>
        </w:tc>
        <w:tc>
          <w:tcPr>
            <w:tcW w:w="3140" w:type="dxa"/>
          </w:tcPr>
          <w:p w14:paraId="5CB90141"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Management of Staff</w:t>
            </w:r>
          </w:p>
        </w:tc>
        <w:tc>
          <w:tcPr>
            <w:tcW w:w="3327" w:type="dxa"/>
          </w:tcPr>
          <w:p w14:paraId="4071F26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In accordance with DBS policies</w:t>
            </w:r>
          </w:p>
        </w:tc>
        <w:tc>
          <w:tcPr>
            <w:tcW w:w="3457" w:type="dxa"/>
            <w:gridSpan w:val="2"/>
          </w:tcPr>
          <w:p w14:paraId="6E6E3B4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Line Manager</w:t>
            </w:r>
          </w:p>
        </w:tc>
        <w:tc>
          <w:tcPr>
            <w:tcW w:w="1847" w:type="dxa"/>
          </w:tcPr>
          <w:p w14:paraId="15E5F4E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28DE80CA" w14:textId="77777777" w:rsidTr="00EB4BBA">
        <w:trPr>
          <w:trHeight w:val="282"/>
        </w:trPr>
        <w:tc>
          <w:tcPr>
            <w:cnfStyle w:val="001000000000" w:firstRow="0" w:lastRow="0" w:firstColumn="1" w:lastColumn="0" w:oddVBand="0" w:evenVBand="0" w:oddHBand="0" w:evenHBand="0" w:firstRowFirstColumn="0" w:firstRowLastColumn="0" w:lastRowFirstColumn="0" w:lastRowLastColumn="0"/>
            <w:tcW w:w="1809" w:type="dxa"/>
          </w:tcPr>
          <w:p w14:paraId="0C46962F" w14:textId="77777777" w:rsidR="00EB4BBA" w:rsidRPr="00EB4BBA" w:rsidRDefault="00EB4BBA" w:rsidP="00EB4BBA">
            <w:pPr>
              <w:pStyle w:val="TableBody"/>
            </w:pPr>
          </w:p>
        </w:tc>
        <w:tc>
          <w:tcPr>
            <w:tcW w:w="3140" w:type="dxa"/>
          </w:tcPr>
          <w:p w14:paraId="0AFC39B5"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Dismissal of staff</w:t>
            </w:r>
          </w:p>
        </w:tc>
        <w:tc>
          <w:tcPr>
            <w:tcW w:w="3327" w:type="dxa"/>
          </w:tcPr>
          <w:p w14:paraId="093E83D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In accordance with DBS policies</w:t>
            </w:r>
          </w:p>
        </w:tc>
        <w:tc>
          <w:tcPr>
            <w:tcW w:w="3457" w:type="dxa"/>
            <w:gridSpan w:val="2"/>
          </w:tcPr>
          <w:p w14:paraId="3E5378B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Grade 7 and above</w:t>
            </w:r>
          </w:p>
        </w:tc>
        <w:tc>
          <w:tcPr>
            <w:tcW w:w="1847" w:type="dxa"/>
          </w:tcPr>
          <w:p w14:paraId="234BAAA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3BF711A3" w14:textId="77777777" w:rsidTr="00EB4BBA">
        <w:trPr>
          <w:trHeight w:val="408"/>
        </w:trPr>
        <w:tc>
          <w:tcPr>
            <w:cnfStyle w:val="001000000000" w:firstRow="0" w:lastRow="0" w:firstColumn="1" w:lastColumn="0" w:oddVBand="0" w:evenVBand="0" w:oddHBand="0" w:evenHBand="0" w:firstRowFirstColumn="0" w:firstRowLastColumn="0" w:lastRowFirstColumn="0" w:lastRowLastColumn="0"/>
            <w:tcW w:w="1809" w:type="dxa"/>
          </w:tcPr>
          <w:p w14:paraId="7AFFA117" w14:textId="77777777" w:rsidR="00EB4BBA" w:rsidRPr="00EB4BBA" w:rsidRDefault="00EB4BBA" w:rsidP="00EB4BBA">
            <w:pPr>
              <w:pStyle w:val="TableBody"/>
            </w:pPr>
          </w:p>
        </w:tc>
        <w:tc>
          <w:tcPr>
            <w:tcW w:w="3140" w:type="dxa"/>
          </w:tcPr>
          <w:p w14:paraId="3BD3FC25"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Expenses</w:t>
            </w:r>
          </w:p>
        </w:tc>
        <w:tc>
          <w:tcPr>
            <w:tcW w:w="3327" w:type="dxa"/>
          </w:tcPr>
          <w:p w14:paraId="4E7CFCF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In accordance with DBS policies</w:t>
            </w:r>
          </w:p>
        </w:tc>
        <w:tc>
          <w:tcPr>
            <w:tcW w:w="3457" w:type="dxa"/>
            <w:gridSpan w:val="2"/>
          </w:tcPr>
          <w:p w14:paraId="2C0194A8"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Line Manager</w:t>
            </w:r>
          </w:p>
        </w:tc>
        <w:tc>
          <w:tcPr>
            <w:tcW w:w="1847" w:type="dxa"/>
          </w:tcPr>
          <w:p w14:paraId="53B0AD59"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59721840" w14:textId="77777777" w:rsidTr="00EB4BBA">
        <w:trPr>
          <w:trHeight w:val="341"/>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106C800C" w14:textId="77777777" w:rsidR="00EB4BBA" w:rsidRPr="00EB4BBA" w:rsidRDefault="00EB4BBA" w:rsidP="00EB4BBA">
            <w:pPr>
              <w:pStyle w:val="TableBody"/>
            </w:pPr>
            <w:r w:rsidRPr="00EB4BBA">
              <w:t>Strategy and delivery</w:t>
            </w:r>
          </w:p>
        </w:tc>
        <w:tc>
          <w:tcPr>
            <w:tcW w:w="3140" w:type="dxa"/>
            <w:vMerge w:val="restart"/>
          </w:tcPr>
          <w:p w14:paraId="2D78FA11" w14:textId="22FEB8B9"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Approval of business cases for projects or programmes that are consistent with </w:t>
            </w:r>
            <w:r>
              <w:t>Exec Team</w:t>
            </w:r>
            <w:r w:rsidRPr="00EB4BBA">
              <w:t xml:space="preserve"> approved Change and Transformation Plan</w:t>
            </w:r>
          </w:p>
        </w:tc>
        <w:tc>
          <w:tcPr>
            <w:tcW w:w="3327" w:type="dxa"/>
          </w:tcPr>
          <w:p w14:paraId="151E306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p w14:paraId="42329051"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Total cost &lt;£3m and activity completes within 3 years</w:t>
            </w:r>
          </w:p>
        </w:tc>
        <w:tc>
          <w:tcPr>
            <w:tcW w:w="3457" w:type="dxa"/>
            <w:gridSpan w:val="2"/>
          </w:tcPr>
          <w:p w14:paraId="28D74B2B"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p w14:paraId="666B7EF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Strategic Plan Oversight Group</w:t>
            </w:r>
          </w:p>
        </w:tc>
        <w:tc>
          <w:tcPr>
            <w:tcW w:w="1847" w:type="dxa"/>
            <w:vMerge w:val="restart"/>
          </w:tcPr>
          <w:p w14:paraId="44F3D653"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Where a project or programme also includes a procurement, the procurement delegations also apply.</w:t>
            </w:r>
          </w:p>
        </w:tc>
      </w:tr>
      <w:tr w:rsidR="00EB4BBA" w:rsidRPr="00EB4BBA" w14:paraId="720111A4" w14:textId="77777777" w:rsidTr="00EB4BBA">
        <w:trPr>
          <w:trHeight w:val="330"/>
        </w:trPr>
        <w:tc>
          <w:tcPr>
            <w:cnfStyle w:val="001000000000" w:firstRow="0" w:lastRow="0" w:firstColumn="1" w:lastColumn="0" w:oddVBand="0" w:evenVBand="0" w:oddHBand="0" w:evenHBand="0" w:firstRowFirstColumn="0" w:firstRowLastColumn="0" w:lastRowFirstColumn="0" w:lastRowLastColumn="0"/>
            <w:tcW w:w="1809" w:type="dxa"/>
            <w:vMerge/>
          </w:tcPr>
          <w:p w14:paraId="091930E3" w14:textId="77777777" w:rsidR="00EB4BBA" w:rsidRPr="00EB4BBA" w:rsidRDefault="00EB4BBA" w:rsidP="00EB4BBA">
            <w:pPr>
              <w:pStyle w:val="TableBody"/>
            </w:pPr>
          </w:p>
        </w:tc>
        <w:tc>
          <w:tcPr>
            <w:tcW w:w="3140" w:type="dxa"/>
            <w:vMerge/>
          </w:tcPr>
          <w:p w14:paraId="26751B94"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27" w:type="dxa"/>
          </w:tcPr>
          <w:p w14:paraId="75AFCF8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Total cost &lt; £1m and activity completes within 1 year</w:t>
            </w:r>
          </w:p>
        </w:tc>
        <w:tc>
          <w:tcPr>
            <w:tcW w:w="3457" w:type="dxa"/>
            <w:gridSpan w:val="2"/>
          </w:tcPr>
          <w:p w14:paraId="74BA9622" w14:textId="3D0078F2" w:rsidR="00EB4BBA" w:rsidRPr="00EB4BBA" w:rsidRDefault="004C778A" w:rsidP="00EB4BBA">
            <w:pPr>
              <w:pStyle w:val="TableBody"/>
              <w:cnfStyle w:val="000000000000" w:firstRow="0" w:lastRow="0" w:firstColumn="0" w:lastColumn="0" w:oddVBand="0" w:evenVBand="0" w:oddHBand="0" w:evenHBand="0" w:firstRowFirstColumn="0" w:firstRowLastColumn="0" w:lastRowFirstColumn="0" w:lastRowLastColumn="0"/>
            </w:pPr>
            <w:r>
              <w:t xml:space="preserve">Executive </w:t>
            </w:r>
            <w:r w:rsidR="00EB4BBA" w:rsidRPr="00EB4BBA">
              <w:t>Director</w:t>
            </w:r>
          </w:p>
        </w:tc>
        <w:tc>
          <w:tcPr>
            <w:tcW w:w="1847" w:type="dxa"/>
            <w:vMerge/>
          </w:tcPr>
          <w:p w14:paraId="351E99D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19F08091" w14:textId="77777777" w:rsidTr="00EB4BBA">
        <w:trPr>
          <w:trHeight w:val="414"/>
        </w:trPr>
        <w:tc>
          <w:tcPr>
            <w:cnfStyle w:val="001000000000" w:firstRow="0" w:lastRow="0" w:firstColumn="1" w:lastColumn="0" w:oddVBand="0" w:evenVBand="0" w:oddHBand="0" w:evenHBand="0" w:firstRowFirstColumn="0" w:firstRowLastColumn="0" w:lastRowFirstColumn="0" w:lastRowLastColumn="0"/>
            <w:tcW w:w="1809" w:type="dxa"/>
          </w:tcPr>
          <w:p w14:paraId="2E0EAB6D" w14:textId="77777777" w:rsidR="00EB4BBA" w:rsidRPr="00EB4BBA" w:rsidRDefault="00EB4BBA" w:rsidP="00EB4BBA">
            <w:pPr>
              <w:pStyle w:val="TableBody"/>
            </w:pPr>
          </w:p>
        </w:tc>
        <w:tc>
          <w:tcPr>
            <w:tcW w:w="3140" w:type="dxa"/>
          </w:tcPr>
          <w:p w14:paraId="03D34F57"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Approval of DBS Policies and Procedures</w:t>
            </w:r>
          </w:p>
        </w:tc>
        <w:tc>
          <w:tcPr>
            <w:tcW w:w="3327" w:type="dxa"/>
          </w:tcPr>
          <w:p w14:paraId="5C976ECE"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Revision to the existing policies or procedures set out in Appendix A in accordance with ADG terms of reference. </w:t>
            </w:r>
          </w:p>
        </w:tc>
        <w:tc>
          <w:tcPr>
            <w:tcW w:w="3457" w:type="dxa"/>
            <w:gridSpan w:val="2"/>
          </w:tcPr>
          <w:p w14:paraId="3882C980" w14:textId="612007AB" w:rsidR="00EB4BBA" w:rsidRPr="00EB4BBA" w:rsidRDefault="00E73570" w:rsidP="00EB4BBA">
            <w:pPr>
              <w:pStyle w:val="TableBody"/>
              <w:cnfStyle w:val="000000000000" w:firstRow="0" w:lastRow="0" w:firstColumn="0" w:lastColumn="0" w:oddVBand="0" w:evenVBand="0" w:oddHBand="0" w:evenHBand="0" w:firstRowFirstColumn="0" w:firstRowLastColumn="0" w:lastRowFirstColumn="0" w:lastRowLastColumn="0"/>
            </w:pPr>
            <w:r>
              <w:t>People Steering Group (PSG)</w:t>
            </w:r>
          </w:p>
        </w:tc>
        <w:tc>
          <w:tcPr>
            <w:tcW w:w="1847" w:type="dxa"/>
          </w:tcPr>
          <w:p w14:paraId="0C790639" w14:textId="24D32555"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Note, </w:t>
            </w:r>
            <w:r w:rsidR="00264D72">
              <w:t>PSG</w:t>
            </w:r>
            <w:r w:rsidRPr="00EB4BBA">
              <w:t xml:space="preserve">’s Terms of Reference set requirements which must be met and include reporting to </w:t>
            </w:r>
            <w:r>
              <w:t>Exec Team</w:t>
            </w:r>
            <w:r w:rsidRPr="00EB4BBA">
              <w:t>.</w:t>
            </w:r>
          </w:p>
        </w:tc>
      </w:tr>
      <w:tr w:rsidR="00EB4BBA" w:rsidRPr="00EB4BBA" w14:paraId="7CD27E0A" w14:textId="77777777" w:rsidTr="00EB4BBA">
        <w:trPr>
          <w:trHeight w:val="414"/>
        </w:trPr>
        <w:tc>
          <w:tcPr>
            <w:cnfStyle w:val="001000000000" w:firstRow="0" w:lastRow="0" w:firstColumn="1" w:lastColumn="0" w:oddVBand="0" w:evenVBand="0" w:oddHBand="0" w:evenHBand="0" w:firstRowFirstColumn="0" w:firstRowLastColumn="0" w:lastRowFirstColumn="0" w:lastRowLastColumn="0"/>
            <w:tcW w:w="1809" w:type="dxa"/>
          </w:tcPr>
          <w:p w14:paraId="3A80F592" w14:textId="77777777" w:rsidR="00EB4BBA" w:rsidRPr="00EB4BBA" w:rsidRDefault="00EB4BBA" w:rsidP="00EB4BBA">
            <w:pPr>
              <w:pStyle w:val="TableBody"/>
            </w:pPr>
          </w:p>
        </w:tc>
        <w:tc>
          <w:tcPr>
            <w:tcW w:w="3140" w:type="dxa"/>
          </w:tcPr>
          <w:p w14:paraId="0059B30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27" w:type="dxa"/>
          </w:tcPr>
          <w:p w14:paraId="0C3647AD"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Policies or Procedures that relate solely to the work within one directorate and are not matters reserved by the board</w:t>
            </w:r>
          </w:p>
        </w:tc>
        <w:tc>
          <w:tcPr>
            <w:tcW w:w="3457" w:type="dxa"/>
            <w:gridSpan w:val="2"/>
          </w:tcPr>
          <w:p w14:paraId="19685E71" w14:textId="1318F96E"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 xml:space="preserve">Relevant </w:t>
            </w:r>
            <w:r w:rsidR="004C778A">
              <w:t xml:space="preserve">Executive </w:t>
            </w:r>
            <w:r w:rsidRPr="00EB4BBA">
              <w:t>Director</w:t>
            </w:r>
          </w:p>
        </w:tc>
        <w:tc>
          <w:tcPr>
            <w:tcW w:w="1847" w:type="dxa"/>
          </w:tcPr>
          <w:p w14:paraId="53FBC572"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r>
      <w:tr w:rsidR="00EB4BBA" w:rsidRPr="00EB4BBA" w14:paraId="0EADAE7F" w14:textId="77777777" w:rsidTr="00EB4BBA">
        <w:trPr>
          <w:trHeight w:val="408"/>
        </w:trPr>
        <w:tc>
          <w:tcPr>
            <w:cnfStyle w:val="001000000000" w:firstRow="0" w:lastRow="0" w:firstColumn="1" w:lastColumn="0" w:oddVBand="0" w:evenVBand="0" w:oddHBand="0" w:evenHBand="0" w:firstRowFirstColumn="0" w:firstRowLastColumn="0" w:lastRowFirstColumn="0" w:lastRowLastColumn="0"/>
            <w:tcW w:w="1809" w:type="dxa"/>
          </w:tcPr>
          <w:p w14:paraId="323A4310" w14:textId="77777777" w:rsidR="00EB4BBA" w:rsidRPr="00EB4BBA" w:rsidRDefault="00EB4BBA" w:rsidP="00EB4BBA">
            <w:pPr>
              <w:pStyle w:val="TableBody"/>
            </w:pPr>
            <w:r w:rsidRPr="00EB4BBA">
              <w:t>Whistleblowing</w:t>
            </w:r>
          </w:p>
        </w:tc>
        <w:tc>
          <w:tcPr>
            <w:tcW w:w="3140" w:type="dxa"/>
          </w:tcPr>
          <w:p w14:paraId="002B995A"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327" w:type="dxa"/>
          </w:tcPr>
          <w:p w14:paraId="23A6D1B0"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3457" w:type="dxa"/>
            <w:gridSpan w:val="2"/>
          </w:tcPr>
          <w:p w14:paraId="51C7050F"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p>
        </w:tc>
        <w:tc>
          <w:tcPr>
            <w:tcW w:w="1847" w:type="dxa"/>
          </w:tcPr>
          <w:p w14:paraId="5B19FA8C" w14:textId="77777777" w:rsidR="00EB4BBA" w:rsidRPr="00EB4BBA" w:rsidRDefault="00EB4BBA" w:rsidP="00EB4BBA">
            <w:pPr>
              <w:pStyle w:val="TableBody"/>
              <w:cnfStyle w:val="000000000000" w:firstRow="0" w:lastRow="0" w:firstColumn="0" w:lastColumn="0" w:oddVBand="0" w:evenVBand="0" w:oddHBand="0" w:evenHBand="0" w:firstRowFirstColumn="0" w:firstRowLastColumn="0" w:lastRowFirstColumn="0" w:lastRowLastColumn="0"/>
            </w:pPr>
            <w:r w:rsidRPr="00EB4BBA">
              <w:t>Whistleblowing Procedure sets this out</w:t>
            </w:r>
          </w:p>
        </w:tc>
      </w:tr>
      <w:bookmarkEnd w:id="9"/>
    </w:tbl>
    <w:p w14:paraId="380BE540" w14:textId="77777777" w:rsidR="00EB4BBA" w:rsidRPr="008A6ED4" w:rsidRDefault="00EB4BBA" w:rsidP="00EB4BBA">
      <w:pPr>
        <w:pStyle w:val="NormalNumbered"/>
        <w:numPr>
          <w:ilvl w:val="0"/>
          <w:numId w:val="0"/>
        </w:numPr>
        <w:rPr>
          <w:sz w:val="16"/>
          <w:szCs w:val="16"/>
        </w:rPr>
      </w:pPr>
    </w:p>
    <w:p w14:paraId="3B669B0C" w14:textId="77777777" w:rsidR="00EB4BBA" w:rsidRPr="00DC7F97" w:rsidRDefault="00EB4BBA" w:rsidP="00EB4BBA">
      <w:pPr>
        <w:pStyle w:val="DBSMainTitleHeading-CorporateColour"/>
      </w:pPr>
    </w:p>
    <w:p w14:paraId="6A56EA2F" w14:textId="77777777" w:rsidR="00EB4BBA" w:rsidRDefault="00EB4BBA" w:rsidP="00EB4BBA">
      <w:pPr>
        <w:spacing w:after="0"/>
      </w:pPr>
      <w:r>
        <w:br w:type="page"/>
      </w:r>
    </w:p>
    <w:p w14:paraId="2362EA36" w14:textId="77777777" w:rsidR="00EB4BBA" w:rsidRDefault="00EB4BBA" w:rsidP="00EB4BBA">
      <w:pPr>
        <w:pStyle w:val="DBSMainTitleHeading-CorporateColour"/>
      </w:pPr>
      <w:r>
        <w:lastRenderedPageBreak/>
        <w:t>Appendix A</w:t>
      </w:r>
    </w:p>
    <w:p w14:paraId="24BFEAFE" w14:textId="64A395DA" w:rsidR="00EB4BBA" w:rsidRDefault="00EB4BBA" w:rsidP="00EB4BBA">
      <w:pPr>
        <w:pStyle w:val="DBSMainTitleHeading-CorporateColour"/>
      </w:pPr>
      <w:r>
        <w:t>Policies delegated to the People Steering Group</w:t>
      </w:r>
    </w:p>
    <w:p w14:paraId="71A6CFC9" w14:textId="77777777" w:rsidR="00EB4BBA" w:rsidRPr="000439AA" w:rsidRDefault="00EB4BBA" w:rsidP="00936C7D">
      <w:pPr>
        <w:pStyle w:val="TableBody"/>
        <w:numPr>
          <w:ilvl w:val="0"/>
          <w:numId w:val="8"/>
        </w:numPr>
        <w:rPr>
          <w:rStyle w:val="Hyperlink"/>
        </w:rPr>
      </w:pPr>
      <w:r w:rsidRPr="000439AA">
        <w:rPr>
          <w:rStyle w:val="Hyperlink"/>
        </w:rPr>
        <w:t>Accessibility Policy</w:t>
      </w:r>
    </w:p>
    <w:p w14:paraId="277E5718" w14:textId="77777777" w:rsidR="00EB4BBA" w:rsidRPr="000439AA" w:rsidRDefault="00EB4BBA" w:rsidP="00936C7D">
      <w:pPr>
        <w:pStyle w:val="TableBody"/>
        <w:numPr>
          <w:ilvl w:val="0"/>
          <w:numId w:val="8"/>
        </w:numPr>
        <w:rPr>
          <w:rStyle w:val="Hyperlink"/>
        </w:rPr>
      </w:pPr>
      <w:r w:rsidRPr="000439AA">
        <w:rPr>
          <w:rStyle w:val="Hyperlink"/>
        </w:rPr>
        <w:t>Annual Leave Procedure</w:t>
      </w:r>
    </w:p>
    <w:p w14:paraId="34DFFDF9" w14:textId="77777777" w:rsidR="00EB4BBA" w:rsidRPr="000439AA" w:rsidRDefault="00EB4BBA" w:rsidP="00936C7D">
      <w:pPr>
        <w:pStyle w:val="TableBody"/>
        <w:numPr>
          <w:ilvl w:val="0"/>
          <w:numId w:val="8"/>
        </w:numPr>
        <w:rPr>
          <w:rStyle w:val="Hyperlink"/>
        </w:rPr>
      </w:pPr>
      <w:r w:rsidRPr="000439AA">
        <w:rPr>
          <w:rStyle w:val="Hyperlink"/>
        </w:rPr>
        <w:t>Apprenticeship Framework</w:t>
      </w:r>
    </w:p>
    <w:p w14:paraId="101F1386" w14:textId="77777777" w:rsidR="00EB4BBA" w:rsidRPr="000439AA" w:rsidRDefault="00EB4BBA" w:rsidP="00936C7D">
      <w:pPr>
        <w:pStyle w:val="TableBody"/>
        <w:numPr>
          <w:ilvl w:val="0"/>
          <w:numId w:val="8"/>
        </w:numPr>
        <w:rPr>
          <w:rStyle w:val="Hyperlink"/>
        </w:rPr>
      </w:pPr>
      <w:r w:rsidRPr="000439AA">
        <w:rPr>
          <w:rStyle w:val="Hyperlink"/>
        </w:rPr>
        <w:t>Assurance Policy</w:t>
      </w:r>
    </w:p>
    <w:p w14:paraId="133CBBE5" w14:textId="77777777" w:rsidR="00EB4BBA" w:rsidRPr="000439AA" w:rsidRDefault="00EB4BBA" w:rsidP="00936C7D">
      <w:pPr>
        <w:pStyle w:val="TableBody"/>
        <w:numPr>
          <w:ilvl w:val="0"/>
          <w:numId w:val="8"/>
        </w:numPr>
        <w:rPr>
          <w:rStyle w:val="Hyperlink"/>
        </w:rPr>
      </w:pPr>
      <w:r w:rsidRPr="000439AA">
        <w:rPr>
          <w:rStyle w:val="Hyperlink"/>
        </w:rPr>
        <w:t xml:space="preserve">Assurance Procedure </w:t>
      </w:r>
    </w:p>
    <w:p w14:paraId="1C010D38" w14:textId="77777777" w:rsidR="00EB4BBA" w:rsidRPr="000439AA" w:rsidRDefault="00EB4BBA" w:rsidP="00936C7D">
      <w:pPr>
        <w:pStyle w:val="TableBody"/>
        <w:numPr>
          <w:ilvl w:val="0"/>
          <w:numId w:val="8"/>
        </w:numPr>
        <w:rPr>
          <w:rStyle w:val="Hyperlink"/>
        </w:rPr>
      </w:pPr>
      <w:r w:rsidRPr="000439AA">
        <w:rPr>
          <w:rStyle w:val="Hyperlink"/>
        </w:rPr>
        <w:t>Attendance Management Managers Guidance</w:t>
      </w:r>
    </w:p>
    <w:p w14:paraId="6F64ECB1" w14:textId="77777777" w:rsidR="00EB4BBA" w:rsidRDefault="00EB4BBA" w:rsidP="00936C7D">
      <w:pPr>
        <w:pStyle w:val="TableBody"/>
        <w:numPr>
          <w:ilvl w:val="0"/>
          <w:numId w:val="8"/>
        </w:numPr>
        <w:rPr>
          <w:rStyle w:val="Hyperlink"/>
        </w:rPr>
      </w:pPr>
      <w:r w:rsidRPr="000439AA">
        <w:rPr>
          <w:rStyle w:val="Hyperlink"/>
        </w:rPr>
        <w:t>Attendance Management Procedure</w:t>
      </w:r>
    </w:p>
    <w:p w14:paraId="0DD929DB" w14:textId="77777777" w:rsidR="00EB4BBA" w:rsidRPr="000439AA" w:rsidRDefault="00EB4BBA" w:rsidP="00936C7D">
      <w:pPr>
        <w:pStyle w:val="TableBody"/>
        <w:numPr>
          <w:ilvl w:val="0"/>
          <w:numId w:val="8"/>
        </w:numPr>
        <w:rPr>
          <w:rStyle w:val="Hyperlink"/>
        </w:rPr>
      </w:pPr>
      <w:r>
        <w:rPr>
          <w:rStyle w:val="Hyperlink"/>
        </w:rPr>
        <w:t>Barring Operations Privacy Notice</w:t>
      </w:r>
    </w:p>
    <w:p w14:paraId="5F276B3B" w14:textId="77777777" w:rsidR="00EB4BBA" w:rsidRPr="000439AA" w:rsidRDefault="00EB4BBA" w:rsidP="00936C7D">
      <w:pPr>
        <w:pStyle w:val="TableBody"/>
        <w:numPr>
          <w:ilvl w:val="0"/>
          <w:numId w:val="8"/>
        </w:numPr>
        <w:rPr>
          <w:rStyle w:val="Hyperlink"/>
        </w:rPr>
      </w:pPr>
      <w:r w:rsidRPr="000439AA">
        <w:rPr>
          <w:rStyle w:val="Hyperlink"/>
        </w:rPr>
        <w:t xml:space="preserve">Building Access Procedure </w:t>
      </w:r>
    </w:p>
    <w:p w14:paraId="0649AAE0" w14:textId="77777777" w:rsidR="00EB4BBA" w:rsidRPr="000439AA" w:rsidRDefault="00EB4BBA" w:rsidP="00936C7D">
      <w:pPr>
        <w:pStyle w:val="TableBody"/>
        <w:numPr>
          <w:ilvl w:val="0"/>
          <w:numId w:val="8"/>
        </w:numPr>
        <w:rPr>
          <w:rStyle w:val="Hyperlink"/>
        </w:rPr>
      </w:pPr>
      <w:r w:rsidRPr="000439AA">
        <w:rPr>
          <w:rStyle w:val="Hyperlink"/>
        </w:rPr>
        <w:t>Candidate Privacy Policy</w:t>
      </w:r>
    </w:p>
    <w:p w14:paraId="532D1131" w14:textId="77777777" w:rsidR="00EB4BBA" w:rsidRPr="000439AA" w:rsidRDefault="00EB4BBA" w:rsidP="00936C7D">
      <w:pPr>
        <w:pStyle w:val="TableBody"/>
        <w:numPr>
          <w:ilvl w:val="0"/>
          <w:numId w:val="8"/>
        </w:numPr>
        <w:rPr>
          <w:rStyle w:val="Hyperlink"/>
        </w:rPr>
      </w:pPr>
      <w:r w:rsidRPr="000439AA">
        <w:rPr>
          <w:rStyle w:val="Hyperlink"/>
        </w:rPr>
        <w:t>Capability Procedure</w:t>
      </w:r>
    </w:p>
    <w:p w14:paraId="02F95906" w14:textId="77777777" w:rsidR="00EB4BBA" w:rsidRPr="000439AA" w:rsidRDefault="00EB4BBA" w:rsidP="00936C7D">
      <w:pPr>
        <w:pStyle w:val="TableBody"/>
        <w:numPr>
          <w:ilvl w:val="0"/>
          <w:numId w:val="8"/>
        </w:numPr>
        <w:rPr>
          <w:rStyle w:val="Hyperlink"/>
        </w:rPr>
      </w:pPr>
      <w:r w:rsidRPr="000439AA">
        <w:rPr>
          <w:rStyle w:val="Hyperlink"/>
        </w:rPr>
        <w:t>Childcare Support Policy</w:t>
      </w:r>
    </w:p>
    <w:p w14:paraId="4839E9D8" w14:textId="67059497" w:rsidR="00EB4BBA" w:rsidRPr="000439AA" w:rsidRDefault="00EB4BBA" w:rsidP="00264D72">
      <w:pPr>
        <w:pStyle w:val="TableBody"/>
        <w:numPr>
          <w:ilvl w:val="0"/>
          <w:numId w:val="8"/>
        </w:numPr>
        <w:rPr>
          <w:rStyle w:val="Hyperlink"/>
        </w:rPr>
      </w:pPr>
      <w:r w:rsidRPr="000439AA">
        <w:rPr>
          <w:rStyle w:val="Hyperlink"/>
        </w:rPr>
        <w:t>Clear Desk Policy</w:t>
      </w:r>
    </w:p>
    <w:p w14:paraId="70CCCC99" w14:textId="77777777" w:rsidR="00EB4BBA" w:rsidRPr="000439AA" w:rsidRDefault="00EB4BBA" w:rsidP="00936C7D">
      <w:pPr>
        <w:pStyle w:val="TableBody"/>
        <w:numPr>
          <w:ilvl w:val="0"/>
          <w:numId w:val="8"/>
        </w:numPr>
        <w:rPr>
          <w:rStyle w:val="Hyperlink"/>
        </w:rPr>
      </w:pPr>
      <w:r w:rsidRPr="000439AA">
        <w:rPr>
          <w:rStyle w:val="Hyperlink"/>
        </w:rPr>
        <w:t>Consent Privacy Policy</w:t>
      </w:r>
    </w:p>
    <w:p w14:paraId="7BD1EE35" w14:textId="77777777" w:rsidR="00EB4BBA" w:rsidRPr="000439AA" w:rsidRDefault="00EB4BBA" w:rsidP="00936C7D">
      <w:pPr>
        <w:pStyle w:val="TableBody"/>
        <w:numPr>
          <w:ilvl w:val="0"/>
          <w:numId w:val="8"/>
        </w:numPr>
        <w:rPr>
          <w:rStyle w:val="Hyperlink"/>
        </w:rPr>
      </w:pPr>
      <w:r w:rsidRPr="000439AA">
        <w:rPr>
          <w:rStyle w:val="Hyperlink"/>
        </w:rPr>
        <w:t>Counter Fraud, Bribery and Corruption Policy</w:t>
      </w:r>
    </w:p>
    <w:p w14:paraId="3FAC655C" w14:textId="77777777" w:rsidR="00EB4BBA" w:rsidRPr="000439AA" w:rsidRDefault="00EB4BBA" w:rsidP="00936C7D">
      <w:pPr>
        <w:pStyle w:val="TableBody"/>
        <w:numPr>
          <w:ilvl w:val="0"/>
          <w:numId w:val="8"/>
        </w:numPr>
        <w:rPr>
          <w:rStyle w:val="Hyperlink"/>
        </w:rPr>
      </w:pPr>
      <w:r w:rsidRPr="000439AA">
        <w:rPr>
          <w:rStyle w:val="Hyperlink"/>
        </w:rPr>
        <w:t>Counter Terrorism Procedure</w:t>
      </w:r>
    </w:p>
    <w:p w14:paraId="53B948DF" w14:textId="77777777" w:rsidR="00EB4BBA" w:rsidRPr="000439AA" w:rsidRDefault="00EB4BBA" w:rsidP="00936C7D">
      <w:pPr>
        <w:pStyle w:val="TableBody"/>
        <w:numPr>
          <w:ilvl w:val="0"/>
          <w:numId w:val="8"/>
        </w:numPr>
        <w:rPr>
          <w:rStyle w:val="Hyperlink"/>
        </w:rPr>
      </w:pPr>
      <w:r w:rsidRPr="000439AA">
        <w:rPr>
          <w:rStyle w:val="Hyperlink"/>
        </w:rPr>
        <w:t>Cycle to Work Scheme</w:t>
      </w:r>
    </w:p>
    <w:p w14:paraId="062D73AC" w14:textId="77777777" w:rsidR="00EB4BBA" w:rsidRPr="000439AA" w:rsidRDefault="00EB4BBA" w:rsidP="00936C7D">
      <w:pPr>
        <w:pStyle w:val="TableBody"/>
        <w:numPr>
          <w:ilvl w:val="0"/>
          <w:numId w:val="8"/>
        </w:numPr>
        <w:rPr>
          <w:rStyle w:val="Hyperlink"/>
        </w:rPr>
      </w:pPr>
      <w:r w:rsidRPr="000439AA">
        <w:rPr>
          <w:rStyle w:val="Hyperlink"/>
        </w:rPr>
        <w:t>Data Protection Act Records of Processing Activities Procedure</w:t>
      </w:r>
    </w:p>
    <w:p w14:paraId="18BB4D1A" w14:textId="77777777" w:rsidR="00EB4BBA" w:rsidRPr="000439AA" w:rsidRDefault="00EB4BBA" w:rsidP="00936C7D">
      <w:pPr>
        <w:pStyle w:val="TableBody"/>
        <w:numPr>
          <w:ilvl w:val="0"/>
          <w:numId w:val="8"/>
        </w:numPr>
        <w:rPr>
          <w:rStyle w:val="Hyperlink"/>
        </w:rPr>
      </w:pPr>
      <w:r w:rsidRPr="000439AA">
        <w:rPr>
          <w:rStyle w:val="Hyperlink"/>
        </w:rPr>
        <w:t>Data Protection Policy</w:t>
      </w:r>
    </w:p>
    <w:p w14:paraId="64899A16" w14:textId="77777777" w:rsidR="00EB4BBA" w:rsidRPr="000439AA" w:rsidRDefault="00EB4BBA" w:rsidP="00936C7D">
      <w:pPr>
        <w:pStyle w:val="TableBody"/>
        <w:numPr>
          <w:ilvl w:val="0"/>
          <w:numId w:val="8"/>
        </w:numPr>
        <w:rPr>
          <w:rStyle w:val="Hyperlink"/>
        </w:rPr>
      </w:pPr>
      <w:r w:rsidRPr="000439AA">
        <w:rPr>
          <w:rStyle w:val="Hyperlink"/>
        </w:rPr>
        <w:t>Data Retention Policy</w:t>
      </w:r>
    </w:p>
    <w:p w14:paraId="0DE92E50" w14:textId="77777777" w:rsidR="00EB4BBA" w:rsidRPr="000439AA" w:rsidRDefault="00EB4BBA" w:rsidP="00936C7D">
      <w:pPr>
        <w:pStyle w:val="TableBody"/>
        <w:numPr>
          <w:ilvl w:val="0"/>
          <w:numId w:val="8"/>
        </w:numPr>
        <w:rPr>
          <w:rStyle w:val="Hyperlink"/>
        </w:rPr>
      </w:pPr>
      <w:r w:rsidRPr="000439AA">
        <w:rPr>
          <w:rStyle w:val="Hyperlink"/>
        </w:rPr>
        <w:t>Data Sharing Policy</w:t>
      </w:r>
    </w:p>
    <w:p w14:paraId="45A27141" w14:textId="77777777" w:rsidR="00EB4BBA" w:rsidRDefault="00EB4BBA" w:rsidP="00936C7D">
      <w:pPr>
        <w:pStyle w:val="TableBody"/>
        <w:numPr>
          <w:ilvl w:val="0"/>
          <w:numId w:val="8"/>
        </w:numPr>
        <w:rPr>
          <w:rStyle w:val="Hyperlink"/>
        </w:rPr>
      </w:pPr>
      <w:r w:rsidRPr="000439AA">
        <w:rPr>
          <w:rStyle w:val="Hyperlink"/>
        </w:rPr>
        <w:t>Death in Service Procedure</w:t>
      </w:r>
    </w:p>
    <w:p w14:paraId="03DF9B51" w14:textId="77777777" w:rsidR="00EB4BBA" w:rsidRPr="000439AA" w:rsidRDefault="00EB4BBA" w:rsidP="00936C7D">
      <w:pPr>
        <w:pStyle w:val="TableBody"/>
        <w:numPr>
          <w:ilvl w:val="0"/>
          <w:numId w:val="8"/>
        </w:numPr>
        <w:rPr>
          <w:rStyle w:val="Hyperlink"/>
        </w:rPr>
      </w:pPr>
      <w:r>
        <w:rPr>
          <w:rStyle w:val="Hyperlink"/>
        </w:rPr>
        <w:t>Disclosure Operations Privacy Notice</w:t>
      </w:r>
    </w:p>
    <w:p w14:paraId="34561797" w14:textId="77777777" w:rsidR="00EB4BBA" w:rsidRPr="000439AA" w:rsidRDefault="00EB4BBA" w:rsidP="00936C7D">
      <w:pPr>
        <w:pStyle w:val="TableBody"/>
        <w:numPr>
          <w:ilvl w:val="0"/>
          <w:numId w:val="8"/>
        </w:numPr>
        <w:rPr>
          <w:rStyle w:val="Hyperlink"/>
        </w:rPr>
      </w:pPr>
      <w:r w:rsidRPr="000439AA">
        <w:rPr>
          <w:rStyle w:val="Hyperlink"/>
        </w:rPr>
        <w:t xml:space="preserve">Discrimination, Harassment, Victimisation and Bullying Policy </w:t>
      </w:r>
    </w:p>
    <w:p w14:paraId="65D3D94A" w14:textId="77777777" w:rsidR="00EB4BBA" w:rsidRPr="000439AA" w:rsidRDefault="00EB4BBA" w:rsidP="00936C7D">
      <w:pPr>
        <w:pStyle w:val="TableBody"/>
        <w:numPr>
          <w:ilvl w:val="0"/>
          <w:numId w:val="8"/>
        </w:numPr>
        <w:rPr>
          <w:rStyle w:val="Hyperlink"/>
        </w:rPr>
      </w:pPr>
      <w:r w:rsidRPr="000439AA">
        <w:rPr>
          <w:rStyle w:val="Hyperlink"/>
        </w:rPr>
        <w:t>Employee Privacy Policy</w:t>
      </w:r>
    </w:p>
    <w:p w14:paraId="0B43D922" w14:textId="77777777" w:rsidR="00EB4BBA" w:rsidRPr="000439AA" w:rsidRDefault="00EB4BBA" w:rsidP="00936C7D">
      <w:pPr>
        <w:pStyle w:val="TableBody"/>
        <w:numPr>
          <w:ilvl w:val="0"/>
          <w:numId w:val="8"/>
        </w:numPr>
        <w:rPr>
          <w:rStyle w:val="Hyperlink"/>
        </w:rPr>
      </w:pPr>
      <w:r w:rsidRPr="000439AA">
        <w:rPr>
          <w:rStyle w:val="Hyperlink"/>
        </w:rPr>
        <w:t>Evacuation of Persons Needing Assistance During an Emergency Evacuation (PEEP) Procedure</w:t>
      </w:r>
    </w:p>
    <w:p w14:paraId="44ED9A62" w14:textId="77777777" w:rsidR="00EB4BBA" w:rsidRPr="000439AA" w:rsidRDefault="00EB4BBA" w:rsidP="00936C7D">
      <w:pPr>
        <w:pStyle w:val="TableBody"/>
        <w:numPr>
          <w:ilvl w:val="0"/>
          <w:numId w:val="8"/>
        </w:numPr>
        <w:rPr>
          <w:rStyle w:val="Hyperlink"/>
        </w:rPr>
      </w:pPr>
      <w:r w:rsidRPr="000439AA">
        <w:rPr>
          <w:rStyle w:val="Hyperlink"/>
        </w:rPr>
        <w:t>Eyesight Test Procedure</w:t>
      </w:r>
    </w:p>
    <w:p w14:paraId="6A4881CF" w14:textId="77777777" w:rsidR="00EB4BBA" w:rsidRPr="000439AA" w:rsidRDefault="00EB4BBA" w:rsidP="00936C7D">
      <w:pPr>
        <w:pStyle w:val="TableBody"/>
        <w:numPr>
          <w:ilvl w:val="0"/>
          <w:numId w:val="8"/>
        </w:numPr>
        <w:rPr>
          <w:rStyle w:val="Hyperlink"/>
        </w:rPr>
      </w:pPr>
      <w:r w:rsidRPr="000439AA">
        <w:rPr>
          <w:rStyle w:val="Hyperlink"/>
        </w:rPr>
        <w:lastRenderedPageBreak/>
        <w:t>Family Friendly Procedure</w:t>
      </w:r>
    </w:p>
    <w:p w14:paraId="7AA8C4BA" w14:textId="77777777" w:rsidR="00EB4BBA" w:rsidRPr="000439AA" w:rsidRDefault="00EB4BBA" w:rsidP="00936C7D">
      <w:pPr>
        <w:pStyle w:val="TableBody"/>
        <w:numPr>
          <w:ilvl w:val="0"/>
          <w:numId w:val="8"/>
        </w:numPr>
        <w:rPr>
          <w:rStyle w:val="Hyperlink"/>
        </w:rPr>
      </w:pPr>
      <w:r w:rsidRPr="000439AA">
        <w:rPr>
          <w:rStyle w:val="Hyperlink"/>
        </w:rPr>
        <w:t>File Management Policy</w:t>
      </w:r>
    </w:p>
    <w:p w14:paraId="37900E4E" w14:textId="77777777" w:rsidR="00EB4BBA" w:rsidRPr="000439AA" w:rsidRDefault="00EB4BBA" w:rsidP="00936C7D">
      <w:pPr>
        <w:pStyle w:val="TableBody"/>
        <w:numPr>
          <w:ilvl w:val="0"/>
          <w:numId w:val="8"/>
        </w:numPr>
        <w:rPr>
          <w:rStyle w:val="Hyperlink"/>
        </w:rPr>
      </w:pPr>
      <w:r w:rsidRPr="000439AA">
        <w:rPr>
          <w:rStyle w:val="Hyperlink"/>
        </w:rPr>
        <w:t>Fire and Evacuation Procedure</w:t>
      </w:r>
    </w:p>
    <w:p w14:paraId="2C818E32" w14:textId="77777777" w:rsidR="00EB4BBA" w:rsidRPr="000439AA" w:rsidRDefault="00EB4BBA" w:rsidP="00936C7D">
      <w:pPr>
        <w:pStyle w:val="TableBody"/>
        <w:numPr>
          <w:ilvl w:val="0"/>
          <w:numId w:val="8"/>
        </w:numPr>
        <w:rPr>
          <w:rStyle w:val="Hyperlink"/>
        </w:rPr>
      </w:pPr>
      <w:r w:rsidRPr="000439AA">
        <w:rPr>
          <w:rStyle w:val="Hyperlink"/>
        </w:rPr>
        <w:t>Flexi Scheme Guidelines</w:t>
      </w:r>
    </w:p>
    <w:p w14:paraId="0138CF10" w14:textId="77777777" w:rsidR="00EB4BBA" w:rsidRPr="000439AA" w:rsidRDefault="00EB4BBA" w:rsidP="00936C7D">
      <w:pPr>
        <w:pStyle w:val="TableBody"/>
        <w:numPr>
          <w:ilvl w:val="0"/>
          <w:numId w:val="8"/>
        </w:numPr>
        <w:rPr>
          <w:rStyle w:val="Hyperlink"/>
        </w:rPr>
      </w:pPr>
      <w:r w:rsidRPr="000439AA">
        <w:rPr>
          <w:rStyle w:val="Hyperlink"/>
        </w:rPr>
        <w:t>Flexible and Remote Working Policy</w:t>
      </w:r>
    </w:p>
    <w:p w14:paraId="7B6C4372" w14:textId="77777777" w:rsidR="00EB4BBA" w:rsidRPr="000439AA" w:rsidRDefault="00EB4BBA" w:rsidP="00936C7D">
      <w:pPr>
        <w:pStyle w:val="TableBody"/>
        <w:numPr>
          <w:ilvl w:val="0"/>
          <w:numId w:val="8"/>
        </w:numPr>
        <w:rPr>
          <w:rStyle w:val="Hyperlink"/>
        </w:rPr>
      </w:pPr>
      <w:r w:rsidRPr="000439AA">
        <w:rPr>
          <w:rStyle w:val="Hyperlink"/>
        </w:rPr>
        <w:t>Freedom of Information Policy</w:t>
      </w:r>
    </w:p>
    <w:p w14:paraId="036453D2" w14:textId="77777777" w:rsidR="00EB4BBA" w:rsidRPr="000439AA" w:rsidRDefault="00EB4BBA" w:rsidP="00936C7D">
      <w:pPr>
        <w:pStyle w:val="TableBody"/>
        <w:numPr>
          <w:ilvl w:val="0"/>
          <w:numId w:val="8"/>
        </w:numPr>
        <w:rPr>
          <w:rStyle w:val="Hyperlink"/>
        </w:rPr>
      </w:pPr>
      <w:r w:rsidRPr="000439AA">
        <w:rPr>
          <w:rStyle w:val="Hyperlink"/>
        </w:rPr>
        <w:t>Government Procurement Card (GPC) Policy</w:t>
      </w:r>
    </w:p>
    <w:p w14:paraId="3AF0516B" w14:textId="77777777" w:rsidR="00EB4BBA" w:rsidRPr="000439AA" w:rsidRDefault="00EB4BBA" w:rsidP="00936C7D">
      <w:pPr>
        <w:pStyle w:val="TableBody"/>
        <w:numPr>
          <w:ilvl w:val="0"/>
          <w:numId w:val="8"/>
        </w:numPr>
        <w:rPr>
          <w:rStyle w:val="Hyperlink"/>
        </w:rPr>
      </w:pPr>
      <w:r w:rsidRPr="000439AA">
        <w:rPr>
          <w:rStyle w:val="Hyperlink"/>
        </w:rPr>
        <w:t>Green Policy</w:t>
      </w:r>
    </w:p>
    <w:p w14:paraId="30703D34" w14:textId="77777777" w:rsidR="00EB4BBA" w:rsidRPr="000439AA" w:rsidRDefault="00EB4BBA" w:rsidP="00936C7D">
      <w:pPr>
        <w:pStyle w:val="TableBody"/>
        <w:numPr>
          <w:ilvl w:val="0"/>
          <w:numId w:val="8"/>
        </w:numPr>
        <w:rPr>
          <w:rStyle w:val="Hyperlink"/>
        </w:rPr>
      </w:pPr>
      <w:r w:rsidRPr="000439AA">
        <w:rPr>
          <w:rStyle w:val="Hyperlink"/>
        </w:rPr>
        <w:t>Grievance Procedure</w:t>
      </w:r>
    </w:p>
    <w:p w14:paraId="5CE8CABB" w14:textId="77777777" w:rsidR="00EB4BBA" w:rsidRPr="000439AA" w:rsidRDefault="00EB4BBA" w:rsidP="00936C7D">
      <w:pPr>
        <w:pStyle w:val="TableBody"/>
        <w:numPr>
          <w:ilvl w:val="0"/>
          <w:numId w:val="8"/>
        </w:numPr>
        <w:rPr>
          <w:rStyle w:val="Hyperlink"/>
        </w:rPr>
      </w:pPr>
      <w:r w:rsidRPr="000439AA">
        <w:rPr>
          <w:rStyle w:val="Hyperlink"/>
        </w:rPr>
        <w:t xml:space="preserve">Handling Public Callers Policy </w:t>
      </w:r>
    </w:p>
    <w:p w14:paraId="69B655C7" w14:textId="77777777" w:rsidR="00EB4BBA" w:rsidRPr="000439AA" w:rsidRDefault="00EB4BBA" w:rsidP="00936C7D">
      <w:pPr>
        <w:pStyle w:val="TableBody"/>
        <w:numPr>
          <w:ilvl w:val="0"/>
          <w:numId w:val="8"/>
        </w:numPr>
        <w:rPr>
          <w:rStyle w:val="Hyperlink"/>
        </w:rPr>
      </w:pPr>
      <w:r w:rsidRPr="000439AA">
        <w:rPr>
          <w:rStyle w:val="Hyperlink"/>
        </w:rPr>
        <w:t>Induction Procedure</w:t>
      </w:r>
    </w:p>
    <w:p w14:paraId="13059813" w14:textId="77777777" w:rsidR="00EB4BBA" w:rsidRPr="000439AA" w:rsidRDefault="00EB4BBA" w:rsidP="00936C7D">
      <w:pPr>
        <w:pStyle w:val="TableBody"/>
        <w:numPr>
          <w:ilvl w:val="0"/>
          <w:numId w:val="8"/>
        </w:numPr>
        <w:rPr>
          <w:rStyle w:val="Hyperlink"/>
        </w:rPr>
      </w:pPr>
      <w:r w:rsidRPr="000439AA">
        <w:rPr>
          <w:rStyle w:val="Hyperlink"/>
        </w:rPr>
        <w:t xml:space="preserve">Internet Online Systems and Email Policy </w:t>
      </w:r>
    </w:p>
    <w:p w14:paraId="58A7D024" w14:textId="77777777" w:rsidR="00EB4BBA" w:rsidRPr="000439AA" w:rsidRDefault="00EB4BBA" w:rsidP="00936C7D">
      <w:pPr>
        <w:pStyle w:val="TableBody"/>
        <w:numPr>
          <w:ilvl w:val="0"/>
          <w:numId w:val="8"/>
        </w:numPr>
        <w:rPr>
          <w:rStyle w:val="Hyperlink"/>
        </w:rPr>
      </w:pPr>
      <w:r w:rsidRPr="000439AA">
        <w:rPr>
          <w:rStyle w:val="Hyperlink"/>
        </w:rPr>
        <w:t>Job Evaluation Procedure</w:t>
      </w:r>
    </w:p>
    <w:p w14:paraId="38E8DA9B" w14:textId="77777777" w:rsidR="00EB4BBA" w:rsidRPr="000439AA" w:rsidRDefault="00EB4BBA" w:rsidP="00936C7D">
      <w:pPr>
        <w:pStyle w:val="TableBody"/>
        <w:numPr>
          <w:ilvl w:val="0"/>
          <w:numId w:val="8"/>
        </w:numPr>
        <w:rPr>
          <w:rStyle w:val="Hyperlink"/>
        </w:rPr>
      </w:pPr>
      <w:r w:rsidRPr="000439AA">
        <w:rPr>
          <w:rStyle w:val="Hyperlink"/>
        </w:rPr>
        <w:t>Knowledge Harvest Procedure</w:t>
      </w:r>
    </w:p>
    <w:p w14:paraId="58174ADE" w14:textId="77777777" w:rsidR="00EB4BBA" w:rsidRPr="000439AA" w:rsidRDefault="00EB4BBA" w:rsidP="00936C7D">
      <w:pPr>
        <w:pStyle w:val="TableBody"/>
        <w:numPr>
          <w:ilvl w:val="0"/>
          <w:numId w:val="8"/>
        </w:numPr>
        <w:rPr>
          <w:rStyle w:val="Hyperlink"/>
        </w:rPr>
      </w:pPr>
      <w:r w:rsidRPr="000439AA">
        <w:rPr>
          <w:rStyle w:val="Hyperlink"/>
        </w:rPr>
        <w:t>Learning &amp; Development Policy</w:t>
      </w:r>
    </w:p>
    <w:p w14:paraId="10A00955" w14:textId="77777777" w:rsidR="00EB4BBA" w:rsidRPr="000439AA" w:rsidRDefault="00EB4BBA" w:rsidP="00936C7D">
      <w:pPr>
        <w:pStyle w:val="TableBody"/>
        <w:numPr>
          <w:ilvl w:val="0"/>
          <w:numId w:val="8"/>
        </w:numPr>
        <w:rPr>
          <w:rStyle w:val="Hyperlink"/>
        </w:rPr>
      </w:pPr>
      <w:r w:rsidRPr="000439AA">
        <w:rPr>
          <w:rStyle w:val="Hyperlink"/>
        </w:rPr>
        <w:t>Lone Working Policy</w:t>
      </w:r>
    </w:p>
    <w:p w14:paraId="2689071E" w14:textId="7DE1BE7D" w:rsidR="00EB4BBA" w:rsidRPr="000439AA" w:rsidRDefault="00EB4BBA" w:rsidP="00264D72">
      <w:pPr>
        <w:pStyle w:val="TableBody"/>
        <w:numPr>
          <w:ilvl w:val="0"/>
          <w:numId w:val="8"/>
        </w:numPr>
        <w:rPr>
          <w:rStyle w:val="Hyperlink"/>
        </w:rPr>
      </w:pPr>
      <w:r w:rsidRPr="000439AA">
        <w:rPr>
          <w:rStyle w:val="Hyperlink"/>
        </w:rPr>
        <w:t>Menopause Policy</w:t>
      </w:r>
    </w:p>
    <w:p w14:paraId="71E2DDF7" w14:textId="77777777" w:rsidR="00EB4BBA" w:rsidRPr="000439AA" w:rsidRDefault="00EB4BBA" w:rsidP="00936C7D">
      <w:pPr>
        <w:pStyle w:val="TableBody"/>
        <w:numPr>
          <w:ilvl w:val="0"/>
          <w:numId w:val="8"/>
        </w:numPr>
        <w:rPr>
          <w:rStyle w:val="Hyperlink"/>
        </w:rPr>
      </w:pPr>
      <w:r w:rsidRPr="000439AA">
        <w:rPr>
          <w:rStyle w:val="Hyperlink"/>
        </w:rPr>
        <w:t>Performance Development Review (PDR) Guidance</w:t>
      </w:r>
    </w:p>
    <w:p w14:paraId="276A454B" w14:textId="77777777" w:rsidR="00EB4BBA" w:rsidRPr="000439AA" w:rsidRDefault="00EB4BBA" w:rsidP="00936C7D">
      <w:pPr>
        <w:pStyle w:val="TableBody"/>
        <w:numPr>
          <w:ilvl w:val="0"/>
          <w:numId w:val="8"/>
        </w:numPr>
        <w:rPr>
          <w:rStyle w:val="Hyperlink"/>
        </w:rPr>
      </w:pPr>
      <w:r w:rsidRPr="000439AA">
        <w:rPr>
          <w:rStyle w:val="Hyperlink"/>
        </w:rPr>
        <w:t>Portable Media Extraction Policy</w:t>
      </w:r>
    </w:p>
    <w:p w14:paraId="645D168C" w14:textId="76AEC20D" w:rsidR="00EB4BBA" w:rsidRPr="000439AA" w:rsidRDefault="00EB4BBA" w:rsidP="00264D72">
      <w:pPr>
        <w:pStyle w:val="TableBody"/>
        <w:numPr>
          <w:ilvl w:val="0"/>
          <w:numId w:val="8"/>
        </w:numPr>
        <w:rPr>
          <w:rStyle w:val="Hyperlink"/>
        </w:rPr>
      </w:pPr>
      <w:r w:rsidRPr="000439AA">
        <w:rPr>
          <w:rStyle w:val="Hyperlink"/>
        </w:rPr>
        <w:t>Probation Procedure</w:t>
      </w:r>
    </w:p>
    <w:p w14:paraId="6236E97A" w14:textId="77777777" w:rsidR="00EB4BBA" w:rsidRDefault="00EB4BBA" w:rsidP="00936C7D">
      <w:pPr>
        <w:pStyle w:val="TableBody"/>
        <w:numPr>
          <w:ilvl w:val="0"/>
          <w:numId w:val="8"/>
        </w:numPr>
        <w:rPr>
          <w:rStyle w:val="Hyperlink"/>
        </w:rPr>
      </w:pPr>
      <w:r w:rsidRPr="000439AA">
        <w:rPr>
          <w:rStyle w:val="Hyperlink"/>
        </w:rPr>
        <w:t>Records Management Policy</w:t>
      </w:r>
    </w:p>
    <w:p w14:paraId="6FA7C762" w14:textId="77777777" w:rsidR="00EB4BBA" w:rsidRDefault="00EB4BBA" w:rsidP="00936C7D">
      <w:pPr>
        <w:pStyle w:val="TableBody"/>
        <w:numPr>
          <w:ilvl w:val="0"/>
          <w:numId w:val="8"/>
        </w:numPr>
        <w:rPr>
          <w:rStyle w:val="Hyperlink"/>
        </w:rPr>
      </w:pPr>
      <w:r w:rsidRPr="00973184">
        <w:rPr>
          <w:rStyle w:val="Hyperlink"/>
        </w:rPr>
        <w:t>Recruitment and On-boarding Privacy Notice</w:t>
      </w:r>
    </w:p>
    <w:p w14:paraId="1298E12E" w14:textId="77777777" w:rsidR="00EB4BBA" w:rsidRPr="000439AA" w:rsidRDefault="00EB4BBA" w:rsidP="00936C7D">
      <w:pPr>
        <w:pStyle w:val="TableBody"/>
        <w:numPr>
          <w:ilvl w:val="0"/>
          <w:numId w:val="8"/>
        </w:numPr>
        <w:rPr>
          <w:rStyle w:val="Hyperlink"/>
        </w:rPr>
      </w:pPr>
      <w:r>
        <w:rPr>
          <w:rStyle w:val="Hyperlink"/>
        </w:rPr>
        <w:t>Research Privacy Policy</w:t>
      </w:r>
    </w:p>
    <w:p w14:paraId="0E036ED1" w14:textId="77777777" w:rsidR="00EB4BBA" w:rsidRPr="000439AA" w:rsidRDefault="00EB4BBA" w:rsidP="00936C7D">
      <w:pPr>
        <w:pStyle w:val="TableBody"/>
        <w:numPr>
          <w:ilvl w:val="0"/>
          <w:numId w:val="8"/>
        </w:numPr>
        <w:rPr>
          <w:rStyle w:val="Hyperlink"/>
        </w:rPr>
      </w:pPr>
      <w:r w:rsidRPr="000439AA">
        <w:rPr>
          <w:rStyle w:val="Hyperlink"/>
        </w:rPr>
        <w:t>Resourcing Policy</w:t>
      </w:r>
    </w:p>
    <w:p w14:paraId="34BEF7E2" w14:textId="77777777" w:rsidR="00EB4BBA" w:rsidRPr="000439AA" w:rsidRDefault="00EB4BBA" w:rsidP="00936C7D">
      <w:pPr>
        <w:pStyle w:val="TableBody"/>
        <w:numPr>
          <w:ilvl w:val="0"/>
          <w:numId w:val="8"/>
        </w:numPr>
        <w:rPr>
          <w:rStyle w:val="Hyperlink"/>
        </w:rPr>
      </w:pPr>
      <w:r w:rsidRPr="000439AA">
        <w:rPr>
          <w:rStyle w:val="Hyperlink"/>
        </w:rPr>
        <w:t>Resourcing Procedure</w:t>
      </w:r>
    </w:p>
    <w:p w14:paraId="1D38562C" w14:textId="77777777" w:rsidR="00EB4BBA" w:rsidRPr="000439AA" w:rsidRDefault="00EB4BBA" w:rsidP="00936C7D">
      <w:pPr>
        <w:pStyle w:val="TableBody"/>
        <w:numPr>
          <w:ilvl w:val="0"/>
          <w:numId w:val="8"/>
        </w:numPr>
        <w:rPr>
          <w:rStyle w:val="Hyperlink"/>
        </w:rPr>
      </w:pPr>
      <w:r w:rsidRPr="000439AA">
        <w:rPr>
          <w:rStyle w:val="Hyperlink"/>
        </w:rPr>
        <w:t>Reward and Recognition - My OneDBS Recognition Consent Procedure</w:t>
      </w:r>
    </w:p>
    <w:p w14:paraId="154E8AE3" w14:textId="77777777" w:rsidR="00EB4BBA" w:rsidRPr="000439AA" w:rsidRDefault="00EB4BBA" w:rsidP="00936C7D">
      <w:pPr>
        <w:pStyle w:val="TableBody"/>
        <w:numPr>
          <w:ilvl w:val="0"/>
          <w:numId w:val="8"/>
        </w:numPr>
        <w:rPr>
          <w:rStyle w:val="Hyperlink"/>
        </w:rPr>
      </w:pPr>
      <w:r w:rsidRPr="000439AA">
        <w:rPr>
          <w:rStyle w:val="Hyperlink"/>
        </w:rPr>
        <w:t>Right to Request Flexible Working Procedure</w:t>
      </w:r>
    </w:p>
    <w:p w14:paraId="0132E316" w14:textId="77777777" w:rsidR="00EB4BBA" w:rsidRPr="000439AA" w:rsidRDefault="00EB4BBA" w:rsidP="00936C7D">
      <w:pPr>
        <w:pStyle w:val="TableBody"/>
        <w:numPr>
          <w:ilvl w:val="0"/>
          <w:numId w:val="8"/>
        </w:numPr>
        <w:rPr>
          <w:rStyle w:val="Hyperlink"/>
        </w:rPr>
      </w:pPr>
      <w:r w:rsidRPr="000439AA">
        <w:rPr>
          <w:rStyle w:val="Hyperlink"/>
        </w:rPr>
        <w:t>Security Clearance Policy</w:t>
      </w:r>
    </w:p>
    <w:p w14:paraId="183E7473" w14:textId="77777777" w:rsidR="00EB4BBA" w:rsidRPr="000439AA" w:rsidRDefault="00EB4BBA" w:rsidP="00936C7D">
      <w:pPr>
        <w:pStyle w:val="TableBody"/>
        <w:numPr>
          <w:ilvl w:val="0"/>
          <w:numId w:val="8"/>
        </w:numPr>
        <w:rPr>
          <w:rStyle w:val="Hyperlink"/>
        </w:rPr>
      </w:pPr>
      <w:r w:rsidRPr="000439AA">
        <w:rPr>
          <w:rStyle w:val="Hyperlink"/>
        </w:rPr>
        <w:t>Smoking and Vaping Policy</w:t>
      </w:r>
    </w:p>
    <w:p w14:paraId="2F060EC3" w14:textId="77777777" w:rsidR="00EB4BBA" w:rsidRPr="000439AA" w:rsidRDefault="00EB4BBA" w:rsidP="00936C7D">
      <w:pPr>
        <w:pStyle w:val="TableBody"/>
        <w:numPr>
          <w:ilvl w:val="0"/>
          <w:numId w:val="8"/>
        </w:numPr>
        <w:rPr>
          <w:rStyle w:val="Hyperlink"/>
        </w:rPr>
      </w:pPr>
      <w:r w:rsidRPr="000439AA">
        <w:rPr>
          <w:rStyle w:val="Hyperlink"/>
        </w:rPr>
        <w:t>Special and Disability Leave Procedure</w:t>
      </w:r>
    </w:p>
    <w:p w14:paraId="1671098D" w14:textId="77777777" w:rsidR="00EB4BBA" w:rsidRPr="000439AA" w:rsidRDefault="00EB4BBA" w:rsidP="00936C7D">
      <w:pPr>
        <w:pStyle w:val="TableBody"/>
        <w:numPr>
          <w:ilvl w:val="0"/>
          <w:numId w:val="8"/>
        </w:numPr>
        <w:rPr>
          <w:rStyle w:val="Hyperlink"/>
        </w:rPr>
      </w:pPr>
      <w:r w:rsidRPr="000439AA">
        <w:rPr>
          <w:rStyle w:val="Hyperlink"/>
        </w:rPr>
        <w:lastRenderedPageBreak/>
        <w:t>Staff Departure Procedure</w:t>
      </w:r>
    </w:p>
    <w:p w14:paraId="0988129F" w14:textId="77777777" w:rsidR="00EB4BBA" w:rsidRPr="000439AA" w:rsidRDefault="00EB4BBA" w:rsidP="00936C7D">
      <w:pPr>
        <w:pStyle w:val="TableBody"/>
        <w:numPr>
          <w:ilvl w:val="0"/>
          <w:numId w:val="8"/>
        </w:numPr>
        <w:rPr>
          <w:rStyle w:val="Hyperlink"/>
        </w:rPr>
      </w:pPr>
      <w:r w:rsidRPr="000439AA">
        <w:rPr>
          <w:rStyle w:val="Hyperlink"/>
        </w:rPr>
        <w:t>Stress Management Policy</w:t>
      </w:r>
    </w:p>
    <w:p w14:paraId="443F15EC" w14:textId="77777777" w:rsidR="00EB4BBA" w:rsidRPr="000439AA" w:rsidRDefault="00EB4BBA" w:rsidP="00936C7D">
      <w:pPr>
        <w:pStyle w:val="TableBody"/>
        <w:numPr>
          <w:ilvl w:val="0"/>
          <w:numId w:val="8"/>
        </w:numPr>
        <w:rPr>
          <w:rStyle w:val="Hyperlink"/>
        </w:rPr>
      </w:pPr>
      <w:r w:rsidRPr="000439AA">
        <w:t>Subject Access Request Privacy Policy</w:t>
      </w:r>
    </w:p>
    <w:p w14:paraId="4338CAC0" w14:textId="77777777" w:rsidR="00EB4BBA" w:rsidRPr="000439AA" w:rsidRDefault="00EB4BBA" w:rsidP="00936C7D">
      <w:pPr>
        <w:pStyle w:val="TableBody"/>
        <w:numPr>
          <w:ilvl w:val="0"/>
          <w:numId w:val="8"/>
        </w:numPr>
        <w:rPr>
          <w:rStyle w:val="Hyperlink"/>
        </w:rPr>
      </w:pPr>
      <w:r w:rsidRPr="000439AA">
        <w:t>Unreasonable Behaviour Policy</w:t>
      </w:r>
    </w:p>
    <w:p w14:paraId="74C6F8F8" w14:textId="77777777" w:rsidR="00EB4BBA" w:rsidRPr="000439AA" w:rsidRDefault="00EB4BBA" w:rsidP="00936C7D">
      <w:pPr>
        <w:pStyle w:val="TableBody"/>
        <w:numPr>
          <w:ilvl w:val="0"/>
          <w:numId w:val="8"/>
        </w:numPr>
        <w:rPr>
          <w:rStyle w:val="Hyperlink"/>
        </w:rPr>
      </w:pPr>
      <w:r w:rsidRPr="000439AA">
        <w:t>User Personal Data &amp; Security Incident Reporting Procedure</w:t>
      </w:r>
    </w:p>
    <w:p w14:paraId="104A3E67" w14:textId="77777777" w:rsidR="00EB4BBA" w:rsidRPr="000439AA" w:rsidRDefault="00EB4BBA" w:rsidP="00936C7D">
      <w:pPr>
        <w:pStyle w:val="TableBody"/>
        <w:numPr>
          <w:ilvl w:val="0"/>
          <w:numId w:val="8"/>
        </w:numPr>
        <w:rPr>
          <w:rStyle w:val="Hyperlink"/>
        </w:rPr>
      </w:pPr>
      <w:r w:rsidRPr="000439AA">
        <w:t>Vehicle Hire Guidance</w:t>
      </w:r>
    </w:p>
    <w:p w14:paraId="0B48B616" w14:textId="77777777" w:rsidR="00EB4BBA" w:rsidRPr="000439AA" w:rsidRDefault="00EB4BBA" w:rsidP="00936C7D">
      <w:pPr>
        <w:pStyle w:val="TableBody"/>
        <w:numPr>
          <w:ilvl w:val="0"/>
          <w:numId w:val="8"/>
        </w:numPr>
        <w:rPr>
          <w:rStyle w:val="Hyperlink"/>
        </w:rPr>
      </w:pPr>
      <w:r w:rsidRPr="000439AA">
        <w:rPr>
          <w:rStyle w:val="Hyperlink"/>
        </w:rPr>
        <w:t>Visitors Policy</w:t>
      </w:r>
    </w:p>
    <w:p w14:paraId="7F7E1419" w14:textId="77777777" w:rsidR="00EB4BBA" w:rsidRPr="000439AA" w:rsidRDefault="00EB4BBA" w:rsidP="00936C7D">
      <w:pPr>
        <w:pStyle w:val="TableBody"/>
        <w:numPr>
          <w:ilvl w:val="0"/>
          <w:numId w:val="8"/>
        </w:numPr>
        <w:rPr>
          <w:rStyle w:val="Hyperlink"/>
        </w:rPr>
      </w:pPr>
      <w:r w:rsidRPr="000439AA">
        <w:t>Workplace Adjustment Passport Guidance</w:t>
      </w:r>
    </w:p>
    <w:p w14:paraId="22D6066F" w14:textId="77777777" w:rsidR="00EB4BBA" w:rsidRPr="000439AA" w:rsidRDefault="00EB4BBA" w:rsidP="00936C7D">
      <w:pPr>
        <w:pStyle w:val="TableBody"/>
        <w:numPr>
          <w:ilvl w:val="0"/>
          <w:numId w:val="8"/>
        </w:numPr>
        <w:rPr>
          <w:rStyle w:val="Hyperlink"/>
        </w:rPr>
      </w:pPr>
      <w:r w:rsidRPr="000439AA">
        <w:t>Workplace Adjustment Policy</w:t>
      </w:r>
    </w:p>
    <w:p w14:paraId="07C193D7" w14:textId="77777777" w:rsidR="00EB4BBA" w:rsidRPr="00C81F67" w:rsidRDefault="00EB4BBA" w:rsidP="00936C7D">
      <w:pPr>
        <w:pStyle w:val="TableBody"/>
        <w:numPr>
          <w:ilvl w:val="0"/>
          <w:numId w:val="8"/>
        </w:numPr>
        <w:rPr>
          <w:rStyle w:val="Hyperlink"/>
        </w:rPr>
      </w:pPr>
      <w:r w:rsidRPr="000439AA">
        <w:t>Workplace Adjustment Procedure</w:t>
      </w:r>
    </w:p>
    <w:p w14:paraId="2A68E86B" w14:textId="7B354252" w:rsidR="005175DC" w:rsidRDefault="005175DC" w:rsidP="005175DC">
      <w:pPr>
        <w:pStyle w:val="List-numbered"/>
        <w:numPr>
          <w:ilvl w:val="0"/>
          <w:numId w:val="0"/>
        </w:numPr>
      </w:pPr>
    </w:p>
    <w:p w14:paraId="1D1B6A5D" w14:textId="77777777" w:rsidR="009D75CB" w:rsidRPr="009D75CB" w:rsidRDefault="009D75CB" w:rsidP="009D75CB">
      <w:pPr>
        <w:pStyle w:val="Heading20"/>
      </w:pPr>
    </w:p>
    <w:p w14:paraId="3FCC33B9" w14:textId="77777777" w:rsidR="009D75CB" w:rsidRDefault="009D75CB" w:rsidP="00211189"/>
    <w:p w14:paraId="17E9140E" w14:textId="77777777" w:rsidR="00B753D9" w:rsidRDefault="00B753D9" w:rsidP="00211189"/>
    <w:p w14:paraId="63B31A60" w14:textId="77777777" w:rsidR="00B753D9" w:rsidRDefault="00B753D9" w:rsidP="00211189"/>
    <w:p w14:paraId="6907C50A" w14:textId="77777777" w:rsidR="009D75CB" w:rsidRPr="00211189" w:rsidRDefault="009D75CB" w:rsidP="009D75CB">
      <w:pPr>
        <w:pStyle w:val="Heading20"/>
      </w:pPr>
    </w:p>
    <w:p w14:paraId="6A1F0D9C" w14:textId="65016F06" w:rsidR="00B707CC" w:rsidRPr="00B707CC" w:rsidRDefault="00B707CC" w:rsidP="00B707CC">
      <w:bookmarkStart w:id="13" w:name="AppendixStart"/>
      <w:bookmarkEnd w:id="13"/>
    </w:p>
    <w:p w14:paraId="445A18FA" w14:textId="77777777" w:rsidR="00B707CC" w:rsidRPr="005530A0" w:rsidRDefault="00B707CC" w:rsidP="00B707CC">
      <w:pPr>
        <w:rPr>
          <w:sz w:val="2"/>
          <w:szCs w:val="2"/>
        </w:rPr>
      </w:pPr>
    </w:p>
    <w:p w14:paraId="4F7CF999" w14:textId="77777777" w:rsidR="00B367C3" w:rsidRPr="00B367C3" w:rsidRDefault="00B367C3" w:rsidP="00B367C3"/>
    <w:sectPr w:rsidR="00B367C3" w:rsidRPr="00B367C3" w:rsidSect="00EB4BBA">
      <w:headerReference w:type="default" r:id="rId17"/>
      <w:footerReference w:type="default" r:id="rId18"/>
      <w:pgSz w:w="16838" w:h="11906" w:orient="landscape"/>
      <w:pgMar w:top="1418" w:right="567" w:bottom="1440" w:left="1440" w:header="709" w:footer="284"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artin Skeats" w:date="2025-12-15T11:11:00Z" w:initials="MS">
    <w:p w14:paraId="786C4B1D" w14:textId="77777777" w:rsidR="001E3CAD" w:rsidRDefault="001E3CAD" w:rsidP="001E3CAD">
      <w:pPr>
        <w:pStyle w:val="CommentText"/>
      </w:pPr>
      <w:r>
        <w:rPr>
          <w:rStyle w:val="CommentReference"/>
        </w:rPr>
        <w:annotationRef/>
      </w:r>
      <w:r>
        <w:t>Redraft this once new Framework Document agreed. The delegations from HO to AO may change significantly.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6C4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458117" w16cex:dateUtc="2025-12-15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6C4B1D" w16cid:durableId="5C4581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9361" w14:textId="77777777" w:rsidR="00EF779E" w:rsidRDefault="00EF779E" w:rsidP="000B6B42">
      <w:r>
        <w:separator/>
      </w:r>
    </w:p>
  </w:endnote>
  <w:endnote w:type="continuationSeparator" w:id="0">
    <w:p w14:paraId="0F25E416" w14:textId="77777777" w:rsidR="00EF779E" w:rsidRDefault="00EF779E" w:rsidP="000B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E58F" w14:textId="77777777" w:rsidR="00EB4BBA" w:rsidRDefault="00EB4BBA" w:rsidP="00DC4A92">
    <w:pPr>
      <w:pStyle w:val="Footer"/>
      <w:jc w:val="center"/>
      <w:rPr>
        <w:rFonts w:cs="Arial"/>
        <w:sz w:val="18"/>
        <w:szCs w:val="18"/>
      </w:rPr>
    </w:pPr>
    <w:r w:rsidRPr="00A83ED1">
      <w:rPr>
        <w:rFonts w:cs="Arial"/>
        <w:sz w:val="18"/>
        <w:szCs w:val="18"/>
      </w:rPr>
      <w:t xml:space="preserve">Page </w:t>
    </w:r>
    <w:r w:rsidRPr="00A83ED1">
      <w:rPr>
        <w:rFonts w:cs="Arial"/>
        <w:sz w:val="18"/>
        <w:szCs w:val="18"/>
      </w:rPr>
      <w:fldChar w:fldCharType="begin"/>
    </w:r>
    <w:r w:rsidRPr="00A83ED1">
      <w:rPr>
        <w:rFonts w:cs="Arial"/>
        <w:sz w:val="18"/>
        <w:szCs w:val="18"/>
      </w:rPr>
      <w:instrText xml:space="preserve"> PAGE </w:instrText>
    </w:r>
    <w:r w:rsidRPr="00A83ED1">
      <w:rPr>
        <w:rFonts w:cs="Arial"/>
        <w:sz w:val="18"/>
        <w:szCs w:val="18"/>
      </w:rPr>
      <w:fldChar w:fldCharType="separate"/>
    </w:r>
    <w:r>
      <w:rPr>
        <w:sz w:val="18"/>
        <w:szCs w:val="18"/>
      </w:rPr>
      <w:t>5</w:t>
    </w:r>
    <w:r w:rsidRPr="00A83ED1">
      <w:rPr>
        <w:rFonts w:cs="Arial"/>
        <w:sz w:val="18"/>
        <w:szCs w:val="18"/>
      </w:rPr>
      <w:fldChar w:fldCharType="end"/>
    </w:r>
    <w:r w:rsidRPr="00A83ED1">
      <w:rPr>
        <w:rFonts w:cs="Arial"/>
        <w:sz w:val="18"/>
        <w:szCs w:val="18"/>
      </w:rPr>
      <w:t xml:space="preserve"> of </w:t>
    </w:r>
    <w:r>
      <w:rPr>
        <w:rFonts w:cs="Arial"/>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591436167"/>
      <w:docPartObj>
        <w:docPartGallery w:val="Page Numbers (Bottom of Page)"/>
        <w:docPartUnique/>
      </w:docPartObj>
    </w:sdtPr>
    <w:sdtContent>
      <w:sdt>
        <w:sdtPr>
          <w:rPr>
            <w:rFonts w:cs="Arial"/>
            <w:sz w:val="18"/>
            <w:szCs w:val="18"/>
          </w:rPr>
          <w:id w:val="1728636285"/>
          <w:docPartObj>
            <w:docPartGallery w:val="Page Numbers (Top of Page)"/>
            <w:docPartUnique/>
          </w:docPartObj>
        </w:sdtPr>
        <w:sdtContent>
          <w:p w14:paraId="3B3F2CD9" w14:textId="33442211" w:rsidR="00CB50B3" w:rsidRPr="00EB4BBA" w:rsidRDefault="00CB50B3" w:rsidP="00EB4BBA">
            <w:pPr>
              <w:jc w:val="center"/>
              <w:rPr>
                <w:rFonts w:cs="Arial"/>
                <w:sz w:val="18"/>
                <w:szCs w:val="18"/>
              </w:rPr>
            </w:pPr>
            <w:r w:rsidRPr="00063405">
              <w:rPr>
                <w:rFonts w:cs="Arial"/>
                <w:sz w:val="18"/>
                <w:szCs w:val="18"/>
              </w:rPr>
              <w:t xml:space="preserve">Page </w:t>
            </w:r>
            <w:r w:rsidR="00063405" w:rsidRPr="00063405">
              <w:rPr>
                <w:rFonts w:cs="Arial"/>
                <w:sz w:val="18"/>
                <w:szCs w:val="18"/>
              </w:rPr>
              <w:fldChar w:fldCharType="begin"/>
            </w:r>
            <w:r w:rsidR="00063405" w:rsidRPr="00063405">
              <w:rPr>
                <w:rFonts w:cs="Arial"/>
                <w:sz w:val="18"/>
                <w:szCs w:val="18"/>
              </w:rPr>
              <w:instrText xml:space="preserve"> PAGE   \* MERGEFORMAT </w:instrText>
            </w:r>
            <w:r w:rsidR="00063405" w:rsidRPr="00063405">
              <w:rPr>
                <w:rFonts w:cs="Arial"/>
                <w:sz w:val="18"/>
                <w:szCs w:val="18"/>
              </w:rPr>
              <w:fldChar w:fldCharType="separate"/>
            </w:r>
            <w:r w:rsidR="00063405" w:rsidRPr="00063405">
              <w:rPr>
                <w:rFonts w:cs="Arial"/>
                <w:sz w:val="18"/>
                <w:szCs w:val="18"/>
              </w:rPr>
              <w:t>1</w:t>
            </w:r>
            <w:r w:rsidR="00063405" w:rsidRPr="00063405">
              <w:rPr>
                <w:rFonts w:cs="Arial"/>
                <w:sz w:val="18"/>
                <w:szCs w:val="18"/>
              </w:rPr>
              <w:fldChar w:fldCharType="end"/>
            </w:r>
            <w:r w:rsidRPr="00063405">
              <w:rPr>
                <w:rFonts w:cs="Arial"/>
                <w:sz w:val="18"/>
                <w:szCs w:val="18"/>
              </w:rPr>
              <w:t xml:space="preserve"> of </w:t>
            </w:r>
            <w:r w:rsidR="000D0779" w:rsidRPr="00063405">
              <w:rPr>
                <w:rFonts w:cs="Arial"/>
                <w:sz w:val="18"/>
                <w:szCs w:val="18"/>
              </w:rPr>
              <w:fldChar w:fldCharType="begin"/>
            </w:r>
            <w:r w:rsidR="000D0779" w:rsidRPr="00063405">
              <w:rPr>
                <w:rFonts w:cs="Arial"/>
                <w:sz w:val="18"/>
                <w:szCs w:val="18"/>
              </w:rPr>
              <w:instrText xml:space="preserve"> SECTIONPAGES  </w:instrText>
            </w:r>
            <w:r w:rsidR="000D0779" w:rsidRPr="00063405">
              <w:rPr>
                <w:rFonts w:cs="Arial"/>
                <w:sz w:val="18"/>
                <w:szCs w:val="18"/>
              </w:rPr>
              <w:fldChar w:fldCharType="separate"/>
            </w:r>
            <w:r w:rsidR="00C9377D">
              <w:rPr>
                <w:rFonts w:cs="Arial"/>
                <w:noProof/>
                <w:sz w:val="18"/>
                <w:szCs w:val="18"/>
              </w:rPr>
              <w:t>11</w:t>
            </w:r>
            <w:r w:rsidR="000D0779" w:rsidRPr="00063405">
              <w:rPr>
                <w:rFonts w:cs="Arial"/>
                <w:sz w:val="18"/>
                <w:szCs w:val="18"/>
              </w:rPr>
              <w:fldChar w:fldCharType="end"/>
            </w:r>
            <w:r w:rsidR="00EB4BBA">
              <w:rPr>
                <w:rFonts w:ascii="Times New Roman" w:hAnsi="Times New Roman"/>
              </w:rPr>
              <w:t xml:space="preserve"> </w:t>
            </w:r>
          </w:p>
        </w:sdtContent>
      </w:sdt>
    </w:sdtContent>
  </w:sdt>
  <w:p w14:paraId="01A841F3" w14:textId="77777777" w:rsidR="00FB7D4B" w:rsidRDefault="00FB7D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6C90" w14:textId="77777777" w:rsidR="00EF779E" w:rsidRDefault="00EF779E" w:rsidP="000B6B42">
      <w:r>
        <w:separator/>
      </w:r>
    </w:p>
  </w:footnote>
  <w:footnote w:type="continuationSeparator" w:id="0">
    <w:p w14:paraId="576C8F21" w14:textId="77777777" w:rsidR="00EF779E" w:rsidRDefault="00EF779E" w:rsidP="000B6B42">
      <w:r>
        <w:continuationSeparator/>
      </w:r>
    </w:p>
  </w:footnote>
  <w:footnote w:id="1">
    <w:p w14:paraId="159BD6D9" w14:textId="77777777" w:rsidR="00EB4BBA" w:rsidRDefault="00EB4BBA" w:rsidP="00EB4BBA">
      <w:pPr>
        <w:pStyle w:val="FootnoteText"/>
      </w:pPr>
      <w:r>
        <w:rPr>
          <w:rStyle w:val="FootnoteReference"/>
        </w:rPr>
        <w:footnoteRef/>
      </w:r>
      <w:r>
        <w:t xml:space="preserve"> </w:t>
      </w:r>
      <w:r w:rsidRPr="00FF1031">
        <w:t xml:space="preserve">  Novel: something completely new for the DBS or done in a different way. Contentious: something likely to cause debate, whether in parliament, media, or elsewhere. Repercussive: could have an effect on costs for either the DBS beyond the board agreed budget or within the wider public sector.</w:t>
      </w:r>
    </w:p>
  </w:footnote>
  <w:footnote w:id="2">
    <w:p w14:paraId="168E11F6" w14:textId="77777777" w:rsidR="00EB4BBA" w:rsidRDefault="00EB4BBA" w:rsidP="00EB4BBA">
      <w:pPr>
        <w:pStyle w:val="FootnoteText"/>
      </w:pPr>
      <w:r w:rsidRPr="00A7726E">
        <w:rPr>
          <w:rStyle w:val="FootnoteReference"/>
        </w:rPr>
        <w:footnoteRef/>
      </w:r>
      <w:r w:rsidRPr="00A7726E">
        <w:t xml:space="preserve"> Note that financial resources can only be committed by a Budget Holder or Budget Manager so decisions will often need to be taken by the Budget Holder or Budget Manager whose budget will be used to fund the decision and the person designated to take the specific decision.</w:t>
      </w:r>
    </w:p>
  </w:footnote>
  <w:footnote w:id="3">
    <w:p w14:paraId="6353B6A6" w14:textId="2248C0C6" w:rsidR="00EB4BBA" w:rsidRDefault="00EB4BBA" w:rsidP="00EB4BBA">
      <w:pPr>
        <w:pStyle w:val="FootnoteText"/>
      </w:pPr>
      <w:r>
        <w:rPr>
          <w:rStyle w:val="FootnoteReference"/>
        </w:rPr>
        <w:footnoteRef/>
      </w:r>
      <w:r>
        <w:t xml:space="preserve"> A business case is a tool used to support an investment decision – project, procurement, training course, etc. Where relevant, the same document may be used to support a combination, </w:t>
      </w:r>
      <w:proofErr w:type="spellStart"/>
      <w:r>
        <w:t>eg</w:t>
      </w:r>
      <w:proofErr w:type="spellEnd"/>
      <w:r>
        <w:t xml:space="preserve"> a </w:t>
      </w:r>
      <w:r w:rsidR="00431B7A">
        <w:t>business case may support an investment decision in a project and a procurement forming part of that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B473" w14:textId="77777777" w:rsidR="00753CF8" w:rsidRPr="00753CF8" w:rsidRDefault="00753CF8" w:rsidP="00753CF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4CE3"/>
    <w:multiLevelType w:val="hybridMultilevel"/>
    <w:tmpl w:val="65A4A86A"/>
    <w:lvl w:ilvl="0" w:tplc="80CA4FB0">
      <w:start w:val="1"/>
      <w:numFmt w:val="bullet"/>
      <w:pStyle w:val="Bulletlis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03571BB"/>
    <w:multiLevelType w:val="hybridMultilevel"/>
    <w:tmpl w:val="E79C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4032A"/>
    <w:multiLevelType w:val="multilevel"/>
    <w:tmpl w:val="05528BF8"/>
    <w:lvl w:ilvl="0">
      <w:start w:val="1"/>
      <w:numFmt w:val="bullet"/>
      <w:pStyle w:val="List-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3600" w:hanging="720"/>
      </w:pPr>
      <w:rPr>
        <w:rFonts w:ascii="Symbol" w:hAnsi="Symbol" w:hint="default"/>
      </w:rPr>
    </w:lvl>
    <w:lvl w:ilvl="4">
      <w:start w:val="1"/>
      <w:numFmt w:val="bullet"/>
      <w:lvlText w:val="o"/>
      <w:lvlJc w:val="left"/>
      <w:pPr>
        <w:ind w:left="4320" w:hanging="720"/>
      </w:pPr>
      <w:rPr>
        <w:rFonts w:ascii="Courier New" w:hAnsi="Courier New" w:cs="Courier New" w:hint="default"/>
      </w:rPr>
    </w:lvl>
    <w:lvl w:ilvl="5">
      <w:start w:val="1"/>
      <w:numFmt w:val="bullet"/>
      <w:lvlText w:val=""/>
      <w:lvlJc w:val="left"/>
      <w:pPr>
        <w:ind w:left="5040" w:hanging="720"/>
      </w:pPr>
      <w:rPr>
        <w:rFonts w:ascii="Wingdings" w:hAnsi="Wingdings" w:hint="default"/>
      </w:rPr>
    </w:lvl>
    <w:lvl w:ilvl="6">
      <w:start w:val="1"/>
      <w:numFmt w:val="bullet"/>
      <w:lvlText w:val=""/>
      <w:lvlJc w:val="left"/>
      <w:pPr>
        <w:ind w:left="5760" w:hanging="720"/>
      </w:pPr>
      <w:rPr>
        <w:rFonts w:ascii="Symbol" w:hAnsi="Symbol" w:hint="default"/>
      </w:rPr>
    </w:lvl>
    <w:lvl w:ilvl="7">
      <w:start w:val="1"/>
      <w:numFmt w:val="bullet"/>
      <w:lvlText w:val="o"/>
      <w:lvlJc w:val="left"/>
      <w:pPr>
        <w:ind w:left="6480" w:hanging="720"/>
      </w:pPr>
      <w:rPr>
        <w:rFonts w:ascii="Courier New" w:hAnsi="Courier New" w:cs="Courier New" w:hint="default"/>
      </w:rPr>
    </w:lvl>
    <w:lvl w:ilvl="8">
      <w:start w:val="1"/>
      <w:numFmt w:val="bullet"/>
      <w:lvlText w:val=""/>
      <w:lvlJc w:val="left"/>
      <w:pPr>
        <w:ind w:left="7200" w:hanging="720"/>
      </w:pPr>
      <w:rPr>
        <w:rFonts w:ascii="Wingdings" w:hAnsi="Wingdings" w:hint="default"/>
      </w:rPr>
    </w:lvl>
  </w:abstractNum>
  <w:abstractNum w:abstractNumId="3" w15:restartNumberingAfterBreak="0">
    <w:nsid w:val="47BA69EC"/>
    <w:multiLevelType w:val="multilevel"/>
    <w:tmpl w:val="A9907C44"/>
    <w:lvl w:ilvl="0">
      <w:start w:val="1"/>
      <w:numFmt w:val="decimal"/>
      <w:pStyle w:val="Heading1"/>
      <w:lvlText w:val="%1"/>
      <w:lvlJc w:val="left"/>
      <w:pPr>
        <w:ind w:left="1021" w:hanging="1021"/>
      </w:pPr>
      <w:rPr>
        <w:rFonts w:hint="default"/>
      </w:rPr>
    </w:lvl>
    <w:lvl w:ilvl="1">
      <w:start w:val="1"/>
      <w:numFmt w:val="decimal"/>
      <w:pStyle w:val="NormalNumbered"/>
      <w:isLgl/>
      <w:lvlText w:val="%1.%2"/>
      <w:lvlJc w:val="left"/>
      <w:pPr>
        <w:ind w:left="1021" w:hanging="1021"/>
      </w:pPr>
      <w:rPr>
        <w:rFonts w:hint="default"/>
      </w:rPr>
    </w:lvl>
    <w:lvl w:ilvl="2">
      <w:start w:val="1"/>
      <w:numFmt w:val="decimal"/>
      <w:isLg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isLgl/>
      <w:lvlText w:val="%1.%2.%3.%4.%5"/>
      <w:lvlJc w:val="left"/>
      <w:pPr>
        <w:tabs>
          <w:tab w:val="num" w:pos="284"/>
        </w:tabs>
        <w:ind w:left="1021" w:hanging="1021"/>
      </w:pPr>
      <w:rPr>
        <w:rFonts w:hint="default"/>
      </w:rPr>
    </w:lvl>
    <w:lvl w:ilvl="5">
      <w:start w:val="1"/>
      <w:numFmt w:val="decimal"/>
      <w:isLgl/>
      <w:lvlText w:val="%1.%2.%3.%4.%5.%6."/>
      <w:lvlJc w:val="left"/>
      <w:pPr>
        <w:ind w:left="1021" w:hanging="1021"/>
      </w:pPr>
      <w:rPr>
        <w:rFonts w:hint="default"/>
      </w:rPr>
    </w:lvl>
    <w:lvl w:ilvl="6">
      <w:start w:val="1"/>
      <w:numFmt w:val="decimal"/>
      <w:isLgl/>
      <w:lvlText w:val="%1.%2.%3.%4.%5.%6.%7."/>
      <w:lvlJc w:val="left"/>
      <w:pPr>
        <w:ind w:left="1021" w:hanging="1021"/>
      </w:pPr>
      <w:rPr>
        <w:rFonts w:hint="default"/>
      </w:rPr>
    </w:lvl>
    <w:lvl w:ilvl="7">
      <w:start w:val="1"/>
      <w:numFmt w:val="decimal"/>
      <w:isLgl/>
      <w:lvlText w:val="%1.%2.%3.%4.%5.%6.%7.%8."/>
      <w:lvlJc w:val="left"/>
      <w:pPr>
        <w:ind w:left="1021" w:hanging="1021"/>
      </w:pPr>
      <w:rPr>
        <w:rFonts w:hint="default"/>
      </w:rPr>
    </w:lvl>
    <w:lvl w:ilvl="8">
      <w:start w:val="1"/>
      <w:numFmt w:val="decimal"/>
      <w:isLgl/>
      <w:lvlText w:val="%1.%2.%3.%4.%5.%6.%7.%8.%9."/>
      <w:lvlJc w:val="left"/>
      <w:pPr>
        <w:ind w:left="1021" w:hanging="1021"/>
      </w:pPr>
      <w:rPr>
        <w:rFonts w:hint="default"/>
      </w:rPr>
    </w:lvl>
  </w:abstractNum>
  <w:abstractNum w:abstractNumId="4" w15:restartNumberingAfterBreak="0">
    <w:nsid w:val="6326634F"/>
    <w:multiLevelType w:val="multilevel"/>
    <w:tmpl w:val="84AE6BA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9741CD"/>
    <w:multiLevelType w:val="multilevel"/>
    <w:tmpl w:val="FBF47D68"/>
    <w:lvl w:ilvl="0">
      <w:start w:val="1"/>
      <w:numFmt w:val="lowerLetter"/>
      <w:pStyle w:val="List-numbered"/>
      <w:lvlText w:val="%1)"/>
      <w:lvlJc w:val="left"/>
      <w:pPr>
        <w:ind w:left="1381" w:hanging="360"/>
      </w:pPr>
      <w:rPr>
        <w:rFonts w:hint="default"/>
      </w:rPr>
    </w:lvl>
    <w:lvl w:ilvl="1">
      <w:start w:val="1"/>
      <w:numFmt w:val="bullet"/>
      <w:lvlText w:val="o"/>
      <w:lvlJc w:val="left"/>
      <w:pPr>
        <w:ind w:left="1375" w:hanging="720"/>
      </w:pPr>
      <w:rPr>
        <w:rFonts w:ascii="Courier New" w:hAnsi="Courier New" w:hint="default"/>
      </w:rPr>
    </w:lvl>
    <w:lvl w:ilvl="2">
      <w:start w:val="1"/>
      <w:numFmt w:val="bullet"/>
      <w:lvlText w:val=""/>
      <w:lvlJc w:val="left"/>
      <w:pPr>
        <w:ind w:left="2095" w:hanging="720"/>
      </w:pPr>
      <w:rPr>
        <w:rFonts w:ascii="Wingdings" w:hAnsi="Wingdings" w:hint="default"/>
      </w:rPr>
    </w:lvl>
    <w:lvl w:ilvl="3">
      <w:start w:val="1"/>
      <w:numFmt w:val="bullet"/>
      <w:lvlText w:val=""/>
      <w:lvlJc w:val="left"/>
      <w:pPr>
        <w:ind w:left="2815" w:hanging="720"/>
      </w:pPr>
      <w:rPr>
        <w:rFonts w:ascii="Symbol" w:hAnsi="Symbol" w:hint="default"/>
      </w:rPr>
    </w:lvl>
    <w:lvl w:ilvl="4">
      <w:start w:val="1"/>
      <w:numFmt w:val="bullet"/>
      <w:lvlText w:val="o"/>
      <w:lvlJc w:val="left"/>
      <w:pPr>
        <w:ind w:left="3535" w:hanging="720"/>
      </w:pPr>
      <w:rPr>
        <w:rFonts w:ascii="Courier New" w:hAnsi="Courier New" w:cs="Courier New" w:hint="default"/>
      </w:rPr>
    </w:lvl>
    <w:lvl w:ilvl="5">
      <w:start w:val="1"/>
      <w:numFmt w:val="bullet"/>
      <w:lvlText w:val=""/>
      <w:lvlJc w:val="left"/>
      <w:pPr>
        <w:ind w:left="4255" w:hanging="720"/>
      </w:pPr>
      <w:rPr>
        <w:rFonts w:ascii="Wingdings" w:hAnsi="Wingdings" w:hint="default"/>
      </w:rPr>
    </w:lvl>
    <w:lvl w:ilvl="6">
      <w:start w:val="1"/>
      <w:numFmt w:val="bullet"/>
      <w:lvlText w:val=""/>
      <w:lvlJc w:val="left"/>
      <w:pPr>
        <w:ind w:left="4975" w:hanging="720"/>
      </w:pPr>
      <w:rPr>
        <w:rFonts w:ascii="Symbol" w:hAnsi="Symbol" w:hint="default"/>
      </w:rPr>
    </w:lvl>
    <w:lvl w:ilvl="7">
      <w:start w:val="1"/>
      <w:numFmt w:val="bullet"/>
      <w:lvlText w:val="o"/>
      <w:lvlJc w:val="left"/>
      <w:pPr>
        <w:ind w:left="5695" w:hanging="720"/>
      </w:pPr>
      <w:rPr>
        <w:rFonts w:ascii="Courier New" w:hAnsi="Courier New" w:cs="Courier New" w:hint="default"/>
      </w:rPr>
    </w:lvl>
    <w:lvl w:ilvl="8">
      <w:start w:val="1"/>
      <w:numFmt w:val="bullet"/>
      <w:lvlText w:val=""/>
      <w:lvlJc w:val="left"/>
      <w:pPr>
        <w:ind w:left="6415" w:hanging="720"/>
      </w:pPr>
      <w:rPr>
        <w:rFonts w:ascii="Wingdings" w:hAnsi="Wingdings" w:hint="default"/>
      </w:rPr>
    </w:lvl>
  </w:abstractNum>
  <w:abstractNum w:abstractNumId="6" w15:restartNumberingAfterBreak="0">
    <w:nsid w:val="7D103597"/>
    <w:multiLevelType w:val="multilevel"/>
    <w:tmpl w:val="2B48AEA2"/>
    <w:lvl w:ilvl="0">
      <w:start w:val="1"/>
      <w:numFmt w:val="upperLetter"/>
      <w:pStyle w:val="Anne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27790743">
    <w:abstractNumId w:val="3"/>
  </w:num>
  <w:num w:numId="2" w16cid:durableId="2139909071">
    <w:abstractNumId w:val="6"/>
  </w:num>
  <w:num w:numId="3" w16cid:durableId="1929270894">
    <w:abstractNumId w:val="2"/>
  </w:num>
  <w:num w:numId="4" w16cid:durableId="802773494">
    <w:abstractNumId w:val="3"/>
  </w:num>
  <w:num w:numId="5" w16cid:durableId="803547175">
    <w:abstractNumId w:val="5"/>
  </w:num>
  <w:num w:numId="6" w16cid:durableId="487090999">
    <w:abstractNumId w:val="0"/>
  </w:num>
  <w:num w:numId="7" w16cid:durableId="1104811402">
    <w:abstractNumId w:val="4"/>
  </w:num>
  <w:num w:numId="8" w16cid:durableId="1949659955">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Skeats">
    <w15:presenceInfo w15:providerId="None" w15:userId="Martin Skea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efaultTableStyle w:val="DBSReport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1"/>
    <w:rsid w:val="00004671"/>
    <w:rsid w:val="0000535E"/>
    <w:rsid w:val="0001181E"/>
    <w:rsid w:val="00011D68"/>
    <w:rsid w:val="000126DC"/>
    <w:rsid w:val="00017281"/>
    <w:rsid w:val="00021398"/>
    <w:rsid w:val="00022DA9"/>
    <w:rsid w:val="00024FFC"/>
    <w:rsid w:val="00025EB5"/>
    <w:rsid w:val="00025F4F"/>
    <w:rsid w:val="0003131B"/>
    <w:rsid w:val="00031810"/>
    <w:rsid w:val="00032269"/>
    <w:rsid w:val="0003278F"/>
    <w:rsid w:val="00033095"/>
    <w:rsid w:val="000355FE"/>
    <w:rsid w:val="00035987"/>
    <w:rsid w:val="00035C4B"/>
    <w:rsid w:val="0003679F"/>
    <w:rsid w:val="00037B4F"/>
    <w:rsid w:val="000410F0"/>
    <w:rsid w:val="00041C81"/>
    <w:rsid w:val="00043A76"/>
    <w:rsid w:val="00043F68"/>
    <w:rsid w:val="0004427C"/>
    <w:rsid w:val="00046198"/>
    <w:rsid w:val="000461BC"/>
    <w:rsid w:val="000462B1"/>
    <w:rsid w:val="000471AD"/>
    <w:rsid w:val="00047DCE"/>
    <w:rsid w:val="00053A01"/>
    <w:rsid w:val="00053AED"/>
    <w:rsid w:val="00054461"/>
    <w:rsid w:val="00054EA3"/>
    <w:rsid w:val="00054FAB"/>
    <w:rsid w:val="00055CEF"/>
    <w:rsid w:val="000561DC"/>
    <w:rsid w:val="000569AC"/>
    <w:rsid w:val="00057C3C"/>
    <w:rsid w:val="00060146"/>
    <w:rsid w:val="000607E2"/>
    <w:rsid w:val="00060A29"/>
    <w:rsid w:val="00060B47"/>
    <w:rsid w:val="00061394"/>
    <w:rsid w:val="000629D6"/>
    <w:rsid w:val="00063405"/>
    <w:rsid w:val="00063FAE"/>
    <w:rsid w:val="0006688E"/>
    <w:rsid w:val="00070D56"/>
    <w:rsid w:val="0007194A"/>
    <w:rsid w:val="000740D0"/>
    <w:rsid w:val="00074D4C"/>
    <w:rsid w:val="00075A59"/>
    <w:rsid w:val="00075BF0"/>
    <w:rsid w:val="00075F34"/>
    <w:rsid w:val="00081A5A"/>
    <w:rsid w:val="00081FAE"/>
    <w:rsid w:val="00085351"/>
    <w:rsid w:val="00090B52"/>
    <w:rsid w:val="00091B2D"/>
    <w:rsid w:val="00091DB9"/>
    <w:rsid w:val="00092608"/>
    <w:rsid w:val="000930B0"/>
    <w:rsid w:val="00093109"/>
    <w:rsid w:val="0009360A"/>
    <w:rsid w:val="0009374C"/>
    <w:rsid w:val="00093904"/>
    <w:rsid w:val="00093CF4"/>
    <w:rsid w:val="00095BC3"/>
    <w:rsid w:val="000A05FF"/>
    <w:rsid w:val="000A11AB"/>
    <w:rsid w:val="000A1F7C"/>
    <w:rsid w:val="000A3DD9"/>
    <w:rsid w:val="000A574C"/>
    <w:rsid w:val="000A7899"/>
    <w:rsid w:val="000A79D7"/>
    <w:rsid w:val="000B08AE"/>
    <w:rsid w:val="000B0FD8"/>
    <w:rsid w:val="000B1DCD"/>
    <w:rsid w:val="000B2FBD"/>
    <w:rsid w:val="000B35C6"/>
    <w:rsid w:val="000B39AB"/>
    <w:rsid w:val="000B50C8"/>
    <w:rsid w:val="000B6B42"/>
    <w:rsid w:val="000B728F"/>
    <w:rsid w:val="000C0066"/>
    <w:rsid w:val="000C0540"/>
    <w:rsid w:val="000C0E1E"/>
    <w:rsid w:val="000C11F8"/>
    <w:rsid w:val="000C17C2"/>
    <w:rsid w:val="000C2557"/>
    <w:rsid w:val="000C2787"/>
    <w:rsid w:val="000C4206"/>
    <w:rsid w:val="000C44B6"/>
    <w:rsid w:val="000C47E9"/>
    <w:rsid w:val="000C5563"/>
    <w:rsid w:val="000C5DF3"/>
    <w:rsid w:val="000C7651"/>
    <w:rsid w:val="000C7E42"/>
    <w:rsid w:val="000C7F52"/>
    <w:rsid w:val="000D0290"/>
    <w:rsid w:val="000D0779"/>
    <w:rsid w:val="000D1F5B"/>
    <w:rsid w:val="000D328C"/>
    <w:rsid w:val="000D4663"/>
    <w:rsid w:val="000D52F9"/>
    <w:rsid w:val="000D6CF9"/>
    <w:rsid w:val="000D7C6B"/>
    <w:rsid w:val="000E396B"/>
    <w:rsid w:val="000E3D5C"/>
    <w:rsid w:val="000E4D80"/>
    <w:rsid w:val="000E5A1F"/>
    <w:rsid w:val="000E5B38"/>
    <w:rsid w:val="000E5D50"/>
    <w:rsid w:val="000E63E6"/>
    <w:rsid w:val="000E6634"/>
    <w:rsid w:val="000E6D89"/>
    <w:rsid w:val="000F009A"/>
    <w:rsid w:val="000F08E3"/>
    <w:rsid w:val="000F3803"/>
    <w:rsid w:val="000F4D6B"/>
    <w:rsid w:val="000F64ED"/>
    <w:rsid w:val="000F6EF2"/>
    <w:rsid w:val="000F7054"/>
    <w:rsid w:val="000F76E5"/>
    <w:rsid w:val="00100C80"/>
    <w:rsid w:val="001018EF"/>
    <w:rsid w:val="0010273D"/>
    <w:rsid w:val="0010351A"/>
    <w:rsid w:val="00104217"/>
    <w:rsid w:val="0010609E"/>
    <w:rsid w:val="00106F85"/>
    <w:rsid w:val="0010794B"/>
    <w:rsid w:val="00110AD8"/>
    <w:rsid w:val="00111634"/>
    <w:rsid w:val="00111855"/>
    <w:rsid w:val="00111EA3"/>
    <w:rsid w:val="00113D9A"/>
    <w:rsid w:val="001144CE"/>
    <w:rsid w:val="001154D2"/>
    <w:rsid w:val="0011557A"/>
    <w:rsid w:val="00116DEF"/>
    <w:rsid w:val="001171F9"/>
    <w:rsid w:val="00117285"/>
    <w:rsid w:val="0011794D"/>
    <w:rsid w:val="00121AF7"/>
    <w:rsid w:val="00123472"/>
    <w:rsid w:val="00123608"/>
    <w:rsid w:val="00124044"/>
    <w:rsid w:val="00124108"/>
    <w:rsid w:val="001271C5"/>
    <w:rsid w:val="00127358"/>
    <w:rsid w:val="00130B34"/>
    <w:rsid w:val="00130DCE"/>
    <w:rsid w:val="00131A2D"/>
    <w:rsid w:val="00131B90"/>
    <w:rsid w:val="00132B3C"/>
    <w:rsid w:val="001345E3"/>
    <w:rsid w:val="00135668"/>
    <w:rsid w:val="00136B09"/>
    <w:rsid w:val="00136D75"/>
    <w:rsid w:val="001419E2"/>
    <w:rsid w:val="00141FD5"/>
    <w:rsid w:val="0014254E"/>
    <w:rsid w:val="00142AB3"/>
    <w:rsid w:val="0014319F"/>
    <w:rsid w:val="00143AEC"/>
    <w:rsid w:val="00143BFF"/>
    <w:rsid w:val="00143C5F"/>
    <w:rsid w:val="001441D5"/>
    <w:rsid w:val="0014443F"/>
    <w:rsid w:val="00144C8C"/>
    <w:rsid w:val="00146C53"/>
    <w:rsid w:val="00146DDD"/>
    <w:rsid w:val="00147D64"/>
    <w:rsid w:val="001519BA"/>
    <w:rsid w:val="001523E3"/>
    <w:rsid w:val="00154808"/>
    <w:rsid w:val="001549DB"/>
    <w:rsid w:val="00154A17"/>
    <w:rsid w:val="00155C73"/>
    <w:rsid w:val="00155D88"/>
    <w:rsid w:val="00156066"/>
    <w:rsid w:val="001567B2"/>
    <w:rsid w:val="0015775B"/>
    <w:rsid w:val="00157D98"/>
    <w:rsid w:val="00161496"/>
    <w:rsid w:val="001616A5"/>
    <w:rsid w:val="00161C93"/>
    <w:rsid w:val="00167122"/>
    <w:rsid w:val="0016743F"/>
    <w:rsid w:val="0016766B"/>
    <w:rsid w:val="0016770D"/>
    <w:rsid w:val="00170280"/>
    <w:rsid w:val="00174176"/>
    <w:rsid w:val="001749A1"/>
    <w:rsid w:val="00175A04"/>
    <w:rsid w:val="0017678F"/>
    <w:rsid w:val="00176B34"/>
    <w:rsid w:val="0017772A"/>
    <w:rsid w:val="001810CE"/>
    <w:rsid w:val="00183A2F"/>
    <w:rsid w:val="00183C9E"/>
    <w:rsid w:val="00184291"/>
    <w:rsid w:val="00184B20"/>
    <w:rsid w:val="001853D9"/>
    <w:rsid w:val="001855B7"/>
    <w:rsid w:val="00185B09"/>
    <w:rsid w:val="00185BF7"/>
    <w:rsid w:val="0018640C"/>
    <w:rsid w:val="001877DF"/>
    <w:rsid w:val="00190A47"/>
    <w:rsid w:val="00190D24"/>
    <w:rsid w:val="00191B9D"/>
    <w:rsid w:val="00191F2E"/>
    <w:rsid w:val="00193F13"/>
    <w:rsid w:val="001950B0"/>
    <w:rsid w:val="00195685"/>
    <w:rsid w:val="00195C02"/>
    <w:rsid w:val="001968D4"/>
    <w:rsid w:val="00196F70"/>
    <w:rsid w:val="0019743F"/>
    <w:rsid w:val="00197902"/>
    <w:rsid w:val="001A0563"/>
    <w:rsid w:val="001A1411"/>
    <w:rsid w:val="001A143D"/>
    <w:rsid w:val="001A18B7"/>
    <w:rsid w:val="001A3529"/>
    <w:rsid w:val="001A3BA6"/>
    <w:rsid w:val="001A4920"/>
    <w:rsid w:val="001A4C18"/>
    <w:rsid w:val="001A799B"/>
    <w:rsid w:val="001B0615"/>
    <w:rsid w:val="001B13BC"/>
    <w:rsid w:val="001B259A"/>
    <w:rsid w:val="001B471B"/>
    <w:rsid w:val="001B70F1"/>
    <w:rsid w:val="001B78A1"/>
    <w:rsid w:val="001C062A"/>
    <w:rsid w:val="001C2141"/>
    <w:rsid w:val="001C2A65"/>
    <w:rsid w:val="001C328B"/>
    <w:rsid w:val="001C4362"/>
    <w:rsid w:val="001C6E78"/>
    <w:rsid w:val="001C70FA"/>
    <w:rsid w:val="001C7F6C"/>
    <w:rsid w:val="001D075A"/>
    <w:rsid w:val="001D5045"/>
    <w:rsid w:val="001D5DEC"/>
    <w:rsid w:val="001D7590"/>
    <w:rsid w:val="001E0C0A"/>
    <w:rsid w:val="001E202C"/>
    <w:rsid w:val="001E3C5F"/>
    <w:rsid w:val="001E3CAD"/>
    <w:rsid w:val="001E55A9"/>
    <w:rsid w:val="001E71A5"/>
    <w:rsid w:val="001E735C"/>
    <w:rsid w:val="001F08B7"/>
    <w:rsid w:val="001F14CF"/>
    <w:rsid w:val="001F264B"/>
    <w:rsid w:val="001F28D4"/>
    <w:rsid w:val="001F3E30"/>
    <w:rsid w:val="001F3FE0"/>
    <w:rsid w:val="001F4475"/>
    <w:rsid w:val="001F4AED"/>
    <w:rsid w:val="001F6080"/>
    <w:rsid w:val="001F75CE"/>
    <w:rsid w:val="00200371"/>
    <w:rsid w:val="002007C5"/>
    <w:rsid w:val="002010E8"/>
    <w:rsid w:val="00202884"/>
    <w:rsid w:val="00203057"/>
    <w:rsid w:val="00203655"/>
    <w:rsid w:val="002043EC"/>
    <w:rsid w:val="0020543C"/>
    <w:rsid w:val="0020589E"/>
    <w:rsid w:val="00205992"/>
    <w:rsid w:val="00207739"/>
    <w:rsid w:val="00210428"/>
    <w:rsid w:val="00210D0D"/>
    <w:rsid w:val="00211189"/>
    <w:rsid w:val="00214DCE"/>
    <w:rsid w:val="002157BC"/>
    <w:rsid w:val="00217D38"/>
    <w:rsid w:val="00220003"/>
    <w:rsid w:val="0022064F"/>
    <w:rsid w:val="00220AE5"/>
    <w:rsid w:val="0022133C"/>
    <w:rsid w:val="0022162D"/>
    <w:rsid w:val="00221747"/>
    <w:rsid w:val="00221E3E"/>
    <w:rsid w:val="002248AC"/>
    <w:rsid w:val="0022491D"/>
    <w:rsid w:val="00224D1B"/>
    <w:rsid w:val="0022550B"/>
    <w:rsid w:val="00225562"/>
    <w:rsid w:val="002266B2"/>
    <w:rsid w:val="00227643"/>
    <w:rsid w:val="002324DC"/>
    <w:rsid w:val="00232DC2"/>
    <w:rsid w:val="0023391B"/>
    <w:rsid w:val="00233CAB"/>
    <w:rsid w:val="00233EB7"/>
    <w:rsid w:val="002424B0"/>
    <w:rsid w:val="00244A86"/>
    <w:rsid w:val="00245543"/>
    <w:rsid w:val="00245940"/>
    <w:rsid w:val="00245D9C"/>
    <w:rsid w:val="002477D9"/>
    <w:rsid w:val="002514A3"/>
    <w:rsid w:val="00251C01"/>
    <w:rsid w:val="0025231C"/>
    <w:rsid w:val="00252408"/>
    <w:rsid w:val="0025283F"/>
    <w:rsid w:val="002561A1"/>
    <w:rsid w:val="00260161"/>
    <w:rsid w:val="00261854"/>
    <w:rsid w:val="00262F47"/>
    <w:rsid w:val="002638FC"/>
    <w:rsid w:val="0026486B"/>
    <w:rsid w:val="00264D72"/>
    <w:rsid w:val="0026753F"/>
    <w:rsid w:val="00270D81"/>
    <w:rsid w:val="00273930"/>
    <w:rsid w:val="00274963"/>
    <w:rsid w:val="002751CC"/>
    <w:rsid w:val="002763B4"/>
    <w:rsid w:val="00281D69"/>
    <w:rsid w:val="00282791"/>
    <w:rsid w:val="0028337B"/>
    <w:rsid w:val="00285D9D"/>
    <w:rsid w:val="00286083"/>
    <w:rsid w:val="0028710C"/>
    <w:rsid w:val="00287238"/>
    <w:rsid w:val="002874D2"/>
    <w:rsid w:val="00287952"/>
    <w:rsid w:val="00293B51"/>
    <w:rsid w:val="002942E1"/>
    <w:rsid w:val="00294425"/>
    <w:rsid w:val="00294A23"/>
    <w:rsid w:val="00296E7C"/>
    <w:rsid w:val="002975AA"/>
    <w:rsid w:val="00297BB8"/>
    <w:rsid w:val="00297D84"/>
    <w:rsid w:val="002A0A9C"/>
    <w:rsid w:val="002A1469"/>
    <w:rsid w:val="002A16AC"/>
    <w:rsid w:val="002A2600"/>
    <w:rsid w:val="002A2CCD"/>
    <w:rsid w:val="002A4B1A"/>
    <w:rsid w:val="002A50F5"/>
    <w:rsid w:val="002A7196"/>
    <w:rsid w:val="002A754C"/>
    <w:rsid w:val="002B1F5C"/>
    <w:rsid w:val="002B2658"/>
    <w:rsid w:val="002B311A"/>
    <w:rsid w:val="002B68BC"/>
    <w:rsid w:val="002B7DC5"/>
    <w:rsid w:val="002C1734"/>
    <w:rsid w:val="002C18A6"/>
    <w:rsid w:val="002C318A"/>
    <w:rsid w:val="002C3349"/>
    <w:rsid w:val="002C5716"/>
    <w:rsid w:val="002C5C52"/>
    <w:rsid w:val="002C6BFC"/>
    <w:rsid w:val="002D0338"/>
    <w:rsid w:val="002D129D"/>
    <w:rsid w:val="002D1EEB"/>
    <w:rsid w:val="002D2CE1"/>
    <w:rsid w:val="002D33E5"/>
    <w:rsid w:val="002D5AF0"/>
    <w:rsid w:val="002D6744"/>
    <w:rsid w:val="002E0571"/>
    <w:rsid w:val="002E2F2F"/>
    <w:rsid w:val="002E5435"/>
    <w:rsid w:val="002E59C9"/>
    <w:rsid w:val="002E63DC"/>
    <w:rsid w:val="002E66E9"/>
    <w:rsid w:val="002E7CCE"/>
    <w:rsid w:val="002F27EE"/>
    <w:rsid w:val="002F2B86"/>
    <w:rsid w:val="002F352D"/>
    <w:rsid w:val="002F3976"/>
    <w:rsid w:val="002F3E77"/>
    <w:rsid w:val="002F47BE"/>
    <w:rsid w:val="002F5D9E"/>
    <w:rsid w:val="003019EB"/>
    <w:rsid w:val="00302170"/>
    <w:rsid w:val="00302328"/>
    <w:rsid w:val="00302556"/>
    <w:rsid w:val="00303CBA"/>
    <w:rsid w:val="003042B4"/>
    <w:rsid w:val="003064D0"/>
    <w:rsid w:val="00307006"/>
    <w:rsid w:val="0031251E"/>
    <w:rsid w:val="00313045"/>
    <w:rsid w:val="00313148"/>
    <w:rsid w:val="0031333D"/>
    <w:rsid w:val="00313E06"/>
    <w:rsid w:val="00314976"/>
    <w:rsid w:val="0031614B"/>
    <w:rsid w:val="003163C8"/>
    <w:rsid w:val="00317681"/>
    <w:rsid w:val="003177B8"/>
    <w:rsid w:val="00317BC8"/>
    <w:rsid w:val="00320CFB"/>
    <w:rsid w:val="0032118A"/>
    <w:rsid w:val="003215FB"/>
    <w:rsid w:val="00322551"/>
    <w:rsid w:val="003228C0"/>
    <w:rsid w:val="003238CE"/>
    <w:rsid w:val="00323A32"/>
    <w:rsid w:val="00323B01"/>
    <w:rsid w:val="003243B6"/>
    <w:rsid w:val="0033080D"/>
    <w:rsid w:val="00331411"/>
    <w:rsid w:val="0033149B"/>
    <w:rsid w:val="003314EB"/>
    <w:rsid w:val="00332E7B"/>
    <w:rsid w:val="00333F70"/>
    <w:rsid w:val="0033548F"/>
    <w:rsid w:val="00335508"/>
    <w:rsid w:val="00335A25"/>
    <w:rsid w:val="00335D07"/>
    <w:rsid w:val="003365B2"/>
    <w:rsid w:val="003367DC"/>
    <w:rsid w:val="00337346"/>
    <w:rsid w:val="003407C0"/>
    <w:rsid w:val="00341798"/>
    <w:rsid w:val="00343328"/>
    <w:rsid w:val="00343A82"/>
    <w:rsid w:val="00344217"/>
    <w:rsid w:val="0034421A"/>
    <w:rsid w:val="00344A05"/>
    <w:rsid w:val="0034581B"/>
    <w:rsid w:val="00346364"/>
    <w:rsid w:val="00346CBA"/>
    <w:rsid w:val="0034722E"/>
    <w:rsid w:val="003479A6"/>
    <w:rsid w:val="00350111"/>
    <w:rsid w:val="003505C2"/>
    <w:rsid w:val="00350946"/>
    <w:rsid w:val="00352682"/>
    <w:rsid w:val="00355BD9"/>
    <w:rsid w:val="00356008"/>
    <w:rsid w:val="003573CF"/>
    <w:rsid w:val="0036123B"/>
    <w:rsid w:val="00364905"/>
    <w:rsid w:val="00365BA8"/>
    <w:rsid w:val="00370BA4"/>
    <w:rsid w:val="00370CC7"/>
    <w:rsid w:val="003742D4"/>
    <w:rsid w:val="003742E5"/>
    <w:rsid w:val="00375FAF"/>
    <w:rsid w:val="00376B2F"/>
    <w:rsid w:val="00381F1C"/>
    <w:rsid w:val="003829E4"/>
    <w:rsid w:val="00382D2C"/>
    <w:rsid w:val="00385856"/>
    <w:rsid w:val="003918A1"/>
    <w:rsid w:val="00391C71"/>
    <w:rsid w:val="00395307"/>
    <w:rsid w:val="00396988"/>
    <w:rsid w:val="003A23B3"/>
    <w:rsid w:val="003A3840"/>
    <w:rsid w:val="003A6A19"/>
    <w:rsid w:val="003B16FA"/>
    <w:rsid w:val="003B31AD"/>
    <w:rsid w:val="003B4F7F"/>
    <w:rsid w:val="003B564C"/>
    <w:rsid w:val="003B5C5C"/>
    <w:rsid w:val="003B64A4"/>
    <w:rsid w:val="003B782C"/>
    <w:rsid w:val="003C0C80"/>
    <w:rsid w:val="003C0CB4"/>
    <w:rsid w:val="003C0F24"/>
    <w:rsid w:val="003C3697"/>
    <w:rsid w:val="003C40F9"/>
    <w:rsid w:val="003C52F4"/>
    <w:rsid w:val="003C5B22"/>
    <w:rsid w:val="003C7FD3"/>
    <w:rsid w:val="003D015B"/>
    <w:rsid w:val="003D18BA"/>
    <w:rsid w:val="003D3587"/>
    <w:rsid w:val="003D37A2"/>
    <w:rsid w:val="003D40A5"/>
    <w:rsid w:val="003D5282"/>
    <w:rsid w:val="003D6511"/>
    <w:rsid w:val="003D68B4"/>
    <w:rsid w:val="003E0061"/>
    <w:rsid w:val="003E0E23"/>
    <w:rsid w:val="003E1CE7"/>
    <w:rsid w:val="003E1D17"/>
    <w:rsid w:val="003E2540"/>
    <w:rsid w:val="003E2D81"/>
    <w:rsid w:val="003E3B8D"/>
    <w:rsid w:val="003E42E6"/>
    <w:rsid w:val="003E47C5"/>
    <w:rsid w:val="003E51CE"/>
    <w:rsid w:val="003E661A"/>
    <w:rsid w:val="003E7D41"/>
    <w:rsid w:val="003F14F5"/>
    <w:rsid w:val="003F1889"/>
    <w:rsid w:val="003F1B80"/>
    <w:rsid w:val="003F2466"/>
    <w:rsid w:val="003F290E"/>
    <w:rsid w:val="003F2A2F"/>
    <w:rsid w:val="003F311F"/>
    <w:rsid w:val="003F4103"/>
    <w:rsid w:val="003F44C6"/>
    <w:rsid w:val="003F71A2"/>
    <w:rsid w:val="003F71E7"/>
    <w:rsid w:val="003F7D03"/>
    <w:rsid w:val="004002DE"/>
    <w:rsid w:val="0040066F"/>
    <w:rsid w:val="00400CF9"/>
    <w:rsid w:val="00402562"/>
    <w:rsid w:val="00402958"/>
    <w:rsid w:val="00402DF7"/>
    <w:rsid w:val="00403C65"/>
    <w:rsid w:val="00405250"/>
    <w:rsid w:val="00405350"/>
    <w:rsid w:val="004062B8"/>
    <w:rsid w:val="004062EF"/>
    <w:rsid w:val="0040649F"/>
    <w:rsid w:val="00410A0D"/>
    <w:rsid w:val="00411F99"/>
    <w:rsid w:val="004135D0"/>
    <w:rsid w:val="00416156"/>
    <w:rsid w:val="00416A3C"/>
    <w:rsid w:val="00416DC0"/>
    <w:rsid w:val="00420476"/>
    <w:rsid w:val="004208A0"/>
    <w:rsid w:val="00420EE9"/>
    <w:rsid w:val="00421D2B"/>
    <w:rsid w:val="00421E06"/>
    <w:rsid w:val="004221FF"/>
    <w:rsid w:val="004233AE"/>
    <w:rsid w:val="00423D58"/>
    <w:rsid w:val="004250EB"/>
    <w:rsid w:val="004258BB"/>
    <w:rsid w:val="00426145"/>
    <w:rsid w:val="0043172C"/>
    <w:rsid w:val="00431B7A"/>
    <w:rsid w:val="00433425"/>
    <w:rsid w:val="00433457"/>
    <w:rsid w:val="00435228"/>
    <w:rsid w:val="00437087"/>
    <w:rsid w:val="0043773F"/>
    <w:rsid w:val="00441974"/>
    <w:rsid w:val="00441E61"/>
    <w:rsid w:val="004428F5"/>
    <w:rsid w:val="004428FE"/>
    <w:rsid w:val="004436BB"/>
    <w:rsid w:val="00445272"/>
    <w:rsid w:val="00445CB9"/>
    <w:rsid w:val="00445FC3"/>
    <w:rsid w:val="00446CF0"/>
    <w:rsid w:val="00447A99"/>
    <w:rsid w:val="00447EA7"/>
    <w:rsid w:val="0045039D"/>
    <w:rsid w:val="00451485"/>
    <w:rsid w:val="004514B8"/>
    <w:rsid w:val="00451788"/>
    <w:rsid w:val="004518A6"/>
    <w:rsid w:val="004529E3"/>
    <w:rsid w:val="0045334E"/>
    <w:rsid w:val="00454534"/>
    <w:rsid w:val="00455079"/>
    <w:rsid w:val="004605A5"/>
    <w:rsid w:val="00460682"/>
    <w:rsid w:val="004616EE"/>
    <w:rsid w:val="0046198A"/>
    <w:rsid w:val="00461C48"/>
    <w:rsid w:val="004624B3"/>
    <w:rsid w:val="004641EC"/>
    <w:rsid w:val="00464C08"/>
    <w:rsid w:val="004661FD"/>
    <w:rsid w:val="00466F45"/>
    <w:rsid w:val="0046777B"/>
    <w:rsid w:val="00467D2E"/>
    <w:rsid w:val="0047005F"/>
    <w:rsid w:val="0047259D"/>
    <w:rsid w:val="00472625"/>
    <w:rsid w:val="004730E2"/>
    <w:rsid w:val="00473D69"/>
    <w:rsid w:val="00475A87"/>
    <w:rsid w:val="0047640C"/>
    <w:rsid w:val="00476688"/>
    <w:rsid w:val="0047713D"/>
    <w:rsid w:val="004771FD"/>
    <w:rsid w:val="004775D2"/>
    <w:rsid w:val="00480445"/>
    <w:rsid w:val="0048110A"/>
    <w:rsid w:val="00481ADE"/>
    <w:rsid w:val="00484C96"/>
    <w:rsid w:val="00485A2A"/>
    <w:rsid w:val="00485E9E"/>
    <w:rsid w:val="00486572"/>
    <w:rsid w:val="004868CD"/>
    <w:rsid w:val="00486974"/>
    <w:rsid w:val="00491086"/>
    <w:rsid w:val="00491139"/>
    <w:rsid w:val="00492054"/>
    <w:rsid w:val="00492464"/>
    <w:rsid w:val="004934FE"/>
    <w:rsid w:val="00493956"/>
    <w:rsid w:val="00495731"/>
    <w:rsid w:val="004965C1"/>
    <w:rsid w:val="00496AE4"/>
    <w:rsid w:val="0049761D"/>
    <w:rsid w:val="00497FDF"/>
    <w:rsid w:val="004A600D"/>
    <w:rsid w:val="004B023C"/>
    <w:rsid w:val="004B07A2"/>
    <w:rsid w:val="004B085D"/>
    <w:rsid w:val="004B162E"/>
    <w:rsid w:val="004B38D5"/>
    <w:rsid w:val="004B3960"/>
    <w:rsid w:val="004B435C"/>
    <w:rsid w:val="004B4AE7"/>
    <w:rsid w:val="004B4DCB"/>
    <w:rsid w:val="004B4F1A"/>
    <w:rsid w:val="004B6B65"/>
    <w:rsid w:val="004B704B"/>
    <w:rsid w:val="004B7098"/>
    <w:rsid w:val="004B7464"/>
    <w:rsid w:val="004B7475"/>
    <w:rsid w:val="004C0377"/>
    <w:rsid w:val="004C09A8"/>
    <w:rsid w:val="004C1589"/>
    <w:rsid w:val="004C1BAA"/>
    <w:rsid w:val="004C1C56"/>
    <w:rsid w:val="004C23BE"/>
    <w:rsid w:val="004C2800"/>
    <w:rsid w:val="004C334C"/>
    <w:rsid w:val="004C5392"/>
    <w:rsid w:val="004C60C7"/>
    <w:rsid w:val="004C7578"/>
    <w:rsid w:val="004C778A"/>
    <w:rsid w:val="004C7BA9"/>
    <w:rsid w:val="004D1BD0"/>
    <w:rsid w:val="004D4CBA"/>
    <w:rsid w:val="004D4F99"/>
    <w:rsid w:val="004D5E2A"/>
    <w:rsid w:val="004E10D9"/>
    <w:rsid w:val="004E2C92"/>
    <w:rsid w:val="004E389A"/>
    <w:rsid w:val="004E3FBB"/>
    <w:rsid w:val="004E5AAF"/>
    <w:rsid w:val="004F064C"/>
    <w:rsid w:val="004F0C12"/>
    <w:rsid w:val="004F1D89"/>
    <w:rsid w:val="004F319F"/>
    <w:rsid w:val="004F6434"/>
    <w:rsid w:val="00501359"/>
    <w:rsid w:val="00501439"/>
    <w:rsid w:val="005034AF"/>
    <w:rsid w:val="005035BA"/>
    <w:rsid w:val="00503937"/>
    <w:rsid w:val="00503E37"/>
    <w:rsid w:val="0050454E"/>
    <w:rsid w:val="00504A57"/>
    <w:rsid w:val="00505254"/>
    <w:rsid w:val="0050620B"/>
    <w:rsid w:val="005078ED"/>
    <w:rsid w:val="00511DC8"/>
    <w:rsid w:val="00512415"/>
    <w:rsid w:val="00512895"/>
    <w:rsid w:val="00512D13"/>
    <w:rsid w:val="005143E1"/>
    <w:rsid w:val="00514D32"/>
    <w:rsid w:val="0051748A"/>
    <w:rsid w:val="005175DC"/>
    <w:rsid w:val="0052034E"/>
    <w:rsid w:val="00520376"/>
    <w:rsid w:val="00520480"/>
    <w:rsid w:val="005234A4"/>
    <w:rsid w:val="00523D8A"/>
    <w:rsid w:val="00523D8D"/>
    <w:rsid w:val="00526B45"/>
    <w:rsid w:val="00527399"/>
    <w:rsid w:val="00527CE3"/>
    <w:rsid w:val="0053009C"/>
    <w:rsid w:val="00531CA0"/>
    <w:rsid w:val="00531D9E"/>
    <w:rsid w:val="00532375"/>
    <w:rsid w:val="00534961"/>
    <w:rsid w:val="00536625"/>
    <w:rsid w:val="005408F8"/>
    <w:rsid w:val="00543D4A"/>
    <w:rsid w:val="00545E6B"/>
    <w:rsid w:val="005467DC"/>
    <w:rsid w:val="00546BFF"/>
    <w:rsid w:val="00551A54"/>
    <w:rsid w:val="005530A0"/>
    <w:rsid w:val="00553263"/>
    <w:rsid w:val="005546F0"/>
    <w:rsid w:val="00556495"/>
    <w:rsid w:val="00556507"/>
    <w:rsid w:val="00556DB8"/>
    <w:rsid w:val="00557B09"/>
    <w:rsid w:val="0056062D"/>
    <w:rsid w:val="00560AC6"/>
    <w:rsid w:val="005612CD"/>
    <w:rsid w:val="00561659"/>
    <w:rsid w:val="00561B30"/>
    <w:rsid w:val="005622DD"/>
    <w:rsid w:val="005664D2"/>
    <w:rsid w:val="00566EF2"/>
    <w:rsid w:val="00573DC2"/>
    <w:rsid w:val="00575A9A"/>
    <w:rsid w:val="00575EB7"/>
    <w:rsid w:val="00576A37"/>
    <w:rsid w:val="00576B64"/>
    <w:rsid w:val="00576EA2"/>
    <w:rsid w:val="00584A02"/>
    <w:rsid w:val="00585135"/>
    <w:rsid w:val="00585AA2"/>
    <w:rsid w:val="00590819"/>
    <w:rsid w:val="0059248A"/>
    <w:rsid w:val="00592708"/>
    <w:rsid w:val="005927B0"/>
    <w:rsid w:val="00593775"/>
    <w:rsid w:val="005937CE"/>
    <w:rsid w:val="005949B1"/>
    <w:rsid w:val="00594E94"/>
    <w:rsid w:val="00596616"/>
    <w:rsid w:val="00596985"/>
    <w:rsid w:val="00596EE8"/>
    <w:rsid w:val="00597494"/>
    <w:rsid w:val="005A1EE3"/>
    <w:rsid w:val="005A3533"/>
    <w:rsid w:val="005A3D31"/>
    <w:rsid w:val="005A506A"/>
    <w:rsid w:val="005A52BE"/>
    <w:rsid w:val="005B01D6"/>
    <w:rsid w:val="005B0524"/>
    <w:rsid w:val="005B0CFA"/>
    <w:rsid w:val="005B0DA0"/>
    <w:rsid w:val="005B1801"/>
    <w:rsid w:val="005B21FA"/>
    <w:rsid w:val="005B3139"/>
    <w:rsid w:val="005B46D1"/>
    <w:rsid w:val="005B4D57"/>
    <w:rsid w:val="005B599B"/>
    <w:rsid w:val="005B63D9"/>
    <w:rsid w:val="005B7A82"/>
    <w:rsid w:val="005C2E67"/>
    <w:rsid w:val="005C3E8B"/>
    <w:rsid w:val="005C4CE7"/>
    <w:rsid w:val="005C542E"/>
    <w:rsid w:val="005C6877"/>
    <w:rsid w:val="005C68B3"/>
    <w:rsid w:val="005C7027"/>
    <w:rsid w:val="005C7417"/>
    <w:rsid w:val="005C7FB8"/>
    <w:rsid w:val="005D1214"/>
    <w:rsid w:val="005D1746"/>
    <w:rsid w:val="005D175F"/>
    <w:rsid w:val="005D23DD"/>
    <w:rsid w:val="005D3707"/>
    <w:rsid w:val="005D403A"/>
    <w:rsid w:val="005D4988"/>
    <w:rsid w:val="005D512F"/>
    <w:rsid w:val="005D54FC"/>
    <w:rsid w:val="005D60C6"/>
    <w:rsid w:val="005D696C"/>
    <w:rsid w:val="005D6FB0"/>
    <w:rsid w:val="005E0A63"/>
    <w:rsid w:val="005E0B5D"/>
    <w:rsid w:val="005E0FE2"/>
    <w:rsid w:val="005E407C"/>
    <w:rsid w:val="005E5BA7"/>
    <w:rsid w:val="005E6485"/>
    <w:rsid w:val="005E6F34"/>
    <w:rsid w:val="005E7300"/>
    <w:rsid w:val="005F26B2"/>
    <w:rsid w:val="005F29E9"/>
    <w:rsid w:val="005F65A2"/>
    <w:rsid w:val="005F7447"/>
    <w:rsid w:val="00600373"/>
    <w:rsid w:val="006008C4"/>
    <w:rsid w:val="00601150"/>
    <w:rsid w:val="00602CFD"/>
    <w:rsid w:val="00603841"/>
    <w:rsid w:val="00605B70"/>
    <w:rsid w:val="0061137B"/>
    <w:rsid w:val="00611CFC"/>
    <w:rsid w:val="006136F1"/>
    <w:rsid w:val="00613ED5"/>
    <w:rsid w:val="00615E5C"/>
    <w:rsid w:val="0062049A"/>
    <w:rsid w:val="006219E9"/>
    <w:rsid w:val="00621B79"/>
    <w:rsid w:val="00623091"/>
    <w:rsid w:val="0062309D"/>
    <w:rsid w:val="00623106"/>
    <w:rsid w:val="006236E0"/>
    <w:rsid w:val="00625180"/>
    <w:rsid w:val="00625325"/>
    <w:rsid w:val="0063034B"/>
    <w:rsid w:val="00630A06"/>
    <w:rsid w:val="00630C7C"/>
    <w:rsid w:val="00631EA5"/>
    <w:rsid w:val="00634864"/>
    <w:rsid w:val="00634CB8"/>
    <w:rsid w:val="00634E7A"/>
    <w:rsid w:val="006361E1"/>
    <w:rsid w:val="00636412"/>
    <w:rsid w:val="00641E27"/>
    <w:rsid w:val="00647663"/>
    <w:rsid w:val="00647B62"/>
    <w:rsid w:val="00647FBD"/>
    <w:rsid w:val="00647FE0"/>
    <w:rsid w:val="006502B3"/>
    <w:rsid w:val="00651839"/>
    <w:rsid w:val="00651953"/>
    <w:rsid w:val="00651D14"/>
    <w:rsid w:val="006529B0"/>
    <w:rsid w:val="00653AB8"/>
    <w:rsid w:val="00656049"/>
    <w:rsid w:val="00657A6F"/>
    <w:rsid w:val="00657DD2"/>
    <w:rsid w:val="006604F5"/>
    <w:rsid w:val="006605D8"/>
    <w:rsid w:val="00660F7D"/>
    <w:rsid w:val="00661B4B"/>
    <w:rsid w:val="00664D96"/>
    <w:rsid w:val="006675EB"/>
    <w:rsid w:val="006678D6"/>
    <w:rsid w:val="00667D6F"/>
    <w:rsid w:val="00670074"/>
    <w:rsid w:val="00670E1C"/>
    <w:rsid w:val="00671FC1"/>
    <w:rsid w:val="006727AD"/>
    <w:rsid w:val="00672ABD"/>
    <w:rsid w:val="006737B4"/>
    <w:rsid w:val="00673DDC"/>
    <w:rsid w:val="00674889"/>
    <w:rsid w:val="00676488"/>
    <w:rsid w:val="0067665B"/>
    <w:rsid w:val="006774C2"/>
    <w:rsid w:val="006776DB"/>
    <w:rsid w:val="00677BD7"/>
    <w:rsid w:val="00681B7F"/>
    <w:rsid w:val="00681FEB"/>
    <w:rsid w:val="00682AF5"/>
    <w:rsid w:val="006830EA"/>
    <w:rsid w:val="00685FCE"/>
    <w:rsid w:val="00686E74"/>
    <w:rsid w:val="00687000"/>
    <w:rsid w:val="006909F4"/>
    <w:rsid w:val="00692187"/>
    <w:rsid w:val="00692D83"/>
    <w:rsid w:val="006946C0"/>
    <w:rsid w:val="00694EEC"/>
    <w:rsid w:val="00697059"/>
    <w:rsid w:val="00697634"/>
    <w:rsid w:val="006A00FC"/>
    <w:rsid w:val="006A1317"/>
    <w:rsid w:val="006A324C"/>
    <w:rsid w:val="006A4272"/>
    <w:rsid w:val="006A49D2"/>
    <w:rsid w:val="006A5D59"/>
    <w:rsid w:val="006A71D4"/>
    <w:rsid w:val="006B0A3D"/>
    <w:rsid w:val="006B270E"/>
    <w:rsid w:val="006B44DC"/>
    <w:rsid w:val="006B55CD"/>
    <w:rsid w:val="006C1A59"/>
    <w:rsid w:val="006C1E2F"/>
    <w:rsid w:val="006C3FDD"/>
    <w:rsid w:val="006C6053"/>
    <w:rsid w:val="006C68A9"/>
    <w:rsid w:val="006C68C2"/>
    <w:rsid w:val="006C77B5"/>
    <w:rsid w:val="006C7B50"/>
    <w:rsid w:val="006D0734"/>
    <w:rsid w:val="006D2ABE"/>
    <w:rsid w:val="006D3CB6"/>
    <w:rsid w:val="006D3EB1"/>
    <w:rsid w:val="006D43C8"/>
    <w:rsid w:val="006E1C9B"/>
    <w:rsid w:val="006E3944"/>
    <w:rsid w:val="006E47A1"/>
    <w:rsid w:val="006E4926"/>
    <w:rsid w:val="006E5A07"/>
    <w:rsid w:val="006E5D93"/>
    <w:rsid w:val="006E797E"/>
    <w:rsid w:val="006F02BF"/>
    <w:rsid w:val="006F0767"/>
    <w:rsid w:val="006F0AB2"/>
    <w:rsid w:val="006F210C"/>
    <w:rsid w:val="006F3BE3"/>
    <w:rsid w:val="006F3F58"/>
    <w:rsid w:val="006F444F"/>
    <w:rsid w:val="006F53D7"/>
    <w:rsid w:val="006F60ED"/>
    <w:rsid w:val="006F62A9"/>
    <w:rsid w:val="006F71BA"/>
    <w:rsid w:val="006F7480"/>
    <w:rsid w:val="006F751F"/>
    <w:rsid w:val="00700AF6"/>
    <w:rsid w:val="00700B4A"/>
    <w:rsid w:val="00703301"/>
    <w:rsid w:val="007043F8"/>
    <w:rsid w:val="00704601"/>
    <w:rsid w:val="007048E2"/>
    <w:rsid w:val="00705F77"/>
    <w:rsid w:val="00706F51"/>
    <w:rsid w:val="007076BB"/>
    <w:rsid w:val="00711B26"/>
    <w:rsid w:val="0071266D"/>
    <w:rsid w:val="00713BB7"/>
    <w:rsid w:val="00713E04"/>
    <w:rsid w:val="00716E2B"/>
    <w:rsid w:val="00717538"/>
    <w:rsid w:val="00717A70"/>
    <w:rsid w:val="00721DD4"/>
    <w:rsid w:val="00722EB6"/>
    <w:rsid w:val="00723276"/>
    <w:rsid w:val="00723B1E"/>
    <w:rsid w:val="00727F90"/>
    <w:rsid w:val="00732AE1"/>
    <w:rsid w:val="0073370D"/>
    <w:rsid w:val="00734604"/>
    <w:rsid w:val="0073467D"/>
    <w:rsid w:val="00734A4B"/>
    <w:rsid w:val="00734D6F"/>
    <w:rsid w:val="00736122"/>
    <w:rsid w:val="0073699B"/>
    <w:rsid w:val="00736AED"/>
    <w:rsid w:val="00736C39"/>
    <w:rsid w:val="00741044"/>
    <w:rsid w:val="0074309E"/>
    <w:rsid w:val="0074317F"/>
    <w:rsid w:val="00743CA2"/>
    <w:rsid w:val="0074456E"/>
    <w:rsid w:val="00745181"/>
    <w:rsid w:val="007467E0"/>
    <w:rsid w:val="0075037E"/>
    <w:rsid w:val="0075137F"/>
    <w:rsid w:val="007532E7"/>
    <w:rsid w:val="00753CF8"/>
    <w:rsid w:val="00753FA5"/>
    <w:rsid w:val="0075463F"/>
    <w:rsid w:val="007559D4"/>
    <w:rsid w:val="007573AB"/>
    <w:rsid w:val="00761E45"/>
    <w:rsid w:val="00762AC3"/>
    <w:rsid w:val="00762B37"/>
    <w:rsid w:val="00764655"/>
    <w:rsid w:val="0076509A"/>
    <w:rsid w:val="00765752"/>
    <w:rsid w:val="00765BDB"/>
    <w:rsid w:val="00765CF9"/>
    <w:rsid w:val="00770059"/>
    <w:rsid w:val="00771AAA"/>
    <w:rsid w:val="007720FB"/>
    <w:rsid w:val="00773930"/>
    <w:rsid w:val="00775656"/>
    <w:rsid w:val="007812A1"/>
    <w:rsid w:val="00781409"/>
    <w:rsid w:val="00781801"/>
    <w:rsid w:val="0078270D"/>
    <w:rsid w:val="00785AA3"/>
    <w:rsid w:val="007860EF"/>
    <w:rsid w:val="0078684B"/>
    <w:rsid w:val="0078695C"/>
    <w:rsid w:val="00787316"/>
    <w:rsid w:val="00790092"/>
    <w:rsid w:val="007902B6"/>
    <w:rsid w:val="007914CF"/>
    <w:rsid w:val="00792D22"/>
    <w:rsid w:val="0079740A"/>
    <w:rsid w:val="007A0D6B"/>
    <w:rsid w:val="007A20BD"/>
    <w:rsid w:val="007A22AF"/>
    <w:rsid w:val="007A2AE3"/>
    <w:rsid w:val="007A3C5C"/>
    <w:rsid w:val="007A4640"/>
    <w:rsid w:val="007A4B68"/>
    <w:rsid w:val="007A4D7C"/>
    <w:rsid w:val="007A632E"/>
    <w:rsid w:val="007A79D1"/>
    <w:rsid w:val="007B1B8A"/>
    <w:rsid w:val="007B3064"/>
    <w:rsid w:val="007B34AA"/>
    <w:rsid w:val="007B4CD4"/>
    <w:rsid w:val="007B547D"/>
    <w:rsid w:val="007B601E"/>
    <w:rsid w:val="007B696C"/>
    <w:rsid w:val="007C0A39"/>
    <w:rsid w:val="007C185D"/>
    <w:rsid w:val="007C4965"/>
    <w:rsid w:val="007C58AA"/>
    <w:rsid w:val="007C6D5E"/>
    <w:rsid w:val="007C76C5"/>
    <w:rsid w:val="007C7CE5"/>
    <w:rsid w:val="007D032C"/>
    <w:rsid w:val="007D06B4"/>
    <w:rsid w:val="007D1FA5"/>
    <w:rsid w:val="007D2014"/>
    <w:rsid w:val="007D26C7"/>
    <w:rsid w:val="007D332E"/>
    <w:rsid w:val="007D3A05"/>
    <w:rsid w:val="007D3BDD"/>
    <w:rsid w:val="007D3EC8"/>
    <w:rsid w:val="007D58ED"/>
    <w:rsid w:val="007D5B22"/>
    <w:rsid w:val="007D7FAA"/>
    <w:rsid w:val="007E0677"/>
    <w:rsid w:val="007E0698"/>
    <w:rsid w:val="007E5454"/>
    <w:rsid w:val="007E54A7"/>
    <w:rsid w:val="007E6AD1"/>
    <w:rsid w:val="007E7A65"/>
    <w:rsid w:val="007E7AAE"/>
    <w:rsid w:val="007F0B64"/>
    <w:rsid w:val="007F1ABF"/>
    <w:rsid w:val="007F1C68"/>
    <w:rsid w:val="007F1E84"/>
    <w:rsid w:val="007F2989"/>
    <w:rsid w:val="007F3C7C"/>
    <w:rsid w:val="007F73F0"/>
    <w:rsid w:val="008000DF"/>
    <w:rsid w:val="008013E6"/>
    <w:rsid w:val="008015F4"/>
    <w:rsid w:val="008020F1"/>
    <w:rsid w:val="00802AF3"/>
    <w:rsid w:val="00803652"/>
    <w:rsid w:val="00803744"/>
    <w:rsid w:val="00806364"/>
    <w:rsid w:val="00806585"/>
    <w:rsid w:val="0081095C"/>
    <w:rsid w:val="00810B21"/>
    <w:rsid w:val="0081101E"/>
    <w:rsid w:val="00813F33"/>
    <w:rsid w:val="00814AF2"/>
    <w:rsid w:val="00814C7F"/>
    <w:rsid w:val="00816845"/>
    <w:rsid w:val="00817971"/>
    <w:rsid w:val="00820296"/>
    <w:rsid w:val="008203C4"/>
    <w:rsid w:val="008204AD"/>
    <w:rsid w:val="00821080"/>
    <w:rsid w:val="008210DF"/>
    <w:rsid w:val="008211CE"/>
    <w:rsid w:val="00822F57"/>
    <w:rsid w:val="008233C5"/>
    <w:rsid w:val="008273FC"/>
    <w:rsid w:val="008276CE"/>
    <w:rsid w:val="00827AC6"/>
    <w:rsid w:val="00830004"/>
    <w:rsid w:val="00830C99"/>
    <w:rsid w:val="00833592"/>
    <w:rsid w:val="008335D3"/>
    <w:rsid w:val="00836AA3"/>
    <w:rsid w:val="00840C57"/>
    <w:rsid w:val="00840FF0"/>
    <w:rsid w:val="0084173E"/>
    <w:rsid w:val="0084358B"/>
    <w:rsid w:val="008443BF"/>
    <w:rsid w:val="00844A8E"/>
    <w:rsid w:val="00850D26"/>
    <w:rsid w:val="0085289C"/>
    <w:rsid w:val="00853130"/>
    <w:rsid w:val="00853FDA"/>
    <w:rsid w:val="00854D34"/>
    <w:rsid w:val="00855E1E"/>
    <w:rsid w:val="008569AE"/>
    <w:rsid w:val="00857CAA"/>
    <w:rsid w:val="00857FE2"/>
    <w:rsid w:val="00860196"/>
    <w:rsid w:val="00860680"/>
    <w:rsid w:val="008607F1"/>
    <w:rsid w:val="00860EEF"/>
    <w:rsid w:val="00861A6B"/>
    <w:rsid w:val="00862DDB"/>
    <w:rsid w:val="00863EA5"/>
    <w:rsid w:val="00864756"/>
    <w:rsid w:val="00864861"/>
    <w:rsid w:val="00865C73"/>
    <w:rsid w:val="008666C3"/>
    <w:rsid w:val="00866A00"/>
    <w:rsid w:val="00870857"/>
    <w:rsid w:val="00871F31"/>
    <w:rsid w:val="0087315A"/>
    <w:rsid w:val="008743DE"/>
    <w:rsid w:val="00875482"/>
    <w:rsid w:val="00876C0E"/>
    <w:rsid w:val="00876E64"/>
    <w:rsid w:val="008777F1"/>
    <w:rsid w:val="0088180A"/>
    <w:rsid w:val="0088192F"/>
    <w:rsid w:val="008829F2"/>
    <w:rsid w:val="00882A53"/>
    <w:rsid w:val="00882AF7"/>
    <w:rsid w:val="00884198"/>
    <w:rsid w:val="0088440A"/>
    <w:rsid w:val="00885F40"/>
    <w:rsid w:val="00885F89"/>
    <w:rsid w:val="008872C1"/>
    <w:rsid w:val="008873C8"/>
    <w:rsid w:val="00887A68"/>
    <w:rsid w:val="00890463"/>
    <w:rsid w:val="008904D1"/>
    <w:rsid w:val="008915B5"/>
    <w:rsid w:val="00891A18"/>
    <w:rsid w:val="0089248E"/>
    <w:rsid w:val="0089427C"/>
    <w:rsid w:val="00894B93"/>
    <w:rsid w:val="00894D9C"/>
    <w:rsid w:val="008975A3"/>
    <w:rsid w:val="008A1501"/>
    <w:rsid w:val="008A1B96"/>
    <w:rsid w:val="008A4C3E"/>
    <w:rsid w:val="008A5535"/>
    <w:rsid w:val="008A746F"/>
    <w:rsid w:val="008A7486"/>
    <w:rsid w:val="008A7C8B"/>
    <w:rsid w:val="008A7D8A"/>
    <w:rsid w:val="008B0EA2"/>
    <w:rsid w:val="008B2D84"/>
    <w:rsid w:val="008B5256"/>
    <w:rsid w:val="008B53EC"/>
    <w:rsid w:val="008B5F29"/>
    <w:rsid w:val="008B6398"/>
    <w:rsid w:val="008C02F8"/>
    <w:rsid w:val="008C032A"/>
    <w:rsid w:val="008C0566"/>
    <w:rsid w:val="008C148F"/>
    <w:rsid w:val="008C265E"/>
    <w:rsid w:val="008C39A0"/>
    <w:rsid w:val="008C3A81"/>
    <w:rsid w:val="008C422B"/>
    <w:rsid w:val="008C565F"/>
    <w:rsid w:val="008C5713"/>
    <w:rsid w:val="008C679B"/>
    <w:rsid w:val="008C679C"/>
    <w:rsid w:val="008C693C"/>
    <w:rsid w:val="008C72B7"/>
    <w:rsid w:val="008D1F0F"/>
    <w:rsid w:val="008D2408"/>
    <w:rsid w:val="008D3C29"/>
    <w:rsid w:val="008D62C5"/>
    <w:rsid w:val="008E2A9F"/>
    <w:rsid w:val="008E2CFE"/>
    <w:rsid w:val="008E4986"/>
    <w:rsid w:val="008E6923"/>
    <w:rsid w:val="008E6DCF"/>
    <w:rsid w:val="008F03D7"/>
    <w:rsid w:val="008F06B0"/>
    <w:rsid w:val="008F453C"/>
    <w:rsid w:val="008F4CD7"/>
    <w:rsid w:val="008F7141"/>
    <w:rsid w:val="008F7387"/>
    <w:rsid w:val="008F7447"/>
    <w:rsid w:val="009034A0"/>
    <w:rsid w:val="00903CA3"/>
    <w:rsid w:val="00903F12"/>
    <w:rsid w:val="00905035"/>
    <w:rsid w:val="00905E0C"/>
    <w:rsid w:val="00907932"/>
    <w:rsid w:val="00910717"/>
    <w:rsid w:val="00911423"/>
    <w:rsid w:val="009119C8"/>
    <w:rsid w:val="0091299B"/>
    <w:rsid w:val="00913640"/>
    <w:rsid w:val="009154EB"/>
    <w:rsid w:val="0091771F"/>
    <w:rsid w:val="00917A99"/>
    <w:rsid w:val="009200F2"/>
    <w:rsid w:val="009203E0"/>
    <w:rsid w:val="009219CA"/>
    <w:rsid w:val="00922055"/>
    <w:rsid w:val="009252C0"/>
    <w:rsid w:val="00925895"/>
    <w:rsid w:val="00926C81"/>
    <w:rsid w:val="009300DD"/>
    <w:rsid w:val="00932A89"/>
    <w:rsid w:val="00936C7D"/>
    <w:rsid w:val="0093785C"/>
    <w:rsid w:val="00937FC0"/>
    <w:rsid w:val="00940D53"/>
    <w:rsid w:val="00941485"/>
    <w:rsid w:val="009415D8"/>
    <w:rsid w:val="00945251"/>
    <w:rsid w:val="00946112"/>
    <w:rsid w:val="009470F9"/>
    <w:rsid w:val="00950B55"/>
    <w:rsid w:val="00951708"/>
    <w:rsid w:val="00952AE8"/>
    <w:rsid w:val="00954122"/>
    <w:rsid w:val="0095532E"/>
    <w:rsid w:val="00955DA2"/>
    <w:rsid w:val="00956B88"/>
    <w:rsid w:val="00960237"/>
    <w:rsid w:val="00961D59"/>
    <w:rsid w:val="009637ED"/>
    <w:rsid w:val="0096522C"/>
    <w:rsid w:val="00965D2A"/>
    <w:rsid w:val="00965F30"/>
    <w:rsid w:val="00966A01"/>
    <w:rsid w:val="0096734E"/>
    <w:rsid w:val="00967520"/>
    <w:rsid w:val="00967B98"/>
    <w:rsid w:val="00970336"/>
    <w:rsid w:val="00972F9A"/>
    <w:rsid w:val="009737B6"/>
    <w:rsid w:val="00973EB6"/>
    <w:rsid w:val="00977C3B"/>
    <w:rsid w:val="00977E33"/>
    <w:rsid w:val="0098011B"/>
    <w:rsid w:val="00981808"/>
    <w:rsid w:val="009832CF"/>
    <w:rsid w:val="00987E61"/>
    <w:rsid w:val="0099307F"/>
    <w:rsid w:val="00996110"/>
    <w:rsid w:val="00996A41"/>
    <w:rsid w:val="00996D84"/>
    <w:rsid w:val="00996F4B"/>
    <w:rsid w:val="009974AA"/>
    <w:rsid w:val="00997C8F"/>
    <w:rsid w:val="009A16A1"/>
    <w:rsid w:val="009A36E2"/>
    <w:rsid w:val="009A42E0"/>
    <w:rsid w:val="009A68C4"/>
    <w:rsid w:val="009B013B"/>
    <w:rsid w:val="009B0DEB"/>
    <w:rsid w:val="009B1380"/>
    <w:rsid w:val="009B37D2"/>
    <w:rsid w:val="009B3C7A"/>
    <w:rsid w:val="009B44E3"/>
    <w:rsid w:val="009B45E2"/>
    <w:rsid w:val="009B5C2B"/>
    <w:rsid w:val="009B61DC"/>
    <w:rsid w:val="009B7368"/>
    <w:rsid w:val="009B7E68"/>
    <w:rsid w:val="009C09D7"/>
    <w:rsid w:val="009C162D"/>
    <w:rsid w:val="009C27F6"/>
    <w:rsid w:val="009C30C0"/>
    <w:rsid w:val="009C44CC"/>
    <w:rsid w:val="009C6224"/>
    <w:rsid w:val="009C7003"/>
    <w:rsid w:val="009C7321"/>
    <w:rsid w:val="009D0547"/>
    <w:rsid w:val="009D0E47"/>
    <w:rsid w:val="009D1685"/>
    <w:rsid w:val="009D4E12"/>
    <w:rsid w:val="009D60F4"/>
    <w:rsid w:val="009D75CB"/>
    <w:rsid w:val="009E0600"/>
    <w:rsid w:val="009E06EC"/>
    <w:rsid w:val="009E098E"/>
    <w:rsid w:val="009E16C9"/>
    <w:rsid w:val="009E1869"/>
    <w:rsid w:val="009E2244"/>
    <w:rsid w:val="009E7771"/>
    <w:rsid w:val="009F062B"/>
    <w:rsid w:val="009F110F"/>
    <w:rsid w:val="009F2057"/>
    <w:rsid w:val="009F2E35"/>
    <w:rsid w:val="009F4B7D"/>
    <w:rsid w:val="009F4DD6"/>
    <w:rsid w:val="009F54C5"/>
    <w:rsid w:val="009F7BDC"/>
    <w:rsid w:val="009F7EE2"/>
    <w:rsid w:val="00A0077C"/>
    <w:rsid w:val="00A04160"/>
    <w:rsid w:val="00A04530"/>
    <w:rsid w:val="00A077CD"/>
    <w:rsid w:val="00A11446"/>
    <w:rsid w:val="00A11E3A"/>
    <w:rsid w:val="00A12826"/>
    <w:rsid w:val="00A13E14"/>
    <w:rsid w:val="00A14778"/>
    <w:rsid w:val="00A16011"/>
    <w:rsid w:val="00A16288"/>
    <w:rsid w:val="00A17541"/>
    <w:rsid w:val="00A22B80"/>
    <w:rsid w:val="00A262CB"/>
    <w:rsid w:val="00A272EC"/>
    <w:rsid w:val="00A274EB"/>
    <w:rsid w:val="00A307EF"/>
    <w:rsid w:val="00A31B43"/>
    <w:rsid w:val="00A32632"/>
    <w:rsid w:val="00A32C40"/>
    <w:rsid w:val="00A32E2D"/>
    <w:rsid w:val="00A33053"/>
    <w:rsid w:val="00A3362D"/>
    <w:rsid w:val="00A37AB4"/>
    <w:rsid w:val="00A41EAD"/>
    <w:rsid w:val="00A437FD"/>
    <w:rsid w:val="00A43B01"/>
    <w:rsid w:val="00A45172"/>
    <w:rsid w:val="00A464AA"/>
    <w:rsid w:val="00A466BE"/>
    <w:rsid w:val="00A47427"/>
    <w:rsid w:val="00A52007"/>
    <w:rsid w:val="00A52018"/>
    <w:rsid w:val="00A52249"/>
    <w:rsid w:val="00A53BFA"/>
    <w:rsid w:val="00A54575"/>
    <w:rsid w:val="00A56073"/>
    <w:rsid w:val="00A57AA6"/>
    <w:rsid w:val="00A60B69"/>
    <w:rsid w:val="00A61184"/>
    <w:rsid w:val="00A658DC"/>
    <w:rsid w:val="00A65CE1"/>
    <w:rsid w:val="00A66EFC"/>
    <w:rsid w:val="00A6754A"/>
    <w:rsid w:val="00A70365"/>
    <w:rsid w:val="00A707AC"/>
    <w:rsid w:val="00A71A50"/>
    <w:rsid w:val="00A72E0B"/>
    <w:rsid w:val="00A7481C"/>
    <w:rsid w:val="00A75122"/>
    <w:rsid w:val="00A76996"/>
    <w:rsid w:val="00A774CD"/>
    <w:rsid w:val="00A800B2"/>
    <w:rsid w:val="00A813F9"/>
    <w:rsid w:val="00A81A3D"/>
    <w:rsid w:val="00A82A0E"/>
    <w:rsid w:val="00A8354A"/>
    <w:rsid w:val="00A83ED1"/>
    <w:rsid w:val="00A842EB"/>
    <w:rsid w:val="00A86278"/>
    <w:rsid w:val="00A870F3"/>
    <w:rsid w:val="00A8717C"/>
    <w:rsid w:val="00A8773C"/>
    <w:rsid w:val="00A9165F"/>
    <w:rsid w:val="00A9413E"/>
    <w:rsid w:val="00A94B23"/>
    <w:rsid w:val="00A94D21"/>
    <w:rsid w:val="00A94D95"/>
    <w:rsid w:val="00A94E7C"/>
    <w:rsid w:val="00A95176"/>
    <w:rsid w:val="00A95A50"/>
    <w:rsid w:val="00A96804"/>
    <w:rsid w:val="00A97D4F"/>
    <w:rsid w:val="00AA069C"/>
    <w:rsid w:val="00AA4BD0"/>
    <w:rsid w:val="00AA585E"/>
    <w:rsid w:val="00AA7208"/>
    <w:rsid w:val="00AB0192"/>
    <w:rsid w:val="00AB0F5D"/>
    <w:rsid w:val="00AB20E8"/>
    <w:rsid w:val="00AB3935"/>
    <w:rsid w:val="00AB60C6"/>
    <w:rsid w:val="00AB6192"/>
    <w:rsid w:val="00AC18F0"/>
    <w:rsid w:val="00AC1FC5"/>
    <w:rsid w:val="00AC3CBE"/>
    <w:rsid w:val="00AC4CD8"/>
    <w:rsid w:val="00AC4CF5"/>
    <w:rsid w:val="00AC678D"/>
    <w:rsid w:val="00AC7AD4"/>
    <w:rsid w:val="00AD00EF"/>
    <w:rsid w:val="00AD238B"/>
    <w:rsid w:val="00AD3756"/>
    <w:rsid w:val="00AD4056"/>
    <w:rsid w:val="00AD4A11"/>
    <w:rsid w:val="00AD6CED"/>
    <w:rsid w:val="00AD7626"/>
    <w:rsid w:val="00AE0C35"/>
    <w:rsid w:val="00AE1FE5"/>
    <w:rsid w:val="00AE75BF"/>
    <w:rsid w:val="00AF12BA"/>
    <w:rsid w:val="00AF1396"/>
    <w:rsid w:val="00AF17D0"/>
    <w:rsid w:val="00AF1AC7"/>
    <w:rsid w:val="00AF1B67"/>
    <w:rsid w:val="00AF2228"/>
    <w:rsid w:val="00AF3DCD"/>
    <w:rsid w:val="00AF49EA"/>
    <w:rsid w:val="00AF5120"/>
    <w:rsid w:val="00AF5468"/>
    <w:rsid w:val="00AF58F1"/>
    <w:rsid w:val="00AF5EE4"/>
    <w:rsid w:val="00B00156"/>
    <w:rsid w:val="00B00D07"/>
    <w:rsid w:val="00B03B83"/>
    <w:rsid w:val="00B04F13"/>
    <w:rsid w:val="00B07246"/>
    <w:rsid w:val="00B10900"/>
    <w:rsid w:val="00B109C1"/>
    <w:rsid w:val="00B11EB1"/>
    <w:rsid w:val="00B12745"/>
    <w:rsid w:val="00B127D7"/>
    <w:rsid w:val="00B12BB8"/>
    <w:rsid w:val="00B12C0C"/>
    <w:rsid w:val="00B15183"/>
    <w:rsid w:val="00B15902"/>
    <w:rsid w:val="00B21F28"/>
    <w:rsid w:val="00B231D9"/>
    <w:rsid w:val="00B23F50"/>
    <w:rsid w:val="00B24A45"/>
    <w:rsid w:val="00B24D13"/>
    <w:rsid w:val="00B258FB"/>
    <w:rsid w:val="00B25A1F"/>
    <w:rsid w:val="00B2660D"/>
    <w:rsid w:val="00B27D4D"/>
    <w:rsid w:val="00B30749"/>
    <w:rsid w:val="00B34EB0"/>
    <w:rsid w:val="00B34FC6"/>
    <w:rsid w:val="00B3507C"/>
    <w:rsid w:val="00B35E2A"/>
    <w:rsid w:val="00B367C3"/>
    <w:rsid w:val="00B40488"/>
    <w:rsid w:val="00B41B19"/>
    <w:rsid w:val="00B41B27"/>
    <w:rsid w:val="00B432C2"/>
    <w:rsid w:val="00B45455"/>
    <w:rsid w:val="00B45CF4"/>
    <w:rsid w:val="00B476E5"/>
    <w:rsid w:val="00B477A1"/>
    <w:rsid w:val="00B47C5D"/>
    <w:rsid w:val="00B47DCB"/>
    <w:rsid w:val="00B50253"/>
    <w:rsid w:val="00B5236F"/>
    <w:rsid w:val="00B527A0"/>
    <w:rsid w:val="00B53E4B"/>
    <w:rsid w:val="00B55EE0"/>
    <w:rsid w:val="00B5611B"/>
    <w:rsid w:val="00B5671E"/>
    <w:rsid w:val="00B60F59"/>
    <w:rsid w:val="00B630EE"/>
    <w:rsid w:val="00B632BF"/>
    <w:rsid w:val="00B637FA"/>
    <w:rsid w:val="00B63B43"/>
    <w:rsid w:val="00B66842"/>
    <w:rsid w:val="00B66F7E"/>
    <w:rsid w:val="00B6797A"/>
    <w:rsid w:val="00B70012"/>
    <w:rsid w:val="00B700CC"/>
    <w:rsid w:val="00B707CC"/>
    <w:rsid w:val="00B70FD2"/>
    <w:rsid w:val="00B71E47"/>
    <w:rsid w:val="00B72CC9"/>
    <w:rsid w:val="00B7435F"/>
    <w:rsid w:val="00B753D9"/>
    <w:rsid w:val="00B76124"/>
    <w:rsid w:val="00B7660B"/>
    <w:rsid w:val="00B76F88"/>
    <w:rsid w:val="00B8120C"/>
    <w:rsid w:val="00B81C75"/>
    <w:rsid w:val="00B81F26"/>
    <w:rsid w:val="00B84A71"/>
    <w:rsid w:val="00B857ED"/>
    <w:rsid w:val="00B87135"/>
    <w:rsid w:val="00B87DAF"/>
    <w:rsid w:val="00B900D2"/>
    <w:rsid w:val="00B903C3"/>
    <w:rsid w:val="00B912D0"/>
    <w:rsid w:val="00B92C48"/>
    <w:rsid w:val="00B94AB0"/>
    <w:rsid w:val="00B9692B"/>
    <w:rsid w:val="00B96CCE"/>
    <w:rsid w:val="00B979FC"/>
    <w:rsid w:val="00BA04E3"/>
    <w:rsid w:val="00BA0C16"/>
    <w:rsid w:val="00BA234A"/>
    <w:rsid w:val="00BA2ED1"/>
    <w:rsid w:val="00BA4790"/>
    <w:rsid w:val="00BA597D"/>
    <w:rsid w:val="00BA600A"/>
    <w:rsid w:val="00BA60C0"/>
    <w:rsid w:val="00BA6D4B"/>
    <w:rsid w:val="00BB0110"/>
    <w:rsid w:val="00BB0B82"/>
    <w:rsid w:val="00BB1D5D"/>
    <w:rsid w:val="00BB2A0A"/>
    <w:rsid w:val="00BB3E71"/>
    <w:rsid w:val="00BB4D06"/>
    <w:rsid w:val="00BB5EF5"/>
    <w:rsid w:val="00BB71FC"/>
    <w:rsid w:val="00BB7FCB"/>
    <w:rsid w:val="00BC401A"/>
    <w:rsid w:val="00BC4F16"/>
    <w:rsid w:val="00BC5202"/>
    <w:rsid w:val="00BC5BAC"/>
    <w:rsid w:val="00BC72E4"/>
    <w:rsid w:val="00BC7CC5"/>
    <w:rsid w:val="00BD047D"/>
    <w:rsid w:val="00BD115E"/>
    <w:rsid w:val="00BD3213"/>
    <w:rsid w:val="00BD3D7D"/>
    <w:rsid w:val="00BD47E5"/>
    <w:rsid w:val="00BD5A5F"/>
    <w:rsid w:val="00BD5EC0"/>
    <w:rsid w:val="00BD65AB"/>
    <w:rsid w:val="00BD6C5F"/>
    <w:rsid w:val="00BE0568"/>
    <w:rsid w:val="00BE0801"/>
    <w:rsid w:val="00BE19A3"/>
    <w:rsid w:val="00BE1BF9"/>
    <w:rsid w:val="00BE2C72"/>
    <w:rsid w:val="00BE496C"/>
    <w:rsid w:val="00BE5B24"/>
    <w:rsid w:val="00BE6850"/>
    <w:rsid w:val="00BE6AEE"/>
    <w:rsid w:val="00BE72F9"/>
    <w:rsid w:val="00BE7F6E"/>
    <w:rsid w:val="00BF0EE6"/>
    <w:rsid w:val="00BF1CF5"/>
    <w:rsid w:val="00BF27F7"/>
    <w:rsid w:val="00BF335D"/>
    <w:rsid w:val="00BF3778"/>
    <w:rsid w:val="00BF6307"/>
    <w:rsid w:val="00BF64DB"/>
    <w:rsid w:val="00BF6B6F"/>
    <w:rsid w:val="00BF72EB"/>
    <w:rsid w:val="00C01254"/>
    <w:rsid w:val="00C01760"/>
    <w:rsid w:val="00C03618"/>
    <w:rsid w:val="00C036B3"/>
    <w:rsid w:val="00C03AD8"/>
    <w:rsid w:val="00C03B53"/>
    <w:rsid w:val="00C03F99"/>
    <w:rsid w:val="00C044D4"/>
    <w:rsid w:val="00C04EA2"/>
    <w:rsid w:val="00C04F90"/>
    <w:rsid w:val="00C07308"/>
    <w:rsid w:val="00C0794B"/>
    <w:rsid w:val="00C07E30"/>
    <w:rsid w:val="00C109CA"/>
    <w:rsid w:val="00C12F12"/>
    <w:rsid w:val="00C13D33"/>
    <w:rsid w:val="00C157C5"/>
    <w:rsid w:val="00C1643D"/>
    <w:rsid w:val="00C16875"/>
    <w:rsid w:val="00C17751"/>
    <w:rsid w:val="00C17FFC"/>
    <w:rsid w:val="00C2050B"/>
    <w:rsid w:val="00C20792"/>
    <w:rsid w:val="00C2191E"/>
    <w:rsid w:val="00C21C3C"/>
    <w:rsid w:val="00C22B28"/>
    <w:rsid w:val="00C23C28"/>
    <w:rsid w:val="00C23D33"/>
    <w:rsid w:val="00C25DF7"/>
    <w:rsid w:val="00C2648C"/>
    <w:rsid w:val="00C26F61"/>
    <w:rsid w:val="00C27821"/>
    <w:rsid w:val="00C2798C"/>
    <w:rsid w:val="00C30353"/>
    <w:rsid w:val="00C310F7"/>
    <w:rsid w:val="00C31A81"/>
    <w:rsid w:val="00C34012"/>
    <w:rsid w:val="00C342BA"/>
    <w:rsid w:val="00C3567D"/>
    <w:rsid w:val="00C357C0"/>
    <w:rsid w:val="00C369BB"/>
    <w:rsid w:val="00C405F4"/>
    <w:rsid w:val="00C414DA"/>
    <w:rsid w:val="00C41F4E"/>
    <w:rsid w:val="00C42008"/>
    <w:rsid w:val="00C4284D"/>
    <w:rsid w:val="00C42D8C"/>
    <w:rsid w:val="00C44114"/>
    <w:rsid w:val="00C4442E"/>
    <w:rsid w:val="00C44E74"/>
    <w:rsid w:val="00C46B02"/>
    <w:rsid w:val="00C46C75"/>
    <w:rsid w:val="00C47E8C"/>
    <w:rsid w:val="00C50550"/>
    <w:rsid w:val="00C51416"/>
    <w:rsid w:val="00C51CD2"/>
    <w:rsid w:val="00C51E72"/>
    <w:rsid w:val="00C54C7C"/>
    <w:rsid w:val="00C54CCC"/>
    <w:rsid w:val="00C5554E"/>
    <w:rsid w:val="00C563B4"/>
    <w:rsid w:val="00C5660B"/>
    <w:rsid w:val="00C64401"/>
    <w:rsid w:val="00C644C5"/>
    <w:rsid w:val="00C712D2"/>
    <w:rsid w:val="00C71670"/>
    <w:rsid w:val="00C7531D"/>
    <w:rsid w:val="00C75B2B"/>
    <w:rsid w:val="00C7687C"/>
    <w:rsid w:val="00C76998"/>
    <w:rsid w:val="00C8178B"/>
    <w:rsid w:val="00C86153"/>
    <w:rsid w:val="00C90C21"/>
    <w:rsid w:val="00C91FD0"/>
    <w:rsid w:val="00C9377D"/>
    <w:rsid w:val="00C945AC"/>
    <w:rsid w:val="00C945B3"/>
    <w:rsid w:val="00C945F8"/>
    <w:rsid w:val="00C963CB"/>
    <w:rsid w:val="00C96EF8"/>
    <w:rsid w:val="00C97DBE"/>
    <w:rsid w:val="00CA1D73"/>
    <w:rsid w:val="00CA32F7"/>
    <w:rsid w:val="00CA46F9"/>
    <w:rsid w:val="00CA4891"/>
    <w:rsid w:val="00CA4A7C"/>
    <w:rsid w:val="00CA535A"/>
    <w:rsid w:val="00CA5D26"/>
    <w:rsid w:val="00CA7022"/>
    <w:rsid w:val="00CA711A"/>
    <w:rsid w:val="00CA7499"/>
    <w:rsid w:val="00CA75C1"/>
    <w:rsid w:val="00CA78AB"/>
    <w:rsid w:val="00CB0635"/>
    <w:rsid w:val="00CB38D4"/>
    <w:rsid w:val="00CB40D0"/>
    <w:rsid w:val="00CB4263"/>
    <w:rsid w:val="00CB50B3"/>
    <w:rsid w:val="00CB62D9"/>
    <w:rsid w:val="00CB6BC9"/>
    <w:rsid w:val="00CB6F17"/>
    <w:rsid w:val="00CB71E2"/>
    <w:rsid w:val="00CB7E4B"/>
    <w:rsid w:val="00CC17C3"/>
    <w:rsid w:val="00CC393C"/>
    <w:rsid w:val="00CC3AD8"/>
    <w:rsid w:val="00CC5C89"/>
    <w:rsid w:val="00CC5CC3"/>
    <w:rsid w:val="00CC65EA"/>
    <w:rsid w:val="00CC6A65"/>
    <w:rsid w:val="00CC75E5"/>
    <w:rsid w:val="00CD0084"/>
    <w:rsid w:val="00CD0C09"/>
    <w:rsid w:val="00CD0DF1"/>
    <w:rsid w:val="00CD21B2"/>
    <w:rsid w:val="00CD2758"/>
    <w:rsid w:val="00CD327C"/>
    <w:rsid w:val="00CD428B"/>
    <w:rsid w:val="00CD43B5"/>
    <w:rsid w:val="00CD448E"/>
    <w:rsid w:val="00CD466B"/>
    <w:rsid w:val="00CD4AA1"/>
    <w:rsid w:val="00CD4C3D"/>
    <w:rsid w:val="00CD4DB2"/>
    <w:rsid w:val="00CD5DE5"/>
    <w:rsid w:val="00CD64ED"/>
    <w:rsid w:val="00CD7AAC"/>
    <w:rsid w:val="00CE0045"/>
    <w:rsid w:val="00CE11DA"/>
    <w:rsid w:val="00CE278C"/>
    <w:rsid w:val="00CE4F6B"/>
    <w:rsid w:val="00CF36DA"/>
    <w:rsid w:val="00CF6DA7"/>
    <w:rsid w:val="00D001FB"/>
    <w:rsid w:val="00D02607"/>
    <w:rsid w:val="00D0325E"/>
    <w:rsid w:val="00D038C5"/>
    <w:rsid w:val="00D059C8"/>
    <w:rsid w:val="00D10416"/>
    <w:rsid w:val="00D10E3C"/>
    <w:rsid w:val="00D11B46"/>
    <w:rsid w:val="00D12BEA"/>
    <w:rsid w:val="00D15712"/>
    <w:rsid w:val="00D1573F"/>
    <w:rsid w:val="00D15CF8"/>
    <w:rsid w:val="00D15D09"/>
    <w:rsid w:val="00D16168"/>
    <w:rsid w:val="00D17EC6"/>
    <w:rsid w:val="00D200AC"/>
    <w:rsid w:val="00D20588"/>
    <w:rsid w:val="00D20B16"/>
    <w:rsid w:val="00D223FD"/>
    <w:rsid w:val="00D2356B"/>
    <w:rsid w:val="00D24890"/>
    <w:rsid w:val="00D25911"/>
    <w:rsid w:val="00D26CCF"/>
    <w:rsid w:val="00D3034E"/>
    <w:rsid w:val="00D30C55"/>
    <w:rsid w:val="00D3155A"/>
    <w:rsid w:val="00D31B2A"/>
    <w:rsid w:val="00D3319F"/>
    <w:rsid w:val="00D346C6"/>
    <w:rsid w:val="00D34D33"/>
    <w:rsid w:val="00D35A08"/>
    <w:rsid w:val="00D362AC"/>
    <w:rsid w:val="00D3693A"/>
    <w:rsid w:val="00D4142C"/>
    <w:rsid w:val="00D424A7"/>
    <w:rsid w:val="00D428D0"/>
    <w:rsid w:val="00D43288"/>
    <w:rsid w:val="00D5014A"/>
    <w:rsid w:val="00D51F84"/>
    <w:rsid w:val="00D53F6C"/>
    <w:rsid w:val="00D540DF"/>
    <w:rsid w:val="00D55AB2"/>
    <w:rsid w:val="00D55D08"/>
    <w:rsid w:val="00D57866"/>
    <w:rsid w:val="00D62E1A"/>
    <w:rsid w:val="00D63D77"/>
    <w:rsid w:val="00D63E6B"/>
    <w:rsid w:val="00D6483D"/>
    <w:rsid w:val="00D678D3"/>
    <w:rsid w:val="00D71D01"/>
    <w:rsid w:val="00D73E03"/>
    <w:rsid w:val="00D7622D"/>
    <w:rsid w:val="00D80ACF"/>
    <w:rsid w:val="00D80B66"/>
    <w:rsid w:val="00D80C56"/>
    <w:rsid w:val="00D80E52"/>
    <w:rsid w:val="00D8216E"/>
    <w:rsid w:val="00D82247"/>
    <w:rsid w:val="00D82817"/>
    <w:rsid w:val="00D83A08"/>
    <w:rsid w:val="00D8446D"/>
    <w:rsid w:val="00D85498"/>
    <w:rsid w:val="00D85DAB"/>
    <w:rsid w:val="00D8667A"/>
    <w:rsid w:val="00D87042"/>
    <w:rsid w:val="00D877AC"/>
    <w:rsid w:val="00D90C5C"/>
    <w:rsid w:val="00D91038"/>
    <w:rsid w:val="00D93601"/>
    <w:rsid w:val="00D94739"/>
    <w:rsid w:val="00D970D5"/>
    <w:rsid w:val="00DA0B45"/>
    <w:rsid w:val="00DA11FB"/>
    <w:rsid w:val="00DA2BC3"/>
    <w:rsid w:val="00DA4F5B"/>
    <w:rsid w:val="00DA59ED"/>
    <w:rsid w:val="00DA6D99"/>
    <w:rsid w:val="00DA7223"/>
    <w:rsid w:val="00DB0695"/>
    <w:rsid w:val="00DB0A0E"/>
    <w:rsid w:val="00DB0B70"/>
    <w:rsid w:val="00DB0DD7"/>
    <w:rsid w:val="00DB0F68"/>
    <w:rsid w:val="00DB3B17"/>
    <w:rsid w:val="00DB3DD4"/>
    <w:rsid w:val="00DB3DED"/>
    <w:rsid w:val="00DB59A0"/>
    <w:rsid w:val="00DB5F56"/>
    <w:rsid w:val="00DC0288"/>
    <w:rsid w:val="00DC13B4"/>
    <w:rsid w:val="00DC1A2E"/>
    <w:rsid w:val="00DC21FE"/>
    <w:rsid w:val="00DC357F"/>
    <w:rsid w:val="00DC41AE"/>
    <w:rsid w:val="00DC4A92"/>
    <w:rsid w:val="00DC5911"/>
    <w:rsid w:val="00DC65F3"/>
    <w:rsid w:val="00DC709F"/>
    <w:rsid w:val="00DC7A61"/>
    <w:rsid w:val="00DC7D4C"/>
    <w:rsid w:val="00DC7F67"/>
    <w:rsid w:val="00DD038A"/>
    <w:rsid w:val="00DD054C"/>
    <w:rsid w:val="00DD28D5"/>
    <w:rsid w:val="00DD2CED"/>
    <w:rsid w:val="00DD32D2"/>
    <w:rsid w:val="00DD3466"/>
    <w:rsid w:val="00DD4253"/>
    <w:rsid w:val="00DD4369"/>
    <w:rsid w:val="00DD477B"/>
    <w:rsid w:val="00DD4A09"/>
    <w:rsid w:val="00DD633E"/>
    <w:rsid w:val="00DD672A"/>
    <w:rsid w:val="00DD6C19"/>
    <w:rsid w:val="00DE0304"/>
    <w:rsid w:val="00DE09F6"/>
    <w:rsid w:val="00DE11EE"/>
    <w:rsid w:val="00DE39B7"/>
    <w:rsid w:val="00DF2452"/>
    <w:rsid w:val="00DF27D0"/>
    <w:rsid w:val="00DF2C2B"/>
    <w:rsid w:val="00DF306C"/>
    <w:rsid w:val="00DF3D9C"/>
    <w:rsid w:val="00DF4379"/>
    <w:rsid w:val="00DF5EDF"/>
    <w:rsid w:val="00E004CD"/>
    <w:rsid w:val="00E01ECA"/>
    <w:rsid w:val="00E024F8"/>
    <w:rsid w:val="00E0432B"/>
    <w:rsid w:val="00E0471C"/>
    <w:rsid w:val="00E05596"/>
    <w:rsid w:val="00E055C2"/>
    <w:rsid w:val="00E06334"/>
    <w:rsid w:val="00E06735"/>
    <w:rsid w:val="00E06C97"/>
    <w:rsid w:val="00E1018E"/>
    <w:rsid w:val="00E10453"/>
    <w:rsid w:val="00E10BE8"/>
    <w:rsid w:val="00E110AF"/>
    <w:rsid w:val="00E117D8"/>
    <w:rsid w:val="00E11808"/>
    <w:rsid w:val="00E122E1"/>
    <w:rsid w:val="00E143A1"/>
    <w:rsid w:val="00E14FF8"/>
    <w:rsid w:val="00E155E2"/>
    <w:rsid w:val="00E17230"/>
    <w:rsid w:val="00E17701"/>
    <w:rsid w:val="00E1778C"/>
    <w:rsid w:val="00E17EBB"/>
    <w:rsid w:val="00E21AF0"/>
    <w:rsid w:val="00E22FE1"/>
    <w:rsid w:val="00E2382C"/>
    <w:rsid w:val="00E23A15"/>
    <w:rsid w:val="00E24C0E"/>
    <w:rsid w:val="00E268D6"/>
    <w:rsid w:val="00E269CE"/>
    <w:rsid w:val="00E26C6F"/>
    <w:rsid w:val="00E27ACC"/>
    <w:rsid w:val="00E30A59"/>
    <w:rsid w:val="00E31ADE"/>
    <w:rsid w:val="00E32C68"/>
    <w:rsid w:val="00E330B1"/>
    <w:rsid w:val="00E34D0B"/>
    <w:rsid w:val="00E34EB1"/>
    <w:rsid w:val="00E35B27"/>
    <w:rsid w:val="00E35FEC"/>
    <w:rsid w:val="00E4599C"/>
    <w:rsid w:val="00E45A89"/>
    <w:rsid w:val="00E467DD"/>
    <w:rsid w:val="00E46AD4"/>
    <w:rsid w:val="00E501D7"/>
    <w:rsid w:val="00E51C73"/>
    <w:rsid w:val="00E520B2"/>
    <w:rsid w:val="00E52F26"/>
    <w:rsid w:val="00E53F38"/>
    <w:rsid w:val="00E56E5B"/>
    <w:rsid w:val="00E6008E"/>
    <w:rsid w:val="00E65058"/>
    <w:rsid w:val="00E667C4"/>
    <w:rsid w:val="00E67A6E"/>
    <w:rsid w:val="00E71164"/>
    <w:rsid w:val="00E7208A"/>
    <w:rsid w:val="00E73570"/>
    <w:rsid w:val="00E7373A"/>
    <w:rsid w:val="00E75BB6"/>
    <w:rsid w:val="00E77243"/>
    <w:rsid w:val="00E77384"/>
    <w:rsid w:val="00E77E3A"/>
    <w:rsid w:val="00E8041D"/>
    <w:rsid w:val="00E82C35"/>
    <w:rsid w:val="00E83598"/>
    <w:rsid w:val="00E85866"/>
    <w:rsid w:val="00E86480"/>
    <w:rsid w:val="00E86BAE"/>
    <w:rsid w:val="00E90678"/>
    <w:rsid w:val="00E90BB7"/>
    <w:rsid w:val="00E91206"/>
    <w:rsid w:val="00E9510F"/>
    <w:rsid w:val="00E97066"/>
    <w:rsid w:val="00EA00F4"/>
    <w:rsid w:val="00EA0769"/>
    <w:rsid w:val="00EA088F"/>
    <w:rsid w:val="00EA168A"/>
    <w:rsid w:val="00EA1DB1"/>
    <w:rsid w:val="00EA25A6"/>
    <w:rsid w:val="00EA25B3"/>
    <w:rsid w:val="00EA2A3B"/>
    <w:rsid w:val="00EA2B89"/>
    <w:rsid w:val="00EA2BE8"/>
    <w:rsid w:val="00EA2E56"/>
    <w:rsid w:val="00EA4990"/>
    <w:rsid w:val="00EA4B90"/>
    <w:rsid w:val="00EA7924"/>
    <w:rsid w:val="00EB0F29"/>
    <w:rsid w:val="00EB1F93"/>
    <w:rsid w:val="00EB42B2"/>
    <w:rsid w:val="00EB4BBA"/>
    <w:rsid w:val="00EB4F12"/>
    <w:rsid w:val="00EB5AB9"/>
    <w:rsid w:val="00EB61A5"/>
    <w:rsid w:val="00EB717E"/>
    <w:rsid w:val="00EB7AD1"/>
    <w:rsid w:val="00EB7E0E"/>
    <w:rsid w:val="00EC0FC0"/>
    <w:rsid w:val="00EC13EF"/>
    <w:rsid w:val="00EC2100"/>
    <w:rsid w:val="00EC2921"/>
    <w:rsid w:val="00EC45A5"/>
    <w:rsid w:val="00EC4749"/>
    <w:rsid w:val="00EC66F8"/>
    <w:rsid w:val="00EC6C7A"/>
    <w:rsid w:val="00EC6E86"/>
    <w:rsid w:val="00EC760A"/>
    <w:rsid w:val="00ED0C96"/>
    <w:rsid w:val="00ED0F55"/>
    <w:rsid w:val="00ED10E9"/>
    <w:rsid w:val="00ED37B7"/>
    <w:rsid w:val="00ED39BA"/>
    <w:rsid w:val="00ED422A"/>
    <w:rsid w:val="00ED4416"/>
    <w:rsid w:val="00ED4DE9"/>
    <w:rsid w:val="00EE0313"/>
    <w:rsid w:val="00EE191A"/>
    <w:rsid w:val="00EE1B82"/>
    <w:rsid w:val="00EE1E8A"/>
    <w:rsid w:val="00EE36E1"/>
    <w:rsid w:val="00EE373D"/>
    <w:rsid w:val="00EE3FD2"/>
    <w:rsid w:val="00EE5E8E"/>
    <w:rsid w:val="00EE609F"/>
    <w:rsid w:val="00EE678D"/>
    <w:rsid w:val="00EF07ED"/>
    <w:rsid w:val="00EF0923"/>
    <w:rsid w:val="00EF11CC"/>
    <w:rsid w:val="00EF2D74"/>
    <w:rsid w:val="00EF375C"/>
    <w:rsid w:val="00EF3E67"/>
    <w:rsid w:val="00EF4093"/>
    <w:rsid w:val="00EF5389"/>
    <w:rsid w:val="00EF6F16"/>
    <w:rsid w:val="00EF779E"/>
    <w:rsid w:val="00F00B92"/>
    <w:rsid w:val="00F00F51"/>
    <w:rsid w:val="00F0172A"/>
    <w:rsid w:val="00F020F3"/>
    <w:rsid w:val="00F022BB"/>
    <w:rsid w:val="00F02B9D"/>
    <w:rsid w:val="00F02BE9"/>
    <w:rsid w:val="00F032C2"/>
    <w:rsid w:val="00F0408A"/>
    <w:rsid w:val="00F04913"/>
    <w:rsid w:val="00F04935"/>
    <w:rsid w:val="00F06994"/>
    <w:rsid w:val="00F06DC6"/>
    <w:rsid w:val="00F073CD"/>
    <w:rsid w:val="00F1002D"/>
    <w:rsid w:val="00F10D86"/>
    <w:rsid w:val="00F11A31"/>
    <w:rsid w:val="00F13328"/>
    <w:rsid w:val="00F16A60"/>
    <w:rsid w:val="00F16E27"/>
    <w:rsid w:val="00F16EEE"/>
    <w:rsid w:val="00F2029A"/>
    <w:rsid w:val="00F212B4"/>
    <w:rsid w:val="00F225D9"/>
    <w:rsid w:val="00F23728"/>
    <w:rsid w:val="00F25B0B"/>
    <w:rsid w:val="00F27AF4"/>
    <w:rsid w:val="00F3026F"/>
    <w:rsid w:val="00F31C41"/>
    <w:rsid w:val="00F322C1"/>
    <w:rsid w:val="00F32FCB"/>
    <w:rsid w:val="00F352E8"/>
    <w:rsid w:val="00F373EB"/>
    <w:rsid w:val="00F37E0D"/>
    <w:rsid w:val="00F40791"/>
    <w:rsid w:val="00F42FF0"/>
    <w:rsid w:val="00F434CA"/>
    <w:rsid w:val="00F47C18"/>
    <w:rsid w:val="00F47D6F"/>
    <w:rsid w:val="00F507EC"/>
    <w:rsid w:val="00F50D3B"/>
    <w:rsid w:val="00F510E1"/>
    <w:rsid w:val="00F51E3C"/>
    <w:rsid w:val="00F52C72"/>
    <w:rsid w:val="00F54345"/>
    <w:rsid w:val="00F54840"/>
    <w:rsid w:val="00F54ECC"/>
    <w:rsid w:val="00F550D0"/>
    <w:rsid w:val="00F55526"/>
    <w:rsid w:val="00F55BD0"/>
    <w:rsid w:val="00F55CF2"/>
    <w:rsid w:val="00F5768E"/>
    <w:rsid w:val="00F57FD4"/>
    <w:rsid w:val="00F617FF"/>
    <w:rsid w:val="00F64B39"/>
    <w:rsid w:val="00F6665E"/>
    <w:rsid w:val="00F666AD"/>
    <w:rsid w:val="00F702AF"/>
    <w:rsid w:val="00F702F8"/>
    <w:rsid w:val="00F71C58"/>
    <w:rsid w:val="00F71EFA"/>
    <w:rsid w:val="00F73C35"/>
    <w:rsid w:val="00F76B1C"/>
    <w:rsid w:val="00F76D43"/>
    <w:rsid w:val="00F806DD"/>
    <w:rsid w:val="00F82EF1"/>
    <w:rsid w:val="00F833E7"/>
    <w:rsid w:val="00F84226"/>
    <w:rsid w:val="00F84F58"/>
    <w:rsid w:val="00F851F0"/>
    <w:rsid w:val="00F85C56"/>
    <w:rsid w:val="00F860A5"/>
    <w:rsid w:val="00F86AC0"/>
    <w:rsid w:val="00F87044"/>
    <w:rsid w:val="00F91756"/>
    <w:rsid w:val="00F92A6D"/>
    <w:rsid w:val="00F937E1"/>
    <w:rsid w:val="00F96731"/>
    <w:rsid w:val="00F96957"/>
    <w:rsid w:val="00F96A31"/>
    <w:rsid w:val="00F96CC3"/>
    <w:rsid w:val="00F979AF"/>
    <w:rsid w:val="00FA1465"/>
    <w:rsid w:val="00FA1870"/>
    <w:rsid w:val="00FA1AAA"/>
    <w:rsid w:val="00FA2642"/>
    <w:rsid w:val="00FA2B55"/>
    <w:rsid w:val="00FA4F3B"/>
    <w:rsid w:val="00FA5043"/>
    <w:rsid w:val="00FA5D76"/>
    <w:rsid w:val="00FA65D6"/>
    <w:rsid w:val="00FA7AF6"/>
    <w:rsid w:val="00FB1D95"/>
    <w:rsid w:val="00FB4151"/>
    <w:rsid w:val="00FB59F6"/>
    <w:rsid w:val="00FB5DF8"/>
    <w:rsid w:val="00FB5F29"/>
    <w:rsid w:val="00FB7D4B"/>
    <w:rsid w:val="00FC1AEA"/>
    <w:rsid w:val="00FC1CFF"/>
    <w:rsid w:val="00FC2630"/>
    <w:rsid w:val="00FC3FC3"/>
    <w:rsid w:val="00FC72E3"/>
    <w:rsid w:val="00FC7300"/>
    <w:rsid w:val="00FC79E7"/>
    <w:rsid w:val="00FD0888"/>
    <w:rsid w:val="00FD258F"/>
    <w:rsid w:val="00FD2AB3"/>
    <w:rsid w:val="00FD31B5"/>
    <w:rsid w:val="00FD3312"/>
    <w:rsid w:val="00FD5B9A"/>
    <w:rsid w:val="00FD5C87"/>
    <w:rsid w:val="00FD76BB"/>
    <w:rsid w:val="00FD7C40"/>
    <w:rsid w:val="00FE03E3"/>
    <w:rsid w:val="00FE0AF4"/>
    <w:rsid w:val="00FE0BFB"/>
    <w:rsid w:val="00FE0E37"/>
    <w:rsid w:val="00FE1E8F"/>
    <w:rsid w:val="00FE25EB"/>
    <w:rsid w:val="00FE3313"/>
    <w:rsid w:val="00FE431E"/>
    <w:rsid w:val="00FE4F32"/>
    <w:rsid w:val="00FE5135"/>
    <w:rsid w:val="00FE5A28"/>
    <w:rsid w:val="00FE7DF5"/>
    <w:rsid w:val="00FF38E4"/>
    <w:rsid w:val="00FF4D09"/>
    <w:rsid w:val="00FF5382"/>
    <w:rsid w:val="00FF657E"/>
    <w:rsid w:val="00FF6E6D"/>
    <w:rsid w:val="00FF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ADC62"/>
  <w15:chartTrackingRefBased/>
  <w15:docId w15:val="{2756A0D8-ED6B-4AEB-A56B-4D1872BF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13148"/>
    <w:pPr>
      <w:spacing w:after="120"/>
    </w:pPr>
    <w:rPr>
      <w:rFonts w:ascii="Arial" w:hAnsi="Arial"/>
      <w:sz w:val="24"/>
      <w:szCs w:val="24"/>
    </w:rPr>
  </w:style>
  <w:style w:type="paragraph" w:styleId="Heading1">
    <w:name w:val="heading 1"/>
    <w:basedOn w:val="Normal"/>
    <w:next w:val="Normal"/>
    <w:link w:val="Heading1Char"/>
    <w:qFormat/>
    <w:rsid w:val="00313148"/>
    <w:pPr>
      <w:keepNext/>
      <w:keepLines/>
      <w:numPr>
        <w:numId w:val="4"/>
      </w:numPr>
      <w:spacing w:before="240"/>
      <w:outlineLvl w:val="0"/>
    </w:pPr>
    <w:rPr>
      <w:rFonts w:ascii="Arial Bold" w:eastAsiaTheme="majorEastAsia" w:hAnsi="Arial Bold" w:cstheme="majorBidi"/>
      <w:b/>
      <w:bCs/>
      <w:color w:val="9C9A00"/>
      <w:kern w:val="32"/>
      <w:sz w:val="32"/>
      <w:szCs w:val="32"/>
    </w:rPr>
  </w:style>
  <w:style w:type="paragraph" w:styleId="Heading2">
    <w:name w:val="heading 2"/>
    <w:basedOn w:val="Normal"/>
    <w:next w:val="Heading20"/>
    <w:link w:val="Heading2Char"/>
    <w:rsid w:val="009D75CB"/>
    <w:pPr>
      <w:keepNext/>
      <w:keepLines/>
      <w:spacing w:after="240"/>
      <w:outlineLvl w:val="1"/>
    </w:pPr>
    <w:rPr>
      <w:rFonts w:cs="Arial"/>
      <w:color w:val="8F23B3"/>
      <w:sz w:val="28"/>
      <w:szCs w:val="28"/>
      <w:u w:val="single"/>
    </w:rPr>
  </w:style>
  <w:style w:type="paragraph" w:styleId="Heading3">
    <w:name w:val="heading 3"/>
    <w:basedOn w:val="Normal"/>
    <w:next w:val="Normal"/>
    <w:link w:val="Heading3Char"/>
    <w:rsid w:val="00313148"/>
    <w:pPr>
      <w:keepNext/>
      <w:keepLines/>
      <w:spacing w:before="40" w:after="24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List">
    <w:name w:val="Annex List"/>
    <w:basedOn w:val="Normal"/>
    <w:link w:val="AnnexListChar"/>
    <w:uiPriority w:val="1"/>
    <w:qFormat/>
    <w:rsid w:val="00313148"/>
    <w:pPr>
      <w:numPr>
        <w:numId w:val="2"/>
      </w:numPr>
      <w:spacing w:after="0"/>
    </w:pPr>
    <w:rPr>
      <w:rFonts w:cs="Arial"/>
      <w:color w:val="000000" w:themeColor="text1"/>
      <w:szCs w:val="22"/>
    </w:rPr>
  </w:style>
  <w:style w:type="character" w:customStyle="1" w:styleId="AnnexListChar">
    <w:name w:val="Annex List Char"/>
    <w:basedOn w:val="DefaultParagraphFont"/>
    <w:link w:val="AnnexList"/>
    <w:uiPriority w:val="1"/>
    <w:rsid w:val="00313148"/>
    <w:rPr>
      <w:rFonts w:ascii="Arial" w:hAnsi="Arial" w:cs="Arial"/>
      <w:color w:val="000000" w:themeColor="text1"/>
      <w:sz w:val="24"/>
      <w:szCs w:val="22"/>
    </w:rPr>
  </w:style>
  <w:style w:type="paragraph" w:customStyle="1" w:styleId="AppendixTitle">
    <w:name w:val="Appendix Title"/>
    <w:basedOn w:val="Heading1"/>
    <w:next w:val="Normal"/>
    <w:link w:val="AppendixTitleChar"/>
    <w:uiPriority w:val="4"/>
    <w:rsid w:val="00313148"/>
    <w:pPr>
      <w:pageBreakBefore/>
      <w:numPr>
        <w:numId w:val="0"/>
      </w:numPr>
      <w:spacing w:before="0" w:after="240"/>
    </w:pPr>
  </w:style>
  <w:style w:type="character" w:customStyle="1" w:styleId="AppendixTitleChar">
    <w:name w:val="Appendix Title Char"/>
    <w:basedOn w:val="Heading1Char"/>
    <w:link w:val="AppendixTitle"/>
    <w:uiPriority w:val="4"/>
    <w:rsid w:val="00313148"/>
    <w:rPr>
      <w:rFonts w:ascii="Arial Bold" w:eastAsiaTheme="majorEastAsia" w:hAnsi="Arial Bold" w:cstheme="majorBidi"/>
      <w:b/>
      <w:bCs/>
      <w:color w:val="9C9A00"/>
      <w:kern w:val="32"/>
      <w:sz w:val="32"/>
      <w:szCs w:val="32"/>
    </w:rPr>
  </w:style>
  <w:style w:type="paragraph" w:styleId="BalloonText">
    <w:name w:val="Balloon Text"/>
    <w:basedOn w:val="Normal"/>
    <w:link w:val="BalloonTextChar"/>
    <w:uiPriority w:val="99"/>
    <w:semiHidden/>
    <w:unhideWhenUsed/>
    <w:rsid w:val="00313148"/>
    <w:rPr>
      <w:rFonts w:ascii="Tahoma" w:hAnsi="Tahoma" w:cs="Tahoma"/>
      <w:sz w:val="16"/>
      <w:szCs w:val="16"/>
    </w:rPr>
  </w:style>
  <w:style w:type="character" w:customStyle="1" w:styleId="BalloonTextChar">
    <w:name w:val="Balloon Text Char"/>
    <w:link w:val="BalloonText"/>
    <w:uiPriority w:val="99"/>
    <w:semiHidden/>
    <w:rsid w:val="00313148"/>
    <w:rPr>
      <w:rFonts w:ascii="Tahoma" w:hAnsi="Tahoma" w:cs="Tahoma"/>
      <w:sz w:val="16"/>
      <w:szCs w:val="16"/>
    </w:rPr>
  </w:style>
  <w:style w:type="table" w:customStyle="1" w:styleId="Calendar2">
    <w:name w:val="Calendar 2"/>
    <w:basedOn w:val="TableNormal"/>
    <w:uiPriority w:val="99"/>
    <w:qFormat/>
    <w:rsid w:val="00313148"/>
    <w:pPr>
      <w:jc w:val="center"/>
    </w:pPr>
    <w:rPr>
      <w:rFonts w:asciiTheme="minorHAnsi" w:eastAsiaTheme="minorEastAsia" w:hAnsiTheme="minorHAnsi" w:cstheme="minorBidi"/>
      <w:sz w:val="28"/>
      <w:szCs w:val="28"/>
      <w:lang w:val="en-US" w:eastAsia="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CommentReference">
    <w:name w:val="annotation reference"/>
    <w:uiPriority w:val="99"/>
    <w:semiHidden/>
    <w:unhideWhenUsed/>
    <w:rsid w:val="00313148"/>
    <w:rPr>
      <w:sz w:val="16"/>
      <w:szCs w:val="16"/>
    </w:rPr>
  </w:style>
  <w:style w:type="paragraph" w:styleId="CommentText">
    <w:name w:val="annotation text"/>
    <w:basedOn w:val="Normal"/>
    <w:link w:val="CommentTextChar"/>
    <w:uiPriority w:val="99"/>
    <w:unhideWhenUsed/>
    <w:rsid w:val="00313148"/>
    <w:rPr>
      <w:sz w:val="20"/>
      <w:szCs w:val="20"/>
    </w:rPr>
  </w:style>
  <w:style w:type="character" w:customStyle="1" w:styleId="CommentTextChar">
    <w:name w:val="Comment Text Char"/>
    <w:basedOn w:val="DefaultParagraphFont"/>
    <w:link w:val="CommentText"/>
    <w:uiPriority w:val="99"/>
    <w:rsid w:val="00313148"/>
    <w:rPr>
      <w:rFonts w:ascii="Arial" w:hAnsi="Arial"/>
    </w:rPr>
  </w:style>
  <w:style w:type="paragraph" w:styleId="CommentSubject">
    <w:name w:val="annotation subject"/>
    <w:basedOn w:val="CommentText"/>
    <w:next w:val="CommentText"/>
    <w:link w:val="CommentSubjectChar"/>
    <w:uiPriority w:val="99"/>
    <w:semiHidden/>
    <w:unhideWhenUsed/>
    <w:rsid w:val="00313148"/>
    <w:rPr>
      <w:b/>
      <w:bCs/>
    </w:rPr>
  </w:style>
  <w:style w:type="character" w:customStyle="1" w:styleId="CommentSubjectChar">
    <w:name w:val="Comment Subject Char"/>
    <w:link w:val="CommentSubject"/>
    <w:uiPriority w:val="99"/>
    <w:semiHidden/>
    <w:rsid w:val="00313148"/>
    <w:rPr>
      <w:rFonts w:ascii="Arial" w:hAnsi="Arial"/>
      <w:b/>
      <w:bCs/>
    </w:rPr>
  </w:style>
  <w:style w:type="paragraph" w:customStyle="1" w:styleId="DBSMainTitleHeading-CorporateColour">
    <w:name w:val="DBS Main Title Heading - Corporate Colour"/>
    <w:basedOn w:val="Normal"/>
    <w:next w:val="Normal"/>
    <w:link w:val="DBSMainTitleHeading-CorporateColourChar"/>
    <w:qFormat/>
    <w:rsid w:val="00C03F99"/>
    <w:pPr>
      <w:keepNext/>
      <w:keepLines/>
      <w:spacing w:before="240"/>
    </w:pPr>
    <w:rPr>
      <w:rFonts w:cs="Arial"/>
      <w:b/>
      <w:color w:val="8F23B3"/>
      <w:sz w:val="32"/>
      <w:szCs w:val="32"/>
    </w:rPr>
  </w:style>
  <w:style w:type="character" w:customStyle="1" w:styleId="DBSMainTitleHeading-CorporateColourChar">
    <w:name w:val="DBS Main Title Heading - Corporate Colour Char"/>
    <w:basedOn w:val="DefaultParagraphFont"/>
    <w:link w:val="DBSMainTitleHeading-CorporateColour"/>
    <w:rsid w:val="00C03F99"/>
    <w:rPr>
      <w:rFonts w:ascii="Arial" w:hAnsi="Arial" w:cs="Arial"/>
      <w:b/>
      <w:color w:val="8F23B3"/>
      <w:sz w:val="32"/>
      <w:szCs w:val="32"/>
    </w:rPr>
  </w:style>
  <w:style w:type="paragraph" w:customStyle="1" w:styleId="Default">
    <w:name w:val="Default"/>
    <w:uiPriority w:val="99"/>
    <w:unhideWhenUsed/>
    <w:rsid w:val="0031314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13148"/>
    <w:rPr>
      <w:color w:val="954F72" w:themeColor="followedHyperlink"/>
      <w:u w:val="single"/>
    </w:rPr>
  </w:style>
  <w:style w:type="paragraph" w:styleId="Revision">
    <w:name w:val="Revision"/>
    <w:hidden/>
    <w:uiPriority w:val="99"/>
    <w:semiHidden/>
    <w:rsid w:val="006C68A9"/>
    <w:rPr>
      <w:sz w:val="24"/>
      <w:szCs w:val="24"/>
    </w:rPr>
  </w:style>
  <w:style w:type="paragraph" w:styleId="Footer">
    <w:name w:val="footer"/>
    <w:basedOn w:val="Normal"/>
    <w:link w:val="FooterChar"/>
    <w:uiPriority w:val="99"/>
    <w:unhideWhenUsed/>
    <w:rsid w:val="00313148"/>
    <w:pPr>
      <w:tabs>
        <w:tab w:val="center" w:pos="4513"/>
        <w:tab w:val="right" w:pos="9026"/>
      </w:tabs>
    </w:pPr>
  </w:style>
  <w:style w:type="character" w:customStyle="1" w:styleId="FooterChar">
    <w:name w:val="Footer Char"/>
    <w:link w:val="Footer"/>
    <w:uiPriority w:val="99"/>
    <w:rsid w:val="00313148"/>
    <w:rPr>
      <w:rFonts w:ascii="Arial" w:hAnsi="Arial"/>
      <w:sz w:val="24"/>
      <w:szCs w:val="24"/>
    </w:rPr>
  </w:style>
  <w:style w:type="paragraph" w:styleId="Header">
    <w:name w:val="header"/>
    <w:basedOn w:val="Normal"/>
    <w:link w:val="HeaderChar"/>
    <w:uiPriority w:val="99"/>
    <w:unhideWhenUsed/>
    <w:rsid w:val="00313148"/>
    <w:pPr>
      <w:tabs>
        <w:tab w:val="center" w:pos="4513"/>
        <w:tab w:val="right" w:pos="9026"/>
      </w:tabs>
    </w:pPr>
  </w:style>
  <w:style w:type="character" w:customStyle="1" w:styleId="HeaderChar">
    <w:name w:val="Header Char"/>
    <w:link w:val="Header"/>
    <w:uiPriority w:val="99"/>
    <w:rsid w:val="00313148"/>
    <w:rPr>
      <w:rFonts w:ascii="Arial" w:hAnsi="Arial"/>
      <w:sz w:val="24"/>
      <w:szCs w:val="24"/>
    </w:rPr>
  </w:style>
  <w:style w:type="paragraph" w:customStyle="1" w:styleId="Heading10">
    <w:name w:val="Heading #1"/>
    <w:basedOn w:val="Heading1"/>
    <w:next w:val="NormalNumbered"/>
    <w:link w:val="Heading1Char0"/>
    <w:qFormat/>
    <w:rsid w:val="00C03F99"/>
    <w:pPr>
      <w:spacing w:before="120" w:after="60"/>
      <w:outlineLvl w:val="9"/>
    </w:pPr>
    <w:rPr>
      <w:color w:val="8F23B3"/>
    </w:rPr>
  </w:style>
  <w:style w:type="character" w:customStyle="1" w:styleId="Heading1Char0">
    <w:name w:val="Heading #1 Char"/>
    <w:basedOn w:val="AppendixTitleChar"/>
    <w:link w:val="Heading10"/>
    <w:rsid w:val="00C03F99"/>
    <w:rPr>
      <w:rFonts w:ascii="Arial Bold" w:eastAsiaTheme="majorEastAsia" w:hAnsi="Arial Bold" w:cstheme="majorBidi"/>
      <w:b/>
      <w:bCs/>
      <w:color w:val="8F23B3"/>
      <w:kern w:val="32"/>
      <w:sz w:val="32"/>
      <w:szCs w:val="32"/>
    </w:rPr>
  </w:style>
  <w:style w:type="paragraph" w:customStyle="1" w:styleId="Heading20">
    <w:name w:val="Heading #2"/>
    <w:basedOn w:val="Heading2"/>
    <w:next w:val="Heading2"/>
    <w:link w:val="Heading2Char0"/>
    <w:qFormat/>
    <w:rsid w:val="00C03F99"/>
    <w:pPr>
      <w:spacing w:before="60" w:after="120"/>
      <w:outlineLvl w:val="9"/>
    </w:pPr>
  </w:style>
  <w:style w:type="character" w:customStyle="1" w:styleId="Heading2Char0">
    <w:name w:val="Heading #2 Char"/>
    <w:basedOn w:val="DefaultParagraphFont"/>
    <w:link w:val="Heading20"/>
    <w:rsid w:val="00C03F99"/>
    <w:rPr>
      <w:rFonts w:ascii="Arial" w:hAnsi="Arial" w:cs="Arial"/>
      <w:color w:val="8F23B3"/>
      <w:sz w:val="28"/>
      <w:szCs w:val="28"/>
      <w:u w:val="single"/>
    </w:rPr>
  </w:style>
  <w:style w:type="paragraph" w:customStyle="1" w:styleId="Heading30">
    <w:name w:val="Heading #3"/>
    <w:basedOn w:val="Heading3"/>
    <w:next w:val="Normal"/>
    <w:link w:val="Heading3Char0"/>
    <w:qFormat/>
    <w:rsid w:val="00864756"/>
    <w:pPr>
      <w:spacing w:before="60" w:after="120"/>
      <w:outlineLvl w:val="9"/>
    </w:pPr>
  </w:style>
  <w:style w:type="character" w:customStyle="1" w:styleId="Heading3Char0">
    <w:name w:val="Heading #3 Char"/>
    <w:basedOn w:val="DefaultParagraphFont"/>
    <w:link w:val="Heading30"/>
    <w:rsid w:val="00864756"/>
    <w:rPr>
      <w:rFonts w:ascii="Arial" w:eastAsiaTheme="majorEastAsia" w:hAnsi="Arial" w:cstheme="majorBidi"/>
      <w:i/>
      <w:sz w:val="24"/>
      <w:szCs w:val="24"/>
    </w:rPr>
  </w:style>
  <w:style w:type="character" w:customStyle="1" w:styleId="Heading1Char">
    <w:name w:val="Heading 1 Char"/>
    <w:basedOn w:val="DefaultParagraphFont"/>
    <w:link w:val="Heading1"/>
    <w:rsid w:val="00313148"/>
    <w:rPr>
      <w:rFonts w:ascii="Arial Bold" w:eastAsiaTheme="majorEastAsia" w:hAnsi="Arial Bold" w:cstheme="majorBidi"/>
      <w:b/>
      <w:bCs/>
      <w:color w:val="9C9A00"/>
      <w:kern w:val="32"/>
      <w:sz w:val="32"/>
      <w:szCs w:val="32"/>
    </w:rPr>
  </w:style>
  <w:style w:type="character" w:styleId="Hyperlink">
    <w:name w:val="Hyperlink"/>
    <w:uiPriority w:val="99"/>
    <w:unhideWhenUsed/>
    <w:rsid w:val="00313148"/>
    <w:rPr>
      <w:color w:val="0563C1"/>
      <w:u w:val="single"/>
    </w:rPr>
  </w:style>
  <w:style w:type="paragraph" w:customStyle="1" w:styleId="List-bullet">
    <w:name w:val="List - bullet"/>
    <w:basedOn w:val="Normal"/>
    <w:link w:val="List-bulletChar"/>
    <w:uiPriority w:val="3"/>
    <w:qFormat/>
    <w:rsid w:val="00DD6C19"/>
    <w:pPr>
      <w:numPr>
        <w:numId w:val="3"/>
      </w:numPr>
      <w:tabs>
        <w:tab w:val="left" w:pos="1440"/>
      </w:tabs>
      <w:ind w:left="1446" w:hanging="425"/>
    </w:pPr>
  </w:style>
  <w:style w:type="character" w:customStyle="1" w:styleId="List-bulletChar">
    <w:name w:val="List - bullet Char"/>
    <w:basedOn w:val="DefaultParagraphFont"/>
    <w:link w:val="List-bullet"/>
    <w:uiPriority w:val="3"/>
    <w:rsid w:val="00DD6C19"/>
    <w:rPr>
      <w:rFonts w:ascii="Arial" w:hAnsi="Arial"/>
      <w:sz w:val="24"/>
      <w:szCs w:val="24"/>
    </w:rPr>
  </w:style>
  <w:style w:type="paragraph" w:customStyle="1" w:styleId="List-numbered">
    <w:name w:val="List - numbered"/>
    <w:basedOn w:val="List-bullet"/>
    <w:link w:val="List-numberedChar"/>
    <w:uiPriority w:val="3"/>
    <w:qFormat/>
    <w:rsid w:val="00E91206"/>
    <w:pPr>
      <w:numPr>
        <w:numId w:val="5"/>
      </w:numPr>
    </w:pPr>
  </w:style>
  <w:style w:type="character" w:customStyle="1" w:styleId="List-numberedChar">
    <w:name w:val="List - numbered Char"/>
    <w:basedOn w:val="List-bulletChar"/>
    <w:link w:val="List-numbered"/>
    <w:uiPriority w:val="3"/>
    <w:rsid w:val="00021398"/>
    <w:rPr>
      <w:rFonts w:ascii="Arial" w:hAnsi="Arial"/>
      <w:sz w:val="24"/>
      <w:szCs w:val="24"/>
    </w:rPr>
  </w:style>
  <w:style w:type="paragraph" w:styleId="ListParagraph">
    <w:name w:val="List Paragraph"/>
    <w:aliases w:val="F5 List Paragraph,List Paragraph1,Dot pt,Ref,Use Case List Paragraph,Bullet List Paragraph,Equipment"/>
    <w:basedOn w:val="Normal"/>
    <w:link w:val="ListParagraphChar"/>
    <w:uiPriority w:val="34"/>
    <w:rsid w:val="00313148"/>
    <w:pPr>
      <w:ind w:left="720"/>
      <w:contextualSpacing/>
    </w:pPr>
  </w:style>
  <w:style w:type="character" w:customStyle="1" w:styleId="ListParagraphChar">
    <w:name w:val="List Paragraph Char"/>
    <w:aliases w:val="F5 List Paragraph Char,List Paragraph1 Char,Dot pt Char,Ref Char,Use Case List Paragraph Char,Bullet List Paragraph Char,Equipment Char"/>
    <w:link w:val="ListParagraph"/>
    <w:uiPriority w:val="34"/>
    <w:locked/>
    <w:rsid w:val="00313148"/>
    <w:rPr>
      <w:rFonts w:ascii="Arial" w:hAnsi="Arial"/>
      <w:sz w:val="24"/>
      <w:szCs w:val="24"/>
    </w:rPr>
  </w:style>
  <w:style w:type="paragraph" w:customStyle="1" w:styleId="NormalNumbered">
    <w:name w:val="Normal Numbered"/>
    <w:basedOn w:val="Normal"/>
    <w:link w:val="NormalNumberedChar"/>
    <w:qFormat/>
    <w:rsid w:val="004730E2"/>
    <w:pPr>
      <w:numPr>
        <w:ilvl w:val="1"/>
        <w:numId w:val="4"/>
      </w:numPr>
      <w:tabs>
        <w:tab w:val="left" w:pos="1021"/>
      </w:tabs>
      <w:spacing w:before="60" w:after="60"/>
      <w:textboxTightWrap w:val="firstAndLastLine"/>
    </w:pPr>
    <w:rPr>
      <w:rFonts w:cs="Arial"/>
      <w:iCs/>
    </w:rPr>
  </w:style>
  <w:style w:type="character" w:customStyle="1" w:styleId="NormalNumberedChar">
    <w:name w:val="Normal Numbered Char"/>
    <w:basedOn w:val="DefaultParagraphFont"/>
    <w:link w:val="NormalNumbered"/>
    <w:rsid w:val="004730E2"/>
    <w:rPr>
      <w:rFonts w:ascii="Arial" w:hAnsi="Arial" w:cs="Arial"/>
      <w:iCs/>
      <w:sz w:val="24"/>
      <w:szCs w:val="24"/>
    </w:rPr>
  </w:style>
  <w:style w:type="paragraph" w:customStyle="1" w:styleId="Nonumber">
    <w:name w:val="No number"/>
    <w:basedOn w:val="NormalNumbered"/>
    <w:link w:val="NonumberChar"/>
    <w:uiPriority w:val="1"/>
    <w:rsid w:val="00313148"/>
    <w:pPr>
      <w:numPr>
        <w:ilvl w:val="0"/>
        <w:numId w:val="0"/>
      </w:numPr>
      <w:ind w:left="720"/>
    </w:pPr>
  </w:style>
  <w:style w:type="character" w:customStyle="1" w:styleId="Heading2Char">
    <w:name w:val="Heading 2 Char"/>
    <w:basedOn w:val="DefaultParagraphFont"/>
    <w:link w:val="Heading2"/>
    <w:rsid w:val="009D75CB"/>
    <w:rPr>
      <w:rFonts w:ascii="Arial" w:hAnsi="Arial" w:cs="Arial"/>
      <w:color w:val="8F23B3"/>
      <w:sz w:val="28"/>
      <w:szCs w:val="28"/>
      <w:u w:val="single"/>
    </w:rPr>
  </w:style>
  <w:style w:type="character" w:customStyle="1" w:styleId="Heading3Char">
    <w:name w:val="Heading 3 Char"/>
    <w:basedOn w:val="DefaultParagraphFont"/>
    <w:link w:val="Heading3"/>
    <w:rsid w:val="00313148"/>
    <w:rPr>
      <w:rFonts w:ascii="Arial" w:eastAsiaTheme="majorEastAsia" w:hAnsi="Arial" w:cstheme="majorBidi"/>
      <w:i/>
      <w:sz w:val="24"/>
      <w:szCs w:val="24"/>
    </w:rPr>
  </w:style>
  <w:style w:type="character" w:customStyle="1" w:styleId="NonumberChar">
    <w:name w:val="No number Char"/>
    <w:basedOn w:val="DefaultParagraphFont"/>
    <w:link w:val="Nonumber"/>
    <w:uiPriority w:val="1"/>
    <w:rsid w:val="00313148"/>
    <w:rPr>
      <w:rFonts w:ascii="Arial" w:hAnsi="Arial" w:cs="Arial"/>
      <w:iCs/>
      <w:sz w:val="24"/>
      <w:szCs w:val="24"/>
    </w:rPr>
  </w:style>
  <w:style w:type="paragraph" w:styleId="NoSpacing">
    <w:name w:val="No Spacing"/>
    <w:link w:val="NoSpacingChar"/>
    <w:uiPriority w:val="1"/>
    <w:unhideWhenUsed/>
    <w:rsid w:val="00313148"/>
    <w:rPr>
      <w:rFonts w:ascii="Calibri" w:hAnsi="Calibri"/>
      <w:sz w:val="22"/>
      <w:szCs w:val="22"/>
      <w:lang w:val="en-US" w:eastAsia="en-US"/>
    </w:rPr>
  </w:style>
  <w:style w:type="character" w:customStyle="1" w:styleId="NoSpacingChar">
    <w:name w:val="No Spacing Char"/>
    <w:link w:val="NoSpacing"/>
    <w:uiPriority w:val="1"/>
    <w:rsid w:val="00313148"/>
    <w:rPr>
      <w:rFonts w:ascii="Calibri" w:hAnsi="Calibri"/>
      <w:sz w:val="22"/>
      <w:szCs w:val="22"/>
      <w:lang w:val="en-US" w:eastAsia="en-US"/>
    </w:rPr>
  </w:style>
  <w:style w:type="paragraph" w:styleId="NormalWeb">
    <w:name w:val="Normal (Web)"/>
    <w:basedOn w:val="Normal"/>
    <w:uiPriority w:val="99"/>
    <w:semiHidden/>
    <w:unhideWhenUsed/>
    <w:rsid w:val="00313148"/>
    <w:pPr>
      <w:spacing w:before="100" w:beforeAutospacing="1" w:after="100" w:afterAutospacing="1"/>
    </w:pPr>
  </w:style>
  <w:style w:type="character" w:styleId="PlaceholderText">
    <w:name w:val="Placeholder Text"/>
    <w:basedOn w:val="DefaultParagraphFont"/>
    <w:uiPriority w:val="99"/>
    <w:semiHidden/>
    <w:rsid w:val="00313148"/>
    <w:rPr>
      <w:color w:val="808080"/>
    </w:rPr>
  </w:style>
  <w:style w:type="table" w:customStyle="1" w:styleId="Style1">
    <w:name w:val="Style1"/>
    <w:basedOn w:val="TableNormal"/>
    <w:uiPriority w:val="99"/>
    <w:rsid w:val="00313148"/>
    <w:rPr>
      <w:rFonts w:ascii="Arial" w:hAnsi="Arial"/>
      <w:sz w:val="24"/>
      <w:szCs w:val="24"/>
    </w:rPr>
    <w:tblPr/>
  </w:style>
  <w:style w:type="paragraph" w:customStyle="1" w:styleId="TableBody">
    <w:name w:val="Table Body"/>
    <w:basedOn w:val="Normal"/>
    <w:link w:val="TableBodyChar"/>
    <w:uiPriority w:val="2"/>
    <w:qFormat/>
    <w:rsid w:val="00313148"/>
    <w:pPr>
      <w:spacing w:after="0"/>
    </w:pPr>
    <w:rPr>
      <w:rFonts w:cs="Arial"/>
      <w:szCs w:val="22"/>
    </w:rPr>
  </w:style>
  <w:style w:type="character" w:customStyle="1" w:styleId="TableBodyChar">
    <w:name w:val="Table Body Char"/>
    <w:basedOn w:val="DefaultParagraphFont"/>
    <w:link w:val="TableBody"/>
    <w:uiPriority w:val="2"/>
    <w:rsid w:val="00313148"/>
    <w:rPr>
      <w:rFonts w:ascii="Arial" w:hAnsi="Arial" w:cs="Arial"/>
      <w:sz w:val="24"/>
      <w:szCs w:val="22"/>
    </w:rPr>
  </w:style>
  <w:style w:type="table" w:styleId="TableGrid">
    <w:name w:val="Table Grid"/>
    <w:basedOn w:val="TableNormal"/>
    <w:rsid w:val="00313148"/>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
    <w:link w:val="TableHeadingChar"/>
    <w:uiPriority w:val="1"/>
    <w:qFormat/>
    <w:rsid w:val="00C03F99"/>
    <w:pPr>
      <w:keepNext/>
      <w:keepLines/>
    </w:pPr>
    <w:rPr>
      <w:b/>
      <w:color w:val="8F23B3"/>
    </w:rPr>
  </w:style>
  <w:style w:type="character" w:customStyle="1" w:styleId="TableHeadingChar">
    <w:name w:val="Table Heading Char"/>
    <w:basedOn w:val="DefaultParagraphFont"/>
    <w:link w:val="TableHeading"/>
    <w:uiPriority w:val="1"/>
    <w:rsid w:val="00C03F99"/>
    <w:rPr>
      <w:rFonts w:ascii="Arial" w:hAnsi="Arial" w:cs="Arial"/>
      <w:b/>
      <w:color w:val="8F23B3"/>
      <w:sz w:val="24"/>
      <w:szCs w:val="22"/>
    </w:rPr>
  </w:style>
  <w:style w:type="table" w:customStyle="1" w:styleId="TableText">
    <w:name w:val="Table Text"/>
    <w:basedOn w:val="TableNormal"/>
    <w:uiPriority w:val="99"/>
    <w:rsid w:val="00313148"/>
    <w:rPr>
      <w:rFonts w:ascii="Arial" w:hAnsi="Arial"/>
      <w:sz w:val="24"/>
      <w:szCs w:val="24"/>
    </w:rPr>
    <w:tblPr/>
  </w:style>
  <w:style w:type="paragraph" w:customStyle="1" w:styleId="TableTitle">
    <w:name w:val="Table Title"/>
    <w:basedOn w:val="Normal"/>
    <w:link w:val="TableTitleChar"/>
    <w:uiPriority w:val="1"/>
    <w:qFormat/>
    <w:rsid w:val="00313148"/>
    <w:pPr>
      <w:keepNext/>
      <w:keepLines/>
    </w:pPr>
    <w:rPr>
      <w:rFonts w:cs="Arial"/>
      <w:b/>
      <w:color w:val="FFFFFF" w:themeColor="background1"/>
    </w:rPr>
  </w:style>
  <w:style w:type="character" w:customStyle="1" w:styleId="TableTitleChar">
    <w:name w:val="Table Title Char"/>
    <w:basedOn w:val="DefaultParagraphFont"/>
    <w:link w:val="TableTitle"/>
    <w:uiPriority w:val="1"/>
    <w:rsid w:val="00313148"/>
    <w:rPr>
      <w:rFonts w:ascii="Arial" w:hAnsi="Arial" w:cs="Arial"/>
      <w:b/>
      <w:color w:val="FFFFFF" w:themeColor="background1"/>
      <w:sz w:val="24"/>
      <w:szCs w:val="24"/>
    </w:rPr>
  </w:style>
  <w:style w:type="paragraph" w:styleId="Title">
    <w:name w:val="Title"/>
    <w:basedOn w:val="Normal"/>
    <w:next w:val="Normal"/>
    <w:link w:val="TitleChar"/>
    <w:uiPriority w:val="10"/>
    <w:rsid w:val="00313148"/>
    <w:pPr>
      <w:keepNext/>
      <w:pageBreakBefore/>
      <w:spacing w:before="100" w:beforeAutospacing="1" w:after="48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313148"/>
    <w:rPr>
      <w:rFonts w:ascii="Arial" w:eastAsiaTheme="majorEastAsia" w:hAnsi="Arial" w:cstheme="majorBidi"/>
      <w:b/>
      <w:bCs/>
      <w:kern w:val="28"/>
      <w:sz w:val="32"/>
      <w:szCs w:val="32"/>
    </w:rPr>
  </w:style>
  <w:style w:type="table" w:customStyle="1" w:styleId="DBSReport1">
    <w:name w:val="_DBS Report1"/>
    <w:basedOn w:val="TableNormal"/>
    <w:uiPriority w:val="99"/>
    <w:rsid w:val="00B753D9"/>
    <w:pPr>
      <w:spacing w:after="1080"/>
    </w:pPr>
    <w:rPr>
      <w:rFonts w:ascii="Arial" w:hAnsi="Arial"/>
      <w:sz w:val="24"/>
      <w:szCs w:val="24"/>
    </w:rPr>
    <w:tblPr>
      <w:tblStyleRowBandSize w:val="1"/>
      <w:tblStyleColBandSize w:val="1"/>
      <w:tblInd w:w="1021" w:type="dxa"/>
      <w:tblBorders>
        <w:insideH w:val="single" w:sz="4" w:space="0" w:color="8F23B3"/>
      </w:tblBorders>
      <w:tblCellMar>
        <w:left w:w="57" w:type="dxa"/>
        <w:right w:w="57" w:type="dxa"/>
      </w:tblCellMar>
    </w:tblPr>
    <w:tcPr>
      <w:shd w:val="clear" w:color="auto" w:fill="FFFFFF" w:themeFill="background1"/>
    </w:tcPr>
    <w:tblStylePr w:type="firstRow">
      <w:rPr>
        <w:rFonts w:ascii="Arial" w:hAnsi="Arial"/>
        <w:b/>
        <w:color w:val="FFFFFF" w:themeColor="background1"/>
        <w:sz w:val="24"/>
      </w:rPr>
      <w:tblPr/>
      <w:tcPr>
        <w:shd w:val="clear" w:color="auto" w:fill="8F23B3"/>
      </w:tcPr>
    </w:tblStylePr>
    <w:tblStylePr w:type="lastRow">
      <w:rPr>
        <w:rFonts w:ascii="Arial" w:hAnsi="Arial"/>
        <w:b/>
        <w:sz w:val="24"/>
      </w:rPr>
    </w:tblStylePr>
    <w:tblStylePr w:type="firstCol">
      <w:rPr>
        <w:rFonts w:ascii="Arial" w:hAnsi="Arial"/>
        <w:color w:val="8F23B3"/>
        <w:sz w:val="24"/>
      </w:rPr>
    </w:tblStylePr>
    <w:tblStylePr w:type="lastCol">
      <w:rPr>
        <w:rFonts w:ascii="Arial" w:hAnsi="Arial"/>
        <w:sz w:val="24"/>
      </w:rPr>
    </w:tblStylePr>
    <w:tblStylePr w:type="band1Vert">
      <w:rPr>
        <w:rFonts w:ascii="Arial" w:hAnsi="Arial"/>
        <w:sz w:val="24"/>
      </w:rPr>
    </w:tblStylePr>
    <w:tblStylePr w:type="band2Vert">
      <w:rPr>
        <w:rFonts w:ascii="Arial" w:hAnsi="Arial"/>
        <w:sz w:val="24"/>
      </w:rPr>
      <w:tblPr/>
      <w:trPr>
        <w:tblHeader/>
      </w:trPr>
    </w:tblStylePr>
    <w:tblStylePr w:type="band1Horz">
      <w:rPr>
        <w:rFonts w:ascii="Arial" w:hAnsi="Arial"/>
        <w:sz w:val="24"/>
      </w:rPr>
    </w:tblStylePr>
    <w:tblStylePr w:type="band2Horz">
      <w:rPr>
        <w:rFonts w:ascii="Arial" w:hAnsi="Arial"/>
        <w:sz w:val="24"/>
      </w:rPr>
    </w:tblStylePr>
  </w:style>
  <w:style w:type="paragraph" w:styleId="FootnoteText">
    <w:name w:val="footnote text"/>
    <w:basedOn w:val="Normal"/>
    <w:link w:val="FootnoteTextChar"/>
    <w:semiHidden/>
    <w:rsid w:val="00EB4BBA"/>
    <w:rPr>
      <w:rFonts w:ascii="Times New Roman" w:hAnsi="Times New Roman"/>
      <w:sz w:val="20"/>
      <w:szCs w:val="20"/>
      <w:lang w:eastAsia="en-US"/>
    </w:rPr>
  </w:style>
  <w:style w:type="character" w:customStyle="1" w:styleId="FootnoteTextChar">
    <w:name w:val="Footnote Text Char"/>
    <w:basedOn w:val="DefaultParagraphFont"/>
    <w:link w:val="FootnoteText"/>
    <w:semiHidden/>
    <w:rsid w:val="00EB4BBA"/>
    <w:rPr>
      <w:lang w:eastAsia="en-US"/>
    </w:rPr>
  </w:style>
  <w:style w:type="character" w:styleId="FootnoteReference">
    <w:name w:val="footnote reference"/>
    <w:semiHidden/>
    <w:rsid w:val="00EB4BBA"/>
    <w:rPr>
      <w:vertAlign w:val="superscript"/>
    </w:rPr>
  </w:style>
  <w:style w:type="paragraph" w:customStyle="1" w:styleId="Bulletlist">
    <w:name w:val="Bullet list"/>
    <w:basedOn w:val="BodyText"/>
    <w:link w:val="BulletlistChar"/>
    <w:rsid w:val="00EB4BBA"/>
    <w:pPr>
      <w:numPr>
        <w:numId w:val="6"/>
      </w:numPr>
      <w:tabs>
        <w:tab w:val="clear" w:pos="1080"/>
      </w:tabs>
      <w:ind w:left="0" w:firstLine="0"/>
    </w:pPr>
  </w:style>
  <w:style w:type="table" w:styleId="GridTable5Dark-Accent2">
    <w:name w:val="Grid Table 5 Dark Accent 2"/>
    <w:basedOn w:val="TableNormal"/>
    <w:uiPriority w:val="50"/>
    <w:rsid w:val="00EB4BBA"/>
    <w:pPr>
      <w:spacing w:after="12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BulletlistChar">
    <w:name w:val="Bullet list Char"/>
    <w:link w:val="Bulletlist"/>
    <w:rsid w:val="00EB4BBA"/>
    <w:rPr>
      <w:rFonts w:ascii="Arial" w:hAnsi="Arial"/>
      <w:sz w:val="24"/>
      <w:szCs w:val="24"/>
    </w:rPr>
  </w:style>
  <w:style w:type="paragraph" w:styleId="BodyText">
    <w:name w:val="Body Text"/>
    <w:basedOn w:val="Normal"/>
    <w:link w:val="BodyTextChar"/>
    <w:uiPriority w:val="99"/>
    <w:semiHidden/>
    <w:unhideWhenUsed/>
    <w:rsid w:val="00EB4BBA"/>
  </w:style>
  <w:style w:type="character" w:customStyle="1" w:styleId="BodyTextChar">
    <w:name w:val="Body Text Char"/>
    <w:basedOn w:val="DefaultParagraphFont"/>
    <w:link w:val="BodyText"/>
    <w:uiPriority w:val="99"/>
    <w:semiHidden/>
    <w:rsid w:val="00EB4BB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950">
      <w:bodyDiv w:val="1"/>
      <w:marLeft w:val="0"/>
      <w:marRight w:val="0"/>
      <w:marTop w:val="0"/>
      <w:marBottom w:val="0"/>
      <w:divBdr>
        <w:top w:val="none" w:sz="0" w:space="0" w:color="auto"/>
        <w:left w:val="none" w:sz="0" w:space="0" w:color="auto"/>
        <w:bottom w:val="none" w:sz="0" w:space="0" w:color="auto"/>
        <w:right w:val="none" w:sz="0" w:space="0" w:color="auto"/>
      </w:divBdr>
    </w:div>
    <w:div w:id="488448673">
      <w:bodyDiv w:val="1"/>
      <w:marLeft w:val="0"/>
      <w:marRight w:val="0"/>
      <w:marTop w:val="0"/>
      <w:marBottom w:val="0"/>
      <w:divBdr>
        <w:top w:val="none" w:sz="0" w:space="0" w:color="auto"/>
        <w:left w:val="none" w:sz="0" w:space="0" w:color="auto"/>
        <w:bottom w:val="none" w:sz="0" w:space="0" w:color="auto"/>
        <w:right w:val="none" w:sz="0" w:space="0" w:color="auto"/>
      </w:divBdr>
    </w:div>
    <w:div w:id="1298412214">
      <w:bodyDiv w:val="1"/>
      <w:marLeft w:val="0"/>
      <w:marRight w:val="0"/>
      <w:marTop w:val="0"/>
      <w:marBottom w:val="0"/>
      <w:divBdr>
        <w:top w:val="none" w:sz="0" w:space="0" w:color="auto"/>
        <w:left w:val="none" w:sz="0" w:space="0" w:color="auto"/>
        <w:bottom w:val="none" w:sz="0" w:space="0" w:color="auto"/>
        <w:right w:val="none" w:sz="0" w:space="0" w:color="auto"/>
      </w:divBdr>
    </w:div>
    <w:div w:id="1376856835">
      <w:bodyDiv w:val="1"/>
      <w:marLeft w:val="0"/>
      <w:marRight w:val="0"/>
      <w:marTop w:val="0"/>
      <w:marBottom w:val="0"/>
      <w:divBdr>
        <w:top w:val="none" w:sz="0" w:space="0" w:color="auto"/>
        <w:left w:val="none" w:sz="0" w:space="0" w:color="auto"/>
        <w:bottom w:val="none" w:sz="0" w:space="0" w:color="auto"/>
        <w:right w:val="none" w:sz="0" w:space="0" w:color="auto"/>
      </w:divBdr>
    </w:div>
    <w:div w:id="1901020568">
      <w:bodyDiv w:val="1"/>
      <w:marLeft w:val="0"/>
      <w:marRight w:val="0"/>
      <w:marTop w:val="0"/>
      <w:marBottom w:val="0"/>
      <w:divBdr>
        <w:top w:val="none" w:sz="0" w:space="0" w:color="auto"/>
        <w:left w:val="none" w:sz="0" w:space="0" w:color="auto"/>
        <w:bottom w:val="none" w:sz="0" w:space="0" w:color="auto"/>
        <w:right w:val="none" w:sz="0" w:space="0" w:color="auto"/>
      </w:divBdr>
    </w:div>
    <w:div w:id="1941793428">
      <w:bodyDiv w:val="1"/>
      <w:marLeft w:val="0"/>
      <w:marRight w:val="0"/>
      <w:marTop w:val="0"/>
      <w:marBottom w:val="0"/>
      <w:divBdr>
        <w:top w:val="none" w:sz="0" w:space="0" w:color="auto"/>
        <w:left w:val="none" w:sz="0" w:space="0" w:color="auto"/>
        <w:bottom w:val="none" w:sz="0" w:space="0" w:color="auto"/>
        <w:right w:val="none" w:sz="0" w:space="0" w:color="auto"/>
      </w:divBdr>
    </w:div>
    <w:div w:id="1987973635">
      <w:bodyDiv w:val="1"/>
      <w:marLeft w:val="0"/>
      <w:marRight w:val="0"/>
      <w:marTop w:val="0"/>
      <w:marBottom w:val="0"/>
      <w:divBdr>
        <w:top w:val="none" w:sz="0" w:space="0" w:color="auto"/>
        <w:left w:val="none" w:sz="0" w:space="0" w:color="auto"/>
        <w:bottom w:val="none" w:sz="0" w:space="0" w:color="auto"/>
        <w:right w:val="none" w:sz="0" w:space="0" w:color="auto"/>
      </w:divBdr>
    </w:div>
    <w:div w:id="1991398226">
      <w:bodyDiv w:val="1"/>
      <w:marLeft w:val="0"/>
      <w:marRight w:val="0"/>
      <w:marTop w:val="0"/>
      <w:marBottom w:val="0"/>
      <w:divBdr>
        <w:top w:val="none" w:sz="0" w:space="0" w:color="auto"/>
        <w:left w:val="none" w:sz="0" w:space="0" w:color="auto"/>
        <w:bottom w:val="none" w:sz="0" w:space="0" w:color="auto"/>
        <w:right w:val="none" w:sz="0" w:space="0" w:color="auto"/>
      </w:divBdr>
    </w:div>
    <w:div w:id="21039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C01F519E4DAF4A4DB0C0AA44ACE3D29F" ma:contentTypeVersion="18" ma:contentTypeDescription="Create a new document." ma:contentTypeScope="" ma:versionID="7f3221ca6cf3f9ded94e03f7f8e9c2d0">
  <xsd:schema xmlns:xsd="http://www.w3.org/2001/XMLSchema" xmlns:xs="http://www.w3.org/2001/XMLSchema" xmlns:p="http://schemas.microsoft.com/office/2006/metadata/properties" xmlns:ns2="4e9417ab-6472-4075-af16-7dc6074df91e" xmlns:ns3="6bb8b6e8-05d4-4764-842b-272293f36ca6" xmlns:ns4="0f46699a-b524-459f-83e5-2634c193a969" targetNamespace="http://schemas.microsoft.com/office/2006/metadata/properties" ma:root="true" ma:fieldsID="5b007e3a1be3658300a7176c3e8dadc6" ns2:_="" ns3:_="" ns4:_="">
    <xsd:import namespace="4e9417ab-6472-4075-af16-7dc6074df91e"/>
    <xsd:import namespace="6bb8b6e8-05d4-4764-842b-272293f36ca6"/>
    <xsd:import namespace="0f46699a-b524-459f-83e5-2634c193a9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Description"/>
                <xsd:element ref="ns3:Document_x0020_Status"/>
                <xsd:element ref="ns3:Document_x0020_Type"/>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Description" ma:index="19" ma:displayName="Document Description" ma:description="Please provide a brief summary of what the document is about you are uploading" ma:internalName="Document_x0020_Description">
      <xsd:simpleType>
        <xsd:restriction base="dms:Note">
          <xsd:maxLength value="255"/>
        </xsd:restriction>
      </xsd:simpleType>
    </xsd:element>
    <xsd:element name="Document_x0020_Status" ma:index="20"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1"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6699a-b524-459f-83e5-2634c193a96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Chairman and Chief Executive's Office (DBS)</TermName>
          <TermId xmlns="http://schemas.microsoft.com/office/infopath/2007/PartnerControls">3dbc0a76-e81d-41b4-ab2d-4962cbb21987</TermId>
        </TermInfo>
      </Terms>
    </jb5e598af17141539648acf311d7477b>
    <Document_x0020_Type xmlns="6bb8b6e8-05d4-4764-842b-272293f36ca6">Schedule</Document_x0020_Type>
    <SharedWithUsers xmlns="6bb8b6e8-05d4-4764-842b-272293f36ca6">
      <UserInfo>
        <DisplayName>Pam Morris (DBS)</DisplayName>
        <AccountId>23</AccountId>
        <AccountType/>
      </UserInfo>
      <UserInfo>
        <DisplayName>Clare Tate (DBS)</DisplayName>
        <AccountId>76</AccountId>
        <AccountType/>
      </UserInfo>
      <UserInfo>
        <DisplayName>Paul Whiting (DBS)</DisplayName>
        <AccountId>36</AccountId>
        <AccountType/>
      </UserInfo>
      <UserInfo>
        <DisplayName>Janet Bates</DisplayName>
        <AccountId>77</AccountId>
        <AccountType/>
      </UserInfo>
      <UserInfo>
        <DisplayName>Nicky Marshall (DBS)</DisplayName>
        <AccountId>38</AccountId>
        <AccountType/>
      </UserInfo>
      <UserInfo>
        <DisplayName>Martin Skeats</DisplayName>
        <AccountId>34</AccountId>
        <AccountType/>
      </UserInfo>
      <UserInfo>
        <DisplayName>Cressida Yorke (DBS)</DisplayName>
        <AccountId>41</AccountId>
        <AccountType/>
      </UserInfo>
      <UserInfo>
        <DisplayName>Andrew Day (DBS)</DisplayName>
        <AccountId>56</AccountId>
        <AccountType/>
      </UserInfo>
    </SharedWithUsers>
    <Document_x0020_Status xmlns="6bb8b6e8-05d4-4764-842b-272293f36ca6">Draft</Document_x0020_Status>
    <Document_x0020_Description xmlns="6bb8b6e8-05d4-4764-842b-272293f36ca6">Document setting out the delegation from the chief executive</Document_x0020_Descript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B842A-2C01-4A94-885A-5350680128BB}">
  <ds:schemaRefs>
    <ds:schemaRef ds:uri="http://schemas.openxmlformats.org/officeDocument/2006/bibliography"/>
  </ds:schemaRefs>
</ds:datastoreItem>
</file>

<file path=customXml/itemProps2.xml><?xml version="1.0" encoding="utf-8"?>
<ds:datastoreItem xmlns:ds="http://schemas.openxmlformats.org/officeDocument/2006/customXml" ds:itemID="{54B82A1F-54C1-474B-98DD-2C3FB920C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0f46699a-b524-459f-83e5-2634c193a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F3BFE-E54A-4FDE-9B23-7BE1C25D382E}">
  <ds:schemaRefs>
    <ds:schemaRef ds:uri="Microsoft.SharePoint.Taxonomy.ContentTypeSync"/>
  </ds:schemaRefs>
</ds:datastoreItem>
</file>

<file path=customXml/itemProps4.xml><?xml version="1.0" encoding="utf-8"?>
<ds:datastoreItem xmlns:ds="http://schemas.openxmlformats.org/officeDocument/2006/customXml" ds:itemID="{68F4EAD4-491C-4A21-83C9-9F3FE2CE3E0C}">
  <ds:schemaRefs>
    <ds:schemaRef ds:uri="http://schemas.microsoft.com/office/2006/metadata/properties"/>
    <ds:schemaRef ds:uri="http://schemas.microsoft.com/office/infopath/2007/PartnerControls"/>
    <ds:schemaRef ds:uri="4e9417ab-6472-4075-af16-7dc6074df91e"/>
    <ds:schemaRef ds:uri="6bb8b6e8-05d4-4764-842b-272293f36ca6"/>
  </ds:schemaRefs>
</ds:datastoreItem>
</file>

<file path=customXml/itemProps5.xml><?xml version="1.0" encoding="utf-8"?>
<ds:datastoreItem xmlns:ds="http://schemas.openxmlformats.org/officeDocument/2006/customXml" ds:itemID="{3684E3C8-8F3B-4399-A34C-B78B03499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1763</Words>
  <Characters>10227</Characters>
  <Application>Microsoft Office Word</Application>
  <DocSecurity>0</DocSecurity>
  <Lines>681</Lines>
  <Paragraphs>299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vector>
  </TitlesOfParts>
  <Company>Home Office</Company>
  <LinksUpToDate>false</LinksUpToDate>
  <CharactersWithSpaces>11691</CharactersWithSpaces>
  <SharedDoc>false</SharedDoc>
  <HLinks>
    <vt:vector size="6" baseType="variant">
      <vt:variant>
        <vt:i4>1769503</vt:i4>
      </vt:variant>
      <vt:variant>
        <vt:i4>0</vt:i4>
      </vt:variant>
      <vt:variant>
        <vt:i4>0</vt:i4>
      </vt:variant>
      <vt:variant>
        <vt:i4>5</vt:i4>
      </vt:variant>
      <vt:variant>
        <vt:lpwstr>https://ukhomeoffice.sharepoint.com/:w:/r/sites/DBS-intranet003/Governance/Presenting to board.docx?d=wa9130061ea464477bb57bf0a560116ff&amp;csf=1&amp;web=1&amp;e=4V9jWq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Skeats</dc:creator>
  <cp:keywords>Version 5.0</cp:keywords>
  <cp:lastModifiedBy>Elizabeth Mimnagh</cp:lastModifiedBy>
  <cp:revision>2</cp:revision>
  <cp:lastPrinted>2019-03-14T15:15:00Z</cp:lastPrinted>
  <dcterms:created xsi:type="dcterms:W3CDTF">2026-01-23T13:16:00Z</dcterms:created>
  <dcterms:modified xsi:type="dcterms:W3CDTF">2026-01-23T13:16:00Z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0x010100A5BF1C78D9F64B679A5EBDE1C6598EBC0100C01F519E4DAF4A4DB0C0AA44ACE3D29F</vt:lpwstr>
  </property>
  <property fmtid="{D5CDD505-2E9C-101B-9397-08002B2CF9AE}" pid="3" name="HOBusinessUnit">
    <vt:lpwstr>1;#Chairman and Chief Executive's Office (DBS)|3dbc0a76-e81d-41b4-ab2d-4962cbb21987</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Template for use at board, committee and SLT meetings.</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HOCC">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ies>
</file>