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6E72" w14:textId="77777777" w:rsidR="00CE4E55" w:rsidRDefault="00CE4E55" w:rsidP="00CE4E55">
      <w:pPr>
        <w:pStyle w:val="Conditions1"/>
        <w:numPr>
          <w:ilvl w:val="0"/>
          <w:numId w:val="0"/>
        </w:numPr>
      </w:pPr>
      <w:r>
        <w:rPr>
          <w:noProof/>
        </w:rPr>
        <w:drawing>
          <wp:inline distT="0" distB="0" distL="0" distR="0" wp14:anchorId="70AA1306" wp14:editId="4BD8122A">
            <wp:extent cx="3035935" cy="359410"/>
            <wp:effectExtent l="0" t="0" r="0" b="2540"/>
            <wp:docPr id="1987044769" name="Picture 3"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Planning inspectorat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4A96C722" w14:textId="77777777" w:rsidR="00CE4E55" w:rsidRDefault="00CE4E55" w:rsidP="00CE4E55"/>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E4E55" w:rsidRPr="003C3FF8" w14:paraId="737C41DC" w14:textId="77777777" w:rsidTr="006E1CD1">
        <w:trPr>
          <w:cantSplit/>
          <w:trHeight w:val="23"/>
        </w:trPr>
        <w:tc>
          <w:tcPr>
            <w:tcW w:w="9356" w:type="dxa"/>
          </w:tcPr>
          <w:p w14:paraId="15623447" w14:textId="77777777" w:rsidR="00CE4E55" w:rsidRPr="003C3FF8" w:rsidRDefault="00CE4E55" w:rsidP="006E1CD1">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Order</w:t>
            </w:r>
            <w:r w:rsidRPr="003C3FF8">
              <w:rPr>
                <w:rFonts w:ascii="Arial" w:hAnsi="Arial" w:cs="Arial"/>
                <w:b/>
                <w:color w:val="000000"/>
                <w:sz w:val="40"/>
                <w:szCs w:val="40"/>
              </w:rPr>
              <w:t xml:space="preserve"> Decision</w:t>
            </w:r>
          </w:p>
        </w:tc>
      </w:tr>
      <w:tr w:rsidR="00CE4E55" w:rsidRPr="003C3FF8" w14:paraId="33D06D94" w14:textId="77777777" w:rsidTr="006E1CD1">
        <w:trPr>
          <w:cantSplit/>
          <w:trHeight w:val="23"/>
        </w:trPr>
        <w:tc>
          <w:tcPr>
            <w:tcW w:w="9356" w:type="dxa"/>
            <w:vAlign w:val="center"/>
          </w:tcPr>
          <w:p w14:paraId="00F78C5D" w14:textId="601324A4" w:rsidR="00CE4E55" w:rsidRPr="00BA43A8" w:rsidRDefault="00CE4E55" w:rsidP="006E1CD1">
            <w:pPr>
              <w:spacing w:before="60"/>
              <w:ind w:left="-108" w:right="34"/>
              <w:rPr>
                <w:rFonts w:ascii="Arial" w:hAnsi="Arial" w:cs="Arial"/>
                <w:color w:val="000000"/>
                <w:sz w:val="4"/>
                <w:szCs w:val="4"/>
              </w:rPr>
            </w:pPr>
          </w:p>
        </w:tc>
      </w:tr>
      <w:tr w:rsidR="00CE4E55" w:rsidRPr="003C3FF8" w14:paraId="0B905CCA" w14:textId="77777777" w:rsidTr="006E1CD1">
        <w:trPr>
          <w:cantSplit/>
          <w:trHeight w:val="23"/>
        </w:trPr>
        <w:tc>
          <w:tcPr>
            <w:tcW w:w="9356" w:type="dxa"/>
          </w:tcPr>
          <w:p w14:paraId="5E089D88" w14:textId="77777777" w:rsidR="00CE4E55" w:rsidRPr="003C3FF8" w:rsidRDefault="00CE4E55" w:rsidP="006E1CD1">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CE4E55" w:rsidRPr="003C3FF8" w14:paraId="25938C78" w14:textId="77777777" w:rsidTr="006E1CD1">
        <w:trPr>
          <w:cantSplit/>
          <w:trHeight w:val="23"/>
        </w:trPr>
        <w:tc>
          <w:tcPr>
            <w:tcW w:w="9356" w:type="dxa"/>
          </w:tcPr>
          <w:p w14:paraId="3C445C3E" w14:textId="77777777" w:rsidR="00CE4E55" w:rsidRPr="003C3FF8" w:rsidRDefault="00CE4E55" w:rsidP="006E1CD1">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CE4E55" w:rsidRPr="003C3FF8" w14:paraId="685B0C94" w14:textId="77777777" w:rsidTr="006E1CD1">
        <w:trPr>
          <w:cantSplit/>
          <w:trHeight w:val="23"/>
        </w:trPr>
        <w:tc>
          <w:tcPr>
            <w:tcW w:w="9356" w:type="dxa"/>
          </w:tcPr>
          <w:p w14:paraId="2880982F" w14:textId="5A7504F6" w:rsidR="00CE4E55" w:rsidRPr="003C3FF8" w:rsidRDefault="00CE4E55" w:rsidP="006E1CD1">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BA43A8">
              <w:rPr>
                <w:rFonts w:ascii="Arial" w:hAnsi="Arial" w:cs="Arial"/>
                <w:b/>
                <w:color w:val="000000"/>
                <w:sz w:val="16"/>
                <w:szCs w:val="16"/>
              </w:rPr>
              <w:t xml:space="preserve"> 15 January 2026</w:t>
            </w:r>
          </w:p>
        </w:tc>
      </w:tr>
    </w:tbl>
    <w:p w14:paraId="07FE6AE0" w14:textId="77777777" w:rsidR="00CE4E55" w:rsidRPr="003C3FF8" w:rsidRDefault="00CE4E55" w:rsidP="00CE4E55">
      <w:pPr>
        <w:rPr>
          <w:rFonts w:ascii="Arial" w:hAnsi="Arial" w:cs="Arial"/>
        </w:rPr>
      </w:pPr>
    </w:p>
    <w:tbl>
      <w:tblPr>
        <w:tblW w:w="0" w:type="auto"/>
        <w:tblLayout w:type="fixed"/>
        <w:tblLook w:val="0000" w:firstRow="0" w:lastRow="0" w:firstColumn="0" w:lastColumn="0" w:noHBand="0" w:noVBand="0"/>
      </w:tblPr>
      <w:tblGrid>
        <w:gridCol w:w="9520"/>
      </w:tblGrid>
      <w:tr w:rsidR="00CE4E55" w:rsidRPr="003C3FF8" w14:paraId="0C6D4FF9" w14:textId="77777777" w:rsidTr="006E1CD1">
        <w:tc>
          <w:tcPr>
            <w:tcW w:w="9520" w:type="dxa"/>
          </w:tcPr>
          <w:p w14:paraId="4656D670" w14:textId="05D9EFAD" w:rsidR="00CE4E55" w:rsidRPr="00533F28" w:rsidRDefault="00CE4E55" w:rsidP="006E1CD1">
            <w:pPr>
              <w:spacing w:after="60"/>
              <w:rPr>
                <w:rFonts w:ascii="Arial" w:hAnsi="Arial" w:cs="Arial"/>
                <w:b/>
                <w:color w:val="000000"/>
                <w:szCs w:val="22"/>
              </w:rPr>
            </w:pPr>
            <w:r>
              <w:rPr>
                <w:rFonts w:ascii="Arial" w:hAnsi="Arial" w:cs="Arial"/>
                <w:b/>
                <w:color w:val="000000"/>
                <w:szCs w:val="22"/>
              </w:rPr>
              <w:t>Order</w:t>
            </w:r>
            <w:r w:rsidRPr="00533F28">
              <w:rPr>
                <w:rFonts w:ascii="Arial" w:hAnsi="Arial" w:cs="Arial"/>
                <w:b/>
                <w:color w:val="000000"/>
                <w:szCs w:val="22"/>
              </w:rPr>
              <w:t xml:space="preserve"> Ref: ROW/</w:t>
            </w:r>
            <w:r>
              <w:rPr>
                <w:rFonts w:ascii="Arial" w:hAnsi="Arial" w:cs="Arial"/>
                <w:b/>
                <w:color w:val="000000"/>
                <w:szCs w:val="22"/>
              </w:rPr>
              <w:t>33</w:t>
            </w:r>
            <w:r w:rsidR="00436CF8">
              <w:rPr>
                <w:rFonts w:ascii="Arial" w:hAnsi="Arial" w:cs="Arial"/>
                <w:b/>
                <w:color w:val="000000"/>
                <w:szCs w:val="22"/>
              </w:rPr>
              <w:t>58641</w:t>
            </w:r>
          </w:p>
        </w:tc>
      </w:tr>
      <w:tr w:rsidR="00CE4E55" w:rsidRPr="003C3FF8" w14:paraId="4CE89808" w14:textId="77777777" w:rsidTr="006E1CD1">
        <w:tc>
          <w:tcPr>
            <w:tcW w:w="9520" w:type="dxa"/>
          </w:tcPr>
          <w:p w14:paraId="58A1A94B" w14:textId="77777777" w:rsidR="00CE4E55" w:rsidRPr="00AA7F44" w:rsidRDefault="00CE4E55" w:rsidP="006E1CD1">
            <w:pPr>
              <w:pStyle w:val="TBullet"/>
              <w:numPr>
                <w:ilvl w:val="0"/>
                <w:numId w:val="0"/>
              </w:numPr>
              <w:ind w:left="360"/>
              <w:rPr>
                <w:rFonts w:ascii="Arial" w:hAnsi="Arial" w:cs="Arial"/>
                <w:sz w:val="14"/>
                <w:szCs w:val="14"/>
              </w:rPr>
            </w:pPr>
          </w:p>
        </w:tc>
      </w:tr>
      <w:tr w:rsidR="00CE4E55" w:rsidRPr="003C3FF8" w14:paraId="1AA7C127" w14:textId="77777777" w:rsidTr="006E1CD1">
        <w:tc>
          <w:tcPr>
            <w:tcW w:w="9520" w:type="dxa"/>
          </w:tcPr>
          <w:tbl>
            <w:tblPr>
              <w:tblW w:w="0" w:type="auto"/>
              <w:tblLayout w:type="fixed"/>
              <w:tblLook w:val="0000" w:firstRow="0" w:lastRow="0" w:firstColumn="0" w:lastColumn="0" w:noHBand="0" w:noVBand="0"/>
            </w:tblPr>
            <w:tblGrid>
              <w:gridCol w:w="9520"/>
            </w:tblGrid>
            <w:tr w:rsidR="00CE4E55" w:rsidRPr="00B054BB" w14:paraId="0AFC815E" w14:textId="77777777" w:rsidTr="006E1CD1">
              <w:tc>
                <w:tcPr>
                  <w:tcW w:w="9520" w:type="dxa"/>
                </w:tcPr>
                <w:p w14:paraId="121D596E" w14:textId="4B56A322" w:rsidR="00CE4E55" w:rsidRPr="00880C72" w:rsidRDefault="00CE4E55" w:rsidP="00F717DC">
                  <w:pPr>
                    <w:pStyle w:val="TBullet"/>
                    <w:rPr>
                      <w:rFonts w:ascii="Arial" w:hAnsi="Arial" w:cs="Arial"/>
                      <w:sz w:val="22"/>
                      <w:szCs w:val="22"/>
                    </w:rPr>
                  </w:pPr>
                  <w:r w:rsidRPr="00880C72">
                    <w:rPr>
                      <w:rFonts w:ascii="Arial" w:hAnsi="Arial" w:cs="Arial"/>
                      <w:sz w:val="22"/>
                      <w:szCs w:val="22"/>
                    </w:rPr>
                    <w:t xml:space="preserve">This Order </w:t>
                  </w:r>
                  <w:proofErr w:type="gramStart"/>
                  <w:r w:rsidRPr="00880C72">
                    <w:rPr>
                      <w:rFonts w:ascii="Arial" w:hAnsi="Arial" w:cs="Arial"/>
                      <w:sz w:val="22"/>
                      <w:szCs w:val="22"/>
                    </w:rPr>
                    <w:t>is made</w:t>
                  </w:r>
                  <w:proofErr w:type="gramEnd"/>
                  <w:r w:rsidRPr="00880C72">
                    <w:rPr>
                      <w:rFonts w:ascii="Arial" w:hAnsi="Arial" w:cs="Arial"/>
                      <w:sz w:val="22"/>
                      <w:szCs w:val="22"/>
                    </w:rPr>
                    <w:t xml:space="preserve"> under Section 53(2)(b) of the Wildlife and Countryside Act 1981 (</w:t>
                  </w:r>
                  <w:r w:rsidR="000D27C1">
                    <w:rPr>
                      <w:rFonts w:ascii="Arial" w:hAnsi="Arial" w:cs="Arial"/>
                      <w:sz w:val="22"/>
                      <w:szCs w:val="22"/>
                    </w:rPr>
                    <w:t>‘</w:t>
                  </w:r>
                  <w:r w:rsidRPr="00880C72">
                    <w:rPr>
                      <w:rFonts w:ascii="Arial" w:hAnsi="Arial" w:cs="Arial"/>
                      <w:sz w:val="22"/>
                      <w:szCs w:val="22"/>
                    </w:rPr>
                    <w:t>the 1981 Act</w:t>
                  </w:r>
                  <w:r w:rsidR="000D27C1">
                    <w:rPr>
                      <w:rFonts w:ascii="Arial" w:hAnsi="Arial" w:cs="Arial"/>
                      <w:sz w:val="22"/>
                      <w:szCs w:val="22"/>
                    </w:rPr>
                    <w:t>’</w:t>
                  </w:r>
                  <w:r w:rsidRPr="00880C72">
                    <w:rPr>
                      <w:rFonts w:ascii="Arial" w:hAnsi="Arial" w:cs="Arial"/>
                      <w:sz w:val="22"/>
                      <w:szCs w:val="22"/>
                    </w:rPr>
                    <w:t>) and is known as the</w:t>
                  </w:r>
                  <w:r w:rsidR="00B82771" w:rsidRPr="00880C72">
                    <w:rPr>
                      <w:rFonts w:ascii="Arial" w:hAnsi="Arial" w:cs="Arial"/>
                      <w:sz w:val="22"/>
                      <w:szCs w:val="22"/>
                    </w:rPr>
                    <w:t xml:space="preserve"> </w:t>
                  </w:r>
                  <w:r w:rsidR="00306F55">
                    <w:rPr>
                      <w:rFonts w:ascii="Arial" w:hAnsi="Arial" w:cs="Arial"/>
                      <w:sz w:val="22"/>
                      <w:szCs w:val="22"/>
                    </w:rPr>
                    <w:t xml:space="preserve">Lancashire County Council </w:t>
                  </w:r>
                  <w:r w:rsidR="00610FBB">
                    <w:rPr>
                      <w:rFonts w:ascii="Arial" w:hAnsi="Arial" w:cs="Arial"/>
                      <w:sz w:val="22"/>
                      <w:szCs w:val="22"/>
                    </w:rPr>
                    <w:t xml:space="preserve">(Public Footpath from Higher Road to </w:t>
                  </w:r>
                  <w:proofErr w:type="spellStart"/>
                  <w:r w:rsidR="00610FBB">
                    <w:rPr>
                      <w:rFonts w:ascii="Arial" w:hAnsi="Arial" w:cs="Arial"/>
                      <w:sz w:val="22"/>
                      <w:szCs w:val="22"/>
                    </w:rPr>
                    <w:t>Wellbrow</w:t>
                  </w:r>
                  <w:proofErr w:type="spellEnd"/>
                  <w:r w:rsidR="00610FBB">
                    <w:rPr>
                      <w:rFonts w:ascii="Arial" w:hAnsi="Arial" w:cs="Arial"/>
                      <w:sz w:val="22"/>
                      <w:szCs w:val="22"/>
                    </w:rPr>
                    <w:t xml:space="preserve"> Drive, Longridge, Ribble Valley)</w:t>
                  </w:r>
                  <w:r w:rsidR="00306F55">
                    <w:rPr>
                      <w:rFonts w:ascii="Arial" w:hAnsi="Arial" w:cs="Arial"/>
                      <w:sz w:val="22"/>
                      <w:szCs w:val="22"/>
                    </w:rPr>
                    <w:t xml:space="preserve"> Definitive Map Modification Order </w:t>
                  </w:r>
                  <w:r w:rsidR="00610FBB">
                    <w:rPr>
                      <w:rFonts w:ascii="Arial" w:hAnsi="Arial" w:cs="Arial"/>
                      <w:sz w:val="22"/>
                      <w:szCs w:val="22"/>
                    </w:rPr>
                    <w:t>2017</w:t>
                  </w:r>
                  <w:r w:rsidRPr="00880C72">
                    <w:rPr>
                      <w:rFonts w:ascii="Arial" w:hAnsi="Arial" w:cs="Arial"/>
                      <w:sz w:val="22"/>
                      <w:szCs w:val="22"/>
                    </w:rPr>
                    <w:t>.</w:t>
                  </w:r>
                </w:p>
              </w:tc>
            </w:tr>
            <w:tr w:rsidR="00CE4E55" w:rsidRPr="00B054BB" w14:paraId="3A28434B" w14:textId="77777777" w:rsidTr="006E1CD1">
              <w:tc>
                <w:tcPr>
                  <w:tcW w:w="9520" w:type="dxa"/>
                </w:tcPr>
                <w:p w14:paraId="13FBB3AA" w14:textId="6742D778" w:rsidR="00CE4E55" w:rsidRPr="008316B2" w:rsidRDefault="00CE4E55" w:rsidP="006E1CD1">
                  <w:pPr>
                    <w:pStyle w:val="TBullet"/>
                    <w:rPr>
                      <w:rFonts w:ascii="Arial" w:hAnsi="Arial" w:cs="Arial"/>
                      <w:sz w:val="22"/>
                      <w:szCs w:val="22"/>
                    </w:rPr>
                  </w:pPr>
                  <w:r w:rsidRPr="008316B2">
                    <w:rPr>
                      <w:rFonts w:ascii="Arial" w:hAnsi="Arial" w:cs="Arial"/>
                      <w:sz w:val="22"/>
                      <w:szCs w:val="22"/>
                    </w:rPr>
                    <w:t xml:space="preserve">The Order </w:t>
                  </w:r>
                  <w:proofErr w:type="gramStart"/>
                  <w:r w:rsidRPr="008316B2">
                    <w:rPr>
                      <w:rFonts w:ascii="Arial" w:hAnsi="Arial" w:cs="Arial"/>
                      <w:sz w:val="22"/>
                      <w:szCs w:val="22"/>
                    </w:rPr>
                    <w:t>is dated</w:t>
                  </w:r>
                  <w:proofErr w:type="gramEnd"/>
                  <w:r w:rsidRPr="008316B2">
                    <w:rPr>
                      <w:rFonts w:ascii="Arial" w:hAnsi="Arial" w:cs="Arial"/>
                      <w:sz w:val="22"/>
                      <w:szCs w:val="22"/>
                    </w:rPr>
                    <w:t xml:space="preserve"> </w:t>
                  </w:r>
                  <w:r w:rsidR="004E0729">
                    <w:rPr>
                      <w:rFonts w:ascii="Arial" w:hAnsi="Arial" w:cs="Arial"/>
                      <w:sz w:val="22"/>
                      <w:szCs w:val="22"/>
                    </w:rPr>
                    <w:t>20 September 2017</w:t>
                  </w:r>
                  <w:r w:rsidRPr="008316B2">
                    <w:rPr>
                      <w:rFonts w:ascii="Arial" w:hAnsi="Arial" w:cs="Arial"/>
                      <w:sz w:val="22"/>
                      <w:szCs w:val="22"/>
                    </w:rPr>
                    <w:t xml:space="preserve"> and proposes to modify the Definitive Map and Statement for the area by </w:t>
                  </w:r>
                  <w:r w:rsidR="00F717DC">
                    <w:rPr>
                      <w:rFonts w:ascii="Arial" w:hAnsi="Arial" w:cs="Arial"/>
                      <w:sz w:val="22"/>
                      <w:szCs w:val="22"/>
                    </w:rPr>
                    <w:t>adding a footpath</w:t>
                  </w:r>
                  <w:r w:rsidRPr="008316B2">
                    <w:rPr>
                      <w:rFonts w:ascii="Arial" w:hAnsi="Arial" w:cs="Arial"/>
                      <w:sz w:val="22"/>
                      <w:szCs w:val="22"/>
                    </w:rPr>
                    <w:t>.</w:t>
                  </w:r>
                </w:p>
              </w:tc>
            </w:tr>
            <w:tr w:rsidR="00CE4E55" w:rsidRPr="00B054BB" w14:paraId="68030001" w14:textId="77777777" w:rsidTr="006E1CD1">
              <w:tc>
                <w:tcPr>
                  <w:tcW w:w="9520" w:type="dxa"/>
                </w:tcPr>
                <w:p w14:paraId="35AA797A" w14:textId="7927DA84" w:rsidR="00CE4E55" w:rsidRPr="008316B2" w:rsidRDefault="00CE4E55" w:rsidP="006E1CD1">
                  <w:pPr>
                    <w:pStyle w:val="TBullet"/>
                    <w:rPr>
                      <w:rFonts w:ascii="Arial" w:hAnsi="Arial" w:cs="Arial"/>
                      <w:sz w:val="22"/>
                      <w:szCs w:val="22"/>
                    </w:rPr>
                  </w:pPr>
                  <w:r w:rsidRPr="008316B2">
                    <w:rPr>
                      <w:rFonts w:ascii="Arial" w:hAnsi="Arial" w:cs="Arial"/>
                      <w:sz w:val="22"/>
                      <w:szCs w:val="22"/>
                    </w:rPr>
                    <w:t xml:space="preserve">There </w:t>
                  </w:r>
                  <w:r w:rsidR="00C44E86">
                    <w:rPr>
                      <w:rFonts w:ascii="Arial" w:hAnsi="Arial" w:cs="Arial"/>
                      <w:sz w:val="22"/>
                      <w:szCs w:val="22"/>
                    </w:rPr>
                    <w:t>was one</w:t>
                  </w:r>
                  <w:r w:rsidRPr="008316B2">
                    <w:rPr>
                      <w:rFonts w:ascii="Arial" w:hAnsi="Arial" w:cs="Arial"/>
                      <w:sz w:val="22"/>
                      <w:szCs w:val="22"/>
                    </w:rPr>
                    <w:t xml:space="preserve"> </w:t>
                  </w:r>
                  <w:r w:rsidR="002816E0">
                    <w:rPr>
                      <w:rFonts w:ascii="Arial" w:hAnsi="Arial" w:cs="Arial"/>
                      <w:sz w:val="22"/>
                      <w:szCs w:val="22"/>
                    </w:rPr>
                    <w:t xml:space="preserve">duly made </w:t>
                  </w:r>
                  <w:r w:rsidRPr="008316B2">
                    <w:rPr>
                      <w:rFonts w:ascii="Arial" w:hAnsi="Arial" w:cs="Arial"/>
                      <w:sz w:val="22"/>
                      <w:szCs w:val="22"/>
                    </w:rPr>
                    <w:t xml:space="preserve">objection outstanding when </w:t>
                  </w:r>
                  <w:r w:rsidR="00F717DC">
                    <w:rPr>
                      <w:rFonts w:ascii="Arial" w:hAnsi="Arial" w:cs="Arial"/>
                      <w:sz w:val="22"/>
                      <w:szCs w:val="22"/>
                    </w:rPr>
                    <w:t xml:space="preserve">the </w:t>
                  </w:r>
                  <w:r w:rsidR="00251F18">
                    <w:rPr>
                      <w:rFonts w:ascii="Arial" w:hAnsi="Arial" w:cs="Arial"/>
                      <w:sz w:val="22"/>
                      <w:szCs w:val="22"/>
                    </w:rPr>
                    <w:t>Lancashire County</w:t>
                  </w:r>
                  <w:r w:rsidRPr="008316B2">
                    <w:rPr>
                      <w:rFonts w:ascii="Arial" w:hAnsi="Arial" w:cs="Arial"/>
                      <w:sz w:val="22"/>
                      <w:szCs w:val="22"/>
                    </w:rPr>
                    <w:t xml:space="preserve"> Council (‘the Council’) submitted the Order to the Secretary of State for Environment, Food and Rural Affairs for confirmation.</w:t>
                  </w:r>
                </w:p>
              </w:tc>
            </w:tr>
            <w:tr w:rsidR="00CE4E55" w:rsidRPr="00B054BB" w14:paraId="41F430DA" w14:textId="77777777" w:rsidTr="006E1CD1">
              <w:tc>
                <w:tcPr>
                  <w:tcW w:w="9520" w:type="dxa"/>
                </w:tcPr>
                <w:p w14:paraId="56241987" w14:textId="77777777" w:rsidR="00CE4E55" w:rsidRPr="00B054BB" w:rsidRDefault="00CE4E55" w:rsidP="006E1CD1">
                  <w:pPr>
                    <w:spacing w:before="60"/>
                    <w:rPr>
                      <w:rFonts w:ascii="Arial" w:hAnsi="Arial" w:cs="Arial"/>
                      <w:b/>
                      <w:color w:val="000000"/>
                      <w:szCs w:val="22"/>
                    </w:rPr>
                  </w:pPr>
                  <w:r w:rsidRPr="00B054BB">
                    <w:rPr>
                      <w:rFonts w:ascii="Arial" w:hAnsi="Arial" w:cs="Arial"/>
                      <w:b/>
                      <w:color w:val="000000"/>
                      <w:szCs w:val="22"/>
                    </w:rPr>
                    <w:t xml:space="preserve">Summary of Decision: </w:t>
                  </w:r>
                  <w:r w:rsidRPr="00033C5F">
                    <w:rPr>
                      <w:rFonts w:ascii="Arial" w:hAnsi="Arial" w:cs="Arial"/>
                      <w:b/>
                      <w:color w:val="000000"/>
                      <w:szCs w:val="22"/>
                    </w:rPr>
                    <w:t xml:space="preserve">The Order </w:t>
                  </w:r>
                  <w:proofErr w:type="gramStart"/>
                  <w:r w:rsidRPr="00033C5F">
                    <w:rPr>
                      <w:rFonts w:ascii="Arial" w:hAnsi="Arial" w:cs="Arial"/>
                      <w:b/>
                      <w:color w:val="000000"/>
                      <w:szCs w:val="22"/>
                    </w:rPr>
                    <w:t>is confirmed</w:t>
                  </w:r>
                  <w:proofErr w:type="gramEnd"/>
                  <w:r w:rsidRPr="00033C5F">
                    <w:rPr>
                      <w:rFonts w:ascii="Arial" w:hAnsi="Arial" w:cs="Arial"/>
                      <w:b/>
                      <w:color w:val="000000"/>
                      <w:szCs w:val="22"/>
                    </w:rPr>
                    <w:t>.</w:t>
                  </w:r>
                </w:p>
              </w:tc>
            </w:tr>
          </w:tbl>
          <w:p w14:paraId="5002E8BF" w14:textId="77777777" w:rsidR="00CE4E55" w:rsidRPr="00533F28" w:rsidRDefault="00CE4E55" w:rsidP="006E1CD1">
            <w:pPr>
              <w:pStyle w:val="TBullet"/>
              <w:numPr>
                <w:ilvl w:val="0"/>
                <w:numId w:val="0"/>
              </w:numPr>
              <w:ind w:left="360"/>
              <w:rPr>
                <w:rFonts w:ascii="Arial" w:hAnsi="Arial" w:cs="Arial"/>
                <w:sz w:val="22"/>
                <w:szCs w:val="22"/>
              </w:rPr>
            </w:pPr>
          </w:p>
        </w:tc>
      </w:tr>
      <w:tr w:rsidR="00CE4E55" w:rsidRPr="003C3FF8" w14:paraId="7B32AB85" w14:textId="77777777" w:rsidTr="006E1CD1">
        <w:tc>
          <w:tcPr>
            <w:tcW w:w="9520" w:type="dxa"/>
            <w:tcBorders>
              <w:bottom w:val="single" w:sz="6" w:space="0" w:color="000000"/>
            </w:tcBorders>
          </w:tcPr>
          <w:p w14:paraId="30A9BFDF" w14:textId="77777777" w:rsidR="00CE4E55" w:rsidRPr="00533F28" w:rsidRDefault="00CE4E55" w:rsidP="006E1CD1">
            <w:pPr>
              <w:spacing w:before="60"/>
              <w:rPr>
                <w:rFonts w:ascii="Arial" w:hAnsi="Arial" w:cs="Arial"/>
                <w:b/>
                <w:color w:val="000000"/>
                <w:szCs w:val="22"/>
              </w:rPr>
            </w:pPr>
            <w:bookmarkStart w:id="1" w:name="bmkReturn"/>
            <w:bookmarkEnd w:id="1"/>
          </w:p>
        </w:tc>
      </w:tr>
    </w:tbl>
    <w:p w14:paraId="05826FFC" w14:textId="77777777" w:rsidR="00635B14" w:rsidRPr="00AA7F44" w:rsidRDefault="00635B14" w:rsidP="00CE4E55">
      <w:pPr>
        <w:pStyle w:val="Heading6blackfont"/>
        <w:rPr>
          <w:rFonts w:ascii="Arial" w:hAnsi="Arial" w:cs="Arial"/>
          <w:sz w:val="20"/>
          <w:szCs w:val="18"/>
        </w:rPr>
      </w:pPr>
    </w:p>
    <w:p w14:paraId="0FA68DC2" w14:textId="122DE3A2" w:rsidR="00CE4E55" w:rsidRDefault="000B79D4" w:rsidP="00635B14">
      <w:pPr>
        <w:pStyle w:val="Heading6blackfont"/>
        <w:spacing w:before="0"/>
        <w:rPr>
          <w:rFonts w:ascii="Arial" w:hAnsi="Arial" w:cs="Arial"/>
        </w:rPr>
      </w:pPr>
      <w:r>
        <w:rPr>
          <w:rFonts w:ascii="Arial" w:hAnsi="Arial" w:cs="Arial"/>
        </w:rPr>
        <w:t>Preliminary Matters</w:t>
      </w:r>
    </w:p>
    <w:p w14:paraId="5A721D26" w14:textId="73B554CA" w:rsidR="000B79D4" w:rsidRDefault="002816E0" w:rsidP="00CE4E55">
      <w:pPr>
        <w:pStyle w:val="Style1"/>
        <w:numPr>
          <w:ilvl w:val="0"/>
          <w:numId w:val="4"/>
        </w:numPr>
        <w:tabs>
          <w:tab w:val="clear" w:pos="720"/>
        </w:tabs>
        <w:rPr>
          <w:rFonts w:ascii="Arial" w:hAnsi="Arial" w:cs="Arial"/>
        </w:rPr>
      </w:pPr>
      <w:r>
        <w:rPr>
          <w:rFonts w:ascii="Arial" w:hAnsi="Arial" w:cs="Arial"/>
        </w:rPr>
        <w:t xml:space="preserve">No objections to the Order have </w:t>
      </w:r>
      <w:proofErr w:type="gramStart"/>
      <w:r>
        <w:rPr>
          <w:rFonts w:ascii="Arial" w:hAnsi="Arial" w:cs="Arial"/>
        </w:rPr>
        <w:t>been pursued</w:t>
      </w:r>
      <w:proofErr w:type="gramEnd"/>
      <w:r w:rsidR="00631CF7">
        <w:rPr>
          <w:rFonts w:ascii="Arial" w:hAnsi="Arial" w:cs="Arial"/>
        </w:rPr>
        <w:t xml:space="preserve"> following its submission to the Secretary of State.</w:t>
      </w:r>
      <w:r w:rsidR="000407F1">
        <w:rPr>
          <w:rFonts w:ascii="Arial" w:hAnsi="Arial" w:cs="Arial"/>
        </w:rPr>
        <w:t xml:space="preserve"> </w:t>
      </w:r>
      <w:proofErr w:type="gramStart"/>
      <w:r w:rsidR="000407F1">
        <w:rPr>
          <w:rFonts w:ascii="Arial" w:hAnsi="Arial" w:cs="Arial"/>
        </w:rPr>
        <w:t>I have been appointed by the Secretary of State</w:t>
      </w:r>
      <w:proofErr w:type="gramEnd"/>
      <w:r w:rsidR="000407F1">
        <w:rPr>
          <w:rFonts w:ascii="Arial" w:hAnsi="Arial" w:cs="Arial"/>
        </w:rPr>
        <w:t xml:space="preserve"> to determine whether the Order should </w:t>
      </w:r>
      <w:proofErr w:type="gramStart"/>
      <w:r w:rsidR="000407F1">
        <w:rPr>
          <w:rFonts w:ascii="Arial" w:hAnsi="Arial" w:cs="Arial"/>
        </w:rPr>
        <w:t>be confirmed</w:t>
      </w:r>
      <w:proofErr w:type="gramEnd"/>
      <w:r w:rsidR="000407F1">
        <w:rPr>
          <w:rFonts w:ascii="Arial" w:hAnsi="Arial" w:cs="Arial"/>
        </w:rPr>
        <w:t>.</w:t>
      </w:r>
      <w:r w:rsidR="00631CF7">
        <w:rPr>
          <w:rFonts w:ascii="Arial" w:hAnsi="Arial" w:cs="Arial"/>
        </w:rPr>
        <w:t xml:space="preserve"> I have not found it necessary to visit the site.</w:t>
      </w:r>
    </w:p>
    <w:p w14:paraId="1A740DDD" w14:textId="610D7495" w:rsidR="000B79D4" w:rsidRPr="000B79D4" w:rsidRDefault="000B79D4" w:rsidP="000B79D4">
      <w:pPr>
        <w:pStyle w:val="Style1"/>
        <w:ind w:left="0" w:firstLine="0"/>
        <w:rPr>
          <w:rFonts w:ascii="Arial" w:hAnsi="Arial" w:cs="Arial"/>
          <w:b/>
          <w:bCs/>
        </w:rPr>
      </w:pPr>
      <w:r>
        <w:rPr>
          <w:rFonts w:ascii="Arial" w:hAnsi="Arial" w:cs="Arial"/>
          <w:b/>
          <w:bCs/>
        </w:rPr>
        <w:t>The Main Issues</w:t>
      </w:r>
    </w:p>
    <w:p w14:paraId="78562B2F" w14:textId="242B2E44" w:rsidR="00A20FDC" w:rsidRDefault="00A20FDC" w:rsidP="00A20FDC">
      <w:pPr>
        <w:pStyle w:val="Style1"/>
        <w:numPr>
          <w:ilvl w:val="0"/>
          <w:numId w:val="4"/>
        </w:numPr>
        <w:rPr>
          <w:rFonts w:ascii="Arial" w:hAnsi="Arial" w:cs="Arial"/>
        </w:rPr>
      </w:pPr>
      <w:r w:rsidRPr="000F5FA2">
        <w:rPr>
          <w:rFonts w:ascii="Arial" w:hAnsi="Arial" w:cs="Arial"/>
        </w:rPr>
        <w:t xml:space="preserve">The </w:t>
      </w:r>
      <w:r>
        <w:rPr>
          <w:rFonts w:ascii="Arial" w:hAnsi="Arial" w:cs="Arial"/>
        </w:rPr>
        <w:t>main question arising is whether, as the result of the discovery of evidence, a right of way not shown in the Definitive Map and Statement (‘DMS’) for the area subsists. That question arises pursuant to section</w:t>
      </w:r>
      <w:r w:rsidR="003F5541">
        <w:rPr>
          <w:rFonts w:ascii="Arial" w:hAnsi="Arial" w:cs="Arial"/>
        </w:rPr>
        <w:t>s 53(</w:t>
      </w:r>
      <w:r w:rsidR="00557BA2">
        <w:rPr>
          <w:rFonts w:ascii="Arial" w:hAnsi="Arial" w:cs="Arial"/>
        </w:rPr>
        <w:t>3)(b) and</w:t>
      </w:r>
      <w:r>
        <w:rPr>
          <w:rFonts w:ascii="Arial" w:hAnsi="Arial" w:cs="Arial"/>
        </w:rPr>
        <w:t xml:space="preserve"> 53(3)(c)(i) of the Wildlife and Countryside Act 1981 and to the Authority’s duty under section 53(2) of that Act to keep the DMS under review and to make modifications as required in consequence of any of the events set out in section 53(3). </w:t>
      </w:r>
      <w:proofErr w:type="gramStart"/>
      <w:r>
        <w:rPr>
          <w:rFonts w:ascii="Arial" w:hAnsi="Arial" w:cs="Arial"/>
        </w:rPr>
        <w:t>In order to</w:t>
      </w:r>
      <w:proofErr w:type="gramEnd"/>
      <w:r>
        <w:rPr>
          <w:rFonts w:ascii="Arial" w:hAnsi="Arial" w:cs="Arial"/>
        </w:rPr>
        <w:t xml:space="preserve"> confirm the Order, I must be satisfied on the balance of probability that the right of way subsists.</w:t>
      </w:r>
    </w:p>
    <w:p w14:paraId="20846546" w14:textId="77777777" w:rsidR="00635B14" w:rsidRDefault="00A20FDC" w:rsidP="00A20FDC">
      <w:pPr>
        <w:pStyle w:val="Style1"/>
        <w:numPr>
          <w:ilvl w:val="0"/>
          <w:numId w:val="4"/>
        </w:numPr>
        <w:tabs>
          <w:tab w:val="clear" w:pos="720"/>
        </w:tabs>
        <w:rPr>
          <w:rFonts w:ascii="Arial" w:hAnsi="Arial" w:cs="Arial"/>
        </w:rPr>
      </w:pPr>
      <w:r>
        <w:rPr>
          <w:rFonts w:ascii="Arial" w:hAnsi="Arial" w:cs="Arial"/>
        </w:rPr>
        <w:t xml:space="preserve">Section 31 of the Highways Act 1980 (‘the 1980 Act’) provides that where a way over land has been actually enjoyed by the public as of right and without interruption for a full period of 20 years, the way is to be deemed to have been dedicated as a highway, in the absence of sufficient evidence of </w:t>
      </w:r>
      <w:proofErr w:type="spellStart"/>
      <w:r>
        <w:rPr>
          <w:rFonts w:ascii="Arial" w:hAnsi="Arial" w:cs="Arial"/>
        </w:rPr>
        <w:t>there</w:t>
      </w:r>
      <w:proofErr w:type="spellEnd"/>
      <w:r>
        <w:rPr>
          <w:rFonts w:ascii="Arial" w:hAnsi="Arial" w:cs="Arial"/>
        </w:rPr>
        <w:t xml:space="preserve"> having been no intention to dedicate it during that period</w:t>
      </w:r>
      <w:r w:rsidR="007D21DD">
        <w:rPr>
          <w:rFonts w:ascii="Arial" w:hAnsi="Arial" w:cs="Arial"/>
        </w:rPr>
        <w:t>.</w:t>
      </w:r>
      <w:r>
        <w:rPr>
          <w:rFonts w:ascii="Arial" w:hAnsi="Arial" w:cs="Arial"/>
        </w:rPr>
        <w:t xml:space="preserve"> </w:t>
      </w:r>
    </w:p>
    <w:p w14:paraId="1CC3B1EC" w14:textId="4614A17F" w:rsidR="00A20FDC" w:rsidRDefault="00A20FDC" w:rsidP="00A20FDC">
      <w:pPr>
        <w:pStyle w:val="Style1"/>
        <w:numPr>
          <w:ilvl w:val="0"/>
          <w:numId w:val="4"/>
        </w:numPr>
        <w:tabs>
          <w:tab w:val="clear" w:pos="720"/>
        </w:tabs>
        <w:rPr>
          <w:rFonts w:ascii="Arial" w:hAnsi="Arial" w:cs="Arial"/>
        </w:rPr>
      </w:pPr>
      <w:r>
        <w:rPr>
          <w:rFonts w:ascii="Arial" w:hAnsi="Arial" w:cs="Arial"/>
        </w:rPr>
        <w:t>The relevant 20</w:t>
      </w:r>
      <w:r w:rsidR="007D21DD">
        <w:rPr>
          <w:rFonts w:ascii="Arial" w:hAnsi="Arial" w:cs="Arial"/>
        </w:rPr>
        <w:t xml:space="preserve"> </w:t>
      </w:r>
      <w:r>
        <w:rPr>
          <w:rFonts w:ascii="Arial" w:hAnsi="Arial" w:cs="Arial"/>
        </w:rPr>
        <w:t xml:space="preserve">year period is to </w:t>
      </w:r>
      <w:proofErr w:type="gramStart"/>
      <w:r>
        <w:rPr>
          <w:rFonts w:ascii="Arial" w:hAnsi="Arial" w:cs="Arial"/>
        </w:rPr>
        <w:t>be calculated</w:t>
      </w:r>
      <w:proofErr w:type="gramEnd"/>
      <w:r>
        <w:rPr>
          <w:rFonts w:ascii="Arial" w:hAnsi="Arial" w:cs="Arial"/>
        </w:rPr>
        <w:t xml:space="preserve"> retrospectively from the date when the public’s right to use the route </w:t>
      </w:r>
      <w:proofErr w:type="gramStart"/>
      <w:r>
        <w:rPr>
          <w:rFonts w:ascii="Arial" w:hAnsi="Arial" w:cs="Arial"/>
        </w:rPr>
        <w:t>is brought</w:t>
      </w:r>
      <w:proofErr w:type="gramEnd"/>
      <w:r>
        <w:rPr>
          <w:rFonts w:ascii="Arial" w:hAnsi="Arial" w:cs="Arial"/>
        </w:rPr>
        <w:t xml:space="preserve"> into question, and I will consider below when that was. I also need to determine whether there was sufficient use of the route over the relevant 20</w:t>
      </w:r>
      <w:r w:rsidR="007D21DD">
        <w:rPr>
          <w:rFonts w:ascii="Arial" w:hAnsi="Arial" w:cs="Arial"/>
        </w:rPr>
        <w:t xml:space="preserve"> </w:t>
      </w:r>
      <w:r>
        <w:rPr>
          <w:rFonts w:ascii="Arial" w:hAnsi="Arial" w:cs="Arial"/>
        </w:rPr>
        <w:t xml:space="preserve">year period to show a presumption of dedication, and </w:t>
      </w:r>
      <w:proofErr w:type="gramStart"/>
      <w:r>
        <w:rPr>
          <w:rFonts w:ascii="Arial" w:hAnsi="Arial" w:cs="Arial"/>
        </w:rPr>
        <w:t>whether or not</w:t>
      </w:r>
      <w:proofErr w:type="gramEnd"/>
      <w:r>
        <w:rPr>
          <w:rFonts w:ascii="Arial" w:hAnsi="Arial" w:cs="Arial"/>
        </w:rPr>
        <w:t xml:space="preserve"> there is sufficient evidence to show that the landowner did not intend to dedicate the route</w:t>
      </w:r>
      <w:proofErr w:type="gramStart"/>
      <w:r>
        <w:rPr>
          <w:rFonts w:ascii="Arial" w:hAnsi="Arial" w:cs="Arial"/>
        </w:rPr>
        <w:t xml:space="preserve">.  </w:t>
      </w:r>
      <w:proofErr w:type="gramEnd"/>
    </w:p>
    <w:p w14:paraId="1A8D6A5A" w14:textId="77777777" w:rsidR="00A20FDC" w:rsidRPr="00BB3197" w:rsidRDefault="00A20FDC" w:rsidP="00A20FDC">
      <w:pPr>
        <w:pStyle w:val="Style1"/>
        <w:numPr>
          <w:ilvl w:val="0"/>
          <w:numId w:val="4"/>
        </w:numPr>
        <w:tabs>
          <w:tab w:val="clear" w:pos="720"/>
        </w:tabs>
        <w:rPr>
          <w:rFonts w:ascii="Arial" w:hAnsi="Arial" w:cs="Arial"/>
        </w:rPr>
      </w:pPr>
      <w:r w:rsidRPr="00BB3197">
        <w:rPr>
          <w:rFonts w:ascii="Arial" w:hAnsi="Arial" w:cs="Arial"/>
        </w:rPr>
        <w:t>In determining th</w:t>
      </w:r>
      <w:r>
        <w:rPr>
          <w:rFonts w:ascii="Arial" w:hAnsi="Arial" w:cs="Arial"/>
        </w:rPr>
        <w:t>ose</w:t>
      </w:r>
      <w:r w:rsidRPr="00BB3197">
        <w:rPr>
          <w:rFonts w:ascii="Arial" w:hAnsi="Arial" w:cs="Arial"/>
        </w:rPr>
        <w:t xml:space="preserve"> question</w:t>
      </w:r>
      <w:r>
        <w:rPr>
          <w:rFonts w:ascii="Arial" w:hAnsi="Arial" w:cs="Arial"/>
        </w:rPr>
        <w:t>s</w:t>
      </w:r>
      <w:r w:rsidRPr="00BB3197">
        <w:rPr>
          <w:rFonts w:ascii="Arial" w:hAnsi="Arial" w:cs="Arial"/>
        </w:rPr>
        <w:t xml:space="preserve">, section 32 of the 1980 Act provides that I am to take into consideration any map, plan or history of the locality or other relevant document, giving those documents such weight as </w:t>
      </w:r>
      <w:proofErr w:type="gramStart"/>
      <w:r w:rsidRPr="00BB3197">
        <w:rPr>
          <w:rFonts w:ascii="Arial" w:hAnsi="Arial" w:cs="Arial"/>
        </w:rPr>
        <w:t>is justified</w:t>
      </w:r>
      <w:proofErr w:type="gramEnd"/>
      <w:r w:rsidRPr="00BB3197">
        <w:rPr>
          <w:rFonts w:ascii="Arial" w:hAnsi="Arial" w:cs="Arial"/>
        </w:rPr>
        <w:t xml:space="preserve"> by the circumstances. A copy of the Order Map </w:t>
      </w:r>
      <w:proofErr w:type="gramStart"/>
      <w:r w:rsidRPr="00BB3197">
        <w:rPr>
          <w:rFonts w:ascii="Arial" w:hAnsi="Arial" w:cs="Arial"/>
        </w:rPr>
        <w:t>is appended</w:t>
      </w:r>
      <w:proofErr w:type="gramEnd"/>
      <w:r w:rsidRPr="00BB3197">
        <w:rPr>
          <w:rFonts w:ascii="Arial" w:hAnsi="Arial" w:cs="Arial"/>
        </w:rPr>
        <w:t xml:space="preserve"> to this decision for ease of reference.</w:t>
      </w:r>
    </w:p>
    <w:p w14:paraId="2187B0A6" w14:textId="77777777" w:rsidR="00CE4E55" w:rsidRPr="00EA6596" w:rsidRDefault="00CE4E55" w:rsidP="00CE4E55">
      <w:pPr>
        <w:pStyle w:val="Heading6blackfont"/>
        <w:rPr>
          <w:rFonts w:ascii="Arial" w:hAnsi="Arial" w:cs="Arial"/>
        </w:rPr>
      </w:pPr>
      <w:r w:rsidRPr="00EA6596">
        <w:rPr>
          <w:rFonts w:ascii="Arial" w:hAnsi="Arial" w:cs="Arial"/>
        </w:rPr>
        <w:lastRenderedPageBreak/>
        <w:t>Reasons</w:t>
      </w:r>
    </w:p>
    <w:p w14:paraId="39409EC9" w14:textId="57451CCB" w:rsidR="00EA6596" w:rsidRPr="00EA6596" w:rsidRDefault="00EA6596" w:rsidP="00EA6596">
      <w:pPr>
        <w:pStyle w:val="Style1"/>
        <w:rPr>
          <w:rFonts w:ascii="Arial" w:hAnsi="Arial" w:cs="Arial"/>
          <w:i/>
          <w:iCs/>
        </w:rPr>
      </w:pPr>
      <w:r w:rsidRPr="00EA6596">
        <w:rPr>
          <w:rFonts w:ascii="Arial" w:hAnsi="Arial" w:cs="Arial"/>
          <w:i/>
          <w:iCs/>
        </w:rPr>
        <w:t>The route</w:t>
      </w:r>
    </w:p>
    <w:p w14:paraId="5DBC53D2" w14:textId="04C38F84" w:rsidR="00E708D5" w:rsidRPr="00D33F96" w:rsidRDefault="00CE4E55" w:rsidP="003F5541">
      <w:pPr>
        <w:pStyle w:val="Style1"/>
        <w:numPr>
          <w:ilvl w:val="0"/>
          <w:numId w:val="4"/>
        </w:numPr>
        <w:tabs>
          <w:tab w:val="clear" w:pos="720"/>
        </w:tabs>
        <w:rPr>
          <w:rFonts w:ascii="Arial" w:hAnsi="Arial" w:cs="Arial"/>
          <w:bCs/>
        </w:rPr>
      </w:pPr>
      <w:r w:rsidRPr="00D33F96">
        <w:rPr>
          <w:rFonts w:ascii="Arial" w:hAnsi="Arial" w:cs="Arial"/>
          <w:bCs/>
        </w:rPr>
        <w:t xml:space="preserve">The </w:t>
      </w:r>
      <w:r w:rsidR="0080276A" w:rsidRPr="00D33F96">
        <w:rPr>
          <w:rFonts w:ascii="Arial" w:hAnsi="Arial" w:cs="Arial"/>
          <w:bCs/>
        </w:rPr>
        <w:t>alleged route</w:t>
      </w:r>
      <w:r w:rsidR="006E2845" w:rsidRPr="00D33F96">
        <w:rPr>
          <w:rFonts w:ascii="Arial" w:hAnsi="Arial" w:cs="Arial"/>
          <w:bCs/>
        </w:rPr>
        <w:t xml:space="preserve"> (‘the Order route’)</w:t>
      </w:r>
      <w:r w:rsidR="0080276A" w:rsidRPr="00D33F96">
        <w:rPr>
          <w:rFonts w:ascii="Arial" w:hAnsi="Arial" w:cs="Arial"/>
          <w:bCs/>
        </w:rPr>
        <w:t xml:space="preserve"> </w:t>
      </w:r>
      <w:r w:rsidR="00635B14" w:rsidRPr="00D33F96">
        <w:rPr>
          <w:rFonts w:ascii="Arial" w:hAnsi="Arial" w:cs="Arial"/>
          <w:bCs/>
        </w:rPr>
        <w:t>is around 75m in length</w:t>
      </w:r>
      <w:r w:rsidR="00ED21BE">
        <w:rPr>
          <w:rFonts w:ascii="Arial" w:hAnsi="Arial" w:cs="Arial"/>
          <w:bCs/>
        </w:rPr>
        <w:t xml:space="preserve"> and of varying width</w:t>
      </w:r>
      <w:r w:rsidR="00635B14" w:rsidRPr="00D33F96">
        <w:rPr>
          <w:rFonts w:ascii="Arial" w:hAnsi="Arial" w:cs="Arial"/>
          <w:bCs/>
        </w:rPr>
        <w:t xml:space="preserve"> passing between domestic properties</w:t>
      </w:r>
      <w:r w:rsidR="00871F0F" w:rsidRPr="00D33F96">
        <w:rPr>
          <w:rFonts w:ascii="Arial" w:hAnsi="Arial" w:cs="Arial"/>
          <w:bCs/>
        </w:rPr>
        <w:t xml:space="preserve"> (</w:t>
      </w:r>
      <w:proofErr w:type="spellStart"/>
      <w:proofErr w:type="gramStart"/>
      <w:r w:rsidR="00871F0F" w:rsidRPr="00D33F96">
        <w:rPr>
          <w:rFonts w:ascii="Arial" w:hAnsi="Arial" w:cs="Arial"/>
          <w:bCs/>
        </w:rPr>
        <w:t>no.s</w:t>
      </w:r>
      <w:proofErr w:type="spellEnd"/>
      <w:proofErr w:type="gramEnd"/>
      <w:r w:rsidR="00871F0F" w:rsidRPr="00D33F96">
        <w:rPr>
          <w:rFonts w:ascii="Arial" w:hAnsi="Arial" w:cs="Arial"/>
          <w:bCs/>
        </w:rPr>
        <w:t xml:space="preserve"> 71 and 71A) on Higher Road and between others (</w:t>
      </w:r>
      <w:proofErr w:type="spellStart"/>
      <w:proofErr w:type="gramStart"/>
      <w:r w:rsidR="00871F0F" w:rsidRPr="00D33F96">
        <w:rPr>
          <w:rFonts w:ascii="Arial" w:hAnsi="Arial" w:cs="Arial"/>
          <w:bCs/>
        </w:rPr>
        <w:t>no.s</w:t>
      </w:r>
      <w:proofErr w:type="spellEnd"/>
      <w:proofErr w:type="gramEnd"/>
      <w:r w:rsidR="00871F0F" w:rsidRPr="00D33F96">
        <w:rPr>
          <w:rFonts w:ascii="Arial" w:hAnsi="Arial" w:cs="Arial"/>
          <w:bCs/>
        </w:rPr>
        <w:t xml:space="preserve"> 18 and 20) on </w:t>
      </w:r>
      <w:proofErr w:type="spellStart"/>
      <w:r w:rsidR="00871F0F" w:rsidRPr="00D33F96">
        <w:rPr>
          <w:rFonts w:ascii="Arial" w:hAnsi="Arial" w:cs="Arial"/>
          <w:bCs/>
        </w:rPr>
        <w:t>Wellbrow</w:t>
      </w:r>
      <w:proofErr w:type="spellEnd"/>
      <w:r w:rsidR="00871F0F" w:rsidRPr="00D33F96">
        <w:rPr>
          <w:rFonts w:ascii="Arial" w:hAnsi="Arial" w:cs="Arial"/>
          <w:bCs/>
        </w:rPr>
        <w:t xml:space="preserve"> Drive. </w:t>
      </w:r>
      <w:r w:rsidR="00E708D5" w:rsidRPr="00D33F96">
        <w:rPr>
          <w:rFonts w:ascii="Arial" w:hAnsi="Arial" w:cs="Arial"/>
          <w:bCs/>
        </w:rPr>
        <w:t xml:space="preserve">Between the rear gardens of no. 71A Higher Road and no. 20 </w:t>
      </w:r>
      <w:proofErr w:type="spellStart"/>
      <w:r w:rsidR="00E708D5" w:rsidRPr="00D33F96">
        <w:rPr>
          <w:rFonts w:ascii="Arial" w:hAnsi="Arial" w:cs="Arial"/>
          <w:bCs/>
        </w:rPr>
        <w:t>Wellbrow</w:t>
      </w:r>
      <w:proofErr w:type="spellEnd"/>
      <w:r w:rsidR="00E708D5" w:rsidRPr="00D33F96">
        <w:rPr>
          <w:rFonts w:ascii="Arial" w:hAnsi="Arial" w:cs="Arial"/>
          <w:bCs/>
        </w:rPr>
        <w:t xml:space="preserve"> Drive lies an electricity sub</w:t>
      </w:r>
      <w:r w:rsidR="00C93A1D">
        <w:rPr>
          <w:rFonts w:ascii="Arial" w:hAnsi="Arial" w:cs="Arial"/>
          <w:bCs/>
        </w:rPr>
        <w:t>-</w:t>
      </w:r>
      <w:r w:rsidR="00E708D5" w:rsidRPr="00D33F96">
        <w:rPr>
          <w:rFonts w:ascii="Arial" w:hAnsi="Arial" w:cs="Arial"/>
          <w:bCs/>
        </w:rPr>
        <w:t xml:space="preserve">station which is accessible only from the Order route. The owner of no. 71A reports that he has a side access gate onto the route. </w:t>
      </w:r>
    </w:p>
    <w:p w14:paraId="017D8C0A" w14:textId="7763AB14" w:rsidR="004E3BD7" w:rsidRDefault="00E708D5" w:rsidP="003F5541">
      <w:pPr>
        <w:pStyle w:val="Style1"/>
        <w:numPr>
          <w:ilvl w:val="0"/>
          <w:numId w:val="4"/>
        </w:numPr>
        <w:tabs>
          <w:tab w:val="clear" w:pos="720"/>
        </w:tabs>
        <w:rPr>
          <w:rFonts w:ascii="Arial" w:hAnsi="Arial" w:cs="Arial"/>
          <w:bCs/>
        </w:rPr>
      </w:pPr>
      <w:r w:rsidRPr="00D33F96">
        <w:rPr>
          <w:rFonts w:ascii="Arial" w:hAnsi="Arial" w:cs="Arial"/>
          <w:bCs/>
        </w:rPr>
        <w:t>To its south</w:t>
      </w:r>
      <w:r w:rsidR="004A7A4A" w:rsidRPr="00D33F96">
        <w:rPr>
          <w:rFonts w:ascii="Arial" w:hAnsi="Arial" w:cs="Arial"/>
          <w:bCs/>
        </w:rPr>
        <w:t>eastern</w:t>
      </w:r>
      <w:r w:rsidRPr="00D33F96">
        <w:rPr>
          <w:rFonts w:ascii="Arial" w:hAnsi="Arial" w:cs="Arial"/>
          <w:bCs/>
        </w:rPr>
        <w:t xml:space="preserve"> end, from Higher Road, the </w:t>
      </w:r>
      <w:r w:rsidR="000C5685" w:rsidRPr="00D33F96">
        <w:rPr>
          <w:rFonts w:ascii="Arial" w:hAnsi="Arial" w:cs="Arial"/>
          <w:bCs/>
        </w:rPr>
        <w:t xml:space="preserve">Order route provides an accessway to the rear of </w:t>
      </w:r>
      <w:r w:rsidR="00177AF8">
        <w:rPr>
          <w:rFonts w:ascii="Arial" w:hAnsi="Arial" w:cs="Arial"/>
          <w:bCs/>
        </w:rPr>
        <w:t xml:space="preserve">some of the </w:t>
      </w:r>
      <w:r w:rsidR="000C5685" w:rsidRPr="00D33F96">
        <w:rPr>
          <w:rFonts w:ascii="Arial" w:hAnsi="Arial" w:cs="Arial"/>
          <w:bCs/>
        </w:rPr>
        <w:t xml:space="preserve">properties </w:t>
      </w:r>
      <w:r w:rsidR="00177AF8">
        <w:rPr>
          <w:rFonts w:ascii="Arial" w:hAnsi="Arial" w:cs="Arial"/>
          <w:bCs/>
        </w:rPr>
        <w:t>facing Higher Road</w:t>
      </w:r>
      <w:r w:rsidR="000C5685" w:rsidRPr="00D33F96">
        <w:rPr>
          <w:rFonts w:ascii="Arial" w:hAnsi="Arial" w:cs="Arial"/>
          <w:bCs/>
        </w:rPr>
        <w:t xml:space="preserve">, which is a terrace of historic properties formerly known as ‘Cut Thorn’, </w:t>
      </w:r>
      <w:r w:rsidR="004A7A4A" w:rsidRPr="00D33F96">
        <w:rPr>
          <w:rFonts w:ascii="Arial" w:hAnsi="Arial" w:cs="Arial"/>
          <w:bCs/>
        </w:rPr>
        <w:t xml:space="preserve">now </w:t>
      </w:r>
      <w:proofErr w:type="spellStart"/>
      <w:r w:rsidR="004A7A4A" w:rsidRPr="00D33F96">
        <w:rPr>
          <w:rFonts w:ascii="Arial" w:hAnsi="Arial" w:cs="Arial"/>
          <w:bCs/>
        </w:rPr>
        <w:t>no.s</w:t>
      </w:r>
      <w:proofErr w:type="spellEnd"/>
      <w:r w:rsidR="004A7A4A" w:rsidRPr="00D33F96">
        <w:rPr>
          <w:rFonts w:ascii="Arial" w:hAnsi="Arial" w:cs="Arial"/>
          <w:bCs/>
        </w:rPr>
        <w:t xml:space="preserve"> 57 – 71</w:t>
      </w:r>
      <w:r w:rsidR="003227B1">
        <w:rPr>
          <w:rFonts w:ascii="Arial" w:hAnsi="Arial" w:cs="Arial"/>
          <w:bCs/>
        </w:rPr>
        <w:t xml:space="preserve"> Higher Road</w:t>
      </w:r>
      <w:r w:rsidR="004A7A4A" w:rsidRPr="00D33F96">
        <w:rPr>
          <w:rFonts w:ascii="Arial" w:hAnsi="Arial" w:cs="Arial"/>
          <w:bCs/>
        </w:rPr>
        <w:t xml:space="preserve">, </w:t>
      </w:r>
      <w:r w:rsidR="000C5685" w:rsidRPr="00D33F96">
        <w:rPr>
          <w:rFonts w:ascii="Arial" w:hAnsi="Arial" w:cs="Arial"/>
          <w:bCs/>
        </w:rPr>
        <w:t xml:space="preserve">of which no. 71 is the </w:t>
      </w:r>
      <w:r w:rsidR="00B11DFE" w:rsidRPr="00D33F96">
        <w:rPr>
          <w:rFonts w:ascii="Arial" w:hAnsi="Arial" w:cs="Arial"/>
          <w:bCs/>
        </w:rPr>
        <w:t>northeastern</w:t>
      </w:r>
      <w:r w:rsidR="00B11DFE">
        <w:rPr>
          <w:rFonts w:ascii="Arial" w:hAnsi="Arial" w:cs="Arial"/>
          <w:bCs/>
        </w:rPr>
        <w:t>-</w:t>
      </w:r>
      <w:r w:rsidR="00B11DFE" w:rsidRPr="00D33F96">
        <w:rPr>
          <w:rFonts w:ascii="Arial" w:hAnsi="Arial" w:cs="Arial"/>
          <w:bCs/>
        </w:rPr>
        <w:t>most</w:t>
      </w:r>
      <w:r w:rsidR="000C5685" w:rsidRPr="00D33F96">
        <w:rPr>
          <w:rFonts w:ascii="Arial" w:hAnsi="Arial" w:cs="Arial"/>
          <w:bCs/>
        </w:rPr>
        <w:t xml:space="preserve"> property. </w:t>
      </w:r>
    </w:p>
    <w:p w14:paraId="5A477C04" w14:textId="31D7FABD" w:rsidR="004E3BD7" w:rsidRPr="004E3BD7" w:rsidRDefault="004E3BD7" w:rsidP="004E3BD7">
      <w:pPr>
        <w:pStyle w:val="Style1"/>
        <w:ind w:left="0" w:firstLine="0"/>
        <w:rPr>
          <w:rFonts w:ascii="Arial" w:hAnsi="Arial" w:cs="Arial"/>
          <w:bCs/>
          <w:i/>
          <w:iCs/>
        </w:rPr>
      </w:pPr>
      <w:r>
        <w:rPr>
          <w:rFonts w:ascii="Arial" w:hAnsi="Arial" w:cs="Arial"/>
          <w:bCs/>
          <w:i/>
          <w:iCs/>
        </w:rPr>
        <w:t>Historic documents</w:t>
      </w:r>
    </w:p>
    <w:p w14:paraId="4310C4E4" w14:textId="2B7B7FCA" w:rsidR="00B91EC7" w:rsidRPr="00D33F96" w:rsidRDefault="000C5685" w:rsidP="003F5541">
      <w:pPr>
        <w:pStyle w:val="Style1"/>
        <w:numPr>
          <w:ilvl w:val="0"/>
          <w:numId w:val="4"/>
        </w:numPr>
        <w:tabs>
          <w:tab w:val="clear" w:pos="720"/>
        </w:tabs>
        <w:rPr>
          <w:rFonts w:ascii="Arial" w:hAnsi="Arial" w:cs="Arial"/>
          <w:bCs/>
        </w:rPr>
      </w:pPr>
      <w:r w:rsidRPr="00D33F96">
        <w:rPr>
          <w:rFonts w:ascii="Arial" w:hAnsi="Arial" w:cs="Arial"/>
          <w:bCs/>
        </w:rPr>
        <w:t xml:space="preserve">Those </w:t>
      </w:r>
      <w:r w:rsidR="004E3BD7">
        <w:rPr>
          <w:rFonts w:ascii="Arial" w:hAnsi="Arial" w:cs="Arial"/>
          <w:bCs/>
        </w:rPr>
        <w:t xml:space="preserve">‘Cut Thorn’ </w:t>
      </w:r>
      <w:r w:rsidRPr="00D33F96">
        <w:rPr>
          <w:rFonts w:ascii="Arial" w:hAnsi="Arial" w:cs="Arial"/>
          <w:bCs/>
        </w:rPr>
        <w:t xml:space="preserve">properties </w:t>
      </w:r>
      <w:proofErr w:type="gramStart"/>
      <w:r w:rsidRPr="00D33F96">
        <w:rPr>
          <w:rFonts w:ascii="Arial" w:hAnsi="Arial" w:cs="Arial"/>
          <w:bCs/>
        </w:rPr>
        <w:t>are shown</w:t>
      </w:r>
      <w:proofErr w:type="gramEnd"/>
      <w:r w:rsidRPr="00D33F96">
        <w:rPr>
          <w:rFonts w:ascii="Arial" w:hAnsi="Arial" w:cs="Arial"/>
          <w:bCs/>
        </w:rPr>
        <w:t xml:space="preserve"> on maps</w:t>
      </w:r>
      <w:r w:rsidR="007D1F2C" w:rsidRPr="00D33F96">
        <w:rPr>
          <w:rFonts w:ascii="Arial" w:hAnsi="Arial" w:cs="Arial"/>
          <w:bCs/>
        </w:rPr>
        <w:t xml:space="preserve"> of the late nineteenth </w:t>
      </w:r>
      <w:proofErr w:type="gramStart"/>
      <w:r w:rsidR="007D1F2C" w:rsidRPr="00D33F96">
        <w:rPr>
          <w:rFonts w:ascii="Arial" w:hAnsi="Arial" w:cs="Arial"/>
          <w:bCs/>
        </w:rPr>
        <w:t>century, when</w:t>
      </w:r>
      <w:proofErr w:type="gramEnd"/>
      <w:r w:rsidR="007D1F2C" w:rsidRPr="00D33F96">
        <w:rPr>
          <w:rFonts w:ascii="Arial" w:hAnsi="Arial" w:cs="Arial"/>
          <w:bCs/>
        </w:rPr>
        <w:t xml:space="preserve"> they </w:t>
      </w:r>
      <w:proofErr w:type="gramStart"/>
      <w:r w:rsidR="007D1F2C" w:rsidRPr="00D33F96">
        <w:rPr>
          <w:rFonts w:ascii="Arial" w:hAnsi="Arial" w:cs="Arial"/>
          <w:bCs/>
        </w:rPr>
        <w:t>were surrounded</w:t>
      </w:r>
      <w:proofErr w:type="gramEnd"/>
      <w:r w:rsidR="007D1F2C" w:rsidRPr="00D33F96">
        <w:rPr>
          <w:rFonts w:ascii="Arial" w:hAnsi="Arial" w:cs="Arial"/>
          <w:bCs/>
        </w:rPr>
        <w:t xml:space="preserve"> by farmland. </w:t>
      </w:r>
      <w:r w:rsidRPr="00D33F96">
        <w:rPr>
          <w:rFonts w:ascii="Arial" w:hAnsi="Arial" w:cs="Arial"/>
          <w:bCs/>
        </w:rPr>
        <w:t xml:space="preserve">No. 71A </w:t>
      </w:r>
      <w:proofErr w:type="gramStart"/>
      <w:r w:rsidRPr="00D33F96">
        <w:rPr>
          <w:rFonts w:ascii="Arial" w:hAnsi="Arial" w:cs="Arial"/>
          <w:bCs/>
        </w:rPr>
        <w:t>was developed</w:t>
      </w:r>
      <w:proofErr w:type="gramEnd"/>
      <w:r w:rsidRPr="00D33F96">
        <w:rPr>
          <w:rFonts w:ascii="Arial" w:hAnsi="Arial" w:cs="Arial"/>
          <w:bCs/>
        </w:rPr>
        <w:t xml:space="preserve"> later</w:t>
      </w:r>
      <w:r w:rsidR="00ED50C6" w:rsidRPr="00D33F96">
        <w:rPr>
          <w:rFonts w:ascii="Arial" w:hAnsi="Arial" w:cs="Arial"/>
          <w:bCs/>
        </w:rPr>
        <w:t xml:space="preserve">, </w:t>
      </w:r>
      <w:proofErr w:type="gramStart"/>
      <w:r w:rsidR="00ED50C6" w:rsidRPr="00D33F96">
        <w:rPr>
          <w:rFonts w:ascii="Arial" w:hAnsi="Arial" w:cs="Arial"/>
          <w:bCs/>
        </w:rPr>
        <w:t>apparently as</w:t>
      </w:r>
      <w:proofErr w:type="gramEnd"/>
      <w:r w:rsidR="00ED50C6" w:rsidRPr="00D33F96">
        <w:rPr>
          <w:rFonts w:ascii="Arial" w:hAnsi="Arial" w:cs="Arial"/>
          <w:bCs/>
        </w:rPr>
        <w:t xml:space="preserve"> the result of a subdivision of no. 73</w:t>
      </w:r>
      <w:r w:rsidR="008A14FA" w:rsidRPr="00D33F96">
        <w:rPr>
          <w:rFonts w:ascii="Arial" w:hAnsi="Arial" w:cs="Arial"/>
          <w:bCs/>
        </w:rPr>
        <w:t xml:space="preserve">, but no. 73 itself </w:t>
      </w:r>
      <w:proofErr w:type="gramStart"/>
      <w:r w:rsidR="008A14FA" w:rsidRPr="00D33F96">
        <w:rPr>
          <w:rFonts w:ascii="Arial" w:hAnsi="Arial" w:cs="Arial"/>
          <w:bCs/>
        </w:rPr>
        <w:t>was developed</w:t>
      </w:r>
      <w:proofErr w:type="gramEnd"/>
      <w:r w:rsidR="008A14FA" w:rsidRPr="00D33F96">
        <w:rPr>
          <w:rFonts w:ascii="Arial" w:hAnsi="Arial" w:cs="Arial"/>
          <w:bCs/>
        </w:rPr>
        <w:t xml:space="preserve"> later than no. 71. When it was developed, a plan (undated</w:t>
      </w:r>
      <w:r w:rsidR="004E3BD7">
        <w:rPr>
          <w:rFonts w:ascii="Arial" w:hAnsi="Arial" w:cs="Arial"/>
          <w:bCs/>
        </w:rPr>
        <w:t>, but likely to have been a sales plan from the early 1960s</w:t>
      </w:r>
      <w:r w:rsidR="008A14FA" w:rsidRPr="00D33F96">
        <w:rPr>
          <w:rFonts w:ascii="Arial" w:hAnsi="Arial" w:cs="Arial"/>
          <w:bCs/>
        </w:rPr>
        <w:t xml:space="preserve">) of the area shows a track </w:t>
      </w:r>
      <w:r w:rsidR="00B91EC7" w:rsidRPr="00D33F96">
        <w:rPr>
          <w:rFonts w:ascii="Arial" w:hAnsi="Arial" w:cs="Arial"/>
          <w:bCs/>
        </w:rPr>
        <w:t>to be retained between the two properties (no. 71 and no. 73, now no. 71A) from Higher Road leading to what was then farmland</w:t>
      </w:r>
      <w:r w:rsidR="00326B40" w:rsidRPr="00D33F96">
        <w:rPr>
          <w:rFonts w:ascii="Arial" w:hAnsi="Arial" w:cs="Arial"/>
          <w:bCs/>
        </w:rPr>
        <w:t xml:space="preserve"> beyond</w:t>
      </w:r>
      <w:r w:rsidR="00395AC1" w:rsidRPr="00D33F96">
        <w:rPr>
          <w:rFonts w:ascii="Arial" w:hAnsi="Arial" w:cs="Arial"/>
          <w:bCs/>
        </w:rPr>
        <w:t xml:space="preserve"> to the </w:t>
      </w:r>
      <w:r w:rsidR="00607480">
        <w:rPr>
          <w:rFonts w:ascii="Arial" w:hAnsi="Arial" w:cs="Arial"/>
          <w:bCs/>
        </w:rPr>
        <w:t>north</w:t>
      </w:r>
      <w:r w:rsidR="00395AC1" w:rsidRPr="00D33F96">
        <w:rPr>
          <w:rFonts w:ascii="Arial" w:hAnsi="Arial" w:cs="Arial"/>
          <w:bCs/>
        </w:rPr>
        <w:t>west</w:t>
      </w:r>
      <w:r w:rsidR="00B91EC7" w:rsidRPr="00D33F96">
        <w:rPr>
          <w:rFonts w:ascii="Arial" w:hAnsi="Arial" w:cs="Arial"/>
          <w:bCs/>
        </w:rPr>
        <w:t>.</w:t>
      </w:r>
    </w:p>
    <w:p w14:paraId="1E929FFF" w14:textId="7EDEC0F3" w:rsidR="00C94BC4" w:rsidRPr="00D33F96" w:rsidRDefault="00B91EC7" w:rsidP="003F5541">
      <w:pPr>
        <w:pStyle w:val="Style1"/>
        <w:numPr>
          <w:ilvl w:val="0"/>
          <w:numId w:val="4"/>
        </w:numPr>
        <w:tabs>
          <w:tab w:val="clear" w:pos="720"/>
        </w:tabs>
        <w:rPr>
          <w:rFonts w:ascii="Arial" w:hAnsi="Arial" w:cs="Arial"/>
          <w:bCs/>
        </w:rPr>
      </w:pPr>
      <w:r w:rsidRPr="00D33F96">
        <w:rPr>
          <w:rFonts w:ascii="Arial" w:hAnsi="Arial" w:cs="Arial"/>
          <w:bCs/>
        </w:rPr>
        <w:t xml:space="preserve">That farmland to the rear of those properties </w:t>
      </w:r>
      <w:proofErr w:type="gramStart"/>
      <w:r w:rsidRPr="00D33F96">
        <w:rPr>
          <w:rFonts w:ascii="Arial" w:hAnsi="Arial" w:cs="Arial"/>
          <w:bCs/>
        </w:rPr>
        <w:t>was sold</w:t>
      </w:r>
      <w:proofErr w:type="gramEnd"/>
      <w:r w:rsidRPr="00D33F96">
        <w:rPr>
          <w:rFonts w:ascii="Arial" w:hAnsi="Arial" w:cs="Arial"/>
          <w:bCs/>
        </w:rPr>
        <w:t xml:space="preserve"> for development in </w:t>
      </w:r>
      <w:r w:rsidR="00E06164" w:rsidRPr="00D33F96">
        <w:rPr>
          <w:rFonts w:ascii="Arial" w:hAnsi="Arial" w:cs="Arial"/>
          <w:bCs/>
        </w:rPr>
        <w:t>1961, with the reservation of access rights to benefit the ‘Cut Thorn’ properties to Higher Road</w:t>
      </w:r>
      <w:r w:rsidR="00021920" w:rsidRPr="00D33F96">
        <w:rPr>
          <w:rFonts w:ascii="Arial" w:hAnsi="Arial" w:cs="Arial"/>
          <w:bCs/>
        </w:rPr>
        <w:t>.</w:t>
      </w:r>
      <w:r w:rsidR="00395AC1" w:rsidRPr="00D33F96">
        <w:rPr>
          <w:rFonts w:ascii="Arial" w:hAnsi="Arial" w:cs="Arial"/>
          <w:bCs/>
        </w:rPr>
        <w:t xml:space="preserve"> Conveyancing documents show that rights of access with or without vehicles </w:t>
      </w:r>
      <w:proofErr w:type="gramStart"/>
      <w:r w:rsidR="00395AC1" w:rsidRPr="00D33F96">
        <w:rPr>
          <w:rFonts w:ascii="Arial" w:hAnsi="Arial" w:cs="Arial"/>
          <w:bCs/>
        </w:rPr>
        <w:t>were reserved</w:t>
      </w:r>
      <w:proofErr w:type="gramEnd"/>
      <w:r w:rsidR="00395AC1" w:rsidRPr="00D33F96">
        <w:rPr>
          <w:rFonts w:ascii="Arial" w:hAnsi="Arial" w:cs="Arial"/>
          <w:bCs/>
        </w:rPr>
        <w:t xml:space="preserve"> over the part of the Order route running between </w:t>
      </w:r>
      <w:proofErr w:type="spellStart"/>
      <w:proofErr w:type="gramStart"/>
      <w:r w:rsidR="00395AC1" w:rsidRPr="00D33F96">
        <w:rPr>
          <w:rFonts w:ascii="Arial" w:hAnsi="Arial" w:cs="Arial"/>
          <w:bCs/>
        </w:rPr>
        <w:t>no.s</w:t>
      </w:r>
      <w:proofErr w:type="spellEnd"/>
      <w:proofErr w:type="gramEnd"/>
      <w:r w:rsidR="00395AC1" w:rsidRPr="00D33F96">
        <w:rPr>
          <w:rFonts w:ascii="Arial" w:hAnsi="Arial" w:cs="Arial"/>
          <w:bCs/>
        </w:rPr>
        <w:t xml:space="preserve"> 71 and 71A. An easement on foot </w:t>
      </w:r>
      <w:proofErr w:type="gramStart"/>
      <w:r w:rsidR="00395AC1" w:rsidRPr="00D33F96">
        <w:rPr>
          <w:rFonts w:ascii="Arial" w:hAnsi="Arial" w:cs="Arial"/>
          <w:bCs/>
        </w:rPr>
        <w:t>was then reserved</w:t>
      </w:r>
      <w:proofErr w:type="gramEnd"/>
      <w:r w:rsidR="00395AC1" w:rsidRPr="00D33F96">
        <w:rPr>
          <w:rFonts w:ascii="Arial" w:hAnsi="Arial" w:cs="Arial"/>
          <w:bCs/>
        </w:rPr>
        <w:t xml:space="preserve"> for all the Cut Thorn properties</w:t>
      </w:r>
      <w:r w:rsidR="00C8670B">
        <w:rPr>
          <w:rFonts w:ascii="Arial" w:hAnsi="Arial" w:cs="Arial"/>
          <w:bCs/>
        </w:rPr>
        <w:t xml:space="preserve"> from the Order route to the rear of each of those properties</w:t>
      </w:r>
      <w:r w:rsidR="00395AC1" w:rsidRPr="00D33F96">
        <w:rPr>
          <w:rFonts w:ascii="Arial" w:hAnsi="Arial" w:cs="Arial"/>
          <w:bCs/>
        </w:rPr>
        <w:t>.</w:t>
      </w:r>
      <w:r w:rsidR="00021920" w:rsidRPr="00D33F96">
        <w:rPr>
          <w:rFonts w:ascii="Arial" w:hAnsi="Arial" w:cs="Arial"/>
          <w:bCs/>
        </w:rPr>
        <w:t xml:space="preserve"> </w:t>
      </w:r>
      <w:proofErr w:type="gramStart"/>
      <w:r w:rsidR="00021920" w:rsidRPr="00D33F96">
        <w:rPr>
          <w:rFonts w:ascii="Arial" w:hAnsi="Arial" w:cs="Arial"/>
          <w:bCs/>
        </w:rPr>
        <w:t>Subsequent to</w:t>
      </w:r>
      <w:proofErr w:type="gramEnd"/>
      <w:r w:rsidR="00021920" w:rsidRPr="00D33F96">
        <w:rPr>
          <w:rFonts w:ascii="Arial" w:hAnsi="Arial" w:cs="Arial"/>
          <w:bCs/>
        </w:rPr>
        <w:t xml:space="preserve"> th</w:t>
      </w:r>
      <w:r w:rsidR="00C8670B">
        <w:rPr>
          <w:rFonts w:ascii="Arial" w:hAnsi="Arial" w:cs="Arial"/>
          <w:bCs/>
        </w:rPr>
        <w:t>e</w:t>
      </w:r>
      <w:r w:rsidR="00021920" w:rsidRPr="00D33F96">
        <w:rPr>
          <w:rFonts w:ascii="Arial" w:hAnsi="Arial" w:cs="Arial"/>
          <w:bCs/>
        </w:rPr>
        <w:t xml:space="preserve"> sale</w:t>
      </w:r>
      <w:r w:rsidR="00C8670B">
        <w:rPr>
          <w:rFonts w:ascii="Arial" w:hAnsi="Arial" w:cs="Arial"/>
          <w:bCs/>
        </w:rPr>
        <w:t xml:space="preserve"> of the farmland</w:t>
      </w:r>
      <w:r w:rsidR="00021920" w:rsidRPr="00D33F96">
        <w:rPr>
          <w:rFonts w:ascii="Arial" w:hAnsi="Arial" w:cs="Arial"/>
          <w:bCs/>
        </w:rPr>
        <w:t xml:space="preserve">, the houses on what is now </w:t>
      </w:r>
      <w:proofErr w:type="spellStart"/>
      <w:r w:rsidR="00021920" w:rsidRPr="00D33F96">
        <w:rPr>
          <w:rFonts w:ascii="Arial" w:hAnsi="Arial" w:cs="Arial"/>
          <w:bCs/>
        </w:rPr>
        <w:t>Wellbrow</w:t>
      </w:r>
      <w:proofErr w:type="spellEnd"/>
      <w:r w:rsidR="00021920" w:rsidRPr="00D33F96">
        <w:rPr>
          <w:rFonts w:ascii="Arial" w:hAnsi="Arial" w:cs="Arial"/>
          <w:bCs/>
        </w:rPr>
        <w:t xml:space="preserve"> Drive </w:t>
      </w:r>
      <w:proofErr w:type="gramStart"/>
      <w:r w:rsidR="00021920" w:rsidRPr="00D33F96">
        <w:rPr>
          <w:rFonts w:ascii="Arial" w:hAnsi="Arial" w:cs="Arial"/>
          <w:bCs/>
        </w:rPr>
        <w:t>were developed</w:t>
      </w:r>
      <w:proofErr w:type="gramEnd"/>
      <w:r w:rsidR="00021920" w:rsidRPr="00D33F96">
        <w:rPr>
          <w:rFonts w:ascii="Arial" w:hAnsi="Arial" w:cs="Arial"/>
          <w:bCs/>
        </w:rPr>
        <w:t xml:space="preserve">. The adopted highway </w:t>
      </w:r>
      <w:r w:rsidR="00C94BC4" w:rsidRPr="00D33F96">
        <w:rPr>
          <w:rFonts w:ascii="Arial" w:hAnsi="Arial" w:cs="Arial"/>
          <w:bCs/>
        </w:rPr>
        <w:t xml:space="preserve">of </w:t>
      </w:r>
      <w:proofErr w:type="spellStart"/>
      <w:r w:rsidR="00C94BC4" w:rsidRPr="00D33F96">
        <w:rPr>
          <w:rFonts w:ascii="Arial" w:hAnsi="Arial" w:cs="Arial"/>
          <w:bCs/>
        </w:rPr>
        <w:t>Wellbrow</w:t>
      </w:r>
      <w:proofErr w:type="spellEnd"/>
      <w:r w:rsidR="00C94BC4" w:rsidRPr="00D33F96">
        <w:rPr>
          <w:rFonts w:ascii="Arial" w:hAnsi="Arial" w:cs="Arial"/>
          <w:bCs/>
        </w:rPr>
        <w:t xml:space="preserve"> Drive </w:t>
      </w:r>
      <w:r w:rsidR="00021920" w:rsidRPr="00D33F96">
        <w:rPr>
          <w:rFonts w:ascii="Arial" w:hAnsi="Arial" w:cs="Arial"/>
          <w:bCs/>
        </w:rPr>
        <w:t xml:space="preserve">now connects with Higher Road </w:t>
      </w:r>
      <w:r w:rsidR="006229D5" w:rsidRPr="00D33F96">
        <w:rPr>
          <w:rFonts w:ascii="Arial" w:hAnsi="Arial" w:cs="Arial"/>
          <w:bCs/>
        </w:rPr>
        <w:t>via Green Lane to the south</w:t>
      </w:r>
      <w:r w:rsidR="004A7A4A" w:rsidRPr="00D33F96">
        <w:rPr>
          <w:rFonts w:ascii="Arial" w:hAnsi="Arial" w:cs="Arial"/>
          <w:bCs/>
        </w:rPr>
        <w:t xml:space="preserve">west. </w:t>
      </w:r>
    </w:p>
    <w:p w14:paraId="66F504B0" w14:textId="2C185840" w:rsidR="003D449B" w:rsidRPr="00D33F96" w:rsidRDefault="00C94BC4" w:rsidP="003F5541">
      <w:pPr>
        <w:pStyle w:val="Style1"/>
        <w:numPr>
          <w:ilvl w:val="0"/>
          <w:numId w:val="4"/>
        </w:numPr>
        <w:tabs>
          <w:tab w:val="clear" w:pos="720"/>
        </w:tabs>
        <w:rPr>
          <w:rFonts w:ascii="Arial" w:hAnsi="Arial" w:cs="Arial"/>
          <w:bCs/>
        </w:rPr>
      </w:pPr>
      <w:r w:rsidRPr="00D33F96">
        <w:rPr>
          <w:rFonts w:ascii="Arial" w:hAnsi="Arial" w:cs="Arial"/>
          <w:bCs/>
        </w:rPr>
        <w:t xml:space="preserve">On the sale of the land for development, an area of land </w:t>
      </w:r>
      <w:r w:rsidR="00607480">
        <w:rPr>
          <w:rFonts w:ascii="Arial" w:hAnsi="Arial" w:cs="Arial"/>
          <w:bCs/>
        </w:rPr>
        <w:t xml:space="preserve">sandwiched </w:t>
      </w:r>
      <w:r w:rsidRPr="00D33F96">
        <w:rPr>
          <w:rFonts w:ascii="Arial" w:hAnsi="Arial" w:cs="Arial"/>
          <w:bCs/>
        </w:rPr>
        <w:t xml:space="preserve">between the Cut Thorn properties and </w:t>
      </w:r>
      <w:r w:rsidR="00900DE4">
        <w:rPr>
          <w:rFonts w:ascii="Arial" w:hAnsi="Arial" w:cs="Arial"/>
          <w:bCs/>
        </w:rPr>
        <w:t xml:space="preserve">to the rear of </w:t>
      </w:r>
      <w:r w:rsidR="00CD4294" w:rsidRPr="00D33F96">
        <w:rPr>
          <w:rFonts w:ascii="Arial" w:hAnsi="Arial" w:cs="Arial"/>
          <w:bCs/>
        </w:rPr>
        <w:t xml:space="preserve">those at what are now 12 – 18 </w:t>
      </w:r>
      <w:proofErr w:type="spellStart"/>
      <w:r w:rsidR="00CD4294" w:rsidRPr="00D33F96">
        <w:rPr>
          <w:rFonts w:ascii="Arial" w:hAnsi="Arial" w:cs="Arial"/>
          <w:bCs/>
        </w:rPr>
        <w:t>Wellbrow</w:t>
      </w:r>
      <w:proofErr w:type="spellEnd"/>
      <w:r w:rsidR="00CD4294" w:rsidRPr="00D33F96">
        <w:rPr>
          <w:rFonts w:ascii="Arial" w:hAnsi="Arial" w:cs="Arial"/>
          <w:bCs/>
        </w:rPr>
        <w:t xml:space="preserve"> Drive was retained, and this was </w:t>
      </w:r>
      <w:r w:rsidR="00401ED3">
        <w:rPr>
          <w:rFonts w:ascii="Arial" w:hAnsi="Arial" w:cs="Arial"/>
          <w:bCs/>
        </w:rPr>
        <w:t xml:space="preserve">subsequently </w:t>
      </w:r>
      <w:r w:rsidR="00CD4294" w:rsidRPr="00D33F96">
        <w:rPr>
          <w:rFonts w:ascii="Arial" w:hAnsi="Arial" w:cs="Arial"/>
          <w:bCs/>
        </w:rPr>
        <w:t>purchased by the owner of no. 71</w:t>
      </w:r>
      <w:r w:rsidR="003D449B" w:rsidRPr="00D33F96">
        <w:rPr>
          <w:rFonts w:ascii="Arial" w:hAnsi="Arial" w:cs="Arial"/>
          <w:bCs/>
        </w:rPr>
        <w:t xml:space="preserve"> Higher Road. </w:t>
      </w:r>
      <w:r w:rsidR="00F636C9">
        <w:rPr>
          <w:rFonts w:ascii="Arial" w:hAnsi="Arial" w:cs="Arial"/>
          <w:bCs/>
        </w:rPr>
        <w:t xml:space="preserve">That land, like the electricity sub-station, can only </w:t>
      </w:r>
      <w:proofErr w:type="gramStart"/>
      <w:r w:rsidR="00F636C9">
        <w:rPr>
          <w:rFonts w:ascii="Arial" w:hAnsi="Arial" w:cs="Arial"/>
          <w:bCs/>
        </w:rPr>
        <w:t>be accessed</w:t>
      </w:r>
      <w:proofErr w:type="gramEnd"/>
      <w:r w:rsidR="00F636C9">
        <w:rPr>
          <w:rFonts w:ascii="Arial" w:hAnsi="Arial" w:cs="Arial"/>
          <w:bCs/>
        </w:rPr>
        <w:t xml:space="preserve"> via the Order route. </w:t>
      </w:r>
    </w:p>
    <w:p w14:paraId="4EED7F3E" w14:textId="6349A5CA" w:rsidR="003F5541" w:rsidRDefault="003D449B" w:rsidP="003F5541">
      <w:pPr>
        <w:pStyle w:val="Style1"/>
        <w:numPr>
          <w:ilvl w:val="0"/>
          <w:numId w:val="4"/>
        </w:numPr>
        <w:tabs>
          <w:tab w:val="clear" w:pos="720"/>
        </w:tabs>
        <w:rPr>
          <w:rFonts w:ascii="Arial" w:hAnsi="Arial" w:cs="Arial"/>
          <w:bCs/>
        </w:rPr>
      </w:pPr>
      <w:r w:rsidRPr="00D33F96">
        <w:rPr>
          <w:rFonts w:ascii="Arial" w:hAnsi="Arial" w:cs="Arial"/>
          <w:bCs/>
        </w:rPr>
        <w:t xml:space="preserve">The electricity sub-station land </w:t>
      </w:r>
      <w:proofErr w:type="gramStart"/>
      <w:r w:rsidRPr="00D33F96">
        <w:rPr>
          <w:rFonts w:ascii="Arial" w:hAnsi="Arial" w:cs="Arial"/>
          <w:bCs/>
        </w:rPr>
        <w:t>was conveyed</w:t>
      </w:r>
      <w:proofErr w:type="gramEnd"/>
      <w:r w:rsidRPr="00D33F96">
        <w:rPr>
          <w:rFonts w:ascii="Arial" w:hAnsi="Arial" w:cs="Arial"/>
          <w:bCs/>
        </w:rPr>
        <w:t xml:space="preserve"> to </w:t>
      </w:r>
      <w:r w:rsidR="002C6A1E" w:rsidRPr="00D33F96">
        <w:rPr>
          <w:rFonts w:ascii="Arial" w:hAnsi="Arial" w:cs="Arial"/>
          <w:bCs/>
        </w:rPr>
        <w:t>the North Western Electricity Board on 20 March 1962</w:t>
      </w:r>
      <w:r w:rsidR="00CA713A" w:rsidRPr="00D33F96">
        <w:rPr>
          <w:rFonts w:ascii="Arial" w:hAnsi="Arial" w:cs="Arial"/>
          <w:bCs/>
        </w:rPr>
        <w:t xml:space="preserve"> by the developers of the estate, who had</w:t>
      </w:r>
      <w:r w:rsidR="002C6A1E" w:rsidRPr="00D33F96">
        <w:rPr>
          <w:rFonts w:ascii="Arial" w:hAnsi="Arial" w:cs="Arial"/>
          <w:bCs/>
        </w:rPr>
        <w:t xml:space="preserve"> </w:t>
      </w:r>
      <w:r w:rsidR="00CA713A" w:rsidRPr="00D33F96">
        <w:rPr>
          <w:rFonts w:ascii="Arial" w:hAnsi="Arial" w:cs="Arial"/>
          <w:bCs/>
        </w:rPr>
        <w:t>themselves purchased</w:t>
      </w:r>
      <w:r w:rsidR="00442430" w:rsidRPr="00D33F96">
        <w:rPr>
          <w:rFonts w:ascii="Arial" w:hAnsi="Arial" w:cs="Arial"/>
          <w:bCs/>
        </w:rPr>
        <w:t xml:space="preserve"> the land the </w:t>
      </w:r>
      <w:r w:rsidR="0026298B">
        <w:rPr>
          <w:rFonts w:ascii="Arial" w:hAnsi="Arial" w:cs="Arial"/>
          <w:bCs/>
        </w:rPr>
        <w:t xml:space="preserve">previous </w:t>
      </w:r>
      <w:r w:rsidR="00442430" w:rsidRPr="00D33F96">
        <w:rPr>
          <w:rFonts w:ascii="Arial" w:hAnsi="Arial" w:cs="Arial"/>
          <w:bCs/>
        </w:rPr>
        <w:t xml:space="preserve">year. The conveyance to the electricity board </w:t>
      </w:r>
      <w:r w:rsidR="00FE5E67" w:rsidRPr="00D33F96">
        <w:rPr>
          <w:rFonts w:ascii="Arial" w:hAnsi="Arial" w:cs="Arial"/>
          <w:bCs/>
        </w:rPr>
        <w:t xml:space="preserve">conveyed their small plot of land, together with a right of way over and a right to lay, maintain and use underground cables </w:t>
      </w:r>
      <w:r w:rsidR="00871F0F" w:rsidRPr="00D33F96">
        <w:rPr>
          <w:rFonts w:ascii="Arial" w:hAnsi="Arial" w:cs="Arial"/>
          <w:bCs/>
        </w:rPr>
        <w:t xml:space="preserve"> </w:t>
      </w:r>
      <w:r w:rsidR="00EA6596" w:rsidRPr="00D33F96">
        <w:rPr>
          <w:rFonts w:ascii="Arial" w:hAnsi="Arial" w:cs="Arial"/>
          <w:bCs/>
        </w:rPr>
        <w:t xml:space="preserve"> </w:t>
      </w:r>
      <w:r w:rsidR="005B26BB" w:rsidRPr="00D33F96">
        <w:rPr>
          <w:rFonts w:ascii="Arial" w:hAnsi="Arial" w:cs="Arial"/>
          <w:bCs/>
        </w:rPr>
        <w:t>and lines in and under the footpath leading to “High Street”</w:t>
      </w:r>
      <w:r w:rsidR="00D33F96" w:rsidRPr="00D33F96">
        <w:rPr>
          <w:rFonts w:ascii="Arial" w:hAnsi="Arial" w:cs="Arial"/>
          <w:bCs/>
        </w:rPr>
        <w:t xml:space="preserve"> </w:t>
      </w:r>
      <w:r w:rsidR="0026298B">
        <w:rPr>
          <w:rFonts w:ascii="Arial" w:hAnsi="Arial" w:cs="Arial"/>
          <w:bCs/>
        </w:rPr>
        <w:t xml:space="preserve">(which I take to mean Higher Road) </w:t>
      </w:r>
      <w:r w:rsidR="00D33F96" w:rsidRPr="00D33F96">
        <w:rPr>
          <w:rFonts w:ascii="Arial" w:hAnsi="Arial" w:cs="Arial"/>
          <w:bCs/>
        </w:rPr>
        <w:t>and also over the connecting roads on the sellers’ adjoining housing estate.</w:t>
      </w:r>
      <w:r w:rsidR="001033D4">
        <w:rPr>
          <w:rFonts w:ascii="Arial" w:hAnsi="Arial" w:cs="Arial"/>
          <w:bCs/>
        </w:rPr>
        <w:t xml:space="preserve"> I </w:t>
      </w:r>
      <w:proofErr w:type="gramStart"/>
      <w:r w:rsidR="001033D4">
        <w:rPr>
          <w:rFonts w:ascii="Arial" w:hAnsi="Arial" w:cs="Arial"/>
          <w:bCs/>
        </w:rPr>
        <w:t>am told</w:t>
      </w:r>
      <w:proofErr w:type="gramEnd"/>
      <w:r w:rsidR="001033D4">
        <w:rPr>
          <w:rFonts w:ascii="Arial" w:hAnsi="Arial" w:cs="Arial"/>
          <w:bCs/>
        </w:rPr>
        <w:t xml:space="preserve"> that cables have </w:t>
      </w:r>
      <w:proofErr w:type="gramStart"/>
      <w:r w:rsidR="001033D4">
        <w:rPr>
          <w:rFonts w:ascii="Arial" w:hAnsi="Arial" w:cs="Arial"/>
          <w:bCs/>
        </w:rPr>
        <w:t>been laid</w:t>
      </w:r>
      <w:proofErr w:type="gramEnd"/>
      <w:r w:rsidR="00E878A4">
        <w:rPr>
          <w:rFonts w:ascii="Arial" w:hAnsi="Arial" w:cs="Arial"/>
          <w:bCs/>
        </w:rPr>
        <w:t xml:space="preserve"> underneath the </w:t>
      </w:r>
      <w:r w:rsidR="00927978">
        <w:rPr>
          <w:rFonts w:ascii="Arial" w:hAnsi="Arial" w:cs="Arial"/>
          <w:bCs/>
        </w:rPr>
        <w:t xml:space="preserve">Order </w:t>
      </w:r>
      <w:r w:rsidR="00E878A4">
        <w:rPr>
          <w:rFonts w:ascii="Arial" w:hAnsi="Arial" w:cs="Arial"/>
          <w:bCs/>
        </w:rPr>
        <w:t xml:space="preserve">route from the sub-station to </w:t>
      </w:r>
      <w:proofErr w:type="spellStart"/>
      <w:r w:rsidR="00E878A4">
        <w:rPr>
          <w:rFonts w:ascii="Arial" w:hAnsi="Arial" w:cs="Arial"/>
          <w:bCs/>
        </w:rPr>
        <w:t>Wellbrow</w:t>
      </w:r>
      <w:proofErr w:type="spellEnd"/>
      <w:r w:rsidR="00E878A4">
        <w:rPr>
          <w:rFonts w:ascii="Arial" w:hAnsi="Arial" w:cs="Arial"/>
          <w:bCs/>
        </w:rPr>
        <w:t xml:space="preserve"> Drive. </w:t>
      </w:r>
    </w:p>
    <w:p w14:paraId="63A3C024" w14:textId="12F7DD7B" w:rsidR="00D33F96" w:rsidRDefault="00D33F96" w:rsidP="003F5541">
      <w:pPr>
        <w:pStyle w:val="Style1"/>
        <w:numPr>
          <w:ilvl w:val="0"/>
          <w:numId w:val="4"/>
        </w:numPr>
        <w:tabs>
          <w:tab w:val="clear" w:pos="720"/>
        </w:tabs>
        <w:rPr>
          <w:rFonts w:ascii="Arial" w:hAnsi="Arial" w:cs="Arial"/>
          <w:bCs/>
        </w:rPr>
      </w:pPr>
      <w:r>
        <w:rPr>
          <w:rFonts w:ascii="Arial" w:hAnsi="Arial" w:cs="Arial"/>
          <w:bCs/>
        </w:rPr>
        <w:t xml:space="preserve">Post-development, </w:t>
      </w:r>
      <w:r w:rsidR="00043ADE">
        <w:rPr>
          <w:rFonts w:ascii="Arial" w:hAnsi="Arial" w:cs="Arial"/>
          <w:bCs/>
        </w:rPr>
        <w:t xml:space="preserve">the properties at 18 and 20 </w:t>
      </w:r>
      <w:proofErr w:type="spellStart"/>
      <w:r w:rsidR="00043ADE">
        <w:rPr>
          <w:rFonts w:ascii="Arial" w:hAnsi="Arial" w:cs="Arial"/>
          <w:bCs/>
        </w:rPr>
        <w:t>Wellbrow</w:t>
      </w:r>
      <w:proofErr w:type="spellEnd"/>
      <w:r w:rsidR="00043ADE">
        <w:rPr>
          <w:rFonts w:ascii="Arial" w:hAnsi="Arial" w:cs="Arial"/>
          <w:bCs/>
        </w:rPr>
        <w:t xml:space="preserve"> Drive have been </w:t>
      </w:r>
      <w:r w:rsidR="004D2968">
        <w:rPr>
          <w:rFonts w:ascii="Arial" w:hAnsi="Arial" w:cs="Arial"/>
          <w:bCs/>
        </w:rPr>
        <w:t xml:space="preserve">each </w:t>
      </w:r>
      <w:proofErr w:type="gramStart"/>
      <w:r w:rsidR="004D2968">
        <w:rPr>
          <w:rFonts w:ascii="Arial" w:hAnsi="Arial" w:cs="Arial"/>
          <w:bCs/>
        </w:rPr>
        <w:t xml:space="preserve">been </w:t>
      </w:r>
      <w:r w:rsidR="00043ADE">
        <w:rPr>
          <w:rFonts w:ascii="Arial" w:hAnsi="Arial" w:cs="Arial"/>
          <w:bCs/>
        </w:rPr>
        <w:t>registered</w:t>
      </w:r>
      <w:proofErr w:type="gramEnd"/>
      <w:r w:rsidR="00043ADE">
        <w:rPr>
          <w:rFonts w:ascii="Arial" w:hAnsi="Arial" w:cs="Arial"/>
          <w:bCs/>
        </w:rPr>
        <w:t xml:space="preserve"> with the Land Registry. Their plots </w:t>
      </w:r>
      <w:proofErr w:type="gramStart"/>
      <w:r w:rsidR="00043ADE">
        <w:rPr>
          <w:rFonts w:ascii="Arial" w:hAnsi="Arial" w:cs="Arial"/>
          <w:bCs/>
        </w:rPr>
        <w:t>are separated</w:t>
      </w:r>
      <w:proofErr w:type="gramEnd"/>
      <w:r w:rsidR="00043ADE">
        <w:rPr>
          <w:rFonts w:ascii="Arial" w:hAnsi="Arial" w:cs="Arial"/>
          <w:bCs/>
        </w:rPr>
        <w:t xml:space="preserve"> </w:t>
      </w:r>
      <w:r w:rsidR="0010433F">
        <w:rPr>
          <w:rFonts w:ascii="Arial" w:hAnsi="Arial" w:cs="Arial"/>
          <w:bCs/>
        </w:rPr>
        <w:t xml:space="preserve">by around a metre, and that </w:t>
      </w:r>
      <w:r w:rsidR="004D2968">
        <w:rPr>
          <w:rFonts w:ascii="Arial" w:hAnsi="Arial" w:cs="Arial"/>
          <w:bCs/>
        </w:rPr>
        <w:t xml:space="preserve">narrow </w:t>
      </w:r>
      <w:r w:rsidR="0010433F">
        <w:rPr>
          <w:rFonts w:ascii="Arial" w:hAnsi="Arial" w:cs="Arial"/>
          <w:bCs/>
        </w:rPr>
        <w:t>strip of land together with the pre-existing track to Higher Road</w:t>
      </w:r>
      <w:r w:rsidR="004D2968">
        <w:rPr>
          <w:rFonts w:ascii="Arial" w:hAnsi="Arial" w:cs="Arial"/>
          <w:bCs/>
        </w:rPr>
        <w:t>, together forming the length of the Order route,</w:t>
      </w:r>
      <w:r w:rsidR="0010433F">
        <w:rPr>
          <w:rFonts w:ascii="Arial" w:hAnsi="Arial" w:cs="Arial"/>
          <w:bCs/>
        </w:rPr>
        <w:t xml:space="preserve"> remains unregistered.</w:t>
      </w:r>
      <w:r w:rsidR="00BF780C">
        <w:rPr>
          <w:rFonts w:ascii="Arial" w:hAnsi="Arial" w:cs="Arial"/>
          <w:bCs/>
        </w:rPr>
        <w:t xml:space="preserve"> </w:t>
      </w:r>
      <w:proofErr w:type="gramStart"/>
      <w:r w:rsidR="00BF780C">
        <w:rPr>
          <w:rFonts w:ascii="Arial" w:hAnsi="Arial" w:cs="Arial"/>
          <w:bCs/>
        </w:rPr>
        <w:t>It appears that the development company</w:t>
      </w:r>
      <w:proofErr w:type="gramEnd"/>
      <w:r w:rsidR="00BF780C">
        <w:rPr>
          <w:rFonts w:ascii="Arial" w:hAnsi="Arial" w:cs="Arial"/>
          <w:bCs/>
        </w:rPr>
        <w:t xml:space="preserve"> has </w:t>
      </w:r>
      <w:proofErr w:type="gramStart"/>
      <w:r w:rsidR="00BF780C">
        <w:rPr>
          <w:rFonts w:ascii="Arial" w:hAnsi="Arial" w:cs="Arial"/>
          <w:bCs/>
        </w:rPr>
        <w:t>been dissolved</w:t>
      </w:r>
      <w:proofErr w:type="gramEnd"/>
      <w:r w:rsidR="00BF780C">
        <w:rPr>
          <w:rFonts w:ascii="Arial" w:hAnsi="Arial" w:cs="Arial"/>
          <w:bCs/>
        </w:rPr>
        <w:t xml:space="preserve"> and the land itself may have reverted to the Crown.</w:t>
      </w:r>
      <w:r w:rsidR="00541EA2">
        <w:rPr>
          <w:rFonts w:ascii="Arial" w:hAnsi="Arial" w:cs="Arial"/>
          <w:bCs/>
        </w:rPr>
        <w:t xml:space="preserve"> </w:t>
      </w:r>
      <w:proofErr w:type="gramStart"/>
      <w:r w:rsidR="00541EA2">
        <w:rPr>
          <w:rFonts w:ascii="Arial" w:hAnsi="Arial" w:cs="Arial"/>
          <w:bCs/>
        </w:rPr>
        <w:t>It appears that no administrators of the company</w:t>
      </w:r>
      <w:proofErr w:type="gramEnd"/>
      <w:r w:rsidR="00541EA2">
        <w:rPr>
          <w:rFonts w:ascii="Arial" w:hAnsi="Arial" w:cs="Arial"/>
          <w:bCs/>
        </w:rPr>
        <w:t xml:space="preserve"> have </w:t>
      </w:r>
      <w:r w:rsidR="002550A7">
        <w:rPr>
          <w:rFonts w:ascii="Arial" w:hAnsi="Arial" w:cs="Arial"/>
          <w:bCs/>
        </w:rPr>
        <w:t xml:space="preserve">ever </w:t>
      </w:r>
      <w:r w:rsidR="00541EA2">
        <w:rPr>
          <w:rFonts w:ascii="Arial" w:hAnsi="Arial" w:cs="Arial"/>
          <w:bCs/>
        </w:rPr>
        <w:t xml:space="preserve">sought to </w:t>
      </w:r>
      <w:r w:rsidR="001D634D">
        <w:rPr>
          <w:rFonts w:ascii="Arial" w:hAnsi="Arial" w:cs="Arial"/>
          <w:bCs/>
        </w:rPr>
        <w:t>register the land.</w:t>
      </w:r>
    </w:p>
    <w:p w14:paraId="61E7FD29" w14:textId="0062FE1E" w:rsidR="00FB38C6" w:rsidRPr="00D33F96" w:rsidRDefault="00FB38C6" w:rsidP="003F5541">
      <w:pPr>
        <w:pStyle w:val="Style1"/>
        <w:numPr>
          <w:ilvl w:val="0"/>
          <w:numId w:val="4"/>
        </w:numPr>
        <w:tabs>
          <w:tab w:val="clear" w:pos="720"/>
        </w:tabs>
        <w:rPr>
          <w:rFonts w:ascii="Arial" w:hAnsi="Arial" w:cs="Arial"/>
          <w:bCs/>
        </w:rPr>
      </w:pPr>
      <w:r>
        <w:rPr>
          <w:rFonts w:ascii="Arial" w:hAnsi="Arial" w:cs="Arial"/>
          <w:bCs/>
        </w:rPr>
        <w:t xml:space="preserve">This sequence of events, coupled with the documentary evidence of maps showing the route to have </w:t>
      </w:r>
      <w:proofErr w:type="gramStart"/>
      <w:r>
        <w:rPr>
          <w:rFonts w:ascii="Arial" w:hAnsi="Arial" w:cs="Arial"/>
          <w:bCs/>
        </w:rPr>
        <w:t xml:space="preserve">been </w:t>
      </w:r>
      <w:r w:rsidR="00922C86">
        <w:rPr>
          <w:rFonts w:ascii="Arial" w:hAnsi="Arial" w:cs="Arial"/>
          <w:bCs/>
        </w:rPr>
        <w:t>clearly laid</w:t>
      </w:r>
      <w:proofErr w:type="gramEnd"/>
      <w:r w:rsidR="00922C86">
        <w:rPr>
          <w:rFonts w:ascii="Arial" w:hAnsi="Arial" w:cs="Arial"/>
          <w:bCs/>
        </w:rPr>
        <w:t xml:space="preserve"> out by 1967 at the latest, lends readily to an inference that the Order route has been </w:t>
      </w:r>
      <w:proofErr w:type="gramStart"/>
      <w:r w:rsidR="00922C86">
        <w:rPr>
          <w:rFonts w:ascii="Arial" w:hAnsi="Arial" w:cs="Arial"/>
          <w:bCs/>
        </w:rPr>
        <w:t>dedicated</w:t>
      </w:r>
      <w:proofErr w:type="gramEnd"/>
      <w:r w:rsidR="00541EA2">
        <w:rPr>
          <w:rFonts w:ascii="Arial" w:hAnsi="Arial" w:cs="Arial"/>
          <w:bCs/>
        </w:rPr>
        <w:t xml:space="preserve"> by the landowner to the public</w:t>
      </w:r>
      <w:r w:rsidR="00F74405">
        <w:rPr>
          <w:rFonts w:ascii="Arial" w:hAnsi="Arial" w:cs="Arial"/>
          <w:bCs/>
        </w:rPr>
        <w:t xml:space="preserve"> for use as a footpath</w:t>
      </w:r>
      <w:r w:rsidR="00541EA2">
        <w:rPr>
          <w:rFonts w:ascii="Arial" w:hAnsi="Arial" w:cs="Arial"/>
          <w:bCs/>
        </w:rPr>
        <w:t>.</w:t>
      </w:r>
      <w:r w:rsidR="002550A7">
        <w:rPr>
          <w:rFonts w:ascii="Arial" w:hAnsi="Arial" w:cs="Arial"/>
          <w:bCs/>
        </w:rPr>
        <w:t xml:space="preserve"> </w:t>
      </w:r>
      <w:proofErr w:type="gramStart"/>
      <w:r w:rsidR="002550A7">
        <w:rPr>
          <w:rFonts w:ascii="Arial" w:hAnsi="Arial" w:cs="Arial"/>
          <w:bCs/>
        </w:rPr>
        <w:t>Private access</w:t>
      </w:r>
      <w:proofErr w:type="gramEnd"/>
      <w:r w:rsidR="002550A7">
        <w:rPr>
          <w:rFonts w:ascii="Arial" w:hAnsi="Arial" w:cs="Arial"/>
          <w:bCs/>
        </w:rPr>
        <w:t xml:space="preserve"> rights benefitting the electricity board together with </w:t>
      </w:r>
      <w:proofErr w:type="gramStart"/>
      <w:r w:rsidR="002550A7">
        <w:rPr>
          <w:rFonts w:ascii="Arial" w:hAnsi="Arial" w:cs="Arial"/>
          <w:bCs/>
        </w:rPr>
        <w:t>several</w:t>
      </w:r>
      <w:proofErr w:type="gramEnd"/>
      <w:r w:rsidR="002550A7">
        <w:rPr>
          <w:rFonts w:ascii="Arial" w:hAnsi="Arial" w:cs="Arial"/>
          <w:bCs/>
        </w:rPr>
        <w:t xml:space="preserve"> domestic properties </w:t>
      </w:r>
      <w:r w:rsidR="00AF0698">
        <w:rPr>
          <w:rFonts w:ascii="Arial" w:hAnsi="Arial" w:cs="Arial"/>
          <w:bCs/>
        </w:rPr>
        <w:t xml:space="preserve">on Higher Road </w:t>
      </w:r>
      <w:proofErr w:type="gramStart"/>
      <w:r w:rsidR="002550A7">
        <w:rPr>
          <w:rFonts w:ascii="Arial" w:hAnsi="Arial" w:cs="Arial"/>
          <w:bCs/>
        </w:rPr>
        <w:t>were expressly reserved</w:t>
      </w:r>
      <w:proofErr w:type="gramEnd"/>
      <w:r w:rsidR="002550A7">
        <w:rPr>
          <w:rFonts w:ascii="Arial" w:hAnsi="Arial" w:cs="Arial"/>
          <w:bCs/>
        </w:rPr>
        <w:t xml:space="preserve"> </w:t>
      </w:r>
      <w:r w:rsidR="00621DC0">
        <w:rPr>
          <w:rFonts w:ascii="Arial" w:hAnsi="Arial" w:cs="Arial"/>
          <w:bCs/>
        </w:rPr>
        <w:t xml:space="preserve">by the conveyances at the time of the </w:t>
      </w:r>
      <w:r w:rsidR="00621DC0">
        <w:rPr>
          <w:rFonts w:ascii="Arial" w:hAnsi="Arial" w:cs="Arial"/>
          <w:bCs/>
        </w:rPr>
        <w:lastRenderedPageBreak/>
        <w:t xml:space="preserve">estate’s development. </w:t>
      </w:r>
      <w:r w:rsidR="006616B2">
        <w:rPr>
          <w:rFonts w:ascii="Arial" w:hAnsi="Arial" w:cs="Arial"/>
          <w:bCs/>
        </w:rPr>
        <w:t xml:space="preserve">The housing estate </w:t>
      </w:r>
      <w:proofErr w:type="gramStart"/>
      <w:r w:rsidR="006616B2">
        <w:rPr>
          <w:rFonts w:ascii="Arial" w:hAnsi="Arial" w:cs="Arial"/>
          <w:bCs/>
        </w:rPr>
        <w:t>was</w:t>
      </w:r>
      <w:r w:rsidR="009F3A42">
        <w:rPr>
          <w:rFonts w:ascii="Arial" w:hAnsi="Arial" w:cs="Arial"/>
          <w:bCs/>
        </w:rPr>
        <w:t xml:space="preserve"> then</w:t>
      </w:r>
      <w:r w:rsidR="006616B2">
        <w:rPr>
          <w:rFonts w:ascii="Arial" w:hAnsi="Arial" w:cs="Arial"/>
          <w:bCs/>
        </w:rPr>
        <w:t xml:space="preserve"> laid</w:t>
      </w:r>
      <w:proofErr w:type="gramEnd"/>
      <w:r w:rsidR="006616B2">
        <w:rPr>
          <w:rFonts w:ascii="Arial" w:hAnsi="Arial" w:cs="Arial"/>
          <w:bCs/>
        </w:rPr>
        <w:t xml:space="preserve"> out </w:t>
      </w:r>
      <w:r w:rsidR="003A3DD6">
        <w:rPr>
          <w:rFonts w:ascii="Arial" w:hAnsi="Arial" w:cs="Arial"/>
          <w:bCs/>
        </w:rPr>
        <w:t xml:space="preserve">with a deliberate gap between the properties at 18 and 20 </w:t>
      </w:r>
      <w:proofErr w:type="spellStart"/>
      <w:r w:rsidR="003A3DD6">
        <w:rPr>
          <w:rFonts w:ascii="Arial" w:hAnsi="Arial" w:cs="Arial"/>
          <w:bCs/>
        </w:rPr>
        <w:t>Wellbrow</w:t>
      </w:r>
      <w:proofErr w:type="spellEnd"/>
      <w:r w:rsidR="003A3DD6">
        <w:rPr>
          <w:rFonts w:ascii="Arial" w:hAnsi="Arial" w:cs="Arial"/>
          <w:bCs/>
        </w:rPr>
        <w:t xml:space="preserve"> Drive</w:t>
      </w:r>
      <w:r w:rsidR="00DC7C33">
        <w:rPr>
          <w:rFonts w:ascii="Arial" w:hAnsi="Arial" w:cs="Arial"/>
          <w:bCs/>
        </w:rPr>
        <w:t xml:space="preserve">, </w:t>
      </w:r>
      <w:proofErr w:type="gramStart"/>
      <w:r w:rsidR="00DC7C33">
        <w:rPr>
          <w:rFonts w:ascii="Arial" w:hAnsi="Arial" w:cs="Arial"/>
          <w:bCs/>
        </w:rPr>
        <w:t>apparently</w:t>
      </w:r>
      <w:r w:rsidR="003A3DD6">
        <w:rPr>
          <w:rFonts w:ascii="Arial" w:hAnsi="Arial" w:cs="Arial"/>
          <w:bCs/>
        </w:rPr>
        <w:t xml:space="preserve"> </w:t>
      </w:r>
      <w:r w:rsidR="006616B2">
        <w:rPr>
          <w:rFonts w:ascii="Arial" w:hAnsi="Arial" w:cs="Arial"/>
          <w:bCs/>
        </w:rPr>
        <w:t>without</w:t>
      </w:r>
      <w:proofErr w:type="gramEnd"/>
      <w:r w:rsidR="006616B2">
        <w:rPr>
          <w:rFonts w:ascii="Arial" w:hAnsi="Arial" w:cs="Arial"/>
          <w:bCs/>
        </w:rPr>
        <w:t xml:space="preserve"> </w:t>
      </w:r>
      <w:r w:rsidR="00A50021">
        <w:rPr>
          <w:rFonts w:ascii="Arial" w:hAnsi="Arial" w:cs="Arial"/>
          <w:bCs/>
        </w:rPr>
        <w:t xml:space="preserve">any gates or barriers to entry at either end of the route. The route </w:t>
      </w:r>
      <w:r w:rsidR="00DC7C33">
        <w:rPr>
          <w:rFonts w:ascii="Arial" w:hAnsi="Arial" w:cs="Arial"/>
          <w:bCs/>
        </w:rPr>
        <w:t>appears to have</w:t>
      </w:r>
      <w:r w:rsidR="00A50021">
        <w:rPr>
          <w:rFonts w:ascii="Arial" w:hAnsi="Arial" w:cs="Arial"/>
          <w:bCs/>
        </w:rPr>
        <w:t xml:space="preserve"> retained no value for the landowner</w:t>
      </w:r>
      <w:r w:rsidR="00425706">
        <w:rPr>
          <w:rFonts w:ascii="Arial" w:hAnsi="Arial" w:cs="Arial"/>
          <w:bCs/>
        </w:rPr>
        <w:t xml:space="preserve"> following development</w:t>
      </w:r>
      <w:r w:rsidR="000E394F">
        <w:rPr>
          <w:rFonts w:ascii="Arial" w:hAnsi="Arial" w:cs="Arial"/>
          <w:bCs/>
        </w:rPr>
        <w:t xml:space="preserve">, and the landowner </w:t>
      </w:r>
      <w:r w:rsidR="00D07537">
        <w:rPr>
          <w:rFonts w:ascii="Arial" w:hAnsi="Arial" w:cs="Arial"/>
          <w:bCs/>
        </w:rPr>
        <w:t>is not known to have</w:t>
      </w:r>
      <w:r w:rsidR="000E394F">
        <w:rPr>
          <w:rFonts w:ascii="Arial" w:hAnsi="Arial" w:cs="Arial"/>
          <w:bCs/>
        </w:rPr>
        <w:t xml:space="preserve"> sought to assert</w:t>
      </w:r>
      <w:r w:rsidR="00CC7029">
        <w:rPr>
          <w:rFonts w:ascii="Arial" w:hAnsi="Arial" w:cs="Arial"/>
          <w:bCs/>
        </w:rPr>
        <w:t xml:space="preserve"> any right to prevent the public’s use of the route.</w:t>
      </w:r>
    </w:p>
    <w:p w14:paraId="5F1D1FD3" w14:textId="253DCCFB" w:rsidR="0088682F" w:rsidRDefault="0088682F" w:rsidP="003F5541">
      <w:pPr>
        <w:pStyle w:val="Style1"/>
        <w:ind w:left="0" w:firstLine="0"/>
        <w:rPr>
          <w:rFonts w:ascii="Arial" w:hAnsi="Arial" w:cs="Arial"/>
          <w:bCs/>
          <w:i/>
          <w:iCs/>
        </w:rPr>
      </w:pPr>
      <w:r>
        <w:rPr>
          <w:rFonts w:ascii="Arial" w:hAnsi="Arial" w:cs="Arial"/>
          <w:bCs/>
          <w:i/>
          <w:iCs/>
        </w:rPr>
        <w:t>Bringing the use of the route into question</w:t>
      </w:r>
    </w:p>
    <w:p w14:paraId="2F094B71" w14:textId="7432D50E" w:rsidR="004650E2" w:rsidRPr="001C2825" w:rsidRDefault="004E6013" w:rsidP="001C2825">
      <w:pPr>
        <w:pStyle w:val="Style1"/>
        <w:numPr>
          <w:ilvl w:val="0"/>
          <w:numId w:val="4"/>
        </w:numPr>
        <w:tabs>
          <w:tab w:val="clear" w:pos="720"/>
        </w:tabs>
        <w:rPr>
          <w:rFonts w:ascii="Arial" w:hAnsi="Arial" w:cs="Arial"/>
          <w:bCs/>
        </w:rPr>
      </w:pPr>
      <w:r>
        <w:rPr>
          <w:rFonts w:ascii="Arial" w:hAnsi="Arial" w:cs="Arial"/>
          <w:bCs/>
        </w:rPr>
        <w:t xml:space="preserve">The </w:t>
      </w:r>
      <w:r w:rsidR="00F36CA2">
        <w:rPr>
          <w:rFonts w:ascii="Arial" w:hAnsi="Arial" w:cs="Arial"/>
          <w:bCs/>
        </w:rPr>
        <w:t xml:space="preserve">use of the route </w:t>
      </w:r>
      <w:proofErr w:type="gramStart"/>
      <w:r w:rsidR="00F36CA2">
        <w:rPr>
          <w:rFonts w:ascii="Arial" w:hAnsi="Arial" w:cs="Arial"/>
          <w:bCs/>
        </w:rPr>
        <w:t>was however challenged</w:t>
      </w:r>
      <w:proofErr w:type="gramEnd"/>
      <w:r w:rsidR="00F36CA2">
        <w:rPr>
          <w:rFonts w:ascii="Arial" w:hAnsi="Arial" w:cs="Arial"/>
          <w:bCs/>
        </w:rPr>
        <w:t xml:space="preserve"> by a former occupier of no. 71 Higher Road, who at around the turn of this century </w:t>
      </w:r>
      <w:r w:rsidR="00057C9C">
        <w:rPr>
          <w:rFonts w:ascii="Arial" w:hAnsi="Arial" w:cs="Arial"/>
          <w:bCs/>
        </w:rPr>
        <w:t xml:space="preserve">sought to barricade the route, with </w:t>
      </w:r>
      <w:proofErr w:type="gramStart"/>
      <w:r w:rsidR="00057C9C">
        <w:rPr>
          <w:rFonts w:ascii="Arial" w:hAnsi="Arial" w:cs="Arial"/>
          <w:bCs/>
        </w:rPr>
        <w:t>some</w:t>
      </w:r>
      <w:proofErr w:type="gramEnd"/>
      <w:r w:rsidR="00057C9C">
        <w:rPr>
          <w:rFonts w:ascii="Arial" w:hAnsi="Arial" w:cs="Arial"/>
          <w:bCs/>
        </w:rPr>
        <w:t xml:space="preserve"> success. This was not a challenge by the landowner, and it is no evidence of </w:t>
      </w:r>
      <w:r w:rsidR="002F3148">
        <w:rPr>
          <w:rFonts w:ascii="Arial" w:hAnsi="Arial" w:cs="Arial"/>
          <w:bCs/>
        </w:rPr>
        <w:t xml:space="preserve">any lack of intention to dedicate the route to the public by the </w:t>
      </w:r>
      <w:r w:rsidR="00057C9C">
        <w:rPr>
          <w:rFonts w:ascii="Arial" w:hAnsi="Arial" w:cs="Arial"/>
          <w:bCs/>
        </w:rPr>
        <w:t>landowner</w:t>
      </w:r>
      <w:r w:rsidR="002F3148">
        <w:rPr>
          <w:rFonts w:ascii="Arial" w:hAnsi="Arial" w:cs="Arial"/>
          <w:bCs/>
        </w:rPr>
        <w:t>.</w:t>
      </w:r>
      <w:r w:rsidR="00057C9C">
        <w:rPr>
          <w:rFonts w:ascii="Arial" w:hAnsi="Arial" w:cs="Arial"/>
          <w:bCs/>
        </w:rPr>
        <w:t xml:space="preserve"> </w:t>
      </w:r>
      <w:r w:rsidR="00472905">
        <w:rPr>
          <w:rFonts w:ascii="Arial" w:hAnsi="Arial" w:cs="Arial"/>
          <w:bCs/>
        </w:rPr>
        <w:t>The balance of the evidence of users of the route, who completed ‘user evidence’ forms (‘UEFs’)</w:t>
      </w:r>
      <w:r w:rsidR="00A929DD">
        <w:rPr>
          <w:rFonts w:ascii="Arial" w:hAnsi="Arial" w:cs="Arial"/>
          <w:bCs/>
        </w:rPr>
        <w:t xml:space="preserve"> shortly before the present application </w:t>
      </w:r>
      <w:proofErr w:type="gramStart"/>
      <w:r w:rsidR="00A929DD">
        <w:rPr>
          <w:rFonts w:ascii="Arial" w:hAnsi="Arial" w:cs="Arial"/>
          <w:bCs/>
        </w:rPr>
        <w:t>was made</w:t>
      </w:r>
      <w:proofErr w:type="gramEnd"/>
      <w:r w:rsidR="00A929DD">
        <w:rPr>
          <w:rFonts w:ascii="Arial" w:hAnsi="Arial" w:cs="Arial"/>
          <w:bCs/>
        </w:rPr>
        <w:t xml:space="preserve"> in September 2016, is that the route </w:t>
      </w:r>
      <w:proofErr w:type="gramStart"/>
      <w:r w:rsidR="00A929DD">
        <w:rPr>
          <w:rFonts w:ascii="Arial" w:hAnsi="Arial" w:cs="Arial"/>
          <w:bCs/>
        </w:rPr>
        <w:t>was blocked</w:t>
      </w:r>
      <w:proofErr w:type="gramEnd"/>
      <w:r w:rsidR="001C2825">
        <w:rPr>
          <w:rFonts w:ascii="Arial" w:hAnsi="Arial" w:cs="Arial"/>
          <w:bCs/>
        </w:rPr>
        <w:t xml:space="preserve"> from around </w:t>
      </w:r>
      <w:proofErr w:type="gramStart"/>
      <w:r w:rsidR="001C2825">
        <w:rPr>
          <w:rFonts w:ascii="Arial" w:hAnsi="Arial" w:cs="Arial"/>
          <w:bCs/>
        </w:rPr>
        <w:t>2000</w:t>
      </w:r>
      <w:proofErr w:type="gramEnd"/>
      <w:r w:rsidR="001C2825">
        <w:rPr>
          <w:rFonts w:ascii="Arial" w:hAnsi="Arial" w:cs="Arial"/>
          <w:bCs/>
        </w:rPr>
        <w:t>. Applying section 31 of the 1980 Act, therefore, the relevant period for consideration is from 1980 to 2000.</w:t>
      </w:r>
    </w:p>
    <w:p w14:paraId="0ECF1439" w14:textId="63C86920" w:rsidR="005E183A" w:rsidRPr="005E183A" w:rsidRDefault="005E183A" w:rsidP="005E183A">
      <w:pPr>
        <w:pStyle w:val="Style1"/>
        <w:ind w:left="0" w:firstLine="0"/>
        <w:rPr>
          <w:rFonts w:ascii="Arial" w:hAnsi="Arial" w:cs="Arial"/>
          <w:bCs/>
          <w:i/>
          <w:iCs/>
        </w:rPr>
      </w:pPr>
      <w:r>
        <w:rPr>
          <w:rFonts w:ascii="Arial" w:hAnsi="Arial" w:cs="Arial"/>
          <w:bCs/>
          <w:i/>
          <w:iCs/>
        </w:rPr>
        <w:t>Evidence of use of the route</w:t>
      </w:r>
      <w:r w:rsidR="00E477C9">
        <w:rPr>
          <w:rFonts w:ascii="Arial" w:hAnsi="Arial" w:cs="Arial"/>
          <w:bCs/>
          <w:i/>
          <w:iCs/>
        </w:rPr>
        <w:t xml:space="preserve"> as of right</w:t>
      </w:r>
    </w:p>
    <w:p w14:paraId="14C55D28" w14:textId="16EE559F" w:rsidR="003F5541" w:rsidRDefault="00637D01" w:rsidP="003F5541">
      <w:pPr>
        <w:pStyle w:val="Style1"/>
        <w:numPr>
          <w:ilvl w:val="0"/>
          <w:numId w:val="4"/>
        </w:numPr>
        <w:tabs>
          <w:tab w:val="clear" w:pos="720"/>
        </w:tabs>
        <w:rPr>
          <w:rFonts w:ascii="Arial" w:hAnsi="Arial" w:cs="Arial"/>
          <w:bCs/>
        </w:rPr>
      </w:pPr>
      <w:r>
        <w:rPr>
          <w:rFonts w:ascii="Arial" w:hAnsi="Arial" w:cs="Arial"/>
          <w:bCs/>
        </w:rPr>
        <w:t xml:space="preserve">A dozen UEFs have </w:t>
      </w:r>
      <w:proofErr w:type="gramStart"/>
      <w:r>
        <w:rPr>
          <w:rFonts w:ascii="Arial" w:hAnsi="Arial" w:cs="Arial"/>
          <w:bCs/>
        </w:rPr>
        <w:t>been complete</w:t>
      </w:r>
      <w:r w:rsidR="001A2E47">
        <w:rPr>
          <w:rFonts w:ascii="Arial" w:hAnsi="Arial" w:cs="Arial"/>
          <w:bCs/>
        </w:rPr>
        <w:t>d</w:t>
      </w:r>
      <w:proofErr w:type="gramEnd"/>
      <w:r w:rsidR="001A2E47">
        <w:rPr>
          <w:rFonts w:ascii="Arial" w:hAnsi="Arial" w:cs="Arial"/>
          <w:bCs/>
        </w:rPr>
        <w:t xml:space="preserve">, attesting to various periods of use, with eight of those having used the route since before 1980 (although not all continuing their use </w:t>
      </w:r>
      <w:r w:rsidR="00E66669">
        <w:rPr>
          <w:rFonts w:ascii="Arial" w:hAnsi="Arial" w:cs="Arial"/>
          <w:bCs/>
        </w:rPr>
        <w:t xml:space="preserve">throughout the following 20 years). </w:t>
      </w:r>
      <w:proofErr w:type="gramStart"/>
      <w:r w:rsidR="00E66669">
        <w:rPr>
          <w:rFonts w:ascii="Arial" w:hAnsi="Arial" w:cs="Arial"/>
          <w:bCs/>
        </w:rPr>
        <w:t>Some</w:t>
      </w:r>
      <w:proofErr w:type="gramEnd"/>
      <w:r w:rsidR="00E66669">
        <w:rPr>
          <w:rFonts w:ascii="Arial" w:hAnsi="Arial" w:cs="Arial"/>
          <w:bCs/>
        </w:rPr>
        <w:t xml:space="preserve"> users had used the southeastern section</w:t>
      </w:r>
      <w:r w:rsidR="00F02FC5">
        <w:rPr>
          <w:rFonts w:ascii="Arial" w:hAnsi="Arial" w:cs="Arial"/>
          <w:bCs/>
        </w:rPr>
        <w:t xml:space="preserve">, passing between 71 and 71A Higher Road, since before the </w:t>
      </w:r>
      <w:proofErr w:type="spellStart"/>
      <w:r w:rsidR="00F02FC5">
        <w:rPr>
          <w:rFonts w:ascii="Arial" w:hAnsi="Arial" w:cs="Arial"/>
          <w:bCs/>
        </w:rPr>
        <w:t>Wellbrow</w:t>
      </w:r>
      <w:proofErr w:type="spellEnd"/>
      <w:r w:rsidR="00F02FC5">
        <w:rPr>
          <w:rFonts w:ascii="Arial" w:hAnsi="Arial" w:cs="Arial"/>
          <w:bCs/>
        </w:rPr>
        <w:t xml:space="preserve"> Drive houses </w:t>
      </w:r>
      <w:proofErr w:type="gramStart"/>
      <w:r w:rsidR="00F02FC5">
        <w:rPr>
          <w:rFonts w:ascii="Arial" w:hAnsi="Arial" w:cs="Arial"/>
          <w:bCs/>
        </w:rPr>
        <w:t>were built</w:t>
      </w:r>
      <w:proofErr w:type="gramEnd"/>
      <w:r w:rsidR="00F02FC5">
        <w:rPr>
          <w:rFonts w:ascii="Arial" w:hAnsi="Arial" w:cs="Arial"/>
          <w:bCs/>
        </w:rPr>
        <w:t xml:space="preserve">. This was at a time when </w:t>
      </w:r>
      <w:r w:rsidR="00011618">
        <w:rPr>
          <w:rFonts w:ascii="Arial" w:hAnsi="Arial" w:cs="Arial"/>
          <w:bCs/>
        </w:rPr>
        <w:t xml:space="preserve">that part of </w:t>
      </w:r>
      <w:r w:rsidR="00F02FC5">
        <w:rPr>
          <w:rFonts w:ascii="Arial" w:hAnsi="Arial" w:cs="Arial"/>
          <w:bCs/>
        </w:rPr>
        <w:t xml:space="preserve">the route led onto </w:t>
      </w:r>
      <w:r w:rsidR="007D798E">
        <w:rPr>
          <w:rFonts w:ascii="Arial" w:hAnsi="Arial" w:cs="Arial"/>
          <w:bCs/>
        </w:rPr>
        <w:t>fields</w:t>
      </w:r>
      <w:r w:rsidR="00F02FC5">
        <w:rPr>
          <w:rFonts w:ascii="Arial" w:hAnsi="Arial" w:cs="Arial"/>
          <w:bCs/>
        </w:rPr>
        <w:t xml:space="preserve">, and the </w:t>
      </w:r>
      <w:proofErr w:type="gramStart"/>
      <w:r w:rsidR="00F02FC5">
        <w:rPr>
          <w:rFonts w:ascii="Arial" w:hAnsi="Arial" w:cs="Arial"/>
          <w:bCs/>
        </w:rPr>
        <w:t>whole length</w:t>
      </w:r>
      <w:proofErr w:type="gramEnd"/>
      <w:r w:rsidR="00F02FC5">
        <w:rPr>
          <w:rFonts w:ascii="Arial" w:hAnsi="Arial" w:cs="Arial"/>
          <w:bCs/>
        </w:rPr>
        <w:t xml:space="preserve"> of the route </w:t>
      </w:r>
      <w:proofErr w:type="gramStart"/>
      <w:r w:rsidR="00F02FC5">
        <w:rPr>
          <w:rFonts w:ascii="Arial" w:hAnsi="Arial" w:cs="Arial"/>
          <w:bCs/>
        </w:rPr>
        <w:t>was not established</w:t>
      </w:r>
      <w:proofErr w:type="gramEnd"/>
      <w:r w:rsidR="00F02FC5">
        <w:rPr>
          <w:rFonts w:ascii="Arial" w:hAnsi="Arial" w:cs="Arial"/>
          <w:bCs/>
        </w:rPr>
        <w:t xml:space="preserve">. Nonetheless their use continued after the </w:t>
      </w:r>
      <w:r w:rsidR="00D954D3">
        <w:rPr>
          <w:rFonts w:ascii="Arial" w:hAnsi="Arial" w:cs="Arial"/>
          <w:bCs/>
        </w:rPr>
        <w:t xml:space="preserve">houses </w:t>
      </w:r>
      <w:proofErr w:type="gramStart"/>
      <w:r w:rsidR="00D954D3">
        <w:rPr>
          <w:rFonts w:ascii="Arial" w:hAnsi="Arial" w:cs="Arial"/>
          <w:bCs/>
        </w:rPr>
        <w:t>were</w:t>
      </w:r>
      <w:r w:rsidR="00F02FC5">
        <w:rPr>
          <w:rFonts w:ascii="Arial" w:hAnsi="Arial" w:cs="Arial"/>
          <w:bCs/>
        </w:rPr>
        <w:t xml:space="preserve"> built</w:t>
      </w:r>
      <w:proofErr w:type="gramEnd"/>
      <w:r w:rsidR="00306C8F">
        <w:rPr>
          <w:rFonts w:ascii="Arial" w:hAnsi="Arial" w:cs="Arial"/>
          <w:bCs/>
        </w:rPr>
        <w:t xml:space="preserve">, and </w:t>
      </w:r>
      <w:proofErr w:type="gramStart"/>
      <w:r w:rsidR="00306C8F">
        <w:rPr>
          <w:rFonts w:ascii="Arial" w:hAnsi="Arial" w:cs="Arial"/>
          <w:bCs/>
        </w:rPr>
        <w:t>a number of</w:t>
      </w:r>
      <w:proofErr w:type="gramEnd"/>
      <w:r w:rsidR="00306C8F">
        <w:rPr>
          <w:rFonts w:ascii="Arial" w:hAnsi="Arial" w:cs="Arial"/>
          <w:bCs/>
        </w:rPr>
        <w:t xml:space="preserve"> users refer to it as having been a convenient shortcut between </w:t>
      </w:r>
      <w:proofErr w:type="spellStart"/>
      <w:r w:rsidR="00306C8F">
        <w:rPr>
          <w:rFonts w:ascii="Arial" w:hAnsi="Arial" w:cs="Arial"/>
          <w:bCs/>
        </w:rPr>
        <w:t>Wellbrow</w:t>
      </w:r>
      <w:proofErr w:type="spellEnd"/>
      <w:r w:rsidR="00306C8F">
        <w:rPr>
          <w:rFonts w:ascii="Arial" w:hAnsi="Arial" w:cs="Arial"/>
          <w:bCs/>
        </w:rPr>
        <w:t xml:space="preserve"> Drive and Higher Road, particularly by reference to the shop</w:t>
      </w:r>
      <w:r w:rsidR="00344A56">
        <w:rPr>
          <w:rFonts w:ascii="Arial" w:hAnsi="Arial" w:cs="Arial"/>
          <w:bCs/>
        </w:rPr>
        <w:t xml:space="preserve"> on the latter road. </w:t>
      </w:r>
    </w:p>
    <w:p w14:paraId="33A9D9C4" w14:textId="7864E869" w:rsidR="00344A56" w:rsidRDefault="00344A56" w:rsidP="003F5541">
      <w:pPr>
        <w:pStyle w:val="Style1"/>
        <w:numPr>
          <w:ilvl w:val="0"/>
          <w:numId w:val="4"/>
        </w:numPr>
        <w:tabs>
          <w:tab w:val="clear" w:pos="720"/>
        </w:tabs>
        <w:rPr>
          <w:rFonts w:ascii="Arial" w:hAnsi="Arial" w:cs="Arial"/>
          <w:bCs/>
        </w:rPr>
      </w:pPr>
      <w:r>
        <w:rPr>
          <w:rFonts w:ascii="Arial" w:hAnsi="Arial" w:cs="Arial"/>
          <w:bCs/>
        </w:rPr>
        <w:t xml:space="preserve">Until the obstruction of the route by the former owner and occupier of no. 71, I am in no doubt that the </w:t>
      </w:r>
      <w:r w:rsidR="00C326D3">
        <w:rPr>
          <w:rFonts w:ascii="Arial" w:hAnsi="Arial" w:cs="Arial"/>
          <w:bCs/>
        </w:rPr>
        <w:t>whole length of the route</w:t>
      </w:r>
      <w:r>
        <w:rPr>
          <w:rFonts w:ascii="Arial" w:hAnsi="Arial" w:cs="Arial"/>
          <w:bCs/>
        </w:rPr>
        <w:t xml:space="preserve"> was actively used by the public </w:t>
      </w:r>
      <w:r w:rsidR="0011079D">
        <w:rPr>
          <w:rFonts w:ascii="Arial" w:hAnsi="Arial" w:cs="Arial"/>
          <w:bCs/>
        </w:rPr>
        <w:t xml:space="preserve">without challenge or permission over very many years; since the </w:t>
      </w:r>
      <w:proofErr w:type="spellStart"/>
      <w:r w:rsidR="0011079D">
        <w:rPr>
          <w:rFonts w:ascii="Arial" w:hAnsi="Arial" w:cs="Arial"/>
          <w:bCs/>
        </w:rPr>
        <w:t>Wellbrow</w:t>
      </w:r>
      <w:proofErr w:type="spellEnd"/>
      <w:r w:rsidR="0011079D">
        <w:rPr>
          <w:rFonts w:ascii="Arial" w:hAnsi="Arial" w:cs="Arial"/>
          <w:bCs/>
        </w:rPr>
        <w:t xml:space="preserve"> Drive houses were built in the 1960s</w:t>
      </w:r>
      <w:r w:rsidR="00AB09CD">
        <w:rPr>
          <w:rFonts w:ascii="Arial" w:hAnsi="Arial" w:cs="Arial"/>
          <w:bCs/>
        </w:rPr>
        <w:t>. There is no suggestion that</w:t>
      </w:r>
      <w:r w:rsidR="005D7354">
        <w:rPr>
          <w:rFonts w:ascii="Arial" w:hAnsi="Arial" w:cs="Arial"/>
          <w:bCs/>
        </w:rPr>
        <w:t>, prior to the obstructions caused by the adjoining owner at no. 71,</w:t>
      </w:r>
      <w:r w:rsidR="00AB09CD">
        <w:rPr>
          <w:rFonts w:ascii="Arial" w:hAnsi="Arial" w:cs="Arial"/>
          <w:bCs/>
        </w:rPr>
        <w:t xml:space="preserve"> any use took place </w:t>
      </w:r>
      <w:r w:rsidR="003F7D5E">
        <w:rPr>
          <w:rFonts w:ascii="Arial" w:hAnsi="Arial" w:cs="Arial"/>
          <w:bCs/>
        </w:rPr>
        <w:t>in the face of any challenge, or</w:t>
      </w:r>
      <w:r w:rsidR="00344035">
        <w:rPr>
          <w:rFonts w:ascii="Arial" w:hAnsi="Arial" w:cs="Arial"/>
          <w:bCs/>
        </w:rPr>
        <w:t xml:space="preserve"> covertly. The route was </w:t>
      </w:r>
      <w:proofErr w:type="gramStart"/>
      <w:r w:rsidR="00344035">
        <w:rPr>
          <w:rFonts w:ascii="Arial" w:hAnsi="Arial" w:cs="Arial"/>
          <w:bCs/>
        </w:rPr>
        <w:t>actually enjoyed</w:t>
      </w:r>
      <w:proofErr w:type="gramEnd"/>
      <w:r w:rsidR="00344035">
        <w:rPr>
          <w:rFonts w:ascii="Arial" w:hAnsi="Arial" w:cs="Arial"/>
          <w:bCs/>
        </w:rPr>
        <w:t xml:space="preserve"> by the public, as of right and without interruption. </w:t>
      </w:r>
    </w:p>
    <w:p w14:paraId="16802640" w14:textId="59EE541E" w:rsidR="00072026" w:rsidRPr="00072026" w:rsidRDefault="00072026" w:rsidP="00072026">
      <w:pPr>
        <w:pStyle w:val="Style1"/>
        <w:ind w:left="0" w:firstLine="0"/>
        <w:rPr>
          <w:rFonts w:ascii="Arial" w:hAnsi="Arial" w:cs="Arial"/>
          <w:bCs/>
          <w:i/>
          <w:iCs/>
        </w:rPr>
      </w:pPr>
      <w:r>
        <w:rPr>
          <w:rFonts w:ascii="Arial" w:hAnsi="Arial" w:cs="Arial"/>
          <w:bCs/>
          <w:i/>
          <w:iCs/>
        </w:rPr>
        <w:t>Other matters</w:t>
      </w:r>
    </w:p>
    <w:p w14:paraId="2C6AEB32" w14:textId="618D3255" w:rsidR="00072026" w:rsidRDefault="00CB1178" w:rsidP="003F5541">
      <w:pPr>
        <w:pStyle w:val="Style1"/>
        <w:numPr>
          <w:ilvl w:val="0"/>
          <w:numId w:val="4"/>
        </w:numPr>
        <w:tabs>
          <w:tab w:val="clear" w:pos="720"/>
        </w:tabs>
        <w:rPr>
          <w:rFonts w:ascii="Arial" w:hAnsi="Arial" w:cs="Arial"/>
          <w:bCs/>
        </w:rPr>
      </w:pPr>
      <w:r>
        <w:rPr>
          <w:rFonts w:ascii="Arial" w:hAnsi="Arial" w:cs="Arial"/>
          <w:bCs/>
        </w:rPr>
        <w:t xml:space="preserve">Any </w:t>
      </w:r>
      <w:proofErr w:type="gramStart"/>
      <w:r>
        <w:rPr>
          <w:rFonts w:ascii="Arial" w:hAnsi="Arial" w:cs="Arial"/>
          <w:bCs/>
        </w:rPr>
        <w:t>private access</w:t>
      </w:r>
      <w:proofErr w:type="gramEnd"/>
      <w:r>
        <w:rPr>
          <w:rFonts w:ascii="Arial" w:hAnsi="Arial" w:cs="Arial"/>
          <w:bCs/>
        </w:rPr>
        <w:t xml:space="preserve"> rights over the route, with or without vehicles, are </w:t>
      </w:r>
      <w:r w:rsidR="00133044">
        <w:rPr>
          <w:rFonts w:ascii="Arial" w:hAnsi="Arial" w:cs="Arial"/>
          <w:bCs/>
        </w:rPr>
        <w:t>unaffected by whether</w:t>
      </w:r>
      <w:r>
        <w:rPr>
          <w:rFonts w:ascii="Arial" w:hAnsi="Arial" w:cs="Arial"/>
          <w:bCs/>
        </w:rPr>
        <w:t xml:space="preserve"> the public</w:t>
      </w:r>
      <w:r w:rsidR="00133044">
        <w:rPr>
          <w:rFonts w:ascii="Arial" w:hAnsi="Arial" w:cs="Arial"/>
          <w:bCs/>
        </w:rPr>
        <w:t xml:space="preserve"> has a</w:t>
      </w:r>
      <w:r>
        <w:rPr>
          <w:rFonts w:ascii="Arial" w:hAnsi="Arial" w:cs="Arial"/>
          <w:bCs/>
        </w:rPr>
        <w:t xml:space="preserve"> right to use the route on foot. </w:t>
      </w:r>
      <w:r w:rsidR="003404FE">
        <w:rPr>
          <w:rFonts w:ascii="Arial" w:hAnsi="Arial" w:cs="Arial"/>
          <w:bCs/>
        </w:rPr>
        <w:t>Whilst co</w:t>
      </w:r>
      <w:r w:rsidR="00894D85">
        <w:rPr>
          <w:rFonts w:ascii="Arial" w:hAnsi="Arial" w:cs="Arial"/>
          <w:bCs/>
        </w:rPr>
        <w:t>ncerns about anti-social behaviour or fly</w:t>
      </w:r>
      <w:r w:rsidR="00F7773B">
        <w:rPr>
          <w:rFonts w:ascii="Arial" w:hAnsi="Arial" w:cs="Arial"/>
          <w:bCs/>
        </w:rPr>
        <w:t>-</w:t>
      </w:r>
      <w:r w:rsidR="00894D85">
        <w:rPr>
          <w:rFonts w:ascii="Arial" w:hAnsi="Arial" w:cs="Arial"/>
          <w:bCs/>
        </w:rPr>
        <w:t xml:space="preserve">tipping are </w:t>
      </w:r>
      <w:r w:rsidR="003404FE">
        <w:rPr>
          <w:rFonts w:ascii="Arial" w:hAnsi="Arial" w:cs="Arial"/>
          <w:bCs/>
        </w:rPr>
        <w:t xml:space="preserve">understandable, the relevant legislation </w:t>
      </w:r>
      <w:r w:rsidR="00402569">
        <w:rPr>
          <w:rFonts w:ascii="Arial" w:hAnsi="Arial" w:cs="Arial"/>
          <w:bCs/>
        </w:rPr>
        <w:t xml:space="preserve">does not allow for such factors to </w:t>
      </w:r>
      <w:proofErr w:type="gramStart"/>
      <w:r w:rsidR="00402569">
        <w:rPr>
          <w:rFonts w:ascii="Arial" w:hAnsi="Arial" w:cs="Arial"/>
          <w:bCs/>
        </w:rPr>
        <w:t>be taken</w:t>
      </w:r>
      <w:proofErr w:type="gramEnd"/>
      <w:r w:rsidR="00402569">
        <w:rPr>
          <w:rFonts w:ascii="Arial" w:hAnsi="Arial" w:cs="Arial"/>
          <w:bCs/>
        </w:rPr>
        <w:t xml:space="preserve"> into consideration. </w:t>
      </w:r>
    </w:p>
    <w:p w14:paraId="47F85E5D" w14:textId="64937F95" w:rsidR="00CE4E55" w:rsidRPr="001F4FE6" w:rsidRDefault="00CE4E55" w:rsidP="003F5541">
      <w:pPr>
        <w:pStyle w:val="Style1"/>
        <w:ind w:left="0" w:firstLine="0"/>
        <w:rPr>
          <w:rFonts w:ascii="Arial" w:hAnsi="Arial" w:cs="Arial"/>
          <w:b/>
        </w:rPr>
      </w:pPr>
      <w:r w:rsidRPr="001F4FE6">
        <w:rPr>
          <w:rFonts w:ascii="Arial" w:hAnsi="Arial" w:cs="Arial"/>
          <w:b/>
        </w:rPr>
        <w:t>Conclusion</w:t>
      </w:r>
    </w:p>
    <w:p w14:paraId="1E48F206" w14:textId="7F326E86" w:rsidR="00CE4E55" w:rsidRDefault="0075216B" w:rsidP="00CE4E55">
      <w:pPr>
        <w:pStyle w:val="Style1"/>
        <w:numPr>
          <w:ilvl w:val="0"/>
          <w:numId w:val="4"/>
        </w:numPr>
        <w:tabs>
          <w:tab w:val="clear" w:pos="720"/>
        </w:tabs>
        <w:rPr>
          <w:rFonts w:ascii="Arial" w:hAnsi="Arial" w:cs="Arial"/>
        </w:rPr>
      </w:pPr>
      <w:r>
        <w:rPr>
          <w:rFonts w:ascii="Arial" w:hAnsi="Arial" w:cs="Arial"/>
        </w:rPr>
        <w:t xml:space="preserve">For the reasons given above and having regard to all the matters raised in the written representations before me, </w:t>
      </w:r>
      <w:r w:rsidR="00CE4E55">
        <w:rPr>
          <w:rFonts w:ascii="Arial" w:hAnsi="Arial" w:cs="Arial"/>
        </w:rPr>
        <w:t xml:space="preserve">I conclude that the requirements for making the Order sought are satisfied. </w:t>
      </w:r>
    </w:p>
    <w:p w14:paraId="6F799AA8" w14:textId="77777777" w:rsidR="00CE4E55" w:rsidRDefault="00CE4E55" w:rsidP="00CE4E55">
      <w:pPr>
        <w:pStyle w:val="Style1"/>
        <w:ind w:left="0" w:firstLine="0"/>
        <w:rPr>
          <w:rFonts w:ascii="Arial" w:hAnsi="Arial" w:cs="Arial"/>
          <w:b/>
          <w:bCs/>
        </w:rPr>
      </w:pPr>
      <w:r>
        <w:rPr>
          <w:rFonts w:ascii="Arial" w:hAnsi="Arial" w:cs="Arial"/>
          <w:b/>
          <w:bCs/>
        </w:rPr>
        <w:t>Formal Decision</w:t>
      </w:r>
    </w:p>
    <w:p w14:paraId="272F0E00" w14:textId="1BFFDCD4" w:rsidR="00CE4E55" w:rsidRPr="00AA060E" w:rsidRDefault="0075216B" w:rsidP="00CE4E55">
      <w:pPr>
        <w:pStyle w:val="Style1"/>
        <w:numPr>
          <w:ilvl w:val="0"/>
          <w:numId w:val="4"/>
        </w:numPr>
        <w:tabs>
          <w:tab w:val="clear" w:pos="720"/>
        </w:tabs>
        <w:rPr>
          <w:rFonts w:ascii="Arial" w:hAnsi="Arial" w:cs="Arial"/>
        </w:rPr>
      </w:pPr>
      <w:r>
        <w:rPr>
          <w:rFonts w:ascii="Arial" w:hAnsi="Arial" w:cs="Arial"/>
        </w:rPr>
        <w:t>I confirm the</w:t>
      </w:r>
      <w:r w:rsidR="00CE4E55" w:rsidRPr="00AA060E">
        <w:rPr>
          <w:rFonts w:ascii="Arial" w:hAnsi="Arial" w:cs="Arial"/>
        </w:rPr>
        <w:t xml:space="preserve"> Order.</w:t>
      </w:r>
    </w:p>
    <w:p w14:paraId="5338F04A" w14:textId="77777777" w:rsidR="00CE4E55" w:rsidRPr="00B24C4B" w:rsidRDefault="00CE4E55" w:rsidP="00F72F24">
      <w:pPr>
        <w:pStyle w:val="Style1"/>
        <w:spacing w:before="120"/>
        <w:ind w:left="0" w:firstLine="0"/>
        <w:rPr>
          <w:rFonts w:ascii="Monotype Corsiva" w:hAnsi="Monotype Corsiva" w:cs="Arial"/>
          <w:sz w:val="36"/>
          <w:szCs w:val="36"/>
        </w:rPr>
      </w:pPr>
      <w:r>
        <w:rPr>
          <w:rFonts w:ascii="Monotype Corsiva" w:hAnsi="Monotype Corsiva" w:cs="Arial"/>
          <w:sz w:val="36"/>
          <w:szCs w:val="36"/>
        </w:rPr>
        <w:t xml:space="preserve">Laura Renaudon </w:t>
      </w:r>
    </w:p>
    <w:p w14:paraId="1804DCFB" w14:textId="170356D2" w:rsidR="00E97B50" w:rsidRDefault="00CE4E55" w:rsidP="00F72F24">
      <w:pPr>
        <w:pStyle w:val="Style1"/>
        <w:spacing w:before="120"/>
        <w:ind w:left="0" w:firstLine="0"/>
      </w:pPr>
      <w:r>
        <w:rPr>
          <w:rFonts w:ascii="Arial" w:hAnsi="Arial" w:cs="Arial"/>
        </w:rPr>
        <w:t>INSPECTOR</w:t>
      </w:r>
      <w:r w:rsidR="00E97B50">
        <w:br w:type="page"/>
      </w:r>
    </w:p>
    <w:p w14:paraId="0E866329" w14:textId="44BBFCFF" w:rsidR="00E97B50" w:rsidRDefault="00E97B50">
      <w:pPr>
        <w:rPr>
          <w:b/>
          <w:bCs/>
        </w:rPr>
      </w:pPr>
      <w:r>
        <w:rPr>
          <w:b/>
          <w:bCs/>
        </w:rPr>
        <w:lastRenderedPageBreak/>
        <w:t xml:space="preserve">THE ORDER </w:t>
      </w:r>
      <w:r w:rsidR="006C6874">
        <w:rPr>
          <w:b/>
          <w:bCs/>
        </w:rPr>
        <w:t>MAP</w:t>
      </w:r>
      <w:r w:rsidR="003F5541">
        <w:rPr>
          <w:b/>
          <w:bCs/>
        </w:rPr>
        <w:t xml:space="preserve"> (</w:t>
      </w:r>
      <w:r w:rsidR="00402569">
        <w:rPr>
          <w:b/>
          <w:bCs/>
        </w:rPr>
        <w:t>not to</w:t>
      </w:r>
      <w:r w:rsidR="003F5541">
        <w:rPr>
          <w:b/>
          <w:bCs/>
        </w:rPr>
        <w:t xml:space="preserve"> scale)</w:t>
      </w:r>
    </w:p>
    <w:p w14:paraId="436FC701" w14:textId="77777777" w:rsidR="00A50826" w:rsidRDefault="00A50826">
      <w:pPr>
        <w:rPr>
          <w:b/>
          <w:bCs/>
        </w:rPr>
      </w:pPr>
    </w:p>
    <w:p w14:paraId="5C90FB56" w14:textId="0C3EC947" w:rsidR="00BF33B5" w:rsidRDefault="00BF33B5">
      <w:pPr>
        <w:rPr>
          <w:b/>
          <w:bCs/>
        </w:rPr>
      </w:pPr>
    </w:p>
    <w:p w14:paraId="7A93F285" w14:textId="44CF3F64" w:rsidR="00BF33B5" w:rsidRDefault="003F5541">
      <w:pPr>
        <w:spacing w:after="160" w:line="259" w:lineRule="auto"/>
      </w:pPr>
      <w:r>
        <w:rPr>
          <w:noProof/>
        </w:rPr>
        <w:drawing>
          <wp:inline distT="0" distB="0" distL="0" distR="0" wp14:anchorId="74C16F64" wp14:editId="68961AC0">
            <wp:extent cx="5608955" cy="7601270"/>
            <wp:effectExtent l="0" t="0" r="0" b="0"/>
            <wp:docPr id="1184756717"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56717" name="Picture 1" descr="Order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7961" cy="7613476"/>
                    </a:xfrm>
                    <a:prstGeom prst="rect">
                      <a:avLst/>
                    </a:prstGeom>
                    <a:noFill/>
                  </pic:spPr>
                </pic:pic>
              </a:graphicData>
            </a:graphic>
          </wp:inline>
        </w:drawing>
      </w:r>
    </w:p>
    <w:p w14:paraId="62ECBBE8" w14:textId="3BAF0BEF" w:rsidR="00BF33B5" w:rsidRPr="00BF33B5" w:rsidRDefault="00BF33B5" w:rsidP="003F5541">
      <w:pPr>
        <w:spacing w:after="160" w:line="259" w:lineRule="auto"/>
      </w:pPr>
    </w:p>
    <w:sectPr w:rsidR="00BF33B5" w:rsidRPr="00BF33B5" w:rsidSect="00CE4E55">
      <w:headerReference w:type="default" r:id="rId12"/>
      <w:footerReference w:type="even" r:id="rId13"/>
      <w:footerReference w:type="default" r:id="rId14"/>
      <w:headerReference w:type="first" r:id="rId15"/>
      <w:footerReference w:type="first" r:id="rId16"/>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2851" w14:textId="77777777" w:rsidR="006A062E" w:rsidRDefault="006A062E">
      <w:r>
        <w:separator/>
      </w:r>
    </w:p>
  </w:endnote>
  <w:endnote w:type="continuationSeparator" w:id="0">
    <w:p w14:paraId="5D5CC568" w14:textId="77777777" w:rsidR="006A062E" w:rsidRDefault="006A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555F" w14:textId="77777777" w:rsidR="00CE4E55" w:rsidRDefault="00CE4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3C42C" w14:textId="77777777" w:rsidR="00CE4E55" w:rsidRDefault="00CE4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B138" w14:textId="77777777" w:rsidR="00CE4E55" w:rsidRDefault="00CE4E5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5F158A39" wp14:editId="5864A68A">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84AC"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5A365DF" w14:textId="77777777" w:rsidR="00CE4E55" w:rsidRPr="00E45340" w:rsidRDefault="00CE4E55"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02EB" w14:textId="77777777" w:rsidR="00CE4E55" w:rsidRDefault="00CE4E55" w:rsidP="003C3FF8">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0C0E62C" wp14:editId="434AEC7E">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3E87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24FB590" w14:textId="77777777" w:rsidR="00CE4E55" w:rsidRPr="00451EE4" w:rsidRDefault="00CE4E55">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0B35" w14:textId="77777777" w:rsidR="006A062E" w:rsidRDefault="006A062E">
      <w:r>
        <w:separator/>
      </w:r>
    </w:p>
  </w:footnote>
  <w:footnote w:type="continuationSeparator" w:id="0">
    <w:p w14:paraId="498EF8E1" w14:textId="77777777" w:rsidR="006A062E" w:rsidRDefault="006A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E4E55" w14:paraId="06C1343B" w14:textId="77777777">
      <w:tc>
        <w:tcPr>
          <w:tcW w:w="9520" w:type="dxa"/>
        </w:tcPr>
        <w:p w14:paraId="3074AA97" w14:textId="0AE19C88" w:rsidR="00C06B8C" w:rsidRDefault="004850B7">
          <w:pPr>
            <w:pStyle w:val="Footer"/>
          </w:pPr>
          <w:r>
            <w:t>Order</w:t>
          </w:r>
          <w:r w:rsidR="00CE4E55">
            <w:t xml:space="preserve"> Decision ROW/33</w:t>
          </w:r>
          <w:r w:rsidR="00436CF8">
            <w:t>58641</w:t>
          </w:r>
        </w:p>
      </w:tc>
    </w:tr>
  </w:tbl>
  <w:p w14:paraId="3CFD78F3" w14:textId="77777777" w:rsidR="00CE4E55" w:rsidRDefault="00CE4E55" w:rsidP="00087477">
    <w:pPr>
      <w:pStyle w:val="Footer"/>
      <w:spacing w:after="180"/>
    </w:pPr>
    <w:r>
      <w:rPr>
        <w:noProof/>
      </w:rPr>
      <mc:AlternateContent>
        <mc:Choice Requires="wps">
          <w:drawing>
            <wp:anchor distT="0" distB="0" distL="114300" distR="114300" simplePos="0" relativeHeight="251658752" behindDoc="0" locked="0" layoutInCell="1" allowOverlap="1" wp14:anchorId="5965142A" wp14:editId="15C36953">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7F3B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350" w14:textId="77777777" w:rsidR="00CE4E55" w:rsidRDefault="00CE4E5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98183D82"/>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B7639F"/>
    <w:multiLevelType w:val="multilevel"/>
    <w:tmpl w:val="A22611FC"/>
    <w:numStyleLink w:val="ConditionsList"/>
  </w:abstractNum>
  <w:abstractNum w:abstractNumId="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3"/>
  </w:num>
  <w:num w:numId="2" w16cid:durableId="689457646">
    <w:abstractNumId w:val="1"/>
  </w:num>
  <w:num w:numId="3" w16cid:durableId="64308365">
    <w:abstractNumId w:val="0"/>
  </w:num>
  <w:num w:numId="4" w16cid:durableId="43918660">
    <w:abstractNumId w:val="0"/>
    <w:lvlOverride w:ilvl="0">
      <w:lvl w:ilvl="0">
        <w:start w:val="1"/>
        <w:numFmt w:val="decimal"/>
        <w:lvlText w:val="%1."/>
        <w:lvlJc w:val="left"/>
        <w:pPr>
          <w:tabs>
            <w:tab w:val="num" w:pos="720"/>
          </w:tabs>
          <w:ind w:left="431" w:hanging="431"/>
        </w:pPr>
        <w:rPr>
          <w:rFonts w:hint="default"/>
          <w:sz w:val="22"/>
          <w:szCs w:val="22"/>
        </w:rPr>
      </w:lvl>
    </w:lvlOverride>
  </w:num>
  <w:num w:numId="5" w16cid:durableId="137770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14"/>
    <w:rsid w:val="00004D2B"/>
    <w:rsid w:val="00006583"/>
    <w:rsid w:val="00011618"/>
    <w:rsid w:val="00021920"/>
    <w:rsid w:val="000222F6"/>
    <w:rsid w:val="0002242A"/>
    <w:rsid w:val="00030587"/>
    <w:rsid w:val="00035A3D"/>
    <w:rsid w:val="000407F1"/>
    <w:rsid w:val="00043ADE"/>
    <w:rsid w:val="00043B49"/>
    <w:rsid w:val="00057C9C"/>
    <w:rsid w:val="000707B1"/>
    <w:rsid w:val="00072026"/>
    <w:rsid w:val="0009538D"/>
    <w:rsid w:val="000B79D4"/>
    <w:rsid w:val="000C52AD"/>
    <w:rsid w:val="000C5685"/>
    <w:rsid w:val="000D0A9C"/>
    <w:rsid w:val="000D27C1"/>
    <w:rsid w:val="000E12C6"/>
    <w:rsid w:val="000E35A8"/>
    <w:rsid w:val="000E394F"/>
    <w:rsid w:val="000E6C55"/>
    <w:rsid w:val="000F39A6"/>
    <w:rsid w:val="00100DBD"/>
    <w:rsid w:val="001033D4"/>
    <w:rsid w:val="0010433F"/>
    <w:rsid w:val="0011079D"/>
    <w:rsid w:val="001170E3"/>
    <w:rsid w:val="00120BAC"/>
    <w:rsid w:val="00127791"/>
    <w:rsid w:val="00131555"/>
    <w:rsid w:val="00133044"/>
    <w:rsid w:val="00140472"/>
    <w:rsid w:val="00143611"/>
    <w:rsid w:val="00151463"/>
    <w:rsid w:val="0015229D"/>
    <w:rsid w:val="00152FD6"/>
    <w:rsid w:val="001765FD"/>
    <w:rsid w:val="00177AF8"/>
    <w:rsid w:val="00181A8B"/>
    <w:rsid w:val="001865BD"/>
    <w:rsid w:val="00195DD6"/>
    <w:rsid w:val="00196699"/>
    <w:rsid w:val="001A2337"/>
    <w:rsid w:val="001A2E47"/>
    <w:rsid w:val="001C04D9"/>
    <w:rsid w:val="001C1714"/>
    <w:rsid w:val="001C2825"/>
    <w:rsid w:val="001D634D"/>
    <w:rsid w:val="001D6682"/>
    <w:rsid w:val="001F4FE6"/>
    <w:rsid w:val="002035F9"/>
    <w:rsid w:val="002145BA"/>
    <w:rsid w:val="002248EB"/>
    <w:rsid w:val="00226442"/>
    <w:rsid w:val="002270ED"/>
    <w:rsid w:val="0023045D"/>
    <w:rsid w:val="00235CB4"/>
    <w:rsid w:val="00240036"/>
    <w:rsid w:val="00251F18"/>
    <w:rsid w:val="002550A7"/>
    <w:rsid w:val="002609B5"/>
    <w:rsid w:val="0026298B"/>
    <w:rsid w:val="00267D75"/>
    <w:rsid w:val="0028126D"/>
    <w:rsid w:val="002816E0"/>
    <w:rsid w:val="00281D47"/>
    <w:rsid w:val="002A7F3C"/>
    <w:rsid w:val="002B7BC2"/>
    <w:rsid w:val="002C1D95"/>
    <w:rsid w:val="002C6A1E"/>
    <w:rsid w:val="002D39BA"/>
    <w:rsid w:val="002E1872"/>
    <w:rsid w:val="002E41EC"/>
    <w:rsid w:val="002F0A18"/>
    <w:rsid w:val="002F1853"/>
    <w:rsid w:val="002F3148"/>
    <w:rsid w:val="00302645"/>
    <w:rsid w:val="00306158"/>
    <w:rsid w:val="00306C8F"/>
    <w:rsid w:val="00306F55"/>
    <w:rsid w:val="0032124A"/>
    <w:rsid w:val="003227B1"/>
    <w:rsid w:val="00326B40"/>
    <w:rsid w:val="003404FE"/>
    <w:rsid w:val="00340A64"/>
    <w:rsid w:val="00342483"/>
    <w:rsid w:val="003439A7"/>
    <w:rsid w:val="00344035"/>
    <w:rsid w:val="00344A56"/>
    <w:rsid w:val="00353140"/>
    <w:rsid w:val="00356D31"/>
    <w:rsid w:val="0036100E"/>
    <w:rsid w:val="00370A97"/>
    <w:rsid w:val="00371471"/>
    <w:rsid w:val="0037321D"/>
    <w:rsid w:val="00375D62"/>
    <w:rsid w:val="0038500E"/>
    <w:rsid w:val="00390429"/>
    <w:rsid w:val="003906C3"/>
    <w:rsid w:val="00395AC1"/>
    <w:rsid w:val="003A3DD6"/>
    <w:rsid w:val="003A4004"/>
    <w:rsid w:val="003B58EF"/>
    <w:rsid w:val="003B63D8"/>
    <w:rsid w:val="003C0914"/>
    <w:rsid w:val="003D100F"/>
    <w:rsid w:val="003D449B"/>
    <w:rsid w:val="003F2304"/>
    <w:rsid w:val="003F26AE"/>
    <w:rsid w:val="003F5541"/>
    <w:rsid w:val="003F7D5E"/>
    <w:rsid w:val="00401ED3"/>
    <w:rsid w:val="00402569"/>
    <w:rsid w:val="00421D38"/>
    <w:rsid w:val="00423C8F"/>
    <w:rsid w:val="00425706"/>
    <w:rsid w:val="00436CF8"/>
    <w:rsid w:val="00442430"/>
    <w:rsid w:val="004650E2"/>
    <w:rsid w:val="00472905"/>
    <w:rsid w:val="00484D84"/>
    <w:rsid w:val="004850B7"/>
    <w:rsid w:val="004A1AC4"/>
    <w:rsid w:val="004A4B94"/>
    <w:rsid w:val="004A7A4A"/>
    <w:rsid w:val="004B4762"/>
    <w:rsid w:val="004B7DDC"/>
    <w:rsid w:val="004C2537"/>
    <w:rsid w:val="004C6686"/>
    <w:rsid w:val="004C7849"/>
    <w:rsid w:val="004D2807"/>
    <w:rsid w:val="004D2968"/>
    <w:rsid w:val="004D632E"/>
    <w:rsid w:val="004E0729"/>
    <w:rsid w:val="004E0808"/>
    <w:rsid w:val="004E10E3"/>
    <w:rsid w:val="004E3BD7"/>
    <w:rsid w:val="004E6013"/>
    <w:rsid w:val="004E7404"/>
    <w:rsid w:val="004E7CD9"/>
    <w:rsid w:val="00515B6C"/>
    <w:rsid w:val="00524849"/>
    <w:rsid w:val="005259FC"/>
    <w:rsid w:val="00541EA2"/>
    <w:rsid w:val="00552DC5"/>
    <w:rsid w:val="00557BA2"/>
    <w:rsid w:val="00562194"/>
    <w:rsid w:val="00563209"/>
    <w:rsid w:val="00563580"/>
    <w:rsid w:val="0056481A"/>
    <w:rsid w:val="0057214A"/>
    <w:rsid w:val="00583B05"/>
    <w:rsid w:val="00590F10"/>
    <w:rsid w:val="00591B18"/>
    <w:rsid w:val="00591B83"/>
    <w:rsid w:val="005940FB"/>
    <w:rsid w:val="005979F4"/>
    <w:rsid w:val="00597B15"/>
    <w:rsid w:val="005A7EED"/>
    <w:rsid w:val="005B174A"/>
    <w:rsid w:val="005B26BB"/>
    <w:rsid w:val="005D599F"/>
    <w:rsid w:val="005D7354"/>
    <w:rsid w:val="005E183A"/>
    <w:rsid w:val="005E19EE"/>
    <w:rsid w:val="005E3A65"/>
    <w:rsid w:val="005E427E"/>
    <w:rsid w:val="005E4B13"/>
    <w:rsid w:val="005E4CDE"/>
    <w:rsid w:val="005F0BB0"/>
    <w:rsid w:val="005F19F2"/>
    <w:rsid w:val="005F1B7E"/>
    <w:rsid w:val="00600B30"/>
    <w:rsid w:val="00607480"/>
    <w:rsid w:val="00610FBB"/>
    <w:rsid w:val="00615832"/>
    <w:rsid w:val="00621DC0"/>
    <w:rsid w:val="006229D5"/>
    <w:rsid w:val="0062351A"/>
    <w:rsid w:val="00627801"/>
    <w:rsid w:val="00631CF7"/>
    <w:rsid w:val="00635B14"/>
    <w:rsid w:val="00637D01"/>
    <w:rsid w:val="00641384"/>
    <w:rsid w:val="006446BF"/>
    <w:rsid w:val="00646488"/>
    <w:rsid w:val="0064744B"/>
    <w:rsid w:val="00651165"/>
    <w:rsid w:val="006616B2"/>
    <w:rsid w:val="00664E9F"/>
    <w:rsid w:val="00665681"/>
    <w:rsid w:val="006742EE"/>
    <w:rsid w:val="006834C6"/>
    <w:rsid w:val="00686F01"/>
    <w:rsid w:val="00690D5B"/>
    <w:rsid w:val="00697B49"/>
    <w:rsid w:val="006A062E"/>
    <w:rsid w:val="006A3B2F"/>
    <w:rsid w:val="006B0D15"/>
    <w:rsid w:val="006B6BD2"/>
    <w:rsid w:val="006C6874"/>
    <w:rsid w:val="006D3A1E"/>
    <w:rsid w:val="006E2845"/>
    <w:rsid w:val="006E6A4B"/>
    <w:rsid w:val="006F01D3"/>
    <w:rsid w:val="00702214"/>
    <w:rsid w:val="00743297"/>
    <w:rsid w:val="007434CD"/>
    <w:rsid w:val="007441B5"/>
    <w:rsid w:val="00746E09"/>
    <w:rsid w:val="007473AD"/>
    <w:rsid w:val="00747B83"/>
    <w:rsid w:val="0075216B"/>
    <w:rsid w:val="00752F1B"/>
    <w:rsid w:val="007717FB"/>
    <w:rsid w:val="00785D90"/>
    <w:rsid w:val="00785EED"/>
    <w:rsid w:val="00793A60"/>
    <w:rsid w:val="00796F0A"/>
    <w:rsid w:val="007A38E6"/>
    <w:rsid w:val="007A3FF1"/>
    <w:rsid w:val="007B0B03"/>
    <w:rsid w:val="007B69A6"/>
    <w:rsid w:val="007B7901"/>
    <w:rsid w:val="007D1F2C"/>
    <w:rsid w:val="007D21DD"/>
    <w:rsid w:val="007D40E3"/>
    <w:rsid w:val="007D798E"/>
    <w:rsid w:val="007E2B03"/>
    <w:rsid w:val="007E3D3D"/>
    <w:rsid w:val="007E5C9B"/>
    <w:rsid w:val="0080276A"/>
    <w:rsid w:val="00805784"/>
    <w:rsid w:val="0080710C"/>
    <w:rsid w:val="008174D8"/>
    <w:rsid w:val="0085041B"/>
    <w:rsid w:val="00860F85"/>
    <w:rsid w:val="00864F4F"/>
    <w:rsid w:val="00871F0F"/>
    <w:rsid w:val="00874DF7"/>
    <w:rsid w:val="0087516E"/>
    <w:rsid w:val="00880C72"/>
    <w:rsid w:val="00885726"/>
    <w:rsid w:val="0088682F"/>
    <w:rsid w:val="00894D85"/>
    <w:rsid w:val="008A14FA"/>
    <w:rsid w:val="008C2924"/>
    <w:rsid w:val="008C3ADE"/>
    <w:rsid w:val="008C69F6"/>
    <w:rsid w:val="008D3987"/>
    <w:rsid w:val="008D62E6"/>
    <w:rsid w:val="008D6A17"/>
    <w:rsid w:val="008E7597"/>
    <w:rsid w:val="00900D2E"/>
    <w:rsid w:val="00900DE4"/>
    <w:rsid w:val="00907398"/>
    <w:rsid w:val="0091249D"/>
    <w:rsid w:val="00916E6E"/>
    <w:rsid w:val="0092162B"/>
    <w:rsid w:val="00922A6F"/>
    <w:rsid w:val="00922C86"/>
    <w:rsid w:val="00927978"/>
    <w:rsid w:val="00934C4B"/>
    <w:rsid w:val="00936240"/>
    <w:rsid w:val="00953D68"/>
    <w:rsid w:val="00954106"/>
    <w:rsid w:val="00980492"/>
    <w:rsid w:val="00995FB4"/>
    <w:rsid w:val="009A74C3"/>
    <w:rsid w:val="009C3441"/>
    <w:rsid w:val="009C7C09"/>
    <w:rsid w:val="009D4B88"/>
    <w:rsid w:val="009D518F"/>
    <w:rsid w:val="009E04DE"/>
    <w:rsid w:val="009E7180"/>
    <w:rsid w:val="009F15D1"/>
    <w:rsid w:val="009F3A42"/>
    <w:rsid w:val="009F447E"/>
    <w:rsid w:val="00A061BB"/>
    <w:rsid w:val="00A067A5"/>
    <w:rsid w:val="00A06E72"/>
    <w:rsid w:val="00A10787"/>
    <w:rsid w:val="00A12897"/>
    <w:rsid w:val="00A20FDC"/>
    <w:rsid w:val="00A26A70"/>
    <w:rsid w:val="00A30091"/>
    <w:rsid w:val="00A34DF9"/>
    <w:rsid w:val="00A50021"/>
    <w:rsid w:val="00A50826"/>
    <w:rsid w:val="00A929DD"/>
    <w:rsid w:val="00A96C7C"/>
    <w:rsid w:val="00AA06D6"/>
    <w:rsid w:val="00AA3A19"/>
    <w:rsid w:val="00AA7F44"/>
    <w:rsid w:val="00AB09CD"/>
    <w:rsid w:val="00AB7257"/>
    <w:rsid w:val="00AC2351"/>
    <w:rsid w:val="00AC7E00"/>
    <w:rsid w:val="00AE0338"/>
    <w:rsid w:val="00AE0DF2"/>
    <w:rsid w:val="00AE506F"/>
    <w:rsid w:val="00AF0698"/>
    <w:rsid w:val="00AF6115"/>
    <w:rsid w:val="00B03FCB"/>
    <w:rsid w:val="00B11602"/>
    <w:rsid w:val="00B11DFE"/>
    <w:rsid w:val="00B144BE"/>
    <w:rsid w:val="00B14AC6"/>
    <w:rsid w:val="00B21F29"/>
    <w:rsid w:val="00B231C4"/>
    <w:rsid w:val="00B6199D"/>
    <w:rsid w:val="00B71BDD"/>
    <w:rsid w:val="00B73CDD"/>
    <w:rsid w:val="00B7791B"/>
    <w:rsid w:val="00B82771"/>
    <w:rsid w:val="00B873F0"/>
    <w:rsid w:val="00B91EC7"/>
    <w:rsid w:val="00BA43A8"/>
    <w:rsid w:val="00BA4A3E"/>
    <w:rsid w:val="00BA69D1"/>
    <w:rsid w:val="00BB0052"/>
    <w:rsid w:val="00BB09E3"/>
    <w:rsid w:val="00BB4AA9"/>
    <w:rsid w:val="00BB50D9"/>
    <w:rsid w:val="00BB5863"/>
    <w:rsid w:val="00BC6C0E"/>
    <w:rsid w:val="00BE095C"/>
    <w:rsid w:val="00BF0F11"/>
    <w:rsid w:val="00BF33B5"/>
    <w:rsid w:val="00BF780C"/>
    <w:rsid w:val="00C01AD6"/>
    <w:rsid w:val="00C0549C"/>
    <w:rsid w:val="00C0680B"/>
    <w:rsid w:val="00C06B8C"/>
    <w:rsid w:val="00C10368"/>
    <w:rsid w:val="00C147A9"/>
    <w:rsid w:val="00C23CB3"/>
    <w:rsid w:val="00C26ED1"/>
    <w:rsid w:val="00C326D3"/>
    <w:rsid w:val="00C32D24"/>
    <w:rsid w:val="00C34431"/>
    <w:rsid w:val="00C365D4"/>
    <w:rsid w:val="00C42D89"/>
    <w:rsid w:val="00C44E86"/>
    <w:rsid w:val="00C47980"/>
    <w:rsid w:val="00C47FD9"/>
    <w:rsid w:val="00C612C3"/>
    <w:rsid w:val="00C67FDB"/>
    <w:rsid w:val="00C720FD"/>
    <w:rsid w:val="00C7787F"/>
    <w:rsid w:val="00C8670B"/>
    <w:rsid w:val="00C9267C"/>
    <w:rsid w:val="00C93A1D"/>
    <w:rsid w:val="00C94BC4"/>
    <w:rsid w:val="00CA713A"/>
    <w:rsid w:val="00CB1178"/>
    <w:rsid w:val="00CB366F"/>
    <w:rsid w:val="00CC64B1"/>
    <w:rsid w:val="00CC7029"/>
    <w:rsid w:val="00CC7D7C"/>
    <w:rsid w:val="00CD2616"/>
    <w:rsid w:val="00CD4294"/>
    <w:rsid w:val="00CD47FF"/>
    <w:rsid w:val="00CE4E55"/>
    <w:rsid w:val="00CF335C"/>
    <w:rsid w:val="00CF453D"/>
    <w:rsid w:val="00CF6B3B"/>
    <w:rsid w:val="00D07537"/>
    <w:rsid w:val="00D110F2"/>
    <w:rsid w:val="00D115C4"/>
    <w:rsid w:val="00D152BC"/>
    <w:rsid w:val="00D164E5"/>
    <w:rsid w:val="00D27A66"/>
    <w:rsid w:val="00D33F96"/>
    <w:rsid w:val="00D36E63"/>
    <w:rsid w:val="00D421E9"/>
    <w:rsid w:val="00D438EB"/>
    <w:rsid w:val="00D54FE7"/>
    <w:rsid w:val="00D6385D"/>
    <w:rsid w:val="00D646E7"/>
    <w:rsid w:val="00D83EDD"/>
    <w:rsid w:val="00D87A48"/>
    <w:rsid w:val="00D92F02"/>
    <w:rsid w:val="00D954D3"/>
    <w:rsid w:val="00D959A4"/>
    <w:rsid w:val="00D96AEF"/>
    <w:rsid w:val="00D97862"/>
    <w:rsid w:val="00DA184D"/>
    <w:rsid w:val="00DA3250"/>
    <w:rsid w:val="00DC5CDF"/>
    <w:rsid w:val="00DC5EF4"/>
    <w:rsid w:val="00DC7C33"/>
    <w:rsid w:val="00DD6398"/>
    <w:rsid w:val="00DD76BA"/>
    <w:rsid w:val="00DE13D5"/>
    <w:rsid w:val="00E053C5"/>
    <w:rsid w:val="00E06164"/>
    <w:rsid w:val="00E22205"/>
    <w:rsid w:val="00E25182"/>
    <w:rsid w:val="00E3673E"/>
    <w:rsid w:val="00E36C36"/>
    <w:rsid w:val="00E403F2"/>
    <w:rsid w:val="00E47309"/>
    <w:rsid w:val="00E477C9"/>
    <w:rsid w:val="00E61E0A"/>
    <w:rsid w:val="00E65C4C"/>
    <w:rsid w:val="00E66669"/>
    <w:rsid w:val="00E708D5"/>
    <w:rsid w:val="00E735BF"/>
    <w:rsid w:val="00E815A1"/>
    <w:rsid w:val="00E878A4"/>
    <w:rsid w:val="00E969B9"/>
    <w:rsid w:val="00E97B50"/>
    <w:rsid w:val="00EA56F8"/>
    <w:rsid w:val="00EA6596"/>
    <w:rsid w:val="00EB2DDF"/>
    <w:rsid w:val="00EC0BA9"/>
    <w:rsid w:val="00ED21BE"/>
    <w:rsid w:val="00ED50C6"/>
    <w:rsid w:val="00EF1D3C"/>
    <w:rsid w:val="00EF2EEE"/>
    <w:rsid w:val="00F02FC5"/>
    <w:rsid w:val="00F032E0"/>
    <w:rsid w:val="00F140CA"/>
    <w:rsid w:val="00F21977"/>
    <w:rsid w:val="00F22802"/>
    <w:rsid w:val="00F237D8"/>
    <w:rsid w:val="00F25D70"/>
    <w:rsid w:val="00F31086"/>
    <w:rsid w:val="00F311F5"/>
    <w:rsid w:val="00F361C8"/>
    <w:rsid w:val="00F36CA2"/>
    <w:rsid w:val="00F375F0"/>
    <w:rsid w:val="00F45796"/>
    <w:rsid w:val="00F47F67"/>
    <w:rsid w:val="00F523B0"/>
    <w:rsid w:val="00F60A4D"/>
    <w:rsid w:val="00F636C9"/>
    <w:rsid w:val="00F65159"/>
    <w:rsid w:val="00F7011E"/>
    <w:rsid w:val="00F715CE"/>
    <w:rsid w:val="00F717DC"/>
    <w:rsid w:val="00F72F24"/>
    <w:rsid w:val="00F74405"/>
    <w:rsid w:val="00F7773B"/>
    <w:rsid w:val="00F83A26"/>
    <w:rsid w:val="00FA7517"/>
    <w:rsid w:val="00FB3501"/>
    <w:rsid w:val="00FB38C6"/>
    <w:rsid w:val="00FB4B02"/>
    <w:rsid w:val="00FB5A32"/>
    <w:rsid w:val="00FB7A71"/>
    <w:rsid w:val="00FD1A7B"/>
    <w:rsid w:val="00FE2D44"/>
    <w:rsid w:val="00FE42B0"/>
    <w:rsid w:val="00FE5E67"/>
    <w:rsid w:val="00FF346F"/>
    <w:rsid w:val="00FF4CC2"/>
    <w:rsid w:val="00FF5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E40C"/>
  <w15:chartTrackingRefBased/>
  <w15:docId w15:val="{A1D8DF75-03ED-4E95-8A46-9DBD9F84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55"/>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3C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C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C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C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C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C09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C09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C09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14"/>
    <w:rPr>
      <w:rFonts w:eastAsiaTheme="majorEastAsia" w:cstheme="majorBidi"/>
      <w:color w:val="272727" w:themeColor="text1" w:themeTint="D8"/>
    </w:rPr>
  </w:style>
  <w:style w:type="paragraph" w:styleId="Title">
    <w:name w:val="Title"/>
    <w:basedOn w:val="Normal"/>
    <w:next w:val="Normal"/>
    <w:link w:val="TitleChar"/>
    <w:uiPriority w:val="10"/>
    <w:qFormat/>
    <w:rsid w:val="003C09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14"/>
    <w:pPr>
      <w:spacing w:before="160"/>
      <w:jc w:val="center"/>
    </w:pPr>
    <w:rPr>
      <w:i/>
      <w:iCs/>
      <w:color w:val="404040" w:themeColor="text1" w:themeTint="BF"/>
    </w:rPr>
  </w:style>
  <w:style w:type="character" w:customStyle="1" w:styleId="QuoteChar">
    <w:name w:val="Quote Char"/>
    <w:basedOn w:val="DefaultParagraphFont"/>
    <w:link w:val="Quote"/>
    <w:uiPriority w:val="29"/>
    <w:rsid w:val="003C0914"/>
    <w:rPr>
      <w:i/>
      <w:iCs/>
      <w:color w:val="404040" w:themeColor="text1" w:themeTint="BF"/>
    </w:rPr>
  </w:style>
  <w:style w:type="paragraph" w:styleId="ListParagraph">
    <w:name w:val="List Paragraph"/>
    <w:basedOn w:val="Normal"/>
    <w:uiPriority w:val="34"/>
    <w:qFormat/>
    <w:rsid w:val="003C0914"/>
    <w:pPr>
      <w:ind w:left="720"/>
      <w:contextualSpacing/>
    </w:pPr>
  </w:style>
  <w:style w:type="character" w:styleId="IntenseEmphasis">
    <w:name w:val="Intense Emphasis"/>
    <w:basedOn w:val="DefaultParagraphFont"/>
    <w:uiPriority w:val="21"/>
    <w:qFormat/>
    <w:rsid w:val="003C0914"/>
    <w:rPr>
      <w:i/>
      <w:iCs/>
      <w:color w:val="0F4761" w:themeColor="accent1" w:themeShade="BF"/>
    </w:rPr>
  </w:style>
  <w:style w:type="paragraph" w:styleId="IntenseQuote">
    <w:name w:val="Intense Quote"/>
    <w:basedOn w:val="Normal"/>
    <w:next w:val="Normal"/>
    <w:link w:val="IntenseQuoteChar"/>
    <w:uiPriority w:val="30"/>
    <w:qFormat/>
    <w:rsid w:val="003C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14"/>
    <w:rPr>
      <w:i/>
      <w:iCs/>
      <w:color w:val="0F4761" w:themeColor="accent1" w:themeShade="BF"/>
    </w:rPr>
  </w:style>
  <w:style w:type="character" w:styleId="IntenseReference">
    <w:name w:val="Intense Reference"/>
    <w:basedOn w:val="DefaultParagraphFont"/>
    <w:uiPriority w:val="32"/>
    <w:qFormat/>
    <w:rsid w:val="003C0914"/>
    <w:rPr>
      <w:b/>
      <w:bCs/>
      <w:smallCaps/>
      <w:color w:val="0F4761" w:themeColor="accent1" w:themeShade="BF"/>
      <w:spacing w:val="5"/>
    </w:rPr>
  </w:style>
  <w:style w:type="paragraph" w:styleId="Header">
    <w:name w:val="header"/>
    <w:basedOn w:val="Normal"/>
    <w:link w:val="HeaderChar"/>
    <w:rsid w:val="00CE4E55"/>
    <w:pPr>
      <w:tabs>
        <w:tab w:val="center" w:pos="4153"/>
        <w:tab w:val="right" w:pos="8306"/>
      </w:tabs>
    </w:pPr>
  </w:style>
  <w:style w:type="character" w:customStyle="1" w:styleId="HeaderChar">
    <w:name w:val="Header Char"/>
    <w:basedOn w:val="DefaultParagraphFont"/>
    <w:link w:val="Header"/>
    <w:rsid w:val="00CE4E55"/>
    <w:rPr>
      <w:rFonts w:ascii="Verdana" w:eastAsia="Times New Roman" w:hAnsi="Verdana" w:cs="Times New Roman"/>
      <w:kern w:val="0"/>
      <w:szCs w:val="20"/>
      <w:lang w:eastAsia="en-GB"/>
      <w14:ligatures w14:val="none"/>
    </w:rPr>
  </w:style>
  <w:style w:type="paragraph" w:styleId="Footer">
    <w:name w:val="footer"/>
    <w:basedOn w:val="Normal"/>
    <w:link w:val="FooterChar"/>
    <w:rsid w:val="00CE4E55"/>
    <w:pPr>
      <w:tabs>
        <w:tab w:val="center" w:pos="4153"/>
        <w:tab w:val="right" w:pos="8306"/>
      </w:tabs>
    </w:pPr>
    <w:rPr>
      <w:sz w:val="18"/>
    </w:rPr>
  </w:style>
  <w:style w:type="character" w:customStyle="1" w:styleId="FooterChar">
    <w:name w:val="Footer Char"/>
    <w:basedOn w:val="DefaultParagraphFont"/>
    <w:link w:val="Footer"/>
    <w:rsid w:val="00CE4E55"/>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CE4E55"/>
    <w:rPr>
      <w:rFonts w:ascii="Verdana" w:hAnsi="Verdana"/>
      <w:sz w:val="18"/>
    </w:rPr>
  </w:style>
  <w:style w:type="paragraph" w:customStyle="1" w:styleId="Noindent">
    <w:name w:val="No indent"/>
    <w:basedOn w:val="Normal"/>
    <w:rsid w:val="00CE4E55"/>
    <w:pPr>
      <w:tabs>
        <w:tab w:val="left" w:pos="426"/>
      </w:tabs>
    </w:pPr>
  </w:style>
  <w:style w:type="paragraph" w:customStyle="1" w:styleId="TBullet">
    <w:name w:val="T_Bullet"/>
    <w:basedOn w:val="Normal"/>
    <w:rsid w:val="00CE4E55"/>
    <w:pPr>
      <w:numPr>
        <w:numId w:val="1"/>
      </w:numPr>
      <w:tabs>
        <w:tab w:val="left" w:pos="851"/>
      </w:tabs>
    </w:pPr>
    <w:rPr>
      <w:color w:val="000000"/>
      <w:sz w:val="20"/>
    </w:rPr>
  </w:style>
  <w:style w:type="paragraph" w:customStyle="1" w:styleId="Style1">
    <w:name w:val="Style1"/>
    <w:basedOn w:val="Heading1"/>
    <w:rsid w:val="00CE4E55"/>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Conditions1">
    <w:name w:val="Conditions1"/>
    <w:rsid w:val="00CE4E55"/>
    <w:pPr>
      <w:numPr>
        <w:numId w:val="5"/>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CE4E55"/>
    <w:pPr>
      <w:numPr>
        <w:ilvl w:val="2"/>
        <w:numId w:val="5"/>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CE4E55"/>
    <w:pPr>
      <w:keepLines w:val="0"/>
      <w:widowControl w:val="0"/>
      <w:spacing w:before="180"/>
    </w:pPr>
    <w:rPr>
      <w:rFonts w:eastAsia="Times New Roman" w:cs="Times New Roman"/>
      <w:b/>
      <w:i w:val="0"/>
      <w:iCs w:val="0"/>
      <w:color w:val="000000"/>
    </w:rPr>
  </w:style>
  <w:style w:type="character" w:styleId="Hyperlink">
    <w:name w:val="Hyperlink"/>
    <w:basedOn w:val="DefaultParagraphFont"/>
    <w:rsid w:val="00CE4E55"/>
    <w:rPr>
      <w:color w:val="0000FF"/>
      <w:u w:val="single"/>
    </w:rPr>
  </w:style>
  <w:style w:type="paragraph" w:customStyle="1" w:styleId="ConditionsBullet">
    <w:name w:val="ConditionsBullet"/>
    <w:basedOn w:val="Conditions2"/>
    <w:qFormat/>
    <w:rsid w:val="00CE4E55"/>
    <w:pPr>
      <w:numPr>
        <w:ilvl w:val="3"/>
      </w:numPr>
      <w:spacing w:before="0"/>
    </w:pPr>
  </w:style>
  <w:style w:type="numbering" w:customStyle="1" w:styleId="ConditionsList">
    <w:name w:val="ConditionsList"/>
    <w:uiPriority w:val="99"/>
    <w:rsid w:val="00CE4E55"/>
    <w:pPr>
      <w:numPr>
        <w:numId w:val="2"/>
      </w:numPr>
    </w:pPr>
  </w:style>
  <w:style w:type="paragraph" w:customStyle="1" w:styleId="ConditionsNoNumber">
    <w:name w:val="ConditionsNoNumber"/>
    <w:basedOn w:val="Normal"/>
    <w:qFormat/>
    <w:rsid w:val="00CE4E55"/>
    <w:pPr>
      <w:numPr>
        <w:ilvl w:val="1"/>
        <w:numId w:val="5"/>
      </w:numPr>
      <w:spacing w:before="120"/>
    </w:pPr>
  </w:style>
  <w:style w:type="paragraph" w:customStyle="1" w:styleId="ConditionsNoNumberNoSpaceBefore">
    <w:name w:val="ConditionsNoNumberNoSpaceBefore"/>
    <w:basedOn w:val="ConditionsNoNumber"/>
    <w:qFormat/>
    <w:rsid w:val="00CE4E55"/>
    <w:pPr>
      <w:numPr>
        <w:ilvl w:val="4"/>
      </w:numPr>
      <w:spacing w:before="0"/>
    </w:pPr>
  </w:style>
  <w:style w:type="numbering" w:customStyle="1" w:styleId="StylesList">
    <w:name w:val="StylesList"/>
    <w:uiPriority w:val="99"/>
    <w:rsid w:val="00CE4E5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30FCB-48DB-4DBE-AF97-FD068082BC11}">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C71C81B5-EC9B-406D-A07E-79D6D57F0969}"/>
</file>

<file path=customXml/itemProps3.xml><?xml version="1.0" encoding="utf-8"?>
<ds:datastoreItem xmlns:ds="http://schemas.openxmlformats.org/officeDocument/2006/customXml" ds:itemID="{94F3AF9C-C5A1-4C35-BF64-34CC2C95F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4</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Dom Dobbs</cp:lastModifiedBy>
  <cp:revision>429</cp:revision>
  <dcterms:created xsi:type="dcterms:W3CDTF">2025-10-17T10:36:00Z</dcterms:created>
  <dcterms:modified xsi:type="dcterms:W3CDTF">2026-01-15T11:40:00Z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