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16E72" w14:textId="77777777" w:rsidR="00CE4E55" w:rsidRDefault="00CE4E55" w:rsidP="00CE4E55">
      <w:pPr>
        <w:pStyle w:val="Conditions1"/>
        <w:numPr>
          <w:ilvl w:val="0"/>
          <w:numId w:val="0"/>
        </w:numPr>
      </w:pPr>
      <w:r>
        <w:rPr>
          <w:noProof/>
        </w:rPr>
        <w:drawing>
          <wp:inline distT="0" distB="0" distL="0" distR="0" wp14:anchorId="70AA1306" wp14:editId="1667A9C9">
            <wp:extent cx="3035935" cy="359410"/>
            <wp:effectExtent l="0" t="0" r="0" b="2540"/>
            <wp:docPr id="1987044769"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4769"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359410"/>
                    </a:xfrm>
                    <a:prstGeom prst="rect">
                      <a:avLst/>
                    </a:prstGeom>
                    <a:noFill/>
                  </pic:spPr>
                </pic:pic>
              </a:graphicData>
            </a:graphic>
          </wp:inline>
        </w:drawing>
      </w:r>
    </w:p>
    <w:p w14:paraId="4A96C722" w14:textId="77777777" w:rsidR="00CE4E55" w:rsidRDefault="00CE4E55" w:rsidP="00CE4E55"/>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CE4E55" w:rsidRPr="003C3FF8" w14:paraId="737C41DC" w14:textId="77777777" w:rsidTr="006E1CD1">
        <w:trPr>
          <w:cantSplit/>
          <w:trHeight w:val="23"/>
        </w:trPr>
        <w:tc>
          <w:tcPr>
            <w:tcW w:w="9356" w:type="dxa"/>
          </w:tcPr>
          <w:p w14:paraId="15623447" w14:textId="77777777" w:rsidR="00CE4E55" w:rsidRPr="003C3FF8" w:rsidRDefault="00CE4E55" w:rsidP="006E1CD1">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Order</w:t>
            </w:r>
            <w:r w:rsidRPr="003C3FF8">
              <w:rPr>
                <w:rFonts w:ascii="Arial" w:hAnsi="Arial" w:cs="Arial"/>
                <w:b/>
                <w:color w:val="000000"/>
                <w:sz w:val="40"/>
                <w:szCs w:val="40"/>
              </w:rPr>
              <w:t xml:space="preserve"> Decision</w:t>
            </w:r>
          </w:p>
        </w:tc>
      </w:tr>
      <w:tr w:rsidR="00CE4E55" w:rsidRPr="003C3FF8" w14:paraId="33D06D94" w14:textId="77777777" w:rsidTr="006E1CD1">
        <w:trPr>
          <w:cantSplit/>
          <w:trHeight w:val="23"/>
        </w:trPr>
        <w:tc>
          <w:tcPr>
            <w:tcW w:w="9356" w:type="dxa"/>
            <w:vAlign w:val="center"/>
          </w:tcPr>
          <w:p w14:paraId="00F78C5D" w14:textId="601324A4" w:rsidR="00CE4E55" w:rsidRPr="003C3FF8" w:rsidRDefault="00CE4E55" w:rsidP="006E1CD1">
            <w:pPr>
              <w:spacing w:before="60"/>
              <w:ind w:left="-108" w:right="34"/>
              <w:rPr>
                <w:rFonts w:ascii="Arial" w:hAnsi="Arial" w:cs="Arial"/>
                <w:color w:val="000000"/>
                <w:szCs w:val="22"/>
              </w:rPr>
            </w:pPr>
          </w:p>
        </w:tc>
      </w:tr>
      <w:tr w:rsidR="00CE4E55" w:rsidRPr="003C3FF8" w14:paraId="0B905CCA" w14:textId="77777777" w:rsidTr="006E1CD1">
        <w:trPr>
          <w:cantSplit/>
          <w:trHeight w:val="23"/>
        </w:trPr>
        <w:tc>
          <w:tcPr>
            <w:tcW w:w="9356" w:type="dxa"/>
          </w:tcPr>
          <w:p w14:paraId="5E089D88" w14:textId="77777777" w:rsidR="00CE4E55" w:rsidRPr="003C3FF8" w:rsidRDefault="00CE4E55" w:rsidP="006E1CD1">
            <w:pPr>
              <w:spacing w:before="180"/>
              <w:ind w:left="-108" w:right="34"/>
              <w:rPr>
                <w:rFonts w:ascii="Arial" w:hAnsi="Arial" w:cs="Arial"/>
                <w:b/>
                <w:color w:val="000000"/>
                <w:sz w:val="16"/>
                <w:szCs w:val="22"/>
              </w:rPr>
            </w:pPr>
            <w:r w:rsidRPr="003C3FF8">
              <w:rPr>
                <w:rFonts w:ascii="Arial" w:hAnsi="Arial" w:cs="Arial"/>
                <w:b/>
                <w:color w:val="000000"/>
                <w:szCs w:val="22"/>
              </w:rPr>
              <w:t>by Laura Renaudon LLM LARTPI Solicitor</w:t>
            </w:r>
          </w:p>
        </w:tc>
      </w:tr>
      <w:tr w:rsidR="00CE4E55" w:rsidRPr="003C3FF8" w14:paraId="25938C78" w14:textId="77777777" w:rsidTr="006E1CD1">
        <w:trPr>
          <w:cantSplit/>
          <w:trHeight w:val="23"/>
        </w:trPr>
        <w:tc>
          <w:tcPr>
            <w:tcW w:w="9356" w:type="dxa"/>
          </w:tcPr>
          <w:p w14:paraId="3C445C3E" w14:textId="77777777" w:rsidR="00CE4E55" w:rsidRPr="003C3FF8" w:rsidRDefault="00CE4E55" w:rsidP="006E1CD1">
            <w:pPr>
              <w:spacing w:before="120"/>
              <w:ind w:left="-108" w:right="34"/>
              <w:rPr>
                <w:rFonts w:ascii="Arial" w:hAnsi="Arial" w:cs="Arial"/>
                <w:b/>
                <w:color w:val="000000"/>
                <w:sz w:val="16"/>
                <w:szCs w:val="16"/>
              </w:rPr>
            </w:pPr>
            <w:r w:rsidRPr="003C3FF8">
              <w:rPr>
                <w:rFonts w:ascii="Arial" w:hAnsi="Arial" w:cs="Arial"/>
                <w:b/>
                <w:color w:val="000000"/>
                <w:sz w:val="16"/>
                <w:szCs w:val="16"/>
              </w:rPr>
              <w:t>an Inspector appointed by the Secretary of State for Environment, Food and Rural Affairs</w:t>
            </w:r>
          </w:p>
        </w:tc>
      </w:tr>
      <w:tr w:rsidR="00CE4E55" w:rsidRPr="003C3FF8" w14:paraId="685B0C94" w14:textId="77777777" w:rsidTr="006E1CD1">
        <w:trPr>
          <w:cantSplit/>
          <w:trHeight w:val="23"/>
        </w:trPr>
        <w:tc>
          <w:tcPr>
            <w:tcW w:w="9356" w:type="dxa"/>
          </w:tcPr>
          <w:p w14:paraId="2880982F" w14:textId="3BB52F4E" w:rsidR="00CE4E55" w:rsidRPr="003C3FF8" w:rsidRDefault="00CE4E55" w:rsidP="006E1CD1">
            <w:pPr>
              <w:spacing w:before="120"/>
              <w:ind w:left="-108" w:right="176"/>
              <w:rPr>
                <w:rFonts w:ascii="Arial" w:hAnsi="Arial" w:cs="Arial"/>
                <w:b/>
                <w:color w:val="000000"/>
                <w:sz w:val="16"/>
                <w:szCs w:val="16"/>
              </w:rPr>
            </w:pPr>
            <w:r w:rsidRPr="003C3FF8">
              <w:rPr>
                <w:rFonts w:ascii="Arial" w:hAnsi="Arial" w:cs="Arial"/>
                <w:b/>
                <w:color w:val="000000"/>
                <w:sz w:val="16"/>
                <w:szCs w:val="16"/>
              </w:rPr>
              <w:t>Decision date:</w:t>
            </w:r>
            <w:r w:rsidR="00464052">
              <w:rPr>
                <w:rFonts w:ascii="Arial" w:hAnsi="Arial" w:cs="Arial"/>
                <w:b/>
                <w:color w:val="000000"/>
                <w:sz w:val="16"/>
                <w:szCs w:val="16"/>
              </w:rPr>
              <w:t xml:space="preserve"> 16 January 2026</w:t>
            </w:r>
          </w:p>
        </w:tc>
      </w:tr>
    </w:tbl>
    <w:p w14:paraId="07FE6AE0" w14:textId="77777777" w:rsidR="00CE4E55" w:rsidRPr="003C3FF8" w:rsidRDefault="00CE4E55" w:rsidP="00CE4E55">
      <w:pPr>
        <w:rPr>
          <w:rFonts w:ascii="Arial" w:hAnsi="Arial" w:cs="Arial"/>
        </w:rPr>
      </w:pPr>
    </w:p>
    <w:tbl>
      <w:tblPr>
        <w:tblW w:w="0" w:type="auto"/>
        <w:tblLayout w:type="fixed"/>
        <w:tblLook w:val="0000" w:firstRow="0" w:lastRow="0" w:firstColumn="0" w:lastColumn="0" w:noHBand="0" w:noVBand="0"/>
      </w:tblPr>
      <w:tblGrid>
        <w:gridCol w:w="9520"/>
      </w:tblGrid>
      <w:tr w:rsidR="00CE4E55" w:rsidRPr="003C3FF8" w14:paraId="0C6D4FF9" w14:textId="77777777" w:rsidTr="006E1CD1">
        <w:tc>
          <w:tcPr>
            <w:tcW w:w="9520" w:type="dxa"/>
          </w:tcPr>
          <w:p w14:paraId="4656D670" w14:textId="579A669A" w:rsidR="00CE4E55" w:rsidRPr="00533F28" w:rsidRDefault="00CE4E55" w:rsidP="006E1CD1">
            <w:pPr>
              <w:spacing w:after="60"/>
              <w:rPr>
                <w:rFonts w:ascii="Arial" w:hAnsi="Arial" w:cs="Arial"/>
                <w:b/>
                <w:color w:val="000000"/>
                <w:szCs w:val="22"/>
              </w:rPr>
            </w:pPr>
            <w:r>
              <w:rPr>
                <w:rFonts w:ascii="Arial" w:hAnsi="Arial" w:cs="Arial"/>
                <w:b/>
                <w:color w:val="000000"/>
                <w:szCs w:val="22"/>
              </w:rPr>
              <w:t>Order</w:t>
            </w:r>
            <w:r w:rsidRPr="00533F28">
              <w:rPr>
                <w:rFonts w:ascii="Arial" w:hAnsi="Arial" w:cs="Arial"/>
                <w:b/>
                <w:color w:val="000000"/>
                <w:szCs w:val="22"/>
              </w:rPr>
              <w:t xml:space="preserve"> Ref: ROW/</w:t>
            </w:r>
            <w:r>
              <w:rPr>
                <w:rFonts w:ascii="Arial" w:hAnsi="Arial" w:cs="Arial"/>
                <w:b/>
                <w:color w:val="000000"/>
                <w:szCs w:val="22"/>
              </w:rPr>
              <w:t>33</w:t>
            </w:r>
            <w:r w:rsidR="001F4FE6">
              <w:rPr>
                <w:rFonts w:ascii="Arial" w:hAnsi="Arial" w:cs="Arial"/>
                <w:b/>
                <w:color w:val="000000"/>
                <w:szCs w:val="22"/>
              </w:rPr>
              <w:t>62996</w:t>
            </w:r>
          </w:p>
        </w:tc>
      </w:tr>
      <w:tr w:rsidR="00CE4E55" w:rsidRPr="003C3FF8" w14:paraId="4CE89808" w14:textId="77777777" w:rsidTr="006E1CD1">
        <w:tc>
          <w:tcPr>
            <w:tcW w:w="9520" w:type="dxa"/>
          </w:tcPr>
          <w:p w14:paraId="58A1A94B" w14:textId="77777777" w:rsidR="00CE4E55" w:rsidRPr="00533F28" w:rsidRDefault="00CE4E55" w:rsidP="006E1CD1">
            <w:pPr>
              <w:pStyle w:val="TBullet"/>
              <w:numPr>
                <w:ilvl w:val="0"/>
                <w:numId w:val="0"/>
              </w:numPr>
              <w:ind w:left="360"/>
              <w:rPr>
                <w:rFonts w:ascii="Arial" w:hAnsi="Arial" w:cs="Arial"/>
                <w:sz w:val="22"/>
                <w:szCs w:val="22"/>
              </w:rPr>
            </w:pPr>
          </w:p>
        </w:tc>
      </w:tr>
      <w:tr w:rsidR="00CE4E55" w:rsidRPr="003C3FF8" w14:paraId="1AA7C127" w14:textId="77777777" w:rsidTr="006E1CD1">
        <w:tc>
          <w:tcPr>
            <w:tcW w:w="9520" w:type="dxa"/>
          </w:tcPr>
          <w:tbl>
            <w:tblPr>
              <w:tblW w:w="0" w:type="auto"/>
              <w:tblLayout w:type="fixed"/>
              <w:tblLook w:val="0000" w:firstRow="0" w:lastRow="0" w:firstColumn="0" w:lastColumn="0" w:noHBand="0" w:noVBand="0"/>
            </w:tblPr>
            <w:tblGrid>
              <w:gridCol w:w="9520"/>
            </w:tblGrid>
            <w:tr w:rsidR="00CE4E55" w:rsidRPr="00B054BB" w14:paraId="0AFC815E" w14:textId="77777777" w:rsidTr="006E1CD1">
              <w:tc>
                <w:tcPr>
                  <w:tcW w:w="9520" w:type="dxa"/>
                </w:tcPr>
                <w:p w14:paraId="121D596E" w14:textId="3C2E2EAC" w:rsidR="00CE4E55" w:rsidRPr="00880C72" w:rsidRDefault="00CE4E55" w:rsidP="00F717DC">
                  <w:pPr>
                    <w:pStyle w:val="TBullet"/>
                    <w:rPr>
                      <w:rFonts w:ascii="Arial" w:hAnsi="Arial" w:cs="Arial"/>
                      <w:sz w:val="22"/>
                      <w:szCs w:val="22"/>
                    </w:rPr>
                  </w:pPr>
                  <w:r w:rsidRPr="00880C72">
                    <w:rPr>
                      <w:rFonts w:ascii="Arial" w:hAnsi="Arial" w:cs="Arial"/>
                      <w:sz w:val="22"/>
                      <w:szCs w:val="22"/>
                    </w:rPr>
                    <w:t>This Order is made under Section 53(2)(b) of the Wildlife and Countryside Act 1981 (</w:t>
                  </w:r>
                  <w:r w:rsidR="000D27C1">
                    <w:rPr>
                      <w:rFonts w:ascii="Arial" w:hAnsi="Arial" w:cs="Arial"/>
                      <w:sz w:val="22"/>
                      <w:szCs w:val="22"/>
                    </w:rPr>
                    <w:t>‘</w:t>
                  </w:r>
                  <w:r w:rsidRPr="00880C72">
                    <w:rPr>
                      <w:rFonts w:ascii="Arial" w:hAnsi="Arial" w:cs="Arial"/>
                      <w:sz w:val="22"/>
                      <w:szCs w:val="22"/>
                    </w:rPr>
                    <w:t>the 1981 Act</w:t>
                  </w:r>
                  <w:r w:rsidR="000D27C1">
                    <w:rPr>
                      <w:rFonts w:ascii="Arial" w:hAnsi="Arial" w:cs="Arial"/>
                      <w:sz w:val="22"/>
                      <w:szCs w:val="22"/>
                    </w:rPr>
                    <w:t>’</w:t>
                  </w:r>
                  <w:r w:rsidRPr="00880C72">
                    <w:rPr>
                      <w:rFonts w:ascii="Arial" w:hAnsi="Arial" w:cs="Arial"/>
                      <w:sz w:val="22"/>
                      <w:szCs w:val="22"/>
                    </w:rPr>
                    <w:t>) and is known as the</w:t>
                  </w:r>
                  <w:r w:rsidR="00B82771" w:rsidRPr="00880C72">
                    <w:rPr>
                      <w:rFonts w:ascii="Arial" w:hAnsi="Arial" w:cs="Arial"/>
                      <w:sz w:val="22"/>
                      <w:szCs w:val="22"/>
                    </w:rPr>
                    <w:t xml:space="preserve"> </w:t>
                  </w:r>
                  <w:r w:rsidR="00306F55">
                    <w:rPr>
                      <w:rFonts w:ascii="Arial" w:hAnsi="Arial" w:cs="Arial"/>
                      <w:sz w:val="22"/>
                      <w:szCs w:val="22"/>
                    </w:rPr>
                    <w:t>Lancashire County Council Addition of a Footpath from Footpath Ramsbottom 45 near to Strongstry Bridge along dismantled railway line to Stubbins Vale Road, Rossendale (Definitive Map Modification) Order 2021</w:t>
                  </w:r>
                  <w:r w:rsidRPr="00880C72">
                    <w:rPr>
                      <w:rFonts w:ascii="Arial" w:hAnsi="Arial" w:cs="Arial"/>
                      <w:sz w:val="22"/>
                      <w:szCs w:val="22"/>
                    </w:rPr>
                    <w:t>.</w:t>
                  </w:r>
                </w:p>
              </w:tc>
            </w:tr>
            <w:tr w:rsidR="00CE4E55" w:rsidRPr="00B054BB" w14:paraId="3A28434B" w14:textId="77777777" w:rsidTr="006E1CD1">
              <w:tc>
                <w:tcPr>
                  <w:tcW w:w="9520" w:type="dxa"/>
                </w:tcPr>
                <w:p w14:paraId="13FBB3AA" w14:textId="0B9BB573" w:rsidR="00CE4E55" w:rsidRPr="008316B2" w:rsidRDefault="00CE4E55" w:rsidP="006E1CD1">
                  <w:pPr>
                    <w:pStyle w:val="TBullet"/>
                    <w:rPr>
                      <w:rFonts w:ascii="Arial" w:hAnsi="Arial" w:cs="Arial"/>
                      <w:sz w:val="22"/>
                      <w:szCs w:val="22"/>
                    </w:rPr>
                  </w:pPr>
                  <w:r w:rsidRPr="008316B2">
                    <w:rPr>
                      <w:rFonts w:ascii="Arial" w:hAnsi="Arial" w:cs="Arial"/>
                      <w:sz w:val="22"/>
                      <w:szCs w:val="22"/>
                    </w:rPr>
                    <w:t xml:space="preserve">The Order is dated </w:t>
                  </w:r>
                  <w:r w:rsidR="00306F55">
                    <w:rPr>
                      <w:rFonts w:ascii="Arial" w:hAnsi="Arial" w:cs="Arial"/>
                      <w:sz w:val="22"/>
                      <w:szCs w:val="22"/>
                    </w:rPr>
                    <w:t>13 January 2021</w:t>
                  </w:r>
                  <w:r w:rsidRPr="008316B2">
                    <w:rPr>
                      <w:rFonts w:ascii="Arial" w:hAnsi="Arial" w:cs="Arial"/>
                      <w:sz w:val="22"/>
                      <w:szCs w:val="22"/>
                    </w:rPr>
                    <w:t xml:space="preserve"> and proposes to modify the Definitive Map and Statement for the area by </w:t>
                  </w:r>
                  <w:r w:rsidR="00F717DC">
                    <w:rPr>
                      <w:rFonts w:ascii="Arial" w:hAnsi="Arial" w:cs="Arial"/>
                      <w:sz w:val="22"/>
                      <w:szCs w:val="22"/>
                    </w:rPr>
                    <w:t>adding a footpath</w:t>
                  </w:r>
                  <w:r w:rsidRPr="008316B2">
                    <w:rPr>
                      <w:rFonts w:ascii="Arial" w:hAnsi="Arial" w:cs="Arial"/>
                      <w:sz w:val="22"/>
                      <w:szCs w:val="22"/>
                    </w:rPr>
                    <w:t>.</w:t>
                  </w:r>
                </w:p>
              </w:tc>
            </w:tr>
            <w:tr w:rsidR="00CE4E55" w:rsidRPr="00B054BB" w14:paraId="68030001" w14:textId="77777777" w:rsidTr="006E1CD1">
              <w:tc>
                <w:tcPr>
                  <w:tcW w:w="9520" w:type="dxa"/>
                </w:tcPr>
                <w:p w14:paraId="35AA797A" w14:textId="18C7F050" w:rsidR="00CE4E55" w:rsidRPr="008316B2" w:rsidRDefault="00CE4E55" w:rsidP="006E1CD1">
                  <w:pPr>
                    <w:pStyle w:val="TBullet"/>
                    <w:rPr>
                      <w:rFonts w:ascii="Arial" w:hAnsi="Arial" w:cs="Arial"/>
                      <w:sz w:val="22"/>
                      <w:szCs w:val="22"/>
                    </w:rPr>
                  </w:pPr>
                  <w:r w:rsidRPr="008316B2">
                    <w:rPr>
                      <w:rFonts w:ascii="Arial" w:hAnsi="Arial" w:cs="Arial"/>
                      <w:sz w:val="22"/>
                      <w:szCs w:val="22"/>
                    </w:rPr>
                    <w:t xml:space="preserve">There was one objection outstanding when </w:t>
                  </w:r>
                  <w:r w:rsidR="00F717DC">
                    <w:rPr>
                      <w:rFonts w:ascii="Arial" w:hAnsi="Arial" w:cs="Arial"/>
                      <w:sz w:val="22"/>
                      <w:szCs w:val="22"/>
                    </w:rPr>
                    <w:t xml:space="preserve">the </w:t>
                  </w:r>
                  <w:r w:rsidR="00251F18">
                    <w:rPr>
                      <w:rFonts w:ascii="Arial" w:hAnsi="Arial" w:cs="Arial"/>
                      <w:sz w:val="22"/>
                      <w:szCs w:val="22"/>
                    </w:rPr>
                    <w:t>Lancashire County</w:t>
                  </w:r>
                  <w:r w:rsidRPr="008316B2">
                    <w:rPr>
                      <w:rFonts w:ascii="Arial" w:hAnsi="Arial" w:cs="Arial"/>
                      <w:sz w:val="22"/>
                      <w:szCs w:val="22"/>
                    </w:rPr>
                    <w:t xml:space="preserve"> Council (‘the Council’) submitted the Order to the Secretary of State for Environment, Food and Rural Affairs for confirmation.</w:t>
                  </w:r>
                </w:p>
              </w:tc>
            </w:tr>
            <w:tr w:rsidR="00CE4E55" w:rsidRPr="00B054BB" w14:paraId="41F430DA" w14:textId="77777777" w:rsidTr="006E1CD1">
              <w:tc>
                <w:tcPr>
                  <w:tcW w:w="9520" w:type="dxa"/>
                </w:tcPr>
                <w:p w14:paraId="56241987" w14:textId="77777777" w:rsidR="00CE4E55" w:rsidRPr="00B054BB" w:rsidRDefault="00CE4E55" w:rsidP="006E1CD1">
                  <w:pPr>
                    <w:spacing w:before="60"/>
                    <w:rPr>
                      <w:rFonts w:ascii="Arial" w:hAnsi="Arial" w:cs="Arial"/>
                      <w:b/>
                      <w:color w:val="000000"/>
                      <w:szCs w:val="22"/>
                    </w:rPr>
                  </w:pPr>
                  <w:r w:rsidRPr="00B054BB">
                    <w:rPr>
                      <w:rFonts w:ascii="Arial" w:hAnsi="Arial" w:cs="Arial"/>
                      <w:b/>
                      <w:color w:val="000000"/>
                      <w:szCs w:val="22"/>
                    </w:rPr>
                    <w:t xml:space="preserve">Summary of Decision: </w:t>
                  </w:r>
                  <w:r w:rsidRPr="00033C5F">
                    <w:rPr>
                      <w:rFonts w:ascii="Arial" w:hAnsi="Arial" w:cs="Arial"/>
                      <w:b/>
                      <w:color w:val="000000"/>
                      <w:szCs w:val="22"/>
                    </w:rPr>
                    <w:t>The Order is confirmed.</w:t>
                  </w:r>
                </w:p>
              </w:tc>
            </w:tr>
          </w:tbl>
          <w:p w14:paraId="5002E8BF" w14:textId="77777777" w:rsidR="00CE4E55" w:rsidRPr="00533F28" w:rsidRDefault="00CE4E55" w:rsidP="006E1CD1">
            <w:pPr>
              <w:pStyle w:val="TBullet"/>
              <w:numPr>
                <w:ilvl w:val="0"/>
                <w:numId w:val="0"/>
              </w:numPr>
              <w:ind w:left="360"/>
              <w:rPr>
                <w:rFonts w:ascii="Arial" w:hAnsi="Arial" w:cs="Arial"/>
                <w:sz w:val="22"/>
                <w:szCs w:val="22"/>
              </w:rPr>
            </w:pPr>
          </w:p>
        </w:tc>
      </w:tr>
      <w:tr w:rsidR="00CE4E55" w:rsidRPr="003C3FF8" w14:paraId="7B32AB85" w14:textId="77777777" w:rsidTr="006E1CD1">
        <w:tc>
          <w:tcPr>
            <w:tcW w:w="9520" w:type="dxa"/>
            <w:tcBorders>
              <w:bottom w:val="single" w:sz="6" w:space="0" w:color="000000"/>
            </w:tcBorders>
          </w:tcPr>
          <w:p w14:paraId="30A9BFDF" w14:textId="77777777" w:rsidR="00CE4E55" w:rsidRPr="00533F28" w:rsidRDefault="00CE4E55" w:rsidP="006E1CD1">
            <w:pPr>
              <w:spacing w:before="60"/>
              <w:rPr>
                <w:rFonts w:ascii="Arial" w:hAnsi="Arial" w:cs="Arial"/>
                <w:b/>
                <w:color w:val="000000"/>
                <w:szCs w:val="22"/>
              </w:rPr>
            </w:pPr>
            <w:bookmarkStart w:id="1" w:name="bmkReturn"/>
            <w:bookmarkEnd w:id="1"/>
          </w:p>
        </w:tc>
      </w:tr>
    </w:tbl>
    <w:p w14:paraId="0FA68DC2" w14:textId="5D159092" w:rsidR="00CE4E55" w:rsidRDefault="000B79D4" w:rsidP="00CE4E55">
      <w:pPr>
        <w:pStyle w:val="Heading6blackfont"/>
        <w:rPr>
          <w:rFonts w:ascii="Arial" w:hAnsi="Arial" w:cs="Arial"/>
        </w:rPr>
      </w:pPr>
      <w:r>
        <w:rPr>
          <w:rFonts w:ascii="Arial" w:hAnsi="Arial" w:cs="Arial"/>
        </w:rPr>
        <w:t>Preliminary Matters</w:t>
      </w:r>
    </w:p>
    <w:p w14:paraId="5A721D26" w14:textId="3D2E0742" w:rsidR="000B79D4" w:rsidRDefault="000B79D4" w:rsidP="00CE4E55">
      <w:pPr>
        <w:pStyle w:val="Style1"/>
        <w:numPr>
          <w:ilvl w:val="0"/>
          <w:numId w:val="4"/>
        </w:numPr>
        <w:tabs>
          <w:tab w:val="clear" w:pos="720"/>
        </w:tabs>
        <w:rPr>
          <w:rFonts w:ascii="Arial" w:hAnsi="Arial" w:cs="Arial"/>
        </w:rPr>
      </w:pPr>
      <w:r>
        <w:rPr>
          <w:rFonts w:ascii="Arial" w:hAnsi="Arial" w:cs="Arial"/>
        </w:rPr>
        <w:t xml:space="preserve">The sole objection to the Order was </w:t>
      </w:r>
      <w:r w:rsidR="00E61E0A">
        <w:rPr>
          <w:rFonts w:ascii="Arial" w:hAnsi="Arial" w:cs="Arial"/>
        </w:rPr>
        <w:t>withdrawn on 2 October 2025</w:t>
      </w:r>
      <w:r w:rsidR="006D3A1E">
        <w:rPr>
          <w:rFonts w:ascii="Arial" w:hAnsi="Arial" w:cs="Arial"/>
        </w:rPr>
        <w:t xml:space="preserve">, with a request to ‘stand down’ the Inspector. As the Order had already been submitted, however, </w:t>
      </w:r>
      <w:r w:rsidR="00FE42B0">
        <w:rPr>
          <w:rFonts w:ascii="Arial" w:hAnsi="Arial" w:cs="Arial"/>
        </w:rPr>
        <w:t>a decision on behalf of the Secretary of State is still required</w:t>
      </w:r>
      <w:r w:rsidR="000407F1">
        <w:rPr>
          <w:rFonts w:ascii="Arial" w:hAnsi="Arial" w:cs="Arial"/>
        </w:rPr>
        <w:t xml:space="preserve"> rather than the case reverting to the Council for a decision. I have been appointed by the Secretary of State to determine whether the Order should be confirmed.</w:t>
      </w:r>
      <w:r w:rsidR="005175B4">
        <w:rPr>
          <w:rFonts w:ascii="Arial" w:hAnsi="Arial" w:cs="Arial"/>
        </w:rPr>
        <w:t xml:space="preserve"> I am satisfied my decision does not require a site visit. </w:t>
      </w:r>
    </w:p>
    <w:p w14:paraId="1A740DDD" w14:textId="610D7495" w:rsidR="000B79D4" w:rsidRPr="000B79D4" w:rsidRDefault="000B79D4" w:rsidP="000B79D4">
      <w:pPr>
        <w:pStyle w:val="Style1"/>
        <w:ind w:left="0" w:firstLine="0"/>
        <w:rPr>
          <w:rFonts w:ascii="Arial" w:hAnsi="Arial" w:cs="Arial"/>
          <w:b/>
          <w:bCs/>
        </w:rPr>
      </w:pPr>
      <w:r>
        <w:rPr>
          <w:rFonts w:ascii="Arial" w:hAnsi="Arial" w:cs="Arial"/>
          <w:b/>
          <w:bCs/>
        </w:rPr>
        <w:t>The Main Issues</w:t>
      </w:r>
    </w:p>
    <w:p w14:paraId="78562B2F" w14:textId="77777777" w:rsidR="00A20FDC" w:rsidRDefault="00A20FDC" w:rsidP="00A20FDC">
      <w:pPr>
        <w:pStyle w:val="Style1"/>
        <w:numPr>
          <w:ilvl w:val="0"/>
          <w:numId w:val="4"/>
        </w:numPr>
        <w:rPr>
          <w:rFonts w:ascii="Arial" w:hAnsi="Arial" w:cs="Arial"/>
        </w:rPr>
      </w:pPr>
      <w:r w:rsidRPr="000F5FA2">
        <w:rPr>
          <w:rFonts w:ascii="Arial" w:hAnsi="Arial" w:cs="Arial"/>
        </w:rPr>
        <w:t xml:space="preserve">The </w:t>
      </w:r>
      <w:r>
        <w:rPr>
          <w:rFonts w:ascii="Arial" w:hAnsi="Arial" w:cs="Arial"/>
        </w:rPr>
        <w:t>main question arising is whether, as the result of the discovery of evidence, a right of way not shown in the Definitive Map and Statement (‘DMS’) for the area subsists. That question arises pursuant to section 53(3)(c)(i) of the Wildlife and Countryside Act 1981 and to the Authority’s duty under section 53(2) of that Act to keep the DMS under review and to make modifications as required in consequence of any of the events set out in section 53(3). In order to confirm the Order, I must be satisfied on the balance of probability that the right of way subsists.</w:t>
      </w:r>
    </w:p>
    <w:p w14:paraId="1CC3B1EC" w14:textId="039D8428" w:rsidR="00A20FDC" w:rsidRDefault="00A20FDC" w:rsidP="00A20FDC">
      <w:pPr>
        <w:pStyle w:val="Style1"/>
        <w:numPr>
          <w:ilvl w:val="0"/>
          <w:numId w:val="4"/>
        </w:numPr>
        <w:tabs>
          <w:tab w:val="clear" w:pos="720"/>
        </w:tabs>
        <w:rPr>
          <w:rFonts w:ascii="Arial" w:hAnsi="Arial" w:cs="Arial"/>
        </w:rPr>
      </w:pPr>
      <w:r>
        <w:rPr>
          <w:rFonts w:ascii="Arial" w:hAnsi="Arial" w:cs="Arial"/>
        </w:rPr>
        <w:t>Section 31 of the Highways Act 1980 (‘the 1980 Act’) provides that where a way over land has been actually enjoyed by the public as of right and without interruption for a full period of 20 years, the way is to be deemed to have been dedicated as a highway, in the absence of sufficient evidence of there having been no intention to dedicate it during that period</w:t>
      </w:r>
      <w:r w:rsidR="007D21DD">
        <w:rPr>
          <w:rFonts w:ascii="Arial" w:hAnsi="Arial" w:cs="Arial"/>
        </w:rPr>
        <w:t>.</w:t>
      </w:r>
      <w:r>
        <w:rPr>
          <w:rFonts w:ascii="Arial" w:hAnsi="Arial" w:cs="Arial"/>
        </w:rPr>
        <w:t xml:space="preserve"> The relevant 20</w:t>
      </w:r>
      <w:r w:rsidR="007D21DD">
        <w:rPr>
          <w:rFonts w:ascii="Arial" w:hAnsi="Arial" w:cs="Arial"/>
        </w:rPr>
        <w:t xml:space="preserve"> </w:t>
      </w:r>
      <w:r>
        <w:rPr>
          <w:rFonts w:ascii="Arial" w:hAnsi="Arial" w:cs="Arial"/>
        </w:rPr>
        <w:t>year period is to be calculated retrospectively from the date when the public’s right to use the route is brought into question, and I will consider below when that was. I also need to determine whether there was sufficient use of the route over the relevant 20</w:t>
      </w:r>
      <w:r w:rsidR="007D21DD">
        <w:rPr>
          <w:rFonts w:ascii="Arial" w:hAnsi="Arial" w:cs="Arial"/>
        </w:rPr>
        <w:t xml:space="preserve"> </w:t>
      </w:r>
      <w:r>
        <w:rPr>
          <w:rFonts w:ascii="Arial" w:hAnsi="Arial" w:cs="Arial"/>
        </w:rPr>
        <w:t xml:space="preserve">year period to show a presumption of dedication, and whether or not there is sufficient evidence to show that the landowner did not intend to dedicate the route.  </w:t>
      </w:r>
    </w:p>
    <w:p w14:paraId="1A8D6A5A" w14:textId="77777777" w:rsidR="00A20FDC" w:rsidRPr="00BB3197" w:rsidRDefault="00A20FDC" w:rsidP="00A20FDC">
      <w:pPr>
        <w:pStyle w:val="Style1"/>
        <w:numPr>
          <w:ilvl w:val="0"/>
          <w:numId w:val="4"/>
        </w:numPr>
        <w:tabs>
          <w:tab w:val="clear" w:pos="720"/>
        </w:tabs>
        <w:rPr>
          <w:rFonts w:ascii="Arial" w:hAnsi="Arial" w:cs="Arial"/>
        </w:rPr>
      </w:pPr>
      <w:r w:rsidRPr="00BB3197">
        <w:rPr>
          <w:rFonts w:ascii="Arial" w:hAnsi="Arial" w:cs="Arial"/>
        </w:rPr>
        <w:t>In determining th</w:t>
      </w:r>
      <w:r>
        <w:rPr>
          <w:rFonts w:ascii="Arial" w:hAnsi="Arial" w:cs="Arial"/>
        </w:rPr>
        <w:t>ose</w:t>
      </w:r>
      <w:r w:rsidRPr="00BB3197">
        <w:rPr>
          <w:rFonts w:ascii="Arial" w:hAnsi="Arial" w:cs="Arial"/>
        </w:rPr>
        <w:t xml:space="preserve"> question</w:t>
      </w:r>
      <w:r>
        <w:rPr>
          <w:rFonts w:ascii="Arial" w:hAnsi="Arial" w:cs="Arial"/>
        </w:rPr>
        <w:t>s</w:t>
      </w:r>
      <w:r w:rsidRPr="00BB3197">
        <w:rPr>
          <w:rFonts w:ascii="Arial" w:hAnsi="Arial" w:cs="Arial"/>
        </w:rPr>
        <w:t>, section 32 of the 1980 Act provides that I am to take into consideration any map, plan or history of the locality or other relevant document, giving those documents such weight as is justified by the circumstances. A copy of the Order Map is appended to this decision for ease of reference.</w:t>
      </w:r>
    </w:p>
    <w:p w14:paraId="2187B0A6" w14:textId="77777777" w:rsidR="00CE4E55" w:rsidRPr="00EA6596" w:rsidRDefault="00CE4E55" w:rsidP="00CE4E55">
      <w:pPr>
        <w:pStyle w:val="Heading6blackfont"/>
        <w:rPr>
          <w:rFonts w:ascii="Arial" w:hAnsi="Arial" w:cs="Arial"/>
        </w:rPr>
      </w:pPr>
      <w:r w:rsidRPr="00EA6596">
        <w:rPr>
          <w:rFonts w:ascii="Arial" w:hAnsi="Arial" w:cs="Arial"/>
        </w:rPr>
        <w:lastRenderedPageBreak/>
        <w:t>Reasons</w:t>
      </w:r>
    </w:p>
    <w:p w14:paraId="39409EC9" w14:textId="57451CCB" w:rsidR="00EA6596" w:rsidRPr="00EA6596" w:rsidRDefault="00EA6596" w:rsidP="00EA6596">
      <w:pPr>
        <w:pStyle w:val="Style1"/>
        <w:rPr>
          <w:rFonts w:ascii="Arial" w:hAnsi="Arial" w:cs="Arial"/>
          <w:i/>
          <w:iCs/>
        </w:rPr>
      </w:pPr>
      <w:r w:rsidRPr="00EA6596">
        <w:rPr>
          <w:rFonts w:ascii="Arial" w:hAnsi="Arial" w:cs="Arial"/>
          <w:i/>
          <w:iCs/>
        </w:rPr>
        <w:t>The route</w:t>
      </w:r>
    </w:p>
    <w:p w14:paraId="0076E8CA" w14:textId="4D6D528A" w:rsidR="001F4FE6" w:rsidRDefault="00CE4E55" w:rsidP="001F4FE6">
      <w:pPr>
        <w:pStyle w:val="Style1"/>
        <w:numPr>
          <w:ilvl w:val="0"/>
          <w:numId w:val="4"/>
        </w:numPr>
        <w:tabs>
          <w:tab w:val="clear" w:pos="720"/>
        </w:tabs>
        <w:rPr>
          <w:rFonts w:ascii="Arial" w:hAnsi="Arial" w:cs="Arial"/>
          <w:bCs/>
        </w:rPr>
      </w:pPr>
      <w:r w:rsidRPr="00EA6596">
        <w:rPr>
          <w:rFonts w:ascii="Arial" w:hAnsi="Arial" w:cs="Arial"/>
          <w:bCs/>
        </w:rPr>
        <w:t xml:space="preserve">The </w:t>
      </w:r>
      <w:r w:rsidR="0080276A" w:rsidRPr="00EA6596">
        <w:rPr>
          <w:rFonts w:ascii="Arial" w:hAnsi="Arial" w:cs="Arial"/>
          <w:bCs/>
        </w:rPr>
        <w:t>alleged route</w:t>
      </w:r>
      <w:r w:rsidR="006E2845" w:rsidRPr="00EA6596">
        <w:rPr>
          <w:rFonts w:ascii="Arial" w:hAnsi="Arial" w:cs="Arial"/>
          <w:bCs/>
        </w:rPr>
        <w:t xml:space="preserve"> (‘the Order route’)</w:t>
      </w:r>
      <w:r w:rsidR="0080276A" w:rsidRPr="00EA6596">
        <w:rPr>
          <w:rFonts w:ascii="Arial" w:hAnsi="Arial" w:cs="Arial"/>
          <w:bCs/>
        </w:rPr>
        <w:t xml:space="preserve"> </w:t>
      </w:r>
      <w:r w:rsidR="00EA6596">
        <w:rPr>
          <w:rFonts w:ascii="Arial" w:hAnsi="Arial" w:cs="Arial"/>
          <w:bCs/>
        </w:rPr>
        <w:t xml:space="preserve">mostly forms the </w:t>
      </w:r>
      <w:r w:rsidR="00FB3501">
        <w:rPr>
          <w:rFonts w:ascii="Arial" w:hAnsi="Arial" w:cs="Arial"/>
          <w:bCs/>
        </w:rPr>
        <w:t>route of a former railway line</w:t>
      </w:r>
      <w:r w:rsidR="00035A3D">
        <w:rPr>
          <w:rFonts w:ascii="Arial" w:hAnsi="Arial" w:cs="Arial"/>
          <w:bCs/>
        </w:rPr>
        <w:t>, closed and dismantled in the early 1970s</w:t>
      </w:r>
      <w:r w:rsidR="00143611">
        <w:rPr>
          <w:rFonts w:ascii="Arial" w:hAnsi="Arial" w:cs="Arial"/>
          <w:bCs/>
        </w:rPr>
        <w:t>, with entry and exit spurs off to the west at the northern and southern ends.</w:t>
      </w:r>
    </w:p>
    <w:p w14:paraId="35F6C93E" w14:textId="0E445D30" w:rsidR="00AA3A19" w:rsidRDefault="00AA3A19" w:rsidP="001F4FE6">
      <w:pPr>
        <w:pStyle w:val="Style1"/>
        <w:numPr>
          <w:ilvl w:val="0"/>
          <w:numId w:val="4"/>
        </w:numPr>
        <w:tabs>
          <w:tab w:val="clear" w:pos="720"/>
        </w:tabs>
        <w:rPr>
          <w:rFonts w:ascii="Arial" w:hAnsi="Arial" w:cs="Arial"/>
          <w:bCs/>
        </w:rPr>
      </w:pPr>
      <w:r>
        <w:rPr>
          <w:rFonts w:ascii="Arial" w:hAnsi="Arial" w:cs="Arial"/>
          <w:bCs/>
        </w:rPr>
        <w:t>Land Registry records show that the underlying land was sold by the British Railways Board in 1979</w:t>
      </w:r>
      <w:r w:rsidR="00C42D89">
        <w:rPr>
          <w:rFonts w:ascii="Arial" w:hAnsi="Arial" w:cs="Arial"/>
          <w:bCs/>
        </w:rPr>
        <w:t>, subject to the reservation of covenants</w:t>
      </w:r>
      <w:r w:rsidR="003439A7">
        <w:rPr>
          <w:rFonts w:ascii="Arial" w:hAnsi="Arial" w:cs="Arial"/>
          <w:bCs/>
        </w:rPr>
        <w:t xml:space="preserve">. Parts of the adjoining land to the east appear </w:t>
      </w:r>
      <w:r w:rsidR="00484D84">
        <w:rPr>
          <w:rFonts w:ascii="Arial" w:hAnsi="Arial" w:cs="Arial"/>
          <w:bCs/>
        </w:rPr>
        <w:t xml:space="preserve">to be held </w:t>
      </w:r>
      <w:r w:rsidR="003439A7">
        <w:rPr>
          <w:rFonts w:ascii="Arial" w:hAnsi="Arial" w:cs="Arial"/>
          <w:bCs/>
        </w:rPr>
        <w:t>as operational railway l</w:t>
      </w:r>
      <w:r w:rsidR="00484D84">
        <w:rPr>
          <w:rFonts w:ascii="Arial" w:hAnsi="Arial" w:cs="Arial"/>
          <w:bCs/>
        </w:rPr>
        <w:t>and</w:t>
      </w:r>
      <w:r w:rsidR="003439A7">
        <w:rPr>
          <w:rFonts w:ascii="Arial" w:hAnsi="Arial" w:cs="Arial"/>
          <w:bCs/>
        </w:rPr>
        <w:t xml:space="preserve">, with the </w:t>
      </w:r>
      <w:r w:rsidR="0028126D">
        <w:rPr>
          <w:rFonts w:ascii="Arial" w:hAnsi="Arial" w:cs="Arial"/>
          <w:bCs/>
        </w:rPr>
        <w:t xml:space="preserve">Order route and the East Lancashire railway line diverging </w:t>
      </w:r>
      <w:r w:rsidR="00267D75">
        <w:rPr>
          <w:rFonts w:ascii="Arial" w:hAnsi="Arial" w:cs="Arial"/>
          <w:bCs/>
        </w:rPr>
        <w:t>towards</w:t>
      </w:r>
      <w:r w:rsidR="0028126D">
        <w:rPr>
          <w:rFonts w:ascii="Arial" w:hAnsi="Arial" w:cs="Arial"/>
          <w:bCs/>
        </w:rPr>
        <w:t xml:space="preserve"> the southern end of the route</w:t>
      </w:r>
      <w:r w:rsidR="00B144BE">
        <w:rPr>
          <w:rFonts w:ascii="Arial" w:hAnsi="Arial" w:cs="Arial"/>
          <w:bCs/>
        </w:rPr>
        <w:t xml:space="preserve">. </w:t>
      </w:r>
      <w:r w:rsidR="00BE095C">
        <w:rPr>
          <w:rFonts w:ascii="Arial" w:hAnsi="Arial" w:cs="Arial"/>
          <w:bCs/>
        </w:rPr>
        <w:t>The</w:t>
      </w:r>
      <w:r w:rsidR="00B144BE">
        <w:rPr>
          <w:rFonts w:ascii="Arial" w:hAnsi="Arial" w:cs="Arial"/>
          <w:bCs/>
        </w:rPr>
        <w:t xml:space="preserve"> </w:t>
      </w:r>
      <w:r w:rsidR="004D632E">
        <w:rPr>
          <w:rFonts w:ascii="Arial" w:hAnsi="Arial" w:cs="Arial"/>
          <w:bCs/>
        </w:rPr>
        <w:t xml:space="preserve">land encompassing the </w:t>
      </w:r>
      <w:r w:rsidR="00B144BE">
        <w:rPr>
          <w:rFonts w:ascii="Arial" w:hAnsi="Arial" w:cs="Arial"/>
          <w:bCs/>
        </w:rPr>
        <w:t xml:space="preserve">Order route was sold </w:t>
      </w:r>
      <w:r w:rsidR="004D632E">
        <w:rPr>
          <w:rFonts w:ascii="Arial" w:hAnsi="Arial" w:cs="Arial"/>
          <w:bCs/>
        </w:rPr>
        <w:t xml:space="preserve">in 1979 </w:t>
      </w:r>
      <w:r w:rsidR="00B144BE">
        <w:rPr>
          <w:rFonts w:ascii="Arial" w:hAnsi="Arial" w:cs="Arial"/>
          <w:bCs/>
        </w:rPr>
        <w:t xml:space="preserve">to a </w:t>
      </w:r>
      <w:r w:rsidR="00AA06D6">
        <w:rPr>
          <w:rFonts w:ascii="Arial" w:hAnsi="Arial" w:cs="Arial"/>
          <w:bCs/>
        </w:rPr>
        <w:t>local</w:t>
      </w:r>
      <w:r w:rsidR="00B144BE">
        <w:rPr>
          <w:rFonts w:ascii="Arial" w:hAnsi="Arial" w:cs="Arial"/>
          <w:bCs/>
        </w:rPr>
        <w:t xml:space="preserve"> company</w:t>
      </w:r>
      <w:r w:rsidR="00AA06D6">
        <w:rPr>
          <w:rFonts w:ascii="Arial" w:hAnsi="Arial" w:cs="Arial"/>
          <w:bCs/>
        </w:rPr>
        <w:t>, Scapa Porritt Ltd.</w:t>
      </w:r>
      <w:r w:rsidR="00B144BE">
        <w:rPr>
          <w:rFonts w:ascii="Arial" w:hAnsi="Arial" w:cs="Arial"/>
          <w:bCs/>
        </w:rPr>
        <w:t xml:space="preserve"> </w:t>
      </w:r>
      <w:r w:rsidR="00DC5EF4">
        <w:rPr>
          <w:rFonts w:ascii="Arial" w:hAnsi="Arial" w:cs="Arial"/>
          <w:bCs/>
        </w:rPr>
        <w:t>It appears that th</w:t>
      </w:r>
      <w:r w:rsidR="00D421E9">
        <w:rPr>
          <w:rFonts w:ascii="Arial" w:hAnsi="Arial" w:cs="Arial"/>
          <w:bCs/>
        </w:rPr>
        <w:t>e</w:t>
      </w:r>
      <w:r w:rsidR="00DC5EF4">
        <w:rPr>
          <w:rFonts w:ascii="Arial" w:hAnsi="Arial" w:cs="Arial"/>
          <w:bCs/>
        </w:rPr>
        <w:t xml:space="preserve"> site</w:t>
      </w:r>
      <w:r w:rsidR="00D421E9">
        <w:rPr>
          <w:rFonts w:ascii="Arial" w:hAnsi="Arial" w:cs="Arial"/>
          <w:bCs/>
        </w:rPr>
        <w:t xml:space="preserve"> has since been divided and the southern part</w:t>
      </w:r>
      <w:r w:rsidR="00DC5EF4">
        <w:rPr>
          <w:rFonts w:ascii="Arial" w:hAnsi="Arial" w:cs="Arial"/>
          <w:bCs/>
        </w:rPr>
        <w:t xml:space="preserve"> (encompassing points C – G on the Order Map) has since changed hands at least twice.</w:t>
      </w:r>
      <w:r w:rsidR="00E22205">
        <w:rPr>
          <w:rFonts w:ascii="Arial" w:hAnsi="Arial" w:cs="Arial"/>
          <w:bCs/>
        </w:rPr>
        <w:t xml:space="preserve"> </w:t>
      </w:r>
      <w:r w:rsidR="00954174">
        <w:rPr>
          <w:rFonts w:ascii="Arial" w:hAnsi="Arial" w:cs="Arial"/>
          <w:bCs/>
        </w:rPr>
        <w:t>I</w:t>
      </w:r>
      <w:r w:rsidR="00D421E9">
        <w:rPr>
          <w:rFonts w:ascii="Arial" w:hAnsi="Arial" w:cs="Arial"/>
          <w:bCs/>
        </w:rPr>
        <w:t xml:space="preserve">t is presently owned by </w:t>
      </w:r>
      <w:r w:rsidR="007B69A6">
        <w:rPr>
          <w:rFonts w:ascii="Arial" w:hAnsi="Arial" w:cs="Arial"/>
          <w:bCs/>
        </w:rPr>
        <w:t xml:space="preserve">Melba Products Limited, who acquired it </w:t>
      </w:r>
      <w:r w:rsidR="00A06E72">
        <w:rPr>
          <w:rFonts w:ascii="Arial" w:hAnsi="Arial" w:cs="Arial"/>
          <w:bCs/>
        </w:rPr>
        <w:t>in May 2019. Between those proprietors, a</w:t>
      </w:r>
      <w:r w:rsidR="00E22205">
        <w:rPr>
          <w:rFonts w:ascii="Arial" w:hAnsi="Arial" w:cs="Arial"/>
          <w:bCs/>
        </w:rPr>
        <w:t xml:space="preserve"> planning application to extend the commercial buildings was made by ‘Unaform Ltd’ in 1993</w:t>
      </w:r>
      <w:r w:rsidR="00A06E72">
        <w:rPr>
          <w:rFonts w:ascii="Arial" w:hAnsi="Arial" w:cs="Arial"/>
          <w:bCs/>
        </w:rPr>
        <w:t xml:space="preserve"> (and granted in 1994) and I have also seen several references to a company by the name of ‘Voi</w:t>
      </w:r>
      <w:r w:rsidR="002035F9">
        <w:rPr>
          <w:rFonts w:ascii="Arial" w:hAnsi="Arial" w:cs="Arial"/>
          <w:bCs/>
        </w:rPr>
        <w:t>th</w:t>
      </w:r>
      <w:r w:rsidR="00A06E72">
        <w:rPr>
          <w:rFonts w:ascii="Arial" w:hAnsi="Arial" w:cs="Arial"/>
          <w:bCs/>
        </w:rPr>
        <w:t>’</w:t>
      </w:r>
      <w:r w:rsidR="0088682F">
        <w:rPr>
          <w:rFonts w:ascii="Arial" w:hAnsi="Arial" w:cs="Arial"/>
          <w:bCs/>
        </w:rPr>
        <w:t xml:space="preserve"> who appear to have been in occupation at the time of that planning application</w:t>
      </w:r>
      <w:r w:rsidR="00E22205">
        <w:rPr>
          <w:rFonts w:ascii="Arial" w:hAnsi="Arial" w:cs="Arial"/>
          <w:bCs/>
        </w:rPr>
        <w:t>.</w:t>
      </w:r>
      <w:r w:rsidR="00C10368">
        <w:rPr>
          <w:rFonts w:ascii="Arial" w:hAnsi="Arial" w:cs="Arial"/>
          <w:bCs/>
        </w:rPr>
        <w:t xml:space="preserve"> The original acquisition of the railway embankment land </w:t>
      </w:r>
      <w:r w:rsidR="00100DBD">
        <w:rPr>
          <w:rFonts w:ascii="Arial" w:hAnsi="Arial" w:cs="Arial"/>
          <w:bCs/>
        </w:rPr>
        <w:t xml:space="preserve">encompassing the Order route appears to have extended the commercial property </w:t>
      </w:r>
      <w:r w:rsidR="00FD1A7B">
        <w:rPr>
          <w:rFonts w:ascii="Arial" w:hAnsi="Arial" w:cs="Arial"/>
          <w:bCs/>
        </w:rPr>
        <w:t xml:space="preserve">holding </w:t>
      </w:r>
      <w:r w:rsidR="00100DBD">
        <w:rPr>
          <w:rFonts w:ascii="Arial" w:hAnsi="Arial" w:cs="Arial"/>
          <w:bCs/>
        </w:rPr>
        <w:t>shown on maps as Stubbins Vale Mill</w:t>
      </w:r>
      <w:r w:rsidR="006E6E81">
        <w:rPr>
          <w:rFonts w:ascii="Arial" w:hAnsi="Arial" w:cs="Arial"/>
          <w:bCs/>
        </w:rPr>
        <w:t>, with a large site and mill buildings to the west of the Order land</w:t>
      </w:r>
      <w:r w:rsidR="00591B18">
        <w:rPr>
          <w:rFonts w:ascii="Arial" w:hAnsi="Arial" w:cs="Arial"/>
          <w:bCs/>
        </w:rPr>
        <w:t>. Those buildings separate the Order route from Stubbins Vale Road</w:t>
      </w:r>
      <w:r w:rsidR="009C3441">
        <w:rPr>
          <w:rFonts w:ascii="Arial" w:hAnsi="Arial" w:cs="Arial"/>
          <w:bCs/>
        </w:rPr>
        <w:t>.</w:t>
      </w:r>
    </w:p>
    <w:p w14:paraId="14DA2536" w14:textId="1FFBAC76" w:rsidR="0088682F" w:rsidRDefault="00A061BB" w:rsidP="001F4FE6">
      <w:pPr>
        <w:pStyle w:val="Style1"/>
        <w:numPr>
          <w:ilvl w:val="0"/>
          <w:numId w:val="4"/>
        </w:numPr>
        <w:tabs>
          <w:tab w:val="clear" w:pos="720"/>
        </w:tabs>
        <w:rPr>
          <w:rFonts w:ascii="Arial" w:hAnsi="Arial" w:cs="Arial"/>
          <w:bCs/>
        </w:rPr>
      </w:pPr>
      <w:r>
        <w:rPr>
          <w:rFonts w:ascii="Arial" w:hAnsi="Arial" w:cs="Arial"/>
          <w:bCs/>
        </w:rPr>
        <w:t>I have been provided with several dozen ‘user evidence forms’ (‘UEFs’) completed by users of the route</w:t>
      </w:r>
      <w:r w:rsidR="00BB5863">
        <w:rPr>
          <w:rFonts w:ascii="Arial" w:hAnsi="Arial" w:cs="Arial"/>
          <w:bCs/>
        </w:rPr>
        <w:t>. It appears that some recreational walking use of the route began following the railway board’s dismantling of the old line</w:t>
      </w:r>
      <w:r w:rsidR="000F39A6">
        <w:rPr>
          <w:rFonts w:ascii="Arial" w:hAnsi="Arial" w:cs="Arial"/>
          <w:bCs/>
        </w:rPr>
        <w:t>.</w:t>
      </w:r>
      <w:r w:rsidR="00FB4B02">
        <w:rPr>
          <w:rFonts w:ascii="Arial" w:hAnsi="Arial" w:cs="Arial"/>
          <w:bCs/>
        </w:rPr>
        <w:t xml:space="preserve"> The Order route </w:t>
      </w:r>
      <w:r w:rsidR="00702214">
        <w:rPr>
          <w:rFonts w:ascii="Arial" w:hAnsi="Arial" w:cs="Arial"/>
          <w:bCs/>
        </w:rPr>
        <w:t xml:space="preserve">is mostly consistent with the old railway line </w:t>
      </w:r>
      <w:r w:rsidR="00D959A4">
        <w:rPr>
          <w:rFonts w:ascii="Arial" w:hAnsi="Arial" w:cs="Arial"/>
          <w:bCs/>
        </w:rPr>
        <w:t xml:space="preserve">on an embankment </w:t>
      </w:r>
      <w:r w:rsidR="00702214">
        <w:rPr>
          <w:rFonts w:ascii="Arial" w:hAnsi="Arial" w:cs="Arial"/>
          <w:bCs/>
        </w:rPr>
        <w:t xml:space="preserve">between points B and F, save for a diversion </w:t>
      </w:r>
      <w:r w:rsidR="00D959A4">
        <w:rPr>
          <w:rFonts w:ascii="Arial" w:hAnsi="Arial" w:cs="Arial"/>
          <w:bCs/>
        </w:rPr>
        <w:t xml:space="preserve">down the bank </w:t>
      </w:r>
      <w:r w:rsidR="007E2B03">
        <w:rPr>
          <w:rFonts w:ascii="Arial" w:hAnsi="Arial" w:cs="Arial"/>
          <w:bCs/>
        </w:rPr>
        <w:t>to the eastern side</w:t>
      </w:r>
      <w:r w:rsidR="00B231C4">
        <w:rPr>
          <w:rFonts w:ascii="Arial" w:hAnsi="Arial" w:cs="Arial"/>
          <w:bCs/>
        </w:rPr>
        <w:t xml:space="preserve"> of it </w:t>
      </w:r>
      <w:r w:rsidR="00D959A4">
        <w:rPr>
          <w:rFonts w:ascii="Arial" w:hAnsi="Arial" w:cs="Arial"/>
          <w:bCs/>
        </w:rPr>
        <w:t xml:space="preserve">between points D and E. The line appears to be fenced at point F </w:t>
      </w:r>
      <w:r w:rsidR="00A30091">
        <w:rPr>
          <w:rFonts w:ascii="Arial" w:hAnsi="Arial" w:cs="Arial"/>
          <w:bCs/>
        </w:rPr>
        <w:t>just north of a bridge, and this is where the route drops down</w:t>
      </w:r>
      <w:r w:rsidR="00226442">
        <w:rPr>
          <w:rFonts w:ascii="Arial" w:hAnsi="Arial" w:cs="Arial"/>
          <w:bCs/>
        </w:rPr>
        <w:t xml:space="preserve"> westwards</w:t>
      </w:r>
      <w:r w:rsidR="00A30091">
        <w:rPr>
          <w:rFonts w:ascii="Arial" w:hAnsi="Arial" w:cs="Arial"/>
          <w:bCs/>
        </w:rPr>
        <w:t xml:space="preserve"> to point G where it joins the existing </w:t>
      </w:r>
      <w:r w:rsidR="00860F85">
        <w:rPr>
          <w:rFonts w:ascii="Arial" w:hAnsi="Arial" w:cs="Arial"/>
          <w:bCs/>
        </w:rPr>
        <w:t xml:space="preserve">adopted </w:t>
      </w:r>
      <w:r w:rsidR="00A30091">
        <w:rPr>
          <w:rFonts w:ascii="Arial" w:hAnsi="Arial" w:cs="Arial"/>
          <w:bCs/>
        </w:rPr>
        <w:t>highway at Stubbins Vale Road</w:t>
      </w:r>
      <w:r w:rsidR="00860F85">
        <w:rPr>
          <w:rFonts w:ascii="Arial" w:hAnsi="Arial" w:cs="Arial"/>
          <w:bCs/>
        </w:rPr>
        <w:t>.</w:t>
      </w:r>
    </w:p>
    <w:p w14:paraId="4BC045CE" w14:textId="54FF2409" w:rsidR="00860F85" w:rsidRDefault="00860F85" w:rsidP="001F4FE6">
      <w:pPr>
        <w:pStyle w:val="Style1"/>
        <w:numPr>
          <w:ilvl w:val="0"/>
          <w:numId w:val="4"/>
        </w:numPr>
        <w:tabs>
          <w:tab w:val="clear" w:pos="720"/>
        </w:tabs>
        <w:rPr>
          <w:rFonts w:ascii="Arial" w:hAnsi="Arial" w:cs="Arial"/>
          <w:bCs/>
        </w:rPr>
      </w:pPr>
      <w:r>
        <w:rPr>
          <w:rFonts w:ascii="Arial" w:hAnsi="Arial" w:cs="Arial"/>
          <w:bCs/>
        </w:rPr>
        <w:t>The route is also fenced at point C</w:t>
      </w:r>
      <w:r w:rsidR="00591B83">
        <w:rPr>
          <w:rFonts w:ascii="Arial" w:hAnsi="Arial" w:cs="Arial"/>
          <w:bCs/>
        </w:rPr>
        <w:t xml:space="preserve">, and has been so for several years. Aside from the existing fencing erected </w:t>
      </w:r>
      <w:r w:rsidR="003A4004">
        <w:rPr>
          <w:rFonts w:ascii="Arial" w:hAnsi="Arial" w:cs="Arial"/>
          <w:bCs/>
        </w:rPr>
        <w:t xml:space="preserve">more recently </w:t>
      </w:r>
      <w:r w:rsidR="00591B83">
        <w:rPr>
          <w:rFonts w:ascii="Arial" w:hAnsi="Arial" w:cs="Arial"/>
          <w:bCs/>
        </w:rPr>
        <w:t xml:space="preserve">by the present landowner, a fence has existed across the line although </w:t>
      </w:r>
      <w:r w:rsidR="00C34431">
        <w:rPr>
          <w:rFonts w:ascii="Arial" w:hAnsi="Arial" w:cs="Arial"/>
          <w:bCs/>
        </w:rPr>
        <w:t xml:space="preserve">it has </w:t>
      </w:r>
      <w:r w:rsidR="00B231C4">
        <w:rPr>
          <w:rFonts w:ascii="Arial" w:hAnsi="Arial" w:cs="Arial"/>
          <w:bCs/>
        </w:rPr>
        <w:t xml:space="preserve">at some point </w:t>
      </w:r>
      <w:r w:rsidR="00C34431">
        <w:rPr>
          <w:rFonts w:ascii="Arial" w:hAnsi="Arial" w:cs="Arial"/>
          <w:bCs/>
        </w:rPr>
        <w:t xml:space="preserve">been cut and a gap created. That is also at the point of a bridge. </w:t>
      </w:r>
      <w:r w:rsidR="004E7404">
        <w:rPr>
          <w:rFonts w:ascii="Arial" w:hAnsi="Arial" w:cs="Arial"/>
          <w:bCs/>
        </w:rPr>
        <w:t xml:space="preserve">The Order route continues north from that fence above the bridge at point C for a short way to point B, where it leaves the </w:t>
      </w:r>
      <w:r w:rsidR="00995FB4">
        <w:rPr>
          <w:rFonts w:ascii="Arial" w:hAnsi="Arial" w:cs="Arial"/>
          <w:bCs/>
        </w:rPr>
        <w:t xml:space="preserve">route of the railway line to join the road to the west at point A. </w:t>
      </w:r>
    </w:p>
    <w:p w14:paraId="5F1D1FD3" w14:textId="68D07F64" w:rsidR="0088682F" w:rsidRDefault="0088682F" w:rsidP="0088682F">
      <w:pPr>
        <w:pStyle w:val="Style1"/>
        <w:ind w:left="0" w:firstLine="0"/>
        <w:rPr>
          <w:rFonts w:ascii="Arial" w:hAnsi="Arial" w:cs="Arial"/>
          <w:bCs/>
          <w:i/>
          <w:iCs/>
        </w:rPr>
      </w:pPr>
      <w:r>
        <w:rPr>
          <w:rFonts w:ascii="Arial" w:hAnsi="Arial" w:cs="Arial"/>
          <w:bCs/>
          <w:i/>
          <w:iCs/>
        </w:rPr>
        <w:t>Bringing the use of the route into question</w:t>
      </w:r>
    </w:p>
    <w:p w14:paraId="595461A1" w14:textId="72B3F262" w:rsidR="00AC2351" w:rsidRDefault="004E6013" w:rsidP="001F4FE6">
      <w:pPr>
        <w:pStyle w:val="Style1"/>
        <w:numPr>
          <w:ilvl w:val="0"/>
          <w:numId w:val="4"/>
        </w:numPr>
        <w:tabs>
          <w:tab w:val="clear" w:pos="720"/>
        </w:tabs>
        <w:rPr>
          <w:rFonts w:ascii="Arial" w:hAnsi="Arial" w:cs="Arial"/>
          <w:bCs/>
        </w:rPr>
      </w:pPr>
      <w:r>
        <w:rPr>
          <w:rFonts w:ascii="Arial" w:hAnsi="Arial" w:cs="Arial"/>
          <w:bCs/>
        </w:rPr>
        <w:t>The application was made in December 2019</w:t>
      </w:r>
      <w:r w:rsidR="00907398">
        <w:rPr>
          <w:rFonts w:ascii="Arial" w:hAnsi="Arial" w:cs="Arial"/>
          <w:bCs/>
        </w:rPr>
        <w:t xml:space="preserve"> following the landowner’s placing of ‘blocks’ in the November</w:t>
      </w:r>
      <w:r w:rsidR="000E12C6">
        <w:rPr>
          <w:rFonts w:ascii="Arial" w:hAnsi="Arial" w:cs="Arial"/>
          <w:bCs/>
        </w:rPr>
        <w:t>, approximately at points C and G of the Order route. The land had changed hands in the May</w:t>
      </w:r>
      <w:r w:rsidR="00D823AE">
        <w:rPr>
          <w:rFonts w:ascii="Arial" w:hAnsi="Arial" w:cs="Arial"/>
          <w:bCs/>
        </w:rPr>
        <w:t xml:space="preserve"> of that year</w:t>
      </w:r>
      <w:r w:rsidR="000E12C6">
        <w:rPr>
          <w:rFonts w:ascii="Arial" w:hAnsi="Arial" w:cs="Arial"/>
          <w:bCs/>
        </w:rPr>
        <w:t xml:space="preserve">, and the completion of a number of </w:t>
      </w:r>
      <w:r w:rsidR="00C0680B">
        <w:rPr>
          <w:rFonts w:ascii="Arial" w:hAnsi="Arial" w:cs="Arial"/>
          <w:bCs/>
        </w:rPr>
        <w:t>UEFs</w:t>
      </w:r>
      <w:r w:rsidR="000E12C6">
        <w:rPr>
          <w:rFonts w:ascii="Arial" w:hAnsi="Arial" w:cs="Arial"/>
          <w:bCs/>
        </w:rPr>
        <w:t xml:space="preserve"> prior to November</w:t>
      </w:r>
      <w:r w:rsidR="00C0680B">
        <w:rPr>
          <w:rFonts w:ascii="Arial" w:hAnsi="Arial" w:cs="Arial"/>
          <w:bCs/>
        </w:rPr>
        <w:t xml:space="preserve"> in that year</w:t>
      </w:r>
      <w:r w:rsidR="000E12C6">
        <w:rPr>
          <w:rFonts w:ascii="Arial" w:hAnsi="Arial" w:cs="Arial"/>
          <w:bCs/>
        </w:rPr>
        <w:t xml:space="preserve"> suggests that the use of the route was becoming contentious even before being obstructed</w:t>
      </w:r>
      <w:r w:rsidR="007A3FF1">
        <w:rPr>
          <w:rFonts w:ascii="Arial" w:hAnsi="Arial" w:cs="Arial"/>
          <w:bCs/>
        </w:rPr>
        <w:t>. A Residents’ Association meeting in July 2019</w:t>
      </w:r>
      <w:r w:rsidR="008E7597">
        <w:rPr>
          <w:rFonts w:ascii="Arial" w:hAnsi="Arial" w:cs="Arial"/>
          <w:bCs/>
        </w:rPr>
        <w:t xml:space="preserve"> recorded the new landowner’s </w:t>
      </w:r>
      <w:r w:rsidR="003A4004">
        <w:rPr>
          <w:rFonts w:ascii="Arial" w:hAnsi="Arial" w:cs="Arial"/>
          <w:bCs/>
        </w:rPr>
        <w:t xml:space="preserve">stated </w:t>
      </w:r>
      <w:r w:rsidR="008E7597">
        <w:rPr>
          <w:rFonts w:ascii="Arial" w:hAnsi="Arial" w:cs="Arial"/>
          <w:bCs/>
        </w:rPr>
        <w:t xml:space="preserve">intention to close the footpath. </w:t>
      </w:r>
      <w:r w:rsidR="00131555">
        <w:rPr>
          <w:rFonts w:ascii="Arial" w:hAnsi="Arial" w:cs="Arial"/>
          <w:bCs/>
        </w:rPr>
        <w:t xml:space="preserve">A subsequent meeting recorded that </w:t>
      </w:r>
      <w:r w:rsidR="00030587">
        <w:rPr>
          <w:rFonts w:ascii="Arial" w:hAnsi="Arial" w:cs="Arial"/>
          <w:bCs/>
        </w:rPr>
        <w:t>access had been closed as of 8 November</w:t>
      </w:r>
      <w:r w:rsidR="00D823AE">
        <w:rPr>
          <w:rFonts w:ascii="Arial" w:hAnsi="Arial" w:cs="Arial"/>
          <w:bCs/>
        </w:rPr>
        <w:t xml:space="preserve"> 2019</w:t>
      </w:r>
      <w:r w:rsidR="00030587">
        <w:rPr>
          <w:rFonts w:ascii="Arial" w:hAnsi="Arial" w:cs="Arial"/>
          <w:bCs/>
        </w:rPr>
        <w:t xml:space="preserve">. </w:t>
      </w:r>
    </w:p>
    <w:p w14:paraId="2F094B71" w14:textId="16903B74" w:rsidR="004650E2" w:rsidRDefault="004650E2" w:rsidP="001F4FE6">
      <w:pPr>
        <w:pStyle w:val="Style1"/>
        <w:numPr>
          <w:ilvl w:val="0"/>
          <w:numId w:val="4"/>
        </w:numPr>
        <w:tabs>
          <w:tab w:val="clear" w:pos="720"/>
        </w:tabs>
        <w:rPr>
          <w:rFonts w:ascii="Arial" w:hAnsi="Arial" w:cs="Arial"/>
          <w:bCs/>
        </w:rPr>
      </w:pPr>
      <w:r>
        <w:rPr>
          <w:rFonts w:ascii="Arial" w:hAnsi="Arial" w:cs="Arial"/>
          <w:bCs/>
        </w:rPr>
        <w:t>Thus the right of the public to use the route was certainly called into question by November 2019. It may have done so as early as May of that year.</w:t>
      </w:r>
      <w:r w:rsidR="00C0680B">
        <w:rPr>
          <w:rFonts w:ascii="Arial" w:hAnsi="Arial" w:cs="Arial"/>
          <w:bCs/>
        </w:rPr>
        <w:t xml:space="preserve"> However, although discussed by the meetings of the Residents’ Association from the summer onwards, there is nothing before me to suggest that the contentiousness of the route was drawn to the attention of</w:t>
      </w:r>
      <w:r w:rsidR="005E4CDE">
        <w:rPr>
          <w:rFonts w:ascii="Arial" w:hAnsi="Arial" w:cs="Arial"/>
          <w:bCs/>
        </w:rPr>
        <w:t xml:space="preserve"> its users at large. I therefore agree with the Council that the use was brought into question in November 2019. For the purposes of section 31 of the 1980 Act, the relevant 20 year period for consideration is therefore </w:t>
      </w:r>
      <w:r w:rsidR="003A4004">
        <w:rPr>
          <w:rFonts w:ascii="Arial" w:hAnsi="Arial" w:cs="Arial"/>
          <w:bCs/>
        </w:rPr>
        <w:t xml:space="preserve">November </w:t>
      </w:r>
      <w:r w:rsidR="005E4CDE">
        <w:rPr>
          <w:rFonts w:ascii="Arial" w:hAnsi="Arial" w:cs="Arial"/>
          <w:bCs/>
        </w:rPr>
        <w:t xml:space="preserve">1999 </w:t>
      </w:r>
      <w:r w:rsidR="003A4004">
        <w:rPr>
          <w:rFonts w:ascii="Arial" w:hAnsi="Arial" w:cs="Arial"/>
          <w:bCs/>
        </w:rPr>
        <w:t>until November</w:t>
      </w:r>
      <w:r w:rsidR="005E4CDE">
        <w:rPr>
          <w:rFonts w:ascii="Arial" w:hAnsi="Arial" w:cs="Arial"/>
          <w:bCs/>
        </w:rPr>
        <w:t xml:space="preserve"> 2019.</w:t>
      </w:r>
      <w:r w:rsidR="003A4004">
        <w:rPr>
          <w:rFonts w:ascii="Arial" w:hAnsi="Arial" w:cs="Arial"/>
          <w:bCs/>
        </w:rPr>
        <w:t xml:space="preserve"> </w:t>
      </w:r>
      <w:r w:rsidR="003F26AE">
        <w:rPr>
          <w:rFonts w:ascii="Arial" w:hAnsi="Arial" w:cs="Arial"/>
          <w:bCs/>
        </w:rPr>
        <w:t xml:space="preserve">However, my conclusions in the case would be unaffected if the slightly earlier period, May 1999 to May 2019, </w:t>
      </w:r>
      <w:r w:rsidR="00FB7A71">
        <w:rPr>
          <w:rFonts w:ascii="Arial" w:hAnsi="Arial" w:cs="Arial"/>
          <w:bCs/>
        </w:rPr>
        <w:t>were instead to apply.</w:t>
      </w:r>
    </w:p>
    <w:p w14:paraId="0ECF1439" w14:textId="63C86920" w:rsidR="005E183A" w:rsidRPr="005E183A" w:rsidRDefault="005E183A" w:rsidP="005E183A">
      <w:pPr>
        <w:pStyle w:val="Style1"/>
        <w:ind w:left="0" w:firstLine="0"/>
        <w:rPr>
          <w:rFonts w:ascii="Arial" w:hAnsi="Arial" w:cs="Arial"/>
          <w:bCs/>
          <w:i/>
          <w:iCs/>
        </w:rPr>
      </w:pPr>
      <w:r>
        <w:rPr>
          <w:rFonts w:ascii="Arial" w:hAnsi="Arial" w:cs="Arial"/>
          <w:bCs/>
          <w:i/>
          <w:iCs/>
        </w:rPr>
        <w:lastRenderedPageBreak/>
        <w:t>Evidence of use of the route</w:t>
      </w:r>
      <w:r w:rsidR="00E477C9">
        <w:rPr>
          <w:rFonts w:ascii="Arial" w:hAnsi="Arial" w:cs="Arial"/>
          <w:bCs/>
          <w:i/>
          <w:iCs/>
        </w:rPr>
        <w:t xml:space="preserve"> as of right</w:t>
      </w:r>
    </w:p>
    <w:p w14:paraId="14C55D28" w14:textId="7D802658" w:rsidR="00864F4F" w:rsidRDefault="001C04D9" w:rsidP="001F4FE6">
      <w:pPr>
        <w:pStyle w:val="Style1"/>
        <w:numPr>
          <w:ilvl w:val="0"/>
          <w:numId w:val="4"/>
        </w:numPr>
        <w:tabs>
          <w:tab w:val="clear" w:pos="720"/>
        </w:tabs>
        <w:rPr>
          <w:rFonts w:ascii="Arial" w:hAnsi="Arial" w:cs="Arial"/>
          <w:bCs/>
        </w:rPr>
      </w:pPr>
      <w:r>
        <w:rPr>
          <w:rFonts w:ascii="Arial" w:hAnsi="Arial" w:cs="Arial"/>
          <w:bCs/>
        </w:rPr>
        <w:t>More than 50</w:t>
      </w:r>
      <w:r w:rsidR="00423C8F">
        <w:rPr>
          <w:rFonts w:ascii="Arial" w:hAnsi="Arial" w:cs="Arial"/>
          <w:bCs/>
        </w:rPr>
        <w:t xml:space="preserve"> UEFs have been submitted, very few of them with accompanying maps</w:t>
      </w:r>
      <w:r w:rsidR="008E67AF">
        <w:rPr>
          <w:rFonts w:ascii="Arial" w:hAnsi="Arial" w:cs="Arial"/>
          <w:bCs/>
        </w:rPr>
        <w:t xml:space="preserve"> but generally with a sufficient accompanying description of the route</w:t>
      </w:r>
      <w:r w:rsidR="00864F4F">
        <w:rPr>
          <w:rFonts w:ascii="Arial" w:hAnsi="Arial" w:cs="Arial"/>
          <w:bCs/>
        </w:rPr>
        <w:t>.</w:t>
      </w:r>
      <w:r w:rsidR="00953D68">
        <w:rPr>
          <w:rFonts w:ascii="Arial" w:hAnsi="Arial" w:cs="Arial"/>
          <w:bCs/>
        </w:rPr>
        <w:t xml:space="preserve"> A number of users are of fairly recent origin, and cannot attest to use throughout the whole 20 year period</w:t>
      </w:r>
      <w:r w:rsidR="00356D31">
        <w:rPr>
          <w:rFonts w:ascii="Arial" w:hAnsi="Arial" w:cs="Arial"/>
          <w:bCs/>
        </w:rPr>
        <w:t xml:space="preserve">. However, </w:t>
      </w:r>
      <w:r w:rsidR="00563209">
        <w:rPr>
          <w:rFonts w:ascii="Arial" w:hAnsi="Arial" w:cs="Arial"/>
          <w:bCs/>
        </w:rPr>
        <w:t>around half</w:t>
      </w:r>
      <w:r w:rsidR="00356D31">
        <w:rPr>
          <w:rFonts w:ascii="Arial" w:hAnsi="Arial" w:cs="Arial"/>
          <w:bCs/>
        </w:rPr>
        <w:t xml:space="preserve"> do recall using the route</w:t>
      </w:r>
      <w:r w:rsidR="00A95234">
        <w:rPr>
          <w:rFonts w:ascii="Arial" w:hAnsi="Arial" w:cs="Arial"/>
          <w:bCs/>
        </w:rPr>
        <w:t xml:space="preserve"> on foot</w:t>
      </w:r>
      <w:r w:rsidR="00356D31">
        <w:rPr>
          <w:rFonts w:ascii="Arial" w:hAnsi="Arial" w:cs="Arial"/>
          <w:bCs/>
        </w:rPr>
        <w:t xml:space="preserve"> since before 1999, and since the 1980s in some cases</w:t>
      </w:r>
      <w:r w:rsidR="00CB366F">
        <w:rPr>
          <w:rFonts w:ascii="Arial" w:hAnsi="Arial" w:cs="Arial"/>
          <w:bCs/>
        </w:rPr>
        <w:t xml:space="preserve">. </w:t>
      </w:r>
    </w:p>
    <w:p w14:paraId="250C228F" w14:textId="23B9D764" w:rsidR="005E3A65" w:rsidRDefault="00C7787F" w:rsidP="001F4FE6">
      <w:pPr>
        <w:pStyle w:val="Style1"/>
        <w:numPr>
          <w:ilvl w:val="0"/>
          <w:numId w:val="4"/>
        </w:numPr>
        <w:tabs>
          <w:tab w:val="clear" w:pos="720"/>
        </w:tabs>
        <w:rPr>
          <w:rFonts w:ascii="Arial" w:hAnsi="Arial" w:cs="Arial"/>
          <w:bCs/>
        </w:rPr>
      </w:pPr>
      <w:r>
        <w:rPr>
          <w:rFonts w:ascii="Arial" w:hAnsi="Arial" w:cs="Arial"/>
          <w:bCs/>
        </w:rPr>
        <w:t>It is clear from some forms that the route has not been walked entirely end to end by all users. Some references are made to other access points to the railway embankment</w:t>
      </w:r>
      <w:r w:rsidR="00152FD6">
        <w:rPr>
          <w:rFonts w:ascii="Arial" w:hAnsi="Arial" w:cs="Arial"/>
          <w:bCs/>
        </w:rPr>
        <w:t xml:space="preserve"> along the length of the Order route</w:t>
      </w:r>
      <w:r w:rsidR="00F31086">
        <w:rPr>
          <w:rFonts w:ascii="Arial" w:hAnsi="Arial" w:cs="Arial"/>
          <w:bCs/>
        </w:rPr>
        <w:t>, including from South Terrace</w:t>
      </w:r>
      <w:r w:rsidR="00665681">
        <w:rPr>
          <w:rFonts w:ascii="Arial" w:hAnsi="Arial" w:cs="Arial"/>
          <w:bCs/>
        </w:rPr>
        <w:t xml:space="preserve"> to the east</w:t>
      </w:r>
      <w:r w:rsidR="00F31086">
        <w:rPr>
          <w:rFonts w:ascii="Arial" w:hAnsi="Arial" w:cs="Arial"/>
          <w:bCs/>
        </w:rPr>
        <w:t xml:space="preserve"> and </w:t>
      </w:r>
      <w:r w:rsidR="00F25D70">
        <w:rPr>
          <w:rFonts w:ascii="Arial" w:hAnsi="Arial" w:cs="Arial"/>
          <w:bCs/>
        </w:rPr>
        <w:t xml:space="preserve">from the car park of the adjoining commercial </w:t>
      </w:r>
      <w:r w:rsidR="00665681">
        <w:rPr>
          <w:rFonts w:ascii="Arial" w:hAnsi="Arial" w:cs="Arial"/>
          <w:bCs/>
        </w:rPr>
        <w:t>site to the west</w:t>
      </w:r>
      <w:r w:rsidR="00120BAC">
        <w:rPr>
          <w:rFonts w:ascii="Arial" w:hAnsi="Arial" w:cs="Arial"/>
          <w:bCs/>
        </w:rPr>
        <w:t>. Overall, however, and notwithstanding the absence of maps in most cases, there appears sufficient evidence of sufficient use of the route as a whole to have brought home to the landowner that a right was being asserted along its full length</w:t>
      </w:r>
      <w:r w:rsidR="005E3A65">
        <w:rPr>
          <w:rFonts w:ascii="Arial" w:hAnsi="Arial" w:cs="Arial"/>
          <w:bCs/>
        </w:rPr>
        <w:t>.</w:t>
      </w:r>
    </w:p>
    <w:p w14:paraId="68A2DF7A" w14:textId="2D8DBA01" w:rsidR="007434CD" w:rsidRDefault="007434CD" w:rsidP="001F4FE6">
      <w:pPr>
        <w:pStyle w:val="Style1"/>
        <w:numPr>
          <w:ilvl w:val="0"/>
          <w:numId w:val="4"/>
        </w:numPr>
        <w:tabs>
          <w:tab w:val="clear" w:pos="720"/>
        </w:tabs>
        <w:rPr>
          <w:rFonts w:ascii="Arial" w:hAnsi="Arial" w:cs="Arial"/>
          <w:bCs/>
        </w:rPr>
      </w:pPr>
      <w:r>
        <w:rPr>
          <w:rFonts w:ascii="Arial" w:hAnsi="Arial" w:cs="Arial"/>
          <w:bCs/>
        </w:rPr>
        <w:t>As to whether the use has been actually enjoyed</w:t>
      </w:r>
      <w:r w:rsidR="00C32D24">
        <w:rPr>
          <w:rFonts w:ascii="Arial" w:hAnsi="Arial" w:cs="Arial"/>
          <w:bCs/>
        </w:rPr>
        <w:t xml:space="preserve"> by the public</w:t>
      </w:r>
      <w:r>
        <w:rPr>
          <w:rFonts w:ascii="Arial" w:hAnsi="Arial" w:cs="Arial"/>
          <w:bCs/>
        </w:rPr>
        <w:t>, there is nothing to suggest that this was not the case during the relevant 20 year period. A number of users inform me of the events surrounding the extension to the adjoining commercial premises in around 1994. A planning permission was obtained for an extended building</w:t>
      </w:r>
      <w:r w:rsidR="001F6B79">
        <w:rPr>
          <w:rFonts w:ascii="Arial" w:hAnsi="Arial" w:cs="Arial"/>
          <w:bCs/>
        </w:rPr>
        <w:t xml:space="preserve"> to the east of those existing</w:t>
      </w:r>
      <w:r>
        <w:rPr>
          <w:rFonts w:ascii="Arial" w:hAnsi="Arial" w:cs="Arial"/>
          <w:bCs/>
        </w:rPr>
        <w:t xml:space="preserve">, </w:t>
      </w:r>
      <w:r w:rsidR="007D40E3">
        <w:rPr>
          <w:rFonts w:ascii="Arial" w:hAnsi="Arial" w:cs="Arial"/>
          <w:bCs/>
        </w:rPr>
        <w:t xml:space="preserve">encroaching into the embankment. This required the route then used to be diverted to the east for a short length to pass around the new building, and the planning permission makes reference to this although the associated correspondence has been lost. The </w:t>
      </w:r>
      <w:r w:rsidR="00BB4AA9">
        <w:rPr>
          <w:rFonts w:ascii="Arial" w:hAnsi="Arial" w:cs="Arial"/>
          <w:bCs/>
        </w:rPr>
        <w:t xml:space="preserve">landowner then constructed steps at either end of the diversion. These matters </w:t>
      </w:r>
      <w:r w:rsidR="00173593">
        <w:rPr>
          <w:rFonts w:ascii="Arial" w:hAnsi="Arial" w:cs="Arial"/>
          <w:bCs/>
        </w:rPr>
        <w:t xml:space="preserve">all  </w:t>
      </w:r>
      <w:r w:rsidR="00BB4AA9">
        <w:rPr>
          <w:rFonts w:ascii="Arial" w:hAnsi="Arial" w:cs="Arial"/>
          <w:bCs/>
        </w:rPr>
        <w:t>pre-dated the relevant 20 year period.</w:t>
      </w:r>
      <w:r w:rsidR="001765FD">
        <w:rPr>
          <w:rFonts w:ascii="Arial" w:hAnsi="Arial" w:cs="Arial"/>
          <w:bCs/>
        </w:rPr>
        <w:t xml:space="preserve"> Thus the alignment of the Order route is the same one that has been used throughout that 20 year period.</w:t>
      </w:r>
    </w:p>
    <w:p w14:paraId="7248E7E9" w14:textId="7A0AB79A" w:rsidR="005E3A65" w:rsidRDefault="005E3A65" w:rsidP="001F4FE6">
      <w:pPr>
        <w:pStyle w:val="Style1"/>
        <w:numPr>
          <w:ilvl w:val="0"/>
          <w:numId w:val="4"/>
        </w:numPr>
        <w:tabs>
          <w:tab w:val="clear" w:pos="720"/>
        </w:tabs>
        <w:rPr>
          <w:rFonts w:ascii="Arial" w:hAnsi="Arial" w:cs="Arial"/>
          <w:bCs/>
        </w:rPr>
      </w:pPr>
      <w:r>
        <w:rPr>
          <w:rFonts w:ascii="Arial" w:hAnsi="Arial" w:cs="Arial"/>
          <w:bCs/>
        </w:rPr>
        <w:t>As to whether the use has been ‘without force’, it is clear that at some point</w:t>
      </w:r>
      <w:r w:rsidR="00DE13D5">
        <w:rPr>
          <w:rFonts w:ascii="Arial" w:hAnsi="Arial" w:cs="Arial"/>
          <w:bCs/>
        </w:rPr>
        <w:t xml:space="preserve"> a fence has been constructed across the route at point C and that this has been tampered with in order to create a passable gap. </w:t>
      </w:r>
      <w:r w:rsidR="00583B05">
        <w:rPr>
          <w:rFonts w:ascii="Arial" w:hAnsi="Arial" w:cs="Arial"/>
          <w:bCs/>
        </w:rPr>
        <w:t xml:space="preserve">Some users say that this gap has been present for as long as they </w:t>
      </w:r>
      <w:r w:rsidR="001765FD">
        <w:rPr>
          <w:rFonts w:ascii="Arial" w:hAnsi="Arial" w:cs="Arial"/>
          <w:bCs/>
        </w:rPr>
        <w:t xml:space="preserve">can </w:t>
      </w:r>
      <w:r w:rsidR="00583B05">
        <w:rPr>
          <w:rFonts w:ascii="Arial" w:hAnsi="Arial" w:cs="Arial"/>
          <w:bCs/>
        </w:rPr>
        <w:t>remember</w:t>
      </w:r>
      <w:r w:rsidR="00DA3250">
        <w:rPr>
          <w:rFonts w:ascii="Arial" w:hAnsi="Arial" w:cs="Arial"/>
          <w:bCs/>
        </w:rPr>
        <w:t>, in one case since 1984. Another suggests that the barrier at point C was opened up by the previous landowner in the 1990s</w:t>
      </w:r>
      <w:r w:rsidR="00B14AC6">
        <w:rPr>
          <w:rFonts w:ascii="Arial" w:hAnsi="Arial" w:cs="Arial"/>
          <w:bCs/>
        </w:rPr>
        <w:t>, although that is possibly before his personal knowledge of the route</w:t>
      </w:r>
      <w:r w:rsidR="00DA3250">
        <w:rPr>
          <w:rFonts w:ascii="Arial" w:hAnsi="Arial" w:cs="Arial"/>
          <w:bCs/>
        </w:rPr>
        <w:t>. Another</w:t>
      </w:r>
      <w:r w:rsidR="00390429">
        <w:rPr>
          <w:rFonts w:ascii="Arial" w:hAnsi="Arial" w:cs="Arial"/>
          <w:bCs/>
        </w:rPr>
        <w:t xml:space="preserve"> suggests that the fence was constructed only when Scapa [Porritt] sold the land to Voith, although it is not clear when this was. It was, he continues, ‘cut through within weeks’. </w:t>
      </w:r>
      <w:r w:rsidR="000F3456">
        <w:rPr>
          <w:rFonts w:ascii="Arial" w:hAnsi="Arial" w:cs="Arial"/>
          <w:bCs/>
        </w:rPr>
        <w:t xml:space="preserve">The gap appears to have been discernible only on fairly close inspection, and a few users appear not to have been aware of it. </w:t>
      </w:r>
    </w:p>
    <w:p w14:paraId="3F742DC1" w14:textId="6F5A8B57" w:rsidR="000707B1" w:rsidRDefault="000707B1" w:rsidP="000707B1">
      <w:pPr>
        <w:pStyle w:val="Style1"/>
        <w:numPr>
          <w:ilvl w:val="0"/>
          <w:numId w:val="4"/>
        </w:numPr>
        <w:tabs>
          <w:tab w:val="clear" w:pos="720"/>
        </w:tabs>
        <w:rPr>
          <w:rFonts w:ascii="Arial" w:hAnsi="Arial" w:cs="Arial"/>
          <w:bCs/>
        </w:rPr>
      </w:pPr>
      <w:r>
        <w:rPr>
          <w:rFonts w:ascii="Arial" w:hAnsi="Arial" w:cs="Arial"/>
          <w:bCs/>
        </w:rPr>
        <w:t xml:space="preserve">It is evident from the Land Registry records that the land was sold by the railway board with an expectation that it would be fenced. It appears that the route was split into two different titles in January 2000, with the buyer of title LA858164 (points A – C) covenanting with the seller to erect a stockproof fence </w:t>
      </w:r>
      <w:r w:rsidR="00E54C62">
        <w:rPr>
          <w:rFonts w:ascii="Arial" w:hAnsi="Arial" w:cs="Arial"/>
          <w:bCs/>
        </w:rPr>
        <w:t>in a position consistent with that at</w:t>
      </w:r>
      <w:r>
        <w:rPr>
          <w:rFonts w:ascii="Arial" w:hAnsi="Arial" w:cs="Arial"/>
          <w:bCs/>
        </w:rPr>
        <w:t xml:space="preserve"> point C. </w:t>
      </w:r>
    </w:p>
    <w:p w14:paraId="670C11C3" w14:textId="2DA1C1C3" w:rsidR="000707B1" w:rsidRDefault="00E54C62" w:rsidP="000707B1">
      <w:pPr>
        <w:pStyle w:val="Style1"/>
        <w:numPr>
          <w:ilvl w:val="0"/>
          <w:numId w:val="4"/>
        </w:numPr>
        <w:tabs>
          <w:tab w:val="clear" w:pos="720"/>
        </w:tabs>
        <w:rPr>
          <w:rFonts w:ascii="Arial" w:hAnsi="Arial" w:cs="Arial"/>
          <w:bCs/>
        </w:rPr>
      </w:pPr>
      <w:r>
        <w:rPr>
          <w:rFonts w:ascii="Arial" w:hAnsi="Arial" w:cs="Arial"/>
          <w:bCs/>
        </w:rPr>
        <w:t>T</w:t>
      </w:r>
      <w:r w:rsidR="000707B1">
        <w:rPr>
          <w:rFonts w:ascii="Arial" w:hAnsi="Arial" w:cs="Arial"/>
          <w:bCs/>
        </w:rPr>
        <w:t>his covenant appears likely</w:t>
      </w:r>
      <w:r>
        <w:rPr>
          <w:rFonts w:ascii="Arial" w:hAnsi="Arial" w:cs="Arial"/>
          <w:bCs/>
        </w:rPr>
        <w:t>,</w:t>
      </w:r>
      <w:r w:rsidR="000707B1">
        <w:rPr>
          <w:rFonts w:ascii="Arial" w:hAnsi="Arial" w:cs="Arial"/>
          <w:bCs/>
        </w:rPr>
        <w:t xml:space="preserve"> </w:t>
      </w:r>
      <w:r>
        <w:rPr>
          <w:rFonts w:ascii="Arial" w:hAnsi="Arial" w:cs="Arial"/>
          <w:bCs/>
        </w:rPr>
        <w:t xml:space="preserve">although no accompanying marked plan is given to the earlier conveyance, </w:t>
      </w:r>
      <w:r w:rsidR="000707B1">
        <w:rPr>
          <w:rFonts w:ascii="Arial" w:hAnsi="Arial" w:cs="Arial"/>
          <w:bCs/>
        </w:rPr>
        <w:t>to have arisen from the covenant given by the purchaser to the British Railways Board that is now found in the schedule of restrictive covenants in title number LA444612</w:t>
      </w:r>
      <w:r w:rsidR="005D599F">
        <w:rPr>
          <w:rFonts w:ascii="Arial" w:hAnsi="Arial" w:cs="Arial"/>
          <w:bCs/>
        </w:rPr>
        <w:t>, also requiring the construction and subsequent maintenance of a fence</w:t>
      </w:r>
      <w:r w:rsidR="000707B1">
        <w:rPr>
          <w:rFonts w:ascii="Arial" w:hAnsi="Arial" w:cs="Arial"/>
          <w:bCs/>
        </w:rPr>
        <w:t>.</w:t>
      </w:r>
    </w:p>
    <w:p w14:paraId="0919B99E" w14:textId="43A31CD6" w:rsidR="00864F4F" w:rsidRDefault="000707B1" w:rsidP="000707B1">
      <w:pPr>
        <w:pStyle w:val="Style1"/>
        <w:numPr>
          <w:ilvl w:val="0"/>
          <w:numId w:val="4"/>
        </w:numPr>
        <w:tabs>
          <w:tab w:val="clear" w:pos="720"/>
        </w:tabs>
        <w:rPr>
          <w:rFonts w:ascii="Arial" w:hAnsi="Arial" w:cs="Arial"/>
          <w:bCs/>
        </w:rPr>
      </w:pPr>
      <w:r>
        <w:rPr>
          <w:rFonts w:ascii="Arial" w:hAnsi="Arial" w:cs="Arial"/>
          <w:bCs/>
        </w:rPr>
        <w:t xml:space="preserve">It is plain that a fence was erected at some </w:t>
      </w:r>
      <w:r w:rsidR="00087EC5">
        <w:rPr>
          <w:rFonts w:ascii="Arial" w:hAnsi="Arial" w:cs="Arial"/>
          <w:bCs/>
        </w:rPr>
        <w:t>stage</w:t>
      </w:r>
      <w:r>
        <w:rPr>
          <w:rFonts w:ascii="Arial" w:hAnsi="Arial" w:cs="Arial"/>
          <w:bCs/>
        </w:rPr>
        <w:t>, and subsequently cut through. There is insufficient evidence before me</w:t>
      </w:r>
      <w:r w:rsidR="009F447E">
        <w:rPr>
          <w:rFonts w:ascii="Arial" w:hAnsi="Arial" w:cs="Arial"/>
          <w:bCs/>
        </w:rPr>
        <w:t xml:space="preserve"> to indicate</w:t>
      </w:r>
      <w:r>
        <w:rPr>
          <w:rFonts w:ascii="Arial" w:hAnsi="Arial" w:cs="Arial"/>
          <w:bCs/>
        </w:rPr>
        <w:t xml:space="preserve"> </w:t>
      </w:r>
      <w:r w:rsidR="005D599F">
        <w:rPr>
          <w:rFonts w:ascii="Arial" w:hAnsi="Arial" w:cs="Arial"/>
          <w:bCs/>
        </w:rPr>
        <w:t xml:space="preserve">definitively </w:t>
      </w:r>
      <w:r>
        <w:rPr>
          <w:rFonts w:ascii="Arial" w:hAnsi="Arial" w:cs="Arial"/>
          <w:bCs/>
        </w:rPr>
        <w:t xml:space="preserve">when this was. A </w:t>
      </w:r>
      <w:r w:rsidR="00F523B0">
        <w:rPr>
          <w:rFonts w:ascii="Arial" w:hAnsi="Arial" w:cs="Arial"/>
          <w:bCs/>
        </w:rPr>
        <w:t>relevant</w:t>
      </w:r>
      <w:r>
        <w:rPr>
          <w:rFonts w:ascii="Arial" w:hAnsi="Arial" w:cs="Arial"/>
          <w:bCs/>
        </w:rPr>
        <w:t xml:space="preserve"> covenant was imposed </w:t>
      </w:r>
      <w:r w:rsidR="007717FB">
        <w:rPr>
          <w:rFonts w:ascii="Arial" w:hAnsi="Arial" w:cs="Arial"/>
          <w:bCs/>
        </w:rPr>
        <w:t xml:space="preserve">on the sale of the land </w:t>
      </w:r>
      <w:r>
        <w:rPr>
          <w:rFonts w:ascii="Arial" w:hAnsi="Arial" w:cs="Arial"/>
          <w:bCs/>
        </w:rPr>
        <w:t>in 1979, and again in January 2000 on the apparent separation of the titles, but it is not clear who erected the fence, and when</w:t>
      </w:r>
      <w:r w:rsidR="00F65159">
        <w:rPr>
          <w:rFonts w:ascii="Arial" w:hAnsi="Arial" w:cs="Arial"/>
          <w:bCs/>
        </w:rPr>
        <w:t>; or who then cut it open, and when</w:t>
      </w:r>
      <w:r>
        <w:rPr>
          <w:rFonts w:ascii="Arial" w:hAnsi="Arial" w:cs="Arial"/>
          <w:bCs/>
        </w:rPr>
        <w:t xml:space="preserve">. The balance of the user evidence </w:t>
      </w:r>
      <w:r w:rsidR="005D599F">
        <w:rPr>
          <w:rFonts w:ascii="Arial" w:hAnsi="Arial" w:cs="Arial"/>
          <w:bCs/>
        </w:rPr>
        <w:t>indicates</w:t>
      </w:r>
      <w:r>
        <w:rPr>
          <w:rFonts w:ascii="Arial" w:hAnsi="Arial" w:cs="Arial"/>
          <w:bCs/>
        </w:rPr>
        <w:t xml:space="preserve"> that </w:t>
      </w:r>
      <w:r w:rsidR="00F65159">
        <w:rPr>
          <w:rFonts w:ascii="Arial" w:hAnsi="Arial" w:cs="Arial"/>
          <w:bCs/>
        </w:rPr>
        <w:t>these events took place before the relevant 20 year period</w:t>
      </w:r>
      <w:r w:rsidR="0062351A">
        <w:rPr>
          <w:rFonts w:ascii="Arial" w:hAnsi="Arial" w:cs="Arial"/>
          <w:bCs/>
        </w:rPr>
        <w:t>, and I conclude that this was probably the case.</w:t>
      </w:r>
    </w:p>
    <w:p w14:paraId="3E1B49C0" w14:textId="0C7CA691" w:rsidR="00F523B0" w:rsidRDefault="0062351A" w:rsidP="000707B1">
      <w:pPr>
        <w:pStyle w:val="Style1"/>
        <w:numPr>
          <w:ilvl w:val="0"/>
          <w:numId w:val="4"/>
        </w:numPr>
        <w:tabs>
          <w:tab w:val="clear" w:pos="720"/>
        </w:tabs>
        <w:rPr>
          <w:rFonts w:ascii="Arial" w:hAnsi="Arial" w:cs="Arial"/>
          <w:bCs/>
        </w:rPr>
      </w:pPr>
      <w:r>
        <w:rPr>
          <w:rFonts w:ascii="Arial" w:hAnsi="Arial" w:cs="Arial"/>
          <w:bCs/>
        </w:rPr>
        <w:t>There is no suggestion of the use having taken place covertly</w:t>
      </w:r>
      <w:r w:rsidR="00E053C5">
        <w:rPr>
          <w:rFonts w:ascii="Arial" w:hAnsi="Arial" w:cs="Arial"/>
          <w:bCs/>
        </w:rPr>
        <w:t xml:space="preserve">, and it does not appear to have been </w:t>
      </w:r>
      <w:r w:rsidR="00F523B0">
        <w:rPr>
          <w:rFonts w:ascii="Arial" w:hAnsi="Arial" w:cs="Arial"/>
          <w:bCs/>
        </w:rPr>
        <w:t xml:space="preserve">carried on </w:t>
      </w:r>
      <w:r w:rsidR="00E053C5">
        <w:rPr>
          <w:rFonts w:ascii="Arial" w:hAnsi="Arial" w:cs="Arial"/>
          <w:bCs/>
        </w:rPr>
        <w:t xml:space="preserve">with the permission of any landowner. The 1994 </w:t>
      </w:r>
      <w:r w:rsidR="00F523B0">
        <w:rPr>
          <w:rFonts w:ascii="Arial" w:hAnsi="Arial" w:cs="Arial"/>
          <w:bCs/>
        </w:rPr>
        <w:t xml:space="preserve">permission </w:t>
      </w:r>
      <w:r w:rsidR="00E053C5">
        <w:rPr>
          <w:rFonts w:ascii="Arial" w:hAnsi="Arial" w:cs="Arial"/>
          <w:bCs/>
        </w:rPr>
        <w:t xml:space="preserve">refers to </w:t>
      </w:r>
      <w:r w:rsidR="00A12897">
        <w:rPr>
          <w:rFonts w:ascii="Arial" w:hAnsi="Arial" w:cs="Arial"/>
          <w:bCs/>
        </w:rPr>
        <w:t xml:space="preserve">‘the applicant’s willingness to allow the public to continue to use the informal footpath along </w:t>
      </w:r>
      <w:r w:rsidR="00A12897">
        <w:rPr>
          <w:rFonts w:ascii="Arial" w:hAnsi="Arial" w:cs="Arial"/>
          <w:bCs/>
        </w:rPr>
        <w:lastRenderedPageBreak/>
        <w:t>the disused railway embankment’, and to associated correspondence and</w:t>
      </w:r>
      <w:r w:rsidR="00D36E63">
        <w:rPr>
          <w:rFonts w:ascii="Arial" w:hAnsi="Arial" w:cs="Arial"/>
          <w:bCs/>
        </w:rPr>
        <w:t xml:space="preserve"> plans that are not now available. </w:t>
      </w:r>
      <w:r w:rsidR="00936240">
        <w:rPr>
          <w:rFonts w:ascii="Arial" w:hAnsi="Arial" w:cs="Arial"/>
          <w:bCs/>
        </w:rPr>
        <w:t xml:space="preserve">This statement is found in an informative note to the permission. </w:t>
      </w:r>
    </w:p>
    <w:p w14:paraId="4E374B1D" w14:textId="77777777" w:rsidR="00BA0693" w:rsidRDefault="00936240" w:rsidP="000707B1">
      <w:pPr>
        <w:pStyle w:val="Style1"/>
        <w:numPr>
          <w:ilvl w:val="0"/>
          <w:numId w:val="4"/>
        </w:numPr>
        <w:tabs>
          <w:tab w:val="clear" w:pos="720"/>
        </w:tabs>
        <w:rPr>
          <w:rFonts w:ascii="Arial" w:hAnsi="Arial" w:cs="Arial"/>
          <w:bCs/>
        </w:rPr>
      </w:pPr>
      <w:r>
        <w:rPr>
          <w:rFonts w:ascii="Arial" w:hAnsi="Arial" w:cs="Arial"/>
          <w:bCs/>
        </w:rPr>
        <w:t xml:space="preserve">I do not understand “allow” to have been used as a term of art, and the respective understanding of anyone involved as to whether </w:t>
      </w:r>
      <w:r w:rsidR="00C23CB3">
        <w:rPr>
          <w:rFonts w:ascii="Arial" w:hAnsi="Arial" w:cs="Arial"/>
          <w:bCs/>
        </w:rPr>
        <w:t xml:space="preserve">the use was actually permissive is not clear. In any event, since that date there is no evidence of any signs having been erected, or any other means of communicating to users that their use of the route was only with the </w:t>
      </w:r>
      <w:r w:rsidR="00B03FCB">
        <w:rPr>
          <w:rFonts w:ascii="Arial" w:hAnsi="Arial" w:cs="Arial"/>
          <w:bCs/>
        </w:rPr>
        <w:t xml:space="preserve">consent of the </w:t>
      </w:r>
      <w:r w:rsidR="00C23CB3">
        <w:rPr>
          <w:rFonts w:ascii="Arial" w:hAnsi="Arial" w:cs="Arial"/>
          <w:bCs/>
        </w:rPr>
        <w:t>landowner</w:t>
      </w:r>
      <w:r w:rsidR="00664E9F">
        <w:rPr>
          <w:rFonts w:ascii="Arial" w:hAnsi="Arial" w:cs="Arial"/>
          <w:bCs/>
        </w:rPr>
        <w:t xml:space="preserve">. </w:t>
      </w:r>
      <w:r w:rsidR="000D0A9C">
        <w:rPr>
          <w:rFonts w:ascii="Arial" w:hAnsi="Arial" w:cs="Arial"/>
          <w:bCs/>
        </w:rPr>
        <w:t>None of the users of the route completing UEFs</w:t>
      </w:r>
      <w:r w:rsidR="00DA184D">
        <w:rPr>
          <w:rFonts w:ascii="Arial" w:hAnsi="Arial" w:cs="Arial"/>
          <w:bCs/>
        </w:rPr>
        <w:t xml:space="preserve"> say that their use of the route was with permission, or that their right to use it was challenged before 2019. </w:t>
      </w:r>
    </w:p>
    <w:p w14:paraId="6097B123" w14:textId="382C5748" w:rsidR="0062351A" w:rsidRDefault="00BA0693" w:rsidP="000707B1">
      <w:pPr>
        <w:pStyle w:val="Style1"/>
        <w:numPr>
          <w:ilvl w:val="0"/>
          <w:numId w:val="4"/>
        </w:numPr>
        <w:tabs>
          <w:tab w:val="clear" w:pos="720"/>
        </w:tabs>
        <w:rPr>
          <w:rFonts w:ascii="Arial" w:hAnsi="Arial" w:cs="Arial"/>
          <w:bCs/>
        </w:rPr>
      </w:pPr>
      <w:r>
        <w:rPr>
          <w:rFonts w:ascii="Arial" w:hAnsi="Arial" w:cs="Arial"/>
          <w:bCs/>
        </w:rPr>
        <w:t>Additionally, correspondence from the Managing Director of Voith</w:t>
      </w:r>
      <w:r w:rsidR="00393C57">
        <w:rPr>
          <w:rFonts w:ascii="Arial" w:hAnsi="Arial" w:cs="Arial"/>
          <w:bCs/>
        </w:rPr>
        <w:t xml:space="preserve"> from November 2019, after they had vacated the site, states that from his own knowledge, which appears to have been from 2011 to 2019, </w:t>
      </w:r>
      <w:r w:rsidR="00DA1816">
        <w:rPr>
          <w:rFonts w:ascii="Arial" w:hAnsi="Arial" w:cs="Arial"/>
          <w:bCs/>
        </w:rPr>
        <w:t xml:space="preserve">Voith did not give consent for the public to walk across the land. Although the letter refers to ‘problems’ with the public trespassing </w:t>
      </w:r>
      <w:r w:rsidR="00D361D3">
        <w:rPr>
          <w:rFonts w:ascii="Arial" w:hAnsi="Arial" w:cs="Arial"/>
          <w:bCs/>
        </w:rPr>
        <w:t xml:space="preserve">and causing damage to boundary fencing, it does not state what if any actions were taken by the landowner to countenance such problems. </w:t>
      </w:r>
      <w:r w:rsidR="00664E9F">
        <w:rPr>
          <w:rFonts w:ascii="Arial" w:hAnsi="Arial" w:cs="Arial"/>
          <w:bCs/>
        </w:rPr>
        <w:t xml:space="preserve">I therefore conclude on balance that the use was not with </w:t>
      </w:r>
      <w:r w:rsidR="001D1F0B">
        <w:rPr>
          <w:rFonts w:ascii="Arial" w:hAnsi="Arial" w:cs="Arial"/>
          <w:bCs/>
        </w:rPr>
        <w:t xml:space="preserve">the </w:t>
      </w:r>
      <w:r w:rsidR="00664E9F">
        <w:rPr>
          <w:rFonts w:ascii="Arial" w:hAnsi="Arial" w:cs="Arial"/>
          <w:bCs/>
        </w:rPr>
        <w:t>permission</w:t>
      </w:r>
      <w:r w:rsidR="001D1F0B">
        <w:rPr>
          <w:rFonts w:ascii="Arial" w:hAnsi="Arial" w:cs="Arial"/>
          <w:bCs/>
        </w:rPr>
        <w:t xml:space="preserve"> of the landowner</w:t>
      </w:r>
      <w:r w:rsidR="00664E9F">
        <w:rPr>
          <w:rFonts w:ascii="Arial" w:hAnsi="Arial" w:cs="Arial"/>
          <w:bCs/>
        </w:rPr>
        <w:t xml:space="preserve">. </w:t>
      </w:r>
    </w:p>
    <w:p w14:paraId="35CCBB7C" w14:textId="79656A00" w:rsidR="00864F4F" w:rsidRPr="00864F4F" w:rsidRDefault="00864F4F" w:rsidP="00864F4F">
      <w:pPr>
        <w:pStyle w:val="Style1"/>
        <w:ind w:left="0" w:firstLine="0"/>
        <w:rPr>
          <w:rFonts w:ascii="Arial" w:hAnsi="Arial" w:cs="Arial"/>
          <w:bCs/>
          <w:i/>
          <w:iCs/>
        </w:rPr>
      </w:pPr>
      <w:r>
        <w:rPr>
          <w:rFonts w:ascii="Arial" w:hAnsi="Arial" w:cs="Arial"/>
          <w:bCs/>
          <w:i/>
          <w:iCs/>
        </w:rPr>
        <w:t xml:space="preserve">Whether the use was interrupted, or </w:t>
      </w:r>
      <w:r w:rsidR="00423C8F">
        <w:rPr>
          <w:rFonts w:ascii="Arial" w:hAnsi="Arial" w:cs="Arial"/>
          <w:bCs/>
          <w:i/>
          <w:iCs/>
        </w:rPr>
        <w:t>there is evidence of the landowner’s lack of intention to dedicate the route</w:t>
      </w:r>
    </w:p>
    <w:p w14:paraId="788A8E3F" w14:textId="77777777" w:rsidR="0033625F" w:rsidRDefault="00563580" w:rsidP="00FA7517">
      <w:pPr>
        <w:pStyle w:val="Style1"/>
        <w:numPr>
          <w:ilvl w:val="0"/>
          <w:numId w:val="4"/>
        </w:numPr>
        <w:tabs>
          <w:tab w:val="clear" w:pos="720"/>
        </w:tabs>
        <w:rPr>
          <w:rFonts w:ascii="Arial" w:hAnsi="Arial" w:cs="Arial"/>
          <w:bCs/>
        </w:rPr>
      </w:pPr>
      <w:r>
        <w:rPr>
          <w:rFonts w:ascii="Arial" w:hAnsi="Arial" w:cs="Arial"/>
          <w:bCs/>
        </w:rPr>
        <w:t xml:space="preserve">During the relevant 20 year period there is no evidence of any interruption to the use of the route. A short interruption to the </w:t>
      </w:r>
      <w:r w:rsidR="00371471">
        <w:rPr>
          <w:rFonts w:ascii="Arial" w:hAnsi="Arial" w:cs="Arial"/>
          <w:bCs/>
        </w:rPr>
        <w:t xml:space="preserve">route’s use </w:t>
      </w:r>
      <w:r>
        <w:rPr>
          <w:rFonts w:ascii="Arial" w:hAnsi="Arial" w:cs="Arial"/>
          <w:bCs/>
        </w:rPr>
        <w:t>took place</w:t>
      </w:r>
      <w:r w:rsidR="00371471">
        <w:rPr>
          <w:rFonts w:ascii="Arial" w:hAnsi="Arial" w:cs="Arial"/>
          <w:bCs/>
        </w:rPr>
        <w:t xml:space="preserve"> when constructing the building for which planning permission was granted in 1994</w:t>
      </w:r>
      <w:r w:rsidR="00EC0BA9">
        <w:rPr>
          <w:rFonts w:ascii="Arial" w:hAnsi="Arial" w:cs="Arial"/>
          <w:bCs/>
        </w:rPr>
        <w:t xml:space="preserve">, after which the route was restored on a slightly different alignment. These events took place before the relevant 20 year period began. </w:t>
      </w:r>
    </w:p>
    <w:p w14:paraId="5988439C" w14:textId="53B3E951" w:rsidR="0009538D" w:rsidRDefault="00EC0BA9" w:rsidP="00FA7517">
      <w:pPr>
        <w:pStyle w:val="Style1"/>
        <w:numPr>
          <w:ilvl w:val="0"/>
          <w:numId w:val="4"/>
        </w:numPr>
        <w:tabs>
          <w:tab w:val="clear" w:pos="720"/>
        </w:tabs>
        <w:rPr>
          <w:rFonts w:ascii="Arial" w:hAnsi="Arial" w:cs="Arial"/>
          <w:bCs/>
        </w:rPr>
      </w:pPr>
      <w:r>
        <w:rPr>
          <w:rFonts w:ascii="Arial" w:hAnsi="Arial" w:cs="Arial"/>
          <w:bCs/>
        </w:rPr>
        <w:t>I have concluded above that the erection of the fence (and the creation of the gap within it) at point C probably took place before the start of the relevant 20 year period</w:t>
      </w:r>
      <w:r w:rsidR="0009538D">
        <w:rPr>
          <w:rFonts w:ascii="Arial" w:hAnsi="Arial" w:cs="Arial"/>
          <w:bCs/>
        </w:rPr>
        <w:t>.</w:t>
      </w:r>
      <w:r w:rsidR="00080151">
        <w:rPr>
          <w:rFonts w:ascii="Arial" w:hAnsi="Arial" w:cs="Arial"/>
          <w:bCs/>
        </w:rPr>
        <w:t xml:space="preserve"> The November 2019 correspondence from Voith’s Managing Director does not identify the particular boundary fencing that was apparently damaged</w:t>
      </w:r>
      <w:r w:rsidR="00E00E6B">
        <w:rPr>
          <w:rFonts w:ascii="Arial" w:hAnsi="Arial" w:cs="Arial"/>
          <w:bCs/>
        </w:rPr>
        <w:t>. F</w:t>
      </w:r>
      <w:r w:rsidR="00BD6D2C">
        <w:rPr>
          <w:rFonts w:ascii="Arial" w:hAnsi="Arial" w:cs="Arial"/>
          <w:bCs/>
        </w:rPr>
        <w:t>or t</w:t>
      </w:r>
      <w:r w:rsidR="00E00E6B">
        <w:rPr>
          <w:rFonts w:ascii="Arial" w:hAnsi="Arial" w:cs="Arial"/>
          <w:bCs/>
        </w:rPr>
        <w:t>his damage</w:t>
      </w:r>
      <w:r w:rsidR="00BD6D2C">
        <w:rPr>
          <w:rFonts w:ascii="Arial" w:hAnsi="Arial" w:cs="Arial"/>
          <w:bCs/>
        </w:rPr>
        <w:t xml:space="preserve"> to have been at point C during his time managing the site after 2011 is not consistent with the balance of the user evidence</w:t>
      </w:r>
      <w:r w:rsidR="002A4709">
        <w:rPr>
          <w:rFonts w:ascii="Arial" w:hAnsi="Arial" w:cs="Arial"/>
          <w:bCs/>
        </w:rPr>
        <w:t xml:space="preserve"> which all indicates the creation of the gap much earlier than that</w:t>
      </w:r>
      <w:r w:rsidR="00BD6D2C">
        <w:rPr>
          <w:rFonts w:ascii="Arial" w:hAnsi="Arial" w:cs="Arial"/>
          <w:bCs/>
        </w:rPr>
        <w:t>. I</w:t>
      </w:r>
      <w:r w:rsidR="00E00E6B">
        <w:rPr>
          <w:rFonts w:ascii="Arial" w:hAnsi="Arial" w:cs="Arial"/>
          <w:bCs/>
        </w:rPr>
        <w:t xml:space="preserve"> expect he was referring to other boundary fencing. </w:t>
      </w:r>
    </w:p>
    <w:p w14:paraId="7D0B0B2A" w14:textId="59A70BF0" w:rsidR="00FA7517" w:rsidRPr="00FA7517" w:rsidRDefault="0009538D" w:rsidP="00FA7517">
      <w:pPr>
        <w:pStyle w:val="Style1"/>
        <w:numPr>
          <w:ilvl w:val="0"/>
          <w:numId w:val="4"/>
        </w:numPr>
        <w:tabs>
          <w:tab w:val="clear" w:pos="720"/>
        </w:tabs>
        <w:rPr>
          <w:rFonts w:ascii="Arial" w:hAnsi="Arial" w:cs="Arial"/>
          <w:bCs/>
        </w:rPr>
      </w:pPr>
      <w:r>
        <w:rPr>
          <w:rFonts w:ascii="Arial" w:hAnsi="Arial" w:cs="Arial"/>
          <w:bCs/>
        </w:rPr>
        <w:t xml:space="preserve">The reports of the landowner’s communications </w:t>
      </w:r>
      <w:r w:rsidR="00C720FD">
        <w:rPr>
          <w:rFonts w:ascii="Arial" w:hAnsi="Arial" w:cs="Arial"/>
          <w:bCs/>
        </w:rPr>
        <w:t>upon acquiring the site</w:t>
      </w:r>
      <w:r w:rsidR="00FF525D">
        <w:rPr>
          <w:rFonts w:ascii="Arial" w:hAnsi="Arial" w:cs="Arial"/>
          <w:bCs/>
        </w:rPr>
        <w:t xml:space="preserve"> in May 2019 are some evidence of the landowner’s lack of intention to dedicate the route during the last months of the relevant 20 year period. </w:t>
      </w:r>
      <w:r w:rsidR="002B7BC2">
        <w:rPr>
          <w:rFonts w:ascii="Arial" w:hAnsi="Arial" w:cs="Arial"/>
          <w:bCs/>
        </w:rPr>
        <w:t xml:space="preserve">I do not consider this to be sufficient evidence of a lack of intention, however, for the same reasons that I do not consider that the public’s right to use the route was called into </w:t>
      </w:r>
      <w:r w:rsidR="009C7C09">
        <w:rPr>
          <w:rFonts w:ascii="Arial" w:hAnsi="Arial" w:cs="Arial"/>
          <w:bCs/>
        </w:rPr>
        <w:t xml:space="preserve">question until the path was closed on 8 November 2019. </w:t>
      </w:r>
    </w:p>
    <w:p w14:paraId="47F85E5D" w14:textId="2F0C1193" w:rsidR="00CE4E55" w:rsidRPr="001F4FE6" w:rsidRDefault="00CE4E55" w:rsidP="00FA7517">
      <w:pPr>
        <w:pStyle w:val="Style1"/>
        <w:ind w:left="0" w:firstLine="0"/>
        <w:rPr>
          <w:rFonts w:ascii="Arial" w:hAnsi="Arial" w:cs="Arial"/>
          <w:b/>
        </w:rPr>
      </w:pPr>
      <w:r w:rsidRPr="001F4FE6">
        <w:rPr>
          <w:rFonts w:ascii="Arial" w:hAnsi="Arial" w:cs="Arial"/>
          <w:b/>
        </w:rPr>
        <w:t>Conclusion</w:t>
      </w:r>
    </w:p>
    <w:p w14:paraId="309393F4" w14:textId="3B2527DA" w:rsidR="00D413FB" w:rsidRDefault="00D413FB" w:rsidP="00CE4E55">
      <w:pPr>
        <w:pStyle w:val="Style1"/>
        <w:numPr>
          <w:ilvl w:val="0"/>
          <w:numId w:val="4"/>
        </w:numPr>
        <w:tabs>
          <w:tab w:val="clear" w:pos="720"/>
        </w:tabs>
        <w:rPr>
          <w:rFonts w:ascii="Arial" w:hAnsi="Arial" w:cs="Arial"/>
        </w:rPr>
      </w:pPr>
      <w:r>
        <w:rPr>
          <w:rFonts w:ascii="Arial" w:hAnsi="Arial" w:cs="Arial"/>
        </w:rPr>
        <w:t xml:space="preserve">I conclude that in this case the Order route is a way the character and use of which may give rise to a presumption of dedication. </w:t>
      </w:r>
      <w:r w:rsidR="007E4CB9">
        <w:rPr>
          <w:rFonts w:ascii="Arial" w:hAnsi="Arial" w:cs="Arial"/>
        </w:rPr>
        <w:t xml:space="preserve">The user evidence is sufficient and when taken as a whole shows, on the balance of probabilities, that a right of way of public footpath status subsists along the </w:t>
      </w:r>
      <w:r w:rsidR="00A4395A">
        <w:rPr>
          <w:rFonts w:ascii="Arial" w:hAnsi="Arial" w:cs="Arial"/>
        </w:rPr>
        <w:t>route.</w:t>
      </w:r>
    </w:p>
    <w:p w14:paraId="1E48F206" w14:textId="14DB8867" w:rsidR="00CE4E55" w:rsidRDefault="0075216B" w:rsidP="00CE4E55">
      <w:pPr>
        <w:pStyle w:val="Style1"/>
        <w:numPr>
          <w:ilvl w:val="0"/>
          <w:numId w:val="4"/>
        </w:numPr>
        <w:tabs>
          <w:tab w:val="clear" w:pos="720"/>
        </w:tabs>
        <w:rPr>
          <w:rFonts w:ascii="Arial" w:hAnsi="Arial" w:cs="Arial"/>
        </w:rPr>
      </w:pPr>
      <w:r>
        <w:rPr>
          <w:rFonts w:ascii="Arial" w:hAnsi="Arial" w:cs="Arial"/>
        </w:rPr>
        <w:t xml:space="preserve">For the reasons given above and having regard to all the matters raised in the written representations before me, </w:t>
      </w:r>
      <w:r w:rsidR="00CE4E55">
        <w:rPr>
          <w:rFonts w:ascii="Arial" w:hAnsi="Arial" w:cs="Arial"/>
        </w:rPr>
        <w:t xml:space="preserve">I conclude that the Order </w:t>
      </w:r>
      <w:r w:rsidR="00A4395A">
        <w:rPr>
          <w:rFonts w:ascii="Arial" w:hAnsi="Arial" w:cs="Arial"/>
        </w:rPr>
        <w:t>should be confirmed</w:t>
      </w:r>
      <w:r w:rsidR="00CE4E55">
        <w:rPr>
          <w:rFonts w:ascii="Arial" w:hAnsi="Arial" w:cs="Arial"/>
        </w:rPr>
        <w:t xml:space="preserve">. </w:t>
      </w:r>
    </w:p>
    <w:p w14:paraId="6F799AA8" w14:textId="77777777" w:rsidR="00CE4E55" w:rsidRDefault="00CE4E55" w:rsidP="00CE4E55">
      <w:pPr>
        <w:pStyle w:val="Style1"/>
        <w:ind w:left="0" w:firstLine="0"/>
        <w:rPr>
          <w:rFonts w:ascii="Arial" w:hAnsi="Arial" w:cs="Arial"/>
          <w:b/>
          <w:bCs/>
        </w:rPr>
      </w:pPr>
      <w:r>
        <w:rPr>
          <w:rFonts w:ascii="Arial" w:hAnsi="Arial" w:cs="Arial"/>
          <w:b/>
          <w:bCs/>
        </w:rPr>
        <w:t>Formal Decision</w:t>
      </w:r>
    </w:p>
    <w:p w14:paraId="272F0E00" w14:textId="1BFFDCD4" w:rsidR="00CE4E55" w:rsidRPr="00AA060E" w:rsidRDefault="0075216B" w:rsidP="00CE4E55">
      <w:pPr>
        <w:pStyle w:val="Style1"/>
        <w:numPr>
          <w:ilvl w:val="0"/>
          <w:numId w:val="4"/>
        </w:numPr>
        <w:tabs>
          <w:tab w:val="clear" w:pos="720"/>
        </w:tabs>
        <w:rPr>
          <w:rFonts w:ascii="Arial" w:hAnsi="Arial" w:cs="Arial"/>
        </w:rPr>
      </w:pPr>
      <w:r>
        <w:rPr>
          <w:rFonts w:ascii="Arial" w:hAnsi="Arial" w:cs="Arial"/>
        </w:rPr>
        <w:t>I confirm the</w:t>
      </w:r>
      <w:r w:rsidR="00CE4E55" w:rsidRPr="00AA060E">
        <w:rPr>
          <w:rFonts w:ascii="Arial" w:hAnsi="Arial" w:cs="Arial"/>
        </w:rPr>
        <w:t xml:space="preserve"> Order.</w:t>
      </w:r>
    </w:p>
    <w:p w14:paraId="5338F04A" w14:textId="77777777" w:rsidR="00CE4E55" w:rsidRPr="00B24C4B" w:rsidRDefault="00CE4E55" w:rsidP="00F72F24">
      <w:pPr>
        <w:pStyle w:val="Style1"/>
        <w:spacing w:before="120"/>
        <w:ind w:left="0" w:firstLine="0"/>
        <w:rPr>
          <w:rFonts w:ascii="Monotype Corsiva" w:hAnsi="Monotype Corsiva" w:cs="Arial"/>
          <w:sz w:val="36"/>
          <w:szCs w:val="36"/>
        </w:rPr>
      </w:pPr>
      <w:r>
        <w:rPr>
          <w:rFonts w:ascii="Monotype Corsiva" w:hAnsi="Monotype Corsiva" w:cs="Arial"/>
          <w:sz w:val="36"/>
          <w:szCs w:val="36"/>
        </w:rPr>
        <w:t xml:space="preserve">Laura Renaudon </w:t>
      </w:r>
    </w:p>
    <w:p w14:paraId="1804DCFB" w14:textId="170356D2" w:rsidR="00E97B50" w:rsidRDefault="00CE4E55" w:rsidP="00F72F24">
      <w:pPr>
        <w:pStyle w:val="Style1"/>
        <w:spacing w:before="120"/>
        <w:ind w:left="0" w:firstLine="0"/>
      </w:pPr>
      <w:r>
        <w:rPr>
          <w:rFonts w:ascii="Arial" w:hAnsi="Arial" w:cs="Arial"/>
        </w:rPr>
        <w:t>INSPECTOR</w:t>
      </w:r>
      <w:r w:rsidR="00E97B50">
        <w:br w:type="page"/>
      </w:r>
    </w:p>
    <w:p w14:paraId="0E866329" w14:textId="72247731" w:rsidR="00E97B50" w:rsidRDefault="00E97B50">
      <w:pPr>
        <w:rPr>
          <w:b/>
          <w:bCs/>
        </w:rPr>
      </w:pPr>
      <w:r>
        <w:rPr>
          <w:b/>
          <w:bCs/>
        </w:rPr>
        <w:lastRenderedPageBreak/>
        <w:t xml:space="preserve">THE ORDER </w:t>
      </w:r>
      <w:r w:rsidR="006C6874">
        <w:rPr>
          <w:b/>
          <w:bCs/>
        </w:rPr>
        <w:t>MAP</w:t>
      </w:r>
    </w:p>
    <w:p w14:paraId="436FC701" w14:textId="77777777" w:rsidR="00A50826" w:rsidRDefault="00A50826">
      <w:pPr>
        <w:rPr>
          <w:b/>
          <w:bCs/>
        </w:rPr>
      </w:pPr>
    </w:p>
    <w:p w14:paraId="5C90FB56" w14:textId="2E7C73D0" w:rsidR="00BF33B5" w:rsidRDefault="00BF33B5">
      <w:pPr>
        <w:rPr>
          <w:b/>
          <w:bCs/>
        </w:rPr>
      </w:pPr>
      <w:r w:rsidRPr="00BF33B5">
        <w:rPr>
          <w:b/>
          <w:bCs/>
          <w:noProof/>
        </w:rPr>
        <w:drawing>
          <wp:inline distT="0" distB="0" distL="0" distR="0" wp14:anchorId="7773D085" wp14:editId="73A96A57">
            <wp:extent cx="5454930" cy="7893456"/>
            <wp:effectExtent l="0" t="0" r="0" b="0"/>
            <wp:docPr id="1063313192" name="Picture 1"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13192" name="Picture 1" descr="ORDER MAP 1"/>
                    <pic:cNvPicPr/>
                  </pic:nvPicPr>
                  <pic:blipFill>
                    <a:blip r:embed="rId11"/>
                    <a:stretch>
                      <a:fillRect/>
                    </a:stretch>
                  </pic:blipFill>
                  <pic:spPr>
                    <a:xfrm>
                      <a:off x="0" y="0"/>
                      <a:ext cx="5454930" cy="7893456"/>
                    </a:xfrm>
                    <a:prstGeom prst="rect">
                      <a:avLst/>
                    </a:prstGeom>
                  </pic:spPr>
                </pic:pic>
              </a:graphicData>
            </a:graphic>
          </wp:inline>
        </w:drawing>
      </w:r>
    </w:p>
    <w:p w14:paraId="00504EFA" w14:textId="77777777" w:rsidR="00BF33B5" w:rsidRPr="00BF33B5" w:rsidRDefault="00BF33B5" w:rsidP="00BF33B5"/>
    <w:p w14:paraId="29CECE2C" w14:textId="77777777" w:rsidR="00BF33B5" w:rsidRPr="00BF33B5" w:rsidRDefault="00BF33B5" w:rsidP="00BF33B5"/>
    <w:p w14:paraId="04563F69" w14:textId="77777777" w:rsidR="00BF33B5" w:rsidRDefault="00BF33B5" w:rsidP="00BF33B5">
      <w:pPr>
        <w:rPr>
          <w:b/>
          <w:bCs/>
        </w:rPr>
      </w:pPr>
    </w:p>
    <w:p w14:paraId="41F3F205" w14:textId="2EF19C7B" w:rsidR="00BF33B5" w:rsidRDefault="00BF33B5" w:rsidP="00BF33B5">
      <w:pPr>
        <w:tabs>
          <w:tab w:val="left" w:pos="1955"/>
        </w:tabs>
      </w:pPr>
      <w:r>
        <w:tab/>
      </w:r>
    </w:p>
    <w:p w14:paraId="5FCE6EC5" w14:textId="77777777" w:rsidR="00BF33B5" w:rsidRDefault="00BF33B5">
      <w:pPr>
        <w:spacing w:after="160" w:line="259" w:lineRule="auto"/>
      </w:pPr>
    </w:p>
    <w:p w14:paraId="060CF56D" w14:textId="73C9279A" w:rsidR="00BF33B5" w:rsidRDefault="004E0808">
      <w:pPr>
        <w:spacing w:after="160" w:line="259" w:lineRule="auto"/>
      </w:pPr>
      <w:r w:rsidRPr="004E0808">
        <w:rPr>
          <w:noProof/>
        </w:rPr>
        <w:drawing>
          <wp:inline distT="0" distB="0" distL="0" distR="0" wp14:anchorId="11185F96" wp14:editId="3C82DB5C">
            <wp:extent cx="5702593" cy="8020462"/>
            <wp:effectExtent l="0" t="0" r="0" b="0"/>
            <wp:docPr id="736480334" name="Picture 1"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80334" name="Picture 1" descr="ORDER MAP 2"/>
                    <pic:cNvPicPr/>
                  </pic:nvPicPr>
                  <pic:blipFill>
                    <a:blip r:embed="rId12"/>
                    <a:stretch>
                      <a:fillRect/>
                    </a:stretch>
                  </pic:blipFill>
                  <pic:spPr>
                    <a:xfrm>
                      <a:off x="0" y="0"/>
                      <a:ext cx="5702593" cy="8020462"/>
                    </a:xfrm>
                    <a:prstGeom prst="rect">
                      <a:avLst/>
                    </a:prstGeom>
                  </pic:spPr>
                </pic:pic>
              </a:graphicData>
            </a:graphic>
          </wp:inline>
        </w:drawing>
      </w:r>
    </w:p>
    <w:p w14:paraId="62ECBBE8" w14:textId="77777777" w:rsidR="00BF33B5" w:rsidRPr="00BF33B5" w:rsidRDefault="00BF33B5" w:rsidP="00BF33B5">
      <w:pPr>
        <w:tabs>
          <w:tab w:val="left" w:pos="1955"/>
        </w:tabs>
      </w:pPr>
    </w:p>
    <w:sectPr w:rsidR="00BF33B5" w:rsidRPr="00BF33B5" w:rsidSect="00CE4E55">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382CB" w14:textId="77777777" w:rsidR="00733A57" w:rsidRDefault="00733A57">
      <w:r>
        <w:separator/>
      </w:r>
    </w:p>
  </w:endnote>
  <w:endnote w:type="continuationSeparator" w:id="0">
    <w:p w14:paraId="2157F6ED" w14:textId="77777777" w:rsidR="00733A57" w:rsidRDefault="0073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C555F" w14:textId="77777777" w:rsidR="00CE4E55" w:rsidRDefault="00CE4E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53C42C" w14:textId="77777777" w:rsidR="00CE4E55" w:rsidRDefault="00CE4E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B138" w14:textId="77777777" w:rsidR="00CE4E55" w:rsidRDefault="00CE4E5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5F158A39" wp14:editId="5864A68A">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984AC"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A365DF" w14:textId="77777777" w:rsidR="00CE4E55" w:rsidRPr="00E45340" w:rsidRDefault="00CE4E55" w:rsidP="00E45340">
    <w:pPr>
      <w:pStyle w:val="Footer"/>
      <w:ind w:right="-52"/>
      <w:rPr>
        <w:sz w:val="16"/>
        <w:szCs w:val="16"/>
      </w:rPr>
    </w:pPr>
    <w:hyperlink r:id="rId1" w:history="1">
      <w:r w:rsidRPr="00026922">
        <w:rPr>
          <w:rStyle w:val="Hyperlink"/>
          <w:sz w:val="16"/>
          <w:szCs w:val="16"/>
        </w:rPr>
        <w:t>https://www.gov.uk/planning-inspectorate</w:t>
      </w:r>
    </w:hyperlink>
    <w:r>
      <w:rPr>
        <w:sz w:val="16"/>
        <w:szCs w:val="16"/>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02EB" w14:textId="77777777" w:rsidR="00CE4E55" w:rsidRDefault="00CE4E55" w:rsidP="003C3FF8">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0C0E62C" wp14:editId="434AEC7E">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3E873"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24FB590" w14:textId="77777777" w:rsidR="00CE4E55" w:rsidRPr="00451EE4" w:rsidRDefault="00CE4E55">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85274" w14:textId="77777777" w:rsidR="00733A57" w:rsidRDefault="00733A57">
      <w:r>
        <w:separator/>
      </w:r>
    </w:p>
  </w:footnote>
  <w:footnote w:type="continuationSeparator" w:id="0">
    <w:p w14:paraId="0BE65EF4" w14:textId="77777777" w:rsidR="00733A57" w:rsidRDefault="00733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E4E55" w14:paraId="06C1343B" w14:textId="77777777">
      <w:tc>
        <w:tcPr>
          <w:tcW w:w="9520" w:type="dxa"/>
        </w:tcPr>
        <w:p w14:paraId="3074AA97" w14:textId="17D79DF5" w:rsidR="00C06B8C" w:rsidRDefault="004850B7">
          <w:pPr>
            <w:pStyle w:val="Footer"/>
          </w:pPr>
          <w:r>
            <w:t>Order</w:t>
          </w:r>
          <w:r w:rsidR="00CE4E55">
            <w:t xml:space="preserve"> Decision ROW/33</w:t>
          </w:r>
          <w:r w:rsidR="001F4FE6">
            <w:t>62996</w:t>
          </w:r>
        </w:p>
      </w:tc>
    </w:tr>
  </w:tbl>
  <w:p w14:paraId="3CFD78F3" w14:textId="77777777" w:rsidR="00CE4E55" w:rsidRDefault="00CE4E55" w:rsidP="00087477">
    <w:pPr>
      <w:pStyle w:val="Footer"/>
      <w:spacing w:after="180"/>
    </w:pPr>
    <w:r>
      <w:rPr>
        <w:noProof/>
      </w:rPr>
      <mc:AlternateContent>
        <mc:Choice Requires="wps">
          <w:drawing>
            <wp:anchor distT="0" distB="0" distL="114300" distR="114300" simplePos="0" relativeHeight="251658752" behindDoc="0" locked="0" layoutInCell="1" allowOverlap="1" wp14:anchorId="5965142A" wp14:editId="15C36953">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7F3B7"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E350" w14:textId="77777777" w:rsidR="00CE4E55" w:rsidRDefault="00CE4E5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D7A15"/>
    <w:multiLevelType w:val="multilevel"/>
    <w:tmpl w:val="98183D82"/>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5B7639F"/>
    <w:multiLevelType w:val="multilevel"/>
    <w:tmpl w:val="A22611FC"/>
    <w:numStyleLink w:val="ConditionsList"/>
  </w:abstractNum>
  <w:abstractNum w:abstractNumId="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660504079">
    <w:abstractNumId w:val="3"/>
  </w:num>
  <w:num w:numId="2" w16cid:durableId="689457646">
    <w:abstractNumId w:val="1"/>
  </w:num>
  <w:num w:numId="3" w16cid:durableId="64308365">
    <w:abstractNumId w:val="0"/>
  </w:num>
  <w:num w:numId="4" w16cid:durableId="43918660">
    <w:abstractNumId w:val="0"/>
    <w:lvlOverride w:ilvl="0">
      <w:lvl w:ilvl="0">
        <w:start w:val="1"/>
        <w:numFmt w:val="decimal"/>
        <w:lvlText w:val="%1."/>
        <w:lvlJc w:val="left"/>
        <w:pPr>
          <w:tabs>
            <w:tab w:val="num" w:pos="720"/>
          </w:tabs>
          <w:ind w:left="431" w:hanging="431"/>
        </w:pPr>
        <w:rPr>
          <w:rFonts w:hint="default"/>
          <w:sz w:val="22"/>
          <w:szCs w:val="22"/>
        </w:rPr>
      </w:lvl>
    </w:lvlOverride>
  </w:num>
  <w:num w:numId="5" w16cid:durableId="1377703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914"/>
    <w:rsid w:val="00004D2B"/>
    <w:rsid w:val="00006583"/>
    <w:rsid w:val="0002242A"/>
    <w:rsid w:val="00030587"/>
    <w:rsid w:val="00035A3D"/>
    <w:rsid w:val="000407F1"/>
    <w:rsid w:val="00043B49"/>
    <w:rsid w:val="000707B1"/>
    <w:rsid w:val="00080151"/>
    <w:rsid w:val="00087EC5"/>
    <w:rsid w:val="0009538D"/>
    <w:rsid w:val="000B79D4"/>
    <w:rsid w:val="000C52AD"/>
    <w:rsid w:val="000D0A9C"/>
    <w:rsid w:val="000D27C1"/>
    <w:rsid w:val="000E12C6"/>
    <w:rsid w:val="000E35A8"/>
    <w:rsid w:val="000E6C55"/>
    <w:rsid w:val="000F3456"/>
    <w:rsid w:val="000F39A6"/>
    <w:rsid w:val="00100DBD"/>
    <w:rsid w:val="001170E3"/>
    <w:rsid w:val="00120BAC"/>
    <w:rsid w:val="00127791"/>
    <w:rsid w:val="00131555"/>
    <w:rsid w:val="00140472"/>
    <w:rsid w:val="00143611"/>
    <w:rsid w:val="00151463"/>
    <w:rsid w:val="0015229D"/>
    <w:rsid w:val="00152FD6"/>
    <w:rsid w:val="00162BC8"/>
    <w:rsid w:val="00173593"/>
    <w:rsid w:val="001765FD"/>
    <w:rsid w:val="00181A8B"/>
    <w:rsid w:val="001865BD"/>
    <w:rsid w:val="00195DD6"/>
    <w:rsid w:val="00196699"/>
    <w:rsid w:val="001A2337"/>
    <w:rsid w:val="001A609C"/>
    <w:rsid w:val="001C04D9"/>
    <w:rsid w:val="001D1F0B"/>
    <w:rsid w:val="001D6682"/>
    <w:rsid w:val="001F4FE6"/>
    <w:rsid w:val="001F6B79"/>
    <w:rsid w:val="002035F9"/>
    <w:rsid w:val="002145BA"/>
    <w:rsid w:val="002248EB"/>
    <w:rsid w:val="00226442"/>
    <w:rsid w:val="002270ED"/>
    <w:rsid w:val="0023045D"/>
    <w:rsid w:val="00235CB4"/>
    <w:rsid w:val="00240036"/>
    <w:rsid w:val="00251F18"/>
    <w:rsid w:val="002609B5"/>
    <w:rsid w:val="00267D75"/>
    <w:rsid w:val="0028126D"/>
    <w:rsid w:val="00281D47"/>
    <w:rsid w:val="002A4709"/>
    <w:rsid w:val="002A7F3C"/>
    <w:rsid w:val="002B7BC2"/>
    <w:rsid w:val="002D39BA"/>
    <w:rsid w:val="002E1872"/>
    <w:rsid w:val="002E2883"/>
    <w:rsid w:val="002E41EC"/>
    <w:rsid w:val="002F0A18"/>
    <w:rsid w:val="002F1853"/>
    <w:rsid w:val="00302645"/>
    <w:rsid w:val="00306F55"/>
    <w:rsid w:val="0032124A"/>
    <w:rsid w:val="0033625F"/>
    <w:rsid w:val="00340A64"/>
    <w:rsid w:val="00342483"/>
    <w:rsid w:val="003439A7"/>
    <w:rsid w:val="00353140"/>
    <w:rsid w:val="00356D31"/>
    <w:rsid w:val="0036100E"/>
    <w:rsid w:val="00370A97"/>
    <w:rsid w:val="00371471"/>
    <w:rsid w:val="0037321D"/>
    <w:rsid w:val="00375D62"/>
    <w:rsid w:val="0038500E"/>
    <w:rsid w:val="00390429"/>
    <w:rsid w:val="003906C3"/>
    <w:rsid w:val="00393C57"/>
    <w:rsid w:val="003A4004"/>
    <w:rsid w:val="003B63D8"/>
    <w:rsid w:val="003C0914"/>
    <w:rsid w:val="003D100F"/>
    <w:rsid w:val="003F2304"/>
    <w:rsid w:val="003F26AE"/>
    <w:rsid w:val="00421D38"/>
    <w:rsid w:val="00423C8F"/>
    <w:rsid w:val="00464052"/>
    <w:rsid w:val="004650E2"/>
    <w:rsid w:val="00484D84"/>
    <w:rsid w:val="004850B7"/>
    <w:rsid w:val="004A1AC4"/>
    <w:rsid w:val="004A4B94"/>
    <w:rsid w:val="004B4762"/>
    <w:rsid w:val="004B7DDC"/>
    <w:rsid w:val="004C2537"/>
    <w:rsid w:val="004C6686"/>
    <w:rsid w:val="004C7849"/>
    <w:rsid w:val="004D2807"/>
    <w:rsid w:val="004D632E"/>
    <w:rsid w:val="004E0808"/>
    <w:rsid w:val="004E10E3"/>
    <w:rsid w:val="004E6013"/>
    <w:rsid w:val="004E7404"/>
    <w:rsid w:val="004E7CD9"/>
    <w:rsid w:val="00515B6C"/>
    <w:rsid w:val="005175B4"/>
    <w:rsid w:val="00524849"/>
    <w:rsid w:val="005259FC"/>
    <w:rsid w:val="00552DC5"/>
    <w:rsid w:val="00562194"/>
    <w:rsid w:val="00563209"/>
    <w:rsid w:val="00563580"/>
    <w:rsid w:val="0057214A"/>
    <w:rsid w:val="00583B05"/>
    <w:rsid w:val="00590F10"/>
    <w:rsid w:val="00591B18"/>
    <w:rsid w:val="00591B83"/>
    <w:rsid w:val="005940FB"/>
    <w:rsid w:val="005979F4"/>
    <w:rsid w:val="00597B15"/>
    <w:rsid w:val="005A7EED"/>
    <w:rsid w:val="005B174A"/>
    <w:rsid w:val="005D599F"/>
    <w:rsid w:val="005E183A"/>
    <w:rsid w:val="005E3A65"/>
    <w:rsid w:val="005E427E"/>
    <w:rsid w:val="005E4B13"/>
    <w:rsid w:val="005E4CDE"/>
    <w:rsid w:val="005F19F2"/>
    <w:rsid w:val="005F1B7E"/>
    <w:rsid w:val="00600B30"/>
    <w:rsid w:val="00615832"/>
    <w:rsid w:val="0062351A"/>
    <w:rsid w:val="00641384"/>
    <w:rsid w:val="006446BF"/>
    <w:rsid w:val="00646488"/>
    <w:rsid w:val="0064744B"/>
    <w:rsid w:val="00651165"/>
    <w:rsid w:val="00664E9F"/>
    <w:rsid w:val="00665681"/>
    <w:rsid w:val="00672417"/>
    <w:rsid w:val="006742EE"/>
    <w:rsid w:val="006834C6"/>
    <w:rsid w:val="00686F01"/>
    <w:rsid w:val="00690D5B"/>
    <w:rsid w:val="00697B49"/>
    <w:rsid w:val="006A3B2F"/>
    <w:rsid w:val="006B0D15"/>
    <w:rsid w:val="006B6BD2"/>
    <w:rsid w:val="006C6874"/>
    <w:rsid w:val="006D3A1E"/>
    <w:rsid w:val="006E2845"/>
    <w:rsid w:val="006E6A4B"/>
    <w:rsid w:val="006E6E81"/>
    <w:rsid w:val="006F01D3"/>
    <w:rsid w:val="006F55E1"/>
    <w:rsid w:val="00702214"/>
    <w:rsid w:val="00733A57"/>
    <w:rsid w:val="00743297"/>
    <w:rsid w:val="007434CD"/>
    <w:rsid w:val="007441B5"/>
    <w:rsid w:val="00746E09"/>
    <w:rsid w:val="007473AD"/>
    <w:rsid w:val="00747B83"/>
    <w:rsid w:val="0075216B"/>
    <w:rsid w:val="00752F1B"/>
    <w:rsid w:val="007717FB"/>
    <w:rsid w:val="00785D90"/>
    <w:rsid w:val="00785EED"/>
    <w:rsid w:val="00793A60"/>
    <w:rsid w:val="007A38E6"/>
    <w:rsid w:val="007A3FF1"/>
    <w:rsid w:val="007B0B03"/>
    <w:rsid w:val="007B69A6"/>
    <w:rsid w:val="007B7901"/>
    <w:rsid w:val="007C3110"/>
    <w:rsid w:val="007D21DD"/>
    <w:rsid w:val="007D40E3"/>
    <w:rsid w:val="007E2B03"/>
    <w:rsid w:val="007E3D3D"/>
    <w:rsid w:val="007E4CB9"/>
    <w:rsid w:val="007E5C9B"/>
    <w:rsid w:val="0080276A"/>
    <w:rsid w:val="00805784"/>
    <w:rsid w:val="0080710C"/>
    <w:rsid w:val="008174D8"/>
    <w:rsid w:val="0085041B"/>
    <w:rsid w:val="00860F85"/>
    <w:rsid w:val="00864F4F"/>
    <w:rsid w:val="00874DF7"/>
    <w:rsid w:val="0087516E"/>
    <w:rsid w:val="00880C72"/>
    <w:rsid w:val="0088682F"/>
    <w:rsid w:val="008C2924"/>
    <w:rsid w:val="008C3ADE"/>
    <w:rsid w:val="008C69F6"/>
    <w:rsid w:val="008D3987"/>
    <w:rsid w:val="008D62E6"/>
    <w:rsid w:val="008D6A17"/>
    <w:rsid w:val="008E67AF"/>
    <w:rsid w:val="008E7597"/>
    <w:rsid w:val="00900D2E"/>
    <w:rsid w:val="00907398"/>
    <w:rsid w:val="0091249D"/>
    <w:rsid w:val="00916E6E"/>
    <w:rsid w:val="0092162B"/>
    <w:rsid w:val="00922A6F"/>
    <w:rsid w:val="00934C4B"/>
    <w:rsid w:val="00936240"/>
    <w:rsid w:val="00953D68"/>
    <w:rsid w:val="00954106"/>
    <w:rsid w:val="00954174"/>
    <w:rsid w:val="00980492"/>
    <w:rsid w:val="00995FB4"/>
    <w:rsid w:val="009A74C3"/>
    <w:rsid w:val="009C3441"/>
    <w:rsid w:val="009C7C09"/>
    <w:rsid w:val="009D4B88"/>
    <w:rsid w:val="009D518F"/>
    <w:rsid w:val="009E04DE"/>
    <w:rsid w:val="009E7180"/>
    <w:rsid w:val="009F15D1"/>
    <w:rsid w:val="009F447E"/>
    <w:rsid w:val="00A061BB"/>
    <w:rsid w:val="00A067A5"/>
    <w:rsid w:val="00A06E72"/>
    <w:rsid w:val="00A10787"/>
    <w:rsid w:val="00A12897"/>
    <w:rsid w:val="00A20FDC"/>
    <w:rsid w:val="00A26A70"/>
    <w:rsid w:val="00A30091"/>
    <w:rsid w:val="00A34DF9"/>
    <w:rsid w:val="00A4395A"/>
    <w:rsid w:val="00A50826"/>
    <w:rsid w:val="00A62864"/>
    <w:rsid w:val="00A95234"/>
    <w:rsid w:val="00A96C7C"/>
    <w:rsid w:val="00AA06D6"/>
    <w:rsid w:val="00AA3A19"/>
    <w:rsid w:val="00AB7257"/>
    <w:rsid w:val="00AC2351"/>
    <w:rsid w:val="00AC7E00"/>
    <w:rsid w:val="00AE0338"/>
    <w:rsid w:val="00AE0DF2"/>
    <w:rsid w:val="00AE506F"/>
    <w:rsid w:val="00AF6115"/>
    <w:rsid w:val="00B03FCB"/>
    <w:rsid w:val="00B11602"/>
    <w:rsid w:val="00B144BE"/>
    <w:rsid w:val="00B14AC6"/>
    <w:rsid w:val="00B21F29"/>
    <w:rsid w:val="00B231C4"/>
    <w:rsid w:val="00B6199D"/>
    <w:rsid w:val="00B71BDD"/>
    <w:rsid w:val="00B73CDD"/>
    <w:rsid w:val="00B753CB"/>
    <w:rsid w:val="00B7791B"/>
    <w:rsid w:val="00B82771"/>
    <w:rsid w:val="00B873F0"/>
    <w:rsid w:val="00BA0693"/>
    <w:rsid w:val="00BA4A3E"/>
    <w:rsid w:val="00BA69D1"/>
    <w:rsid w:val="00BB0052"/>
    <w:rsid w:val="00BB09E3"/>
    <w:rsid w:val="00BB4AA9"/>
    <w:rsid w:val="00BB50D9"/>
    <w:rsid w:val="00BB5863"/>
    <w:rsid w:val="00BC6C0E"/>
    <w:rsid w:val="00BD6D2C"/>
    <w:rsid w:val="00BE095C"/>
    <w:rsid w:val="00BF0F11"/>
    <w:rsid w:val="00BF33B5"/>
    <w:rsid w:val="00C01AD6"/>
    <w:rsid w:val="00C0549C"/>
    <w:rsid w:val="00C0680B"/>
    <w:rsid w:val="00C06B8C"/>
    <w:rsid w:val="00C10368"/>
    <w:rsid w:val="00C147A9"/>
    <w:rsid w:val="00C23CB3"/>
    <w:rsid w:val="00C26ED1"/>
    <w:rsid w:val="00C32D24"/>
    <w:rsid w:val="00C34431"/>
    <w:rsid w:val="00C365D4"/>
    <w:rsid w:val="00C42D89"/>
    <w:rsid w:val="00C47980"/>
    <w:rsid w:val="00C612C3"/>
    <w:rsid w:val="00C67FDB"/>
    <w:rsid w:val="00C720FD"/>
    <w:rsid w:val="00C7787F"/>
    <w:rsid w:val="00C9267C"/>
    <w:rsid w:val="00CB0945"/>
    <w:rsid w:val="00CB366F"/>
    <w:rsid w:val="00CC64B1"/>
    <w:rsid w:val="00CC7D7C"/>
    <w:rsid w:val="00CD2616"/>
    <w:rsid w:val="00CD47FF"/>
    <w:rsid w:val="00CE4E55"/>
    <w:rsid w:val="00CF335C"/>
    <w:rsid w:val="00CF6B3B"/>
    <w:rsid w:val="00D110F2"/>
    <w:rsid w:val="00D115C4"/>
    <w:rsid w:val="00D152BC"/>
    <w:rsid w:val="00D164E5"/>
    <w:rsid w:val="00D27A66"/>
    <w:rsid w:val="00D361D3"/>
    <w:rsid w:val="00D36E63"/>
    <w:rsid w:val="00D413FB"/>
    <w:rsid w:val="00D421E9"/>
    <w:rsid w:val="00D438EB"/>
    <w:rsid w:val="00D54FE7"/>
    <w:rsid w:val="00D6385D"/>
    <w:rsid w:val="00D646E7"/>
    <w:rsid w:val="00D823AE"/>
    <w:rsid w:val="00D83EDD"/>
    <w:rsid w:val="00D87A48"/>
    <w:rsid w:val="00D92F02"/>
    <w:rsid w:val="00D959A4"/>
    <w:rsid w:val="00D96AEF"/>
    <w:rsid w:val="00D97862"/>
    <w:rsid w:val="00DA1816"/>
    <w:rsid w:val="00DA184D"/>
    <w:rsid w:val="00DA3250"/>
    <w:rsid w:val="00DC50D2"/>
    <w:rsid w:val="00DC5CDF"/>
    <w:rsid w:val="00DC5EF4"/>
    <w:rsid w:val="00DD6398"/>
    <w:rsid w:val="00DD76BA"/>
    <w:rsid w:val="00DE13D5"/>
    <w:rsid w:val="00E00E6B"/>
    <w:rsid w:val="00E053C5"/>
    <w:rsid w:val="00E22205"/>
    <w:rsid w:val="00E25182"/>
    <w:rsid w:val="00E3673E"/>
    <w:rsid w:val="00E36C36"/>
    <w:rsid w:val="00E403F2"/>
    <w:rsid w:val="00E47309"/>
    <w:rsid w:val="00E477C9"/>
    <w:rsid w:val="00E54C62"/>
    <w:rsid w:val="00E61E0A"/>
    <w:rsid w:val="00E65C4C"/>
    <w:rsid w:val="00E735BF"/>
    <w:rsid w:val="00E815A1"/>
    <w:rsid w:val="00E969B9"/>
    <w:rsid w:val="00E97B50"/>
    <w:rsid w:val="00EA56F8"/>
    <w:rsid w:val="00EA6596"/>
    <w:rsid w:val="00EB2DDF"/>
    <w:rsid w:val="00EC0BA9"/>
    <w:rsid w:val="00ED02FE"/>
    <w:rsid w:val="00EF1D3C"/>
    <w:rsid w:val="00EF2EEE"/>
    <w:rsid w:val="00F032E0"/>
    <w:rsid w:val="00F140CA"/>
    <w:rsid w:val="00F22802"/>
    <w:rsid w:val="00F237D8"/>
    <w:rsid w:val="00F25D70"/>
    <w:rsid w:val="00F31086"/>
    <w:rsid w:val="00F311F5"/>
    <w:rsid w:val="00F361C8"/>
    <w:rsid w:val="00F375F0"/>
    <w:rsid w:val="00F45796"/>
    <w:rsid w:val="00F47F67"/>
    <w:rsid w:val="00F523B0"/>
    <w:rsid w:val="00F60A4D"/>
    <w:rsid w:val="00F65159"/>
    <w:rsid w:val="00F7011E"/>
    <w:rsid w:val="00F717DC"/>
    <w:rsid w:val="00F72F24"/>
    <w:rsid w:val="00F83A26"/>
    <w:rsid w:val="00FA7517"/>
    <w:rsid w:val="00FB3501"/>
    <w:rsid w:val="00FB4B02"/>
    <w:rsid w:val="00FB5A32"/>
    <w:rsid w:val="00FB7A71"/>
    <w:rsid w:val="00FD1A7B"/>
    <w:rsid w:val="00FE2D44"/>
    <w:rsid w:val="00FE42B0"/>
    <w:rsid w:val="00FF346F"/>
    <w:rsid w:val="00FF4CC2"/>
    <w:rsid w:val="00FF5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7E40C"/>
  <w15:chartTrackingRefBased/>
  <w15:docId w15:val="{A1D8DF75-03ED-4E95-8A46-9DBD9F84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E55"/>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3C09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3C09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3C09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3C09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3C09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09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3C09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3C09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3C09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9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09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09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9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9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9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9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9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914"/>
    <w:rPr>
      <w:rFonts w:eastAsiaTheme="majorEastAsia" w:cstheme="majorBidi"/>
      <w:color w:val="272727" w:themeColor="text1" w:themeTint="D8"/>
    </w:rPr>
  </w:style>
  <w:style w:type="paragraph" w:styleId="Title">
    <w:name w:val="Title"/>
    <w:basedOn w:val="Normal"/>
    <w:next w:val="Normal"/>
    <w:link w:val="TitleChar"/>
    <w:uiPriority w:val="10"/>
    <w:qFormat/>
    <w:rsid w:val="003C09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9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9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9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914"/>
    <w:pPr>
      <w:spacing w:before="160"/>
      <w:jc w:val="center"/>
    </w:pPr>
    <w:rPr>
      <w:i/>
      <w:iCs/>
      <w:color w:val="404040" w:themeColor="text1" w:themeTint="BF"/>
    </w:rPr>
  </w:style>
  <w:style w:type="character" w:customStyle="1" w:styleId="QuoteChar">
    <w:name w:val="Quote Char"/>
    <w:basedOn w:val="DefaultParagraphFont"/>
    <w:link w:val="Quote"/>
    <w:uiPriority w:val="29"/>
    <w:rsid w:val="003C0914"/>
    <w:rPr>
      <w:i/>
      <w:iCs/>
      <w:color w:val="404040" w:themeColor="text1" w:themeTint="BF"/>
    </w:rPr>
  </w:style>
  <w:style w:type="paragraph" w:styleId="ListParagraph">
    <w:name w:val="List Paragraph"/>
    <w:basedOn w:val="Normal"/>
    <w:uiPriority w:val="34"/>
    <w:qFormat/>
    <w:rsid w:val="003C0914"/>
    <w:pPr>
      <w:ind w:left="720"/>
      <w:contextualSpacing/>
    </w:pPr>
  </w:style>
  <w:style w:type="character" w:styleId="IntenseEmphasis">
    <w:name w:val="Intense Emphasis"/>
    <w:basedOn w:val="DefaultParagraphFont"/>
    <w:uiPriority w:val="21"/>
    <w:qFormat/>
    <w:rsid w:val="003C0914"/>
    <w:rPr>
      <w:i/>
      <w:iCs/>
      <w:color w:val="0F4761" w:themeColor="accent1" w:themeShade="BF"/>
    </w:rPr>
  </w:style>
  <w:style w:type="paragraph" w:styleId="IntenseQuote">
    <w:name w:val="Intense Quote"/>
    <w:basedOn w:val="Normal"/>
    <w:next w:val="Normal"/>
    <w:link w:val="IntenseQuoteChar"/>
    <w:uiPriority w:val="30"/>
    <w:qFormat/>
    <w:rsid w:val="003C09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0914"/>
    <w:rPr>
      <w:i/>
      <w:iCs/>
      <w:color w:val="0F4761" w:themeColor="accent1" w:themeShade="BF"/>
    </w:rPr>
  </w:style>
  <w:style w:type="character" w:styleId="IntenseReference">
    <w:name w:val="Intense Reference"/>
    <w:basedOn w:val="DefaultParagraphFont"/>
    <w:uiPriority w:val="32"/>
    <w:qFormat/>
    <w:rsid w:val="003C0914"/>
    <w:rPr>
      <w:b/>
      <w:bCs/>
      <w:smallCaps/>
      <w:color w:val="0F4761" w:themeColor="accent1" w:themeShade="BF"/>
      <w:spacing w:val="5"/>
    </w:rPr>
  </w:style>
  <w:style w:type="paragraph" w:styleId="Header">
    <w:name w:val="header"/>
    <w:basedOn w:val="Normal"/>
    <w:link w:val="HeaderChar"/>
    <w:rsid w:val="00CE4E55"/>
    <w:pPr>
      <w:tabs>
        <w:tab w:val="center" w:pos="4153"/>
        <w:tab w:val="right" w:pos="8306"/>
      </w:tabs>
    </w:pPr>
  </w:style>
  <w:style w:type="character" w:customStyle="1" w:styleId="HeaderChar">
    <w:name w:val="Header Char"/>
    <w:basedOn w:val="DefaultParagraphFont"/>
    <w:link w:val="Header"/>
    <w:rsid w:val="00CE4E55"/>
    <w:rPr>
      <w:rFonts w:ascii="Verdana" w:eastAsia="Times New Roman" w:hAnsi="Verdana" w:cs="Times New Roman"/>
      <w:kern w:val="0"/>
      <w:szCs w:val="20"/>
      <w:lang w:eastAsia="en-GB"/>
      <w14:ligatures w14:val="none"/>
    </w:rPr>
  </w:style>
  <w:style w:type="paragraph" w:styleId="Footer">
    <w:name w:val="footer"/>
    <w:basedOn w:val="Normal"/>
    <w:link w:val="FooterChar"/>
    <w:rsid w:val="00CE4E55"/>
    <w:pPr>
      <w:tabs>
        <w:tab w:val="center" w:pos="4153"/>
        <w:tab w:val="right" w:pos="8306"/>
      </w:tabs>
    </w:pPr>
    <w:rPr>
      <w:sz w:val="18"/>
    </w:rPr>
  </w:style>
  <w:style w:type="character" w:customStyle="1" w:styleId="FooterChar">
    <w:name w:val="Footer Char"/>
    <w:basedOn w:val="DefaultParagraphFont"/>
    <w:link w:val="Footer"/>
    <w:rsid w:val="00CE4E55"/>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CE4E55"/>
    <w:rPr>
      <w:rFonts w:ascii="Verdana" w:hAnsi="Verdana"/>
      <w:sz w:val="18"/>
    </w:rPr>
  </w:style>
  <w:style w:type="paragraph" w:customStyle="1" w:styleId="Noindent">
    <w:name w:val="No indent"/>
    <w:basedOn w:val="Normal"/>
    <w:rsid w:val="00CE4E55"/>
    <w:pPr>
      <w:tabs>
        <w:tab w:val="left" w:pos="426"/>
      </w:tabs>
    </w:pPr>
  </w:style>
  <w:style w:type="paragraph" w:customStyle="1" w:styleId="TBullet">
    <w:name w:val="T_Bullet"/>
    <w:basedOn w:val="Normal"/>
    <w:rsid w:val="00CE4E55"/>
    <w:pPr>
      <w:numPr>
        <w:numId w:val="1"/>
      </w:numPr>
      <w:tabs>
        <w:tab w:val="left" w:pos="851"/>
      </w:tabs>
    </w:pPr>
    <w:rPr>
      <w:color w:val="000000"/>
      <w:sz w:val="20"/>
    </w:rPr>
  </w:style>
  <w:style w:type="paragraph" w:customStyle="1" w:styleId="Style1">
    <w:name w:val="Style1"/>
    <w:basedOn w:val="Heading1"/>
    <w:rsid w:val="00CE4E55"/>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paragraph" w:customStyle="1" w:styleId="Conditions1">
    <w:name w:val="Conditions1"/>
    <w:rsid w:val="00CE4E55"/>
    <w:pPr>
      <w:numPr>
        <w:numId w:val="5"/>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CE4E55"/>
    <w:pPr>
      <w:numPr>
        <w:ilvl w:val="2"/>
        <w:numId w:val="5"/>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Style1"/>
    <w:rsid w:val="00CE4E55"/>
    <w:pPr>
      <w:keepLines w:val="0"/>
      <w:widowControl w:val="0"/>
      <w:spacing w:before="180"/>
    </w:pPr>
    <w:rPr>
      <w:rFonts w:eastAsia="Times New Roman" w:cs="Times New Roman"/>
      <w:b/>
      <w:i w:val="0"/>
      <w:iCs w:val="0"/>
      <w:color w:val="000000"/>
    </w:rPr>
  </w:style>
  <w:style w:type="character" w:styleId="Hyperlink">
    <w:name w:val="Hyperlink"/>
    <w:basedOn w:val="DefaultParagraphFont"/>
    <w:rsid w:val="00CE4E55"/>
    <w:rPr>
      <w:color w:val="0000FF"/>
      <w:u w:val="single"/>
    </w:rPr>
  </w:style>
  <w:style w:type="paragraph" w:customStyle="1" w:styleId="ConditionsBullet">
    <w:name w:val="ConditionsBullet"/>
    <w:basedOn w:val="Conditions2"/>
    <w:qFormat/>
    <w:rsid w:val="00CE4E55"/>
    <w:pPr>
      <w:numPr>
        <w:ilvl w:val="3"/>
      </w:numPr>
      <w:spacing w:before="0"/>
    </w:pPr>
  </w:style>
  <w:style w:type="numbering" w:customStyle="1" w:styleId="ConditionsList">
    <w:name w:val="ConditionsList"/>
    <w:uiPriority w:val="99"/>
    <w:rsid w:val="00CE4E55"/>
    <w:pPr>
      <w:numPr>
        <w:numId w:val="2"/>
      </w:numPr>
    </w:pPr>
  </w:style>
  <w:style w:type="paragraph" w:customStyle="1" w:styleId="ConditionsNoNumber">
    <w:name w:val="ConditionsNoNumber"/>
    <w:basedOn w:val="Normal"/>
    <w:qFormat/>
    <w:rsid w:val="00CE4E55"/>
    <w:pPr>
      <w:numPr>
        <w:ilvl w:val="1"/>
        <w:numId w:val="5"/>
      </w:numPr>
      <w:spacing w:before="120"/>
    </w:pPr>
  </w:style>
  <w:style w:type="paragraph" w:customStyle="1" w:styleId="ConditionsNoNumberNoSpaceBefore">
    <w:name w:val="ConditionsNoNumberNoSpaceBefore"/>
    <w:basedOn w:val="ConditionsNoNumber"/>
    <w:qFormat/>
    <w:rsid w:val="00CE4E55"/>
    <w:pPr>
      <w:numPr>
        <w:ilvl w:val="4"/>
      </w:numPr>
      <w:spacing w:before="0"/>
    </w:pPr>
  </w:style>
  <w:style w:type="numbering" w:customStyle="1" w:styleId="StylesList">
    <w:name w:val="StylesList"/>
    <w:uiPriority w:val="99"/>
    <w:rsid w:val="00CE4E5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21F302-279D-4ACD-BD64-E0ECDED93167}">
  <ds:schemaRefs>
    <ds:schemaRef ds:uri="http://schemas.microsoft.com/sharepoint/v3/contenttype/forms"/>
  </ds:schemaRefs>
</ds:datastoreItem>
</file>

<file path=customXml/itemProps2.xml><?xml version="1.0" encoding="utf-8"?>
<ds:datastoreItem xmlns:ds="http://schemas.openxmlformats.org/officeDocument/2006/customXml" ds:itemID="{CB48D0D1-BAAE-44E9-B084-DDECEC8600BC}">
  <ds:schemaRefs>
    <ds:schemaRef ds:uri="http://schemas.microsoft.com/office/2006/metadata/properties"/>
    <ds:schemaRef ds:uri="http://schemas.microsoft.com/office/infopath/2007/PartnerControls"/>
    <ds:schemaRef ds:uri="c9a31704-8876-44e3-a39c-721bd2a9d2da"/>
  </ds:schemaRefs>
</ds:datastoreItem>
</file>

<file path=customXml/itemProps3.xml><?xml version="1.0" encoding="utf-8"?>
<ds:datastoreItem xmlns:ds="http://schemas.openxmlformats.org/officeDocument/2006/customXml" ds:itemID="{5BC05D34-940D-4767-A480-70AE3FCFB477}"/>
</file>

<file path=docProps/app.xml><?xml version="1.0" encoding="utf-8"?>
<Properties xmlns="http://schemas.openxmlformats.org/officeDocument/2006/extended-properties" xmlns:vt="http://schemas.openxmlformats.org/officeDocument/2006/docPropsVTypes">
  <Template>Normal.dotm</Template>
  <TotalTime>2</TotalTime>
  <Pages>6</Pages>
  <Words>2166</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Clive Richards</cp:lastModifiedBy>
  <cp:revision>4</cp:revision>
  <dcterms:created xsi:type="dcterms:W3CDTF">2026-01-16T13:28:00Z</dcterms:created>
  <dcterms:modified xsi:type="dcterms:W3CDTF">2026-01-16T13:29:00Z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