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F82E" w14:textId="26B73A1F" w:rsidR="005353D4" w:rsidRPr="00FA5F7D" w:rsidRDefault="005353D4" w:rsidP="009C0543">
      <w:pPr>
        <w:spacing w:after="240" w:line="360" w:lineRule="auto"/>
        <w:rPr>
          <w:rFonts w:cs="Arial"/>
          <w:b/>
          <w:bCs/>
          <w:sz w:val="24"/>
          <w:szCs w:val="24"/>
        </w:rPr>
      </w:pPr>
    </w:p>
    <w:p w14:paraId="187E0F0C" w14:textId="5C2E7AE6" w:rsidR="00085FCB" w:rsidRPr="00FA5F7D" w:rsidRDefault="00DF5A69" w:rsidP="009C0543">
      <w:pPr>
        <w:tabs>
          <w:tab w:val="center" w:pos="4513"/>
        </w:tabs>
        <w:spacing w:after="240"/>
        <w:jc w:val="center"/>
        <w:rPr>
          <w:rFonts w:cs="Arial"/>
          <w:sz w:val="24"/>
          <w:szCs w:val="24"/>
        </w:rPr>
      </w:pPr>
      <w:r>
        <w:rPr>
          <w:rFonts w:cs="Arial"/>
          <w:b/>
          <w:bCs/>
          <w:sz w:val="24"/>
          <w:szCs w:val="24"/>
        </w:rPr>
        <w:t>Model rules for political fund</w:t>
      </w:r>
    </w:p>
    <w:p w14:paraId="3713FA2E" w14:textId="77777777" w:rsidR="00085FCB" w:rsidRPr="00FA5F7D" w:rsidRDefault="00085FCB" w:rsidP="009C0543">
      <w:pPr>
        <w:spacing w:after="240"/>
        <w:rPr>
          <w:rFonts w:cs="Arial"/>
          <w:sz w:val="24"/>
          <w:szCs w:val="24"/>
        </w:rPr>
      </w:pPr>
    </w:p>
    <w:p w14:paraId="40BD3129" w14:textId="49C04F6F" w:rsidR="004C56C4" w:rsidRPr="004C56C4" w:rsidRDefault="004C56C4" w:rsidP="004C56C4">
      <w:pPr>
        <w:spacing w:after="240"/>
        <w:jc w:val="both"/>
        <w:rPr>
          <w:rFonts w:cs="Arial"/>
          <w:sz w:val="24"/>
          <w:szCs w:val="24"/>
        </w:rPr>
      </w:pPr>
      <w:r w:rsidRPr="3E07C14D">
        <w:rPr>
          <w:rFonts w:cs="Arial"/>
          <w:b/>
          <w:bCs/>
          <w:sz w:val="24"/>
          <w:szCs w:val="24"/>
        </w:rPr>
        <w:t>Note:</w:t>
      </w:r>
      <w:r w:rsidRPr="3E07C14D">
        <w:rPr>
          <w:rFonts w:cs="Arial"/>
          <w:sz w:val="24"/>
          <w:szCs w:val="24"/>
        </w:rPr>
        <w:t xml:space="preserve"> These model rules have been updated to reflect changes introduced by the Employment Rights Act 2025, which </w:t>
      </w:r>
      <w:r w:rsidR="76CC0BDD" w:rsidRPr="3E07C14D">
        <w:rPr>
          <w:rFonts w:cs="Arial"/>
          <w:sz w:val="24"/>
          <w:szCs w:val="24"/>
        </w:rPr>
        <w:t xml:space="preserve">has </w:t>
      </w:r>
      <w:r w:rsidRPr="3E07C14D">
        <w:rPr>
          <w:rFonts w:cs="Arial"/>
          <w:sz w:val="24"/>
          <w:szCs w:val="24"/>
        </w:rPr>
        <w:t>amended the Trade Union and Labour Relations (Consolidation) Act 1992 in relation to political funds.</w:t>
      </w:r>
    </w:p>
    <w:p w14:paraId="6B36F207" w14:textId="758BE11B" w:rsidR="00C0657C" w:rsidRDefault="004C56C4" w:rsidP="004C56C4">
      <w:pPr>
        <w:spacing w:after="240"/>
        <w:jc w:val="both"/>
        <w:rPr>
          <w:rFonts w:cs="Arial"/>
          <w:sz w:val="24"/>
          <w:szCs w:val="24"/>
        </w:rPr>
      </w:pPr>
      <w:r w:rsidRPr="004C56C4">
        <w:rPr>
          <w:rFonts w:cs="Arial"/>
          <w:sz w:val="24"/>
          <w:szCs w:val="24"/>
        </w:rPr>
        <w:t>Under the new rules, all members are broadly treated the same</w:t>
      </w:r>
      <w:r w:rsidR="00DF5A69">
        <w:rPr>
          <w:rFonts w:cs="Arial"/>
          <w:sz w:val="24"/>
          <w:szCs w:val="24"/>
        </w:rPr>
        <w:t xml:space="preserve"> in that</w:t>
      </w:r>
      <w:r w:rsidRPr="004C56C4">
        <w:rPr>
          <w:rFonts w:cs="Arial"/>
          <w:sz w:val="24"/>
          <w:szCs w:val="24"/>
        </w:rPr>
        <w:t xml:space="preserve"> they are considered opted in to the political fund unless they choose to opt out. </w:t>
      </w:r>
      <w:r>
        <w:rPr>
          <w:rFonts w:cs="Arial"/>
          <w:sz w:val="24"/>
          <w:szCs w:val="24"/>
        </w:rPr>
        <w:t xml:space="preserve">Exceptions to this are </w:t>
      </w:r>
      <w:r w:rsidRPr="004C56C4">
        <w:rPr>
          <w:rFonts w:cs="Arial"/>
          <w:sz w:val="24"/>
          <w:szCs w:val="24"/>
        </w:rPr>
        <w:t xml:space="preserve">explained in the transitional arrangements in the final section, which cover members who joined the union between 1 March 2018 and </w:t>
      </w:r>
      <w:r w:rsidR="00D36A26">
        <w:rPr>
          <w:rFonts w:cs="Arial"/>
          <w:sz w:val="24"/>
          <w:szCs w:val="24"/>
        </w:rPr>
        <w:t>17 February 2026 (inclusive).</w:t>
      </w:r>
    </w:p>
    <w:p w14:paraId="779F426F" w14:textId="32BA2F92" w:rsidR="0060164D" w:rsidRDefault="0060164D" w:rsidP="004C56C4">
      <w:pPr>
        <w:spacing w:after="240"/>
        <w:jc w:val="both"/>
        <w:rPr>
          <w:rFonts w:cs="Arial"/>
          <w:sz w:val="24"/>
          <w:szCs w:val="24"/>
        </w:rPr>
      </w:pPr>
      <w:r w:rsidRPr="0060164D">
        <w:rPr>
          <w:rFonts w:cs="Arial"/>
          <w:sz w:val="24"/>
          <w:szCs w:val="24"/>
          <w:highlight w:val="green"/>
        </w:rPr>
        <w:t>Instructions on completion are highlighted in green</w:t>
      </w:r>
    </w:p>
    <w:p w14:paraId="4FB07D71" w14:textId="72E3293C" w:rsidR="0060164D" w:rsidRDefault="0060164D" w:rsidP="004C56C4">
      <w:pPr>
        <w:spacing w:after="240"/>
        <w:jc w:val="both"/>
        <w:rPr>
          <w:rFonts w:cs="Arial"/>
          <w:sz w:val="24"/>
          <w:szCs w:val="24"/>
        </w:rPr>
      </w:pPr>
      <w:r w:rsidRPr="0060164D">
        <w:rPr>
          <w:rFonts w:cs="Arial"/>
          <w:sz w:val="24"/>
          <w:szCs w:val="24"/>
          <w:highlight w:val="yellow"/>
        </w:rPr>
        <w:t>Fields requiring completion are highlighted in yellow</w:t>
      </w:r>
    </w:p>
    <w:p w14:paraId="5341C296" w14:textId="77777777" w:rsidR="00DE1360" w:rsidRDefault="00DE1360">
      <w:pPr>
        <w:rPr>
          <w:rFonts w:cs="Arial"/>
          <w:sz w:val="24"/>
          <w:szCs w:val="24"/>
        </w:rPr>
      </w:pPr>
      <w:r>
        <w:rPr>
          <w:rFonts w:cs="Arial"/>
          <w:sz w:val="24"/>
          <w:szCs w:val="24"/>
        </w:rPr>
        <w:br w:type="page"/>
      </w:r>
    </w:p>
    <w:sdt>
      <w:sdtPr>
        <w:rPr>
          <w:rFonts w:ascii="Arial" w:eastAsiaTheme="minorEastAsia" w:hAnsi="Arial" w:cstheme="minorBidi"/>
          <w:color w:val="auto"/>
          <w:sz w:val="22"/>
          <w:szCs w:val="22"/>
          <w:lang w:eastAsia="en-US"/>
        </w:rPr>
        <w:id w:val="1749916575"/>
        <w:docPartObj>
          <w:docPartGallery w:val="Table of Contents"/>
          <w:docPartUnique/>
        </w:docPartObj>
      </w:sdtPr>
      <w:sdtEndPr>
        <w:rPr>
          <w:b/>
          <w:bCs/>
        </w:rPr>
      </w:sdtEndPr>
      <w:sdtContent>
        <w:p w14:paraId="20F42A87" w14:textId="59A1EDA5" w:rsidR="00B80E93" w:rsidRDefault="00B80E93" w:rsidP="00DF698F">
          <w:pPr>
            <w:pStyle w:val="TOCHeading"/>
            <w:spacing w:line="360" w:lineRule="auto"/>
            <w:rPr>
              <w:rFonts w:ascii="Arial" w:hAnsi="Arial" w:cs="Arial"/>
              <w:b/>
              <w:bCs/>
              <w:color w:val="auto"/>
              <w:sz w:val="28"/>
              <w:szCs w:val="28"/>
            </w:rPr>
          </w:pPr>
          <w:r w:rsidRPr="00DF698F">
            <w:rPr>
              <w:rFonts w:ascii="Arial" w:hAnsi="Arial" w:cs="Arial"/>
              <w:b/>
              <w:bCs/>
              <w:color w:val="auto"/>
              <w:sz w:val="28"/>
              <w:szCs w:val="28"/>
            </w:rPr>
            <w:t>Contents</w:t>
          </w:r>
        </w:p>
        <w:p w14:paraId="2DA5DDC0" w14:textId="77777777" w:rsidR="00DF698F" w:rsidRPr="00DF698F" w:rsidRDefault="00DF698F" w:rsidP="00DF698F">
          <w:pPr>
            <w:rPr>
              <w:lang w:eastAsia="en-GB"/>
            </w:rPr>
          </w:pPr>
        </w:p>
        <w:p w14:paraId="2E44E324" w14:textId="4897C5D9" w:rsidR="00B80E93" w:rsidRPr="00DF698F" w:rsidRDefault="00B80E93" w:rsidP="00DF698F">
          <w:pPr>
            <w:pStyle w:val="TOC1"/>
            <w:tabs>
              <w:tab w:val="right" w:leader="dot" w:pos="9017"/>
            </w:tabs>
            <w:spacing w:line="360" w:lineRule="auto"/>
            <w:rPr>
              <w:rFonts w:cs="Arial"/>
              <w:noProof/>
              <w:sz w:val="24"/>
              <w:szCs w:val="24"/>
            </w:rPr>
          </w:pPr>
          <w:r w:rsidRPr="00DF698F">
            <w:rPr>
              <w:rFonts w:cs="Arial"/>
              <w:sz w:val="24"/>
              <w:szCs w:val="24"/>
            </w:rPr>
            <w:fldChar w:fldCharType="begin"/>
          </w:r>
          <w:r w:rsidRPr="00DF698F">
            <w:rPr>
              <w:rFonts w:cs="Arial"/>
              <w:sz w:val="24"/>
              <w:szCs w:val="24"/>
            </w:rPr>
            <w:instrText xml:space="preserve"> TOC \o "1-3" \h \z \u </w:instrText>
          </w:r>
          <w:r w:rsidRPr="00DF698F">
            <w:rPr>
              <w:rFonts w:cs="Arial"/>
              <w:sz w:val="24"/>
              <w:szCs w:val="24"/>
            </w:rPr>
            <w:fldChar w:fldCharType="separate"/>
          </w:r>
          <w:hyperlink w:anchor="_Toc217465226" w:history="1">
            <w:r w:rsidRPr="00DF698F">
              <w:rPr>
                <w:rStyle w:val="Hyperlink"/>
                <w:rFonts w:cs="Arial"/>
                <w:noProof/>
                <w:sz w:val="24"/>
                <w:szCs w:val="24"/>
              </w:rPr>
              <w:t>Introduction</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_Toc217465226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2</w:t>
            </w:r>
            <w:r w:rsidRPr="00DF698F">
              <w:rPr>
                <w:rFonts w:cs="Arial"/>
                <w:noProof/>
                <w:webHidden/>
                <w:sz w:val="24"/>
                <w:szCs w:val="24"/>
              </w:rPr>
              <w:fldChar w:fldCharType="end"/>
            </w:r>
          </w:hyperlink>
        </w:p>
        <w:p w14:paraId="23CA9E9E" w14:textId="3CEB6E43" w:rsidR="00B80E93" w:rsidRPr="00DF698F" w:rsidRDefault="00B80E93" w:rsidP="00DF698F">
          <w:pPr>
            <w:pStyle w:val="TOC1"/>
            <w:tabs>
              <w:tab w:val="right" w:leader="dot" w:pos="9017"/>
            </w:tabs>
            <w:spacing w:line="360" w:lineRule="auto"/>
            <w:rPr>
              <w:rFonts w:cs="Arial"/>
              <w:noProof/>
              <w:sz w:val="24"/>
              <w:szCs w:val="24"/>
            </w:rPr>
          </w:pPr>
          <w:hyperlink w:anchor="_Toc217465227" w:history="1">
            <w:r w:rsidRPr="00DF698F">
              <w:rPr>
                <w:rStyle w:val="Hyperlink"/>
                <w:rFonts w:cs="Arial"/>
                <w:noProof/>
                <w:sz w:val="24"/>
                <w:szCs w:val="24"/>
              </w:rPr>
              <w:t>Opt-out information notices</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_Toc217465227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4</w:t>
            </w:r>
            <w:r w:rsidRPr="00DF698F">
              <w:rPr>
                <w:rFonts w:cs="Arial"/>
                <w:noProof/>
                <w:webHidden/>
                <w:sz w:val="24"/>
                <w:szCs w:val="24"/>
              </w:rPr>
              <w:fldChar w:fldCharType="end"/>
            </w:r>
          </w:hyperlink>
        </w:p>
        <w:p w14:paraId="2F33D244" w14:textId="0CCDD090" w:rsidR="00B80E93" w:rsidRPr="00DF698F" w:rsidRDefault="00B80E93" w:rsidP="00DF698F">
          <w:pPr>
            <w:pStyle w:val="TOC1"/>
            <w:tabs>
              <w:tab w:val="right" w:leader="dot" w:pos="9017"/>
            </w:tabs>
            <w:spacing w:line="360" w:lineRule="auto"/>
            <w:rPr>
              <w:rFonts w:cs="Arial"/>
              <w:noProof/>
              <w:sz w:val="24"/>
              <w:szCs w:val="24"/>
            </w:rPr>
          </w:pPr>
          <w:hyperlink w:anchor="_Toc217465228" w:history="1">
            <w:r w:rsidRPr="00DF698F">
              <w:rPr>
                <w:rStyle w:val="Hyperlink"/>
                <w:rFonts w:cs="Arial"/>
                <w:noProof/>
                <w:sz w:val="24"/>
                <w:szCs w:val="24"/>
              </w:rPr>
              <w:t>Submitting an opt-out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_Toc217465228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4</w:t>
            </w:r>
            <w:r w:rsidRPr="00DF698F">
              <w:rPr>
                <w:rFonts w:cs="Arial"/>
                <w:noProof/>
                <w:webHidden/>
                <w:sz w:val="24"/>
                <w:szCs w:val="24"/>
              </w:rPr>
              <w:fldChar w:fldCharType="end"/>
            </w:r>
          </w:hyperlink>
        </w:p>
        <w:p w14:paraId="72163D63" w14:textId="3B2C2AC2" w:rsidR="00B80E93" w:rsidRPr="00DF698F" w:rsidRDefault="00B80E93" w:rsidP="00DF698F">
          <w:pPr>
            <w:pStyle w:val="TOC1"/>
            <w:tabs>
              <w:tab w:val="right" w:leader="dot" w:pos="9017"/>
            </w:tabs>
            <w:spacing w:line="360" w:lineRule="auto"/>
            <w:rPr>
              <w:rFonts w:cs="Arial"/>
              <w:noProof/>
              <w:sz w:val="24"/>
              <w:szCs w:val="24"/>
            </w:rPr>
          </w:pPr>
          <w:hyperlink w:anchor="_Toc217465229" w:history="1">
            <w:r w:rsidRPr="00DF698F">
              <w:rPr>
                <w:rStyle w:val="Hyperlink"/>
                <w:rFonts w:cs="Arial"/>
                <w:noProof/>
                <w:sz w:val="24"/>
                <w:szCs w:val="24"/>
              </w:rPr>
              <w:t>When the opt-out notice takes effect</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_Toc217465229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5</w:t>
            </w:r>
            <w:r w:rsidRPr="00DF698F">
              <w:rPr>
                <w:rFonts w:cs="Arial"/>
                <w:noProof/>
                <w:webHidden/>
                <w:sz w:val="24"/>
                <w:szCs w:val="24"/>
              </w:rPr>
              <w:fldChar w:fldCharType="end"/>
            </w:r>
          </w:hyperlink>
        </w:p>
        <w:p w14:paraId="5A3DF221" w14:textId="16336BD2" w:rsidR="00B80E93" w:rsidRPr="00DF698F" w:rsidRDefault="00B80E93" w:rsidP="00DF698F">
          <w:pPr>
            <w:pStyle w:val="TOC1"/>
            <w:tabs>
              <w:tab w:val="right" w:leader="dot" w:pos="9017"/>
            </w:tabs>
            <w:spacing w:line="360" w:lineRule="auto"/>
            <w:rPr>
              <w:rFonts w:cs="Arial"/>
              <w:noProof/>
              <w:sz w:val="24"/>
              <w:szCs w:val="24"/>
            </w:rPr>
          </w:pPr>
          <w:hyperlink w:anchor="_Toc217465230" w:history="1">
            <w:r w:rsidRPr="00DF698F">
              <w:rPr>
                <w:rStyle w:val="Hyperlink"/>
                <w:rFonts w:cs="Arial"/>
                <w:noProof/>
                <w:sz w:val="24"/>
                <w:szCs w:val="24"/>
              </w:rPr>
              <w:t>Withdrawing an opt-out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_Toc217465230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5</w:t>
            </w:r>
            <w:r w:rsidRPr="00DF698F">
              <w:rPr>
                <w:rFonts w:cs="Arial"/>
                <w:noProof/>
                <w:webHidden/>
                <w:sz w:val="24"/>
                <w:szCs w:val="24"/>
              </w:rPr>
              <w:fldChar w:fldCharType="end"/>
            </w:r>
          </w:hyperlink>
        </w:p>
        <w:p w14:paraId="157EBCE0" w14:textId="42EA27E2" w:rsidR="00B80E93" w:rsidRPr="00DF698F" w:rsidRDefault="00B80E93" w:rsidP="00DF698F">
          <w:pPr>
            <w:pStyle w:val="TOC1"/>
            <w:tabs>
              <w:tab w:val="right" w:leader="dot" w:pos="9017"/>
            </w:tabs>
            <w:spacing w:line="360" w:lineRule="auto"/>
            <w:rPr>
              <w:rFonts w:cs="Arial"/>
              <w:noProof/>
              <w:sz w:val="24"/>
              <w:szCs w:val="24"/>
            </w:rPr>
          </w:pPr>
          <w:hyperlink w:anchor="_Toc217465231" w:history="1">
            <w:r w:rsidRPr="00DF698F">
              <w:rPr>
                <w:rStyle w:val="Hyperlink"/>
                <w:rFonts w:cs="Arial"/>
                <w:noProof/>
                <w:sz w:val="24"/>
                <w:szCs w:val="24"/>
              </w:rPr>
              <w:t xml:space="preserve">Transitional arrangements for members who joined </w:t>
            </w:r>
            <w:r w:rsidRPr="00DF698F">
              <w:rPr>
                <w:rStyle w:val="Hyperlink"/>
                <w:rFonts w:cs="Arial"/>
                <w:noProof/>
                <w:sz w:val="24"/>
                <w:szCs w:val="24"/>
                <w:highlight w:val="yellow"/>
              </w:rPr>
              <w:t>[name of union]</w:t>
            </w:r>
            <w:r w:rsidRPr="00DF698F">
              <w:rPr>
                <w:rStyle w:val="Hyperlink"/>
                <w:rFonts w:cs="Arial"/>
                <w:noProof/>
                <w:sz w:val="24"/>
                <w:szCs w:val="24"/>
              </w:rPr>
              <w:t xml:space="preserve"> between 1 March 2018 and 18 February 2026 </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_Toc217465231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6</w:t>
            </w:r>
            <w:r w:rsidRPr="00DF698F">
              <w:rPr>
                <w:rFonts w:cs="Arial"/>
                <w:noProof/>
                <w:webHidden/>
                <w:sz w:val="24"/>
                <w:szCs w:val="24"/>
              </w:rPr>
              <w:fldChar w:fldCharType="end"/>
            </w:r>
          </w:hyperlink>
        </w:p>
        <w:p w14:paraId="3A208B88" w14:textId="6B2532A9" w:rsidR="00B80E93" w:rsidRPr="00DF698F" w:rsidRDefault="00B80E93" w:rsidP="00DF698F">
          <w:pPr>
            <w:pStyle w:val="TOC1"/>
            <w:tabs>
              <w:tab w:val="right" w:leader="dot" w:pos="9017"/>
            </w:tabs>
            <w:spacing w:line="360" w:lineRule="auto"/>
            <w:rPr>
              <w:rFonts w:cs="Arial"/>
              <w:noProof/>
              <w:sz w:val="24"/>
              <w:szCs w:val="24"/>
            </w:rPr>
          </w:pPr>
          <w:hyperlink w:anchor="_Toc217465232" w:history="1">
            <w:r w:rsidRPr="00DF698F">
              <w:rPr>
                <w:rStyle w:val="Hyperlink"/>
                <w:rFonts w:cs="Arial"/>
                <w:noProof/>
                <w:sz w:val="24"/>
                <w:szCs w:val="24"/>
              </w:rPr>
              <w:t>Default opt-outs for certain members</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_Toc217465232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6</w:t>
            </w:r>
            <w:r w:rsidRPr="00DF698F">
              <w:rPr>
                <w:rFonts w:cs="Arial"/>
                <w:noProof/>
                <w:webHidden/>
                <w:sz w:val="24"/>
                <w:szCs w:val="24"/>
              </w:rPr>
              <w:fldChar w:fldCharType="end"/>
            </w:r>
          </w:hyperlink>
        </w:p>
        <w:p w14:paraId="0D95B60D" w14:textId="0B861382" w:rsidR="00B80E93" w:rsidRPr="00DF698F" w:rsidRDefault="00B80E93" w:rsidP="00DF698F">
          <w:pPr>
            <w:pStyle w:val="TOC1"/>
            <w:tabs>
              <w:tab w:val="right" w:leader="dot" w:pos="9017"/>
            </w:tabs>
            <w:spacing w:line="360" w:lineRule="auto"/>
            <w:rPr>
              <w:rFonts w:cs="Arial"/>
              <w:noProof/>
              <w:sz w:val="24"/>
              <w:szCs w:val="24"/>
            </w:rPr>
          </w:pPr>
          <w:hyperlink w:anchor="_Toc217465233" w:history="1">
            <w:r w:rsidRPr="00DF698F">
              <w:rPr>
                <w:rStyle w:val="Hyperlink"/>
                <w:rFonts w:cs="Arial"/>
                <w:noProof/>
                <w:sz w:val="24"/>
                <w:szCs w:val="24"/>
                <w:lang w:eastAsia="en-GB"/>
              </w:rPr>
              <w:t>Four-week transitional period for opt-in withdrawals</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_Toc217465233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6</w:t>
            </w:r>
            <w:r w:rsidRPr="00DF698F">
              <w:rPr>
                <w:rFonts w:cs="Arial"/>
                <w:noProof/>
                <w:webHidden/>
                <w:sz w:val="24"/>
                <w:szCs w:val="24"/>
              </w:rPr>
              <w:fldChar w:fldCharType="end"/>
            </w:r>
          </w:hyperlink>
        </w:p>
        <w:p w14:paraId="4375DBCD" w14:textId="73E3F5F2" w:rsidR="00B80E93" w:rsidRPr="00DF698F" w:rsidRDefault="00B80E93" w:rsidP="00DF698F">
          <w:pPr>
            <w:pStyle w:val="TOC1"/>
            <w:tabs>
              <w:tab w:val="right" w:leader="dot" w:pos="9017"/>
            </w:tabs>
            <w:spacing w:line="360" w:lineRule="auto"/>
            <w:rPr>
              <w:rFonts w:cs="Arial"/>
              <w:noProof/>
              <w:sz w:val="24"/>
              <w:szCs w:val="24"/>
            </w:rPr>
          </w:pPr>
          <w:hyperlink w:anchor="_Toc217465234" w:history="1">
            <w:r w:rsidRPr="00DF698F">
              <w:rPr>
                <w:rStyle w:val="Hyperlink"/>
                <w:rFonts w:cs="Arial"/>
                <w:noProof/>
                <w:sz w:val="24"/>
                <w:szCs w:val="24"/>
              </w:rPr>
              <w:t>Appendix 1: Opt-out information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_Toc217465234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7</w:t>
            </w:r>
            <w:r w:rsidRPr="00DF698F">
              <w:rPr>
                <w:rFonts w:cs="Arial"/>
                <w:noProof/>
                <w:webHidden/>
                <w:sz w:val="24"/>
                <w:szCs w:val="24"/>
              </w:rPr>
              <w:fldChar w:fldCharType="end"/>
            </w:r>
          </w:hyperlink>
        </w:p>
        <w:p w14:paraId="1B7E2177" w14:textId="5EBADACA" w:rsidR="00B80E93" w:rsidRPr="00DF698F" w:rsidRDefault="00B80E93" w:rsidP="00DF698F">
          <w:pPr>
            <w:pStyle w:val="TOC1"/>
            <w:tabs>
              <w:tab w:val="right" w:leader="dot" w:pos="9017"/>
            </w:tabs>
            <w:spacing w:line="360" w:lineRule="auto"/>
            <w:rPr>
              <w:rFonts w:cs="Arial"/>
              <w:noProof/>
              <w:sz w:val="24"/>
              <w:szCs w:val="24"/>
            </w:rPr>
          </w:pPr>
          <w:hyperlink w:anchor="_Toc217465235" w:history="1">
            <w:r w:rsidRPr="00DF698F">
              <w:rPr>
                <w:rStyle w:val="Hyperlink"/>
                <w:rFonts w:cs="Arial"/>
                <w:noProof/>
                <w:sz w:val="24"/>
                <w:szCs w:val="24"/>
              </w:rPr>
              <w:t>Appendix 2: Opt-out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_Toc217465235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8</w:t>
            </w:r>
            <w:r w:rsidRPr="00DF698F">
              <w:rPr>
                <w:rFonts w:cs="Arial"/>
                <w:noProof/>
                <w:webHidden/>
                <w:sz w:val="24"/>
                <w:szCs w:val="24"/>
              </w:rPr>
              <w:fldChar w:fldCharType="end"/>
            </w:r>
          </w:hyperlink>
        </w:p>
        <w:p w14:paraId="52103F21" w14:textId="41684EC0" w:rsidR="00B80E93" w:rsidRDefault="00B80E93" w:rsidP="00DF698F">
          <w:pPr>
            <w:spacing w:line="360" w:lineRule="auto"/>
          </w:pPr>
          <w:r w:rsidRPr="00DF698F">
            <w:rPr>
              <w:rFonts w:cs="Arial"/>
              <w:b/>
              <w:bCs/>
              <w:sz w:val="24"/>
              <w:szCs w:val="24"/>
            </w:rPr>
            <w:fldChar w:fldCharType="end"/>
          </w:r>
        </w:p>
      </w:sdtContent>
    </w:sdt>
    <w:p w14:paraId="032F5207" w14:textId="77777777" w:rsidR="00DF698F" w:rsidRDefault="00DF698F" w:rsidP="00EB6760">
      <w:pPr>
        <w:spacing w:after="240"/>
        <w:jc w:val="center"/>
        <w:rPr>
          <w:rFonts w:cs="Arial"/>
          <w:b/>
          <w:bCs/>
          <w:sz w:val="24"/>
          <w:szCs w:val="24"/>
          <w:highlight w:val="yellow"/>
        </w:rPr>
      </w:pPr>
      <w:r>
        <w:rPr>
          <w:rFonts w:cs="Arial"/>
          <w:b/>
          <w:bCs/>
          <w:sz w:val="24"/>
          <w:szCs w:val="24"/>
          <w:highlight w:val="yellow"/>
        </w:rPr>
        <w:br w:type="page"/>
      </w:r>
    </w:p>
    <w:p w14:paraId="10D6798D" w14:textId="66B32F6D" w:rsidR="004C56C4" w:rsidRPr="004C56C4" w:rsidRDefault="00DE1360" w:rsidP="00EB6760">
      <w:pPr>
        <w:spacing w:after="240"/>
        <w:jc w:val="center"/>
        <w:rPr>
          <w:rFonts w:cs="Arial"/>
          <w:b/>
          <w:bCs/>
          <w:sz w:val="24"/>
          <w:szCs w:val="24"/>
        </w:rPr>
      </w:pPr>
      <w:r w:rsidRPr="00271AA5">
        <w:rPr>
          <w:rFonts w:cs="Arial"/>
          <w:b/>
          <w:bCs/>
          <w:sz w:val="24"/>
          <w:szCs w:val="24"/>
          <w:highlight w:val="yellow"/>
        </w:rPr>
        <w:lastRenderedPageBreak/>
        <w:t>[Name of union]</w:t>
      </w:r>
    </w:p>
    <w:p w14:paraId="0203BF4C" w14:textId="10AE76AB" w:rsidR="00085FCB" w:rsidRPr="00FA5F7D" w:rsidRDefault="00DE1360" w:rsidP="00864792">
      <w:pPr>
        <w:tabs>
          <w:tab w:val="center" w:pos="4513"/>
        </w:tabs>
        <w:spacing w:after="240"/>
        <w:jc w:val="center"/>
        <w:rPr>
          <w:rFonts w:cs="Arial"/>
          <w:sz w:val="24"/>
          <w:szCs w:val="24"/>
        </w:rPr>
      </w:pPr>
      <w:r>
        <w:rPr>
          <w:rFonts w:cs="Arial"/>
          <w:b/>
          <w:bCs/>
          <w:sz w:val="24"/>
          <w:szCs w:val="24"/>
        </w:rPr>
        <w:t>Political fund rules</w:t>
      </w:r>
    </w:p>
    <w:p w14:paraId="6FB27743" w14:textId="5CE29E84" w:rsidR="00271AA5" w:rsidRPr="00B80E93" w:rsidRDefault="00B80E93" w:rsidP="00B80E93">
      <w:pPr>
        <w:pStyle w:val="Heading1"/>
      </w:pPr>
      <w:bookmarkStart w:id="0" w:name="_Toc217465226"/>
      <w:r w:rsidRPr="00B80E93">
        <w:t>Introduction</w:t>
      </w:r>
      <w:bookmarkEnd w:id="0"/>
    </w:p>
    <w:p w14:paraId="73E65210" w14:textId="3E240AB5" w:rsidR="00271AA5" w:rsidRDefault="00090E19" w:rsidP="00CB742E">
      <w:pPr>
        <w:pStyle w:val="ListParagraph"/>
        <w:numPr>
          <w:ilvl w:val="0"/>
          <w:numId w:val="5"/>
        </w:numPr>
        <w:autoSpaceDE w:val="0"/>
        <w:autoSpaceDN w:val="0"/>
        <w:adjustRightInd w:val="0"/>
        <w:spacing w:after="240" w:line="276" w:lineRule="auto"/>
        <w:contextualSpacing w:val="0"/>
        <w:jc w:val="both"/>
        <w:rPr>
          <w:rFonts w:cs="Arial"/>
          <w:sz w:val="24"/>
          <w:szCs w:val="24"/>
        </w:rPr>
      </w:pPr>
      <w:r w:rsidRPr="00271AA5">
        <w:rPr>
          <w:rFonts w:cs="Arial"/>
          <w:sz w:val="24"/>
          <w:szCs w:val="24"/>
        </w:rPr>
        <w:t xml:space="preserve">The </w:t>
      </w:r>
      <w:r w:rsidR="00085FCB" w:rsidRPr="00271AA5">
        <w:rPr>
          <w:rFonts w:cs="Arial"/>
          <w:sz w:val="24"/>
          <w:szCs w:val="24"/>
        </w:rPr>
        <w:t>objects of</w:t>
      </w:r>
      <w:r w:rsidR="00271AA5" w:rsidRPr="00271AA5">
        <w:rPr>
          <w:rFonts w:cs="Arial"/>
          <w:sz w:val="24"/>
          <w:szCs w:val="24"/>
        </w:rPr>
        <w:t xml:space="preserve"> </w:t>
      </w:r>
      <w:r w:rsidR="00271AA5" w:rsidRPr="00271AA5">
        <w:rPr>
          <w:rFonts w:cs="Arial"/>
          <w:sz w:val="24"/>
          <w:szCs w:val="24"/>
          <w:highlight w:val="yellow"/>
        </w:rPr>
        <w:t>[name of union]</w:t>
      </w:r>
      <w:r w:rsidR="00271AA5" w:rsidRPr="00271AA5">
        <w:rPr>
          <w:rFonts w:cs="Arial"/>
          <w:sz w:val="24"/>
          <w:szCs w:val="24"/>
        </w:rPr>
        <w:t xml:space="preserve"> </w:t>
      </w:r>
      <w:r w:rsidR="00085FCB" w:rsidRPr="00271AA5">
        <w:rPr>
          <w:rFonts w:cs="Arial"/>
          <w:sz w:val="24"/>
          <w:szCs w:val="24"/>
        </w:rPr>
        <w:t>include the furtherance of the political objects to which section 72 of the amended Trade Union and Labour Relations (Consolidation</w:t>
      </w:r>
      <w:r w:rsidRPr="00271AA5">
        <w:rPr>
          <w:rFonts w:cs="Arial"/>
          <w:sz w:val="24"/>
          <w:szCs w:val="24"/>
        </w:rPr>
        <w:t xml:space="preserve">) Act 1992 (the </w:t>
      </w:r>
      <w:r w:rsidR="00D36A26">
        <w:rPr>
          <w:rFonts w:cs="Arial"/>
          <w:sz w:val="24"/>
          <w:szCs w:val="24"/>
        </w:rPr>
        <w:t xml:space="preserve">1992 </w:t>
      </w:r>
      <w:r w:rsidRPr="00271AA5">
        <w:rPr>
          <w:rFonts w:cs="Arial"/>
          <w:sz w:val="24"/>
          <w:szCs w:val="24"/>
        </w:rPr>
        <w:t>Act) applies. Th</w:t>
      </w:r>
      <w:r w:rsidR="005975CE">
        <w:rPr>
          <w:rFonts w:cs="Arial"/>
          <w:sz w:val="24"/>
          <w:szCs w:val="24"/>
        </w:rPr>
        <w:t>ose political objects are</w:t>
      </w:r>
      <w:r w:rsidRPr="00271AA5">
        <w:rPr>
          <w:rFonts w:cs="Arial"/>
          <w:sz w:val="24"/>
          <w:szCs w:val="24"/>
        </w:rPr>
        <w:t>:</w:t>
      </w:r>
    </w:p>
    <w:p w14:paraId="38635221" w14:textId="77777777" w:rsidR="008A5C40" w:rsidRDefault="00A46AD1" w:rsidP="00CB742E">
      <w:pPr>
        <w:pStyle w:val="ListParagraph"/>
        <w:autoSpaceDE w:val="0"/>
        <w:autoSpaceDN w:val="0"/>
        <w:adjustRightInd w:val="0"/>
        <w:spacing w:after="240" w:line="276" w:lineRule="auto"/>
        <w:ind w:left="1134" w:right="1134"/>
        <w:contextualSpacing w:val="0"/>
        <w:jc w:val="both"/>
        <w:rPr>
          <w:rFonts w:cs="Arial"/>
          <w:b/>
          <w:bCs/>
          <w:sz w:val="24"/>
          <w:szCs w:val="24"/>
        </w:rPr>
      </w:pPr>
      <w:r w:rsidRPr="00A46AD1">
        <w:rPr>
          <w:rFonts w:cs="Arial"/>
          <w:b/>
          <w:bCs/>
          <w:sz w:val="24"/>
          <w:szCs w:val="24"/>
        </w:rPr>
        <w:t>72 Political objects to which restriction applies.</w:t>
      </w:r>
    </w:p>
    <w:p w14:paraId="17649CFE" w14:textId="6584F2CB" w:rsidR="00A46AD1" w:rsidRPr="008A5C40" w:rsidRDefault="00A46AD1" w:rsidP="00CB742E">
      <w:pPr>
        <w:pStyle w:val="ListParagraph"/>
        <w:autoSpaceDE w:val="0"/>
        <w:autoSpaceDN w:val="0"/>
        <w:adjustRightInd w:val="0"/>
        <w:spacing w:after="240" w:line="276" w:lineRule="auto"/>
        <w:ind w:left="1134" w:right="1134" w:firstLine="153"/>
        <w:contextualSpacing w:val="0"/>
        <w:jc w:val="both"/>
        <w:rPr>
          <w:rFonts w:cs="Arial"/>
          <w:b/>
          <w:bCs/>
          <w:sz w:val="24"/>
          <w:szCs w:val="24"/>
        </w:rPr>
      </w:pPr>
      <w:r w:rsidRPr="008A5C40">
        <w:rPr>
          <w:rFonts w:cs="Arial"/>
          <w:sz w:val="24"/>
          <w:szCs w:val="24"/>
        </w:rPr>
        <w:t>(1)</w:t>
      </w:r>
      <w:r w:rsidR="008A5C40" w:rsidRPr="008A5C40">
        <w:rPr>
          <w:rFonts w:cs="Arial"/>
          <w:sz w:val="24"/>
          <w:szCs w:val="24"/>
        </w:rPr>
        <w:t xml:space="preserve"> </w:t>
      </w:r>
      <w:r w:rsidRPr="008A5C40">
        <w:rPr>
          <w:rFonts w:cs="Arial"/>
          <w:sz w:val="24"/>
          <w:szCs w:val="24"/>
        </w:rPr>
        <w:t>The political objects to which this Chapter applies are the expenditure of money—</w:t>
      </w:r>
    </w:p>
    <w:p w14:paraId="09E77140" w14:textId="5552838B"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(a)</w:t>
      </w:r>
      <w:r w:rsidR="008A5C40">
        <w:rPr>
          <w:rFonts w:cs="Arial"/>
          <w:sz w:val="24"/>
          <w:szCs w:val="24"/>
        </w:rPr>
        <w:t xml:space="preserve"> </w:t>
      </w:r>
      <w:r w:rsidRPr="00A46AD1">
        <w:rPr>
          <w:rFonts w:cs="Arial"/>
          <w:sz w:val="24"/>
          <w:szCs w:val="24"/>
        </w:rPr>
        <w:t>on any contribution to the funds of, or on the payment of expenses incurred directly or indirectly by, a political party;</w:t>
      </w:r>
    </w:p>
    <w:p w14:paraId="0EF067D7" w14:textId="598D573E"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(b)</w:t>
      </w:r>
      <w:r w:rsidR="008A5C40">
        <w:rPr>
          <w:rFonts w:cs="Arial"/>
          <w:sz w:val="24"/>
          <w:szCs w:val="24"/>
        </w:rPr>
        <w:t xml:space="preserve"> </w:t>
      </w:r>
      <w:r w:rsidRPr="00A46AD1">
        <w:rPr>
          <w:rFonts w:cs="Arial"/>
          <w:sz w:val="24"/>
          <w:szCs w:val="24"/>
        </w:rPr>
        <w:t>on the provision of any service or property for use by or on behalf of any political party;</w:t>
      </w:r>
    </w:p>
    <w:p w14:paraId="37CC5070" w14:textId="1E58C702"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(c)</w:t>
      </w:r>
      <w:r w:rsidR="008A5C40">
        <w:rPr>
          <w:rFonts w:cs="Arial"/>
          <w:sz w:val="24"/>
          <w:szCs w:val="24"/>
        </w:rPr>
        <w:t xml:space="preserve"> </w:t>
      </w:r>
      <w:r w:rsidRPr="00A46AD1">
        <w:rPr>
          <w:rFonts w:cs="Arial"/>
          <w:sz w:val="24"/>
          <w:szCs w:val="24"/>
        </w:rPr>
        <w:t>in connection with the registration of electors, the candidature of any person, the selection of any candidate or the holding of any ballot by the union in connection with any election to a political office;</w:t>
      </w:r>
    </w:p>
    <w:p w14:paraId="3436AE68" w14:textId="4ED75744"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(d)</w:t>
      </w:r>
      <w:r w:rsidR="008A5C40">
        <w:rPr>
          <w:rFonts w:cs="Arial"/>
          <w:sz w:val="24"/>
          <w:szCs w:val="24"/>
        </w:rPr>
        <w:t xml:space="preserve"> </w:t>
      </w:r>
      <w:r w:rsidRPr="00A46AD1">
        <w:rPr>
          <w:rFonts w:cs="Arial"/>
          <w:sz w:val="24"/>
          <w:szCs w:val="24"/>
        </w:rPr>
        <w:t>on the maintenance of any holder of a political office;</w:t>
      </w:r>
    </w:p>
    <w:p w14:paraId="30CD9DD4" w14:textId="363BA6BE"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(e)</w:t>
      </w:r>
      <w:r w:rsidR="008A5C40">
        <w:rPr>
          <w:rFonts w:cs="Arial"/>
          <w:sz w:val="24"/>
          <w:szCs w:val="24"/>
        </w:rPr>
        <w:t xml:space="preserve"> </w:t>
      </w:r>
      <w:r w:rsidRPr="00A46AD1">
        <w:rPr>
          <w:rFonts w:cs="Arial"/>
          <w:sz w:val="24"/>
          <w:szCs w:val="24"/>
        </w:rPr>
        <w:t>on the holding of any conference or meeting by or on behalf of a political party or of any other meeting the main purpose of which is the transaction of business in connection with a political party;</w:t>
      </w:r>
    </w:p>
    <w:p w14:paraId="5B2CA3E2" w14:textId="2978951A"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(f)</w:t>
      </w:r>
      <w:r w:rsidR="008A5C40">
        <w:rPr>
          <w:rFonts w:cs="Arial"/>
          <w:sz w:val="24"/>
          <w:szCs w:val="24"/>
        </w:rPr>
        <w:t xml:space="preserve"> </w:t>
      </w:r>
      <w:r w:rsidRPr="00A46AD1">
        <w:rPr>
          <w:rFonts w:cs="Arial"/>
          <w:sz w:val="24"/>
          <w:szCs w:val="24"/>
        </w:rPr>
        <w:t>on the production, publication or distribution of any literature, document, film, sound recording or advertisement the main purpose of which is to persuade people to vote for a political party or candidate or to persuade them not to vote for a political party or candidate.</w:t>
      </w:r>
    </w:p>
    <w:p w14:paraId="5A97F515" w14:textId="0A918EE1" w:rsidR="00A46AD1" w:rsidRPr="00A46AD1" w:rsidRDefault="00A46AD1" w:rsidP="00CB742E">
      <w:pPr>
        <w:pStyle w:val="ListParagraph"/>
        <w:autoSpaceDE w:val="0"/>
        <w:autoSpaceDN w:val="0"/>
        <w:adjustRightInd w:val="0"/>
        <w:spacing w:after="240" w:line="276" w:lineRule="auto"/>
        <w:ind w:left="1134" w:right="1134"/>
        <w:contextualSpacing w:val="0"/>
        <w:jc w:val="both"/>
        <w:rPr>
          <w:rFonts w:cs="Arial"/>
          <w:sz w:val="24"/>
          <w:szCs w:val="24"/>
        </w:rPr>
      </w:pPr>
      <w:r w:rsidRPr="00A46AD1">
        <w:rPr>
          <w:rFonts w:cs="Arial"/>
          <w:sz w:val="24"/>
          <w:szCs w:val="24"/>
        </w:rPr>
        <w:t>(2)</w:t>
      </w:r>
      <w:r w:rsidR="00AB13E9">
        <w:rPr>
          <w:rFonts w:cs="Arial"/>
          <w:sz w:val="24"/>
          <w:szCs w:val="24"/>
        </w:rPr>
        <w:t xml:space="preserve"> </w:t>
      </w:r>
      <w:r w:rsidRPr="00A46AD1">
        <w:rPr>
          <w:rFonts w:cs="Arial"/>
          <w:sz w:val="24"/>
          <w:szCs w:val="24"/>
        </w:rPr>
        <w:t>Where a person attends a conference or meeting as a delegate or otherwise as a participator in the proceedings, any expenditure incurred in connection with his attendance as such shall, for the purposes of subsection (1)(e), be taken to be expenditure incurred on the holding of the conference or meeting.</w:t>
      </w:r>
    </w:p>
    <w:p w14:paraId="12A21A9F" w14:textId="136CEC0E" w:rsidR="00A46AD1" w:rsidRPr="00A46AD1" w:rsidRDefault="00A46AD1" w:rsidP="00CB742E">
      <w:pPr>
        <w:pStyle w:val="ListParagraph"/>
        <w:autoSpaceDE w:val="0"/>
        <w:autoSpaceDN w:val="0"/>
        <w:adjustRightInd w:val="0"/>
        <w:spacing w:after="240" w:line="276" w:lineRule="auto"/>
        <w:ind w:left="1134" w:right="1134"/>
        <w:contextualSpacing w:val="0"/>
        <w:jc w:val="both"/>
        <w:rPr>
          <w:rFonts w:cs="Arial"/>
          <w:sz w:val="24"/>
          <w:szCs w:val="24"/>
        </w:rPr>
      </w:pPr>
      <w:r w:rsidRPr="00A46AD1">
        <w:rPr>
          <w:rFonts w:cs="Arial"/>
          <w:sz w:val="24"/>
          <w:szCs w:val="24"/>
        </w:rPr>
        <w:lastRenderedPageBreak/>
        <w:t>(3)</w:t>
      </w:r>
      <w:r w:rsidR="00AB13E9">
        <w:rPr>
          <w:rFonts w:cs="Arial"/>
          <w:sz w:val="24"/>
          <w:szCs w:val="24"/>
        </w:rPr>
        <w:t xml:space="preserve"> </w:t>
      </w:r>
      <w:r w:rsidRPr="00A46AD1">
        <w:rPr>
          <w:rFonts w:cs="Arial"/>
          <w:sz w:val="24"/>
          <w:szCs w:val="24"/>
        </w:rPr>
        <w:t>In determining for the purposes of subsection (1) whether a trade union has incurred expenditure of a kind mentioned in that subsection, no account shall be taken of the ordinary administrative expenses of the union.</w:t>
      </w:r>
    </w:p>
    <w:p w14:paraId="6FE40021" w14:textId="54A88D95" w:rsidR="00A46AD1" w:rsidRPr="00A46AD1" w:rsidRDefault="00A46AD1" w:rsidP="00CB742E">
      <w:pPr>
        <w:pStyle w:val="ListParagraph"/>
        <w:autoSpaceDE w:val="0"/>
        <w:autoSpaceDN w:val="0"/>
        <w:adjustRightInd w:val="0"/>
        <w:spacing w:after="240" w:line="276" w:lineRule="auto"/>
        <w:ind w:left="1134" w:right="1134"/>
        <w:contextualSpacing w:val="0"/>
        <w:jc w:val="both"/>
        <w:rPr>
          <w:rFonts w:cs="Arial"/>
          <w:sz w:val="24"/>
          <w:szCs w:val="24"/>
        </w:rPr>
      </w:pPr>
      <w:r w:rsidRPr="00A46AD1">
        <w:rPr>
          <w:rFonts w:cs="Arial"/>
          <w:sz w:val="24"/>
          <w:szCs w:val="24"/>
        </w:rPr>
        <w:t>(4)</w:t>
      </w:r>
      <w:r w:rsidR="00AB13E9">
        <w:rPr>
          <w:rFonts w:cs="Arial"/>
          <w:sz w:val="24"/>
          <w:szCs w:val="24"/>
        </w:rPr>
        <w:t xml:space="preserve"> </w:t>
      </w:r>
      <w:r w:rsidRPr="00A46AD1">
        <w:rPr>
          <w:rFonts w:cs="Arial"/>
          <w:sz w:val="24"/>
          <w:szCs w:val="24"/>
        </w:rPr>
        <w:t>In this section—</w:t>
      </w:r>
    </w:p>
    <w:p w14:paraId="18E5DEF0"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“candidate” means a candidate for election to a political office and includes a prospective candidate;</w:t>
      </w:r>
    </w:p>
    <w:p w14:paraId="45A654DC"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“contribution”, in relation to the funds of a political party, includes any fee payable for affiliation to, or membership of, the party and any loan made to the party;</w:t>
      </w:r>
    </w:p>
    <w:p w14:paraId="19125431" w14:textId="77777777" w:rsidR="00A46AD1" w:rsidRPr="0014433E" w:rsidRDefault="00A46AD1" w:rsidP="00CB742E">
      <w:pPr>
        <w:pStyle w:val="ListParagraph"/>
        <w:autoSpaceDE w:val="0"/>
        <w:autoSpaceDN w:val="0"/>
        <w:adjustRightInd w:val="0"/>
        <w:spacing w:after="240" w:line="276" w:lineRule="auto"/>
        <w:ind w:left="1134" w:right="1134" w:firstLine="306"/>
        <w:contextualSpacing w:val="0"/>
        <w:jc w:val="both"/>
        <w:rPr>
          <w:rFonts w:cs="Arial"/>
          <w:sz w:val="24"/>
          <w:szCs w:val="24"/>
        </w:rPr>
      </w:pPr>
      <w:r w:rsidRPr="0014433E">
        <w:rPr>
          <w:rFonts w:cs="Arial"/>
          <w:sz w:val="24"/>
          <w:szCs w:val="24"/>
        </w:rPr>
        <w:t>“electors” means electors at an election to a political office;</w:t>
      </w:r>
    </w:p>
    <w:p w14:paraId="6F348E3A"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“film” includes any record, however made, of a sequence of visual images, which is capable of being used as a means of showing that sequence as a moving picture;</w:t>
      </w:r>
    </w:p>
    <w:p w14:paraId="4E412A46"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“local authority” means a local authority within the meaning of section 270 of the Local Government Act 1972 or section 235 of the Local Government (Scotland) Act 1973; and</w:t>
      </w:r>
    </w:p>
    <w:p w14:paraId="34FFAC27"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“political office” means the office of member of Parliament, member of the European Parliament or member of a local authority or any position within a political party.</w:t>
      </w:r>
    </w:p>
    <w:p w14:paraId="0F6A5AB5" w14:textId="06A6F402" w:rsidR="00767239" w:rsidRDefault="00085FCB" w:rsidP="00CB742E">
      <w:pPr>
        <w:pStyle w:val="ListParagraph"/>
        <w:numPr>
          <w:ilvl w:val="0"/>
          <w:numId w:val="5"/>
        </w:numPr>
        <w:spacing w:after="240" w:line="276" w:lineRule="auto"/>
        <w:contextualSpacing w:val="0"/>
        <w:jc w:val="both"/>
        <w:rPr>
          <w:rFonts w:cs="Arial"/>
          <w:sz w:val="24"/>
          <w:szCs w:val="24"/>
        </w:rPr>
      </w:pPr>
      <w:r w:rsidRPr="00767239">
        <w:rPr>
          <w:rFonts w:cs="Arial"/>
          <w:sz w:val="24"/>
          <w:szCs w:val="24"/>
        </w:rPr>
        <w:t xml:space="preserve">Any payments in the furtherance of </w:t>
      </w:r>
      <w:r w:rsidR="005975CE">
        <w:rPr>
          <w:rFonts w:cs="Arial"/>
          <w:sz w:val="24"/>
          <w:szCs w:val="24"/>
        </w:rPr>
        <w:t>these</w:t>
      </w:r>
      <w:r w:rsidRPr="00767239">
        <w:rPr>
          <w:rFonts w:cs="Arial"/>
          <w:sz w:val="24"/>
          <w:szCs w:val="24"/>
        </w:rPr>
        <w:t xml:space="preserve"> political objects shall be made out of a separate fund of the union</w:t>
      </w:r>
      <w:r w:rsidR="00727C90">
        <w:rPr>
          <w:rFonts w:cs="Arial"/>
          <w:sz w:val="24"/>
          <w:szCs w:val="24"/>
        </w:rPr>
        <w:t xml:space="preserve">. This fund shall be </w:t>
      </w:r>
      <w:r w:rsidRPr="00767239">
        <w:rPr>
          <w:rFonts w:cs="Arial"/>
          <w:sz w:val="24"/>
          <w:szCs w:val="24"/>
        </w:rPr>
        <w:t>called the political fund.</w:t>
      </w:r>
    </w:p>
    <w:p w14:paraId="14AE28A3" w14:textId="77777777" w:rsidR="00897FA5" w:rsidRDefault="00C626D6" w:rsidP="00CB742E">
      <w:pPr>
        <w:pStyle w:val="ListParagraph"/>
        <w:numPr>
          <w:ilvl w:val="0"/>
          <w:numId w:val="5"/>
        </w:numPr>
        <w:spacing w:line="276" w:lineRule="auto"/>
        <w:jc w:val="both"/>
        <w:rPr>
          <w:rFonts w:eastAsia="Times New Roman" w:cs="Arial"/>
          <w:sz w:val="24"/>
          <w:szCs w:val="24"/>
          <w:lang w:eastAsia="en-GB"/>
        </w:rPr>
      </w:pPr>
      <w:r>
        <w:rPr>
          <w:rFonts w:eastAsia="Times New Roman" w:cs="Arial"/>
          <w:sz w:val="24"/>
          <w:szCs w:val="24"/>
          <w:lang w:eastAsia="en-GB"/>
        </w:rPr>
        <w:t>[</w:t>
      </w:r>
      <w:r w:rsidRPr="00C91D1A">
        <w:rPr>
          <w:rFonts w:eastAsia="Times New Roman" w:cs="Arial"/>
          <w:sz w:val="24"/>
          <w:szCs w:val="24"/>
          <w:highlight w:val="green"/>
          <w:lang w:eastAsia="en-GB"/>
        </w:rPr>
        <w:t>Unions delete as appropriate</w:t>
      </w:r>
      <w:r>
        <w:rPr>
          <w:rFonts w:eastAsia="Times New Roman" w:cs="Arial"/>
          <w:sz w:val="24"/>
          <w:szCs w:val="24"/>
          <w:lang w:eastAsia="en-GB"/>
        </w:rPr>
        <w:t xml:space="preserve">] </w:t>
      </w:r>
    </w:p>
    <w:p w14:paraId="4AA8DE82" w14:textId="01707308" w:rsidR="00897FA5" w:rsidRDefault="00593E23" w:rsidP="00CB742E">
      <w:pPr>
        <w:pStyle w:val="ListParagraph"/>
        <w:spacing w:line="276" w:lineRule="auto"/>
        <w:ind w:left="567"/>
        <w:contextualSpacing w:val="0"/>
        <w:jc w:val="both"/>
        <w:rPr>
          <w:rFonts w:eastAsia="Times New Roman" w:cs="Arial"/>
          <w:sz w:val="24"/>
          <w:szCs w:val="24"/>
          <w:lang w:eastAsia="en-GB"/>
        </w:rPr>
      </w:pPr>
      <w:r>
        <w:rPr>
          <w:rFonts w:eastAsia="Times New Roman" w:cs="Arial"/>
          <w:sz w:val="24"/>
          <w:szCs w:val="24"/>
          <w:lang w:eastAsia="en-GB"/>
        </w:rPr>
        <w:t>[</w:t>
      </w:r>
      <w:r w:rsidR="00897FA5" w:rsidRPr="00593E23">
        <w:rPr>
          <w:rFonts w:eastAsia="Times New Roman" w:cs="Arial"/>
          <w:sz w:val="24"/>
          <w:szCs w:val="24"/>
          <w:highlight w:val="green"/>
          <w:lang w:eastAsia="en-GB"/>
        </w:rPr>
        <w:t>Option A</w:t>
      </w:r>
      <w:r>
        <w:rPr>
          <w:rFonts w:eastAsia="Times New Roman" w:cs="Arial"/>
          <w:sz w:val="24"/>
          <w:szCs w:val="24"/>
          <w:lang w:eastAsia="en-GB"/>
        </w:rPr>
        <w:t>]</w:t>
      </w:r>
      <w:r w:rsidR="00897FA5">
        <w:rPr>
          <w:rFonts w:eastAsia="Times New Roman" w:cs="Arial"/>
          <w:sz w:val="24"/>
          <w:szCs w:val="24"/>
          <w:lang w:eastAsia="en-GB"/>
        </w:rPr>
        <w:t xml:space="preserve"> </w:t>
      </w:r>
      <w:r w:rsidR="00897FA5" w:rsidRPr="00897FA5">
        <w:rPr>
          <w:rFonts w:eastAsia="Times New Roman" w:cs="Arial"/>
          <w:sz w:val="24"/>
          <w:szCs w:val="24"/>
          <w:lang w:eastAsia="en-GB"/>
        </w:rPr>
        <w:t xml:space="preserve">The union </w:t>
      </w:r>
      <w:r>
        <w:rPr>
          <w:rFonts w:eastAsia="Times New Roman" w:cs="Arial"/>
          <w:sz w:val="24"/>
          <w:szCs w:val="24"/>
          <w:lang w:eastAsia="en-GB"/>
        </w:rPr>
        <w:t>shall</w:t>
      </w:r>
      <w:r w:rsidR="00897FA5" w:rsidRPr="00897FA5">
        <w:rPr>
          <w:rFonts w:eastAsia="Times New Roman" w:cs="Arial"/>
          <w:sz w:val="24"/>
          <w:szCs w:val="24"/>
          <w:lang w:eastAsia="en-GB"/>
        </w:rPr>
        <w:t xml:space="preserve"> make clear how much of any </w:t>
      </w:r>
      <w:r>
        <w:rPr>
          <w:rFonts w:eastAsia="Times New Roman" w:cs="Arial"/>
          <w:sz w:val="24"/>
          <w:szCs w:val="24"/>
          <w:lang w:eastAsia="en-GB"/>
        </w:rPr>
        <w:t>membership subscription</w:t>
      </w:r>
      <w:r w:rsidR="00897FA5" w:rsidRPr="00897FA5">
        <w:rPr>
          <w:rFonts w:eastAsia="Times New Roman" w:cs="Arial"/>
          <w:sz w:val="24"/>
          <w:szCs w:val="24"/>
          <w:lang w:eastAsia="en-GB"/>
        </w:rPr>
        <w:t xml:space="preserve"> is for the political fund. If the political fund is charged as a separate levy, the union shall set the amount at </w:t>
      </w:r>
      <w:r w:rsidR="00B578F6" w:rsidRPr="00897FA5">
        <w:rPr>
          <w:rFonts w:eastAsia="Times New Roman" w:cs="Arial"/>
          <w:sz w:val="24"/>
          <w:szCs w:val="24"/>
          <w:lang w:eastAsia="en-GB"/>
        </w:rPr>
        <w:t>£</w:t>
      </w:r>
      <w:r w:rsidR="00B578F6">
        <w:rPr>
          <w:rFonts w:eastAsia="Times New Roman" w:cs="Arial"/>
          <w:sz w:val="24"/>
          <w:szCs w:val="24"/>
          <w:lang w:eastAsia="en-GB"/>
        </w:rPr>
        <w:t xml:space="preserve"> [</w:t>
      </w:r>
      <w:r w:rsidR="00B578F6" w:rsidRPr="004C339E">
        <w:rPr>
          <w:rFonts w:eastAsia="Times New Roman" w:cs="Arial"/>
          <w:sz w:val="24"/>
          <w:szCs w:val="24"/>
          <w:highlight w:val="yellow"/>
          <w:lang w:eastAsia="en-GB"/>
        </w:rPr>
        <w:t>##</w:t>
      </w:r>
      <w:r w:rsidR="00B578F6">
        <w:rPr>
          <w:rFonts w:eastAsia="Times New Roman" w:cs="Arial"/>
          <w:sz w:val="24"/>
          <w:szCs w:val="24"/>
          <w:lang w:eastAsia="en-GB"/>
        </w:rPr>
        <w:t>]</w:t>
      </w:r>
      <w:r w:rsidR="00897FA5" w:rsidRPr="00897FA5">
        <w:rPr>
          <w:rFonts w:eastAsia="Times New Roman" w:cs="Arial"/>
          <w:sz w:val="24"/>
          <w:szCs w:val="24"/>
          <w:lang w:eastAsia="en-GB"/>
        </w:rPr>
        <w:t xml:space="preserve"> (per week/month/quarter/year).</w:t>
      </w:r>
      <w:r w:rsidR="005650F0">
        <w:rPr>
          <w:rFonts w:eastAsia="Times New Roman" w:cs="Arial"/>
          <w:sz w:val="24"/>
          <w:szCs w:val="24"/>
          <w:lang w:eastAsia="en-GB"/>
        </w:rPr>
        <w:t xml:space="preserve"> </w:t>
      </w:r>
      <w:r w:rsidR="00897FA5" w:rsidRPr="00897FA5">
        <w:rPr>
          <w:rFonts w:eastAsia="Times New Roman" w:cs="Arial"/>
          <w:sz w:val="24"/>
          <w:szCs w:val="24"/>
          <w:lang w:eastAsia="en-GB"/>
        </w:rPr>
        <w:t>The union shall ensure that members who have opted out do not pay this levy.</w:t>
      </w:r>
    </w:p>
    <w:p w14:paraId="33B23BB1" w14:textId="77777777" w:rsidR="00593E23" w:rsidRPr="00897FA5" w:rsidRDefault="00593E23" w:rsidP="00CB742E">
      <w:pPr>
        <w:pStyle w:val="ListParagraph"/>
        <w:spacing w:line="276" w:lineRule="auto"/>
        <w:ind w:left="567"/>
        <w:contextualSpacing w:val="0"/>
        <w:jc w:val="both"/>
        <w:rPr>
          <w:rFonts w:eastAsia="Times New Roman" w:cs="Arial"/>
          <w:sz w:val="24"/>
          <w:szCs w:val="24"/>
          <w:lang w:eastAsia="en-GB"/>
        </w:rPr>
      </w:pPr>
    </w:p>
    <w:p w14:paraId="19F0D4D5" w14:textId="0B092242" w:rsidR="00593E23" w:rsidRPr="00593E23" w:rsidRDefault="00593E23" w:rsidP="00CB742E">
      <w:pPr>
        <w:pStyle w:val="ListParagraph"/>
        <w:spacing w:line="276" w:lineRule="auto"/>
        <w:ind w:left="567"/>
        <w:contextualSpacing w:val="0"/>
        <w:jc w:val="both"/>
        <w:rPr>
          <w:rFonts w:eastAsia="Times New Roman" w:cs="Arial"/>
          <w:sz w:val="24"/>
          <w:szCs w:val="24"/>
          <w:lang w:eastAsia="en-GB"/>
        </w:rPr>
      </w:pPr>
      <w:r>
        <w:rPr>
          <w:rFonts w:eastAsia="Times New Roman" w:cs="Arial"/>
          <w:sz w:val="24"/>
          <w:szCs w:val="24"/>
          <w:lang w:eastAsia="en-GB"/>
        </w:rPr>
        <w:t>[</w:t>
      </w:r>
      <w:r w:rsidR="005650F0" w:rsidRPr="00593E23">
        <w:rPr>
          <w:rFonts w:eastAsia="Times New Roman" w:cs="Arial"/>
          <w:sz w:val="24"/>
          <w:szCs w:val="24"/>
          <w:highlight w:val="green"/>
          <w:lang w:eastAsia="en-GB"/>
        </w:rPr>
        <w:t xml:space="preserve">Option </w:t>
      </w:r>
      <w:r w:rsidR="00C91D1A" w:rsidRPr="00593E23">
        <w:rPr>
          <w:rFonts w:eastAsia="Times New Roman" w:cs="Arial"/>
          <w:sz w:val="24"/>
          <w:szCs w:val="24"/>
          <w:highlight w:val="green"/>
          <w:lang w:eastAsia="en-GB"/>
        </w:rPr>
        <w:t>B</w:t>
      </w:r>
      <w:r>
        <w:rPr>
          <w:rFonts w:eastAsia="Times New Roman" w:cs="Arial"/>
          <w:sz w:val="24"/>
          <w:szCs w:val="24"/>
          <w:lang w:eastAsia="en-GB"/>
        </w:rPr>
        <w:t xml:space="preserve">] </w:t>
      </w:r>
      <w:r w:rsidRPr="00593E23">
        <w:rPr>
          <w:rFonts w:eastAsia="Times New Roman" w:cs="Arial"/>
          <w:sz w:val="24"/>
          <w:szCs w:val="24"/>
          <w:lang w:eastAsia="en-GB"/>
        </w:rPr>
        <w:t xml:space="preserve">The union </w:t>
      </w:r>
      <w:r>
        <w:rPr>
          <w:rFonts w:eastAsia="Times New Roman" w:cs="Arial"/>
          <w:sz w:val="24"/>
          <w:szCs w:val="24"/>
          <w:lang w:eastAsia="en-GB"/>
        </w:rPr>
        <w:t>shall</w:t>
      </w:r>
      <w:r w:rsidRPr="00593E23">
        <w:rPr>
          <w:rFonts w:eastAsia="Times New Roman" w:cs="Arial"/>
          <w:sz w:val="24"/>
          <w:szCs w:val="24"/>
          <w:lang w:eastAsia="en-GB"/>
        </w:rPr>
        <w:t xml:space="preserve"> make clear how much of any regular contribution is for the political fund. If the political fund is included in regular contributions, the union shall specify that </w:t>
      </w:r>
      <w:r w:rsidR="00B578F6" w:rsidRPr="00593E23">
        <w:rPr>
          <w:rFonts w:eastAsia="Times New Roman" w:cs="Arial"/>
          <w:sz w:val="24"/>
          <w:szCs w:val="24"/>
          <w:lang w:eastAsia="en-GB"/>
        </w:rPr>
        <w:t>£</w:t>
      </w:r>
      <w:r w:rsidR="00B578F6">
        <w:rPr>
          <w:rFonts w:eastAsia="Times New Roman" w:cs="Arial"/>
          <w:sz w:val="24"/>
          <w:szCs w:val="24"/>
          <w:lang w:eastAsia="en-GB"/>
        </w:rPr>
        <w:t xml:space="preserve"> [</w:t>
      </w:r>
      <w:r w:rsidR="00B578F6" w:rsidRPr="004C339E">
        <w:rPr>
          <w:rFonts w:eastAsia="Times New Roman" w:cs="Arial"/>
          <w:sz w:val="24"/>
          <w:szCs w:val="24"/>
          <w:highlight w:val="yellow"/>
          <w:lang w:eastAsia="en-GB"/>
        </w:rPr>
        <w:t>##</w:t>
      </w:r>
      <w:r w:rsidR="00B578F6">
        <w:rPr>
          <w:rFonts w:eastAsia="Times New Roman" w:cs="Arial"/>
          <w:sz w:val="24"/>
          <w:szCs w:val="24"/>
          <w:lang w:eastAsia="en-GB"/>
        </w:rPr>
        <w:t>]</w:t>
      </w:r>
      <w:r w:rsidRPr="00593E23">
        <w:rPr>
          <w:rFonts w:eastAsia="Times New Roman" w:cs="Arial"/>
          <w:sz w:val="24"/>
          <w:szCs w:val="24"/>
          <w:lang w:eastAsia="en-GB"/>
        </w:rPr>
        <w:t xml:space="preserve"> of each (weekly/monthly/quarterly/annual) contribution is for the political fund.</w:t>
      </w:r>
      <w:r>
        <w:rPr>
          <w:rFonts w:eastAsia="Times New Roman" w:cs="Arial"/>
          <w:sz w:val="24"/>
          <w:szCs w:val="24"/>
          <w:lang w:eastAsia="en-GB"/>
        </w:rPr>
        <w:t xml:space="preserve"> </w:t>
      </w:r>
      <w:r w:rsidRPr="00593E23">
        <w:rPr>
          <w:rFonts w:eastAsia="Times New Roman" w:cs="Arial"/>
          <w:sz w:val="24"/>
          <w:szCs w:val="24"/>
          <w:lang w:eastAsia="en-GB"/>
        </w:rPr>
        <w:t>The union shall ensure that members who have opted out do not pay this amount, by reducing or removing it from their contribution.</w:t>
      </w:r>
    </w:p>
    <w:p w14:paraId="6B5DEC01" w14:textId="4721B1C4" w:rsidR="00295F05" w:rsidRPr="00295F05" w:rsidRDefault="00295F05" w:rsidP="00CB742E">
      <w:pPr>
        <w:pStyle w:val="ListParagraph"/>
        <w:spacing w:line="300" w:lineRule="atLeast"/>
        <w:ind w:left="567"/>
        <w:jc w:val="both"/>
        <w:rPr>
          <w:rFonts w:eastAsia="Times New Roman" w:cs="Arial"/>
          <w:sz w:val="24"/>
          <w:szCs w:val="24"/>
          <w:lang w:eastAsia="en-GB"/>
        </w:rPr>
      </w:pPr>
    </w:p>
    <w:p w14:paraId="7E121B6C" w14:textId="1F1FC558" w:rsidR="00767239" w:rsidRPr="00D36A26" w:rsidRDefault="001B1008" w:rsidP="00D36A26">
      <w:pPr>
        <w:pStyle w:val="ListParagraph"/>
        <w:numPr>
          <w:ilvl w:val="0"/>
          <w:numId w:val="5"/>
        </w:numPr>
        <w:spacing w:before="240" w:after="240" w:line="276" w:lineRule="auto"/>
        <w:contextualSpacing w:val="0"/>
        <w:jc w:val="both"/>
        <w:rPr>
          <w:rFonts w:cs="Arial"/>
          <w:sz w:val="24"/>
          <w:szCs w:val="24"/>
        </w:rPr>
      </w:pPr>
      <w:r w:rsidRPr="00767239">
        <w:rPr>
          <w:rFonts w:cs="Arial"/>
          <w:sz w:val="24"/>
          <w:szCs w:val="24"/>
        </w:rPr>
        <w:lastRenderedPageBreak/>
        <w:t>A</w:t>
      </w:r>
      <w:r w:rsidR="00A87C01">
        <w:rPr>
          <w:rFonts w:cs="Arial"/>
          <w:sz w:val="24"/>
          <w:szCs w:val="24"/>
        </w:rPr>
        <w:t>ny</w:t>
      </w:r>
      <w:r w:rsidRPr="00767239">
        <w:rPr>
          <w:rFonts w:cs="Arial"/>
          <w:sz w:val="24"/>
          <w:szCs w:val="24"/>
        </w:rPr>
        <w:t xml:space="preserve"> member who </w:t>
      </w:r>
      <w:r w:rsidR="00E679BE">
        <w:rPr>
          <w:rFonts w:cs="Arial"/>
          <w:sz w:val="24"/>
          <w:szCs w:val="24"/>
        </w:rPr>
        <w:t>chooses not</w:t>
      </w:r>
      <w:r w:rsidRPr="00767239">
        <w:rPr>
          <w:rFonts w:cs="Arial"/>
          <w:sz w:val="24"/>
          <w:szCs w:val="24"/>
        </w:rPr>
        <w:t xml:space="preserve"> to contribute to the political fund of the union shall not be excluded from any benefits of the </w:t>
      </w:r>
      <w:r w:rsidR="00D147F0" w:rsidRPr="00767239">
        <w:rPr>
          <w:rFonts w:cs="Arial"/>
          <w:sz w:val="24"/>
          <w:szCs w:val="24"/>
        </w:rPr>
        <w:t>union or</w:t>
      </w:r>
      <w:r w:rsidRPr="00767239">
        <w:rPr>
          <w:rFonts w:cs="Arial"/>
          <w:sz w:val="24"/>
          <w:szCs w:val="24"/>
        </w:rPr>
        <w:t xml:space="preserve"> placed in any respect either directly or indirectly under any disability or disadvantage as compared with other members of the union (except in relation to the control or management of the political fund).</w:t>
      </w:r>
      <w:r w:rsidR="00D36A26" w:rsidRPr="00D36A26">
        <w:rPr>
          <w:rFonts w:ascii="Segoe UI" w:eastAsia="Times New Roman" w:hAnsi="Segoe UI" w:cs="Segoe UI"/>
          <w:b/>
          <w:bCs/>
          <w:i/>
          <w:iCs/>
          <w:sz w:val="18"/>
          <w:szCs w:val="18"/>
          <w:lang w:eastAsia="en-GB"/>
        </w:rPr>
        <w:t xml:space="preserve"> </w:t>
      </w:r>
      <w:r w:rsidR="00D36A26" w:rsidRPr="00D36A26">
        <w:rPr>
          <w:rFonts w:cs="Arial"/>
          <w:sz w:val="24"/>
          <w:szCs w:val="24"/>
        </w:rPr>
        <w:t>Any form (including an electronic form) that a person has to complete to become a member of the union must include a statement to that effect, as well as a statement to the effect that the person may opt out of contributing to the political fund.</w:t>
      </w:r>
    </w:p>
    <w:p w14:paraId="75FE63DB" w14:textId="3C6EEBAD" w:rsidR="00767239" w:rsidRPr="001719D6" w:rsidRDefault="001F0860" w:rsidP="00D36A26">
      <w:pPr>
        <w:pStyle w:val="ListParagraph"/>
        <w:numPr>
          <w:ilvl w:val="0"/>
          <w:numId w:val="5"/>
        </w:numPr>
        <w:spacing w:after="240" w:line="300" w:lineRule="atLeast"/>
        <w:contextualSpacing w:val="0"/>
        <w:jc w:val="both"/>
        <w:rPr>
          <w:rFonts w:eastAsia="Times New Roman" w:cs="Arial"/>
          <w:sz w:val="24"/>
          <w:szCs w:val="24"/>
          <w:lang w:eastAsia="en-GB"/>
        </w:rPr>
      </w:pPr>
      <w:r w:rsidRPr="001F0860">
        <w:rPr>
          <w:rFonts w:eastAsia="Times New Roman" w:cs="Arial"/>
          <w:sz w:val="24"/>
          <w:szCs w:val="24"/>
          <w:lang w:eastAsia="en-GB"/>
        </w:rPr>
        <w:t>Any member who claims to be aggrieved by a breach of these political fund rules may complain to the Certification Officer. After making such enquiries as they think fit, the Certification Officer shall give both the complainant and a representative of the union an opportunity to make written representations</w:t>
      </w:r>
      <w:r w:rsidR="008830AF">
        <w:rPr>
          <w:rFonts w:eastAsia="Times New Roman" w:cs="Arial"/>
          <w:sz w:val="24"/>
          <w:szCs w:val="24"/>
          <w:lang w:eastAsia="en-GB"/>
        </w:rPr>
        <w:t xml:space="preserve">. They may also give </w:t>
      </w:r>
      <w:r w:rsidR="002D6072">
        <w:rPr>
          <w:rFonts w:eastAsia="Times New Roman" w:cs="Arial"/>
          <w:sz w:val="24"/>
          <w:szCs w:val="24"/>
          <w:lang w:eastAsia="en-GB"/>
        </w:rPr>
        <w:t>both the complainant and a</w:t>
      </w:r>
      <w:r w:rsidR="008830AF">
        <w:rPr>
          <w:rFonts w:eastAsia="Times New Roman" w:cs="Arial"/>
          <w:sz w:val="24"/>
          <w:szCs w:val="24"/>
          <w:lang w:eastAsia="en-GB"/>
        </w:rPr>
        <w:t xml:space="preserve"> representative of the union</w:t>
      </w:r>
      <w:r w:rsidR="002D6072">
        <w:rPr>
          <w:rFonts w:eastAsia="Times New Roman" w:cs="Arial"/>
          <w:sz w:val="24"/>
          <w:szCs w:val="24"/>
          <w:lang w:eastAsia="en-GB"/>
        </w:rPr>
        <w:t xml:space="preserve"> an opportunity to make</w:t>
      </w:r>
      <w:r w:rsidRPr="001F0860">
        <w:rPr>
          <w:rFonts w:eastAsia="Times New Roman" w:cs="Arial"/>
          <w:sz w:val="24"/>
          <w:szCs w:val="24"/>
          <w:lang w:eastAsia="en-GB"/>
        </w:rPr>
        <w:t xml:space="preserve"> </w:t>
      </w:r>
      <w:r w:rsidR="00D36A26">
        <w:rPr>
          <w:rFonts w:eastAsia="Times New Roman" w:cs="Arial"/>
          <w:sz w:val="24"/>
          <w:szCs w:val="24"/>
          <w:lang w:eastAsia="en-GB"/>
        </w:rPr>
        <w:t xml:space="preserve">oral </w:t>
      </w:r>
      <w:r w:rsidRPr="001F0860">
        <w:rPr>
          <w:rFonts w:eastAsia="Times New Roman" w:cs="Arial"/>
          <w:sz w:val="24"/>
          <w:szCs w:val="24"/>
          <w:lang w:eastAsia="en-GB"/>
        </w:rPr>
        <w:t>representations.</w:t>
      </w:r>
      <w:r w:rsidR="001719D6">
        <w:rPr>
          <w:rFonts w:eastAsia="Times New Roman" w:cs="Arial"/>
          <w:sz w:val="24"/>
          <w:szCs w:val="24"/>
          <w:lang w:eastAsia="en-GB"/>
        </w:rPr>
        <w:t xml:space="preserve"> After this, </w:t>
      </w:r>
      <w:r w:rsidR="00085FCB" w:rsidRPr="001719D6">
        <w:rPr>
          <w:rFonts w:cs="Arial"/>
          <w:sz w:val="24"/>
          <w:szCs w:val="24"/>
        </w:rPr>
        <w:t xml:space="preserve">if </w:t>
      </w:r>
      <w:r w:rsidR="00BA5262" w:rsidRPr="001719D6">
        <w:rPr>
          <w:rFonts w:cs="Arial"/>
          <w:sz w:val="24"/>
          <w:szCs w:val="24"/>
        </w:rPr>
        <w:t>the</w:t>
      </w:r>
      <w:r w:rsidR="002D6072">
        <w:rPr>
          <w:rFonts w:cs="Arial"/>
          <w:sz w:val="24"/>
          <w:szCs w:val="24"/>
        </w:rPr>
        <w:t xml:space="preserve"> Certification Officer</w:t>
      </w:r>
      <w:r w:rsidR="00085FCB" w:rsidRPr="001719D6">
        <w:rPr>
          <w:rFonts w:cs="Arial"/>
          <w:sz w:val="24"/>
          <w:szCs w:val="24"/>
        </w:rPr>
        <w:t xml:space="preserve"> consider</w:t>
      </w:r>
      <w:r w:rsidR="002D6072">
        <w:rPr>
          <w:rFonts w:cs="Arial"/>
          <w:sz w:val="24"/>
          <w:szCs w:val="24"/>
        </w:rPr>
        <w:t>s</w:t>
      </w:r>
      <w:r w:rsidR="00085FCB" w:rsidRPr="001719D6">
        <w:rPr>
          <w:rFonts w:cs="Arial"/>
          <w:sz w:val="24"/>
          <w:szCs w:val="24"/>
        </w:rPr>
        <w:t xml:space="preserve"> that such a breach has been committed, </w:t>
      </w:r>
      <w:r w:rsidR="002D6072">
        <w:rPr>
          <w:rFonts w:cs="Arial"/>
          <w:sz w:val="24"/>
          <w:szCs w:val="24"/>
        </w:rPr>
        <w:t xml:space="preserve">they </w:t>
      </w:r>
      <w:r w:rsidR="00085FCB" w:rsidRPr="001719D6">
        <w:rPr>
          <w:rFonts w:cs="Arial"/>
          <w:sz w:val="24"/>
          <w:szCs w:val="24"/>
        </w:rPr>
        <w:t xml:space="preserve">make such order for remedying the breach as </w:t>
      </w:r>
      <w:r w:rsidR="00BA5262" w:rsidRPr="001719D6">
        <w:rPr>
          <w:rFonts w:cs="Arial"/>
          <w:sz w:val="24"/>
          <w:szCs w:val="24"/>
        </w:rPr>
        <w:t>they</w:t>
      </w:r>
      <w:r w:rsidR="00085FCB" w:rsidRPr="001719D6">
        <w:rPr>
          <w:rFonts w:cs="Arial"/>
          <w:sz w:val="24"/>
          <w:szCs w:val="24"/>
        </w:rPr>
        <w:t xml:space="preserve"> think </w:t>
      </w:r>
      <w:r w:rsidR="00BA5262" w:rsidRPr="001719D6">
        <w:rPr>
          <w:rFonts w:cs="Arial"/>
          <w:sz w:val="24"/>
          <w:szCs w:val="24"/>
        </w:rPr>
        <w:t>appropriate</w:t>
      </w:r>
      <w:r w:rsidR="00085FCB" w:rsidRPr="001719D6">
        <w:rPr>
          <w:rFonts w:cs="Arial"/>
          <w:sz w:val="24"/>
          <w:szCs w:val="24"/>
        </w:rPr>
        <w:t xml:space="preserve"> in the circumstances.  Any such order of the Certification Officer may, subject to the right of appeal provided by section 95 of the 1992 Act, be enforced in the manner provided for in section</w:t>
      </w:r>
      <w:r w:rsidR="4AC04279" w:rsidRPr="001719D6">
        <w:rPr>
          <w:rFonts w:cs="Arial"/>
          <w:sz w:val="24"/>
          <w:szCs w:val="24"/>
        </w:rPr>
        <w:t>s</w:t>
      </w:r>
      <w:r w:rsidR="00085FCB" w:rsidRPr="001719D6">
        <w:rPr>
          <w:rFonts w:cs="Arial"/>
          <w:sz w:val="24"/>
          <w:szCs w:val="24"/>
        </w:rPr>
        <w:t xml:space="preserve"> 8</w:t>
      </w:r>
      <w:r w:rsidR="00332A37" w:rsidRPr="001719D6">
        <w:rPr>
          <w:rFonts w:cs="Arial"/>
          <w:sz w:val="24"/>
          <w:szCs w:val="24"/>
        </w:rPr>
        <w:t>2</w:t>
      </w:r>
      <w:r w:rsidR="001A6387" w:rsidRPr="001719D6">
        <w:rPr>
          <w:rFonts w:cs="Arial"/>
          <w:sz w:val="24"/>
          <w:szCs w:val="24"/>
        </w:rPr>
        <w:t>(</w:t>
      </w:r>
      <w:r w:rsidR="00BC747E" w:rsidRPr="001719D6">
        <w:rPr>
          <w:rFonts w:cs="Arial"/>
          <w:sz w:val="24"/>
          <w:szCs w:val="24"/>
        </w:rPr>
        <w:t>4A) and 8</w:t>
      </w:r>
      <w:r w:rsidR="00D36A26">
        <w:rPr>
          <w:rFonts w:cs="Arial"/>
          <w:sz w:val="24"/>
          <w:szCs w:val="24"/>
        </w:rPr>
        <w:t>2</w:t>
      </w:r>
      <w:r w:rsidR="00BC747E" w:rsidRPr="001719D6">
        <w:rPr>
          <w:rFonts w:cs="Arial"/>
          <w:sz w:val="24"/>
          <w:szCs w:val="24"/>
        </w:rPr>
        <w:t>(4B)</w:t>
      </w:r>
      <w:r w:rsidR="00085FCB" w:rsidRPr="001719D6">
        <w:rPr>
          <w:rFonts w:cs="Arial"/>
          <w:sz w:val="24"/>
          <w:szCs w:val="24"/>
        </w:rPr>
        <w:t xml:space="preserve"> of the 1992 Act.</w:t>
      </w:r>
    </w:p>
    <w:p w14:paraId="7742C3C1" w14:textId="77777777" w:rsidR="001719D6" w:rsidRPr="001719D6" w:rsidRDefault="001719D6" w:rsidP="00CB742E">
      <w:pPr>
        <w:pStyle w:val="ListParagraph"/>
        <w:spacing w:line="300" w:lineRule="atLeast"/>
        <w:ind w:left="567"/>
        <w:jc w:val="both"/>
        <w:rPr>
          <w:rFonts w:eastAsia="Times New Roman" w:cs="Arial"/>
          <w:sz w:val="24"/>
          <w:szCs w:val="24"/>
          <w:lang w:eastAsia="en-GB"/>
        </w:rPr>
      </w:pPr>
    </w:p>
    <w:p w14:paraId="73530367" w14:textId="347C5551" w:rsidR="00767239" w:rsidRDefault="003B6121" w:rsidP="00CB742E">
      <w:pPr>
        <w:pStyle w:val="ListParagraph"/>
        <w:numPr>
          <w:ilvl w:val="0"/>
          <w:numId w:val="5"/>
        </w:numPr>
        <w:spacing w:after="240" w:line="276" w:lineRule="auto"/>
        <w:contextualSpacing w:val="0"/>
        <w:jc w:val="both"/>
        <w:rPr>
          <w:rFonts w:cs="Arial"/>
          <w:sz w:val="24"/>
          <w:szCs w:val="24"/>
        </w:rPr>
      </w:pPr>
      <w:r w:rsidRPr="00767239">
        <w:rPr>
          <w:rFonts w:cs="Arial"/>
          <w:sz w:val="24"/>
          <w:szCs w:val="24"/>
        </w:rPr>
        <w:t>Contribution to the political fund of the union shall not be made a condition for admission to the unio</w:t>
      </w:r>
      <w:r w:rsidR="00D36A26">
        <w:rPr>
          <w:rFonts w:cs="Arial"/>
          <w:sz w:val="24"/>
          <w:szCs w:val="24"/>
        </w:rPr>
        <w:t xml:space="preserve">n, </w:t>
      </w:r>
      <w:r w:rsidR="00D36A26" w:rsidRPr="00D36A26">
        <w:rPr>
          <w:rFonts w:cs="Arial"/>
          <w:sz w:val="24"/>
          <w:szCs w:val="24"/>
        </w:rPr>
        <w:t xml:space="preserve">and </w:t>
      </w:r>
      <w:r w:rsidR="00D36A26">
        <w:rPr>
          <w:rFonts w:cs="Arial"/>
          <w:sz w:val="24"/>
          <w:szCs w:val="24"/>
        </w:rPr>
        <w:t>m</w:t>
      </w:r>
      <w:r w:rsidR="00D36A26" w:rsidRPr="00D36A26">
        <w:rPr>
          <w:rFonts w:cs="Arial"/>
          <w:sz w:val="24"/>
          <w:szCs w:val="24"/>
        </w:rPr>
        <w:t>embers of the union who choose not to contribute to the political fund must not be placed under any obligation to do so.</w:t>
      </w:r>
    </w:p>
    <w:p w14:paraId="45649A22" w14:textId="310E4D46" w:rsidR="00085FCB" w:rsidRPr="00767239" w:rsidRDefault="00085FCB" w:rsidP="00CB742E">
      <w:pPr>
        <w:pStyle w:val="ListParagraph"/>
        <w:numPr>
          <w:ilvl w:val="0"/>
          <w:numId w:val="5"/>
        </w:numPr>
        <w:spacing w:after="240" w:line="276" w:lineRule="auto"/>
        <w:contextualSpacing w:val="0"/>
        <w:jc w:val="both"/>
        <w:rPr>
          <w:rFonts w:cs="Arial"/>
          <w:sz w:val="24"/>
          <w:szCs w:val="24"/>
        </w:rPr>
      </w:pPr>
      <w:r w:rsidRPr="00767239">
        <w:rPr>
          <w:rFonts w:cs="Arial"/>
          <w:sz w:val="24"/>
          <w:szCs w:val="24"/>
        </w:rPr>
        <w:t>The union shall ensure that a copy of the political fund rules is available, free of charge, to any member of the union who requests a copy.</w:t>
      </w:r>
    </w:p>
    <w:p w14:paraId="2BCC9426" w14:textId="2ED6C82A" w:rsidR="00B87A55" w:rsidRPr="00FA5F7D" w:rsidRDefault="00B029D5" w:rsidP="00CB742E">
      <w:pPr>
        <w:pStyle w:val="Heading1"/>
      </w:pPr>
      <w:bookmarkStart w:id="1" w:name="_Toc217465227"/>
      <w:r>
        <w:t>Opt-out information notices</w:t>
      </w:r>
      <w:bookmarkEnd w:id="1"/>
    </w:p>
    <w:p w14:paraId="0ABDBECE" w14:textId="64630CCB" w:rsidR="00767239" w:rsidRPr="0024557A" w:rsidRDefault="006F658C" w:rsidP="00CB742E">
      <w:pPr>
        <w:pStyle w:val="ListParagraph"/>
        <w:numPr>
          <w:ilvl w:val="0"/>
          <w:numId w:val="5"/>
        </w:numPr>
        <w:spacing w:after="240" w:line="276" w:lineRule="auto"/>
        <w:contextualSpacing w:val="0"/>
        <w:jc w:val="both"/>
        <w:rPr>
          <w:rFonts w:eastAsia="Times New Roman" w:cs="Arial"/>
          <w:sz w:val="24"/>
          <w:szCs w:val="24"/>
          <w:lang w:eastAsia="en-GB"/>
        </w:rPr>
      </w:pPr>
      <w:r w:rsidRPr="3E07C14D">
        <w:rPr>
          <w:rFonts w:eastAsia="Times New Roman" w:cs="Arial"/>
          <w:sz w:val="24"/>
          <w:szCs w:val="24"/>
          <w:lang w:eastAsia="en-GB"/>
        </w:rPr>
        <w:t xml:space="preserve">As soon as possible, and no later than eight weeks after the union votes to adopt political objects, the union shall </w:t>
      </w:r>
      <w:r w:rsidR="0024557A" w:rsidRPr="3E07C14D">
        <w:rPr>
          <w:rFonts w:eastAsia="Times New Roman" w:cs="Arial"/>
          <w:sz w:val="24"/>
          <w:szCs w:val="24"/>
          <w:lang w:eastAsia="en-GB"/>
        </w:rPr>
        <w:t xml:space="preserve">publish the notice at </w:t>
      </w:r>
      <w:r w:rsidR="0961A90F" w:rsidRPr="3E07C14D">
        <w:rPr>
          <w:rFonts w:eastAsia="Times New Roman" w:cs="Arial"/>
          <w:sz w:val="24"/>
          <w:szCs w:val="24"/>
          <w:lang w:eastAsia="en-GB"/>
        </w:rPr>
        <w:t xml:space="preserve">Appendix </w:t>
      </w:r>
      <w:r w:rsidR="0024557A" w:rsidRPr="3E07C14D">
        <w:rPr>
          <w:rFonts w:eastAsia="Times New Roman" w:cs="Arial"/>
          <w:sz w:val="24"/>
          <w:szCs w:val="24"/>
          <w:lang w:eastAsia="en-GB"/>
        </w:rPr>
        <w:t>1 to every member</w:t>
      </w:r>
      <w:r w:rsidRPr="3E07C14D">
        <w:rPr>
          <w:rFonts w:eastAsia="Times New Roman" w:cs="Arial"/>
          <w:sz w:val="24"/>
          <w:szCs w:val="24"/>
          <w:lang w:eastAsia="en-GB"/>
        </w:rPr>
        <w:t xml:space="preserve">. </w:t>
      </w:r>
    </w:p>
    <w:p w14:paraId="7E0E9D26" w14:textId="37DE8594" w:rsidR="00C73B25" w:rsidRPr="0024557A" w:rsidRDefault="003F7974" w:rsidP="00CB742E">
      <w:pPr>
        <w:pStyle w:val="ListParagraph"/>
        <w:numPr>
          <w:ilvl w:val="0"/>
          <w:numId w:val="5"/>
        </w:numPr>
        <w:spacing w:after="240" w:line="276" w:lineRule="auto"/>
        <w:contextualSpacing w:val="0"/>
        <w:jc w:val="both"/>
        <w:rPr>
          <w:rFonts w:cs="Arial"/>
          <w:sz w:val="24"/>
          <w:szCs w:val="24"/>
        </w:rPr>
      </w:pPr>
      <w:r w:rsidRPr="0024557A">
        <w:rPr>
          <w:rFonts w:cs="Arial"/>
          <w:sz w:val="24"/>
          <w:szCs w:val="24"/>
        </w:rPr>
        <w:t xml:space="preserve">The union will </w:t>
      </w:r>
      <w:r w:rsidR="00971866">
        <w:rPr>
          <w:rFonts w:cs="Arial"/>
          <w:sz w:val="24"/>
          <w:szCs w:val="24"/>
        </w:rPr>
        <w:t>publish</w:t>
      </w:r>
      <w:r w:rsidRPr="0024557A">
        <w:rPr>
          <w:rFonts w:cs="Arial"/>
          <w:sz w:val="24"/>
          <w:szCs w:val="24"/>
        </w:rPr>
        <w:t xml:space="preserve"> th</w:t>
      </w:r>
      <w:r w:rsidR="0024557A" w:rsidRPr="0024557A">
        <w:rPr>
          <w:rFonts w:cs="Arial"/>
          <w:sz w:val="24"/>
          <w:szCs w:val="24"/>
        </w:rPr>
        <w:t>e</w:t>
      </w:r>
      <w:r w:rsidRPr="0024557A">
        <w:rPr>
          <w:rFonts w:cs="Arial"/>
          <w:sz w:val="24"/>
          <w:szCs w:val="24"/>
        </w:rPr>
        <w:t xml:space="preserve"> notice using the same methods it normally uses for important information. At present, this includes: </w:t>
      </w:r>
    </w:p>
    <w:tbl>
      <w:tblPr>
        <w:tblStyle w:val="TableGrid"/>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7"/>
      </w:tblGrid>
      <w:tr w:rsidR="00AE1C78" w14:paraId="5B876E85" w14:textId="77777777" w:rsidTr="00AE1C78">
        <w:tc>
          <w:tcPr>
            <w:tcW w:w="9017" w:type="dxa"/>
          </w:tcPr>
          <w:p w14:paraId="60669C4F" w14:textId="18115103" w:rsidR="00EC3E44" w:rsidRPr="00C168CF" w:rsidRDefault="00EC3E44" w:rsidP="00CB742E">
            <w:pPr>
              <w:pStyle w:val="ListParagraph"/>
              <w:spacing w:after="240" w:line="276" w:lineRule="auto"/>
              <w:ind w:left="0"/>
              <w:contextualSpacing w:val="0"/>
              <w:jc w:val="both"/>
              <w:rPr>
                <w:rFonts w:cs="Arial"/>
                <w:sz w:val="24"/>
                <w:szCs w:val="24"/>
              </w:rPr>
            </w:pPr>
            <w:r>
              <w:rPr>
                <w:rFonts w:cs="Arial"/>
              </w:rPr>
              <w:t>[</w:t>
            </w:r>
            <w:r w:rsidRPr="0060164D">
              <w:rPr>
                <w:rFonts w:cs="Arial"/>
                <w:sz w:val="24"/>
                <w:szCs w:val="24"/>
                <w:highlight w:val="green"/>
              </w:rPr>
              <w:t xml:space="preserve">Complete in accordance with Union’s </w:t>
            </w:r>
            <w:r w:rsidR="00C168CF" w:rsidRPr="0060164D">
              <w:rPr>
                <w:rFonts w:cs="Arial"/>
                <w:sz w:val="24"/>
                <w:szCs w:val="24"/>
                <w:highlight w:val="green"/>
              </w:rPr>
              <w:t>normal practice, examples might include: s</w:t>
            </w:r>
            <w:r w:rsidRPr="0060164D">
              <w:rPr>
                <w:rFonts w:cs="Arial"/>
                <w:sz w:val="24"/>
                <w:szCs w:val="24"/>
                <w:highlight w:val="green"/>
              </w:rPr>
              <w:t>ending a letter to each member</w:t>
            </w:r>
            <w:r w:rsidR="00C168CF" w:rsidRPr="0060164D">
              <w:rPr>
                <w:rFonts w:cs="Arial"/>
                <w:sz w:val="24"/>
                <w:szCs w:val="24"/>
                <w:highlight w:val="green"/>
              </w:rPr>
              <w:t>; p</w:t>
            </w:r>
            <w:r w:rsidRPr="0060164D">
              <w:rPr>
                <w:rFonts w:cs="Arial"/>
                <w:sz w:val="24"/>
                <w:szCs w:val="24"/>
                <w:highlight w:val="green"/>
              </w:rPr>
              <w:t>ublishing it in the union’s magazine</w:t>
            </w:r>
            <w:r w:rsidR="00C168CF" w:rsidRPr="0060164D">
              <w:rPr>
                <w:rFonts w:cs="Arial"/>
                <w:sz w:val="24"/>
                <w:szCs w:val="24"/>
                <w:highlight w:val="green"/>
              </w:rPr>
              <w:t>; p</w:t>
            </w:r>
            <w:r w:rsidRPr="0060164D">
              <w:rPr>
                <w:rFonts w:cs="Arial"/>
                <w:sz w:val="24"/>
                <w:szCs w:val="24"/>
                <w:highlight w:val="green"/>
              </w:rPr>
              <w:t>osting it on the union’s website</w:t>
            </w:r>
            <w:r w:rsidR="00C168CF" w:rsidRPr="0060164D">
              <w:rPr>
                <w:rFonts w:cs="Arial"/>
                <w:sz w:val="24"/>
                <w:szCs w:val="24"/>
                <w:highlight w:val="green"/>
              </w:rPr>
              <w:t>; s</w:t>
            </w:r>
            <w:r w:rsidRPr="0060164D">
              <w:rPr>
                <w:rFonts w:cs="Arial"/>
                <w:sz w:val="24"/>
                <w:szCs w:val="24"/>
                <w:highlight w:val="green"/>
              </w:rPr>
              <w:t>ending it by email</w:t>
            </w:r>
            <w:r w:rsidR="00C168CF" w:rsidRPr="0060164D">
              <w:rPr>
                <w:rFonts w:cs="Arial"/>
                <w:sz w:val="24"/>
                <w:szCs w:val="24"/>
                <w:highlight w:val="green"/>
              </w:rPr>
              <w:t>; d</w:t>
            </w:r>
            <w:r w:rsidRPr="0060164D">
              <w:rPr>
                <w:rFonts w:cs="Arial"/>
                <w:sz w:val="24"/>
                <w:szCs w:val="24"/>
                <w:highlight w:val="green"/>
              </w:rPr>
              <w:t>isplaying it in a prominent place for at least 12 months</w:t>
            </w:r>
            <w:r w:rsidR="00C168CF" w:rsidRPr="0060164D">
              <w:rPr>
                <w:rFonts w:cs="Arial"/>
                <w:sz w:val="24"/>
                <w:szCs w:val="24"/>
                <w:highlight w:val="green"/>
              </w:rPr>
              <w:t>; i</w:t>
            </w:r>
            <w:r w:rsidRPr="0060164D">
              <w:rPr>
                <w:rFonts w:cs="Arial"/>
                <w:sz w:val="24"/>
                <w:szCs w:val="24"/>
                <w:highlight w:val="green"/>
              </w:rPr>
              <w:t>ncluding it in branch circulars</w:t>
            </w:r>
            <w:r w:rsidR="00C168CF">
              <w:rPr>
                <w:rFonts w:cs="Arial"/>
                <w:sz w:val="24"/>
                <w:szCs w:val="24"/>
              </w:rPr>
              <w:t>]</w:t>
            </w:r>
          </w:p>
        </w:tc>
      </w:tr>
    </w:tbl>
    <w:p w14:paraId="69C9A6A5" w14:textId="77777777" w:rsidR="003F7974" w:rsidRPr="0024557A" w:rsidRDefault="003F7974" w:rsidP="00CB742E">
      <w:pPr>
        <w:spacing w:after="240" w:line="276" w:lineRule="auto"/>
        <w:jc w:val="both"/>
        <w:rPr>
          <w:rFonts w:cs="Arial"/>
        </w:rPr>
      </w:pPr>
    </w:p>
    <w:p w14:paraId="138B37BD" w14:textId="1F9456A3" w:rsidR="003F7974" w:rsidRPr="005B0474" w:rsidRDefault="005B0474" w:rsidP="00CB742E">
      <w:pPr>
        <w:pStyle w:val="ListParagraph"/>
        <w:numPr>
          <w:ilvl w:val="0"/>
          <w:numId w:val="5"/>
        </w:numPr>
        <w:spacing w:after="240" w:line="276" w:lineRule="auto"/>
        <w:contextualSpacing w:val="0"/>
        <w:jc w:val="both"/>
        <w:rPr>
          <w:rFonts w:cs="Arial"/>
        </w:rPr>
      </w:pPr>
      <w:r w:rsidRPr="0024557A">
        <w:rPr>
          <w:rFonts w:eastAsia="Times New Roman" w:cs="Arial"/>
          <w:sz w:val="24"/>
          <w:szCs w:val="24"/>
          <w:lang w:eastAsia="en-GB"/>
        </w:rPr>
        <w:lastRenderedPageBreak/>
        <w:t xml:space="preserve">The same notice </w:t>
      </w:r>
      <w:r>
        <w:rPr>
          <w:rFonts w:eastAsia="Times New Roman" w:cs="Arial"/>
          <w:sz w:val="24"/>
          <w:szCs w:val="24"/>
          <w:lang w:eastAsia="en-GB"/>
        </w:rPr>
        <w:t>shall</w:t>
      </w:r>
      <w:r w:rsidRPr="0024557A">
        <w:rPr>
          <w:rFonts w:eastAsia="Times New Roman" w:cs="Arial"/>
          <w:sz w:val="24"/>
          <w:szCs w:val="24"/>
          <w:lang w:eastAsia="en-GB"/>
        </w:rPr>
        <w:t xml:space="preserve"> be </w:t>
      </w:r>
      <w:r w:rsidR="00971866">
        <w:rPr>
          <w:rFonts w:eastAsia="Times New Roman" w:cs="Arial"/>
          <w:sz w:val="24"/>
          <w:szCs w:val="24"/>
          <w:lang w:eastAsia="en-GB"/>
        </w:rPr>
        <w:t>published</w:t>
      </w:r>
      <w:r w:rsidRPr="0024557A">
        <w:rPr>
          <w:rFonts w:eastAsia="Times New Roman" w:cs="Arial"/>
          <w:sz w:val="24"/>
          <w:szCs w:val="24"/>
          <w:lang w:eastAsia="en-GB"/>
        </w:rPr>
        <w:t xml:space="preserve"> again, within eight weeks of each ten-year anniversary of </w:t>
      </w:r>
      <w:r w:rsidR="00D36A26" w:rsidRPr="00D36A26">
        <w:rPr>
          <w:rFonts w:eastAsia="Times New Roman" w:cs="Arial"/>
          <w:sz w:val="24"/>
          <w:szCs w:val="24"/>
          <w:lang w:eastAsia="en-GB"/>
        </w:rPr>
        <w:t>a vote to adopt political objects (including any vote that took place before the commencement of the new section 84A of the 1992 Act, as substituted by the Employment Rights Act 2025),</w:t>
      </w:r>
      <w:r w:rsidRPr="0024557A">
        <w:rPr>
          <w:rFonts w:eastAsia="Times New Roman" w:cs="Arial"/>
          <w:sz w:val="24"/>
          <w:szCs w:val="24"/>
          <w:lang w:eastAsia="en-GB"/>
        </w:rPr>
        <w:t xml:space="preserve"> unless the resolution has been </w:t>
      </w:r>
      <w:r>
        <w:rPr>
          <w:rFonts w:eastAsia="Times New Roman" w:cs="Arial"/>
          <w:sz w:val="24"/>
          <w:szCs w:val="24"/>
          <w:lang w:eastAsia="en-GB"/>
        </w:rPr>
        <w:t>rescinded or otherwise ceases to have effect</w:t>
      </w:r>
      <w:r w:rsidRPr="0024557A">
        <w:rPr>
          <w:rFonts w:eastAsia="Times New Roman" w:cs="Arial"/>
          <w:sz w:val="24"/>
          <w:szCs w:val="24"/>
          <w:lang w:eastAsia="en-GB"/>
        </w:rPr>
        <w:t>.</w:t>
      </w:r>
    </w:p>
    <w:p w14:paraId="7B864855" w14:textId="7826F68A" w:rsidR="00141168" w:rsidRPr="00FA5F7D" w:rsidRDefault="00FB49A0" w:rsidP="00CB742E">
      <w:pPr>
        <w:pStyle w:val="Heading1"/>
      </w:pPr>
      <w:bookmarkStart w:id="2" w:name="_Toc217465228"/>
      <w:r>
        <w:t>Submitting an o</w:t>
      </w:r>
      <w:r w:rsidR="00C73B25">
        <w:t>pt-out notice</w:t>
      </w:r>
      <w:bookmarkEnd w:id="2"/>
    </w:p>
    <w:p w14:paraId="0F476581" w14:textId="5414652E" w:rsidR="000E52F2" w:rsidRDefault="000E52F2" w:rsidP="00CB742E">
      <w:pPr>
        <w:pStyle w:val="ListParagraph"/>
        <w:numPr>
          <w:ilvl w:val="0"/>
          <w:numId w:val="5"/>
        </w:numPr>
        <w:spacing w:after="240" w:line="276" w:lineRule="auto"/>
        <w:contextualSpacing w:val="0"/>
        <w:jc w:val="both"/>
        <w:rPr>
          <w:rFonts w:cs="Arial"/>
          <w:sz w:val="24"/>
          <w:szCs w:val="24"/>
        </w:rPr>
      </w:pPr>
      <w:r w:rsidRPr="009818F3">
        <w:rPr>
          <w:rFonts w:cs="Arial"/>
          <w:sz w:val="24"/>
          <w:szCs w:val="24"/>
        </w:rPr>
        <w:t xml:space="preserve">Any member can </w:t>
      </w:r>
      <w:r w:rsidR="00D36A26">
        <w:rPr>
          <w:rFonts w:cs="Arial"/>
          <w:sz w:val="24"/>
          <w:szCs w:val="24"/>
        </w:rPr>
        <w:t xml:space="preserve">give notice to </w:t>
      </w:r>
      <w:r w:rsidRPr="009818F3">
        <w:rPr>
          <w:rFonts w:cs="Arial"/>
          <w:sz w:val="24"/>
          <w:szCs w:val="24"/>
        </w:rPr>
        <w:t>opt out of contributing to the political fund at any time.</w:t>
      </w:r>
      <w:r w:rsidRPr="000E52F2">
        <w:rPr>
          <w:rFonts w:cs="Arial"/>
          <w:sz w:val="24"/>
          <w:szCs w:val="24"/>
        </w:rPr>
        <w:br/>
        <w:t xml:space="preserve">To do </w:t>
      </w:r>
      <w:r w:rsidR="00971866">
        <w:rPr>
          <w:rFonts w:cs="Arial"/>
          <w:sz w:val="24"/>
          <w:szCs w:val="24"/>
        </w:rPr>
        <w:t>so</w:t>
      </w:r>
      <w:r w:rsidRPr="000E52F2">
        <w:rPr>
          <w:rFonts w:cs="Arial"/>
          <w:sz w:val="24"/>
          <w:szCs w:val="24"/>
        </w:rPr>
        <w:t xml:space="preserve">, </w:t>
      </w:r>
      <w:r w:rsidR="00971866">
        <w:rPr>
          <w:rFonts w:cs="Arial"/>
          <w:sz w:val="24"/>
          <w:szCs w:val="24"/>
        </w:rPr>
        <w:t>members</w:t>
      </w:r>
      <w:r w:rsidRPr="000E52F2">
        <w:rPr>
          <w:rFonts w:cs="Arial"/>
          <w:sz w:val="24"/>
          <w:szCs w:val="24"/>
        </w:rPr>
        <w:t xml:space="preserve"> can:</w:t>
      </w:r>
    </w:p>
    <w:p w14:paraId="168A53E3" w14:textId="42C0DF9B" w:rsidR="009818F3" w:rsidRDefault="000E52F2" w:rsidP="00CB742E">
      <w:pPr>
        <w:pStyle w:val="ListParagraph"/>
        <w:numPr>
          <w:ilvl w:val="2"/>
          <w:numId w:val="5"/>
        </w:numPr>
        <w:spacing w:after="240" w:line="276" w:lineRule="auto"/>
        <w:contextualSpacing w:val="0"/>
        <w:jc w:val="both"/>
        <w:rPr>
          <w:rFonts w:cs="Arial"/>
          <w:sz w:val="24"/>
          <w:szCs w:val="24"/>
        </w:rPr>
      </w:pPr>
      <w:r w:rsidRPr="000E52F2">
        <w:rPr>
          <w:rFonts w:cs="Arial"/>
          <w:sz w:val="24"/>
          <w:szCs w:val="24"/>
        </w:rPr>
        <w:t xml:space="preserve">Use the official opt-out </w:t>
      </w:r>
      <w:r w:rsidR="006752BA">
        <w:rPr>
          <w:rFonts w:cs="Arial"/>
          <w:sz w:val="24"/>
          <w:szCs w:val="24"/>
        </w:rPr>
        <w:t xml:space="preserve">notice </w:t>
      </w:r>
      <w:r w:rsidRPr="000E52F2">
        <w:rPr>
          <w:rFonts w:cs="Arial"/>
          <w:sz w:val="24"/>
          <w:szCs w:val="24"/>
        </w:rPr>
        <w:t>form, or</w:t>
      </w:r>
    </w:p>
    <w:p w14:paraId="34F61370" w14:textId="3E38F49D" w:rsidR="00EF79E4" w:rsidRDefault="009818F3" w:rsidP="00CB742E">
      <w:pPr>
        <w:pStyle w:val="ListParagraph"/>
        <w:numPr>
          <w:ilvl w:val="2"/>
          <w:numId w:val="5"/>
        </w:numPr>
        <w:spacing w:after="240" w:line="276" w:lineRule="auto"/>
        <w:contextualSpacing w:val="0"/>
        <w:jc w:val="both"/>
        <w:rPr>
          <w:rFonts w:cs="Arial"/>
          <w:sz w:val="24"/>
          <w:szCs w:val="24"/>
        </w:rPr>
      </w:pPr>
      <w:r w:rsidRPr="009818F3">
        <w:rPr>
          <w:rFonts w:cs="Arial"/>
          <w:sz w:val="24"/>
          <w:szCs w:val="24"/>
        </w:rPr>
        <w:t>S</w:t>
      </w:r>
      <w:r w:rsidR="000E52F2" w:rsidRPr="009818F3">
        <w:rPr>
          <w:rFonts w:cs="Arial"/>
          <w:sz w:val="24"/>
          <w:szCs w:val="24"/>
        </w:rPr>
        <w:t>end a written request that clearly s</w:t>
      </w:r>
      <w:r w:rsidR="00924DAB">
        <w:rPr>
          <w:rFonts w:cs="Arial"/>
          <w:sz w:val="24"/>
          <w:szCs w:val="24"/>
        </w:rPr>
        <w:t>tate</w:t>
      </w:r>
      <w:r w:rsidR="000E52F2" w:rsidRPr="009818F3">
        <w:rPr>
          <w:rFonts w:cs="Arial"/>
          <w:sz w:val="24"/>
          <w:szCs w:val="24"/>
        </w:rPr>
        <w:t xml:space="preserve">s </w:t>
      </w:r>
      <w:r w:rsidR="00924DAB">
        <w:rPr>
          <w:rFonts w:cs="Arial"/>
          <w:sz w:val="24"/>
          <w:szCs w:val="24"/>
        </w:rPr>
        <w:t>that they do</w:t>
      </w:r>
      <w:r w:rsidR="000E52F2" w:rsidRPr="009818F3">
        <w:rPr>
          <w:rFonts w:cs="Arial"/>
          <w:sz w:val="24"/>
          <w:szCs w:val="24"/>
        </w:rPr>
        <w:t xml:space="preserve"> not want to contribute to the political fund.</w:t>
      </w:r>
      <w:r w:rsidR="00D36A26">
        <w:rPr>
          <w:rFonts w:cs="Arial"/>
          <w:sz w:val="24"/>
          <w:szCs w:val="24"/>
        </w:rPr>
        <w:t xml:space="preserve"> Such a written request can </w:t>
      </w:r>
      <w:r w:rsidR="00D36A26" w:rsidRPr="00FB13EC">
        <w:rPr>
          <w:rFonts w:cs="Arial"/>
          <w:sz w:val="24"/>
          <w:szCs w:val="24"/>
        </w:rPr>
        <w:t>be</w:t>
      </w:r>
      <w:r w:rsidR="00D36A26">
        <w:rPr>
          <w:rFonts w:cs="Arial"/>
          <w:sz w:val="24"/>
          <w:szCs w:val="24"/>
        </w:rPr>
        <w:t xml:space="preserve"> delivered in person,</w:t>
      </w:r>
      <w:r w:rsidR="00D36A26" w:rsidRPr="00FB13EC">
        <w:rPr>
          <w:rFonts w:cs="Arial"/>
          <w:sz w:val="24"/>
          <w:szCs w:val="24"/>
        </w:rPr>
        <w:t xml:space="preserve"> sent by post, email, or through any electronic form the union provides.</w:t>
      </w:r>
    </w:p>
    <w:p w14:paraId="53F3C5AD" w14:textId="5605F3B8" w:rsidR="00EF79E4" w:rsidRPr="006752BA" w:rsidRDefault="00924DAB" w:rsidP="00CB742E">
      <w:pPr>
        <w:pStyle w:val="ListParagraph"/>
        <w:numPr>
          <w:ilvl w:val="0"/>
          <w:numId w:val="5"/>
        </w:numPr>
        <w:spacing w:after="240" w:line="276" w:lineRule="auto"/>
        <w:contextualSpacing w:val="0"/>
        <w:jc w:val="both"/>
        <w:rPr>
          <w:rFonts w:cs="Arial"/>
          <w:sz w:val="24"/>
          <w:szCs w:val="24"/>
        </w:rPr>
      </w:pPr>
      <w:r>
        <w:rPr>
          <w:rFonts w:cs="Arial"/>
          <w:sz w:val="24"/>
          <w:szCs w:val="24"/>
        </w:rPr>
        <w:t>Members</w:t>
      </w:r>
      <w:r w:rsidR="000E52F2" w:rsidRPr="006752BA">
        <w:rPr>
          <w:rFonts w:cs="Arial"/>
          <w:sz w:val="24"/>
          <w:szCs w:val="24"/>
        </w:rPr>
        <w:t xml:space="preserve"> can get a</w:t>
      </w:r>
      <w:r w:rsidR="001A2CA8">
        <w:rPr>
          <w:rFonts w:cs="Arial"/>
          <w:sz w:val="24"/>
          <w:szCs w:val="24"/>
        </w:rPr>
        <w:t xml:space="preserve"> copy of the official</w:t>
      </w:r>
      <w:r w:rsidR="000E52F2" w:rsidRPr="006752BA">
        <w:rPr>
          <w:rFonts w:cs="Arial"/>
          <w:sz w:val="24"/>
          <w:szCs w:val="24"/>
        </w:rPr>
        <w:t xml:space="preserve"> opt-out</w:t>
      </w:r>
      <w:r w:rsidR="006752BA" w:rsidRPr="006752BA">
        <w:rPr>
          <w:rFonts w:cs="Arial"/>
          <w:sz w:val="24"/>
          <w:szCs w:val="24"/>
        </w:rPr>
        <w:t xml:space="preserve"> notice</w:t>
      </w:r>
      <w:r w:rsidR="000E52F2" w:rsidRPr="006752BA">
        <w:rPr>
          <w:rFonts w:cs="Arial"/>
          <w:sz w:val="24"/>
          <w:szCs w:val="24"/>
        </w:rPr>
        <w:t xml:space="preserve"> </w:t>
      </w:r>
      <w:r w:rsidR="00C4055A" w:rsidRPr="006752BA">
        <w:rPr>
          <w:rFonts w:cs="Arial"/>
          <w:sz w:val="24"/>
          <w:szCs w:val="24"/>
        </w:rPr>
        <w:t>form</w:t>
      </w:r>
      <w:r w:rsidR="00EF79E4" w:rsidRPr="006752BA">
        <w:rPr>
          <w:rFonts w:cs="Arial"/>
          <w:sz w:val="24"/>
          <w:szCs w:val="24"/>
        </w:rPr>
        <w:t>:</w:t>
      </w:r>
    </w:p>
    <w:p w14:paraId="41C97C9B" w14:textId="4C1CA95F" w:rsidR="00EF79E4" w:rsidRPr="00EF79E4" w:rsidRDefault="00A34944" w:rsidP="00CB742E">
      <w:pPr>
        <w:pStyle w:val="ListParagraph"/>
        <w:numPr>
          <w:ilvl w:val="2"/>
          <w:numId w:val="5"/>
        </w:numPr>
        <w:spacing w:after="240" w:line="276" w:lineRule="auto"/>
        <w:contextualSpacing w:val="0"/>
        <w:jc w:val="both"/>
        <w:rPr>
          <w:rFonts w:cs="Arial"/>
          <w:sz w:val="24"/>
          <w:szCs w:val="24"/>
        </w:rPr>
      </w:pPr>
      <w:r>
        <w:rPr>
          <w:rFonts w:cs="Arial"/>
          <w:sz w:val="24"/>
          <w:szCs w:val="24"/>
        </w:rPr>
        <w:t>From the union</w:t>
      </w:r>
      <w:r w:rsidR="00C31877">
        <w:rPr>
          <w:rFonts w:cs="Arial"/>
          <w:sz w:val="24"/>
          <w:szCs w:val="24"/>
        </w:rPr>
        <w:t xml:space="preserve">, by </w:t>
      </w:r>
      <w:r w:rsidR="00EF79E4" w:rsidRPr="007A40D7">
        <w:rPr>
          <w:rFonts w:cs="Arial"/>
          <w:sz w:val="24"/>
          <w:szCs w:val="24"/>
        </w:rPr>
        <w:t>[</w:t>
      </w:r>
      <w:r w:rsidR="00C31877" w:rsidRPr="0017466D">
        <w:rPr>
          <w:rFonts w:cs="Arial"/>
          <w:sz w:val="24"/>
          <w:szCs w:val="24"/>
          <w:highlight w:val="yellow"/>
        </w:rPr>
        <w:t xml:space="preserve">specify </w:t>
      </w:r>
      <w:r w:rsidR="00EF79E4" w:rsidRPr="00C31877">
        <w:rPr>
          <w:rFonts w:cs="Arial"/>
          <w:sz w:val="24"/>
          <w:szCs w:val="24"/>
          <w:highlight w:val="yellow"/>
        </w:rPr>
        <w:t xml:space="preserve">how members can request an </w:t>
      </w:r>
      <w:r w:rsidR="007A40D7" w:rsidRPr="00C31877">
        <w:rPr>
          <w:rFonts w:cs="Arial"/>
          <w:sz w:val="24"/>
          <w:szCs w:val="24"/>
          <w:highlight w:val="yellow"/>
        </w:rPr>
        <w:t>opt-out</w:t>
      </w:r>
      <w:r w:rsidR="00EF79E4" w:rsidRPr="00C31877">
        <w:rPr>
          <w:rFonts w:cs="Arial"/>
          <w:sz w:val="24"/>
          <w:szCs w:val="24"/>
          <w:highlight w:val="yellow"/>
        </w:rPr>
        <w:t xml:space="preserve"> notice</w:t>
      </w:r>
      <w:r w:rsidR="006752BA" w:rsidRPr="00C31877">
        <w:rPr>
          <w:rFonts w:cs="Arial"/>
          <w:sz w:val="24"/>
          <w:szCs w:val="24"/>
          <w:highlight w:val="yellow"/>
        </w:rPr>
        <w:t xml:space="preserve"> form</w:t>
      </w:r>
      <w:r w:rsidR="00EF79E4" w:rsidRPr="00EF79E4">
        <w:rPr>
          <w:rFonts w:cs="Arial"/>
          <w:sz w:val="24"/>
          <w:szCs w:val="24"/>
        </w:rPr>
        <w:t>]</w:t>
      </w:r>
      <w:r w:rsidR="00167E56">
        <w:rPr>
          <w:rFonts w:cs="Arial"/>
          <w:sz w:val="24"/>
          <w:szCs w:val="24"/>
        </w:rPr>
        <w:t xml:space="preserve"> or</w:t>
      </w:r>
    </w:p>
    <w:p w14:paraId="2078A9CD" w14:textId="62992833" w:rsidR="00085FCB" w:rsidRPr="00767239" w:rsidRDefault="000E52F2" w:rsidP="00CB742E">
      <w:pPr>
        <w:pStyle w:val="ListParagraph"/>
        <w:numPr>
          <w:ilvl w:val="2"/>
          <w:numId w:val="5"/>
        </w:numPr>
        <w:spacing w:after="240" w:line="276" w:lineRule="auto"/>
        <w:contextualSpacing w:val="0"/>
        <w:jc w:val="both"/>
        <w:rPr>
          <w:rFonts w:cs="Arial"/>
          <w:sz w:val="24"/>
          <w:szCs w:val="24"/>
        </w:rPr>
      </w:pPr>
      <w:r w:rsidRPr="009818F3">
        <w:rPr>
          <w:rFonts w:cs="Arial"/>
          <w:sz w:val="24"/>
          <w:szCs w:val="24"/>
        </w:rPr>
        <w:t>From the Certification Office</w:t>
      </w:r>
      <w:r w:rsidR="009818F3">
        <w:rPr>
          <w:rFonts w:cs="Arial"/>
          <w:sz w:val="24"/>
          <w:szCs w:val="24"/>
        </w:rPr>
        <w:t>r</w:t>
      </w:r>
      <w:r w:rsidRPr="009818F3">
        <w:rPr>
          <w:rFonts w:cs="Arial"/>
          <w:sz w:val="24"/>
          <w:szCs w:val="24"/>
        </w:rPr>
        <w:t xml:space="preserve"> by emailing </w:t>
      </w:r>
      <w:r w:rsidRPr="009818F3">
        <w:rPr>
          <w:rFonts w:cs="Arial"/>
          <w:b/>
          <w:bCs/>
          <w:sz w:val="24"/>
          <w:szCs w:val="24"/>
        </w:rPr>
        <w:t>info@certoffice.org</w:t>
      </w:r>
    </w:p>
    <w:p w14:paraId="21F3E105" w14:textId="5A2140F2" w:rsidR="00085FCB" w:rsidRPr="00282F08" w:rsidRDefault="00085FCB" w:rsidP="00CB742E">
      <w:pPr>
        <w:pStyle w:val="ListParagraph"/>
        <w:numPr>
          <w:ilvl w:val="0"/>
          <w:numId w:val="5"/>
        </w:numPr>
        <w:spacing w:after="240" w:line="276" w:lineRule="auto"/>
        <w:contextualSpacing w:val="0"/>
        <w:jc w:val="both"/>
        <w:rPr>
          <w:sz w:val="24"/>
          <w:szCs w:val="24"/>
        </w:rPr>
      </w:pPr>
      <w:r w:rsidRPr="3E07C14D">
        <w:rPr>
          <w:rFonts w:cs="Arial"/>
          <w:sz w:val="24"/>
          <w:szCs w:val="24"/>
        </w:rPr>
        <w:t xml:space="preserve">The </w:t>
      </w:r>
      <w:r w:rsidR="001A2CA8" w:rsidRPr="3E07C14D">
        <w:rPr>
          <w:rFonts w:cs="Arial"/>
          <w:sz w:val="24"/>
          <w:szCs w:val="24"/>
        </w:rPr>
        <w:t xml:space="preserve">official </w:t>
      </w:r>
      <w:r w:rsidR="00C4055A" w:rsidRPr="3E07C14D">
        <w:rPr>
          <w:rFonts w:cs="Arial"/>
          <w:sz w:val="24"/>
          <w:szCs w:val="24"/>
        </w:rPr>
        <w:t xml:space="preserve">opt-out </w:t>
      </w:r>
      <w:r w:rsidR="006752BA" w:rsidRPr="3E07C14D">
        <w:rPr>
          <w:rFonts w:cs="Arial"/>
          <w:sz w:val="24"/>
          <w:szCs w:val="24"/>
        </w:rPr>
        <w:t xml:space="preserve">notice </w:t>
      </w:r>
      <w:r w:rsidR="00C4055A" w:rsidRPr="3E07C14D">
        <w:rPr>
          <w:rFonts w:cs="Arial"/>
          <w:sz w:val="24"/>
          <w:szCs w:val="24"/>
        </w:rPr>
        <w:t>form</w:t>
      </w:r>
      <w:r w:rsidR="00E37FA1" w:rsidRPr="3E07C14D">
        <w:rPr>
          <w:rFonts w:cs="Arial"/>
          <w:sz w:val="24"/>
          <w:szCs w:val="24"/>
        </w:rPr>
        <w:t xml:space="preserve"> </w:t>
      </w:r>
      <w:r w:rsidR="0024557A" w:rsidRPr="3E07C14D">
        <w:rPr>
          <w:rFonts w:cs="Arial"/>
          <w:sz w:val="24"/>
          <w:szCs w:val="24"/>
        </w:rPr>
        <w:t xml:space="preserve">in use </w:t>
      </w:r>
      <w:r w:rsidR="00282F08" w:rsidRPr="3E07C14D">
        <w:rPr>
          <w:rFonts w:cs="Arial"/>
          <w:sz w:val="24"/>
          <w:szCs w:val="24"/>
        </w:rPr>
        <w:t xml:space="preserve">can be found at </w:t>
      </w:r>
      <w:r w:rsidR="552C520B" w:rsidRPr="3E07C14D">
        <w:rPr>
          <w:rFonts w:cs="Arial"/>
          <w:sz w:val="24"/>
          <w:szCs w:val="24"/>
        </w:rPr>
        <w:t xml:space="preserve">Appendix </w:t>
      </w:r>
      <w:r w:rsidR="00282F08" w:rsidRPr="3E07C14D">
        <w:rPr>
          <w:rFonts w:cs="Arial"/>
          <w:sz w:val="24"/>
          <w:szCs w:val="24"/>
        </w:rPr>
        <w:t>2.</w:t>
      </w:r>
    </w:p>
    <w:p w14:paraId="047CE9B6" w14:textId="23DA3AA7" w:rsidR="003B6121" w:rsidRPr="00767239" w:rsidRDefault="00AC0439" w:rsidP="00CB742E">
      <w:pPr>
        <w:pStyle w:val="ListParagraph"/>
        <w:numPr>
          <w:ilvl w:val="0"/>
          <w:numId w:val="5"/>
        </w:numPr>
        <w:spacing w:after="240" w:line="276" w:lineRule="auto"/>
        <w:contextualSpacing w:val="0"/>
        <w:jc w:val="both"/>
        <w:rPr>
          <w:rFonts w:cs="Arial"/>
          <w:sz w:val="24"/>
          <w:szCs w:val="24"/>
        </w:rPr>
      </w:pPr>
      <w:r w:rsidRPr="00AC0439">
        <w:rPr>
          <w:rFonts w:cs="Arial"/>
          <w:sz w:val="24"/>
          <w:szCs w:val="24"/>
        </w:rPr>
        <w:t xml:space="preserve">When the union receives </w:t>
      </w:r>
      <w:r w:rsidR="00282F08">
        <w:rPr>
          <w:rFonts w:cs="Arial"/>
          <w:sz w:val="24"/>
          <w:szCs w:val="24"/>
        </w:rPr>
        <w:t>an</w:t>
      </w:r>
      <w:r w:rsidRPr="00AC0439">
        <w:rPr>
          <w:rFonts w:cs="Arial"/>
          <w:sz w:val="24"/>
          <w:szCs w:val="24"/>
        </w:rPr>
        <w:t xml:space="preserve"> opt-out notice</w:t>
      </w:r>
      <w:r w:rsidR="00282F08">
        <w:rPr>
          <w:rFonts w:cs="Arial"/>
          <w:sz w:val="24"/>
          <w:szCs w:val="24"/>
        </w:rPr>
        <w:t xml:space="preserve"> from a member</w:t>
      </w:r>
      <w:r w:rsidRPr="00AC0439">
        <w:rPr>
          <w:rFonts w:cs="Arial"/>
          <w:sz w:val="24"/>
          <w:szCs w:val="24"/>
        </w:rPr>
        <w:t>, it will</w:t>
      </w:r>
      <w:r w:rsidR="00767239">
        <w:rPr>
          <w:rFonts w:cs="Arial"/>
          <w:sz w:val="24"/>
          <w:szCs w:val="24"/>
        </w:rPr>
        <w:t xml:space="preserve"> s</w:t>
      </w:r>
      <w:r w:rsidRPr="00767239">
        <w:rPr>
          <w:rFonts w:cs="Arial"/>
          <w:sz w:val="24"/>
          <w:szCs w:val="24"/>
        </w:rPr>
        <w:t xml:space="preserve">end </w:t>
      </w:r>
      <w:r w:rsidR="00282F08">
        <w:rPr>
          <w:rFonts w:cs="Arial"/>
          <w:sz w:val="24"/>
          <w:szCs w:val="24"/>
        </w:rPr>
        <w:t>the member</w:t>
      </w:r>
      <w:r w:rsidRPr="00767239">
        <w:rPr>
          <w:rFonts w:cs="Arial"/>
          <w:sz w:val="24"/>
          <w:szCs w:val="24"/>
        </w:rPr>
        <w:t xml:space="preserve"> an acknowledgement to the address provided</w:t>
      </w:r>
      <w:r w:rsidR="00767239">
        <w:rPr>
          <w:rFonts w:cs="Arial"/>
          <w:sz w:val="24"/>
          <w:szCs w:val="24"/>
        </w:rPr>
        <w:t>.</w:t>
      </w:r>
    </w:p>
    <w:p w14:paraId="226E74AB" w14:textId="4439029C" w:rsidR="00D57E4D" w:rsidRDefault="00FB49A0" w:rsidP="00CB742E">
      <w:pPr>
        <w:pStyle w:val="Heading1"/>
      </w:pPr>
      <w:bookmarkStart w:id="3" w:name="_Toc217465229"/>
      <w:r>
        <w:t>When the opt-out notice takes effect</w:t>
      </w:r>
      <w:bookmarkEnd w:id="3"/>
    </w:p>
    <w:p w14:paraId="54ABD426" w14:textId="0C2F8335" w:rsidR="00767239" w:rsidRDefault="002F01E8" w:rsidP="00CB742E">
      <w:pPr>
        <w:pStyle w:val="ListParagraph"/>
        <w:numPr>
          <w:ilvl w:val="0"/>
          <w:numId w:val="5"/>
        </w:numPr>
        <w:spacing w:after="240" w:line="276" w:lineRule="auto"/>
        <w:contextualSpacing w:val="0"/>
        <w:jc w:val="both"/>
        <w:rPr>
          <w:rFonts w:cs="Arial"/>
          <w:bCs/>
          <w:sz w:val="24"/>
          <w:szCs w:val="24"/>
        </w:rPr>
      </w:pPr>
      <w:r>
        <w:rPr>
          <w:rFonts w:cs="Arial"/>
          <w:bCs/>
          <w:sz w:val="24"/>
          <w:szCs w:val="24"/>
        </w:rPr>
        <w:t>T</w:t>
      </w:r>
      <w:r w:rsidR="00D57E4D" w:rsidRPr="00D57E4D">
        <w:rPr>
          <w:rFonts w:cs="Arial"/>
          <w:bCs/>
          <w:sz w:val="24"/>
          <w:szCs w:val="24"/>
        </w:rPr>
        <w:t>he opt-out takes effect on the earlier of:</w:t>
      </w:r>
    </w:p>
    <w:p w14:paraId="492AA2A1" w14:textId="3EA76298" w:rsidR="00767239" w:rsidRDefault="00D57E4D" w:rsidP="00CB742E">
      <w:pPr>
        <w:pStyle w:val="ListParagraph"/>
        <w:numPr>
          <w:ilvl w:val="2"/>
          <w:numId w:val="5"/>
        </w:numPr>
        <w:spacing w:after="240" w:line="276" w:lineRule="auto"/>
        <w:contextualSpacing w:val="0"/>
        <w:jc w:val="both"/>
        <w:rPr>
          <w:rFonts w:cs="Arial"/>
          <w:bCs/>
          <w:sz w:val="24"/>
          <w:szCs w:val="24"/>
        </w:rPr>
      </w:pPr>
      <w:r w:rsidRPr="00767239">
        <w:rPr>
          <w:rFonts w:cs="Arial"/>
          <w:bCs/>
          <w:sz w:val="24"/>
          <w:szCs w:val="24"/>
        </w:rPr>
        <w:t>[</w:t>
      </w:r>
      <w:r w:rsidRPr="00767239">
        <w:rPr>
          <w:rFonts w:cs="Arial"/>
          <w:bCs/>
          <w:sz w:val="24"/>
          <w:szCs w:val="24"/>
          <w:highlight w:val="yellow"/>
        </w:rPr>
        <w:t>Insert date specified in or determined under the union’s rul</w:t>
      </w:r>
      <w:r w:rsidRPr="00A373FB">
        <w:rPr>
          <w:rFonts w:cs="Arial"/>
          <w:bCs/>
          <w:sz w:val="24"/>
          <w:szCs w:val="24"/>
          <w:highlight w:val="yellow"/>
        </w:rPr>
        <w:t>es</w:t>
      </w:r>
      <w:r w:rsidR="00A373FB" w:rsidRPr="00A373FB">
        <w:rPr>
          <w:rFonts w:cs="Arial"/>
          <w:bCs/>
          <w:sz w:val="24"/>
          <w:szCs w:val="24"/>
          <w:highlight w:val="yellow"/>
        </w:rPr>
        <w:t>, this timing should reflect the earliest feasible opportunity for processing an opt-out notice after it has been received by the union.</w:t>
      </w:r>
      <w:r w:rsidR="00A373FB">
        <w:rPr>
          <w:rFonts w:cs="Arial"/>
          <w:bCs/>
          <w:sz w:val="24"/>
          <w:szCs w:val="24"/>
        </w:rPr>
        <w:t xml:space="preserve">] </w:t>
      </w:r>
      <w:r w:rsidRPr="00767239">
        <w:rPr>
          <w:rFonts w:cs="Arial"/>
          <w:bCs/>
          <w:sz w:val="24"/>
          <w:szCs w:val="24"/>
        </w:rPr>
        <w:t>or</w:t>
      </w:r>
    </w:p>
    <w:p w14:paraId="0414D701" w14:textId="3877D91B" w:rsidR="00D57E4D" w:rsidRPr="00767239" w:rsidRDefault="00D57E4D" w:rsidP="00CB742E">
      <w:pPr>
        <w:pStyle w:val="ListParagraph"/>
        <w:numPr>
          <w:ilvl w:val="2"/>
          <w:numId w:val="5"/>
        </w:numPr>
        <w:spacing w:after="240" w:line="276" w:lineRule="auto"/>
        <w:contextualSpacing w:val="0"/>
        <w:jc w:val="both"/>
        <w:rPr>
          <w:rFonts w:cs="Arial"/>
          <w:bCs/>
          <w:sz w:val="24"/>
          <w:szCs w:val="24"/>
        </w:rPr>
      </w:pPr>
      <w:r w:rsidRPr="00767239">
        <w:rPr>
          <w:rFonts w:cs="Arial"/>
          <w:bCs/>
          <w:sz w:val="24"/>
          <w:szCs w:val="24"/>
        </w:rPr>
        <w:t>1 January in the year following the year in which the notice is given.</w:t>
      </w:r>
      <w:r w:rsidRPr="00767239">
        <w:rPr>
          <w:rFonts w:cs="Arial"/>
          <w:bCs/>
          <w:sz w:val="24"/>
          <w:szCs w:val="24"/>
        </w:rPr>
        <w:br/>
      </w:r>
      <w:r w:rsidRPr="0060164D">
        <w:rPr>
          <w:rFonts w:cs="Arial"/>
          <w:bCs/>
          <w:i/>
          <w:iCs/>
          <w:sz w:val="24"/>
          <w:szCs w:val="24"/>
          <w:highlight w:val="green"/>
        </w:rPr>
        <w:t xml:space="preserve">(Unions: If you </w:t>
      </w:r>
      <w:r w:rsidR="00790322" w:rsidRPr="0060164D">
        <w:rPr>
          <w:rFonts w:cs="Arial"/>
          <w:bCs/>
          <w:i/>
          <w:iCs/>
          <w:sz w:val="24"/>
          <w:szCs w:val="24"/>
          <w:highlight w:val="green"/>
        </w:rPr>
        <w:t xml:space="preserve">choose to </w:t>
      </w:r>
      <w:r w:rsidRPr="0060164D">
        <w:rPr>
          <w:rFonts w:cs="Arial"/>
          <w:bCs/>
          <w:i/>
          <w:iCs/>
          <w:sz w:val="24"/>
          <w:szCs w:val="24"/>
          <w:highlight w:val="green"/>
        </w:rPr>
        <w:t xml:space="preserve">not specify an earlier date, delete </w:t>
      </w:r>
      <w:r w:rsidR="00790322" w:rsidRPr="0060164D">
        <w:rPr>
          <w:rFonts w:cs="Arial"/>
          <w:bCs/>
          <w:i/>
          <w:iCs/>
          <w:sz w:val="24"/>
          <w:szCs w:val="24"/>
          <w:highlight w:val="green"/>
        </w:rPr>
        <w:t>(a)</w:t>
      </w:r>
      <w:r w:rsidRPr="0060164D">
        <w:rPr>
          <w:rFonts w:cs="Arial"/>
          <w:bCs/>
          <w:i/>
          <w:iCs/>
          <w:sz w:val="24"/>
          <w:szCs w:val="24"/>
          <w:highlight w:val="green"/>
        </w:rPr>
        <w:t>)</w:t>
      </w:r>
    </w:p>
    <w:p w14:paraId="05F2BCAC" w14:textId="60DE7C4F" w:rsidR="00FC43C6" w:rsidRPr="00CD4EB7" w:rsidRDefault="003B6121" w:rsidP="00CB742E">
      <w:pPr>
        <w:pStyle w:val="ListParagraph"/>
        <w:numPr>
          <w:ilvl w:val="0"/>
          <w:numId w:val="5"/>
        </w:numPr>
        <w:spacing w:after="240" w:line="276" w:lineRule="auto"/>
        <w:contextualSpacing w:val="0"/>
        <w:jc w:val="both"/>
        <w:rPr>
          <w:b/>
          <w:bCs/>
          <w:sz w:val="24"/>
          <w:szCs w:val="24"/>
        </w:rPr>
      </w:pPr>
      <w:r w:rsidRPr="00FA5F7D">
        <w:rPr>
          <w:rFonts w:cs="Arial"/>
          <w:sz w:val="24"/>
          <w:szCs w:val="24"/>
        </w:rPr>
        <w:t xml:space="preserve">The union shall </w:t>
      </w:r>
      <w:r w:rsidR="00B27A67">
        <w:rPr>
          <w:rFonts w:cs="Arial"/>
          <w:sz w:val="24"/>
          <w:szCs w:val="24"/>
        </w:rPr>
        <w:t xml:space="preserve">make sure that members who have opted out do not pay into the political fund. </w:t>
      </w:r>
    </w:p>
    <w:p w14:paraId="6D976928" w14:textId="1D23EAC8" w:rsidR="00C00DC2" w:rsidRDefault="00A047D0" w:rsidP="00B80E93">
      <w:pPr>
        <w:pStyle w:val="Heading1"/>
      </w:pPr>
      <w:bookmarkStart w:id="4" w:name="_Toc217465230"/>
      <w:r>
        <w:t>Withdrawing an opt-out notice</w:t>
      </w:r>
      <w:bookmarkEnd w:id="4"/>
    </w:p>
    <w:p w14:paraId="6794A649" w14:textId="693C54C0" w:rsidR="00CB48C3" w:rsidRPr="00CB48C3" w:rsidRDefault="004E61F6" w:rsidP="00864792">
      <w:pPr>
        <w:pStyle w:val="ListParagraph"/>
        <w:numPr>
          <w:ilvl w:val="0"/>
          <w:numId w:val="5"/>
        </w:numPr>
        <w:spacing w:after="240" w:line="276" w:lineRule="auto"/>
        <w:contextualSpacing w:val="0"/>
        <w:jc w:val="both"/>
        <w:rPr>
          <w:sz w:val="24"/>
          <w:szCs w:val="24"/>
        </w:rPr>
      </w:pPr>
      <w:r w:rsidRPr="00CB48C3">
        <w:rPr>
          <w:sz w:val="24"/>
          <w:szCs w:val="24"/>
        </w:rPr>
        <w:lastRenderedPageBreak/>
        <w:t>Any member who has opted out of contributing to the political fund may withdraw th</w:t>
      </w:r>
      <w:r w:rsidR="002F01E8">
        <w:rPr>
          <w:sz w:val="24"/>
          <w:szCs w:val="24"/>
        </w:rPr>
        <w:t>eir</w:t>
      </w:r>
      <w:r w:rsidRPr="00CB48C3">
        <w:rPr>
          <w:sz w:val="24"/>
          <w:szCs w:val="24"/>
        </w:rPr>
        <w:t xml:space="preserve"> opt-out at any time. </w:t>
      </w:r>
      <w:r w:rsidR="00C4055A" w:rsidRPr="00CB48C3">
        <w:rPr>
          <w:sz w:val="24"/>
          <w:szCs w:val="24"/>
        </w:rPr>
        <w:t xml:space="preserve">Doing so means the member will start contributing to the political fund again. </w:t>
      </w:r>
      <w:r w:rsidRPr="00CB48C3">
        <w:rPr>
          <w:sz w:val="24"/>
          <w:szCs w:val="24"/>
        </w:rPr>
        <w:t xml:space="preserve">To </w:t>
      </w:r>
      <w:r w:rsidR="00C4055A" w:rsidRPr="00CB48C3">
        <w:rPr>
          <w:sz w:val="24"/>
          <w:szCs w:val="24"/>
        </w:rPr>
        <w:t>withdraw an opt-out notice</w:t>
      </w:r>
      <w:r w:rsidRPr="00CB48C3">
        <w:rPr>
          <w:sz w:val="24"/>
          <w:szCs w:val="24"/>
        </w:rPr>
        <w:t xml:space="preserve">, </w:t>
      </w:r>
      <w:r w:rsidR="00FE6E48">
        <w:rPr>
          <w:sz w:val="24"/>
          <w:szCs w:val="24"/>
        </w:rPr>
        <w:t>the member should</w:t>
      </w:r>
      <w:r w:rsidR="00CB48C3" w:rsidRPr="00CB48C3">
        <w:rPr>
          <w:rFonts w:cs="Arial"/>
          <w:sz w:val="24"/>
          <w:szCs w:val="24"/>
        </w:rPr>
        <w:t xml:space="preserve"> give the union an opt-</w:t>
      </w:r>
      <w:r w:rsidR="00FE6E48">
        <w:rPr>
          <w:rFonts w:cs="Arial"/>
          <w:sz w:val="24"/>
          <w:szCs w:val="24"/>
        </w:rPr>
        <w:t>out</w:t>
      </w:r>
      <w:r w:rsidR="00CB48C3" w:rsidRPr="00CB48C3">
        <w:rPr>
          <w:rFonts w:cs="Arial"/>
          <w:sz w:val="24"/>
          <w:szCs w:val="24"/>
        </w:rPr>
        <w:t xml:space="preserve"> withdrawal notice, which is a written statement saying </w:t>
      </w:r>
      <w:r w:rsidR="00FE6E48">
        <w:rPr>
          <w:rFonts w:cs="Arial"/>
          <w:sz w:val="24"/>
          <w:szCs w:val="24"/>
        </w:rPr>
        <w:t xml:space="preserve">they </w:t>
      </w:r>
      <w:r w:rsidR="00FE6E48" w:rsidRPr="00FE6E48">
        <w:rPr>
          <w:rFonts w:cs="Arial"/>
          <w:sz w:val="24"/>
          <w:szCs w:val="24"/>
        </w:rPr>
        <w:t>wish to withdraw their opt-out notice and start contributing to the union’s political fund again.</w:t>
      </w:r>
    </w:p>
    <w:p w14:paraId="4CBC2180" w14:textId="08FDD9C1" w:rsidR="00CB48C3" w:rsidRPr="00C206FC" w:rsidRDefault="00CB48C3" w:rsidP="00864792">
      <w:pPr>
        <w:pStyle w:val="ListParagraph"/>
        <w:numPr>
          <w:ilvl w:val="0"/>
          <w:numId w:val="5"/>
        </w:numPr>
        <w:spacing w:after="240" w:line="276" w:lineRule="auto"/>
        <w:contextualSpacing w:val="0"/>
        <w:jc w:val="both"/>
        <w:rPr>
          <w:sz w:val="24"/>
          <w:szCs w:val="24"/>
        </w:rPr>
      </w:pPr>
      <w:r w:rsidRPr="00FB13EC">
        <w:rPr>
          <w:rFonts w:cs="Arial"/>
          <w:sz w:val="24"/>
          <w:szCs w:val="24"/>
        </w:rPr>
        <w:t>The opt-</w:t>
      </w:r>
      <w:r w:rsidR="00FE6E48">
        <w:rPr>
          <w:rFonts w:cs="Arial"/>
          <w:sz w:val="24"/>
          <w:szCs w:val="24"/>
        </w:rPr>
        <w:t>out</w:t>
      </w:r>
      <w:r w:rsidRPr="00FB13EC">
        <w:rPr>
          <w:rFonts w:cs="Arial"/>
          <w:sz w:val="24"/>
          <w:szCs w:val="24"/>
        </w:rPr>
        <w:t xml:space="preserve"> withdrawal notice can be</w:t>
      </w:r>
      <w:r w:rsidR="00D36A26">
        <w:rPr>
          <w:rFonts w:cs="Arial"/>
          <w:sz w:val="24"/>
          <w:szCs w:val="24"/>
        </w:rPr>
        <w:t xml:space="preserve"> delivered in person,</w:t>
      </w:r>
      <w:r w:rsidRPr="00FB13EC">
        <w:rPr>
          <w:rFonts w:cs="Arial"/>
          <w:sz w:val="24"/>
          <w:szCs w:val="24"/>
        </w:rPr>
        <w:t xml:space="preserve"> sent by post, email, or through any electronic form the union provides.</w:t>
      </w:r>
    </w:p>
    <w:p w14:paraId="054116B7" w14:textId="41EA0537" w:rsidR="007E5AEA" w:rsidRPr="00FE6E48" w:rsidRDefault="007E5AEA" w:rsidP="00864792">
      <w:pPr>
        <w:pStyle w:val="ListParagraph"/>
        <w:numPr>
          <w:ilvl w:val="0"/>
          <w:numId w:val="5"/>
        </w:numPr>
        <w:spacing w:after="240" w:line="276" w:lineRule="auto"/>
        <w:contextualSpacing w:val="0"/>
        <w:jc w:val="both"/>
        <w:rPr>
          <w:sz w:val="24"/>
          <w:szCs w:val="24"/>
        </w:rPr>
      </w:pPr>
      <w:r w:rsidRPr="4B389C9A">
        <w:rPr>
          <w:rFonts w:cs="Arial"/>
          <w:sz w:val="24"/>
          <w:szCs w:val="24"/>
        </w:rPr>
        <w:t xml:space="preserve">When the union receives </w:t>
      </w:r>
      <w:r w:rsidR="00FE6E48" w:rsidRPr="4B389C9A">
        <w:rPr>
          <w:rFonts w:cs="Arial"/>
          <w:sz w:val="24"/>
          <w:szCs w:val="24"/>
        </w:rPr>
        <w:t>the</w:t>
      </w:r>
      <w:r w:rsidRPr="4B389C9A">
        <w:rPr>
          <w:rFonts w:cs="Arial"/>
          <w:sz w:val="24"/>
          <w:szCs w:val="24"/>
        </w:rPr>
        <w:t xml:space="preserve"> opt-out withdrawal notice, it will</w:t>
      </w:r>
      <w:r w:rsidR="003E392C" w:rsidRPr="4B389C9A">
        <w:rPr>
          <w:rFonts w:cs="Arial"/>
          <w:sz w:val="24"/>
          <w:szCs w:val="24"/>
        </w:rPr>
        <w:t xml:space="preserve"> s</w:t>
      </w:r>
      <w:r w:rsidRPr="4B389C9A">
        <w:rPr>
          <w:rFonts w:cs="Arial"/>
          <w:sz w:val="24"/>
          <w:szCs w:val="24"/>
        </w:rPr>
        <w:t xml:space="preserve">end </w:t>
      </w:r>
      <w:r w:rsidR="00FE6E48" w:rsidRPr="4B389C9A">
        <w:rPr>
          <w:rFonts w:cs="Arial"/>
          <w:sz w:val="24"/>
          <w:szCs w:val="24"/>
        </w:rPr>
        <w:t>the member</w:t>
      </w:r>
      <w:r w:rsidRPr="4B389C9A">
        <w:rPr>
          <w:rFonts w:cs="Arial"/>
          <w:sz w:val="24"/>
          <w:szCs w:val="24"/>
        </w:rPr>
        <w:t xml:space="preserve"> an acknowledgement</w:t>
      </w:r>
      <w:r w:rsidR="00D36A26" w:rsidRPr="4B389C9A">
        <w:rPr>
          <w:rFonts w:cs="Arial"/>
          <w:sz w:val="24"/>
          <w:szCs w:val="24"/>
        </w:rPr>
        <w:t xml:space="preserve"> to the address provided</w:t>
      </w:r>
      <w:r w:rsidRPr="4B389C9A">
        <w:rPr>
          <w:rFonts w:cs="Arial"/>
          <w:sz w:val="24"/>
          <w:szCs w:val="24"/>
        </w:rPr>
        <w:t xml:space="preserve"> </w:t>
      </w:r>
      <w:r w:rsidR="00E70094" w:rsidRPr="4B389C9A">
        <w:rPr>
          <w:rFonts w:cs="Arial"/>
          <w:sz w:val="24"/>
          <w:szCs w:val="24"/>
        </w:rPr>
        <w:t xml:space="preserve">and </w:t>
      </w:r>
      <w:r w:rsidR="00D23448" w:rsidRPr="4B389C9A">
        <w:rPr>
          <w:rFonts w:cs="Arial"/>
          <w:sz w:val="24"/>
          <w:szCs w:val="24"/>
        </w:rPr>
        <w:t xml:space="preserve">process the withdrawal of </w:t>
      </w:r>
      <w:r w:rsidR="00FE6E48" w:rsidRPr="4B389C9A">
        <w:rPr>
          <w:rFonts w:cs="Arial"/>
          <w:sz w:val="24"/>
          <w:szCs w:val="24"/>
        </w:rPr>
        <w:t>the</w:t>
      </w:r>
      <w:r w:rsidR="00D23448" w:rsidRPr="4B389C9A">
        <w:rPr>
          <w:rFonts w:cs="Arial"/>
          <w:sz w:val="24"/>
          <w:szCs w:val="24"/>
        </w:rPr>
        <w:t xml:space="preserve"> opt-out notice as soon as reasonably practicable.</w:t>
      </w:r>
    </w:p>
    <w:p w14:paraId="67176A24" w14:textId="77777777" w:rsidR="00292CDE" w:rsidRDefault="00292CDE" w:rsidP="00864792">
      <w:pPr>
        <w:spacing w:after="240" w:line="276" w:lineRule="auto"/>
        <w:jc w:val="both"/>
        <w:rPr>
          <w:rFonts w:cs="Arial"/>
          <w:sz w:val="24"/>
          <w:szCs w:val="24"/>
        </w:rPr>
      </w:pPr>
    </w:p>
    <w:p w14:paraId="35F8DFE9" w14:textId="3BA047D3" w:rsidR="3E07C14D" w:rsidRDefault="3E07C14D" w:rsidP="3E07C14D">
      <w:pPr>
        <w:spacing w:after="240" w:line="276" w:lineRule="auto"/>
        <w:jc w:val="both"/>
        <w:rPr>
          <w:rFonts w:cs="Arial"/>
          <w:sz w:val="24"/>
          <w:szCs w:val="24"/>
        </w:rPr>
      </w:pPr>
    </w:p>
    <w:p w14:paraId="0688592B" w14:textId="6DBE2FFB" w:rsidR="00761EB6" w:rsidRDefault="00292CDE" w:rsidP="00B80E93">
      <w:pPr>
        <w:pStyle w:val="Heading1"/>
      </w:pPr>
      <w:bookmarkStart w:id="5" w:name="_Toc217465231"/>
      <w:r>
        <w:t>Transitional</w:t>
      </w:r>
      <w:r w:rsidR="00A22DFF">
        <w:t xml:space="preserve"> arrangements</w:t>
      </w:r>
      <w:r w:rsidR="008064E7">
        <w:t xml:space="preserve"> </w:t>
      </w:r>
      <w:r w:rsidR="007B0742">
        <w:t xml:space="preserve">for members who joined </w:t>
      </w:r>
      <w:r w:rsidR="00A8777D" w:rsidRPr="002D1AF3">
        <w:rPr>
          <w:highlight w:val="yellow"/>
        </w:rPr>
        <w:t>[name of union]</w:t>
      </w:r>
      <w:r w:rsidR="00A8777D">
        <w:t xml:space="preserve"> between 1 March 2018 and 1</w:t>
      </w:r>
      <w:r w:rsidR="00D36A26">
        <w:t>7</w:t>
      </w:r>
      <w:r w:rsidR="00A8777D">
        <w:t xml:space="preserve"> February 2026</w:t>
      </w:r>
      <w:r w:rsidR="00761EB6">
        <w:t xml:space="preserve"> </w:t>
      </w:r>
      <w:bookmarkEnd w:id="5"/>
    </w:p>
    <w:p w14:paraId="5E35AF9D" w14:textId="5F80E6B8" w:rsidR="00A22DFF" w:rsidRDefault="00A22DFF" w:rsidP="00864792">
      <w:pPr>
        <w:spacing w:after="240" w:line="276" w:lineRule="auto"/>
        <w:jc w:val="both"/>
        <w:rPr>
          <w:rFonts w:cs="Arial"/>
          <w:sz w:val="24"/>
          <w:szCs w:val="24"/>
        </w:rPr>
      </w:pPr>
      <w:r w:rsidRPr="00A22DFF">
        <w:rPr>
          <w:rFonts w:cs="Arial"/>
          <w:sz w:val="24"/>
          <w:szCs w:val="24"/>
        </w:rPr>
        <w:t>Between 1 March 2018 and 1</w:t>
      </w:r>
      <w:r w:rsidR="00D36A26">
        <w:rPr>
          <w:rFonts w:cs="Arial"/>
          <w:sz w:val="24"/>
          <w:szCs w:val="24"/>
        </w:rPr>
        <w:t>7</w:t>
      </w:r>
      <w:r w:rsidRPr="00A22DFF">
        <w:rPr>
          <w:rFonts w:cs="Arial"/>
          <w:sz w:val="24"/>
          <w:szCs w:val="24"/>
        </w:rPr>
        <w:t xml:space="preserve"> February 2026, members were not automatically opted in to the political fund</w:t>
      </w:r>
      <w:r>
        <w:rPr>
          <w:rFonts w:cs="Arial"/>
          <w:sz w:val="24"/>
          <w:szCs w:val="24"/>
        </w:rPr>
        <w:t>. Instead,</w:t>
      </w:r>
      <w:r w:rsidRPr="00A22DFF">
        <w:rPr>
          <w:rFonts w:cs="Arial"/>
          <w:sz w:val="24"/>
          <w:szCs w:val="24"/>
        </w:rPr>
        <w:t xml:space="preserve"> they had to actively </w:t>
      </w:r>
      <w:r>
        <w:rPr>
          <w:rFonts w:cs="Arial"/>
          <w:sz w:val="24"/>
          <w:szCs w:val="24"/>
        </w:rPr>
        <w:t>opt-in</w:t>
      </w:r>
      <w:r w:rsidRPr="00A22DFF">
        <w:rPr>
          <w:rFonts w:cs="Arial"/>
          <w:sz w:val="24"/>
          <w:szCs w:val="24"/>
        </w:rPr>
        <w:t xml:space="preserve">. </w:t>
      </w:r>
      <w:r w:rsidR="00C1136D">
        <w:rPr>
          <w:rFonts w:cs="Arial"/>
          <w:sz w:val="24"/>
          <w:szCs w:val="24"/>
        </w:rPr>
        <w:t>The Employment Rights Act 2025</w:t>
      </w:r>
      <w:r w:rsidR="00FC1683">
        <w:rPr>
          <w:rFonts w:cs="Arial"/>
          <w:sz w:val="24"/>
          <w:szCs w:val="24"/>
        </w:rPr>
        <w:t xml:space="preserve"> has</w:t>
      </w:r>
      <w:r w:rsidR="00C1136D">
        <w:rPr>
          <w:rFonts w:cs="Arial"/>
          <w:sz w:val="24"/>
          <w:szCs w:val="24"/>
        </w:rPr>
        <w:t xml:space="preserve"> amend</w:t>
      </w:r>
      <w:r w:rsidR="00FC1683">
        <w:rPr>
          <w:rFonts w:cs="Arial"/>
          <w:sz w:val="24"/>
          <w:szCs w:val="24"/>
        </w:rPr>
        <w:t>ed</w:t>
      </w:r>
      <w:r w:rsidR="00C1136D">
        <w:rPr>
          <w:rFonts w:cs="Arial"/>
          <w:sz w:val="24"/>
          <w:szCs w:val="24"/>
        </w:rPr>
        <w:t xml:space="preserve"> the Trade Union and Labour Relations (Consolidation) Act 1992</w:t>
      </w:r>
      <w:r w:rsidR="00510AD1">
        <w:rPr>
          <w:rFonts w:cs="Arial"/>
          <w:sz w:val="24"/>
          <w:szCs w:val="24"/>
        </w:rPr>
        <w:t>, so that new members are treated as opted-in unless they choose to opt-out. The following rules explain how unions must handle members who joined between 1 March 2018 and 1</w:t>
      </w:r>
      <w:r w:rsidR="00D36A26">
        <w:rPr>
          <w:rFonts w:cs="Arial"/>
          <w:sz w:val="24"/>
          <w:szCs w:val="24"/>
        </w:rPr>
        <w:t>7</w:t>
      </w:r>
      <w:r w:rsidR="00510AD1">
        <w:rPr>
          <w:rFonts w:cs="Arial"/>
          <w:sz w:val="24"/>
          <w:szCs w:val="24"/>
        </w:rPr>
        <w:t xml:space="preserve"> February 2026</w:t>
      </w:r>
      <w:r w:rsidR="00D36A26">
        <w:rPr>
          <w:rFonts w:cs="Arial"/>
          <w:sz w:val="24"/>
          <w:szCs w:val="24"/>
        </w:rPr>
        <w:t>.</w:t>
      </w:r>
    </w:p>
    <w:p w14:paraId="5747C25A" w14:textId="67FE9828" w:rsidR="00761EB6" w:rsidRDefault="00E565D1" w:rsidP="00B80E93">
      <w:pPr>
        <w:pStyle w:val="Heading1"/>
      </w:pPr>
      <w:bookmarkStart w:id="6" w:name="_Toc217465232"/>
      <w:r>
        <w:t>Default opt-outs for certain m</w:t>
      </w:r>
      <w:r w:rsidR="00761EB6">
        <w:t>embers</w:t>
      </w:r>
      <w:bookmarkEnd w:id="6"/>
    </w:p>
    <w:p w14:paraId="6BF8163E" w14:textId="5846D8A6" w:rsidR="00400588" w:rsidRPr="007B0742" w:rsidRDefault="00761EB6" w:rsidP="00864792">
      <w:pPr>
        <w:pStyle w:val="ListParagraph"/>
        <w:numPr>
          <w:ilvl w:val="0"/>
          <w:numId w:val="5"/>
        </w:numPr>
        <w:spacing w:after="240" w:line="276" w:lineRule="auto"/>
        <w:contextualSpacing w:val="0"/>
        <w:jc w:val="both"/>
        <w:rPr>
          <w:rFonts w:cs="Arial"/>
          <w:sz w:val="24"/>
          <w:szCs w:val="24"/>
        </w:rPr>
      </w:pPr>
      <w:r w:rsidRPr="00123B0A">
        <w:rPr>
          <w:rFonts w:eastAsia="Times New Roman" w:cs="Arial"/>
          <w:sz w:val="24"/>
          <w:szCs w:val="24"/>
          <w:lang w:eastAsia="en-GB"/>
        </w:rPr>
        <w:t>Any member who joined the union between 1 March 2018 and 1</w:t>
      </w:r>
      <w:r w:rsidR="00D36A26">
        <w:rPr>
          <w:rFonts w:eastAsia="Times New Roman" w:cs="Arial"/>
          <w:sz w:val="24"/>
          <w:szCs w:val="24"/>
          <w:lang w:eastAsia="en-GB"/>
        </w:rPr>
        <w:t>7</w:t>
      </w:r>
      <w:r w:rsidRPr="00123B0A">
        <w:rPr>
          <w:rFonts w:eastAsia="Times New Roman" w:cs="Arial"/>
          <w:sz w:val="24"/>
          <w:szCs w:val="24"/>
          <w:lang w:eastAsia="en-GB"/>
        </w:rPr>
        <w:t xml:space="preserve"> February 2026 and was not contributing to the political fund immediately before </w:t>
      </w:r>
      <w:r w:rsidR="00D36A26">
        <w:rPr>
          <w:rFonts w:eastAsia="Times New Roman" w:cs="Arial"/>
          <w:sz w:val="24"/>
          <w:szCs w:val="24"/>
          <w:lang w:eastAsia="en-GB"/>
        </w:rPr>
        <w:t>18 February 2026</w:t>
      </w:r>
      <w:r w:rsidRPr="00123B0A">
        <w:rPr>
          <w:rFonts w:eastAsia="Times New Roman" w:cs="Arial"/>
          <w:sz w:val="24"/>
          <w:szCs w:val="24"/>
          <w:lang w:eastAsia="en-GB"/>
        </w:rPr>
        <w:t xml:space="preserve">, is treated by law as having given an opt-out notice </w:t>
      </w:r>
      <w:r w:rsidR="00D36A26">
        <w:rPr>
          <w:rFonts w:eastAsia="Times New Roman" w:cs="Arial"/>
          <w:sz w:val="24"/>
          <w:szCs w:val="24"/>
          <w:lang w:eastAsia="en-GB"/>
        </w:rPr>
        <w:t>under the new section 84 of the 1992 Act, substituted by the 2025 Act.</w:t>
      </w:r>
      <w:r w:rsidRPr="00123B0A">
        <w:rPr>
          <w:rFonts w:eastAsia="Times New Roman" w:cs="Arial"/>
          <w:sz w:val="24"/>
          <w:szCs w:val="24"/>
          <w:lang w:eastAsia="en-GB"/>
        </w:rPr>
        <w:t xml:space="preserve"> This opt-out remains in effect until the member gives a withdrawal notice in accordance with these rules. The union does not need to take any action to process these opt-outs, as they apply automatically under the law.</w:t>
      </w:r>
      <w:r w:rsidR="00400588">
        <w:rPr>
          <w:rFonts w:eastAsia="Times New Roman" w:cs="Arial"/>
          <w:sz w:val="24"/>
          <w:szCs w:val="24"/>
          <w:lang w:eastAsia="en-GB"/>
        </w:rPr>
        <w:t xml:space="preserve"> </w:t>
      </w:r>
      <w:r w:rsidR="00400588" w:rsidRPr="007B0742">
        <w:rPr>
          <w:rFonts w:cs="Arial"/>
          <w:sz w:val="24"/>
          <w:szCs w:val="24"/>
        </w:rPr>
        <w:t>Th</w:t>
      </w:r>
      <w:r w:rsidR="00400588">
        <w:rPr>
          <w:rFonts w:cs="Arial"/>
          <w:sz w:val="24"/>
          <w:szCs w:val="24"/>
        </w:rPr>
        <w:t xml:space="preserve">is </w:t>
      </w:r>
      <w:r w:rsidR="007462F4">
        <w:rPr>
          <w:rFonts w:cs="Arial"/>
          <w:sz w:val="24"/>
          <w:szCs w:val="24"/>
        </w:rPr>
        <w:t>automatically applied</w:t>
      </w:r>
      <w:r w:rsidR="00400588">
        <w:rPr>
          <w:rFonts w:cs="Arial"/>
          <w:sz w:val="24"/>
          <w:szCs w:val="24"/>
        </w:rPr>
        <w:t xml:space="preserve"> opt-out notice is</w:t>
      </w:r>
      <w:r w:rsidR="00400588" w:rsidRPr="007B0742">
        <w:rPr>
          <w:rFonts w:cs="Arial"/>
          <w:sz w:val="24"/>
          <w:szCs w:val="24"/>
        </w:rPr>
        <w:t xml:space="preserve"> treated as effective from 1</w:t>
      </w:r>
      <w:r w:rsidR="007462F4">
        <w:rPr>
          <w:rFonts w:cs="Arial"/>
          <w:sz w:val="24"/>
          <w:szCs w:val="24"/>
        </w:rPr>
        <w:t>8</w:t>
      </w:r>
      <w:r w:rsidR="00400588" w:rsidRPr="007B0742">
        <w:rPr>
          <w:rFonts w:cs="Arial"/>
          <w:sz w:val="24"/>
          <w:szCs w:val="24"/>
        </w:rPr>
        <w:t xml:space="preserve"> February 2026 and will remain in effect until the member gives an opt-out withdrawal notice to cancel it</w:t>
      </w:r>
      <w:r w:rsidR="00D36A26">
        <w:rPr>
          <w:rFonts w:cs="Arial"/>
          <w:sz w:val="24"/>
          <w:szCs w:val="24"/>
        </w:rPr>
        <w:t xml:space="preserve"> (as addressed above in paragraphs 17-19).</w:t>
      </w:r>
    </w:p>
    <w:p w14:paraId="6338BCAA" w14:textId="4A53920E" w:rsidR="006C6ADC" w:rsidRPr="006C6ADC" w:rsidRDefault="00D36A26" w:rsidP="00B80E93">
      <w:pPr>
        <w:pStyle w:val="Heading1"/>
        <w:rPr>
          <w:sz w:val="21"/>
          <w:szCs w:val="21"/>
          <w:lang w:eastAsia="en-GB"/>
        </w:rPr>
      </w:pPr>
      <w:bookmarkStart w:id="7" w:name="_Toc217465233"/>
      <w:r>
        <w:rPr>
          <w:lang w:eastAsia="en-GB"/>
        </w:rPr>
        <w:t>T</w:t>
      </w:r>
      <w:r w:rsidR="006C6ADC" w:rsidRPr="006C6ADC">
        <w:rPr>
          <w:lang w:eastAsia="en-GB"/>
        </w:rPr>
        <w:t xml:space="preserve">ransitional </w:t>
      </w:r>
      <w:r w:rsidR="005F1269">
        <w:rPr>
          <w:lang w:eastAsia="en-GB"/>
        </w:rPr>
        <w:t>p</w:t>
      </w:r>
      <w:r w:rsidR="006C6ADC" w:rsidRPr="006C6ADC">
        <w:rPr>
          <w:lang w:eastAsia="en-GB"/>
        </w:rPr>
        <w:t xml:space="preserve">eriod for </w:t>
      </w:r>
      <w:r w:rsidR="005F1269">
        <w:rPr>
          <w:lang w:eastAsia="en-GB"/>
        </w:rPr>
        <w:t>o</w:t>
      </w:r>
      <w:r w:rsidR="006C6ADC" w:rsidRPr="006C6ADC">
        <w:rPr>
          <w:lang w:eastAsia="en-GB"/>
        </w:rPr>
        <w:t>pt-</w:t>
      </w:r>
      <w:r w:rsidR="005F1269">
        <w:rPr>
          <w:lang w:eastAsia="en-GB"/>
        </w:rPr>
        <w:t>i</w:t>
      </w:r>
      <w:r w:rsidR="006C6ADC" w:rsidRPr="006C6ADC">
        <w:rPr>
          <w:lang w:eastAsia="en-GB"/>
        </w:rPr>
        <w:t xml:space="preserve">n </w:t>
      </w:r>
      <w:r w:rsidR="005F1269">
        <w:rPr>
          <w:lang w:eastAsia="en-GB"/>
        </w:rPr>
        <w:t>w</w:t>
      </w:r>
      <w:r w:rsidR="006C6ADC" w:rsidRPr="006C6ADC">
        <w:rPr>
          <w:lang w:eastAsia="en-GB"/>
        </w:rPr>
        <w:t>ithdrawals</w:t>
      </w:r>
      <w:bookmarkEnd w:id="7"/>
    </w:p>
    <w:p w14:paraId="324CB206" w14:textId="7DE1C64B" w:rsidR="00F74827" w:rsidRPr="0050425F" w:rsidRDefault="00F20344" w:rsidP="00864792">
      <w:pPr>
        <w:spacing w:after="240" w:line="276" w:lineRule="auto"/>
        <w:rPr>
          <w:rFonts w:eastAsia="Times New Roman" w:cs="Arial"/>
          <w:sz w:val="24"/>
          <w:szCs w:val="24"/>
          <w:lang w:eastAsia="en-GB"/>
        </w:rPr>
      </w:pPr>
      <w:r>
        <w:rPr>
          <w:rFonts w:eastAsia="Times New Roman" w:cs="Arial"/>
          <w:sz w:val="24"/>
          <w:szCs w:val="24"/>
          <w:lang w:eastAsia="en-GB"/>
        </w:rPr>
        <w:t>The following r</w:t>
      </w:r>
      <w:r w:rsidR="00F74827">
        <w:rPr>
          <w:rFonts w:eastAsia="Times New Roman" w:cs="Arial"/>
          <w:sz w:val="24"/>
          <w:szCs w:val="24"/>
          <w:lang w:eastAsia="en-GB"/>
        </w:rPr>
        <w:t>ule</w:t>
      </w:r>
      <w:r w:rsidR="005B2B5F">
        <w:rPr>
          <w:rFonts w:eastAsia="Times New Roman" w:cs="Arial"/>
          <w:sz w:val="24"/>
          <w:szCs w:val="24"/>
          <w:lang w:eastAsia="en-GB"/>
        </w:rPr>
        <w:t>s</w:t>
      </w:r>
      <w:r w:rsidR="00F74827">
        <w:rPr>
          <w:rFonts w:eastAsia="Times New Roman" w:cs="Arial"/>
          <w:sz w:val="24"/>
          <w:szCs w:val="24"/>
          <w:lang w:eastAsia="en-GB"/>
        </w:rPr>
        <w:t xml:space="preserve"> </w:t>
      </w:r>
      <w:r w:rsidR="00DD29EB">
        <w:rPr>
          <w:rFonts w:eastAsia="Times New Roman" w:cs="Arial"/>
          <w:sz w:val="24"/>
          <w:szCs w:val="24"/>
          <w:lang w:eastAsia="en-GB"/>
        </w:rPr>
        <w:t>(</w:t>
      </w:r>
      <w:r w:rsidR="00F74827">
        <w:rPr>
          <w:rFonts w:eastAsia="Times New Roman" w:cs="Arial"/>
          <w:sz w:val="24"/>
          <w:szCs w:val="24"/>
          <w:lang w:eastAsia="en-GB"/>
        </w:rPr>
        <w:t>2</w:t>
      </w:r>
      <w:r>
        <w:rPr>
          <w:rFonts w:eastAsia="Times New Roman" w:cs="Arial"/>
          <w:sz w:val="24"/>
          <w:szCs w:val="24"/>
          <w:lang w:eastAsia="en-GB"/>
        </w:rPr>
        <w:t>1</w:t>
      </w:r>
      <w:r w:rsidR="00F74827">
        <w:rPr>
          <w:rFonts w:eastAsia="Times New Roman" w:cs="Arial"/>
          <w:sz w:val="24"/>
          <w:szCs w:val="24"/>
          <w:lang w:eastAsia="en-GB"/>
        </w:rPr>
        <w:t>-2</w:t>
      </w:r>
      <w:r>
        <w:rPr>
          <w:rFonts w:eastAsia="Times New Roman" w:cs="Arial"/>
          <w:sz w:val="24"/>
          <w:szCs w:val="24"/>
          <w:lang w:eastAsia="en-GB"/>
        </w:rPr>
        <w:t>4</w:t>
      </w:r>
      <w:r w:rsidR="00DD29EB">
        <w:rPr>
          <w:rFonts w:eastAsia="Times New Roman" w:cs="Arial"/>
          <w:sz w:val="24"/>
          <w:szCs w:val="24"/>
          <w:lang w:eastAsia="en-GB"/>
        </w:rPr>
        <w:t xml:space="preserve"> [</w:t>
      </w:r>
      <w:r w:rsidR="00DD29EB" w:rsidRPr="00DD29EB">
        <w:rPr>
          <w:rFonts w:eastAsia="Times New Roman" w:cs="Arial"/>
          <w:sz w:val="24"/>
          <w:szCs w:val="24"/>
          <w:highlight w:val="green"/>
          <w:lang w:eastAsia="en-GB"/>
        </w:rPr>
        <w:t>Unions, amend numbers as required if additional rules are added earlier in document</w:t>
      </w:r>
      <w:r w:rsidR="00DD29EB">
        <w:rPr>
          <w:rFonts w:eastAsia="Times New Roman" w:cs="Arial"/>
          <w:sz w:val="24"/>
          <w:szCs w:val="24"/>
          <w:lang w:eastAsia="en-GB"/>
        </w:rPr>
        <w:t>])</w:t>
      </w:r>
      <w:r w:rsidR="00F74827" w:rsidRPr="00F74827">
        <w:rPr>
          <w:rFonts w:eastAsia="Times New Roman" w:cs="Arial"/>
          <w:sz w:val="24"/>
          <w:szCs w:val="24"/>
          <w:lang w:eastAsia="en-GB"/>
        </w:rPr>
        <w:t xml:space="preserve"> apply to members who joined the union between 1 March 2018 and 1</w:t>
      </w:r>
      <w:r w:rsidR="00F74827">
        <w:rPr>
          <w:rFonts w:eastAsia="Times New Roman" w:cs="Arial"/>
          <w:sz w:val="24"/>
          <w:szCs w:val="24"/>
          <w:lang w:eastAsia="en-GB"/>
        </w:rPr>
        <w:t>8</w:t>
      </w:r>
      <w:r w:rsidR="00F74827" w:rsidRPr="00F74827">
        <w:rPr>
          <w:rFonts w:eastAsia="Times New Roman" w:cs="Arial"/>
          <w:sz w:val="24"/>
          <w:szCs w:val="24"/>
          <w:lang w:eastAsia="en-GB"/>
        </w:rPr>
        <w:t xml:space="preserve"> February 2026 and submitted an opt-in notice </w:t>
      </w:r>
      <w:r w:rsidR="0019308C">
        <w:rPr>
          <w:rFonts w:eastAsia="Times New Roman" w:cs="Arial"/>
          <w:sz w:val="24"/>
          <w:szCs w:val="24"/>
          <w:lang w:eastAsia="en-GB"/>
        </w:rPr>
        <w:t>that remains in force on 18 February 2026</w:t>
      </w:r>
      <w:r w:rsidR="00F74827" w:rsidRPr="00F74827">
        <w:rPr>
          <w:rFonts w:eastAsia="Times New Roman" w:cs="Arial"/>
          <w:sz w:val="24"/>
          <w:szCs w:val="24"/>
          <w:lang w:eastAsia="en-GB"/>
        </w:rPr>
        <w:t xml:space="preserve">. These rules cover the four-week period </w:t>
      </w:r>
      <w:r w:rsidR="00D36A26">
        <w:rPr>
          <w:rFonts w:eastAsia="Times New Roman" w:cs="Arial"/>
          <w:sz w:val="24"/>
          <w:szCs w:val="24"/>
          <w:lang w:eastAsia="en-GB"/>
        </w:rPr>
        <w:t xml:space="preserve">until (and </w:t>
      </w:r>
      <w:r w:rsidR="00D36A26">
        <w:rPr>
          <w:rFonts w:eastAsia="Times New Roman" w:cs="Arial"/>
          <w:sz w:val="24"/>
          <w:szCs w:val="24"/>
          <w:lang w:eastAsia="en-GB"/>
        </w:rPr>
        <w:lastRenderedPageBreak/>
        <w:t>including) 17 March 2026</w:t>
      </w:r>
      <w:r w:rsidR="00D36A26">
        <w:rPr>
          <w:rStyle w:val="CommentReference"/>
        </w:rPr>
        <w:t xml:space="preserve"> </w:t>
      </w:r>
      <w:r w:rsidR="00F74827" w:rsidRPr="00F74827">
        <w:rPr>
          <w:rFonts w:eastAsia="Times New Roman" w:cs="Arial"/>
          <w:sz w:val="24"/>
          <w:szCs w:val="24"/>
          <w:lang w:eastAsia="en-GB"/>
        </w:rPr>
        <w:t xml:space="preserve">. After that period, these members will be </w:t>
      </w:r>
      <w:r w:rsidR="00DB723B">
        <w:rPr>
          <w:rFonts w:eastAsia="Times New Roman" w:cs="Arial"/>
          <w:sz w:val="24"/>
          <w:szCs w:val="24"/>
          <w:lang w:eastAsia="en-GB"/>
        </w:rPr>
        <w:t xml:space="preserve">captured by the </w:t>
      </w:r>
      <w:r w:rsidR="00F74827" w:rsidRPr="00F74827">
        <w:rPr>
          <w:rFonts w:eastAsia="Times New Roman" w:cs="Arial"/>
          <w:sz w:val="24"/>
          <w:szCs w:val="24"/>
          <w:lang w:eastAsia="en-GB"/>
        </w:rPr>
        <w:t>process</w:t>
      </w:r>
      <w:r w:rsidR="00DB723B">
        <w:rPr>
          <w:rFonts w:eastAsia="Times New Roman" w:cs="Arial"/>
          <w:sz w:val="24"/>
          <w:szCs w:val="24"/>
          <w:lang w:eastAsia="en-GB"/>
        </w:rPr>
        <w:t>es</w:t>
      </w:r>
      <w:r w:rsidR="00F74827" w:rsidRPr="00F74827">
        <w:rPr>
          <w:rFonts w:eastAsia="Times New Roman" w:cs="Arial"/>
          <w:sz w:val="24"/>
          <w:szCs w:val="24"/>
          <w:lang w:eastAsia="en-GB"/>
        </w:rPr>
        <w:t xml:space="preserve"> described earlier in these rules.</w:t>
      </w:r>
    </w:p>
    <w:p w14:paraId="4174C424" w14:textId="49C4BEB6" w:rsidR="00881DAD" w:rsidRDefault="007010A3" w:rsidP="00864792">
      <w:pPr>
        <w:pStyle w:val="ListParagraph"/>
        <w:numPr>
          <w:ilvl w:val="0"/>
          <w:numId w:val="5"/>
        </w:numPr>
        <w:spacing w:after="240" w:line="276" w:lineRule="auto"/>
        <w:contextualSpacing w:val="0"/>
        <w:jc w:val="both"/>
        <w:rPr>
          <w:sz w:val="24"/>
          <w:szCs w:val="24"/>
        </w:rPr>
      </w:pPr>
      <w:r>
        <w:rPr>
          <w:rFonts w:cs="Arial"/>
          <w:sz w:val="24"/>
          <w:szCs w:val="24"/>
        </w:rPr>
        <w:t>Any</w:t>
      </w:r>
      <w:r w:rsidR="008064E7" w:rsidRPr="008064E7">
        <w:rPr>
          <w:rFonts w:cs="Arial"/>
          <w:sz w:val="24"/>
          <w:szCs w:val="24"/>
        </w:rPr>
        <w:t xml:space="preserve"> member </w:t>
      </w:r>
      <w:r>
        <w:rPr>
          <w:rFonts w:cs="Arial"/>
          <w:sz w:val="24"/>
          <w:szCs w:val="24"/>
        </w:rPr>
        <w:t xml:space="preserve">who </w:t>
      </w:r>
      <w:r w:rsidR="008064E7" w:rsidRPr="008064E7">
        <w:rPr>
          <w:rFonts w:cs="Arial"/>
          <w:sz w:val="24"/>
          <w:szCs w:val="24"/>
        </w:rPr>
        <w:t>joined the union between 1 March 2018 and 1</w:t>
      </w:r>
      <w:r w:rsidR="00C957E5">
        <w:rPr>
          <w:rFonts w:cs="Arial"/>
          <w:sz w:val="24"/>
          <w:szCs w:val="24"/>
        </w:rPr>
        <w:t>8</w:t>
      </w:r>
      <w:r w:rsidR="008064E7" w:rsidRPr="008064E7">
        <w:rPr>
          <w:rFonts w:cs="Arial"/>
          <w:sz w:val="24"/>
          <w:szCs w:val="24"/>
        </w:rPr>
        <w:t xml:space="preserve"> February 2026 and</w:t>
      </w:r>
      <w:r>
        <w:rPr>
          <w:rFonts w:cs="Arial"/>
          <w:sz w:val="24"/>
          <w:szCs w:val="24"/>
        </w:rPr>
        <w:t xml:space="preserve">, during that time, </w:t>
      </w:r>
      <w:r w:rsidR="008064E7">
        <w:rPr>
          <w:rFonts w:cs="Arial"/>
          <w:sz w:val="24"/>
          <w:szCs w:val="24"/>
        </w:rPr>
        <w:t>submitted an opt-in notice</w:t>
      </w:r>
      <w:r w:rsidR="00D36A26">
        <w:rPr>
          <w:rFonts w:cs="Arial"/>
          <w:sz w:val="24"/>
          <w:szCs w:val="24"/>
        </w:rPr>
        <w:t>, may for a short period give a withdrawal notice under section 84 of the 1992 Act, as it stood before the 2025 Act.</w:t>
      </w:r>
      <w:r w:rsidR="00D36A26">
        <w:rPr>
          <w:sz w:val="24"/>
          <w:szCs w:val="24"/>
        </w:rPr>
        <w:t xml:space="preserve"> </w:t>
      </w:r>
    </w:p>
    <w:p w14:paraId="3405206A" w14:textId="4EF3A785" w:rsidR="00FB13EC" w:rsidRPr="00FB13EC" w:rsidRDefault="00DB723B" w:rsidP="00864792">
      <w:pPr>
        <w:pStyle w:val="ListParagraph"/>
        <w:numPr>
          <w:ilvl w:val="0"/>
          <w:numId w:val="5"/>
        </w:numPr>
        <w:spacing w:after="240" w:line="276" w:lineRule="auto"/>
        <w:contextualSpacing w:val="0"/>
        <w:jc w:val="both"/>
        <w:rPr>
          <w:sz w:val="24"/>
          <w:szCs w:val="24"/>
        </w:rPr>
      </w:pPr>
      <w:r>
        <w:rPr>
          <w:sz w:val="24"/>
          <w:szCs w:val="24"/>
        </w:rPr>
        <w:t>During the transitional period</w:t>
      </w:r>
      <w:r w:rsidR="00D36A26">
        <w:rPr>
          <w:sz w:val="24"/>
          <w:szCs w:val="24"/>
        </w:rPr>
        <w:t xml:space="preserve"> until (and including) 18 March 2026</w:t>
      </w:r>
      <w:r>
        <w:rPr>
          <w:sz w:val="24"/>
          <w:szCs w:val="24"/>
        </w:rPr>
        <w:t>, i</w:t>
      </w:r>
      <w:r w:rsidR="00736715" w:rsidRPr="00881DAD">
        <w:rPr>
          <w:sz w:val="24"/>
          <w:szCs w:val="24"/>
        </w:rPr>
        <w:t>f</w:t>
      </w:r>
      <w:r w:rsidR="007D3302" w:rsidRPr="00881DAD">
        <w:rPr>
          <w:sz w:val="24"/>
          <w:szCs w:val="24"/>
        </w:rPr>
        <w:t xml:space="preserve"> a member who submitted an op</w:t>
      </w:r>
      <w:r w:rsidR="00687C83" w:rsidRPr="00881DAD">
        <w:rPr>
          <w:sz w:val="24"/>
          <w:szCs w:val="24"/>
        </w:rPr>
        <w:t xml:space="preserve">t-in notice wishes to stop contributing to the political fund, they </w:t>
      </w:r>
      <w:r w:rsidR="00881DAD" w:rsidRPr="00881DAD">
        <w:rPr>
          <w:rFonts w:cs="Arial"/>
          <w:sz w:val="24"/>
          <w:szCs w:val="24"/>
        </w:rPr>
        <w:t>may give the union an opt-in withdrawal notice, which is a written statement saying they no longer wish to contribute.</w:t>
      </w:r>
    </w:p>
    <w:p w14:paraId="6A3E7DD8" w14:textId="1B506FCB" w:rsidR="00C206FC" w:rsidRPr="00C206FC" w:rsidRDefault="00881DAD" w:rsidP="00864792">
      <w:pPr>
        <w:pStyle w:val="ListParagraph"/>
        <w:numPr>
          <w:ilvl w:val="0"/>
          <w:numId w:val="5"/>
        </w:numPr>
        <w:spacing w:after="240" w:line="276" w:lineRule="auto"/>
        <w:contextualSpacing w:val="0"/>
        <w:jc w:val="both"/>
        <w:rPr>
          <w:sz w:val="24"/>
          <w:szCs w:val="24"/>
        </w:rPr>
      </w:pPr>
      <w:r w:rsidRPr="00FB13EC">
        <w:rPr>
          <w:rFonts w:cs="Arial"/>
          <w:sz w:val="24"/>
          <w:szCs w:val="24"/>
        </w:rPr>
        <w:t xml:space="preserve">The opt-in withdrawal notice can be </w:t>
      </w:r>
      <w:r w:rsidR="00D36A26">
        <w:rPr>
          <w:rFonts w:cs="Arial"/>
          <w:sz w:val="24"/>
          <w:szCs w:val="24"/>
        </w:rPr>
        <w:t xml:space="preserve">delivered in person, </w:t>
      </w:r>
      <w:r w:rsidRPr="00FB13EC">
        <w:rPr>
          <w:rFonts w:cs="Arial"/>
          <w:sz w:val="24"/>
          <w:szCs w:val="24"/>
        </w:rPr>
        <w:t>sent by post, email, or through any electronic form the union provides.</w:t>
      </w:r>
    </w:p>
    <w:p w14:paraId="419832E5" w14:textId="10413D7A" w:rsidR="0024557A" w:rsidRDefault="00FB13EC" w:rsidP="00864792">
      <w:pPr>
        <w:pStyle w:val="ListParagraph"/>
        <w:numPr>
          <w:ilvl w:val="0"/>
          <w:numId w:val="5"/>
        </w:numPr>
        <w:spacing w:after="240" w:line="276" w:lineRule="auto"/>
        <w:contextualSpacing w:val="0"/>
        <w:jc w:val="both"/>
        <w:rPr>
          <w:rFonts w:cs="Arial"/>
          <w:sz w:val="24"/>
          <w:szCs w:val="24"/>
        </w:rPr>
      </w:pPr>
      <w:r w:rsidRPr="00C206FC">
        <w:rPr>
          <w:rFonts w:cs="Arial"/>
          <w:sz w:val="24"/>
          <w:szCs w:val="24"/>
        </w:rPr>
        <w:t xml:space="preserve">The opt-in withdrawal notice takes effect </w:t>
      </w:r>
      <w:r w:rsidR="00C206FC" w:rsidRPr="00C206FC">
        <w:rPr>
          <w:rFonts w:cs="Arial"/>
          <w:sz w:val="24"/>
          <w:szCs w:val="24"/>
        </w:rPr>
        <w:t>one month after the date on which it is given.</w:t>
      </w:r>
      <w:r w:rsidR="0024557A">
        <w:rPr>
          <w:rFonts w:cs="Arial"/>
          <w:sz w:val="24"/>
          <w:szCs w:val="24"/>
        </w:rPr>
        <w:br w:type="page"/>
      </w:r>
    </w:p>
    <w:p w14:paraId="31E02193" w14:textId="652DD0F7" w:rsidR="00463549" w:rsidRPr="0024557A" w:rsidRDefault="0024557A" w:rsidP="00B80E93">
      <w:pPr>
        <w:pStyle w:val="Heading1"/>
      </w:pPr>
      <w:bookmarkStart w:id="8" w:name="_Toc217465234"/>
      <w:r w:rsidRPr="0024557A">
        <w:lastRenderedPageBreak/>
        <w:t>Appendix 1: Opt-out information notice</w:t>
      </w:r>
      <w:bookmarkEnd w:id="8"/>
    </w:p>
    <w:p w14:paraId="63C43F67" w14:textId="77777777" w:rsidR="0024557A" w:rsidRDefault="0024557A" w:rsidP="0024557A">
      <w:pPr>
        <w:spacing w:after="240" w:line="276" w:lineRule="auto"/>
        <w:jc w:val="both"/>
        <w:rPr>
          <w:sz w:val="24"/>
          <w:szCs w:val="24"/>
        </w:rPr>
      </w:pPr>
    </w:p>
    <w:tbl>
      <w:tblPr>
        <w:tblW w:w="8222" w:type="dxa"/>
        <w:tblInd w:w="686" w:type="dxa"/>
        <w:tblLayout w:type="fixed"/>
        <w:tblCellMar>
          <w:left w:w="177" w:type="dxa"/>
          <w:right w:w="177" w:type="dxa"/>
        </w:tblCellMar>
        <w:tblLook w:val="0000" w:firstRow="0" w:lastRow="0" w:firstColumn="0" w:lastColumn="0" w:noHBand="0" w:noVBand="0"/>
      </w:tblPr>
      <w:tblGrid>
        <w:gridCol w:w="1134"/>
        <w:gridCol w:w="7088"/>
      </w:tblGrid>
      <w:tr w:rsidR="0024557A" w:rsidRPr="00FA5F7D" w14:paraId="66F070FA" w14:textId="77777777">
        <w:tc>
          <w:tcPr>
            <w:tcW w:w="8222" w:type="dxa"/>
            <w:gridSpan w:val="2"/>
            <w:tcBorders>
              <w:top w:val="double" w:sz="6" w:space="0" w:color="000000"/>
              <w:left w:val="double" w:sz="6" w:space="0" w:color="000000"/>
              <w:bottom w:val="double" w:sz="6" w:space="0" w:color="000000"/>
              <w:right w:val="double" w:sz="6" w:space="0" w:color="000000"/>
            </w:tcBorders>
          </w:tcPr>
          <w:p w14:paraId="1AAFA59A" w14:textId="77777777" w:rsidR="0024557A" w:rsidRPr="00FA5F7D" w:rsidRDefault="0024557A">
            <w:pPr>
              <w:spacing w:after="240" w:line="276" w:lineRule="auto"/>
              <w:jc w:val="center"/>
              <w:rPr>
                <w:rFonts w:cs="Arial"/>
                <w:b/>
                <w:sz w:val="24"/>
                <w:szCs w:val="24"/>
                <w:u w:val="single"/>
              </w:rPr>
            </w:pPr>
          </w:p>
          <w:p w14:paraId="1990914F" w14:textId="6B0FFFA2" w:rsidR="0024557A" w:rsidRPr="00FA5F7D" w:rsidRDefault="0024557A" w:rsidP="0024557A">
            <w:pPr>
              <w:spacing w:after="240" w:line="276" w:lineRule="auto"/>
              <w:jc w:val="center"/>
              <w:rPr>
                <w:rFonts w:cs="Arial"/>
                <w:b/>
                <w:bCs/>
                <w:sz w:val="24"/>
                <w:szCs w:val="24"/>
              </w:rPr>
            </w:pPr>
            <w:r w:rsidRPr="00FA5F7D">
              <w:rPr>
                <w:rFonts w:cs="Arial"/>
                <w:b/>
                <w:sz w:val="24"/>
                <w:szCs w:val="24"/>
                <w:u w:val="single"/>
              </w:rPr>
              <w:t>Notice to Members</w:t>
            </w:r>
            <w:r>
              <w:rPr>
                <w:rFonts w:cs="Arial"/>
                <w:b/>
                <w:sz w:val="24"/>
                <w:szCs w:val="24"/>
                <w:u w:val="single"/>
              </w:rPr>
              <w:t xml:space="preserve"> in accordance with </w:t>
            </w:r>
            <w:r w:rsidRPr="0024557A">
              <w:rPr>
                <w:rFonts w:cs="Arial"/>
                <w:b/>
                <w:sz w:val="24"/>
                <w:szCs w:val="24"/>
                <w:u w:val="single"/>
              </w:rPr>
              <w:t xml:space="preserve">the </w:t>
            </w:r>
            <w:r w:rsidRPr="0024557A">
              <w:rPr>
                <w:rFonts w:cs="Arial"/>
                <w:b/>
                <w:bCs/>
                <w:sz w:val="24"/>
                <w:szCs w:val="24"/>
                <w:u w:val="single"/>
              </w:rPr>
              <w:t>Trade Union and Labour Relations (Consolidation) Act 1992</w:t>
            </w:r>
            <w:r w:rsidRPr="00FA5F7D">
              <w:rPr>
                <w:rFonts w:cs="Arial"/>
                <w:b/>
                <w:bCs/>
                <w:sz w:val="24"/>
                <w:szCs w:val="24"/>
              </w:rPr>
              <w:t xml:space="preserve"> </w:t>
            </w:r>
          </w:p>
          <w:p w14:paraId="137031E0" w14:textId="666CF7DC" w:rsidR="0024557A" w:rsidRPr="00FA5F7D" w:rsidRDefault="0024557A">
            <w:pPr>
              <w:spacing w:after="240" w:line="276" w:lineRule="auto"/>
              <w:jc w:val="both"/>
              <w:rPr>
                <w:rFonts w:cs="Arial"/>
                <w:b/>
                <w:bCs/>
                <w:sz w:val="24"/>
                <w:szCs w:val="24"/>
              </w:rPr>
            </w:pPr>
            <w:r w:rsidRPr="00581C77">
              <w:rPr>
                <w:rFonts w:cs="Arial"/>
                <w:b/>
                <w:bCs/>
                <w:sz w:val="24"/>
                <w:szCs w:val="24"/>
              </w:rPr>
              <w:t>[</w:t>
            </w:r>
            <w:r w:rsidRPr="00581C77">
              <w:rPr>
                <w:rFonts w:cs="Arial"/>
                <w:b/>
                <w:bCs/>
                <w:sz w:val="24"/>
                <w:szCs w:val="24"/>
                <w:highlight w:val="yellow"/>
              </w:rPr>
              <w:t>Name of union</w:t>
            </w:r>
            <w:r w:rsidRPr="00581C77">
              <w:rPr>
                <w:rFonts w:cs="Arial"/>
                <w:b/>
                <w:bCs/>
                <w:sz w:val="24"/>
                <w:szCs w:val="24"/>
              </w:rPr>
              <w:t xml:space="preserve">] has a political fund. This fund is used for activities connected with political objects as defined by </w:t>
            </w:r>
            <w:r>
              <w:rPr>
                <w:rFonts w:cs="Arial"/>
                <w:b/>
                <w:bCs/>
                <w:sz w:val="24"/>
                <w:szCs w:val="24"/>
              </w:rPr>
              <w:t>section 72 of the above Act. All</w:t>
            </w:r>
            <w:r w:rsidRPr="00581C77">
              <w:rPr>
                <w:rFonts w:cs="Arial"/>
                <w:b/>
                <w:bCs/>
                <w:sz w:val="24"/>
                <w:szCs w:val="24"/>
              </w:rPr>
              <w:t xml:space="preserve"> spending on these activities comes from this separate political fund.</w:t>
            </w:r>
          </w:p>
          <w:p w14:paraId="52362C00" w14:textId="77777777" w:rsidR="0024557A" w:rsidRPr="00087A41" w:rsidRDefault="0024557A">
            <w:pPr>
              <w:tabs>
                <w:tab w:val="right" w:pos="9026"/>
              </w:tabs>
              <w:spacing w:after="240" w:line="276" w:lineRule="auto"/>
              <w:jc w:val="both"/>
              <w:rPr>
                <w:rFonts w:cs="Arial"/>
                <w:b/>
                <w:bCs/>
                <w:sz w:val="24"/>
                <w:szCs w:val="24"/>
              </w:rPr>
            </w:pPr>
            <w:r w:rsidRPr="00087A41">
              <w:rPr>
                <w:rFonts w:cs="Arial"/>
                <w:b/>
                <w:bCs/>
                <w:sz w:val="24"/>
                <w:szCs w:val="24"/>
              </w:rPr>
              <w:t>Every member has the right not to contribute to the union’s political fund. To exercise this right, you must give the union an opt-out notice.</w:t>
            </w:r>
          </w:p>
          <w:p w14:paraId="0342DCBD" w14:textId="77777777" w:rsidR="0024557A" w:rsidRPr="00087A41" w:rsidRDefault="0024557A">
            <w:pPr>
              <w:tabs>
                <w:tab w:val="right" w:pos="9026"/>
              </w:tabs>
              <w:spacing w:after="240" w:line="276" w:lineRule="auto"/>
              <w:jc w:val="both"/>
              <w:rPr>
                <w:rFonts w:cs="Arial"/>
                <w:b/>
                <w:bCs/>
                <w:sz w:val="24"/>
                <w:szCs w:val="24"/>
              </w:rPr>
            </w:pPr>
            <w:r w:rsidRPr="00087A41">
              <w:rPr>
                <w:rFonts w:cs="Arial"/>
                <w:b/>
                <w:bCs/>
                <w:sz w:val="24"/>
                <w:szCs w:val="24"/>
              </w:rPr>
              <w:t>You can give an opt-out notice in any of these ways:</w:t>
            </w:r>
          </w:p>
          <w:p w14:paraId="371ADEE1" w14:textId="77777777" w:rsidR="0024557A" w:rsidRPr="00F71332" w:rsidRDefault="0024557A" w:rsidP="0094303F">
            <w:pPr>
              <w:numPr>
                <w:ilvl w:val="0"/>
                <w:numId w:val="32"/>
              </w:numPr>
              <w:tabs>
                <w:tab w:val="right" w:pos="9026"/>
              </w:tabs>
              <w:spacing w:after="240" w:line="276" w:lineRule="auto"/>
              <w:jc w:val="both"/>
              <w:rPr>
                <w:rFonts w:cs="Arial"/>
                <w:b/>
                <w:bCs/>
                <w:sz w:val="24"/>
                <w:szCs w:val="24"/>
              </w:rPr>
            </w:pPr>
            <w:r w:rsidRPr="00087A41">
              <w:rPr>
                <w:rFonts w:cs="Arial"/>
                <w:b/>
                <w:bCs/>
                <w:sz w:val="24"/>
                <w:szCs w:val="24"/>
              </w:rPr>
              <w:t>Deliver it in person, by post, or through a</w:t>
            </w:r>
            <w:r>
              <w:rPr>
                <w:rFonts w:cs="Arial"/>
                <w:b/>
                <w:bCs/>
                <w:sz w:val="24"/>
                <w:szCs w:val="24"/>
              </w:rPr>
              <w:t xml:space="preserve"> person you have asked </w:t>
            </w:r>
            <w:r w:rsidRPr="00F71332">
              <w:rPr>
                <w:rFonts w:cs="Arial"/>
                <w:b/>
                <w:bCs/>
                <w:sz w:val="24"/>
                <w:szCs w:val="24"/>
              </w:rPr>
              <w:t>to deliver it on your behalf</w:t>
            </w:r>
          </w:p>
          <w:p w14:paraId="1CE53BA1" w14:textId="77777777" w:rsidR="0024557A" w:rsidRPr="00087A41" w:rsidRDefault="0024557A" w:rsidP="0094303F">
            <w:pPr>
              <w:numPr>
                <w:ilvl w:val="0"/>
                <w:numId w:val="32"/>
              </w:numPr>
              <w:tabs>
                <w:tab w:val="right" w:pos="9026"/>
              </w:tabs>
              <w:spacing w:after="240" w:line="276" w:lineRule="auto"/>
              <w:jc w:val="both"/>
              <w:rPr>
                <w:rFonts w:cs="Arial"/>
                <w:b/>
                <w:bCs/>
                <w:sz w:val="24"/>
                <w:szCs w:val="24"/>
              </w:rPr>
            </w:pPr>
            <w:r w:rsidRPr="00087A41">
              <w:rPr>
                <w:rFonts w:cs="Arial"/>
                <w:b/>
                <w:bCs/>
                <w:sz w:val="24"/>
                <w:szCs w:val="24"/>
              </w:rPr>
              <w:t xml:space="preserve">Send it by email to </w:t>
            </w:r>
            <w:r>
              <w:rPr>
                <w:rFonts w:cs="Arial"/>
                <w:b/>
                <w:bCs/>
                <w:sz w:val="24"/>
                <w:szCs w:val="24"/>
              </w:rPr>
              <w:t>[</w:t>
            </w:r>
            <w:r w:rsidRPr="007C646C">
              <w:rPr>
                <w:rFonts w:cs="Arial"/>
                <w:b/>
                <w:bCs/>
                <w:sz w:val="24"/>
                <w:szCs w:val="24"/>
                <w:highlight w:val="yellow"/>
              </w:rPr>
              <w:t>email address</w:t>
            </w:r>
            <w:r>
              <w:rPr>
                <w:rFonts w:cs="Arial"/>
                <w:b/>
                <w:bCs/>
                <w:sz w:val="24"/>
                <w:szCs w:val="24"/>
              </w:rPr>
              <w:t>]</w:t>
            </w:r>
          </w:p>
          <w:p w14:paraId="212D4A76" w14:textId="2A1C2B74" w:rsidR="0024557A" w:rsidRDefault="0024557A" w:rsidP="0094303F">
            <w:pPr>
              <w:numPr>
                <w:ilvl w:val="0"/>
                <w:numId w:val="32"/>
              </w:numPr>
              <w:tabs>
                <w:tab w:val="right" w:pos="9026"/>
              </w:tabs>
              <w:spacing w:after="240" w:line="276" w:lineRule="auto"/>
              <w:jc w:val="both"/>
              <w:rPr>
                <w:rFonts w:cs="Arial"/>
                <w:b/>
                <w:bCs/>
                <w:sz w:val="24"/>
                <w:szCs w:val="24"/>
              </w:rPr>
            </w:pPr>
            <w:r w:rsidRPr="00087A41">
              <w:rPr>
                <w:rFonts w:cs="Arial"/>
                <w:b/>
                <w:bCs/>
                <w:sz w:val="24"/>
                <w:szCs w:val="24"/>
              </w:rPr>
              <w:t>Complete an electronic form provided by the union and submit it online following the union’s instructions.</w:t>
            </w:r>
          </w:p>
          <w:p w14:paraId="2B4AFA8E" w14:textId="61A0854C" w:rsidR="0094303F" w:rsidRPr="008830AF" w:rsidRDefault="0024557A" w:rsidP="008830AF">
            <w:pPr>
              <w:tabs>
                <w:tab w:val="right" w:pos="9026"/>
              </w:tabs>
              <w:spacing w:after="240" w:line="276" w:lineRule="auto"/>
              <w:jc w:val="both"/>
              <w:rPr>
                <w:rFonts w:cs="Arial"/>
                <w:b/>
                <w:bCs/>
                <w:sz w:val="24"/>
                <w:szCs w:val="24"/>
              </w:rPr>
            </w:pPr>
            <w:r w:rsidRPr="00F4604F">
              <w:rPr>
                <w:rFonts w:cs="Arial"/>
                <w:b/>
                <w:bCs/>
                <w:sz w:val="24"/>
                <w:szCs w:val="24"/>
              </w:rPr>
              <w:t xml:space="preserve">A form of </w:t>
            </w:r>
            <w:r w:rsidR="00D36A26">
              <w:rPr>
                <w:rFonts w:cs="Arial"/>
                <w:b/>
                <w:bCs/>
                <w:sz w:val="24"/>
                <w:szCs w:val="24"/>
              </w:rPr>
              <w:t>opt-out</w:t>
            </w:r>
            <w:r w:rsidRPr="00F4604F">
              <w:rPr>
                <w:rFonts w:cs="Arial"/>
                <w:b/>
                <w:bCs/>
                <w:sz w:val="24"/>
                <w:szCs w:val="24"/>
              </w:rPr>
              <w:t xml:space="preserve"> notice can also be obtaine</w:t>
            </w:r>
            <w:r w:rsidR="008830AF">
              <w:rPr>
                <w:rFonts w:cs="Arial"/>
                <w:b/>
                <w:bCs/>
                <w:sz w:val="24"/>
                <w:szCs w:val="24"/>
              </w:rPr>
              <w:t>d</w:t>
            </w:r>
            <w:r w:rsidRPr="00F4604F">
              <w:rPr>
                <w:rFonts w:cs="Arial"/>
                <w:b/>
                <w:bCs/>
                <w:sz w:val="24"/>
                <w:szCs w:val="24"/>
              </w:rPr>
              <w:t>:</w:t>
            </w:r>
          </w:p>
          <w:p w14:paraId="1F7CE80D" w14:textId="1B4AE4BE" w:rsidR="0094303F" w:rsidRPr="008830AF" w:rsidRDefault="0094303F" w:rsidP="008830AF">
            <w:pPr>
              <w:pStyle w:val="ListParagraph"/>
              <w:numPr>
                <w:ilvl w:val="0"/>
                <w:numId w:val="32"/>
              </w:numPr>
              <w:tabs>
                <w:tab w:val="right" w:pos="9026"/>
              </w:tabs>
              <w:spacing w:after="240" w:line="276" w:lineRule="auto"/>
              <w:contextualSpacing w:val="0"/>
              <w:jc w:val="both"/>
              <w:rPr>
                <w:rFonts w:cs="Arial"/>
                <w:b/>
                <w:bCs/>
                <w:sz w:val="24"/>
                <w:szCs w:val="24"/>
              </w:rPr>
            </w:pPr>
            <w:r w:rsidRPr="008830AF">
              <w:rPr>
                <w:rFonts w:cs="Arial"/>
                <w:b/>
                <w:bCs/>
                <w:sz w:val="24"/>
                <w:szCs w:val="24"/>
              </w:rPr>
              <w:t>From the union, by [</w:t>
            </w:r>
            <w:r w:rsidR="008830AF" w:rsidRPr="008830AF">
              <w:rPr>
                <w:rFonts w:cs="Arial"/>
                <w:b/>
                <w:bCs/>
                <w:sz w:val="24"/>
                <w:szCs w:val="24"/>
                <w:highlight w:val="green"/>
              </w:rPr>
              <w:t xml:space="preserve">unions, </w:t>
            </w:r>
            <w:r w:rsidRPr="008830AF">
              <w:rPr>
                <w:rFonts w:cs="Arial"/>
                <w:b/>
                <w:bCs/>
                <w:sz w:val="24"/>
                <w:szCs w:val="24"/>
                <w:highlight w:val="green"/>
              </w:rPr>
              <w:t>specify how members can request an opt-out notice form</w:t>
            </w:r>
            <w:r w:rsidRPr="008830AF">
              <w:rPr>
                <w:rFonts w:cs="Arial"/>
                <w:b/>
                <w:bCs/>
                <w:sz w:val="24"/>
                <w:szCs w:val="24"/>
              </w:rPr>
              <w:t>] or</w:t>
            </w:r>
          </w:p>
          <w:p w14:paraId="056D7C41" w14:textId="7B327A18" w:rsidR="0024557A" w:rsidRPr="00087A41" w:rsidRDefault="008830AF" w:rsidP="0094303F">
            <w:pPr>
              <w:numPr>
                <w:ilvl w:val="0"/>
                <w:numId w:val="32"/>
              </w:numPr>
              <w:tabs>
                <w:tab w:val="right" w:pos="9026"/>
              </w:tabs>
              <w:spacing w:after="240" w:line="276" w:lineRule="auto"/>
              <w:jc w:val="both"/>
              <w:rPr>
                <w:rFonts w:cs="Arial"/>
                <w:b/>
                <w:bCs/>
                <w:sz w:val="24"/>
                <w:szCs w:val="24"/>
              </w:rPr>
            </w:pPr>
            <w:r>
              <w:rPr>
                <w:rFonts w:cs="Arial"/>
                <w:b/>
                <w:bCs/>
                <w:sz w:val="24"/>
                <w:szCs w:val="24"/>
              </w:rPr>
              <w:t>From t</w:t>
            </w:r>
            <w:r w:rsidR="0024557A" w:rsidRPr="00F4604F">
              <w:rPr>
                <w:rFonts w:cs="Arial"/>
                <w:b/>
                <w:bCs/>
                <w:sz w:val="24"/>
                <w:szCs w:val="24"/>
              </w:rPr>
              <w:t>he Certification Office</w:t>
            </w:r>
            <w:r w:rsidR="0024557A">
              <w:rPr>
                <w:rFonts w:cs="Arial"/>
                <w:b/>
                <w:bCs/>
                <w:sz w:val="24"/>
                <w:szCs w:val="24"/>
              </w:rPr>
              <w:t>r</w:t>
            </w:r>
            <w:r w:rsidR="0024557A" w:rsidRPr="00F4604F">
              <w:rPr>
                <w:rFonts w:cs="Arial"/>
                <w:b/>
                <w:bCs/>
                <w:sz w:val="24"/>
                <w:szCs w:val="24"/>
              </w:rPr>
              <w:t xml:space="preserve"> by emailing info@certoffice.org</w:t>
            </w:r>
          </w:p>
          <w:p w14:paraId="621551D0" w14:textId="7A007B5E" w:rsidR="0024557A" w:rsidRPr="0024557A" w:rsidRDefault="0024557A" w:rsidP="0024557A">
            <w:pPr>
              <w:tabs>
                <w:tab w:val="right" w:pos="9026"/>
              </w:tabs>
              <w:spacing w:after="240" w:line="276" w:lineRule="auto"/>
              <w:jc w:val="both"/>
              <w:rPr>
                <w:rFonts w:cs="Arial"/>
                <w:b/>
                <w:bCs/>
                <w:sz w:val="24"/>
                <w:szCs w:val="24"/>
              </w:rPr>
            </w:pPr>
            <w:r w:rsidRPr="00087A41">
              <w:rPr>
                <w:rFonts w:cs="Arial"/>
                <w:b/>
                <w:bCs/>
                <w:sz w:val="24"/>
                <w:szCs w:val="24"/>
              </w:rPr>
              <w:t>If you later change your mind, you can give a withdrawal notice to cancel your opt-out. This will put you back into contributing to the political fund.</w:t>
            </w:r>
          </w:p>
        </w:tc>
      </w:tr>
      <w:tr w:rsidR="0024557A" w:rsidRPr="00FA5F7D" w14:paraId="127AFBC3" w14:textId="77777777">
        <w:tc>
          <w:tcPr>
            <w:tcW w:w="1134" w:type="dxa"/>
            <w:tcBorders>
              <w:top w:val="double" w:sz="6" w:space="0" w:color="000000"/>
              <w:left w:val="double" w:sz="6" w:space="0" w:color="000000"/>
              <w:bottom w:val="double" w:sz="6" w:space="0" w:color="000000"/>
              <w:right w:val="double" w:sz="6" w:space="0" w:color="000000"/>
            </w:tcBorders>
          </w:tcPr>
          <w:p w14:paraId="312B0D8C" w14:textId="77777777" w:rsidR="0024557A" w:rsidRPr="005B0474" w:rsidRDefault="0024557A">
            <w:pPr>
              <w:spacing w:after="240" w:line="276" w:lineRule="auto"/>
              <w:rPr>
                <w:rFonts w:cs="Arial"/>
                <w:b/>
                <w:sz w:val="24"/>
                <w:szCs w:val="24"/>
              </w:rPr>
            </w:pPr>
            <w:r w:rsidRPr="005B0474">
              <w:rPr>
                <w:rFonts w:cs="Arial"/>
                <w:b/>
                <w:sz w:val="24"/>
                <w:szCs w:val="24"/>
              </w:rPr>
              <w:t xml:space="preserve">Date </w:t>
            </w:r>
          </w:p>
        </w:tc>
        <w:tc>
          <w:tcPr>
            <w:tcW w:w="7088" w:type="dxa"/>
            <w:tcBorders>
              <w:top w:val="double" w:sz="6" w:space="0" w:color="000000"/>
              <w:left w:val="double" w:sz="6" w:space="0" w:color="000000"/>
              <w:bottom w:val="double" w:sz="6" w:space="0" w:color="000000"/>
              <w:right w:val="double" w:sz="6" w:space="0" w:color="000000"/>
            </w:tcBorders>
          </w:tcPr>
          <w:p w14:paraId="5BB38ED2" w14:textId="77777777" w:rsidR="0024557A" w:rsidRPr="00FA5F7D" w:rsidRDefault="0024557A">
            <w:pPr>
              <w:spacing w:after="240" w:line="276" w:lineRule="auto"/>
              <w:jc w:val="center"/>
              <w:rPr>
                <w:rFonts w:cs="Arial"/>
                <w:b/>
                <w:sz w:val="24"/>
                <w:szCs w:val="24"/>
                <w:u w:val="single"/>
              </w:rPr>
            </w:pPr>
          </w:p>
        </w:tc>
      </w:tr>
    </w:tbl>
    <w:p w14:paraId="7BC2F335" w14:textId="1D5DF8A8" w:rsidR="00282F08" w:rsidRDefault="00282F08" w:rsidP="0024557A">
      <w:pPr>
        <w:spacing w:after="240" w:line="276" w:lineRule="auto"/>
        <w:jc w:val="both"/>
        <w:rPr>
          <w:sz w:val="24"/>
          <w:szCs w:val="24"/>
        </w:rPr>
      </w:pPr>
      <w:r>
        <w:rPr>
          <w:sz w:val="24"/>
          <w:szCs w:val="24"/>
        </w:rPr>
        <w:br w:type="page"/>
      </w:r>
    </w:p>
    <w:p w14:paraId="3918F97B" w14:textId="07B27EB3" w:rsidR="0024557A" w:rsidRDefault="00282F08" w:rsidP="00B80E93">
      <w:pPr>
        <w:pStyle w:val="Heading1"/>
      </w:pPr>
      <w:bookmarkStart w:id="9" w:name="_Toc217465235"/>
      <w:r w:rsidRPr="00282F08">
        <w:lastRenderedPageBreak/>
        <w:t>Appendix 2: Opt-out notice</w:t>
      </w:r>
      <w:bookmarkEnd w:id="9"/>
    </w:p>
    <w:p w14:paraId="2A6CB88B" w14:textId="77777777" w:rsidR="00282F08" w:rsidRPr="00282F08" w:rsidRDefault="00282F08" w:rsidP="0024557A">
      <w:pPr>
        <w:spacing w:after="240" w:line="276" w:lineRule="auto"/>
        <w:jc w:val="both"/>
        <w:rPr>
          <w:b/>
          <w:bCs/>
          <w:sz w:val="24"/>
          <w:szCs w:val="24"/>
        </w:rPr>
      </w:pPr>
    </w:p>
    <w:tbl>
      <w:tblPr>
        <w:tblW w:w="8222" w:type="dxa"/>
        <w:tblInd w:w="6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77" w:type="dxa"/>
          <w:right w:w="177" w:type="dxa"/>
        </w:tblCellMar>
        <w:tblLook w:val="0000" w:firstRow="0" w:lastRow="0" w:firstColumn="0" w:lastColumn="0" w:noHBand="0" w:noVBand="0"/>
      </w:tblPr>
      <w:tblGrid>
        <w:gridCol w:w="3127"/>
        <w:gridCol w:w="5095"/>
      </w:tblGrid>
      <w:tr w:rsidR="00282F08" w:rsidRPr="00FA5F7D" w14:paraId="7B67B37C" w14:textId="77777777">
        <w:trPr>
          <w:trHeight w:val="221"/>
        </w:trPr>
        <w:tc>
          <w:tcPr>
            <w:tcW w:w="8222" w:type="dxa"/>
            <w:gridSpan w:val="2"/>
          </w:tcPr>
          <w:p w14:paraId="108A418A" w14:textId="77777777" w:rsidR="00282F08" w:rsidRPr="00FA5F7D" w:rsidRDefault="00282F08">
            <w:pPr>
              <w:spacing w:after="240" w:line="276" w:lineRule="auto"/>
              <w:rPr>
                <w:rFonts w:cs="Arial"/>
                <w:sz w:val="24"/>
                <w:szCs w:val="24"/>
              </w:rPr>
            </w:pPr>
          </w:p>
          <w:p w14:paraId="230113F7" w14:textId="77777777" w:rsidR="00282F08" w:rsidRPr="00FA5F7D" w:rsidRDefault="00282F08">
            <w:pPr>
              <w:spacing w:after="240" w:line="276" w:lineRule="auto"/>
              <w:jc w:val="center"/>
              <w:rPr>
                <w:rFonts w:cs="Arial"/>
                <w:sz w:val="24"/>
                <w:szCs w:val="24"/>
              </w:rPr>
            </w:pPr>
            <w:r>
              <w:rPr>
                <w:rFonts w:cs="Arial"/>
                <w:b/>
                <w:bCs/>
                <w:sz w:val="24"/>
                <w:szCs w:val="24"/>
              </w:rPr>
              <w:t>[</w:t>
            </w:r>
            <w:r w:rsidRPr="00EF79E4">
              <w:rPr>
                <w:rFonts w:cs="Arial"/>
                <w:b/>
                <w:bCs/>
                <w:sz w:val="24"/>
                <w:szCs w:val="24"/>
                <w:highlight w:val="yellow"/>
              </w:rPr>
              <w:t>Name of union</w:t>
            </w:r>
            <w:r>
              <w:rPr>
                <w:rFonts w:cs="Arial"/>
                <w:b/>
                <w:bCs/>
                <w:sz w:val="24"/>
                <w:szCs w:val="24"/>
              </w:rPr>
              <w:t>]</w:t>
            </w:r>
          </w:p>
        </w:tc>
      </w:tr>
      <w:tr w:rsidR="00282F08" w:rsidRPr="00FA5F7D" w14:paraId="6F4C6606" w14:textId="77777777">
        <w:tc>
          <w:tcPr>
            <w:tcW w:w="8222" w:type="dxa"/>
            <w:gridSpan w:val="2"/>
          </w:tcPr>
          <w:p w14:paraId="545D8432" w14:textId="77777777" w:rsidR="00282F08" w:rsidRPr="00FA5F7D" w:rsidRDefault="00282F08">
            <w:pPr>
              <w:spacing w:after="240" w:line="276" w:lineRule="auto"/>
              <w:rPr>
                <w:rFonts w:cs="Arial"/>
                <w:sz w:val="24"/>
                <w:szCs w:val="24"/>
              </w:rPr>
            </w:pPr>
          </w:p>
          <w:p w14:paraId="22A55E96" w14:textId="77777777" w:rsidR="00282F08" w:rsidRPr="00FA5F7D" w:rsidRDefault="00282F08">
            <w:pPr>
              <w:spacing w:after="240" w:line="276" w:lineRule="auto"/>
              <w:rPr>
                <w:rFonts w:cs="Arial"/>
                <w:b/>
                <w:bCs/>
                <w:sz w:val="24"/>
                <w:szCs w:val="24"/>
              </w:rPr>
            </w:pPr>
            <w:r>
              <w:rPr>
                <w:rFonts w:cs="Arial"/>
                <w:b/>
                <w:bCs/>
                <w:sz w:val="24"/>
                <w:szCs w:val="24"/>
              </w:rPr>
              <w:t>Political fund opt-out notice</w:t>
            </w:r>
          </w:p>
          <w:p w14:paraId="3D2A73F6" w14:textId="77777777" w:rsidR="00282F08" w:rsidRPr="00FA5F7D" w:rsidRDefault="00282F08">
            <w:pPr>
              <w:spacing w:after="240" w:line="276" w:lineRule="auto"/>
              <w:rPr>
                <w:rFonts w:cs="Arial"/>
                <w:b/>
                <w:bCs/>
                <w:sz w:val="24"/>
                <w:szCs w:val="24"/>
              </w:rPr>
            </w:pPr>
          </w:p>
          <w:p w14:paraId="20AF8B8C" w14:textId="77777777" w:rsidR="00282F08" w:rsidRPr="00FA5F7D" w:rsidRDefault="00282F08">
            <w:pPr>
              <w:spacing w:after="240" w:line="276" w:lineRule="auto"/>
              <w:rPr>
                <w:rFonts w:cs="Arial"/>
                <w:b/>
                <w:bCs/>
                <w:sz w:val="24"/>
                <w:szCs w:val="24"/>
              </w:rPr>
            </w:pPr>
            <w:r w:rsidRPr="00FA5F7D">
              <w:rPr>
                <w:rFonts w:cs="Arial"/>
                <w:b/>
                <w:bCs/>
                <w:sz w:val="24"/>
                <w:szCs w:val="24"/>
              </w:rPr>
              <w:t xml:space="preserve">I </w:t>
            </w:r>
            <w:r>
              <w:rPr>
                <w:rFonts w:cs="Arial"/>
                <w:b/>
                <w:bCs/>
                <w:sz w:val="24"/>
                <w:szCs w:val="24"/>
              </w:rPr>
              <w:t>do not want to contribute to the union’s political fund. By giving this notice, I will be exempt from making any payments to the political fund.</w:t>
            </w:r>
          </w:p>
          <w:p w14:paraId="098931E9" w14:textId="77777777" w:rsidR="00282F08" w:rsidRPr="00FA5F7D" w:rsidRDefault="00282F08">
            <w:pPr>
              <w:spacing w:after="240" w:line="276" w:lineRule="auto"/>
              <w:rPr>
                <w:rFonts w:cs="Arial"/>
                <w:sz w:val="24"/>
                <w:szCs w:val="24"/>
              </w:rPr>
            </w:pPr>
          </w:p>
        </w:tc>
      </w:tr>
      <w:tr w:rsidR="00282F08" w:rsidRPr="00FA5F7D" w14:paraId="14A8FD29" w14:textId="77777777">
        <w:trPr>
          <w:trHeight w:val="256"/>
        </w:trPr>
        <w:tc>
          <w:tcPr>
            <w:tcW w:w="3127" w:type="dxa"/>
          </w:tcPr>
          <w:p w14:paraId="60F2DEBA" w14:textId="77777777" w:rsidR="00282F08" w:rsidRPr="00FD5419" w:rsidRDefault="00282F08">
            <w:pPr>
              <w:spacing w:after="240" w:line="276" w:lineRule="auto"/>
              <w:rPr>
                <w:rFonts w:cs="Arial"/>
                <w:b/>
                <w:bCs/>
                <w:sz w:val="24"/>
                <w:szCs w:val="24"/>
              </w:rPr>
            </w:pPr>
            <w:r w:rsidRPr="00FD5419">
              <w:rPr>
                <w:rFonts w:cs="Arial"/>
                <w:b/>
                <w:bCs/>
                <w:sz w:val="24"/>
                <w:szCs w:val="24"/>
              </w:rPr>
              <w:t>Signature</w:t>
            </w:r>
          </w:p>
        </w:tc>
        <w:tc>
          <w:tcPr>
            <w:tcW w:w="5095" w:type="dxa"/>
          </w:tcPr>
          <w:p w14:paraId="60576ACC" w14:textId="77777777" w:rsidR="00282F08" w:rsidRPr="00FA5F7D" w:rsidRDefault="00282F08">
            <w:pPr>
              <w:spacing w:after="240" w:line="276" w:lineRule="auto"/>
              <w:rPr>
                <w:rFonts w:cs="Arial"/>
                <w:sz w:val="24"/>
                <w:szCs w:val="24"/>
              </w:rPr>
            </w:pPr>
          </w:p>
        </w:tc>
      </w:tr>
      <w:tr w:rsidR="00282F08" w:rsidRPr="00FA5F7D" w14:paraId="582C5282" w14:textId="77777777">
        <w:trPr>
          <w:trHeight w:val="254"/>
        </w:trPr>
        <w:tc>
          <w:tcPr>
            <w:tcW w:w="3127" w:type="dxa"/>
          </w:tcPr>
          <w:p w14:paraId="3204DAB2" w14:textId="77777777" w:rsidR="00282F08" w:rsidRPr="00FD5419" w:rsidRDefault="00282F08">
            <w:pPr>
              <w:spacing w:after="240" w:line="276" w:lineRule="auto"/>
              <w:rPr>
                <w:rFonts w:cs="Arial"/>
                <w:b/>
                <w:bCs/>
                <w:sz w:val="24"/>
                <w:szCs w:val="24"/>
              </w:rPr>
            </w:pPr>
            <w:r w:rsidRPr="00FD5419">
              <w:rPr>
                <w:rFonts w:cs="Arial"/>
                <w:b/>
                <w:bCs/>
                <w:sz w:val="24"/>
                <w:szCs w:val="24"/>
              </w:rPr>
              <w:t>Print name</w:t>
            </w:r>
          </w:p>
        </w:tc>
        <w:tc>
          <w:tcPr>
            <w:tcW w:w="5095" w:type="dxa"/>
          </w:tcPr>
          <w:p w14:paraId="7F46BF78" w14:textId="77777777" w:rsidR="00282F08" w:rsidRPr="00FA5F7D" w:rsidRDefault="00282F08">
            <w:pPr>
              <w:spacing w:after="240" w:line="276" w:lineRule="auto"/>
              <w:rPr>
                <w:rFonts w:cs="Arial"/>
                <w:sz w:val="24"/>
                <w:szCs w:val="24"/>
              </w:rPr>
            </w:pPr>
          </w:p>
        </w:tc>
      </w:tr>
      <w:tr w:rsidR="00282F08" w:rsidRPr="00FA5F7D" w14:paraId="3CA17E39" w14:textId="77777777">
        <w:trPr>
          <w:trHeight w:val="254"/>
        </w:trPr>
        <w:tc>
          <w:tcPr>
            <w:tcW w:w="3127" w:type="dxa"/>
          </w:tcPr>
          <w:p w14:paraId="37661F11" w14:textId="77777777" w:rsidR="00282F08" w:rsidRPr="00FD5419" w:rsidRDefault="00282F08">
            <w:pPr>
              <w:spacing w:after="240" w:line="276" w:lineRule="auto"/>
              <w:rPr>
                <w:rFonts w:cs="Arial"/>
                <w:b/>
                <w:bCs/>
                <w:sz w:val="24"/>
                <w:szCs w:val="24"/>
              </w:rPr>
            </w:pPr>
            <w:r>
              <w:rPr>
                <w:rFonts w:cs="Arial"/>
                <w:b/>
                <w:bCs/>
                <w:sz w:val="24"/>
                <w:szCs w:val="24"/>
              </w:rPr>
              <w:t>Postal or email a</w:t>
            </w:r>
            <w:r w:rsidRPr="00FD5419">
              <w:rPr>
                <w:rFonts w:cs="Arial"/>
                <w:b/>
                <w:bCs/>
                <w:sz w:val="24"/>
                <w:szCs w:val="24"/>
              </w:rPr>
              <w:t>ddress</w:t>
            </w:r>
          </w:p>
        </w:tc>
        <w:tc>
          <w:tcPr>
            <w:tcW w:w="5095" w:type="dxa"/>
          </w:tcPr>
          <w:p w14:paraId="63C2A0D9" w14:textId="77777777" w:rsidR="00282F08" w:rsidRPr="00FA5F7D" w:rsidRDefault="00282F08">
            <w:pPr>
              <w:spacing w:after="240" w:line="276" w:lineRule="auto"/>
              <w:rPr>
                <w:rFonts w:cs="Arial"/>
                <w:sz w:val="24"/>
                <w:szCs w:val="24"/>
              </w:rPr>
            </w:pPr>
          </w:p>
        </w:tc>
      </w:tr>
      <w:tr w:rsidR="00282F08" w:rsidRPr="00FA5F7D" w14:paraId="144533BF" w14:textId="77777777">
        <w:trPr>
          <w:trHeight w:val="254"/>
        </w:trPr>
        <w:tc>
          <w:tcPr>
            <w:tcW w:w="3127" w:type="dxa"/>
          </w:tcPr>
          <w:p w14:paraId="1A741EEF" w14:textId="77777777" w:rsidR="00282F08" w:rsidRPr="00FD5419" w:rsidRDefault="00282F08">
            <w:pPr>
              <w:spacing w:after="240" w:line="276" w:lineRule="auto"/>
              <w:rPr>
                <w:rFonts w:cs="Arial"/>
                <w:b/>
                <w:bCs/>
                <w:sz w:val="24"/>
                <w:szCs w:val="24"/>
              </w:rPr>
            </w:pPr>
            <w:r w:rsidRPr="00FD5419">
              <w:rPr>
                <w:rFonts w:cs="Arial"/>
                <w:b/>
                <w:bCs/>
                <w:sz w:val="24"/>
                <w:szCs w:val="24"/>
              </w:rPr>
              <w:t>Date</w:t>
            </w:r>
          </w:p>
        </w:tc>
        <w:tc>
          <w:tcPr>
            <w:tcW w:w="5095" w:type="dxa"/>
          </w:tcPr>
          <w:p w14:paraId="73D38293" w14:textId="77777777" w:rsidR="00282F08" w:rsidRPr="00FA5F7D" w:rsidRDefault="00282F08">
            <w:pPr>
              <w:spacing w:after="240" w:line="276" w:lineRule="auto"/>
              <w:rPr>
                <w:rFonts w:cs="Arial"/>
                <w:sz w:val="24"/>
                <w:szCs w:val="24"/>
              </w:rPr>
            </w:pPr>
          </w:p>
        </w:tc>
      </w:tr>
    </w:tbl>
    <w:p w14:paraId="2B87B728" w14:textId="77777777" w:rsidR="00282F08" w:rsidRPr="0024557A" w:rsidRDefault="00282F08" w:rsidP="0024557A">
      <w:pPr>
        <w:spacing w:after="240" w:line="276" w:lineRule="auto"/>
        <w:jc w:val="both"/>
        <w:rPr>
          <w:sz w:val="24"/>
          <w:szCs w:val="24"/>
        </w:rPr>
      </w:pPr>
    </w:p>
    <w:p w14:paraId="2A227D45" w14:textId="6BFC1804" w:rsidR="7F5548A7" w:rsidRDefault="7F5548A7" w:rsidP="7F5548A7">
      <w:pPr>
        <w:spacing w:after="240" w:line="276" w:lineRule="auto"/>
        <w:jc w:val="both"/>
        <w:rPr>
          <w:sz w:val="24"/>
          <w:szCs w:val="24"/>
        </w:rPr>
      </w:pPr>
    </w:p>
    <w:sectPr w:rsidR="7F5548A7" w:rsidSect="00A777D4">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77B2" w14:textId="77777777" w:rsidR="004051DF" w:rsidRDefault="004051DF" w:rsidP="00085FCB">
      <w:pPr>
        <w:spacing w:line="240" w:lineRule="auto"/>
      </w:pPr>
      <w:r>
        <w:separator/>
      </w:r>
    </w:p>
  </w:endnote>
  <w:endnote w:type="continuationSeparator" w:id="0">
    <w:p w14:paraId="37C7079B" w14:textId="77777777" w:rsidR="004051DF" w:rsidRDefault="004051DF" w:rsidP="00085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D05B" w14:textId="77777777" w:rsidR="00BB2ECE" w:rsidRPr="00F3393F" w:rsidRDefault="00BB2ECE" w:rsidP="00BB2ECE">
    <w:pPr>
      <w:pStyle w:val="Footer"/>
      <w:framePr w:wrap="around" w:vAnchor="text" w:hAnchor="page" w:x="5881" w:y="-6"/>
      <w:rPr>
        <w:rStyle w:val="PageNumber"/>
        <w:rFonts w:ascii="Arial" w:hAnsi="Arial" w:cs="Arial"/>
        <w:b/>
      </w:rPr>
    </w:pPr>
    <w:r w:rsidRPr="00F3393F">
      <w:rPr>
        <w:rStyle w:val="PageNumber"/>
        <w:rFonts w:ascii="Arial" w:hAnsi="Arial" w:cs="Arial"/>
      </w:rPr>
      <w:fldChar w:fldCharType="begin"/>
    </w:r>
    <w:r w:rsidRPr="00F3393F">
      <w:rPr>
        <w:rStyle w:val="PageNumber"/>
        <w:rFonts w:ascii="Arial" w:hAnsi="Arial" w:cs="Arial"/>
      </w:rPr>
      <w:instrText xml:space="preserve">PAGE  </w:instrText>
    </w:r>
    <w:r w:rsidRPr="00F3393F">
      <w:rPr>
        <w:rStyle w:val="PageNumber"/>
        <w:rFonts w:ascii="Arial" w:hAnsi="Arial" w:cs="Arial"/>
      </w:rPr>
      <w:fldChar w:fldCharType="separate"/>
    </w:r>
    <w:r w:rsidR="007228CD">
      <w:rPr>
        <w:rStyle w:val="PageNumber"/>
        <w:rFonts w:ascii="Arial" w:hAnsi="Arial" w:cs="Arial"/>
        <w:noProof/>
      </w:rPr>
      <w:t>4</w:t>
    </w:r>
    <w:r w:rsidRPr="00F3393F">
      <w:rPr>
        <w:rStyle w:val="PageNumber"/>
        <w:rFonts w:ascii="Arial" w:hAnsi="Arial" w:cs="Arial"/>
      </w:rPr>
      <w:fldChar w:fldCharType="end"/>
    </w:r>
  </w:p>
  <w:p w14:paraId="5C0906FA" w14:textId="77777777" w:rsidR="00BB2ECE" w:rsidRDefault="00BB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38E9" w14:textId="77777777" w:rsidR="004051DF" w:rsidRDefault="004051DF" w:rsidP="00085FCB">
      <w:pPr>
        <w:spacing w:line="240" w:lineRule="auto"/>
      </w:pPr>
      <w:r>
        <w:separator/>
      </w:r>
    </w:p>
  </w:footnote>
  <w:footnote w:type="continuationSeparator" w:id="0">
    <w:p w14:paraId="5D288739" w14:textId="77777777" w:rsidR="004051DF" w:rsidRDefault="004051DF" w:rsidP="00085F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4E4"/>
    <w:multiLevelType w:val="multilevel"/>
    <w:tmpl w:val="76A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BC3"/>
    <w:multiLevelType w:val="multilevel"/>
    <w:tmpl w:val="CF7EA2AE"/>
    <w:lvl w:ilvl="0">
      <w:start w:val="1"/>
      <w:numFmt w:val="bullet"/>
      <w:lvlText w:val=""/>
      <w:lvlJc w:val="left"/>
      <w:pPr>
        <w:tabs>
          <w:tab w:val="num" w:pos="1134"/>
        </w:tabs>
        <w:ind w:left="1418"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6E0D"/>
    <w:multiLevelType w:val="hybridMultilevel"/>
    <w:tmpl w:val="710E8A0C"/>
    <w:lvl w:ilvl="0" w:tplc="E556ADF0">
      <w:start w:val="1"/>
      <w:numFmt w:val="lowerLetter"/>
      <w:lvlText w:val="(%1)"/>
      <w:lvlJc w:val="left"/>
      <w:pPr>
        <w:ind w:left="2346" w:hanging="645"/>
      </w:pPr>
      <w:rPr>
        <w:rFonts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10721FA7"/>
    <w:multiLevelType w:val="multilevel"/>
    <w:tmpl w:val="221E5454"/>
    <w:lvl w:ilvl="0">
      <w:start w:val="1"/>
      <w:numFmt w:val="decimal"/>
      <w:lvlText w:val="%1."/>
      <w:lvlJc w:val="left"/>
      <w:pPr>
        <w:tabs>
          <w:tab w:val="num" w:pos="680"/>
        </w:tabs>
        <w:ind w:left="680" w:hanging="680"/>
      </w:pPr>
      <w:rPr>
        <w:rFonts w:hint="default"/>
        <w:b w:val="0"/>
      </w:rPr>
    </w:lvl>
    <w:lvl w:ilvl="1">
      <w:start w:val="1"/>
      <w:numFmt w:val="lowerLetter"/>
      <w:lvlText w:val="(%2)"/>
      <w:lvlJc w:val="left"/>
      <w:pPr>
        <w:tabs>
          <w:tab w:val="num" w:pos="1474"/>
        </w:tabs>
        <w:ind w:left="1474" w:hanging="567"/>
      </w:pPr>
      <w:rPr>
        <w:rFonts w:hint="default"/>
        <w:b w:val="0"/>
        <w:bCs w:val="0"/>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CD2B2C"/>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951755"/>
    <w:multiLevelType w:val="hybridMultilevel"/>
    <w:tmpl w:val="03FEA8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A1F74"/>
    <w:multiLevelType w:val="multilevel"/>
    <w:tmpl w:val="ABC05294"/>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474"/>
        </w:tabs>
        <w:ind w:left="1474" w:hanging="567"/>
      </w:pPr>
      <w:rPr>
        <w:rFonts w:hint="default"/>
        <w:b w:val="0"/>
        <w:bCs w:val="0"/>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F17639D"/>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0F20AB2"/>
    <w:multiLevelType w:val="hybridMultilevel"/>
    <w:tmpl w:val="9BDE2004"/>
    <w:lvl w:ilvl="0" w:tplc="84A65322">
      <w:start w:val="1"/>
      <w:numFmt w:val="decimal"/>
      <w:lvlText w:val="%1."/>
      <w:lvlJc w:val="left"/>
      <w:pPr>
        <w:ind w:left="720" w:hanging="360"/>
      </w:pPr>
      <w:rPr>
        <w:color w:val="auto"/>
      </w:r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D1DEE"/>
    <w:multiLevelType w:val="multilevel"/>
    <w:tmpl w:val="C5583D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A1406"/>
    <w:multiLevelType w:val="multilevel"/>
    <w:tmpl w:val="149AC1C8"/>
    <w:lvl w:ilvl="0">
      <w:start w:val="1"/>
      <w:numFmt w:val="decimal"/>
      <w:lvlText w:val="%1."/>
      <w:lvlJc w:val="left"/>
      <w:pPr>
        <w:ind w:left="567" w:hanging="567"/>
      </w:pPr>
      <w:rPr>
        <w:rFonts w:hint="default"/>
        <w:b w:val="0"/>
        <w:bCs w:val="0"/>
      </w:rPr>
    </w:lvl>
    <w:lvl w:ilvl="1">
      <w:start w:val="1"/>
      <w:numFmt w:val="decimal"/>
      <w:lvlText w:val="%1.%2."/>
      <w:lvlJc w:val="left"/>
      <w:pPr>
        <w:ind w:left="1134" w:hanging="567"/>
      </w:pPr>
      <w:rPr>
        <w:rFonts w:hint="default"/>
      </w:rPr>
    </w:lvl>
    <w:lvl w:ilvl="2">
      <w:start w:val="1"/>
      <w:numFmt w:val="lowerLetter"/>
      <w:lvlText w:val="%3)"/>
      <w:lvlJc w:val="left"/>
      <w:pPr>
        <w:tabs>
          <w:tab w:val="num" w:pos="1134"/>
        </w:tabs>
        <w:ind w:left="1418"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701AF1"/>
    <w:multiLevelType w:val="multilevel"/>
    <w:tmpl w:val="A8B81034"/>
    <w:lvl w:ilvl="0">
      <w:start w:val="1"/>
      <w:numFmt w:val="bullet"/>
      <w:lvlText w:val=""/>
      <w:lvlJc w:val="left"/>
      <w:pPr>
        <w:tabs>
          <w:tab w:val="num" w:pos="1134"/>
        </w:tabs>
        <w:ind w:left="1418"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B1699"/>
    <w:multiLevelType w:val="multilevel"/>
    <w:tmpl w:val="1FA6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532E2"/>
    <w:multiLevelType w:val="hybridMultilevel"/>
    <w:tmpl w:val="C51E8E86"/>
    <w:lvl w:ilvl="0" w:tplc="93B07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CC42B8"/>
    <w:multiLevelType w:val="hybridMultilevel"/>
    <w:tmpl w:val="796CB134"/>
    <w:lvl w:ilvl="0" w:tplc="D972ACFA">
      <w:start w:val="8"/>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1C920A3"/>
    <w:multiLevelType w:val="hybridMultilevel"/>
    <w:tmpl w:val="F5FA17BE"/>
    <w:lvl w:ilvl="0" w:tplc="0809000F">
      <w:start w:val="1"/>
      <w:numFmt w:val="decimal"/>
      <w:lvlText w:val="%1."/>
      <w:lvlJc w:val="left"/>
      <w:pPr>
        <w:ind w:left="720" w:hanging="360"/>
      </w:p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2A93"/>
    <w:multiLevelType w:val="hybridMultilevel"/>
    <w:tmpl w:val="7360904A"/>
    <w:lvl w:ilvl="0" w:tplc="0809000F">
      <w:start w:val="1"/>
      <w:numFmt w:val="decimal"/>
      <w:lvlText w:val="%1."/>
      <w:lvlJc w:val="left"/>
      <w:pPr>
        <w:ind w:left="720" w:hanging="360"/>
      </w:p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14F4E"/>
    <w:multiLevelType w:val="multilevel"/>
    <w:tmpl w:val="DA2E8EF8"/>
    <w:lvl w:ilvl="0">
      <w:start w:val="9"/>
      <w:numFmt w:val="decimal"/>
      <w:lvlText w:val="%1."/>
      <w:lvlJc w:val="left"/>
      <w:pPr>
        <w:ind w:left="709"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573" w:hanging="504"/>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18" w15:restartNumberingAfterBreak="0">
    <w:nsid w:val="331B4865"/>
    <w:multiLevelType w:val="hybridMultilevel"/>
    <w:tmpl w:val="019C3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154929"/>
    <w:multiLevelType w:val="multilevel"/>
    <w:tmpl w:val="EB08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377E3"/>
    <w:multiLevelType w:val="multilevel"/>
    <w:tmpl w:val="11CA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F7EE8"/>
    <w:multiLevelType w:val="hybridMultilevel"/>
    <w:tmpl w:val="9C18F08C"/>
    <w:lvl w:ilvl="0" w:tplc="FFFFFFFF">
      <w:start w:val="1"/>
      <w:numFmt w:val="decimal"/>
      <w:lvlText w:val="%1."/>
      <w:lvlJc w:val="left"/>
      <w:pPr>
        <w:ind w:left="720" w:hanging="360"/>
      </w:pPr>
    </w:lvl>
    <w:lvl w:ilvl="1" w:tplc="FFFFFFFF">
      <w:start w:val="1"/>
      <w:numFmt w:val="bullet"/>
      <w:lvlText w:val=""/>
      <w:lvlJc w:val="left"/>
      <w:pPr>
        <w:ind w:left="1418" w:hanging="284"/>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EC0550"/>
    <w:multiLevelType w:val="hybridMultilevel"/>
    <w:tmpl w:val="0F941E34"/>
    <w:lvl w:ilvl="0" w:tplc="FFFFFFFF">
      <w:start w:val="1"/>
      <w:numFmt w:val="decimal"/>
      <w:lvlText w:val="%1."/>
      <w:lvlJc w:val="left"/>
      <w:pPr>
        <w:ind w:left="720" w:hanging="360"/>
      </w:pPr>
    </w:lvl>
    <w:lvl w:ilvl="1" w:tplc="FFFFFFFF">
      <w:start w:val="1"/>
      <w:numFmt w:val="bullet"/>
      <w:lvlText w:val=""/>
      <w:lvlJc w:val="left"/>
      <w:pPr>
        <w:ind w:left="1418" w:hanging="284"/>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850C9F"/>
    <w:multiLevelType w:val="hybridMultilevel"/>
    <w:tmpl w:val="710E8A0C"/>
    <w:lvl w:ilvl="0" w:tplc="E556ADF0">
      <w:start w:val="1"/>
      <w:numFmt w:val="lowerLetter"/>
      <w:lvlText w:val="(%1)"/>
      <w:lvlJc w:val="left"/>
      <w:pPr>
        <w:ind w:left="2085" w:hanging="645"/>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A8E17F7"/>
    <w:multiLevelType w:val="hybridMultilevel"/>
    <w:tmpl w:val="1D0A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7326B"/>
    <w:multiLevelType w:val="hybridMultilevel"/>
    <w:tmpl w:val="710E8A0C"/>
    <w:lvl w:ilvl="0" w:tplc="E556ADF0">
      <w:start w:val="1"/>
      <w:numFmt w:val="lowerLetter"/>
      <w:lvlText w:val="(%1)"/>
      <w:lvlJc w:val="left"/>
      <w:pPr>
        <w:ind w:left="2085" w:hanging="645"/>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EA2023B"/>
    <w:multiLevelType w:val="hybridMultilevel"/>
    <w:tmpl w:val="710E8A0C"/>
    <w:lvl w:ilvl="0" w:tplc="E556ADF0">
      <w:start w:val="1"/>
      <w:numFmt w:val="lowerLetter"/>
      <w:lvlText w:val="(%1)"/>
      <w:lvlJc w:val="left"/>
      <w:pPr>
        <w:ind w:left="1437" w:hanging="645"/>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7" w15:restartNumberingAfterBreak="0">
    <w:nsid w:val="3FEB6596"/>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17B4550"/>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9" w15:restartNumberingAfterBreak="0">
    <w:nsid w:val="41FC1E83"/>
    <w:multiLevelType w:val="hybridMultilevel"/>
    <w:tmpl w:val="9DF0A7FE"/>
    <w:lvl w:ilvl="0" w:tplc="0809000F">
      <w:start w:val="1"/>
      <w:numFmt w:val="decimal"/>
      <w:lvlText w:val="%1."/>
      <w:lvlJc w:val="left"/>
      <w:pPr>
        <w:ind w:left="720" w:hanging="360"/>
      </w:p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1265DA"/>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4E624134"/>
    <w:multiLevelType w:val="multilevel"/>
    <w:tmpl w:val="5BCC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1170D"/>
    <w:multiLevelType w:val="multilevel"/>
    <w:tmpl w:val="0809001F"/>
    <w:lvl w:ilvl="0">
      <w:start w:val="1"/>
      <w:numFmt w:val="decimal"/>
      <w:lvlText w:val="%1."/>
      <w:lvlJc w:val="lef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33" w15:restartNumberingAfterBreak="0">
    <w:nsid w:val="542E335C"/>
    <w:multiLevelType w:val="multilevel"/>
    <w:tmpl w:val="1A24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339B5"/>
    <w:multiLevelType w:val="hybridMultilevel"/>
    <w:tmpl w:val="710E8A0C"/>
    <w:lvl w:ilvl="0" w:tplc="E556ADF0">
      <w:start w:val="1"/>
      <w:numFmt w:val="lowerLetter"/>
      <w:lvlText w:val="(%1)"/>
      <w:lvlJc w:val="left"/>
      <w:pPr>
        <w:ind w:left="1437" w:hanging="645"/>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5" w15:restartNumberingAfterBreak="0">
    <w:nsid w:val="5EE71D48"/>
    <w:multiLevelType w:val="hybridMultilevel"/>
    <w:tmpl w:val="1B6C4D1C"/>
    <w:lvl w:ilvl="0" w:tplc="0809000F">
      <w:start w:val="1"/>
      <w:numFmt w:val="decimal"/>
      <w:lvlText w:val="%1."/>
      <w:lvlJc w:val="left"/>
      <w:pPr>
        <w:ind w:left="720" w:hanging="360"/>
      </w:pPr>
    </w:lvl>
    <w:lvl w:ilvl="1" w:tplc="158E2BD0">
      <w:start w:val="1"/>
      <w:numFmt w:val="bullet"/>
      <w:lvlText w:val=""/>
      <w:lvlJc w:val="left"/>
      <w:pPr>
        <w:ind w:left="1418" w:hanging="284"/>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A6682"/>
    <w:multiLevelType w:val="multilevel"/>
    <w:tmpl w:val="9586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527F1A"/>
    <w:multiLevelType w:val="multilevel"/>
    <w:tmpl w:val="DFB8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F3F57"/>
    <w:multiLevelType w:val="hybridMultilevel"/>
    <w:tmpl w:val="EA08E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402ECD"/>
    <w:multiLevelType w:val="hybridMultilevel"/>
    <w:tmpl w:val="9C18F08C"/>
    <w:lvl w:ilvl="0" w:tplc="FFFFFFFF">
      <w:start w:val="1"/>
      <w:numFmt w:val="decimal"/>
      <w:lvlText w:val="%1."/>
      <w:lvlJc w:val="left"/>
      <w:pPr>
        <w:ind w:left="720" w:hanging="360"/>
      </w:pPr>
    </w:lvl>
    <w:lvl w:ilvl="1" w:tplc="FFFFFFFF">
      <w:start w:val="1"/>
      <w:numFmt w:val="bullet"/>
      <w:lvlText w:val=""/>
      <w:lvlJc w:val="left"/>
      <w:pPr>
        <w:ind w:left="1418" w:hanging="284"/>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953A7B"/>
    <w:multiLevelType w:val="multilevel"/>
    <w:tmpl w:val="E5E2B662"/>
    <w:lvl w:ilvl="0">
      <w:start w:val="1"/>
      <w:numFmt w:val="bullet"/>
      <w:lvlText w:val=""/>
      <w:lvlJc w:val="left"/>
      <w:pPr>
        <w:tabs>
          <w:tab w:val="num" w:pos="1134"/>
        </w:tabs>
        <w:ind w:left="1418"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837B9"/>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2" w15:restartNumberingAfterBreak="0">
    <w:nsid w:val="7AAD0746"/>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CF3555A"/>
    <w:multiLevelType w:val="multilevel"/>
    <w:tmpl w:val="0809001F"/>
    <w:lvl w:ilvl="0">
      <w:start w:val="1"/>
      <w:numFmt w:val="decimal"/>
      <w:lvlText w:val="%1."/>
      <w:lvlJc w:val="lef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44" w15:restartNumberingAfterBreak="0">
    <w:nsid w:val="7F5530C5"/>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5" w15:restartNumberingAfterBreak="0">
    <w:nsid w:val="7F792B22"/>
    <w:multiLevelType w:val="multilevel"/>
    <w:tmpl w:val="01D6C5B4"/>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34829694">
    <w:abstractNumId w:val="8"/>
  </w:num>
  <w:num w:numId="2" w16cid:durableId="2109958609">
    <w:abstractNumId w:val="3"/>
  </w:num>
  <w:num w:numId="3" w16cid:durableId="1977295865">
    <w:abstractNumId w:val="42"/>
  </w:num>
  <w:num w:numId="4" w16cid:durableId="2031683450">
    <w:abstractNumId w:val="4"/>
  </w:num>
  <w:num w:numId="5" w16cid:durableId="1835997333">
    <w:abstractNumId w:val="10"/>
  </w:num>
  <w:num w:numId="6" w16cid:durableId="1054157377">
    <w:abstractNumId w:val="26"/>
  </w:num>
  <w:num w:numId="7" w16cid:durableId="73748423">
    <w:abstractNumId w:val="5"/>
  </w:num>
  <w:num w:numId="8" w16cid:durableId="2076933107">
    <w:abstractNumId w:val="44"/>
  </w:num>
  <w:num w:numId="9" w16cid:durableId="1182403698">
    <w:abstractNumId w:val="34"/>
  </w:num>
  <w:num w:numId="10" w16cid:durableId="872423094">
    <w:abstractNumId w:val="30"/>
  </w:num>
  <w:num w:numId="11" w16cid:durableId="268899717">
    <w:abstractNumId w:val="28"/>
  </w:num>
  <w:num w:numId="12" w16cid:durableId="1809859802">
    <w:abstractNumId w:val="41"/>
  </w:num>
  <w:num w:numId="13" w16cid:durableId="1627662185">
    <w:abstractNumId w:val="32"/>
  </w:num>
  <w:num w:numId="14" w16cid:durableId="885218239">
    <w:abstractNumId w:val="6"/>
  </w:num>
  <w:num w:numId="15" w16cid:durableId="441650653">
    <w:abstractNumId w:val="45"/>
  </w:num>
  <w:num w:numId="16" w16cid:durableId="1933078530">
    <w:abstractNumId w:val="35"/>
  </w:num>
  <w:num w:numId="17" w16cid:durableId="1528324602">
    <w:abstractNumId w:val="15"/>
  </w:num>
  <w:num w:numId="18" w16cid:durableId="1366757619">
    <w:abstractNumId w:val="29"/>
  </w:num>
  <w:num w:numId="19" w16cid:durableId="1678263316">
    <w:abstractNumId w:val="23"/>
  </w:num>
  <w:num w:numId="20" w16cid:durableId="1255240377">
    <w:abstractNumId w:val="2"/>
  </w:num>
  <w:num w:numId="21" w16cid:durableId="1727681337">
    <w:abstractNumId w:val="25"/>
  </w:num>
  <w:num w:numId="22" w16cid:durableId="31536125">
    <w:abstractNumId w:val="16"/>
  </w:num>
  <w:num w:numId="23" w16cid:durableId="290015831">
    <w:abstractNumId w:val="43"/>
  </w:num>
  <w:num w:numId="24" w16cid:durableId="1859005158">
    <w:abstractNumId w:val="7"/>
  </w:num>
  <w:num w:numId="25" w16cid:durableId="1794981886">
    <w:abstractNumId w:val="27"/>
  </w:num>
  <w:num w:numId="26" w16cid:durableId="1523668061">
    <w:abstractNumId w:val="13"/>
  </w:num>
  <w:num w:numId="27" w16cid:durableId="1049379162">
    <w:abstractNumId w:val="38"/>
  </w:num>
  <w:num w:numId="28" w16cid:durableId="193181280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763611">
    <w:abstractNumId w:val="17"/>
  </w:num>
  <w:num w:numId="30" w16cid:durableId="1294017514">
    <w:abstractNumId w:val="31"/>
  </w:num>
  <w:num w:numId="31" w16cid:durableId="1748648457">
    <w:abstractNumId w:val="37"/>
  </w:num>
  <w:num w:numId="32" w16cid:durableId="943194700">
    <w:abstractNumId w:val="24"/>
  </w:num>
  <w:num w:numId="33" w16cid:durableId="985083459">
    <w:abstractNumId w:val="0"/>
  </w:num>
  <w:num w:numId="34" w16cid:durableId="1531992876">
    <w:abstractNumId w:val="33"/>
  </w:num>
  <w:num w:numId="35" w16cid:durableId="1311863165">
    <w:abstractNumId w:val="36"/>
  </w:num>
  <w:num w:numId="36" w16cid:durableId="616062325">
    <w:abstractNumId w:val="11"/>
  </w:num>
  <w:num w:numId="37" w16cid:durableId="1830245051">
    <w:abstractNumId w:val="40"/>
  </w:num>
  <w:num w:numId="38" w16cid:durableId="633483388">
    <w:abstractNumId w:val="1"/>
  </w:num>
  <w:num w:numId="39" w16cid:durableId="1026753560">
    <w:abstractNumId w:val="18"/>
  </w:num>
  <w:num w:numId="40" w16cid:durableId="571934841">
    <w:abstractNumId w:val="9"/>
  </w:num>
  <w:num w:numId="41" w16cid:durableId="983000486">
    <w:abstractNumId w:val="20"/>
  </w:num>
  <w:num w:numId="42" w16cid:durableId="2119062594">
    <w:abstractNumId w:val="22"/>
  </w:num>
  <w:num w:numId="43" w16cid:durableId="565261190">
    <w:abstractNumId w:val="19"/>
  </w:num>
  <w:num w:numId="44" w16cid:durableId="1310790667">
    <w:abstractNumId w:val="21"/>
  </w:num>
  <w:num w:numId="45" w16cid:durableId="852888405">
    <w:abstractNumId w:val="39"/>
  </w:num>
  <w:num w:numId="46" w16cid:durableId="1809393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02"/>
    <w:rsid w:val="00005B36"/>
    <w:rsid w:val="0000752C"/>
    <w:rsid w:val="000223DD"/>
    <w:rsid w:val="000247FA"/>
    <w:rsid w:val="00024AC6"/>
    <w:rsid w:val="000269FE"/>
    <w:rsid w:val="00030C02"/>
    <w:rsid w:val="0004027B"/>
    <w:rsid w:val="00045DC9"/>
    <w:rsid w:val="000556A0"/>
    <w:rsid w:val="00055829"/>
    <w:rsid w:val="0006063C"/>
    <w:rsid w:val="00061871"/>
    <w:rsid w:val="00063FB1"/>
    <w:rsid w:val="00064E61"/>
    <w:rsid w:val="000659BE"/>
    <w:rsid w:val="00070E97"/>
    <w:rsid w:val="000725B8"/>
    <w:rsid w:val="000767EF"/>
    <w:rsid w:val="0008494E"/>
    <w:rsid w:val="000849AE"/>
    <w:rsid w:val="00085FCB"/>
    <w:rsid w:val="00087A41"/>
    <w:rsid w:val="00090E19"/>
    <w:rsid w:val="00091132"/>
    <w:rsid w:val="00093676"/>
    <w:rsid w:val="0009641B"/>
    <w:rsid w:val="000A0FE9"/>
    <w:rsid w:val="000A1420"/>
    <w:rsid w:val="000A21B0"/>
    <w:rsid w:val="000A5440"/>
    <w:rsid w:val="000A6D09"/>
    <w:rsid w:val="000A6FA3"/>
    <w:rsid w:val="000B16F6"/>
    <w:rsid w:val="000B19F9"/>
    <w:rsid w:val="000B6629"/>
    <w:rsid w:val="000C5319"/>
    <w:rsid w:val="000D0267"/>
    <w:rsid w:val="000D086D"/>
    <w:rsid w:val="000D1B19"/>
    <w:rsid w:val="000E3055"/>
    <w:rsid w:val="000E52F2"/>
    <w:rsid w:val="000E59CB"/>
    <w:rsid w:val="000F0064"/>
    <w:rsid w:val="00100FE1"/>
    <w:rsid w:val="00114D25"/>
    <w:rsid w:val="00123B0A"/>
    <w:rsid w:val="00125093"/>
    <w:rsid w:val="00125D00"/>
    <w:rsid w:val="0013224B"/>
    <w:rsid w:val="00140B71"/>
    <w:rsid w:val="00140EE5"/>
    <w:rsid w:val="00141168"/>
    <w:rsid w:val="0014433E"/>
    <w:rsid w:val="0015374D"/>
    <w:rsid w:val="001555C4"/>
    <w:rsid w:val="00156BC5"/>
    <w:rsid w:val="001613E5"/>
    <w:rsid w:val="00163856"/>
    <w:rsid w:val="00164F55"/>
    <w:rsid w:val="00167E56"/>
    <w:rsid w:val="001719D6"/>
    <w:rsid w:val="0017466D"/>
    <w:rsid w:val="00183445"/>
    <w:rsid w:val="00184E40"/>
    <w:rsid w:val="00190D1D"/>
    <w:rsid w:val="0019308C"/>
    <w:rsid w:val="001931CC"/>
    <w:rsid w:val="001A2CA8"/>
    <w:rsid w:val="001A6387"/>
    <w:rsid w:val="001B0F41"/>
    <w:rsid w:val="001B1008"/>
    <w:rsid w:val="001B3984"/>
    <w:rsid w:val="001B4F1B"/>
    <w:rsid w:val="001B59CE"/>
    <w:rsid w:val="001B6C2E"/>
    <w:rsid w:val="001B732D"/>
    <w:rsid w:val="001B79D8"/>
    <w:rsid w:val="001C3263"/>
    <w:rsid w:val="001C3BE0"/>
    <w:rsid w:val="001C4608"/>
    <w:rsid w:val="001D7EE1"/>
    <w:rsid w:val="001E00D7"/>
    <w:rsid w:val="001E141E"/>
    <w:rsid w:val="001E3134"/>
    <w:rsid w:val="001E40A7"/>
    <w:rsid w:val="001F0860"/>
    <w:rsid w:val="001F10DA"/>
    <w:rsid w:val="00210391"/>
    <w:rsid w:val="002219D9"/>
    <w:rsid w:val="00225229"/>
    <w:rsid w:val="002331D0"/>
    <w:rsid w:val="00234B7A"/>
    <w:rsid w:val="00240BDF"/>
    <w:rsid w:val="0024410B"/>
    <w:rsid w:val="0024557A"/>
    <w:rsid w:val="00253F0E"/>
    <w:rsid w:val="00254861"/>
    <w:rsid w:val="002557D3"/>
    <w:rsid w:val="0026532A"/>
    <w:rsid w:val="002676D4"/>
    <w:rsid w:val="00271AA5"/>
    <w:rsid w:val="00282F08"/>
    <w:rsid w:val="00291CAA"/>
    <w:rsid w:val="00292CDE"/>
    <w:rsid w:val="00295F05"/>
    <w:rsid w:val="002A1ADA"/>
    <w:rsid w:val="002A2784"/>
    <w:rsid w:val="002B164B"/>
    <w:rsid w:val="002B559B"/>
    <w:rsid w:val="002B67FB"/>
    <w:rsid w:val="002C0D51"/>
    <w:rsid w:val="002D0A6D"/>
    <w:rsid w:val="002D1AF3"/>
    <w:rsid w:val="002D41E3"/>
    <w:rsid w:val="002D456F"/>
    <w:rsid w:val="002D6072"/>
    <w:rsid w:val="002E796C"/>
    <w:rsid w:val="002F01E8"/>
    <w:rsid w:val="002F0332"/>
    <w:rsid w:val="002F2165"/>
    <w:rsid w:val="00302036"/>
    <w:rsid w:val="00304C56"/>
    <w:rsid w:val="00315B1A"/>
    <w:rsid w:val="0032379C"/>
    <w:rsid w:val="00324C4F"/>
    <w:rsid w:val="00324D8A"/>
    <w:rsid w:val="003305CA"/>
    <w:rsid w:val="00330C59"/>
    <w:rsid w:val="00332A37"/>
    <w:rsid w:val="003367BF"/>
    <w:rsid w:val="0034038F"/>
    <w:rsid w:val="00344D08"/>
    <w:rsid w:val="00345AE7"/>
    <w:rsid w:val="0034642C"/>
    <w:rsid w:val="0035107E"/>
    <w:rsid w:val="0035215C"/>
    <w:rsid w:val="00360FED"/>
    <w:rsid w:val="00362193"/>
    <w:rsid w:val="0036293E"/>
    <w:rsid w:val="00363638"/>
    <w:rsid w:val="0038067B"/>
    <w:rsid w:val="003807FB"/>
    <w:rsid w:val="003834C3"/>
    <w:rsid w:val="00383C6F"/>
    <w:rsid w:val="00385713"/>
    <w:rsid w:val="00386537"/>
    <w:rsid w:val="00391470"/>
    <w:rsid w:val="003A3E99"/>
    <w:rsid w:val="003A7E0A"/>
    <w:rsid w:val="003B0A02"/>
    <w:rsid w:val="003B6121"/>
    <w:rsid w:val="003B6F8E"/>
    <w:rsid w:val="003C3305"/>
    <w:rsid w:val="003C7A55"/>
    <w:rsid w:val="003D42D2"/>
    <w:rsid w:val="003E392C"/>
    <w:rsid w:val="003F6B16"/>
    <w:rsid w:val="003F7974"/>
    <w:rsid w:val="00400588"/>
    <w:rsid w:val="00401DA7"/>
    <w:rsid w:val="00403AAA"/>
    <w:rsid w:val="00404795"/>
    <w:rsid w:val="00404CB8"/>
    <w:rsid w:val="004051DF"/>
    <w:rsid w:val="0040592A"/>
    <w:rsid w:val="00412544"/>
    <w:rsid w:val="0043154A"/>
    <w:rsid w:val="00435B34"/>
    <w:rsid w:val="0044164A"/>
    <w:rsid w:val="00451996"/>
    <w:rsid w:val="00454C72"/>
    <w:rsid w:val="00463549"/>
    <w:rsid w:val="00465941"/>
    <w:rsid w:val="00467CEA"/>
    <w:rsid w:val="0047266C"/>
    <w:rsid w:val="0047608B"/>
    <w:rsid w:val="00481070"/>
    <w:rsid w:val="00484709"/>
    <w:rsid w:val="00491810"/>
    <w:rsid w:val="004931B8"/>
    <w:rsid w:val="0049783B"/>
    <w:rsid w:val="00497C74"/>
    <w:rsid w:val="004A0AF2"/>
    <w:rsid w:val="004A242C"/>
    <w:rsid w:val="004A6C21"/>
    <w:rsid w:val="004C10F4"/>
    <w:rsid w:val="004C339E"/>
    <w:rsid w:val="004C56C4"/>
    <w:rsid w:val="004E61F6"/>
    <w:rsid w:val="004F5954"/>
    <w:rsid w:val="00500287"/>
    <w:rsid w:val="00501641"/>
    <w:rsid w:val="0050425F"/>
    <w:rsid w:val="00505F09"/>
    <w:rsid w:val="00510AD1"/>
    <w:rsid w:val="00515A45"/>
    <w:rsid w:val="00516C5A"/>
    <w:rsid w:val="005178B7"/>
    <w:rsid w:val="00520678"/>
    <w:rsid w:val="00523D93"/>
    <w:rsid w:val="0052529A"/>
    <w:rsid w:val="0052664E"/>
    <w:rsid w:val="005353D4"/>
    <w:rsid w:val="0054072D"/>
    <w:rsid w:val="005553AC"/>
    <w:rsid w:val="00557EBC"/>
    <w:rsid w:val="0056098A"/>
    <w:rsid w:val="005622D0"/>
    <w:rsid w:val="005622F5"/>
    <w:rsid w:val="005647C6"/>
    <w:rsid w:val="005650F0"/>
    <w:rsid w:val="00570E47"/>
    <w:rsid w:val="00574365"/>
    <w:rsid w:val="00580704"/>
    <w:rsid w:val="005816B5"/>
    <w:rsid w:val="00581C77"/>
    <w:rsid w:val="00593E23"/>
    <w:rsid w:val="005947C7"/>
    <w:rsid w:val="005975CE"/>
    <w:rsid w:val="00597AE1"/>
    <w:rsid w:val="005A0F12"/>
    <w:rsid w:val="005A2ED7"/>
    <w:rsid w:val="005B0474"/>
    <w:rsid w:val="005B204A"/>
    <w:rsid w:val="005B2B5F"/>
    <w:rsid w:val="005C17A6"/>
    <w:rsid w:val="005C1D23"/>
    <w:rsid w:val="005C392D"/>
    <w:rsid w:val="005C4AD4"/>
    <w:rsid w:val="005C5A18"/>
    <w:rsid w:val="005D4AB8"/>
    <w:rsid w:val="005D75C3"/>
    <w:rsid w:val="005E0593"/>
    <w:rsid w:val="005E08A8"/>
    <w:rsid w:val="005F1269"/>
    <w:rsid w:val="0060164D"/>
    <w:rsid w:val="00603525"/>
    <w:rsid w:val="00611966"/>
    <w:rsid w:val="00616429"/>
    <w:rsid w:val="00622921"/>
    <w:rsid w:val="00634ED6"/>
    <w:rsid w:val="00634F8E"/>
    <w:rsid w:val="00635256"/>
    <w:rsid w:val="006439DF"/>
    <w:rsid w:val="00646E69"/>
    <w:rsid w:val="00650629"/>
    <w:rsid w:val="00650D49"/>
    <w:rsid w:val="0065650A"/>
    <w:rsid w:val="00662E54"/>
    <w:rsid w:val="00671245"/>
    <w:rsid w:val="00671EAD"/>
    <w:rsid w:val="00671F7A"/>
    <w:rsid w:val="006752BA"/>
    <w:rsid w:val="00682A58"/>
    <w:rsid w:val="00687C83"/>
    <w:rsid w:val="00691FA1"/>
    <w:rsid w:val="00694233"/>
    <w:rsid w:val="00696F05"/>
    <w:rsid w:val="006A599A"/>
    <w:rsid w:val="006A5D8C"/>
    <w:rsid w:val="006B167E"/>
    <w:rsid w:val="006B2F42"/>
    <w:rsid w:val="006B5BE8"/>
    <w:rsid w:val="006B6F7D"/>
    <w:rsid w:val="006C0FFF"/>
    <w:rsid w:val="006C2AA5"/>
    <w:rsid w:val="006C6ADC"/>
    <w:rsid w:val="006C7AA9"/>
    <w:rsid w:val="006D337A"/>
    <w:rsid w:val="006E515D"/>
    <w:rsid w:val="006E5FD2"/>
    <w:rsid w:val="006F658C"/>
    <w:rsid w:val="007010A3"/>
    <w:rsid w:val="0070571A"/>
    <w:rsid w:val="00705C0C"/>
    <w:rsid w:val="007101BE"/>
    <w:rsid w:val="007102B0"/>
    <w:rsid w:val="0071130F"/>
    <w:rsid w:val="007118D3"/>
    <w:rsid w:val="00713359"/>
    <w:rsid w:val="00713578"/>
    <w:rsid w:val="0071369C"/>
    <w:rsid w:val="00715252"/>
    <w:rsid w:val="0071762D"/>
    <w:rsid w:val="00721EFF"/>
    <w:rsid w:val="007222EF"/>
    <w:rsid w:val="007228CD"/>
    <w:rsid w:val="00722D47"/>
    <w:rsid w:val="0072789D"/>
    <w:rsid w:val="00727C90"/>
    <w:rsid w:val="00730C02"/>
    <w:rsid w:val="00732925"/>
    <w:rsid w:val="00736715"/>
    <w:rsid w:val="007373E1"/>
    <w:rsid w:val="00737F03"/>
    <w:rsid w:val="00744E93"/>
    <w:rsid w:val="007462F4"/>
    <w:rsid w:val="00747D22"/>
    <w:rsid w:val="0075674F"/>
    <w:rsid w:val="00761EB6"/>
    <w:rsid w:val="007645E6"/>
    <w:rsid w:val="00766E51"/>
    <w:rsid w:val="00767239"/>
    <w:rsid w:val="00771364"/>
    <w:rsid w:val="00772988"/>
    <w:rsid w:val="007750BA"/>
    <w:rsid w:val="00784EFC"/>
    <w:rsid w:val="00786B47"/>
    <w:rsid w:val="00787B09"/>
    <w:rsid w:val="00787D4F"/>
    <w:rsid w:val="00790322"/>
    <w:rsid w:val="00790B35"/>
    <w:rsid w:val="007A25FA"/>
    <w:rsid w:val="007A3C1E"/>
    <w:rsid w:val="007A40D7"/>
    <w:rsid w:val="007B0742"/>
    <w:rsid w:val="007B4B36"/>
    <w:rsid w:val="007C070E"/>
    <w:rsid w:val="007C53CF"/>
    <w:rsid w:val="007C646C"/>
    <w:rsid w:val="007C6B6D"/>
    <w:rsid w:val="007C78DF"/>
    <w:rsid w:val="007D3302"/>
    <w:rsid w:val="007D4A2B"/>
    <w:rsid w:val="007E2D6B"/>
    <w:rsid w:val="007E5AEA"/>
    <w:rsid w:val="007F5AB9"/>
    <w:rsid w:val="007F75B6"/>
    <w:rsid w:val="00801BBC"/>
    <w:rsid w:val="008064E7"/>
    <w:rsid w:val="00811F34"/>
    <w:rsid w:val="00814542"/>
    <w:rsid w:val="00816C1A"/>
    <w:rsid w:val="0081729C"/>
    <w:rsid w:val="00817D13"/>
    <w:rsid w:val="008207BB"/>
    <w:rsid w:val="0082090A"/>
    <w:rsid w:val="00827A0C"/>
    <w:rsid w:val="00835A48"/>
    <w:rsid w:val="00837746"/>
    <w:rsid w:val="00844026"/>
    <w:rsid w:val="008475EF"/>
    <w:rsid w:val="008503D1"/>
    <w:rsid w:val="00850A76"/>
    <w:rsid w:val="00852395"/>
    <w:rsid w:val="00852840"/>
    <w:rsid w:val="00854EF9"/>
    <w:rsid w:val="00856EB0"/>
    <w:rsid w:val="00864792"/>
    <w:rsid w:val="00864C37"/>
    <w:rsid w:val="00875594"/>
    <w:rsid w:val="00877AD5"/>
    <w:rsid w:val="00881DAD"/>
    <w:rsid w:val="00882757"/>
    <w:rsid w:val="008830AF"/>
    <w:rsid w:val="00885C56"/>
    <w:rsid w:val="00885E63"/>
    <w:rsid w:val="00892F77"/>
    <w:rsid w:val="008969F1"/>
    <w:rsid w:val="00897FA5"/>
    <w:rsid w:val="008A10A3"/>
    <w:rsid w:val="008A5C40"/>
    <w:rsid w:val="008A636C"/>
    <w:rsid w:val="008B531C"/>
    <w:rsid w:val="008C2FCE"/>
    <w:rsid w:val="008C362F"/>
    <w:rsid w:val="008C41A4"/>
    <w:rsid w:val="008C58BB"/>
    <w:rsid w:val="008D547B"/>
    <w:rsid w:val="008E4426"/>
    <w:rsid w:val="008E4F9E"/>
    <w:rsid w:val="008E700F"/>
    <w:rsid w:val="008E79BC"/>
    <w:rsid w:val="008F036E"/>
    <w:rsid w:val="008F0A0C"/>
    <w:rsid w:val="008F2F9D"/>
    <w:rsid w:val="00900FAF"/>
    <w:rsid w:val="0090490D"/>
    <w:rsid w:val="00906166"/>
    <w:rsid w:val="00912D39"/>
    <w:rsid w:val="00913B22"/>
    <w:rsid w:val="0092189F"/>
    <w:rsid w:val="00924DAB"/>
    <w:rsid w:val="0094303F"/>
    <w:rsid w:val="0095161A"/>
    <w:rsid w:val="00961CC7"/>
    <w:rsid w:val="0096507F"/>
    <w:rsid w:val="009702ED"/>
    <w:rsid w:val="00971062"/>
    <w:rsid w:val="00971866"/>
    <w:rsid w:val="0097259C"/>
    <w:rsid w:val="009818F3"/>
    <w:rsid w:val="00991DA2"/>
    <w:rsid w:val="009A2764"/>
    <w:rsid w:val="009A7110"/>
    <w:rsid w:val="009C0543"/>
    <w:rsid w:val="009C7967"/>
    <w:rsid w:val="009C7EB4"/>
    <w:rsid w:val="009E1EB2"/>
    <w:rsid w:val="009E4A25"/>
    <w:rsid w:val="009E506F"/>
    <w:rsid w:val="009E7819"/>
    <w:rsid w:val="009F06ED"/>
    <w:rsid w:val="009F5589"/>
    <w:rsid w:val="009F66FC"/>
    <w:rsid w:val="00A047D0"/>
    <w:rsid w:val="00A05C33"/>
    <w:rsid w:val="00A0726E"/>
    <w:rsid w:val="00A11877"/>
    <w:rsid w:val="00A1626E"/>
    <w:rsid w:val="00A16E62"/>
    <w:rsid w:val="00A170E0"/>
    <w:rsid w:val="00A22D5E"/>
    <w:rsid w:val="00A22DFF"/>
    <w:rsid w:val="00A24039"/>
    <w:rsid w:val="00A328A2"/>
    <w:rsid w:val="00A34944"/>
    <w:rsid w:val="00A373FB"/>
    <w:rsid w:val="00A46AD1"/>
    <w:rsid w:val="00A5213D"/>
    <w:rsid w:val="00A64C83"/>
    <w:rsid w:val="00A6635C"/>
    <w:rsid w:val="00A7771B"/>
    <w:rsid w:val="00A777D4"/>
    <w:rsid w:val="00A857EE"/>
    <w:rsid w:val="00A8777D"/>
    <w:rsid w:val="00A87C01"/>
    <w:rsid w:val="00A908EC"/>
    <w:rsid w:val="00A967FF"/>
    <w:rsid w:val="00AB13E9"/>
    <w:rsid w:val="00AC0439"/>
    <w:rsid w:val="00AD366C"/>
    <w:rsid w:val="00AD3787"/>
    <w:rsid w:val="00AD3D03"/>
    <w:rsid w:val="00AD7CB4"/>
    <w:rsid w:val="00AE19F0"/>
    <w:rsid w:val="00AE1C78"/>
    <w:rsid w:val="00AE54AD"/>
    <w:rsid w:val="00AE7021"/>
    <w:rsid w:val="00AE7624"/>
    <w:rsid w:val="00AF4C63"/>
    <w:rsid w:val="00AF5026"/>
    <w:rsid w:val="00AF5673"/>
    <w:rsid w:val="00AF605B"/>
    <w:rsid w:val="00AF65E0"/>
    <w:rsid w:val="00B01CA8"/>
    <w:rsid w:val="00B029D5"/>
    <w:rsid w:val="00B036CB"/>
    <w:rsid w:val="00B10F1F"/>
    <w:rsid w:val="00B20699"/>
    <w:rsid w:val="00B21683"/>
    <w:rsid w:val="00B22124"/>
    <w:rsid w:val="00B24770"/>
    <w:rsid w:val="00B27A67"/>
    <w:rsid w:val="00B470AC"/>
    <w:rsid w:val="00B53338"/>
    <w:rsid w:val="00B578F6"/>
    <w:rsid w:val="00B70FB6"/>
    <w:rsid w:val="00B80704"/>
    <w:rsid w:val="00B80E93"/>
    <w:rsid w:val="00B84AD7"/>
    <w:rsid w:val="00B87998"/>
    <w:rsid w:val="00B87A55"/>
    <w:rsid w:val="00BA0238"/>
    <w:rsid w:val="00BA2699"/>
    <w:rsid w:val="00BA5262"/>
    <w:rsid w:val="00BA71E5"/>
    <w:rsid w:val="00BB2ECE"/>
    <w:rsid w:val="00BC747E"/>
    <w:rsid w:val="00BE4228"/>
    <w:rsid w:val="00BE4333"/>
    <w:rsid w:val="00C00572"/>
    <w:rsid w:val="00C00DC2"/>
    <w:rsid w:val="00C0657C"/>
    <w:rsid w:val="00C06845"/>
    <w:rsid w:val="00C1080E"/>
    <w:rsid w:val="00C1136D"/>
    <w:rsid w:val="00C168CF"/>
    <w:rsid w:val="00C206FC"/>
    <w:rsid w:val="00C23271"/>
    <w:rsid w:val="00C31877"/>
    <w:rsid w:val="00C35A3B"/>
    <w:rsid w:val="00C4055A"/>
    <w:rsid w:val="00C43D48"/>
    <w:rsid w:val="00C53BC2"/>
    <w:rsid w:val="00C621BB"/>
    <w:rsid w:val="00C626D6"/>
    <w:rsid w:val="00C73B25"/>
    <w:rsid w:val="00C77EA8"/>
    <w:rsid w:val="00C82C17"/>
    <w:rsid w:val="00C85292"/>
    <w:rsid w:val="00C91D1A"/>
    <w:rsid w:val="00C957E5"/>
    <w:rsid w:val="00C95A97"/>
    <w:rsid w:val="00CB22EB"/>
    <w:rsid w:val="00CB48C3"/>
    <w:rsid w:val="00CB742E"/>
    <w:rsid w:val="00CC031E"/>
    <w:rsid w:val="00CC67C0"/>
    <w:rsid w:val="00CD09E8"/>
    <w:rsid w:val="00CD4EB7"/>
    <w:rsid w:val="00CD68FD"/>
    <w:rsid w:val="00CD691A"/>
    <w:rsid w:val="00CE195C"/>
    <w:rsid w:val="00CE34E4"/>
    <w:rsid w:val="00CE57B7"/>
    <w:rsid w:val="00D0075A"/>
    <w:rsid w:val="00D06047"/>
    <w:rsid w:val="00D103F4"/>
    <w:rsid w:val="00D147F0"/>
    <w:rsid w:val="00D14BB5"/>
    <w:rsid w:val="00D23448"/>
    <w:rsid w:val="00D24386"/>
    <w:rsid w:val="00D32F82"/>
    <w:rsid w:val="00D36A26"/>
    <w:rsid w:val="00D44FA0"/>
    <w:rsid w:val="00D452D3"/>
    <w:rsid w:val="00D46B1F"/>
    <w:rsid w:val="00D500E3"/>
    <w:rsid w:val="00D54F90"/>
    <w:rsid w:val="00D57E4D"/>
    <w:rsid w:val="00D65A6C"/>
    <w:rsid w:val="00D74EFD"/>
    <w:rsid w:val="00D805B3"/>
    <w:rsid w:val="00D8173D"/>
    <w:rsid w:val="00D81B7D"/>
    <w:rsid w:val="00D86208"/>
    <w:rsid w:val="00D93EA9"/>
    <w:rsid w:val="00D97CA3"/>
    <w:rsid w:val="00DA527C"/>
    <w:rsid w:val="00DA732C"/>
    <w:rsid w:val="00DB053C"/>
    <w:rsid w:val="00DB0EF8"/>
    <w:rsid w:val="00DB3C55"/>
    <w:rsid w:val="00DB69E3"/>
    <w:rsid w:val="00DB723B"/>
    <w:rsid w:val="00DD10CD"/>
    <w:rsid w:val="00DD29EB"/>
    <w:rsid w:val="00DD4136"/>
    <w:rsid w:val="00DE077F"/>
    <w:rsid w:val="00DE1360"/>
    <w:rsid w:val="00DE2EA3"/>
    <w:rsid w:val="00DE7B2B"/>
    <w:rsid w:val="00DF0BB7"/>
    <w:rsid w:val="00DF425C"/>
    <w:rsid w:val="00DF4417"/>
    <w:rsid w:val="00DF5A69"/>
    <w:rsid w:val="00DF698F"/>
    <w:rsid w:val="00E150AF"/>
    <w:rsid w:val="00E17859"/>
    <w:rsid w:val="00E20E82"/>
    <w:rsid w:val="00E210B8"/>
    <w:rsid w:val="00E2505C"/>
    <w:rsid w:val="00E349F6"/>
    <w:rsid w:val="00E36C9F"/>
    <w:rsid w:val="00E37FA1"/>
    <w:rsid w:val="00E565D1"/>
    <w:rsid w:val="00E679BE"/>
    <w:rsid w:val="00E70094"/>
    <w:rsid w:val="00E75CE2"/>
    <w:rsid w:val="00E8206C"/>
    <w:rsid w:val="00E8220F"/>
    <w:rsid w:val="00E923AB"/>
    <w:rsid w:val="00EA156A"/>
    <w:rsid w:val="00EA4722"/>
    <w:rsid w:val="00EB6760"/>
    <w:rsid w:val="00EB6B34"/>
    <w:rsid w:val="00EB764E"/>
    <w:rsid w:val="00EC3E44"/>
    <w:rsid w:val="00ED1B1C"/>
    <w:rsid w:val="00ED3B25"/>
    <w:rsid w:val="00ED5500"/>
    <w:rsid w:val="00ED5E62"/>
    <w:rsid w:val="00EE0D77"/>
    <w:rsid w:val="00EE2940"/>
    <w:rsid w:val="00EE7038"/>
    <w:rsid w:val="00EF3DE5"/>
    <w:rsid w:val="00EF532E"/>
    <w:rsid w:val="00EF6D4E"/>
    <w:rsid w:val="00EF79E4"/>
    <w:rsid w:val="00F06D15"/>
    <w:rsid w:val="00F141F1"/>
    <w:rsid w:val="00F14A3C"/>
    <w:rsid w:val="00F162FC"/>
    <w:rsid w:val="00F20344"/>
    <w:rsid w:val="00F21869"/>
    <w:rsid w:val="00F21B28"/>
    <w:rsid w:val="00F21EC1"/>
    <w:rsid w:val="00F27D90"/>
    <w:rsid w:val="00F34D2A"/>
    <w:rsid w:val="00F40314"/>
    <w:rsid w:val="00F4604F"/>
    <w:rsid w:val="00F473E3"/>
    <w:rsid w:val="00F47E2B"/>
    <w:rsid w:val="00F52537"/>
    <w:rsid w:val="00F53B0A"/>
    <w:rsid w:val="00F5529B"/>
    <w:rsid w:val="00F60B3E"/>
    <w:rsid w:val="00F71332"/>
    <w:rsid w:val="00F728E8"/>
    <w:rsid w:val="00F744F1"/>
    <w:rsid w:val="00F74827"/>
    <w:rsid w:val="00F773A6"/>
    <w:rsid w:val="00F86BA4"/>
    <w:rsid w:val="00F943B6"/>
    <w:rsid w:val="00F94427"/>
    <w:rsid w:val="00F95C7B"/>
    <w:rsid w:val="00F96D1E"/>
    <w:rsid w:val="00FA22E2"/>
    <w:rsid w:val="00FA5F7D"/>
    <w:rsid w:val="00FB13EC"/>
    <w:rsid w:val="00FB1CD2"/>
    <w:rsid w:val="00FB1DE8"/>
    <w:rsid w:val="00FB49A0"/>
    <w:rsid w:val="00FB5428"/>
    <w:rsid w:val="00FC091B"/>
    <w:rsid w:val="00FC1683"/>
    <w:rsid w:val="00FC348F"/>
    <w:rsid w:val="00FC43C6"/>
    <w:rsid w:val="00FD5419"/>
    <w:rsid w:val="00FE6E48"/>
    <w:rsid w:val="0961A90F"/>
    <w:rsid w:val="16A61458"/>
    <w:rsid w:val="1DACFBD8"/>
    <w:rsid w:val="3353CDA5"/>
    <w:rsid w:val="3E07C14D"/>
    <w:rsid w:val="4AC04279"/>
    <w:rsid w:val="4B389C9A"/>
    <w:rsid w:val="552C520B"/>
    <w:rsid w:val="56CC2513"/>
    <w:rsid w:val="6D3C1389"/>
    <w:rsid w:val="76CC0BDD"/>
    <w:rsid w:val="7F5548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7EA1"/>
  <w15:docId w15:val="{E9601563-1C29-4ABE-AD4B-F3670B91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E93"/>
    <w:pPr>
      <w:autoSpaceDE w:val="0"/>
      <w:autoSpaceDN w:val="0"/>
      <w:adjustRightInd w:val="0"/>
      <w:spacing w:after="240" w:line="240" w:lineRule="auto"/>
      <w:jc w:val="both"/>
      <w:outlineLvl w:val="0"/>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549"/>
    <w:pPr>
      <w:ind w:left="720"/>
      <w:contextualSpacing/>
    </w:pPr>
  </w:style>
  <w:style w:type="paragraph" w:styleId="Footer">
    <w:name w:val="footer"/>
    <w:basedOn w:val="Normal"/>
    <w:link w:val="FooterChar"/>
    <w:uiPriority w:val="99"/>
    <w:rsid w:val="00085FCB"/>
    <w:pPr>
      <w:widowControl w:val="0"/>
      <w:tabs>
        <w:tab w:val="center" w:pos="4153"/>
        <w:tab w:val="right" w:pos="8306"/>
      </w:tabs>
      <w:autoSpaceDE w:val="0"/>
      <w:autoSpaceDN w:val="0"/>
      <w:adjustRightInd w:val="0"/>
      <w:spacing w:line="240" w:lineRule="auto"/>
    </w:pPr>
    <w:rPr>
      <w:rFonts w:ascii="Courier" w:eastAsia="Times New Roman" w:hAnsi="Courier" w:cs="Courier"/>
      <w:sz w:val="24"/>
      <w:szCs w:val="24"/>
      <w:lang w:val="en-US" w:eastAsia="en-GB"/>
    </w:rPr>
  </w:style>
  <w:style w:type="character" w:customStyle="1" w:styleId="FooterChar">
    <w:name w:val="Footer Char"/>
    <w:basedOn w:val="DefaultParagraphFont"/>
    <w:link w:val="Footer"/>
    <w:uiPriority w:val="99"/>
    <w:rsid w:val="00085FCB"/>
    <w:rPr>
      <w:rFonts w:ascii="Courier" w:eastAsia="Times New Roman" w:hAnsi="Courier" w:cs="Courier"/>
      <w:sz w:val="24"/>
      <w:szCs w:val="24"/>
      <w:lang w:val="en-US" w:eastAsia="en-GB"/>
    </w:rPr>
  </w:style>
  <w:style w:type="character" w:styleId="PageNumber">
    <w:name w:val="page number"/>
    <w:basedOn w:val="DefaultParagraphFont"/>
    <w:rsid w:val="00085FCB"/>
  </w:style>
  <w:style w:type="character" w:styleId="FootnoteReference">
    <w:name w:val="footnote reference"/>
    <w:basedOn w:val="DefaultParagraphFont"/>
    <w:semiHidden/>
    <w:rsid w:val="00085FCB"/>
  </w:style>
  <w:style w:type="paragraph" w:styleId="FootnoteText">
    <w:name w:val="footnote text"/>
    <w:basedOn w:val="Normal"/>
    <w:link w:val="FootnoteTextChar"/>
    <w:semiHidden/>
    <w:rsid w:val="00085FCB"/>
    <w:pPr>
      <w:widowControl w:val="0"/>
      <w:autoSpaceDE w:val="0"/>
      <w:autoSpaceDN w:val="0"/>
      <w:adjustRightInd w:val="0"/>
      <w:spacing w:line="240" w:lineRule="auto"/>
    </w:pPr>
    <w:rPr>
      <w:rFonts w:ascii="Courier" w:eastAsia="Times New Roman" w:hAnsi="Courier" w:cs="Courier"/>
      <w:sz w:val="20"/>
      <w:szCs w:val="20"/>
      <w:lang w:val="en-US" w:eastAsia="en-GB"/>
    </w:rPr>
  </w:style>
  <w:style w:type="character" w:customStyle="1" w:styleId="FootnoteTextChar">
    <w:name w:val="Footnote Text Char"/>
    <w:basedOn w:val="DefaultParagraphFont"/>
    <w:link w:val="FootnoteText"/>
    <w:semiHidden/>
    <w:rsid w:val="00085FCB"/>
    <w:rPr>
      <w:rFonts w:ascii="Courier" w:eastAsia="Times New Roman" w:hAnsi="Courier" w:cs="Courier"/>
      <w:sz w:val="20"/>
      <w:szCs w:val="20"/>
      <w:lang w:val="en-US" w:eastAsia="en-GB"/>
    </w:rPr>
  </w:style>
  <w:style w:type="character" w:styleId="Hyperlink">
    <w:name w:val="Hyperlink"/>
    <w:uiPriority w:val="99"/>
    <w:rsid w:val="003B6121"/>
    <w:rPr>
      <w:color w:val="0000FF"/>
      <w:u w:val="single"/>
    </w:rPr>
  </w:style>
  <w:style w:type="paragraph" w:styleId="BalloonText">
    <w:name w:val="Balloon Text"/>
    <w:basedOn w:val="Normal"/>
    <w:link w:val="BalloonTextChar"/>
    <w:uiPriority w:val="99"/>
    <w:semiHidden/>
    <w:unhideWhenUsed/>
    <w:rsid w:val="002103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391"/>
    <w:rPr>
      <w:rFonts w:ascii="Segoe UI" w:hAnsi="Segoe UI" w:cs="Segoe UI"/>
      <w:sz w:val="18"/>
      <w:szCs w:val="18"/>
    </w:rPr>
  </w:style>
  <w:style w:type="character" w:styleId="CommentReference">
    <w:name w:val="annotation reference"/>
    <w:basedOn w:val="DefaultParagraphFont"/>
    <w:uiPriority w:val="99"/>
    <w:semiHidden/>
    <w:unhideWhenUsed/>
    <w:rsid w:val="0056098A"/>
    <w:rPr>
      <w:sz w:val="16"/>
      <w:szCs w:val="16"/>
    </w:rPr>
  </w:style>
  <w:style w:type="paragraph" w:styleId="CommentText">
    <w:name w:val="annotation text"/>
    <w:basedOn w:val="Normal"/>
    <w:link w:val="CommentTextChar"/>
    <w:uiPriority w:val="99"/>
    <w:unhideWhenUsed/>
    <w:rsid w:val="0056098A"/>
    <w:pPr>
      <w:spacing w:line="240" w:lineRule="auto"/>
    </w:pPr>
    <w:rPr>
      <w:sz w:val="20"/>
      <w:szCs w:val="20"/>
    </w:rPr>
  </w:style>
  <w:style w:type="character" w:customStyle="1" w:styleId="CommentTextChar">
    <w:name w:val="Comment Text Char"/>
    <w:basedOn w:val="DefaultParagraphFont"/>
    <w:link w:val="CommentText"/>
    <w:uiPriority w:val="99"/>
    <w:rsid w:val="0056098A"/>
    <w:rPr>
      <w:sz w:val="20"/>
      <w:szCs w:val="20"/>
    </w:rPr>
  </w:style>
  <w:style w:type="paragraph" w:styleId="CommentSubject">
    <w:name w:val="annotation subject"/>
    <w:basedOn w:val="CommentText"/>
    <w:next w:val="CommentText"/>
    <w:link w:val="CommentSubjectChar"/>
    <w:uiPriority w:val="99"/>
    <w:semiHidden/>
    <w:unhideWhenUsed/>
    <w:rsid w:val="0056098A"/>
    <w:rPr>
      <w:b/>
      <w:bCs/>
    </w:rPr>
  </w:style>
  <w:style w:type="character" w:customStyle="1" w:styleId="CommentSubjectChar">
    <w:name w:val="Comment Subject Char"/>
    <w:basedOn w:val="CommentTextChar"/>
    <w:link w:val="CommentSubject"/>
    <w:uiPriority w:val="99"/>
    <w:semiHidden/>
    <w:rsid w:val="0056098A"/>
    <w:rPr>
      <w:b/>
      <w:bCs/>
      <w:sz w:val="20"/>
      <w:szCs w:val="20"/>
    </w:rPr>
  </w:style>
  <w:style w:type="paragraph" w:styleId="Revision">
    <w:name w:val="Revision"/>
    <w:hidden/>
    <w:uiPriority w:val="99"/>
    <w:semiHidden/>
    <w:rsid w:val="006A599A"/>
    <w:pPr>
      <w:spacing w:line="240" w:lineRule="auto"/>
    </w:pPr>
  </w:style>
  <w:style w:type="character" w:styleId="UnresolvedMention">
    <w:name w:val="Unresolved Mention"/>
    <w:basedOn w:val="DefaultParagraphFont"/>
    <w:uiPriority w:val="99"/>
    <w:semiHidden/>
    <w:unhideWhenUsed/>
    <w:rsid w:val="00A7771B"/>
    <w:rPr>
      <w:color w:val="605E5C"/>
      <w:shd w:val="clear" w:color="auto" w:fill="E1DFDD"/>
    </w:rPr>
  </w:style>
  <w:style w:type="paragraph" w:styleId="NormalWeb">
    <w:name w:val="Normal (Web)"/>
    <w:basedOn w:val="Normal"/>
    <w:uiPriority w:val="99"/>
    <w:semiHidden/>
    <w:unhideWhenUsed/>
    <w:rsid w:val="003F7974"/>
    <w:rPr>
      <w:rFonts w:ascii="Times New Roman" w:hAnsi="Times New Roman" w:cs="Times New Roman"/>
      <w:sz w:val="24"/>
      <w:szCs w:val="24"/>
    </w:rPr>
  </w:style>
  <w:style w:type="table" w:styleId="TableGrid">
    <w:name w:val="Table Grid"/>
    <w:basedOn w:val="TableNormal"/>
    <w:uiPriority w:val="39"/>
    <w:rsid w:val="00AE1C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03F4"/>
    <w:rPr>
      <w:b/>
      <w:bCs/>
    </w:rPr>
  </w:style>
  <w:style w:type="paragraph" w:styleId="Header">
    <w:name w:val="header"/>
    <w:basedOn w:val="Normal"/>
    <w:link w:val="HeaderChar"/>
    <w:uiPriority w:val="99"/>
    <w:unhideWhenUsed/>
    <w:rsid w:val="00C91D1A"/>
    <w:pPr>
      <w:tabs>
        <w:tab w:val="center" w:pos="4513"/>
        <w:tab w:val="right" w:pos="9026"/>
      </w:tabs>
      <w:spacing w:line="240" w:lineRule="auto"/>
    </w:pPr>
  </w:style>
  <w:style w:type="character" w:customStyle="1" w:styleId="HeaderChar">
    <w:name w:val="Header Char"/>
    <w:basedOn w:val="DefaultParagraphFont"/>
    <w:link w:val="Header"/>
    <w:uiPriority w:val="99"/>
    <w:rsid w:val="00C91D1A"/>
  </w:style>
  <w:style w:type="character" w:customStyle="1" w:styleId="Heading1Char">
    <w:name w:val="Heading 1 Char"/>
    <w:basedOn w:val="DefaultParagraphFont"/>
    <w:link w:val="Heading1"/>
    <w:uiPriority w:val="9"/>
    <w:rsid w:val="00B80E93"/>
    <w:rPr>
      <w:rFonts w:cs="Arial"/>
      <w:b/>
      <w:bCs/>
      <w:sz w:val="24"/>
      <w:szCs w:val="24"/>
    </w:rPr>
  </w:style>
  <w:style w:type="paragraph" w:styleId="TOCHeading">
    <w:name w:val="TOC Heading"/>
    <w:basedOn w:val="Heading1"/>
    <w:next w:val="Normal"/>
    <w:uiPriority w:val="39"/>
    <w:unhideWhenUsed/>
    <w:qFormat/>
    <w:rsid w:val="00B80E93"/>
    <w:pPr>
      <w:keepNext/>
      <w:keepLines/>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en-GB"/>
    </w:rPr>
  </w:style>
  <w:style w:type="paragraph" w:styleId="TOC1">
    <w:name w:val="toc 1"/>
    <w:basedOn w:val="Normal"/>
    <w:next w:val="Normal"/>
    <w:autoRedefine/>
    <w:uiPriority w:val="39"/>
    <w:unhideWhenUsed/>
    <w:rsid w:val="00B80E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5739">
      <w:bodyDiv w:val="1"/>
      <w:marLeft w:val="0"/>
      <w:marRight w:val="0"/>
      <w:marTop w:val="0"/>
      <w:marBottom w:val="0"/>
      <w:divBdr>
        <w:top w:val="none" w:sz="0" w:space="0" w:color="auto"/>
        <w:left w:val="none" w:sz="0" w:space="0" w:color="auto"/>
        <w:bottom w:val="none" w:sz="0" w:space="0" w:color="auto"/>
        <w:right w:val="none" w:sz="0" w:space="0" w:color="auto"/>
      </w:divBdr>
    </w:div>
    <w:div w:id="2406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olled Document" ma:contentTypeID="0x01010059F222B725E7464A873D3B9857FDBF77001BA54D396A3322449E514CC82B7C3167" ma:contentTypeVersion="4" ma:contentTypeDescription="" ma:contentTypeScope="" ma:versionID="6c8f78bc31208909d6ede6a047128ad6">
  <xsd:schema xmlns:xsd="http://www.w3.org/2001/XMLSchema" xmlns:xs="http://www.w3.org/2001/XMLSchema" xmlns:p="http://schemas.microsoft.com/office/2006/metadata/properties" xmlns:ns2="776c0d8a-3a3c-48ea-9947-a9cf1f34a55f" targetNamespace="http://schemas.microsoft.com/office/2006/metadata/properties" ma:root="true" ma:fieldsID="e1b3f94e29c4405d840a589e443d9410" ns2:_="">
    <xsd:import namespace="776c0d8a-3a3c-48ea-9947-a9cf1f34a55f"/>
    <xsd:element name="properties">
      <xsd:complexType>
        <xsd:sequence>
          <xsd:element name="documentManagement">
            <xsd:complexType>
              <xsd:all>
                <xsd:element ref="ns2:Originator" minOccurs="0"/>
                <xsd:element ref="ns2:Security_x0020_Leve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Originator" ma:index="2" nillable="true" ma:displayName="Originator" ma:list="UserInfo" ma:SharePointGroup="0"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_x0020_Level" ma:index="3" ma:displayName="Security Level" ma:default="Official" ma:description="Security classification for content" ma:format="RadioButtons" ma:indexed="true" ma:internalName="Security_x0020_Level" ma:readOnly="false">
      <xsd:simpleType>
        <xsd:restriction base="dms:Choice">
          <xsd:enumeration value="Official"/>
          <xsd:enumeration value="Official-Sensitive"/>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9e327556-dead-4928-8ae7-00bfd56bf57a" ContentTypeId="0x01010059F222B725E7464A873D3B9857FDBF7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iginator xmlns="776c0d8a-3a3c-48ea-9947-a9cf1f34a55f">
      <UserInfo>
        <DisplayName/>
        <AccountId xsi:nil="true"/>
        <AccountType/>
      </UserInfo>
    </Originator>
    <Security_x0020_Level xmlns="776c0d8a-3a3c-48ea-9947-a9cf1f34a55f">Official</Security_x0020_Level>
    <_dlc_DocId xmlns="776c0d8a-3a3c-48ea-9947-a9cf1f34a55f">IDCO-1400932263-76949</_dlc_DocId>
    <_dlc_DocIdUrl xmlns="776c0d8a-3a3c-48ea-9947-a9cf1f34a55f">
      <Url>https://acasorguk.sharepoint.com/sites/co/_layouts/15/DocIdRedir.aspx?ID=IDCO-1400932263-76949</Url>
      <Description>IDCO-1400932263-76949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8DF7-2B1C-484F-BD1C-2A4B84887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38F60-9239-486E-9082-717FF6B1B9C8}">
  <ds:schemaRefs>
    <ds:schemaRef ds:uri="http://schemas.microsoft.com/sharepoint/events"/>
  </ds:schemaRefs>
</ds:datastoreItem>
</file>

<file path=customXml/itemProps3.xml><?xml version="1.0" encoding="utf-8"?>
<ds:datastoreItem xmlns:ds="http://schemas.openxmlformats.org/officeDocument/2006/customXml" ds:itemID="{EE079664-E447-4AD2-84ED-7947453C4041}">
  <ds:schemaRefs>
    <ds:schemaRef ds:uri="Microsoft.SharePoint.Taxonomy.ContentTypeSync"/>
  </ds:schemaRefs>
</ds:datastoreItem>
</file>

<file path=customXml/itemProps4.xml><?xml version="1.0" encoding="utf-8"?>
<ds:datastoreItem xmlns:ds="http://schemas.openxmlformats.org/officeDocument/2006/customXml" ds:itemID="{07656B93-7B3A-4E31-971D-3DBDEC52C7EF}">
  <ds:schemaRefs>
    <ds:schemaRef ds:uri="http://schemas.microsoft.com/sharepoint/v3/contenttype/forms"/>
  </ds:schemaRefs>
</ds:datastoreItem>
</file>

<file path=customXml/itemProps5.xml><?xml version="1.0" encoding="utf-8"?>
<ds:datastoreItem xmlns:ds="http://schemas.openxmlformats.org/officeDocument/2006/customXml" ds:itemID="{43CD8AC4-18D4-4E00-86A1-6BBCE98E07DD}">
  <ds:schemaRefs>
    <ds:schemaRef ds:uri="http://schemas.microsoft.com/office/2006/documentManagement/types"/>
    <ds:schemaRef ds:uri="http://schemas.openxmlformats.org/package/2006/metadata/core-properties"/>
    <ds:schemaRef ds:uri="http://purl.org/dc/terms/"/>
    <ds:schemaRef ds:uri="http://www.w3.org/XML/1998/namespace"/>
    <ds:schemaRef ds:uri="776c0d8a-3a3c-48ea-9947-a9cf1f34a55f"/>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D32B45DD-62FA-42B5-A0FF-45B9AC94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2312</Words>
  <Characters>11414</Characters>
  <Application>Microsoft Office Word</Application>
  <DocSecurity>0</DocSecurity>
  <Lines>262</Lines>
  <Paragraphs>99</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Rafiq</dc:creator>
  <cp:keywords/>
  <cp:lastModifiedBy>Adam Goldstein</cp:lastModifiedBy>
  <cp:revision>11</cp:revision>
  <cp:lastPrinted>2017-04-07T12:49:00Z</cp:lastPrinted>
  <dcterms:created xsi:type="dcterms:W3CDTF">2026-01-14T00:01:00Z</dcterms:created>
  <dcterms:modified xsi:type="dcterms:W3CDTF">2026-01-14T15:39:00Z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0x01010059F222B725E7464A873D3B9857FDBF77001BA54D396A3322449E514CC82B7C3167</vt:lpwstr>
  </property>
  <property fmtid="{D5CDD505-2E9C-101B-9397-08002B2CF9AE}" pid="3" name="_dlc_DocIdItemGuid">
    <vt:lpwstr>31e98928-a843-4ca6-8422-1311e3667926</vt:lpwstr>
  </property>
  <property fmtid="{D5CDD505-2E9C-101B-9397-08002B2CF9AE}" pid="4" name="SharedWithUsers">
    <vt:lpwstr>35;#David Taylor [Cert Office];#41;#Mukid Ahmed;#45;#Shanta Halai</vt:lpwstr>
  </property>
  <property fmtid="{D5CDD505-2E9C-101B-9397-08002B2CF9AE}" pid="5" name="MSIP_Label_c1c05e37-788c-4c59-b50e-5c98323c0a70_Enabled">
    <vt:lpwstr>true</vt:lpwstr>
  </property>
  <property fmtid="{D5CDD505-2E9C-101B-9397-08002B2CF9AE}" pid="6" name="MSIP_Label_c1c05e37-788c-4c59-b50e-5c98323c0a70_SetDate">
    <vt:lpwstr>2026-01-13T12:47:36Z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36570b88-da83-4e30-8836-3898c6a37e71</vt:lpwstr>
  </property>
  <property fmtid="{D5CDD505-2E9C-101B-9397-08002B2CF9AE}" pid="11" name="MSIP_Label_c1c05e37-788c-4c59-b50e-5c98323c0a70_ContentBits">
    <vt:lpwstr>0</vt:lpwstr>
  </property>
  <property fmtid="{D5CDD505-2E9C-101B-9397-08002B2CF9AE}" pid="12" name="MSIP_Label_c1c05e37-788c-4c59-b50e-5c98323c0a70_Tag">
    <vt:lpwstr>10, 3, 0, 1</vt:lpwstr>
  </property>
</Properties>
</file>