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4E2A" w14:textId="77777777" w:rsidR="00336DBA" w:rsidRPr="00985933" w:rsidRDefault="00336DBA" w:rsidP="00985933">
      <w:r w:rsidRPr="00985933">
        <w:rPr>
          <w:noProof/>
        </w:rPr>
        <w:drawing>
          <wp:inline distT="0" distB="0" distL="0" distR="0" wp14:anchorId="79713BE0" wp14:editId="25C84185">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14:paraId="5FBA76D3" w14:textId="77777777" w:rsidR="00336DBA" w:rsidRPr="00985933" w:rsidRDefault="00336DBA" w:rsidP="00985933"/>
    <w:tbl>
      <w:tblPr>
        <w:tblW w:w="0" w:type="auto"/>
        <w:tblBorders>
          <w:top w:val="single" w:sz="4" w:space="0" w:color="auto"/>
          <w:bottom w:val="single" w:sz="4" w:space="0" w:color="auto"/>
        </w:tblBorders>
        <w:tblLayout w:type="fixed"/>
        <w:tblLook w:val="0000" w:firstRow="0" w:lastRow="0" w:firstColumn="0" w:lastColumn="0" w:noHBand="0" w:noVBand="0"/>
      </w:tblPr>
      <w:tblGrid>
        <w:gridCol w:w="9356"/>
      </w:tblGrid>
      <w:tr w:rsidR="00336DBA" w:rsidRPr="00985933" w14:paraId="731A14BB" w14:textId="77777777" w:rsidTr="00214CD4">
        <w:trPr>
          <w:cantSplit/>
          <w:trHeight w:val="23"/>
        </w:trPr>
        <w:tc>
          <w:tcPr>
            <w:tcW w:w="9356" w:type="dxa"/>
          </w:tcPr>
          <w:p w14:paraId="131B079F" w14:textId="77777777" w:rsidR="00336DBA" w:rsidRDefault="00336DBA" w:rsidP="00985933">
            <w:pPr>
              <w:spacing w:before="120"/>
              <w:ind w:left="-108" w:right="34"/>
              <w:rPr>
                <w:rFonts w:cs="Arial"/>
                <w:b/>
                <w:color w:val="000000"/>
                <w:sz w:val="40"/>
                <w:szCs w:val="40"/>
              </w:rPr>
            </w:pPr>
            <w:r w:rsidRPr="002E2687">
              <w:rPr>
                <w:rFonts w:cs="Arial"/>
                <w:b/>
                <w:color w:val="000000"/>
                <w:sz w:val="40"/>
                <w:szCs w:val="40"/>
              </w:rPr>
              <w:t>Appeal Decision</w:t>
            </w:r>
          </w:p>
          <w:p w14:paraId="0F6D6721" w14:textId="0C0A94CC" w:rsidR="00C537A0" w:rsidRPr="00985933" w:rsidRDefault="00C537A0" w:rsidP="00985933">
            <w:pPr>
              <w:spacing w:before="120"/>
              <w:ind w:left="-108" w:right="34"/>
              <w:rPr>
                <w:b/>
                <w:color w:val="000000"/>
                <w:sz w:val="40"/>
                <w:szCs w:val="40"/>
              </w:rPr>
            </w:pPr>
            <w:r>
              <w:rPr>
                <w:color w:val="000000"/>
                <w:szCs w:val="22"/>
              </w:rPr>
              <w:t>On Papers on file.</w:t>
            </w:r>
          </w:p>
        </w:tc>
      </w:tr>
      <w:tr w:rsidR="00336DBA" w:rsidRPr="00985933" w14:paraId="1CE9E927" w14:textId="77777777" w:rsidTr="00214CD4">
        <w:trPr>
          <w:cantSplit/>
          <w:trHeight w:val="23"/>
        </w:trPr>
        <w:tc>
          <w:tcPr>
            <w:tcW w:w="9356" w:type="dxa"/>
          </w:tcPr>
          <w:p w14:paraId="4A9A4F88" w14:textId="476E7F40" w:rsidR="00336DBA" w:rsidRPr="004A61B1" w:rsidRDefault="00C537A0" w:rsidP="00985933">
            <w:pPr>
              <w:spacing w:before="180"/>
              <w:ind w:left="-108" w:right="34"/>
              <w:rPr>
                <w:rFonts w:cs="Arial"/>
                <w:b/>
                <w:color w:val="000000"/>
                <w:szCs w:val="24"/>
              </w:rPr>
            </w:pPr>
            <w:r>
              <w:rPr>
                <w:b/>
                <w:color w:val="000000"/>
                <w:szCs w:val="22"/>
              </w:rPr>
              <w:t>by John Dowsett MA DipURP DipUD MRTPI</w:t>
            </w:r>
          </w:p>
        </w:tc>
      </w:tr>
      <w:tr w:rsidR="00336DBA" w:rsidRPr="00985933" w14:paraId="6FB1FEC5" w14:textId="77777777" w:rsidTr="00214CD4">
        <w:trPr>
          <w:cantSplit/>
          <w:trHeight w:val="23"/>
        </w:trPr>
        <w:tc>
          <w:tcPr>
            <w:tcW w:w="9356" w:type="dxa"/>
          </w:tcPr>
          <w:p w14:paraId="54A2415A" w14:textId="2A5AE4C8" w:rsidR="00336DBA" w:rsidRPr="002E2687" w:rsidRDefault="0004723C" w:rsidP="00985933">
            <w:pPr>
              <w:spacing w:before="120"/>
              <w:ind w:left="-108" w:right="34"/>
              <w:rPr>
                <w:rFonts w:cs="Arial"/>
                <w:b/>
                <w:color w:val="000000"/>
                <w:sz w:val="16"/>
                <w:szCs w:val="16"/>
              </w:rPr>
            </w:pPr>
            <w:r w:rsidRPr="0004723C">
              <w:rPr>
                <w:rFonts w:cs="Arial"/>
                <w:b/>
                <w:color w:val="000000"/>
                <w:sz w:val="16"/>
                <w:szCs w:val="16"/>
              </w:rPr>
              <w:t>an Inspector on direction of the Secretary of State for Environment, Food</w:t>
            </w:r>
            <w:r>
              <w:rPr>
                <w:rFonts w:cs="Arial"/>
                <w:b/>
                <w:color w:val="000000"/>
                <w:sz w:val="16"/>
                <w:szCs w:val="16"/>
              </w:rPr>
              <w:t>,</w:t>
            </w:r>
            <w:r w:rsidRPr="0004723C">
              <w:rPr>
                <w:rFonts w:cs="Arial"/>
                <w:b/>
                <w:color w:val="000000"/>
                <w:sz w:val="16"/>
                <w:szCs w:val="16"/>
              </w:rPr>
              <w:t xml:space="preserve"> and Rural Affairs</w:t>
            </w:r>
          </w:p>
        </w:tc>
      </w:tr>
      <w:tr w:rsidR="00336DBA" w:rsidRPr="00985933" w14:paraId="66D1F40A" w14:textId="77777777" w:rsidTr="00214CD4">
        <w:trPr>
          <w:cantSplit/>
          <w:trHeight w:val="23"/>
        </w:trPr>
        <w:tc>
          <w:tcPr>
            <w:tcW w:w="9356" w:type="dxa"/>
          </w:tcPr>
          <w:p w14:paraId="1A87CD0C" w14:textId="6B9C8DAA" w:rsidR="00336DBA" w:rsidRPr="002E2687" w:rsidRDefault="00336DBA" w:rsidP="00985933">
            <w:pPr>
              <w:spacing w:before="120"/>
              <w:ind w:left="-108" w:right="176"/>
              <w:rPr>
                <w:rFonts w:cs="Arial"/>
                <w:b/>
                <w:color w:val="000000"/>
                <w:sz w:val="16"/>
                <w:szCs w:val="16"/>
              </w:rPr>
            </w:pPr>
            <w:r w:rsidRPr="002E2687">
              <w:rPr>
                <w:rFonts w:cs="Arial"/>
                <w:b/>
                <w:color w:val="000000"/>
                <w:sz w:val="16"/>
                <w:szCs w:val="16"/>
              </w:rPr>
              <w:t xml:space="preserve">Decision date: </w:t>
            </w:r>
            <w:r w:rsidR="00CF01E0">
              <w:rPr>
                <w:rFonts w:cs="Arial"/>
                <w:b/>
                <w:color w:val="000000"/>
                <w:sz w:val="16"/>
                <w:szCs w:val="16"/>
              </w:rPr>
              <w:t>21 November 2025</w:t>
            </w:r>
          </w:p>
        </w:tc>
      </w:tr>
    </w:tbl>
    <w:p w14:paraId="1F8C03B1" w14:textId="7797F88C" w:rsidR="00336DBA" w:rsidRPr="004A61B1" w:rsidRDefault="00336DBA" w:rsidP="00985933">
      <w:pPr>
        <w:rPr>
          <w:rFonts w:cs="Arial"/>
          <w:b/>
          <w:bCs/>
          <w:szCs w:val="24"/>
        </w:rPr>
      </w:pPr>
      <w:r w:rsidRPr="00985933">
        <w:rPr>
          <w:b/>
          <w:bCs/>
        </w:rPr>
        <w:br/>
      </w:r>
      <w:r w:rsidR="00C537A0" w:rsidRPr="00C537A0">
        <w:rPr>
          <w:rFonts w:cs="Arial"/>
          <w:b/>
          <w:bCs/>
          <w:szCs w:val="24"/>
        </w:rPr>
        <w:t>Appeal Ref: ROW/</w:t>
      </w:r>
      <w:r w:rsidR="00C537A0">
        <w:rPr>
          <w:rFonts w:cs="Arial"/>
          <w:b/>
          <w:bCs/>
          <w:szCs w:val="24"/>
        </w:rPr>
        <w:t>3352367</w:t>
      </w:r>
    </w:p>
    <w:p w14:paraId="58874E70" w14:textId="77777777" w:rsidR="00C537A0" w:rsidRPr="00C537A0" w:rsidRDefault="00C537A0" w:rsidP="00C537A0">
      <w:pPr>
        <w:rPr>
          <w:rFonts w:cs="Arial"/>
          <w:b/>
          <w:bCs/>
          <w:szCs w:val="24"/>
        </w:rPr>
      </w:pPr>
      <w:r w:rsidRPr="00C537A0">
        <w:rPr>
          <w:rFonts w:cs="Arial"/>
          <w:b/>
          <w:bCs/>
          <w:szCs w:val="24"/>
        </w:rPr>
        <w:t>Upgrade Public Footpath 17, Warslow &amp; Elkstones to a Public Bridleway and</w:t>
      </w:r>
    </w:p>
    <w:p w14:paraId="5D59E446" w14:textId="7AA3AA96" w:rsidR="00C537A0" w:rsidRDefault="00C537A0" w:rsidP="00C537A0">
      <w:pPr>
        <w:rPr>
          <w:rFonts w:cs="Arial"/>
          <w:b/>
          <w:bCs/>
          <w:szCs w:val="24"/>
        </w:rPr>
      </w:pPr>
      <w:r w:rsidRPr="00C537A0">
        <w:rPr>
          <w:rFonts w:cs="Arial"/>
          <w:b/>
          <w:bCs/>
          <w:szCs w:val="24"/>
        </w:rPr>
        <w:t xml:space="preserve">the </w:t>
      </w:r>
      <w:r w:rsidR="00252435">
        <w:rPr>
          <w:rFonts w:cs="Arial"/>
          <w:b/>
          <w:bCs/>
          <w:szCs w:val="24"/>
        </w:rPr>
        <w:t>a</w:t>
      </w:r>
      <w:r w:rsidRPr="00C537A0">
        <w:rPr>
          <w:rFonts w:cs="Arial"/>
          <w:b/>
          <w:bCs/>
          <w:szCs w:val="24"/>
        </w:rPr>
        <w:t xml:space="preserve">ddition of a Public Bridleway </w:t>
      </w:r>
      <w:r>
        <w:rPr>
          <w:rFonts w:cs="Arial"/>
          <w:b/>
          <w:bCs/>
          <w:szCs w:val="24"/>
        </w:rPr>
        <w:t>e</w:t>
      </w:r>
      <w:r w:rsidRPr="00C537A0">
        <w:rPr>
          <w:rFonts w:cs="Arial"/>
          <w:b/>
          <w:bCs/>
          <w:szCs w:val="24"/>
        </w:rPr>
        <w:t xml:space="preserve">ither </w:t>
      </w:r>
      <w:r>
        <w:rPr>
          <w:rFonts w:cs="Arial"/>
          <w:b/>
          <w:bCs/>
          <w:szCs w:val="24"/>
        </w:rPr>
        <w:t>s</w:t>
      </w:r>
      <w:r w:rsidRPr="00C537A0">
        <w:rPr>
          <w:rFonts w:cs="Arial"/>
          <w:b/>
          <w:bCs/>
          <w:szCs w:val="24"/>
        </w:rPr>
        <w:t xml:space="preserve">ide from </w:t>
      </w:r>
      <w:proofErr w:type="spellStart"/>
      <w:r w:rsidRPr="00C537A0">
        <w:rPr>
          <w:rFonts w:cs="Arial"/>
          <w:b/>
          <w:bCs/>
          <w:szCs w:val="24"/>
        </w:rPr>
        <w:t>Stoneyfold</w:t>
      </w:r>
      <w:proofErr w:type="spellEnd"/>
      <w:r w:rsidRPr="00C537A0">
        <w:rPr>
          <w:rFonts w:cs="Arial"/>
          <w:b/>
          <w:bCs/>
          <w:szCs w:val="24"/>
        </w:rPr>
        <w:t xml:space="preserve"> Lane.</w:t>
      </w:r>
    </w:p>
    <w:p w14:paraId="604DF527" w14:textId="77777777" w:rsidR="00563FA4" w:rsidRPr="00563FA4" w:rsidRDefault="00563FA4" w:rsidP="00C537A0">
      <w:pPr>
        <w:rPr>
          <w:rFonts w:cs="Arial"/>
          <w:b/>
          <w:bCs/>
          <w:sz w:val="6"/>
          <w:szCs w:val="6"/>
        </w:rPr>
      </w:pPr>
    </w:p>
    <w:p w14:paraId="2D7D5FA1" w14:textId="794EF4EB" w:rsidR="00C537A0" w:rsidRPr="008E38F0" w:rsidRDefault="00C537A0" w:rsidP="00C537A0">
      <w:pPr>
        <w:pStyle w:val="ListParagraph"/>
        <w:numPr>
          <w:ilvl w:val="0"/>
          <w:numId w:val="22"/>
        </w:numPr>
        <w:tabs>
          <w:tab w:val="num" w:pos="0"/>
          <w:tab w:val="left" w:pos="851"/>
        </w:tabs>
        <w:ind w:left="360"/>
        <w:rPr>
          <w:rFonts w:cs="Arial"/>
          <w:color w:val="000000"/>
          <w:sz w:val="20"/>
        </w:rPr>
      </w:pPr>
      <w:r w:rsidRPr="008E38F0">
        <w:rPr>
          <w:rFonts w:cs="Arial"/>
          <w:color w:val="000000"/>
          <w:sz w:val="20"/>
        </w:rPr>
        <w:t xml:space="preserve">The appeal </w:t>
      </w:r>
      <w:proofErr w:type="gramStart"/>
      <w:r w:rsidRPr="008E38F0">
        <w:rPr>
          <w:rFonts w:cs="Arial"/>
          <w:color w:val="000000"/>
          <w:sz w:val="20"/>
        </w:rPr>
        <w:t>is made</w:t>
      </w:r>
      <w:proofErr w:type="gramEnd"/>
      <w:r w:rsidRPr="008E38F0">
        <w:rPr>
          <w:rFonts w:cs="Arial"/>
          <w:color w:val="000000"/>
          <w:sz w:val="20"/>
        </w:rPr>
        <w:t xml:space="preserve"> under Section 53(5) and paragraph 4(1) of Schedule 14 to the Wildlife and Countryside Act 1981 (the 1981 Act) against the decision of Staffordshire County Council not to make an Order under Section 53(2) of that Act. </w:t>
      </w:r>
    </w:p>
    <w:p w14:paraId="3DCA7AA1" w14:textId="6B9A23EF" w:rsidR="00C537A0" w:rsidRPr="008E38F0" w:rsidRDefault="00C537A0" w:rsidP="00C537A0">
      <w:pPr>
        <w:pStyle w:val="ListParagraph"/>
        <w:numPr>
          <w:ilvl w:val="0"/>
          <w:numId w:val="22"/>
        </w:numPr>
        <w:tabs>
          <w:tab w:val="num" w:pos="0"/>
          <w:tab w:val="left" w:pos="851"/>
        </w:tabs>
        <w:ind w:left="360"/>
        <w:rPr>
          <w:rFonts w:cs="Arial"/>
          <w:color w:val="000000"/>
          <w:sz w:val="20"/>
        </w:rPr>
      </w:pPr>
      <w:r w:rsidRPr="008E38F0">
        <w:rPr>
          <w:rFonts w:cs="Arial"/>
          <w:color w:val="000000"/>
          <w:sz w:val="20"/>
        </w:rPr>
        <w:t xml:space="preserve">The application </w:t>
      </w:r>
      <w:proofErr w:type="gramStart"/>
      <w:r w:rsidRPr="008E38F0">
        <w:rPr>
          <w:rFonts w:cs="Arial"/>
          <w:color w:val="000000"/>
          <w:sz w:val="20"/>
        </w:rPr>
        <w:t>was made</w:t>
      </w:r>
      <w:proofErr w:type="gramEnd"/>
      <w:r w:rsidRPr="008E38F0">
        <w:rPr>
          <w:rFonts w:cs="Arial"/>
          <w:color w:val="000000"/>
          <w:sz w:val="20"/>
        </w:rPr>
        <w:t xml:space="preserve"> on </w:t>
      </w:r>
      <w:r w:rsidR="00CB18C6" w:rsidRPr="008E38F0">
        <w:rPr>
          <w:rFonts w:cs="Arial"/>
          <w:color w:val="000000"/>
          <w:sz w:val="20"/>
        </w:rPr>
        <w:t>25 October 2018</w:t>
      </w:r>
      <w:r w:rsidRPr="008E38F0">
        <w:rPr>
          <w:rFonts w:cs="Arial"/>
          <w:color w:val="000000"/>
          <w:sz w:val="20"/>
        </w:rPr>
        <w:t xml:space="preserve"> and </w:t>
      </w:r>
      <w:proofErr w:type="gramStart"/>
      <w:r w:rsidRPr="008E38F0">
        <w:rPr>
          <w:rFonts w:cs="Arial"/>
          <w:color w:val="000000"/>
          <w:sz w:val="20"/>
        </w:rPr>
        <w:t>was refused</w:t>
      </w:r>
      <w:proofErr w:type="gramEnd"/>
      <w:r w:rsidRPr="008E38F0">
        <w:rPr>
          <w:rFonts w:cs="Arial"/>
          <w:color w:val="000000"/>
          <w:sz w:val="20"/>
        </w:rPr>
        <w:t xml:space="preserve"> by Staffordshire County Council on </w:t>
      </w:r>
      <w:r w:rsidR="00CB18C6" w:rsidRPr="008E38F0">
        <w:rPr>
          <w:rFonts w:cs="Arial"/>
          <w:color w:val="000000"/>
          <w:sz w:val="20"/>
        </w:rPr>
        <w:t>1</w:t>
      </w:r>
      <w:r w:rsidR="007057E2" w:rsidRPr="008E38F0">
        <w:rPr>
          <w:rFonts w:cs="Arial"/>
          <w:color w:val="000000"/>
          <w:sz w:val="20"/>
        </w:rPr>
        <w:t>6</w:t>
      </w:r>
      <w:r w:rsidR="00CB18C6" w:rsidRPr="008E38F0">
        <w:rPr>
          <w:rFonts w:cs="Arial"/>
          <w:color w:val="000000"/>
          <w:sz w:val="20"/>
        </w:rPr>
        <w:t xml:space="preserve"> September 2024</w:t>
      </w:r>
      <w:r w:rsidRPr="008E38F0">
        <w:rPr>
          <w:rFonts w:cs="Arial"/>
          <w:color w:val="000000"/>
          <w:sz w:val="20"/>
        </w:rPr>
        <w:t xml:space="preserve">. </w:t>
      </w:r>
    </w:p>
    <w:p w14:paraId="1BCF55D9" w14:textId="10DB2BC1" w:rsidR="00C537A0" w:rsidRDefault="00C537A0" w:rsidP="00C537A0">
      <w:pPr>
        <w:pStyle w:val="ListParagraph"/>
        <w:numPr>
          <w:ilvl w:val="0"/>
          <w:numId w:val="22"/>
        </w:numPr>
        <w:tabs>
          <w:tab w:val="num" w:pos="0"/>
          <w:tab w:val="left" w:pos="851"/>
        </w:tabs>
        <w:ind w:left="360"/>
        <w:rPr>
          <w:rFonts w:cs="Arial"/>
          <w:color w:val="000000"/>
          <w:sz w:val="20"/>
        </w:rPr>
      </w:pPr>
      <w:r w:rsidRPr="008E38F0">
        <w:rPr>
          <w:rFonts w:cs="Arial"/>
          <w:color w:val="000000"/>
          <w:sz w:val="20"/>
        </w:rPr>
        <w:t xml:space="preserve">The Appellant claims that </w:t>
      </w:r>
      <w:r w:rsidR="00CB18C6" w:rsidRPr="008E38F0">
        <w:rPr>
          <w:rFonts w:cs="Arial"/>
          <w:color w:val="000000"/>
          <w:sz w:val="20"/>
        </w:rPr>
        <w:t xml:space="preserve">part of the route of Public Footpath 17 should be upgraded to a Public Bridleway and that </w:t>
      </w:r>
      <w:r w:rsidR="00CD7E52" w:rsidRPr="008E38F0">
        <w:rPr>
          <w:rFonts w:cs="Arial"/>
          <w:color w:val="000000"/>
          <w:sz w:val="20"/>
        </w:rPr>
        <w:t>a</w:t>
      </w:r>
      <w:r w:rsidR="00CB18C6" w:rsidRPr="008E38F0">
        <w:rPr>
          <w:rFonts w:cs="Arial"/>
          <w:color w:val="000000"/>
          <w:sz w:val="20"/>
        </w:rPr>
        <w:t xml:space="preserve"> Public Bridleway should be added to </w:t>
      </w:r>
      <w:r w:rsidR="00CD7E52" w:rsidRPr="008E38F0">
        <w:rPr>
          <w:rFonts w:cs="Arial"/>
          <w:color w:val="000000"/>
          <w:sz w:val="20"/>
        </w:rPr>
        <w:t xml:space="preserve">the Definitive Map and Statement at </w:t>
      </w:r>
      <w:r w:rsidR="00CB18C6" w:rsidRPr="008E38F0">
        <w:rPr>
          <w:rFonts w:cs="Arial"/>
          <w:color w:val="000000"/>
          <w:sz w:val="20"/>
        </w:rPr>
        <w:t xml:space="preserve">each end of that section, </w:t>
      </w:r>
      <w:r w:rsidR="00CD7E52" w:rsidRPr="008E38F0">
        <w:rPr>
          <w:rFonts w:cs="Arial"/>
          <w:color w:val="000000"/>
          <w:sz w:val="20"/>
        </w:rPr>
        <w:t xml:space="preserve">with one part </w:t>
      </w:r>
      <w:r w:rsidR="00CB18C6" w:rsidRPr="008E38F0">
        <w:rPr>
          <w:rFonts w:cs="Arial"/>
          <w:color w:val="000000"/>
          <w:sz w:val="20"/>
        </w:rPr>
        <w:t xml:space="preserve">running generally </w:t>
      </w:r>
      <w:r w:rsidR="00CD7E52" w:rsidRPr="008E38F0">
        <w:rPr>
          <w:rFonts w:cs="Arial"/>
          <w:color w:val="000000"/>
          <w:sz w:val="20"/>
        </w:rPr>
        <w:t>east</w:t>
      </w:r>
      <w:r w:rsidR="00CB18C6" w:rsidRPr="008E38F0">
        <w:rPr>
          <w:rFonts w:cs="Arial"/>
          <w:color w:val="000000"/>
          <w:sz w:val="20"/>
        </w:rPr>
        <w:t xml:space="preserve"> </w:t>
      </w:r>
      <w:r w:rsidR="00CD7E52" w:rsidRPr="008E38F0">
        <w:rPr>
          <w:rFonts w:cs="Arial"/>
          <w:color w:val="000000"/>
          <w:sz w:val="20"/>
        </w:rPr>
        <w:t>to join</w:t>
      </w:r>
      <w:r w:rsidR="00CB18C6" w:rsidRPr="008E38F0">
        <w:rPr>
          <w:rFonts w:cs="Arial"/>
          <w:color w:val="000000"/>
          <w:sz w:val="20"/>
        </w:rPr>
        <w:t xml:space="preserve"> </w:t>
      </w:r>
      <w:r w:rsidR="001B5146" w:rsidRPr="008E38F0">
        <w:rPr>
          <w:rFonts w:cs="Arial"/>
          <w:color w:val="000000"/>
          <w:sz w:val="20"/>
        </w:rPr>
        <w:t>Stoneyfold Lane</w:t>
      </w:r>
      <w:r w:rsidR="00CB18C6" w:rsidRPr="008E38F0">
        <w:rPr>
          <w:rFonts w:cs="Arial"/>
          <w:color w:val="000000"/>
          <w:sz w:val="20"/>
        </w:rPr>
        <w:t xml:space="preserve"> and </w:t>
      </w:r>
      <w:r w:rsidR="00CD7E52" w:rsidRPr="008E38F0">
        <w:rPr>
          <w:rFonts w:cs="Arial"/>
          <w:color w:val="000000"/>
          <w:sz w:val="20"/>
        </w:rPr>
        <w:t xml:space="preserve">the other </w:t>
      </w:r>
      <w:r w:rsidR="00CB18C6" w:rsidRPr="008E38F0">
        <w:rPr>
          <w:rFonts w:cs="Arial"/>
          <w:color w:val="000000"/>
          <w:sz w:val="20"/>
        </w:rPr>
        <w:t xml:space="preserve">generally </w:t>
      </w:r>
      <w:r w:rsidR="00CD7E52" w:rsidRPr="008E38F0">
        <w:rPr>
          <w:rFonts w:cs="Arial"/>
          <w:color w:val="000000"/>
          <w:sz w:val="20"/>
        </w:rPr>
        <w:t>south to join</w:t>
      </w:r>
      <w:r w:rsidR="00CB18C6" w:rsidRPr="008E38F0">
        <w:rPr>
          <w:rFonts w:cs="Arial"/>
          <w:color w:val="000000"/>
          <w:sz w:val="20"/>
        </w:rPr>
        <w:t xml:space="preserve"> </w:t>
      </w:r>
      <w:r w:rsidR="001B5146" w:rsidRPr="008E38F0">
        <w:rPr>
          <w:rFonts w:cs="Arial"/>
          <w:color w:val="000000"/>
          <w:sz w:val="20"/>
        </w:rPr>
        <w:t xml:space="preserve">the </w:t>
      </w:r>
      <w:r w:rsidRPr="008E38F0">
        <w:rPr>
          <w:rFonts w:cs="Arial"/>
          <w:color w:val="000000"/>
          <w:sz w:val="20"/>
        </w:rPr>
        <w:t xml:space="preserve">road running </w:t>
      </w:r>
      <w:r w:rsidR="001B5146" w:rsidRPr="008E38F0">
        <w:rPr>
          <w:rFonts w:cs="Arial"/>
          <w:color w:val="000000"/>
          <w:sz w:val="20"/>
        </w:rPr>
        <w:t xml:space="preserve">between Lower Elkstone and Upper Elkstone </w:t>
      </w:r>
      <w:r w:rsidR="00CD7E52" w:rsidRPr="008E38F0">
        <w:rPr>
          <w:rFonts w:cs="Arial"/>
          <w:color w:val="000000"/>
          <w:sz w:val="20"/>
        </w:rPr>
        <w:t>adjacent to</w:t>
      </w:r>
      <w:r w:rsidR="001B5146" w:rsidRPr="008E38F0">
        <w:rPr>
          <w:rFonts w:cs="Arial"/>
          <w:color w:val="000000"/>
          <w:sz w:val="20"/>
        </w:rPr>
        <w:t xml:space="preserve"> Town Head Farm</w:t>
      </w:r>
      <w:r w:rsidR="00CD7E52" w:rsidRPr="008E38F0">
        <w:rPr>
          <w:rFonts w:cs="Arial"/>
          <w:color w:val="000000"/>
          <w:sz w:val="20"/>
        </w:rPr>
        <w:t>.</w:t>
      </w:r>
    </w:p>
    <w:p w14:paraId="6F00850B" w14:textId="77777777" w:rsidR="00563FA4" w:rsidRPr="00563FA4" w:rsidRDefault="00563FA4" w:rsidP="00563FA4">
      <w:pPr>
        <w:pStyle w:val="ListParagraph"/>
        <w:tabs>
          <w:tab w:val="left" w:pos="851"/>
        </w:tabs>
        <w:ind w:left="360"/>
        <w:rPr>
          <w:rFonts w:cs="Arial"/>
          <w:color w:val="000000"/>
          <w:sz w:val="12"/>
          <w:szCs w:val="12"/>
        </w:rPr>
      </w:pPr>
    </w:p>
    <w:p w14:paraId="0AD75114" w14:textId="7C1D13C2" w:rsidR="00C537A0" w:rsidRPr="008E38F0" w:rsidRDefault="00C537A0" w:rsidP="00C537A0">
      <w:pPr>
        <w:rPr>
          <w:rFonts w:cs="Arial"/>
          <w:b/>
          <w:bCs/>
          <w:szCs w:val="24"/>
        </w:rPr>
      </w:pPr>
      <w:r w:rsidRPr="008E38F0">
        <w:rPr>
          <w:rFonts w:cs="Arial"/>
          <w:b/>
          <w:bCs/>
          <w:szCs w:val="24"/>
        </w:rPr>
        <w:t xml:space="preserve">Summary of decision:  The appeal </w:t>
      </w:r>
      <w:proofErr w:type="gramStart"/>
      <w:r w:rsidRPr="008E38F0">
        <w:rPr>
          <w:rFonts w:cs="Arial"/>
          <w:b/>
          <w:bCs/>
          <w:szCs w:val="24"/>
        </w:rPr>
        <w:t>is dismissed</w:t>
      </w:r>
      <w:proofErr w:type="gramEnd"/>
      <w:r w:rsidRPr="008E38F0">
        <w:rPr>
          <w:rFonts w:cs="Arial"/>
          <w:b/>
          <w:bCs/>
          <w:szCs w:val="24"/>
        </w:rPr>
        <w:t>.</w:t>
      </w:r>
    </w:p>
    <w:tbl>
      <w:tblPr>
        <w:tblW w:w="5024" w:type="pct"/>
        <w:tblBorders>
          <w:top w:val="single" w:sz="4" w:space="0" w:color="auto"/>
        </w:tblBorders>
        <w:tblLayout w:type="fixed"/>
        <w:tblCellMar>
          <w:left w:w="0" w:type="dxa"/>
          <w:right w:w="0" w:type="dxa"/>
        </w:tblCellMar>
        <w:tblLook w:val="04A0" w:firstRow="1" w:lastRow="0" w:firstColumn="1" w:lastColumn="0" w:noHBand="0" w:noVBand="1"/>
      </w:tblPr>
      <w:tblGrid>
        <w:gridCol w:w="9349"/>
      </w:tblGrid>
      <w:tr w:rsidR="00336DBA" w:rsidRPr="00985933" w14:paraId="7A68B7CA" w14:textId="77777777" w:rsidTr="00704B39">
        <w:tc>
          <w:tcPr>
            <w:tcW w:w="9364" w:type="dxa"/>
            <w:vAlign w:val="center"/>
            <w:hideMark/>
          </w:tcPr>
          <w:p w14:paraId="2FFC3ACE" w14:textId="77777777" w:rsidR="00336DBA" w:rsidRPr="00985933" w:rsidRDefault="00336DBA" w:rsidP="00985933">
            <w:bookmarkStart w:id="0" w:name="bmk_Decisions"/>
            <w:bookmarkStart w:id="1" w:name="bmk_Conditions"/>
          </w:p>
        </w:tc>
      </w:tr>
    </w:tbl>
    <w:bookmarkEnd w:id="0"/>
    <w:bookmarkEnd w:id="1"/>
    <w:p w14:paraId="020E25A1" w14:textId="77777777" w:rsidR="00336DBA" w:rsidRDefault="00336DBA" w:rsidP="00F67D35">
      <w:pPr>
        <w:pStyle w:val="Heading6blackfont"/>
        <w:rPr>
          <w:rFonts w:cs="Arial"/>
          <w:szCs w:val="24"/>
        </w:rPr>
      </w:pPr>
      <w:r w:rsidRPr="004A61B1">
        <w:rPr>
          <w:rFonts w:cs="Arial"/>
          <w:szCs w:val="24"/>
        </w:rPr>
        <w:t>Preliminary Matters</w:t>
      </w:r>
    </w:p>
    <w:p w14:paraId="17654559" w14:textId="398DF485" w:rsidR="00E75CCE" w:rsidRDefault="00E75CCE" w:rsidP="00CD7E52">
      <w:pPr>
        <w:pStyle w:val="Style1"/>
      </w:pPr>
      <w:proofErr w:type="gramStart"/>
      <w:r w:rsidRPr="00E75CCE">
        <w:t>I have been directed by the Secretary of State for Environment, Food and Rural Affairs</w:t>
      </w:r>
      <w:proofErr w:type="gramEnd"/>
      <w:r w:rsidRPr="00E75CCE">
        <w:t xml:space="preserve"> to determine this appeal under Section 53(5) and Paragraph 4(1) of Schedule 14 of the 1981 Act.</w:t>
      </w:r>
    </w:p>
    <w:p w14:paraId="07D81E27" w14:textId="13895A98" w:rsidR="00CD7E52" w:rsidRPr="00CD7E52" w:rsidRDefault="00CD7E52" w:rsidP="00CD7E52">
      <w:pPr>
        <w:pStyle w:val="Style1"/>
      </w:pPr>
      <w:r w:rsidRPr="00CD7E52">
        <w:t>I have not visited the site, but I am satisfied that I can make my decision without the need to do so.</w:t>
      </w:r>
    </w:p>
    <w:p w14:paraId="1D13E495" w14:textId="0668D2BB" w:rsidR="00CD7E52" w:rsidRPr="00CD7E52" w:rsidRDefault="00CD7E52" w:rsidP="00CD7E52">
      <w:pPr>
        <w:pStyle w:val="Style1"/>
      </w:pPr>
      <w:r w:rsidRPr="00CD7E52">
        <w:t xml:space="preserve">The appellant, </w:t>
      </w:r>
      <w:r>
        <w:t>Ms Felicity Edmeston on behalf of the Staffordshire Moorlands Bridleways Group</w:t>
      </w:r>
      <w:r w:rsidRPr="00CD7E52">
        <w:t xml:space="preserve">, </w:t>
      </w:r>
      <w:r w:rsidR="00051118">
        <w:t xml:space="preserve">submitted the application to </w:t>
      </w:r>
      <w:r w:rsidRPr="00CD7E52">
        <w:t>Staffordshire County Council (the Council)</w:t>
      </w:r>
      <w:proofErr w:type="gramStart"/>
      <w:r w:rsidRPr="00CD7E52">
        <w:t xml:space="preserve">.  </w:t>
      </w:r>
      <w:proofErr w:type="gramEnd"/>
      <w:r w:rsidRPr="00CD7E52">
        <w:t xml:space="preserve">The application </w:t>
      </w:r>
      <w:proofErr w:type="gramStart"/>
      <w:r w:rsidRPr="00CD7E52">
        <w:t>was considered</w:t>
      </w:r>
      <w:proofErr w:type="gramEnd"/>
      <w:r w:rsidRPr="00CD7E52">
        <w:t xml:space="preserve"> by the Council’s </w:t>
      </w:r>
      <w:r>
        <w:t xml:space="preserve">Countryside and </w:t>
      </w:r>
      <w:r w:rsidRPr="00CD7E52">
        <w:t xml:space="preserve">Rights of Way </w:t>
      </w:r>
      <w:r>
        <w:t>Panel</w:t>
      </w:r>
      <w:r w:rsidRPr="00CD7E52">
        <w:t xml:space="preserve"> on 13 September </w:t>
      </w:r>
      <w:r w:rsidR="000123D5" w:rsidRPr="00CD7E52">
        <w:t>2024,</w:t>
      </w:r>
      <w:r>
        <w:t xml:space="preserve"> </w:t>
      </w:r>
      <w:r w:rsidRPr="00CD7E52">
        <w:t xml:space="preserve">and a formal decision was issued on </w:t>
      </w:r>
      <w:r w:rsidR="007057E2" w:rsidRPr="007057E2">
        <w:t>16 September 2024</w:t>
      </w:r>
      <w:proofErr w:type="gramStart"/>
      <w:r w:rsidRPr="00CD7E52">
        <w:t xml:space="preserve">.  </w:t>
      </w:r>
      <w:proofErr w:type="gramEnd"/>
      <w:r w:rsidRPr="00CD7E52">
        <w:t>This appeal relates to the Council’s decision not to make an Order.</w:t>
      </w:r>
    </w:p>
    <w:p w14:paraId="4642BD71" w14:textId="5A9B7CAF" w:rsidR="00CD7E52" w:rsidRPr="00CD7E52" w:rsidRDefault="00C1654B" w:rsidP="00CD7E52">
      <w:pPr>
        <w:pStyle w:val="Style1"/>
      </w:pPr>
      <w:r>
        <w:t>For ease of reference</w:t>
      </w:r>
      <w:r w:rsidR="00130C3A">
        <w:t>,</w:t>
      </w:r>
      <w:r>
        <w:t xml:space="preserve"> a copy of the map submitted with the application </w:t>
      </w:r>
      <w:proofErr w:type="gramStart"/>
      <w:r>
        <w:t>is attached</w:t>
      </w:r>
      <w:proofErr w:type="gramEnd"/>
      <w:r>
        <w:t xml:space="preserve"> to this decision at Appendix 1</w:t>
      </w:r>
      <w:proofErr w:type="gramStart"/>
      <w:r>
        <w:t xml:space="preserve">.  </w:t>
      </w:r>
      <w:proofErr w:type="gramEnd"/>
      <w:r w:rsidR="00F9364A">
        <w:t xml:space="preserve">The claimed route starts on Stoneyfold Lane at Point A on the submitted map and runs </w:t>
      </w:r>
      <w:proofErr w:type="gramStart"/>
      <w:r w:rsidR="00F9364A">
        <w:t>generally westward</w:t>
      </w:r>
      <w:proofErr w:type="gramEnd"/>
      <w:r w:rsidR="00F9364A">
        <w:t xml:space="preserve"> a</w:t>
      </w:r>
      <w:r w:rsidR="009211AF">
        <w:t>c</w:t>
      </w:r>
      <w:r w:rsidR="00F9364A">
        <w:t>ross a field to where it would meet</w:t>
      </w:r>
      <w:r w:rsidR="0042260F">
        <w:t xml:space="preserve"> the defined route of</w:t>
      </w:r>
      <w:r w:rsidR="009211AF">
        <w:t xml:space="preserve"> Footpath 17 at Point B on the map</w:t>
      </w:r>
      <w:proofErr w:type="gramStart"/>
      <w:r w:rsidR="00916170">
        <w:t xml:space="preserve">.  </w:t>
      </w:r>
      <w:proofErr w:type="gramEnd"/>
      <w:r w:rsidR="00916170">
        <w:t xml:space="preserve">Footpath </w:t>
      </w:r>
      <w:proofErr w:type="gramStart"/>
      <w:r w:rsidR="00916170">
        <w:t>17</w:t>
      </w:r>
      <w:proofErr w:type="gramEnd"/>
      <w:r w:rsidR="00916170">
        <w:t xml:space="preserve"> commences at a point further south on Stoneyfold Lane </w:t>
      </w:r>
      <w:r w:rsidR="00166509">
        <w:t xml:space="preserve">and </w:t>
      </w:r>
      <w:r w:rsidR="0042260F">
        <w:t xml:space="preserve">from there runs </w:t>
      </w:r>
      <w:proofErr w:type="gramStart"/>
      <w:r w:rsidR="0042260F">
        <w:t>generally north</w:t>
      </w:r>
      <w:proofErr w:type="gramEnd"/>
      <w:r w:rsidR="0042260F">
        <w:t xml:space="preserve"> west </w:t>
      </w:r>
      <w:r w:rsidR="00032ED8">
        <w:t>to this point</w:t>
      </w:r>
      <w:r w:rsidR="00223E80">
        <w:t>,</w:t>
      </w:r>
      <w:r w:rsidR="00032ED8">
        <w:t xml:space="preserve"> </w:t>
      </w:r>
      <w:r w:rsidR="00563AD3">
        <w:t>fro</w:t>
      </w:r>
      <w:r w:rsidR="00BE7C0D">
        <w:t>m whe</w:t>
      </w:r>
      <w:r w:rsidR="00E70FA3">
        <w:t>nce</w:t>
      </w:r>
      <w:r w:rsidR="00BE7C0D">
        <w:t xml:space="preserve"> it continues in a west south west</w:t>
      </w:r>
      <w:r w:rsidR="00223E80">
        <w:t xml:space="preserve"> direction </w:t>
      </w:r>
      <w:r w:rsidR="00166509">
        <w:t>to point C on the map</w:t>
      </w:r>
      <w:r w:rsidR="006F6877">
        <w:t xml:space="preserve"> where Footpath 17 then turns </w:t>
      </w:r>
      <w:r w:rsidR="00F307FA">
        <w:t xml:space="preserve">and continues </w:t>
      </w:r>
      <w:r w:rsidR="006F6877">
        <w:t>west</w:t>
      </w:r>
      <w:proofErr w:type="gramStart"/>
      <w:r w:rsidR="00A86BA4">
        <w:t xml:space="preserve">.  </w:t>
      </w:r>
      <w:proofErr w:type="gramEnd"/>
      <w:r w:rsidR="00A86BA4">
        <w:t>From Point C</w:t>
      </w:r>
      <w:r w:rsidR="00B274D7">
        <w:t>,</w:t>
      </w:r>
      <w:r w:rsidR="00A86BA4">
        <w:t xml:space="preserve"> the </w:t>
      </w:r>
      <w:r w:rsidR="006F3B5A">
        <w:t xml:space="preserve">claimed route runs </w:t>
      </w:r>
      <w:proofErr w:type="gramStart"/>
      <w:r w:rsidR="006F3B5A">
        <w:t>generally south</w:t>
      </w:r>
      <w:proofErr w:type="gramEnd"/>
      <w:r w:rsidR="006F3B5A">
        <w:t xml:space="preserve"> </w:t>
      </w:r>
      <w:r w:rsidR="00815D56">
        <w:t xml:space="preserve">south west </w:t>
      </w:r>
      <w:r w:rsidR="00423E97">
        <w:t xml:space="preserve">before </w:t>
      </w:r>
      <w:r w:rsidR="0088699A">
        <w:t xml:space="preserve">turning south south east to meet the road running between </w:t>
      </w:r>
      <w:r w:rsidR="00192B61">
        <w:t>Lower Elkstone and Upper Elkstone just to the west of Town Head Farm</w:t>
      </w:r>
      <w:proofErr w:type="gramStart"/>
      <w:r w:rsidR="00192B61">
        <w:t>.</w:t>
      </w:r>
      <w:r w:rsidR="00333A38">
        <w:t xml:space="preserve">  </w:t>
      </w:r>
      <w:proofErr w:type="gramEnd"/>
      <w:r w:rsidR="00333A38">
        <w:t xml:space="preserve">It </w:t>
      </w:r>
      <w:proofErr w:type="gramStart"/>
      <w:r w:rsidR="00333A38">
        <w:t>is claimed</w:t>
      </w:r>
      <w:proofErr w:type="gramEnd"/>
      <w:r w:rsidR="00333A38">
        <w:t xml:space="preserve"> that between </w:t>
      </w:r>
      <w:r w:rsidR="00D26BDC">
        <w:t xml:space="preserve">Points A and B, and </w:t>
      </w:r>
      <w:r w:rsidR="00BE343D">
        <w:t xml:space="preserve">between </w:t>
      </w:r>
      <w:r w:rsidR="00D26BDC">
        <w:t>Points C and D</w:t>
      </w:r>
      <w:r w:rsidR="00BE343D">
        <w:t>,</w:t>
      </w:r>
      <w:r w:rsidR="00D26BDC">
        <w:t xml:space="preserve"> the route should </w:t>
      </w:r>
      <w:proofErr w:type="gramStart"/>
      <w:r w:rsidR="00D26BDC">
        <w:t>be recorded</w:t>
      </w:r>
      <w:proofErr w:type="gramEnd"/>
      <w:r w:rsidR="00D26BDC">
        <w:t xml:space="preserve"> as a public </w:t>
      </w:r>
      <w:r w:rsidR="00D26BDC">
        <w:lastRenderedPageBreak/>
        <w:t>bridleway</w:t>
      </w:r>
      <w:r w:rsidR="00BE343D">
        <w:t>,</w:t>
      </w:r>
      <w:r w:rsidR="00D26BDC">
        <w:t xml:space="preserve"> and that between Points B and C</w:t>
      </w:r>
      <w:r w:rsidR="00344F5A">
        <w:t>,</w:t>
      </w:r>
      <w:r w:rsidR="00D26BDC">
        <w:t xml:space="preserve"> Footpath 17 should </w:t>
      </w:r>
      <w:proofErr w:type="gramStart"/>
      <w:r w:rsidR="00D26BDC">
        <w:t>be upgraded</w:t>
      </w:r>
      <w:proofErr w:type="gramEnd"/>
      <w:r w:rsidR="00D26BDC">
        <w:t xml:space="preserve"> to Bridleway status.</w:t>
      </w:r>
    </w:p>
    <w:p w14:paraId="73C633BA" w14:textId="0327C765" w:rsidR="00336DBA" w:rsidRDefault="00336DBA" w:rsidP="00F67D35">
      <w:pPr>
        <w:pStyle w:val="Heading6blackfont"/>
        <w:rPr>
          <w:rFonts w:cs="Arial"/>
          <w:szCs w:val="24"/>
        </w:rPr>
      </w:pPr>
      <w:r w:rsidRPr="004A61B1">
        <w:rPr>
          <w:rFonts w:cs="Arial"/>
          <w:szCs w:val="24"/>
        </w:rPr>
        <w:t>Main Issues</w:t>
      </w:r>
    </w:p>
    <w:p w14:paraId="3925CCFD" w14:textId="54B3C343" w:rsidR="007804E5" w:rsidRDefault="00F9364A" w:rsidP="00AA7132">
      <w:pPr>
        <w:pStyle w:val="Style1"/>
      </w:pPr>
      <w:r>
        <w:t>Section 53(2) of the 1981 Act requires a surveying authority to make orders to modify its definitive map and statement in consequence of certain events specified in Section 53(3)</w:t>
      </w:r>
      <w:proofErr w:type="gramStart"/>
      <w:r>
        <w:t xml:space="preserve">.  </w:t>
      </w:r>
      <w:proofErr w:type="gramEnd"/>
      <w:r w:rsidR="00207EED">
        <w:t xml:space="preserve">Where </w:t>
      </w:r>
      <w:r w:rsidR="00086637">
        <w:t xml:space="preserve">a public right of way is not presently recorded, </w:t>
      </w:r>
      <w:r w:rsidR="00086637" w:rsidRPr="00086637">
        <w:t>Section 53(3)(c)(i) of the 1981 Act specifies that an order should be made following the discovery of evidence which, when considered with all other relevant evidence, shows that “a right of way which is not shown in the map and statement subsists or is reasonably alleged to subsist…”.</w:t>
      </w:r>
    </w:p>
    <w:p w14:paraId="693765CA" w14:textId="77777777" w:rsidR="00F0284D" w:rsidRDefault="00F0284D" w:rsidP="00F0284D">
      <w:pPr>
        <w:pStyle w:val="Style1"/>
      </w:pPr>
      <w:r>
        <w:t xml:space="preserve">In considering the above there are separate two tests to </w:t>
      </w:r>
      <w:proofErr w:type="gramStart"/>
      <w:r>
        <w:t>be applied</w:t>
      </w:r>
      <w:proofErr w:type="gramEnd"/>
      <w:r>
        <w:t xml:space="preserve">: </w:t>
      </w:r>
    </w:p>
    <w:p w14:paraId="0D48D851" w14:textId="77777777" w:rsidR="00F0284D" w:rsidRDefault="00F0284D" w:rsidP="00357D45">
      <w:pPr>
        <w:pStyle w:val="Style1"/>
        <w:numPr>
          <w:ilvl w:val="0"/>
          <w:numId w:val="0"/>
        </w:numPr>
        <w:tabs>
          <w:tab w:val="left" w:pos="709"/>
        </w:tabs>
        <w:ind w:left="709" w:hanging="199"/>
      </w:pPr>
      <w:r>
        <w:t>•</w:t>
      </w:r>
      <w:r>
        <w:tab/>
        <w:t xml:space="preserve">Test A: Does a right of way subsist on the balance of probabilities? </w:t>
      </w:r>
    </w:p>
    <w:p w14:paraId="3E9F5E69" w14:textId="00115961" w:rsidR="00F0284D" w:rsidRDefault="00F0284D" w:rsidP="00357D45">
      <w:pPr>
        <w:pStyle w:val="Style1"/>
        <w:numPr>
          <w:ilvl w:val="0"/>
          <w:numId w:val="0"/>
        </w:numPr>
        <w:tabs>
          <w:tab w:val="left" w:pos="709"/>
        </w:tabs>
        <w:ind w:left="709" w:hanging="199"/>
      </w:pPr>
      <w:r>
        <w:t>•</w:t>
      </w:r>
      <w:r>
        <w:tab/>
        <w:t xml:space="preserve">Test B: Is it reasonable to allege that a right of way subsists? For this possibility to </w:t>
      </w:r>
      <w:proofErr w:type="gramStart"/>
      <w:r>
        <w:t>be shown</w:t>
      </w:r>
      <w:proofErr w:type="gramEnd"/>
      <w:r w:rsidR="003E5135">
        <w:t>,</w:t>
      </w:r>
      <w:r>
        <w:t xml:space="preserve"> it will be necessary to show that a reasonable person, having considered all the relevant evidence available, could </w:t>
      </w:r>
      <w:proofErr w:type="gramStart"/>
      <w:r>
        <w:t>reasonably allege</w:t>
      </w:r>
      <w:proofErr w:type="gramEnd"/>
      <w:r>
        <w:t xml:space="preserve"> a right of way to subsist</w:t>
      </w:r>
      <w:proofErr w:type="gramStart"/>
      <w:r>
        <w:t xml:space="preserve">. </w:t>
      </w:r>
      <w:r w:rsidR="00A46485">
        <w:t xml:space="preserve"> </w:t>
      </w:r>
      <w:proofErr w:type="gramEnd"/>
      <w:r>
        <w:t xml:space="preserve">If there is a conflict of credible evidence, but no incontrovertible evidence that a right of way could not be </w:t>
      </w:r>
      <w:proofErr w:type="gramStart"/>
      <w:r>
        <w:t>reasonably alleged</w:t>
      </w:r>
      <w:proofErr w:type="gramEnd"/>
      <w:r>
        <w:t xml:space="preserve"> to subsist, then it is reasonable to allege that one does.</w:t>
      </w:r>
    </w:p>
    <w:p w14:paraId="7E0F6EDA" w14:textId="2A72AA9D" w:rsidR="007804E5" w:rsidRDefault="00F0284D" w:rsidP="00F0284D">
      <w:pPr>
        <w:pStyle w:val="Style1"/>
      </w:pPr>
      <w:r>
        <w:t>At this stage, I need only be satisfied that the evidence meets Test B, the lesser test.</w:t>
      </w:r>
    </w:p>
    <w:p w14:paraId="2802FBF4" w14:textId="44831842" w:rsidR="00832BFC" w:rsidRDefault="00832BFC" w:rsidP="00F0284D">
      <w:pPr>
        <w:pStyle w:val="Style1"/>
      </w:pPr>
      <w:r w:rsidRPr="00832BFC">
        <w:t xml:space="preserve">Where it is proposed that an existing way should be upgraded from footpath to bridleway status, Section 53(3)(c)(ii) of the 1981 Act specifies that an Order should be made following the discovery of evidence which, when considered with all other relevant evidence, shows that </w:t>
      </w:r>
      <w:r w:rsidR="003C6E8C">
        <w:t>“</w:t>
      </w:r>
      <w:r w:rsidRPr="00832BFC">
        <w:t>a highway shown in the map and statement as a highway of a particular description ought to be there shown as a highway of a different description</w:t>
      </w:r>
      <w:r w:rsidR="003C6E8C">
        <w:t>”</w:t>
      </w:r>
      <w:r w:rsidR="00B3702A">
        <w:t>.</w:t>
      </w:r>
      <w:r w:rsidRPr="00832BFC">
        <w:t xml:space="preserve">  The evidential test to </w:t>
      </w:r>
      <w:proofErr w:type="gramStart"/>
      <w:r w:rsidRPr="00832BFC">
        <w:t>be applied</w:t>
      </w:r>
      <w:proofErr w:type="gramEnd"/>
      <w:r w:rsidRPr="00832BFC">
        <w:t xml:space="preserve"> is the balance of probabilities.</w:t>
      </w:r>
      <w:r w:rsidR="005036FF">
        <w:t xml:space="preserve"> </w:t>
      </w:r>
    </w:p>
    <w:p w14:paraId="6536E38C" w14:textId="6A7B5289" w:rsidR="005036FF" w:rsidRDefault="00EC583A" w:rsidP="00F0284D">
      <w:pPr>
        <w:pStyle w:val="Style1"/>
      </w:pPr>
      <w:r w:rsidRPr="00EC583A">
        <w:t>It is apparent that</w:t>
      </w:r>
      <w:r>
        <w:t>,</w:t>
      </w:r>
      <w:r w:rsidRPr="00EC583A">
        <w:t xml:space="preserve"> in relation to the Footpath </w:t>
      </w:r>
      <w:r>
        <w:t>1</w:t>
      </w:r>
      <w:r w:rsidRPr="00EC583A">
        <w:t xml:space="preserve">7 </w:t>
      </w:r>
      <w:r w:rsidR="007D1F05">
        <w:t>se</w:t>
      </w:r>
      <w:r w:rsidR="008100FB">
        <w:t>c</w:t>
      </w:r>
      <w:r w:rsidR="007D1F05">
        <w:t xml:space="preserve">tion of the claimed </w:t>
      </w:r>
      <w:r w:rsidRPr="00EC583A">
        <w:t>route</w:t>
      </w:r>
      <w:r>
        <w:t>,</w:t>
      </w:r>
      <w:r w:rsidRPr="00EC583A">
        <w:t xml:space="preserve"> an anomalous outcome could potentially arise from the different standards of proof to </w:t>
      </w:r>
      <w:proofErr w:type="gramStart"/>
      <w:r w:rsidRPr="00EC583A">
        <w:t>be applied</w:t>
      </w:r>
      <w:proofErr w:type="gramEnd"/>
      <w:r w:rsidRPr="00EC583A">
        <w:t xml:space="preserve"> to the different sections of the route at this stage</w:t>
      </w:r>
      <w:proofErr w:type="gramStart"/>
      <w:r w:rsidRPr="00EC583A">
        <w:t xml:space="preserve">.  </w:t>
      </w:r>
      <w:proofErr w:type="gramEnd"/>
      <w:r w:rsidRPr="00EC583A">
        <w:t xml:space="preserve">Should </w:t>
      </w:r>
      <w:proofErr w:type="gramStart"/>
      <w:r w:rsidRPr="00EC583A">
        <w:t>I find that only test B</w:t>
      </w:r>
      <w:proofErr w:type="gramEnd"/>
      <w:r w:rsidRPr="00EC583A">
        <w:t xml:space="preserve"> is applicable, given a proportion of this route is presently unrecorded, the reasonable approach would be for the whole of the route to </w:t>
      </w:r>
      <w:proofErr w:type="gramStart"/>
      <w:r w:rsidRPr="00EC583A">
        <w:t>be included</w:t>
      </w:r>
      <w:proofErr w:type="gramEnd"/>
      <w:r w:rsidRPr="00EC583A">
        <w:t xml:space="preserve"> in an Order</w:t>
      </w:r>
      <w:proofErr w:type="gramStart"/>
      <w:r w:rsidRPr="00EC583A">
        <w:t xml:space="preserve">. </w:t>
      </w:r>
      <w:r w:rsidR="0047672E">
        <w:t xml:space="preserve"> </w:t>
      </w:r>
      <w:proofErr w:type="gramEnd"/>
      <w:r w:rsidRPr="00EC583A">
        <w:t xml:space="preserve">This </w:t>
      </w:r>
      <w:r w:rsidR="0047672E">
        <w:t>would</w:t>
      </w:r>
      <w:r w:rsidRPr="00EC583A">
        <w:t xml:space="preserve"> provide an opportunity for the status of the route to </w:t>
      </w:r>
      <w:proofErr w:type="gramStart"/>
      <w:r w:rsidRPr="00EC583A">
        <w:t>be fully explored</w:t>
      </w:r>
      <w:proofErr w:type="gramEnd"/>
      <w:r w:rsidRPr="00EC583A">
        <w:t xml:space="preserve"> at the confirmation stage when the Order would be determined on the balance of probabilities</w:t>
      </w:r>
      <w:proofErr w:type="gramStart"/>
      <w:r w:rsidRPr="00EC583A">
        <w:t xml:space="preserve">.  </w:t>
      </w:r>
      <w:proofErr w:type="gramEnd"/>
      <w:r w:rsidRPr="00EC583A">
        <w:t xml:space="preserve">     </w:t>
      </w:r>
    </w:p>
    <w:p w14:paraId="7089E79E" w14:textId="52777E12" w:rsidR="00F9364A" w:rsidRDefault="00F9364A" w:rsidP="00F9364A">
      <w:pPr>
        <w:pStyle w:val="Style1"/>
      </w:pPr>
      <w:r>
        <w:t xml:space="preserve">The evidence in this case is </w:t>
      </w:r>
      <w:proofErr w:type="gramStart"/>
      <w:r w:rsidR="004169E3">
        <w:t>wholly</w:t>
      </w:r>
      <w:r>
        <w:t xml:space="preserve"> documentary</w:t>
      </w:r>
      <w:proofErr w:type="gramEnd"/>
      <w:r>
        <w:t xml:space="preserve"> evidence</w:t>
      </w:r>
      <w:proofErr w:type="gramStart"/>
      <w:r>
        <w:t xml:space="preserve">.  </w:t>
      </w:r>
      <w:proofErr w:type="gramEnd"/>
      <w:r>
        <w:t xml:space="preserve">The application </w:t>
      </w:r>
      <w:proofErr w:type="gramStart"/>
      <w:r>
        <w:t>was not accompanied</w:t>
      </w:r>
      <w:proofErr w:type="gramEnd"/>
      <w:r>
        <w:t xml:space="preserve"> by any evidence purporting to </w:t>
      </w:r>
      <w:proofErr w:type="gramStart"/>
      <w:r>
        <w:t>be claimed</w:t>
      </w:r>
      <w:proofErr w:type="gramEnd"/>
      <w:r>
        <w:t xml:space="preserve"> use of the route by local people or others</w:t>
      </w:r>
      <w:proofErr w:type="gramStart"/>
      <w:r>
        <w:t xml:space="preserve">.  </w:t>
      </w:r>
      <w:proofErr w:type="gramEnd"/>
      <w:r>
        <w:t xml:space="preserve">In these circumstances, it is necessary to consider whether it can </w:t>
      </w:r>
      <w:proofErr w:type="gramStart"/>
      <w:r>
        <w:t>be inferred</w:t>
      </w:r>
      <w:proofErr w:type="gramEnd"/>
      <w:r>
        <w:t xml:space="preserve"> from the documentary evidence that there has been a dedication of a right of way at common law.</w:t>
      </w:r>
    </w:p>
    <w:p w14:paraId="15BB6727" w14:textId="77777777" w:rsidR="00336DBA" w:rsidRDefault="00336DBA" w:rsidP="00F67D35">
      <w:pPr>
        <w:pStyle w:val="Heading6blackfont"/>
        <w:rPr>
          <w:rFonts w:cs="Arial"/>
          <w:szCs w:val="24"/>
        </w:rPr>
      </w:pPr>
      <w:r w:rsidRPr="004A61B1">
        <w:rPr>
          <w:rFonts w:cs="Arial"/>
          <w:szCs w:val="24"/>
        </w:rPr>
        <w:t>Reasons</w:t>
      </w:r>
    </w:p>
    <w:p w14:paraId="458724DE" w14:textId="3EB21009" w:rsidR="00FE2062" w:rsidRDefault="00DD2B25" w:rsidP="00FE2062">
      <w:pPr>
        <w:pStyle w:val="Style1"/>
      </w:pPr>
      <w:r>
        <w:t xml:space="preserve">The appellant’s case relies in the main on the </w:t>
      </w:r>
      <w:r w:rsidR="005C5A5B">
        <w:t xml:space="preserve">Alstonefield </w:t>
      </w:r>
      <w:r w:rsidR="00162880">
        <w:t>Inclosure</w:t>
      </w:r>
      <w:r w:rsidR="005C5A5B">
        <w:t xml:space="preserve"> Award of 1839</w:t>
      </w:r>
      <w:proofErr w:type="gramStart"/>
      <w:r w:rsidR="005B3CF3">
        <w:t xml:space="preserve">.  </w:t>
      </w:r>
      <w:proofErr w:type="gramEnd"/>
      <w:r w:rsidR="00162880">
        <w:t>Inclosure</w:t>
      </w:r>
      <w:r w:rsidR="00CA30DD">
        <w:t xml:space="preserve"> </w:t>
      </w:r>
      <w:r w:rsidR="00057196">
        <w:t xml:space="preserve">awards </w:t>
      </w:r>
      <w:r w:rsidR="00CF36BD">
        <w:t xml:space="preserve">will typically </w:t>
      </w:r>
      <w:r w:rsidR="00AB5C28">
        <w:t xml:space="preserve">contain </w:t>
      </w:r>
      <w:r w:rsidR="00AB5C28" w:rsidRPr="001663E3">
        <w:rPr>
          <w:i/>
          <w:iCs/>
        </w:rPr>
        <w:t>inter alia</w:t>
      </w:r>
      <w:r w:rsidR="00AB5C28">
        <w:t xml:space="preserve"> the name of the landowner </w:t>
      </w:r>
      <w:r w:rsidR="00AB5C28">
        <w:lastRenderedPageBreak/>
        <w:t>of e</w:t>
      </w:r>
      <w:r w:rsidR="00552DCC">
        <w:t>a</w:t>
      </w:r>
      <w:r w:rsidR="00AB5C28">
        <w:t>ch plot</w:t>
      </w:r>
      <w:r w:rsidR="00FE2A4F">
        <w:t xml:space="preserve">; </w:t>
      </w:r>
      <w:r w:rsidR="00AB5C28">
        <w:t>the extent of the landholding</w:t>
      </w:r>
      <w:r w:rsidR="00FE2A4F">
        <w:t>;</w:t>
      </w:r>
      <w:r w:rsidR="00AB5C28">
        <w:t xml:space="preserve"> and details of any roads, </w:t>
      </w:r>
      <w:r w:rsidR="00FE2A4F">
        <w:t>R</w:t>
      </w:r>
      <w:r w:rsidR="00AB5C28">
        <w:t xml:space="preserve">ights of </w:t>
      </w:r>
      <w:r w:rsidR="00FE2A4F">
        <w:t>W</w:t>
      </w:r>
      <w:r w:rsidR="00AB5C28">
        <w:t>ay</w:t>
      </w:r>
      <w:r w:rsidR="00FE2A4F">
        <w:t>,</w:t>
      </w:r>
      <w:r w:rsidR="00AB5C28">
        <w:t xml:space="preserve"> drainage </w:t>
      </w:r>
      <w:proofErr w:type="gramStart"/>
      <w:r w:rsidR="00AB5C28">
        <w:t>etc.</w:t>
      </w:r>
      <w:proofErr w:type="gramEnd"/>
    </w:p>
    <w:p w14:paraId="39D8D31C" w14:textId="2E1869FF" w:rsidR="007634AE" w:rsidRPr="007634AE" w:rsidRDefault="00BD287C" w:rsidP="007634AE">
      <w:pPr>
        <w:pStyle w:val="Style1"/>
      </w:pPr>
      <w:r>
        <w:t xml:space="preserve">The extracts from the Alstonefield </w:t>
      </w:r>
      <w:r w:rsidR="00162880">
        <w:t>Inclosure</w:t>
      </w:r>
      <w:r>
        <w:t xml:space="preserve"> Award </w:t>
      </w:r>
      <w:r w:rsidR="00D64E38">
        <w:t xml:space="preserve">that have </w:t>
      </w:r>
      <w:proofErr w:type="gramStart"/>
      <w:r w:rsidR="00D64E38">
        <w:t>been provided</w:t>
      </w:r>
      <w:proofErr w:type="gramEnd"/>
      <w:r w:rsidR="00D64E38">
        <w:t xml:space="preserve"> identify a route </w:t>
      </w:r>
      <w:r w:rsidR="00230F44">
        <w:t xml:space="preserve">to </w:t>
      </w:r>
      <w:proofErr w:type="gramStart"/>
      <w:r w:rsidR="00230F44">
        <w:t>be called</w:t>
      </w:r>
      <w:proofErr w:type="gramEnd"/>
      <w:r w:rsidR="00230F44">
        <w:t xml:space="preserve"> the Whitefield Gate Road and </w:t>
      </w:r>
      <w:r w:rsidR="00D64E38">
        <w:t>described as</w:t>
      </w:r>
      <w:r w:rsidR="00357B09">
        <w:t xml:space="preserve"> a “</w:t>
      </w:r>
      <w:r w:rsidR="00094716">
        <w:t>C</w:t>
      </w:r>
      <w:r w:rsidR="00357B09">
        <w:t xml:space="preserve">arriage and </w:t>
      </w:r>
      <w:r w:rsidR="000A6BCB">
        <w:t>Drift Road</w:t>
      </w:r>
      <w:proofErr w:type="gramStart"/>
      <w:r w:rsidR="00B22A5C">
        <w:t>”</w:t>
      </w:r>
      <w:r w:rsidR="00CF648F">
        <w:t>.</w:t>
      </w:r>
      <w:proofErr w:type="gramEnd"/>
      <w:r w:rsidR="00CF648F">
        <w:t xml:space="preserve">  </w:t>
      </w:r>
      <w:r w:rsidR="00EE647F">
        <w:t xml:space="preserve">From the written description of the route and the </w:t>
      </w:r>
      <w:r w:rsidR="000F579C">
        <w:t xml:space="preserve">provided extract from the </w:t>
      </w:r>
      <w:r w:rsidR="00162880">
        <w:t>Inclosure</w:t>
      </w:r>
      <w:r w:rsidR="007339DE">
        <w:t xml:space="preserve"> Map</w:t>
      </w:r>
      <w:r w:rsidR="004E7D25">
        <w:t xml:space="preserve">, this </w:t>
      </w:r>
      <w:r w:rsidR="003D46A0">
        <w:t xml:space="preserve">would appear to include </w:t>
      </w:r>
      <w:r w:rsidR="00CE53A6">
        <w:t xml:space="preserve">the section of the claimed route from Point A to Point B and at least part of the </w:t>
      </w:r>
      <w:r w:rsidR="003F38DA">
        <w:t xml:space="preserve">claimed route from Point B to Point </w:t>
      </w:r>
      <w:proofErr w:type="gramStart"/>
      <w:r w:rsidR="003F38DA">
        <w:t xml:space="preserve">C. </w:t>
      </w:r>
      <w:r w:rsidR="00745A81">
        <w:t xml:space="preserve"> </w:t>
      </w:r>
      <w:proofErr w:type="gramEnd"/>
      <w:r w:rsidR="00745A81" w:rsidRPr="00745A81">
        <w:t>From the map evidence provided</w:t>
      </w:r>
      <w:r w:rsidR="004131F3">
        <w:t>,</w:t>
      </w:r>
      <w:r w:rsidR="00745A81" w:rsidRPr="00745A81">
        <w:t xml:space="preserve"> the extent of the “ancient lane”</w:t>
      </w:r>
      <w:r w:rsidR="00AB585D">
        <w:t xml:space="preserve"> referred to in the written description </w:t>
      </w:r>
      <w:r w:rsidR="00C4339B">
        <w:t xml:space="preserve">from the </w:t>
      </w:r>
      <w:r w:rsidR="00162880">
        <w:t>Inclosure</w:t>
      </w:r>
      <w:r w:rsidR="00C4339B">
        <w:t xml:space="preserve"> award </w:t>
      </w:r>
      <w:r w:rsidR="00AB585D">
        <w:t>i</w:t>
      </w:r>
      <w:r w:rsidR="00745A81" w:rsidRPr="00745A81">
        <w:t>s not wholly clear</w:t>
      </w:r>
      <w:proofErr w:type="gramStart"/>
      <w:r w:rsidR="00745A81" w:rsidRPr="00745A81">
        <w:t xml:space="preserve">. </w:t>
      </w:r>
      <w:r w:rsidR="002B1F60">
        <w:t xml:space="preserve"> </w:t>
      </w:r>
      <w:proofErr w:type="gramEnd"/>
      <w:r w:rsidR="00745A81" w:rsidRPr="00745A81">
        <w:t xml:space="preserve">Nor is it clear from the description in the </w:t>
      </w:r>
      <w:r w:rsidR="00162880">
        <w:t>Inclosure</w:t>
      </w:r>
      <w:r w:rsidR="00745A81" w:rsidRPr="00745A81">
        <w:t xml:space="preserve"> Award whether the ancient lane </w:t>
      </w:r>
      <w:proofErr w:type="gramStart"/>
      <w:r w:rsidR="00745A81" w:rsidRPr="00745A81">
        <w:t>was intended</w:t>
      </w:r>
      <w:proofErr w:type="gramEnd"/>
      <w:r w:rsidR="00745A81" w:rsidRPr="00745A81">
        <w:t xml:space="preserve"> to </w:t>
      </w:r>
      <w:proofErr w:type="gramStart"/>
      <w:r w:rsidR="00745A81" w:rsidRPr="00745A81">
        <w:t>be included</w:t>
      </w:r>
      <w:proofErr w:type="gramEnd"/>
      <w:r w:rsidR="00745A81" w:rsidRPr="00745A81">
        <w:t xml:space="preserve"> as part of Whitefield Gate Road</w:t>
      </w:r>
      <w:r w:rsidR="00001188">
        <w:t xml:space="preserve"> </w:t>
      </w:r>
      <w:r w:rsidR="00F17D52">
        <w:t xml:space="preserve">given that it lies outside the area covered by the </w:t>
      </w:r>
      <w:r w:rsidR="00162880">
        <w:t>Inclosure</w:t>
      </w:r>
      <w:r w:rsidR="00F17D52">
        <w:t xml:space="preserve"> Award</w:t>
      </w:r>
      <w:proofErr w:type="gramStart"/>
      <w:r w:rsidR="00745A81" w:rsidRPr="00745A81">
        <w:t xml:space="preserve">. </w:t>
      </w:r>
      <w:r w:rsidR="00357B09">
        <w:t xml:space="preserve"> </w:t>
      </w:r>
      <w:proofErr w:type="gramEnd"/>
    </w:p>
    <w:p w14:paraId="632FE627" w14:textId="2CE87A58" w:rsidR="009344B0" w:rsidRPr="009344B0" w:rsidRDefault="00853D38" w:rsidP="009344B0">
      <w:pPr>
        <w:pStyle w:val="Style1"/>
      </w:pPr>
      <w:r>
        <w:t xml:space="preserve">The </w:t>
      </w:r>
      <w:r w:rsidR="00162880">
        <w:t>Inclosure</w:t>
      </w:r>
      <w:r w:rsidR="00C20709">
        <w:t xml:space="preserve"> </w:t>
      </w:r>
      <w:r>
        <w:t>A</w:t>
      </w:r>
      <w:r w:rsidR="00C20709">
        <w:t xml:space="preserve">ward differentiates between </w:t>
      </w:r>
      <w:r w:rsidR="00FE2AE7">
        <w:t>“</w:t>
      </w:r>
      <w:r w:rsidR="005623E3">
        <w:t>Public Carriage Roads</w:t>
      </w:r>
      <w:r w:rsidR="00FE2AE7">
        <w:t>”</w:t>
      </w:r>
      <w:r w:rsidR="005623E3">
        <w:t xml:space="preserve"> and </w:t>
      </w:r>
      <w:r w:rsidR="00FE2AE7">
        <w:t>“</w:t>
      </w:r>
      <w:r w:rsidR="005623E3">
        <w:t>Carriage and Drift Roads</w:t>
      </w:r>
      <w:proofErr w:type="gramStart"/>
      <w:r w:rsidR="00FE2AE7">
        <w:t>”.</w:t>
      </w:r>
      <w:proofErr w:type="gramEnd"/>
      <w:r w:rsidR="00FE2AE7">
        <w:t xml:space="preserve">  </w:t>
      </w:r>
      <w:r w:rsidR="00961026">
        <w:t xml:space="preserve">The evidence suggests </w:t>
      </w:r>
      <w:r w:rsidR="00537828">
        <w:t xml:space="preserve">at least 6 </w:t>
      </w:r>
      <w:r w:rsidR="009B34CA">
        <w:t xml:space="preserve">Public Carriage Roads and </w:t>
      </w:r>
      <w:proofErr w:type="gramStart"/>
      <w:r w:rsidR="00961026">
        <w:t>some</w:t>
      </w:r>
      <w:proofErr w:type="gramEnd"/>
      <w:r w:rsidR="00961026">
        <w:t xml:space="preserve"> </w:t>
      </w:r>
      <w:r w:rsidR="000421C4">
        <w:t>39</w:t>
      </w:r>
      <w:r w:rsidR="00961026">
        <w:t xml:space="preserve"> Carr</w:t>
      </w:r>
      <w:r w:rsidR="00361220">
        <w:t>i</w:t>
      </w:r>
      <w:r w:rsidR="00961026">
        <w:t xml:space="preserve">age and Drift Roads </w:t>
      </w:r>
      <w:proofErr w:type="gramStart"/>
      <w:r w:rsidR="00961026">
        <w:t>are identified</w:t>
      </w:r>
      <w:proofErr w:type="gramEnd"/>
      <w:r w:rsidR="00961026">
        <w:t xml:space="preserve"> in the </w:t>
      </w:r>
      <w:r w:rsidR="00361220">
        <w:t>Award</w:t>
      </w:r>
      <w:proofErr w:type="gramStart"/>
      <w:r w:rsidR="00361220">
        <w:t xml:space="preserve">.  </w:t>
      </w:r>
      <w:r w:rsidR="009344B0" w:rsidRPr="009344B0">
        <w:t>All of</w:t>
      </w:r>
      <w:proofErr w:type="gramEnd"/>
      <w:r w:rsidR="009344B0" w:rsidRPr="009344B0">
        <w:t xml:space="preserve"> the roads shown on the </w:t>
      </w:r>
      <w:r w:rsidR="00F24933">
        <w:t xml:space="preserve">provided extract from the </w:t>
      </w:r>
      <w:r w:rsidR="00162880">
        <w:t>Inclosure</w:t>
      </w:r>
      <w:r w:rsidR="009344B0" w:rsidRPr="009344B0">
        <w:t xml:space="preserve"> Map are coloured similarly, from which little can gained in terms of discerning their status.</w:t>
      </w:r>
    </w:p>
    <w:p w14:paraId="7A3B4324" w14:textId="16CD0263" w:rsidR="001D3B0B" w:rsidRDefault="007E0070" w:rsidP="00EB5333">
      <w:pPr>
        <w:pStyle w:val="Style1"/>
      </w:pPr>
      <w:r>
        <w:t xml:space="preserve">Two roads shown on the extract from the </w:t>
      </w:r>
      <w:r w:rsidR="00162880">
        <w:t>Inclosure</w:t>
      </w:r>
      <w:r>
        <w:t xml:space="preserve"> Map</w:t>
      </w:r>
      <w:r w:rsidR="009344B0">
        <w:t>,</w:t>
      </w:r>
      <w:r>
        <w:t xml:space="preserve"> identified as Herbage Road and </w:t>
      </w:r>
      <w:r w:rsidR="00383690">
        <w:t xml:space="preserve">Warslow and </w:t>
      </w:r>
      <w:r w:rsidR="009407D3">
        <w:t xml:space="preserve">Middle Hills Road </w:t>
      </w:r>
      <w:proofErr w:type="gramStart"/>
      <w:r w:rsidR="009407D3">
        <w:t>are mentioned</w:t>
      </w:r>
      <w:proofErr w:type="gramEnd"/>
      <w:r w:rsidR="009407D3">
        <w:t xml:space="preserve"> in the Public Carriageways section of the </w:t>
      </w:r>
      <w:r w:rsidR="00162880">
        <w:t>Inclosure</w:t>
      </w:r>
      <w:r w:rsidR="009407D3">
        <w:t xml:space="preserve"> Award</w:t>
      </w:r>
      <w:proofErr w:type="gramStart"/>
      <w:r w:rsidR="009407D3">
        <w:t xml:space="preserve">.  </w:t>
      </w:r>
      <w:proofErr w:type="gramEnd"/>
      <w:r w:rsidR="00FE2AE7">
        <w:t>T</w:t>
      </w:r>
      <w:r w:rsidR="009E7F76">
        <w:t>he section where Whitefield Gate Road</w:t>
      </w:r>
      <w:r w:rsidR="00FE2AE7">
        <w:t xml:space="preserve"> </w:t>
      </w:r>
      <w:proofErr w:type="gramStart"/>
      <w:r w:rsidR="00FE2AE7">
        <w:t>is</w:t>
      </w:r>
      <w:r w:rsidR="009E7F76">
        <w:t xml:space="preserve"> listed</w:t>
      </w:r>
      <w:proofErr w:type="gramEnd"/>
      <w:r w:rsidR="009E7F76">
        <w:t xml:space="preserve"> </w:t>
      </w:r>
      <w:r w:rsidR="00FE2AE7">
        <w:t xml:space="preserve">is </w:t>
      </w:r>
      <w:r w:rsidR="009E7F76">
        <w:t xml:space="preserve">not among Public Carriage Roads but along with two other </w:t>
      </w:r>
      <w:r w:rsidR="009A179B">
        <w:t xml:space="preserve">nearby </w:t>
      </w:r>
      <w:r w:rsidR="005D57FC">
        <w:t>roads</w:t>
      </w:r>
      <w:r w:rsidR="007F1BC9">
        <w:t>,</w:t>
      </w:r>
      <w:r w:rsidR="005D57FC">
        <w:t xml:space="preserve"> also describe</w:t>
      </w:r>
      <w:r w:rsidR="009A179B">
        <w:t>d</w:t>
      </w:r>
      <w:r w:rsidR="005D57FC">
        <w:t xml:space="preserve"> as </w:t>
      </w:r>
      <w:r w:rsidR="009B34CA">
        <w:t>C</w:t>
      </w:r>
      <w:r w:rsidR="009E7F76">
        <w:t xml:space="preserve">arriage and </w:t>
      </w:r>
      <w:r w:rsidR="009B34CA">
        <w:t>D</w:t>
      </w:r>
      <w:r w:rsidR="009E7F76">
        <w:t xml:space="preserve">rift </w:t>
      </w:r>
      <w:r w:rsidR="009B34CA">
        <w:t>R</w:t>
      </w:r>
      <w:r w:rsidR="009E7F76">
        <w:t>oads</w:t>
      </w:r>
      <w:r w:rsidR="007F1BC9">
        <w:t>,</w:t>
      </w:r>
      <w:r w:rsidR="005D57FC">
        <w:t xml:space="preserve"> named</w:t>
      </w:r>
      <w:r w:rsidR="009E7F76">
        <w:t xml:space="preserve"> Aver</w:t>
      </w:r>
      <w:r w:rsidR="00944592">
        <w:t xml:space="preserve">il Road and </w:t>
      </w:r>
      <w:proofErr w:type="gramStart"/>
      <w:r w:rsidR="00944592">
        <w:t>Yates Road</w:t>
      </w:r>
      <w:proofErr w:type="gramEnd"/>
      <w:r w:rsidR="005D57FC">
        <w:t xml:space="preserve"> respectively</w:t>
      </w:r>
      <w:proofErr w:type="gramStart"/>
      <w:r w:rsidR="00944592">
        <w:t xml:space="preserve">.  </w:t>
      </w:r>
      <w:proofErr w:type="gramEnd"/>
      <w:r w:rsidR="00944592">
        <w:t>The</w:t>
      </w:r>
      <w:r w:rsidR="005D57FC">
        <w:t>se</w:t>
      </w:r>
      <w:r w:rsidR="00944592">
        <w:t xml:space="preserve"> latter </w:t>
      </w:r>
      <w:proofErr w:type="gramStart"/>
      <w:r w:rsidR="001D3B0B">
        <w:t>are also shown</w:t>
      </w:r>
      <w:proofErr w:type="gramEnd"/>
      <w:r w:rsidR="001D3B0B">
        <w:t xml:space="preserve"> on the </w:t>
      </w:r>
      <w:r w:rsidR="00162880">
        <w:t>Inclosure</w:t>
      </w:r>
      <w:r w:rsidR="001D3B0B">
        <w:t xml:space="preserve"> </w:t>
      </w:r>
      <w:r w:rsidR="000470B7">
        <w:t>Map</w:t>
      </w:r>
      <w:r w:rsidR="00560C98">
        <w:t xml:space="preserve"> extract</w:t>
      </w:r>
      <w:r w:rsidR="00A075DF">
        <w:t>.</w:t>
      </w:r>
      <w:r w:rsidR="00D50439">
        <w:t xml:space="preserve"> </w:t>
      </w:r>
      <w:r w:rsidR="00A075DF">
        <w:t>A</w:t>
      </w:r>
      <w:r w:rsidR="00D50439">
        <w:t xml:space="preserve">lthough only Yates Road </w:t>
      </w:r>
      <w:proofErr w:type="gramStart"/>
      <w:r w:rsidR="00A075DF">
        <w:t>is named</w:t>
      </w:r>
      <w:proofErr w:type="gramEnd"/>
      <w:r w:rsidR="00A075DF">
        <w:t xml:space="preserve"> </w:t>
      </w:r>
      <w:r w:rsidR="00A871F0">
        <w:t>on the Inclosure Map extract</w:t>
      </w:r>
      <w:r w:rsidR="00075341">
        <w:t>,</w:t>
      </w:r>
      <w:r w:rsidR="00A871F0">
        <w:t xml:space="preserve"> Averil Road can </w:t>
      </w:r>
      <w:proofErr w:type="gramStart"/>
      <w:r w:rsidR="00A871F0">
        <w:t>be identified</w:t>
      </w:r>
      <w:proofErr w:type="gramEnd"/>
      <w:r w:rsidR="00A871F0">
        <w:t xml:space="preserve"> based on the description in the Award</w:t>
      </w:r>
      <w:proofErr w:type="gramStart"/>
      <w:r w:rsidR="00B71EF3">
        <w:t xml:space="preserve">.  </w:t>
      </w:r>
      <w:proofErr w:type="gramEnd"/>
      <w:r w:rsidR="00FA1AC2">
        <w:t xml:space="preserve">These roads </w:t>
      </w:r>
      <w:proofErr w:type="gramStart"/>
      <w:r w:rsidR="00FA1AC2">
        <w:t>appear to be</w:t>
      </w:r>
      <w:proofErr w:type="gramEnd"/>
      <w:r w:rsidR="00FA1AC2">
        <w:t xml:space="preserve"> named for the place that they lead to</w:t>
      </w:r>
      <w:r w:rsidR="00A00559">
        <w:t xml:space="preserve"> -</w:t>
      </w:r>
      <w:r w:rsidR="00FA1AC2">
        <w:t xml:space="preserve"> Averil </w:t>
      </w:r>
      <w:r w:rsidR="00A8701E">
        <w:t xml:space="preserve">Side Farm </w:t>
      </w:r>
      <w:r w:rsidR="00564875">
        <w:t>and Yates (</w:t>
      </w:r>
      <w:proofErr w:type="gramStart"/>
      <w:r w:rsidR="00564875">
        <w:t>pres</w:t>
      </w:r>
      <w:r w:rsidR="006570CE">
        <w:t>umably also</w:t>
      </w:r>
      <w:proofErr w:type="gramEnd"/>
      <w:r w:rsidR="006570CE">
        <w:t xml:space="preserve"> a farm as a building </w:t>
      </w:r>
      <w:proofErr w:type="gramStart"/>
      <w:r w:rsidR="006570CE">
        <w:t>is shown</w:t>
      </w:r>
      <w:proofErr w:type="gramEnd"/>
      <w:r w:rsidR="006570CE">
        <w:t xml:space="preserve"> on the </w:t>
      </w:r>
      <w:r w:rsidR="00162880">
        <w:t>Inclosure</w:t>
      </w:r>
      <w:r w:rsidR="006570CE">
        <w:t xml:space="preserve"> </w:t>
      </w:r>
      <w:r w:rsidR="00244E8A">
        <w:t>Map</w:t>
      </w:r>
      <w:r w:rsidR="006570CE">
        <w:t xml:space="preserve"> next t</w:t>
      </w:r>
      <w:r w:rsidR="000C019B">
        <w:t>o the word Yates)</w:t>
      </w:r>
      <w:proofErr w:type="gramStart"/>
      <w:r w:rsidR="000C019B">
        <w:t xml:space="preserve">.  </w:t>
      </w:r>
      <w:proofErr w:type="gramEnd"/>
      <w:r w:rsidR="00E67EB2">
        <w:t xml:space="preserve">The </w:t>
      </w:r>
      <w:r w:rsidR="00EB5333">
        <w:t>Map</w:t>
      </w:r>
      <w:r w:rsidR="00E67EB2">
        <w:t xml:space="preserve"> has an annotation </w:t>
      </w:r>
      <w:r w:rsidR="00DB1174">
        <w:t>‘</w:t>
      </w:r>
      <w:r w:rsidR="00E67EB2">
        <w:t>Whit</w:t>
      </w:r>
      <w:r w:rsidR="00982EF5">
        <w:t>e</w:t>
      </w:r>
      <w:r w:rsidR="00E67EB2">
        <w:t>field Gate</w:t>
      </w:r>
      <w:r w:rsidR="00DB1174">
        <w:t>’</w:t>
      </w:r>
      <w:r w:rsidR="00E67EB2">
        <w:t xml:space="preserve"> </w:t>
      </w:r>
      <w:r w:rsidR="00982EF5">
        <w:t xml:space="preserve">(within </w:t>
      </w:r>
      <w:r w:rsidR="006B2632">
        <w:t>Allotment</w:t>
      </w:r>
      <w:r w:rsidR="00982EF5">
        <w:t xml:space="preserve"> 11 marked in red on the </w:t>
      </w:r>
      <w:r w:rsidR="00EB5333">
        <w:t>Map</w:t>
      </w:r>
      <w:r w:rsidR="00982EF5">
        <w:t xml:space="preserve">) </w:t>
      </w:r>
      <w:r w:rsidR="001A386D">
        <w:t xml:space="preserve">and a line </w:t>
      </w:r>
      <w:proofErr w:type="gramStart"/>
      <w:r w:rsidR="001A386D">
        <w:t>is shown</w:t>
      </w:r>
      <w:proofErr w:type="gramEnd"/>
      <w:r w:rsidR="001A386D">
        <w:t xml:space="preserve"> across the </w:t>
      </w:r>
      <w:r w:rsidR="00B55CE8">
        <w:t>route</w:t>
      </w:r>
      <w:r w:rsidR="001A386D">
        <w:t xml:space="preserve"> </w:t>
      </w:r>
      <w:r w:rsidR="00B55CE8">
        <w:t>at this point</w:t>
      </w:r>
      <w:r w:rsidR="002F2A99">
        <w:t>,</w:t>
      </w:r>
      <w:r w:rsidR="00B55CE8">
        <w:t xml:space="preserve"> </w:t>
      </w:r>
      <w:r w:rsidR="002F2A99">
        <w:t>with</w:t>
      </w:r>
      <w:r w:rsidR="00B55CE8">
        <w:t xml:space="preserve"> </w:t>
      </w:r>
      <w:r w:rsidR="006B51B8">
        <w:t xml:space="preserve">a further line also shown where the route exits between </w:t>
      </w:r>
      <w:r w:rsidR="006B2632">
        <w:t>Allotments</w:t>
      </w:r>
      <w:r w:rsidR="006B51B8">
        <w:t xml:space="preserve"> 12 and 13</w:t>
      </w:r>
      <w:proofErr w:type="gramStart"/>
      <w:r w:rsidR="00DB1174">
        <w:t>.</w:t>
      </w:r>
      <w:r w:rsidR="00FD1D6C">
        <w:t xml:space="preserve"> </w:t>
      </w:r>
      <w:r w:rsidR="00F135EA">
        <w:t xml:space="preserve"> </w:t>
      </w:r>
      <w:proofErr w:type="gramEnd"/>
    </w:p>
    <w:p w14:paraId="7D7CAB88" w14:textId="542EBC0C" w:rsidR="00F135EA" w:rsidRDefault="00F135EA" w:rsidP="006A5375">
      <w:pPr>
        <w:pStyle w:val="Style1"/>
      </w:pPr>
      <w:r>
        <w:t xml:space="preserve">This suggests that that the </w:t>
      </w:r>
      <w:r w:rsidR="00C2225A">
        <w:t>“</w:t>
      </w:r>
      <w:r>
        <w:t>east</w:t>
      </w:r>
      <w:r w:rsidR="00C2225A">
        <w:t>wardly</w:t>
      </w:r>
      <w:r>
        <w:t xml:space="preserve"> end</w:t>
      </w:r>
      <w:r w:rsidR="00C2225A">
        <w:t>”</w:t>
      </w:r>
      <w:r>
        <w:t xml:space="preserve"> of the ancient lane </w:t>
      </w:r>
      <w:r w:rsidR="00C2225A">
        <w:t xml:space="preserve">referred to in the </w:t>
      </w:r>
      <w:r w:rsidR="00162880">
        <w:t>Inclosure</w:t>
      </w:r>
      <w:r w:rsidR="00052F52">
        <w:t xml:space="preserve"> Award may be at the point where there is an annotation </w:t>
      </w:r>
      <w:r w:rsidR="009103C0">
        <w:t xml:space="preserve">on the map </w:t>
      </w:r>
      <w:r w:rsidR="00052F52">
        <w:t xml:space="preserve">reading </w:t>
      </w:r>
      <w:r w:rsidR="00C1278C">
        <w:t>Whitefield Gate</w:t>
      </w:r>
      <w:proofErr w:type="gramStart"/>
      <w:r w:rsidR="00DA696C">
        <w:t xml:space="preserve">.  </w:t>
      </w:r>
      <w:proofErr w:type="gramEnd"/>
      <w:r w:rsidR="00D36234">
        <w:t xml:space="preserve">This also coincides </w:t>
      </w:r>
      <w:r w:rsidR="00B162EA">
        <w:t>with the boundary of the land covered by the Award</w:t>
      </w:r>
      <w:proofErr w:type="gramStart"/>
      <w:r w:rsidR="00A006B0">
        <w:t xml:space="preserve">.  </w:t>
      </w:r>
      <w:proofErr w:type="gramEnd"/>
      <w:r w:rsidR="00DA696C">
        <w:t xml:space="preserve">The language of the </w:t>
      </w:r>
      <w:r w:rsidR="002148C1">
        <w:t>Award</w:t>
      </w:r>
      <w:r w:rsidR="006A5375">
        <w:t xml:space="preserve">, “branching out of the Lower Elkstone and Longnor Road in a westwardly direction over the Rakes Common </w:t>
      </w:r>
      <w:r w:rsidR="006A5375" w:rsidRPr="00E94357">
        <w:rPr>
          <w:b/>
          <w:bCs/>
          <w:u w:val="single"/>
        </w:rPr>
        <w:t>to</w:t>
      </w:r>
      <w:r w:rsidR="006A5375">
        <w:t xml:space="preserve"> the Eastwardly end of an Ancient Lane</w:t>
      </w:r>
      <w:r w:rsidR="00E94357">
        <w:t xml:space="preserve"> </w:t>
      </w:r>
      <w:r w:rsidR="006A5375">
        <w:t>which leads to Lower Elkstone</w:t>
      </w:r>
      <w:r w:rsidR="00E94357">
        <w:t>”,</w:t>
      </w:r>
      <w:r w:rsidR="002148C1">
        <w:t xml:space="preserve"> </w:t>
      </w:r>
      <w:r w:rsidR="004F6D92">
        <w:t xml:space="preserve">(my emphasis) </w:t>
      </w:r>
      <w:r w:rsidR="002148C1">
        <w:t xml:space="preserve">also suggests </w:t>
      </w:r>
      <w:r w:rsidR="00FD6731">
        <w:t>that it re</w:t>
      </w:r>
      <w:r w:rsidR="009C5815">
        <w:t xml:space="preserve">lates </w:t>
      </w:r>
      <w:r w:rsidR="00FD6731">
        <w:t xml:space="preserve">only to the road </w:t>
      </w:r>
      <w:r w:rsidR="008405CA">
        <w:t>up to th</w:t>
      </w:r>
      <w:r w:rsidR="00CE782F">
        <w:t>e</w:t>
      </w:r>
      <w:r w:rsidR="008405CA">
        <w:t xml:space="preserve"> point </w:t>
      </w:r>
      <w:r w:rsidR="00CE782F">
        <w:t>at</w:t>
      </w:r>
      <w:r w:rsidR="008405CA">
        <w:t xml:space="preserve"> </w:t>
      </w:r>
      <w:r w:rsidR="004F6D92">
        <w:t xml:space="preserve">which </w:t>
      </w:r>
      <w:r w:rsidR="008405CA">
        <w:t xml:space="preserve">it joins </w:t>
      </w:r>
      <w:r w:rsidR="00CE782F">
        <w:t>the</w:t>
      </w:r>
      <w:r w:rsidR="008405CA">
        <w:t xml:space="preserve"> ancient lane.  </w:t>
      </w:r>
      <w:r w:rsidR="00292FE9">
        <w:t xml:space="preserve">This would be consistent with the </w:t>
      </w:r>
      <w:r w:rsidR="001C0F39">
        <w:t>naming of other nearby roads for the place that they lead to</w:t>
      </w:r>
      <w:proofErr w:type="gramStart"/>
      <w:r w:rsidR="001C0F39">
        <w:t>.</w:t>
      </w:r>
      <w:r w:rsidR="004A3D71">
        <w:t xml:space="preserve">  </w:t>
      </w:r>
      <w:proofErr w:type="gramEnd"/>
    </w:p>
    <w:p w14:paraId="76BD334C" w14:textId="387E6DCF" w:rsidR="001543D7" w:rsidRDefault="00D36626" w:rsidP="00EE1916">
      <w:pPr>
        <w:pStyle w:val="Style1"/>
      </w:pPr>
      <w:r>
        <w:t xml:space="preserve">There is </w:t>
      </w:r>
      <w:proofErr w:type="gramStart"/>
      <w:r>
        <w:t>some</w:t>
      </w:r>
      <w:proofErr w:type="gramEnd"/>
      <w:r>
        <w:t xml:space="preserve"> disagreement over the interpretation of the words </w:t>
      </w:r>
      <w:r w:rsidR="00EE1916">
        <w:t xml:space="preserve">“for the use of all persons whose Lands adjoin the same or who may require or think proper or have occasion to use the same” </w:t>
      </w:r>
      <w:r w:rsidR="0050101C">
        <w:t xml:space="preserve">in the </w:t>
      </w:r>
      <w:r w:rsidR="00162880">
        <w:t>Inclosure</w:t>
      </w:r>
      <w:r w:rsidR="0050101C">
        <w:t xml:space="preserve"> Award</w:t>
      </w:r>
      <w:proofErr w:type="gramStart"/>
      <w:r w:rsidR="0050101C">
        <w:t xml:space="preserve">.  </w:t>
      </w:r>
      <w:proofErr w:type="gramEnd"/>
      <w:r w:rsidR="00CB0AE8">
        <w:t xml:space="preserve">The appellant </w:t>
      </w:r>
      <w:r w:rsidR="00E112BA">
        <w:t xml:space="preserve">argues that the words “who may require or think proper or have occasion to use” </w:t>
      </w:r>
      <w:r w:rsidR="00505C30">
        <w:t xml:space="preserve">confers </w:t>
      </w:r>
      <w:r w:rsidR="00D95128">
        <w:t>use by the wider public</w:t>
      </w:r>
      <w:r w:rsidR="000F1ADB">
        <w:t>,</w:t>
      </w:r>
      <w:r w:rsidR="00D95128">
        <w:t xml:space="preserve"> whilst the Council contends that </w:t>
      </w:r>
      <w:r w:rsidR="00A06C61">
        <w:t xml:space="preserve">the phrase </w:t>
      </w:r>
      <w:r w:rsidR="00017134">
        <w:t xml:space="preserve">when read </w:t>
      </w:r>
      <w:r w:rsidR="00A06C61">
        <w:t>as a whole constitutes a limitation on the use because if i</w:t>
      </w:r>
      <w:r w:rsidR="00395431">
        <w:t>t</w:t>
      </w:r>
      <w:r w:rsidR="00A06C61">
        <w:t xml:space="preserve"> was intended that the route be public </w:t>
      </w:r>
      <w:r w:rsidR="00395431">
        <w:t>there would be no need to qualify it in the terms used.</w:t>
      </w:r>
    </w:p>
    <w:p w14:paraId="75A8BD1F" w14:textId="7A72F8A9" w:rsidR="006679A9" w:rsidRDefault="007D29B6" w:rsidP="00EE1916">
      <w:pPr>
        <w:pStyle w:val="Style1"/>
      </w:pPr>
      <w:r>
        <w:lastRenderedPageBreak/>
        <w:t>T</w:t>
      </w:r>
      <w:r w:rsidR="006679A9" w:rsidRPr="006679A9">
        <w:t xml:space="preserve">he appellant suggests that within the </w:t>
      </w:r>
      <w:r w:rsidR="00162880">
        <w:t>Inclosure</w:t>
      </w:r>
      <w:r w:rsidR="006679A9" w:rsidRPr="006679A9">
        <w:t xml:space="preserve"> Award there are some 15 </w:t>
      </w:r>
      <w:r w:rsidR="00532220">
        <w:t>C</w:t>
      </w:r>
      <w:r w:rsidR="006679A9" w:rsidRPr="006679A9">
        <w:t xml:space="preserve">arriage and </w:t>
      </w:r>
      <w:r w:rsidR="00532220">
        <w:t>D</w:t>
      </w:r>
      <w:r w:rsidR="006679A9" w:rsidRPr="006679A9">
        <w:t>rift roads of more than 15</w:t>
      </w:r>
      <w:r w:rsidR="007F7B9C">
        <w:t xml:space="preserve"> feet</w:t>
      </w:r>
      <w:r w:rsidR="006679A9" w:rsidRPr="006679A9">
        <w:t xml:space="preserve"> width and all of these are allocated for “the use of all persons whose Lands adjoin the same or who may require or think proper or have occasion to use the same”.  This is not, however, borne out in the extract from the </w:t>
      </w:r>
      <w:r w:rsidR="00FA62CD">
        <w:t>A</w:t>
      </w:r>
      <w:r w:rsidR="006679A9" w:rsidRPr="006679A9">
        <w:t>ward provided by the Council</w:t>
      </w:r>
      <w:r w:rsidR="00EC3F51">
        <w:t>, which sho</w:t>
      </w:r>
      <w:r w:rsidR="007F7B9C">
        <w:t>w</w:t>
      </w:r>
      <w:r w:rsidR="00EC3F51">
        <w:t xml:space="preserve"> some roads over 15</w:t>
      </w:r>
      <w:r w:rsidR="007F7B9C">
        <w:t xml:space="preserve"> feet </w:t>
      </w:r>
      <w:r w:rsidR="00A16C04">
        <w:t>but</w:t>
      </w:r>
      <w:r w:rsidR="00F65196">
        <w:t xml:space="preserve"> which</w:t>
      </w:r>
      <w:r w:rsidR="00A16C04">
        <w:t xml:space="preserve"> do not use this terminology,</w:t>
      </w:r>
      <w:r w:rsidR="006679A9" w:rsidRPr="006679A9">
        <w:t xml:space="preserve"> and the appellant has not provided any extracts which show this to be the case.  </w:t>
      </w:r>
    </w:p>
    <w:p w14:paraId="5850DC1C" w14:textId="6EF2B58D" w:rsidR="005376E3" w:rsidRDefault="00A42A63" w:rsidP="00EE1916">
      <w:pPr>
        <w:pStyle w:val="Style1"/>
      </w:pPr>
      <w:r>
        <w:t xml:space="preserve">From the limited extracts of the </w:t>
      </w:r>
      <w:r w:rsidR="00162880">
        <w:t>Inclosure</w:t>
      </w:r>
      <w:r>
        <w:t xml:space="preserve"> Award that I have seen, there </w:t>
      </w:r>
      <w:r w:rsidR="00907786">
        <w:t xml:space="preserve">are </w:t>
      </w:r>
      <w:proofErr w:type="gramStart"/>
      <w:r w:rsidR="00907786">
        <w:t>some</w:t>
      </w:r>
      <w:proofErr w:type="gramEnd"/>
      <w:r w:rsidR="00907786">
        <w:t xml:space="preserve"> differences </w:t>
      </w:r>
      <w:r>
        <w:t>in the terms</w:t>
      </w:r>
      <w:r w:rsidR="00907786">
        <w:t xml:space="preserve"> and language </w:t>
      </w:r>
      <w:r>
        <w:t xml:space="preserve">used in respect of the </w:t>
      </w:r>
      <w:proofErr w:type="gramStart"/>
      <w:r w:rsidR="00907786">
        <w:t>several</w:t>
      </w:r>
      <w:proofErr w:type="gramEnd"/>
      <w:r w:rsidR="00907786">
        <w:t xml:space="preserve"> listed </w:t>
      </w:r>
      <w:r w:rsidR="00532220">
        <w:t>C</w:t>
      </w:r>
      <w:r w:rsidR="00961FCB">
        <w:t xml:space="preserve">arriage and </w:t>
      </w:r>
      <w:r w:rsidR="00532220">
        <w:t>D</w:t>
      </w:r>
      <w:r w:rsidR="00961FCB">
        <w:t>rift roads</w:t>
      </w:r>
      <w:proofErr w:type="gramStart"/>
      <w:r w:rsidR="00961FCB">
        <w:t xml:space="preserve">.  </w:t>
      </w:r>
      <w:proofErr w:type="gramEnd"/>
      <w:r w:rsidR="003134B7">
        <w:t xml:space="preserve">The same terms used for Whitefield Gate Road </w:t>
      </w:r>
      <w:proofErr w:type="gramStart"/>
      <w:r w:rsidR="003134B7">
        <w:t>are used</w:t>
      </w:r>
      <w:proofErr w:type="gramEnd"/>
      <w:r w:rsidR="003134B7">
        <w:t xml:space="preserve"> for at least one other road</w:t>
      </w:r>
      <w:r w:rsidR="00B8109B">
        <w:t>,</w:t>
      </w:r>
      <w:r w:rsidR="003134B7">
        <w:t xml:space="preserve"> </w:t>
      </w:r>
      <w:r w:rsidR="005E3BFE">
        <w:t xml:space="preserve">whilst others do not </w:t>
      </w:r>
      <w:r w:rsidR="0073726E">
        <w:t>appoint users at all</w:t>
      </w:r>
      <w:r w:rsidR="008A0B89">
        <w:t>,</w:t>
      </w:r>
      <w:r w:rsidR="00B8109B">
        <w:t xml:space="preserve"> and </w:t>
      </w:r>
      <w:proofErr w:type="gramStart"/>
      <w:r w:rsidR="00B8109B">
        <w:t>some</w:t>
      </w:r>
      <w:proofErr w:type="gramEnd"/>
      <w:r w:rsidR="00B8109B">
        <w:t xml:space="preserve"> explicitly place maintenance responsibility on i</w:t>
      </w:r>
      <w:r w:rsidR="008E2854">
        <w:t>dentified allotments</w:t>
      </w:r>
      <w:proofErr w:type="gramStart"/>
      <w:r w:rsidR="0073726E">
        <w:t>.</w:t>
      </w:r>
      <w:r w:rsidR="00DC2AEA">
        <w:t xml:space="preserve">  </w:t>
      </w:r>
      <w:proofErr w:type="gramEnd"/>
      <w:r w:rsidR="00DC2AEA">
        <w:t>In terms of widths</w:t>
      </w:r>
      <w:r w:rsidR="008A0B89">
        <w:t>,</w:t>
      </w:r>
      <w:r w:rsidR="00DC2AEA">
        <w:t xml:space="preserve"> these </w:t>
      </w:r>
      <w:r w:rsidR="00324F34">
        <w:t>road</w:t>
      </w:r>
      <w:r w:rsidR="00A65B9B">
        <w:t>s</w:t>
      </w:r>
      <w:r w:rsidR="00324F34">
        <w:t xml:space="preserve"> </w:t>
      </w:r>
      <w:r w:rsidR="00DC2AEA">
        <w:t xml:space="preserve">range from </w:t>
      </w:r>
      <w:proofErr w:type="gramStart"/>
      <w:r w:rsidR="00DC2AEA">
        <w:t>15</w:t>
      </w:r>
      <w:proofErr w:type="gramEnd"/>
      <w:r w:rsidR="00DC2AEA">
        <w:t xml:space="preserve"> feet </w:t>
      </w:r>
      <w:r w:rsidR="00FD4815">
        <w:t xml:space="preserve">to </w:t>
      </w:r>
      <w:proofErr w:type="gramStart"/>
      <w:r w:rsidR="00333F00">
        <w:t>24</w:t>
      </w:r>
      <w:proofErr w:type="gramEnd"/>
      <w:r w:rsidR="00FD4815">
        <w:t xml:space="preserve"> feet</w:t>
      </w:r>
      <w:proofErr w:type="gramStart"/>
      <w:r w:rsidR="00333F00">
        <w:t xml:space="preserve">.  </w:t>
      </w:r>
      <w:proofErr w:type="gramEnd"/>
    </w:p>
    <w:p w14:paraId="3FBC1434" w14:textId="15695A5C" w:rsidR="00D72AD3" w:rsidRDefault="009459AB" w:rsidP="00DD6598">
      <w:pPr>
        <w:pStyle w:val="Style1"/>
      </w:pPr>
      <w:r>
        <w:t xml:space="preserve">Nonetheless, </w:t>
      </w:r>
      <w:r w:rsidR="009C19E2">
        <w:t xml:space="preserve">the wording used implies a wider use </w:t>
      </w:r>
      <w:r w:rsidR="000E6BFD">
        <w:t xml:space="preserve">than simply </w:t>
      </w:r>
      <w:r w:rsidR="001D02BF">
        <w:t>for those persons whose</w:t>
      </w:r>
      <w:r w:rsidR="000E6BFD">
        <w:t xml:space="preserve"> land </w:t>
      </w:r>
      <w:r w:rsidR="001D02BF">
        <w:t>adjoins it</w:t>
      </w:r>
      <w:proofErr w:type="gramStart"/>
      <w:r w:rsidR="001D02BF">
        <w:t xml:space="preserve">.  </w:t>
      </w:r>
      <w:proofErr w:type="gramEnd"/>
      <w:r w:rsidR="00091AA8">
        <w:t>My attention has been drawn to the Inspector</w:t>
      </w:r>
      <w:r w:rsidR="00952F73">
        <w:t>’</w:t>
      </w:r>
      <w:r w:rsidR="00091AA8">
        <w:t xml:space="preserve">s </w:t>
      </w:r>
      <w:r w:rsidR="007D18D3">
        <w:t xml:space="preserve">Interim Order Decision </w:t>
      </w:r>
      <w:r w:rsidR="00021734">
        <w:t xml:space="preserve">in respect of </w:t>
      </w:r>
      <w:r w:rsidR="00021734" w:rsidRPr="00021734">
        <w:t>The Somerset County Council (No. 6) Modification Order, 2016</w:t>
      </w:r>
      <w:r w:rsidR="00E26D8F">
        <w:t xml:space="preserve"> at Pitney (Order Reference ROW/3229117) </w:t>
      </w:r>
      <w:r w:rsidR="004A32A8">
        <w:t xml:space="preserve">and the </w:t>
      </w:r>
      <w:r w:rsidR="009967F3">
        <w:t xml:space="preserve">High Court judgement in </w:t>
      </w:r>
      <w:r w:rsidR="009967F3" w:rsidRPr="007E6EE0">
        <w:rPr>
          <w:i/>
          <w:iCs/>
          <w:u w:val="single"/>
        </w:rPr>
        <w:t>Craggs v Secretary of State for the Environment</w:t>
      </w:r>
      <w:r w:rsidR="009967F3" w:rsidRPr="007E6EE0">
        <w:rPr>
          <w:u w:val="single"/>
        </w:rPr>
        <w:t xml:space="preserve"> [2020] EWHC 3346 (Admin)</w:t>
      </w:r>
      <w:r w:rsidR="009967F3">
        <w:t xml:space="preserve"> which refer to the </w:t>
      </w:r>
      <w:r w:rsidR="00904231">
        <w:t xml:space="preserve">provisions of the Pitney </w:t>
      </w:r>
      <w:r w:rsidR="00662F5D">
        <w:t>I</w:t>
      </w:r>
      <w:r w:rsidR="00904231">
        <w:t xml:space="preserve">nclosure Award of 1807 and </w:t>
      </w:r>
      <w:r w:rsidR="00DD6598">
        <w:t>The Shipham and</w:t>
      </w:r>
      <w:r w:rsidR="00662F5D">
        <w:t xml:space="preserve"> </w:t>
      </w:r>
      <w:r w:rsidR="00DD6598">
        <w:t>Winscombe Inclosure Award of 1799</w:t>
      </w:r>
      <w:r w:rsidR="00662F5D">
        <w:t xml:space="preserve"> respectively.  </w:t>
      </w:r>
      <w:r w:rsidR="001103AC">
        <w:t>These concluded that the user provisions</w:t>
      </w:r>
      <w:r w:rsidR="007E6EE0">
        <w:t xml:space="preserve"> in the awards</w:t>
      </w:r>
      <w:r w:rsidR="001103AC">
        <w:t xml:space="preserve"> </w:t>
      </w:r>
      <w:r w:rsidR="005E414B">
        <w:t xml:space="preserve">effectively </w:t>
      </w:r>
      <w:r w:rsidR="001103AC">
        <w:t xml:space="preserve">conferred </w:t>
      </w:r>
      <w:r w:rsidR="00E96A2A" w:rsidRPr="00E96A2A">
        <w:t xml:space="preserve">unfettered </w:t>
      </w:r>
      <w:r w:rsidR="005E414B" w:rsidRPr="00E96A2A">
        <w:t xml:space="preserve">public </w:t>
      </w:r>
      <w:r w:rsidR="00E96A2A" w:rsidRPr="00E96A2A">
        <w:t>rights to use roads described as ‘private</w:t>
      </w:r>
      <w:proofErr w:type="gramStart"/>
      <w:r w:rsidR="005E414B">
        <w:t>’.</w:t>
      </w:r>
      <w:proofErr w:type="gramEnd"/>
      <w:r w:rsidR="005E414B">
        <w:t xml:space="preserve">  </w:t>
      </w:r>
    </w:p>
    <w:p w14:paraId="67D8D27D" w14:textId="6708AF37" w:rsidR="00A7402F" w:rsidRDefault="00A7402F" w:rsidP="00F620FB">
      <w:pPr>
        <w:pStyle w:val="Style1"/>
      </w:pPr>
      <w:r>
        <w:t>The Pitney Award confers use to</w:t>
      </w:r>
      <w:r w:rsidR="00413377">
        <w:t xml:space="preserve"> “all and every other person or </w:t>
      </w:r>
      <w:r w:rsidR="00143E7F">
        <w:t>persons whomsoever</w:t>
      </w:r>
      <w:r w:rsidR="00413377">
        <w:t xml:space="preserve"> having any occasion whatsoever to pass and repass thereon</w:t>
      </w:r>
      <w:r w:rsidR="0043498B">
        <w:t>” in addition to the owners and occupiers</w:t>
      </w:r>
      <w:proofErr w:type="gramStart"/>
      <w:r w:rsidR="0043498B">
        <w:t xml:space="preserve">.  </w:t>
      </w:r>
      <w:proofErr w:type="gramEnd"/>
      <w:r w:rsidR="0043498B">
        <w:t xml:space="preserve">The Shipham and Winscombe Award confers use to </w:t>
      </w:r>
      <w:r w:rsidR="00892F8F">
        <w:t>“…</w:t>
      </w:r>
      <w:r w:rsidR="00C94FDA" w:rsidRPr="00C94FDA">
        <w:t xml:space="preserve"> all and every the owners tenants and occupiers of the several and respective divisions and … with free liberty power and authority for them and all and every other person and persons whomsoever having any occasion whatsoever to go travel pass and repass through upon and over the same roads and ways and every or any or either of them on foot or on horseback with horses cattle carts and other carriages loaded or unloaded at their and every of their free wills and pleasure or otherwise howsoever as and when and as often as they or any or either of them shall think fit and proper</w:t>
      </w:r>
      <w:r w:rsidR="001E2BE9">
        <w:t>…”</w:t>
      </w:r>
      <w:r w:rsidR="007454AB">
        <w:t>.</w:t>
      </w:r>
    </w:p>
    <w:p w14:paraId="5A27F863" w14:textId="5F8FF95F" w:rsidR="006D0C73" w:rsidRDefault="00587458" w:rsidP="00DD6598">
      <w:pPr>
        <w:pStyle w:val="Style1"/>
      </w:pPr>
      <w:r>
        <w:t>The language used in these is more explicit tha</w:t>
      </w:r>
      <w:r w:rsidR="003C7F39">
        <w:t>n</w:t>
      </w:r>
      <w:r>
        <w:t xml:space="preserve"> in the instant case </w:t>
      </w:r>
      <w:r w:rsidR="00D770AC">
        <w:t>wh</w:t>
      </w:r>
      <w:r w:rsidR="00CA23A5">
        <w:t>ere the award</w:t>
      </w:r>
      <w:r w:rsidR="00D770AC">
        <w:t xml:space="preserve"> sets out </w:t>
      </w:r>
      <w:r w:rsidR="005D6D09">
        <w:t xml:space="preserve">use for </w:t>
      </w:r>
      <w:r w:rsidR="00143E7F">
        <w:t>“</w:t>
      </w:r>
      <w:r w:rsidR="005D6D09">
        <w:t>all persons…who may require</w:t>
      </w:r>
      <w:r w:rsidR="00DA7ACB">
        <w:t>, or think proper, or have occasion to use the same</w:t>
      </w:r>
      <w:proofErr w:type="gramStart"/>
      <w:r w:rsidR="00A5381F">
        <w:t>”.</w:t>
      </w:r>
      <w:proofErr w:type="gramEnd"/>
      <w:r w:rsidR="001E2BE9">
        <w:t xml:space="preserve">  This is a more guarded form of words, and the Council suggest that </w:t>
      </w:r>
      <w:r w:rsidR="001E2BE9" w:rsidRPr="001E2BE9">
        <w:t>those with a requirement or occasion to use the route are not the public at large</w:t>
      </w:r>
      <w:proofErr w:type="gramStart"/>
      <w:r w:rsidR="001E2BE9">
        <w:t xml:space="preserve">.  </w:t>
      </w:r>
      <w:proofErr w:type="gramEnd"/>
      <w:r w:rsidR="001E2BE9">
        <w:t>The Council does accept</w:t>
      </w:r>
      <w:r w:rsidR="001E2BE9" w:rsidRPr="001E2BE9">
        <w:t>, however</w:t>
      </w:r>
      <w:r w:rsidR="00AE3FB6">
        <w:t>,</w:t>
      </w:r>
      <w:r w:rsidR="001E2BE9" w:rsidRPr="001E2BE9">
        <w:t xml:space="preserve"> that those who “think proper” to use it could potentially apply to anyone</w:t>
      </w:r>
      <w:proofErr w:type="gramStart"/>
      <w:r w:rsidR="001E2BE9">
        <w:t xml:space="preserve">.  </w:t>
      </w:r>
      <w:proofErr w:type="gramEnd"/>
    </w:p>
    <w:p w14:paraId="6C9A5426" w14:textId="74B02CE1" w:rsidR="001E2BE9" w:rsidRDefault="001E2BE9" w:rsidP="001E2BE9">
      <w:pPr>
        <w:pStyle w:val="Style1"/>
      </w:pPr>
      <w:r>
        <w:t xml:space="preserve">A private road can be highway albeit one which </w:t>
      </w:r>
      <w:proofErr w:type="gramStart"/>
      <w:r>
        <w:t>is maintained</w:t>
      </w:r>
      <w:proofErr w:type="gramEnd"/>
      <w:r>
        <w:t xml:space="preserve"> by the landowner(s) as opposed to at the public expense</w:t>
      </w:r>
      <w:proofErr w:type="gramStart"/>
      <w:r>
        <w:t xml:space="preserve">.  </w:t>
      </w:r>
      <w:proofErr w:type="gramEnd"/>
      <w:r>
        <w:t xml:space="preserve">In respect of Whitefield Gate Road, the </w:t>
      </w:r>
      <w:r w:rsidR="00162880">
        <w:t>Inclosure</w:t>
      </w:r>
      <w:r>
        <w:t xml:space="preserve"> Award imposed the maintenance responsibility for the road on the “several owners and occupiers for the time being of the lands and </w:t>
      </w:r>
      <w:r w:rsidR="00165084">
        <w:t>hereditaments</w:t>
      </w:r>
      <w:r>
        <w:t>” of the township of Lower Elkstone “by a general rate or assessment</w:t>
      </w:r>
      <w:proofErr w:type="gramStart"/>
      <w:r>
        <w:t>”.</w:t>
      </w:r>
      <w:proofErr w:type="gramEnd"/>
      <w:r>
        <w:t xml:space="preserve">  </w:t>
      </w:r>
      <w:r w:rsidR="00604A49">
        <w:t xml:space="preserve">This </w:t>
      </w:r>
      <w:proofErr w:type="gramStart"/>
      <w:r w:rsidR="00604A49">
        <w:t xml:space="preserve">is </w:t>
      </w:r>
      <w:r w:rsidR="008A14F4">
        <w:t xml:space="preserve">in </w:t>
      </w:r>
      <w:r w:rsidR="00604A49">
        <w:t>contrast to</w:t>
      </w:r>
      <w:proofErr w:type="gramEnd"/>
      <w:r w:rsidR="00604A49">
        <w:t xml:space="preserve"> another nearby Carriage and Drift Road, Averil Road, where the Award clearly designated the maintenance responsibility to the </w:t>
      </w:r>
      <w:r w:rsidR="00604A49" w:rsidRPr="00604A49">
        <w:t xml:space="preserve">owner and occupiers of the farm and allotments </w:t>
      </w:r>
      <w:r w:rsidR="00604A49">
        <w:t>that its serves</w:t>
      </w:r>
      <w:r w:rsidR="006122F1">
        <w:t>.</w:t>
      </w:r>
    </w:p>
    <w:p w14:paraId="7E9C667B" w14:textId="1C1D9C93" w:rsidR="00604A49" w:rsidRDefault="006122F1" w:rsidP="001E2BE9">
      <w:pPr>
        <w:pStyle w:val="Style1"/>
      </w:pPr>
      <w:r>
        <w:lastRenderedPageBreak/>
        <w:t>Whilst the Council opine that this places the maintenance liability on owners and occupiers, a</w:t>
      </w:r>
      <w:r w:rsidR="001E2BE9">
        <w:t xml:space="preserve"> Township was a subdivision of a Parish</w:t>
      </w:r>
      <w:r>
        <w:t xml:space="preserve"> and commonly occurred in large</w:t>
      </w:r>
      <w:r w:rsidR="00902CD7">
        <w:t>r</w:t>
      </w:r>
      <w:r>
        <w:t xml:space="preserve"> Parishes</w:t>
      </w:r>
      <w:proofErr w:type="gramStart"/>
      <w:r w:rsidR="001E2BE9">
        <w:t xml:space="preserve">.  </w:t>
      </w:r>
      <w:proofErr w:type="gramEnd"/>
      <w:r>
        <w:t>T</w:t>
      </w:r>
      <w:r w:rsidR="001E2BE9">
        <w:t>ownships had the power to levy rates and to appoint a surveyor of highways</w:t>
      </w:r>
      <w:proofErr w:type="gramStart"/>
      <w:r w:rsidR="001E2BE9">
        <w:t xml:space="preserve">.  </w:t>
      </w:r>
      <w:proofErr w:type="gramEnd"/>
      <w:r w:rsidR="008B1272">
        <w:t xml:space="preserve">At least </w:t>
      </w:r>
      <w:proofErr w:type="gramStart"/>
      <w:r w:rsidR="008B1272">
        <w:t>some of</w:t>
      </w:r>
      <w:proofErr w:type="gramEnd"/>
      <w:r w:rsidR="008B1272">
        <w:t xml:space="preserve"> the boundaries of Lower Elkstone </w:t>
      </w:r>
      <w:proofErr w:type="gramStart"/>
      <w:r w:rsidR="008B1272">
        <w:t>are indicated</w:t>
      </w:r>
      <w:proofErr w:type="gramEnd"/>
      <w:r w:rsidR="008B1272">
        <w:t xml:space="preserve"> on the </w:t>
      </w:r>
      <w:r w:rsidR="00162880">
        <w:t>Inclosure</w:t>
      </w:r>
      <w:r w:rsidR="008B1272">
        <w:t xml:space="preserve"> Award Map and from this it is apparent that there are properties </w:t>
      </w:r>
      <w:proofErr w:type="gramStart"/>
      <w:r w:rsidR="008B1272">
        <w:t>some</w:t>
      </w:r>
      <w:proofErr w:type="gramEnd"/>
      <w:r w:rsidR="008B1272">
        <w:t xml:space="preserve"> distance from the Whitefield Gate Road that would nonetheless be liable for its maintenance</w:t>
      </w:r>
      <w:r w:rsidR="00780126">
        <w:t xml:space="preserve"> according to the </w:t>
      </w:r>
      <w:r w:rsidR="00162880">
        <w:t>Inclosure</w:t>
      </w:r>
      <w:r w:rsidR="00780126">
        <w:t xml:space="preserve"> Award</w:t>
      </w:r>
      <w:proofErr w:type="gramStart"/>
      <w:r w:rsidR="008B1272">
        <w:t xml:space="preserve">. </w:t>
      </w:r>
      <w:r w:rsidR="00E8674C">
        <w:t xml:space="preserve"> </w:t>
      </w:r>
      <w:proofErr w:type="gramEnd"/>
    </w:p>
    <w:p w14:paraId="2D1C6B1C" w14:textId="11BB3883" w:rsidR="00850221" w:rsidRDefault="00850221" w:rsidP="001E2BE9">
      <w:pPr>
        <w:pStyle w:val="Style1"/>
      </w:pPr>
      <w:r>
        <w:t xml:space="preserve">This same </w:t>
      </w:r>
      <w:r w:rsidR="00F537D9">
        <w:t xml:space="preserve">terminology </w:t>
      </w:r>
      <w:proofErr w:type="gramStart"/>
      <w:r w:rsidR="00F537D9">
        <w:t>is used</w:t>
      </w:r>
      <w:proofErr w:type="gramEnd"/>
      <w:r w:rsidR="00F537D9">
        <w:t xml:space="preserve"> in relation to another </w:t>
      </w:r>
      <w:proofErr w:type="gramStart"/>
      <w:r w:rsidR="00F537D9">
        <w:t>18</w:t>
      </w:r>
      <w:proofErr w:type="gramEnd"/>
      <w:r w:rsidR="00110A5C">
        <w:t xml:space="preserve">’ </w:t>
      </w:r>
      <w:r w:rsidR="00F537D9">
        <w:t>carriage and drift road</w:t>
      </w:r>
      <w:r w:rsidR="00110A5C">
        <w:t>,</w:t>
      </w:r>
      <w:r w:rsidR="00F537D9">
        <w:t xml:space="preserve"> Goldsitch House Road</w:t>
      </w:r>
      <w:r w:rsidR="00110A5C">
        <w:t xml:space="preserve">, in the extract from the </w:t>
      </w:r>
      <w:r w:rsidR="00162880">
        <w:t>Inclosure</w:t>
      </w:r>
      <w:r w:rsidR="00110A5C">
        <w:t xml:space="preserve"> Award in the Council’s evidence</w:t>
      </w:r>
      <w:proofErr w:type="gramStart"/>
      <w:r w:rsidR="00110A5C">
        <w:t>.</w:t>
      </w:r>
      <w:r w:rsidR="00292B3A">
        <w:t xml:space="preserve">  </w:t>
      </w:r>
      <w:proofErr w:type="gramEnd"/>
      <w:r w:rsidR="00B130F4">
        <w:t>However</w:t>
      </w:r>
      <w:r w:rsidR="00BE4731">
        <w:t>,</w:t>
      </w:r>
      <w:r w:rsidR="00B130F4">
        <w:t xml:space="preserve"> in the same extract a further </w:t>
      </w:r>
      <w:proofErr w:type="gramStart"/>
      <w:r w:rsidR="00B130F4">
        <w:t>21</w:t>
      </w:r>
      <w:proofErr w:type="gramEnd"/>
      <w:r w:rsidR="00DA05E3">
        <w:t>’ wide carriage and drift road</w:t>
      </w:r>
      <w:r w:rsidR="00DB5168">
        <w:t>,</w:t>
      </w:r>
      <w:r w:rsidR="00DA05E3">
        <w:t xml:space="preserve"> May Church Road</w:t>
      </w:r>
      <w:r w:rsidR="00DB5168">
        <w:t>,</w:t>
      </w:r>
      <w:r w:rsidR="00DA05E3">
        <w:t xml:space="preserve"> </w:t>
      </w:r>
      <w:r w:rsidR="00DB5168">
        <w:t xml:space="preserve">and an </w:t>
      </w:r>
      <w:proofErr w:type="gramStart"/>
      <w:r w:rsidR="00DB5168">
        <w:t>18</w:t>
      </w:r>
      <w:proofErr w:type="gramEnd"/>
      <w:r w:rsidR="00DB5168">
        <w:t xml:space="preserve">’ road, Back Forest Road, </w:t>
      </w:r>
      <w:proofErr w:type="gramStart"/>
      <w:r w:rsidR="00DB5168">
        <w:t>are</w:t>
      </w:r>
      <w:r w:rsidR="00DA05E3">
        <w:t xml:space="preserve"> appointed</w:t>
      </w:r>
      <w:proofErr w:type="gramEnd"/>
      <w:r w:rsidR="00DA05E3">
        <w:t xml:space="preserve"> </w:t>
      </w:r>
      <w:r w:rsidR="003A2316">
        <w:t xml:space="preserve">that do not appear to assign a </w:t>
      </w:r>
      <w:r w:rsidR="00546753">
        <w:t>maintenance</w:t>
      </w:r>
      <w:r w:rsidR="003A2316">
        <w:t xml:space="preserve"> responsibility to any party</w:t>
      </w:r>
      <w:proofErr w:type="gramStart"/>
      <w:r w:rsidR="00DB5168">
        <w:t>.</w:t>
      </w:r>
      <w:r w:rsidR="003A2316">
        <w:t xml:space="preserve"> </w:t>
      </w:r>
      <w:r w:rsidR="00DA05E3">
        <w:t xml:space="preserve"> </w:t>
      </w:r>
      <w:proofErr w:type="gramEnd"/>
    </w:p>
    <w:p w14:paraId="200C9A91" w14:textId="63A34DB9" w:rsidR="00F824B2" w:rsidRDefault="00F824B2" w:rsidP="00F824B2">
      <w:pPr>
        <w:pStyle w:val="Style1"/>
      </w:pPr>
      <w:r>
        <w:t xml:space="preserve">The appellant </w:t>
      </w:r>
      <w:r w:rsidR="005B1607">
        <w:t>has drawn my attention to the Brampton Incl</w:t>
      </w:r>
      <w:r w:rsidR="00C450F0">
        <w:t>o</w:t>
      </w:r>
      <w:r w:rsidR="005B1607">
        <w:t xml:space="preserve">sure Award of 1831 </w:t>
      </w:r>
      <w:r w:rsidR="009410E5">
        <w:t>which sets out a private carriage road</w:t>
      </w:r>
      <w:r w:rsidR="000B1B3F">
        <w:t>,</w:t>
      </w:r>
      <w:r w:rsidR="004205E8">
        <w:t xml:space="preserve"> the maintenance responsibility for which </w:t>
      </w:r>
      <w:proofErr w:type="gramStart"/>
      <w:r w:rsidR="00B32346">
        <w:t>is imposed</w:t>
      </w:r>
      <w:proofErr w:type="gramEnd"/>
      <w:r w:rsidR="00B32346">
        <w:t xml:space="preserve"> on the Parish Council due to great public use of it</w:t>
      </w:r>
      <w:proofErr w:type="gramStart"/>
      <w:r w:rsidR="000369FF">
        <w:t xml:space="preserve">.  </w:t>
      </w:r>
      <w:proofErr w:type="gramEnd"/>
      <w:r w:rsidR="00E6514C">
        <w:t>Whilst this indicates that there may be public rights over private roads</w:t>
      </w:r>
      <w:r w:rsidR="00243A56">
        <w:t xml:space="preserve">, only a small extract from the Award </w:t>
      </w:r>
      <w:proofErr w:type="gramStart"/>
      <w:r w:rsidR="00243A56">
        <w:t>is provided</w:t>
      </w:r>
      <w:proofErr w:type="gramEnd"/>
      <w:r w:rsidR="00243A56">
        <w:t xml:space="preserve"> </w:t>
      </w:r>
      <w:r w:rsidR="00D769DA">
        <w:t>and the context of this is thus not known</w:t>
      </w:r>
      <w:proofErr w:type="gramStart"/>
      <w:r w:rsidR="00D769DA">
        <w:t xml:space="preserve">. </w:t>
      </w:r>
      <w:r>
        <w:t xml:space="preserve"> </w:t>
      </w:r>
      <w:proofErr w:type="gramEnd"/>
      <w:r w:rsidR="003D4D9B">
        <w:t>As set out above</w:t>
      </w:r>
      <w:r w:rsidR="003F20F3">
        <w:t>,</w:t>
      </w:r>
      <w:r w:rsidR="003D4D9B">
        <w:t xml:space="preserve"> highway rights can exist over a private road</w:t>
      </w:r>
      <w:r w:rsidR="005404BC">
        <w:t>,</w:t>
      </w:r>
      <w:r w:rsidR="003D4D9B">
        <w:t xml:space="preserve"> </w:t>
      </w:r>
      <w:r w:rsidR="00D42CFE">
        <w:t xml:space="preserve">with the terms </w:t>
      </w:r>
      <w:r w:rsidR="00D61D2E">
        <w:t>“</w:t>
      </w:r>
      <w:r w:rsidR="00D42CFE">
        <w:t>public</w:t>
      </w:r>
      <w:r w:rsidR="00D61D2E">
        <w:t>”</w:t>
      </w:r>
      <w:r w:rsidR="00D42CFE">
        <w:t xml:space="preserve"> and </w:t>
      </w:r>
      <w:r w:rsidR="00D61D2E">
        <w:t>“</w:t>
      </w:r>
      <w:r w:rsidR="00D42CFE">
        <w:t>private</w:t>
      </w:r>
      <w:r w:rsidR="00D61D2E">
        <w:t>”</w:t>
      </w:r>
      <w:r w:rsidR="00D42CFE">
        <w:t xml:space="preserve"> referring to maintenance responsibility</w:t>
      </w:r>
      <w:proofErr w:type="gramStart"/>
      <w:r w:rsidR="00D42CFE">
        <w:t>.</w:t>
      </w:r>
      <w:r w:rsidR="003F20F3">
        <w:t xml:space="preserve">  </w:t>
      </w:r>
      <w:proofErr w:type="gramEnd"/>
      <w:r w:rsidR="00657CB0">
        <w:t>The Brampton Award</w:t>
      </w:r>
      <w:r w:rsidR="00193EE3">
        <w:t>, however,</w:t>
      </w:r>
      <w:r w:rsidR="00657CB0">
        <w:t xml:space="preserve"> explicitly </w:t>
      </w:r>
      <w:r w:rsidR="00491B78">
        <w:t xml:space="preserve">sets out that maintenance of that </w:t>
      </w:r>
      <w:proofErr w:type="gramStart"/>
      <w:r w:rsidR="00491B78">
        <w:t>particular road</w:t>
      </w:r>
      <w:proofErr w:type="gramEnd"/>
      <w:r w:rsidR="00491B78">
        <w:t xml:space="preserve"> </w:t>
      </w:r>
      <w:r w:rsidR="00666D30">
        <w:t xml:space="preserve">is to be by the Surveyor of Highways as </w:t>
      </w:r>
      <w:proofErr w:type="gramStart"/>
      <w:r w:rsidR="00666D30">
        <w:t>part and parcel</w:t>
      </w:r>
      <w:proofErr w:type="gramEnd"/>
      <w:r w:rsidR="00666D30">
        <w:t xml:space="preserve"> of the </w:t>
      </w:r>
      <w:r w:rsidR="003D054D">
        <w:t>general highways of the parish</w:t>
      </w:r>
      <w:proofErr w:type="gramStart"/>
      <w:r w:rsidR="003D054D">
        <w:t xml:space="preserve">.  </w:t>
      </w:r>
      <w:proofErr w:type="gramEnd"/>
      <w:r w:rsidR="00306B53">
        <w:t xml:space="preserve">The </w:t>
      </w:r>
      <w:r w:rsidR="00306B53" w:rsidRPr="00306B53">
        <w:t>Alstonefield Inclosure Award</w:t>
      </w:r>
      <w:r w:rsidR="002A154E">
        <w:t xml:space="preserve"> imposes the </w:t>
      </w:r>
      <w:r w:rsidR="00FE7BD6">
        <w:t xml:space="preserve">maintenance on the </w:t>
      </w:r>
      <w:r w:rsidR="00585838">
        <w:t>“</w:t>
      </w:r>
      <w:r w:rsidR="00FE7BD6">
        <w:t xml:space="preserve">several owners and occupiers of the </w:t>
      </w:r>
      <w:r w:rsidR="00585838">
        <w:t xml:space="preserve">lands and </w:t>
      </w:r>
      <w:r w:rsidR="007C5537">
        <w:t>hereditaments</w:t>
      </w:r>
      <w:r w:rsidR="00585838">
        <w:t xml:space="preserve"> of the </w:t>
      </w:r>
      <w:r w:rsidR="00FE7BD6">
        <w:t>township</w:t>
      </w:r>
      <w:r w:rsidR="00F03B71">
        <w:t xml:space="preserve">” </w:t>
      </w:r>
      <w:r w:rsidR="00164AFE">
        <w:t xml:space="preserve">which on a </w:t>
      </w:r>
      <w:r w:rsidR="00A77D81">
        <w:t>plain</w:t>
      </w:r>
      <w:r w:rsidR="00164AFE">
        <w:t xml:space="preserve"> reading is a group of indiv</w:t>
      </w:r>
      <w:r w:rsidR="00A77D81">
        <w:t>i</w:t>
      </w:r>
      <w:r w:rsidR="00164AFE">
        <w:t xml:space="preserve">duals rather than </w:t>
      </w:r>
      <w:r w:rsidR="00A77D81">
        <w:t>the parish or the surveyor of highways</w:t>
      </w:r>
      <w:proofErr w:type="gramStart"/>
      <w:r w:rsidR="000D458D">
        <w:t xml:space="preserve">.  </w:t>
      </w:r>
      <w:proofErr w:type="gramEnd"/>
    </w:p>
    <w:p w14:paraId="68ACF61F" w14:textId="058BFE5D" w:rsidR="00541056" w:rsidRDefault="00263C98" w:rsidP="00EE1916">
      <w:pPr>
        <w:pStyle w:val="Style1"/>
      </w:pPr>
      <w:r>
        <w:t xml:space="preserve">Considering the evidence from the </w:t>
      </w:r>
      <w:r w:rsidR="00162880">
        <w:t>Inclosure</w:t>
      </w:r>
      <w:r>
        <w:t xml:space="preserve"> Award as a whole, th</w:t>
      </w:r>
      <w:r w:rsidR="00477B51">
        <w:t xml:space="preserve">e award </w:t>
      </w:r>
      <w:r w:rsidR="00704A6E">
        <w:t xml:space="preserve">distinguishes </w:t>
      </w:r>
      <w:r w:rsidR="00477B51">
        <w:t>between public carriage</w:t>
      </w:r>
      <w:r w:rsidR="00A34607">
        <w:t xml:space="preserve"> roads</w:t>
      </w:r>
      <w:r w:rsidR="00477B51">
        <w:t xml:space="preserve"> and </w:t>
      </w:r>
      <w:r w:rsidR="00A34607">
        <w:t>carriage and drift roads</w:t>
      </w:r>
      <w:proofErr w:type="gramStart"/>
      <w:r w:rsidR="00E45AFF">
        <w:t xml:space="preserve">.  </w:t>
      </w:r>
      <w:proofErr w:type="gramEnd"/>
      <w:r w:rsidR="00E45AFF">
        <w:t xml:space="preserve">The public carriage roads are to be set out at 30 feet wide </w:t>
      </w:r>
      <w:r w:rsidR="00CD7191">
        <w:t>in accordance with the requirement in the General Inclosure Act 1801</w:t>
      </w:r>
      <w:proofErr w:type="gramStart"/>
      <w:r w:rsidR="00CD7191">
        <w:t>.</w:t>
      </w:r>
      <w:r w:rsidR="00983AAB">
        <w:t xml:space="preserve">  </w:t>
      </w:r>
      <w:proofErr w:type="gramEnd"/>
      <w:r w:rsidR="00B21757" w:rsidRPr="00B21757">
        <w:t xml:space="preserve">The width of the carriage and drift roads in the </w:t>
      </w:r>
      <w:r w:rsidR="00162880">
        <w:t>Inclosure</w:t>
      </w:r>
      <w:r w:rsidR="00B21757" w:rsidRPr="00B21757">
        <w:t xml:space="preserve"> Award are all less than the minimum </w:t>
      </w:r>
      <w:proofErr w:type="gramStart"/>
      <w:r w:rsidR="00B21757" w:rsidRPr="00B21757">
        <w:t>30</w:t>
      </w:r>
      <w:proofErr w:type="gramEnd"/>
      <w:r w:rsidR="00B21757" w:rsidRPr="00B21757">
        <w:t xml:space="preserve"> feet required for public road as set out in </w:t>
      </w:r>
      <w:r w:rsidR="00B21757">
        <w:t>that Act</w:t>
      </w:r>
      <w:proofErr w:type="gramStart"/>
      <w:r w:rsidR="00B21757">
        <w:t>.</w:t>
      </w:r>
      <w:r w:rsidR="00541056">
        <w:t xml:space="preserve">  </w:t>
      </w:r>
      <w:proofErr w:type="gramEnd"/>
      <w:r w:rsidR="00310B9A">
        <w:t xml:space="preserve">It is therefore evident that the roads listed </w:t>
      </w:r>
      <w:r w:rsidR="0076292A">
        <w:t>under Public Carriage Roads</w:t>
      </w:r>
      <w:r w:rsidR="00A5016C">
        <w:t xml:space="preserve"> </w:t>
      </w:r>
      <w:proofErr w:type="gramStart"/>
      <w:r w:rsidR="00A5016C">
        <w:t>were intended</w:t>
      </w:r>
      <w:proofErr w:type="gramEnd"/>
      <w:r w:rsidR="00A5016C">
        <w:t xml:space="preserve"> as public </w:t>
      </w:r>
      <w:r w:rsidR="00974469">
        <w:t>roads</w:t>
      </w:r>
      <w:proofErr w:type="gramStart"/>
      <w:r w:rsidR="00A5016C">
        <w:t xml:space="preserve">.  </w:t>
      </w:r>
      <w:proofErr w:type="gramEnd"/>
    </w:p>
    <w:p w14:paraId="19DFC1AE" w14:textId="4057B4D5" w:rsidR="00263C98" w:rsidRDefault="00A5016C" w:rsidP="00EE1916">
      <w:pPr>
        <w:pStyle w:val="Style1"/>
      </w:pPr>
      <w:r>
        <w:t xml:space="preserve">Whitefield Gate Road is not among these </w:t>
      </w:r>
      <w:r w:rsidR="003B4D37">
        <w:t xml:space="preserve">roads, rather </w:t>
      </w:r>
      <w:r w:rsidR="00995FA4">
        <w:t xml:space="preserve">it </w:t>
      </w:r>
      <w:proofErr w:type="gramStart"/>
      <w:r w:rsidR="00995FA4">
        <w:t xml:space="preserve">is </w:t>
      </w:r>
      <w:r w:rsidR="003B4D37">
        <w:t>listed</w:t>
      </w:r>
      <w:proofErr w:type="gramEnd"/>
      <w:r w:rsidR="003B4D37">
        <w:t xml:space="preserve"> with carriage and drift roads</w:t>
      </w:r>
      <w:proofErr w:type="gramStart"/>
      <w:r w:rsidR="003B4D37">
        <w:t xml:space="preserve">.  </w:t>
      </w:r>
      <w:proofErr w:type="gramEnd"/>
      <w:r w:rsidR="003B4D37">
        <w:t xml:space="preserve">It </w:t>
      </w:r>
      <w:proofErr w:type="gramStart"/>
      <w:r w:rsidR="003B4D37">
        <w:t>is not explicitly stated</w:t>
      </w:r>
      <w:proofErr w:type="gramEnd"/>
      <w:r w:rsidR="003B4D37">
        <w:t xml:space="preserve"> that these are private roads</w:t>
      </w:r>
      <w:r w:rsidR="007B0F46">
        <w:t xml:space="preserve">, </w:t>
      </w:r>
      <w:r w:rsidR="00AD0579">
        <w:t>nevertheless</w:t>
      </w:r>
      <w:r w:rsidR="00C81441">
        <w:t>,</w:t>
      </w:r>
      <w:r w:rsidR="00AD0579">
        <w:t xml:space="preserve"> they are in a separate section from public roads</w:t>
      </w:r>
      <w:r w:rsidR="00607E68">
        <w:t>,</w:t>
      </w:r>
      <w:r w:rsidR="00AD0579">
        <w:t xml:space="preserve"> and the </w:t>
      </w:r>
      <w:r w:rsidR="00CA3C6B">
        <w:t>widths are less than those required for public roads</w:t>
      </w:r>
      <w:proofErr w:type="gramStart"/>
      <w:r w:rsidR="00CA3C6B">
        <w:t xml:space="preserve">.  </w:t>
      </w:r>
      <w:proofErr w:type="gramEnd"/>
      <w:r w:rsidR="00CA6F1A">
        <w:t xml:space="preserve">This would indicate that they </w:t>
      </w:r>
      <w:proofErr w:type="gramStart"/>
      <w:r w:rsidR="00CA6F1A">
        <w:t>are intended</w:t>
      </w:r>
      <w:proofErr w:type="gramEnd"/>
      <w:r w:rsidR="00CA6F1A">
        <w:t xml:space="preserve"> to be something other than a public carriage road</w:t>
      </w:r>
      <w:proofErr w:type="gramStart"/>
      <w:r w:rsidR="00CA6F1A">
        <w:t xml:space="preserve">.  </w:t>
      </w:r>
      <w:proofErr w:type="gramEnd"/>
      <w:r w:rsidR="00A34607">
        <w:t xml:space="preserve"> </w:t>
      </w:r>
    </w:p>
    <w:p w14:paraId="31B281A0" w14:textId="34E15E45" w:rsidR="007200F9" w:rsidRDefault="007200F9" w:rsidP="00EE1916">
      <w:pPr>
        <w:pStyle w:val="Style1"/>
      </w:pPr>
      <w:r w:rsidRPr="007200F9">
        <w:t xml:space="preserve">Taken together, the identified users and the wider maintenance liability </w:t>
      </w:r>
      <w:r w:rsidR="00FB456F">
        <w:t>might</w:t>
      </w:r>
      <w:r w:rsidRPr="007200F9">
        <w:t xml:space="preserve"> suggest a broader public right to use this road</w:t>
      </w:r>
      <w:proofErr w:type="gramStart"/>
      <w:r w:rsidRPr="007200F9">
        <w:t xml:space="preserve">.  </w:t>
      </w:r>
      <w:proofErr w:type="gramEnd"/>
      <w:r w:rsidRPr="007200F9">
        <w:t>That said, this would only relate to the extent of the road set out in the award e.g. to the point on the Award map marked Whitefield Gate</w:t>
      </w:r>
      <w:proofErr w:type="gramStart"/>
      <w:r w:rsidRPr="007200F9">
        <w:t xml:space="preserve">.  </w:t>
      </w:r>
      <w:proofErr w:type="gramEnd"/>
      <w:r w:rsidRPr="007200F9">
        <w:t>The “ancient lane” is outwith the area covered by the Inclosure Award.</w:t>
      </w:r>
    </w:p>
    <w:p w14:paraId="167616A0" w14:textId="6AFDA08F" w:rsidR="00A955D7" w:rsidRDefault="003B2912" w:rsidP="00FE2062">
      <w:pPr>
        <w:pStyle w:val="Style1"/>
      </w:pPr>
      <w:r>
        <w:t xml:space="preserve">What is telling is the appellant’s statement that </w:t>
      </w:r>
      <w:r w:rsidR="00C97D30">
        <w:t>the section from Point A to Point B</w:t>
      </w:r>
      <w:r w:rsidR="00D8288F">
        <w:t xml:space="preserve">, whilst it appears on some early maps </w:t>
      </w:r>
      <w:r w:rsidR="00067BA1">
        <w:t xml:space="preserve">from around the same time as the </w:t>
      </w:r>
      <w:r w:rsidR="00162880">
        <w:t>Inclosure</w:t>
      </w:r>
      <w:r w:rsidR="00067BA1">
        <w:t xml:space="preserve"> Award</w:t>
      </w:r>
      <w:r w:rsidR="007C3EBB">
        <w:t xml:space="preserve"> as part of a longer route</w:t>
      </w:r>
      <w:r w:rsidR="00C35433">
        <w:t>, is missing from later</w:t>
      </w:r>
      <w:r w:rsidR="007C3EBB">
        <w:t>,</w:t>
      </w:r>
      <w:r w:rsidR="00C35433">
        <w:t xml:space="preserve"> larger scale</w:t>
      </w:r>
      <w:r w:rsidR="007C3EBB">
        <w:t>,</w:t>
      </w:r>
      <w:r w:rsidR="00C35433">
        <w:t xml:space="preserve"> and more detailed Ordnance Survey maps </w:t>
      </w:r>
      <w:r w:rsidR="00834021">
        <w:t xml:space="preserve">such as the </w:t>
      </w:r>
      <w:r w:rsidR="000067AE">
        <w:t xml:space="preserve">6 Inch and 25 Inch maps.  Whilst a track </w:t>
      </w:r>
      <w:proofErr w:type="gramStart"/>
      <w:r w:rsidR="000067AE">
        <w:t>is shown</w:t>
      </w:r>
      <w:proofErr w:type="gramEnd"/>
      <w:r w:rsidR="000067AE">
        <w:t xml:space="preserve"> on the </w:t>
      </w:r>
      <w:r w:rsidR="00F749C8">
        <w:t>1:50</w:t>
      </w:r>
      <w:r w:rsidR="004D3E1F">
        <w:t>,000 map published in 197</w:t>
      </w:r>
      <w:r w:rsidR="007110B1">
        <w:t xml:space="preserve">8 </w:t>
      </w:r>
      <w:r w:rsidR="007E4046">
        <w:t xml:space="preserve">it is </w:t>
      </w:r>
      <w:r w:rsidR="0020032D">
        <w:t xml:space="preserve">otherwise </w:t>
      </w:r>
      <w:r w:rsidR="007E4046">
        <w:t xml:space="preserve">absent for a period of </w:t>
      </w:r>
      <w:r w:rsidR="00204004">
        <w:t>approximately</w:t>
      </w:r>
      <w:r w:rsidR="007E4046">
        <w:t xml:space="preserve"> </w:t>
      </w:r>
      <w:proofErr w:type="gramStart"/>
      <w:r w:rsidR="007E4046">
        <w:t>100</w:t>
      </w:r>
      <w:proofErr w:type="gramEnd"/>
      <w:r w:rsidR="007E4046">
        <w:t xml:space="preserve"> years</w:t>
      </w:r>
      <w:proofErr w:type="gramStart"/>
      <w:r w:rsidR="007E4046">
        <w:t xml:space="preserve">.  </w:t>
      </w:r>
      <w:proofErr w:type="gramEnd"/>
      <w:r w:rsidR="007E4046">
        <w:t xml:space="preserve">The appellant states </w:t>
      </w:r>
      <w:r w:rsidR="00204004">
        <w:t xml:space="preserve">that </w:t>
      </w:r>
      <w:r w:rsidR="007E4046">
        <w:t xml:space="preserve">it is shown on the </w:t>
      </w:r>
      <w:r w:rsidR="007E4046">
        <w:lastRenderedPageBreak/>
        <w:t>first edition 1</w:t>
      </w:r>
      <w:r w:rsidR="00F54C69">
        <w:t>:</w:t>
      </w:r>
      <w:r w:rsidR="007E4046">
        <w:t>2</w:t>
      </w:r>
      <w:r w:rsidR="00F54C69">
        <w:t xml:space="preserve">500 </w:t>
      </w:r>
      <w:r w:rsidR="00AA5936">
        <w:t xml:space="preserve">map </w:t>
      </w:r>
      <w:r w:rsidR="007A604C">
        <w:t xml:space="preserve">(it is assumed that this is intended to </w:t>
      </w:r>
      <w:r w:rsidR="00496729">
        <w:t>mean</w:t>
      </w:r>
      <w:r w:rsidR="007A604C">
        <w:t xml:space="preserve"> </w:t>
      </w:r>
      <w:r w:rsidR="00496729">
        <w:t xml:space="preserve">the </w:t>
      </w:r>
      <w:r w:rsidR="007A604C">
        <w:t xml:space="preserve">25 Inch </w:t>
      </w:r>
      <w:r w:rsidR="00496729">
        <w:t>Map) from 1878</w:t>
      </w:r>
      <w:r w:rsidR="00173267">
        <w:t>, however,</w:t>
      </w:r>
      <w:r w:rsidR="00496729">
        <w:t xml:space="preserve"> an extract from this </w:t>
      </w:r>
      <w:r w:rsidR="00173267">
        <w:t xml:space="preserve">map </w:t>
      </w:r>
      <w:r w:rsidR="00E0154D">
        <w:t xml:space="preserve">showing that section of the route </w:t>
      </w:r>
      <w:r w:rsidR="00496729">
        <w:t xml:space="preserve">has not been adduced in evidence. </w:t>
      </w:r>
      <w:r w:rsidR="0098769F">
        <w:t xml:space="preserve"> This </w:t>
      </w:r>
      <w:r w:rsidR="003244EE">
        <w:t xml:space="preserve">section of the route does not appear on the 1897 One Inch to the Mile map, although this does show what is now the route of Footpath 17 as a </w:t>
      </w:r>
      <w:r w:rsidR="00F941A1">
        <w:t>foot</w:t>
      </w:r>
      <w:r w:rsidR="00F044F4">
        <w:t>path</w:t>
      </w:r>
      <w:proofErr w:type="gramStart"/>
      <w:r w:rsidR="00F044F4">
        <w:t>.</w:t>
      </w:r>
      <w:r w:rsidR="007544D3">
        <w:t xml:space="preserve">  </w:t>
      </w:r>
      <w:proofErr w:type="gramEnd"/>
      <w:r w:rsidR="00415BD0">
        <w:t xml:space="preserve">The question is whether there is sufficient evidence before the route ceased to </w:t>
      </w:r>
      <w:proofErr w:type="gramStart"/>
      <w:r w:rsidR="00415BD0">
        <w:t>be depicted</w:t>
      </w:r>
      <w:proofErr w:type="gramEnd"/>
      <w:r w:rsidR="00415BD0">
        <w:t xml:space="preserve"> to support the existence of a highway?</w:t>
      </w:r>
    </w:p>
    <w:p w14:paraId="77DA363D" w14:textId="1E5CE3F9" w:rsidR="004B16EA" w:rsidRDefault="002D72D8" w:rsidP="00FE2062">
      <w:pPr>
        <w:pStyle w:val="Style1"/>
      </w:pPr>
      <w:r>
        <w:t xml:space="preserve">The extract from Yate’s 1775 </w:t>
      </w:r>
      <w:r w:rsidR="008429F0">
        <w:t>Map of Staffordshire submitted by the appellant does not show this section of the claimed route</w:t>
      </w:r>
      <w:proofErr w:type="gramStart"/>
      <w:r w:rsidR="008429F0">
        <w:t xml:space="preserve">.  </w:t>
      </w:r>
      <w:proofErr w:type="gramEnd"/>
      <w:r w:rsidR="004858E4">
        <w:t xml:space="preserve">It may have been standard cartographic practice </w:t>
      </w:r>
      <w:r w:rsidR="00212075">
        <w:t>in the 1700’s not to delineate roads crossing common land</w:t>
      </w:r>
      <w:r w:rsidR="00BA402D">
        <w:t>, nevertheless</w:t>
      </w:r>
      <w:r w:rsidR="007E098C">
        <w:t>,</w:t>
      </w:r>
      <w:r w:rsidR="00BA402D">
        <w:t xml:space="preserve"> </w:t>
      </w:r>
      <w:r w:rsidR="000A33AD">
        <w:t xml:space="preserve">the </w:t>
      </w:r>
      <w:r w:rsidR="00712D7B">
        <w:t xml:space="preserve">existence </w:t>
      </w:r>
      <w:r w:rsidR="00FD64BD">
        <w:t xml:space="preserve">of a road </w:t>
      </w:r>
      <w:r w:rsidR="00712D7B">
        <w:t xml:space="preserve">on the claimed route cannot </w:t>
      </w:r>
      <w:proofErr w:type="gramStart"/>
      <w:r w:rsidR="00712D7B">
        <w:t>be inferred</w:t>
      </w:r>
      <w:proofErr w:type="gramEnd"/>
      <w:r w:rsidR="00712D7B">
        <w:t xml:space="preserve"> from this as it is simply not shown</w:t>
      </w:r>
      <w:proofErr w:type="gramStart"/>
      <w:r w:rsidR="00712D7B">
        <w:t>.</w:t>
      </w:r>
      <w:r w:rsidR="00310CC5">
        <w:t xml:space="preserve">  </w:t>
      </w:r>
      <w:proofErr w:type="gramEnd"/>
      <w:r w:rsidR="00310CC5">
        <w:t xml:space="preserve">Something approximating the claimed route </w:t>
      </w:r>
      <w:proofErr w:type="gramStart"/>
      <w:r w:rsidR="00310CC5">
        <w:t>is illustrated</w:t>
      </w:r>
      <w:proofErr w:type="gramEnd"/>
      <w:r w:rsidR="00310CC5">
        <w:t xml:space="preserve"> on the extract from </w:t>
      </w:r>
      <w:r w:rsidR="00B07AD0">
        <w:t>Greenwoods 1819 map</w:t>
      </w:r>
      <w:proofErr w:type="gramStart"/>
      <w:r w:rsidR="003B61CE">
        <w:t xml:space="preserve">.  </w:t>
      </w:r>
      <w:proofErr w:type="gramEnd"/>
      <w:r w:rsidR="003B61CE">
        <w:t>However</w:t>
      </w:r>
      <w:r w:rsidR="00F220FD">
        <w:t>,</w:t>
      </w:r>
      <w:r w:rsidR="003B61CE">
        <w:t xml:space="preserve"> this map does not show the </w:t>
      </w:r>
      <w:r w:rsidR="005B7B28">
        <w:t>Lower Elkstone and Longnor Road</w:t>
      </w:r>
      <w:r w:rsidR="0094690C">
        <w:t>, although it may show part of route</w:t>
      </w:r>
      <w:r w:rsidR="009B32FE">
        <w:t xml:space="preserve"> of</w:t>
      </w:r>
      <w:r w:rsidR="0094690C">
        <w:t xml:space="preserve"> </w:t>
      </w:r>
      <w:r w:rsidR="009B32FE">
        <w:t xml:space="preserve">this road </w:t>
      </w:r>
      <w:r w:rsidR="0094690C">
        <w:t>as a track</w:t>
      </w:r>
      <w:proofErr w:type="gramStart"/>
      <w:r w:rsidR="0094690C">
        <w:t>.</w:t>
      </w:r>
      <w:r w:rsidR="00212075">
        <w:t xml:space="preserve"> </w:t>
      </w:r>
      <w:r w:rsidR="00F40E18">
        <w:t xml:space="preserve"> </w:t>
      </w:r>
      <w:proofErr w:type="gramEnd"/>
      <w:r w:rsidR="00F40E18">
        <w:t>Consequently</w:t>
      </w:r>
      <w:r w:rsidR="00351DC5">
        <w:t>,</w:t>
      </w:r>
      <w:r w:rsidR="00F40E18">
        <w:t xml:space="preserve"> it is not </w:t>
      </w:r>
      <w:r w:rsidR="00BA3564">
        <w:t xml:space="preserve">clear whether what </w:t>
      </w:r>
      <w:proofErr w:type="gramStart"/>
      <w:r w:rsidR="00BA3564">
        <w:t>is shown</w:t>
      </w:r>
      <w:proofErr w:type="gramEnd"/>
      <w:r w:rsidR="00BA3564">
        <w:t xml:space="preserve"> on Greenwoods map </w:t>
      </w:r>
      <w:r w:rsidR="000E0A18">
        <w:t>is a route running between two roads.</w:t>
      </w:r>
    </w:p>
    <w:p w14:paraId="1D26B927" w14:textId="56BAA528" w:rsidR="0053557A" w:rsidRDefault="001C5139" w:rsidP="00371B9C">
      <w:pPr>
        <w:pStyle w:val="Style1"/>
      </w:pPr>
      <w:r>
        <w:t xml:space="preserve">Whilst it is shown on the </w:t>
      </w:r>
      <w:r w:rsidR="00162880">
        <w:t>Inclosure</w:t>
      </w:r>
      <w:r>
        <w:t xml:space="preserve"> Map, the </w:t>
      </w:r>
      <w:r w:rsidR="00B12117">
        <w:t xml:space="preserve">plan for the Survey of </w:t>
      </w:r>
      <w:r w:rsidR="008C07A2">
        <w:t>Warslow and Elkstone from 1841</w:t>
      </w:r>
      <w:r w:rsidR="007C4A04">
        <w:t>,</w:t>
      </w:r>
      <w:r w:rsidR="008C07A2">
        <w:t xml:space="preserve"> and an Ord</w:t>
      </w:r>
      <w:r w:rsidR="001D5AE9">
        <w:t>n</w:t>
      </w:r>
      <w:r w:rsidR="008C07A2">
        <w:t xml:space="preserve">ance Survey </w:t>
      </w:r>
      <w:r w:rsidR="00B8627E">
        <w:t xml:space="preserve">One Inch map from </w:t>
      </w:r>
      <w:r w:rsidR="00495EEC">
        <w:t>1841</w:t>
      </w:r>
      <w:r w:rsidR="0061030A">
        <w:t xml:space="preserve">, </w:t>
      </w:r>
      <w:r w:rsidR="00C35122">
        <w:t xml:space="preserve">all of which fall within a two year time frame, </w:t>
      </w:r>
      <w:r w:rsidR="0061030A">
        <w:t xml:space="preserve">the </w:t>
      </w:r>
      <w:r w:rsidR="00790D58">
        <w:t xml:space="preserve">section </w:t>
      </w:r>
      <w:r w:rsidR="00E830A6">
        <w:t>of the claimed route fro</w:t>
      </w:r>
      <w:r w:rsidR="009B32E3">
        <w:t>m</w:t>
      </w:r>
      <w:r w:rsidR="00E830A6">
        <w:t xml:space="preserve"> Point A to Point B on the appellant’s map</w:t>
      </w:r>
      <w:r w:rsidR="009B32E3">
        <w:t>, on the evidence before me</w:t>
      </w:r>
      <w:r w:rsidR="00040AB4">
        <w:t>,</w:t>
      </w:r>
      <w:r w:rsidR="009B32E3">
        <w:t xml:space="preserve"> does not appear</w:t>
      </w:r>
      <w:r w:rsidR="00040AB4">
        <w:t xml:space="preserve"> on any other Ordnance Survey map until the 1970’s.  </w:t>
      </w:r>
      <w:r w:rsidR="0073467E">
        <w:t xml:space="preserve">Yates Road does not appear on the </w:t>
      </w:r>
      <w:r w:rsidR="0073467E" w:rsidRPr="0073467E">
        <w:t>Survey of Warslow and Elkstone</w:t>
      </w:r>
      <w:r w:rsidR="00AC6E42">
        <w:t>,</w:t>
      </w:r>
      <w:r w:rsidR="00401F06">
        <w:t xml:space="preserve"> </w:t>
      </w:r>
      <w:r w:rsidR="00371B9C">
        <w:t xml:space="preserve">nor is there any evidence that this road </w:t>
      </w:r>
      <w:r w:rsidR="00BA000A">
        <w:t>appears on any Ordnance Survey map</w:t>
      </w:r>
      <w:proofErr w:type="gramStart"/>
      <w:r w:rsidR="00BA000A">
        <w:t>.</w:t>
      </w:r>
      <w:r w:rsidR="00495EEC">
        <w:t xml:space="preserve"> </w:t>
      </w:r>
      <w:r w:rsidR="005B259F">
        <w:t xml:space="preserve"> </w:t>
      </w:r>
      <w:proofErr w:type="gramEnd"/>
      <w:r w:rsidR="003A2657">
        <w:t>The appellant suggests that this may be because the</w:t>
      </w:r>
      <w:r w:rsidR="005B29CF">
        <w:t xml:space="preserve"> roads</w:t>
      </w:r>
      <w:r w:rsidR="003A2657">
        <w:t xml:space="preserve"> fell out of use</w:t>
      </w:r>
      <w:proofErr w:type="gramStart"/>
      <w:r w:rsidR="002A5C1C">
        <w:t xml:space="preserve">.  </w:t>
      </w:r>
      <w:proofErr w:type="gramEnd"/>
      <w:r w:rsidR="002A5C1C">
        <w:t>If this is the case</w:t>
      </w:r>
      <w:r w:rsidR="003D28C3">
        <w:t>,</w:t>
      </w:r>
      <w:r w:rsidR="002A5C1C">
        <w:t xml:space="preserve"> </w:t>
      </w:r>
      <w:r w:rsidR="001026B1">
        <w:t xml:space="preserve">then </w:t>
      </w:r>
      <w:r w:rsidR="002A5C1C">
        <w:t xml:space="preserve">this must have happened very shortly after they </w:t>
      </w:r>
      <w:proofErr w:type="gramStart"/>
      <w:r w:rsidR="0025247F">
        <w:t>were appointed</w:t>
      </w:r>
      <w:proofErr w:type="gramEnd"/>
      <w:r w:rsidR="001026B1">
        <w:t xml:space="preserve"> for them to not feature on </w:t>
      </w:r>
      <w:r w:rsidR="00CB18DE">
        <w:t>the six inch and twenty five inch map series</w:t>
      </w:r>
      <w:r w:rsidR="0010447F">
        <w:t>,</w:t>
      </w:r>
      <w:r w:rsidR="00CB18DE">
        <w:t xml:space="preserve"> or the </w:t>
      </w:r>
      <w:r w:rsidR="00261ECC">
        <w:t>one inch map</w:t>
      </w:r>
      <w:r w:rsidR="00222DC9">
        <w:t>s</w:t>
      </w:r>
      <w:r w:rsidR="00261ECC">
        <w:t xml:space="preserve"> after 1841 in the case of Whitegate Field Road</w:t>
      </w:r>
      <w:r w:rsidR="0025247F">
        <w:t>.</w:t>
      </w:r>
    </w:p>
    <w:p w14:paraId="69C76FF3" w14:textId="03650DA5" w:rsidR="00466FC7" w:rsidRDefault="00B5186D" w:rsidP="00371B9C">
      <w:pPr>
        <w:pStyle w:val="Style1"/>
      </w:pPr>
      <w:r>
        <w:t xml:space="preserve">The question </w:t>
      </w:r>
      <w:r w:rsidR="006D40C5">
        <w:t xml:space="preserve">that needs to </w:t>
      </w:r>
      <w:proofErr w:type="gramStart"/>
      <w:r w:rsidR="006D40C5">
        <w:t>be answered</w:t>
      </w:r>
      <w:proofErr w:type="gramEnd"/>
      <w:r w:rsidR="006D40C5">
        <w:t xml:space="preserve"> is can public rights be </w:t>
      </w:r>
      <w:proofErr w:type="gramStart"/>
      <w:r w:rsidR="006D40C5">
        <w:t>reasonably alleged</w:t>
      </w:r>
      <w:proofErr w:type="gramEnd"/>
      <w:r w:rsidR="006D40C5">
        <w:t xml:space="preserve"> to subsist over this section </w:t>
      </w:r>
      <w:r w:rsidR="006E7832">
        <w:t>of the route</w:t>
      </w:r>
      <w:proofErr w:type="gramStart"/>
      <w:r w:rsidR="006E7832">
        <w:t xml:space="preserve">?  </w:t>
      </w:r>
      <w:proofErr w:type="gramEnd"/>
      <w:r w:rsidR="00B91113">
        <w:t xml:space="preserve">The route </w:t>
      </w:r>
      <w:proofErr w:type="gramStart"/>
      <w:r w:rsidR="00B91113">
        <w:t>is described</w:t>
      </w:r>
      <w:proofErr w:type="gramEnd"/>
      <w:r w:rsidR="00B91113">
        <w:t xml:space="preserve"> as a carriage and drift road</w:t>
      </w:r>
      <w:proofErr w:type="gramStart"/>
      <w:r w:rsidR="00B91113">
        <w:t xml:space="preserve">.  </w:t>
      </w:r>
      <w:proofErr w:type="gramEnd"/>
      <w:r w:rsidR="001110D7">
        <w:t xml:space="preserve">The term </w:t>
      </w:r>
      <w:r w:rsidR="00776E0D">
        <w:t xml:space="preserve">carriage road </w:t>
      </w:r>
      <w:proofErr w:type="gramStart"/>
      <w:r w:rsidR="00776E0D">
        <w:t>generally refers</w:t>
      </w:r>
      <w:proofErr w:type="gramEnd"/>
      <w:r w:rsidR="00776E0D">
        <w:t xml:space="preserve"> to a vehicular road </w:t>
      </w:r>
      <w:r w:rsidR="005F752B">
        <w:t>whether it is private or public</w:t>
      </w:r>
      <w:proofErr w:type="gramStart"/>
      <w:r w:rsidR="002D7AF1">
        <w:t xml:space="preserve">.  </w:t>
      </w:r>
      <w:proofErr w:type="gramEnd"/>
      <w:r w:rsidR="002D7AF1">
        <w:t>A</w:t>
      </w:r>
      <w:r w:rsidR="006B6162">
        <w:t xml:space="preserve"> drift (or drove) road was a route for the movement of livestock, either to market or from one field to another</w:t>
      </w:r>
      <w:proofErr w:type="gramStart"/>
      <w:r w:rsidR="005E438F">
        <w:t xml:space="preserve">. </w:t>
      </w:r>
      <w:r w:rsidR="0014771F">
        <w:t xml:space="preserve"> </w:t>
      </w:r>
      <w:proofErr w:type="gramEnd"/>
      <w:r w:rsidR="00191B74">
        <w:t xml:space="preserve">Given that these roads </w:t>
      </w:r>
      <w:proofErr w:type="gramStart"/>
      <w:r w:rsidR="00191B74">
        <w:t>are differentiated</w:t>
      </w:r>
      <w:proofErr w:type="gramEnd"/>
      <w:r w:rsidR="00191B74">
        <w:t xml:space="preserve"> from public carriage roads in the Inclosure Award</w:t>
      </w:r>
      <w:r w:rsidR="005D34C9">
        <w:t xml:space="preserve">, it cannot </w:t>
      </w:r>
      <w:proofErr w:type="gramStart"/>
      <w:r w:rsidR="005D34C9">
        <w:t>be assumed</w:t>
      </w:r>
      <w:proofErr w:type="gramEnd"/>
      <w:r w:rsidR="005D34C9">
        <w:t xml:space="preserve"> that these terms convey any wider public use.</w:t>
      </w:r>
      <w:r w:rsidR="00191B74">
        <w:t xml:space="preserve"> </w:t>
      </w:r>
    </w:p>
    <w:p w14:paraId="535ADE6F" w14:textId="1228F14C" w:rsidR="008A203F" w:rsidRDefault="00700E00" w:rsidP="00371B9C">
      <w:pPr>
        <w:pStyle w:val="Style1"/>
      </w:pPr>
      <w:r>
        <w:t xml:space="preserve">The language used in the Inclosure Award </w:t>
      </w:r>
      <w:r w:rsidR="009D3AB0">
        <w:t xml:space="preserve">implies that the use </w:t>
      </w:r>
      <w:proofErr w:type="gramStart"/>
      <w:r w:rsidR="009D3AB0">
        <w:t>is not restricted</w:t>
      </w:r>
      <w:proofErr w:type="gramEnd"/>
      <w:r w:rsidR="009D3AB0">
        <w:t xml:space="preserve"> to the owners/occupiers of the two allo</w:t>
      </w:r>
      <w:r w:rsidR="00E374DF">
        <w:t>t</w:t>
      </w:r>
      <w:r w:rsidR="009D3AB0">
        <w:t xml:space="preserve">ments </w:t>
      </w:r>
      <w:r w:rsidR="00E374DF">
        <w:t xml:space="preserve">it runs </w:t>
      </w:r>
      <w:r w:rsidR="00A33EC7">
        <w:t xml:space="preserve">between </w:t>
      </w:r>
      <w:r w:rsidR="00E374DF">
        <w:t>(allotments 135 and 137)</w:t>
      </w:r>
      <w:proofErr w:type="gramStart"/>
      <w:r w:rsidR="00A33EC7">
        <w:t xml:space="preserve">.  </w:t>
      </w:r>
      <w:proofErr w:type="gramEnd"/>
      <w:r w:rsidR="00536DEC">
        <w:t xml:space="preserve">However, </w:t>
      </w:r>
      <w:r w:rsidR="00036D00">
        <w:t xml:space="preserve">this road does lead to </w:t>
      </w:r>
      <w:r w:rsidR="001A3B10">
        <w:t>an area of older inclosures (marked with red allotment numbers on the map</w:t>
      </w:r>
      <w:r w:rsidR="00A11C36">
        <w:t>)</w:t>
      </w:r>
      <w:r w:rsidR="00F1261F">
        <w:t xml:space="preserve"> which would be effectively landlocked after the incl</w:t>
      </w:r>
      <w:r w:rsidR="00286D9C">
        <w:t>osure in the absence of a road or track</w:t>
      </w:r>
      <w:r w:rsidR="006A6483">
        <w:t>,</w:t>
      </w:r>
      <w:r w:rsidR="001173BB">
        <w:t xml:space="preserve"> and </w:t>
      </w:r>
      <w:r w:rsidR="00C6336B">
        <w:t>w</w:t>
      </w:r>
      <w:r w:rsidR="001173BB">
        <w:t>hich would require access</w:t>
      </w:r>
      <w:r w:rsidR="00226BAD">
        <w:t xml:space="preserve"> to the road network</w:t>
      </w:r>
      <w:proofErr w:type="gramStart"/>
      <w:r w:rsidR="001173BB">
        <w:t>.</w:t>
      </w:r>
      <w:r w:rsidR="008247B5">
        <w:t xml:space="preserve"> </w:t>
      </w:r>
      <w:r w:rsidR="00C52F20">
        <w:t xml:space="preserve"> </w:t>
      </w:r>
      <w:proofErr w:type="gramEnd"/>
      <w:r w:rsidR="00E04E1D">
        <w:t xml:space="preserve">The holders of these plots would </w:t>
      </w:r>
      <w:r w:rsidR="000F07F9">
        <w:t>think it proper or have occasion to use the road.</w:t>
      </w:r>
      <w:r w:rsidR="008247B5">
        <w:t xml:space="preserve"> </w:t>
      </w:r>
    </w:p>
    <w:p w14:paraId="2E0F8308" w14:textId="03DA1DDE" w:rsidR="00250130" w:rsidRDefault="009F11FB" w:rsidP="00371B9C">
      <w:pPr>
        <w:pStyle w:val="Style1"/>
      </w:pPr>
      <w:r>
        <w:t xml:space="preserve">The appellant suggests that Whitefield Gate Road together with the </w:t>
      </w:r>
      <w:r w:rsidR="00A82E95">
        <w:t>“ancient lane”</w:t>
      </w:r>
      <w:r w:rsidR="001A3B10">
        <w:t xml:space="preserve"> </w:t>
      </w:r>
      <w:r w:rsidR="00A82E95">
        <w:t xml:space="preserve">should </w:t>
      </w:r>
      <w:proofErr w:type="gramStart"/>
      <w:r w:rsidR="00A82E95">
        <w:t>be regarded</w:t>
      </w:r>
      <w:proofErr w:type="gramEnd"/>
      <w:r w:rsidR="00A82E95">
        <w:t xml:space="preserve"> as a “cross road” </w:t>
      </w:r>
      <w:r w:rsidR="000F1FC5">
        <w:t>or road linking two other public roads</w:t>
      </w:r>
      <w:proofErr w:type="gramStart"/>
      <w:r w:rsidR="000F1FC5">
        <w:t xml:space="preserve">.  </w:t>
      </w:r>
      <w:proofErr w:type="gramEnd"/>
      <w:r w:rsidR="007E4238">
        <w:t>Th</w:t>
      </w:r>
      <w:r w:rsidR="000234BB" w:rsidRPr="000234BB">
        <w:t xml:space="preserve">e depiction of a through route between roads on old maps </w:t>
      </w:r>
      <w:r w:rsidR="007E4238">
        <w:t xml:space="preserve">can </w:t>
      </w:r>
      <w:r w:rsidR="000234BB" w:rsidRPr="000234BB">
        <w:t xml:space="preserve">provide </w:t>
      </w:r>
      <w:proofErr w:type="gramStart"/>
      <w:r w:rsidR="000234BB" w:rsidRPr="000234BB">
        <w:t>some</w:t>
      </w:r>
      <w:proofErr w:type="gramEnd"/>
      <w:r w:rsidR="000234BB" w:rsidRPr="000234BB">
        <w:t xml:space="preserve"> support for the route being a road or bridleway</w:t>
      </w:r>
      <w:proofErr w:type="gramStart"/>
      <w:r w:rsidR="007E4238">
        <w:t xml:space="preserve">.  </w:t>
      </w:r>
      <w:proofErr w:type="gramEnd"/>
      <w:r w:rsidR="00EE1ABB">
        <w:t xml:space="preserve">Whilst it appears on </w:t>
      </w:r>
      <w:proofErr w:type="gramStart"/>
      <w:r w:rsidR="00537471">
        <w:t>a number of</w:t>
      </w:r>
      <w:proofErr w:type="gramEnd"/>
      <w:r w:rsidR="00537471">
        <w:t xml:space="preserve"> </w:t>
      </w:r>
      <w:r w:rsidR="00EF105F">
        <w:t>map</w:t>
      </w:r>
      <w:r w:rsidR="00AC1EEC">
        <w:t>s</w:t>
      </w:r>
      <w:r w:rsidR="00EF105F">
        <w:t xml:space="preserve"> from</w:t>
      </w:r>
      <w:r w:rsidR="00537471">
        <w:t xml:space="preserve"> </w:t>
      </w:r>
      <w:r w:rsidR="00540794">
        <w:t>the first half of the ninetee</w:t>
      </w:r>
      <w:r w:rsidR="00977F19">
        <w:t>n</w:t>
      </w:r>
      <w:r w:rsidR="00540794">
        <w:t>th century</w:t>
      </w:r>
      <w:r w:rsidR="00EF105F">
        <w:t xml:space="preserve">, the </w:t>
      </w:r>
      <w:r w:rsidR="00AC1EEC">
        <w:t xml:space="preserve">provided extracts </w:t>
      </w:r>
      <w:r w:rsidR="00EF105F">
        <w:t xml:space="preserve">do not include the </w:t>
      </w:r>
      <w:r w:rsidR="00AC1EEC">
        <w:t xml:space="preserve">map </w:t>
      </w:r>
      <w:r w:rsidR="00EF105F">
        <w:t xml:space="preserve">keys </w:t>
      </w:r>
      <w:r w:rsidR="00E4078F">
        <w:t>and</w:t>
      </w:r>
      <w:r w:rsidR="004702E5">
        <w:t>,</w:t>
      </w:r>
      <w:r w:rsidR="00E4078F">
        <w:t xml:space="preserve"> consequently</w:t>
      </w:r>
      <w:r w:rsidR="00272D6A">
        <w:t>,</w:t>
      </w:r>
      <w:r w:rsidR="00E4078F">
        <w:t xml:space="preserve"> </w:t>
      </w:r>
      <w:r w:rsidR="008901CC">
        <w:t xml:space="preserve">from this evidence </w:t>
      </w:r>
      <w:r w:rsidR="00E4078F">
        <w:t>I cannot be certain th</w:t>
      </w:r>
      <w:r w:rsidR="00CF0932">
        <w:t>at any</w:t>
      </w:r>
      <w:r w:rsidR="00E4078F">
        <w:t xml:space="preserve"> routes depicted </w:t>
      </w:r>
      <w:proofErr w:type="gramStart"/>
      <w:r w:rsidR="00E4078F">
        <w:t>are identified</w:t>
      </w:r>
      <w:proofErr w:type="gramEnd"/>
      <w:r w:rsidR="00E4078F">
        <w:t xml:space="preserve"> on these </w:t>
      </w:r>
      <w:r w:rsidR="00833A14">
        <w:t xml:space="preserve">maps </w:t>
      </w:r>
      <w:r w:rsidR="00E4078F">
        <w:t>as a cross road</w:t>
      </w:r>
      <w:proofErr w:type="gramStart"/>
      <w:r w:rsidR="00E4078F">
        <w:t>.</w:t>
      </w:r>
      <w:r w:rsidR="00540794">
        <w:t xml:space="preserve"> </w:t>
      </w:r>
      <w:r w:rsidR="00537471">
        <w:t xml:space="preserve"> </w:t>
      </w:r>
      <w:proofErr w:type="gramEnd"/>
    </w:p>
    <w:p w14:paraId="046D1E32" w14:textId="733BBFF4" w:rsidR="0095283E" w:rsidRDefault="0095283E" w:rsidP="00371B9C">
      <w:pPr>
        <w:pStyle w:val="Style1"/>
      </w:pPr>
      <w:r>
        <w:lastRenderedPageBreak/>
        <w:t xml:space="preserve">The above factors, taken together with the apparent </w:t>
      </w:r>
      <w:r w:rsidR="008F61AC">
        <w:t>disappearance</w:t>
      </w:r>
      <w:r>
        <w:t xml:space="preserve"> without trace </w:t>
      </w:r>
      <w:r w:rsidR="008F61AC">
        <w:t>of the route from the map evidence for a period of approximately one hundred years</w:t>
      </w:r>
      <w:r w:rsidR="000340DD">
        <w:t xml:space="preserve"> </w:t>
      </w:r>
      <w:r w:rsidR="00D34A7C">
        <w:t xml:space="preserve">strongly suggests that Whitefield Gate Road was neither a road </w:t>
      </w:r>
      <w:r w:rsidR="00A03D0E">
        <w:t>maintained by the Parish</w:t>
      </w:r>
      <w:r w:rsidR="00C6113D">
        <w:t>,</w:t>
      </w:r>
      <w:r w:rsidR="00A03D0E">
        <w:t xml:space="preserve"> nor one that was regularly used by the public at large.</w:t>
      </w:r>
    </w:p>
    <w:p w14:paraId="382AAFB2" w14:textId="36C64778" w:rsidR="008E3E22" w:rsidRDefault="008E179C" w:rsidP="00371B9C">
      <w:pPr>
        <w:pStyle w:val="Style1"/>
      </w:pPr>
      <w:r>
        <w:t>Based on the evidence before me</w:t>
      </w:r>
      <w:r w:rsidR="00D04712">
        <w:t>,</w:t>
      </w:r>
      <w:r>
        <w:t xml:space="preserve"> I cannot conclude that public rights could </w:t>
      </w:r>
      <w:proofErr w:type="gramStart"/>
      <w:r>
        <w:t>reasonably be</w:t>
      </w:r>
      <w:proofErr w:type="gramEnd"/>
      <w:r>
        <w:t xml:space="preserve"> alleged to exist on this section of the route.</w:t>
      </w:r>
    </w:p>
    <w:p w14:paraId="5303438D" w14:textId="566A1B0C" w:rsidR="00864BFB" w:rsidRDefault="00385452" w:rsidP="00FE2062">
      <w:pPr>
        <w:pStyle w:val="Style1"/>
      </w:pPr>
      <w:r>
        <w:t xml:space="preserve">The status of the section of the </w:t>
      </w:r>
      <w:r w:rsidR="002B17DB">
        <w:t xml:space="preserve">claimed </w:t>
      </w:r>
      <w:r>
        <w:t xml:space="preserve">route </w:t>
      </w:r>
      <w:r w:rsidR="00DD6CAB">
        <w:t xml:space="preserve">referred to as an “ancient lane” </w:t>
      </w:r>
      <w:r w:rsidR="00E57AD4">
        <w:t>is not wholly clear</w:t>
      </w:r>
      <w:proofErr w:type="gramStart"/>
      <w:r w:rsidR="00E57AD4">
        <w:t xml:space="preserve">.  </w:t>
      </w:r>
      <w:proofErr w:type="gramEnd"/>
      <w:r w:rsidR="00C67042">
        <w:t xml:space="preserve">This runs </w:t>
      </w:r>
      <w:proofErr w:type="gramStart"/>
      <w:r w:rsidR="00C67042">
        <w:t>for the most part through</w:t>
      </w:r>
      <w:proofErr w:type="gramEnd"/>
      <w:r w:rsidR="00C67042">
        <w:t xml:space="preserve"> an area marked on the Inclosure Map as </w:t>
      </w:r>
      <w:r w:rsidR="00925380">
        <w:t>“Old Inclosures</w:t>
      </w:r>
      <w:proofErr w:type="gramStart"/>
      <w:r w:rsidR="00925380">
        <w:t>”.</w:t>
      </w:r>
      <w:proofErr w:type="gramEnd"/>
      <w:r w:rsidR="00925380">
        <w:t xml:space="preserve">  </w:t>
      </w:r>
      <w:r w:rsidR="00093865">
        <w:t>The terms of that Inclosure are not in the evidence</w:t>
      </w:r>
      <w:proofErr w:type="gramStart"/>
      <w:r w:rsidR="00093865">
        <w:t xml:space="preserve">.  </w:t>
      </w:r>
      <w:proofErr w:type="gramEnd"/>
      <w:r w:rsidR="00864BFB">
        <w:t>Simila</w:t>
      </w:r>
      <w:r w:rsidR="001E0072">
        <w:t xml:space="preserve">rly, there is nothing in the evidence that would indicate that this lane </w:t>
      </w:r>
      <w:r w:rsidR="000E7C8E">
        <w:t>was maintained by the Parish</w:t>
      </w:r>
      <w:proofErr w:type="gramStart"/>
      <w:r w:rsidR="000E7C8E">
        <w:t xml:space="preserve">.  </w:t>
      </w:r>
      <w:proofErr w:type="gramEnd"/>
      <w:r w:rsidR="00370EC0">
        <w:t xml:space="preserve">Nonetheless, </w:t>
      </w:r>
      <w:r w:rsidR="00E20F6C">
        <w:t>the evidence is</w:t>
      </w:r>
      <w:r w:rsidR="00370EC0">
        <w:t xml:space="preserve"> supportive of </w:t>
      </w:r>
      <w:r w:rsidR="00E20F6C">
        <w:t>it being a pre-exist</w:t>
      </w:r>
      <w:r w:rsidR="00FF7C29">
        <w:t>i</w:t>
      </w:r>
      <w:r w:rsidR="00E20F6C">
        <w:t xml:space="preserve">ng </w:t>
      </w:r>
      <w:r w:rsidR="00FF7C29">
        <w:t>feature</w:t>
      </w:r>
      <w:proofErr w:type="gramStart"/>
      <w:r w:rsidR="000B16DA">
        <w:t xml:space="preserve">.  </w:t>
      </w:r>
      <w:proofErr w:type="gramEnd"/>
    </w:p>
    <w:p w14:paraId="190272C8" w14:textId="2DAFD86D" w:rsidR="00981D08" w:rsidRDefault="004A3FA3" w:rsidP="00FE2062">
      <w:pPr>
        <w:pStyle w:val="Style1"/>
      </w:pPr>
      <w:r>
        <w:t>The</w:t>
      </w:r>
      <w:r w:rsidR="00CC252F">
        <w:t xml:space="preserve"> precise extent</w:t>
      </w:r>
      <w:r>
        <w:t xml:space="preserve"> of the </w:t>
      </w:r>
      <w:r w:rsidR="00493717">
        <w:t>“ancient lane” is not entirely</w:t>
      </w:r>
      <w:r w:rsidR="00EA2DD1">
        <w:t xml:space="preserve"> clear</w:t>
      </w:r>
      <w:proofErr w:type="gramStart"/>
      <w:r w:rsidR="00CC252F">
        <w:t xml:space="preserve">.  </w:t>
      </w:r>
      <w:proofErr w:type="gramEnd"/>
      <w:r w:rsidR="000B7388">
        <w:t xml:space="preserve">The </w:t>
      </w:r>
      <w:r w:rsidR="006D2F8F">
        <w:t>southern end</w:t>
      </w:r>
      <w:r w:rsidR="00627793">
        <w:t xml:space="preserve"> </w:t>
      </w:r>
      <w:r w:rsidR="000B7388">
        <w:t xml:space="preserve">was </w:t>
      </w:r>
      <w:r w:rsidR="00627793">
        <w:t xml:space="preserve">at a point </w:t>
      </w:r>
      <w:r w:rsidR="006D2F8F">
        <w:t>o</w:t>
      </w:r>
      <w:r w:rsidR="00627793">
        <w:t xml:space="preserve">n the </w:t>
      </w:r>
      <w:r w:rsidR="006D2F8F">
        <w:t>road between Lower and Upper Elkstone</w:t>
      </w:r>
      <w:proofErr w:type="gramStart"/>
      <w:r w:rsidR="00BF5753">
        <w:t xml:space="preserve">.  </w:t>
      </w:r>
      <w:proofErr w:type="gramEnd"/>
      <w:r w:rsidR="00536DEC">
        <w:t>T</w:t>
      </w:r>
      <w:r w:rsidR="00E8027A">
        <w:t xml:space="preserve">he other end could not be at Point C on the appellant’s map of the claimed route </w:t>
      </w:r>
      <w:r w:rsidR="005B71F5">
        <w:t xml:space="preserve">as it </w:t>
      </w:r>
      <w:proofErr w:type="gramStart"/>
      <w:r w:rsidR="005B71F5">
        <w:t>is clearly described</w:t>
      </w:r>
      <w:proofErr w:type="gramEnd"/>
      <w:r w:rsidR="005B71F5">
        <w:t xml:space="preserve"> as the </w:t>
      </w:r>
      <w:r w:rsidR="00204B1F">
        <w:t>“</w:t>
      </w:r>
      <w:r w:rsidR="005B71F5">
        <w:t>east</w:t>
      </w:r>
      <w:r w:rsidR="009117EF">
        <w:t>ward</w:t>
      </w:r>
      <w:r w:rsidR="005B71F5">
        <w:t xml:space="preserve">ly end of </w:t>
      </w:r>
      <w:r w:rsidR="00204B1F">
        <w:t xml:space="preserve">an </w:t>
      </w:r>
      <w:r w:rsidR="005B71F5">
        <w:t>ancient lane</w:t>
      </w:r>
      <w:r w:rsidR="00204B1F">
        <w:t>”</w:t>
      </w:r>
      <w:r w:rsidR="005B71F5">
        <w:t xml:space="preserve"> in the </w:t>
      </w:r>
      <w:r w:rsidR="00162880">
        <w:t>Inclosure</w:t>
      </w:r>
      <w:r w:rsidR="005B71F5">
        <w:t xml:space="preserve"> Award</w:t>
      </w:r>
      <w:proofErr w:type="gramStart"/>
      <w:r w:rsidR="00204B1F">
        <w:t xml:space="preserve">.  </w:t>
      </w:r>
      <w:proofErr w:type="gramEnd"/>
      <w:r w:rsidR="00204B1F">
        <w:t>At point C</w:t>
      </w:r>
      <w:r w:rsidR="00474795">
        <w:t>,</w:t>
      </w:r>
      <w:r w:rsidR="00204B1F">
        <w:t xml:space="preserve"> the line of the ancient lane is travelling generally north</w:t>
      </w:r>
      <w:proofErr w:type="gramStart"/>
      <w:r w:rsidR="006041DD">
        <w:t xml:space="preserve">.  </w:t>
      </w:r>
      <w:proofErr w:type="gramEnd"/>
      <w:r w:rsidR="0032643E">
        <w:t xml:space="preserve">A more logical easterly end is at the point </w:t>
      </w:r>
      <w:r w:rsidR="00E37B10">
        <w:t xml:space="preserve">annotated as “Whitefield Gate” on the </w:t>
      </w:r>
      <w:r w:rsidR="00162880">
        <w:t>Inclosure</w:t>
      </w:r>
      <w:r w:rsidR="00E37B10">
        <w:t xml:space="preserve"> Map which is </w:t>
      </w:r>
      <w:proofErr w:type="gramStart"/>
      <w:r w:rsidR="00E37B10">
        <w:t>approximately mid</w:t>
      </w:r>
      <w:r w:rsidR="009E2B78">
        <w:t>-</w:t>
      </w:r>
      <w:proofErr w:type="gramEnd"/>
      <w:r w:rsidR="00E37B10">
        <w:t xml:space="preserve">way </w:t>
      </w:r>
      <w:r w:rsidR="009E2B78">
        <w:t>between Points B and C on the appellant’s map</w:t>
      </w:r>
      <w:proofErr w:type="gramStart"/>
      <w:r w:rsidR="009E2B78">
        <w:t xml:space="preserve">.  </w:t>
      </w:r>
      <w:proofErr w:type="gramEnd"/>
      <w:r w:rsidR="00715CC4">
        <w:t xml:space="preserve">The reference </w:t>
      </w:r>
      <w:r w:rsidR="00DE2CC5">
        <w:t xml:space="preserve">in the Inclosure Award </w:t>
      </w:r>
      <w:r w:rsidR="00715CC4">
        <w:t xml:space="preserve">to the eastwardly end is also suggestive that this route terminated </w:t>
      </w:r>
      <w:r w:rsidR="00204CE6">
        <w:t xml:space="preserve">on the common land and did not connect to an existing highway at </w:t>
      </w:r>
      <w:r w:rsidR="006E0A90">
        <w:t>its easterly end</w:t>
      </w:r>
      <w:r w:rsidR="00DC583C">
        <w:t>.</w:t>
      </w:r>
    </w:p>
    <w:p w14:paraId="47707903" w14:textId="150BEC73" w:rsidR="00231C37" w:rsidRDefault="00272E9A" w:rsidP="00FE2062">
      <w:pPr>
        <w:pStyle w:val="Style1"/>
      </w:pPr>
      <w:r>
        <w:t xml:space="preserve">In respect of </w:t>
      </w:r>
      <w:r w:rsidR="00DB7B4E">
        <w:t>the route between Points C and D, t</w:t>
      </w:r>
      <w:r>
        <w:t xml:space="preserve">he appellant refers </w:t>
      </w:r>
      <w:r w:rsidR="00DB7B4E">
        <w:t>to the Harpur Crewe Estate Map</w:t>
      </w:r>
      <w:r w:rsidR="00946509">
        <w:t xml:space="preserve"> of 1886, </w:t>
      </w:r>
      <w:r w:rsidR="00FD38E3">
        <w:t xml:space="preserve"> which is based on the First Edition 1878 Ordnance Survey map</w:t>
      </w:r>
      <w:r w:rsidR="00845275">
        <w:t>,</w:t>
      </w:r>
      <w:r w:rsidR="00FD38E3">
        <w:t xml:space="preserve"> </w:t>
      </w:r>
      <w:r w:rsidR="00C21B7B">
        <w:t xml:space="preserve">and </w:t>
      </w:r>
      <w:r w:rsidR="003657D8">
        <w:t xml:space="preserve">to </w:t>
      </w:r>
      <w:r w:rsidR="00C21B7B">
        <w:t>the Ord</w:t>
      </w:r>
      <w:r w:rsidR="00331802">
        <w:t>n</w:t>
      </w:r>
      <w:r w:rsidR="00C21B7B">
        <w:t xml:space="preserve">ance Survey Book of Reference </w:t>
      </w:r>
      <w:r w:rsidR="009A4C69">
        <w:t xml:space="preserve">(1879) which refers to the </w:t>
      </w:r>
      <w:r w:rsidR="00601B58">
        <w:t xml:space="preserve">relevant area on the map as a road.  </w:t>
      </w:r>
      <w:r w:rsidR="001235DA">
        <w:t xml:space="preserve">However, </w:t>
      </w:r>
      <w:r w:rsidR="00C95BBB">
        <w:t xml:space="preserve">on the extract provided in the Appellant’s Final Comments on the appeal </w:t>
      </w:r>
      <w:r w:rsidR="0035164C">
        <w:t>there is a clear line across this area (</w:t>
      </w:r>
      <w:r w:rsidR="00EC300B">
        <w:t xml:space="preserve">Parcel </w:t>
      </w:r>
      <w:r w:rsidR="003B4C2A">
        <w:t>306) at the point where i</w:t>
      </w:r>
      <w:r w:rsidR="00B702D3">
        <w:t>t</w:t>
      </w:r>
      <w:r w:rsidR="003B4C2A">
        <w:t xml:space="preserve"> meets the road between Upper and Lower Elkstone and </w:t>
      </w:r>
      <w:r w:rsidR="00F16560">
        <w:t>further line</w:t>
      </w:r>
      <w:r w:rsidR="001E7DBB">
        <w:t>s across</w:t>
      </w:r>
      <w:r w:rsidR="00F16560">
        <w:t xml:space="preserve"> to the north end between </w:t>
      </w:r>
      <w:r w:rsidR="00EC300B">
        <w:t xml:space="preserve">Parcels </w:t>
      </w:r>
      <w:r w:rsidR="00B512E5">
        <w:t>308 and 305</w:t>
      </w:r>
      <w:r w:rsidR="00B03323">
        <w:t xml:space="preserve"> and at the northern edge of </w:t>
      </w:r>
      <w:r w:rsidR="00EC300B">
        <w:t>Pa</w:t>
      </w:r>
      <w:r w:rsidR="00B64327">
        <w:t>rcel</w:t>
      </w:r>
      <w:r w:rsidR="00B03323">
        <w:t xml:space="preserve"> 230</w:t>
      </w:r>
      <w:r w:rsidR="00B512E5">
        <w:t xml:space="preserve">.  </w:t>
      </w:r>
      <w:r w:rsidR="004D73EF">
        <w:t xml:space="preserve">This would indicate that </w:t>
      </w:r>
      <w:r w:rsidR="00EF4E04">
        <w:t xml:space="preserve">there was </w:t>
      </w:r>
      <w:proofErr w:type="gramStart"/>
      <w:r w:rsidR="00EF4E04">
        <w:t>most</w:t>
      </w:r>
      <w:r w:rsidR="00B64327">
        <w:t xml:space="preserve"> </w:t>
      </w:r>
      <w:r w:rsidR="00EF4E04">
        <w:t>likely a</w:t>
      </w:r>
      <w:proofErr w:type="gramEnd"/>
      <w:r w:rsidR="00EF4E04">
        <w:t xml:space="preserve"> gate </w:t>
      </w:r>
      <w:r w:rsidR="0069010C">
        <w:t xml:space="preserve">or other barrier </w:t>
      </w:r>
      <w:r w:rsidR="00EF4E04">
        <w:t>across the route at these points</w:t>
      </w:r>
      <w:proofErr w:type="gramStart"/>
      <w:r w:rsidR="004911D3">
        <w:t xml:space="preserve">.  </w:t>
      </w:r>
      <w:proofErr w:type="gramEnd"/>
      <w:r w:rsidR="009B2286">
        <w:t xml:space="preserve">At the northern end of Parcels 305 and 308, Parcel 306 </w:t>
      </w:r>
      <w:proofErr w:type="gramStart"/>
      <w:r w:rsidR="009B2286">
        <w:t>is braced</w:t>
      </w:r>
      <w:proofErr w:type="gramEnd"/>
      <w:r w:rsidR="009B2286">
        <w:t xml:space="preserve"> to the next section of road </w:t>
      </w:r>
      <w:r w:rsidR="005E2CA3">
        <w:t>indicating that this is part of the same land parcel</w:t>
      </w:r>
      <w:proofErr w:type="gramStart"/>
      <w:r w:rsidR="005E2CA3">
        <w:t xml:space="preserve">.  </w:t>
      </w:r>
      <w:proofErr w:type="gramEnd"/>
      <w:r w:rsidR="005E2CA3">
        <w:t>However</w:t>
      </w:r>
      <w:r w:rsidR="004D3CF7">
        <w:t>,</w:t>
      </w:r>
      <w:r w:rsidR="005E2CA3">
        <w:t xml:space="preserve"> at the northern boundary of Parcel 230 there </w:t>
      </w:r>
      <w:r w:rsidR="00683DDA">
        <w:t xml:space="preserve">is no brace </w:t>
      </w:r>
      <w:r w:rsidR="007B46BA">
        <w:t>indicating a lack of continuity</w:t>
      </w:r>
      <w:r w:rsidR="00736C65">
        <w:t xml:space="preserve"> within the same land parcel</w:t>
      </w:r>
      <w:proofErr w:type="gramStart"/>
      <w:r w:rsidR="007B46BA">
        <w:t xml:space="preserve">.  </w:t>
      </w:r>
      <w:proofErr w:type="gramEnd"/>
      <w:r w:rsidR="00EF4E04">
        <w:t xml:space="preserve"> </w:t>
      </w:r>
    </w:p>
    <w:p w14:paraId="6D7C2EC4" w14:textId="4F85BE92" w:rsidR="000E718C" w:rsidRPr="000E718C" w:rsidRDefault="00C33F94" w:rsidP="000E718C">
      <w:pPr>
        <w:pStyle w:val="Style1"/>
      </w:pPr>
      <w:r>
        <w:t xml:space="preserve">Parcel 306 </w:t>
      </w:r>
      <w:proofErr w:type="gramStart"/>
      <w:r w:rsidR="002E3910">
        <w:t>is identified</w:t>
      </w:r>
      <w:proofErr w:type="gramEnd"/>
      <w:r w:rsidR="002E3910">
        <w:t xml:space="preserve"> as a road in the Ordnance Survey Book of Reference</w:t>
      </w:r>
      <w:proofErr w:type="gramStart"/>
      <w:r w:rsidR="00B533A1">
        <w:t xml:space="preserve">.  </w:t>
      </w:r>
      <w:proofErr w:type="gramEnd"/>
      <w:r w:rsidR="00B533A1">
        <w:t>However, this does not imply that there are public rights over it</w:t>
      </w:r>
      <w:proofErr w:type="gramStart"/>
      <w:r w:rsidR="00B533A1">
        <w:t xml:space="preserve">.  </w:t>
      </w:r>
      <w:proofErr w:type="gramEnd"/>
      <w:r w:rsidR="00B533A1">
        <w:t xml:space="preserve">At this time Ordnance Survey maps </w:t>
      </w:r>
      <w:r w:rsidR="000109C1">
        <w:t xml:space="preserve">carried a disclaimer that </w:t>
      </w:r>
      <w:r w:rsidR="00496F07">
        <w:t>“</w:t>
      </w:r>
      <w:r w:rsidR="000109C1">
        <w:t xml:space="preserve">The representation </w:t>
      </w:r>
      <w:r w:rsidR="00496F07">
        <w:t>on this map of a Road, Track, or Footpath is no evidence of a right of way</w:t>
      </w:r>
      <w:proofErr w:type="gramStart"/>
      <w:r w:rsidR="00496F07">
        <w:t>”</w:t>
      </w:r>
      <w:r w:rsidR="00112CBB">
        <w:t>.</w:t>
      </w:r>
      <w:proofErr w:type="gramEnd"/>
      <w:r w:rsidR="00217610">
        <w:t xml:space="preserve">  The report to the Council’s </w:t>
      </w:r>
      <w:r w:rsidR="0053612C" w:rsidRPr="0053612C">
        <w:t>Countryside and Rights of Way Panel</w:t>
      </w:r>
      <w:r w:rsidR="00C5412D">
        <w:t xml:space="preserve"> hints that the ancient lane may be a highway</w:t>
      </w:r>
      <w:r w:rsidR="00C217EA">
        <w:t>,</w:t>
      </w:r>
      <w:r w:rsidR="00C5412D">
        <w:t xml:space="preserve"> but </w:t>
      </w:r>
      <w:r w:rsidR="00C217EA">
        <w:t xml:space="preserve">beyond this </w:t>
      </w:r>
      <w:r w:rsidR="00166D8D">
        <w:t xml:space="preserve">no persuasive evidence has </w:t>
      </w:r>
      <w:proofErr w:type="gramStart"/>
      <w:r w:rsidR="00166D8D">
        <w:t>been adduced</w:t>
      </w:r>
      <w:proofErr w:type="gramEnd"/>
      <w:r w:rsidR="00166D8D">
        <w:t xml:space="preserve"> in respect of what, if any</w:t>
      </w:r>
      <w:r w:rsidR="00001D3B">
        <w:t>,</w:t>
      </w:r>
      <w:r w:rsidR="00166D8D">
        <w:t xml:space="preserve"> public rights may exist over this ancient lane</w:t>
      </w:r>
      <w:proofErr w:type="gramStart"/>
      <w:r w:rsidR="00166D8D">
        <w:t xml:space="preserve">.  </w:t>
      </w:r>
      <w:proofErr w:type="gramEnd"/>
      <w:r w:rsidR="000E718C" w:rsidRPr="000E718C">
        <w:t xml:space="preserve">Although the appellant asserts that the Parish, or Township, would have been responsible for the maintenance of the ancient lane, </w:t>
      </w:r>
      <w:r w:rsidR="000E718C">
        <w:t>and it th</w:t>
      </w:r>
      <w:r w:rsidR="00BF5CEF">
        <w:t>u</w:t>
      </w:r>
      <w:r w:rsidR="000E718C">
        <w:t>s has bridleway rights</w:t>
      </w:r>
      <w:r w:rsidR="00736307">
        <w:t>,</w:t>
      </w:r>
      <w:r w:rsidR="000E718C">
        <w:t xml:space="preserve"> </w:t>
      </w:r>
      <w:r w:rsidR="000E718C" w:rsidRPr="000E718C">
        <w:t xml:space="preserve">no evidence has </w:t>
      </w:r>
      <w:proofErr w:type="gramStart"/>
      <w:r w:rsidR="000E718C" w:rsidRPr="000E718C">
        <w:t>been put</w:t>
      </w:r>
      <w:proofErr w:type="gramEnd"/>
      <w:r w:rsidR="000E718C" w:rsidRPr="000E718C">
        <w:t xml:space="preserve"> to me that supports this argument</w:t>
      </w:r>
      <w:proofErr w:type="gramStart"/>
      <w:r w:rsidR="000E718C" w:rsidRPr="000E718C">
        <w:t xml:space="preserve">.  </w:t>
      </w:r>
      <w:proofErr w:type="gramEnd"/>
    </w:p>
    <w:p w14:paraId="5FC0CAE6" w14:textId="29F2C487" w:rsidR="001C350E" w:rsidRDefault="003E6433" w:rsidP="00FE2062">
      <w:pPr>
        <w:pStyle w:val="Style1"/>
      </w:pPr>
      <w:r>
        <w:t xml:space="preserve">An extract from the 1910 Finance Act map has </w:t>
      </w:r>
      <w:proofErr w:type="gramStart"/>
      <w:r>
        <w:t>been provided</w:t>
      </w:r>
      <w:proofErr w:type="gramEnd"/>
      <w:r w:rsidR="00F66120">
        <w:t xml:space="preserve"> but a copy</w:t>
      </w:r>
      <w:r w:rsidR="000A2636">
        <w:t>,</w:t>
      </w:r>
      <w:r w:rsidR="00F66120">
        <w:t xml:space="preserve"> or extract</w:t>
      </w:r>
      <w:r w:rsidR="000A2636">
        <w:t>,</w:t>
      </w:r>
      <w:r w:rsidR="00F66120">
        <w:t xml:space="preserve"> of the associated Field Book has not</w:t>
      </w:r>
      <w:proofErr w:type="gramStart"/>
      <w:r w:rsidR="00F66120">
        <w:t>.</w:t>
      </w:r>
      <w:r>
        <w:t xml:space="preserve">  </w:t>
      </w:r>
      <w:proofErr w:type="gramEnd"/>
      <w:r w:rsidR="00333521">
        <w:t>Th</w:t>
      </w:r>
      <w:r w:rsidR="000A2636">
        <w:t>e map</w:t>
      </w:r>
      <w:r w:rsidR="00333521">
        <w:t xml:space="preserve"> shows </w:t>
      </w:r>
      <w:proofErr w:type="gramStart"/>
      <w:r w:rsidR="00333521">
        <w:t>some of</w:t>
      </w:r>
      <w:proofErr w:type="gramEnd"/>
      <w:r w:rsidR="00333521">
        <w:t xml:space="preserve"> the route </w:t>
      </w:r>
      <w:r w:rsidR="00333521">
        <w:lastRenderedPageBreak/>
        <w:t>of the ancient lane</w:t>
      </w:r>
      <w:proofErr w:type="gramStart"/>
      <w:r w:rsidR="000952F3">
        <w:t xml:space="preserve">.  </w:t>
      </w:r>
      <w:proofErr w:type="gramEnd"/>
      <w:r w:rsidR="004E2DAB">
        <w:t xml:space="preserve">This shows </w:t>
      </w:r>
      <w:r w:rsidR="008D479E">
        <w:t xml:space="preserve">part of the route of the lane as being excluded from adjoining </w:t>
      </w:r>
      <w:r w:rsidR="00AD68B3">
        <w:t>plots</w:t>
      </w:r>
      <w:r w:rsidR="005D44BB">
        <w:t>,</w:t>
      </w:r>
      <w:r w:rsidR="00AD68B3">
        <w:t xml:space="preserve"> </w:t>
      </w:r>
      <w:r w:rsidR="005D44BB">
        <w:t xml:space="preserve">or assessment areas, with the fields to either side </w:t>
      </w:r>
      <w:r w:rsidR="000A2636">
        <w:t>braced across the lane</w:t>
      </w:r>
      <w:r w:rsidR="00B777D6">
        <w:t>,</w:t>
      </w:r>
      <w:r w:rsidR="000A2636">
        <w:t xml:space="preserve"> </w:t>
      </w:r>
      <w:r w:rsidR="00DD42B5">
        <w:t xml:space="preserve">indicating that </w:t>
      </w:r>
      <w:r w:rsidR="0028398E">
        <w:t xml:space="preserve">it was </w:t>
      </w:r>
      <w:r w:rsidR="00EC1A75">
        <w:t>possibly</w:t>
      </w:r>
      <w:r w:rsidR="0028398E">
        <w:t xml:space="preserve"> a highway or right of way to be excluded </w:t>
      </w:r>
      <w:r w:rsidR="006A6786">
        <w:t>for the purposes of</w:t>
      </w:r>
      <w:r w:rsidR="0028398E">
        <w:t xml:space="preserve"> </w:t>
      </w:r>
      <w:r w:rsidR="003F22F9">
        <w:t>undeveloped land duty.</w:t>
      </w:r>
      <w:r w:rsidR="00041BBB">
        <w:t xml:space="preserve">  Nevertheless, </w:t>
      </w:r>
      <w:r w:rsidR="003F55EF">
        <w:t>this becomes less clear beyond the first potential gate on the route mentioned above</w:t>
      </w:r>
      <w:proofErr w:type="gramStart"/>
      <w:r w:rsidR="003F55EF">
        <w:t>.</w:t>
      </w:r>
      <w:r w:rsidR="002E0E96">
        <w:t xml:space="preserve">  </w:t>
      </w:r>
      <w:proofErr w:type="gramEnd"/>
      <w:r w:rsidR="00601AB7">
        <w:t xml:space="preserve">Although the outline of </w:t>
      </w:r>
      <w:r w:rsidR="007070A4">
        <w:t xml:space="preserve">the plots is faint </w:t>
      </w:r>
      <w:r w:rsidR="0001640B">
        <w:t xml:space="preserve">on the copy I have been provided </w:t>
      </w:r>
      <w:r w:rsidR="001E63DD">
        <w:t xml:space="preserve">and the </w:t>
      </w:r>
      <w:r w:rsidR="00F332A9">
        <w:t xml:space="preserve">delineation is obscured somewhat by a wide brace between </w:t>
      </w:r>
      <w:r w:rsidR="00FF5733">
        <w:t xml:space="preserve">Field </w:t>
      </w:r>
      <w:r w:rsidR="00736307">
        <w:t xml:space="preserve">Parcel </w:t>
      </w:r>
      <w:r w:rsidR="00FF5733">
        <w:t xml:space="preserve">Number 480 and Field </w:t>
      </w:r>
      <w:r w:rsidR="00736307">
        <w:t xml:space="preserve">Parcel </w:t>
      </w:r>
      <w:r w:rsidR="00FF5733">
        <w:t>Number 513</w:t>
      </w:r>
      <w:r w:rsidR="00DA27B9">
        <w:t xml:space="preserve">, the map </w:t>
      </w:r>
      <w:r w:rsidR="00895E0A">
        <w:t xml:space="preserve">appears </w:t>
      </w:r>
      <w:r w:rsidR="00DA27B9">
        <w:t>to show part of the route wholly within</w:t>
      </w:r>
      <w:r w:rsidR="00895E0A">
        <w:t xml:space="preserve"> that part of Plot PT110 comprised of Field </w:t>
      </w:r>
      <w:r w:rsidR="00736307">
        <w:t xml:space="preserve">Parcel </w:t>
      </w:r>
      <w:r w:rsidR="00895E0A">
        <w:t>Numbers 478, 479 and 480</w:t>
      </w:r>
      <w:r w:rsidR="00925684">
        <w:t>.  T</w:t>
      </w:r>
      <w:r w:rsidR="00240E35">
        <w:t>he p</w:t>
      </w:r>
      <w:r w:rsidR="00D40AA2">
        <w:t>i</w:t>
      </w:r>
      <w:r w:rsidR="00240E35">
        <w:t>nk outline to the easter</w:t>
      </w:r>
      <w:r w:rsidR="00862048">
        <w:t>n</w:t>
      </w:r>
      <w:r w:rsidR="00240E35">
        <w:t xml:space="preserve"> boundary of </w:t>
      </w:r>
      <w:r w:rsidR="00862048">
        <w:t xml:space="preserve">Field </w:t>
      </w:r>
      <w:r w:rsidR="00736307">
        <w:t xml:space="preserve">Parcel </w:t>
      </w:r>
      <w:r w:rsidR="005D7CFA">
        <w:t xml:space="preserve">Number </w:t>
      </w:r>
      <w:r w:rsidR="00862048">
        <w:t xml:space="preserve">480 </w:t>
      </w:r>
      <w:proofErr w:type="gramStart"/>
      <w:r w:rsidR="00862048">
        <w:t>is shown</w:t>
      </w:r>
      <w:proofErr w:type="gramEnd"/>
      <w:r w:rsidR="00DA27B9">
        <w:t xml:space="preserve"> </w:t>
      </w:r>
      <w:r w:rsidR="005D7CFA">
        <w:t xml:space="preserve">directly adjacent to that of Field </w:t>
      </w:r>
      <w:r w:rsidR="00EF2CAD">
        <w:t xml:space="preserve">Parcel </w:t>
      </w:r>
      <w:r w:rsidR="00DB02FD">
        <w:t xml:space="preserve">Number </w:t>
      </w:r>
      <w:r w:rsidR="005D7CFA">
        <w:t xml:space="preserve">482 </w:t>
      </w:r>
      <w:r w:rsidR="002C6661">
        <w:t xml:space="preserve">and encompassing a </w:t>
      </w:r>
      <w:r w:rsidR="00B91B24">
        <w:t>group of trees on the east side of the lane</w:t>
      </w:r>
      <w:proofErr w:type="gramStart"/>
      <w:r w:rsidR="00B91B24">
        <w:t>.</w:t>
      </w:r>
      <w:r w:rsidR="00FC1408">
        <w:t xml:space="preserve">  </w:t>
      </w:r>
      <w:proofErr w:type="gramEnd"/>
      <w:r w:rsidR="003B131B">
        <w:t xml:space="preserve">This would suggest that </w:t>
      </w:r>
      <w:r w:rsidR="008E238A">
        <w:t xml:space="preserve">this </w:t>
      </w:r>
      <w:proofErr w:type="gramStart"/>
      <w:r w:rsidR="00EF2CAD">
        <w:t xml:space="preserve">particular </w:t>
      </w:r>
      <w:r w:rsidR="008E238A">
        <w:t>section</w:t>
      </w:r>
      <w:proofErr w:type="gramEnd"/>
      <w:r w:rsidR="008E238A">
        <w:t xml:space="preserve"> </w:t>
      </w:r>
      <w:proofErr w:type="gramStart"/>
      <w:r w:rsidR="008E238A">
        <w:t>was not identified</w:t>
      </w:r>
      <w:proofErr w:type="gramEnd"/>
      <w:r w:rsidR="008E238A">
        <w:t xml:space="preserve"> as </w:t>
      </w:r>
      <w:r w:rsidR="00C73520">
        <w:t xml:space="preserve">an area to </w:t>
      </w:r>
      <w:proofErr w:type="gramStart"/>
      <w:r w:rsidR="00C73520">
        <w:t>be excluded</w:t>
      </w:r>
      <w:proofErr w:type="gramEnd"/>
      <w:r w:rsidR="00C73520">
        <w:t xml:space="preserve"> from </w:t>
      </w:r>
      <w:r w:rsidR="00B91769" w:rsidRPr="00B91769">
        <w:t>undeveloped land duty</w:t>
      </w:r>
      <w:proofErr w:type="gramStart"/>
      <w:r w:rsidR="00B91769">
        <w:t xml:space="preserve">.  </w:t>
      </w:r>
      <w:proofErr w:type="gramEnd"/>
    </w:p>
    <w:p w14:paraId="12C5D7DB" w14:textId="4837A4C8" w:rsidR="002626C7" w:rsidRDefault="00F061EB" w:rsidP="00FE2062">
      <w:pPr>
        <w:pStyle w:val="Style1"/>
      </w:pPr>
      <w:r>
        <w:t>On the base map for the Finance Act Map</w:t>
      </w:r>
      <w:r w:rsidR="00877E78">
        <w:t>,</w:t>
      </w:r>
      <w:r>
        <w:t xml:space="preserve"> </w:t>
      </w:r>
      <w:r w:rsidR="00F36825">
        <w:t>the southern part of the route (</w:t>
      </w:r>
      <w:r w:rsidR="00EA3D2E">
        <w:t>Field</w:t>
      </w:r>
      <w:r w:rsidR="00F36825">
        <w:t xml:space="preserve"> Parcel 514</w:t>
      </w:r>
      <w:r w:rsidR="00877E78">
        <w:t>,</w:t>
      </w:r>
      <w:r w:rsidR="00F36825">
        <w:t xml:space="preserve"> </w:t>
      </w:r>
      <w:r w:rsidR="00A07FB7">
        <w:t>which corresponds with 306 mentioned above</w:t>
      </w:r>
      <w:r w:rsidR="000B75BE">
        <w:t>)</w:t>
      </w:r>
      <w:r w:rsidR="00A07FB7">
        <w:t xml:space="preserve"> </w:t>
      </w:r>
      <w:r w:rsidR="002A3847">
        <w:t xml:space="preserve">is still shown braced to the next section </w:t>
      </w:r>
      <w:r w:rsidR="00721F25">
        <w:t>with</w:t>
      </w:r>
      <w:r w:rsidR="002A3847">
        <w:t xml:space="preserve">in Field </w:t>
      </w:r>
      <w:r w:rsidR="00EF2CAD">
        <w:t>Pa</w:t>
      </w:r>
      <w:r w:rsidR="0001640B">
        <w:t xml:space="preserve">rcel </w:t>
      </w:r>
      <w:r w:rsidR="002A3847">
        <w:t xml:space="preserve">Number </w:t>
      </w:r>
      <w:r w:rsidR="00537756">
        <w:t xml:space="preserve">480 and this </w:t>
      </w:r>
      <w:r w:rsidR="000B75BE">
        <w:t>f</w:t>
      </w:r>
      <w:r w:rsidR="00537756">
        <w:t xml:space="preserve">ield is shown braced across </w:t>
      </w:r>
      <w:r w:rsidR="00792C65">
        <w:t>the section of road</w:t>
      </w:r>
      <w:r w:rsidR="000511AC">
        <w:t>, which</w:t>
      </w:r>
      <w:r w:rsidR="00372228">
        <w:t>,</w:t>
      </w:r>
      <w:r w:rsidR="000511AC">
        <w:t xml:space="preserve"> in the light of the above</w:t>
      </w:r>
      <w:r w:rsidR="00372228">
        <w:t>,</w:t>
      </w:r>
      <w:r w:rsidR="000511AC">
        <w:t xml:space="preserve"> adds to the lack of clarity</w:t>
      </w:r>
      <w:r w:rsidR="00792C65">
        <w:t>.</w:t>
      </w:r>
      <w:r w:rsidR="000B75BE">
        <w:t xml:space="preserve">  </w:t>
      </w:r>
      <w:r w:rsidR="002F1103">
        <w:t>In addition</w:t>
      </w:r>
      <w:r w:rsidR="0010618F">
        <w:t>,</w:t>
      </w:r>
      <w:r w:rsidR="002F1103">
        <w:t xml:space="preserve"> the extract from the </w:t>
      </w:r>
      <w:r w:rsidR="006A4786">
        <w:t xml:space="preserve">map provided does not cover the </w:t>
      </w:r>
      <w:proofErr w:type="gramStart"/>
      <w:r w:rsidR="000C61A6">
        <w:t>likely continuation</w:t>
      </w:r>
      <w:proofErr w:type="gramEnd"/>
      <w:r w:rsidR="000C61A6">
        <w:t xml:space="preserve"> of the </w:t>
      </w:r>
      <w:r w:rsidR="007B6056">
        <w:t xml:space="preserve">ancient </w:t>
      </w:r>
      <w:r w:rsidR="000C61A6">
        <w:t>lane onward from Point C</w:t>
      </w:r>
      <w:r w:rsidR="00D92488">
        <w:t xml:space="preserve"> beyond </w:t>
      </w:r>
      <w:proofErr w:type="gramStart"/>
      <w:r w:rsidR="00D92488">
        <w:t>a very small</w:t>
      </w:r>
      <w:proofErr w:type="gramEnd"/>
      <w:r w:rsidR="00D92488">
        <w:t xml:space="preserve"> </w:t>
      </w:r>
      <w:r w:rsidR="00143E7F">
        <w:t>section adjacent</w:t>
      </w:r>
      <w:r w:rsidR="00F52C7D">
        <w:t xml:space="preserve"> to Field Parcel Numbers 453 and 454 that </w:t>
      </w:r>
      <w:proofErr w:type="gramStart"/>
      <w:r w:rsidR="00F52C7D">
        <w:t>appears to be wholly</w:t>
      </w:r>
      <w:proofErr w:type="gramEnd"/>
      <w:r w:rsidR="00F52C7D">
        <w:t xml:space="preserve"> within a </w:t>
      </w:r>
      <w:r w:rsidR="006567A3">
        <w:t>Plot</w:t>
      </w:r>
      <w:proofErr w:type="gramStart"/>
      <w:r w:rsidR="006567A3">
        <w:t>.</w:t>
      </w:r>
      <w:r w:rsidR="00D36661">
        <w:t xml:space="preserve">  </w:t>
      </w:r>
      <w:proofErr w:type="gramEnd"/>
      <w:r w:rsidR="007B6056" w:rsidRPr="007B6056">
        <w:t xml:space="preserve">Consequently, the status of this </w:t>
      </w:r>
      <w:r w:rsidR="002B1DED">
        <w:t xml:space="preserve">lane </w:t>
      </w:r>
      <w:r w:rsidR="007B6056" w:rsidRPr="007B6056">
        <w:t>with respect to the Finance Act map is less than certain</w:t>
      </w:r>
      <w:proofErr w:type="gramStart"/>
      <w:r w:rsidR="007B6056" w:rsidRPr="007B6056">
        <w:t xml:space="preserve">.  </w:t>
      </w:r>
      <w:proofErr w:type="gramEnd"/>
    </w:p>
    <w:p w14:paraId="44E690AD" w14:textId="16BDBF0D" w:rsidR="00B51987" w:rsidRDefault="00B51987" w:rsidP="00B51987">
      <w:pPr>
        <w:pStyle w:val="Style1"/>
      </w:pPr>
      <w:r>
        <w:t>Similarly, later editions of the Ordnance Survey maps (including the base map used for the Finance Act Map</w:t>
      </w:r>
      <w:r w:rsidR="00956C31">
        <w:t>)</w:t>
      </w:r>
      <w:r>
        <w:t xml:space="preserve"> show a track with an FP annotation running parallel to sections of the Field Parcel forming this lane suggesting that there was </w:t>
      </w:r>
      <w:proofErr w:type="gramStart"/>
      <w:r>
        <w:t>some</w:t>
      </w:r>
      <w:proofErr w:type="gramEnd"/>
      <w:r>
        <w:t xml:space="preserve"> impediment to its </w:t>
      </w:r>
      <w:r w:rsidR="00956C31">
        <w:t xml:space="preserve">wider </w:t>
      </w:r>
      <w:r>
        <w:t>use.</w:t>
      </w:r>
    </w:p>
    <w:p w14:paraId="747DEF98" w14:textId="36B4561B" w:rsidR="00C855B1" w:rsidRDefault="0010618F" w:rsidP="00FE2062">
      <w:pPr>
        <w:pStyle w:val="Style1"/>
      </w:pPr>
      <w:r>
        <w:t>Added to this</w:t>
      </w:r>
      <w:r w:rsidR="007014AC">
        <w:t>,</w:t>
      </w:r>
      <w:r>
        <w:t xml:space="preserve"> the route of the ancient lane </w:t>
      </w:r>
      <w:proofErr w:type="gramStart"/>
      <w:r>
        <w:t>was not recorded</w:t>
      </w:r>
      <w:proofErr w:type="gramEnd"/>
      <w:r>
        <w:t xml:space="preserve"> </w:t>
      </w:r>
      <w:r w:rsidR="00E82169">
        <w:t>as a right of way when the definitive map and statement was first produced</w:t>
      </w:r>
      <w:proofErr w:type="gramStart"/>
      <w:r w:rsidR="00E82169">
        <w:t xml:space="preserve">.  </w:t>
      </w:r>
      <w:proofErr w:type="gramEnd"/>
      <w:r w:rsidR="00E82169">
        <w:t xml:space="preserve">Notwithstanding the appellant’s criticism of the </w:t>
      </w:r>
      <w:r w:rsidR="00E949B4">
        <w:t xml:space="preserve">Parish Survey, </w:t>
      </w:r>
      <w:r w:rsidR="004B4978">
        <w:t xml:space="preserve">had the </w:t>
      </w:r>
      <w:r w:rsidR="00231DFD">
        <w:t xml:space="preserve">ancient lane had a </w:t>
      </w:r>
      <w:r w:rsidR="005400A4">
        <w:t xml:space="preserve">meaningful </w:t>
      </w:r>
      <w:r w:rsidR="007E1461">
        <w:t xml:space="preserve">local </w:t>
      </w:r>
      <w:r w:rsidR="00231DFD">
        <w:t>reputation as a public</w:t>
      </w:r>
      <w:r w:rsidR="00C15EB4">
        <w:t xml:space="preserve"> right of way </w:t>
      </w:r>
      <w:r w:rsidR="00231DFD">
        <w:t xml:space="preserve">it </w:t>
      </w:r>
      <w:r w:rsidR="007E1461">
        <w:t xml:space="preserve">seems </w:t>
      </w:r>
      <w:r w:rsidR="008817D7">
        <w:t>unusual</w:t>
      </w:r>
      <w:r w:rsidR="0013794C">
        <w:t xml:space="preserve"> that it </w:t>
      </w:r>
      <w:proofErr w:type="gramStart"/>
      <w:r w:rsidR="0013794C">
        <w:t xml:space="preserve">was not </w:t>
      </w:r>
      <w:r w:rsidR="001E0BCE">
        <w:t>claimed</w:t>
      </w:r>
      <w:proofErr w:type="gramEnd"/>
      <w:r w:rsidR="001E0BCE">
        <w:t xml:space="preserve"> at that time</w:t>
      </w:r>
      <w:proofErr w:type="gramStart"/>
      <w:r w:rsidR="001E0BCE">
        <w:t xml:space="preserve">.  </w:t>
      </w:r>
      <w:proofErr w:type="gramEnd"/>
      <w:r w:rsidR="00884504">
        <w:t xml:space="preserve">Although the appellant suggests that it </w:t>
      </w:r>
      <w:proofErr w:type="gramStart"/>
      <w:r w:rsidR="00884504">
        <w:t>was not recorded</w:t>
      </w:r>
      <w:proofErr w:type="gramEnd"/>
      <w:r w:rsidR="00884504">
        <w:t xml:space="preserve"> as it </w:t>
      </w:r>
      <w:proofErr w:type="gramStart"/>
      <w:r w:rsidR="00884504">
        <w:t>was judged</w:t>
      </w:r>
      <w:proofErr w:type="gramEnd"/>
      <w:r w:rsidR="00884504">
        <w:t xml:space="preserve"> to have higher rights at the time, there is </w:t>
      </w:r>
      <w:r w:rsidR="007C062E">
        <w:t>little in the evidence that would support that claim</w:t>
      </w:r>
      <w:proofErr w:type="gramStart"/>
      <w:r w:rsidR="007C062E">
        <w:t>.</w:t>
      </w:r>
      <w:r w:rsidR="0013794C">
        <w:t xml:space="preserve"> </w:t>
      </w:r>
      <w:r w:rsidR="00E82169">
        <w:t xml:space="preserve"> </w:t>
      </w:r>
      <w:proofErr w:type="gramEnd"/>
    </w:p>
    <w:p w14:paraId="7BF9DA70" w14:textId="6D69FDEF" w:rsidR="002A3AB1" w:rsidRDefault="00D66D49" w:rsidP="00FE2062">
      <w:pPr>
        <w:pStyle w:val="Style1"/>
      </w:pPr>
      <w:r>
        <w:t>From the evidence before me it is not at all clear what, if any</w:t>
      </w:r>
      <w:r w:rsidR="00D9483B">
        <w:t>,</w:t>
      </w:r>
      <w:r>
        <w:t xml:space="preserve"> </w:t>
      </w:r>
      <w:r w:rsidR="00E169DD">
        <w:t xml:space="preserve">public rights </w:t>
      </w:r>
      <w:r w:rsidR="00750201">
        <w:t xml:space="preserve">may </w:t>
      </w:r>
      <w:r w:rsidR="00E169DD">
        <w:t xml:space="preserve">exist over </w:t>
      </w:r>
      <w:r w:rsidR="00501655">
        <w:t xml:space="preserve">the ancient lane that makes up </w:t>
      </w:r>
      <w:r w:rsidR="00D9483B">
        <w:t xml:space="preserve">the claimed route from Point C to Point </w:t>
      </w:r>
      <w:proofErr w:type="gramStart"/>
      <w:r w:rsidR="00D9483B">
        <w:t>D</w:t>
      </w:r>
      <w:r w:rsidR="00C952D6">
        <w:t xml:space="preserve">. </w:t>
      </w:r>
      <w:r w:rsidR="00A51C59">
        <w:t xml:space="preserve"> </w:t>
      </w:r>
      <w:proofErr w:type="gramEnd"/>
      <w:r w:rsidR="002E6D5E">
        <w:t xml:space="preserve">Whilst </w:t>
      </w:r>
      <w:proofErr w:type="gramStart"/>
      <w:r w:rsidR="002E6D5E">
        <w:t>it is clear that this</w:t>
      </w:r>
      <w:proofErr w:type="gramEnd"/>
      <w:r w:rsidR="002E6D5E">
        <w:t xml:space="preserve"> has existed as a track for </w:t>
      </w:r>
      <w:proofErr w:type="gramStart"/>
      <w:r w:rsidR="002E6D5E">
        <w:t>so</w:t>
      </w:r>
      <w:r w:rsidR="0016642C">
        <w:t>me</w:t>
      </w:r>
      <w:proofErr w:type="gramEnd"/>
      <w:r w:rsidR="0016642C">
        <w:t xml:space="preserve"> considerable time</w:t>
      </w:r>
      <w:r w:rsidR="003F76A2">
        <w:t>, there is no</w:t>
      </w:r>
      <w:r w:rsidR="00A55C6C">
        <w:t xml:space="preserve">t sufficient </w:t>
      </w:r>
      <w:r w:rsidR="003F76A2">
        <w:t xml:space="preserve">evidence to suggest that </w:t>
      </w:r>
      <w:r w:rsidR="00885A57">
        <w:t xml:space="preserve">it could be </w:t>
      </w:r>
      <w:proofErr w:type="gramStart"/>
      <w:r w:rsidR="00885A57">
        <w:t>reasonably alleged</w:t>
      </w:r>
      <w:proofErr w:type="gramEnd"/>
      <w:r w:rsidR="00885A57">
        <w:t xml:space="preserve"> to have bridleway rights</w:t>
      </w:r>
      <w:proofErr w:type="gramStart"/>
      <w:r w:rsidR="00885A57">
        <w:t>.</w:t>
      </w:r>
      <w:r w:rsidR="00E43C8D">
        <w:t xml:space="preserve">  </w:t>
      </w:r>
      <w:proofErr w:type="gramEnd"/>
    </w:p>
    <w:p w14:paraId="4E8136CF" w14:textId="5B8E9AFA" w:rsidR="004712C2" w:rsidRDefault="004B2FB5" w:rsidP="00FE2062">
      <w:pPr>
        <w:pStyle w:val="Style1"/>
      </w:pPr>
      <w:r>
        <w:t xml:space="preserve">It is not in dispute that public rights on foot exist over </w:t>
      </w:r>
      <w:r w:rsidR="00597305">
        <w:t>the section of the claimed route between points B and C on the appellant’s map</w:t>
      </w:r>
      <w:proofErr w:type="gramStart"/>
      <w:r w:rsidR="00597305">
        <w:t xml:space="preserve">.  </w:t>
      </w:r>
      <w:proofErr w:type="gramEnd"/>
      <w:r w:rsidR="009F0619">
        <w:t xml:space="preserve">This section </w:t>
      </w:r>
      <w:proofErr w:type="gramStart"/>
      <w:r w:rsidR="009F0619">
        <w:t>is recorded</w:t>
      </w:r>
      <w:proofErr w:type="gramEnd"/>
      <w:r w:rsidR="009F0619">
        <w:t xml:space="preserve"> on the Definitive Map and Statement as part of Warslow and Elkstone</w:t>
      </w:r>
      <w:r w:rsidR="003610EA">
        <w:t>s</w:t>
      </w:r>
      <w:r w:rsidR="009F0619">
        <w:t xml:space="preserve"> Footpath 17</w:t>
      </w:r>
      <w:proofErr w:type="gramStart"/>
      <w:r w:rsidR="009F0619">
        <w:t>.</w:t>
      </w:r>
      <w:r w:rsidR="00A13DD6">
        <w:t xml:space="preserve">  </w:t>
      </w:r>
      <w:proofErr w:type="gramEnd"/>
      <w:r w:rsidR="007B5DF2">
        <w:t>As set out above</w:t>
      </w:r>
      <w:r w:rsidR="00F37C6D">
        <w:t>,</w:t>
      </w:r>
      <w:r w:rsidR="007B5DF2">
        <w:t xml:space="preserve"> </w:t>
      </w:r>
      <w:r w:rsidR="006F4044">
        <w:t xml:space="preserve">it would appear </w:t>
      </w:r>
      <w:r w:rsidR="006C7A4D">
        <w:t xml:space="preserve">the </w:t>
      </w:r>
      <w:r w:rsidR="00F67091">
        <w:t xml:space="preserve">carriage and drift road set out in the </w:t>
      </w:r>
      <w:r w:rsidR="00162880">
        <w:t>Inclosure</w:t>
      </w:r>
      <w:r w:rsidR="00F67091">
        <w:t xml:space="preserve"> </w:t>
      </w:r>
      <w:r w:rsidR="0042290E">
        <w:t xml:space="preserve">Award and </w:t>
      </w:r>
      <w:r w:rsidR="00162880">
        <w:t>Inclosure</w:t>
      </w:r>
      <w:r w:rsidR="0042290E">
        <w:t xml:space="preserve"> Map covers </w:t>
      </w:r>
      <w:proofErr w:type="gramStart"/>
      <w:r w:rsidR="00F37C6D">
        <w:t>approximately half</w:t>
      </w:r>
      <w:proofErr w:type="gramEnd"/>
      <w:r w:rsidR="00F37C6D">
        <w:t xml:space="preserve"> of this section </w:t>
      </w:r>
      <w:r w:rsidR="00CE05C2">
        <w:t xml:space="preserve">and the remainder is </w:t>
      </w:r>
      <w:proofErr w:type="gramStart"/>
      <w:r w:rsidR="00BA6613">
        <w:t xml:space="preserve">likely </w:t>
      </w:r>
      <w:r w:rsidR="00CE05C2">
        <w:t>part</w:t>
      </w:r>
      <w:proofErr w:type="gramEnd"/>
      <w:r w:rsidR="00CE05C2">
        <w:t xml:space="preserve"> of the ancient lane</w:t>
      </w:r>
      <w:proofErr w:type="gramStart"/>
      <w:r w:rsidR="00CE05C2">
        <w:t>.</w:t>
      </w:r>
      <w:r w:rsidR="00A20221">
        <w:t xml:space="preserve">  </w:t>
      </w:r>
      <w:r w:rsidR="00F2360D">
        <w:t xml:space="preserve">In order </w:t>
      </w:r>
      <w:r w:rsidR="004F2FAF">
        <w:t>for</w:t>
      </w:r>
      <w:proofErr w:type="gramEnd"/>
      <w:r w:rsidR="004F2FAF">
        <w:t xml:space="preserve"> this to </w:t>
      </w:r>
      <w:proofErr w:type="gramStart"/>
      <w:r w:rsidR="004F2FAF">
        <w:t>be upgraded</w:t>
      </w:r>
      <w:proofErr w:type="gramEnd"/>
      <w:r w:rsidR="004F2FAF">
        <w:t xml:space="preserve"> to Bridleway </w:t>
      </w:r>
      <w:r w:rsidR="00C5062D">
        <w:t>status</w:t>
      </w:r>
      <w:r w:rsidR="00E75447">
        <w:t xml:space="preserve">, it needs to </w:t>
      </w:r>
      <w:proofErr w:type="gramStart"/>
      <w:r w:rsidR="00E75447">
        <w:t>be shown</w:t>
      </w:r>
      <w:proofErr w:type="gramEnd"/>
      <w:r w:rsidR="00E75447">
        <w:t xml:space="preserve"> </w:t>
      </w:r>
      <w:r w:rsidR="00D96B58">
        <w:t xml:space="preserve">on the balance of </w:t>
      </w:r>
      <w:r w:rsidR="00866469">
        <w:t>probabilities</w:t>
      </w:r>
      <w:r w:rsidR="00D96B58">
        <w:t xml:space="preserve"> </w:t>
      </w:r>
      <w:r w:rsidR="00E75447">
        <w:t xml:space="preserve">that higher rights </w:t>
      </w:r>
      <w:proofErr w:type="gramStart"/>
      <w:r w:rsidR="00554AE7">
        <w:t xml:space="preserve">actually </w:t>
      </w:r>
      <w:r w:rsidR="00E75447">
        <w:t>subsist</w:t>
      </w:r>
      <w:proofErr w:type="gramEnd"/>
      <w:r w:rsidR="00554AE7">
        <w:t xml:space="preserve"> on the route</w:t>
      </w:r>
      <w:r w:rsidR="00E75447">
        <w:t xml:space="preserve">. </w:t>
      </w:r>
    </w:p>
    <w:p w14:paraId="64E2AC1C" w14:textId="055B2140" w:rsidR="00FE7B48" w:rsidRPr="00FE2062" w:rsidRDefault="00247F86" w:rsidP="00FE2062">
      <w:pPr>
        <w:pStyle w:val="Style1"/>
      </w:pPr>
      <w:r>
        <w:lastRenderedPageBreak/>
        <w:t xml:space="preserve">The submitted evidence does not indicate that public rights </w:t>
      </w:r>
      <w:r w:rsidR="00E05E7B">
        <w:t xml:space="preserve">could be </w:t>
      </w:r>
      <w:proofErr w:type="gramStart"/>
      <w:r w:rsidR="00E05E7B">
        <w:t>reasonably alleged</w:t>
      </w:r>
      <w:proofErr w:type="gramEnd"/>
      <w:r w:rsidR="00E05E7B">
        <w:t xml:space="preserve"> over </w:t>
      </w:r>
      <w:r w:rsidR="002F29F5">
        <w:t xml:space="preserve">the section of the route from Point A to Point </w:t>
      </w:r>
      <w:proofErr w:type="gramStart"/>
      <w:r w:rsidR="002F29F5">
        <w:t xml:space="preserve">B.  </w:t>
      </w:r>
      <w:proofErr w:type="gramEnd"/>
      <w:r w:rsidR="004E609F">
        <w:t xml:space="preserve">Nor </w:t>
      </w:r>
      <w:r w:rsidR="00BF2D2F">
        <w:t xml:space="preserve">is there </w:t>
      </w:r>
      <w:r w:rsidR="00B76393">
        <w:t>sufficient</w:t>
      </w:r>
      <w:r w:rsidR="00BF2D2F">
        <w:t xml:space="preserve"> evidence to suggest that public rights could be </w:t>
      </w:r>
      <w:proofErr w:type="gramStart"/>
      <w:r w:rsidR="00BF2D2F">
        <w:t>reasonably alleged</w:t>
      </w:r>
      <w:proofErr w:type="gramEnd"/>
      <w:r w:rsidR="00BF2D2F">
        <w:t xml:space="preserve"> to subsist over the section from Point C to </w:t>
      </w:r>
      <w:proofErr w:type="gramStart"/>
      <w:r w:rsidR="00BF2D2F">
        <w:t xml:space="preserve">D.  </w:t>
      </w:r>
      <w:proofErr w:type="gramEnd"/>
      <w:r w:rsidR="00355CDE">
        <w:t>By extension</w:t>
      </w:r>
      <w:r w:rsidR="005B5276">
        <w:t xml:space="preserve">, as Whitefield Gate Road </w:t>
      </w:r>
      <w:r w:rsidR="00F241BA">
        <w:t xml:space="preserve">and the ancient </w:t>
      </w:r>
      <w:r w:rsidR="00B81C34">
        <w:t xml:space="preserve">lane </w:t>
      </w:r>
      <w:r w:rsidR="00F241BA">
        <w:t>each make up part of the section from B to C</w:t>
      </w:r>
      <w:r w:rsidR="00EC6E37">
        <w:t>,</w:t>
      </w:r>
      <w:r w:rsidR="00F241BA">
        <w:t xml:space="preserve"> </w:t>
      </w:r>
      <w:r w:rsidR="00434B11">
        <w:t>this cannot meet</w:t>
      </w:r>
      <w:r w:rsidR="00025198">
        <w:t xml:space="preserve"> either</w:t>
      </w:r>
      <w:r w:rsidR="00434B11">
        <w:t xml:space="preserve"> the higher test of </w:t>
      </w:r>
      <w:r w:rsidR="007710EC">
        <w:t>bridleway rights subsi</w:t>
      </w:r>
      <w:r w:rsidR="005E45F1">
        <w:t>s</w:t>
      </w:r>
      <w:r w:rsidR="007710EC">
        <w:t>t</w:t>
      </w:r>
      <w:r w:rsidR="00434B11">
        <w:t>ing</w:t>
      </w:r>
      <w:r w:rsidR="007710EC">
        <w:t xml:space="preserve"> over </w:t>
      </w:r>
      <w:r w:rsidR="005E45F1">
        <w:t xml:space="preserve">the section </w:t>
      </w:r>
      <w:r w:rsidR="005449E0">
        <w:t>currently recorded as a public footpath</w:t>
      </w:r>
      <w:r w:rsidR="000B17AA">
        <w:t xml:space="preserve"> or that such higher rights could reasonably be alleged </w:t>
      </w:r>
      <w:r w:rsidR="009B31E1">
        <w:t>to subsist</w:t>
      </w:r>
      <w:r w:rsidR="005449E0">
        <w:t xml:space="preserve">.  </w:t>
      </w:r>
      <w:r w:rsidR="006B44F3">
        <w:t xml:space="preserve">Taking the claimed </w:t>
      </w:r>
      <w:proofErr w:type="gramStart"/>
      <w:r w:rsidR="006B44F3">
        <w:t>route as a whole</w:t>
      </w:r>
      <w:r w:rsidR="00BA5CCC">
        <w:t>,</w:t>
      </w:r>
      <w:r w:rsidR="006B44F3">
        <w:t xml:space="preserve"> I</w:t>
      </w:r>
      <w:proofErr w:type="gramEnd"/>
      <w:r w:rsidR="006B44F3">
        <w:t xml:space="preserve"> do not find that a case for recording a bridleway over the whole length has </w:t>
      </w:r>
      <w:proofErr w:type="gramStart"/>
      <w:r w:rsidR="006B44F3">
        <w:t>been made</w:t>
      </w:r>
      <w:proofErr w:type="gramEnd"/>
      <w:r w:rsidR="006B44F3">
        <w:t xml:space="preserve"> out</w:t>
      </w:r>
      <w:proofErr w:type="gramStart"/>
      <w:r w:rsidR="006B44F3">
        <w:t xml:space="preserve">.  </w:t>
      </w:r>
      <w:proofErr w:type="gramEnd"/>
    </w:p>
    <w:p w14:paraId="51710208" w14:textId="77777777" w:rsidR="00336DBA" w:rsidRDefault="00336DBA" w:rsidP="00F67D35">
      <w:pPr>
        <w:pStyle w:val="Heading6blackfont"/>
        <w:rPr>
          <w:rFonts w:cs="Arial"/>
          <w:szCs w:val="24"/>
        </w:rPr>
      </w:pPr>
      <w:r w:rsidRPr="004A61B1">
        <w:rPr>
          <w:rFonts w:cs="Arial"/>
          <w:szCs w:val="24"/>
        </w:rPr>
        <w:t>Other Matters</w:t>
      </w:r>
    </w:p>
    <w:p w14:paraId="70C33131" w14:textId="5797DF7E" w:rsidR="00200078" w:rsidRPr="00200078" w:rsidRDefault="00F02342" w:rsidP="00F67D35">
      <w:pPr>
        <w:pStyle w:val="Style1"/>
        <w:rPr>
          <w:rFonts w:cs="Arial"/>
          <w:szCs w:val="24"/>
        </w:rPr>
      </w:pPr>
      <w:r>
        <w:t>Whilst I have noted the com</w:t>
      </w:r>
      <w:r w:rsidR="005513C0">
        <w:t xml:space="preserve">ments of the landowner in respect of the safety of the access points </w:t>
      </w:r>
      <w:r w:rsidR="000D11D9">
        <w:t xml:space="preserve">for </w:t>
      </w:r>
      <w:r w:rsidR="005513C0">
        <w:t xml:space="preserve">the route </w:t>
      </w:r>
      <w:r w:rsidR="00D14792">
        <w:t xml:space="preserve">and the potential </w:t>
      </w:r>
      <w:r w:rsidR="00671319">
        <w:t xml:space="preserve">security risk, these are not matters that can have a bearing on </w:t>
      </w:r>
      <w:proofErr w:type="gramStart"/>
      <w:r w:rsidR="00671319">
        <w:t xml:space="preserve">whether </w:t>
      </w:r>
      <w:r w:rsidR="00560A92">
        <w:t>or not</w:t>
      </w:r>
      <w:proofErr w:type="gramEnd"/>
      <w:r w:rsidR="00560A92">
        <w:t xml:space="preserve"> public rights exist</w:t>
      </w:r>
      <w:proofErr w:type="gramStart"/>
      <w:r w:rsidR="00560A92">
        <w:t xml:space="preserve">.  </w:t>
      </w:r>
      <w:proofErr w:type="gramEnd"/>
      <w:r w:rsidR="00560A92">
        <w:t xml:space="preserve">I have noted </w:t>
      </w:r>
      <w:r w:rsidR="0089621A">
        <w:t xml:space="preserve">the comment that the claimed </w:t>
      </w:r>
      <w:r w:rsidR="00635EEC">
        <w:t>route is not</w:t>
      </w:r>
      <w:r w:rsidR="000A53BE">
        <w:t>, nor has it been,</w:t>
      </w:r>
      <w:r w:rsidR="00635EEC">
        <w:t xml:space="preserve"> a </w:t>
      </w:r>
      <w:r w:rsidR="000A53BE">
        <w:t>bridleway</w:t>
      </w:r>
      <w:proofErr w:type="gramStart"/>
      <w:r w:rsidR="000A53BE">
        <w:t>.</w:t>
      </w:r>
      <w:r w:rsidR="00716B81">
        <w:t xml:space="preserve">  </w:t>
      </w:r>
      <w:proofErr w:type="gramEnd"/>
      <w:r w:rsidR="00716B81">
        <w:t xml:space="preserve">However, I am mindful that </w:t>
      </w:r>
      <w:r w:rsidR="00A602AD">
        <w:t xml:space="preserve">much of the appellant’s case relates </w:t>
      </w:r>
      <w:r w:rsidR="005A0287">
        <w:t xml:space="preserve">to historical material </w:t>
      </w:r>
      <w:r w:rsidR="00AB6F78">
        <w:t xml:space="preserve">and </w:t>
      </w:r>
      <w:r w:rsidR="00851A22">
        <w:t xml:space="preserve">as such </w:t>
      </w:r>
      <w:r w:rsidR="003B146A">
        <w:t>the landowner</w:t>
      </w:r>
      <w:r w:rsidR="00F71019">
        <w:t>’</w:t>
      </w:r>
      <w:r w:rsidR="003B146A">
        <w:t xml:space="preserve">s </w:t>
      </w:r>
      <w:r w:rsidR="00363A20">
        <w:t>assertions carry only limited weight</w:t>
      </w:r>
      <w:r w:rsidR="00200078">
        <w:t xml:space="preserve">. </w:t>
      </w:r>
      <w:bookmarkStart w:id="2" w:name="bmk_Conclusions"/>
    </w:p>
    <w:p w14:paraId="6587E4CE" w14:textId="7576FC8A" w:rsidR="00336DBA" w:rsidRPr="00200078" w:rsidRDefault="00336DBA" w:rsidP="00200078">
      <w:pPr>
        <w:pStyle w:val="Style1"/>
        <w:numPr>
          <w:ilvl w:val="0"/>
          <w:numId w:val="0"/>
        </w:numPr>
        <w:rPr>
          <w:rFonts w:cs="Arial"/>
          <w:b/>
          <w:bCs/>
          <w:szCs w:val="24"/>
        </w:rPr>
      </w:pPr>
      <w:r w:rsidRPr="00200078">
        <w:rPr>
          <w:rFonts w:cs="Arial"/>
          <w:b/>
          <w:bCs/>
          <w:szCs w:val="24"/>
        </w:rPr>
        <w:t>Conclusion</w:t>
      </w:r>
    </w:p>
    <w:p w14:paraId="7D6B63F8" w14:textId="72058E05" w:rsidR="00FE173D" w:rsidRPr="00FE173D" w:rsidRDefault="00A84FEE" w:rsidP="00FE173D">
      <w:pPr>
        <w:pStyle w:val="Style1"/>
      </w:pPr>
      <w:r>
        <w:t xml:space="preserve">From the evidence that has </w:t>
      </w:r>
      <w:proofErr w:type="gramStart"/>
      <w:r>
        <w:t>been provided</w:t>
      </w:r>
      <w:proofErr w:type="gramEnd"/>
      <w:r w:rsidR="00D40E50">
        <w:t>,</w:t>
      </w:r>
      <w:r>
        <w:t xml:space="preserve"> I </w:t>
      </w:r>
      <w:r w:rsidR="00135E07">
        <w:t xml:space="preserve">conclude that </w:t>
      </w:r>
      <w:r w:rsidR="007030B3">
        <w:t xml:space="preserve">public rights cannot be </w:t>
      </w:r>
      <w:proofErr w:type="gramStart"/>
      <w:r w:rsidR="007030B3">
        <w:t>reasonabl</w:t>
      </w:r>
      <w:r w:rsidR="005E075B">
        <w:t>y</w:t>
      </w:r>
      <w:r w:rsidR="007030B3">
        <w:t xml:space="preserve"> alleged</w:t>
      </w:r>
      <w:proofErr w:type="gramEnd"/>
      <w:r w:rsidR="007030B3">
        <w:t xml:space="preserve"> to</w:t>
      </w:r>
      <w:r w:rsidR="005E075B">
        <w:t xml:space="preserve"> </w:t>
      </w:r>
      <w:r w:rsidR="007030B3">
        <w:t xml:space="preserve">exist over the sections of the claimed route from Point A to Point B </w:t>
      </w:r>
      <w:r w:rsidR="005E075B">
        <w:t>or from Point C to Point D on the appellant’s map</w:t>
      </w:r>
      <w:proofErr w:type="gramStart"/>
      <w:r w:rsidR="005E075B">
        <w:t xml:space="preserve">.  </w:t>
      </w:r>
      <w:proofErr w:type="gramEnd"/>
      <w:r w:rsidR="005E075B">
        <w:t xml:space="preserve">I also conclude that it has not </w:t>
      </w:r>
      <w:proofErr w:type="gramStart"/>
      <w:r w:rsidR="005E075B">
        <w:t>been shown</w:t>
      </w:r>
      <w:proofErr w:type="gramEnd"/>
      <w:r w:rsidR="005E075B">
        <w:t xml:space="preserve"> that Bridleway rights exist</w:t>
      </w:r>
      <w:r w:rsidR="0063668F">
        <w:t>,</w:t>
      </w:r>
      <w:r w:rsidR="005E075B">
        <w:t xml:space="preserve"> </w:t>
      </w:r>
      <w:r w:rsidR="00F933C9">
        <w:t xml:space="preserve">or could </w:t>
      </w:r>
      <w:proofErr w:type="gramStart"/>
      <w:r w:rsidR="00F933C9">
        <w:t>reasonably be</w:t>
      </w:r>
      <w:proofErr w:type="gramEnd"/>
      <w:r w:rsidR="00F933C9">
        <w:t xml:space="preserve"> alleged to exist, </w:t>
      </w:r>
      <w:r w:rsidR="005E075B">
        <w:t xml:space="preserve">over </w:t>
      </w:r>
      <w:r w:rsidR="00B3593C">
        <w:t xml:space="preserve">the section of the claimed route from Point B to Point </w:t>
      </w:r>
      <w:proofErr w:type="gramStart"/>
      <w:r w:rsidR="00B3593C">
        <w:t>C.</w:t>
      </w:r>
      <w:r w:rsidR="00550C6E">
        <w:t xml:space="preserve">  </w:t>
      </w:r>
      <w:proofErr w:type="gramEnd"/>
      <w:r w:rsidR="00550C6E">
        <w:t xml:space="preserve">As a </w:t>
      </w:r>
      <w:r w:rsidR="00632436">
        <w:t>result,</w:t>
      </w:r>
      <w:r w:rsidR="00550C6E">
        <w:t xml:space="preserve"> </w:t>
      </w:r>
      <w:r w:rsidR="000203F6">
        <w:t>I conclude that the appeal should</w:t>
      </w:r>
      <w:r w:rsidR="002909DE">
        <w:t xml:space="preserve"> be dismissed</w:t>
      </w:r>
      <w:proofErr w:type="gramStart"/>
      <w:r w:rsidR="00550C6E">
        <w:t xml:space="preserve">.  </w:t>
      </w:r>
      <w:proofErr w:type="gramEnd"/>
    </w:p>
    <w:bookmarkEnd w:id="2"/>
    <w:p w14:paraId="37E3284D" w14:textId="77777777" w:rsidR="00AE2E97" w:rsidRDefault="00AE2E97" w:rsidP="00FE1B2B">
      <w:pPr>
        <w:tabs>
          <w:tab w:val="left" w:pos="432"/>
        </w:tabs>
        <w:spacing w:before="180"/>
        <w:outlineLvl w:val="0"/>
        <w:rPr>
          <w:rFonts w:ascii="Monotype Corsiva" w:hAnsi="Monotype Corsiva"/>
          <w:color w:val="000000"/>
          <w:kern w:val="28"/>
          <w:sz w:val="36"/>
          <w:szCs w:val="36"/>
        </w:rPr>
      </w:pPr>
    </w:p>
    <w:p w14:paraId="5219DBA9" w14:textId="0C65C92B" w:rsidR="00FE1B2B" w:rsidRPr="00FE1B2B" w:rsidRDefault="00FE1B2B" w:rsidP="00FE1B2B">
      <w:pPr>
        <w:tabs>
          <w:tab w:val="left" w:pos="432"/>
        </w:tabs>
        <w:spacing w:before="180"/>
        <w:outlineLvl w:val="0"/>
        <w:rPr>
          <w:rFonts w:ascii="Monotype Corsiva" w:hAnsi="Monotype Corsiva"/>
          <w:color w:val="000000"/>
          <w:kern w:val="28"/>
          <w:sz w:val="36"/>
          <w:szCs w:val="36"/>
        </w:rPr>
      </w:pPr>
      <w:r w:rsidRPr="00FE1B2B">
        <w:rPr>
          <w:rFonts w:ascii="Monotype Corsiva" w:hAnsi="Monotype Corsiva"/>
          <w:color w:val="000000"/>
          <w:kern w:val="28"/>
          <w:sz w:val="36"/>
          <w:szCs w:val="36"/>
        </w:rPr>
        <w:t xml:space="preserve">John Dowsett </w:t>
      </w:r>
    </w:p>
    <w:p w14:paraId="1F98960B" w14:textId="00CA7345" w:rsidR="002960AD" w:rsidRDefault="00336DBA" w:rsidP="00985933">
      <w:pPr>
        <w:tabs>
          <w:tab w:val="left" w:pos="432"/>
        </w:tabs>
        <w:spacing w:before="180"/>
        <w:outlineLvl w:val="0"/>
        <w:rPr>
          <w:rFonts w:cs="Arial"/>
          <w:color w:val="000000"/>
          <w:kern w:val="28"/>
          <w:szCs w:val="24"/>
        </w:rPr>
      </w:pPr>
      <w:r w:rsidRPr="004A61B1">
        <w:rPr>
          <w:rFonts w:cs="Arial"/>
          <w:color w:val="000000"/>
          <w:kern w:val="28"/>
          <w:szCs w:val="24"/>
        </w:rPr>
        <w:t>INSPECTOR</w:t>
      </w:r>
    </w:p>
    <w:p w14:paraId="71B4D224" w14:textId="77777777" w:rsidR="002960AD" w:rsidRDefault="002960AD">
      <w:pPr>
        <w:rPr>
          <w:rFonts w:cs="Arial"/>
          <w:color w:val="000000"/>
          <w:kern w:val="28"/>
          <w:szCs w:val="24"/>
        </w:rPr>
      </w:pPr>
      <w:r>
        <w:rPr>
          <w:rFonts w:cs="Arial"/>
          <w:color w:val="000000"/>
          <w:kern w:val="28"/>
          <w:szCs w:val="24"/>
        </w:rPr>
        <w:br w:type="page"/>
      </w:r>
    </w:p>
    <w:p w14:paraId="4DDF0B89" w14:textId="25874A92" w:rsidR="00336DBA" w:rsidRDefault="007C0D65" w:rsidP="00985933">
      <w:pPr>
        <w:tabs>
          <w:tab w:val="left" w:pos="432"/>
        </w:tabs>
        <w:spacing w:before="180"/>
        <w:outlineLvl w:val="0"/>
        <w:rPr>
          <w:rFonts w:cs="Arial"/>
          <w:color w:val="000000"/>
          <w:kern w:val="28"/>
          <w:szCs w:val="24"/>
        </w:rPr>
      </w:pPr>
      <w:r>
        <w:rPr>
          <w:rFonts w:cs="Arial"/>
          <w:color w:val="000000"/>
          <w:kern w:val="28"/>
          <w:szCs w:val="24"/>
        </w:rPr>
        <w:lastRenderedPageBreak/>
        <w:t>APPENDIX 1</w:t>
      </w:r>
    </w:p>
    <w:p w14:paraId="2F980542" w14:textId="2659074F" w:rsidR="008477D1" w:rsidRPr="004A61B1" w:rsidRDefault="008477D1" w:rsidP="00985933">
      <w:pPr>
        <w:tabs>
          <w:tab w:val="left" w:pos="432"/>
        </w:tabs>
        <w:spacing w:before="180"/>
        <w:outlineLvl w:val="0"/>
        <w:rPr>
          <w:rFonts w:cs="Arial"/>
          <w:color w:val="000000"/>
          <w:kern w:val="28"/>
          <w:szCs w:val="24"/>
        </w:rPr>
      </w:pPr>
      <w:r>
        <w:rPr>
          <w:rFonts w:cs="Arial"/>
          <w:noProof/>
          <w:color w:val="000000"/>
          <w:kern w:val="28"/>
          <w:szCs w:val="24"/>
          <w14:ligatures w14:val="standardContextual"/>
        </w:rPr>
        <w:drawing>
          <wp:anchor distT="0" distB="0" distL="114300" distR="114300" simplePos="0" relativeHeight="251658240" behindDoc="0" locked="0" layoutInCell="1" allowOverlap="1" wp14:anchorId="407A2390" wp14:editId="3B67CD3C">
            <wp:simplePos x="974035" y="1053548"/>
            <wp:positionH relativeFrom="margin">
              <wp:align>center</wp:align>
            </wp:positionH>
            <wp:positionV relativeFrom="margin">
              <wp:align>center</wp:align>
            </wp:positionV>
            <wp:extent cx="5963904" cy="8460000"/>
            <wp:effectExtent l="0" t="0" r="0" b="0"/>
            <wp:wrapSquare wrapText="bothSides"/>
            <wp:docPr id="618432187"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32187" name="Picture 1" descr="Order map"/>
                    <pic:cNvPicPr/>
                  </pic:nvPicPr>
                  <pic:blipFill>
                    <a:blip r:embed="rId12">
                      <a:extLst>
                        <a:ext uri="{28A0092B-C50C-407E-A947-70E740481C1C}">
                          <a14:useLocalDpi xmlns:a14="http://schemas.microsoft.com/office/drawing/2010/main" val="0"/>
                        </a:ext>
                      </a:extLst>
                    </a:blip>
                    <a:stretch>
                      <a:fillRect/>
                    </a:stretch>
                  </pic:blipFill>
                  <pic:spPr>
                    <a:xfrm>
                      <a:off x="0" y="0"/>
                      <a:ext cx="5963904" cy="8460000"/>
                    </a:xfrm>
                    <a:prstGeom prst="rect">
                      <a:avLst/>
                    </a:prstGeom>
                  </pic:spPr>
                </pic:pic>
              </a:graphicData>
            </a:graphic>
            <wp14:sizeRelH relativeFrom="margin">
              <wp14:pctWidth>0</wp14:pctWidth>
            </wp14:sizeRelH>
            <wp14:sizeRelV relativeFrom="margin">
              <wp14:pctHeight>0</wp14:pctHeight>
            </wp14:sizeRelV>
          </wp:anchor>
        </w:drawing>
      </w:r>
    </w:p>
    <w:sectPr w:rsidR="008477D1" w:rsidRPr="004A61B1" w:rsidSect="00336DBA">
      <w:headerReference w:type="default" r:id="rId13"/>
      <w:footerReference w:type="even" r:id="rId14"/>
      <w:footerReference w:type="default" r:id="rId15"/>
      <w:headerReference w:type="first" r:id="rId16"/>
      <w:footerReference w:type="first" r:id="rId17"/>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5BBA" w14:textId="77777777" w:rsidR="00E351DE" w:rsidRDefault="00E351DE" w:rsidP="002E748A">
      <w:r>
        <w:separator/>
      </w:r>
    </w:p>
  </w:endnote>
  <w:endnote w:type="continuationSeparator" w:id="0">
    <w:p w14:paraId="53E289CA" w14:textId="77777777" w:rsidR="00E351DE" w:rsidRDefault="00E351DE" w:rsidP="002E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9A52" w14:textId="77777777" w:rsidR="006D496E" w:rsidRDefault="007829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7E012D" w14:textId="77777777" w:rsidR="006D496E" w:rsidRDefault="006D4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7921" w14:textId="77777777" w:rsidR="006D496E" w:rsidRDefault="0078294D">
    <w:pPr>
      <w:pStyle w:val="Noindent"/>
      <w:spacing w:before="120"/>
      <w:jc w:val="center"/>
      <w:rPr>
        <w:rStyle w:val="PageNumber"/>
      </w:rPr>
    </w:pPr>
    <w:r>
      <w:rPr>
        <w:noProof/>
        <w:sz w:val="18"/>
      </w:rPr>
      <mc:AlternateContent>
        <mc:Choice Requires="wps">
          <w:drawing>
            <wp:anchor distT="0" distB="0" distL="114300" distR="114300" simplePos="0" relativeHeight="251658242" behindDoc="0" locked="0" layoutInCell="1" allowOverlap="1" wp14:anchorId="783DB713" wp14:editId="51BEA56A">
              <wp:simplePos x="0" y="0"/>
              <wp:positionH relativeFrom="column">
                <wp:posOffset>-2540</wp:posOffset>
              </wp:positionH>
              <wp:positionV relativeFrom="paragraph">
                <wp:posOffset>159385</wp:posOffset>
              </wp:positionV>
              <wp:extent cx="5943600" cy="0"/>
              <wp:effectExtent l="0" t="0" r="0" b="0"/>
              <wp:wrapNone/>
              <wp:docPr id="165345984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65791" id="Line 17"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36DAE864" w14:textId="77777777" w:rsidR="006D496E" w:rsidRPr="00E45340" w:rsidRDefault="006D496E" w:rsidP="00E45340">
    <w:pPr>
      <w:pStyle w:val="Footer"/>
      <w:ind w:right="-52"/>
      <w:rPr>
        <w:sz w:val="16"/>
        <w:szCs w:val="16"/>
      </w:rPr>
    </w:pPr>
    <w:hyperlink r:id="rId1" w:history="1">
      <w:r w:rsidRPr="00026922">
        <w:rPr>
          <w:rStyle w:val="Hyperlink"/>
          <w:sz w:val="16"/>
          <w:szCs w:val="16"/>
        </w:rPr>
        <w:t>https://www.gov.uk/planning-inspectorate</w:t>
      </w:r>
    </w:hyperlink>
    <w:r w:rsidR="0078294D">
      <w:rPr>
        <w:sz w:val="16"/>
        <w:szCs w:val="16"/>
      </w:rPr>
      <w:t xml:space="preserve">                          </w:t>
    </w:r>
    <w:r w:rsidR="0078294D">
      <w:rPr>
        <w:rStyle w:val="PageNumber"/>
      </w:rPr>
      <w:fldChar w:fldCharType="begin"/>
    </w:r>
    <w:r w:rsidR="0078294D">
      <w:rPr>
        <w:rStyle w:val="PageNumber"/>
      </w:rPr>
      <w:instrText xml:space="preserve"> PAGE </w:instrText>
    </w:r>
    <w:r w:rsidR="0078294D">
      <w:rPr>
        <w:rStyle w:val="PageNumber"/>
      </w:rPr>
      <w:fldChar w:fldCharType="separate"/>
    </w:r>
    <w:r w:rsidR="0078294D">
      <w:rPr>
        <w:rStyle w:val="PageNumber"/>
        <w:noProof/>
      </w:rPr>
      <w:t>2</w:t>
    </w:r>
    <w:r w:rsidR="0078294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3A9A" w14:textId="77777777" w:rsidR="006D496E" w:rsidRDefault="0078294D">
    <w:pPr>
      <w:pStyle w:val="Footer"/>
      <w:ind w:right="-52"/>
    </w:pPr>
    <w:r>
      <w:rPr>
        <w:noProof/>
      </w:rPr>
      <mc:AlternateContent>
        <mc:Choice Requires="wps">
          <w:drawing>
            <wp:anchor distT="0" distB="0" distL="114300" distR="114300" simplePos="0" relativeHeight="251658240" behindDoc="0" locked="0" layoutInCell="1" allowOverlap="1" wp14:anchorId="49BE16F8" wp14:editId="19DCAFE6">
              <wp:simplePos x="0" y="0"/>
              <wp:positionH relativeFrom="column">
                <wp:posOffset>-2540</wp:posOffset>
              </wp:positionH>
              <wp:positionV relativeFrom="paragraph">
                <wp:posOffset>121285</wp:posOffset>
              </wp:positionV>
              <wp:extent cx="5943600" cy="0"/>
              <wp:effectExtent l="0" t="0" r="0" b="0"/>
              <wp:wrapNone/>
              <wp:docPr id="2084971187"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55E7E" id="Line 1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027E27F3" w14:textId="77777777" w:rsidR="006D496E" w:rsidRPr="002E2687" w:rsidRDefault="006D496E">
    <w:pPr>
      <w:pStyle w:val="Footer"/>
      <w:ind w:right="-52"/>
      <w:rPr>
        <w:rFonts w:cs="Arial"/>
        <w:sz w:val="16"/>
        <w:szCs w:val="16"/>
      </w:rPr>
    </w:pPr>
    <w:hyperlink r:id="rId1" w:history="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826C" w14:textId="77777777" w:rsidR="00E351DE" w:rsidRDefault="00E351DE" w:rsidP="002E748A">
      <w:r>
        <w:separator/>
      </w:r>
    </w:p>
  </w:footnote>
  <w:footnote w:type="continuationSeparator" w:id="0">
    <w:p w14:paraId="238DC795" w14:textId="77777777" w:rsidR="00E351DE" w:rsidRDefault="00E351DE" w:rsidP="002E7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47EFCE2C" w14:textId="77777777">
      <w:tc>
        <w:tcPr>
          <w:tcW w:w="9520" w:type="dxa"/>
        </w:tcPr>
        <w:p w14:paraId="5A0D367A" w14:textId="0D47A1FD" w:rsidR="006D496E" w:rsidRDefault="002E1DB2">
          <w:pPr>
            <w:pStyle w:val="Footer"/>
          </w:pPr>
          <w:r>
            <w:t>Appeal Decision</w:t>
          </w:r>
          <w:r w:rsidR="00061749">
            <w:t>:</w:t>
          </w:r>
          <w:r>
            <w:t xml:space="preserve"> </w:t>
          </w:r>
          <w:r w:rsidRPr="002E1DB2">
            <w:t>ROW/3352367</w:t>
          </w:r>
        </w:p>
      </w:tc>
    </w:tr>
  </w:tbl>
  <w:p w14:paraId="55C53E62" w14:textId="77777777" w:rsidR="006D496E" w:rsidRDefault="0078294D" w:rsidP="00087477">
    <w:pPr>
      <w:pStyle w:val="Footer"/>
      <w:spacing w:after="180"/>
    </w:pPr>
    <w:r>
      <w:rPr>
        <w:noProof/>
      </w:rPr>
      <mc:AlternateContent>
        <mc:Choice Requires="wps">
          <w:drawing>
            <wp:anchor distT="0" distB="0" distL="114300" distR="114300" simplePos="0" relativeHeight="251658241" behindDoc="0" locked="0" layoutInCell="1" allowOverlap="1" wp14:anchorId="78015BF5" wp14:editId="0E86502E">
              <wp:simplePos x="0" y="0"/>
              <wp:positionH relativeFrom="column">
                <wp:posOffset>0</wp:posOffset>
              </wp:positionH>
              <wp:positionV relativeFrom="paragraph">
                <wp:posOffset>114300</wp:posOffset>
              </wp:positionV>
              <wp:extent cx="5943600" cy="0"/>
              <wp:effectExtent l="0" t="0" r="0" b="0"/>
              <wp:wrapNone/>
              <wp:docPr id="1319711654"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C8C4" id="Line 14"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DD99" w14:textId="77777777" w:rsidR="006D496E" w:rsidRDefault="0078294D">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1DA6172C"/>
    <w:multiLevelType w:val="hybridMultilevel"/>
    <w:tmpl w:val="4D2C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1"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9400393">
    <w:abstractNumId w:val="20"/>
  </w:num>
  <w:num w:numId="2" w16cid:durableId="1840267079">
    <w:abstractNumId w:val="10"/>
  </w:num>
  <w:num w:numId="3" w16cid:durableId="554509576">
    <w:abstractNumId w:val="18"/>
  </w:num>
  <w:num w:numId="4" w16cid:durableId="587732463">
    <w:abstractNumId w:val="0"/>
  </w:num>
  <w:num w:numId="5" w16cid:durableId="1595553506">
    <w:abstractNumId w:val="9"/>
  </w:num>
  <w:num w:numId="6" w16cid:durableId="688801659">
    <w:abstractNumId w:val="17"/>
  </w:num>
  <w:num w:numId="7" w16cid:durableId="1867599505">
    <w:abstractNumId w:val="21"/>
  </w:num>
  <w:num w:numId="8" w16cid:durableId="842475900">
    <w:abstractNumId w:val="16"/>
  </w:num>
  <w:num w:numId="9" w16cid:durableId="78337589">
    <w:abstractNumId w:val="3"/>
  </w:num>
  <w:num w:numId="10" w16cid:durableId="341081291">
    <w:abstractNumId w:val="5"/>
  </w:num>
  <w:num w:numId="11" w16cid:durableId="1273855403">
    <w:abstractNumId w:val="12"/>
  </w:num>
  <w:num w:numId="12" w16cid:durableId="1004743632">
    <w:abstractNumId w:val="13"/>
  </w:num>
  <w:num w:numId="13" w16cid:durableId="1713723029">
    <w:abstractNumId w:val="8"/>
  </w:num>
  <w:num w:numId="14" w16cid:durableId="1975326779">
    <w:abstractNumId w:val="11"/>
  </w:num>
  <w:num w:numId="15" w16cid:durableId="61948684">
    <w:abstractNumId w:val="14"/>
  </w:num>
  <w:num w:numId="16" w16cid:durableId="1156453278">
    <w:abstractNumId w:val="1"/>
  </w:num>
  <w:num w:numId="17" w16cid:durableId="1961840869">
    <w:abstractNumId w:val="15"/>
  </w:num>
  <w:num w:numId="18" w16cid:durableId="194275261">
    <w:abstractNumId w:val="6"/>
  </w:num>
  <w:num w:numId="19" w16cid:durableId="546259836">
    <w:abstractNumId w:val="2"/>
  </w:num>
  <w:num w:numId="20" w16cid:durableId="1291401211">
    <w:abstractNumId w:val="7"/>
  </w:num>
  <w:num w:numId="21" w16cid:durableId="516693881">
    <w:abstractNumId w:val="19"/>
  </w:num>
  <w:num w:numId="22" w16cid:durableId="1219247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BA"/>
    <w:rsid w:val="00001188"/>
    <w:rsid w:val="00001D3B"/>
    <w:rsid w:val="000067AE"/>
    <w:rsid w:val="000109C1"/>
    <w:rsid w:val="00010D24"/>
    <w:rsid w:val="000116B9"/>
    <w:rsid w:val="000123D5"/>
    <w:rsid w:val="0001640B"/>
    <w:rsid w:val="00017134"/>
    <w:rsid w:val="000203F6"/>
    <w:rsid w:val="00021734"/>
    <w:rsid w:val="000234BB"/>
    <w:rsid w:val="00025198"/>
    <w:rsid w:val="00025523"/>
    <w:rsid w:val="00025E0D"/>
    <w:rsid w:val="00032ED8"/>
    <w:rsid w:val="00032F32"/>
    <w:rsid w:val="000340DD"/>
    <w:rsid w:val="000369FF"/>
    <w:rsid w:val="00036D00"/>
    <w:rsid w:val="00040AB4"/>
    <w:rsid w:val="00041BBB"/>
    <w:rsid w:val="000421C4"/>
    <w:rsid w:val="000465F3"/>
    <w:rsid w:val="000470B7"/>
    <w:rsid w:val="0004723C"/>
    <w:rsid w:val="00050627"/>
    <w:rsid w:val="00051118"/>
    <w:rsid w:val="000511AC"/>
    <w:rsid w:val="00052F52"/>
    <w:rsid w:val="00057196"/>
    <w:rsid w:val="00057698"/>
    <w:rsid w:val="00061749"/>
    <w:rsid w:val="00067BA1"/>
    <w:rsid w:val="00075341"/>
    <w:rsid w:val="00076E8E"/>
    <w:rsid w:val="00077F0B"/>
    <w:rsid w:val="00086637"/>
    <w:rsid w:val="000905B4"/>
    <w:rsid w:val="00091AA8"/>
    <w:rsid w:val="00093865"/>
    <w:rsid w:val="00094716"/>
    <w:rsid w:val="000952F3"/>
    <w:rsid w:val="000A2636"/>
    <w:rsid w:val="000A33AD"/>
    <w:rsid w:val="000A53BE"/>
    <w:rsid w:val="000A6BCB"/>
    <w:rsid w:val="000B16DA"/>
    <w:rsid w:val="000B17AA"/>
    <w:rsid w:val="000B1B3F"/>
    <w:rsid w:val="000B7330"/>
    <w:rsid w:val="000B7388"/>
    <w:rsid w:val="000B75BE"/>
    <w:rsid w:val="000C019B"/>
    <w:rsid w:val="000C61A6"/>
    <w:rsid w:val="000D11D9"/>
    <w:rsid w:val="000D458D"/>
    <w:rsid w:val="000D46CF"/>
    <w:rsid w:val="000E09BE"/>
    <w:rsid w:val="000E0A18"/>
    <w:rsid w:val="000E5AA0"/>
    <w:rsid w:val="000E6BFD"/>
    <w:rsid w:val="000E718C"/>
    <w:rsid w:val="000E7C8E"/>
    <w:rsid w:val="000F07F9"/>
    <w:rsid w:val="000F1ADB"/>
    <w:rsid w:val="000F1F08"/>
    <w:rsid w:val="000F1FC5"/>
    <w:rsid w:val="000F579C"/>
    <w:rsid w:val="000F62C1"/>
    <w:rsid w:val="001026B1"/>
    <w:rsid w:val="0010447F"/>
    <w:rsid w:val="0010618F"/>
    <w:rsid w:val="001103AC"/>
    <w:rsid w:val="00110A5C"/>
    <w:rsid w:val="001110AF"/>
    <w:rsid w:val="001110D7"/>
    <w:rsid w:val="00112CBB"/>
    <w:rsid w:val="001173BB"/>
    <w:rsid w:val="00120A3D"/>
    <w:rsid w:val="00122D3C"/>
    <w:rsid w:val="001235DA"/>
    <w:rsid w:val="00127DAE"/>
    <w:rsid w:val="00130C3A"/>
    <w:rsid w:val="001349B2"/>
    <w:rsid w:val="00135E07"/>
    <w:rsid w:val="0013794C"/>
    <w:rsid w:val="00141DAA"/>
    <w:rsid w:val="00143E7F"/>
    <w:rsid w:val="0014771F"/>
    <w:rsid w:val="001543D7"/>
    <w:rsid w:val="00160FD7"/>
    <w:rsid w:val="00162880"/>
    <w:rsid w:val="00164AFE"/>
    <w:rsid w:val="00165084"/>
    <w:rsid w:val="001663E3"/>
    <w:rsid w:val="0016642C"/>
    <w:rsid w:val="00166509"/>
    <w:rsid w:val="00166D8D"/>
    <w:rsid w:val="00173267"/>
    <w:rsid w:val="00191B74"/>
    <w:rsid w:val="00192B61"/>
    <w:rsid w:val="00193EE3"/>
    <w:rsid w:val="00197EC3"/>
    <w:rsid w:val="001A25A0"/>
    <w:rsid w:val="001A386D"/>
    <w:rsid w:val="001A3B10"/>
    <w:rsid w:val="001B04A1"/>
    <w:rsid w:val="001B5146"/>
    <w:rsid w:val="001B5593"/>
    <w:rsid w:val="001C0F39"/>
    <w:rsid w:val="001C350E"/>
    <w:rsid w:val="001C5139"/>
    <w:rsid w:val="001D02BF"/>
    <w:rsid w:val="001D3B0B"/>
    <w:rsid w:val="001D5AE9"/>
    <w:rsid w:val="001E0072"/>
    <w:rsid w:val="001E0BCE"/>
    <w:rsid w:val="001E2BE9"/>
    <w:rsid w:val="001E63DD"/>
    <w:rsid w:val="001E7DBB"/>
    <w:rsid w:val="001F11D0"/>
    <w:rsid w:val="00200078"/>
    <w:rsid w:val="0020032D"/>
    <w:rsid w:val="00202E0C"/>
    <w:rsid w:val="00204004"/>
    <w:rsid w:val="00204B1F"/>
    <w:rsid w:val="00204CE6"/>
    <w:rsid w:val="00207EED"/>
    <w:rsid w:val="00212075"/>
    <w:rsid w:val="002148C1"/>
    <w:rsid w:val="00217610"/>
    <w:rsid w:val="0022158D"/>
    <w:rsid w:val="00222DC9"/>
    <w:rsid w:val="00223E80"/>
    <w:rsid w:val="00226BAD"/>
    <w:rsid w:val="00230F44"/>
    <w:rsid w:val="00231C37"/>
    <w:rsid w:val="00231DFD"/>
    <w:rsid w:val="00240E35"/>
    <w:rsid w:val="00241329"/>
    <w:rsid w:val="0024223E"/>
    <w:rsid w:val="00243A56"/>
    <w:rsid w:val="00244E8A"/>
    <w:rsid w:val="00247F86"/>
    <w:rsid w:val="00250130"/>
    <w:rsid w:val="002509CA"/>
    <w:rsid w:val="00252435"/>
    <w:rsid w:val="0025247F"/>
    <w:rsid w:val="00256F6A"/>
    <w:rsid w:val="00261ECC"/>
    <w:rsid w:val="002626C7"/>
    <w:rsid w:val="00263C98"/>
    <w:rsid w:val="00272D6A"/>
    <w:rsid w:val="00272E9A"/>
    <w:rsid w:val="00275C30"/>
    <w:rsid w:val="0028398E"/>
    <w:rsid w:val="00286D9C"/>
    <w:rsid w:val="002909DE"/>
    <w:rsid w:val="00292B3A"/>
    <w:rsid w:val="00292FE9"/>
    <w:rsid w:val="002960AD"/>
    <w:rsid w:val="002A1233"/>
    <w:rsid w:val="002A154E"/>
    <w:rsid w:val="002A3847"/>
    <w:rsid w:val="002A3AB1"/>
    <w:rsid w:val="002A5C1C"/>
    <w:rsid w:val="002B17DB"/>
    <w:rsid w:val="002B1DED"/>
    <w:rsid w:val="002B1F60"/>
    <w:rsid w:val="002C3AC5"/>
    <w:rsid w:val="002C6661"/>
    <w:rsid w:val="002D44C7"/>
    <w:rsid w:val="002D58C5"/>
    <w:rsid w:val="002D72D8"/>
    <w:rsid w:val="002D7AF1"/>
    <w:rsid w:val="002E0E96"/>
    <w:rsid w:val="002E1970"/>
    <w:rsid w:val="002E1DB2"/>
    <w:rsid w:val="002E3910"/>
    <w:rsid w:val="002E6D5E"/>
    <w:rsid w:val="002E748A"/>
    <w:rsid w:val="002F1103"/>
    <w:rsid w:val="002F29F5"/>
    <w:rsid w:val="002F2A99"/>
    <w:rsid w:val="00306B53"/>
    <w:rsid w:val="00310B9A"/>
    <w:rsid w:val="00310CC5"/>
    <w:rsid w:val="003134B7"/>
    <w:rsid w:val="003244EE"/>
    <w:rsid w:val="00324F34"/>
    <w:rsid w:val="0032643E"/>
    <w:rsid w:val="0033120E"/>
    <w:rsid w:val="00331802"/>
    <w:rsid w:val="00333521"/>
    <w:rsid w:val="00333A38"/>
    <w:rsid w:val="00333F00"/>
    <w:rsid w:val="00336DBA"/>
    <w:rsid w:val="00344F5A"/>
    <w:rsid w:val="00347AE8"/>
    <w:rsid w:val="0035164C"/>
    <w:rsid w:val="00351DC5"/>
    <w:rsid w:val="00352066"/>
    <w:rsid w:val="0035580B"/>
    <w:rsid w:val="00355CDE"/>
    <w:rsid w:val="00356A6A"/>
    <w:rsid w:val="00357B09"/>
    <w:rsid w:val="00357D45"/>
    <w:rsid w:val="003610EA"/>
    <w:rsid w:val="00361220"/>
    <w:rsid w:val="00363A20"/>
    <w:rsid w:val="003657D8"/>
    <w:rsid w:val="00370EC0"/>
    <w:rsid w:val="00371B9C"/>
    <w:rsid w:val="00372228"/>
    <w:rsid w:val="003830FF"/>
    <w:rsid w:val="00383690"/>
    <w:rsid w:val="00385452"/>
    <w:rsid w:val="003904BC"/>
    <w:rsid w:val="00391D27"/>
    <w:rsid w:val="00395431"/>
    <w:rsid w:val="003A2316"/>
    <w:rsid w:val="003A2321"/>
    <w:rsid w:val="003A2657"/>
    <w:rsid w:val="003A4D1C"/>
    <w:rsid w:val="003B131B"/>
    <w:rsid w:val="003B146A"/>
    <w:rsid w:val="003B2912"/>
    <w:rsid w:val="003B4C2A"/>
    <w:rsid w:val="003B4D37"/>
    <w:rsid w:val="003B61CE"/>
    <w:rsid w:val="003C68C0"/>
    <w:rsid w:val="003C6E8C"/>
    <w:rsid w:val="003C72DD"/>
    <w:rsid w:val="003C7F39"/>
    <w:rsid w:val="003D054D"/>
    <w:rsid w:val="003D2282"/>
    <w:rsid w:val="003D28C3"/>
    <w:rsid w:val="003D43F8"/>
    <w:rsid w:val="003D46A0"/>
    <w:rsid w:val="003D4D9B"/>
    <w:rsid w:val="003D6587"/>
    <w:rsid w:val="003E5135"/>
    <w:rsid w:val="003E6433"/>
    <w:rsid w:val="003F20F3"/>
    <w:rsid w:val="003F22F9"/>
    <w:rsid w:val="003F2331"/>
    <w:rsid w:val="003F387E"/>
    <w:rsid w:val="003F38DA"/>
    <w:rsid w:val="003F4AA8"/>
    <w:rsid w:val="003F55EF"/>
    <w:rsid w:val="003F76A2"/>
    <w:rsid w:val="00401F06"/>
    <w:rsid w:val="004131F3"/>
    <w:rsid w:val="00413377"/>
    <w:rsid w:val="004149CD"/>
    <w:rsid w:val="00415BD0"/>
    <w:rsid w:val="004169E3"/>
    <w:rsid w:val="004205E8"/>
    <w:rsid w:val="0042260F"/>
    <w:rsid w:val="0042290E"/>
    <w:rsid w:val="00422B5B"/>
    <w:rsid w:val="00423E97"/>
    <w:rsid w:val="00430BC1"/>
    <w:rsid w:val="00432CFB"/>
    <w:rsid w:val="00432E45"/>
    <w:rsid w:val="0043498B"/>
    <w:rsid w:val="00434B11"/>
    <w:rsid w:val="0044206A"/>
    <w:rsid w:val="00445D93"/>
    <w:rsid w:val="0046148D"/>
    <w:rsid w:val="0046292C"/>
    <w:rsid w:val="00464A79"/>
    <w:rsid w:val="00466FC7"/>
    <w:rsid w:val="004702E5"/>
    <w:rsid w:val="004712C2"/>
    <w:rsid w:val="00474795"/>
    <w:rsid w:val="004765CE"/>
    <w:rsid w:val="0047672E"/>
    <w:rsid w:val="00477B51"/>
    <w:rsid w:val="0048023E"/>
    <w:rsid w:val="004818D2"/>
    <w:rsid w:val="004858E4"/>
    <w:rsid w:val="004911D3"/>
    <w:rsid w:val="00491B78"/>
    <w:rsid w:val="00493717"/>
    <w:rsid w:val="00495EEC"/>
    <w:rsid w:val="00496729"/>
    <w:rsid w:val="00496F07"/>
    <w:rsid w:val="004A19E5"/>
    <w:rsid w:val="004A32A8"/>
    <w:rsid w:val="004A3D71"/>
    <w:rsid w:val="004A3FA3"/>
    <w:rsid w:val="004B16EA"/>
    <w:rsid w:val="004B2FB5"/>
    <w:rsid w:val="004B30C7"/>
    <w:rsid w:val="004B4978"/>
    <w:rsid w:val="004D3CF7"/>
    <w:rsid w:val="004D3E1F"/>
    <w:rsid w:val="004D73EF"/>
    <w:rsid w:val="004E2DAB"/>
    <w:rsid w:val="004E609F"/>
    <w:rsid w:val="004E7D25"/>
    <w:rsid w:val="004F2FAF"/>
    <w:rsid w:val="004F6D92"/>
    <w:rsid w:val="0050101C"/>
    <w:rsid w:val="00501655"/>
    <w:rsid w:val="005036FF"/>
    <w:rsid w:val="00505C30"/>
    <w:rsid w:val="00506DDD"/>
    <w:rsid w:val="005203B4"/>
    <w:rsid w:val="00531FDE"/>
    <w:rsid w:val="00532220"/>
    <w:rsid w:val="0053557A"/>
    <w:rsid w:val="0053612C"/>
    <w:rsid w:val="00536DEC"/>
    <w:rsid w:val="00537471"/>
    <w:rsid w:val="005376E3"/>
    <w:rsid w:val="00537756"/>
    <w:rsid w:val="00537828"/>
    <w:rsid w:val="005400A4"/>
    <w:rsid w:val="005402B1"/>
    <w:rsid w:val="005404BC"/>
    <w:rsid w:val="00540794"/>
    <w:rsid w:val="00541056"/>
    <w:rsid w:val="005439DC"/>
    <w:rsid w:val="005449E0"/>
    <w:rsid w:val="00546753"/>
    <w:rsid w:val="00550C6E"/>
    <w:rsid w:val="005513C0"/>
    <w:rsid w:val="00552DCC"/>
    <w:rsid w:val="00554AE7"/>
    <w:rsid w:val="00560543"/>
    <w:rsid w:val="00560A92"/>
    <w:rsid w:val="00560C98"/>
    <w:rsid w:val="005623E3"/>
    <w:rsid w:val="00563AD3"/>
    <w:rsid w:val="00563FA4"/>
    <w:rsid w:val="00564875"/>
    <w:rsid w:val="00566D59"/>
    <w:rsid w:val="00572C56"/>
    <w:rsid w:val="00574424"/>
    <w:rsid w:val="00582936"/>
    <w:rsid w:val="00585838"/>
    <w:rsid w:val="00587458"/>
    <w:rsid w:val="00597305"/>
    <w:rsid w:val="005A00CB"/>
    <w:rsid w:val="005A0287"/>
    <w:rsid w:val="005A38D8"/>
    <w:rsid w:val="005B1607"/>
    <w:rsid w:val="005B259F"/>
    <w:rsid w:val="005B29CF"/>
    <w:rsid w:val="005B3CF3"/>
    <w:rsid w:val="005B5276"/>
    <w:rsid w:val="005B71F5"/>
    <w:rsid w:val="005B7B28"/>
    <w:rsid w:val="005C5A5B"/>
    <w:rsid w:val="005C70A6"/>
    <w:rsid w:val="005D25B3"/>
    <w:rsid w:val="005D34C9"/>
    <w:rsid w:val="005D44BB"/>
    <w:rsid w:val="005D57FC"/>
    <w:rsid w:val="005D6D09"/>
    <w:rsid w:val="005D7CFA"/>
    <w:rsid w:val="005E075B"/>
    <w:rsid w:val="005E2CA3"/>
    <w:rsid w:val="005E3BFE"/>
    <w:rsid w:val="005E414B"/>
    <w:rsid w:val="005E438F"/>
    <w:rsid w:val="005E45F1"/>
    <w:rsid w:val="005E51A5"/>
    <w:rsid w:val="005E524D"/>
    <w:rsid w:val="005F310F"/>
    <w:rsid w:val="005F3D67"/>
    <w:rsid w:val="005F752B"/>
    <w:rsid w:val="00601AB7"/>
    <w:rsid w:val="00601B58"/>
    <w:rsid w:val="006041DD"/>
    <w:rsid w:val="00604A49"/>
    <w:rsid w:val="00607E68"/>
    <w:rsid w:val="0061030A"/>
    <w:rsid w:val="006122F1"/>
    <w:rsid w:val="00614AB1"/>
    <w:rsid w:val="00616C45"/>
    <w:rsid w:val="00627793"/>
    <w:rsid w:val="006278A0"/>
    <w:rsid w:val="00632436"/>
    <w:rsid w:val="00635EEC"/>
    <w:rsid w:val="0063668F"/>
    <w:rsid w:val="006404E1"/>
    <w:rsid w:val="00655134"/>
    <w:rsid w:val="006567A3"/>
    <w:rsid w:val="006570CE"/>
    <w:rsid w:val="00657CB0"/>
    <w:rsid w:val="00662F5D"/>
    <w:rsid w:val="00666D30"/>
    <w:rsid w:val="006679A9"/>
    <w:rsid w:val="00671319"/>
    <w:rsid w:val="0067524F"/>
    <w:rsid w:val="00683DDA"/>
    <w:rsid w:val="00684E10"/>
    <w:rsid w:val="0069010C"/>
    <w:rsid w:val="0069132B"/>
    <w:rsid w:val="006A3EE6"/>
    <w:rsid w:val="006A4786"/>
    <w:rsid w:val="006A5375"/>
    <w:rsid w:val="006A6483"/>
    <w:rsid w:val="006A6786"/>
    <w:rsid w:val="006B2632"/>
    <w:rsid w:val="006B44F3"/>
    <w:rsid w:val="006B46CB"/>
    <w:rsid w:val="006B51B8"/>
    <w:rsid w:val="006B6162"/>
    <w:rsid w:val="006C7A4D"/>
    <w:rsid w:val="006D0C73"/>
    <w:rsid w:val="006D0EE6"/>
    <w:rsid w:val="006D2F8F"/>
    <w:rsid w:val="006D40C5"/>
    <w:rsid w:val="006D496E"/>
    <w:rsid w:val="006D6288"/>
    <w:rsid w:val="006E0A90"/>
    <w:rsid w:val="006E3964"/>
    <w:rsid w:val="006E7832"/>
    <w:rsid w:val="006F3B5A"/>
    <w:rsid w:val="006F4044"/>
    <w:rsid w:val="006F6877"/>
    <w:rsid w:val="006F6929"/>
    <w:rsid w:val="00700E00"/>
    <w:rsid w:val="007014AC"/>
    <w:rsid w:val="007030B3"/>
    <w:rsid w:val="00704A6E"/>
    <w:rsid w:val="007057E2"/>
    <w:rsid w:val="007070A4"/>
    <w:rsid w:val="00710F74"/>
    <w:rsid w:val="007110B1"/>
    <w:rsid w:val="00712D7B"/>
    <w:rsid w:val="00715CC4"/>
    <w:rsid w:val="00716B81"/>
    <w:rsid w:val="007200F9"/>
    <w:rsid w:val="00721B61"/>
    <w:rsid w:val="00721F25"/>
    <w:rsid w:val="007339DE"/>
    <w:rsid w:val="0073467E"/>
    <w:rsid w:val="00736307"/>
    <w:rsid w:val="00736C65"/>
    <w:rsid w:val="0073726E"/>
    <w:rsid w:val="00742370"/>
    <w:rsid w:val="00742EF1"/>
    <w:rsid w:val="007454AB"/>
    <w:rsid w:val="00745A81"/>
    <w:rsid w:val="0074799A"/>
    <w:rsid w:val="00750201"/>
    <w:rsid w:val="00750880"/>
    <w:rsid w:val="007544D3"/>
    <w:rsid w:val="0076292A"/>
    <w:rsid w:val="007634AE"/>
    <w:rsid w:val="007710EC"/>
    <w:rsid w:val="00776E0D"/>
    <w:rsid w:val="00780126"/>
    <w:rsid w:val="007804E5"/>
    <w:rsid w:val="007817F9"/>
    <w:rsid w:val="0078294D"/>
    <w:rsid w:val="00790D58"/>
    <w:rsid w:val="00792C65"/>
    <w:rsid w:val="007970C4"/>
    <w:rsid w:val="007A0517"/>
    <w:rsid w:val="007A1F85"/>
    <w:rsid w:val="007A604C"/>
    <w:rsid w:val="007A7C5A"/>
    <w:rsid w:val="007B0F46"/>
    <w:rsid w:val="007B46BA"/>
    <w:rsid w:val="007B5DF2"/>
    <w:rsid w:val="007B6056"/>
    <w:rsid w:val="007C062E"/>
    <w:rsid w:val="007C0D65"/>
    <w:rsid w:val="007C2992"/>
    <w:rsid w:val="007C3EBB"/>
    <w:rsid w:val="007C4A04"/>
    <w:rsid w:val="007C5537"/>
    <w:rsid w:val="007D18D3"/>
    <w:rsid w:val="007D1F05"/>
    <w:rsid w:val="007D29B6"/>
    <w:rsid w:val="007D2E9B"/>
    <w:rsid w:val="007D7C84"/>
    <w:rsid w:val="007E0070"/>
    <w:rsid w:val="007E098C"/>
    <w:rsid w:val="007E1461"/>
    <w:rsid w:val="007E4046"/>
    <w:rsid w:val="007E4238"/>
    <w:rsid w:val="007E6EE0"/>
    <w:rsid w:val="007F1BC9"/>
    <w:rsid w:val="007F436C"/>
    <w:rsid w:val="007F769A"/>
    <w:rsid w:val="007F7B9C"/>
    <w:rsid w:val="00805158"/>
    <w:rsid w:val="008100FB"/>
    <w:rsid w:val="00815D56"/>
    <w:rsid w:val="008176DB"/>
    <w:rsid w:val="00823133"/>
    <w:rsid w:val="008247B5"/>
    <w:rsid w:val="00827673"/>
    <w:rsid w:val="00832BFC"/>
    <w:rsid w:val="00833A14"/>
    <w:rsid w:val="00834021"/>
    <w:rsid w:val="008405CA"/>
    <w:rsid w:val="008406C8"/>
    <w:rsid w:val="00841EC2"/>
    <w:rsid w:val="008429F0"/>
    <w:rsid w:val="00845275"/>
    <w:rsid w:val="008458CC"/>
    <w:rsid w:val="008477D1"/>
    <w:rsid w:val="00850221"/>
    <w:rsid w:val="00851A22"/>
    <w:rsid w:val="00853D38"/>
    <w:rsid w:val="00853D78"/>
    <w:rsid w:val="00862048"/>
    <w:rsid w:val="008636A8"/>
    <w:rsid w:val="00864BFB"/>
    <w:rsid w:val="00866469"/>
    <w:rsid w:val="00877E78"/>
    <w:rsid w:val="008817D7"/>
    <w:rsid w:val="00884504"/>
    <w:rsid w:val="00885A57"/>
    <w:rsid w:val="0088699A"/>
    <w:rsid w:val="008901CC"/>
    <w:rsid w:val="00892F8F"/>
    <w:rsid w:val="00895E0A"/>
    <w:rsid w:val="0089621A"/>
    <w:rsid w:val="008A0B89"/>
    <w:rsid w:val="008A14F4"/>
    <w:rsid w:val="008A203F"/>
    <w:rsid w:val="008A428B"/>
    <w:rsid w:val="008B1272"/>
    <w:rsid w:val="008B4DE6"/>
    <w:rsid w:val="008B6B0C"/>
    <w:rsid w:val="008C07A2"/>
    <w:rsid w:val="008D479E"/>
    <w:rsid w:val="008E179C"/>
    <w:rsid w:val="008E238A"/>
    <w:rsid w:val="008E2854"/>
    <w:rsid w:val="008E38F0"/>
    <w:rsid w:val="008E3E22"/>
    <w:rsid w:val="008F61AC"/>
    <w:rsid w:val="00902CD7"/>
    <w:rsid w:val="00904231"/>
    <w:rsid w:val="00907786"/>
    <w:rsid w:val="009103C0"/>
    <w:rsid w:val="009117EF"/>
    <w:rsid w:val="00916170"/>
    <w:rsid w:val="00916E13"/>
    <w:rsid w:val="009211AF"/>
    <w:rsid w:val="00921D6C"/>
    <w:rsid w:val="00925380"/>
    <w:rsid w:val="00925684"/>
    <w:rsid w:val="00932197"/>
    <w:rsid w:val="009344B0"/>
    <w:rsid w:val="0093694C"/>
    <w:rsid w:val="009407D3"/>
    <w:rsid w:val="009410E5"/>
    <w:rsid w:val="00944592"/>
    <w:rsid w:val="009459AB"/>
    <w:rsid w:val="00946509"/>
    <w:rsid w:val="0094690C"/>
    <w:rsid w:val="0095283E"/>
    <w:rsid w:val="00952F73"/>
    <w:rsid w:val="00956C31"/>
    <w:rsid w:val="00961026"/>
    <w:rsid w:val="00961FCB"/>
    <w:rsid w:val="00974469"/>
    <w:rsid w:val="00977F19"/>
    <w:rsid w:val="00981D08"/>
    <w:rsid w:val="00982EF5"/>
    <w:rsid w:val="00983A07"/>
    <w:rsid w:val="00983AAB"/>
    <w:rsid w:val="0098769F"/>
    <w:rsid w:val="009950A7"/>
    <w:rsid w:val="00995FA4"/>
    <w:rsid w:val="009967F3"/>
    <w:rsid w:val="009A179B"/>
    <w:rsid w:val="009A20C0"/>
    <w:rsid w:val="009A4C69"/>
    <w:rsid w:val="009A6341"/>
    <w:rsid w:val="009B2286"/>
    <w:rsid w:val="009B31E1"/>
    <w:rsid w:val="009B32E3"/>
    <w:rsid w:val="009B32FE"/>
    <w:rsid w:val="009B34CA"/>
    <w:rsid w:val="009C19E2"/>
    <w:rsid w:val="009C4533"/>
    <w:rsid w:val="009C5815"/>
    <w:rsid w:val="009D3AB0"/>
    <w:rsid w:val="009D49CF"/>
    <w:rsid w:val="009E2B78"/>
    <w:rsid w:val="009E7F76"/>
    <w:rsid w:val="009F0619"/>
    <w:rsid w:val="009F11FB"/>
    <w:rsid w:val="00A00559"/>
    <w:rsid w:val="00A006B0"/>
    <w:rsid w:val="00A03D0E"/>
    <w:rsid w:val="00A06C61"/>
    <w:rsid w:val="00A075DF"/>
    <w:rsid w:val="00A07FB7"/>
    <w:rsid w:val="00A11C36"/>
    <w:rsid w:val="00A13DD6"/>
    <w:rsid w:val="00A16C04"/>
    <w:rsid w:val="00A20221"/>
    <w:rsid w:val="00A26532"/>
    <w:rsid w:val="00A309F8"/>
    <w:rsid w:val="00A31849"/>
    <w:rsid w:val="00A33EC7"/>
    <w:rsid w:val="00A34607"/>
    <w:rsid w:val="00A359C1"/>
    <w:rsid w:val="00A369F8"/>
    <w:rsid w:val="00A37BE8"/>
    <w:rsid w:val="00A42A63"/>
    <w:rsid w:val="00A435A9"/>
    <w:rsid w:val="00A46485"/>
    <w:rsid w:val="00A5016C"/>
    <w:rsid w:val="00A51C59"/>
    <w:rsid w:val="00A5381F"/>
    <w:rsid w:val="00A55C6C"/>
    <w:rsid w:val="00A602AD"/>
    <w:rsid w:val="00A65B9B"/>
    <w:rsid w:val="00A7402F"/>
    <w:rsid w:val="00A77D81"/>
    <w:rsid w:val="00A82E95"/>
    <w:rsid w:val="00A84FEE"/>
    <w:rsid w:val="00A86BA4"/>
    <w:rsid w:val="00A8701E"/>
    <w:rsid w:val="00A871F0"/>
    <w:rsid w:val="00A955D7"/>
    <w:rsid w:val="00AA5936"/>
    <w:rsid w:val="00AA711A"/>
    <w:rsid w:val="00AA7132"/>
    <w:rsid w:val="00AB585D"/>
    <w:rsid w:val="00AB5C28"/>
    <w:rsid w:val="00AB6F78"/>
    <w:rsid w:val="00AC1EEC"/>
    <w:rsid w:val="00AC6E42"/>
    <w:rsid w:val="00AD0579"/>
    <w:rsid w:val="00AD68B3"/>
    <w:rsid w:val="00AE2E97"/>
    <w:rsid w:val="00AE3FB6"/>
    <w:rsid w:val="00B016E0"/>
    <w:rsid w:val="00B03323"/>
    <w:rsid w:val="00B07AD0"/>
    <w:rsid w:val="00B12117"/>
    <w:rsid w:val="00B130F4"/>
    <w:rsid w:val="00B162EA"/>
    <w:rsid w:val="00B21757"/>
    <w:rsid w:val="00B22A5C"/>
    <w:rsid w:val="00B26325"/>
    <w:rsid w:val="00B2723A"/>
    <w:rsid w:val="00B274D7"/>
    <w:rsid w:val="00B32346"/>
    <w:rsid w:val="00B3593C"/>
    <w:rsid w:val="00B3702A"/>
    <w:rsid w:val="00B41079"/>
    <w:rsid w:val="00B41D69"/>
    <w:rsid w:val="00B441D9"/>
    <w:rsid w:val="00B512E5"/>
    <w:rsid w:val="00B5186D"/>
    <w:rsid w:val="00B51987"/>
    <w:rsid w:val="00B533A1"/>
    <w:rsid w:val="00B55CE8"/>
    <w:rsid w:val="00B564C6"/>
    <w:rsid w:val="00B64327"/>
    <w:rsid w:val="00B702D3"/>
    <w:rsid w:val="00B71EF3"/>
    <w:rsid w:val="00B76393"/>
    <w:rsid w:val="00B777D6"/>
    <w:rsid w:val="00B8109B"/>
    <w:rsid w:val="00B81C34"/>
    <w:rsid w:val="00B83C21"/>
    <w:rsid w:val="00B8627E"/>
    <w:rsid w:val="00B91113"/>
    <w:rsid w:val="00B91769"/>
    <w:rsid w:val="00B91B24"/>
    <w:rsid w:val="00BA000A"/>
    <w:rsid w:val="00BA3564"/>
    <w:rsid w:val="00BA402D"/>
    <w:rsid w:val="00BA5CCC"/>
    <w:rsid w:val="00BA6613"/>
    <w:rsid w:val="00BA7011"/>
    <w:rsid w:val="00BB18DA"/>
    <w:rsid w:val="00BB20DC"/>
    <w:rsid w:val="00BB6C53"/>
    <w:rsid w:val="00BC32F6"/>
    <w:rsid w:val="00BC67A6"/>
    <w:rsid w:val="00BC7920"/>
    <w:rsid w:val="00BD287C"/>
    <w:rsid w:val="00BD5618"/>
    <w:rsid w:val="00BE29DC"/>
    <w:rsid w:val="00BE343D"/>
    <w:rsid w:val="00BE446B"/>
    <w:rsid w:val="00BE4731"/>
    <w:rsid w:val="00BE7074"/>
    <w:rsid w:val="00BE7C0D"/>
    <w:rsid w:val="00BF2D2F"/>
    <w:rsid w:val="00BF5753"/>
    <w:rsid w:val="00BF5CEF"/>
    <w:rsid w:val="00C1278C"/>
    <w:rsid w:val="00C15EB4"/>
    <w:rsid w:val="00C1654B"/>
    <w:rsid w:val="00C17571"/>
    <w:rsid w:val="00C20709"/>
    <w:rsid w:val="00C217EA"/>
    <w:rsid w:val="00C21B7B"/>
    <w:rsid w:val="00C2225A"/>
    <w:rsid w:val="00C3198C"/>
    <w:rsid w:val="00C33F94"/>
    <w:rsid w:val="00C34962"/>
    <w:rsid w:val="00C35122"/>
    <w:rsid w:val="00C35433"/>
    <w:rsid w:val="00C36F02"/>
    <w:rsid w:val="00C4339B"/>
    <w:rsid w:val="00C450F0"/>
    <w:rsid w:val="00C5062D"/>
    <w:rsid w:val="00C52F20"/>
    <w:rsid w:val="00C537A0"/>
    <w:rsid w:val="00C5412D"/>
    <w:rsid w:val="00C6113D"/>
    <w:rsid w:val="00C61368"/>
    <w:rsid w:val="00C6336B"/>
    <w:rsid w:val="00C67042"/>
    <w:rsid w:val="00C73520"/>
    <w:rsid w:val="00C81441"/>
    <w:rsid w:val="00C855B1"/>
    <w:rsid w:val="00C85942"/>
    <w:rsid w:val="00C90B67"/>
    <w:rsid w:val="00C94FDA"/>
    <w:rsid w:val="00C952D6"/>
    <w:rsid w:val="00C95BBB"/>
    <w:rsid w:val="00C97D30"/>
    <w:rsid w:val="00CA1DB1"/>
    <w:rsid w:val="00CA23A5"/>
    <w:rsid w:val="00CA30DD"/>
    <w:rsid w:val="00CA3C6B"/>
    <w:rsid w:val="00CA6F1A"/>
    <w:rsid w:val="00CA78D2"/>
    <w:rsid w:val="00CB0922"/>
    <w:rsid w:val="00CB0AE8"/>
    <w:rsid w:val="00CB18C6"/>
    <w:rsid w:val="00CB18DE"/>
    <w:rsid w:val="00CC1EDD"/>
    <w:rsid w:val="00CC252F"/>
    <w:rsid w:val="00CC45F1"/>
    <w:rsid w:val="00CC50F8"/>
    <w:rsid w:val="00CD0F34"/>
    <w:rsid w:val="00CD7191"/>
    <w:rsid w:val="00CD7E52"/>
    <w:rsid w:val="00CE05C2"/>
    <w:rsid w:val="00CE36C5"/>
    <w:rsid w:val="00CE53A6"/>
    <w:rsid w:val="00CE6CFE"/>
    <w:rsid w:val="00CE782F"/>
    <w:rsid w:val="00CF01E0"/>
    <w:rsid w:val="00CF0932"/>
    <w:rsid w:val="00CF36BD"/>
    <w:rsid w:val="00CF3916"/>
    <w:rsid w:val="00CF3F85"/>
    <w:rsid w:val="00CF648F"/>
    <w:rsid w:val="00D04712"/>
    <w:rsid w:val="00D04D9C"/>
    <w:rsid w:val="00D1027B"/>
    <w:rsid w:val="00D14792"/>
    <w:rsid w:val="00D26BDC"/>
    <w:rsid w:val="00D30BF4"/>
    <w:rsid w:val="00D32C3F"/>
    <w:rsid w:val="00D32E81"/>
    <w:rsid w:val="00D34A7C"/>
    <w:rsid w:val="00D36234"/>
    <w:rsid w:val="00D36626"/>
    <w:rsid w:val="00D36661"/>
    <w:rsid w:val="00D40AA2"/>
    <w:rsid w:val="00D40E50"/>
    <w:rsid w:val="00D42CFE"/>
    <w:rsid w:val="00D50439"/>
    <w:rsid w:val="00D61D2E"/>
    <w:rsid w:val="00D64E38"/>
    <w:rsid w:val="00D66D49"/>
    <w:rsid w:val="00D7083A"/>
    <w:rsid w:val="00D72AD3"/>
    <w:rsid w:val="00D73B88"/>
    <w:rsid w:val="00D74EAC"/>
    <w:rsid w:val="00D769DA"/>
    <w:rsid w:val="00D770AC"/>
    <w:rsid w:val="00D81818"/>
    <w:rsid w:val="00D8288F"/>
    <w:rsid w:val="00D846E6"/>
    <w:rsid w:val="00D92488"/>
    <w:rsid w:val="00D9483B"/>
    <w:rsid w:val="00D95128"/>
    <w:rsid w:val="00D96B58"/>
    <w:rsid w:val="00DA05E3"/>
    <w:rsid w:val="00DA1B6F"/>
    <w:rsid w:val="00DA27B9"/>
    <w:rsid w:val="00DA696C"/>
    <w:rsid w:val="00DA7ACB"/>
    <w:rsid w:val="00DA7C39"/>
    <w:rsid w:val="00DB02FD"/>
    <w:rsid w:val="00DB1174"/>
    <w:rsid w:val="00DB5168"/>
    <w:rsid w:val="00DB7B4E"/>
    <w:rsid w:val="00DC0837"/>
    <w:rsid w:val="00DC21CD"/>
    <w:rsid w:val="00DC2AEA"/>
    <w:rsid w:val="00DC583C"/>
    <w:rsid w:val="00DD2694"/>
    <w:rsid w:val="00DD2B25"/>
    <w:rsid w:val="00DD3A2D"/>
    <w:rsid w:val="00DD42B5"/>
    <w:rsid w:val="00DD6598"/>
    <w:rsid w:val="00DD6CAB"/>
    <w:rsid w:val="00DE0A6C"/>
    <w:rsid w:val="00DE2CC5"/>
    <w:rsid w:val="00DE4F9B"/>
    <w:rsid w:val="00DF59DF"/>
    <w:rsid w:val="00E00B90"/>
    <w:rsid w:val="00E0154D"/>
    <w:rsid w:val="00E03257"/>
    <w:rsid w:val="00E04E1D"/>
    <w:rsid w:val="00E05E7B"/>
    <w:rsid w:val="00E10649"/>
    <w:rsid w:val="00E10ADF"/>
    <w:rsid w:val="00E112BA"/>
    <w:rsid w:val="00E169DD"/>
    <w:rsid w:val="00E16A2D"/>
    <w:rsid w:val="00E20291"/>
    <w:rsid w:val="00E20F6C"/>
    <w:rsid w:val="00E26D8F"/>
    <w:rsid w:val="00E351DE"/>
    <w:rsid w:val="00E374DF"/>
    <w:rsid w:val="00E37B10"/>
    <w:rsid w:val="00E4078F"/>
    <w:rsid w:val="00E43C8D"/>
    <w:rsid w:val="00E45AFF"/>
    <w:rsid w:val="00E57AD4"/>
    <w:rsid w:val="00E64507"/>
    <w:rsid w:val="00E6514C"/>
    <w:rsid w:val="00E67EB2"/>
    <w:rsid w:val="00E70FA3"/>
    <w:rsid w:val="00E7396F"/>
    <w:rsid w:val="00E75447"/>
    <w:rsid w:val="00E7550E"/>
    <w:rsid w:val="00E75CCE"/>
    <w:rsid w:val="00E8017F"/>
    <w:rsid w:val="00E8027A"/>
    <w:rsid w:val="00E82169"/>
    <w:rsid w:val="00E830A6"/>
    <w:rsid w:val="00E853DA"/>
    <w:rsid w:val="00E8674C"/>
    <w:rsid w:val="00E94357"/>
    <w:rsid w:val="00E949B4"/>
    <w:rsid w:val="00E96A2A"/>
    <w:rsid w:val="00EA2DD1"/>
    <w:rsid w:val="00EA3D2E"/>
    <w:rsid w:val="00EB0E22"/>
    <w:rsid w:val="00EB5333"/>
    <w:rsid w:val="00EC1A75"/>
    <w:rsid w:val="00EC300B"/>
    <w:rsid w:val="00EC3F51"/>
    <w:rsid w:val="00EC5237"/>
    <w:rsid w:val="00EC583A"/>
    <w:rsid w:val="00EC6E37"/>
    <w:rsid w:val="00EC7E7E"/>
    <w:rsid w:val="00ED36A5"/>
    <w:rsid w:val="00ED3A98"/>
    <w:rsid w:val="00ED5A79"/>
    <w:rsid w:val="00EE1916"/>
    <w:rsid w:val="00EE1ABB"/>
    <w:rsid w:val="00EE647F"/>
    <w:rsid w:val="00EF105F"/>
    <w:rsid w:val="00EF2CAD"/>
    <w:rsid w:val="00EF4174"/>
    <w:rsid w:val="00EF4E04"/>
    <w:rsid w:val="00F02342"/>
    <w:rsid w:val="00F0284D"/>
    <w:rsid w:val="00F02B6A"/>
    <w:rsid w:val="00F03B71"/>
    <w:rsid w:val="00F044F4"/>
    <w:rsid w:val="00F061EB"/>
    <w:rsid w:val="00F1261F"/>
    <w:rsid w:val="00F135EA"/>
    <w:rsid w:val="00F13EA0"/>
    <w:rsid w:val="00F1487F"/>
    <w:rsid w:val="00F16560"/>
    <w:rsid w:val="00F17D52"/>
    <w:rsid w:val="00F220FD"/>
    <w:rsid w:val="00F2360D"/>
    <w:rsid w:val="00F241BA"/>
    <w:rsid w:val="00F24933"/>
    <w:rsid w:val="00F307FA"/>
    <w:rsid w:val="00F332A9"/>
    <w:rsid w:val="00F36825"/>
    <w:rsid w:val="00F37C6D"/>
    <w:rsid w:val="00F40E18"/>
    <w:rsid w:val="00F51210"/>
    <w:rsid w:val="00F52C7D"/>
    <w:rsid w:val="00F537D9"/>
    <w:rsid w:val="00F54C69"/>
    <w:rsid w:val="00F57B1F"/>
    <w:rsid w:val="00F6185E"/>
    <w:rsid w:val="00F620FB"/>
    <w:rsid w:val="00F639D6"/>
    <w:rsid w:val="00F65196"/>
    <w:rsid w:val="00F66120"/>
    <w:rsid w:val="00F67091"/>
    <w:rsid w:val="00F71019"/>
    <w:rsid w:val="00F749C8"/>
    <w:rsid w:val="00F824B2"/>
    <w:rsid w:val="00F933C9"/>
    <w:rsid w:val="00F9364A"/>
    <w:rsid w:val="00F941A1"/>
    <w:rsid w:val="00FA1AC2"/>
    <w:rsid w:val="00FA5454"/>
    <w:rsid w:val="00FA605C"/>
    <w:rsid w:val="00FA62CD"/>
    <w:rsid w:val="00FB456F"/>
    <w:rsid w:val="00FC1408"/>
    <w:rsid w:val="00FD1D6C"/>
    <w:rsid w:val="00FD2B58"/>
    <w:rsid w:val="00FD38E3"/>
    <w:rsid w:val="00FD4815"/>
    <w:rsid w:val="00FD543B"/>
    <w:rsid w:val="00FD64BD"/>
    <w:rsid w:val="00FD6731"/>
    <w:rsid w:val="00FE13B8"/>
    <w:rsid w:val="00FE173D"/>
    <w:rsid w:val="00FE1B2B"/>
    <w:rsid w:val="00FE2062"/>
    <w:rsid w:val="00FE2A4F"/>
    <w:rsid w:val="00FE2AE7"/>
    <w:rsid w:val="00FE7B48"/>
    <w:rsid w:val="00FE7BD6"/>
    <w:rsid w:val="00FF5733"/>
    <w:rsid w:val="00FF7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ECDF"/>
  <w15:chartTrackingRefBased/>
  <w15:docId w15:val="{6ABAFECC-5CA0-409F-B58F-1EAB2374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DBA"/>
    <w:rPr>
      <w:rFonts w:ascii="Arial" w:eastAsia="Times New Roman" w:hAnsi="Arial" w:cs="Times New Roman"/>
      <w:kern w:val="0"/>
      <w:sz w:val="24"/>
      <w:szCs w:val="20"/>
      <w:lang w:eastAsia="en-GB"/>
      <w14:ligatures w14:val="none"/>
    </w:rPr>
  </w:style>
  <w:style w:type="paragraph" w:styleId="Heading1">
    <w:name w:val="heading 1"/>
    <w:basedOn w:val="Normal"/>
    <w:next w:val="Normal"/>
    <w:link w:val="Heading1Char"/>
    <w:qFormat/>
    <w:rsid w:val="00336DBA"/>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336DBA"/>
    <w:pPr>
      <w:keepNext/>
      <w:numPr>
        <w:ilvl w:val="1"/>
        <w:numId w:val="2"/>
      </w:numPr>
      <w:spacing w:before="360" w:after="60"/>
      <w:outlineLvl w:val="1"/>
    </w:pPr>
    <w:rPr>
      <w:color w:val="000000"/>
      <w:sz w:val="44"/>
    </w:rPr>
  </w:style>
  <w:style w:type="paragraph" w:styleId="Heading3">
    <w:name w:val="heading 3"/>
    <w:basedOn w:val="Normal"/>
    <w:next w:val="Normal"/>
    <w:link w:val="Heading3Char"/>
    <w:qFormat/>
    <w:rsid w:val="00336DBA"/>
    <w:pPr>
      <w:keepNext/>
      <w:widowControl w:val="0"/>
      <w:numPr>
        <w:ilvl w:val="2"/>
        <w:numId w:val="2"/>
      </w:numPr>
      <w:spacing w:before="320" w:after="60"/>
      <w:outlineLvl w:val="2"/>
    </w:pPr>
    <w:rPr>
      <w:caps/>
      <w:color w:val="000000"/>
      <w:sz w:val="28"/>
    </w:rPr>
  </w:style>
  <w:style w:type="paragraph" w:styleId="Heading4">
    <w:name w:val="heading 4"/>
    <w:basedOn w:val="Normal"/>
    <w:next w:val="Normal"/>
    <w:link w:val="Heading4Char"/>
    <w:qFormat/>
    <w:rsid w:val="00336DBA"/>
    <w:pPr>
      <w:keepNext/>
      <w:widowControl w:val="0"/>
      <w:numPr>
        <w:ilvl w:val="3"/>
        <w:numId w:val="2"/>
      </w:numPr>
      <w:spacing w:before="240" w:after="40"/>
      <w:outlineLvl w:val="3"/>
    </w:pPr>
    <w:rPr>
      <w:b/>
      <w:i/>
      <w:color w:val="000000"/>
    </w:rPr>
  </w:style>
  <w:style w:type="paragraph" w:styleId="Heading5">
    <w:name w:val="heading 5"/>
    <w:basedOn w:val="Normal"/>
    <w:next w:val="Normal"/>
    <w:link w:val="Heading5Char"/>
    <w:qFormat/>
    <w:rsid w:val="00336DBA"/>
    <w:pPr>
      <w:keepNext/>
      <w:numPr>
        <w:ilvl w:val="4"/>
        <w:numId w:val="2"/>
      </w:numPr>
      <w:spacing w:before="220" w:after="40"/>
      <w:outlineLvl w:val="4"/>
    </w:pPr>
    <w:rPr>
      <w:color w:val="000000"/>
    </w:rPr>
  </w:style>
  <w:style w:type="paragraph" w:styleId="Heading6">
    <w:name w:val="heading 6"/>
    <w:basedOn w:val="Normal"/>
    <w:next w:val="Style1"/>
    <w:link w:val="Heading6Char"/>
    <w:qFormat/>
    <w:rsid w:val="00336DBA"/>
    <w:pPr>
      <w:keepNext/>
      <w:widowControl w:val="0"/>
      <w:spacing w:before="180"/>
      <w:outlineLvl w:val="5"/>
    </w:pPr>
    <w:rPr>
      <w:b/>
      <w:color w:val="000000"/>
      <w:szCs w:val="22"/>
    </w:rPr>
  </w:style>
  <w:style w:type="paragraph" w:styleId="Heading7">
    <w:name w:val="heading 7"/>
    <w:basedOn w:val="Normal"/>
    <w:next w:val="Normal"/>
    <w:link w:val="Heading7Char"/>
    <w:qFormat/>
    <w:rsid w:val="00336DBA"/>
    <w:pPr>
      <w:numPr>
        <w:ilvl w:val="6"/>
        <w:numId w:val="2"/>
      </w:numPr>
      <w:tabs>
        <w:tab w:val="left" w:pos="993"/>
      </w:tabs>
      <w:spacing w:after="60"/>
      <w:outlineLvl w:val="6"/>
    </w:pPr>
    <w:rPr>
      <w:color w:val="000000"/>
      <w:sz w:val="20"/>
    </w:rPr>
  </w:style>
  <w:style w:type="paragraph" w:styleId="Heading8">
    <w:name w:val="heading 8"/>
    <w:basedOn w:val="Normal"/>
    <w:next w:val="Normal"/>
    <w:link w:val="Heading8Char"/>
    <w:qFormat/>
    <w:rsid w:val="00336DBA"/>
    <w:pPr>
      <w:numPr>
        <w:ilvl w:val="7"/>
        <w:numId w:val="2"/>
      </w:numPr>
      <w:spacing w:before="140" w:after="20"/>
      <w:outlineLvl w:val="7"/>
    </w:pPr>
    <w:rPr>
      <w:i/>
      <w:color w:val="000000"/>
      <w:sz w:val="18"/>
    </w:rPr>
  </w:style>
  <w:style w:type="paragraph" w:styleId="Heading9">
    <w:name w:val="heading 9"/>
    <w:basedOn w:val="Normal"/>
    <w:next w:val="Normal"/>
    <w:link w:val="Heading9Char"/>
    <w:qFormat/>
    <w:rsid w:val="00336DBA"/>
    <w:pPr>
      <w:keepNext/>
      <w:widowControl w:val="0"/>
      <w:numPr>
        <w:ilvl w:val="8"/>
        <w:numId w:val="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DBA"/>
    <w:rPr>
      <w:rFonts w:ascii="Arial" w:eastAsia="Times New Roman" w:hAnsi="Arial" w:cs="Times New Roman"/>
      <w:color w:val="808080"/>
      <w:kern w:val="28"/>
      <w:sz w:val="72"/>
      <w:szCs w:val="20"/>
      <w:lang w:eastAsia="en-GB"/>
      <w14:ligatures w14:val="none"/>
    </w:rPr>
  </w:style>
  <w:style w:type="character" w:customStyle="1" w:styleId="Heading2Char">
    <w:name w:val="Heading 2 Char"/>
    <w:basedOn w:val="DefaultParagraphFont"/>
    <w:link w:val="Heading2"/>
    <w:rsid w:val="00336DBA"/>
    <w:rPr>
      <w:rFonts w:ascii="Arial" w:eastAsia="Times New Roman" w:hAnsi="Arial" w:cs="Times New Roman"/>
      <w:color w:val="000000"/>
      <w:kern w:val="0"/>
      <w:sz w:val="44"/>
      <w:szCs w:val="20"/>
      <w:lang w:eastAsia="en-GB"/>
      <w14:ligatures w14:val="none"/>
    </w:rPr>
  </w:style>
  <w:style w:type="character" w:customStyle="1" w:styleId="Heading3Char">
    <w:name w:val="Heading 3 Char"/>
    <w:basedOn w:val="DefaultParagraphFont"/>
    <w:link w:val="Heading3"/>
    <w:rsid w:val="00336DBA"/>
    <w:rPr>
      <w:rFonts w:ascii="Arial" w:eastAsia="Times New Roman" w:hAnsi="Arial" w:cs="Times New Roman"/>
      <w:caps/>
      <w:color w:val="000000"/>
      <w:kern w:val="0"/>
      <w:sz w:val="28"/>
      <w:szCs w:val="20"/>
      <w:lang w:eastAsia="en-GB"/>
      <w14:ligatures w14:val="none"/>
    </w:rPr>
  </w:style>
  <w:style w:type="character" w:customStyle="1" w:styleId="Heading4Char">
    <w:name w:val="Heading 4 Char"/>
    <w:basedOn w:val="DefaultParagraphFont"/>
    <w:link w:val="Heading4"/>
    <w:rsid w:val="00336DBA"/>
    <w:rPr>
      <w:rFonts w:ascii="Arial" w:eastAsia="Times New Roman" w:hAnsi="Arial" w:cs="Times New Roman"/>
      <w:b/>
      <w:i/>
      <w:color w:val="000000"/>
      <w:kern w:val="0"/>
      <w:sz w:val="24"/>
      <w:szCs w:val="20"/>
      <w:lang w:eastAsia="en-GB"/>
      <w14:ligatures w14:val="none"/>
    </w:rPr>
  </w:style>
  <w:style w:type="character" w:customStyle="1" w:styleId="Heading5Char">
    <w:name w:val="Heading 5 Char"/>
    <w:basedOn w:val="DefaultParagraphFont"/>
    <w:link w:val="Heading5"/>
    <w:rsid w:val="00336DBA"/>
    <w:rPr>
      <w:rFonts w:ascii="Arial" w:eastAsia="Times New Roman" w:hAnsi="Arial" w:cs="Times New Roman"/>
      <w:color w:val="000000"/>
      <w:kern w:val="0"/>
      <w:sz w:val="24"/>
      <w:szCs w:val="20"/>
      <w:lang w:eastAsia="en-GB"/>
      <w14:ligatures w14:val="none"/>
    </w:rPr>
  </w:style>
  <w:style w:type="character" w:customStyle="1" w:styleId="Heading6Char">
    <w:name w:val="Heading 6 Char"/>
    <w:basedOn w:val="DefaultParagraphFont"/>
    <w:link w:val="Heading6"/>
    <w:rsid w:val="00336DBA"/>
    <w:rPr>
      <w:rFonts w:ascii="Arial" w:eastAsia="Times New Roman" w:hAnsi="Arial" w:cs="Times New Roman"/>
      <w:b/>
      <w:color w:val="000000"/>
      <w:kern w:val="0"/>
      <w:sz w:val="24"/>
      <w:lang w:eastAsia="en-GB"/>
      <w14:ligatures w14:val="none"/>
    </w:rPr>
  </w:style>
  <w:style w:type="character" w:customStyle="1" w:styleId="Heading7Char">
    <w:name w:val="Heading 7 Char"/>
    <w:basedOn w:val="DefaultParagraphFont"/>
    <w:link w:val="Heading7"/>
    <w:rsid w:val="00336DBA"/>
    <w:rPr>
      <w:rFonts w:ascii="Arial" w:eastAsia="Times New Roman" w:hAnsi="Arial" w:cs="Times New Roman"/>
      <w:color w:val="000000"/>
      <w:kern w:val="0"/>
      <w:sz w:val="20"/>
      <w:szCs w:val="20"/>
      <w:lang w:eastAsia="en-GB"/>
      <w14:ligatures w14:val="none"/>
    </w:rPr>
  </w:style>
  <w:style w:type="character" w:customStyle="1" w:styleId="Heading8Char">
    <w:name w:val="Heading 8 Char"/>
    <w:basedOn w:val="DefaultParagraphFont"/>
    <w:link w:val="Heading8"/>
    <w:rsid w:val="00336DBA"/>
    <w:rPr>
      <w:rFonts w:ascii="Arial" w:eastAsia="Times New Roman" w:hAnsi="Arial" w:cs="Times New Roman"/>
      <w:i/>
      <w:color w:val="000000"/>
      <w:kern w:val="0"/>
      <w:sz w:val="18"/>
      <w:szCs w:val="20"/>
      <w:lang w:eastAsia="en-GB"/>
      <w14:ligatures w14:val="none"/>
    </w:rPr>
  </w:style>
  <w:style w:type="character" w:customStyle="1" w:styleId="Heading9Char">
    <w:name w:val="Heading 9 Char"/>
    <w:basedOn w:val="DefaultParagraphFont"/>
    <w:link w:val="Heading9"/>
    <w:rsid w:val="00336DBA"/>
    <w:rPr>
      <w:rFonts w:ascii="Arial" w:eastAsia="Times New Roman" w:hAnsi="Arial" w:cs="Times New Roman"/>
      <w:color w:val="000000"/>
      <w:kern w:val="0"/>
      <w:sz w:val="14"/>
      <w:szCs w:val="20"/>
      <w:lang w:eastAsia="en-GB"/>
      <w14:ligatures w14:val="none"/>
    </w:rPr>
  </w:style>
  <w:style w:type="paragraph" w:styleId="Title">
    <w:name w:val="Title"/>
    <w:basedOn w:val="Normal"/>
    <w:next w:val="Normal"/>
    <w:link w:val="TitleChar"/>
    <w:uiPriority w:val="10"/>
    <w:qFormat/>
    <w:rsid w:val="00336D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DBA"/>
    <w:pPr>
      <w:spacing w:before="160"/>
      <w:jc w:val="center"/>
    </w:pPr>
    <w:rPr>
      <w:i/>
      <w:iCs/>
      <w:color w:val="404040" w:themeColor="text1" w:themeTint="BF"/>
    </w:rPr>
  </w:style>
  <w:style w:type="character" w:customStyle="1" w:styleId="QuoteChar">
    <w:name w:val="Quote Char"/>
    <w:basedOn w:val="DefaultParagraphFont"/>
    <w:link w:val="Quote"/>
    <w:uiPriority w:val="29"/>
    <w:rsid w:val="00336DBA"/>
    <w:rPr>
      <w:i/>
      <w:iCs/>
      <w:color w:val="404040" w:themeColor="text1" w:themeTint="BF"/>
    </w:rPr>
  </w:style>
  <w:style w:type="paragraph" w:styleId="ListParagraph">
    <w:name w:val="List Paragraph"/>
    <w:basedOn w:val="Normal"/>
    <w:uiPriority w:val="34"/>
    <w:qFormat/>
    <w:rsid w:val="00336DBA"/>
    <w:pPr>
      <w:ind w:left="720"/>
      <w:contextualSpacing/>
    </w:pPr>
  </w:style>
  <w:style w:type="character" w:styleId="IntenseEmphasis">
    <w:name w:val="Intense Emphasis"/>
    <w:basedOn w:val="DefaultParagraphFont"/>
    <w:uiPriority w:val="21"/>
    <w:qFormat/>
    <w:rsid w:val="00336DBA"/>
    <w:rPr>
      <w:i/>
      <w:iCs/>
      <w:color w:val="365F91" w:themeColor="accent1" w:themeShade="BF"/>
    </w:rPr>
  </w:style>
  <w:style w:type="paragraph" w:styleId="IntenseQuote">
    <w:name w:val="Intense Quote"/>
    <w:basedOn w:val="Normal"/>
    <w:next w:val="Normal"/>
    <w:link w:val="IntenseQuoteChar"/>
    <w:uiPriority w:val="30"/>
    <w:qFormat/>
    <w:rsid w:val="00336D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6DBA"/>
    <w:rPr>
      <w:i/>
      <w:iCs/>
      <w:color w:val="365F91" w:themeColor="accent1" w:themeShade="BF"/>
    </w:rPr>
  </w:style>
  <w:style w:type="character" w:styleId="IntenseReference">
    <w:name w:val="Intense Reference"/>
    <w:basedOn w:val="DefaultParagraphFont"/>
    <w:uiPriority w:val="32"/>
    <w:qFormat/>
    <w:rsid w:val="00336DBA"/>
    <w:rPr>
      <w:b/>
      <w:bCs/>
      <w:smallCaps/>
      <w:color w:val="365F91" w:themeColor="accent1" w:themeShade="BF"/>
      <w:spacing w:val="5"/>
    </w:rPr>
  </w:style>
  <w:style w:type="paragraph" w:styleId="Header">
    <w:name w:val="header"/>
    <w:basedOn w:val="Normal"/>
    <w:link w:val="HeaderChar"/>
    <w:rsid w:val="00336DBA"/>
    <w:pPr>
      <w:tabs>
        <w:tab w:val="center" w:pos="4153"/>
        <w:tab w:val="right" w:pos="8306"/>
      </w:tabs>
    </w:pPr>
  </w:style>
  <w:style w:type="character" w:customStyle="1" w:styleId="HeaderChar">
    <w:name w:val="Header Char"/>
    <w:basedOn w:val="DefaultParagraphFont"/>
    <w:link w:val="Header"/>
    <w:rsid w:val="00336DBA"/>
    <w:rPr>
      <w:rFonts w:ascii="Arial" w:eastAsia="Times New Roman" w:hAnsi="Arial" w:cs="Times New Roman"/>
      <w:kern w:val="0"/>
      <w:sz w:val="24"/>
      <w:szCs w:val="20"/>
      <w:lang w:eastAsia="en-GB"/>
      <w14:ligatures w14:val="none"/>
    </w:rPr>
  </w:style>
  <w:style w:type="paragraph" w:styleId="Footer">
    <w:name w:val="footer"/>
    <w:basedOn w:val="Normal"/>
    <w:link w:val="FooterChar"/>
    <w:rsid w:val="00336DBA"/>
    <w:pPr>
      <w:tabs>
        <w:tab w:val="center" w:pos="4153"/>
        <w:tab w:val="right" w:pos="8306"/>
      </w:tabs>
    </w:pPr>
    <w:rPr>
      <w:sz w:val="18"/>
    </w:rPr>
  </w:style>
  <w:style w:type="character" w:customStyle="1" w:styleId="FooterChar">
    <w:name w:val="Footer Char"/>
    <w:basedOn w:val="DefaultParagraphFont"/>
    <w:link w:val="Footer"/>
    <w:rsid w:val="00336DBA"/>
    <w:rPr>
      <w:rFonts w:ascii="Arial" w:eastAsia="Times New Roman" w:hAnsi="Arial" w:cs="Times New Roman"/>
      <w:kern w:val="0"/>
      <w:sz w:val="18"/>
      <w:szCs w:val="20"/>
      <w:lang w:eastAsia="en-GB"/>
      <w14:ligatures w14:val="none"/>
    </w:rPr>
  </w:style>
  <w:style w:type="character" w:styleId="PageNumber">
    <w:name w:val="page number"/>
    <w:basedOn w:val="DefaultParagraphFont"/>
    <w:rsid w:val="00336DBA"/>
    <w:rPr>
      <w:rFonts w:ascii="Arial" w:hAnsi="Arial"/>
      <w:sz w:val="18"/>
    </w:rPr>
  </w:style>
  <w:style w:type="paragraph" w:customStyle="1" w:styleId="Noindent">
    <w:name w:val="No indent"/>
    <w:basedOn w:val="Normal"/>
    <w:rsid w:val="00336DBA"/>
    <w:pPr>
      <w:tabs>
        <w:tab w:val="left" w:pos="426"/>
      </w:tabs>
    </w:pPr>
  </w:style>
  <w:style w:type="paragraph" w:customStyle="1" w:styleId="TBullet">
    <w:name w:val="T_Bullet"/>
    <w:basedOn w:val="Normal"/>
    <w:rsid w:val="00336DBA"/>
    <w:pPr>
      <w:numPr>
        <w:numId w:val="1"/>
      </w:numPr>
      <w:tabs>
        <w:tab w:val="left" w:pos="851"/>
      </w:tabs>
    </w:pPr>
    <w:rPr>
      <w:color w:val="000000"/>
      <w:sz w:val="20"/>
    </w:rPr>
  </w:style>
  <w:style w:type="paragraph" w:customStyle="1" w:styleId="Style1">
    <w:name w:val="Style1"/>
    <w:basedOn w:val="Heading1"/>
    <w:rsid w:val="00336DBA"/>
    <w:pPr>
      <w:keepNext w:val="0"/>
      <w:widowControl/>
      <w:numPr>
        <w:numId w:val="2"/>
      </w:numPr>
      <w:tabs>
        <w:tab w:val="clear" w:pos="720"/>
        <w:tab w:val="left" w:pos="510"/>
      </w:tabs>
      <w:spacing w:before="180" w:after="0"/>
      <w:ind w:left="510" w:hanging="510"/>
    </w:pPr>
    <w:rPr>
      <w:color w:val="000000"/>
      <w:sz w:val="24"/>
    </w:rPr>
  </w:style>
  <w:style w:type="paragraph" w:customStyle="1" w:styleId="Heading6blackfont">
    <w:name w:val="Heading 6 + black font"/>
    <w:basedOn w:val="Heading6"/>
    <w:next w:val="Style1"/>
    <w:rsid w:val="00336DBA"/>
  </w:style>
  <w:style w:type="character" w:styleId="Hyperlink">
    <w:name w:val="Hyperlink"/>
    <w:basedOn w:val="DefaultParagraphFont"/>
    <w:rsid w:val="00336DBA"/>
    <w:rPr>
      <w:color w:val="0000FF"/>
      <w:u w:val="single"/>
    </w:rPr>
  </w:style>
  <w:style w:type="numbering" w:customStyle="1" w:styleId="StylesList">
    <w:name w:val="StylesList"/>
    <w:uiPriority w:val="99"/>
    <w:rsid w:val="00336DBA"/>
    <w:pPr>
      <w:numPr>
        <w:numId w:val="2"/>
      </w:numPr>
    </w:pPr>
  </w:style>
  <w:style w:type="paragraph" w:customStyle="1" w:styleId="Nblock">
    <w:name w:val="N_block"/>
    <w:basedOn w:val="Normal"/>
    <w:rsid w:val="00336DBA"/>
    <w:pPr>
      <w:tabs>
        <w:tab w:val="left" w:pos="851"/>
      </w:tabs>
      <w:spacing w:before="120"/>
      <w:ind w:left="851" w:right="515"/>
    </w:pPr>
  </w:style>
  <w:style w:type="paragraph" w:customStyle="1" w:styleId="Ninset">
    <w:name w:val="N_inset"/>
    <w:basedOn w:val="Normal"/>
    <w:rsid w:val="00336DBA"/>
    <w:pPr>
      <w:tabs>
        <w:tab w:val="left" w:pos="425"/>
      </w:tabs>
      <w:ind w:left="426"/>
    </w:pPr>
  </w:style>
  <w:style w:type="paragraph" w:customStyle="1" w:styleId="Nlista">
    <w:name w:val="N_list (a)"/>
    <w:basedOn w:val="Normal"/>
    <w:rsid w:val="00336DBA"/>
    <w:pPr>
      <w:numPr>
        <w:ilvl w:val="1"/>
        <w:numId w:val="20"/>
      </w:numPr>
      <w:spacing w:before="80"/>
      <w:ind w:right="369"/>
    </w:pPr>
  </w:style>
  <w:style w:type="paragraph" w:customStyle="1" w:styleId="Nlisti">
    <w:name w:val="N_list (i)"/>
    <w:basedOn w:val="Normal"/>
    <w:rsid w:val="00336DBA"/>
    <w:pPr>
      <w:numPr>
        <w:ilvl w:val="2"/>
        <w:numId w:val="19"/>
      </w:numPr>
      <w:spacing w:before="60"/>
      <w:ind w:right="511"/>
    </w:pPr>
    <w:rPr>
      <w:sz w:val="20"/>
    </w:rPr>
  </w:style>
  <w:style w:type="paragraph" w:customStyle="1" w:styleId="Singleline">
    <w:name w:val="Single line"/>
    <w:basedOn w:val="Normal"/>
    <w:rsid w:val="00336DBA"/>
  </w:style>
  <w:style w:type="paragraph" w:customStyle="1" w:styleId="Nnumber">
    <w:name w:val="N_number"/>
    <w:rsid w:val="00336DBA"/>
    <w:pPr>
      <w:tabs>
        <w:tab w:val="left" w:pos="426"/>
        <w:tab w:val="num" w:pos="720"/>
      </w:tabs>
      <w:spacing w:before="180"/>
      <w:ind w:left="425" w:hanging="425"/>
    </w:pPr>
    <w:rPr>
      <w:rFonts w:ascii="Arial" w:eastAsia="Times New Roman" w:hAnsi="Arial" w:cs="Times New Roman"/>
      <w:kern w:val="0"/>
      <w:sz w:val="24"/>
      <w:szCs w:val="20"/>
      <w:lang w:eastAsia="en-GB"/>
      <w14:ligatures w14:val="none"/>
    </w:rPr>
  </w:style>
  <w:style w:type="paragraph" w:customStyle="1" w:styleId="Table">
    <w:name w:val="Table"/>
    <w:basedOn w:val="Normal"/>
    <w:rsid w:val="00336DBA"/>
    <w:pPr>
      <w:numPr>
        <w:numId w:val="20"/>
      </w:numPr>
      <w:tabs>
        <w:tab w:val="left" w:pos="851"/>
      </w:tabs>
      <w:spacing w:before="60" w:after="60"/>
    </w:pPr>
    <w:rPr>
      <w:sz w:val="20"/>
    </w:rPr>
  </w:style>
  <w:style w:type="paragraph" w:customStyle="1" w:styleId="Nlisti0">
    <w:name w:val="N_list i"/>
    <w:rsid w:val="00336DBA"/>
    <w:pPr>
      <w:numPr>
        <w:ilvl w:val="3"/>
        <w:numId w:val="3"/>
      </w:numPr>
      <w:spacing w:before="40"/>
      <w:ind w:right="516"/>
    </w:pPr>
    <w:rPr>
      <w:rFonts w:ascii="Arial" w:eastAsia="Times New Roman" w:hAnsi="Arial" w:cs="Times New Roman"/>
      <w:noProof/>
      <w:kern w:val="0"/>
      <w:sz w:val="24"/>
      <w:szCs w:val="20"/>
      <w:lang w:eastAsia="en-GB"/>
      <w14:ligatures w14:val="none"/>
    </w:rPr>
  </w:style>
  <w:style w:type="paragraph" w:customStyle="1" w:styleId="Style5">
    <w:name w:val="Style5"/>
    <w:basedOn w:val="Normal"/>
    <w:rsid w:val="00336DBA"/>
    <w:pPr>
      <w:spacing w:after="60"/>
    </w:pPr>
    <w:rPr>
      <w:b/>
      <w:color w:val="000000"/>
    </w:rPr>
  </w:style>
  <w:style w:type="paragraph" w:customStyle="1" w:styleId="Style2">
    <w:name w:val="Style2"/>
    <w:basedOn w:val="Heading2"/>
    <w:rsid w:val="00336DBA"/>
    <w:pPr>
      <w:keepNext w:val="0"/>
      <w:spacing w:before="180" w:after="0"/>
    </w:pPr>
    <w:rPr>
      <w:sz w:val="24"/>
    </w:rPr>
  </w:style>
  <w:style w:type="paragraph" w:customStyle="1" w:styleId="Style3">
    <w:name w:val="Style3"/>
    <w:basedOn w:val="Heading3"/>
    <w:rsid w:val="00336DBA"/>
    <w:pPr>
      <w:keepNext w:val="0"/>
      <w:widowControl/>
      <w:spacing w:before="180" w:after="0"/>
      <w:ind w:left="432" w:hanging="432"/>
    </w:pPr>
    <w:rPr>
      <w:caps w:val="0"/>
      <w:sz w:val="24"/>
    </w:rPr>
  </w:style>
  <w:style w:type="paragraph" w:customStyle="1" w:styleId="Style4">
    <w:name w:val="Style4"/>
    <w:basedOn w:val="Heading4"/>
    <w:rsid w:val="00336DBA"/>
    <w:pPr>
      <w:keepNext w:val="0"/>
      <w:widowControl/>
      <w:spacing w:before="180" w:after="0"/>
      <w:ind w:left="288" w:hanging="288"/>
    </w:pPr>
    <w:rPr>
      <w:b w:val="0"/>
      <w:i w:val="0"/>
    </w:rPr>
  </w:style>
  <w:style w:type="paragraph" w:customStyle="1" w:styleId="Conditions1">
    <w:name w:val="Conditions1"/>
    <w:rsid w:val="00336DBA"/>
    <w:pPr>
      <w:numPr>
        <w:numId w:val="21"/>
      </w:numPr>
      <w:spacing w:before="120"/>
    </w:pPr>
    <w:rPr>
      <w:rFonts w:ascii="Arial" w:eastAsia="Times New Roman" w:hAnsi="Arial" w:cs="Times New Roman"/>
      <w:kern w:val="0"/>
      <w:sz w:val="24"/>
      <w:szCs w:val="20"/>
      <w:lang w:eastAsia="en-GB"/>
      <w14:ligatures w14:val="none"/>
    </w:rPr>
  </w:style>
  <w:style w:type="paragraph" w:customStyle="1" w:styleId="Conditions2">
    <w:name w:val="Conditions2"/>
    <w:rsid w:val="00336DBA"/>
    <w:pPr>
      <w:numPr>
        <w:ilvl w:val="2"/>
        <w:numId w:val="21"/>
      </w:numPr>
      <w:spacing w:before="60"/>
    </w:pPr>
    <w:rPr>
      <w:rFonts w:ascii="Arial" w:eastAsia="Times New Roman" w:hAnsi="Arial" w:cs="Times New Roman"/>
      <w:kern w:val="0"/>
      <w:sz w:val="24"/>
      <w:szCs w:val="20"/>
      <w:lang w:eastAsia="en-GB"/>
      <w14:ligatures w14:val="none"/>
    </w:rPr>
  </w:style>
  <w:style w:type="paragraph" w:customStyle="1" w:styleId="Conditions3">
    <w:name w:val="Conditions3"/>
    <w:rsid w:val="00336DBA"/>
    <w:pPr>
      <w:numPr>
        <w:numId w:val="5"/>
      </w:numPr>
      <w:tabs>
        <w:tab w:val="clear" w:pos="720"/>
      </w:tabs>
      <w:spacing w:before="60"/>
      <w:ind w:left="2174" w:hanging="547"/>
    </w:pPr>
    <w:rPr>
      <w:rFonts w:ascii="Arial" w:eastAsia="Times New Roman" w:hAnsi="Arial" w:cs="Times New Roman"/>
      <w:kern w:val="0"/>
      <w:sz w:val="24"/>
      <w:szCs w:val="20"/>
      <w:lang w:eastAsia="en-GB"/>
      <w14:ligatures w14:val="none"/>
    </w:rPr>
  </w:style>
  <w:style w:type="paragraph" w:styleId="ListNumber">
    <w:name w:val="List Number"/>
    <w:basedOn w:val="Normal"/>
    <w:rsid w:val="00336DBA"/>
    <w:pPr>
      <w:numPr>
        <w:numId w:val="4"/>
      </w:numPr>
    </w:pPr>
  </w:style>
  <w:style w:type="paragraph" w:customStyle="1" w:styleId="Long1">
    <w:name w:val="Long1"/>
    <w:basedOn w:val="Normal"/>
    <w:next w:val="Style1"/>
    <w:rsid w:val="00336DBA"/>
    <w:pPr>
      <w:keepNext/>
      <w:spacing w:before="180"/>
    </w:pPr>
    <w:rPr>
      <w:b/>
      <w:caps/>
      <w:color w:val="000000"/>
    </w:rPr>
  </w:style>
  <w:style w:type="paragraph" w:customStyle="1" w:styleId="Long2">
    <w:name w:val="Long2"/>
    <w:basedOn w:val="Normal"/>
    <w:next w:val="Style2"/>
    <w:rsid w:val="00336DBA"/>
    <w:pPr>
      <w:keepNext/>
      <w:spacing w:before="180"/>
    </w:pPr>
    <w:rPr>
      <w:b/>
      <w:color w:val="000000"/>
    </w:rPr>
  </w:style>
  <w:style w:type="paragraph" w:customStyle="1" w:styleId="Long3">
    <w:name w:val="Long3"/>
    <w:basedOn w:val="Normal"/>
    <w:next w:val="Style3"/>
    <w:rsid w:val="00336DBA"/>
    <w:pPr>
      <w:keepNext/>
      <w:spacing w:before="180"/>
    </w:pPr>
    <w:rPr>
      <w:b/>
      <w:i/>
      <w:color w:val="000000"/>
    </w:rPr>
  </w:style>
  <w:style w:type="paragraph" w:customStyle="1" w:styleId="Long4">
    <w:name w:val="Long4"/>
    <w:basedOn w:val="Normal"/>
    <w:next w:val="Style4"/>
    <w:rsid w:val="00336DBA"/>
    <w:pPr>
      <w:keepNext/>
      <w:spacing w:before="180"/>
    </w:pPr>
    <w:rPr>
      <w:i/>
      <w:color w:val="000000"/>
    </w:rPr>
  </w:style>
  <w:style w:type="character" w:customStyle="1" w:styleId="StyleVerdana7ptBlack">
    <w:name w:val="Style Verdana 7 pt Black"/>
    <w:basedOn w:val="DefaultParagraphFont"/>
    <w:rsid w:val="00336DBA"/>
    <w:rPr>
      <w:rFonts w:ascii="Verdana" w:hAnsi="Verdana"/>
      <w:color w:val="000000"/>
      <w:sz w:val="14"/>
      <w:szCs w:val="14"/>
    </w:rPr>
  </w:style>
  <w:style w:type="paragraph" w:customStyle="1" w:styleId="StyleSinglelineTimesNewRoman">
    <w:name w:val="Style Single line + Times New Roman"/>
    <w:basedOn w:val="Singleline"/>
    <w:rsid w:val="00336DBA"/>
    <w:rPr>
      <w:sz w:val="20"/>
    </w:rPr>
  </w:style>
  <w:style w:type="paragraph" w:customStyle="1" w:styleId="Style20ptBoldGreenRight031cmBefore12pt">
    <w:name w:val="Style 20 pt Bold Green Right:  0.31 cm Before:  12 pt"/>
    <w:basedOn w:val="Normal"/>
    <w:rsid w:val="00336DBA"/>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36DBA"/>
    <w:pPr>
      <w:spacing w:before="240"/>
      <w:ind w:right="176"/>
    </w:pPr>
    <w:rPr>
      <w:b/>
      <w:bCs/>
      <w:color w:val="000000"/>
      <w:sz w:val="40"/>
      <w:szCs w:val="40"/>
    </w:rPr>
  </w:style>
  <w:style w:type="paragraph" w:styleId="FootnoteText">
    <w:name w:val="footnote text"/>
    <w:basedOn w:val="Normal"/>
    <w:link w:val="FootnoteTextChar"/>
    <w:semiHidden/>
    <w:rsid w:val="00336DBA"/>
    <w:rPr>
      <w:sz w:val="16"/>
    </w:rPr>
  </w:style>
  <w:style w:type="character" w:customStyle="1" w:styleId="FootnoteTextChar">
    <w:name w:val="Footnote Text Char"/>
    <w:basedOn w:val="DefaultParagraphFont"/>
    <w:link w:val="FootnoteText"/>
    <w:semiHidden/>
    <w:rsid w:val="00336DBA"/>
    <w:rPr>
      <w:rFonts w:ascii="Arial" w:eastAsia="Times New Roman" w:hAnsi="Arial" w:cs="Times New Roman"/>
      <w:kern w:val="0"/>
      <w:sz w:val="16"/>
      <w:szCs w:val="20"/>
      <w:lang w:eastAsia="en-GB"/>
      <w14:ligatures w14:val="none"/>
    </w:rPr>
  </w:style>
  <w:style w:type="paragraph" w:styleId="BalloonText">
    <w:name w:val="Balloon Text"/>
    <w:basedOn w:val="Normal"/>
    <w:link w:val="BalloonTextChar"/>
    <w:rsid w:val="00336DBA"/>
    <w:rPr>
      <w:rFonts w:ascii="Tahoma" w:hAnsi="Tahoma" w:cs="Tahoma"/>
      <w:sz w:val="16"/>
      <w:szCs w:val="16"/>
    </w:rPr>
  </w:style>
  <w:style w:type="character" w:customStyle="1" w:styleId="BalloonTextChar">
    <w:name w:val="Balloon Text Char"/>
    <w:basedOn w:val="DefaultParagraphFont"/>
    <w:link w:val="BalloonText"/>
    <w:rsid w:val="00336DBA"/>
    <w:rPr>
      <w:rFonts w:ascii="Tahoma" w:eastAsia="Times New Roman" w:hAnsi="Tahoma" w:cs="Tahoma"/>
      <w:kern w:val="0"/>
      <w:sz w:val="16"/>
      <w:szCs w:val="16"/>
      <w:lang w:eastAsia="en-GB"/>
      <w14:ligatures w14:val="none"/>
    </w:rPr>
  </w:style>
  <w:style w:type="paragraph" w:customStyle="1" w:styleId="ConditionsA">
    <w:name w:val="ConditionsA"/>
    <w:basedOn w:val="Conditions2"/>
    <w:qFormat/>
    <w:rsid w:val="00336DBA"/>
  </w:style>
  <w:style w:type="paragraph" w:customStyle="1" w:styleId="ConditionsBullet">
    <w:name w:val="ConditionsBullet"/>
    <w:basedOn w:val="Conditions2"/>
    <w:qFormat/>
    <w:rsid w:val="00336DBA"/>
    <w:pPr>
      <w:numPr>
        <w:ilvl w:val="3"/>
      </w:numPr>
      <w:spacing w:before="0"/>
    </w:pPr>
  </w:style>
  <w:style w:type="numbering" w:customStyle="1" w:styleId="ConditionsList">
    <w:name w:val="ConditionsList"/>
    <w:uiPriority w:val="99"/>
    <w:rsid w:val="00336DBA"/>
    <w:pPr>
      <w:numPr>
        <w:numId w:val="11"/>
      </w:numPr>
    </w:pPr>
  </w:style>
  <w:style w:type="paragraph" w:customStyle="1" w:styleId="ConditionsNoNumber">
    <w:name w:val="ConditionsNoNumber"/>
    <w:basedOn w:val="Normal"/>
    <w:qFormat/>
    <w:rsid w:val="00336DBA"/>
    <w:pPr>
      <w:numPr>
        <w:ilvl w:val="1"/>
        <w:numId w:val="21"/>
      </w:numPr>
      <w:spacing w:before="120"/>
    </w:pPr>
  </w:style>
  <w:style w:type="paragraph" w:customStyle="1" w:styleId="ConditionsNoNumberNoSpaceBefore">
    <w:name w:val="ConditionsNoNumberNoSpaceBefore"/>
    <w:basedOn w:val="ConditionsNoNumber"/>
    <w:qFormat/>
    <w:rsid w:val="00336DBA"/>
    <w:pPr>
      <w:numPr>
        <w:ilvl w:val="4"/>
      </w:numPr>
      <w:spacing w:before="0"/>
    </w:pPr>
  </w:style>
  <w:style w:type="numbering" w:customStyle="1" w:styleId="nListiList">
    <w:name w:val="nList(i)List"/>
    <w:uiPriority w:val="99"/>
    <w:rsid w:val="00336DBA"/>
    <w:pPr>
      <w:numPr>
        <w:numId w:val="19"/>
      </w:numPr>
    </w:pPr>
  </w:style>
  <w:style w:type="numbering" w:customStyle="1" w:styleId="nListaList">
    <w:name w:val="nList(a)List"/>
    <w:uiPriority w:val="99"/>
    <w:rsid w:val="00336DB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74F98E-3BA2-40E3-9273-ECF8C00D35DB}">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FF3F0-D633-4A36-B5FD-EB915D62A146}">
  <ds:schemaRefs>
    <ds:schemaRef ds:uri="http://schemas.openxmlformats.org/officeDocument/2006/bibliography"/>
  </ds:schemaRefs>
</ds:datastoreItem>
</file>

<file path=customXml/itemProps2.xml><?xml version="1.0" encoding="utf-8"?>
<ds:datastoreItem xmlns:ds="http://schemas.openxmlformats.org/officeDocument/2006/customXml" ds:itemID="{78DF4A2E-5267-4139-90C1-1C710661F65E}">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50AB4D26-F400-4500-82D9-B15F53C1FE12}">
  <ds:schemaRefs>
    <ds:schemaRef ds:uri="http://schemas.microsoft.com/sharepoint/v3/contenttype/forms"/>
  </ds:schemaRefs>
</ds:datastoreItem>
</file>

<file path=customXml/itemProps4.xml><?xml version="1.0" encoding="utf-8"?>
<ds:datastoreItem xmlns:ds="http://schemas.openxmlformats.org/officeDocument/2006/customXml" ds:itemID="{1D6D1842-394E-4834-9ABD-E6EDCCE665C0}"/>
</file>

<file path=docProps/app.xml><?xml version="1.0" encoding="utf-8"?>
<Properties xmlns="http://schemas.openxmlformats.org/officeDocument/2006/extended-properties" xmlns:vt="http://schemas.openxmlformats.org/officeDocument/2006/docPropsVTypes">
  <Template>Normal</Template>
  <TotalTime>919</TotalTime>
  <Pages>10</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Dowsett, John</dc:creator>
  <cp:keywords/>
  <dc:description/>
  <cp:lastModifiedBy>Dobbs, Dom</cp:lastModifiedBy>
  <cp:revision>175</cp:revision>
  <cp:lastPrinted>2025-11-21T11:08:00Z</cp:lastPrinted>
  <dcterms:created xsi:type="dcterms:W3CDTF">2025-08-26T09:50:00Z</dcterms:created>
  <dcterms:modified xsi:type="dcterms:W3CDTF">2025-11-21T11:09:00Z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_reference">
    <vt:lpwstr/>
  </property>
  <property fmtid="{D5CDD505-2E9C-101B-9397-08002B2CF9AE}" pid="3" name="drds">
    <vt:lpwstr>Appeal Decision</vt:lpwstr>
  </property>
  <property fmtid="{D5CDD505-2E9C-101B-9397-08002B2CF9AE}" pid="4" name="templatetype">
    <vt:lpwstr>appeal-decision</vt:lpwstr>
  </property>
  <property fmtid="{D5CDD505-2E9C-101B-9397-08002B2CF9AE}" pid="5" name="casetype">
    <vt:lpwstr>Planning Appeal (W)</vt:lpwstr>
  </property>
  <property fmtid="{D5CDD505-2E9C-101B-9397-08002B2CF9AE}" pid="6" name="drds_categories">
    <vt:lpwstr>decisions,conditions,conclusions,subjects,insertions,case_details,drds_casework</vt:lpwstr>
  </property>
  <property fmtid="{D5CDD505-2E9C-101B-9397-08002B2CF9AE}" pid="7" name="ContentTypeId">
    <vt:lpwstr>0x0101002AA54CDEF871A647AC44520C841F1B03</vt:lpwstr>
  </property>
</Properties>
</file>