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6E72" w14:textId="77777777" w:rsidR="00CE4E55" w:rsidRDefault="00CE4E55" w:rsidP="00CE4E55">
      <w:pPr>
        <w:pStyle w:val="Conditions1"/>
        <w:numPr>
          <w:ilvl w:val="0"/>
          <w:numId w:val="0"/>
        </w:numPr>
      </w:pPr>
      <w:r>
        <w:rPr>
          <w:noProof/>
        </w:rPr>
        <w:drawing>
          <wp:inline distT="0" distB="0" distL="0" distR="0" wp14:anchorId="70AA1306" wp14:editId="4747568C">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4A96C722" w14:textId="77777777" w:rsidR="00CE4E55" w:rsidRDefault="00CE4E55" w:rsidP="00CE4E5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E4E55" w:rsidRPr="003C3FF8" w14:paraId="737C41DC" w14:textId="77777777" w:rsidTr="006E1CD1">
        <w:trPr>
          <w:cantSplit/>
          <w:trHeight w:val="23"/>
        </w:trPr>
        <w:tc>
          <w:tcPr>
            <w:tcW w:w="9356" w:type="dxa"/>
          </w:tcPr>
          <w:p w14:paraId="15623447" w14:textId="77777777" w:rsidR="00CE4E55" w:rsidRPr="003C3FF8" w:rsidRDefault="00CE4E55" w:rsidP="006E1CD1">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CE4E55" w:rsidRPr="003C3FF8" w14:paraId="33D06D94" w14:textId="77777777" w:rsidTr="006E1CD1">
        <w:trPr>
          <w:cantSplit/>
          <w:trHeight w:val="23"/>
        </w:trPr>
        <w:tc>
          <w:tcPr>
            <w:tcW w:w="9356" w:type="dxa"/>
            <w:vAlign w:val="center"/>
          </w:tcPr>
          <w:p w14:paraId="00F78C5D" w14:textId="37194793" w:rsidR="00CE4E55" w:rsidRPr="003C3FF8" w:rsidRDefault="00CE4E55" w:rsidP="006E1CD1">
            <w:pPr>
              <w:spacing w:before="60"/>
              <w:ind w:left="-108" w:right="34"/>
              <w:rPr>
                <w:rFonts w:ascii="Arial" w:hAnsi="Arial" w:cs="Arial"/>
                <w:color w:val="000000"/>
                <w:szCs w:val="22"/>
              </w:rPr>
            </w:pPr>
            <w:r w:rsidRPr="003C3FF8">
              <w:rPr>
                <w:rFonts w:ascii="Arial" w:hAnsi="Arial" w:cs="Arial"/>
                <w:color w:val="000000"/>
                <w:szCs w:val="22"/>
              </w:rPr>
              <w:t xml:space="preserve">Site visit made on </w:t>
            </w:r>
            <w:r w:rsidR="005A7EED">
              <w:rPr>
                <w:rFonts w:ascii="Arial" w:hAnsi="Arial" w:cs="Arial"/>
                <w:color w:val="000000"/>
                <w:szCs w:val="22"/>
              </w:rPr>
              <w:t>4 November</w:t>
            </w:r>
            <w:r w:rsidRPr="003C3FF8">
              <w:rPr>
                <w:rFonts w:ascii="Arial" w:hAnsi="Arial" w:cs="Arial"/>
                <w:color w:val="000000"/>
                <w:szCs w:val="22"/>
              </w:rPr>
              <w:t xml:space="preserve"> 2025</w:t>
            </w:r>
          </w:p>
        </w:tc>
      </w:tr>
      <w:tr w:rsidR="00CE4E55" w:rsidRPr="003C3FF8" w14:paraId="0B905CCA" w14:textId="77777777" w:rsidTr="006E1CD1">
        <w:trPr>
          <w:cantSplit/>
          <w:trHeight w:val="23"/>
        </w:trPr>
        <w:tc>
          <w:tcPr>
            <w:tcW w:w="9356" w:type="dxa"/>
          </w:tcPr>
          <w:p w14:paraId="5E089D88" w14:textId="77777777" w:rsidR="00CE4E55" w:rsidRPr="003C3FF8" w:rsidRDefault="00CE4E55" w:rsidP="006E1CD1">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CE4E55" w:rsidRPr="003C3FF8" w14:paraId="25938C78" w14:textId="77777777" w:rsidTr="006E1CD1">
        <w:trPr>
          <w:cantSplit/>
          <w:trHeight w:val="23"/>
        </w:trPr>
        <w:tc>
          <w:tcPr>
            <w:tcW w:w="9356" w:type="dxa"/>
          </w:tcPr>
          <w:p w14:paraId="3C445C3E" w14:textId="77777777" w:rsidR="00CE4E55" w:rsidRPr="003C3FF8" w:rsidRDefault="00CE4E55" w:rsidP="006E1CD1">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CE4E55" w:rsidRPr="003C3FF8" w14:paraId="685B0C94" w14:textId="77777777" w:rsidTr="006E1CD1">
        <w:trPr>
          <w:cantSplit/>
          <w:trHeight w:val="23"/>
        </w:trPr>
        <w:tc>
          <w:tcPr>
            <w:tcW w:w="9356" w:type="dxa"/>
          </w:tcPr>
          <w:p w14:paraId="2880982F" w14:textId="1AC92905" w:rsidR="00CE4E55" w:rsidRPr="003C3FF8" w:rsidRDefault="00CE4E55" w:rsidP="006E1CD1">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786A41">
              <w:rPr>
                <w:rFonts w:ascii="Arial" w:hAnsi="Arial" w:cs="Arial"/>
                <w:b/>
                <w:color w:val="000000"/>
                <w:sz w:val="16"/>
                <w:szCs w:val="16"/>
              </w:rPr>
              <w:t xml:space="preserve"> 03 December 2025</w:t>
            </w:r>
          </w:p>
        </w:tc>
      </w:tr>
    </w:tbl>
    <w:p w14:paraId="07FE6AE0" w14:textId="77777777" w:rsidR="00CE4E55" w:rsidRPr="003C3FF8" w:rsidRDefault="00CE4E55" w:rsidP="00CE4E55">
      <w:pPr>
        <w:rPr>
          <w:rFonts w:ascii="Arial" w:hAnsi="Arial" w:cs="Arial"/>
        </w:rPr>
      </w:pPr>
    </w:p>
    <w:tbl>
      <w:tblPr>
        <w:tblW w:w="0" w:type="auto"/>
        <w:tblLayout w:type="fixed"/>
        <w:tblLook w:val="0000" w:firstRow="0" w:lastRow="0" w:firstColumn="0" w:lastColumn="0" w:noHBand="0" w:noVBand="0"/>
      </w:tblPr>
      <w:tblGrid>
        <w:gridCol w:w="9520"/>
      </w:tblGrid>
      <w:tr w:rsidR="00CE4E55" w:rsidRPr="003C3FF8" w14:paraId="0C6D4FF9" w14:textId="77777777" w:rsidTr="006E1CD1">
        <w:tc>
          <w:tcPr>
            <w:tcW w:w="9520" w:type="dxa"/>
          </w:tcPr>
          <w:p w14:paraId="4656D670" w14:textId="6705C5B6" w:rsidR="00CE4E55" w:rsidRPr="00533F28" w:rsidRDefault="00CE4E55" w:rsidP="006E1CD1">
            <w:pPr>
              <w:spacing w:after="60"/>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Ref: ROW/</w:t>
            </w:r>
            <w:r>
              <w:rPr>
                <w:rFonts w:ascii="Arial" w:hAnsi="Arial" w:cs="Arial"/>
                <w:b/>
                <w:color w:val="000000"/>
                <w:szCs w:val="22"/>
              </w:rPr>
              <w:t>33</w:t>
            </w:r>
            <w:r w:rsidR="00934C4B">
              <w:rPr>
                <w:rFonts w:ascii="Arial" w:hAnsi="Arial" w:cs="Arial"/>
                <w:b/>
                <w:color w:val="000000"/>
                <w:szCs w:val="22"/>
              </w:rPr>
              <w:t>43305</w:t>
            </w:r>
          </w:p>
        </w:tc>
      </w:tr>
      <w:tr w:rsidR="00CE4E55" w:rsidRPr="003C3FF8" w14:paraId="4CE89808" w14:textId="77777777" w:rsidTr="006E1CD1">
        <w:tc>
          <w:tcPr>
            <w:tcW w:w="9520" w:type="dxa"/>
          </w:tcPr>
          <w:p w14:paraId="58A1A94B" w14:textId="77777777" w:rsidR="00CE4E55" w:rsidRPr="00533F28" w:rsidRDefault="00CE4E55" w:rsidP="006E1CD1">
            <w:pPr>
              <w:pStyle w:val="TBullet"/>
              <w:numPr>
                <w:ilvl w:val="0"/>
                <w:numId w:val="0"/>
              </w:numPr>
              <w:ind w:left="360"/>
              <w:rPr>
                <w:rFonts w:ascii="Arial" w:hAnsi="Arial" w:cs="Arial"/>
                <w:sz w:val="22"/>
                <w:szCs w:val="22"/>
              </w:rPr>
            </w:pPr>
          </w:p>
        </w:tc>
      </w:tr>
      <w:tr w:rsidR="00CE4E55" w:rsidRPr="003C3FF8" w14:paraId="1AA7C127" w14:textId="77777777" w:rsidTr="006E1CD1">
        <w:tc>
          <w:tcPr>
            <w:tcW w:w="9520" w:type="dxa"/>
          </w:tcPr>
          <w:tbl>
            <w:tblPr>
              <w:tblW w:w="0" w:type="auto"/>
              <w:tblLayout w:type="fixed"/>
              <w:tblLook w:val="0000" w:firstRow="0" w:lastRow="0" w:firstColumn="0" w:lastColumn="0" w:noHBand="0" w:noVBand="0"/>
            </w:tblPr>
            <w:tblGrid>
              <w:gridCol w:w="9520"/>
            </w:tblGrid>
            <w:tr w:rsidR="00CE4E55" w:rsidRPr="00B054BB" w14:paraId="0AFC815E" w14:textId="77777777" w:rsidTr="006E1CD1">
              <w:tc>
                <w:tcPr>
                  <w:tcW w:w="9520" w:type="dxa"/>
                </w:tcPr>
                <w:p w14:paraId="121D596E" w14:textId="276254D7" w:rsidR="00CE4E55" w:rsidRPr="000E1E3A" w:rsidRDefault="00CE4E55" w:rsidP="00F717DC">
                  <w:pPr>
                    <w:pStyle w:val="TBullet"/>
                    <w:rPr>
                      <w:rFonts w:ascii="Arial" w:hAnsi="Arial" w:cs="Arial"/>
                      <w:sz w:val="22"/>
                      <w:szCs w:val="22"/>
                    </w:rPr>
                  </w:pPr>
                  <w:r w:rsidRPr="000E1E3A">
                    <w:rPr>
                      <w:rFonts w:ascii="Arial" w:hAnsi="Arial" w:cs="Arial"/>
                      <w:sz w:val="22"/>
                      <w:szCs w:val="22"/>
                    </w:rPr>
                    <w:t>This Order is made under Section 53(2)(b) of the Wildlife and Countryside Act 1981 and is known as the</w:t>
                  </w:r>
                  <w:r w:rsidR="00B82771" w:rsidRPr="000E1E3A">
                    <w:rPr>
                      <w:rFonts w:ascii="Arial" w:hAnsi="Arial" w:cs="Arial"/>
                      <w:sz w:val="22"/>
                      <w:szCs w:val="22"/>
                    </w:rPr>
                    <w:t xml:space="preserve"> C</w:t>
                  </w:r>
                  <w:r w:rsidR="00F717DC" w:rsidRPr="000E1E3A">
                    <w:rPr>
                      <w:rFonts w:ascii="Arial" w:hAnsi="Arial" w:cs="Arial"/>
                      <w:sz w:val="22"/>
                      <w:szCs w:val="22"/>
                    </w:rPr>
                    <w:t>umberland</w:t>
                  </w:r>
                  <w:r w:rsidR="00B82771" w:rsidRPr="000E1E3A">
                    <w:rPr>
                      <w:rFonts w:ascii="Arial" w:hAnsi="Arial" w:cs="Arial"/>
                      <w:sz w:val="22"/>
                      <w:szCs w:val="22"/>
                    </w:rPr>
                    <w:t xml:space="preserve"> C</w:t>
                  </w:r>
                  <w:r w:rsidR="00F717DC" w:rsidRPr="000E1E3A">
                    <w:rPr>
                      <w:rFonts w:ascii="Arial" w:hAnsi="Arial" w:cs="Arial"/>
                      <w:sz w:val="22"/>
                      <w:szCs w:val="22"/>
                    </w:rPr>
                    <w:t xml:space="preserve">ouncil </w:t>
                  </w:r>
                  <w:r w:rsidR="00B82771" w:rsidRPr="000E1E3A">
                    <w:rPr>
                      <w:rFonts w:ascii="Arial" w:hAnsi="Arial" w:cs="Arial"/>
                      <w:sz w:val="22"/>
                      <w:szCs w:val="22"/>
                    </w:rPr>
                    <w:t>(</w:t>
                  </w:r>
                  <w:r w:rsidR="00F717DC" w:rsidRPr="000E1E3A">
                    <w:rPr>
                      <w:rFonts w:ascii="Arial" w:hAnsi="Arial" w:cs="Arial"/>
                      <w:sz w:val="22"/>
                      <w:szCs w:val="22"/>
                    </w:rPr>
                    <w:t xml:space="preserve">Parish of Workington: District of Allerdale) Definitive Map </w:t>
                  </w:r>
                  <w:r w:rsidRPr="000E1E3A">
                    <w:rPr>
                      <w:rFonts w:ascii="Arial" w:hAnsi="Arial" w:cs="Arial"/>
                      <w:sz w:val="22"/>
                      <w:szCs w:val="22"/>
                    </w:rPr>
                    <w:t xml:space="preserve">Modification Order </w:t>
                  </w:r>
                  <w:r w:rsidR="00F717DC" w:rsidRPr="000E1E3A">
                    <w:rPr>
                      <w:rFonts w:ascii="Arial" w:hAnsi="Arial" w:cs="Arial"/>
                      <w:sz w:val="22"/>
                      <w:szCs w:val="22"/>
                    </w:rPr>
                    <w:t xml:space="preserve">(No 2) </w:t>
                  </w:r>
                  <w:r w:rsidRPr="000E1E3A">
                    <w:rPr>
                      <w:rFonts w:ascii="Arial" w:hAnsi="Arial" w:cs="Arial"/>
                      <w:sz w:val="22"/>
                      <w:szCs w:val="22"/>
                    </w:rPr>
                    <w:t>202</w:t>
                  </w:r>
                  <w:r w:rsidR="00F717DC" w:rsidRPr="000E1E3A">
                    <w:rPr>
                      <w:rFonts w:ascii="Arial" w:hAnsi="Arial" w:cs="Arial"/>
                      <w:sz w:val="22"/>
                      <w:szCs w:val="22"/>
                    </w:rPr>
                    <w:t>4</w:t>
                  </w:r>
                  <w:r w:rsidRPr="000E1E3A">
                    <w:rPr>
                      <w:rFonts w:ascii="Arial" w:hAnsi="Arial" w:cs="Arial"/>
                      <w:sz w:val="22"/>
                      <w:szCs w:val="22"/>
                    </w:rPr>
                    <w:t>.</w:t>
                  </w:r>
                </w:p>
              </w:tc>
            </w:tr>
            <w:tr w:rsidR="00CE4E55" w:rsidRPr="00B054BB" w14:paraId="3A28434B" w14:textId="77777777" w:rsidTr="006E1CD1">
              <w:tc>
                <w:tcPr>
                  <w:tcW w:w="9520" w:type="dxa"/>
                </w:tcPr>
                <w:p w14:paraId="13FBB3AA" w14:textId="347F0FAC" w:rsidR="00CE4E55" w:rsidRPr="000E1E3A" w:rsidRDefault="00CE4E55" w:rsidP="006E1CD1">
                  <w:pPr>
                    <w:pStyle w:val="TBullet"/>
                    <w:rPr>
                      <w:rFonts w:ascii="Arial" w:hAnsi="Arial" w:cs="Arial"/>
                      <w:sz w:val="22"/>
                      <w:szCs w:val="22"/>
                    </w:rPr>
                  </w:pPr>
                  <w:r w:rsidRPr="000E1E3A">
                    <w:rPr>
                      <w:rFonts w:ascii="Arial" w:hAnsi="Arial" w:cs="Arial"/>
                      <w:sz w:val="22"/>
                      <w:szCs w:val="22"/>
                    </w:rPr>
                    <w:t xml:space="preserve">The Order is dated </w:t>
                  </w:r>
                  <w:r w:rsidR="00F717DC" w:rsidRPr="000E1E3A">
                    <w:rPr>
                      <w:rFonts w:ascii="Arial" w:hAnsi="Arial" w:cs="Arial"/>
                      <w:sz w:val="22"/>
                      <w:szCs w:val="22"/>
                    </w:rPr>
                    <w:t>7 February 2024</w:t>
                  </w:r>
                  <w:r w:rsidRPr="000E1E3A">
                    <w:rPr>
                      <w:rFonts w:ascii="Arial" w:hAnsi="Arial" w:cs="Arial"/>
                      <w:sz w:val="22"/>
                      <w:szCs w:val="22"/>
                    </w:rPr>
                    <w:t xml:space="preserve"> and proposes to modify the Definitive Map and Statement for the area by </w:t>
                  </w:r>
                  <w:r w:rsidR="00F717DC" w:rsidRPr="000E1E3A">
                    <w:rPr>
                      <w:rFonts w:ascii="Arial" w:hAnsi="Arial" w:cs="Arial"/>
                      <w:sz w:val="22"/>
                      <w:szCs w:val="22"/>
                    </w:rPr>
                    <w:t>adding a footpath</w:t>
                  </w:r>
                  <w:r w:rsidRPr="000E1E3A">
                    <w:rPr>
                      <w:rFonts w:ascii="Arial" w:hAnsi="Arial" w:cs="Arial"/>
                      <w:sz w:val="22"/>
                      <w:szCs w:val="22"/>
                    </w:rPr>
                    <w:t>.</w:t>
                  </w:r>
                </w:p>
              </w:tc>
            </w:tr>
            <w:tr w:rsidR="00CE4E55" w:rsidRPr="00B054BB" w14:paraId="68030001" w14:textId="77777777" w:rsidTr="006E1CD1">
              <w:tc>
                <w:tcPr>
                  <w:tcW w:w="9520" w:type="dxa"/>
                </w:tcPr>
                <w:p w14:paraId="35AA797A" w14:textId="53F8E058" w:rsidR="00CE4E55" w:rsidRPr="000E1E3A" w:rsidRDefault="00CE4E55" w:rsidP="006E1CD1">
                  <w:pPr>
                    <w:pStyle w:val="TBullet"/>
                    <w:rPr>
                      <w:rFonts w:ascii="Arial" w:hAnsi="Arial" w:cs="Arial"/>
                      <w:sz w:val="22"/>
                      <w:szCs w:val="22"/>
                    </w:rPr>
                  </w:pPr>
                  <w:r w:rsidRPr="000E1E3A">
                    <w:rPr>
                      <w:rFonts w:ascii="Arial" w:hAnsi="Arial" w:cs="Arial"/>
                      <w:sz w:val="22"/>
                      <w:szCs w:val="22"/>
                    </w:rPr>
                    <w:t xml:space="preserve">There was one objection outstanding when </w:t>
                  </w:r>
                  <w:r w:rsidR="00F717DC" w:rsidRPr="000E1E3A">
                    <w:rPr>
                      <w:rFonts w:ascii="Arial" w:hAnsi="Arial" w:cs="Arial"/>
                      <w:sz w:val="22"/>
                      <w:szCs w:val="22"/>
                    </w:rPr>
                    <w:t>the Cumberland</w:t>
                  </w:r>
                  <w:r w:rsidRPr="000E1E3A">
                    <w:rPr>
                      <w:rFonts w:ascii="Arial" w:hAnsi="Arial" w:cs="Arial"/>
                      <w:sz w:val="22"/>
                      <w:szCs w:val="22"/>
                    </w:rPr>
                    <w:t xml:space="preserve"> Council (‘the Council’) submitted the Order to the Secretary of State for Environment, Food and Rural Affairs for confirmation.</w:t>
                  </w:r>
                </w:p>
              </w:tc>
            </w:tr>
            <w:tr w:rsidR="00CE4E55" w:rsidRPr="00B054BB" w14:paraId="41F430DA" w14:textId="77777777" w:rsidTr="006E1CD1">
              <w:tc>
                <w:tcPr>
                  <w:tcW w:w="9520" w:type="dxa"/>
                </w:tcPr>
                <w:p w14:paraId="56241987" w14:textId="77777777" w:rsidR="00CE4E55" w:rsidRPr="000E1E3A" w:rsidRDefault="00CE4E55" w:rsidP="006E1CD1">
                  <w:pPr>
                    <w:spacing w:before="60"/>
                    <w:rPr>
                      <w:rFonts w:ascii="Arial" w:hAnsi="Arial" w:cs="Arial"/>
                      <w:b/>
                      <w:color w:val="000000"/>
                      <w:szCs w:val="22"/>
                    </w:rPr>
                  </w:pPr>
                  <w:r w:rsidRPr="000E1E3A">
                    <w:rPr>
                      <w:rFonts w:ascii="Arial" w:hAnsi="Arial" w:cs="Arial"/>
                      <w:b/>
                      <w:color w:val="000000"/>
                      <w:szCs w:val="22"/>
                    </w:rPr>
                    <w:t>Summary of Decision: The Order is confirmed.</w:t>
                  </w:r>
                </w:p>
              </w:tc>
            </w:tr>
          </w:tbl>
          <w:p w14:paraId="5002E8BF" w14:textId="77777777" w:rsidR="00CE4E55" w:rsidRPr="00533F28" w:rsidRDefault="00CE4E55" w:rsidP="006E1CD1">
            <w:pPr>
              <w:pStyle w:val="TBullet"/>
              <w:numPr>
                <w:ilvl w:val="0"/>
                <w:numId w:val="0"/>
              </w:numPr>
              <w:ind w:left="360"/>
              <w:rPr>
                <w:rFonts w:ascii="Arial" w:hAnsi="Arial" w:cs="Arial"/>
                <w:sz w:val="22"/>
                <w:szCs w:val="22"/>
              </w:rPr>
            </w:pPr>
          </w:p>
        </w:tc>
      </w:tr>
      <w:tr w:rsidR="00CE4E55" w:rsidRPr="003C3FF8" w14:paraId="7B32AB85" w14:textId="77777777" w:rsidTr="006E1CD1">
        <w:tc>
          <w:tcPr>
            <w:tcW w:w="9520" w:type="dxa"/>
            <w:tcBorders>
              <w:bottom w:val="single" w:sz="6" w:space="0" w:color="000000"/>
            </w:tcBorders>
          </w:tcPr>
          <w:p w14:paraId="30A9BFDF" w14:textId="77777777" w:rsidR="00CE4E55" w:rsidRPr="00533F28" w:rsidRDefault="00CE4E55" w:rsidP="006E1CD1">
            <w:pPr>
              <w:spacing w:before="60"/>
              <w:rPr>
                <w:rFonts w:ascii="Arial" w:hAnsi="Arial" w:cs="Arial"/>
                <w:b/>
                <w:color w:val="000000"/>
                <w:szCs w:val="22"/>
              </w:rPr>
            </w:pPr>
            <w:bookmarkStart w:id="1" w:name="bmkReturn"/>
            <w:bookmarkEnd w:id="1"/>
          </w:p>
        </w:tc>
      </w:tr>
    </w:tbl>
    <w:p w14:paraId="61EB0187" w14:textId="77777777" w:rsidR="00CE4E55" w:rsidRPr="003C3FF8" w:rsidRDefault="00CE4E55" w:rsidP="00CE4E55">
      <w:pPr>
        <w:rPr>
          <w:rFonts w:ascii="Arial" w:hAnsi="Arial" w:cs="Arial"/>
        </w:rPr>
      </w:pPr>
    </w:p>
    <w:p w14:paraId="0FA68DC2" w14:textId="77777777" w:rsidR="00CE4E55" w:rsidRPr="000F5FA2" w:rsidRDefault="00CE4E55" w:rsidP="00CE4E55">
      <w:pPr>
        <w:pStyle w:val="Heading6blackfont"/>
        <w:rPr>
          <w:rFonts w:ascii="Arial" w:hAnsi="Arial" w:cs="Arial"/>
        </w:rPr>
      </w:pPr>
      <w:r w:rsidRPr="000F5FA2">
        <w:rPr>
          <w:rFonts w:ascii="Arial" w:hAnsi="Arial" w:cs="Arial"/>
        </w:rPr>
        <w:t>The Main Issues</w:t>
      </w:r>
    </w:p>
    <w:p w14:paraId="5D259BC6" w14:textId="6262B225" w:rsidR="00266C0A" w:rsidRDefault="00266C0A" w:rsidP="00266C0A">
      <w:pPr>
        <w:pStyle w:val="Style1"/>
        <w:numPr>
          <w:ilvl w:val="0"/>
          <w:numId w:val="4"/>
        </w:numPr>
        <w:rPr>
          <w:rFonts w:ascii="Arial" w:hAnsi="Arial" w:cs="Arial"/>
        </w:rPr>
      </w:pPr>
      <w:r w:rsidRPr="000F5FA2">
        <w:rPr>
          <w:rFonts w:ascii="Arial" w:hAnsi="Arial" w:cs="Arial"/>
        </w:rPr>
        <w:t xml:space="preserve">The </w:t>
      </w:r>
      <w:r>
        <w:rPr>
          <w:rFonts w:ascii="Arial" w:hAnsi="Arial" w:cs="Arial"/>
        </w:rPr>
        <w:t xml:space="preserve">main question arising is whether, as the result of the discovery of evidence, a right of way not shown in the Definitive Map and Statement </w:t>
      </w:r>
      <w:r w:rsidR="00F708AD">
        <w:rPr>
          <w:rFonts w:ascii="Arial" w:hAnsi="Arial" w:cs="Arial"/>
        </w:rPr>
        <w:t xml:space="preserve">(‘DMS’) for the area </w:t>
      </w:r>
      <w:r>
        <w:rPr>
          <w:rFonts w:ascii="Arial" w:hAnsi="Arial" w:cs="Arial"/>
        </w:rPr>
        <w:t>subsists. Th</w:t>
      </w:r>
      <w:r w:rsidR="00F708AD">
        <w:rPr>
          <w:rFonts w:ascii="Arial" w:hAnsi="Arial" w:cs="Arial"/>
        </w:rPr>
        <w:t>at</w:t>
      </w:r>
      <w:r>
        <w:rPr>
          <w:rFonts w:ascii="Arial" w:hAnsi="Arial" w:cs="Arial"/>
        </w:rPr>
        <w:t xml:space="preserve"> question arise</w:t>
      </w:r>
      <w:r w:rsidR="00F708AD">
        <w:rPr>
          <w:rFonts w:ascii="Arial" w:hAnsi="Arial" w:cs="Arial"/>
        </w:rPr>
        <w:t>s</w:t>
      </w:r>
      <w:r>
        <w:rPr>
          <w:rFonts w:ascii="Arial" w:hAnsi="Arial" w:cs="Arial"/>
        </w:rPr>
        <w:t xml:space="preserve"> pursuant to section 53(3)(c)</w:t>
      </w:r>
      <w:r w:rsidR="000D60C4">
        <w:rPr>
          <w:rFonts w:ascii="Arial" w:hAnsi="Arial" w:cs="Arial"/>
        </w:rPr>
        <w:t>(i)</w:t>
      </w:r>
      <w:r>
        <w:rPr>
          <w:rFonts w:ascii="Arial" w:hAnsi="Arial" w:cs="Arial"/>
        </w:rPr>
        <w:t xml:space="preserve"> of the </w:t>
      </w:r>
      <w:r w:rsidR="00F708AD">
        <w:rPr>
          <w:rFonts w:ascii="Arial" w:hAnsi="Arial" w:cs="Arial"/>
        </w:rPr>
        <w:t xml:space="preserve">Wildlife and Countryside Act </w:t>
      </w:r>
      <w:r w:rsidR="00011102">
        <w:rPr>
          <w:rFonts w:ascii="Arial" w:hAnsi="Arial" w:cs="Arial"/>
        </w:rPr>
        <w:t xml:space="preserve">1981 </w:t>
      </w:r>
      <w:r>
        <w:rPr>
          <w:rFonts w:ascii="Arial" w:hAnsi="Arial" w:cs="Arial"/>
        </w:rPr>
        <w:t xml:space="preserve">and to the Authority’s duty under section 53(2) of that Act to keep the DMS under review and to make modifications as required in consequence of any of the events set out in section 53(3). </w:t>
      </w:r>
      <w:r w:rsidR="0085672E">
        <w:rPr>
          <w:rFonts w:ascii="Arial" w:hAnsi="Arial" w:cs="Arial"/>
        </w:rPr>
        <w:t>In order to confirm the Order, I must be satisfied on the balance of probabili</w:t>
      </w:r>
      <w:r w:rsidR="0017013E">
        <w:rPr>
          <w:rFonts w:ascii="Arial" w:hAnsi="Arial" w:cs="Arial"/>
        </w:rPr>
        <w:t>ty</w:t>
      </w:r>
      <w:r w:rsidR="0085672E">
        <w:rPr>
          <w:rFonts w:ascii="Arial" w:hAnsi="Arial" w:cs="Arial"/>
        </w:rPr>
        <w:t xml:space="preserve"> that the </w:t>
      </w:r>
      <w:r w:rsidR="00844F5B">
        <w:rPr>
          <w:rFonts w:ascii="Arial" w:hAnsi="Arial" w:cs="Arial"/>
        </w:rPr>
        <w:t>right of way subsists.</w:t>
      </w:r>
    </w:p>
    <w:p w14:paraId="56BBA921" w14:textId="4307FD09" w:rsidR="008A6E09" w:rsidRDefault="00A067A5" w:rsidP="00CE4E55">
      <w:pPr>
        <w:pStyle w:val="Style1"/>
        <w:numPr>
          <w:ilvl w:val="0"/>
          <w:numId w:val="4"/>
        </w:numPr>
        <w:tabs>
          <w:tab w:val="clear" w:pos="720"/>
        </w:tabs>
        <w:rPr>
          <w:rFonts w:ascii="Arial" w:hAnsi="Arial" w:cs="Arial"/>
        </w:rPr>
      </w:pPr>
      <w:r>
        <w:rPr>
          <w:rFonts w:ascii="Arial" w:hAnsi="Arial" w:cs="Arial"/>
        </w:rPr>
        <w:t xml:space="preserve">Section 31 of the Highways Act 1980 (‘the 1980 Act’) </w:t>
      </w:r>
      <w:r w:rsidR="000D27C1">
        <w:rPr>
          <w:rFonts w:ascii="Arial" w:hAnsi="Arial" w:cs="Arial"/>
        </w:rPr>
        <w:t xml:space="preserve">provides that where a way over land </w:t>
      </w:r>
      <w:r w:rsidR="00E25182">
        <w:rPr>
          <w:rFonts w:ascii="Arial" w:hAnsi="Arial" w:cs="Arial"/>
        </w:rPr>
        <w:t>has been actually e</w:t>
      </w:r>
      <w:r w:rsidR="00954106">
        <w:rPr>
          <w:rFonts w:ascii="Arial" w:hAnsi="Arial" w:cs="Arial"/>
        </w:rPr>
        <w:t>n</w:t>
      </w:r>
      <w:r w:rsidR="00E25182">
        <w:rPr>
          <w:rFonts w:ascii="Arial" w:hAnsi="Arial" w:cs="Arial"/>
        </w:rPr>
        <w:t xml:space="preserve">joyed by the public as of right and without interruption for a full period of 20 years, the way is to be deemed to have been dedicated as a highway, in the absence of sufficient evidence </w:t>
      </w:r>
      <w:r w:rsidR="00954106">
        <w:rPr>
          <w:rFonts w:ascii="Arial" w:hAnsi="Arial" w:cs="Arial"/>
        </w:rPr>
        <w:t>of there having been no intention to dedicate it during that period</w:t>
      </w:r>
      <w:r w:rsidR="00597B15">
        <w:rPr>
          <w:rFonts w:ascii="Arial" w:hAnsi="Arial" w:cs="Arial"/>
        </w:rPr>
        <w:t xml:space="preserve"> (‘the criteria’)</w:t>
      </w:r>
      <w:r w:rsidR="00954106">
        <w:rPr>
          <w:rFonts w:ascii="Arial" w:hAnsi="Arial" w:cs="Arial"/>
        </w:rPr>
        <w:t>.</w:t>
      </w:r>
      <w:r w:rsidR="00F7011E">
        <w:rPr>
          <w:rFonts w:ascii="Arial" w:hAnsi="Arial" w:cs="Arial"/>
        </w:rPr>
        <w:t xml:space="preserve"> </w:t>
      </w:r>
      <w:r w:rsidR="00882FC2">
        <w:rPr>
          <w:rFonts w:ascii="Arial" w:hAnsi="Arial" w:cs="Arial"/>
        </w:rPr>
        <w:t>The relevant 20</w:t>
      </w:r>
      <w:r w:rsidR="00987DA9">
        <w:rPr>
          <w:rFonts w:ascii="Arial" w:hAnsi="Arial" w:cs="Arial"/>
        </w:rPr>
        <w:t>-</w:t>
      </w:r>
      <w:r w:rsidR="00882FC2">
        <w:rPr>
          <w:rFonts w:ascii="Arial" w:hAnsi="Arial" w:cs="Arial"/>
        </w:rPr>
        <w:t xml:space="preserve">year period is to be calculated retrospectively from the date when the public’s right to use the route is brought </w:t>
      </w:r>
      <w:r w:rsidR="009D4DFB">
        <w:rPr>
          <w:rFonts w:ascii="Arial" w:hAnsi="Arial" w:cs="Arial"/>
        </w:rPr>
        <w:t>into question</w:t>
      </w:r>
      <w:r w:rsidR="008A6E09">
        <w:rPr>
          <w:rFonts w:ascii="Arial" w:hAnsi="Arial" w:cs="Arial"/>
        </w:rPr>
        <w:t>, and I will consider below when that was</w:t>
      </w:r>
      <w:r w:rsidR="009D4DFB">
        <w:rPr>
          <w:rFonts w:ascii="Arial" w:hAnsi="Arial" w:cs="Arial"/>
        </w:rPr>
        <w:t xml:space="preserve">. </w:t>
      </w:r>
      <w:r w:rsidR="003577AB">
        <w:rPr>
          <w:rFonts w:ascii="Arial" w:hAnsi="Arial" w:cs="Arial"/>
        </w:rPr>
        <w:t>I also need to determine whether there was sufficient use of the route over the relevant</w:t>
      </w:r>
      <w:r w:rsidR="001A62E1">
        <w:rPr>
          <w:rFonts w:ascii="Arial" w:hAnsi="Arial" w:cs="Arial"/>
        </w:rPr>
        <w:t xml:space="preserve"> 20</w:t>
      </w:r>
      <w:r w:rsidR="00987DA9">
        <w:rPr>
          <w:rFonts w:ascii="Arial" w:hAnsi="Arial" w:cs="Arial"/>
        </w:rPr>
        <w:t>-</w:t>
      </w:r>
      <w:r w:rsidR="001A62E1">
        <w:rPr>
          <w:rFonts w:ascii="Arial" w:hAnsi="Arial" w:cs="Arial"/>
        </w:rPr>
        <w:t xml:space="preserve">year period </w:t>
      </w:r>
      <w:r w:rsidR="007B11B3">
        <w:rPr>
          <w:rFonts w:ascii="Arial" w:hAnsi="Arial" w:cs="Arial"/>
        </w:rPr>
        <w:t>to show a presumption of dedication</w:t>
      </w:r>
      <w:r w:rsidR="007F2713">
        <w:rPr>
          <w:rFonts w:ascii="Arial" w:hAnsi="Arial" w:cs="Arial"/>
        </w:rPr>
        <w:t xml:space="preserve">, </w:t>
      </w:r>
      <w:r w:rsidR="003577AB">
        <w:rPr>
          <w:rFonts w:ascii="Arial" w:hAnsi="Arial" w:cs="Arial"/>
        </w:rPr>
        <w:t xml:space="preserve">and whether </w:t>
      </w:r>
      <w:r w:rsidR="009F6C64">
        <w:rPr>
          <w:rFonts w:ascii="Arial" w:hAnsi="Arial" w:cs="Arial"/>
        </w:rPr>
        <w:t xml:space="preserve">or not </w:t>
      </w:r>
      <w:r w:rsidR="003577AB">
        <w:rPr>
          <w:rFonts w:ascii="Arial" w:hAnsi="Arial" w:cs="Arial"/>
        </w:rPr>
        <w:t xml:space="preserve">there </w:t>
      </w:r>
      <w:r w:rsidR="009F6C64">
        <w:rPr>
          <w:rFonts w:ascii="Arial" w:hAnsi="Arial" w:cs="Arial"/>
        </w:rPr>
        <w:t xml:space="preserve">is sufficient evidence to show that the landowner did not intend to dedicate the route. </w:t>
      </w:r>
      <w:r w:rsidR="007F2713">
        <w:rPr>
          <w:rFonts w:ascii="Arial" w:hAnsi="Arial" w:cs="Arial"/>
        </w:rPr>
        <w:t xml:space="preserve"> </w:t>
      </w:r>
    </w:p>
    <w:p w14:paraId="7610E37D" w14:textId="5F99BBB5" w:rsidR="00F311F5" w:rsidRPr="00BB3197" w:rsidRDefault="00140472" w:rsidP="00CE4E55">
      <w:pPr>
        <w:pStyle w:val="Style1"/>
        <w:numPr>
          <w:ilvl w:val="0"/>
          <w:numId w:val="4"/>
        </w:numPr>
        <w:tabs>
          <w:tab w:val="clear" w:pos="720"/>
        </w:tabs>
        <w:rPr>
          <w:rFonts w:ascii="Arial" w:hAnsi="Arial" w:cs="Arial"/>
        </w:rPr>
      </w:pPr>
      <w:r w:rsidRPr="00BB3197">
        <w:rPr>
          <w:rFonts w:ascii="Arial" w:hAnsi="Arial" w:cs="Arial"/>
        </w:rPr>
        <w:t>In determining th</w:t>
      </w:r>
      <w:r w:rsidR="00086463">
        <w:rPr>
          <w:rFonts w:ascii="Arial" w:hAnsi="Arial" w:cs="Arial"/>
        </w:rPr>
        <w:t>ose</w:t>
      </w:r>
      <w:r w:rsidRPr="00BB3197">
        <w:rPr>
          <w:rFonts w:ascii="Arial" w:hAnsi="Arial" w:cs="Arial"/>
        </w:rPr>
        <w:t xml:space="preserve"> question</w:t>
      </w:r>
      <w:r w:rsidR="00086463">
        <w:rPr>
          <w:rFonts w:ascii="Arial" w:hAnsi="Arial" w:cs="Arial"/>
        </w:rPr>
        <w:t>s</w:t>
      </w:r>
      <w:r w:rsidRPr="00BB3197">
        <w:rPr>
          <w:rFonts w:ascii="Arial" w:hAnsi="Arial" w:cs="Arial"/>
        </w:rPr>
        <w:t>, section 32 of the 1980 Act provides that I am to take into consi</w:t>
      </w:r>
      <w:r w:rsidR="00F83A26" w:rsidRPr="00BB3197">
        <w:rPr>
          <w:rFonts w:ascii="Arial" w:hAnsi="Arial" w:cs="Arial"/>
        </w:rPr>
        <w:t>deration any map, plan or history of the locality or other relevant document, giving those documents such weight</w:t>
      </w:r>
      <w:r w:rsidR="00375D62" w:rsidRPr="00BB3197">
        <w:rPr>
          <w:rFonts w:ascii="Arial" w:hAnsi="Arial" w:cs="Arial"/>
        </w:rPr>
        <w:t xml:space="preserve"> as is justified by the circumstances</w:t>
      </w:r>
      <w:r w:rsidR="00CE4E55" w:rsidRPr="00BB3197">
        <w:rPr>
          <w:rFonts w:ascii="Arial" w:hAnsi="Arial" w:cs="Arial"/>
        </w:rPr>
        <w:t>.</w:t>
      </w:r>
      <w:r w:rsidR="004850B7" w:rsidRPr="00BB3197">
        <w:rPr>
          <w:rFonts w:ascii="Arial" w:hAnsi="Arial" w:cs="Arial"/>
        </w:rPr>
        <w:t xml:space="preserve"> </w:t>
      </w:r>
      <w:r w:rsidR="006C6874" w:rsidRPr="00BB3197">
        <w:rPr>
          <w:rFonts w:ascii="Arial" w:hAnsi="Arial" w:cs="Arial"/>
        </w:rPr>
        <w:t>A copy of the Order Map is appended to this decision for ease of reference.</w:t>
      </w:r>
    </w:p>
    <w:p w14:paraId="2187B0A6" w14:textId="77777777" w:rsidR="00CE4E55" w:rsidRPr="00195DD6" w:rsidRDefault="00CE4E55" w:rsidP="00CE4E55">
      <w:pPr>
        <w:pStyle w:val="Heading6blackfont"/>
        <w:rPr>
          <w:rFonts w:ascii="Arial" w:hAnsi="Arial" w:cs="Arial"/>
        </w:rPr>
      </w:pPr>
      <w:r w:rsidRPr="00195DD6">
        <w:rPr>
          <w:rFonts w:ascii="Arial" w:hAnsi="Arial" w:cs="Arial"/>
        </w:rPr>
        <w:t>Reasons</w:t>
      </w:r>
    </w:p>
    <w:p w14:paraId="4C117A01" w14:textId="3B278228" w:rsidR="00195DD6" w:rsidRDefault="00CE4E55" w:rsidP="00195DD6">
      <w:pPr>
        <w:pStyle w:val="Style1"/>
        <w:numPr>
          <w:ilvl w:val="0"/>
          <w:numId w:val="4"/>
        </w:numPr>
        <w:tabs>
          <w:tab w:val="clear" w:pos="720"/>
        </w:tabs>
        <w:rPr>
          <w:rFonts w:ascii="Arial" w:hAnsi="Arial" w:cs="Arial"/>
          <w:bCs/>
        </w:rPr>
      </w:pPr>
      <w:r w:rsidRPr="00195DD6">
        <w:rPr>
          <w:rFonts w:ascii="Arial" w:hAnsi="Arial" w:cs="Arial"/>
          <w:bCs/>
        </w:rPr>
        <w:t xml:space="preserve">The </w:t>
      </w:r>
      <w:r w:rsidR="0080276A">
        <w:rPr>
          <w:rFonts w:ascii="Arial" w:hAnsi="Arial" w:cs="Arial"/>
          <w:bCs/>
        </w:rPr>
        <w:t>alleged route</w:t>
      </w:r>
      <w:r w:rsidR="006E2845">
        <w:rPr>
          <w:rFonts w:ascii="Arial" w:hAnsi="Arial" w:cs="Arial"/>
          <w:bCs/>
        </w:rPr>
        <w:t xml:space="preserve"> (‘the Order route’)</w:t>
      </w:r>
      <w:r w:rsidR="0080276A">
        <w:rPr>
          <w:rFonts w:ascii="Arial" w:hAnsi="Arial" w:cs="Arial"/>
          <w:bCs/>
        </w:rPr>
        <w:t xml:space="preserve"> lies across a cleared</w:t>
      </w:r>
      <w:r w:rsidR="00E815A1">
        <w:rPr>
          <w:rFonts w:ascii="Arial" w:hAnsi="Arial" w:cs="Arial"/>
          <w:bCs/>
        </w:rPr>
        <w:t xml:space="preserve"> area </w:t>
      </w:r>
      <w:r w:rsidR="006F01D3">
        <w:rPr>
          <w:rFonts w:ascii="Arial" w:hAnsi="Arial" w:cs="Arial"/>
          <w:bCs/>
        </w:rPr>
        <w:t xml:space="preserve">(‘the site’) </w:t>
      </w:r>
      <w:r w:rsidR="00E815A1">
        <w:rPr>
          <w:rFonts w:ascii="Arial" w:hAnsi="Arial" w:cs="Arial"/>
          <w:bCs/>
        </w:rPr>
        <w:t>lying between Lonsdale Street and Senhouse Street</w:t>
      </w:r>
      <w:r w:rsidR="006B0D15">
        <w:rPr>
          <w:rFonts w:ascii="Arial" w:hAnsi="Arial" w:cs="Arial"/>
          <w:bCs/>
        </w:rPr>
        <w:t xml:space="preserve"> respectively to the west and east. To the south is the side of the </w:t>
      </w:r>
      <w:r w:rsidR="00934C4B">
        <w:rPr>
          <w:rFonts w:ascii="Arial" w:hAnsi="Arial" w:cs="Arial"/>
          <w:bCs/>
        </w:rPr>
        <w:t xml:space="preserve">northernmost </w:t>
      </w:r>
      <w:r w:rsidR="006B0D15">
        <w:rPr>
          <w:rFonts w:ascii="Arial" w:hAnsi="Arial" w:cs="Arial"/>
          <w:bCs/>
        </w:rPr>
        <w:t>end-terraced house facing onto Lonsdale Street</w:t>
      </w:r>
      <w:r w:rsidR="009E7180">
        <w:rPr>
          <w:rFonts w:ascii="Arial" w:hAnsi="Arial" w:cs="Arial"/>
          <w:bCs/>
        </w:rPr>
        <w:t xml:space="preserve">, and to the north lies Station Road. </w:t>
      </w:r>
      <w:r w:rsidR="004A1AC4">
        <w:rPr>
          <w:rFonts w:ascii="Arial" w:hAnsi="Arial" w:cs="Arial"/>
          <w:bCs/>
        </w:rPr>
        <w:t>A paved footway lies to the north, east and west sides of the site</w:t>
      </w:r>
      <w:r w:rsidR="00DD6398">
        <w:rPr>
          <w:rFonts w:ascii="Arial" w:hAnsi="Arial" w:cs="Arial"/>
          <w:bCs/>
        </w:rPr>
        <w:t>, separating it from Lonsdale</w:t>
      </w:r>
      <w:r w:rsidR="00F311F5">
        <w:rPr>
          <w:rFonts w:ascii="Arial" w:hAnsi="Arial" w:cs="Arial"/>
          <w:bCs/>
        </w:rPr>
        <w:t xml:space="preserve"> and</w:t>
      </w:r>
      <w:r w:rsidR="00DD6398">
        <w:rPr>
          <w:rFonts w:ascii="Arial" w:hAnsi="Arial" w:cs="Arial"/>
          <w:bCs/>
        </w:rPr>
        <w:t xml:space="preserve"> Senhouse </w:t>
      </w:r>
      <w:r w:rsidR="00F311F5">
        <w:rPr>
          <w:rFonts w:ascii="Arial" w:hAnsi="Arial" w:cs="Arial"/>
          <w:bCs/>
        </w:rPr>
        <w:t xml:space="preserve">Streets </w:t>
      </w:r>
      <w:r w:rsidR="00DD6398">
        <w:rPr>
          <w:rFonts w:ascii="Arial" w:hAnsi="Arial" w:cs="Arial"/>
          <w:bCs/>
        </w:rPr>
        <w:t xml:space="preserve">and Station Road. That footway has a </w:t>
      </w:r>
      <w:r w:rsidR="00DD6398">
        <w:rPr>
          <w:rFonts w:ascii="Arial" w:hAnsi="Arial" w:cs="Arial"/>
          <w:bCs/>
        </w:rPr>
        <w:lastRenderedPageBreak/>
        <w:t xml:space="preserve">dropped kerb on either side, </w:t>
      </w:r>
      <w:r w:rsidR="00AE506F">
        <w:rPr>
          <w:rFonts w:ascii="Arial" w:hAnsi="Arial" w:cs="Arial"/>
          <w:bCs/>
        </w:rPr>
        <w:t xml:space="preserve">at points </w:t>
      </w:r>
      <w:r w:rsidR="00DD6398">
        <w:rPr>
          <w:rFonts w:ascii="Arial" w:hAnsi="Arial" w:cs="Arial"/>
          <w:bCs/>
        </w:rPr>
        <w:t xml:space="preserve">consistent with each end of the </w:t>
      </w:r>
      <w:r w:rsidR="006E2845">
        <w:rPr>
          <w:rFonts w:ascii="Arial" w:hAnsi="Arial" w:cs="Arial"/>
          <w:bCs/>
        </w:rPr>
        <w:t>Order</w:t>
      </w:r>
      <w:r w:rsidR="00DD6398">
        <w:rPr>
          <w:rFonts w:ascii="Arial" w:hAnsi="Arial" w:cs="Arial"/>
          <w:bCs/>
        </w:rPr>
        <w:t xml:space="preserve"> route. At the time of my visit the site was unfenced and the </w:t>
      </w:r>
      <w:r w:rsidR="006E2845">
        <w:rPr>
          <w:rFonts w:ascii="Arial" w:hAnsi="Arial" w:cs="Arial"/>
          <w:bCs/>
        </w:rPr>
        <w:t xml:space="preserve">Order </w:t>
      </w:r>
      <w:r w:rsidR="00DD6398">
        <w:rPr>
          <w:rFonts w:ascii="Arial" w:hAnsi="Arial" w:cs="Arial"/>
          <w:bCs/>
        </w:rPr>
        <w:t xml:space="preserve">route was evidently walked. The site was mostly laid to grass, with some </w:t>
      </w:r>
      <w:r w:rsidR="006E2845">
        <w:rPr>
          <w:rFonts w:ascii="Arial" w:hAnsi="Arial" w:cs="Arial"/>
          <w:bCs/>
        </w:rPr>
        <w:t>plants and a tree stump to the south of the Order route</w:t>
      </w:r>
      <w:r w:rsidR="00AE0338">
        <w:rPr>
          <w:rFonts w:ascii="Arial" w:hAnsi="Arial" w:cs="Arial"/>
          <w:bCs/>
        </w:rPr>
        <w:t xml:space="preserve"> but otherwise slightly overgrown, save for the </w:t>
      </w:r>
      <w:r w:rsidR="00752F1B">
        <w:rPr>
          <w:rFonts w:ascii="Arial" w:hAnsi="Arial" w:cs="Arial"/>
          <w:bCs/>
        </w:rPr>
        <w:t>trodden path of the Order route</w:t>
      </w:r>
      <w:r w:rsidR="006E2845">
        <w:rPr>
          <w:rFonts w:ascii="Arial" w:hAnsi="Arial" w:cs="Arial"/>
          <w:bCs/>
        </w:rPr>
        <w:t>.</w:t>
      </w:r>
    </w:p>
    <w:p w14:paraId="296E1342" w14:textId="69A688A9" w:rsidR="009E7180" w:rsidRDefault="009E7180" w:rsidP="00195DD6">
      <w:pPr>
        <w:pStyle w:val="Style1"/>
        <w:numPr>
          <w:ilvl w:val="0"/>
          <w:numId w:val="4"/>
        </w:numPr>
        <w:tabs>
          <w:tab w:val="clear" w:pos="720"/>
        </w:tabs>
        <w:rPr>
          <w:rFonts w:ascii="Arial" w:hAnsi="Arial" w:cs="Arial"/>
          <w:bCs/>
        </w:rPr>
      </w:pPr>
      <w:r>
        <w:rPr>
          <w:rFonts w:ascii="Arial" w:hAnsi="Arial" w:cs="Arial"/>
          <w:bCs/>
        </w:rPr>
        <w:t xml:space="preserve">Historic maps show that for some years the site was </w:t>
      </w:r>
      <w:r w:rsidR="004E10E3">
        <w:rPr>
          <w:rFonts w:ascii="Arial" w:hAnsi="Arial" w:cs="Arial"/>
          <w:bCs/>
        </w:rPr>
        <w:t xml:space="preserve">host to 6 </w:t>
      </w:r>
      <w:r w:rsidR="008D62E6">
        <w:rPr>
          <w:rFonts w:ascii="Arial" w:hAnsi="Arial" w:cs="Arial"/>
          <w:bCs/>
        </w:rPr>
        <w:t>properties</w:t>
      </w:r>
      <w:r w:rsidR="004E10E3">
        <w:rPr>
          <w:rFonts w:ascii="Arial" w:hAnsi="Arial" w:cs="Arial"/>
          <w:bCs/>
        </w:rPr>
        <w:t>. Five of those</w:t>
      </w:r>
      <w:r w:rsidR="008D62E6">
        <w:rPr>
          <w:rFonts w:ascii="Arial" w:hAnsi="Arial" w:cs="Arial"/>
          <w:bCs/>
        </w:rPr>
        <w:t xml:space="preserve"> (which I understand from the Council’s planning report, Appendix F, to have been commercial properties)</w:t>
      </w:r>
      <w:r w:rsidR="004E10E3">
        <w:rPr>
          <w:rFonts w:ascii="Arial" w:hAnsi="Arial" w:cs="Arial"/>
          <w:bCs/>
        </w:rPr>
        <w:t xml:space="preserve"> were in a staggered terrace facing onto Station Road</w:t>
      </w:r>
      <w:r w:rsidR="00590F10">
        <w:rPr>
          <w:rFonts w:ascii="Arial" w:hAnsi="Arial" w:cs="Arial"/>
          <w:bCs/>
        </w:rPr>
        <w:t xml:space="preserve">, </w:t>
      </w:r>
      <w:r w:rsidR="00D87A48">
        <w:rPr>
          <w:rFonts w:ascii="Arial" w:hAnsi="Arial" w:cs="Arial"/>
          <w:bCs/>
        </w:rPr>
        <w:t xml:space="preserve">and together </w:t>
      </w:r>
      <w:r w:rsidR="00590F10">
        <w:rPr>
          <w:rFonts w:ascii="Arial" w:hAnsi="Arial" w:cs="Arial"/>
          <w:bCs/>
        </w:rPr>
        <w:t>known as Senhouse Terrace</w:t>
      </w:r>
      <w:r w:rsidR="00DE1243">
        <w:rPr>
          <w:rFonts w:ascii="Arial" w:hAnsi="Arial" w:cs="Arial"/>
          <w:bCs/>
        </w:rPr>
        <w:t>, lying to the north of the Order route</w:t>
      </w:r>
      <w:r w:rsidR="004E10E3">
        <w:rPr>
          <w:rFonts w:ascii="Arial" w:hAnsi="Arial" w:cs="Arial"/>
          <w:bCs/>
        </w:rPr>
        <w:t xml:space="preserve">. The sixth was another terraced </w:t>
      </w:r>
      <w:r w:rsidR="008D62E6">
        <w:rPr>
          <w:rFonts w:ascii="Arial" w:hAnsi="Arial" w:cs="Arial"/>
          <w:bCs/>
        </w:rPr>
        <w:t>property</w:t>
      </w:r>
      <w:r w:rsidR="004F278F">
        <w:rPr>
          <w:rFonts w:ascii="Arial" w:hAnsi="Arial" w:cs="Arial"/>
          <w:bCs/>
        </w:rPr>
        <w:t xml:space="preserve"> to the south of the Order route, adjoining the terrace of properties facing onto Lonsdale Street at its northern end. </w:t>
      </w:r>
      <w:r w:rsidR="00CC7D7C">
        <w:rPr>
          <w:rFonts w:ascii="Arial" w:hAnsi="Arial" w:cs="Arial"/>
          <w:bCs/>
        </w:rPr>
        <w:t>They have all been demolished</w:t>
      </w:r>
      <w:r w:rsidR="00E735BF">
        <w:rPr>
          <w:rFonts w:ascii="Arial" w:hAnsi="Arial" w:cs="Arial"/>
          <w:bCs/>
        </w:rPr>
        <w:t>,</w:t>
      </w:r>
      <w:r w:rsidR="00CC7D7C">
        <w:rPr>
          <w:rFonts w:ascii="Arial" w:hAnsi="Arial" w:cs="Arial"/>
          <w:bCs/>
        </w:rPr>
        <w:t xml:space="preserve"> and I understand that the site was </w:t>
      </w:r>
      <w:r w:rsidR="00E735BF">
        <w:rPr>
          <w:rFonts w:ascii="Arial" w:hAnsi="Arial" w:cs="Arial"/>
          <w:bCs/>
        </w:rPr>
        <w:t xml:space="preserve">at some point </w:t>
      </w:r>
      <w:r w:rsidR="0036100E">
        <w:rPr>
          <w:rFonts w:ascii="Arial" w:hAnsi="Arial" w:cs="Arial"/>
          <w:bCs/>
        </w:rPr>
        <w:t xml:space="preserve">acquired by </w:t>
      </w:r>
      <w:r w:rsidR="00515B6C">
        <w:rPr>
          <w:rFonts w:ascii="Arial" w:hAnsi="Arial" w:cs="Arial"/>
          <w:bCs/>
        </w:rPr>
        <w:t xml:space="preserve">the former Allerdale </w:t>
      </w:r>
      <w:r w:rsidR="0036100E">
        <w:rPr>
          <w:rFonts w:ascii="Arial" w:hAnsi="Arial" w:cs="Arial"/>
          <w:bCs/>
        </w:rPr>
        <w:t xml:space="preserve">Borough Council and </w:t>
      </w:r>
      <w:r w:rsidR="00CC7D7C">
        <w:rPr>
          <w:rFonts w:ascii="Arial" w:hAnsi="Arial" w:cs="Arial"/>
          <w:bCs/>
        </w:rPr>
        <w:t xml:space="preserve">sold </w:t>
      </w:r>
      <w:r w:rsidR="00746E09">
        <w:rPr>
          <w:rFonts w:ascii="Arial" w:hAnsi="Arial" w:cs="Arial"/>
          <w:bCs/>
        </w:rPr>
        <w:t>in 2007</w:t>
      </w:r>
      <w:r w:rsidR="00CC7D7C">
        <w:rPr>
          <w:rFonts w:ascii="Arial" w:hAnsi="Arial" w:cs="Arial"/>
          <w:bCs/>
        </w:rPr>
        <w:t xml:space="preserve"> for redevelopment. </w:t>
      </w:r>
      <w:r w:rsidR="00746E09">
        <w:rPr>
          <w:rFonts w:ascii="Arial" w:hAnsi="Arial" w:cs="Arial"/>
          <w:bCs/>
        </w:rPr>
        <w:t xml:space="preserve">A planning permission was obtained in 2015 and drainage works </w:t>
      </w:r>
      <w:r w:rsidR="002F1853">
        <w:rPr>
          <w:rFonts w:ascii="Arial" w:hAnsi="Arial" w:cs="Arial"/>
          <w:bCs/>
        </w:rPr>
        <w:t xml:space="preserve">in pursuance of that development </w:t>
      </w:r>
      <w:r w:rsidR="00BA4A3E">
        <w:rPr>
          <w:rFonts w:ascii="Arial" w:hAnsi="Arial" w:cs="Arial"/>
          <w:bCs/>
        </w:rPr>
        <w:t xml:space="preserve">are said to have </w:t>
      </w:r>
      <w:r w:rsidR="00746E09">
        <w:rPr>
          <w:rFonts w:ascii="Arial" w:hAnsi="Arial" w:cs="Arial"/>
          <w:bCs/>
        </w:rPr>
        <w:t xml:space="preserve">begun in 2019. </w:t>
      </w:r>
    </w:p>
    <w:p w14:paraId="04F37621" w14:textId="3AA3691E" w:rsidR="00CC7D7C" w:rsidRDefault="00B6199D" w:rsidP="00195DD6">
      <w:pPr>
        <w:pStyle w:val="Style1"/>
        <w:numPr>
          <w:ilvl w:val="0"/>
          <w:numId w:val="4"/>
        </w:numPr>
        <w:tabs>
          <w:tab w:val="clear" w:pos="720"/>
        </w:tabs>
        <w:rPr>
          <w:rFonts w:ascii="Arial" w:hAnsi="Arial" w:cs="Arial"/>
          <w:bCs/>
        </w:rPr>
      </w:pPr>
      <w:r>
        <w:rPr>
          <w:rFonts w:ascii="Arial" w:hAnsi="Arial" w:cs="Arial"/>
          <w:bCs/>
        </w:rPr>
        <w:t>Shown on the old maps</w:t>
      </w:r>
      <w:r w:rsidR="00EF1D3C">
        <w:rPr>
          <w:rFonts w:ascii="Arial" w:hAnsi="Arial" w:cs="Arial"/>
          <w:bCs/>
        </w:rPr>
        <w:t>,</w:t>
      </w:r>
      <w:r>
        <w:rPr>
          <w:rFonts w:ascii="Arial" w:hAnsi="Arial" w:cs="Arial"/>
          <w:bCs/>
        </w:rPr>
        <w:t xml:space="preserve"> b</w:t>
      </w:r>
      <w:r w:rsidR="00CC7D7C">
        <w:rPr>
          <w:rFonts w:ascii="Arial" w:hAnsi="Arial" w:cs="Arial"/>
          <w:bCs/>
        </w:rPr>
        <w:t xml:space="preserve">etween the </w:t>
      </w:r>
      <w:r w:rsidR="00697B49">
        <w:rPr>
          <w:rFonts w:ascii="Arial" w:hAnsi="Arial" w:cs="Arial"/>
          <w:bCs/>
        </w:rPr>
        <w:t>rear of</w:t>
      </w:r>
      <w:r w:rsidR="00181A8B">
        <w:rPr>
          <w:rFonts w:ascii="Arial" w:hAnsi="Arial" w:cs="Arial"/>
          <w:bCs/>
        </w:rPr>
        <w:t xml:space="preserve"> the</w:t>
      </w:r>
      <w:r w:rsidR="00697B49">
        <w:rPr>
          <w:rFonts w:ascii="Arial" w:hAnsi="Arial" w:cs="Arial"/>
          <w:bCs/>
        </w:rPr>
        <w:t xml:space="preserve"> </w:t>
      </w:r>
      <w:r w:rsidR="00181A8B">
        <w:rPr>
          <w:rFonts w:ascii="Arial" w:hAnsi="Arial" w:cs="Arial"/>
          <w:bCs/>
        </w:rPr>
        <w:t>Senhouse Terrace properties</w:t>
      </w:r>
      <w:r w:rsidR="00697B49">
        <w:rPr>
          <w:rFonts w:ascii="Arial" w:hAnsi="Arial" w:cs="Arial"/>
          <w:bCs/>
        </w:rPr>
        <w:t xml:space="preserve"> and the northern side of the former end terrace on Lonsdale Street</w:t>
      </w:r>
      <w:r>
        <w:rPr>
          <w:rFonts w:ascii="Arial" w:hAnsi="Arial" w:cs="Arial"/>
          <w:bCs/>
        </w:rPr>
        <w:t>,</w:t>
      </w:r>
      <w:r w:rsidR="00697B49">
        <w:rPr>
          <w:rFonts w:ascii="Arial" w:hAnsi="Arial" w:cs="Arial"/>
          <w:bCs/>
        </w:rPr>
        <w:t xml:space="preserve"> </w:t>
      </w:r>
      <w:r>
        <w:rPr>
          <w:rFonts w:ascii="Arial" w:hAnsi="Arial" w:cs="Arial"/>
          <w:bCs/>
        </w:rPr>
        <w:t>was</w:t>
      </w:r>
      <w:r w:rsidR="00697B49">
        <w:rPr>
          <w:rFonts w:ascii="Arial" w:hAnsi="Arial" w:cs="Arial"/>
          <w:bCs/>
        </w:rPr>
        <w:t xml:space="preserve"> a short alleyway</w:t>
      </w:r>
      <w:r w:rsidR="00CF335C">
        <w:rPr>
          <w:rFonts w:ascii="Arial" w:hAnsi="Arial" w:cs="Arial"/>
          <w:bCs/>
        </w:rPr>
        <w:t xml:space="preserve"> across the site</w:t>
      </w:r>
      <w:r w:rsidR="00BC6C0E">
        <w:rPr>
          <w:rFonts w:ascii="Arial" w:hAnsi="Arial" w:cs="Arial"/>
          <w:bCs/>
        </w:rPr>
        <w:t>, allowing access between Lonsdale and Senhouse Streets</w:t>
      </w:r>
      <w:r w:rsidR="00A96C7C">
        <w:rPr>
          <w:rFonts w:ascii="Arial" w:hAnsi="Arial" w:cs="Arial"/>
          <w:bCs/>
        </w:rPr>
        <w:t>. This is the</w:t>
      </w:r>
      <w:r>
        <w:rPr>
          <w:rFonts w:ascii="Arial" w:hAnsi="Arial" w:cs="Arial"/>
          <w:bCs/>
        </w:rPr>
        <w:t xml:space="preserve"> Order route, being the</w:t>
      </w:r>
      <w:r w:rsidR="00A96C7C">
        <w:rPr>
          <w:rFonts w:ascii="Arial" w:hAnsi="Arial" w:cs="Arial"/>
          <w:bCs/>
        </w:rPr>
        <w:t xml:space="preserve"> subject of the Council’s Order to record a footpath</w:t>
      </w:r>
      <w:r w:rsidR="00006583">
        <w:rPr>
          <w:rFonts w:ascii="Arial" w:hAnsi="Arial" w:cs="Arial"/>
          <w:bCs/>
        </w:rPr>
        <w:t xml:space="preserve"> and which I am now asked to confirm</w:t>
      </w:r>
      <w:r w:rsidR="00A96C7C">
        <w:rPr>
          <w:rFonts w:ascii="Arial" w:hAnsi="Arial" w:cs="Arial"/>
          <w:bCs/>
        </w:rPr>
        <w:t>.</w:t>
      </w:r>
    </w:p>
    <w:p w14:paraId="5173744F" w14:textId="34D5BCCC" w:rsidR="00AC7E00" w:rsidRPr="00AC7E00" w:rsidRDefault="00AC7E00" w:rsidP="00AC7E00">
      <w:pPr>
        <w:pStyle w:val="Style1"/>
        <w:ind w:left="0" w:firstLine="0"/>
        <w:rPr>
          <w:rFonts w:ascii="Arial" w:hAnsi="Arial" w:cs="Arial"/>
          <w:bCs/>
          <w:i/>
          <w:iCs/>
        </w:rPr>
      </w:pPr>
      <w:r>
        <w:rPr>
          <w:rFonts w:ascii="Arial" w:hAnsi="Arial" w:cs="Arial"/>
          <w:bCs/>
          <w:i/>
          <w:iCs/>
        </w:rPr>
        <w:t>Bringing into question</w:t>
      </w:r>
    </w:p>
    <w:p w14:paraId="65555510" w14:textId="062C6CD7" w:rsidR="00AC7E00" w:rsidRDefault="00AC7E00" w:rsidP="00195DD6">
      <w:pPr>
        <w:pStyle w:val="Style1"/>
        <w:numPr>
          <w:ilvl w:val="0"/>
          <w:numId w:val="4"/>
        </w:numPr>
        <w:tabs>
          <w:tab w:val="clear" w:pos="720"/>
        </w:tabs>
        <w:rPr>
          <w:rFonts w:ascii="Arial" w:hAnsi="Arial" w:cs="Arial"/>
          <w:bCs/>
        </w:rPr>
      </w:pPr>
      <w:r>
        <w:rPr>
          <w:rFonts w:ascii="Arial" w:hAnsi="Arial" w:cs="Arial"/>
          <w:bCs/>
        </w:rPr>
        <w:t>Accounts differ about exactly when the use was brought into question, with some users saying that a fence was erected across the route by the existing owner in around 2008</w:t>
      </w:r>
      <w:r w:rsidR="00EF2EEE">
        <w:rPr>
          <w:rFonts w:ascii="Arial" w:hAnsi="Arial" w:cs="Arial"/>
          <w:bCs/>
        </w:rPr>
        <w:t>. The more common recollection however is of the site being fenced in around 2004. This would</w:t>
      </w:r>
      <w:r w:rsidR="004D2807">
        <w:rPr>
          <w:rFonts w:ascii="Arial" w:hAnsi="Arial" w:cs="Arial"/>
          <w:bCs/>
        </w:rPr>
        <w:t>, I understand,</w:t>
      </w:r>
      <w:r w:rsidR="00EF2EEE">
        <w:rPr>
          <w:rFonts w:ascii="Arial" w:hAnsi="Arial" w:cs="Arial"/>
          <w:bCs/>
        </w:rPr>
        <w:t xml:space="preserve"> be consistent</w:t>
      </w:r>
      <w:r w:rsidR="004D2807">
        <w:rPr>
          <w:rFonts w:ascii="Arial" w:hAnsi="Arial" w:cs="Arial"/>
          <w:bCs/>
        </w:rPr>
        <w:t xml:space="preserve"> with the acquisition of the site by the </w:t>
      </w:r>
      <w:r w:rsidR="006E6A4B">
        <w:rPr>
          <w:rFonts w:ascii="Arial" w:hAnsi="Arial" w:cs="Arial"/>
          <w:bCs/>
        </w:rPr>
        <w:t xml:space="preserve">Borough </w:t>
      </w:r>
      <w:r w:rsidR="004D2807">
        <w:rPr>
          <w:rFonts w:ascii="Arial" w:hAnsi="Arial" w:cs="Arial"/>
          <w:bCs/>
        </w:rPr>
        <w:t xml:space="preserve">Council and </w:t>
      </w:r>
      <w:r w:rsidR="008C69F6">
        <w:rPr>
          <w:rFonts w:ascii="Arial" w:hAnsi="Arial" w:cs="Arial"/>
          <w:bCs/>
        </w:rPr>
        <w:t>the properties’</w:t>
      </w:r>
      <w:r w:rsidR="004D2807">
        <w:rPr>
          <w:rFonts w:ascii="Arial" w:hAnsi="Arial" w:cs="Arial"/>
          <w:bCs/>
        </w:rPr>
        <w:t xml:space="preserve"> demolition prior to</w:t>
      </w:r>
      <w:r w:rsidR="008C69F6">
        <w:rPr>
          <w:rFonts w:ascii="Arial" w:hAnsi="Arial" w:cs="Arial"/>
          <w:bCs/>
        </w:rPr>
        <w:t xml:space="preserve"> the site</w:t>
      </w:r>
      <w:r w:rsidR="004D2807">
        <w:rPr>
          <w:rFonts w:ascii="Arial" w:hAnsi="Arial" w:cs="Arial"/>
          <w:bCs/>
        </w:rPr>
        <w:t xml:space="preserve"> being offered for sale. </w:t>
      </w:r>
      <w:r w:rsidR="00FF346F">
        <w:rPr>
          <w:rFonts w:ascii="Arial" w:hAnsi="Arial" w:cs="Arial"/>
          <w:bCs/>
        </w:rPr>
        <w:t xml:space="preserve">Fencing has been removed in more recent years but on the available evidence I agree with the Council that the use will have been brought into question by the erection of fencing in 2004. </w:t>
      </w:r>
      <w:r w:rsidR="00D110F2">
        <w:rPr>
          <w:rFonts w:ascii="Arial" w:hAnsi="Arial" w:cs="Arial"/>
          <w:bCs/>
        </w:rPr>
        <w:t>Hence the relevant period for consideration is 1984 – 2004.</w:t>
      </w:r>
    </w:p>
    <w:p w14:paraId="3F9E4189" w14:textId="3E26D243" w:rsidR="00D110F2" w:rsidRPr="00D110F2" w:rsidRDefault="00D110F2" w:rsidP="00D110F2">
      <w:pPr>
        <w:pStyle w:val="Style1"/>
        <w:ind w:left="0" w:firstLine="0"/>
        <w:rPr>
          <w:rFonts w:ascii="Arial" w:hAnsi="Arial" w:cs="Arial"/>
          <w:bCs/>
          <w:i/>
          <w:iCs/>
        </w:rPr>
      </w:pPr>
      <w:r>
        <w:rPr>
          <w:rFonts w:ascii="Arial" w:hAnsi="Arial" w:cs="Arial"/>
          <w:bCs/>
          <w:i/>
          <w:iCs/>
        </w:rPr>
        <w:t>The evidence of users</w:t>
      </w:r>
    </w:p>
    <w:p w14:paraId="128D395D" w14:textId="1E64643A" w:rsidR="00A96C7C" w:rsidRDefault="00D110F2" w:rsidP="00195DD6">
      <w:pPr>
        <w:pStyle w:val="Style1"/>
        <w:numPr>
          <w:ilvl w:val="0"/>
          <w:numId w:val="4"/>
        </w:numPr>
        <w:tabs>
          <w:tab w:val="clear" w:pos="720"/>
        </w:tabs>
        <w:rPr>
          <w:rFonts w:ascii="Arial" w:hAnsi="Arial" w:cs="Arial"/>
          <w:bCs/>
        </w:rPr>
      </w:pPr>
      <w:r>
        <w:rPr>
          <w:rFonts w:ascii="Arial" w:hAnsi="Arial" w:cs="Arial"/>
          <w:bCs/>
        </w:rPr>
        <w:t>The</w:t>
      </w:r>
      <w:r w:rsidR="00A96C7C">
        <w:rPr>
          <w:rFonts w:ascii="Arial" w:hAnsi="Arial" w:cs="Arial"/>
          <w:bCs/>
        </w:rPr>
        <w:t xml:space="preserve"> application is accompanied by a number of user evidence forms </w:t>
      </w:r>
      <w:r w:rsidR="00BF37B1">
        <w:rPr>
          <w:rFonts w:ascii="Arial" w:hAnsi="Arial" w:cs="Arial"/>
          <w:bCs/>
        </w:rPr>
        <w:t xml:space="preserve">(‘UEFs’) </w:t>
      </w:r>
      <w:r w:rsidR="00A96C7C">
        <w:rPr>
          <w:rFonts w:ascii="Arial" w:hAnsi="Arial" w:cs="Arial"/>
          <w:bCs/>
        </w:rPr>
        <w:t xml:space="preserve">all attesting to the </w:t>
      </w:r>
      <w:r w:rsidR="00793A60">
        <w:rPr>
          <w:rFonts w:ascii="Arial" w:hAnsi="Arial" w:cs="Arial"/>
          <w:bCs/>
        </w:rPr>
        <w:t xml:space="preserve">unchallenged </w:t>
      </w:r>
      <w:r w:rsidR="00A96C7C">
        <w:rPr>
          <w:rFonts w:ascii="Arial" w:hAnsi="Arial" w:cs="Arial"/>
          <w:bCs/>
        </w:rPr>
        <w:t>use of the route over many years</w:t>
      </w:r>
      <w:r w:rsidR="005259FC">
        <w:rPr>
          <w:rFonts w:ascii="Arial" w:hAnsi="Arial" w:cs="Arial"/>
          <w:bCs/>
        </w:rPr>
        <w:t>.</w:t>
      </w:r>
      <w:r w:rsidR="00F22802">
        <w:rPr>
          <w:rFonts w:ascii="Arial" w:hAnsi="Arial" w:cs="Arial"/>
          <w:bCs/>
        </w:rPr>
        <w:t xml:space="preserve"> </w:t>
      </w:r>
      <w:r w:rsidR="003D100F">
        <w:rPr>
          <w:rFonts w:ascii="Arial" w:hAnsi="Arial" w:cs="Arial"/>
          <w:bCs/>
        </w:rPr>
        <w:t xml:space="preserve">Each of the ten users states </w:t>
      </w:r>
      <w:r w:rsidR="00CC64B1">
        <w:rPr>
          <w:rFonts w:ascii="Arial" w:hAnsi="Arial" w:cs="Arial"/>
          <w:bCs/>
        </w:rPr>
        <w:t xml:space="preserve">more or less </w:t>
      </w:r>
      <w:r w:rsidR="003D100F">
        <w:rPr>
          <w:rFonts w:ascii="Arial" w:hAnsi="Arial" w:cs="Arial"/>
          <w:bCs/>
        </w:rPr>
        <w:t>daily use over a period of at least 20 years before 2004</w:t>
      </w:r>
      <w:r w:rsidR="00BF0F11">
        <w:rPr>
          <w:rFonts w:ascii="Arial" w:hAnsi="Arial" w:cs="Arial"/>
          <w:bCs/>
        </w:rPr>
        <w:t>. For some users this period of use was considerably longer</w:t>
      </w:r>
      <w:r w:rsidR="00785EED">
        <w:rPr>
          <w:rFonts w:ascii="Arial" w:hAnsi="Arial" w:cs="Arial"/>
          <w:bCs/>
        </w:rPr>
        <w:t>. All users were on foot, and none saw</w:t>
      </w:r>
      <w:r w:rsidR="008C3ADE">
        <w:rPr>
          <w:rFonts w:ascii="Arial" w:hAnsi="Arial" w:cs="Arial"/>
          <w:bCs/>
        </w:rPr>
        <w:t xml:space="preserve"> any prohibitive notices or were given </w:t>
      </w:r>
      <w:r w:rsidR="00C26ED1">
        <w:rPr>
          <w:rFonts w:ascii="Arial" w:hAnsi="Arial" w:cs="Arial"/>
          <w:bCs/>
        </w:rPr>
        <w:t xml:space="preserve">any </w:t>
      </w:r>
      <w:r w:rsidR="008C3ADE">
        <w:rPr>
          <w:rFonts w:ascii="Arial" w:hAnsi="Arial" w:cs="Arial"/>
          <w:bCs/>
        </w:rPr>
        <w:t>permission to use the route.</w:t>
      </w:r>
      <w:r w:rsidR="00BF0F11">
        <w:rPr>
          <w:rFonts w:ascii="Arial" w:hAnsi="Arial" w:cs="Arial"/>
          <w:bCs/>
        </w:rPr>
        <w:t xml:space="preserve"> </w:t>
      </w:r>
      <w:r w:rsidR="00F22802">
        <w:rPr>
          <w:rFonts w:ascii="Arial" w:hAnsi="Arial" w:cs="Arial"/>
          <w:bCs/>
        </w:rPr>
        <w:t>Some further statements have been made in response to consultation on the Order</w:t>
      </w:r>
      <w:r w:rsidR="0032124A">
        <w:rPr>
          <w:rFonts w:ascii="Arial" w:hAnsi="Arial" w:cs="Arial"/>
          <w:bCs/>
        </w:rPr>
        <w:t xml:space="preserve">, </w:t>
      </w:r>
      <w:r w:rsidR="00BF37B1">
        <w:rPr>
          <w:rFonts w:ascii="Arial" w:hAnsi="Arial" w:cs="Arial"/>
          <w:bCs/>
        </w:rPr>
        <w:t>which are generally supportive of the information given by the UEFs</w:t>
      </w:r>
      <w:r w:rsidR="00F22802">
        <w:rPr>
          <w:rFonts w:ascii="Arial" w:hAnsi="Arial" w:cs="Arial"/>
          <w:bCs/>
        </w:rPr>
        <w:t>.</w:t>
      </w:r>
      <w:r w:rsidR="005259FC">
        <w:rPr>
          <w:rFonts w:ascii="Arial" w:hAnsi="Arial" w:cs="Arial"/>
          <w:bCs/>
        </w:rPr>
        <w:t xml:space="preserve"> </w:t>
      </w:r>
    </w:p>
    <w:p w14:paraId="793FE5A9" w14:textId="0C4E47D5" w:rsidR="00D27A66" w:rsidRDefault="00793A60" w:rsidP="003D100F">
      <w:pPr>
        <w:pStyle w:val="Style1"/>
        <w:numPr>
          <w:ilvl w:val="0"/>
          <w:numId w:val="4"/>
        </w:numPr>
        <w:tabs>
          <w:tab w:val="clear" w:pos="720"/>
        </w:tabs>
        <w:rPr>
          <w:rFonts w:ascii="Arial" w:hAnsi="Arial" w:cs="Arial"/>
          <w:bCs/>
        </w:rPr>
      </w:pPr>
      <w:r>
        <w:rPr>
          <w:rFonts w:ascii="Arial" w:hAnsi="Arial" w:cs="Arial"/>
          <w:bCs/>
        </w:rPr>
        <w:t>On the other side of Station Road lies a school</w:t>
      </w:r>
      <w:r w:rsidR="006A3B2F">
        <w:rPr>
          <w:rFonts w:ascii="Arial" w:hAnsi="Arial" w:cs="Arial"/>
          <w:bCs/>
        </w:rPr>
        <w:t>, St Michael’s Infants</w:t>
      </w:r>
      <w:r>
        <w:rPr>
          <w:rFonts w:ascii="Arial" w:hAnsi="Arial" w:cs="Arial"/>
          <w:bCs/>
        </w:rPr>
        <w:t xml:space="preserve">. </w:t>
      </w:r>
      <w:r w:rsidR="002145BA">
        <w:rPr>
          <w:rFonts w:ascii="Arial" w:hAnsi="Arial" w:cs="Arial"/>
          <w:bCs/>
        </w:rPr>
        <w:t>To its</w:t>
      </w:r>
      <w:r>
        <w:rPr>
          <w:rFonts w:ascii="Arial" w:hAnsi="Arial" w:cs="Arial"/>
          <w:bCs/>
        </w:rPr>
        <w:t xml:space="preserve"> east</w:t>
      </w:r>
      <w:r w:rsidR="009D4B88">
        <w:rPr>
          <w:rFonts w:ascii="Arial" w:hAnsi="Arial" w:cs="Arial"/>
          <w:bCs/>
        </w:rPr>
        <w:t xml:space="preserve">, Station Road and Senhouse Street meet at a crossroads which is now a busy road junction. </w:t>
      </w:r>
      <w:r w:rsidR="00D6385D">
        <w:rPr>
          <w:rFonts w:ascii="Arial" w:hAnsi="Arial" w:cs="Arial"/>
          <w:bCs/>
        </w:rPr>
        <w:t xml:space="preserve">Lonsdale Street also accesses Station Road slightly east of the school entrance. </w:t>
      </w:r>
      <w:r w:rsidR="009D4B88">
        <w:rPr>
          <w:rFonts w:ascii="Arial" w:hAnsi="Arial" w:cs="Arial"/>
          <w:bCs/>
        </w:rPr>
        <w:t xml:space="preserve">Users </w:t>
      </w:r>
      <w:r w:rsidR="00F45796">
        <w:rPr>
          <w:rFonts w:ascii="Arial" w:hAnsi="Arial" w:cs="Arial"/>
          <w:bCs/>
        </w:rPr>
        <w:t>refer</w:t>
      </w:r>
      <w:r w:rsidR="009D4B88">
        <w:rPr>
          <w:rFonts w:ascii="Arial" w:hAnsi="Arial" w:cs="Arial"/>
          <w:bCs/>
        </w:rPr>
        <w:t xml:space="preserve"> to the Order route </w:t>
      </w:r>
      <w:r w:rsidR="005A7EED">
        <w:rPr>
          <w:rFonts w:ascii="Arial" w:hAnsi="Arial" w:cs="Arial"/>
          <w:bCs/>
        </w:rPr>
        <w:t xml:space="preserve">having been used </w:t>
      </w:r>
      <w:r w:rsidR="009D4B88">
        <w:rPr>
          <w:rFonts w:ascii="Arial" w:hAnsi="Arial" w:cs="Arial"/>
          <w:bCs/>
        </w:rPr>
        <w:t xml:space="preserve">as a </w:t>
      </w:r>
      <w:r w:rsidR="00D438EB">
        <w:rPr>
          <w:rFonts w:ascii="Arial" w:hAnsi="Arial" w:cs="Arial"/>
          <w:bCs/>
        </w:rPr>
        <w:t xml:space="preserve">pedestrian </w:t>
      </w:r>
      <w:r w:rsidR="009D4B88">
        <w:rPr>
          <w:rFonts w:ascii="Arial" w:hAnsi="Arial" w:cs="Arial"/>
          <w:bCs/>
        </w:rPr>
        <w:t>short cut to the school</w:t>
      </w:r>
      <w:r w:rsidR="005F1B7E">
        <w:rPr>
          <w:rFonts w:ascii="Arial" w:hAnsi="Arial" w:cs="Arial"/>
          <w:bCs/>
        </w:rPr>
        <w:t xml:space="preserve"> </w:t>
      </w:r>
      <w:r w:rsidR="004C6686">
        <w:rPr>
          <w:rFonts w:ascii="Arial" w:hAnsi="Arial" w:cs="Arial"/>
          <w:bCs/>
        </w:rPr>
        <w:t>from Senhouse Street</w:t>
      </w:r>
      <w:r w:rsidR="00B21F29">
        <w:rPr>
          <w:rFonts w:ascii="Arial" w:hAnsi="Arial" w:cs="Arial"/>
          <w:bCs/>
        </w:rPr>
        <w:t>,</w:t>
      </w:r>
      <w:r w:rsidR="004C6686">
        <w:rPr>
          <w:rFonts w:ascii="Arial" w:hAnsi="Arial" w:cs="Arial"/>
          <w:bCs/>
        </w:rPr>
        <w:t xml:space="preserve"> </w:t>
      </w:r>
      <w:r w:rsidR="005F1B7E">
        <w:rPr>
          <w:rFonts w:ascii="Arial" w:hAnsi="Arial" w:cs="Arial"/>
          <w:bCs/>
        </w:rPr>
        <w:t xml:space="preserve">which avoided </w:t>
      </w:r>
      <w:r w:rsidR="00C365D4">
        <w:rPr>
          <w:rFonts w:ascii="Arial" w:hAnsi="Arial" w:cs="Arial"/>
          <w:bCs/>
        </w:rPr>
        <w:t xml:space="preserve">the children </w:t>
      </w:r>
      <w:r w:rsidR="005F1B7E">
        <w:rPr>
          <w:rFonts w:ascii="Arial" w:hAnsi="Arial" w:cs="Arial"/>
          <w:bCs/>
        </w:rPr>
        <w:t xml:space="preserve">having to cross </w:t>
      </w:r>
      <w:r w:rsidR="00D152BC">
        <w:rPr>
          <w:rFonts w:ascii="Arial" w:hAnsi="Arial" w:cs="Arial"/>
          <w:bCs/>
        </w:rPr>
        <w:t>the roads</w:t>
      </w:r>
      <w:r w:rsidR="005F1B7E">
        <w:rPr>
          <w:rFonts w:ascii="Arial" w:hAnsi="Arial" w:cs="Arial"/>
          <w:bCs/>
        </w:rPr>
        <w:t xml:space="preserve"> in the vicinity of the </w:t>
      </w:r>
      <w:r w:rsidR="00D152BC">
        <w:rPr>
          <w:rFonts w:ascii="Arial" w:hAnsi="Arial" w:cs="Arial"/>
          <w:bCs/>
        </w:rPr>
        <w:t>j</w:t>
      </w:r>
      <w:r w:rsidR="005F1B7E">
        <w:rPr>
          <w:rFonts w:ascii="Arial" w:hAnsi="Arial" w:cs="Arial"/>
          <w:bCs/>
        </w:rPr>
        <w:t>unction</w:t>
      </w:r>
      <w:r w:rsidR="00D152BC">
        <w:rPr>
          <w:rFonts w:ascii="Arial" w:hAnsi="Arial" w:cs="Arial"/>
          <w:bCs/>
        </w:rPr>
        <w:t>s</w:t>
      </w:r>
      <w:r w:rsidR="00C365D4">
        <w:rPr>
          <w:rFonts w:ascii="Arial" w:hAnsi="Arial" w:cs="Arial"/>
          <w:bCs/>
        </w:rPr>
        <w:t>.</w:t>
      </w:r>
      <w:r w:rsidR="004C6686">
        <w:rPr>
          <w:rFonts w:ascii="Arial" w:hAnsi="Arial" w:cs="Arial"/>
          <w:bCs/>
        </w:rPr>
        <w:t xml:space="preserve"> </w:t>
      </w:r>
      <w:r w:rsidR="002F1853">
        <w:rPr>
          <w:rFonts w:ascii="Arial" w:hAnsi="Arial" w:cs="Arial"/>
          <w:bCs/>
        </w:rPr>
        <w:t>At the time of my visit I saw that a pedestrian crossing</w:t>
      </w:r>
      <w:r w:rsidR="00D27A66">
        <w:rPr>
          <w:rFonts w:ascii="Arial" w:hAnsi="Arial" w:cs="Arial"/>
          <w:bCs/>
        </w:rPr>
        <w:t xml:space="preserve"> in front of the school entrance</w:t>
      </w:r>
      <w:r w:rsidR="002F1853">
        <w:rPr>
          <w:rFonts w:ascii="Arial" w:hAnsi="Arial" w:cs="Arial"/>
          <w:bCs/>
        </w:rPr>
        <w:t xml:space="preserve"> lies across Station Road</w:t>
      </w:r>
      <w:r w:rsidR="00342483">
        <w:rPr>
          <w:rFonts w:ascii="Arial" w:hAnsi="Arial" w:cs="Arial"/>
          <w:bCs/>
        </w:rPr>
        <w:t>,</w:t>
      </w:r>
      <w:r w:rsidR="002F1853">
        <w:rPr>
          <w:rFonts w:ascii="Arial" w:hAnsi="Arial" w:cs="Arial"/>
          <w:bCs/>
        </w:rPr>
        <w:t xml:space="preserve"> to the </w:t>
      </w:r>
      <w:r w:rsidR="00D27A66">
        <w:rPr>
          <w:rFonts w:ascii="Arial" w:hAnsi="Arial" w:cs="Arial"/>
          <w:bCs/>
        </w:rPr>
        <w:t xml:space="preserve">west of the site. </w:t>
      </w:r>
      <w:r w:rsidR="00C612C3">
        <w:rPr>
          <w:rFonts w:ascii="Arial" w:hAnsi="Arial" w:cs="Arial"/>
          <w:bCs/>
        </w:rPr>
        <w:t>On the approach to this from Senhouse Street, using the Order route</w:t>
      </w:r>
      <w:r w:rsidR="00562194">
        <w:rPr>
          <w:rFonts w:ascii="Arial" w:hAnsi="Arial" w:cs="Arial"/>
          <w:bCs/>
        </w:rPr>
        <w:t xml:space="preserve"> would be an obvious route because it would avoid having to cross any of the junctions at </w:t>
      </w:r>
      <w:r w:rsidR="00421D38">
        <w:rPr>
          <w:rFonts w:ascii="Arial" w:hAnsi="Arial" w:cs="Arial"/>
          <w:bCs/>
        </w:rPr>
        <w:t xml:space="preserve">or adjoining </w:t>
      </w:r>
      <w:r w:rsidR="00562194">
        <w:rPr>
          <w:rFonts w:ascii="Arial" w:hAnsi="Arial" w:cs="Arial"/>
          <w:bCs/>
        </w:rPr>
        <w:t xml:space="preserve">Station Road </w:t>
      </w:r>
      <w:r w:rsidR="00421D38">
        <w:rPr>
          <w:rFonts w:ascii="Arial" w:hAnsi="Arial" w:cs="Arial"/>
          <w:bCs/>
        </w:rPr>
        <w:t xml:space="preserve">before reaching the pedestrian crossing. </w:t>
      </w:r>
      <w:r w:rsidR="00FB5A32">
        <w:rPr>
          <w:rFonts w:ascii="Arial" w:hAnsi="Arial" w:cs="Arial"/>
          <w:bCs/>
        </w:rPr>
        <w:t>I</w:t>
      </w:r>
      <w:r w:rsidR="00421D38">
        <w:rPr>
          <w:rFonts w:ascii="Arial" w:hAnsi="Arial" w:cs="Arial"/>
          <w:bCs/>
        </w:rPr>
        <w:t>t is not clear when the pedestrian crossing was installed</w:t>
      </w:r>
      <w:r w:rsidR="003906C3">
        <w:rPr>
          <w:rFonts w:ascii="Arial" w:hAnsi="Arial" w:cs="Arial"/>
          <w:bCs/>
        </w:rPr>
        <w:t>, although it is situated at what appears to be a point with good visibility in either direction</w:t>
      </w:r>
      <w:r w:rsidR="00D115C4">
        <w:rPr>
          <w:rFonts w:ascii="Arial" w:hAnsi="Arial" w:cs="Arial"/>
          <w:bCs/>
        </w:rPr>
        <w:t xml:space="preserve"> and</w:t>
      </w:r>
      <w:r w:rsidR="00C01AD6">
        <w:rPr>
          <w:rFonts w:ascii="Arial" w:hAnsi="Arial" w:cs="Arial"/>
          <w:bCs/>
        </w:rPr>
        <w:t xml:space="preserve"> so a natural point to cross, rather than closer to the junctions. Use of the Order route </w:t>
      </w:r>
      <w:r w:rsidR="00686F01">
        <w:rPr>
          <w:rFonts w:ascii="Arial" w:hAnsi="Arial" w:cs="Arial"/>
          <w:bCs/>
        </w:rPr>
        <w:t xml:space="preserve">would be </w:t>
      </w:r>
      <w:r w:rsidR="00FF4CC2">
        <w:rPr>
          <w:rFonts w:ascii="Arial" w:hAnsi="Arial" w:cs="Arial"/>
          <w:bCs/>
        </w:rPr>
        <w:t xml:space="preserve">naturally </w:t>
      </w:r>
      <w:r w:rsidR="00686F01">
        <w:rPr>
          <w:rFonts w:ascii="Arial" w:hAnsi="Arial" w:cs="Arial"/>
          <w:bCs/>
        </w:rPr>
        <w:t>consistent with this crossing point</w:t>
      </w:r>
      <w:r w:rsidR="00A26A70">
        <w:rPr>
          <w:rFonts w:ascii="Arial" w:hAnsi="Arial" w:cs="Arial"/>
          <w:bCs/>
        </w:rPr>
        <w:t xml:space="preserve">, for pedestrians coming from </w:t>
      </w:r>
      <w:r w:rsidR="00127791">
        <w:rPr>
          <w:rFonts w:ascii="Arial" w:hAnsi="Arial" w:cs="Arial"/>
          <w:bCs/>
        </w:rPr>
        <w:t>the</w:t>
      </w:r>
      <w:r w:rsidR="00A26A70">
        <w:rPr>
          <w:rFonts w:ascii="Arial" w:hAnsi="Arial" w:cs="Arial"/>
          <w:bCs/>
        </w:rPr>
        <w:t xml:space="preserve"> south east</w:t>
      </w:r>
      <w:r w:rsidR="003906C3">
        <w:rPr>
          <w:rFonts w:ascii="Arial" w:hAnsi="Arial" w:cs="Arial"/>
          <w:bCs/>
        </w:rPr>
        <w:t>.</w:t>
      </w:r>
      <w:r w:rsidR="00FB5A32">
        <w:rPr>
          <w:rFonts w:ascii="Arial" w:hAnsi="Arial" w:cs="Arial"/>
          <w:bCs/>
        </w:rPr>
        <w:t xml:space="preserve"> </w:t>
      </w:r>
      <w:r w:rsidR="003906C3">
        <w:rPr>
          <w:rFonts w:ascii="Arial" w:hAnsi="Arial" w:cs="Arial"/>
          <w:bCs/>
        </w:rPr>
        <w:t xml:space="preserve"> </w:t>
      </w:r>
    </w:p>
    <w:p w14:paraId="6B453E82" w14:textId="68191167" w:rsidR="006A3B2F" w:rsidRDefault="004C6686" w:rsidP="003D100F">
      <w:pPr>
        <w:pStyle w:val="Style1"/>
        <w:numPr>
          <w:ilvl w:val="0"/>
          <w:numId w:val="4"/>
        </w:numPr>
        <w:tabs>
          <w:tab w:val="clear" w:pos="720"/>
        </w:tabs>
        <w:rPr>
          <w:rFonts w:ascii="Arial" w:hAnsi="Arial" w:cs="Arial"/>
          <w:bCs/>
        </w:rPr>
      </w:pPr>
      <w:r>
        <w:rPr>
          <w:rFonts w:ascii="Arial" w:hAnsi="Arial" w:cs="Arial"/>
          <w:bCs/>
        </w:rPr>
        <w:t>One user</w:t>
      </w:r>
      <w:r w:rsidR="00922A6F">
        <w:rPr>
          <w:rFonts w:ascii="Arial" w:hAnsi="Arial" w:cs="Arial"/>
          <w:bCs/>
        </w:rPr>
        <w:t xml:space="preserve"> also said that </w:t>
      </w:r>
      <w:r w:rsidR="00AF6115">
        <w:rPr>
          <w:rFonts w:ascii="Arial" w:hAnsi="Arial" w:cs="Arial"/>
          <w:bCs/>
        </w:rPr>
        <w:t>the Order</w:t>
      </w:r>
      <w:r w:rsidR="00922A6F">
        <w:rPr>
          <w:rFonts w:ascii="Arial" w:hAnsi="Arial" w:cs="Arial"/>
          <w:bCs/>
        </w:rPr>
        <w:t xml:space="preserve"> </w:t>
      </w:r>
      <w:r w:rsidR="0002242A">
        <w:rPr>
          <w:rFonts w:ascii="Arial" w:hAnsi="Arial" w:cs="Arial"/>
          <w:bCs/>
        </w:rPr>
        <w:t xml:space="preserve">route </w:t>
      </w:r>
      <w:r w:rsidR="00922A6F">
        <w:rPr>
          <w:rFonts w:ascii="Arial" w:hAnsi="Arial" w:cs="Arial"/>
          <w:bCs/>
        </w:rPr>
        <w:t>was easier to use t</w:t>
      </w:r>
      <w:r w:rsidR="0023045D">
        <w:rPr>
          <w:rFonts w:ascii="Arial" w:hAnsi="Arial" w:cs="Arial"/>
          <w:bCs/>
        </w:rPr>
        <w:t xml:space="preserve">han walking up the hill, because of the incline on the Lonsdale side. </w:t>
      </w:r>
      <w:r w:rsidR="00AF6115">
        <w:rPr>
          <w:rFonts w:ascii="Arial" w:hAnsi="Arial" w:cs="Arial"/>
          <w:bCs/>
        </w:rPr>
        <w:t xml:space="preserve">I </w:t>
      </w:r>
      <w:r w:rsidR="00785D90">
        <w:rPr>
          <w:rFonts w:ascii="Arial" w:hAnsi="Arial" w:cs="Arial"/>
          <w:bCs/>
        </w:rPr>
        <w:t xml:space="preserve">observed </w:t>
      </w:r>
      <w:r w:rsidR="00AF6115">
        <w:rPr>
          <w:rFonts w:ascii="Arial" w:hAnsi="Arial" w:cs="Arial"/>
          <w:bCs/>
        </w:rPr>
        <w:t xml:space="preserve">that the land rises to the north </w:t>
      </w:r>
      <w:r w:rsidR="00342483">
        <w:rPr>
          <w:rFonts w:ascii="Arial" w:hAnsi="Arial" w:cs="Arial"/>
          <w:bCs/>
        </w:rPr>
        <w:t>west</w:t>
      </w:r>
      <w:r w:rsidR="00AF6115">
        <w:rPr>
          <w:rFonts w:ascii="Arial" w:hAnsi="Arial" w:cs="Arial"/>
          <w:bCs/>
        </w:rPr>
        <w:t xml:space="preserve"> of the </w:t>
      </w:r>
      <w:r w:rsidR="00AF6115">
        <w:rPr>
          <w:rFonts w:ascii="Arial" w:hAnsi="Arial" w:cs="Arial"/>
          <w:bCs/>
        </w:rPr>
        <w:lastRenderedPageBreak/>
        <w:t xml:space="preserve">site, meaning that a pedestrian journey towards the town centre from </w:t>
      </w:r>
      <w:r w:rsidR="00F140CA">
        <w:rPr>
          <w:rFonts w:ascii="Arial" w:hAnsi="Arial" w:cs="Arial"/>
          <w:bCs/>
        </w:rPr>
        <w:t xml:space="preserve">York Road would be more level if using the Order route </w:t>
      </w:r>
      <w:r w:rsidR="00552DC5">
        <w:rPr>
          <w:rFonts w:ascii="Arial" w:hAnsi="Arial" w:cs="Arial"/>
          <w:bCs/>
        </w:rPr>
        <w:t xml:space="preserve">and the top of Senhouse Street </w:t>
      </w:r>
      <w:r w:rsidR="00F140CA">
        <w:rPr>
          <w:rFonts w:ascii="Arial" w:hAnsi="Arial" w:cs="Arial"/>
          <w:bCs/>
        </w:rPr>
        <w:t xml:space="preserve">to Station Road, rather than </w:t>
      </w:r>
      <w:r w:rsidR="006A3B2F">
        <w:rPr>
          <w:rFonts w:ascii="Arial" w:hAnsi="Arial" w:cs="Arial"/>
          <w:bCs/>
        </w:rPr>
        <w:t>taking the short incline up Lonsdale Street</w:t>
      </w:r>
      <w:r w:rsidR="00E65C4C">
        <w:rPr>
          <w:rFonts w:ascii="Arial" w:hAnsi="Arial" w:cs="Arial"/>
          <w:bCs/>
        </w:rPr>
        <w:t xml:space="preserve"> and then turning right. Again, using the Order route would avoid crossing Lonsdale or Senhouse Streets at the junction points with Station Road, and the Order route would be a natural one to take. </w:t>
      </w:r>
      <w:r w:rsidR="006A3B2F">
        <w:rPr>
          <w:rFonts w:ascii="Arial" w:hAnsi="Arial" w:cs="Arial"/>
          <w:bCs/>
        </w:rPr>
        <w:t xml:space="preserve"> </w:t>
      </w:r>
    </w:p>
    <w:p w14:paraId="1A93CA65" w14:textId="430C0B2B" w:rsidR="00004D2B" w:rsidRDefault="00EA56F8" w:rsidP="003D100F">
      <w:pPr>
        <w:pStyle w:val="Style1"/>
        <w:numPr>
          <w:ilvl w:val="0"/>
          <w:numId w:val="4"/>
        </w:numPr>
        <w:tabs>
          <w:tab w:val="clear" w:pos="720"/>
        </w:tabs>
        <w:rPr>
          <w:rFonts w:ascii="Arial" w:hAnsi="Arial" w:cs="Arial"/>
          <w:bCs/>
        </w:rPr>
      </w:pPr>
      <w:r>
        <w:rPr>
          <w:rFonts w:ascii="Arial" w:hAnsi="Arial" w:cs="Arial"/>
          <w:bCs/>
        </w:rPr>
        <w:t xml:space="preserve">One user from Senhouse Street described it not only as a route to St Michael’s School but also as a route to the church, local shops, public houses and railway station, </w:t>
      </w:r>
      <w:r w:rsidR="008D3987">
        <w:rPr>
          <w:rFonts w:ascii="Arial" w:hAnsi="Arial" w:cs="Arial"/>
          <w:bCs/>
        </w:rPr>
        <w:t xml:space="preserve">and as a short cut to houses on Lonsdale Street, Clay Street, Milburn Street, Harcourt Street and Fletcher Street. </w:t>
      </w:r>
    </w:p>
    <w:p w14:paraId="3F0D8EB0" w14:textId="77777777" w:rsidR="003F2304" w:rsidRDefault="004E7CD9" w:rsidP="003D100F">
      <w:pPr>
        <w:pStyle w:val="Style1"/>
        <w:numPr>
          <w:ilvl w:val="0"/>
          <w:numId w:val="4"/>
        </w:numPr>
        <w:tabs>
          <w:tab w:val="clear" w:pos="720"/>
        </w:tabs>
        <w:rPr>
          <w:rFonts w:ascii="Arial" w:hAnsi="Arial" w:cs="Arial"/>
          <w:bCs/>
        </w:rPr>
      </w:pPr>
      <w:r>
        <w:rPr>
          <w:rFonts w:ascii="Arial" w:hAnsi="Arial" w:cs="Arial"/>
          <w:bCs/>
        </w:rPr>
        <w:t>One user describes it as having been used by wagons</w:t>
      </w:r>
      <w:r w:rsidR="0091249D">
        <w:rPr>
          <w:rFonts w:ascii="Arial" w:hAnsi="Arial" w:cs="Arial"/>
          <w:bCs/>
        </w:rPr>
        <w:t xml:space="preserve"> to deliver to the rear of the shops on Senhouse Terrace, and that every property on the former Senhouse Terrace had a back entrance onto the path. </w:t>
      </w:r>
      <w:r w:rsidR="00FE2D44">
        <w:rPr>
          <w:rFonts w:ascii="Arial" w:hAnsi="Arial" w:cs="Arial"/>
          <w:bCs/>
        </w:rPr>
        <w:t xml:space="preserve">That </w:t>
      </w:r>
      <w:r w:rsidR="00F47F67">
        <w:rPr>
          <w:rFonts w:ascii="Arial" w:hAnsi="Arial" w:cs="Arial"/>
          <w:bCs/>
        </w:rPr>
        <w:t xml:space="preserve">is consistent with the dropped kerbs at either end, and </w:t>
      </w:r>
      <w:r w:rsidR="00FE2D44">
        <w:rPr>
          <w:rFonts w:ascii="Arial" w:hAnsi="Arial" w:cs="Arial"/>
          <w:bCs/>
        </w:rPr>
        <w:t>suggests that there were no physical barriers to use by the wider public.</w:t>
      </w:r>
      <w:r w:rsidR="00C47980">
        <w:rPr>
          <w:rFonts w:ascii="Arial" w:hAnsi="Arial" w:cs="Arial"/>
          <w:bCs/>
        </w:rPr>
        <w:t xml:space="preserve"> </w:t>
      </w:r>
    </w:p>
    <w:p w14:paraId="5FD8B3D4" w14:textId="56DD4345" w:rsidR="00370A97" w:rsidRDefault="007E3D3D" w:rsidP="003D100F">
      <w:pPr>
        <w:pStyle w:val="Style1"/>
        <w:numPr>
          <w:ilvl w:val="0"/>
          <w:numId w:val="4"/>
        </w:numPr>
        <w:tabs>
          <w:tab w:val="clear" w:pos="720"/>
        </w:tabs>
        <w:rPr>
          <w:rFonts w:ascii="Arial" w:hAnsi="Arial" w:cs="Arial"/>
          <w:bCs/>
        </w:rPr>
      </w:pPr>
      <w:r>
        <w:rPr>
          <w:rFonts w:ascii="Arial" w:hAnsi="Arial" w:cs="Arial"/>
          <w:bCs/>
        </w:rPr>
        <w:t xml:space="preserve">I have no reason to doubt the veracity of any of these accounts. </w:t>
      </w:r>
      <w:r w:rsidR="00C47980">
        <w:rPr>
          <w:rFonts w:ascii="Arial" w:hAnsi="Arial" w:cs="Arial"/>
          <w:bCs/>
        </w:rPr>
        <w:t>A number of users have appended a map of the area to their user forms</w:t>
      </w:r>
      <w:r w:rsidR="00A34DF9">
        <w:rPr>
          <w:rFonts w:ascii="Arial" w:hAnsi="Arial" w:cs="Arial"/>
          <w:bCs/>
        </w:rPr>
        <w:t>. These are generally the 25 inch Ordnance Survey map</w:t>
      </w:r>
      <w:r w:rsidR="005940FB">
        <w:rPr>
          <w:rFonts w:ascii="Arial" w:hAnsi="Arial" w:cs="Arial"/>
          <w:bCs/>
        </w:rPr>
        <w:t xml:space="preserve"> of 1841-1952 depicting a clear gap</w:t>
      </w:r>
      <w:r w:rsidR="002E1872">
        <w:rPr>
          <w:rFonts w:ascii="Arial" w:hAnsi="Arial" w:cs="Arial"/>
          <w:bCs/>
        </w:rPr>
        <w:t>, or alleyway,</w:t>
      </w:r>
      <w:r w:rsidR="005940FB">
        <w:rPr>
          <w:rFonts w:ascii="Arial" w:hAnsi="Arial" w:cs="Arial"/>
          <w:bCs/>
        </w:rPr>
        <w:t xml:space="preserve"> between the rear of Senhouse Terrace and the </w:t>
      </w:r>
      <w:r w:rsidR="002A7F3C">
        <w:rPr>
          <w:rFonts w:ascii="Arial" w:hAnsi="Arial" w:cs="Arial"/>
          <w:bCs/>
        </w:rPr>
        <w:t xml:space="preserve">former </w:t>
      </w:r>
      <w:r w:rsidR="005940FB">
        <w:rPr>
          <w:rFonts w:ascii="Arial" w:hAnsi="Arial" w:cs="Arial"/>
          <w:bCs/>
        </w:rPr>
        <w:t xml:space="preserve">northern end of </w:t>
      </w:r>
      <w:r w:rsidR="002A7F3C">
        <w:rPr>
          <w:rFonts w:ascii="Arial" w:hAnsi="Arial" w:cs="Arial"/>
          <w:bCs/>
        </w:rPr>
        <w:t xml:space="preserve">the </w:t>
      </w:r>
      <w:r w:rsidR="005940FB">
        <w:rPr>
          <w:rFonts w:ascii="Arial" w:hAnsi="Arial" w:cs="Arial"/>
          <w:bCs/>
        </w:rPr>
        <w:t>Lonsdale</w:t>
      </w:r>
      <w:r w:rsidR="009A74C3">
        <w:rPr>
          <w:rFonts w:ascii="Arial" w:hAnsi="Arial" w:cs="Arial"/>
          <w:bCs/>
        </w:rPr>
        <w:t xml:space="preserve"> Street</w:t>
      </w:r>
      <w:r w:rsidR="002A7F3C">
        <w:rPr>
          <w:rFonts w:ascii="Arial" w:hAnsi="Arial" w:cs="Arial"/>
          <w:bCs/>
        </w:rPr>
        <w:t xml:space="preserve"> terrace</w:t>
      </w:r>
      <w:r w:rsidR="0092162B">
        <w:rPr>
          <w:rFonts w:ascii="Arial" w:hAnsi="Arial" w:cs="Arial"/>
          <w:bCs/>
        </w:rPr>
        <w:t>,</w:t>
      </w:r>
      <w:r w:rsidR="005B174A">
        <w:rPr>
          <w:rFonts w:ascii="Arial" w:hAnsi="Arial" w:cs="Arial"/>
          <w:bCs/>
        </w:rPr>
        <w:t xml:space="preserve"> correspond</w:t>
      </w:r>
      <w:r w:rsidR="002E1872">
        <w:rPr>
          <w:rFonts w:ascii="Arial" w:hAnsi="Arial" w:cs="Arial"/>
          <w:bCs/>
        </w:rPr>
        <w:t>ing</w:t>
      </w:r>
      <w:r w:rsidR="005B174A">
        <w:rPr>
          <w:rFonts w:ascii="Arial" w:hAnsi="Arial" w:cs="Arial"/>
          <w:bCs/>
        </w:rPr>
        <w:t xml:space="preserve"> with the Order route</w:t>
      </w:r>
      <w:r w:rsidR="00BB09E3">
        <w:rPr>
          <w:rFonts w:ascii="Arial" w:hAnsi="Arial" w:cs="Arial"/>
          <w:bCs/>
        </w:rPr>
        <w:t xml:space="preserve">. </w:t>
      </w:r>
    </w:p>
    <w:p w14:paraId="36AE6472" w14:textId="6B144701" w:rsidR="004E7CD9" w:rsidRDefault="00370A97" w:rsidP="003D100F">
      <w:pPr>
        <w:pStyle w:val="Style1"/>
        <w:numPr>
          <w:ilvl w:val="0"/>
          <w:numId w:val="4"/>
        </w:numPr>
        <w:tabs>
          <w:tab w:val="clear" w:pos="720"/>
        </w:tabs>
        <w:rPr>
          <w:rFonts w:ascii="Arial" w:hAnsi="Arial" w:cs="Arial"/>
          <w:bCs/>
        </w:rPr>
      </w:pPr>
      <w:r>
        <w:rPr>
          <w:rFonts w:ascii="Arial" w:hAnsi="Arial" w:cs="Arial"/>
          <w:bCs/>
        </w:rPr>
        <w:t>Considering those maps, c</w:t>
      </w:r>
      <w:r w:rsidR="00BB09E3">
        <w:rPr>
          <w:rFonts w:ascii="Arial" w:hAnsi="Arial" w:cs="Arial"/>
          <w:bCs/>
        </w:rPr>
        <w:t>ombined with the evidence of users</w:t>
      </w:r>
      <w:r w:rsidR="00AB7257">
        <w:rPr>
          <w:rFonts w:ascii="Arial" w:hAnsi="Arial" w:cs="Arial"/>
          <w:bCs/>
        </w:rPr>
        <w:t>, I am satisfied that the route was available to the public to use over a period of many years, and that it was so used including during the 20</w:t>
      </w:r>
      <w:r w:rsidR="00882F20">
        <w:rPr>
          <w:rFonts w:ascii="Arial" w:hAnsi="Arial" w:cs="Arial"/>
          <w:bCs/>
        </w:rPr>
        <w:t>-</w:t>
      </w:r>
      <w:r w:rsidR="00AB7257">
        <w:rPr>
          <w:rFonts w:ascii="Arial" w:hAnsi="Arial" w:cs="Arial"/>
          <w:bCs/>
        </w:rPr>
        <w:t xml:space="preserve">year period </w:t>
      </w:r>
      <w:r w:rsidR="006446BF">
        <w:rPr>
          <w:rFonts w:ascii="Arial" w:hAnsi="Arial" w:cs="Arial"/>
          <w:bCs/>
        </w:rPr>
        <w:t xml:space="preserve">up </w:t>
      </w:r>
      <w:r w:rsidR="00AB7257">
        <w:rPr>
          <w:rFonts w:ascii="Arial" w:hAnsi="Arial" w:cs="Arial"/>
          <w:bCs/>
        </w:rPr>
        <w:t>to 2004</w:t>
      </w:r>
      <w:r w:rsidR="002E1872">
        <w:rPr>
          <w:rFonts w:ascii="Arial" w:hAnsi="Arial" w:cs="Arial"/>
          <w:bCs/>
        </w:rPr>
        <w:t xml:space="preserve"> without challenge or controversy</w:t>
      </w:r>
      <w:r w:rsidR="006446BF">
        <w:rPr>
          <w:rFonts w:ascii="Arial" w:hAnsi="Arial" w:cs="Arial"/>
          <w:bCs/>
        </w:rPr>
        <w:t>.</w:t>
      </w:r>
      <w:r w:rsidR="004861F2">
        <w:rPr>
          <w:rFonts w:ascii="Arial" w:hAnsi="Arial" w:cs="Arial"/>
          <w:bCs/>
        </w:rPr>
        <w:t xml:space="preserve"> That is to say that I am satisfied that there is sufficient evidence to demonstrate, on the balance of probability, that the use took place</w:t>
      </w:r>
      <w:r w:rsidR="007261E1">
        <w:rPr>
          <w:rFonts w:ascii="Arial" w:hAnsi="Arial" w:cs="Arial"/>
          <w:bCs/>
        </w:rPr>
        <w:t xml:space="preserve"> over the relevant 20</w:t>
      </w:r>
      <w:r w:rsidR="00987DA9">
        <w:rPr>
          <w:rFonts w:ascii="Arial" w:hAnsi="Arial" w:cs="Arial"/>
          <w:bCs/>
        </w:rPr>
        <w:t>-</w:t>
      </w:r>
      <w:r w:rsidR="007261E1">
        <w:rPr>
          <w:rFonts w:ascii="Arial" w:hAnsi="Arial" w:cs="Arial"/>
          <w:bCs/>
        </w:rPr>
        <w:t xml:space="preserve">year period without interruption, permission, force or secrecy so as to demonstrate a presumption of dedication. </w:t>
      </w:r>
    </w:p>
    <w:p w14:paraId="51A3F059" w14:textId="7757CC9D" w:rsidR="006446BF" w:rsidRPr="006446BF" w:rsidRDefault="00CC1B30" w:rsidP="006446BF">
      <w:pPr>
        <w:pStyle w:val="Style1"/>
        <w:ind w:left="0" w:firstLine="0"/>
        <w:rPr>
          <w:rFonts w:ascii="Arial" w:hAnsi="Arial" w:cs="Arial"/>
          <w:bCs/>
          <w:i/>
          <w:iCs/>
        </w:rPr>
      </w:pPr>
      <w:r>
        <w:rPr>
          <w:rFonts w:ascii="Arial" w:hAnsi="Arial" w:cs="Arial"/>
          <w:bCs/>
          <w:i/>
          <w:iCs/>
        </w:rPr>
        <w:t>Whether no intention to dedicate</w:t>
      </w:r>
    </w:p>
    <w:p w14:paraId="16C20318" w14:textId="710D88BF" w:rsidR="00916E6E" w:rsidRPr="005415FF" w:rsidRDefault="00030C48" w:rsidP="00195DD6">
      <w:pPr>
        <w:pStyle w:val="Style1"/>
        <w:numPr>
          <w:ilvl w:val="0"/>
          <w:numId w:val="4"/>
        </w:numPr>
        <w:tabs>
          <w:tab w:val="clear" w:pos="720"/>
        </w:tabs>
        <w:rPr>
          <w:rFonts w:ascii="Arial" w:hAnsi="Arial" w:cs="Arial"/>
          <w:bCs/>
        </w:rPr>
      </w:pPr>
      <w:r w:rsidRPr="005415FF">
        <w:rPr>
          <w:rFonts w:ascii="Arial" w:hAnsi="Arial" w:cs="Arial"/>
          <w:bCs/>
        </w:rPr>
        <w:t xml:space="preserve">During the relevant time period for analysis, 1984 – 2004, </w:t>
      </w:r>
      <w:r w:rsidR="005415FF" w:rsidRPr="005415FF">
        <w:rPr>
          <w:rFonts w:ascii="Arial" w:hAnsi="Arial" w:cs="Arial"/>
          <w:bCs/>
        </w:rPr>
        <w:t xml:space="preserve">no evidence has been supplied to demonstrate a lack of intention by the landowner to dedicate the route. </w:t>
      </w:r>
      <w:r w:rsidR="00916E6E" w:rsidRPr="005415FF">
        <w:rPr>
          <w:rFonts w:ascii="Arial" w:hAnsi="Arial" w:cs="Arial"/>
          <w:bCs/>
        </w:rPr>
        <w:t>Because of the time period relied upon</w:t>
      </w:r>
      <w:r w:rsidR="002D39BA" w:rsidRPr="005415FF">
        <w:rPr>
          <w:rFonts w:ascii="Arial" w:hAnsi="Arial" w:cs="Arial"/>
          <w:bCs/>
        </w:rPr>
        <w:t xml:space="preserve"> before the use was brought into question</w:t>
      </w:r>
      <w:r w:rsidR="00916E6E" w:rsidRPr="005415FF">
        <w:rPr>
          <w:rFonts w:ascii="Arial" w:hAnsi="Arial" w:cs="Arial"/>
          <w:bCs/>
        </w:rPr>
        <w:t xml:space="preserve">, expiring in 2004, the matters raised by the sole objector to the Order do not raise any </w:t>
      </w:r>
      <w:r w:rsidR="004B7DDC" w:rsidRPr="005415FF">
        <w:rPr>
          <w:rFonts w:ascii="Arial" w:hAnsi="Arial" w:cs="Arial"/>
          <w:bCs/>
        </w:rPr>
        <w:t xml:space="preserve">factual </w:t>
      </w:r>
      <w:r w:rsidR="002E41EC" w:rsidRPr="005415FF">
        <w:rPr>
          <w:rFonts w:ascii="Arial" w:hAnsi="Arial" w:cs="Arial"/>
          <w:bCs/>
        </w:rPr>
        <w:t>issue</w:t>
      </w:r>
      <w:r w:rsidR="00916E6E" w:rsidRPr="005415FF">
        <w:rPr>
          <w:rFonts w:ascii="Arial" w:hAnsi="Arial" w:cs="Arial"/>
          <w:bCs/>
        </w:rPr>
        <w:t xml:space="preserve">s that are relevant to my considerations. This is because </w:t>
      </w:r>
      <w:r w:rsidR="007441B5" w:rsidRPr="005415FF">
        <w:rPr>
          <w:rFonts w:ascii="Arial" w:hAnsi="Arial" w:cs="Arial"/>
          <w:bCs/>
        </w:rPr>
        <w:t>the points made about fencing and use of the route all relate to a period of time</w:t>
      </w:r>
      <w:r w:rsidR="001D6682" w:rsidRPr="005415FF">
        <w:rPr>
          <w:rFonts w:ascii="Arial" w:hAnsi="Arial" w:cs="Arial"/>
          <w:bCs/>
        </w:rPr>
        <w:t xml:space="preserve"> later than the relevant 20-year period falling to be considered under the relevant legislation</w:t>
      </w:r>
      <w:r w:rsidR="007441B5" w:rsidRPr="005415FF">
        <w:rPr>
          <w:rFonts w:ascii="Arial" w:hAnsi="Arial" w:cs="Arial"/>
          <w:bCs/>
        </w:rPr>
        <w:t>. I understand the objector to have acquired the site in 2007</w:t>
      </w:r>
      <w:r w:rsidR="00043B49" w:rsidRPr="005415FF">
        <w:rPr>
          <w:rFonts w:ascii="Arial" w:hAnsi="Arial" w:cs="Arial"/>
          <w:bCs/>
        </w:rPr>
        <w:t>, and no facts relating to the relevant 20-year period</w:t>
      </w:r>
      <w:r w:rsidR="00B73CDD" w:rsidRPr="005415FF">
        <w:rPr>
          <w:rFonts w:ascii="Arial" w:hAnsi="Arial" w:cs="Arial"/>
          <w:bCs/>
        </w:rPr>
        <w:t>, up to 2004,</w:t>
      </w:r>
      <w:r w:rsidR="00043B49" w:rsidRPr="005415FF">
        <w:rPr>
          <w:rFonts w:ascii="Arial" w:hAnsi="Arial" w:cs="Arial"/>
          <w:bCs/>
        </w:rPr>
        <w:t xml:space="preserve"> are given</w:t>
      </w:r>
      <w:r w:rsidR="001D6682" w:rsidRPr="005415FF">
        <w:rPr>
          <w:rFonts w:ascii="Arial" w:hAnsi="Arial" w:cs="Arial"/>
          <w:bCs/>
        </w:rPr>
        <w:t>.</w:t>
      </w:r>
    </w:p>
    <w:p w14:paraId="5387CE6C" w14:textId="75B23ECB" w:rsidR="00E47309" w:rsidRDefault="00E47309" w:rsidP="00195DD6">
      <w:pPr>
        <w:pStyle w:val="Style1"/>
        <w:numPr>
          <w:ilvl w:val="0"/>
          <w:numId w:val="4"/>
        </w:numPr>
        <w:tabs>
          <w:tab w:val="clear" w:pos="720"/>
        </w:tabs>
        <w:rPr>
          <w:rFonts w:ascii="Arial" w:hAnsi="Arial" w:cs="Arial"/>
          <w:bCs/>
        </w:rPr>
      </w:pPr>
      <w:r>
        <w:rPr>
          <w:rFonts w:ascii="Arial" w:hAnsi="Arial" w:cs="Arial"/>
          <w:bCs/>
        </w:rPr>
        <w:t>As to the merits of the case, these are not before me for consideration</w:t>
      </w:r>
      <w:r w:rsidR="00600B30">
        <w:rPr>
          <w:rFonts w:ascii="Arial" w:hAnsi="Arial" w:cs="Arial"/>
          <w:bCs/>
        </w:rPr>
        <w:t>. The</w:t>
      </w:r>
      <w:r w:rsidR="009D518F">
        <w:rPr>
          <w:rFonts w:ascii="Arial" w:hAnsi="Arial" w:cs="Arial"/>
          <w:bCs/>
        </w:rPr>
        <w:t xml:space="preserve"> issue here is not to ‘create’ a right of way, but to decide whether or not one already exists. </w:t>
      </w:r>
    </w:p>
    <w:p w14:paraId="14BE89AA" w14:textId="4F6E0C2A" w:rsidR="0087516E" w:rsidRDefault="00F032E0" w:rsidP="00195DD6">
      <w:pPr>
        <w:pStyle w:val="Style1"/>
        <w:numPr>
          <w:ilvl w:val="0"/>
          <w:numId w:val="4"/>
        </w:numPr>
        <w:tabs>
          <w:tab w:val="clear" w:pos="720"/>
        </w:tabs>
        <w:rPr>
          <w:rFonts w:ascii="Arial" w:hAnsi="Arial" w:cs="Arial"/>
          <w:bCs/>
        </w:rPr>
      </w:pPr>
      <w:r>
        <w:rPr>
          <w:rFonts w:ascii="Arial" w:hAnsi="Arial" w:cs="Arial"/>
          <w:bCs/>
        </w:rPr>
        <w:t>It is the case that the site was said to be sold free of incumbrances</w:t>
      </w:r>
      <w:r w:rsidR="00302645">
        <w:rPr>
          <w:rFonts w:ascii="Arial" w:hAnsi="Arial" w:cs="Arial"/>
          <w:bCs/>
        </w:rPr>
        <w:t xml:space="preserve">. I am not told what particular requisitions for information were made </w:t>
      </w:r>
      <w:r w:rsidR="006742EE">
        <w:rPr>
          <w:rFonts w:ascii="Arial" w:hAnsi="Arial" w:cs="Arial"/>
          <w:bCs/>
        </w:rPr>
        <w:t xml:space="preserve">of the seller </w:t>
      </w:r>
      <w:r w:rsidR="0080710C">
        <w:rPr>
          <w:rFonts w:ascii="Arial" w:hAnsi="Arial" w:cs="Arial"/>
          <w:bCs/>
        </w:rPr>
        <w:t xml:space="preserve">(rather than of the Council’s Land Charges Department) </w:t>
      </w:r>
      <w:r w:rsidR="00302645">
        <w:rPr>
          <w:rFonts w:ascii="Arial" w:hAnsi="Arial" w:cs="Arial"/>
          <w:bCs/>
        </w:rPr>
        <w:t>at the time of sale, although</w:t>
      </w:r>
      <w:r w:rsidR="00340A64">
        <w:rPr>
          <w:rFonts w:ascii="Arial" w:hAnsi="Arial" w:cs="Arial"/>
          <w:bCs/>
        </w:rPr>
        <w:t xml:space="preserve"> the absence of the Order route from the Definitive Map</w:t>
      </w:r>
      <w:r w:rsidR="00D83EDD">
        <w:rPr>
          <w:rFonts w:ascii="Arial" w:hAnsi="Arial" w:cs="Arial"/>
          <w:bCs/>
        </w:rPr>
        <w:t xml:space="preserve"> and Statement</w:t>
      </w:r>
      <w:r w:rsidR="00DD76BA">
        <w:rPr>
          <w:rFonts w:ascii="Arial" w:hAnsi="Arial" w:cs="Arial"/>
          <w:bCs/>
        </w:rPr>
        <w:t xml:space="preserve"> at the time</w:t>
      </w:r>
      <w:r w:rsidR="00340A64">
        <w:rPr>
          <w:rFonts w:ascii="Arial" w:hAnsi="Arial" w:cs="Arial"/>
          <w:bCs/>
        </w:rPr>
        <w:t xml:space="preserve"> means that a</w:t>
      </w:r>
      <w:r w:rsidR="001865BD">
        <w:rPr>
          <w:rFonts w:ascii="Arial" w:hAnsi="Arial" w:cs="Arial"/>
          <w:bCs/>
        </w:rPr>
        <w:t xml:space="preserve"> recorded</w:t>
      </w:r>
      <w:r w:rsidR="00340A64">
        <w:rPr>
          <w:rFonts w:ascii="Arial" w:hAnsi="Arial" w:cs="Arial"/>
          <w:bCs/>
        </w:rPr>
        <w:t xml:space="preserve"> right of way would not have been revealed</w:t>
      </w:r>
      <w:r w:rsidR="00874DF7">
        <w:rPr>
          <w:rFonts w:ascii="Arial" w:hAnsi="Arial" w:cs="Arial"/>
          <w:bCs/>
        </w:rPr>
        <w:t xml:space="preserve"> </w:t>
      </w:r>
      <w:r w:rsidR="00CD2616">
        <w:rPr>
          <w:rFonts w:ascii="Arial" w:hAnsi="Arial" w:cs="Arial"/>
          <w:bCs/>
        </w:rPr>
        <w:t xml:space="preserve">to the purchaser </w:t>
      </w:r>
      <w:r w:rsidR="00874DF7">
        <w:rPr>
          <w:rFonts w:ascii="Arial" w:hAnsi="Arial" w:cs="Arial"/>
          <w:bCs/>
        </w:rPr>
        <w:t>whatever enquiries were</w:t>
      </w:r>
      <w:r w:rsidR="007B0B03">
        <w:rPr>
          <w:rFonts w:ascii="Arial" w:hAnsi="Arial" w:cs="Arial"/>
          <w:bCs/>
        </w:rPr>
        <w:t xml:space="preserve"> in fact</w:t>
      </w:r>
      <w:r w:rsidR="00874DF7">
        <w:rPr>
          <w:rFonts w:ascii="Arial" w:hAnsi="Arial" w:cs="Arial"/>
          <w:bCs/>
        </w:rPr>
        <w:t xml:space="preserve"> made</w:t>
      </w:r>
      <w:r w:rsidR="00340A64">
        <w:rPr>
          <w:rFonts w:ascii="Arial" w:hAnsi="Arial" w:cs="Arial"/>
          <w:bCs/>
        </w:rPr>
        <w:t>. Ordinarily, the risk of</w:t>
      </w:r>
      <w:r w:rsidR="007B0B03">
        <w:rPr>
          <w:rFonts w:ascii="Arial" w:hAnsi="Arial" w:cs="Arial"/>
          <w:bCs/>
        </w:rPr>
        <w:t xml:space="preserve"> land bearing any</w:t>
      </w:r>
      <w:r w:rsidR="00340A64">
        <w:rPr>
          <w:rFonts w:ascii="Arial" w:hAnsi="Arial" w:cs="Arial"/>
          <w:bCs/>
        </w:rPr>
        <w:t xml:space="preserve"> such </w:t>
      </w:r>
      <w:r w:rsidR="004A4B94">
        <w:rPr>
          <w:rFonts w:ascii="Arial" w:hAnsi="Arial" w:cs="Arial"/>
          <w:bCs/>
        </w:rPr>
        <w:t>overriding interests</w:t>
      </w:r>
      <w:r w:rsidR="00B873F0">
        <w:rPr>
          <w:rFonts w:ascii="Arial" w:hAnsi="Arial" w:cs="Arial"/>
          <w:bCs/>
        </w:rPr>
        <w:t xml:space="preserve"> might be the subject of warranties or indemnities </w:t>
      </w:r>
      <w:r w:rsidR="004B4762">
        <w:rPr>
          <w:rFonts w:ascii="Arial" w:hAnsi="Arial" w:cs="Arial"/>
          <w:bCs/>
        </w:rPr>
        <w:t xml:space="preserve">given by the seller </w:t>
      </w:r>
      <w:r w:rsidR="00B873F0">
        <w:rPr>
          <w:rFonts w:ascii="Arial" w:hAnsi="Arial" w:cs="Arial"/>
          <w:bCs/>
        </w:rPr>
        <w:t xml:space="preserve">upon </w:t>
      </w:r>
      <w:r w:rsidR="00E969B9">
        <w:rPr>
          <w:rFonts w:ascii="Arial" w:hAnsi="Arial" w:cs="Arial"/>
          <w:bCs/>
        </w:rPr>
        <w:t>its</w:t>
      </w:r>
      <w:r w:rsidR="00874DF7">
        <w:rPr>
          <w:rFonts w:ascii="Arial" w:hAnsi="Arial" w:cs="Arial"/>
          <w:bCs/>
        </w:rPr>
        <w:t xml:space="preserve"> </w:t>
      </w:r>
      <w:r w:rsidR="00E969B9">
        <w:rPr>
          <w:rFonts w:ascii="Arial" w:hAnsi="Arial" w:cs="Arial"/>
          <w:bCs/>
        </w:rPr>
        <w:t>transfer</w:t>
      </w:r>
      <w:r w:rsidR="00B873F0">
        <w:rPr>
          <w:rFonts w:ascii="Arial" w:hAnsi="Arial" w:cs="Arial"/>
          <w:bCs/>
        </w:rPr>
        <w:t xml:space="preserve">, or </w:t>
      </w:r>
      <w:r w:rsidR="004B4762">
        <w:rPr>
          <w:rFonts w:ascii="Arial" w:hAnsi="Arial" w:cs="Arial"/>
          <w:bCs/>
        </w:rPr>
        <w:t xml:space="preserve">might </w:t>
      </w:r>
      <w:r w:rsidR="00B873F0">
        <w:rPr>
          <w:rFonts w:ascii="Arial" w:hAnsi="Arial" w:cs="Arial"/>
          <w:bCs/>
        </w:rPr>
        <w:t xml:space="preserve">otherwise </w:t>
      </w:r>
      <w:r w:rsidR="00F237D8">
        <w:rPr>
          <w:rFonts w:ascii="Arial" w:hAnsi="Arial" w:cs="Arial"/>
          <w:bCs/>
        </w:rPr>
        <w:t xml:space="preserve">be </w:t>
      </w:r>
      <w:r w:rsidR="00B873F0">
        <w:rPr>
          <w:rFonts w:ascii="Arial" w:hAnsi="Arial" w:cs="Arial"/>
          <w:bCs/>
        </w:rPr>
        <w:t xml:space="preserve">discoverable </w:t>
      </w:r>
      <w:r w:rsidR="006B6BD2">
        <w:rPr>
          <w:rFonts w:ascii="Arial" w:hAnsi="Arial" w:cs="Arial"/>
          <w:bCs/>
        </w:rPr>
        <w:t>upon inspection</w:t>
      </w:r>
      <w:r w:rsidR="00DD76BA">
        <w:rPr>
          <w:rFonts w:ascii="Arial" w:hAnsi="Arial" w:cs="Arial"/>
          <w:bCs/>
        </w:rPr>
        <w:t xml:space="preserve"> by a purchaser</w:t>
      </w:r>
      <w:r w:rsidR="006B6BD2">
        <w:rPr>
          <w:rFonts w:ascii="Arial" w:hAnsi="Arial" w:cs="Arial"/>
          <w:bCs/>
        </w:rPr>
        <w:t>.</w:t>
      </w:r>
      <w:r w:rsidR="004A4B94">
        <w:rPr>
          <w:rFonts w:ascii="Arial" w:hAnsi="Arial" w:cs="Arial"/>
          <w:bCs/>
        </w:rPr>
        <w:t xml:space="preserve"> </w:t>
      </w:r>
    </w:p>
    <w:p w14:paraId="4DBA308D" w14:textId="0D09AA23" w:rsidR="00043B49" w:rsidRDefault="004A4B94" w:rsidP="00195DD6">
      <w:pPr>
        <w:pStyle w:val="Style1"/>
        <w:numPr>
          <w:ilvl w:val="0"/>
          <w:numId w:val="4"/>
        </w:numPr>
        <w:tabs>
          <w:tab w:val="clear" w:pos="720"/>
        </w:tabs>
        <w:rPr>
          <w:rFonts w:ascii="Arial" w:hAnsi="Arial" w:cs="Arial"/>
          <w:bCs/>
        </w:rPr>
      </w:pPr>
      <w:r>
        <w:rPr>
          <w:rFonts w:ascii="Arial" w:hAnsi="Arial" w:cs="Arial"/>
          <w:bCs/>
        </w:rPr>
        <w:t xml:space="preserve">The fact that the </w:t>
      </w:r>
      <w:r w:rsidR="00D83EDD">
        <w:rPr>
          <w:rFonts w:ascii="Arial" w:hAnsi="Arial" w:cs="Arial"/>
          <w:bCs/>
        </w:rPr>
        <w:t xml:space="preserve">rights now claimed were not revealed </w:t>
      </w:r>
      <w:r w:rsidR="005979F4">
        <w:rPr>
          <w:rFonts w:ascii="Arial" w:hAnsi="Arial" w:cs="Arial"/>
          <w:bCs/>
        </w:rPr>
        <w:t>when the land was sold</w:t>
      </w:r>
      <w:r w:rsidR="00D83EDD">
        <w:rPr>
          <w:rFonts w:ascii="Arial" w:hAnsi="Arial" w:cs="Arial"/>
          <w:bCs/>
        </w:rPr>
        <w:t xml:space="preserve"> does not prevent their</w:t>
      </w:r>
      <w:r w:rsidR="005979F4">
        <w:rPr>
          <w:rFonts w:ascii="Arial" w:hAnsi="Arial" w:cs="Arial"/>
          <w:bCs/>
        </w:rPr>
        <w:t xml:space="preserve"> being</w:t>
      </w:r>
      <w:r w:rsidR="00D83EDD">
        <w:rPr>
          <w:rFonts w:ascii="Arial" w:hAnsi="Arial" w:cs="Arial"/>
          <w:bCs/>
        </w:rPr>
        <w:t xml:space="preserve"> record</w:t>
      </w:r>
      <w:r w:rsidR="005979F4">
        <w:rPr>
          <w:rFonts w:ascii="Arial" w:hAnsi="Arial" w:cs="Arial"/>
          <w:bCs/>
        </w:rPr>
        <w:t>ed</w:t>
      </w:r>
      <w:r w:rsidR="00D83EDD">
        <w:rPr>
          <w:rFonts w:ascii="Arial" w:hAnsi="Arial" w:cs="Arial"/>
          <w:bCs/>
        </w:rPr>
        <w:t xml:space="preserve"> on the Definitive Map and Statement</w:t>
      </w:r>
      <w:r w:rsidR="005F19F2">
        <w:rPr>
          <w:rFonts w:ascii="Arial" w:hAnsi="Arial" w:cs="Arial"/>
          <w:bCs/>
        </w:rPr>
        <w:t xml:space="preserve"> of rights of way</w:t>
      </w:r>
      <w:r w:rsidR="00D83EDD">
        <w:rPr>
          <w:rFonts w:ascii="Arial" w:hAnsi="Arial" w:cs="Arial"/>
          <w:bCs/>
        </w:rPr>
        <w:t>.</w:t>
      </w:r>
      <w:r w:rsidR="00690D5B">
        <w:rPr>
          <w:rFonts w:ascii="Arial" w:hAnsi="Arial" w:cs="Arial"/>
          <w:bCs/>
        </w:rPr>
        <w:t xml:space="preserve"> They are a category of </w:t>
      </w:r>
      <w:r w:rsidR="009E04DE">
        <w:rPr>
          <w:rFonts w:ascii="Arial" w:hAnsi="Arial" w:cs="Arial"/>
          <w:bCs/>
        </w:rPr>
        <w:t xml:space="preserve">overriding </w:t>
      </w:r>
      <w:r w:rsidR="00690D5B">
        <w:rPr>
          <w:rFonts w:ascii="Arial" w:hAnsi="Arial" w:cs="Arial"/>
          <w:bCs/>
        </w:rPr>
        <w:t xml:space="preserve">interest that is binding on the land, whatever the state of knowledge of the purchaser (or </w:t>
      </w:r>
      <w:r w:rsidR="00BA69D1">
        <w:rPr>
          <w:rFonts w:ascii="Arial" w:hAnsi="Arial" w:cs="Arial"/>
          <w:bCs/>
        </w:rPr>
        <w:t xml:space="preserve">of </w:t>
      </w:r>
      <w:r w:rsidR="00690D5B">
        <w:rPr>
          <w:rFonts w:ascii="Arial" w:hAnsi="Arial" w:cs="Arial"/>
          <w:bCs/>
        </w:rPr>
        <w:t>the seller)</w:t>
      </w:r>
      <w:r w:rsidR="005F19F2">
        <w:rPr>
          <w:rFonts w:ascii="Arial" w:hAnsi="Arial" w:cs="Arial"/>
          <w:bCs/>
        </w:rPr>
        <w:t xml:space="preserve"> at the time of the acquisition</w:t>
      </w:r>
      <w:r w:rsidR="00D92F02">
        <w:rPr>
          <w:rFonts w:ascii="Arial" w:hAnsi="Arial" w:cs="Arial"/>
          <w:bCs/>
        </w:rPr>
        <w:t>.</w:t>
      </w:r>
      <w:r w:rsidR="00E3673E">
        <w:rPr>
          <w:rFonts w:ascii="Arial" w:hAnsi="Arial" w:cs="Arial"/>
          <w:bCs/>
        </w:rPr>
        <w:t xml:space="preserve"> Any </w:t>
      </w:r>
      <w:r w:rsidR="001170E3">
        <w:rPr>
          <w:rFonts w:ascii="Arial" w:hAnsi="Arial" w:cs="Arial"/>
          <w:bCs/>
        </w:rPr>
        <w:t xml:space="preserve">resulting </w:t>
      </w:r>
      <w:r w:rsidR="00E3673E">
        <w:rPr>
          <w:rFonts w:ascii="Arial" w:hAnsi="Arial" w:cs="Arial"/>
          <w:bCs/>
        </w:rPr>
        <w:t>effects on the land</w:t>
      </w:r>
      <w:r w:rsidR="00646488">
        <w:rPr>
          <w:rFonts w:ascii="Arial" w:hAnsi="Arial" w:cs="Arial"/>
          <w:bCs/>
        </w:rPr>
        <w:t xml:space="preserve">’s </w:t>
      </w:r>
      <w:r w:rsidR="008D6A17">
        <w:rPr>
          <w:rFonts w:ascii="Arial" w:hAnsi="Arial" w:cs="Arial"/>
          <w:bCs/>
        </w:rPr>
        <w:t xml:space="preserve">potential </w:t>
      </w:r>
      <w:r w:rsidR="00646488">
        <w:rPr>
          <w:rFonts w:ascii="Arial" w:hAnsi="Arial" w:cs="Arial"/>
          <w:bCs/>
        </w:rPr>
        <w:t>use or</w:t>
      </w:r>
      <w:r w:rsidR="008D6A17">
        <w:rPr>
          <w:rFonts w:ascii="Arial" w:hAnsi="Arial" w:cs="Arial"/>
          <w:bCs/>
        </w:rPr>
        <w:t xml:space="preserve"> its</w:t>
      </w:r>
      <w:r w:rsidR="00E3673E">
        <w:rPr>
          <w:rFonts w:ascii="Arial" w:hAnsi="Arial" w:cs="Arial"/>
          <w:bCs/>
        </w:rPr>
        <w:t xml:space="preserve"> value</w:t>
      </w:r>
      <w:r w:rsidR="00646488">
        <w:rPr>
          <w:rFonts w:ascii="Arial" w:hAnsi="Arial" w:cs="Arial"/>
          <w:bCs/>
        </w:rPr>
        <w:t xml:space="preserve"> would be a private matter between the parties to the sale</w:t>
      </w:r>
      <w:r w:rsidR="001170E3">
        <w:rPr>
          <w:rFonts w:ascii="Arial" w:hAnsi="Arial" w:cs="Arial"/>
          <w:bCs/>
        </w:rPr>
        <w:t>, and are not relevant to my considerations here.</w:t>
      </w:r>
    </w:p>
    <w:p w14:paraId="0D360622" w14:textId="6D29F959" w:rsidR="00DD63DD" w:rsidRPr="00DD63DD" w:rsidRDefault="00DD63DD" w:rsidP="00DD63DD">
      <w:pPr>
        <w:pStyle w:val="Style1"/>
        <w:ind w:left="0" w:firstLine="0"/>
        <w:rPr>
          <w:rFonts w:ascii="Arial" w:hAnsi="Arial" w:cs="Arial"/>
          <w:bCs/>
          <w:i/>
          <w:iCs/>
        </w:rPr>
      </w:pPr>
      <w:r>
        <w:rPr>
          <w:rFonts w:ascii="Arial" w:hAnsi="Arial" w:cs="Arial"/>
          <w:bCs/>
          <w:i/>
          <w:iCs/>
        </w:rPr>
        <w:lastRenderedPageBreak/>
        <w:t xml:space="preserve">Conclusions </w:t>
      </w:r>
      <w:r w:rsidR="003A7FE3">
        <w:rPr>
          <w:rFonts w:ascii="Arial" w:hAnsi="Arial" w:cs="Arial"/>
          <w:bCs/>
          <w:i/>
          <w:iCs/>
        </w:rPr>
        <w:t>on the criteria</w:t>
      </w:r>
    </w:p>
    <w:p w14:paraId="36E59862" w14:textId="107ECE22" w:rsidR="00DD63DD" w:rsidRPr="00195DD6" w:rsidRDefault="003A7FE3" w:rsidP="00195DD6">
      <w:pPr>
        <w:pStyle w:val="Style1"/>
        <w:numPr>
          <w:ilvl w:val="0"/>
          <w:numId w:val="4"/>
        </w:numPr>
        <w:tabs>
          <w:tab w:val="clear" w:pos="720"/>
        </w:tabs>
        <w:rPr>
          <w:rFonts w:ascii="Arial" w:hAnsi="Arial" w:cs="Arial"/>
          <w:bCs/>
        </w:rPr>
      </w:pPr>
      <w:r>
        <w:rPr>
          <w:rFonts w:ascii="Arial" w:hAnsi="Arial" w:cs="Arial"/>
          <w:bCs/>
        </w:rPr>
        <w:t xml:space="preserve">I referred at paragraph 2 above to the relevant criteria to be satisfied, on the balance of probability, if the Order is to be confirmed. </w:t>
      </w:r>
      <w:r w:rsidR="00EF6062">
        <w:rPr>
          <w:rFonts w:ascii="Arial" w:hAnsi="Arial" w:cs="Arial"/>
          <w:bCs/>
        </w:rPr>
        <w:t>I am satisfied that there was sufficient use of the route during the relevant 20</w:t>
      </w:r>
      <w:r w:rsidR="007C43DA">
        <w:rPr>
          <w:rFonts w:ascii="Arial" w:hAnsi="Arial" w:cs="Arial"/>
          <w:bCs/>
        </w:rPr>
        <w:t>-</w:t>
      </w:r>
      <w:r w:rsidR="00EF6062">
        <w:rPr>
          <w:rFonts w:ascii="Arial" w:hAnsi="Arial" w:cs="Arial"/>
          <w:bCs/>
        </w:rPr>
        <w:t>year period without any interruption, permission, force or secrecy to establish</w:t>
      </w:r>
      <w:r w:rsidR="005521A8">
        <w:rPr>
          <w:rFonts w:ascii="Arial" w:hAnsi="Arial" w:cs="Arial"/>
          <w:bCs/>
        </w:rPr>
        <w:t xml:space="preserve"> the presumption that the route had been dedicated. I am also satisfied that there is no evidence </w:t>
      </w:r>
      <w:r w:rsidR="00643B2C">
        <w:rPr>
          <w:rFonts w:ascii="Arial" w:hAnsi="Arial" w:cs="Arial"/>
          <w:bCs/>
        </w:rPr>
        <w:t xml:space="preserve">sufficient to establish that the landowner had no intention, during that period, to dedicate the route. </w:t>
      </w:r>
      <w:r w:rsidR="009A264F">
        <w:rPr>
          <w:rFonts w:ascii="Arial" w:hAnsi="Arial" w:cs="Arial"/>
          <w:bCs/>
        </w:rPr>
        <w:t xml:space="preserve">Therefore I am satisfied that the evidence is sufficient to show, on the balance of probability, that </w:t>
      </w:r>
      <w:r w:rsidR="00957CCF">
        <w:rPr>
          <w:rFonts w:ascii="Arial" w:hAnsi="Arial" w:cs="Arial"/>
          <w:bCs/>
        </w:rPr>
        <w:t xml:space="preserve">the footpath subsists. </w:t>
      </w:r>
    </w:p>
    <w:p w14:paraId="47F85E5D" w14:textId="4D22D350" w:rsidR="00CE4E55" w:rsidRPr="00195DD6" w:rsidRDefault="00CE4E55" w:rsidP="00195DD6">
      <w:pPr>
        <w:pStyle w:val="Style1"/>
        <w:ind w:left="0" w:firstLine="0"/>
        <w:rPr>
          <w:rFonts w:ascii="Arial" w:hAnsi="Arial" w:cs="Arial"/>
          <w:b/>
        </w:rPr>
      </w:pPr>
      <w:r w:rsidRPr="00195DD6">
        <w:rPr>
          <w:rFonts w:ascii="Arial" w:hAnsi="Arial" w:cs="Arial"/>
          <w:b/>
        </w:rPr>
        <w:t>Conclusion</w:t>
      </w:r>
    </w:p>
    <w:p w14:paraId="1E48F206" w14:textId="7C03B772" w:rsidR="00CE4E55" w:rsidRDefault="00957CCF" w:rsidP="00CE4E55">
      <w:pPr>
        <w:pStyle w:val="Style1"/>
        <w:numPr>
          <w:ilvl w:val="0"/>
          <w:numId w:val="4"/>
        </w:numPr>
        <w:tabs>
          <w:tab w:val="clear" w:pos="720"/>
        </w:tabs>
        <w:rPr>
          <w:rFonts w:ascii="Arial" w:hAnsi="Arial" w:cs="Arial"/>
        </w:rPr>
      </w:pPr>
      <w:r>
        <w:rPr>
          <w:rFonts w:ascii="Arial" w:hAnsi="Arial" w:cs="Arial"/>
        </w:rPr>
        <w:t>Having regard to t</w:t>
      </w:r>
      <w:r w:rsidR="00882F20">
        <w:rPr>
          <w:rFonts w:ascii="Arial" w:hAnsi="Arial" w:cs="Arial"/>
        </w:rPr>
        <w:t xml:space="preserve">hese and all other matters raised in the written representations, </w:t>
      </w:r>
      <w:r w:rsidR="00CE4E55">
        <w:rPr>
          <w:rFonts w:ascii="Arial" w:hAnsi="Arial" w:cs="Arial"/>
        </w:rPr>
        <w:t xml:space="preserve">I conclude that the </w:t>
      </w:r>
      <w:r w:rsidR="00882F20">
        <w:rPr>
          <w:rFonts w:ascii="Arial" w:hAnsi="Arial" w:cs="Arial"/>
        </w:rPr>
        <w:t>Order should be confirmed</w:t>
      </w:r>
      <w:r w:rsidR="00CE4E55">
        <w:rPr>
          <w:rFonts w:ascii="Arial" w:hAnsi="Arial" w:cs="Arial"/>
        </w:rPr>
        <w:t xml:space="preserve">. </w:t>
      </w:r>
    </w:p>
    <w:p w14:paraId="6F799AA8" w14:textId="77777777" w:rsidR="00CE4E55" w:rsidRDefault="00CE4E55" w:rsidP="00CE4E55">
      <w:pPr>
        <w:pStyle w:val="Style1"/>
        <w:ind w:left="0" w:firstLine="0"/>
        <w:rPr>
          <w:rFonts w:ascii="Arial" w:hAnsi="Arial" w:cs="Arial"/>
          <w:b/>
          <w:bCs/>
        </w:rPr>
      </w:pPr>
      <w:r>
        <w:rPr>
          <w:rFonts w:ascii="Arial" w:hAnsi="Arial" w:cs="Arial"/>
          <w:b/>
          <w:bCs/>
        </w:rPr>
        <w:t>Formal Decision</w:t>
      </w:r>
    </w:p>
    <w:p w14:paraId="272F0E00" w14:textId="3B5A508E" w:rsidR="00CE4E55" w:rsidRPr="00AA060E" w:rsidRDefault="00882F20" w:rsidP="00CE4E55">
      <w:pPr>
        <w:pStyle w:val="Style1"/>
        <w:numPr>
          <w:ilvl w:val="0"/>
          <w:numId w:val="4"/>
        </w:numPr>
        <w:tabs>
          <w:tab w:val="clear" w:pos="720"/>
        </w:tabs>
        <w:rPr>
          <w:rFonts w:ascii="Arial" w:hAnsi="Arial" w:cs="Arial"/>
        </w:rPr>
      </w:pPr>
      <w:r>
        <w:rPr>
          <w:rFonts w:ascii="Arial" w:hAnsi="Arial" w:cs="Arial"/>
        </w:rPr>
        <w:t>I confirm the Order</w:t>
      </w:r>
      <w:r w:rsidR="00CE4E55" w:rsidRPr="00AA060E">
        <w:rPr>
          <w:rFonts w:ascii="Arial" w:hAnsi="Arial" w:cs="Arial"/>
        </w:rPr>
        <w:t>.</w:t>
      </w:r>
    </w:p>
    <w:p w14:paraId="5338F04A" w14:textId="77777777" w:rsidR="00CE4E55" w:rsidRPr="00B24C4B" w:rsidRDefault="00CE4E55" w:rsidP="00F72F24">
      <w:pPr>
        <w:pStyle w:val="Style1"/>
        <w:spacing w:before="120"/>
        <w:ind w:left="0" w:firstLine="0"/>
        <w:rPr>
          <w:rFonts w:ascii="Monotype Corsiva" w:hAnsi="Monotype Corsiva" w:cs="Arial"/>
          <w:sz w:val="36"/>
          <w:szCs w:val="36"/>
        </w:rPr>
      </w:pPr>
      <w:r>
        <w:rPr>
          <w:rFonts w:ascii="Monotype Corsiva" w:hAnsi="Monotype Corsiva" w:cs="Arial"/>
          <w:sz w:val="36"/>
          <w:szCs w:val="36"/>
        </w:rPr>
        <w:t xml:space="preserve">Laura Renaudon </w:t>
      </w:r>
    </w:p>
    <w:p w14:paraId="1804DCFB" w14:textId="170356D2" w:rsidR="00E97B50" w:rsidRDefault="00CE4E55" w:rsidP="00F72F24">
      <w:pPr>
        <w:pStyle w:val="Style1"/>
        <w:spacing w:before="120"/>
        <w:ind w:left="0" w:firstLine="0"/>
      </w:pPr>
      <w:r>
        <w:rPr>
          <w:rFonts w:ascii="Arial" w:hAnsi="Arial" w:cs="Arial"/>
        </w:rPr>
        <w:t>INSPECTOR</w:t>
      </w:r>
      <w:r w:rsidR="00E97B50">
        <w:br w:type="page"/>
      </w:r>
    </w:p>
    <w:p w14:paraId="0E866329" w14:textId="72247731" w:rsidR="00E97B50" w:rsidRDefault="00E97B50">
      <w:pPr>
        <w:rPr>
          <w:b/>
          <w:bCs/>
        </w:rPr>
      </w:pPr>
      <w:r>
        <w:rPr>
          <w:b/>
          <w:bCs/>
        </w:rPr>
        <w:lastRenderedPageBreak/>
        <w:t xml:space="preserve">THE ORDER </w:t>
      </w:r>
      <w:r w:rsidR="006C6874">
        <w:rPr>
          <w:b/>
          <w:bCs/>
        </w:rPr>
        <w:t>MAP</w:t>
      </w:r>
    </w:p>
    <w:p w14:paraId="12CBDD07" w14:textId="77777777" w:rsidR="00D96AEF" w:rsidRDefault="00D96AEF">
      <w:pPr>
        <w:rPr>
          <w:b/>
          <w:bCs/>
        </w:rPr>
      </w:pPr>
    </w:p>
    <w:p w14:paraId="1F5E86A8" w14:textId="01711440" w:rsidR="00D96AEF" w:rsidRPr="00E97B50" w:rsidRDefault="00D96AEF">
      <w:pPr>
        <w:rPr>
          <w:b/>
          <w:bCs/>
        </w:rPr>
      </w:pPr>
      <w:r w:rsidRPr="00D96AEF">
        <w:rPr>
          <w:b/>
          <w:bCs/>
          <w:noProof/>
        </w:rPr>
        <w:drawing>
          <wp:inline distT="0" distB="0" distL="0" distR="0" wp14:anchorId="6A228B6D" wp14:editId="10B39521">
            <wp:extent cx="5493032" cy="7855354"/>
            <wp:effectExtent l="0" t="0" r="0" b="0"/>
            <wp:docPr id="1960504132"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04132" name="Picture 1" descr="ORDER MAP"/>
                    <pic:cNvPicPr/>
                  </pic:nvPicPr>
                  <pic:blipFill>
                    <a:blip r:embed="rId11"/>
                    <a:stretch>
                      <a:fillRect/>
                    </a:stretch>
                  </pic:blipFill>
                  <pic:spPr>
                    <a:xfrm>
                      <a:off x="0" y="0"/>
                      <a:ext cx="5493032" cy="7855354"/>
                    </a:xfrm>
                    <a:prstGeom prst="rect">
                      <a:avLst/>
                    </a:prstGeom>
                  </pic:spPr>
                </pic:pic>
              </a:graphicData>
            </a:graphic>
          </wp:inline>
        </w:drawing>
      </w:r>
    </w:p>
    <w:sectPr w:rsidR="00D96AEF" w:rsidRPr="00E97B50" w:rsidSect="00CE4E55">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1CE8" w14:textId="77777777" w:rsidR="007F69FE" w:rsidRDefault="007F69FE">
      <w:r>
        <w:separator/>
      </w:r>
    </w:p>
  </w:endnote>
  <w:endnote w:type="continuationSeparator" w:id="0">
    <w:p w14:paraId="3F018B1D" w14:textId="77777777" w:rsidR="007F69FE" w:rsidRDefault="007F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555F" w14:textId="77777777" w:rsidR="00CE4E55" w:rsidRDefault="00CE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3C42C" w14:textId="77777777" w:rsidR="00CE4E55" w:rsidRDefault="00CE4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138" w14:textId="77777777" w:rsidR="00CE4E55" w:rsidRDefault="00CE4E55">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5F158A39" wp14:editId="492A9A86">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12F51" id="Line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A365DF" w14:textId="77777777" w:rsidR="00CE4E55" w:rsidRPr="00E45340" w:rsidRDefault="00CE4E55"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2EB" w14:textId="77777777" w:rsidR="00CE4E55" w:rsidRDefault="00CE4E55" w:rsidP="003C3FF8">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40C0E62C" wp14:editId="0276E95D">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8316"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24FB590" w14:textId="77777777" w:rsidR="00CE4E55" w:rsidRPr="00451EE4" w:rsidRDefault="00CE4E55">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6C75" w14:textId="77777777" w:rsidR="007F69FE" w:rsidRDefault="007F69FE">
      <w:r>
        <w:separator/>
      </w:r>
    </w:p>
  </w:footnote>
  <w:footnote w:type="continuationSeparator" w:id="0">
    <w:p w14:paraId="2A0BB32B" w14:textId="77777777" w:rsidR="007F69FE" w:rsidRDefault="007F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E4E55" w14:paraId="06C1343B" w14:textId="77777777">
      <w:tc>
        <w:tcPr>
          <w:tcW w:w="9520" w:type="dxa"/>
        </w:tcPr>
        <w:p w14:paraId="3074AA97" w14:textId="376568A5" w:rsidR="00C06B8C" w:rsidRDefault="004850B7">
          <w:pPr>
            <w:pStyle w:val="Footer"/>
          </w:pPr>
          <w:r>
            <w:t>Order</w:t>
          </w:r>
          <w:r w:rsidR="00CE4E55">
            <w:t xml:space="preserve"> Decision ROW/33</w:t>
          </w:r>
          <w:r w:rsidR="00C06B8C">
            <w:t>43305</w:t>
          </w:r>
        </w:p>
      </w:tc>
    </w:tr>
  </w:tbl>
  <w:p w14:paraId="3CFD78F3" w14:textId="77777777" w:rsidR="00CE4E55" w:rsidRDefault="00CE4E55" w:rsidP="00087477">
    <w:pPr>
      <w:pStyle w:val="Footer"/>
      <w:spacing w:after="180"/>
    </w:pPr>
    <w:r>
      <w:rPr>
        <w:noProof/>
      </w:rPr>
      <mc:AlternateContent>
        <mc:Choice Requires="wps">
          <w:drawing>
            <wp:anchor distT="0" distB="0" distL="114300" distR="114300" simplePos="0" relativeHeight="251658242" behindDoc="0" locked="0" layoutInCell="1" allowOverlap="1" wp14:anchorId="5965142A" wp14:editId="16D01E6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004F6" id="Line 1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350" w14:textId="77777777" w:rsidR="00CE4E55" w:rsidRDefault="00CE4E5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98183D82"/>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3"/>
  </w:num>
  <w:num w:numId="2" w16cid:durableId="689457646">
    <w:abstractNumId w:val="1"/>
  </w:num>
  <w:num w:numId="3" w16cid:durableId="64308365">
    <w:abstractNumId w:val="0"/>
  </w:num>
  <w:num w:numId="4" w16cid:durableId="43918660">
    <w:abstractNumId w:val="0"/>
    <w:lvlOverride w:ilvl="0">
      <w:lvl w:ilvl="0">
        <w:start w:val="1"/>
        <w:numFmt w:val="decimal"/>
        <w:lvlText w:val="%1."/>
        <w:lvlJc w:val="left"/>
        <w:pPr>
          <w:tabs>
            <w:tab w:val="num" w:pos="720"/>
          </w:tabs>
          <w:ind w:left="431" w:hanging="431"/>
        </w:pPr>
        <w:rPr>
          <w:rFonts w:hint="default"/>
          <w:sz w:val="22"/>
          <w:szCs w:val="22"/>
        </w:rPr>
      </w:lvl>
    </w:lvlOverride>
  </w:num>
  <w:num w:numId="5" w16cid:durableId="137770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4"/>
    <w:rsid w:val="00004D2B"/>
    <w:rsid w:val="00006583"/>
    <w:rsid w:val="00011102"/>
    <w:rsid w:val="0002242A"/>
    <w:rsid w:val="00025DB7"/>
    <w:rsid w:val="00030C48"/>
    <w:rsid w:val="00043B49"/>
    <w:rsid w:val="000526FE"/>
    <w:rsid w:val="00086463"/>
    <w:rsid w:val="000C2FFF"/>
    <w:rsid w:val="000C52AD"/>
    <w:rsid w:val="000D27C1"/>
    <w:rsid w:val="000D60C4"/>
    <w:rsid w:val="000E1E3A"/>
    <w:rsid w:val="000E35A8"/>
    <w:rsid w:val="000E6C55"/>
    <w:rsid w:val="001170E3"/>
    <w:rsid w:val="00127791"/>
    <w:rsid w:val="00140472"/>
    <w:rsid w:val="0015229D"/>
    <w:rsid w:val="0017013E"/>
    <w:rsid w:val="00181A8B"/>
    <w:rsid w:val="001865BD"/>
    <w:rsid w:val="00195DD6"/>
    <w:rsid w:val="001A62E1"/>
    <w:rsid w:val="001D6682"/>
    <w:rsid w:val="002145BA"/>
    <w:rsid w:val="002270ED"/>
    <w:rsid w:val="0023045D"/>
    <w:rsid w:val="00240036"/>
    <w:rsid w:val="002609B5"/>
    <w:rsid w:val="00266C0A"/>
    <w:rsid w:val="00281D47"/>
    <w:rsid w:val="002A7F3C"/>
    <w:rsid w:val="002D39BA"/>
    <w:rsid w:val="002E1872"/>
    <w:rsid w:val="002E41EC"/>
    <w:rsid w:val="002F0A18"/>
    <w:rsid w:val="002F1853"/>
    <w:rsid w:val="00302645"/>
    <w:rsid w:val="0032124A"/>
    <w:rsid w:val="00340A64"/>
    <w:rsid w:val="00342483"/>
    <w:rsid w:val="00353140"/>
    <w:rsid w:val="003577AB"/>
    <w:rsid w:val="0036100E"/>
    <w:rsid w:val="00370A97"/>
    <w:rsid w:val="00375D62"/>
    <w:rsid w:val="0038500E"/>
    <w:rsid w:val="003906C3"/>
    <w:rsid w:val="003A7FE3"/>
    <w:rsid w:val="003C0914"/>
    <w:rsid w:val="003D100F"/>
    <w:rsid w:val="003F2304"/>
    <w:rsid w:val="00421D38"/>
    <w:rsid w:val="00471165"/>
    <w:rsid w:val="004850B7"/>
    <w:rsid w:val="004861F2"/>
    <w:rsid w:val="004A1AC4"/>
    <w:rsid w:val="004A4B94"/>
    <w:rsid w:val="004B4762"/>
    <w:rsid w:val="004B7DDC"/>
    <w:rsid w:val="004C2537"/>
    <w:rsid w:val="004C6686"/>
    <w:rsid w:val="004C7849"/>
    <w:rsid w:val="004D2807"/>
    <w:rsid w:val="004E10E3"/>
    <w:rsid w:val="004E7CD9"/>
    <w:rsid w:val="004F278F"/>
    <w:rsid w:val="00515B6C"/>
    <w:rsid w:val="00524849"/>
    <w:rsid w:val="005259FC"/>
    <w:rsid w:val="005415FF"/>
    <w:rsid w:val="005521A8"/>
    <w:rsid w:val="00552DC5"/>
    <w:rsid w:val="00562194"/>
    <w:rsid w:val="00590F10"/>
    <w:rsid w:val="005940FB"/>
    <w:rsid w:val="005979F4"/>
    <w:rsid w:val="00597B15"/>
    <w:rsid w:val="005A7EED"/>
    <w:rsid w:val="005B174A"/>
    <w:rsid w:val="005E427E"/>
    <w:rsid w:val="005E4B13"/>
    <w:rsid w:val="005F19F2"/>
    <w:rsid w:val="005F1B7E"/>
    <w:rsid w:val="00600B30"/>
    <w:rsid w:val="00615832"/>
    <w:rsid w:val="00641384"/>
    <w:rsid w:val="00643B2C"/>
    <w:rsid w:val="006446BF"/>
    <w:rsid w:val="00646488"/>
    <w:rsid w:val="0064744B"/>
    <w:rsid w:val="00651165"/>
    <w:rsid w:val="006713EB"/>
    <w:rsid w:val="006742EE"/>
    <w:rsid w:val="006834C6"/>
    <w:rsid w:val="00686F01"/>
    <w:rsid w:val="00690D5B"/>
    <w:rsid w:val="00697B49"/>
    <w:rsid w:val="006A3B2F"/>
    <w:rsid w:val="006A4195"/>
    <w:rsid w:val="006B0D15"/>
    <w:rsid w:val="006B6BD2"/>
    <w:rsid w:val="006C6874"/>
    <w:rsid w:val="006E2845"/>
    <w:rsid w:val="006E6A4B"/>
    <w:rsid w:val="006F01D3"/>
    <w:rsid w:val="007261E1"/>
    <w:rsid w:val="00743297"/>
    <w:rsid w:val="007441B5"/>
    <w:rsid w:val="00746E09"/>
    <w:rsid w:val="007473AD"/>
    <w:rsid w:val="00752F1B"/>
    <w:rsid w:val="00785D90"/>
    <w:rsid w:val="00785EED"/>
    <w:rsid w:val="00786A41"/>
    <w:rsid w:val="00792470"/>
    <w:rsid w:val="00793A60"/>
    <w:rsid w:val="007A38E6"/>
    <w:rsid w:val="007B0B03"/>
    <w:rsid w:val="007B11B3"/>
    <w:rsid w:val="007C43DA"/>
    <w:rsid w:val="007D19D8"/>
    <w:rsid w:val="007E3D3D"/>
    <w:rsid w:val="007E5C9B"/>
    <w:rsid w:val="007F2713"/>
    <w:rsid w:val="007F69FE"/>
    <w:rsid w:val="0080276A"/>
    <w:rsid w:val="00805784"/>
    <w:rsid w:val="0080710C"/>
    <w:rsid w:val="008174D8"/>
    <w:rsid w:val="00844F5B"/>
    <w:rsid w:val="0085672E"/>
    <w:rsid w:val="00874DF7"/>
    <w:rsid w:val="0087516E"/>
    <w:rsid w:val="00880C72"/>
    <w:rsid w:val="00882F20"/>
    <w:rsid w:val="00882FC2"/>
    <w:rsid w:val="008A6E09"/>
    <w:rsid w:val="008C3ADE"/>
    <w:rsid w:val="008C69F6"/>
    <w:rsid w:val="008D3987"/>
    <w:rsid w:val="008D62E6"/>
    <w:rsid w:val="008D6A17"/>
    <w:rsid w:val="008E1184"/>
    <w:rsid w:val="00900D2E"/>
    <w:rsid w:val="0091249D"/>
    <w:rsid w:val="00916E6E"/>
    <w:rsid w:val="0092162B"/>
    <w:rsid w:val="00922A6F"/>
    <w:rsid w:val="00934C4B"/>
    <w:rsid w:val="00954106"/>
    <w:rsid w:val="00957CCF"/>
    <w:rsid w:val="00980492"/>
    <w:rsid w:val="00987DA9"/>
    <w:rsid w:val="009A264F"/>
    <w:rsid w:val="009A74C3"/>
    <w:rsid w:val="009D4B88"/>
    <w:rsid w:val="009D4DFB"/>
    <w:rsid w:val="009D518F"/>
    <w:rsid w:val="009E04DE"/>
    <w:rsid w:val="009E7180"/>
    <w:rsid w:val="009F6C64"/>
    <w:rsid w:val="00A067A5"/>
    <w:rsid w:val="00A10787"/>
    <w:rsid w:val="00A26A70"/>
    <w:rsid w:val="00A325F6"/>
    <w:rsid w:val="00A34DF9"/>
    <w:rsid w:val="00A96C7C"/>
    <w:rsid w:val="00A9749F"/>
    <w:rsid w:val="00AB7257"/>
    <w:rsid w:val="00AC7E00"/>
    <w:rsid w:val="00AE0338"/>
    <w:rsid w:val="00AE0DF2"/>
    <w:rsid w:val="00AE506F"/>
    <w:rsid w:val="00AF6115"/>
    <w:rsid w:val="00B21F29"/>
    <w:rsid w:val="00B6199D"/>
    <w:rsid w:val="00B71BDD"/>
    <w:rsid w:val="00B73CDD"/>
    <w:rsid w:val="00B82771"/>
    <w:rsid w:val="00B873F0"/>
    <w:rsid w:val="00BA4A3E"/>
    <w:rsid w:val="00BA69D1"/>
    <w:rsid w:val="00BB0052"/>
    <w:rsid w:val="00BB09E3"/>
    <w:rsid w:val="00BB3197"/>
    <w:rsid w:val="00BB50D9"/>
    <w:rsid w:val="00BC6C0E"/>
    <w:rsid w:val="00BF0F11"/>
    <w:rsid w:val="00BF37B1"/>
    <w:rsid w:val="00C01AD6"/>
    <w:rsid w:val="00C06B8C"/>
    <w:rsid w:val="00C147A9"/>
    <w:rsid w:val="00C26ED1"/>
    <w:rsid w:val="00C365D4"/>
    <w:rsid w:val="00C47980"/>
    <w:rsid w:val="00C612C3"/>
    <w:rsid w:val="00C67FDB"/>
    <w:rsid w:val="00CC1B30"/>
    <w:rsid w:val="00CC64B1"/>
    <w:rsid w:val="00CC7D7C"/>
    <w:rsid w:val="00CD2616"/>
    <w:rsid w:val="00CD47FF"/>
    <w:rsid w:val="00CE4E55"/>
    <w:rsid w:val="00CF335C"/>
    <w:rsid w:val="00D110F2"/>
    <w:rsid w:val="00D115C4"/>
    <w:rsid w:val="00D152BC"/>
    <w:rsid w:val="00D164E5"/>
    <w:rsid w:val="00D27A66"/>
    <w:rsid w:val="00D438EB"/>
    <w:rsid w:val="00D6385D"/>
    <w:rsid w:val="00D646E7"/>
    <w:rsid w:val="00D82994"/>
    <w:rsid w:val="00D83EDD"/>
    <w:rsid w:val="00D87A48"/>
    <w:rsid w:val="00D92F02"/>
    <w:rsid w:val="00D96AEF"/>
    <w:rsid w:val="00D97862"/>
    <w:rsid w:val="00DD6398"/>
    <w:rsid w:val="00DD63DD"/>
    <w:rsid w:val="00DD76BA"/>
    <w:rsid w:val="00DE1243"/>
    <w:rsid w:val="00E25182"/>
    <w:rsid w:val="00E3673E"/>
    <w:rsid w:val="00E47309"/>
    <w:rsid w:val="00E65C4C"/>
    <w:rsid w:val="00E735BF"/>
    <w:rsid w:val="00E815A1"/>
    <w:rsid w:val="00E969B9"/>
    <w:rsid w:val="00E97B50"/>
    <w:rsid w:val="00EA56F8"/>
    <w:rsid w:val="00EB2DDF"/>
    <w:rsid w:val="00EF1D3C"/>
    <w:rsid w:val="00EF2EEE"/>
    <w:rsid w:val="00EF6062"/>
    <w:rsid w:val="00F032E0"/>
    <w:rsid w:val="00F140CA"/>
    <w:rsid w:val="00F22802"/>
    <w:rsid w:val="00F237D8"/>
    <w:rsid w:val="00F311F5"/>
    <w:rsid w:val="00F33AD1"/>
    <w:rsid w:val="00F361C8"/>
    <w:rsid w:val="00F375F0"/>
    <w:rsid w:val="00F45796"/>
    <w:rsid w:val="00F47F67"/>
    <w:rsid w:val="00F7011E"/>
    <w:rsid w:val="00F708AD"/>
    <w:rsid w:val="00F717DC"/>
    <w:rsid w:val="00F72F24"/>
    <w:rsid w:val="00F83A26"/>
    <w:rsid w:val="00FB5A32"/>
    <w:rsid w:val="00FE2D44"/>
    <w:rsid w:val="00FF346F"/>
    <w:rsid w:val="00FF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E40C"/>
  <w15:chartTrackingRefBased/>
  <w15:docId w15:val="{A1D8DF75-03ED-4E95-8A46-9DBD9F84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5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3C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C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C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C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C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C0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C0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C0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14"/>
    <w:rPr>
      <w:rFonts w:eastAsiaTheme="majorEastAsia" w:cstheme="majorBidi"/>
      <w:color w:val="272727" w:themeColor="text1" w:themeTint="D8"/>
    </w:rPr>
  </w:style>
  <w:style w:type="paragraph" w:styleId="Title">
    <w:name w:val="Title"/>
    <w:basedOn w:val="Normal"/>
    <w:next w:val="Normal"/>
    <w:link w:val="TitleChar"/>
    <w:uiPriority w:val="10"/>
    <w:qFormat/>
    <w:rsid w:val="003C0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14"/>
    <w:pPr>
      <w:spacing w:before="160"/>
      <w:jc w:val="center"/>
    </w:pPr>
    <w:rPr>
      <w:i/>
      <w:iCs/>
      <w:color w:val="404040" w:themeColor="text1" w:themeTint="BF"/>
    </w:rPr>
  </w:style>
  <w:style w:type="character" w:customStyle="1" w:styleId="QuoteChar">
    <w:name w:val="Quote Char"/>
    <w:basedOn w:val="DefaultParagraphFont"/>
    <w:link w:val="Quote"/>
    <w:uiPriority w:val="29"/>
    <w:rsid w:val="003C0914"/>
    <w:rPr>
      <w:i/>
      <w:iCs/>
      <w:color w:val="404040" w:themeColor="text1" w:themeTint="BF"/>
    </w:rPr>
  </w:style>
  <w:style w:type="paragraph" w:styleId="ListParagraph">
    <w:name w:val="List Paragraph"/>
    <w:basedOn w:val="Normal"/>
    <w:uiPriority w:val="34"/>
    <w:qFormat/>
    <w:rsid w:val="003C0914"/>
    <w:pPr>
      <w:ind w:left="720"/>
      <w:contextualSpacing/>
    </w:pPr>
  </w:style>
  <w:style w:type="character" w:styleId="IntenseEmphasis">
    <w:name w:val="Intense Emphasis"/>
    <w:basedOn w:val="DefaultParagraphFont"/>
    <w:uiPriority w:val="21"/>
    <w:qFormat/>
    <w:rsid w:val="003C0914"/>
    <w:rPr>
      <w:i/>
      <w:iCs/>
      <w:color w:val="0F4761" w:themeColor="accent1" w:themeShade="BF"/>
    </w:rPr>
  </w:style>
  <w:style w:type="paragraph" w:styleId="IntenseQuote">
    <w:name w:val="Intense Quote"/>
    <w:basedOn w:val="Normal"/>
    <w:next w:val="Normal"/>
    <w:link w:val="IntenseQuoteChar"/>
    <w:uiPriority w:val="30"/>
    <w:qFormat/>
    <w:rsid w:val="003C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14"/>
    <w:rPr>
      <w:i/>
      <w:iCs/>
      <w:color w:val="0F4761" w:themeColor="accent1" w:themeShade="BF"/>
    </w:rPr>
  </w:style>
  <w:style w:type="character" w:styleId="IntenseReference">
    <w:name w:val="Intense Reference"/>
    <w:basedOn w:val="DefaultParagraphFont"/>
    <w:uiPriority w:val="32"/>
    <w:qFormat/>
    <w:rsid w:val="003C0914"/>
    <w:rPr>
      <w:b/>
      <w:bCs/>
      <w:smallCaps/>
      <w:color w:val="0F4761" w:themeColor="accent1" w:themeShade="BF"/>
      <w:spacing w:val="5"/>
    </w:rPr>
  </w:style>
  <w:style w:type="paragraph" w:styleId="Header">
    <w:name w:val="header"/>
    <w:basedOn w:val="Normal"/>
    <w:link w:val="HeaderChar"/>
    <w:rsid w:val="00CE4E55"/>
    <w:pPr>
      <w:tabs>
        <w:tab w:val="center" w:pos="4153"/>
        <w:tab w:val="right" w:pos="8306"/>
      </w:tabs>
    </w:pPr>
  </w:style>
  <w:style w:type="character" w:customStyle="1" w:styleId="HeaderChar">
    <w:name w:val="Header Char"/>
    <w:basedOn w:val="DefaultParagraphFont"/>
    <w:link w:val="Header"/>
    <w:rsid w:val="00CE4E55"/>
    <w:rPr>
      <w:rFonts w:ascii="Verdana" w:eastAsia="Times New Roman" w:hAnsi="Verdana" w:cs="Times New Roman"/>
      <w:kern w:val="0"/>
      <w:szCs w:val="20"/>
      <w:lang w:eastAsia="en-GB"/>
      <w14:ligatures w14:val="none"/>
    </w:rPr>
  </w:style>
  <w:style w:type="paragraph" w:styleId="Footer">
    <w:name w:val="footer"/>
    <w:basedOn w:val="Normal"/>
    <w:link w:val="FooterChar"/>
    <w:rsid w:val="00CE4E55"/>
    <w:pPr>
      <w:tabs>
        <w:tab w:val="center" w:pos="4153"/>
        <w:tab w:val="right" w:pos="8306"/>
      </w:tabs>
    </w:pPr>
    <w:rPr>
      <w:sz w:val="18"/>
    </w:rPr>
  </w:style>
  <w:style w:type="character" w:customStyle="1" w:styleId="FooterChar">
    <w:name w:val="Footer Char"/>
    <w:basedOn w:val="DefaultParagraphFont"/>
    <w:link w:val="Footer"/>
    <w:rsid w:val="00CE4E55"/>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E4E55"/>
    <w:rPr>
      <w:rFonts w:ascii="Verdana" w:hAnsi="Verdana"/>
      <w:sz w:val="18"/>
    </w:rPr>
  </w:style>
  <w:style w:type="paragraph" w:customStyle="1" w:styleId="Noindent">
    <w:name w:val="No indent"/>
    <w:basedOn w:val="Normal"/>
    <w:rsid w:val="00CE4E55"/>
    <w:pPr>
      <w:tabs>
        <w:tab w:val="left" w:pos="426"/>
      </w:tabs>
    </w:pPr>
  </w:style>
  <w:style w:type="paragraph" w:customStyle="1" w:styleId="TBullet">
    <w:name w:val="T_Bullet"/>
    <w:basedOn w:val="Normal"/>
    <w:rsid w:val="00CE4E55"/>
    <w:pPr>
      <w:numPr>
        <w:numId w:val="1"/>
      </w:numPr>
      <w:tabs>
        <w:tab w:val="left" w:pos="851"/>
      </w:tabs>
    </w:pPr>
    <w:rPr>
      <w:color w:val="000000"/>
      <w:sz w:val="20"/>
    </w:rPr>
  </w:style>
  <w:style w:type="paragraph" w:customStyle="1" w:styleId="Style1">
    <w:name w:val="Style1"/>
    <w:basedOn w:val="Heading1"/>
    <w:rsid w:val="00CE4E5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CE4E55"/>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CE4E55"/>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CE4E55"/>
    <w:pPr>
      <w:keepLines w:val="0"/>
      <w:widowControl w:val="0"/>
      <w:spacing w:before="180"/>
    </w:pPr>
    <w:rPr>
      <w:rFonts w:eastAsia="Times New Roman" w:cs="Times New Roman"/>
      <w:b/>
      <w:i w:val="0"/>
      <w:iCs w:val="0"/>
      <w:color w:val="000000"/>
    </w:rPr>
  </w:style>
  <w:style w:type="character" w:styleId="Hyperlink">
    <w:name w:val="Hyperlink"/>
    <w:basedOn w:val="DefaultParagraphFont"/>
    <w:rsid w:val="00CE4E55"/>
    <w:rPr>
      <w:color w:val="0000FF"/>
      <w:u w:val="single"/>
    </w:rPr>
  </w:style>
  <w:style w:type="paragraph" w:customStyle="1" w:styleId="ConditionsBullet">
    <w:name w:val="ConditionsBullet"/>
    <w:basedOn w:val="Conditions2"/>
    <w:qFormat/>
    <w:rsid w:val="00CE4E55"/>
    <w:pPr>
      <w:numPr>
        <w:ilvl w:val="3"/>
      </w:numPr>
      <w:spacing w:before="0"/>
    </w:pPr>
  </w:style>
  <w:style w:type="numbering" w:customStyle="1" w:styleId="ConditionsList">
    <w:name w:val="ConditionsList"/>
    <w:uiPriority w:val="99"/>
    <w:rsid w:val="00CE4E55"/>
    <w:pPr>
      <w:numPr>
        <w:numId w:val="2"/>
      </w:numPr>
    </w:pPr>
  </w:style>
  <w:style w:type="paragraph" w:customStyle="1" w:styleId="ConditionsNoNumber">
    <w:name w:val="ConditionsNoNumber"/>
    <w:basedOn w:val="Normal"/>
    <w:qFormat/>
    <w:rsid w:val="00CE4E55"/>
    <w:pPr>
      <w:numPr>
        <w:ilvl w:val="1"/>
        <w:numId w:val="5"/>
      </w:numPr>
      <w:spacing w:before="120"/>
    </w:pPr>
  </w:style>
  <w:style w:type="paragraph" w:customStyle="1" w:styleId="ConditionsNoNumberNoSpaceBefore">
    <w:name w:val="ConditionsNoNumberNoSpaceBefore"/>
    <w:basedOn w:val="ConditionsNoNumber"/>
    <w:qFormat/>
    <w:rsid w:val="00CE4E55"/>
    <w:pPr>
      <w:numPr>
        <w:ilvl w:val="4"/>
      </w:numPr>
      <w:spacing w:before="0"/>
    </w:pPr>
  </w:style>
  <w:style w:type="numbering" w:customStyle="1" w:styleId="StylesList">
    <w:name w:val="StylesList"/>
    <w:uiPriority w:val="99"/>
    <w:rsid w:val="00CE4E5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71877-F93C-4FBF-86EF-ABFE9B42E194}">
  <ds:schemaRefs>
    <ds:schemaRef ds:uri="http://schemas.microsoft.com/sharepoint/v3/contenttype/forms"/>
  </ds:schemaRefs>
</ds:datastoreItem>
</file>

<file path=customXml/itemProps2.xml><?xml version="1.0" encoding="utf-8"?>
<ds:datastoreItem xmlns:ds="http://schemas.openxmlformats.org/officeDocument/2006/customXml" ds:itemID="{39E6D555-729B-4501-81D8-74ED4A58DF85}"/>
</file>

<file path=customXml/itemProps3.xml><?xml version="1.0" encoding="utf-8"?>
<ds:datastoreItem xmlns:ds="http://schemas.openxmlformats.org/officeDocument/2006/customXml" ds:itemID="{171F0AAB-A8DF-4574-9BC3-144E31BDDC18}">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Richards, Clive</cp:lastModifiedBy>
  <cp:revision>4</cp:revision>
  <dcterms:created xsi:type="dcterms:W3CDTF">2025-12-03T09:25:00Z</dcterms:created>
  <dcterms:modified xsi:type="dcterms:W3CDTF">2025-12-03T09:26:00Z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