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337C" w14:textId="0943CA64" w:rsidR="009B2B39" w:rsidRPr="00985933" w:rsidRDefault="009B2B39" w:rsidP="00985933">
      <w:r w:rsidRPr="00985933">
        <w:rPr>
          <w:noProof/>
        </w:rPr>
        <w:drawing>
          <wp:inline distT="0" distB="0" distL="0" distR="0" wp14:anchorId="5D09B281" wp14:editId="1A0D47BB">
            <wp:extent cx="3032965" cy="359623"/>
            <wp:effectExtent l="0" t="0" r="0" b="2540"/>
            <wp:docPr id="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r>
        <w:br/>
      </w:r>
    </w:p>
    <w:p w14:paraId="7FB6DECE" w14:textId="77777777" w:rsidR="009B2B39" w:rsidRPr="00985933" w:rsidRDefault="009B2B39" w:rsidP="00985933"/>
    <w:tbl>
      <w:tblPr>
        <w:tblW w:w="0" w:type="auto"/>
        <w:tblBorders>
          <w:top w:val="single" w:sz="4" w:space="0" w:color="auto"/>
          <w:bottom w:val="single" w:sz="4" w:space="0" w:color="auto"/>
        </w:tblBorders>
        <w:tblLayout w:type="fixed"/>
        <w:tblLook w:val="0000" w:firstRow="0" w:lastRow="0" w:firstColumn="0" w:lastColumn="0" w:noHBand="0" w:noVBand="0"/>
      </w:tblPr>
      <w:tblGrid>
        <w:gridCol w:w="9356"/>
      </w:tblGrid>
      <w:tr w:rsidR="009B2B39" w:rsidRPr="00985933" w14:paraId="66A9CCEE" w14:textId="77777777" w:rsidTr="00214CD4">
        <w:trPr>
          <w:cantSplit/>
          <w:trHeight w:val="23"/>
        </w:trPr>
        <w:tc>
          <w:tcPr>
            <w:tcW w:w="9356" w:type="dxa"/>
          </w:tcPr>
          <w:p w14:paraId="258E7EF9" w14:textId="1A5A771D" w:rsidR="009B2B39" w:rsidRPr="00C65AD2" w:rsidRDefault="009B2B39" w:rsidP="00C65AD2">
            <w:pPr>
              <w:spacing w:before="120"/>
              <w:ind w:left="-108" w:right="34"/>
              <w:rPr>
                <w:rFonts w:cs="Arial"/>
                <w:color w:val="000000"/>
                <w:szCs w:val="24"/>
              </w:rPr>
            </w:pPr>
            <w:r>
              <w:rPr>
                <w:b/>
                <w:color w:val="000000"/>
                <w:sz w:val="40"/>
                <w:szCs w:val="40"/>
              </w:rPr>
              <w:t>Order Decision</w:t>
            </w:r>
          </w:p>
        </w:tc>
      </w:tr>
      <w:tr w:rsidR="009B2B39" w:rsidRPr="00985933" w14:paraId="5A8B1827" w14:textId="77777777" w:rsidTr="00214CD4">
        <w:trPr>
          <w:cantSplit/>
          <w:trHeight w:val="23"/>
        </w:trPr>
        <w:tc>
          <w:tcPr>
            <w:tcW w:w="9356" w:type="dxa"/>
          </w:tcPr>
          <w:p w14:paraId="1B27A253" w14:textId="613CAA7C" w:rsidR="009B2B39" w:rsidRPr="004A61B1" w:rsidRDefault="009B2B39" w:rsidP="00985933">
            <w:pPr>
              <w:spacing w:before="180"/>
              <w:ind w:left="-108" w:right="34"/>
              <w:rPr>
                <w:rFonts w:cs="Arial"/>
                <w:b/>
                <w:color w:val="000000"/>
                <w:szCs w:val="24"/>
              </w:rPr>
            </w:pPr>
            <w:r w:rsidRPr="004A61B1">
              <w:rPr>
                <w:rFonts w:cs="Arial"/>
                <w:b/>
                <w:color w:val="000000"/>
                <w:szCs w:val="24"/>
              </w:rPr>
              <w:t xml:space="preserve">by </w:t>
            </w:r>
            <w:r>
              <w:rPr>
                <w:b/>
                <w:color w:val="000000"/>
                <w:szCs w:val="22"/>
              </w:rPr>
              <w:t>D M Young JP BSc (Hons) MPlan MRTPI MIHE</w:t>
            </w:r>
          </w:p>
        </w:tc>
      </w:tr>
      <w:tr w:rsidR="009B2B39" w:rsidRPr="00985933" w14:paraId="67B2FA94" w14:textId="77777777" w:rsidTr="00214CD4">
        <w:trPr>
          <w:cantSplit/>
          <w:trHeight w:val="23"/>
        </w:trPr>
        <w:tc>
          <w:tcPr>
            <w:tcW w:w="9356" w:type="dxa"/>
          </w:tcPr>
          <w:p w14:paraId="252A6D61" w14:textId="2CC8D1EA" w:rsidR="009B2B39" w:rsidRPr="002E2687" w:rsidRDefault="009B2B39" w:rsidP="00985933">
            <w:pPr>
              <w:spacing w:before="120"/>
              <w:ind w:left="-108" w:right="34"/>
              <w:rPr>
                <w:rFonts w:cs="Arial"/>
                <w:b/>
                <w:color w:val="000000"/>
                <w:sz w:val="16"/>
                <w:szCs w:val="16"/>
              </w:rPr>
            </w:pPr>
            <w:r w:rsidRPr="002E2687">
              <w:rPr>
                <w:rFonts w:cs="Arial"/>
                <w:b/>
                <w:color w:val="000000"/>
                <w:sz w:val="16"/>
                <w:szCs w:val="16"/>
              </w:rPr>
              <w:t xml:space="preserve">an Inspector appointed by the Secretary of State </w:t>
            </w:r>
            <w:r>
              <w:rPr>
                <w:rFonts w:cs="Arial"/>
                <w:b/>
                <w:color w:val="000000"/>
                <w:sz w:val="16"/>
                <w:szCs w:val="16"/>
              </w:rPr>
              <w:t xml:space="preserve">for </w:t>
            </w:r>
            <w:r>
              <w:rPr>
                <w:b/>
                <w:color w:val="000000"/>
                <w:sz w:val="16"/>
                <w:szCs w:val="16"/>
              </w:rPr>
              <w:t>Environment, Food and Rural Affairs</w:t>
            </w:r>
          </w:p>
        </w:tc>
      </w:tr>
      <w:tr w:rsidR="009B2B39" w:rsidRPr="00985933" w14:paraId="3EE2F6C4" w14:textId="77777777" w:rsidTr="00214CD4">
        <w:trPr>
          <w:cantSplit/>
          <w:trHeight w:val="23"/>
        </w:trPr>
        <w:tc>
          <w:tcPr>
            <w:tcW w:w="9356" w:type="dxa"/>
          </w:tcPr>
          <w:p w14:paraId="5843DF86" w14:textId="5C936F36" w:rsidR="009B2B39" w:rsidRPr="002E2687" w:rsidRDefault="009B2B39" w:rsidP="00985933">
            <w:pPr>
              <w:spacing w:before="120"/>
              <w:ind w:left="-108" w:right="176"/>
              <w:rPr>
                <w:rFonts w:cs="Arial"/>
                <w:b/>
                <w:color w:val="000000"/>
                <w:sz w:val="16"/>
                <w:szCs w:val="16"/>
              </w:rPr>
            </w:pPr>
            <w:r w:rsidRPr="002E2687">
              <w:rPr>
                <w:rFonts w:cs="Arial"/>
                <w:b/>
                <w:color w:val="000000"/>
                <w:sz w:val="16"/>
                <w:szCs w:val="16"/>
              </w:rPr>
              <w:t xml:space="preserve">Decision date: </w:t>
            </w:r>
            <w:r w:rsidR="00292F22">
              <w:rPr>
                <w:rFonts w:cs="Arial"/>
                <w:b/>
                <w:color w:val="000000"/>
                <w:sz w:val="16"/>
                <w:szCs w:val="16"/>
              </w:rPr>
              <w:t>03 December 2025</w:t>
            </w:r>
          </w:p>
        </w:tc>
      </w:tr>
    </w:tbl>
    <w:p w14:paraId="110F112C" w14:textId="77777777" w:rsidR="009B2B39" w:rsidRDefault="009B2B39" w:rsidP="00985933">
      <w:pPr>
        <w:rPr>
          <w:b/>
          <w:bCs/>
        </w:rPr>
      </w:pPr>
    </w:p>
    <w:tbl>
      <w:tblPr>
        <w:tblW w:w="0" w:type="auto"/>
        <w:tblLayout w:type="fixed"/>
        <w:tblLook w:val="0000" w:firstRow="0" w:lastRow="0" w:firstColumn="0" w:lastColumn="0" w:noHBand="0" w:noVBand="0"/>
      </w:tblPr>
      <w:tblGrid>
        <w:gridCol w:w="9520"/>
      </w:tblGrid>
      <w:tr w:rsidR="009B2B39" w:rsidRPr="009B2B39" w14:paraId="5F74BED4" w14:textId="77777777" w:rsidTr="005223BB">
        <w:tc>
          <w:tcPr>
            <w:tcW w:w="9520" w:type="dxa"/>
          </w:tcPr>
          <w:p w14:paraId="4B24D7B9" w14:textId="1133396E" w:rsidR="009B2B39" w:rsidRPr="009B2B39" w:rsidRDefault="009B2B39" w:rsidP="009B2B39">
            <w:pPr>
              <w:spacing w:after="60"/>
              <w:rPr>
                <w:rFonts w:cs="Arial"/>
                <w:b/>
                <w:color w:val="000000"/>
                <w:szCs w:val="24"/>
                <w14:ligatures w14:val="none"/>
              </w:rPr>
            </w:pPr>
            <w:r w:rsidRPr="009B2B39">
              <w:rPr>
                <w:rFonts w:cs="Arial"/>
                <w:b/>
                <w:color w:val="000000"/>
                <w:szCs w:val="24"/>
                <w14:ligatures w14:val="none"/>
              </w:rPr>
              <w:t>Order Ref: ROW/3</w:t>
            </w:r>
            <w:r w:rsidR="00BF6929">
              <w:rPr>
                <w:rFonts w:cs="Arial"/>
                <w:b/>
                <w:color w:val="000000"/>
                <w:szCs w:val="24"/>
                <w14:ligatures w14:val="none"/>
              </w:rPr>
              <w:t>3</w:t>
            </w:r>
            <w:r w:rsidR="00FF043A">
              <w:rPr>
                <w:rFonts w:cs="Arial"/>
                <w:b/>
                <w:color w:val="000000"/>
                <w:szCs w:val="24"/>
                <w14:ligatures w14:val="none"/>
              </w:rPr>
              <w:t>3</w:t>
            </w:r>
            <w:r w:rsidR="00C65AD2">
              <w:rPr>
                <w:rFonts w:cs="Arial"/>
                <w:b/>
                <w:color w:val="000000"/>
                <w:szCs w:val="24"/>
                <w14:ligatures w14:val="none"/>
              </w:rPr>
              <w:t>6</w:t>
            </w:r>
            <w:r w:rsidR="00930CFB">
              <w:rPr>
                <w:rFonts w:cs="Arial"/>
                <w:b/>
                <w:color w:val="000000"/>
                <w:szCs w:val="24"/>
                <w14:ligatures w14:val="none"/>
              </w:rPr>
              <w:t>884</w:t>
            </w:r>
          </w:p>
        </w:tc>
      </w:tr>
      <w:tr w:rsidR="009B2B39" w:rsidRPr="009B2B39" w14:paraId="0180B7CF" w14:textId="77777777" w:rsidTr="005223BB">
        <w:tc>
          <w:tcPr>
            <w:tcW w:w="9520" w:type="dxa"/>
          </w:tcPr>
          <w:p w14:paraId="1CC9B711" w14:textId="06EECC06"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This Order is made under Section 53 (2) of the Wildlife and Countryside Act 1981 (the 1981 Act) and is known as the</w:t>
            </w:r>
            <w:r w:rsidR="007E16A1">
              <w:rPr>
                <w:rFonts w:cs="Arial"/>
                <w:color w:val="000000"/>
                <w:sz w:val="20"/>
                <w14:ligatures w14:val="none"/>
              </w:rPr>
              <w:t xml:space="preserve"> Lincolnshire County Council </w:t>
            </w:r>
            <w:r w:rsidR="00DA6BDE">
              <w:rPr>
                <w:rFonts w:cs="Arial"/>
                <w:color w:val="000000"/>
                <w:sz w:val="20"/>
                <w14:ligatures w14:val="none"/>
              </w:rPr>
              <w:t xml:space="preserve">Amendment of Kesteven County Council (Rural District of </w:t>
            </w:r>
            <w:r w:rsidR="00864715">
              <w:rPr>
                <w:rFonts w:cs="Arial"/>
                <w:color w:val="000000"/>
                <w:sz w:val="20"/>
                <w14:ligatures w14:val="none"/>
              </w:rPr>
              <w:t xml:space="preserve">West Kesteven) Definitive Map and Statement </w:t>
            </w:r>
            <w:r w:rsidR="007E16A1">
              <w:rPr>
                <w:rFonts w:cs="Arial"/>
                <w:color w:val="000000"/>
                <w:sz w:val="20"/>
                <w14:ligatures w14:val="none"/>
              </w:rPr>
              <w:t>(Addition of Ingoldsby Public Footpath 1194) Definitive Map Modification Order 2022</w:t>
            </w:r>
            <w:r w:rsidR="00D539D8">
              <w:rPr>
                <w:rFonts w:cs="Arial"/>
                <w:color w:val="000000"/>
                <w:sz w:val="20"/>
                <w14:ligatures w14:val="none"/>
              </w:rPr>
              <w:t>.</w:t>
            </w:r>
          </w:p>
        </w:tc>
      </w:tr>
      <w:tr w:rsidR="009B2B39" w:rsidRPr="009B2B39" w14:paraId="34D9AD27" w14:textId="77777777" w:rsidTr="005223BB">
        <w:tc>
          <w:tcPr>
            <w:tcW w:w="9520" w:type="dxa"/>
          </w:tcPr>
          <w:p w14:paraId="42182F41" w14:textId="7CB12489" w:rsidR="009B2B39" w:rsidRPr="00D420D9" w:rsidRDefault="009B2B39" w:rsidP="00D420D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 Order is dated </w:t>
            </w:r>
            <w:r w:rsidR="007E16A1">
              <w:rPr>
                <w:rFonts w:cs="Arial"/>
                <w:color w:val="000000"/>
                <w:sz w:val="20"/>
                <w14:ligatures w14:val="none"/>
              </w:rPr>
              <w:t xml:space="preserve">4 January 2022 </w:t>
            </w:r>
            <w:r w:rsidRPr="009B2B39">
              <w:rPr>
                <w:rFonts w:cs="Arial"/>
                <w:color w:val="000000"/>
                <w:sz w:val="20"/>
                <w14:ligatures w14:val="none"/>
              </w:rPr>
              <w:t>and proposes to modify the Definitive Map and Statement for the area by adding a</w:t>
            </w:r>
            <w:r w:rsidR="00754ED8">
              <w:rPr>
                <w:rFonts w:cs="Arial"/>
                <w:color w:val="000000"/>
                <w:sz w:val="20"/>
                <w14:ligatures w14:val="none"/>
              </w:rPr>
              <w:t xml:space="preserve"> Public Footpath </w:t>
            </w:r>
            <w:r w:rsidRPr="00D420D9">
              <w:rPr>
                <w:rFonts w:cs="Arial"/>
                <w:color w:val="000000"/>
                <w:sz w:val="20"/>
                <w14:ligatures w14:val="none"/>
              </w:rPr>
              <w:t>as shown in the Order plan and described in the Order Schedule.</w:t>
            </w:r>
          </w:p>
        </w:tc>
      </w:tr>
      <w:tr w:rsidR="009B2B39" w:rsidRPr="009B2B39" w14:paraId="7BBDB63A" w14:textId="77777777" w:rsidTr="005223BB">
        <w:tc>
          <w:tcPr>
            <w:tcW w:w="9520" w:type="dxa"/>
          </w:tcPr>
          <w:p w14:paraId="1DD47CA0" w14:textId="0B2E69EF" w:rsidR="009B2B39" w:rsidRPr="009B2B39" w:rsidRDefault="009B2B39" w:rsidP="009B2B39">
            <w:pPr>
              <w:pStyle w:val="ListParagraph"/>
              <w:numPr>
                <w:ilvl w:val="0"/>
                <w:numId w:val="22"/>
              </w:numPr>
              <w:tabs>
                <w:tab w:val="num" w:pos="360"/>
                <w:tab w:val="left" w:pos="851"/>
              </w:tabs>
              <w:rPr>
                <w:rFonts w:cs="Arial"/>
                <w:color w:val="000000"/>
                <w:sz w:val="20"/>
                <w14:ligatures w14:val="none"/>
              </w:rPr>
            </w:pPr>
            <w:r w:rsidRPr="009B2B39">
              <w:rPr>
                <w:rFonts w:cs="Arial"/>
                <w:color w:val="000000"/>
                <w:sz w:val="20"/>
                <w14:ligatures w14:val="none"/>
              </w:rPr>
              <w:t xml:space="preserve">There </w:t>
            </w:r>
            <w:r w:rsidR="00CF4984" w:rsidRPr="009B2B39">
              <w:rPr>
                <w:rFonts w:cs="Arial"/>
                <w:color w:val="000000"/>
                <w:sz w:val="20"/>
                <w14:ligatures w14:val="none"/>
              </w:rPr>
              <w:t>w</w:t>
            </w:r>
            <w:r w:rsidR="00CF4984">
              <w:rPr>
                <w:rFonts w:cs="Arial"/>
                <w:color w:val="000000"/>
                <w:sz w:val="20"/>
                <w14:ligatures w14:val="none"/>
              </w:rPr>
              <w:t>ere</w:t>
            </w:r>
            <w:r>
              <w:rPr>
                <w:rFonts w:cs="Arial"/>
                <w:color w:val="000000"/>
                <w:sz w:val="20"/>
                <w14:ligatures w14:val="none"/>
              </w:rPr>
              <w:t xml:space="preserve"> </w:t>
            </w:r>
            <w:r w:rsidR="00482B46">
              <w:rPr>
                <w:rFonts w:cs="Arial"/>
                <w:color w:val="000000"/>
                <w:sz w:val="20"/>
                <w14:ligatures w14:val="none"/>
              </w:rPr>
              <w:t>two</w:t>
            </w:r>
            <w:r>
              <w:rPr>
                <w:rFonts w:cs="Arial"/>
                <w:color w:val="000000"/>
                <w:sz w:val="20"/>
                <w14:ligatures w14:val="none"/>
              </w:rPr>
              <w:t xml:space="preserve"> </w:t>
            </w:r>
            <w:r w:rsidRPr="009B2B39">
              <w:rPr>
                <w:rFonts w:cs="Arial"/>
                <w:color w:val="000000"/>
                <w:sz w:val="20"/>
                <w14:ligatures w14:val="none"/>
              </w:rPr>
              <w:t>objection</w:t>
            </w:r>
            <w:r w:rsidR="00482B46">
              <w:rPr>
                <w:rFonts w:cs="Arial"/>
                <w:color w:val="000000"/>
                <w:sz w:val="20"/>
                <w14:ligatures w14:val="none"/>
              </w:rPr>
              <w:t>s</w:t>
            </w:r>
            <w:r w:rsidRPr="009B2B39">
              <w:rPr>
                <w:rFonts w:cs="Arial"/>
                <w:color w:val="000000"/>
                <w:sz w:val="20"/>
                <w14:ligatures w14:val="none"/>
              </w:rPr>
              <w:t xml:space="preserve"> outstanding </w:t>
            </w:r>
            <w:r>
              <w:rPr>
                <w:rFonts w:cs="Arial"/>
                <w:color w:val="000000"/>
                <w:sz w:val="20"/>
                <w14:ligatures w14:val="none"/>
              </w:rPr>
              <w:t>when the Order was submitted to the Secretary of State</w:t>
            </w:r>
            <w:r w:rsidRPr="009B2B39">
              <w:rPr>
                <w:rFonts w:cs="Arial"/>
                <w:color w:val="000000"/>
                <w:sz w:val="20"/>
                <w14:ligatures w14:val="none"/>
              </w:rPr>
              <w:t>.</w:t>
            </w:r>
            <w:r w:rsidR="003F0D6B">
              <w:rPr>
                <w:rFonts w:cs="Arial"/>
                <w:color w:val="000000"/>
                <w:sz w:val="20"/>
                <w14:ligatures w14:val="none"/>
              </w:rPr>
              <w:t xml:space="preserve"> </w:t>
            </w:r>
            <w:r w:rsidR="00482B46">
              <w:rPr>
                <w:rFonts w:cs="Arial"/>
                <w:color w:val="000000"/>
                <w:sz w:val="20"/>
                <w14:ligatures w14:val="none"/>
              </w:rPr>
              <w:t xml:space="preserve">Both have since </w:t>
            </w:r>
            <w:r w:rsidR="003F0D6B">
              <w:rPr>
                <w:rFonts w:cs="Arial"/>
                <w:color w:val="000000"/>
                <w:sz w:val="20"/>
                <w14:ligatures w14:val="none"/>
              </w:rPr>
              <w:t xml:space="preserve">been formally withdrawn. </w:t>
            </w:r>
          </w:p>
        </w:tc>
      </w:tr>
      <w:tr w:rsidR="009B2B39" w:rsidRPr="009B2B39" w14:paraId="29575BC9" w14:textId="77777777" w:rsidTr="00120F1E">
        <w:trPr>
          <w:trHeight w:val="226"/>
        </w:trPr>
        <w:tc>
          <w:tcPr>
            <w:tcW w:w="9520" w:type="dxa"/>
          </w:tcPr>
          <w:p w14:paraId="3804C070" w14:textId="0E2A8763" w:rsidR="009B2B39" w:rsidRPr="009B2B39" w:rsidRDefault="009B2B39" w:rsidP="009B2B39">
            <w:pPr>
              <w:spacing w:before="60"/>
              <w:rPr>
                <w:rFonts w:cs="Arial"/>
                <w:b/>
                <w:color w:val="000000"/>
                <w:szCs w:val="24"/>
                <w14:ligatures w14:val="none"/>
              </w:rPr>
            </w:pPr>
            <w:r w:rsidRPr="009B2B39">
              <w:rPr>
                <w:rFonts w:cs="Arial"/>
                <w:b/>
                <w:color w:val="000000"/>
                <w:szCs w:val="24"/>
                <w14:ligatures w14:val="none"/>
              </w:rPr>
              <w:t xml:space="preserve">Summary of Decision: The </w:t>
            </w:r>
            <w:r w:rsidRPr="009B2B39">
              <w:rPr>
                <w:rFonts w:cs="Arial"/>
                <w:b/>
                <w:bCs/>
                <w:color w:val="000000"/>
                <w:szCs w:val="24"/>
                <w14:ligatures w14:val="none"/>
              </w:rPr>
              <w:t xml:space="preserve">Order is </w:t>
            </w:r>
            <w:r w:rsidR="00CA4B4A">
              <w:rPr>
                <w:rFonts w:cs="Arial"/>
                <w:b/>
                <w:bCs/>
                <w:color w:val="000000"/>
                <w:szCs w:val="24"/>
                <w14:ligatures w14:val="none"/>
              </w:rPr>
              <w:t>C</w:t>
            </w:r>
            <w:r w:rsidRPr="009B2B39">
              <w:rPr>
                <w:rFonts w:cs="Arial"/>
                <w:b/>
                <w:bCs/>
                <w:color w:val="000000"/>
                <w:szCs w:val="24"/>
                <w14:ligatures w14:val="none"/>
              </w:rPr>
              <w:t>onfirm</w:t>
            </w:r>
            <w:r w:rsidR="00CA4B4A">
              <w:rPr>
                <w:rFonts w:cs="Arial"/>
                <w:b/>
                <w:bCs/>
                <w:color w:val="000000"/>
                <w:szCs w:val="24"/>
                <w14:ligatures w14:val="none"/>
              </w:rPr>
              <w:t>ed</w:t>
            </w:r>
            <w:r w:rsidR="00120F1E">
              <w:rPr>
                <w:rFonts w:cs="Arial"/>
                <w:b/>
                <w:bCs/>
                <w:color w:val="000000"/>
                <w:szCs w:val="24"/>
                <w14:ligatures w14:val="none"/>
              </w:rPr>
              <w:t>.</w:t>
            </w:r>
          </w:p>
        </w:tc>
      </w:tr>
    </w:tbl>
    <w:p w14:paraId="34CF53A6" w14:textId="1AD5CBAF" w:rsidR="009B2B39" w:rsidRPr="004A61B1" w:rsidRDefault="009B2B39" w:rsidP="00491AAB">
      <w:pPr>
        <w:rPr>
          <w:rFonts w:cs="Arial"/>
          <w:b/>
          <w:bCs/>
          <w:szCs w:val="24"/>
        </w:rPr>
      </w:pPr>
    </w:p>
    <w:tbl>
      <w:tblPr>
        <w:tblW w:w="5024" w:type="pct"/>
        <w:tblBorders>
          <w:top w:val="single" w:sz="4" w:space="0" w:color="auto"/>
        </w:tblBorders>
        <w:tblLayout w:type="fixed"/>
        <w:tblCellMar>
          <w:left w:w="0" w:type="dxa"/>
          <w:right w:w="0" w:type="dxa"/>
        </w:tblCellMar>
        <w:tblLook w:val="04A0" w:firstRow="1" w:lastRow="0" w:firstColumn="1" w:lastColumn="0" w:noHBand="0" w:noVBand="1"/>
      </w:tblPr>
      <w:tblGrid>
        <w:gridCol w:w="9349"/>
      </w:tblGrid>
      <w:tr w:rsidR="009B2B39" w:rsidRPr="00985933" w14:paraId="01E2E31D" w14:textId="77777777" w:rsidTr="00491AAB">
        <w:tc>
          <w:tcPr>
            <w:tcW w:w="9349" w:type="dxa"/>
            <w:vAlign w:val="center"/>
            <w:hideMark/>
          </w:tcPr>
          <w:p w14:paraId="10C8C965" w14:textId="77777777" w:rsidR="009B2B39" w:rsidRPr="00985933" w:rsidRDefault="009B2B39" w:rsidP="00985933">
            <w:bookmarkStart w:id="0" w:name="bmk_Decisions"/>
            <w:bookmarkStart w:id="1" w:name="bmk_Conditions"/>
          </w:p>
        </w:tc>
      </w:tr>
    </w:tbl>
    <w:p w14:paraId="31248BA8" w14:textId="77777777" w:rsidR="00491AAB" w:rsidRPr="004A61B1" w:rsidRDefault="00491AAB" w:rsidP="00491AAB">
      <w:pPr>
        <w:pStyle w:val="Heading6blackfont"/>
        <w:rPr>
          <w:rFonts w:cs="Arial"/>
          <w:szCs w:val="24"/>
        </w:rPr>
      </w:pPr>
      <w:r w:rsidRPr="004A61B1">
        <w:rPr>
          <w:rFonts w:cs="Arial"/>
          <w:szCs w:val="24"/>
        </w:rPr>
        <w:t>Preliminary Matters</w:t>
      </w:r>
    </w:p>
    <w:p w14:paraId="3F99A0F7" w14:textId="3C573B52" w:rsidR="00120F1E" w:rsidRDefault="00A1043B" w:rsidP="00120F1E">
      <w:pPr>
        <w:pStyle w:val="Style1"/>
        <w:tabs>
          <w:tab w:val="clear" w:pos="720"/>
        </w:tabs>
        <w:ind w:left="510" w:hanging="510"/>
      </w:pPr>
      <w:r>
        <w:t>The application to add</w:t>
      </w:r>
      <w:r w:rsidR="00B95A89">
        <w:t xml:space="preserve"> a</w:t>
      </w:r>
      <w:r w:rsidR="00B95A89" w:rsidRPr="00B95A89">
        <w:t xml:space="preserve"> public footpath between </w:t>
      </w:r>
      <w:r w:rsidR="00FE3112">
        <w:t xml:space="preserve">Main Street and </w:t>
      </w:r>
      <w:r w:rsidR="00FE075C">
        <w:t xml:space="preserve">Humby Road </w:t>
      </w:r>
      <w:r>
        <w:t xml:space="preserve">to the Definitive Map and Statement (DMS) was made by </w:t>
      </w:r>
      <w:r w:rsidR="0007779A" w:rsidRPr="0007779A">
        <w:t>Mr Peter Harden</w:t>
      </w:r>
      <w:r w:rsidR="0007779A">
        <w:t xml:space="preserve">, a local resident in </w:t>
      </w:r>
      <w:r w:rsidR="0077030D">
        <w:t xml:space="preserve">May 2019. </w:t>
      </w:r>
      <w:r w:rsidR="006C135E" w:rsidRPr="006C135E">
        <w:t xml:space="preserve">The application was based </w:t>
      </w:r>
      <w:r w:rsidR="0077030D">
        <w:t xml:space="preserve">primarily </w:t>
      </w:r>
      <w:r w:rsidR="006C135E" w:rsidRPr="006C135E">
        <w:t xml:space="preserve">on </w:t>
      </w:r>
      <w:r w:rsidR="0021647D">
        <w:t xml:space="preserve">the </w:t>
      </w:r>
      <w:r w:rsidR="006C135E" w:rsidRPr="006C135E">
        <w:t>public</w:t>
      </w:r>
      <w:r w:rsidR="0021647D">
        <w:t xml:space="preserve">’s </w:t>
      </w:r>
      <w:r w:rsidR="006C135E" w:rsidRPr="006C135E">
        <w:t>use of the route</w:t>
      </w:r>
      <w:r w:rsidR="00644AB2">
        <w:t xml:space="preserve">. Some documentary evidence was also provided. </w:t>
      </w:r>
      <w:r w:rsidR="00F25BD4">
        <w:t>Following investigation</w:t>
      </w:r>
      <w:r>
        <w:t xml:space="preserve"> by </w:t>
      </w:r>
      <w:r w:rsidR="00CF077E">
        <w:t>Lincolnshire County Council</w:t>
      </w:r>
      <w:r w:rsidR="00B407E1">
        <w:t xml:space="preserve"> </w:t>
      </w:r>
      <w:r>
        <w:t>(the Order Making Authority (OMA))</w:t>
      </w:r>
      <w:r w:rsidR="008559B2">
        <w:t xml:space="preserve">, it was </w:t>
      </w:r>
      <w:r w:rsidR="001962A0">
        <w:t xml:space="preserve">considered there was a reasonable allegation of the route having historic highway rights. The </w:t>
      </w:r>
      <w:r>
        <w:t xml:space="preserve">Order </w:t>
      </w:r>
      <w:r w:rsidR="00D3384A">
        <w:t>was</w:t>
      </w:r>
      <w:r w:rsidR="001962A0">
        <w:t xml:space="preserve"> subsequently</w:t>
      </w:r>
      <w:r w:rsidR="00D3384A">
        <w:t xml:space="preserve"> made on </w:t>
      </w:r>
      <w:r w:rsidR="00822886">
        <w:t>7 February 2023</w:t>
      </w:r>
      <w:r w:rsidR="00652CD4">
        <w:t>.</w:t>
      </w:r>
    </w:p>
    <w:p w14:paraId="561C90AA" w14:textId="66C4A50A" w:rsidR="00120F1E" w:rsidRDefault="00822886" w:rsidP="00120F1E">
      <w:pPr>
        <w:pStyle w:val="Style1"/>
        <w:tabs>
          <w:tab w:val="clear" w:pos="720"/>
        </w:tabs>
        <w:ind w:left="510" w:hanging="510"/>
      </w:pPr>
      <w:r>
        <w:t>The Order route is shown between points A-B</w:t>
      </w:r>
      <w:r w:rsidR="001A7522">
        <w:t>-C-D</w:t>
      </w:r>
      <w:r w:rsidR="00335828">
        <w:t>-E</w:t>
      </w:r>
      <w:r>
        <w:t xml:space="preserve"> on the Order Plan (see Appendix </w:t>
      </w:r>
      <w:r w:rsidR="00DE0C34">
        <w:t>A</w:t>
      </w:r>
      <w:r>
        <w:t xml:space="preserve">) and comprises a </w:t>
      </w:r>
      <w:r w:rsidR="0027734B">
        <w:t xml:space="preserve">route known locally as </w:t>
      </w:r>
      <w:r w:rsidR="00EC6A2D" w:rsidRPr="00EC6A2D">
        <w:t>Ascoughy Lane or Askey Lane</w:t>
      </w:r>
      <w:r w:rsidR="00EC6A2D">
        <w:t xml:space="preserve">. It </w:t>
      </w:r>
      <w:r w:rsidR="0027734B">
        <w:t>is approximately 790 metres in length and commences at the junction of three public highways (Main Street, Lenton Road and Irnham Road)</w:t>
      </w:r>
      <w:r w:rsidR="005429D4">
        <w:t xml:space="preserve"> on the eastern edge of Ingoldsby.</w:t>
      </w:r>
      <w:r w:rsidR="008F3B02">
        <w:t xml:space="preserve"> From Main Street the Order route </w:t>
      </w:r>
      <w:r w:rsidR="0027734B">
        <w:t>runs in a generally northerly direction to meet with Ingoldsby Public Footpath No.13 (</w:t>
      </w:r>
      <w:r w:rsidR="00D53972">
        <w:t>FP</w:t>
      </w:r>
      <w:r w:rsidR="0027734B">
        <w:t>13).</w:t>
      </w:r>
      <w:r w:rsidR="009F6B32">
        <w:t xml:space="preserve"> Thereafter it continues north </w:t>
      </w:r>
      <w:r w:rsidR="0027734B">
        <w:t>following a field-edge track for approximately 370 metres and then turn</w:t>
      </w:r>
      <w:r w:rsidR="009F6B32">
        <w:t>s</w:t>
      </w:r>
      <w:r w:rsidR="0027734B">
        <w:t xml:space="preserve"> left </w:t>
      </w:r>
      <w:r w:rsidR="00510AEA">
        <w:t xml:space="preserve">(west) </w:t>
      </w:r>
      <w:r w:rsidR="0027734B">
        <w:t>and continue</w:t>
      </w:r>
      <w:r w:rsidR="00510AEA">
        <w:t>s</w:t>
      </w:r>
      <w:r w:rsidR="0027734B">
        <w:t xml:space="preserve"> on a farm track in a westerly direction for 575 metres to reach Humby Road (near </w:t>
      </w:r>
      <w:r w:rsidR="00510AEA">
        <w:t>the</w:t>
      </w:r>
      <w:r w:rsidR="0027734B">
        <w:t xml:space="preserve"> telephone exchange). </w:t>
      </w:r>
      <w:r w:rsidR="00510AEA">
        <w:t xml:space="preserve">The whole route is </w:t>
      </w:r>
      <w:r w:rsidR="0027734B">
        <w:t>approximately 1,735 metres.</w:t>
      </w:r>
      <w:r w:rsidR="00445759" w:rsidRPr="00445759">
        <w:t xml:space="preserve"> The width</w:t>
      </w:r>
      <w:r w:rsidR="00445759">
        <w:t xml:space="preserve"> of the Order </w:t>
      </w:r>
      <w:r w:rsidR="00445759" w:rsidRPr="00445759">
        <w:t>route varie</w:t>
      </w:r>
      <w:r w:rsidR="00445759">
        <w:t xml:space="preserve">s between </w:t>
      </w:r>
      <w:r w:rsidR="00445759" w:rsidRPr="00445759">
        <w:t>4.4</w:t>
      </w:r>
      <w:r w:rsidR="00445759">
        <w:t xml:space="preserve">-12 metres. </w:t>
      </w:r>
      <w:bookmarkEnd w:id="0"/>
      <w:bookmarkEnd w:id="1"/>
    </w:p>
    <w:p w14:paraId="359A0EF1" w14:textId="77777777" w:rsidR="00120F1E" w:rsidRDefault="00320459" w:rsidP="00120F1E">
      <w:pPr>
        <w:pStyle w:val="Style1"/>
        <w:tabs>
          <w:tab w:val="clear" w:pos="720"/>
        </w:tabs>
        <w:ind w:left="510" w:hanging="510"/>
      </w:pPr>
      <w:r w:rsidRPr="00320459">
        <w:t xml:space="preserve">Land Registry Records </w:t>
      </w:r>
      <w:r w:rsidR="00404D70">
        <w:t xml:space="preserve">indicate that </w:t>
      </w:r>
      <w:r w:rsidRPr="00320459">
        <w:t>the majority of the</w:t>
      </w:r>
      <w:r w:rsidR="00404D70">
        <w:t xml:space="preserve"> Order</w:t>
      </w:r>
      <w:r w:rsidRPr="00320459">
        <w:t xml:space="preserve"> route</w:t>
      </w:r>
      <w:r w:rsidR="00404D70">
        <w:t xml:space="preserve"> is</w:t>
      </w:r>
      <w:r w:rsidRPr="00320459">
        <w:t xml:space="preserve"> unregistered.</w:t>
      </w:r>
      <w:r w:rsidR="00404D70">
        <w:t xml:space="preserve"> One landowner (</w:t>
      </w:r>
      <w:r w:rsidRPr="00320459">
        <w:t>Yareal Humby Limited</w:t>
      </w:r>
      <w:r w:rsidR="00E57173">
        <w:t xml:space="preserve"> (YHL)</w:t>
      </w:r>
      <w:r w:rsidR="00404D70">
        <w:t xml:space="preserve">) was identified </w:t>
      </w:r>
      <w:r w:rsidR="005D3CDB">
        <w:t xml:space="preserve">and served the appropriate notice. </w:t>
      </w:r>
    </w:p>
    <w:p w14:paraId="39671C6A" w14:textId="0D59AC3F" w:rsidR="00120F1E" w:rsidRDefault="00584D78" w:rsidP="00120F1E">
      <w:pPr>
        <w:pStyle w:val="Style1"/>
        <w:tabs>
          <w:tab w:val="clear" w:pos="720"/>
        </w:tabs>
        <w:ind w:left="510" w:hanging="510"/>
      </w:pPr>
      <w:r>
        <w:t xml:space="preserve">Two </w:t>
      </w:r>
      <w:r w:rsidR="00E57173">
        <w:t xml:space="preserve">objections (YHL and Mr &amp; Mrs Allen of Oaklands, Lenton Road) were received in response </w:t>
      </w:r>
      <w:r>
        <w:t>the OMA’s publication of the Order</w:t>
      </w:r>
      <w:r w:rsidR="00E57173">
        <w:t>. L</w:t>
      </w:r>
      <w:r w:rsidR="00036D2D">
        <w:t>etter</w:t>
      </w:r>
      <w:r w:rsidR="00E57173">
        <w:t>s</w:t>
      </w:r>
      <w:r w:rsidR="00036D2D">
        <w:t xml:space="preserve"> dated </w:t>
      </w:r>
      <w:r w:rsidR="00684F03">
        <w:t xml:space="preserve">22 </w:t>
      </w:r>
      <w:r w:rsidR="00E57173">
        <w:t>and</w:t>
      </w:r>
      <w:r w:rsidR="00684F03">
        <w:t xml:space="preserve"> </w:t>
      </w:r>
      <w:r w:rsidR="00E57173">
        <w:t xml:space="preserve">28 July </w:t>
      </w:r>
      <w:r w:rsidR="00684F03">
        <w:t xml:space="preserve">2025 from Withers LLP </w:t>
      </w:r>
      <w:r w:rsidR="00E57173">
        <w:t>and the Allen’s respectively</w:t>
      </w:r>
      <w:r w:rsidR="00ED4AE4">
        <w:t>,</w:t>
      </w:r>
      <w:r w:rsidR="00E57173">
        <w:t xml:space="preserve"> </w:t>
      </w:r>
      <w:r w:rsidR="00684F03">
        <w:t xml:space="preserve">confirm the withdrawal of </w:t>
      </w:r>
      <w:r w:rsidR="00E57173">
        <w:t>both objections.</w:t>
      </w:r>
      <w:r w:rsidR="005F3EB0">
        <w:t xml:space="preserve"> </w:t>
      </w:r>
      <w:r w:rsidR="00C21D8C">
        <w:t xml:space="preserve">Although the Inspectorate received comments from Rowena </w:t>
      </w:r>
      <w:r w:rsidR="00482B46">
        <w:t xml:space="preserve">Ward-Barrow, these are not considered to constitute an objection. </w:t>
      </w:r>
    </w:p>
    <w:p w14:paraId="0BF0494B" w14:textId="43B9D444" w:rsidR="00C24D49" w:rsidRDefault="00C24D49" w:rsidP="00120F1E">
      <w:pPr>
        <w:pStyle w:val="Style1"/>
        <w:tabs>
          <w:tab w:val="clear" w:pos="720"/>
        </w:tabs>
      </w:pPr>
      <w:r>
        <w:lastRenderedPageBreak/>
        <w:t>As t</w:t>
      </w:r>
      <w:r w:rsidRPr="008F084C">
        <w:t>he</w:t>
      </w:r>
      <w:r>
        <w:t>re are no outstanding objections to the Order</w:t>
      </w:r>
      <w:r w:rsidR="00120F1E">
        <w:t>,</w:t>
      </w:r>
      <w:r w:rsidRPr="00C24D49">
        <w:t xml:space="preserve"> </w:t>
      </w:r>
      <w:r>
        <w:t xml:space="preserve">a site visit was not considered necessary. </w:t>
      </w:r>
    </w:p>
    <w:p w14:paraId="0FCBA878" w14:textId="12A48AA5" w:rsidR="00FA0F48" w:rsidRPr="00FA0F48" w:rsidRDefault="009B2B39" w:rsidP="00FA0F48">
      <w:pPr>
        <w:pStyle w:val="Heading6blackfont"/>
        <w:rPr>
          <w:rFonts w:cs="Arial"/>
          <w:szCs w:val="24"/>
        </w:rPr>
      </w:pPr>
      <w:r w:rsidRPr="004A61B1">
        <w:rPr>
          <w:rFonts w:cs="Arial"/>
          <w:szCs w:val="24"/>
        </w:rPr>
        <w:t>Main Issues</w:t>
      </w:r>
    </w:p>
    <w:p w14:paraId="0098B166" w14:textId="77777777" w:rsidR="006A08B2" w:rsidRDefault="006A08B2" w:rsidP="00120F1E">
      <w:pPr>
        <w:pStyle w:val="Style1"/>
        <w:tabs>
          <w:tab w:val="clear" w:pos="720"/>
        </w:tabs>
      </w:pPr>
      <w:r>
        <w:t>The Order has been made under section 53(2)(b) of the 1981 Act in consequence of an event specified in section 53(3)(c)(i).</w:t>
      </w:r>
    </w:p>
    <w:p w14:paraId="2883BF37" w14:textId="34F0F24D" w:rsidR="006A08B2" w:rsidRDefault="006A08B2" w:rsidP="00120F1E">
      <w:pPr>
        <w:pStyle w:val="Style1"/>
        <w:tabs>
          <w:tab w:val="clear" w:pos="720"/>
        </w:tabs>
      </w:pPr>
      <w:r>
        <w:t xml:space="preserve">The main issue is whether the discovery by the </w:t>
      </w:r>
      <w:r w:rsidR="00FB479E">
        <w:t xml:space="preserve">OMA </w:t>
      </w:r>
      <w:r>
        <w:t>of evidence, when considered with all other relevant evidence, is sufficient to show that a right of way which is not shown in the map and statement subsists over the land to which the map relates. The test to be applied to the evidence is on the balance of probabilities.</w:t>
      </w:r>
    </w:p>
    <w:p w14:paraId="176B92FF" w14:textId="7FAD22B5" w:rsidR="006A08B2" w:rsidRDefault="006A08B2" w:rsidP="00120F1E">
      <w:pPr>
        <w:pStyle w:val="Style1"/>
        <w:tabs>
          <w:tab w:val="clear" w:pos="720"/>
        </w:tabs>
      </w:pPr>
      <w:r>
        <w:t>The Council rely on statutory dedication of the way under Section 31 of the Highways Act 1980 which provides that where a way, other than a way of such a character that use of it could not give rise at common law to any presumption of dedication, has been actually enjoyed by the public, as of right and without interruption, for a period of twenty years, the way is deemed to have been dedicated as a highway unless there is sufficient evidence that the landowner demonstrated a lack of any intention during this period to dedicate the route. The 20-year period applies retrospectively from the date on which the right of</w:t>
      </w:r>
      <w:r w:rsidR="000865EF">
        <w:t xml:space="preserve"> </w:t>
      </w:r>
      <w:r w:rsidR="000865EF" w:rsidRPr="000865EF">
        <w:t>the route was brought into question.</w:t>
      </w:r>
    </w:p>
    <w:p w14:paraId="50572054" w14:textId="77777777" w:rsidR="009B2B39" w:rsidRDefault="009B2B39" w:rsidP="00F67D35">
      <w:pPr>
        <w:pStyle w:val="Heading6blackfont"/>
        <w:rPr>
          <w:rFonts w:cs="Arial"/>
          <w:szCs w:val="24"/>
        </w:rPr>
      </w:pPr>
      <w:r w:rsidRPr="004A61B1">
        <w:rPr>
          <w:rFonts w:cs="Arial"/>
          <w:szCs w:val="24"/>
        </w:rPr>
        <w:t>Reasons</w:t>
      </w:r>
    </w:p>
    <w:p w14:paraId="1BA60D06" w14:textId="77777777" w:rsidR="003A6786" w:rsidRPr="003A6786" w:rsidRDefault="003A6786" w:rsidP="003A6786">
      <w:pPr>
        <w:pStyle w:val="Style1"/>
        <w:numPr>
          <w:ilvl w:val="0"/>
          <w:numId w:val="0"/>
        </w:numPr>
        <w:ind w:left="510" w:hanging="510"/>
        <w:rPr>
          <w:b/>
          <w:bCs/>
        </w:rPr>
      </w:pPr>
      <w:r w:rsidRPr="003A6786">
        <w:rPr>
          <w:b/>
          <w:bCs/>
          <w:i/>
          <w:iCs/>
        </w:rPr>
        <w:t>Statutory dedication – Section 31 of the Highways Act 1980</w:t>
      </w:r>
    </w:p>
    <w:p w14:paraId="749A7F21" w14:textId="0468776C" w:rsidR="003A6786" w:rsidRPr="003A6786" w:rsidRDefault="003A6786" w:rsidP="003A6786">
      <w:pPr>
        <w:pStyle w:val="Style1"/>
        <w:numPr>
          <w:ilvl w:val="0"/>
          <w:numId w:val="0"/>
        </w:numPr>
        <w:ind w:left="510" w:hanging="510"/>
        <w:rPr>
          <w:i/>
          <w:iCs/>
        </w:rPr>
      </w:pPr>
      <w:r w:rsidRPr="003A6786">
        <w:rPr>
          <w:i/>
          <w:iCs/>
        </w:rPr>
        <w:t>When the right to use the way was brought into question</w:t>
      </w:r>
    </w:p>
    <w:p w14:paraId="159087B5" w14:textId="7A7B9778" w:rsidR="008221FC" w:rsidRDefault="008221FC" w:rsidP="00120F1E">
      <w:pPr>
        <w:pStyle w:val="Style1"/>
        <w:tabs>
          <w:tab w:val="clear" w:pos="720"/>
        </w:tabs>
      </w:pPr>
      <w:r>
        <w:t>As explained above, the 20-year period is calculated retrospectively from the date the</w:t>
      </w:r>
      <w:r w:rsidR="00FB479E">
        <w:t xml:space="preserve"> public’s </w:t>
      </w:r>
      <w:r>
        <w:t>right to use the</w:t>
      </w:r>
      <w:r w:rsidR="00FB479E">
        <w:t xml:space="preserve"> route </w:t>
      </w:r>
      <w:r w:rsidR="003F4EA7">
        <w:t>was</w:t>
      </w:r>
      <w:r>
        <w:t xml:space="preserve"> brought into question. The OMA’s Statement of Reasons (SoR) considers in some detail when the </w:t>
      </w:r>
      <w:r w:rsidR="00616421">
        <w:t>public’s</w:t>
      </w:r>
      <w:r>
        <w:t xml:space="preserve"> right to use the route was first brought into question (see paragraphs 5.38-5.65). </w:t>
      </w:r>
    </w:p>
    <w:p w14:paraId="4DD72689" w14:textId="1A38F048" w:rsidR="00912C36" w:rsidRDefault="008221FC" w:rsidP="00120F1E">
      <w:pPr>
        <w:pStyle w:val="Style1"/>
        <w:tabs>
          <w:tab w:val="clear" w:pos="720"/>
        </w:tabs>
      </w:pPr>
      <w:r>
        <w:t>Having carefully considered all the relevant evidence</w:t>
      </w:r>
      <w:r w:rsidR="003F4EA7">
        <w:t>,</w:t>
      </w:r>
      <w:r>
        <w:t xml:space="preserve"> I concur with the OMA that the locking of the gates on Humby Road and the installation of notices between points C-D-E prohibiting access beyond F</w:t>
      </w:r>
      <w:r w:rsidR="008F1EB5">
        <w:t xml:space="preserve">P13 </w:t>
      </w:r>
      <w:r>
        <w:t>in 2005</w:t>
      </w:r>
      <w:r w:rsidR="003F4EA7">
        <w:t>,</w:t>
      </w:r>
      <w:r>
        <w:t xml:space="preserve"> were the first overt acts by the landowner </w:t>
      </w:r>
      <w:r w:rsidR="003F4EA7">
        <w:t>which c</w:t>
      </w:r>
      <w:r>
        <w:t>hallenge</w:t>
      </w:r>
      <w:r w:rsidR="003F4EA7">
        <w:t>d</w:t>
      </w:r>
      <w:r w:rsidR="008F1EB5">
        <w:t xml:space="preserve"> the public’s</w:t>
      </w:r>
      <w:r>
        <w:t xml:space="preserve"> use of the</w:t>
      </w:r>
      <w:r w:rsidR="008F1EB5">
        <w:t xml:space="preserve"> route</w:t>
      </w:r>
      <w:r w:rsidR="003F4EA7">
        <w:t xml:space="preserve"> ‘as of right’</w:t>
      </w:r>
      <w:r>
        <w:t xml:space="preserve">. The 20-year period </w:t>
      </w:r>
      <w:r w:rsidR="008F1EB5" w:rsidRPr="009E5934">
        <w:t>under consideration is therefore</w:t>
      </w:r>
      <w:r>
        <w:t xml:space="preserve"> 1985 to 2005.</w:t>
      </w:r>
      <w:r w:rsidR="00F708CC">
        <w:t xml:space="preserve"> </w:t>
      </w:r>
    </w:p>
    <w:p w14:paraId="0464FAA2" w14:textId="1E38E380" w:rsidR="008173CE" w:rsidRPr="008173CE" w:rsidRDefault="008173CE" w:rsidP="008173CE">
      <w:pPr>
        <w:pStyle w:val="Style1"/>
        <w:numPr>
          <w:ilvl w:val="0"/>
          <w:numId w:val="0"/>
        </w:numPr>
        <w:rPr>
          <w:i/>
          <w:iCs/>
        </w:rPr>
      </w:pPr>
      <w:r w:rsidRPr="008173CE">
        <w:rPr>
          <w:i/>
          <w:iCs/>
        </w:rPr>
        <w:t>Evidence of use 19</w:t>
      </w:r>
      <w:r w:rsidR="0021647D">
        <w:rPr>
          <w:i/>
          <w:iCs/>
        </w:rPr>
        <w:t>8</w:t>
      </w:r>
      <w:r w:rsidR="008F1EB5">
        <w:rPr>
          <w:i/>
          <w:iCs/>
        </w:rPr>
        <w:t>5</w:t>
      </w:r>
      <w:r w:rsidRPr="008173CE">
        <w:rPr>
          <w:i/>
          <w:iCs/>
        </w:rPr>
        <w:t xml:space="preserve"> to 20</w:t>
      </w:r>
      <w:r w:rsidR="0021647D">
        <w:rPr>
          <w:i/>
          <w:iCs/>
        </w:rPr>
        <w:t>0</w:t>
      </w:r>
      <w:r w:rsidR="008F1EB5">
        <w:rPr>
          <w:i/>
          <w:iCs/>
        </w:rPr>
        <w:t>5</w:t>
      </w:r>
    </w:p>
    <w:p w14:paraId="424E5C03" w14:textId="6B312CD8" w:rsidR="003F0B14" w:rsidRDefault="008D3E4F" w:rsidP="00120F1E">
      <w:pPr>
        <w:pStyle w:val="Style1"/>
        <w:tabs>
          <w:tab w:val="clear" w:pos="720"/>
        </w:tabs>
      </w:pPr>
      <w:r>
        <w:t xml:space="preserve">The application was supported by </w:t>
      </w:r>
      <w:r w:rsidR="00585C92">
        <w:t>29 User Evidence Forms (UEFs)</w:t>
      </w:r>
      <w:r w:rsidR="00755024">
        <w:t xml:space="preserve"> and a number of written </w:t>
      </w:r>
      <w:r w:rsidR="003F0B14">
        <w:t>statements</w:t>
      </w:r>
      <w:r w:rsidR="00755024">
        <w:t xml:space="preserve">. The OMA </w:t>
      </w:r>
      <w:r w:rsidR="003F0B14">
        <w:t>refers</w:t>
      </w:r>
      <w:r w:rsidR="00755024">
        <w:t xml:space="preserve"> to </w:t>
      </w:r>
      <w:r w:rsidR="003F0B14">
        <w:t>a total of 40 witnesses who used the route</w:t>
      </w:r>
      <w:r w:rsidR="000C2899">
        <w:t xml:space="preserve"> between 1</w:t>
      </w:r>
      <w:r w:rsidR="0076697B">
        <w:t xml:space="preserve">985-2005. </w:t>
      </w:r>
      <w:r w:rsidR="00165882">
        <w:t xml:space="preserve">30 </w:t>
      </w:r>
      <w:r w:rsidR="006224F8">
        <w:t>of those</w:t>
      </w:r>
      <w:r w:rsidR="00165882">
        <w:t xml:space="preserve"> used the route regularly and n</w:t>
      </w:r>
      <w:r w:rsidR="008B683D">
        <w:t>ine</w:t>
      </w:r>
      <w:r w:rsidR="006224F8">
        <w:t xml:space="preserve"> have</w:t>
      </w:r>
      <w:r w:rsidR="008B683D">
        <w:t xml:space="preserve"> confirmed </w:t>
      </w:r>
      <w:r w:rsidR="006224F8">
        <w:t xml:space="preserve">their </w:t>
      </w:r>
      <w:r w:rsidR="008B683D">
        <w:t xml:space="preserve">use over the full 20-year period. The majority of </w:t>
      </w:r>
      <w:r w:rsidR="00165882">
        <w:t xml:space="preserve">witnesses </w:t>
      </w:r>
      <w:r w:rsidR="008B683D">
        <w:t xml:space="preserve">used the </w:t>
      </w:r>
      <w:r w:rsidR="00FE1AC5">
        <w:t xml:space="preserve">whole order route. </w:t>
      </w:r>
    </w:p>
    <w:p w14:paraId="50FDBAD3" w14:textId="0A8275EF" w:rsidR="00557ADF" w:rsidRDefault="00585C92" w:rsidP="00120F1E">
      <w:pPr>
        <w:pStyle w:val="Style1"/>
        <w:tabs>
          <w:tab w:val="clear" w:pos="720"/>
        </w:tabs>
      </w:pPr>
      <w:r>
        <w:t xml:space="preserve">While </w:t>
      </w:r>
      <w:r w:rsidR="00964954">
        <w:t xml:space="preserve">the evidence of some users </w:t>
      </w:r>
      <w:r w:rsidR="00092FF6">
        <w:t xml:space="preserve">should be </w:t>
      </w:r>
      <w:r w:rsidR="00C17716">
        <w:t>discounted, the</w:t>
      </w:r>
      <w:r w:rsidR="008B683D">
        <w:t xml:space="preserve"> user evidence </w:t>
      </w:r>
      <w:r w:rsidR="00C17716">
        <w:t>demonstrate</w:t>
      </w:r>
      <w:r w:rsidR="008B683D">
        <w:t>s</w:t>
      </w:r>
      <w:r w:rsidR="00964954">
        <w:t xml:space="preserve"> </w:t>
      </w:r>
      <w:r w:rsidR="006224F8">
        <w:t xml:space="preserve">frequent </w:t>
      </w:r>
      <w:r w:rsidR="00964954">
        <w:t>use of the route by local people</w:t>
      </w:r>
      <w:r w:rsidR="003F4EA7">
        <w:t xml:space="preserve"> on foot,</w:t>
      </w:r>
      <w:r w:rsidR="006224F8">
        <w:t xml:space="preserve"> principally for</w:t>
      </w:r>
      <w:r w:rsidR="00964954">
        <w:t xml:space="preserve"> leisure</w:t>
      </w:r>
      <w:r w:rsidR="006224F8">
        <w:t xml:space="preserve"> purposes</w:t>
      </w:r>
      <w:r w:rsidR="00964954">
        <w:t>. P</w:t>
      </w:r>
      <w:r w:rsidR="00C17716">
        <w:t>rior to 200</w:t>
      </w:r>
      <w:r w:rsidR="00964954">
        <w:t xml:space="preserve">5 there is no evidence to suggest that users were challenged </w:t>
      </w:r>
      <w:r w:rsidR="00964954" w:rsidRPr="00FA0F48">
        <w:t xml:space="preserve">nor </w:t>
      </w:r>
      <w:r w:rsidR="00964954">
        <w:t xml:space="preserve">were </w:t>
      </w:r>
      <w:r w:rsidR="00964954" w:rsidRPr="00FA0F48">
        <w:t>any notices</w:t>
      </w:r>
      <w:r w:rsidR="00964954">
        <w:t xml:space="preserve"> or obstructions</w:t>
      </w:r>
      <w:r w:rsidR="00964954" w:rsidRPr="00FA0F48">
        <w:t xml:space="preserve"> </w:t>
      </w:r>
      <w:r w:rsidR="00964954">
        <w:t xml:space="preserve">erected. </w:t>
      </w:r>
    </w:p>
    <w:p w14:paraId="6E7345DF" w14:textId="273D56FF" w:rsidR="00A62F5E" w:rsidRPr="00A62F5E" w:rsidRDefault="00A62F5E" w:rsidP="00120F1E">
      <w:pPr>
        <w:pStyle w:val="Style1"/>
        <w:tabs>
          <w:tab w:val="clear" w:pos="720"/>
        </w:tabs>
      </w:pPr>
      <w:r w:rsidRPr="00A62F5E">
        <w:t xml:space="preserve">I consider that the level of use during the relevant 20-year period would have been sufficient to bring home to the landowner that a right </w:t>
      </w:r>
      <w:r w:rsidR="005027C1">
        <w:t>was</w:t>
      </w:r>
      <w:r w:rsidRPr="00A62F5E">
        <w:t xml:space="preserve"> being asserted against him</w:t>
      </w:r>
      <w:r w:rsidR="005027C1">
        <w:t xml:space="preserve">. </w:t>
      </w:r>
      <w:r w:rsidRPr="00A62F5E">
        <w:t xml:space="preserve">While a small number of users received permission to walk the routes, most </w:t>
      </w:r>
      <w:r w:rsidRPr="00A62F5E">
        <w:lastRenderedPageBreak/>
        <w:t>did not. There is no substantive evidence to suggest that any use of the Order route was secretive or by force nor that the use was interrupted during the 20-year period.</w:t>
      </w:r>
    </w:p>
    <w:p w14:paraId="03A7E419" w14:textId="13299508" w:rsidR="00004980" w:rsidRDefault="00092FF6" w:rsidP="000279BD">
      <w:pPr>
        <w:pStyle w:val="Style1"/>
        <w:tabs>
          <w:tab w:val="clear" w:pos="720"/>
        </w:tabs>
      </w:pPr>
      <w:r>
        <w:t>A presumption of dedication of a public footpath thereby arises from the user evidence. That being the case it is necessary to consider whether any landowner demonstrated a lack of intention to dedicate the way as a public footpath.</w:t>
      </w:r>
    </w:p>
    <w:p w14:paraId="3CCEFC87" w14:textId="6CCA1638" w:rsidR="008E728E" w:rsidRDefault="008E728E" w:rsidP="0086006E">
      <w:pPr>
        <w:pStyle w:val="Style1"/>
        <w:numPr>
          <w:ilvl w:val="0"/>
          <w:numId w:val="0"/>
        </w:numPr>
        <w:ind w:left="510" w:hanging="510"/>
      </w:pPr>
      <w:r w:rsidRPr="008E728E">
        <w:rPr>
          <w:i/>
          <w:iCs/>
        </w:rPr>
        <w:t>Whether any landowner demonstrated a lack of intention to dedicate</w:t>
      </w:r>
    </w:p>
    <w:p w14:paraId="0A39E2BE" w14:textId="43F01D4F" w:rsidR="002F75F0" w:rsidRDefault="002F75F0" w:rsidP="00120F1E">
      <w:pPr>
        <w:pStyle w:val="Style1"/>
        <w:tabs>
          <w:tab w:val="clear" w:pos="720"/>
        </w:tabs>
      </w:pPr>
      <w:r>
        <w:t>For there to be sufficient evidence that there was no intention to dedicate the way there must be evidence of some overt acts on the part of the landowner, during the relevant period, to show the public who used the path, that they had no intention to dedicate</w:t>
      </w:r>
      <w:r w:rsidR="003F4EA7">
        <w:t xml:space="preserve"> it as a public footpath</w:t>
      </w:r>
      <w:r>
        <w:t>. The test is whether a reasonable user would have understood that the landowner</w:t>
      </w:r>
      <w:r w:rsidR="00A80538">
        <w:t xml:space="preserve"> </w:t>
      </w:r>
      <w:r>
        <w:t xml:space="preserve">was intending to disabuse the user of the notion that the way was public. </w:t>
      </w:r>
    </w:p>
    <w:p w14:paraId="42120822" w14:textId="6B20E515" w:rsidR="00DB4A04" w:rsidRDefault="00B8495D" w:rsidP="000F4D5D">
      <w:pPr>
        <w:pStyle w:val="Style1"/>
        <w:tabs>
          <w:tab w:val="clear" w:pos="720"/>
        </w:tabs>
      </w:pPr>
      <w:r w:rsidRPr="00B8495D">
        <w:t>Correspondence</w:t>
      </w:r>
      <w:r w:rsidR="005131B1">
        <w:t xml:space="preserve"> sent to the OMA </w:t>
      </w:r>
      <w:r w:rsidRPr="00B8495D">
        <w:t>on behalf of the current landowner for the section of path between point</w:t>
      </w:r>
      <w:r w:rsidR="003F4EA7">
        <w:t>s</w:t>
      </w:r>
      <w:r w:rsidRPr="00B8495D">
        <w:t xml:space="preserve"> B-C and his tenant farmer suggests that verbal challenges </w:t>
      </w:r>
      <w:r w:rsidR="005131B1">
        <w:t xml:space="preserve">were </w:t>
      </w:r>
      <w:r w:rsidRPr="00B8495D">
        <w:t xml:space="preserve">made, along with the placement of hay bales and ploughing along the route. </w:t>
      </w:r>
      <w:r w:rsidR="000F4D5D">
        <w:t>However, t</w:t>
      </w:r>
      <w:r w:rsidRPr="00B8495D">
        <w:t>he current tenant</w:t>
      </w:r>
      <w:r w:rsidR="000C7480">
        <w:t xml:space="preserve"> </w:t>
      </w:r>
      <w:r w:rsidR="000F4D5D">
        <w:t xml:space="preserve">only </w:t>
      </w:r>
      <w:r w:rsidR="000C7480">
        <w:t xml:space="preserve">farmed the land since </w:t>
      </w:r>
      <w:r w:rsidRPr="00B8495D">
        <w:t>2005</w:t>
      </w:r>
      <w:r w:rsidR="000F4D5D">
        <w:t>. These actions are therefore outside the relevant 20-year period.</w:t>
      </w:r>
    </w:p>
    <w:p w14:paraId="61FE85D0" w14:textId="65B6385B" w:rsidR="00CA2C5B" w:rsidRDefault="00577EEC" w:rsidP="000F4D5D">
      <w:pPr>
        <w:pStyle w:val="Style1"/>
        <w:tabs>
          <w:tab w:val="clear" w:pos="720"/>
        </w:tabs>
      </w:pPr>
      <w:r>
        <w:t>The</w:t>
      </w:r>
      <w:r w:rsidR="00276E31">
        <w:t xml:space="preserve">re is nothing in the evidence to suggest </w:t>
      </w:r>
      <w:r w:rsidR="003E056C">
        <w:t>the landowner took any steps</w:t>
      </w:r>
      <w:r w:rsidR="00F72533">
        <w:t xml:space="preserve"> prior to 2005 </w:t>
      </w:r>
      <w:r w:rsidR="003E056C">
        <w:t>to disabuse the notion that the public’s use of the route was ‘as of right’.</w:t>
      </w:r>
      <w:r w:rsidR="008103A7" w:rsidRPr="008103A7">
        <w:t xml:space="preserve"> The </w:t>
      </w:r>
      <w:r w:rsidR="008103A7">
        <w:t xml:space="preserve">OMA </w:t>
      </w:r>
      <w:r w:rsidR="000F4D5D">
        <w:t xml:space="preserve">has </w:t>
      </w:r>
      <w:r w:rsidR="008103A7">
        <w:t>confirm</w:t>
      </w:r>
      <w:r w:rsidR="000F4D5D">
        <w:t>ed</w:t>
      </w:r>
      <w:r w:rsidR="008103A7">
        <w:t xml:space="preserve"> that it did not </w:t>
      </w:r>
      <w:r w:rsidR="008103A7" w:rsidRPr="008103A7">
        <w:t>receive deposits or declarations under section 31(6) of the Highways Act</w:t>
      </w:r>
      <w:r w:rsidR="008103A7">
        <w:t>.</w:t>
      </w:r>
      <w:r w:rsidR="00120F1E">
        <w:t xml:space="preserve"> </w:t>
      </w:r>
      <w:r w:rsidR="00CA6E33">
        <w:t xml:space="preserve">In light of the foregoing, </w:t>
      </w:r>
      <w:r w:rsidR="00D84965" w:rsidRPr="00296563">
        <w:t>there is insufficient evidence before me to</w:t>
      </w:r>
      <w:r w:rsidR="00296563" w:rsidRPr="00296563">
        <w:t xml:space="preserve"> </w:t>
      </w:r>
      <w:r w:rsidR="00D84965" w:rsidRPr="00296563">
        <w:t>demonstrate a lack of intention to dedicate and as such the dedication of a</w:t>
      </w:r>
      <w:r w:rsidR="00296563" w:rsidRPr="00296563">
        <w:t xml:space="preserve"> </w:t>
      </w:r>
      <w:r w:rsidR="00D84965" w:rsidRPr="00296563">
        <w:t>public footpath on the Order route is made out.</w:t>
      </w:r>
    </w:p>
    <w:p w14:paraId="0BD625E5" w14:textId="581954A5" w:rsidR="00B73A1F" w:rsidRPr="00E97540" w:rsidRDefault="00B73A1F" w:rsidP="00B73A1F">
      <w:pPr>
        <w:pStyle w:val="Style1"/>
        <w:numPr>
          <w:ilvl w:val="0"/>
          <w:numId w:val="0"/>
        </w:numPr>
        <w:rPr>
          <w:b/>
          <w:bCs/>
          <w:i/>
          <w:iCs/>
        </w:rPr>
      </w:pPr>
      <w:r w:rsidRPr="00E97540">
        <w:rPr>
          <w:b/>
          <w:bCs/>
          <w:i/>
          <w:iCs/>
        </w:rPr>
        <w:t xml:space="preserve">Documentary </w:t>
      </w:r>
      <w:r w:rsidR="00E97540" w:rsidRPr="00E97540">
        <w:rPr>
          <w:b/>
          <w:bCs/>
          <w:i/>
          <w:iCs/>
        </w:rPr>
        <w:t>Evidence</w:t>
      </w:r>
    </w:p>
    <w:p w14:paraId="6C3AF3FF" w14:textId="38C645D9" w:rsidR="00B73A1F" w:rsidRPr="00CA2C5B" w:rsidRDefault="00E97540" w:rsidP="00120F1E">
      <w:pPr>
        <w:pStyle w:val="Style1"/>
        <w:tabs>
          <w:tab w:val="clear" w:pos="720"/>
        </w:tabs>
      </w:pPr>
      <w:r>
        <w:t xml:space="preserve">As the case for statutory dedication is made out </w:t>
      </w:r>
      <w:r w:rsidR="000441EB">
        <w:t xml:space="preserve">on the user evidence, it is not necessary for me to consider </w:t>
      </w:r>
      <w:r w:rsidR="00EB463C">
        <w:t>the</w:t>
      </w:r>
      <w:r w:rsidR="000441EB">
        <w:t xml:space="preserve"> </w:t>
      </w:r>
      <w:r w:rsidR="00EB463C">
        <w:t>documentary</w:t>
      </w:r>
      <w:r w:rsidR="000441EB">
        <w:t xml:space="preserve"> evidence</w:t>
      </w:r>
      <w:r w:rsidR="000F4D5D">
        <w:t xml:space="preserve"> which in any event is </w:t>
      </w:r>
      <w:r w:rsidR="00120F1E">
        <w:t>not determinative</w:t>
      </w:r>
      <w:r w:rsidR="00CA3614">
        <w:t>.</w:t>
      </w:r>
      <w:r w:rsidR="00120F1E">
        <w:t xml:space="preserve"> </w:t>
      </w:r>
    </w:p>
    <w:p w14:paraId="32522F3E" w14:textId="28B13031" w:rsidR="00C441A9" w:rsidRPr="006F6BFF" w:rsidRDefault="00C441A9" w:rsidP="00810BAC">
      <w:pPr>
        <w:pStyle w:val="Style1"/>
        <w:numPr>
          <w:ilvl w:val="0"/>
          <w:numId w:val="0"/>
        </w:numPr>
        <w:rPr>
          <w:b/>
          <w:bCs/>
        </w:rPr>
      </w:pPr>
      <w:r w:rsidRPr="006F6BFF">
        <w:rPr>
          <w:b/>
          <w:bCs/>
        </w:rPr>
        <w:t>Conclusions</w:t>
      </w:r>
    </w:p>
    <w:p w14:paraId="78B2EDED" w14:textId="4DAB3C16" w:rsidR="00057D96" w:rsidRDefault="004D5C4F" w:rsidP="00120F1E">
      <w:pPr>
        <w:pStyle w:val="Style1"/>
      </w:pPr>
      <w:r>
        <w:t xml:space="preserve">I </w:t>
      </w:r>
      <w:r w:rsidRPr="004D5C4F">
        <w:t>have found that there is sufficient user evidence to demonstrate use of the Order route</w:t>
      </w:r>
      <w:r w:rsidR="000F4D5D">
        <w:t xml:space="preserve"> </w:t>
      </w:r>
      <w:r w:rsidRPr="004D5C4F">
        <w:t>between 198</w:t>
      </w:r>
      <w:r>
        <w:t>5</w:t>
      </w:r>
      <w:r w:rsidRPr="004D5C4F">
        <w:t xml:space="preserve"> and 200</w:t>
      </w:r>
      <w:r>
        <w:t>5</w:t>
      </w:r>
      <w:r w:rsidRPr="004D5C4F">
        <w:t xml:space="preserve">. There is no evidence that </w:t>
      </w:r>
      <w:r w:rsidR="000F4D5D">
        <w:t xml:space="preserve">the </w:t>
      </w:r>
      <w:r w:rsidRPr="004D5C4F">
        <w:t>use was interrupted or that it was not ‘as of right’. I have not identified any evidence to show a lack of intention to dedicate a public right of way over the Order route within the 20-year period.</w:t>
      </w:r>
      <w:r>
        <w:t xml:space="preserve"> </w:t>
      </w:r>
      <w:r w:rsidRPr="004D5C4F">
        <w:t>I am</w:t>
      </w:r>
      <w:r>
        <w:t xml:space="preserve"> therefore</w:t>
      </w:r>
      <w:r w:rsidRPr="004D5C4F">
        <w:t xml:space="preserve"> satisfied</w:t>
      </w:r>
      <w:r>
        <w:t xml:space="preserve"> </w:t>
      </w:r>
      <w:r w:rsidRPr="004D5C4F">
        <w:t xml:space="preserve">that the Order route should be recorded as </w:t>
      </w:r>
      <w:r>
        <w:t xml:space="preserve">a </w:t>
      </w:r>
      <w:r w:rsidRPr="004D5C4F">
        <w:t>public footpath.</w:t>
      </w:r>
      <w:r>
        <w:t xml:space="preserve"> </w:t>
      </w:r>
      <w:r w:rsidRPr="004D5C4F">
        <w:t>Having regard to these and all other matters raised I conclude that the Order should be confirmed.</w:t>
      </w:r>
    </w:p>
    <w:p w14:paraId="035E9B5C" w14:textId="723BFBC7" w:rsidR="00057D96" w:rsidRPr="00057D96" w:rsidRDefault="00057D96" w:rsidP="00057D96">
      <w:pPr>
        <w:pStyle w:val="Style1"/>
        <w:numPr>
          <w:ilvl w:val="0"/>
          <w:numId w:val="0"/>
        </w:numPr>
        <w:rPr>
          <w:b/>
          <w:bCs/>
        </w:rPr>
      </w:pPr>
      <w:r w:rsidRPr="00057D96">
        <w:rPr>
          <w:b/>
          <w:bCs/>
        </w:rPr>
        <w:t>Formal Decision</w:t>
      </w:r>
    </w:p>
    <w:p w14:paraId="16505186" w14:textId="744036F8" w:rsidR="009B2B39" w:rsidRPr="000F4D5D" w:rsidRDefault="00057D96" w:rsidP="000F4D5D">
      <w:pPr>
        <w:pStyle w:val="Style1"/>
      </w:pPr>
      <w:r>
        <w:t>The Order is confirmed</w:t>
      </w:r>
      <w:r w:rsidR="004D5C4F">
        <w:t xml:space="preserve">. </w:t>
      </w:r>
    </w:p>
    <w:p w14:paraId="0E49E59A" w14:textId="77777777" w:rsidR="000F4D5D" w:rsidRDefault="000F4D5D" w:rsidP="00985933">
      <w:pPr>
        <w:tabs>
          <w:tab w:val="left" w:pos="432"/>
        </w:tabs>
        <w:spacing w:before="180"/>
        <w:outlineLvl w:val="0"/>
        <w:rPr>
          <w:rFonts w:ascii="Monotype Corsiva" w:hAnsi="Monotype Corsiva"/>
          <w:color w:val="000000"/>
          <w:kern w:val="28"/>
          <w:sz w:val="36"/>
          <w:szCs w:val="36"/>
        </w:rPr>
      </w:pPr>
    </w:p>
    <w:p w14:paraId="2254396E" w14:textId="1A9CD952" w:rsidR="009B2B39" w:rsidRPr="00985933" w:rsidRDefault="009B2B39" w:rsidP="00985933">
      <w:pPr>
        <w:tabs>
          <w:tab w:val="left" w:pos="432"/>
        </w:tabs>
        <w:spacing w:before="180"/>
        <w:outlineLvl w:val="0"/>
        <w:rPr>
          <w:rFonts w:ascii="Monotype Corsiva" w:hAnsi="Monotype Corsiva"/>
          <w:color w:val="000000"/>
          <w:kern w:val="28"/>
          <w:sz w:val="36"/>
          <w:szCs w:val="36"/>
        </w:rPr>
      </w:pPr>
      <w:r>
        <w:rPr>
          <w:rFonts w:ascii="Monotype Corsiva" w:hAnsi="Monotype Corsiva"/>
          <w:color w:val="000000"/>
          <w:kern w:val="28"/>
          <w:sz w:val="36"/>
          <w:szCs w:val="36"/>
        </w:rPr>
        <w:t xml:space="preserve">D M Young </w:t>
      </w:r>
    </w:p>
    <w:p w14:paraId="561D9E35" w14:textId="59D4FE92" w:rsidR="007845FA" w:rsidRPr="000F4D5D" w:rsidRDefault="009B2B39" w:rsidP="000F4D5D">
      <w:pPr>
        <w:tabs>
          <w:tab w:val="left" w:pos="432"/>
        </w:tabs>
        <w:spacing w:before="180"/>
        <w:outlineLvl w:val="0"/>
        <w:rPr>
          <w:rFonts w:cs="Arial"/>
          <w:color w:val="000000"/>
          <w:kern w:val="28"/>
          <w:szCs w:val="24"/>
        </w:rPr>
      </w:pPr>
      <w:r w:rsidRPr="004A61B1">
        <w:rPr>
          <w:rFonts w:cs="Arial"/>
          <w:color w:val="000000"/>
          <w:kern w:val="28"/>
          <w:szCs w:val="24"/>
        </w:rPr>
        <w:t>INSPECTOR</w:t>
      </w:r>
    </w:p>
    <w:p w14:paraId="65F1C884" w14:textId="77777777" w:rsidR="007845FA" w:rsidRDefault="007845FA" w:rsidP="007845FA">
      <w:pPr>
        <w:rPr>
          <w:color w:val="000000"/>
          <w:kern w:val="28"/>
          <w:u w:val="single"/>
        </w:rPr>
      </w:pPr>
    </w:p>
    <w:p w14:paraId="2035EFB5" w14:textId="099B3F19" w:rsidR="007845FA" w:rsidRDefault="0086721A" w:rsidP="007845FA">
      <w:pPr>
        <w:rPr>
          <w:color w:val="000000"/>
          <w:kern w:val="28"/>
          <w:u w:val="single"/>
        </w:rPr>
      </w:pPr>
      <w:r w:rsidRPr="0086721A">
        <w:rPr>
          <w:color w:val="000000"/>
          <w:kern w:val="28"/>
          <w:u w:val="single"/>
        </w:rPr>
        <w:t xml:space="preserve">Appendix A –Order Plan </w:t>
      </w:r>
    </w:p>
    <w:p w14:paraId="533CE278" w14:textId="77777777" w:rsidR="007845FA" w:rsidRDefault="007845FA" w:rsidP="007845FA">
      <w:pPr>
        <w:rPr>
          <w:color w:val="000000"/>
          <w:kern w:val="28"/>
          <w:u w:val="single"/>
        </w:rPr>
      </w:pPr>
    </w:p>
    <w:p w14:paraId="63DE4B9F" w14:textId="5039C4BA" w:rsidR="003B30DA" w:rsidRPr="00985933" w:rsidRDefault="00DE1E16" w:rsidP="007845FA">
      <w:r>
        <w:rPr>
          <w:noProof/>
        </w:rPr>
        <w:drawing>
          <wp:inline distT="0" distB="0" distL="0" distR="0" wp14:anchorId="5A629AED" wp14:editId="27390B4C">
            <wp:extent cx="5772150" cy="8194169"/>
            <wp:effectExtent l="0" t="0" r="0" b="0"/>
            <wp:docPr id="1350467105"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67105" name="Picture 1" descr="ORDER MAP"/>
                    <pic:cNvPicPr/>
                  </pic:nvPicPr>
                  <pic:blipFill>
                    <a:blip r:embed="rId8">
                      <a:extLst>
                        <a:ext uri="{28A0092B-C50C-407E-A947-70E740481C1C}">
                          <a14:useLocalDpi xmlns:a14="http://schemas.microsoft.com/office/drawing/2010/main" val="0"/>
                        </a:ext>
                      </a:extLst>
                    </a:blip>
                    <a:stretch>
                      <a:fillRect/>
                    </a:stretch>
                  </pic:blipFill>
                  <pic:spPr>
                    <a:xfrm>
                      <a:off x="0" y="0"/>
                      <a:ext cx="5779008" cy="8203905"/>
                    </a:xfrm>
                    <a:prstGeom prst="rect">
                      <a:avLst/>
                    </a:prstGeom>
                  </pic:spPr>
                </pic:pic>
              </a:graphicData>
            </a:graphic>
          </wp:inline>
        </w:drawing>
      </w:r>
    </w:p>
    <w:sectPr w:rsidR="003B30DA" w:rsidRPr="00985933" w:rsidSect="009B2B39">
      <w:headerReference w:type="default" r:id="rId9"/>
      <w:footerReference w:type="even" r:id="rId10"/>
      <w:footerReference w:type="default" r:id="rId11"/>
      <w:headerReference w:type="first" r:id="rId12"/>
      <w:footerReference w:type="first" r:id="rId13"/>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ADA5" w14:textId="77777777" w:rsidR="003156C4" w:rsidRDefault="003156C4">
      <w:r>
        <w:separator/>
      </w:r>
    </w:p>
  </w:endnote>
  <w:endnote w:type="continuationSeparator" w:id="0">
    <w:p w14:paraId="282FB364" w14:textId="77777777" w:rsidR="003156C4" w:rsidRDefault="0031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708" w14:textId="77777777" w:rsidR="006E4A8A" w:rsidRDefault="00485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52AF9" w14:textId="77777777" w:rsidR="006E4A8A" w:rsidRDefault="006E4A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0ED3" w14:textId="77777777" w:rsidR="006E4A8A" w:rsidRDefault="0048599B">
    <w:pPr>
      <w:pStyle w:val="Noindent"/>
      <w:spacing w:before="120"/>
      <w:jc w:val="center"/>
      <w:rPr>
        <w:rStyle w:val="PageNumber"/>
      </w:rPr>
    </w:pPr>
    <w:r>
      <w:rPr>
        <w:noProof/>
        <w:sz w:val="18"/>
      </w:rPr>
      <mc:AlternateContent>
        <mc:Choice Requires="wps">
          <w:drawing>
            <wp:anchor distT="0" distB="0" distL="114300" distR="114300" simplePos="0" relativeHeight="251665408" behindDoc="0" locked="0" layoutInCell="1" allowOverlap="1" wp14:anchorId="617A0A0F" wp14:editId="4251BDFE">
              <wp:simplePos x="0" y="0"/>
              <wp:positionH relativeFrom="column">
                <wp:posOffset>-2540</wp:posOffset>
              </wp:positionH>
              <wp:positionV relativeFrom="paragraph">
                <wp:posOffset>159385</wp:posOffset>
              </wp:positionV>
              <wp:extent cx="5943600" cy="0"/>
              <wp:effectExtent l="0" t="0" r="0" b="0"/>
              <wp:wrapNone/>
              <wp:docPr id="137925210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4ADA" id="Line 1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05E98C79" w14:textId="77777777" w:rsidR="006E4A8A" w:rsidRPr="00E45340" w:rsidRDefault="006E4A8A" w:rsidP="00E45340">
    <w:pPr>
      <w:pStyle w:val="Footer"/>
      <w:ind w:right="-52"/>
      <w:rPr>
        <w:sz w:val="16"/>
        <w:szCs w:val="16"/>
      </w:rPr>
    </w:pPr>
    <w:hyperlink r:id="rId1" w:history="1">
      <w:r w:rsidRPr="00026922">
        <w:rPr>
          <w:rStyle w:val="Hyperlink"/>
          <w:sz w:val="16"/>
          <w:szCs w:val="16"/>
        </w:rPr>
        <w:t>https://www.gov.uk/planning-inspectorate</w:t>
      </w:r>
    </w:hyperlink>
    <w:r w:rsidR="0048599B">
      <w:rPr>
        <w:sz w:val="16"/>
        <w:szCs w:val="16"/>
      </w:rPr>
      <w:t xml:space="preserve">                          </w:t>
    </w:r>
    <w:r w:rsidR="0048599B">
      <w:rPr>
        <w:rStyle w:val="PageNumber"/>
      </w:rPr>
      <w:fldChar w:fldCharType="begin"/>
    </w:r>
    <w:r w:rsidR="0048599B">
      <w:rPr>
        <w:rStyle w:val="PageNumber"/>
      </w:rPr>
      <w:instrText xml:space="preserve"> PAGE </w:instrText>
    </w:r>
    <w:r w:rsidR="0048599B">
      <w:rPr>
        <w:rStyle w:val="PageNumber"/>
      </w:rPr>
      <w:fldChar w:fldCharType="separate"/>
    </w:r>
    <w:r w:rsidR="0048599B">
      <w:rPr>
        <w:rStyle w:val="PageNumber"/>
        <w:noProof/>
      </w:rPr>
      <w:t>2</w:t>
    </w:r>
    <w:r w:rsidR="0048599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5E59" w14:textId="77777777" w:rsidR="006E4A8A" w:rsidRDefault="0048599B">
    <w:pPr>
      <w:pStyle w:val="Footer"/>
      <w:ind w:right="-52"/>
    </w:pPr>
    <w:r>
      <w:rPr>
        <w:noProof/>
      </w:rPr>
      <mc:AlternateContent>
        <mc:Choice Requires="wps">
          <w:drawing>
            <wp:anchor distT="0" distB="0" distL="114300" distR="114300" simplePos="0" relativeHeight="251663360" behindDoc="0" locked="0" layoutInCell="1" allowOverlap="1" wp14:anchorId="4A96DCD7" wp14:editId="54F29C07">
              <wp:simplePos x="0" y="0"/>
              <wp:positionH relativeFrom="column">
                <wp:posOffset>-2540</wp:posOffset>
              </wp:positionH>
              <wp:positionV relativeFrom="paragraph">
                <wp:posOffset>121285</wp:posOffset>
              </wp:positionV>
              <wp:extent cx="5943600" cy="0"/>
              <wp:effectExtent l="0" t="0" r="0" b="0"/>
              <wp:wrapNone/>
              <wp:docPr id="736433115"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F27E9" id="Line 1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CA12D1C" w14:textId="77777777" w:rsidR="006E4A8A" w:rsidRPr="002E2687" w:rsidRDefault="006E4A8A">
    <w:pPr>
      <w:pStyle w:val="Footer"/>
      <w:ind w:right="-52"/>
      <w:rPr>
        <w:rFonts w:cs="Arial"/>
        <w:sz w:val="16"/>
        <w:szCs w:val="16"/>
      </w:rPr>
    </w:pPr>
    <w:hyperlink r:id="rId1" w:history="1">
      <w:r w:rsidRPr="002E2687">
        <w:rPr>
          <w:rStyle w:val="Hyperlink"/>
          <w:rFonts w:cs="Arial"/>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49A4" w14:textId="77777777" w:rsidR="003156C4" w:rsidRDefault="003156C4">
      <w:r>
        <w:separator/>
      </w:r>
    </w:p>
  </w:footnote>
  <w:footnote w:type="continuationSeparator" w:id="0">
    <w:p w14:paraId="0620F00F" w14:textId="77777777" w:rsidR="003156C4" w:rsidRDefault="0031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CE5A1BF" w14:textId="77777777">
      <w:tc>
        <w:tcPr>
          <w:tcW w:w="9520" w:type="dxa"/>
        </w:tcPr>
        <w:p w14:paraId="43DAD336" w14:textId="77777777" w:rsidR="006E4A8A" w:rsidRDefault="006E4A8A">
          <w:pPr>
            <w:pStyle w:val="Footer"/>
          </w:pPr>
        </w:p>
      </w:tc>
    </w:tr>
  </w:tbl>
  <w:p w14:paraId="507B0223" w14:textId="77777777" w:rsidR="006E4A8A" w:rsidRDefault="0048599B" w:rsidP="00087477">
    <w:pPr>
      <w:pStyle w:val="Footer"/>
      <w:spacing w:after="180"/>
    </w:pPr>
    <w:r>
      <w:rPr>
        <w:noProof/>
      </w:rPr>
      <mc:AlternateContent>
        <mc:Choice Requires="wps">
          <w:drawing>
            <wp:anchor distT="0" distB="0" distL="114300" distR="114300" simplePos="0" relativeHeight="251664384" behindDoc="0" locked="0" layoutInCell="1" allowOverlap="1" wp14:anchorId="5539057C" wp14:editId="0A85992B">
              <wp:simplePos x="0" y="0"/>
              <wp:positionH relativeFrom="column">
                <wp:posOffset>0</wp:posOffset>
              </wp:positionH>
              <wp:positionV relativeFrom="paragraph">
                <wp:posOffset>114300</wp:posOffset>
              </wp:positionV>
              <wp:extent cx="5943600" cy="0"/>
              <wp:effectExtent l="0" t="0" r="0" b="0"/>
              <wp:wrapNone/>
              <wp:docPr id="1100439346"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24CF7" id="Line 14"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48C2" w14:textId="77777777" w:rsidR="006E4A8A" w:rsidRDefault="0048599B">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B6F5065"/>
    <w:multiLevelType w:val="hybridMultilevel"/>
    <w:tmpl w:val="E6F86BC6"/>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326258D0"/>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64B0C65"/>
    <w:multiLevelType w:val="hybridMultilevel"/>
    <w:tmpl w:val="7E3C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9400393">
    <w:abstractNumId w:val="21"/>
  </w:num>
  <w:num w:numId="2" w16cid:durableId="1840267079">
    <w:abstractNumId w:val="10"/>
  </w:num>
  <w:num w:numId="3" w16cid:durableId="554509576">
    <w:abstractNumId w:val="18"/>
  </w:num>
  <w:num w:numId="4" w16cid:durableId="587732463">
    <w:abstractNumId w:val="0"/>
  </w:num>
  <w:num w:numId="5" w16cid:durableId="1595553506">
    <w:abstractNumId w:val="9"/>
  </w:num>
  <w:num w:numId="6" w16cid:durableId="688801659">
    <w:abstractNumId w:val="17"/>
  </w:num>
  <w:num w:numId="7" w16cid:durableId="1867599505">
    <w:abstractNumId w:val="22"/>
  </w:num>
  <w:num w:numId="8" w16cid:durableId="842475900">
    <w:abstractNumId w:val="16"/>
  </w:num>
  <w:num w:numId="9" w16cid:durableId="78337589">
    <w:abstractNumId w:val="3"/>
  </w:num>
  <w:num w:numId="10" w16cid:durableId="341081291">
    <w:abstractNumId w:val="4"/>
  </w:num>
  <w:num w:numId="11" w16cid:durableId="1273855403">
    <w:abstractNumId w:val="12"/>
  </w:num>
  <w:num w:numId="12" w16cid:durableId="1004743632">
    <w:abstractNumId w:val="13"/>
  </w:num>
  <w:num w:numId="13" w16cid:durableId="1713723029">
    <w:abstractNumId w:val="7"/>
  </w:num>
  <w:num w:numId="14" w16cid:durableId="1975326779">
    <w:abstractNumId w:val="11"/>
  </w:num>
  <w:num w:numId="15" w16cid:durableId="61948684">
    <w:abstractNumId w:val="14"/>
  </w:num>
  <w:num w:numId="16" w16cid:durableId="1156453278">
    <w:abstractNumId w:val="1"/>
  </w:num>
  <w:num w:numId="17" w16cid:durableId="1961840869">
    <w:abstractNumId w:val="15"/>
  </w:num>
  <w:num w:numId="18" w16cid:durableId="194275261">
    <w:abstractNumId w:val="5"/>
  </w:num>
  <w:num w:numId="19" w16cid:durableId="546259836">
    <w:abstractNumId w:val="2"/>
  </w:num>
  <w:num w:numId="20" w16cid:durableId="1291401211">
    <w:abstractNumId w:val="6"/>
  </w:num>
  <w:num w:numId="21" w16cid:durableId="516693881">
    <w:abstractNumId w:val="19"/>
  </w:num>
  <w:num w:numId="22" w16cid:durableId="1514494834">
    <w:abstractNumId w:val="20"/>
  </w:num>
  <w:num w:numId="23" w16cid:durableId="882325922">
    <w:abstractNumId w:val="8"/>
  </w:num>
  <w:num w:numId="24" w16cid:durableId="955527349">
    <w:abstractNumId w:val="10"/>
  </w:num>
  <w:num w:numId="25" w16cid:durableId="1279143889">
    <w:abstractNumId w:val="10"/>
  </w:num>
  <w:num w:numId="26" w16cid:durableId="879051676">
    <w:abstractNumId w:val="10"/>
  </w:num>
  <w:num w:numId="27" w16cid:durableId="1187906313">
    <w:abstractNumId w:val="10"/>
  </w:num>
  <w:num w:numId="28" w16cid:durableId="622078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39"/>
    <w:rsid w:val="00004980"/>
    <w:rsid w:val="00020E4E"/>
    <w:rsid w:val="000279BD"/>
    <w:rsid w:val="00036D2D"/>
    <w:rsid w:val="00036F88"/>
    <w:rsid w:val="00040F9F"/>
    <w:rsid w:val="000416CD"/>
    <w:rsid w:val="000441EB"/>
    <w:rsid w:val="000525B8"/>
    <w:rsid w:val="00056C55"/>
    <w:rsid w:val="00057D96"/>
    <w:rsid w:val="00062374"/>
    <w:rsid w:val="000716A8"/>
    <w:rsid w:val="000720A0"/>
    <w:rsid w:val="00075A25"/>
    <w:rsid w:val="0007779A"/>
    <w:rsid w:val="00082633"/>
    <w:rsid w:val="000865EF"/>
    <w:rsid w:val="00092FF6"/>
    <w:rsid w:val="00097587"/>
    <w:rsid w:val="000A3E04"/>
    <w:rsid w:val="000A7F86"/>
    <w:rsid w:val="000B2C6F"/>
    <w:rsid w:val="000B687F"/>
    <w:rsid w:val="000C0CE4"/>
    <w:rsid w:val="000C2899"/>
    <w:rsid w:val="000C7480"/>
    <w:rsid w:val="000D1EB1"/>
    <w:rsid w:val="000D203A"/>
    <w:rsid w:val="000D6414"/>
    <w:rsid w:val="000E1E35"/>
    <w:rsid w:val="000E700E"/>
    <w:rsid w:val="000F4D5D"/>
    <w:rsid w:val="0010538B"/>
    <w:rsid w:val="001065DA"/>
    <w:rsid w:val="001119DC"/>
    <w:rsid w:val="00112FCE"/>
    <w:rsid w:val="00120F1E"/>
    <w:rsid w:val="001215E5"/>
    <w:rsid w:val="00127A57"/>
    <w:rsid w:val="001407E0"/>
    <w:rsid w:val="0014415A"/>
    <w:rsid w:val="001634FE"/>
    <w:rsid w:val="0016396C"/>
    <w:rsid w:val="00165882"/>
    <w:rsid w:val="001926A9"/>
    <w:rsid w:val="001962A0"/>
    <w:rsid w:val="00196AA9"/>
    <w:rsid w:val="001A504E"/>
    <w:rsid w:val="001A5B6D"/>
    <w:rsid w:val="001A7522"/>
    <w:rsid w:val="001B3AC6"/>
    <w:rsid w:val="001B3BF8"/>
    <w:rsid w:val="001C2FC2"/>
    <w:rsid w:val="001C57A7"/>
    <w:rsid w:val="001C74B6"/>
    <w:rsid w:val="001D1333"/>
    <w:rsid w:val="001E5E5A"/>
    <w:rsid w:val="001F2F70"/>
    <w:rsid w:val="001F55AA"/>
    <w:rsid w:val="00203540"/>
    <w:rsid w:val="0021647D"/>
    <w:rsid w:val="00230BE7"/>
    <w:rsid w:val="002375DF"/>
    <w:rsid w:val="00240FF3"/>
    <w:rsid w:val="00244E34"/>
    <w:rsid w:val="00265710"/>
    <w:rsid w:val="002713CE"/>
    <w:rsid w:val="00276CE3"/>
    <w:rsid w:val="00276E31"/>
    <w:rsid w:val="0027734B"/>
    <w:rsid w:val="00282948"/>
    <w:rsid w:val="00285F13"/>
    <w:rsid w:val="00292F22"/>
    <w:rsid w:val="00296563"/>
    <w:rsid w:val="002A1885"/>
    <w:rsid w:val="002A548D"/>
    <w:rsid w:val="002D1E09"/>
    <w:rsid w:val="002E08AA"/>
    <w:rsid w:val="002E26F8"/>
    <w:rsid w:val="002F75F0"/>
    <w:rsid w:val="00304790"/>
    <w:rsid w:val="0031355B"/>
    <w:rsid w:val="003156C4"/>
    <w:rsid w:val="00320459"/>
    <w:rsid w:val="00335828"/>
    <w:rsid w:val="00335FDC"/>
    <w:rsid w:val="00340D91"/>
    <w:rsid w:val="00345C3C"/>
    <w:rsid w:val="00350D7E"/>
    <w:rsid w:val="003565AA"/>
    <w:rsid w:val="003602D1"/>
    <w:rsid w:val="00362692"/>
    <w:rsid w:val="0036450B"/>
    <w:rsid w:val="00367165"/>
    <w:rsid w:val="00381170"/>
    <w:rsid w:val="00381BB6"/>
    <w:rsid w:val="00383065"/>
    <w:rsid w:val="00387FB3"/>
    <w:rsid w:val="00390F27"/>
    <w:rsid w:val="00395F18"/>
    <w:rsid w:val="003A6786"/>
    <w:rsid w:val="003B2783"/>
    <w:rsid w:val="003B30DA"/>
    <w:rsid w:val="003B3C98"/>
    <w:rsid w:val="003B6D93"/>
    <w:rsid w:val="003C1012"/>
    <w:rsid w:val="003C5ABB"/>
    <w:rsid w:val="003C6DF4"/>
    <w:rsid w:val="003D1D0B"/>
    <w:rsid w:val="003D25FB"/>
    <w:rsid w:val="003D6667"/>
    <w:rsid w:val="003D68C8"/>
    <w:rsid w:val="003E056C"/>
    <w:rsid w:val="003F0B14"/>
    <w:rsid w:val="003F0D6B"/>
    <w:rsid w:val="003F1AA4"/>
    <w:rsid w:val="003F4EA7"/>
    <w:rsid w:val="00404D70"/>
    <w:rsid w:val="00412F72"/>
    <w:rsid w:val="0043757E"/>
    <w:rsid w:val="00440D2B"/>
    <w:rsid w:val="00445759"/>
    <w:rsid w:val="00446531"/>
    <w:rsid w:val="0045190F"/>
    <w:rsid w:val="00460194"/>
    <w:rsid w:val="00461E1C"/>
    <w:rsid w:val="00463CC3"/>
    <w:rsid w:val="00480A6F"/>
    <w:rsid w:val="00482B46"/>
    <w:rsid w:val="0048599B"/>
    <w:rsid w:val="00485DBE"/>
    <w:rsid w:val="00491AAB"/>
    <w:rsid w:val="00496138"/>
    <w:rsid w:val="004B2B30"/>
    <w:rsid w:val="004C3239"/>
    <w:rsid w:val="004D2905"/>
    <w:rsid w:val="004D5C4F"/>
    <w:rsid w:val="004D5D5C"/>
    <w:rsid w:val="004E592D"/>
    <w:rsid w:val="004E63EE"/>
    <w:rsid w:val="00500BDE"/>
    <w:rsid w:val="005027C1"/>
    <w:rsid w:val="00504B2C"/>
    <w:rsid w:val="00510AEA"/>
    <w:rsid w:val="005131B1"/>
    <w:rsid w:val="00521262"/>
    <w:rsid w:val="005249E9"/>
    <w:rsid w:val="00531438"/>
    <w:rsid w:val="005429D4"/>
    <w:rsid w:val="00546D7F"/>
    <w:rsid w:val="005548C7"/>
    <w:rsid w:val="00557ADF"/>
    <w:rsid w:val="00575EBE"/>
    <w:rsid w:val="00577EEC"/>
    <w:rsid w:val="005825C8"/>
    <w:rsid w:val="00584D78"/>
    <w:rsid w:val="00585C92"/>
    <w:rsid w:val="00587FB4"/>
    <w:rsid w:val="005A212B"/>
    <w:rsid w:val="005A5369"/>
    <w:rsid w:val="005A77F9"/>
    <w:rsid w:val="005B3822"/>
    <w:rsid w:val="005B64E2"/>
    <w:rsid w:val="005C38DA"/>
    <w:rsid w:val="005D3CDB"/>
    <w:rsid w:val="005F3EB0"/>
    <w:rsid w:val="00612A88"/>
    <w:rsid w:val="00616421"/>
    <w:rsid w:val="006224F8"/>
    <w:rsid w:val="00623558"/>
    <w:rsid w:val="00627015"/>
    <w:rsid w:val="00627EE8"/>
    <w:rsid w:val="00630862"/>
    <w:rsid w:val="00634B41"/>
    <w:rsid w:val="00641A79"/>
    <w:rsid w:val="00644AB2"/>
    <w:rsid w:val="00652CD4"/>
    <w:rsid w:val="00655AE2"/>
    <w:rsid w:val="0066145F"/>
    <w:rsid w:val="00670773"/>
    <w:rsid w:val="0068157A"/>
    <w:rsid w:val="006847B0"/>
    <w:rsid w:val="00684F03"/>
    <w:rsid w:val="00685E1F"/>
    <w:rsid w:val="00693A97"/>
    <w:rsid w:val="006A08B2"/>
    <w:rsid w:val="006A20FF"/>
    <w:rsid w:val="006A66CB"/>
    <w:rsid w:val="006A6F99"/>
    <w:rsid w:val="006B555F"/>
    <w:rsid w:val="006C135E"/>
    <w:rsid w:val="006E3D54"/>
    <w:rsid w:val="006E4A8A"/>
    <w:rsid w:val="006E7269"/>
    <w:rsid w:val="006F5EC9"/>
    <w:rsid w:val="006F6BFF"/>
    <w:rsid w:val="007048EF"/>
    <w:rsid w:val="00705670"/>
    <w:rsid w:val="00711E14"/>
    <w:rsid w:val="0071396D"/>
    <w:rsid w:val="00725343"/>
    <w:rsid w:val="00754ED8"/>
    <w:rsid w:val="00755024"/>
    <w:rsid w:val="00765DEB"/>
    <w:rsid w:val="0076697B"/>
    <w:rsid w:val="007679C3"/>
    <w:rsid w:val="0077030D"/>
    <w:rsid w:val="00770548"/>
    <w:rsid w:val="00781F8F"/>
    <w:rsid w:val="007845FA"/>
    <w:rsid w:val="00784C05"/>
    <w:rsid w:val="00784EF4"/>
    <w:rsid w:val="00791D8B"/>
    <w:rsid w:val="00793CE3"/>
    <w:rsid w:val="007B3574"/>
    <w:rsid w:val="007B7A74"/>
    <w:rsid w:val="007C4974"/>
    <w:rsid w:val="007D7D74"/>
    <w:rsid w:val="007E16A1"/>
    <w:rsid w:val="007E1B6C"/>
    <w:rsid w:val="007E4BCA"/>
    <w:rsid w:val="007E7A37"/>
    <w:rsid w:val="00804F03"/>
    <w:rsid w:val="00806799"/>
    <w:rsid w:val="00807368"/>
    <w:rsid w:val="008103A7"/>
    <w:rsid w:val="00810BAC"/>
    <w:rsid w:val="00814190"/>
    <w:rsid w:val="008173CE"/>
    <w:rsid w:val="008221FC"/>
    <w:rsid w:val="00822886"/>
    <w:rsid w:val="00840A5C"/>
    <w:rsid w:val="00841B2D"/>
    <w:rsid w:val="00841ECF"/>
    <w:rsid w:val="00844A81"/>
    <w:rsid w:val="008559B2"/>
    <w:rsid w:val="0086006E"/>
    <w:rsid w:val="00864715"/>
    <w:rsid w:val="0086630A"/>
    <w:rsid w:val="0086721A"/>
    <w:rsid w:val="008706D4"/>
    <w:rsid w:val="008811D1"/>
    <w:rsid w:val="008964CD"/>
    <w:rsid w:val="00896803"/>
    <w:rsid w:val="008B683D"/>
    <w:rsid w:val="008D3E4F"/>
    <w:rsid w:val="008E728E"/>
    <w:rsid w:val="008F084C"/>
    <w:rsid w:val="008F1EB5"/>
    <w:rsid w:val="008F3B02"/>
    <w:rsid w:val="0091109B"/>
    <w:rsid w:val="00912C36"/>
    <w:rsid w:val="00920E1E"/>
    <w:rsid w:val="00930CFB"/>
    <w:rsid w:val="00946F5A"/>
    <w:rsid w:val="00957355"/>
    <w:rsid w:val="00964954"/>
    <w:rsid w:val="00984CEF"/>
    <w:rsid w:val="0099750A"/>
    <w:rsid w:val="009A1A47"/>
    <w:rsid w:val="009B2B39"/>
    <w:rsid w:val="009C01D7"/>
    <w:rsid w:val="009D1FE9"/>
    <w:rsid w:val="009E0529"/>
    <w:rsid w:val="009E23B8"/>
    <w:rsid w:val="009E5934"/>
    <w:rsid w:val="009E7375"/>
    <w:rsid w:val="009F15EA"/>
    <w:rsid w:val="009F1B2D"/>
    <w:rsid w:val="009F28C3"/>
    <w:rsid w:val="009F6B32"/>
    <w:rsid w:val="009F7466"/>
    <w:rsid w:val="00A002F3"/>
    <w:rsid w:val="00A1043B"/>
    <w:rsid w:val="00A10C5F"/>
    <w:rsid w:val="00A23020"/>
    <w:rsid w:val="00A27D82"/>
    <w:rsid w:val="00A347F6"/>
    <w:rsid w:val="00A50367"/>
    <w:rsid w:val="00A57D18"/>
    <w:rsid w:val="00A57E8D"/>
    <w:rsid w:val="00A627CF"/>
    <w:rsid w:val="00A62F5E"/>
    <w:rsid w:val="00A71371"/>
    <w:rsid w:val="00A80538"/>
    <w:rsid w:val="00A85885"/>
    <w:rsid w:val="00A879B7"/>
    <w:rsid w:val="00A933A2"/>
    <w:rsid w:val="00A9614E"/>
    <w:rsid w:val="00AA2F69"/>
    <w:rsid w:val="00AA352E"/>
    <w:rsid w:val="00AA4DC8"/>
    <w:rsid w:val="00AA5674"/>
    <w:rsid w:val="00AB38D6"/>
    <w:rsid w:val="00AB5D9D"/>
    <w:rsid w:val="00AD5767"/>
    <w:rsid w:val="00AD5F8E"/>
    <w:rsid w:val="00AF54EC"/>
    <w:rsid w:val="00B00849"/>
    <w:rsid w:val="00B010CE"/>
    <w:rsid w:val="00B01EA1"/>
    <w:rsid w:val="00B0620F"/>
    <w:rsid w:val="00B17396"/>
    <w:rsid w:val="00B407E1"/>
    <w:rsid w:val="00B44D62"/>
    <w:rsid w:val="00B73395"/>
    <w:rsid w:val="00B73A1F"/>
    <w:rsid w:val="00B8495D"/>
    <w:rsid w:val="00B86575"/>
    <w:rsid w:val="00B877AF"/>
    <w:rsid w:val="00B95A89"/>
    <w:rsid w:val="00BB2146"/>
    <w:rsid w:val="00BB2AB4"/>
    <w:rsid w:val="00BC1569"/>
    <w:rsid w:val="00BC29AB"/>
    <w:rsid w:val="00BC2EBE"/>
    <w:rsid w:val="00BD2BCC"/>
    <w:rsid w:val="00BE4582"/>
    <w:rsid w:val="00BF481E"/>
    <w:rsid w:val="00BF6929"/>
    <w:rsid w:val="00C01B4A"/>
    <w:rsid w:val="00C1520E"/>
    <w:rsid w:val="00C154AE"/>
    <w:rsid w:val="00C16766"/>
    <w:rsid w:val="00C17716"/>
    <w:rsid w:val="00C21D8C"/>
    <w:rsid w:val="00C23C1A"/>
    <w:rsid w:val="00C23F35"/>
    <w:rsid w:val="00C24D49"/>
    <w:rsid w:val="00C2682D"/>
    <w:rsid w:val="00C441A9"/>
    <w:rsid w:val="00C51B3C"/>
    <w:rsid w:val="00C65AD2"/>
    <w:rsid w:val="00C667C1"/>
    <w:rsid w:val="00C90263"/>
    <w:rsid w:val="00C933CB"/>
    <w:rsid w:val="00CA2C5B"/>
    <w:rsid w:val="00CA3614"/>
    <w:rsid w:val="00CA4B4A"/>
    <w:rsid w:val="00CA587E"/>
    <w:rsid w:val="00CA6E33"/>
    <w:rsid w:val="00CE1049"/>
    <w:rsid w:val="00CF077E"/>
    <w:rsid w:val="00CF4984"/>
    <w:rsid w:val="00CF69D3"/>
    <w:rsid w:val="00D035E8"/>
    <w:rsid w:val="00D10C7E"/>
    <w:rsid w:val="00D126FB"/>
    <w:rsid w:val="00D23313"/>
    <w:rsid w:val="00D24232"/>
    <w:rsid w:val="00D3384A"/>
    <w:rsid w:val="00D37099"/>
    <w:rsid w:val="00D420D5"/>
    <w:rsid w:val="00D420D9"/>
    <w:rsid w:val="00D463F2"/>
    <w:rsid w:val="00D52022"/>
    <w:rsid w:val="00D53972"/>
    <w:rsid w:val="00D539D8"/>
    <w:rsid w:val="00D551E8"/>
    <w:rsid w:val="00D63409"/>
    <w:rsid w:val="00D67C61"/>
    <w:rsid w:val="00D84965"/>
    <w:rsid w:val="00D9338D"/>
    <w:rsid w:val="00DA6BDE"/>
    <w:rsid w:val="00DB34CB"/>
    <w:rsid w:val="00DB4A04"/>
    <w:rsid w:val="00DD402A"/>
    <w:rsid w:val="00DE0C34"/>
    <w:rsid w:val="00DE1E16"/>
    <w:rsid w:val="00DF6B30"/>
    <w:rsid w:val="00E05A56"/>
    <w:rsid w:val="00E173BA"/>
    <w:rsid w:val="00E2495E"/>
    <w:rsid w:val="00E35B98"/>
    <w:rsid w:val="00E407E8"/>
    <w:rsid w:val="00E42727"/>
    <w:rsid w:val="00E57173"/>
    <w:rsid w:val="00E576A3"/>
    <w:rsid w:val="00E67FDF"/>
    <w:rsid w:val="00E934BE"/>
    <w:rsid w:val="00E97540"/>
    <w:rsid w:val="00EB463C"/>
    <w:rsid w:val="00EC6105"/>
    <w:rsid w:val="00EC62CD"/>
    <w:rsid w:val="00EC6A2D"/>
    <w:rsid w:val="00ED39D4"/>
    <w:rsid w:val="00ED4AE4"/>
    <w:rsid w:val="00EE2A7E"/>
    <w:rsid w:val="00EE5738"/>
    <w:rsid w:val="00EF0678"/>
    <w:rsid w:val="00EF496D"/>
    <w:rsid w:val="00F05E50"/>
    <w:rsid w:val="00F11BEF"/>
    <w:rsid w:val="00F25BD4"/>
    <w:rsid w:val="00F318F5"/>
    <w:rsid w:val="00F35F34"/>
    <w:rsid w:val="00F36FFF"/>
    <w:rsid w:val="00F53620"/>
    <w:rsid w:val="00F54A39"/>
    <w:rsid w:val="00F64586"/>
    <w:rsid w:val="00F64B86"/>
    <w:rsid w:val="00F66E8C"/>
    <w:rsid w:val="00F708CC"/>
    <w:rsid w:val="00F72533"/>
    <w:rsid w:val="00F737B8"/>
    <w:rsid w:val="00F8132E"/>
    <w:rsid w:val="00F94D9C"/>
    <w:rsid w:val="00F95AA8"/>
    <w:rsid w:val="00F967CD"/>
    <w:rsid w:val="00FA0F48"/>
    <w:rsid w:val="00FA7C72"/>
    <w:rsid w:val="00FB2266"/>
    <w:rsid w:val="00FB479E"/>
    <w:rsid w:val="00FC0524"/>
    <w:rsid w:val="00FD3828"/>
    <w:rsid w:val="00FE075C"/>
    <w:rsid w:val="00FE1AC5"/>
    <w:rsid w:val="00FE3112"/>
    <w:rsid w:val="00FF0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0F46"/>
  <w15:chartTrackingRefBased/>
  <w15:docId w15:val="{39948CA1-E081-44E9-9B43-87B62198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B39"/>
    <w:rPr>
      <w:rFonts w:ascii="Arial" w:eastAsia="Times New Roman" w:hAnsi="Arial" w:cs="Times New Roman"/>
      <w:kern w:val="0"/>
      <w:sz w:val="24"/>
      <w:szCs w:val="20"/>
      <w:lang w:eastAsia="en-GB"/>
    </w:rPr>
  </w:style>
  <w:style w:type="paragraph" w:styleId="Heading1">
    <w:name w:val="heading 1"/>
    <w:basedOn w:val="Normal"/>
    <w:next w:val="Normal"/>
    <w:link w:val="Heading1Char"/>
    <w:qFormat/>
    <w:rsid w:val="009B2B39"/>
    <w:pPr>
      <w:keepNext/>
      <w:widowControl w:val="0"/>
      <w:spacing w:before="480" w:after="60"/>
      <w:outlineLvl w:val="0"/>
    </w:pPr>
    <w:rPr>
      <w:color w:val="808080"/>
      <w:kern w:val="28"/>
      <w:sz w:val="72"/>
    </w:rPr>
  </w:style>
  <w:style w:type="paragraph" w:styleId="Heading2">
    <w:name w:val="heading 2"/>
    <w:basedOn w:val="Normal"/>
    <w:next w:val="Normal"/>
    <w:link w:val="Heading2Char"/>
    <w:qFormat/>
    <w:rsid w:val="009B2B39"/>
    <w:pPr>
      <w:keepNext/>
      <w:numPr>
        <w:ilvl w:val="1"/>
        <w:numId w:val="2"/>
      </w:numPr>
      <w:spacing w:before="360" w:after="60"/>
      <w:outlineLvl w:val="1"/>
    </w:pPr>
    <w:rPr>
      <w:color w:val="000000"/>
      <w:sz w:val="44"/>
    </w:rPr>
  </w:style>
  <w:style w:type="paragraph" w:styleId="Heading3">
    <w:name w:val="heading 3"/>
    <w:basedOn w:val="Normal"/>
    <w:next w:val="Normal"/>
    <w:link w:val="Heading3Char"/>
    <w:qFormat/>
    <w:rsid w:val="009B2B39"/>
    <w:pPr>
      <w:keepNext/>
      <w:widowControl w:val="0"/>
      <w:numPr>
        <w:ilvl w:val="2"/>
        <w:numId w:val="2"/>
      </w:numPr>
      <w:spacing w:before="320" w:after="60"/>
      <w:outlineLvl w:val="2"/>
    </w:pPr>
    <w:rPr>
      <w:caps/>
      <w:color w:val="000000"/>
      <w:sz w:val="28"/>
    </w:rPr>
  </w:style>
  <w:style w:type="paragraph" w:styleId="Heading4">
    <w:name w:val="heading 4"/>
    <w:basedOn w:val="Normal"/>
    <w:next w:val="Normal"/>
    <w:link w:val="Heading4Char"/>
    <w:qFormat/>
    <w:rsid w:val="009B2B39"/>
    <w:pPr>
      <w:keepNext/>
      <w:widowControl w:val="0"/>
      <w:numPr>
        <w:ilvl w:val="3"/>
        <w:numId w:val="2"/>
      </w:numPr>
      <w:spacing w:before="240" w:after="40"/>
      <w:outlineLvl w:val="3"/>
    </w:pPr>
    <w:rPr>
      <w:b/>
      <w:i/>
      <w:color w:val="000000"/>
    </w:rPr>
  </w:style>
  <w:style w:type="paragraph" w:styleId="Heading5">
    <w:name w:val="heading 5"/>
    <w:basedOn w:val="Normal"/>
    <w:next w:val="Normal"/>
    <w:link w:val="Heading5Char"/>
    <w:qFormat/>
    <w:rsid w:val="009B2B39"/>
    <w:pPr>
      <w:keepNext/>
      <w:numPr>
        <w:ilvl w:val="4"/>
        <w:numId w:val="2"/>
      </w:numPr>
      <w:spacing w:before="220" w:after="40"/>
      <w:outlineLvl w:val="4"/>
    </w:pPr>
    <w:rPr>
      <w:color w:val="000000"/>
    </w:rPr>
  </w:style>
  <w:style w:type="paragraph" w:styleId="Heading6">
    <w:name w:val="heading 6"/>
    <w:basedOn w:val="Normal"/>
    <w:next w:val="Style1"/>
    <w:link w:val="Heading6Char"/>
    <w:qFormat/>
    <w:rsid w:val="009B2B39"/>
    <w:pPr>
      <w:keepNext/>
      <w:widowControl w:val="0"/>
      <w:spacing w:before="180"/>
      <w:outlineLvl w:val="5"/>
    </w:pPr>
    <w:rPr>
      <w:b/>
      <w:color w:val="000000"/>
      <w:szCs w:val="22"/>
    </w:rPr>
  </w:style>
  <w:style w:type="paragraph" w:styleId="Heading7">
    <w:name w:val="heading 7"/>
    <w:basedOn w:val="Normal"/>
    <w:next w:val="Normal"/>
    <w:link w:val="Heading7Char"/>
    <w:qFormat/>
    <w:rsid w:val="009B2B39"/>
    <w:pPr>
      <w:numPr>
        <w:ilvl w:val="6"/>
        <w:numId w:val="2"/>
      </w:numPr>
      <w:tabs>
        <w:tab w:val="left" w:pos="993"/>
      </w:tabs>
      <w:spacing w:after="60"/>
      <w:outlineLvl w:val="6"/>
    </w:pPr>
    <w:rPr>
      <w:color w:val="000000"/>
      <w:sz w:val="20"/>
    </w:rPr>
  </w:style>
  <w:style w:type="paragraph" w:styleId="Heading8">
    <w:name w:val="heading 8"/>
    <w:basedOn w:val="Normal"/>
    <w:next w:val="Normal"/>
    <w:link w:val="Heading8Char"/>
    <w:qFormat/>
    <w:rsid w:val="009B2B39"/>
    <w:pPr>
      <w:numPr>
        <w:ilvl w:val="7"/>
        <w:numId w:val="2"/>
      </w:numPr>
      <w:spacing w:before="140" w:after="20"/>
      <w:outlineLvl w:val="7"/>
    </w:pPr>
    <w:rPr>
      <w:i/>
      <w:color w:val="000000"/>
      <w:sz w:val="18"/>
    </w:rPr>
  </w:style>
  <w:style w:type="paragraph" w:styleId="Heading9">
    <w:name w:val="heading 9"/>
    <w:basedOn w:val="Normal"/>
    <w:next w:val="Normal"/>
    <w:link w:val="Heading9Char"/>
    <w:qFormat/>
    <w:rsid w:val="009B2B39"/>
    <w:pPr>
      <w:keepNext/>
      <w:widowControl w:val="0"/>
      <w:numPr>
        <w:ilvl w:val="8"/>
        <w:numId w:val="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B39"/>
    <w:rPr>
      <w:rFonts w:ascii="Arial" w:eastAsia="Times New Roman" w:hAnsi="Arial" w:cs="Times New Roman"/>
      <w:color w:val="808080"/>
      <w:kern w:val="28"/>
      <w:sz w:val="72"/>
      <w:szCs w:val="20"/>
      <w:lang w:eastAsia="en-GB"/>
    </w:rPr>
  </w:style>
  <w:style w:type="character" w:customStyle="1" w:styleId="Heading2Char">
    <w:name w:val="Heading 2 Char"/>
    <w:basedOn w:val="DefaultParagraphFont"/>
    <w:link w:val="Heading2"/>
    <w:rsid w:val="009B2B39"/>
    <w:rPr>
      <w:rFonts w:ascii="Arial" w:eastAsia="Times New Roman" w:hAnsi="Arial" w:cs="Times New Roman"/>
      <w:color w:val="000000"/>
      <w:kern w:val="0"/>
      <w:sz w:val="44"/>
      <w:szCs w:val="20"/>
      <w:lang w:eastAsia="en-GB"/>
    </w:rPr>
  </w:style>
  <w:style w:type="character" w:customStyle="1" w:styleId="Heading3Char">
    <w:name w:val="Heading 3 Char"/>
    <w:basedOn w:val="DefaultParagraphFont"/>
    <w:link w:val="Heading3"/>
    <w:rsid w:val="009B2B39"/>
    <w:rPr>
      <w:rFonts w:ascii="Arial" w:eastAsia="Times New Roman" w:hAnsi="Arial" w:cs="Times New Roman"/>
      <w:caps/>
      <w:color w:val="000000"/>
      <w:kern w:val="0"/>
      <w:sz w:val="28"/>
      <w:szCs w:val="20"/>
      <w:lang w:eastAsia="en-GB"/>
    </w:rPr>
  </w:style>
  <w:style w:type="character" w:customStyle="1" w:styleId="Heading4Char">
    <w:name w:val="Heading 4 Char"/>
    <w:basedOn w:val="DefaultParagraphFont"/>
    <w:link w:val="Heading4"/>
    <w:rsid w:val="009B2B39"/>
    <w:rPr>
      <w:rFonts w:ascii="Arial" w:eastAsia="Times New Roman" w:hAnsi="Arial" w:cs="Times New Roman"/>
      <w:b/>
      <w:i/>
      <w:color w:val="000000"/>
      <w:kern w:val="0"/>
      <w:sz w:val="24"/>
      <w:szCs w:val="20"/>
      <w:lang w:eastAsia="en-GB"/>
    </w:rPr>
  </w:style>
  <w:style w:type="character" w:customStyle="1" w:styleId="Heading5Char">
    <w:name w:val="Heading 5 Char"/>
    <w:basedOn w:val="DefaultParagraphFont"/>
    <w:link w:val="Heading5"/>
    <w:rsid w:val="009B2B39"/>
    <w:rPr>
      <w:rFonts w:ascii="Arial" w:eastAsia="Times New Roman" w:hAnsi="Arial" w:cs="Times New Roman"/>
      <w:color w:val="000000"/>
      <w:kern w:val="0"/>
      <w:sz w:val="24"/>
      <w:szCs w:val="20"/>
      <w:lang w:eastAsia="en-GB"/>
    </w:rPr>
  </w:style>
  <w:style w:type="character" w:customStyle="1" w:styleId="Heading6Char">
    <w:name w:val="Heading 6 Char"/>
    <w:basedOn w:val="DefaultParagraphFont"/>
    <w:link w:val="Heading6"/>
    <w:rsid w:val="009B2B39"/>
    <w:rPr>
      <w:rFonts w:ascii="Arial" w:eastAsia="Times New Roman" w:hAnsi="Arial" w:cs="Times New Roman"/>
      <w:b/>
      <w:color w:val="000000"/>
      <w:kern w:val="0"/>
      <w:sz w:val="24"/>
      <w:lang w:eastAsia="en-GB"/>
    </w:rPr>
  </w:style>
  <w:style w:type="character" w:customStyle="1" w:styleId="Heading7Char">
    <w:name w:val="Heading 7 Char"/>
    <w:basedOn w:val="DefaultParagraphFont"/>
    <w:link w:val="Heading7"/>
    <w:rsid w:val="009B2B39"/>
    <w:rPr>
      <w:rFonts w:ascii="Arial" w:eastAsia="Times New Roman" w:hAnsi="Arial" w:cs="Times New Roman"/>
      <w:color w:val="000000"/>
      <w:kern w:val="0"/>
      <w:sz w:val="20"/>
      <w:szCs w:val="20"/>
      <w:lang w:eastAsia="en-GB"/>
    </w:rPr>
  </w:style>
  <w:style w:type="character" w:customStyle="1" w:styleId="Heading8Char">
    <w:name w:val="Heading 8 Char"/>
    <w:basedOn w:val="DefaultParagraphFont"/>
    <w:link w:val="Heading8"/>
    <w:rsid w:val="009B2B39"/>
    <w:rPr>
      <w:rFonts w:ascii="Arial" w:eastAsia="Times New Roman" w:hAnsi="Arial" w:cs="Times New Roman"/>
      <w:i/>
      <w:color w:val="000000"/>
      <w:kern w:val="0"/>
      <w:sz w:val="18"/>
      <w:szCs w:val="20"/>
      <w:lang w:eastAsia="en-GB"/>
    </w:rPr>
  </w:style>
  <w:style w:type="character" w:customStyle="1" w:styleId="Heading9Char">
    <w:name w:val="Heading 9 Char"/>
    <w:basedOn w:val="DefaultParagraphFont"/>
    <w:link w:val="Heading9"/>
    <w:rsid w:val="009B2B39"/>
    <w:rPr>
      <w:rFonts w:ascii="Arial" w:eastAsia="Times New Roman" w:hAnsi="Arial" w:cs="Times New Roman"/>
      <w:color w:val="000000"/>
      <w:kern w:val="0"/>
      <w:sz w:val="14"/>
      <w:szCs w:val="20"/>
      <w:lang w:eastAsia="en-GB"/>
    </w:rPr>
  </w:style>
  <w:style w:type="paragraph" w:styleId="Title">
    <w:name w:val="Title"/>
    <w:basedOn w:val="Normal"/>
    <w:next w:val="Normal"/>
    <w:link w:val="TitleChar"/>
    <w:uiPriority w:val="10"/>
    <w:qFormat/>
    <w:rsid w:val="009B2B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B39"/>
    <w:pPr>
      <w:spacing w:before="160"/>
      <w:jc w:val="center"/>
    </w:pPr>
    <w:rPr>
      <w:i/>
      <w:iCs/>
      <w:color w:val="404040" w:themeColor="text1" w:themeTint="BF"/>
    </w:rPr>
  </w:style>
  <w:style w:type="character" w:customStyle="1" w:styleId="QuoteChar">
    <w:name w:val="Quote Char"/>
    <w:basedOn w:val="DefaultParagraphFont"/>
    <w:link w:val="Quote"/>
    <w:uiPriority w:val="29"/>
    <w:rsid w:val="009B2B39"/>
    <w:rPr>
      <w:i/>
      <w:iCs/>
      <w:color w:val="404040" w:themeColor="text1" w:themeTint="BF"/>
    </w:rPr>
  </w:style>
  <w:style w:type="paragraph" w:styleId="ListParagraph">
    <w:name w:val="List Paragraph"/>
    <w:basedOn w:val="Normal"/>
    <w:uiPriority w:val="34"/>
    <w:qFormat/>
    <w:rsid w:val="009B2B39"/>
    <w:pPr>
      <w:ind w:left="720"/>
      <w:contextualSpacing/>
    </w:pPr>
  </w:style>
  <w:style w:type="character" w:styleId="IntenseEmphasis">
    <w:name w:val="Intense Emphasis"/>
    <w:basedOn w:val="DefaultParagraphFont"/>
    <w:uiPriority w:val="21"/>
    <w:qFormat/>
    <w:rsid w:val="009B2B39"/>
    <w:rPr>
      <w:i/>
      <w:iCs/>
      <w:color w:val="365F91" w:themeColor="accent1" w:themeShade="BF"/>
    </w:rPr>
  </w:style>
  <w:style w:type="paragraph" w:styleId="IntenseQuote">
    <w:name w:val="Intense Quote"/>
    <w:basedOn w:val="Normal"/>
    <w:next w:val="Normal"/>
    <w:link w:val="IntenseQuoteChar"/>
    <w:uiPriority w:val="30"/>
    <w:qFormat/>
    <w:rsid w:val="009B2B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2B39"/>
    <w:rPr>
      <w:i/>
      <w:iCs/>
      <w:color w:val="365F91" w:themeColor="accent1" w:themeShade="BF"/>
    </w:rPr>
  </w:style>
  <w:style w:type="character" w:styleId="IntenseReference">
    <w:name w:val="Intense Reference"/>
    <w:basedOn w:val="DefaultParagraphFont"/>
    <w:uiPriority w:val="32"/>
    <w:qFormat/>
    <w:rsid w:val="009B2B39"/>
    <w:rPr>
      <w:b/>
      <w:bCs/>
      <w:smallCaps/>
      <w:color w:val="365F91" w:themeColor="accent1" w:themeShade="BF"/>
      <w:spacing w:val="5"/>
    </w:rPr>
  </w:style>
  <w:style w:type="paragraph" w:styleId="Header">
    <w:name w:val="header"/>
    <w:basedOn w:val="Normal"/>
    <w:link w:val="HeaderChar"/>
    <w:rsid w:val="009B2B39"/>
    <w:pPr>
      <w:tabs>
        <w:tab w:val="center" w:pos="4153"/>
        <w:tab w:val="right" w:pos="8306"/>
      </w:tabs>
    </w:pPr>
  </w:style>
  <w:style w:type="character" w:customStyle="1" w:styleId="HeaderChar">
    <w:name w:val="Header Char"/>
    <w:basedOn w:val="DefaultParagraphFont"/>
    <w:link w:val="Header"/>
    <w:rsid w:val="009B2B39"/>
    <w:rPr>
      <w:rFonts w:ascii="Arial" w:eastAsia="Times New Roman" w:hAnsi="Arial" w:cs="Times New Roman"/>
      <w:kern w:val="0"/>
      <w:sz w:val="24"/>
      <w:szCs w:val="20"/>
      <w:lang w:eastAsia="en-GB"/>
    </w:rPr>
  </w:style>
  <w:style w:type="paragraph" w:styleId="Footer">
    <w:name w:val="footer"/>
    <w:basedOn w:val="Normal"/>
    <w:link w:val="FooterChar"/>
    <w:rsid w:val="009B2B39"/>
    <w:pPr>
      <w:tabs>
        <w:tab w:val="center" w:pos="4153"/>
        <w:tab w:val="right" w:pos="8306"/>
      </w:tabs>
    </w:pPr>
    <w:rPr>
      <w:sz w:val="18"/>
    </w:rPr>
  </w:style>
  <w:style w:type="character" w:customStyle="1" w:styleId="FooterChar">
    <w:name w:val="Footer Char"/>
    <w:basedOn w:val="DefaultParagraphFont"/>
    <w:link w:val="Footer"/>
    <w:rsid w:val="009B2B39"/>
    <w:rPr>
      <w:rFonts w:ascii="Arial" w:eastAsia="Times New Roman" w:hAnsi="Arial" w:cs="Times New Roman"/>
      <w:kern w:val="0"/>
      <w:sz w:val="18"/>
      <w:szCs w:val="20"/>
      <w:lang w:eastAsia="en-GB"/>
    </w:rPr>
  </w:style>
  <w:style w:type="character" w:styleId="PageNumber">
    <w:name w:val="page number"/>
    <w:basedOn w:val="DefaultParagraphFont"/>
    <w:rsid w:val="009B2B39"/>
    <w:rPr>
      <w:rFonts w:ascii="Arial" w:hAnsi="Arial"/>
      <w:sz w:val="18"/>
    </w:rPr>
  </w:style>
  <w:style w:type="paragraph" w:customStyle="1" w:styleId="Noindent">
    <w:name w:val="No indent"/>
    <w:basedOn w:val="Normal"/>
    <w:rsid w:val="009B2B39"/>
    <w:pPr>
      <w:tabs>
        <w:tab w:val="left" w:pos="426"/>
      </w:tabs>
    </w:pPr>
  </w:style>
  <w:style w:type="paragraph" w:customStyle="1" w:styleId="TBullet">
    <w:name w:val="T_Bullet"/>
    <w:basedOn w:val="Normal"/>
    <w:rsid w:val="009B2B39"/>
    <w:pPr>
      <w:numPr>
        <w:numId w:val="1"/>
      </w:numPr>
      <w:tabs>
        <w:tab w:val="left" w:pos="851"/>
      </w:tabs>
    </w:pPr>
    <w:rPr>
      <w:color w:val="000000"/>
      <w:sz w:val="20"/>
    </w:rPr>
  </w:style>
  <w:style w:type="paragraph" w:customStyle="1" w:styleId="Style1">
    <w:name w:val="Style1"/>
    <w:basedOn w:val="Heading1"/>
    <w:rsid w:val="009B2B39"/>
    <w:pPr>
      <w:keepNext w:val="0"/>
      <w:widowControl/>
      <w:numPr>
        <w:numId w:val="2"/>
      </w:numPr>
      <w:tabs>
        <w:tab w:val="left" w:pos="510"/>
      </w:tabs>
      <w:spacing w:before="180" w:after="0"/>
    </w:pPr>
    <w:rPr>
      <w:color w:val="000000"/>
      <w:sz w:val="24"/>
    </w:rPr>
  </w:style>
  <w:style w:type="paragraph" w:customStyle="1" w:styleId="Heading6blackfont">
    <w:name w:val="Heading 6 + black font"/>
    <w:basedOn w:val="Heading6"/>
    <w:next w:val="Style1"/>
    <w:rsid w:val="009B2B39"/>
  </w:style>
  <w:style w:type="character" w:styleId="Hyperlink">
    <w:name w:val="Hyperlink"/>
    <w:basedOn w:val="DefaultParagraphFont"/>
    <w:rsid w:val="009B2B39"/>
    <w:rPr>
      <w:color w:val="0000FF"/>
      <w:u w:val="single"/>
    </w:rPr>
  </w:style>
  <w:style w:type="numbering" w:customStyle="1" w:styleId="StylesList">
    <w:name w:val="StylesList"/>
    <w:uiPriority w:val="99"/>
    <w:rsid w:val="009B2B39"/>
    <w:pPr>
      <w:numPr>
        <w:numId w:val="2"/>
      </w:numPr>
    </w:pPr>
  </w:style>
  <w:style w:type="paragraph" w:customStyle="1" w:styleId="Nblock">
    <w:name w:val="N_block"/>
    <w:basedOn w:val="Normal"/>
    <w:rsid w:val="009B2B39"/>
    <w:pPr>
      <w:tabs>
        <w:tab w:val="left" w:pos="851"/>
      </w:tabs>
      <w:spacing w:before="120"/>
      <w:ind w:left="851" w:right="515"/>
    </w:pPr>
  </w:style>
  <w:style w:type="paragraph" w:customStyle="1" w:styleId="Ninset">
    <w:name w:val="N_inset"/>
    <w:basedOn w:val="Normal"/>
    <w:rsid w:val="009B2B39"/>
    <w:pPr>
      <w:tabs>
        <w:tab w:val="left" w:pos="425"/>
      </w:tabs>
      <w:ind w:left="426"/>
    </w:pPr>
  </w:style>
  <w:style w:type="paragraph" w:customStyle="1" w:styleId="Nlista">
    <w:name w:val="N_list (a)"/>
    <w:basedOn w:val="Normal"/>
    <w:rsid w:val="009B2B39"/>
    <w:pPr>
      <w:numPr>
        <w:ilvl w:val="1"/>
        <w:numId w:val="20"/>
      </w:numPr>
      <w:spacing w:before="80"/>
      <w:ind w:right="369"/>
    </w:pPr>
  </w:style>
  <w:style w:type="paragraph" w:customStyle="1" w:styleId="Nlisti">
    <w:name w:val="N_list (i)"/>
    <w:basedOn w:val="Normal"/>
    <w:rsid w:val="009B2B39"/>
    <w:pPr>
      <w:numPr>
        <w:ilvl w:val="2"/>
        <w:numId w:val="19"/>
      </w:numPr>
      <w:spacing w:before="60"/>
      <w:ind w:right="511"/>
    </w:pPr>
    <w:rPr>
      <w:sz w:val="20"/>
    </w:rPr>
  </w:style>
  <w:style w:type="paragraph" w:customStyle="1" w:styleId="Singleline">
    <w:name w:val="Single line"/>
    <w:basedOn w:val="Normal"/>
    <w:rsid w:val="009B2B39"/>
  </w:style>
  <w:style w:type="paragraph" w:customStyle="1" w:styleId="Nnumber">
    <w:name w:val="N_number"/>
    <w:rsid w:val="009B2B39"/>
    <w:pPr>
      <w:tabs>
        <w:tab w:val="left" w:pos="426"/>
        <w:tab w:val="num" w:pos="720"/>
      </w:tabs>
      <w:spacing w:before="180"/>
      <w:ind w:left="425" w:hanging="425"/>
    </w:pPr>
    <w:rPr>
      <w:rFonts w:ascii="Arial" w:eastAsia="Times New Roman" w:hAnsi="Arial" w:cs="Times New Roman"/>
      <w:kern w:val="0"/>
      <w:sz w:val="24"/>
      <w:szCs w:val="20"/>
      <w:lang w:eastAsia="en-GB"/>
    </w:rPr>
  </w:style>
  <w:style w:type="paragraph" w:customStyle="1" w:styleId="Table">
    <w:name w:val="Table"/>
    <w:basedOn w:val="Normal"/>
    <w:rsid w:val="009B2B39"/>
    <w:pPr>
      <w:numPr>
        <w:numId w:val="20"/>
      </w:numPr>
      <w:tabs>
        <w:tab w:val="left" w:pos="851"/>
      </w:tabs>
      <w:spacing w:before="60" w:after="60"/>
    </w:pPr>
    <w:rPr>
      <w:sz w:val="20"/>
    </w:rPr>
  </w:style>
  <w:style w:type="paragraph" w:customStyle="1" w:styleId="Nlisti0">
    <w:name w:val="N_list i"/>
    <w:rsid w:val="009B2B39"/>
    <w:pPr>
      <w:numPr>
        <w:ilvl w:val="3"/>
        <w:numId w:val="3"/>
      </w:numPr>
      <w:spacing w:before="40"/>
      <w:ind w:right="516"/>
    </w:pPr>
    <w:rPr>
      <w:rFonts w:ascii="Arial" w:eastAsia="Times New Roman" w:hAnsi="Arial" w:cs="Times New Roman"/>
      <w:noProof/>
      <w:kern w:val="0"/>
      <w:sz w:val="24"/>
      <w:szCs w:val="20"/>
      <w:lang w:eastAsia="en-GB"/>
    </w:rPr>
  </w:style>
  <w:style w:type="paragraph" w:customStyle="1" w:styleId="Style5">
    <w:name w:val="Style5"/>
    <w:basedOn w:val="Normal"/>
    <w:rsid w:val="009B2B39"/>
    <w:pPr>
      <w:spacing w:after="60"/>
    </w:pPr>
    <w:rPr>
      <w:b/>
      <w:color w:val="000000"/>
    </w:rPr>
  </w:style>
  <w:style w:type="paragraph" w:customStyle="1" w:styleId="Style2">
    <w:name w:val="Style2"/>
    <w:basedOn w:val="Heading2"/>
    <w:rsid w:val="009B2B39"/>
    <w:pPr>
      <w:keepNext w:val="0"/>
      <w:spacing w:before="180" w:after="0"/>
    </w:pPr>
    <w:rPr>
      <w:sz w:val="24"/>
    </w:rPr>
  </w:style>
  <w:style w:type="paragraph" w:customStyle="1" w:styleId="Style3">
    <w:name w:val="Style3"/>
    <w:basedOn w:val="Heading3"/>
    <w:rsid w:val="009B2B39"/>
    <w:pPr>
      <w:keepNext w:val="0"/>
      <w:widowControl/>
      <w:spacing w:before="180" w:after="0"/>
      <w:ind w:left="432" w:hanging="432"/>
    </w:pPr>
    <w:rPr>
      <w:caps w:val="0"/>
      <w:sz w:val="24"/>
    </w:rPr>
  </w:style>
  <w:style w:type="paragraph" w:customStyle="1" w:styleId="Style4">
    <w:name w:val="Style4"/>
    <w:basedOn w:val="Heading4"/>
    <w:rsid w:val="009B2B39"/>
    <w:pPr>
      <w:keepNext w:val="0"/>
      <w:widowControl/>
      <w:spacing w:before="180" w:after="0"/>
      <w:ind w:left="288" w:hanging="288"/>
    </w:pPr>
    <w:rPr>
      <w:b w:val="0"/>
      <w:i w:val="0"/>
    </w:rPr>
  </w:style>
  <w:style w:type="paragraph" w:customStyle="1" w:styleId="Conditions1">
    <w:name w:val="Conditions1"/>
    <w:rsid w:val="009B2B39"/>
    <w:pPr>
      <w:numPr>
        <w:numId w:val="21"/>
      </w:numPr>
      <w:spacing w:before="120"/>
    </w:pPr>
    <w:rPr>
      <w:rFonts w:ascii="Arial" w:eastAsia="Times New Roman" w:hAnsi="Arial" w:cs="Times New Roman"/>
      <w:kern w:val="0"/>
      <w:sz w:val="24"/>
      <w:szCs w:val="20"/>
      <w:lang w:eastAsia="en-GB"/>
    </w:rPr>
  </w:style>
  <w:style w:type="paragraph" w:customStyle="1" w:styleId="Conditions2">
    <w:name w:val="Conditions2"/>
    <w:rsid w:val="009B2B39"/>
    <w:pPr>
      <w:numPr>
        <w:ilvl w:val="2"/>
        <w:numId w:val="21"/>
      </w:numPr>
      <w:spacing w:before="60"/>
    </w:pPr>
    <w:rPr>
      <w:rFonts w:ascii="Arial" w:eastAsia="Times New Roman" w:hAnsi="Arial" w:cs="Times New Roman"/>
      <w:kern w:val="0"/>
      <w:sz w:val="24"/>
      <w:szCs w:val="20"/>
      <w:lang w:eastAsia="en-GB"/>
    </w:rPr>
  </w:style>
  <w:style w:type="paragraph" w:customStyle="1" w:styleId="Conditions3">
    <w:name w:val="Conditions3"/>
    <w:rsid w:val="009B2B39"/>
    <w:pPr>
      <w:numPr>
        <w:numId w:val="5"/>
      </w:numPr>
      <w:tabs>
        <w:tab w:val="clear" w:pos="720"/>
      </w:tabs>
      <w:spacing w:before="60"/>
      <w:ind w:left="2174" w:hanging="547"/>
    </w:pPr>
    <w:rPr>
      <w:rFonts w:ascii="Arial" w:eastAsia="Times New Roman" w:hAnsi="Arial" w:cs="Times New Roman"/>
      <w:kern w:val="0"/>
      <w:sz w:val="24"/>
      <w:szCs w:val="20"/>
      <w:lang w:eastAsia="en-GB"/>
    </w:rPr>
  </w:style>
  <w:style w:type="paragraph" w:styleId="ListNumber">
    <w:name w:val="List Number"/>
    <w:basedOn w:val="Normal"/>
    <w:rsid w:val="009B2B39"/>
    <w:pPr>
      <w:numPr>
        <w:numId w:val="4"/>
      </w:numPr>
    </w:pPr>
  </w:style>
  <w:style w:type="paragraph" w:customStyle="1" w:styleId="Long1">
    <w:name w:val="Long1"/>
    <w:basedOn w:val="Normal"/>
    <w:next w:val="Style1"/>
    <w:rsid w:val="009B2B39"/>
    <w:pPr>
      <w:keepNext/>
      <w:spacing w:before="180"/>
    </w:pPr>
    <w:rPr>
      <w:b/>
      <w:caps/>
      <w:color w:val="000000"/>
    </w:rPr>
  </w:style>
  <w:style w:type="paragraph" w:customStyle="1" w:styleId="Long2">
    <w:name w:val="Long2"/>
    <w:basedOn w:val="Normal"/>
    <w:next w:val="Style2"/>
    <w:rsid w:val="009B2B39"/>
    <w:pPr>
      <w:keepNext/>
      <w:spacing w:before="180"/>
    </w:pPr>
    <w:rPr>
      <w:b/>
      <w:color w:val="000000"/>
    </w:rPr>
  </w:style>
  <w:style w:type="paragraph" w:customStyle="1" w:styleId="Long3">
    <w:name w:val="Long3"/>
    <w:basedOn w:val="Normal"/>
    <w:next w:val="Style3"/>
    <w:rsid w:val="009B2B39"/>
    <w:pPr>
      <w:keepNext/>
      <w:spacing w:before="180"/>
    </w:pPr>
    <w:rPr>
      <w:b/>
      <w:i/>
      <w:color w:val="000000"/>
    </w:rPr>
  </w:style>
  <w:style w:type="paragraph" w:customStyle="1" w:styleId="Long4">
    <w:name w:val="Long4"/>
    <w:basedOn w:val="Normal"/>
    <w:next w:val="Style4"/>
    <w:rsid w:val="009B2B39"/>
    <w:pPr>
      <w:keepNext/>
      <w:spacing w:before="180"/>
    </w:pPr>
    <w:rPr>
      <w:i/>
      <w:color w:val="000000"/>
    </w:rPr>
  </w:style>
  <w:style w:type="character" w:customStyle="1" w:styleId="StyleVerdana7ptBlack">
    <w:name w:val="Style Verdana 7 pt Black"/>
    <w:basedOn w:val="DefaultParagraphFont"/>
    <w:rsid w:val="009B2B39"/>
    <w:rPr>
      <w:rFonts w:ascii="Verdana" w:hAnsi="Verdana"/>
      <w:color w:val="000000"/>
      <w:sz w:val="14"/>
      <w:szCs w:val="14"/>
    </w:rPr>
  </w:style>
  <w:style w:type="paragraph" w:customStyle="1" w:styleId="StyleSinglelineTimesNewRoman">
    <w:name w:val="Style Single line + Times New Roman"/>
    <w:basedOn w:val="Singleline"/>
    <w:rsid w:val="009B2B39"/>
    <w:rPr>
      <w:sz w:val="20"/>
    </w:rPr>
  </w:style>
  <w:style w:type="paragraph" w:customStyle="1" w:styleId="Style20ptBoldGreenRight031cmBefore12pt">
    <w:name w:val="Style 20 pt Bold Green Right:  0.31 cm Before:  12 pt"/>
    <w:basedOn w:val="Normal"/>
    <w:rsid w:val="009B2B39"/>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9B2B39"/>
    <w:pPr>
      <w:spacing w:before="240"/>
      <w:ind w:right="176"/>
    </w:pPr>
    <w:rPr>
      <w:b/>
      <w:bCs/>
      <w:color w:val="000000"/>
      <w:sz w:val="40"/>
      <w:szCs w:val="40"/>
    </w:rPr>
  </w:style>
  <w:style w:type="paragraph" w:styleId="FootnoteText">
    <w:name w:val="footnote text"/>
    <w:basedOn w:val="Normal"/>
    <w:link w:val="FootnoteTextChar"/>
    <w:semiHidden/>
    <w:rsid w:val="009B2B39"/>
    <w:rPr>
      <w:sz w:val="16"/>
    </w:rPr>
  </w:style>
  <w:style w:type="character" w:customStyle="1" w:styleId="FootnoteTextChar">
    <w:name w:val="Footnote Text Char"/>
    <w:basedOn w:val="DefaultParagraphFont"/>
    <w:link w:val="FootnoteText"/>
    <w:semiHidden/>
    <w:rsid w:val="009B2B39"/>
    <w:rPr>
      <w:rFonts w:ascii="Arial" w:eastAsia="Times New Roman" w:hAnsi="Arial" w:cs="Times New Roman"/>
      <w:kern w:val="0"/>
      <w:sz w:val="16"/>
      <w:szCs w:val="20"/>
      <w:lang w:eastAsia="en-GB"/>
    </w:rPr>
  </w:style>
  <w:style w:type="paragraph" w:styleId="BalloonText">
    <w:name w:val="Balloon Text"/>
    <w:basedOn w:val="Normal"/>
    <w:link w:val="BalloonTextChar"/>
    <w:rsid w:val="009B2B39"/>
    <w:rPr>
      <w:rFonts w:ascii="Tahoma" w:hAnsi="Tahoma" w:cs="Tahoma"/>
      <w:sz w:val="16"/>
      <w:szCs w:val="16"/>
    </w:rPr>
  </w:style>
  <w:style w:type="character" w:customStyle="1" w:styleId="BalloonTextChar">
    <w:name w:val="Balloon Text Char"/>
    <w:basedOn w:val="DefaultParagraphFont"/>
    <w:link w:val="BalloonText"/>
    <w:rsid w:val="009B2B39"/>
    <w:rPr>
      <w:rFonts w:ascii="Tahoma" w:eastAsia="Times New Roman" w:hAnsi="Tahoma" w:cs="Tahoma"/>
      <w:kern w:val="0"/>
      <w:sz w:val="16"/>
      <w:szCs w:val="16"/>
      <w:lang w:eastAsia="en-GB"/>
    </w:rPr>
  </w:style>
  <w:style w:type="paragraph" w:customStyle="1" w:styleId="ConditionsA">
    <w:name w:val="ConditionsA"/>
    <w:basedOn w:val="Conditions2"/>
    <w:qFormat/>
    <w:rsid w:val="009B2B39"/>
  </w:style>
  <w:style w:type="paragraph" w:customStyle="1" w:styleId="ConditionsBullet">
    <w:name w:val="ConditionsBullet"/>
    <w:basedOn w:val="Conditions2"/>
    <w:qFormat/>
    <w:rsid w:val="009B2B39"/>
    <w:pPr>
      <w:numPr>
        <w:ilvl w:val="3"/>
      </w:numPr>
      <w:spacing w:before="0"/>
    </w:pPr>
  </w:style>
  <w:style w:type="numbering" w:customStyle="1" w:styleId="ConditionsList">
    <w:name w:val="ConditionsList"/>
    <w:uiPriority w:val="99"/>
    <w:rsid w:val="009B2B39"/>
    <w:pPr>
      <w:numPr>
        <w:numId w:val="11"/>
      </w:numPr>
    </w:pPr>
  </w:style>
  <w:style w:type="paragraph" w:customStyle="1" w:styleId="ConditionsNoNumber">
    <w:name w:val="ConditionsNoNumber"/>
    <w:basedOn w:val="Normal"/>
    <w:qFormat/>
    <w:rsid w:val="009B2B39"/>
    <w:pPr>
      <w:numPr>
        <w:ilvl w:val="1"/>
        <w:numId w:val="21"/>
      </w:numPr>
      <w:spacing w:before="120"/>
    </w:pPr>
  </w:style>
  <w:style w:type="paragraph" w:customStyle="1" w:styleId="ConditionsNoNumberNoSpaceBefore">
    <w:name w:val="ConditionsNoNumberNoSpaceBefore"/>
    <w:basedOn w:val="ConditionsNoNumber"/>
    <w:qFormat/>
    <w:rsid w:val="009B2B39"/>
    <w:pPr>
      <w:numPr>
        <w:ilvl w:val="4"/>
      </w:numPr>
      <w:spacing w:before="0"/>
    </w:pPr>
  </w:style>
  <w:style w:type="numbering" w:customStyle="1" w:styleId="nListiList">
    <w:name w:val="nList(i)List"/>
    <w:uiPriority w:val="99"/>
    <w:rsid w:val="009B2B39"/>
    <w:pPr>
      <w:numPr>
        <w:numId w:val="19"/>
      </w:numPr>
    </w:pPr>
  </w:style>
  <w:style w:type="numbering" w:customStyle="1" w:styleId="nListaList">
    <w:name w:val="nList(a)List"/>
    <w:uiPriority w:val="99"/>
    <w:rsid w:val="009B2B3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E05B39-D6BF-468C-8DD8-784F5FB10814}">
  <we:reference id="5b395aeb-6d28-4a27-9c69-a73d6769527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EC017-1E0D-4713-8D64-3C5F8132E268}"/>
</file>

<file path=customXml/itemProps2.xml><?xml version="1.0" encoding="utf-8"?>
<ds:datastoreItem xmlns:ds="http://schemas.openxmlformats.org/officeDocument/2006/customXml" ds:itemID="{A4E70A46-4B3A-46AD-8035-339712CC8A9D}"/>
</file>

<file path=customXml/itemProps3.xml><?xml version="1.0" encoding="utf-8"?>
<ds:datastoreItem xmlns:ds="http://schemas.openxmlformats.org/officeDocument/2006/customXml" ds:itemID="{9C1AB5CF-B743-4AC4-A958-664CA240B2EC}"/>
</file>

<file path=docProps/app.xml><?xml version="1.0" encoding="utf-8"?>
<Properties xmlns="http://schemas.openxmlformats.org/officeDocument/2006/extended-properties" xmlns:vt="http://schemas.openxmlformats.org/officeDocument/2006/docPropsVTypes">
  <Template>Normal.dotm</Template>
  <TotalTime>2</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Dominic</dc:creator>
  <cp:keywords/>
  <dc:description/>
  <cp:lastModifiedBy>Richards, Clive</cp:lastModifiedBy>
  <cp:revision>5</cp:revision>
  <cp:lastPrinted>2025-02-25T15:21:00Z</cp:lastPrinted>
  <dcterms:created xsi:type="dcterms:W3CDTF">2025-12-03T07:59:00Z</dcterms:created>
  <dcterms:modified xsi:type="dcterms:W3CDTF">2025-12-03T10:15:00Z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