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52C8" w14:textId="77777777" w:rsidR="000B0589" w:rsidRDefault="000B0589" w:rsidP="00BC2702">
      <w:pPr>
        <w:pStyle w:val="Conditions1"/>
        <w:numPr>
          <w:ilvl w:val="0"/>
          <w:numId w:val="0"/>
        </w:numPr>
      </w:pPr>
      <w:r>
        <w:rPr>
          <w:noProof/>
        </w:rPr>
        <w:drawing>
          <wp:inline distT="0" distB="0" distL="0" distR="0" wp14:anchorId="7A186086" wp14:editId="143BFAE1">
            <wp:extent cx="3419475" cy="359623"/>
            <wp:effectExtent l="0" t="0" r="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 logo (black) (A4 sizi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19475" cy="359623"/>
                    </a:xfrm>
                    <a:prstGeom prst="rect">
                      <a:avLst/>
                    </a:prstGeom>
                    <a:noFill/>
                    <a:ln>
                      <a:noFill/>
                    </a:ln>
                  </pic:spPr>
                </pic:pic>
              </a:graphicData>
            </a:graphic>
          </wp:inline>
        </w:drawing>
      </w:r>
    </w:p>
    <w:p w14:paraId="13206953" w14:textId="77777777" w:rsidR="000B0589" w:rsidRDefault="000B0589" w:rsidP="00A5760C"/>
    <w:p w14:paraId="5D753E23"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54268797" w14:textId="77777777" w:rsidTr="003867A1">
        <w:trPr>
          <w:cantSplit/>
          <w:trHeight w:val="23"/>
        </w:trPr>
        <w:tc>
          <w:tcPr>
            <w:tcW w:w="9356" w:type="dxa"/>
            <w:shd w:val="clear" w:color="auto" w:fill="auto"/>
          </w:tcPr>
          <w:p w14:paraId="75DDAC43" w14:textId="718DC98E" w:rsidR="000B0589" w:rsidRPr="003867A1" w:rsidRDefault="003867A1" w:rsidP="002E2646">
            <w:pPr>
              <w:spacing w:before="120"/>
              <w:ind w:left="-108" w:right="34"/>
              <w:rPr>
                <w:b/>
                <w:color w:val="000000"/>
                <w:sz w:val="40"/>
                <w:szCs w:val="40"/>
              </w:rPr>
            </w:pPr>
            <w:bookmarkStart w:id="0" w:name="bmkTable00"/>
            <w:bookmarkEnd w:id="0"/>
            <w:r>
              <w:rPr>
                <w:b/>
                <w:color w:val="000000"/>
                <w:sz w:val="40"/>
                <w:szCs w:val="40"/>
              </w:rPr>
              <w:t>Application Decision</w:t>
            </w:r>
          </w:p>
        </w:tc>
      </w:tr>
      <w:tr w:rsidR="000B0589" w:rsidRPr="000C3F13" w14:paraId="79FA7959" w14:textId="77777777" w:rsidTr="003867A1">
        <w:trPr>
          <w:cantSplit/>
          <w:trHeight w:val="23"/>
        </w:trPr>
        <w:tc>
          <w:tcPr>
            <w:tcW w:w="9356" w:type="dxa"/>
            <w:shd w:val="clear" w:color="auto" w:fill="auto"/>
            <w:vAlign w:val="center"/>
          </w:tcPr>
          <w:p w14:paraId="652C926E" w14:textId="0315079E" w:rsidR="000B0589" w:rsidRPr="003867A1" w:rsidRDefault="003867A1" w:rsidP="003867A1">
            <w:pPr>
              <w:spacing w:before="60"/>
              <w:ind w:left="-108" w:right="34"/>
              <w:rPr>
                <w:color w:val="000000"/>
                <w:szCs w:val="22"/>
              </w:rPr>
            </w:pPr>
            <w:r>
              <w:rPr>
                <w:color w:val="000000"/>
                <w:szCs w:val="22"/>
              </w:rPr>
              <w:t xml:space="preserve">Site visit made on </w:t>
            </w:r>
            <w:r w:rsidR="00E55E62">
              <w:rPr>
                <w:color w:val="000000"/>
                <w:szCs w:val="22"/>
              </w:rPr>
              <w:t>12 May 2022</w:t>
            </w:r>
          </w:p>
        </w:tc>
      </w:tr>
      <w:tr w:rsidR="000B0589" w:rsidRPr="00361890" w14:paraId="52E22A9F" w14:textId="77777777" w:rsidTr="003867A1">
        <w:trPr>
          <w:cantSplit/>
          <w:trHeight w:val="23"/>
        </w:trPr>
        <w:tc>
          <w:tcPr>
            <w:tcW w:w="9356" w:type="dxa"/>
            <w:shd w:val="clear" w:color="auto" w:fill="auto"/>
          </w:tcPr>
          <w:p w14:paraId="190E410C" w14:textId="77777777" w:rsidR="000B0589" w:rsidRPr="003867A1" w:rsidRDefault="003867A1" w:rsidP="003867A1">
            <w:pPr>
              <w:spacing w:before="180"/>
              <w:ind w:left="-108" w:right="34"/>
              <w:rPr>
                <w:b/>
                <w:color w:val="000000"/>
                <w:sz w:val="16"/>
                <w:szCs w:val="22"/>
              </w:rPr>
            </w:pPr>
            <w:r>
              <w:rPr>
                <w:b/>
                <w:color w:val="000000"/>
                <w:szCs w:val="22"/>
              </w:rPr>
              <w:t>by Alan Beckett BA MSc MIPROW</w:t>
            </w:r>
          </w:p>
        </w:tc>
      </w:tr>
      <w:tr w:rsidR="000B0589" w:rsidRPr="00361890" w14:paraId="4CED4AC7" w14:textId="77777777" w:rsidTr="003867A1">
        <w:trPr>
          <w:cantSplit/>
          <w:trHeight w:val="23"/>
        </w:trPr>
        <w:tc>
          <w:tcPr>
            <w:tcW w:w="9356" w:type="dxa"/>
            <w:shd w:val="clear" w:color="auto" w:fill="auto"/>
          </w:tcPr>
          <w:p w14:paraId="4989F79E" w14:textId="77777777" w:rsidR="000B0589" w:rsidRPr="003867A1" w:rsidRDefault="003867A1" w:rsidP="002E2646">
            <w:pPr>
              <w:spacing w:before="120"/>
              <w:ind w:left="-108" w:right="34"/>
              <w:rPr>
                <w:b/>
                <w:color w:val="000000"/>
                <w:sz w:val="16"/>
                <w:szCs w:val="16"/>
              </w:rPr>
            </w:pPr>
            <w:r>
              <w:rPr>
                <w:b/>
                <w:color w:val="000000"/>
                <w:sz w:val="16"/>
                <w:szCs w:val="16"/>
              </w:rPr>
              <w:t>an Inspector appointed by the Secretary of State for Environment, Food and Rural Affairs</w:t>
            </w:r>
          </w:p>
        </w:tc>
      </w:tr>
      <w:tr w:rsidR="000B0589" w:rsidRPr="00A101CD" w14:paraId="1DE2BF4E" w14:textId="77777777" w:rsidTr="003867A1">
        <w:trPr>
          <w:cantSplit/>
          <w:trHeight w:val="23"/>
        </w:trPr>
        <w:tc>
          <w:tcPr>
            <w:tcW w:w="9356" w:type="dxa"/>
            <w:shd w:val="clear" w:color="auto" w:fill="auto"/>
          </w:tcPr>
          <w:p w14:paraId="465AA117" w14:textId="004E5C0E" w:rsidR="000B0589" w:rsidRPr="00A101CD" w:rsidRDefault="000B0589" w:rsidP="002E2646">
            <w:pPr>
              <w:spacing w:before="120"/>
              <w:ind w:left="-108" w:right="176"/>
              <w:rPr>
                <w:b/>
                <w:color w:val="000000"/>
                <w:sz w:val="16"/>
                <w:szCs w:val="16"/>
              </w:rPr>
            </w:pPr>
            <w:r w:rsidRPr="00A101CD">
              <w:rPr>
                <w:b/>
                <w:color w:val="000000"/>
                <w:sz w:val="16"/>
                <w:szCs w:val="16"/>
              </w:rPr>
              <w:t>Decision date:</w:t>
            </w:r>
            <w:r w:rsidR="0083233B">
              <w:rPr>
                <w:b/>
                <w:color w:val="000000"/>
                <w:sz w:val="16"/>
                <w:szCs w:val="16"/>
              </w:rPr>
              <w:t xml:space="preserve"> 9 June 20</w:t>
            </w:r>
            <w:r w:rsidR="0053335F">
              <w:rPr>
                <w:b/>
                <w:color w:val="000000"/>
                <w:sz w:val="16"/>
                <w:szCs w:val="16"/>
              </w:rPr>
              <w:t>22</w:t>
            </w:r>
          </w:p>
        </w:tc>
      </w:tr>
    </w:tbl>
    <w:p w14:paraId="1ED1E5E9" w14:textId="77777777" w:rsidR="003867A1" w:rsidRDefault="003867A1" w:rsidP="000B0589"/>
    <w:tbl>
      <w:tblPr>
        <w:tblW w:w="9520" w:type="dxa"/>
        <w:tblLayout w:type="fixed"/>
        <w:tblLook w:val="0000" w:firstRow="0" w:lastRow="0" w:firstColumn="0" w:lastColumn="0" w:noHBand="0" w:noVBand="0"/>
      </w:tblPr>
      <w:tblGrid>
        <w:gridCol w:w="9520"/>
      </w:tblGrid>
      <w:tr w:rsidR="003867A1" w14:paraId="42B839BD" w14:textId="77777777" w:rsidTr="00C56CCE">
        <w:tc>
          <w:tcPr>
            <w:tcW w:w="9520" w:type="dxa"/>
            <w:shd w:val="clear" w:color="auto" w:fill="auto"/>
          </w:tcPr>
          <w:p w14:paraId="756DD590" w14:textId="7DEFAC6F" w:rsidR="003867A1" w:rsidRDefault="003867A1" w:rsidP="000B0589">
            <w:pPr>
              <w:rPr>
                <w:b/>
                <w:color w:val="000000"/>
              </w:rPr>
            </w:pPr>
            <w:r>
              <w:rPr>
                <w:b/>
                <w:color w:val="000000"/>
              </w:rPr>
              <w:t>Application Ref: COM/</w:t>
            </w:r>
            <w:r w:rsidR="00E55E62">
              <w:rPr>
                <w:b/>
                <w:color w:val="000000"/>
              </w:rPr>
              <w:t>3273818</w:t>
            </w:r>
          </w:p>
          <w:p w14:paraId="11A6DED1" w14:textId="77759267" w:rsidR="003867A1" w:rsidRPr="003867A1" w:rsidRDefault="003867A1" w:rsidP="003867A1">
            <w:pPr>
              <w:spacing w:after="60"/>
              <w:rPr>
                <w:color w:val="000000"/>
              </w:rPr>
            </w:pPr>
            <w:r w:rsidRPr="003867A1">
              <w:rPr>
                <w:color w:val="000000"/>
              </w:rPr>
              <w:t xml:space="preserve">Land at </w:t>
            </w:r>
            <w:r w:rsidR="00040CD1">
              <w:rPr>
                <w:color w:val="000000"/>
              </w:rPr>
              <w:t>Walton and Tilbury Fort Commons, Tilbury, Thurrock</w:t>
            </w:r>
          </w:p>
          <w:p w14:paraId="49BEA1CF" w14:textId="3DB27B9E" w:rsidR="003867A1" w:rsidRPr="003867A1" w:rsidRDefault="003867A1" w:rsidP="003867A1">
            <w:pPr>
              <w:spacing w:after="60"/>
              <w:rPr>
                <w:color w:val="000000"/>
              </w:rPr>
            </w:pPr>
            <w:r w:rsidRPr="003867A1">
              <w:rPr>
                <w:color w:val="000000"/>
              </w:rPr>
              <w:t>Register Unit Number: CL</w:t>
            </w:r>
            <w:r w:rsidR="00846654">
              <w:rPr>
                <w:color w:val="000000"/>
              </w:rPr>
              <w:t>2</w:t>
            </w:r>
            <w:r w:rsidR="00553909">
              <w:rPr>
                <w:color w:val="000000"/>
              </w:rPr>
              <w:t>28</w:t>
            </w:r>
          </w:p>
          <w:p w14:paraId="315270A5" w14:textId="3CAFB407" w:rsidR="003867A1" w:rsidRPr="003867A1" w:rsidRDefault="003867A1" w:rsidP="003867A1">
            <w:pPr>
              <w:spacing w:after="60"/>
              <w:rPr>
                <w:b/>
                <w:color w:val="000000"/>
              </w:rPr>
            </w:pPr>
            <w:r w:rsidRPr="003867A1">
              <w:rPr>
                <w:color w:val="000000"/>
              </w:rPr>
              <w:t>Commons Registration Authority:</w:t>
            </w:r>
            <w:r w:rsidR="00846654">
              <w:rPr>
                <w:color w:val="000000"/>
              </w:rPr>
              <w:t xml:space="preserve"> </w:t>
            </w:r>
            <w:r w:rsidR="00553909">
              <w:rPr>
                <w:color w:val="000000"/>
              </w:rPr>
              <w:t xml:space="preserve">Thurrock </w:t>
            </w:r>
            <w:r w:rsidRPr="003867A1">
              <w:rPr>
                <w:color w:val="000000"/>
              </w:rPr>
              <w:t>Council</w:t>
            </w:r>
          </w:p>
        </w:tc>
      </w:tr>
      <w:tr w:rsidR="003867A1" w14:paraId="39A982C5" w14:textId="77777777" w:rsidTr="00C56CCE">
        <w:tc>
          <w:tcPr>
            <w:tcW w:w="9520" w:type="dxa"/>
            <w:shd w:val="clear" w:color="auto" w:fill="auto"/>
          </w:tcPr>
          <w:p w14:paraId="308BF2A9" w14:textId="0330926D" w:rsidR="00F80353" w:rsidRDefault="003867A1" w:rsidP="003867A1">
            <w:pPr>
              <w:pStyle w:val="TBullet"/>
            </w:pPr>
            <w:r>
              <w:t xml:space="preserve">The application, dated </w:t>
            </w:r>
            <w:r w:rsidR="00A04D8A">
              <w:t xml:space="preserve">12 </w:t>
            </w:r>
            <w:r w:rsidR="00FD137B">
              <w:t>April 2021</w:t>
            </w:r>
            <w:r w:rsidR="00652147">
              <w:t xml:space="preserve">, is made under section 16 of the Commons </w:t>
            </w:r>
            <w:r w:rsidR="009F434A">
              <w:t>A</w:t>
            </w:r>
            <w:r w:rsidR="00652147">
              <w:t xml:space="preserve">ct 2006 (‘the 2006 Act’) to deregister and exchange land registered as common land. The application is made by </w:t>
            </w:r>
            <w:r w:rsidR="00A21A6B">
              <w:t xml:space="preserve">Ms </w:t>
            </w:r>
            <w:r w:rsidR="00FD137B">
              <w:t>Diana Mary Cole and</w:t>
            </w:r>
            <w:r w:rsidR="00A21A6B">
              <w:t xml:space="preserve"> Mr</w:t>
            </w:r>
            <w:r w:rsidR="00FD137B">
              <w:t xml:space="preserve"> James Andrew Cole</w:t>
            </w:r>
            <w:r w:rsidR="00F91A1D">
              <w:t xml:space="preserve"> </w:t>
            </w:r>
            <w:r w:rsidR="00837818">
              <w:t xml:space="preserve">(‘the Applicants’) </w:t>
            </w:r>
            <w:r w:rsidR="00F91A1D">
              <w:t>as owners of the land at issue</w:t>
            </w:r>
            <w:r w:rsidR="00F54EB5">
              <w:t>.</w:t>
            </w:r>
          </w:p>
          <w:p w14:paraId="03E8FF8F" w14:textId="7059B1FB" w:rsidR="00652147" w:rsidRDefault="00652147" w:rsidP="003867A1">
            <w:pPr>
              <w:pStyle w:val="TBullet"/>
            </w:pPr>
            <w:r>
              <w:t xml:space="preserve">The release land comprises </w:t>
            </w:r>
            <w:r w:rsidR="00066FCA">
              <w:t>100,695</w:t>
            </w:r>
            <w:r>
              <w:t>m</w:t>
            </w:r>
            <w:r w:rsidRPr="009F434A">
              <w:rPr>
                <w:vertAlign w:val="superscript"/>
              </w:rPr>
              <w:t>2</w:t>
            </w:r>
            <w:r>
              <w:t xml:space="preserve"> </w:t>
            </w:r>
            <w:r w:rsidR="00D13FF7">
              <w:t>(Walton Common) and 4</w:t>
            </w:r>
            <w:r w:rsidR="00490888">
              <w:t>64m</w:t>
            </w:r>
            <w:r w:rsidR="00490888" w:rsidRPr="002443BA">
              <w:rPr>
                <w:vertAlign w:val="superscript"/>
              </w:rPr>
              <w:t>2</w:t>
            </w:r>
            <w:r w:rsidR="00490888">
              <w:t xml:space="preserve"> (Tilbury Fort Common) </w:t>
            </w:r>
            <w:r>
              <w:t xml:space="preserve">of CL </w:t>
            </w:r>
            <w:r w:rsidR="00583F8B">
              <w:t>2</w:t>
            </w:r>
            <w:r w:rsidR="007F4445">
              <w:t>28</w:t>
            </w:r>
            <w:r>
              <w:t>.</w:t>
            </w:r>
          </w:p>
          <w:p w14:paraId="1CA0D357" w14:textId="15BF3C58" w:rsidR="003867A1" w:rsidRDefault="00652147" w:rsidP="00652147">
            <w:pPr>
              <w:pStyle w:val="TBullet"/>
            </w:pPr>
            <w:r>
              <w:t xml:space="preserve">The replacement land comprises </w:t>
            </w:r>
            <w:r w:rsidR="00292CDE">
              <w:t>115,779</w:t>
            </w:r>
            <w:r>
              <w:t>m</w:t>
            </w:r>
            <w:r w:rsidRPr="009F434A">
              <w:rPr>
                <w:vertAlign w:val="superscript"/>
              </w:rPr>
              <w:t>2</w:t>
            </w:r>
            <w:r>
              <w:t xml:space="preserve"> of land</w:t>
            </w:r>
            <w:r w:rsidR="00D019E4">
              <w:t xml:space="preserve"> adjacent to Parsonage Common</w:t>
            </w:r>
            <w:r w:rsidR="005638C7">
              <w:t xml:space="preserve"> (CL228)</w:t>
            </w:r>
            <w:r w:rsidR="00B06266">
              <w:t>.</w:t>
            </w:r>
          </w:p>
          <w:p w14:paraId="60D86188" w14:textId="77777777" w:rsidR="00F30F44" w:rsidRDefault="00F30F44" w:rsidP="00F30F44">
            <w:pPr>
              <w:pStyle w:val="TBullet"/>
              <w:numPr>
                <w:ilvl w:val="0"/>
                <w:numId w:val="0"/>
              </w:numPr>
              <w:pBdr>
                <w:bottom w:val="single" w:sz="4" w:space="1" w:color="auto"/>
              </w:pBdr>
              <w:ind w:left="360"/>
            </w:pPr>
          </w:p>
          <w:p w14:paraId="0489E882" w14:textId="47303D19" w:rsidR="00BE1E55" w:rsidRDefault="00BE1E55" w:rsidP="00C56CCE">
            <w:pPr>
              <w:pStyle w:val="TBullet"/>
              <w:numPr>
                <w:ilvl w:val="0"/>
                <w:numId w:val="0"/>
              </w:numPr>
            </w:pPr>
          </w:p>
        </w:tc>
      </w:tr>
    </w:tbl>
    <w:p w14:paraId="370A8B3C" w14:textId="1E76E353" w:rsidR="003867A1" w:rsidRDefault="00F9410F" w:rsidP="003867A1">
      <w:pPr>
        <w:pStyle w:val="Heading6blackfont"/>
      </w:pPr>
      <w:r>
        <w:t>D</w:t>
      </w:r>
      <w:r w:rsidR="003867A1">
        <w:t>ecision</w:t>
      </w:r>
    </w:p>
    <w:p w14:paraId="2A8C58E3" w14:textId="24935243" w:rsidR="00652147" w:rsidRDefault="00652147" w:rsidP="00652147">
      <w:pPr>
        <w:pStyle w:val="Style1"/>
      </w:pPr>
      <w:r>
        <w:t>The application</w:t>
      </w:r>
      <w:r w:rsidR="00444CB3">
        <w:t xml:space="preserve"> is granted</w:t>
      </w:r>
      <w:r>
        <w:t>.</w:t>
      </w:r>
    </w:p>
    <w:p w14:paraId="4C96CE3D" w14:textId="47D1A3AC" w:rsidR="006D4738" w:rsidRDefault="006D4738" w:rsidP="006D4738">
      <w:pPr>
        <w:pStyle w:val="Heading6blackfont"/>
      </w:pPr>
      <w:r>
        <w:t>Pr</w:t>
      </w:r>
      <w:r w:rsidR="009C5567">
        <w:t xml:space="preserve">eliminary </w:t>
      </w:r>
      <w:r>
        <w:t>Matters</w:t>
      </w:r>
    </w:p>
    <w:p w14:paraId="5072E3E2" w14:textId="77777777" w:rsidR="006D4738" w:rsidRDefault="006D4738" w:rsidP="006D4738">
      <w:pPr>
        <w:pStyle w:val="Style1"/>
      </w:pPr>
      <w:r>
        <w:t>Section 16 (1) of the 2006 Act provides, amongst other things, that the owner of any land registered as common land may apply for the land (‘the release land’) to cease to be so registered. If the area of the release land is greater than 200m</w:t>
      </w:r>
      <w:r w:rsidRPr="0078734D">
        <w:rPr>
          <w:vertAlign w:val="superscript"/>
        </w:rPr>
        <w:t>2</w:t>
      </w:r>
      <w:r>
        <w:t xml:space="preserve"> a proposal must be made to replace it with other land to be registered as common land (‘the replacement land’).</w:t>
      </w:r>
    </w:p>
    <w:p w14:paraId="78400F45" w14:textId="4298584A" w:rsidR="006D4738" w:rsidRDefault="006D4738" w:rsidP="00C62D28">
      <w:pPr>
        <w:pStyle w:val="Style1"/>
      </w:pPr>
      <w:r>
        <w:t xml:space="preserve">I carried out an </w:t>
      </w:r>
      <w:r w:rsidR="009176E1">
        <w:t xml:space="preserve">unaccompanied </w:t>
      </w:r>
      <w:r>
        <w:t xml:space="preserve">inspection of the release and replacement land on </w:t>
      </w:r>
      <w:r w:rsidR="009176E1">
        <w:t>Wednesday 12 May 2022</w:t>
      </w:r>
      <w:r w:rsidR="00C62D28">
        <w:t>.</w:t>
      </w:r>
      <w:r w:rsidR="00BA41B4">
        <w:t xml:space="preserve"> I viewed the proposed replacement land from public vantage points.</w:t>
      </w:r>
    </w:p>
    <w:p w14:paraId="7FE3F831" w14:textId="74380932" w:rsidR="002D58B3" w:rsidRPr="00372DCB" w:rsidRDefault="00CA4D5D" w:rsidP="00372DCB">
      <w:pPr>
        <w:pStyle w:val="Style1"/>
        <w:numPr>
          <w:ilvl w:val="0"/>
          <w:numId w:val="0"/>
        </w:numPr>
        <w:ind w:left="431" w:hanging="431"/>
        <w:rPr>
          <w:b/>
        </w:rPr>
      </w:pPr>
      <w:r>
        <w:rPr>
          <w:b/>
        </w:rPr>
        <w:t xml:space="preserve">The Green, Hall Hill, Fort Road, </w:t>
      </w:r>
      <w:r w:rsidR="00295C55">
        <w:rPr>
          <w:b/>
        </w:rPr>
        <w:t>Parsonage</w:t>
      </w:r>
      <w:r w:rsidR="00331643">
        <w:rPr>
          <w:b/>
        </w:rPr>
        <w:t xml:space="preserve"> and</w:t>
      </w:r>
      <w:r w:rsidR="00295C55">
        <w:rPr>
          <w:b/>
        </w:rPr>
        <w:t xml:space="preserve"> Walton </w:t>
      </w:r>
      <w:r w:rsidR="00331643">
        <w:rPr>
          <w:b/>
        </w:rPr>
        <w:t>Commons</w:t>
      </w:r>
      <w:r w:rsidR="00295C55">
        <w:rPr>
          <w:b/>
        </w:rPr>
        <w:t xml:space="preserve"> (CL 228)</w:t>
      </w:r>
    </w:p>
    <w:p w14:paraId="2AD2E2AF" w14:textId="7A339749" w:rsidR="002749A4" w:rsidRDefault="000D09ED" w:rsidP="007E43D5">
      <w:pPr>
        <w:pStyle w:val="Style1"/>
      </w:pPr>
      <w:r>
        <w:t xml:space="preserve">The </w:t>
      </w:r>
      <w:r w:rsidR="0058250B">
        <w:t>commons which comprise register unit</w:t>
      </w:r>
      <w:r w:rsidR="0013570A">
        <w:t xml:space="preserve"> CL228</w:t>
      </w:r>
      <w:r w:rsidR="008E4CBA">
        <w:t xml:space="preserve"> </w:t>
      </w:r>
      <w:r w:rsidR="008B63E5">
        <w:t>w</w:t>
      </w:r>
      <w:r>
        <w:t>ere</w:t>
      </w:r>
      <w:r w:rsidR="008B63E5">
        <w:t xml:space="preserve"> registered </w:t>
      </w:r>
      <w:r w:rsidR="00FE49A4">
        <w:t xml:space="preserve">under the Commons Registration </w:t>
      </w:r>
      <w:r w:rsidR="00C72538">
        <w:t>A</w:t>
      </w:r>
      <w:r w:rsidR="00FE49A4">
        <w:t>ct 1965</w:t>
      </w:r>
      <w:r w:rsidR="0013570A">
        <w:t xml:space="preserve"> (‘the 1965 Act’)</w:t>
      </w:r>
      <w:r w:rsidR="003223A1">
        <w:t xml:space="preserve">. </w:t>
      </w:r>
      <w:r w:rsidR="005B6075">
        <w:t>Th</w:t>
      </w:r>
      <w:r w:rsidR="00F31D48">
        <w:t xml:space="preserve">ose parts of the </w:t>
      </w:r>
      <w:r w:rsidR="00892178">
        <w:t>c</w:t>
      </w:r>
      <w:r w:rsidR="00F31D48">
        <w:t>ommons at issue (</w:t>
      </w:r>
      <w:r w:rsidR="00AE74CE">
        <w:t>Walton and Tilbury Fort Commons) are owned by the applicants</w:t>
      </w:r>
      <w:r w:rsidR="00C93A71">
        <w:t xml:space="preserve">; </w:t>
      </w:r>
      <w:r w:rsidR="001775F6">
        <w:t xml:space="preserve">the </w:t>
      </w:r>
      <w:r w:rsidR="00950596">
        <w:t xml:space="preserve">extant </w:t>
      </w:r>
      <w:r w:rsidR="00C93A71">
        <w:t xml:space="preserve">grazing rights are administered by the </w:t>
      </w:r>
      <w:r w:rsidR="00AE4AA3">
        <w:t>Conservators of the West Tilbury Commons</w:t>
      </w:r>
      <w:r w:rsidR="00236FE9">
        <w:t xml:space="preserve"> by means of </w:t>
      </w:r>
      <w:r w:rsidR="0041242D">
        <w:t>Byelaws</w:t>
      </w:r>
      <w:r w:rsidR="00AF3684">
        <w:t xml:space="preserve"> made by the Conservators under </w:t>
      </w:r>
      <w:r w:rsidR="00C7756C">
        <w:t>the Commons Regulation (West Tilbury) Provisional Order Confirmation Act</w:t>
      </w:r>
      <w:r w:rsidR="000B423F">
        <w:t xml:space="preserve"> 1893</w:t>
      </w:r>
      <w:r w:rsidR="00F63086">
        <w:t xml:space="preserve"> (‘the 1893 Act’)</w:t>
      </w:r>
      <w:r w:rsidR="00FA1495">
        <w:t xml:space="preserve"> and the Inclosure </w:t>
      </w:r>
      <w:r w:rsidR="007E43D5">
        <w:t>A</w:t>
      </w:r>
      <w:r w:rsidR="00FA1495">
        <w:t>cts 1845 to 1882.</w:t>
      </w:r>
    </w:p>
    <w:p w14:paraId="4EB8234F" w14:textId="77777777" w:rsidR="00897AAC" w:rsidRDefault="00897AAC" w:rsidP="00897AAC">
      <w:pPr>
        <w:pStyle w:val="Heading6blackfont"/>
      </w:pPr>
      <w:r>
        <w:lastRenderedPageBreak/>
        <w:t>Main Issues</w:t>
      </w:r>
    </w:p>
    <w:p w14:paraId="092F64C5" w14:textId="77777777" w:rsidR="00897AAC" w:rsidRDefault="00897AAC" w:rsidP="00897AAC">
      <w:pPr>
        <w:pStyle w:val="Style1"/>
      </w:pPr>
      <w:r>
        <w:t>I am required by Section 16 (6) of the 2006 Act to have regard to the following in determining these applications:</w:t>
      </w:r>
    </w:p>
    <w:p w14:paraId="7A398F96" w14:textId="77777777" w:rsidR="00897AAC" w:rsidRDefault="00897AAC" w:rsidP="00897AAC">
      <w:pPr>
        <w:pStyle w:val="Style1"/>
        <w:numPr>
          <w:ilvl w:val="0"/>
          <w:numId w:val="24"/>
        </w:numPr>
        <w:tabs>
          <w:tab w:val="clear" w:pos="2292"/>
          <w:tab w:val="num" w:pos="1440"/>
        </w:tabs>
        <w:ind w:left="1440"/>
      </w:pPr>
      <w:r>
        <w:t>the interests of persons having rights in relation to, or occupying, the land (and in particular persons exercising rights of common over it);</w:t>
      </w:r>
    </w:p>
    <w:p w14:paraId="0D466C46" w14:textId="77777777" w:rsidR="00897AAC" w:rsidRDefault="00897AAC" w:rsidP="00897AAC">
      <w:pPr>
        <w:pStyle w:val="Style1"/>
        <w:numPr>
          <w:ilvl w:val="0"/>
          <w:numId w:val="24"/>
        </w:numPr>
        <w:tabs>
          <w:tab w:val="clear" w:pos="2292"/>
          <w:tab w:val="num" w:pos="1440"/>
        </w:tabs>
        <w:ind w:left="1440"/>
      </w:pPr>
      <w:r>
        <w:t>the interests of the neighbourhood;</w:t>
      </w:r>
    </w:p>
    <w:p w14:paraId="61B479CB" w14:textId="77777777" w:rsidR="00897AAC" w:rsidRDefault="00897AAC" w:rsidP="00897AAC">
      <w:pPr>
        <w:pStyle w:val="Style1"/>
        <w:numPr>
          <w:ilvl w:val="0"/>
          <w:numId w:val="24"/>
        </w:numPr>
        <w:tabs>
          <w:tab w:val="clear" w:pos="2292"/>
          <w:tab w:val="num" w:pos="1440"/>
        </w:tabs>
        <w:ind w:left="1440"/>
      </w:pPr>
      <w:r>
        <w:t>the public interest</w:t>
      </w:r>
      <w:r>
        <w:rPr>
          <w:rStyle w:val="FootnoteReference"/>
        </w:rPr>
        <w:footnoteReference w:id="1"/>
      </w:r>
      <w:r>
        <w:t>;</w:t>
      </w:r>
    </w:p>
    <w:p w14:paraId="63B13BB5" w14:textId="77777777" w:rsidR="00897AAC" w:rsidRDefault="00897AAC" w:rsidP="00897AAC">
      <w:pPr>
        <w:pStyle w:val="Style1"/>
        <w:numPr>
          <w:ilvl w:val="0"/>
          <w:numId w:val="24"/>
        </w:numPr>
        <w:tabs>
          <w:tab w:val="clear" w:pos="2292"/>
          <w:tab w:val="num" w:pos="1440"/>
        </w:tabs>
        <w:ind w:left="1440"/>
      </w:pPr>
      <w:r>
        <w:t>any other matter considered to be relevant.</w:t>
      </w:r>
    </w:p>
    <w:p w14:paraId="643805C1" w14:textId="77777777" w:rsidR="00BB0C2E" w:rsidRDefault="00BB0C2E" w:rsidP="00D9518B">
      <w:pPr>
        <w:pStyle w:val="Style1"/>
      </w:pPr>
      <w:r w:rsidRPr="00BB0C2E">
        <w:t xml:space="preserve">There are additional requirements in section 40 of the Natural Environment and Rural Communities Act 2006, under which I must have regard to the Secretary of State’s duty to conserve biodiversity. </w:t>
      </w:r>
    </w:p>
    <w:p w14:paraId="2C9549B3" w14:textId="77777777" w:rsidR="00F70BC8" w:rsidRDefault="00BB0C2E" w:rsidP="00D9518B">
      <w:pPr>
        <w:pStyle w:val="Style1"/>
      </w:pPr>
      <w:r w:rsidRPr="00BB0C2E">
        <w:t xml:space="preserve">Defra’s Common Land Consents Policy, published in </w:t>
      </w:r>
      <w:r w:rsidR="00FE1569">
        <w:t>November 2015</w:t>
      </w:r>
      <w:r w:rsidRPr="00BB0C2E">
        <w:t xml:space="preserve">, sets out the benefits which common land should deliver, and the outcomes that it considers must be ensured by the consents process in section 16 of the 2006 Act.  </w:t>
      </w:r>
    </w:p>
    <w:p w14:paraId="080A880D" w14:textId="77777777" w:rsidR="00F70BC8" w:rsidRDefault="00BB0C2E" w:rsidP="00D9518B">
      <w:pPr>
        <w:pStyle w:val="Style1"/>
      </w:pPr>
      <w:r w:rsidRPr="00BB0C2E">
        <w:t xml:space="preserve">The outcome relevant to deregistration is that: </w:t>
      </w:r>
      <w:r w:rsidR="00E113E5">
        <w:t>“</w:t>
      </w:r>
      <w:r w:rsidRPr="00E113E5">
        <w:rPr>
          <w:i/>
          <w:iCs/>
        </w:rPr>
        <w:t>our stock of common land and greens is not diminished – that, on balance, any deregistration of registered land is balanced by the registration of other land of at least equal benefit</w:t>
      </w:r>
      <w:r w:rsidR="00E113E5">
        <w:t>”</w:t>
      </w:r>
      <w:r w:rsidRPr="00BB0C2E">
        <w:t xml:space="preserve">.  Additionally, </w:t>
      </w:r>
      <w:r w:rsidR="00D034F1">
        <w:t xml:space="preserve">in relation to </w:t>
      </w:r>
      <w:r w:rsidR="00E113E5">
        <w:t>replacement land “</w:t>
      </w:r>
      <w:r w:rsidR="00E113E5" w:rsidRPr="00A061F7">
        <w:rPr>
          <w:i/>
          <w:iCs/>
        </w:rPr>
        <w:t>the Secretary of State would not normally grant consent where the replacement land is already subject to some form of public access, whether that access was available by right or informally, as this would diminish the total stock of access land available to the public</w:t>
      </w:r>
      <w:r w:rsidR="00E113E5">
        <w:t xml:space="preserve">”. </w:t>
      </w:r>
    </w:p>
    <w:p w14:paraId="2F9DAB0F" w14:textId="76391C95" w:rsidR="00897AAC" w:rsidRDefault="00105015" w:rsidP="00D9518B">
      <w:pPr>
        <w:pStyle w:val="Style1"/>
      </w:pPr>
      <w:r>
        <w:t>The published policy also assumes</w:t>
      </w:r>
      <w:r w:rsidR="00C22A2D">
        <w:t xml:space="preserve"> </w:t>
      </w:r>
      <w:r w:rsidR="00E113E5">
        <w:t>that the release land will cease to be available for recreation and access</w:t>
      </w:r>
      <w:r w:rsidR="00C22A2D">
        <w:t xml:space="preserve"> unless a legally binding provision is intended to be made to assure continued use</w:t>
      </w:r>
      <w:r w:rsidR="00BB0C2E" w:rsidRPr="00BB0C2E">
        <w:t>.</w:t>
      </w:r>
    </w:p>
    <w:p w14:paraId="42220B0B" w14:textId="4574986B" w:rsidR="009D03F8" w:rsidRPr="00661955" w:rsidRDefault="009D03F8" w:rsidP="00661955">
      <w:pPr>
        <w:pStyle w:val="Style1"/>
        <w:numPr>
          <w:ilvl w:val="0"/>
          <w:numId w:val="0"/>
        </w:numPr>
        <w:rPr>
          <w:b/>
          <w:bCs/>
        </w:rPr>
      </w:pPr>
      <w:r w:rsidRPr="00661955">
        <w:rPr>
          <w:b/>
          <w:bCs/>
        </w:rPr>
        <w:t>The Application</w:t>
      </w:r>
    </w:p>
    <w:p w14:paraId="134BAF35" w14:textId="00A1A695" w:rsidR="00E07041" w:rsidRDefault="00155AB8" w:rsidP="00656EEB">
      <w:pPr>
        <w:pStyle w:val="Style1"/>
      </w:pPr>
      <w:r>
        <w:t xml:space="preserve">The </w:t>
      </w:r>
      <w:r w:rsidR="00FB4674">
        <w:t>A</w:t>
      </w:r>
      <w:r w:rsidR="00F52AA0">
        <w:t xml:space="preserve">pplicants seek the de-registration of Walton Common and a small parcel of Tilbury Fort Common </w:t>
      </w:r>
      <w:r w:rsidR="00C56C7E">
        <w:t xml:space="preserve">to enable the development </w:t>
      </w:r>
      <w:r w:rsidR="006E29C3">
        <w:t xml:space="preserve">of a flexible power generation plant capable of providing up to 600 megawatts (MW) </w:t>
      </w:r>
      <w:r w:rsidR="002E2E67">
        <w:t>of electrical generation capaci</w:t>
      </w:r>
      <w:r w:rsidR="00542B0D">
        <w:t>t</w:t>
      </w:r>
      <w:r w:rsidR="002E2E67">
        <w:t xml:space="preserve">y </w:t>
      </w:r>
      <w:r w:rsidR="00A4592E">
        <w:t xml:space="preserve">on a fast response basis </w:t>
      </w:r>
      <w:r w:rsidR="00656EEB">
        <w:t xml:space="preserve">when called upon by </w:t>
      </w:r>
      <w:r w:rsidR="00A91E0A">
        <w:t>the N</w:t>
      </w:r>
      <w:r w:rsidR="00656EEB">
        <w:t>ational Grid</w:t>
      </w:r>
      <w:r w:rsidR="00A91E0A">
        <w:t xml:space="preserve">, </w:t>
      </w:r>
      <w:r w:rsidR="00A4592E">
        <w:t xml:space="preserve">together with up to 150MW of battery storage. </w:t>
      </w:r>
      <w:r w:rsidR="00542B0D">
        <w:t>The</w:t>
      </w:r>
      <w:r w:rsidR="00EE5112">
        <w:t xml:space="preserve"> </w:t>
      </w:r>
      <w:r w:rsidR="00A91E0A">
        <w:t xml:space="preserve">release land </w:t>
      </w:r>
      <w:r w:rsidR="005234ED">
        <w:t>at Walton Common i</w:t>
      </w:r>
      <w:r w:rsidR="00EE5112">
        <w:t>s part of the area required for the main development site</w:t>
      </w:r>
      <w:r w:rsidR="00434F1B">
        <w:t xml:space="preserve"> which is immediately to the north of the existing Tilbury Su</w:t>
      </w:r>
      <w:r w:rsidR="00176BCD">
        <w:t>bstation</w:t>
      </w:r>
      <w:r w:rsidR="00EE5112">
        <w:t>.</w:t>
      </w:r>
    </w:p>
    <w:p w14:paraId="73A312E3" w14:textId="532926DB" w:rsidR="00176BCD" w:rsidRDefault="00E07041" w:rsidP="00656EEB">
      <w:pPr>
        <w:pStyle w:val="Style1"/>
      </w:pPr>
      <w:r>
        <w:t xml:space="preserve">The </w:t>
      </w:r>
      <w:r w:rsidR="00303215">
        <w:t>A</w:t>
      </w:r>
      <w:r>
        <w:t xml:space="preserve">pplicants submit that </w:t>
      </w:r>
      <w:r w:rsidR="00BA7053">
        <w:t>t</w:t>
      </w:r>
      <w:r>
        <w:t xml:space="preserve">here </w:t>
      </w:r>
      <w:r w:rsidR="00BA7053">
        <w:t xml:space="preserve">has been </w:t>
      </w:r>
      <w:r>
        <w:t xml:space="preserve">a logical, staged decision-making process </w:t>
      </w:r>
      <w:r w:rsidR="00434F1B">
        <w:t xml:space="preserve">which </w:t>
      </w:r>
      <w:r>
        <w:t>arrive</w:t>
      </w:r>
      <w:r w:rsidR="00434F1B">
        <w:t>d</w:t>
      </w:r>
      <w:r>
        <w:t xml:space="preserve"> at the location and design of the proposed development. The first stage looked at technical, </w:t>
      </w:r>
      <w:r w:rsidR="00303215">
        <w:t>electrical,</w:t>
      </w:r>
      <w:r>
        <w:t xml:space="preserve"> and cost considerations and identified three connection point options on the 275 kV network east of London. An appraisal of site availability and deliverability resulted in Tilbury being selected as the preferred connection option. Identification of potential development sites in the vicinity of Tilbury Substation considered the following deliverability issues in addition to the planning and environmental constraints: </w:t>
      </w:r>
      <w:r>
        <w:lastRenderedPageBreak/>
        <w:t>typical site arrangement / plot size; site acquisition issues; and engineering issues</w:t>
      </w:r>
      <w:r w:rsidR="00176BCD">
        <w:t>.</w:t>
      </w:r>
    </w:p>
    <w:p w14:paraId="4046438E" w14:textId="1583D928" w:rsidR="00141928" w:rsidRDefault="00052B25" w:rsidP="00656EEB">
      <w:pPr>
        <w:pStyle w:val="Style1"/>
      </w:pPr>
      <w:r>
        <w:t>L</w:t>
      </w:r>
      <w:r w:rsidR="00E07041">
        <w:t>and to the south and west of the substation is constrained by existing land uses and development including Tilbury2 and future development possibilities for the former Tilbury B Power Station site. There are other considerations such as the proposed Lower Thames Crossing nearby to the east and the ongoing Ingrebourne Valley land-raising operation.</w:t>
      </w:r>
      <w:r>
        <w:t xml:space="preserve"> </w:t>
      </w:r>
      <w:r w:rsidR="00E07041">
        <w:t>A single land holding (Walton Common) was identified that satisfied the search criteria and was capable of providing all development land and access that was not affected by the above development proposals.</w:t>
      </w:r>
      <w:r w:rsidR="00EE5112">
        <w:t xml:space="preserve"> </w:t>
      </w:r>
    </w:p>
    <w:p w14:paraId="14A0322F" w14:textId="0D3F1DB7" w:rsidR="00893B96" w:rsidRDefault="00EE5112" w:rsidP="00656EEB">
      <w:pPr>
        <w:pStyle w:val="Style1"/>
      </w:pPr>
      <w:r>
        <w:t>The</w:t>
      </w:r>
      <w:r w:rsidR="005234ED">
        <w:t xml:space="preserve"> smaller area of release land on Tilbury Fort Common </w:t>
      </w:r>
      <w:r w:rsidR="00D651C5">
        <w:t>adjacent to Fort Road is required to create an</w:t>
      </w:r>
      <w:r w:rsidR="00DA6F89">
        <w:t xml:space="preserve"> access point to the development for abnormal indivisible loads required to facilitate the construction of the </w:t>
      </w:r>
      <w:r w:rsidR="00893B96">
        <w:t>development.</w:t>
      </w:r>
      <w:r w:rsidR="007737C5">
        <w:t xml:space="preserve"> The proposed development will be undertaken in accordance with </w:t>
      </w:r>
      <w:r w:rsidR="0029427D">
        <w:t xml:space="preserve">the provisions of the </w:t>
      </w:r>
      <w:r w:rsidR="00136A45">
        <w:t xml:space="preserve">Thurrock Flexible Generating Plant Development Consent </w:t>
      </w:r>
      <w:r w:rsidR="0029427D">
        <w:t>O</w:t>
      </w:r>
      <w:r w:rsidR="00136A45">
        <w:t>rder 2022</w:t>
      </w:r>
      <w:r w:rsidR="0029427D">
        <w:t xml:space="preserve"> (‘the DCO’). The DCO</w:t>
      </w:r>
      <w:r w:rsidR="00217D2F">
        <w:t xml:space="preserve"> provides for the compulsory </w:t>
      </w:r>
      <w:r w:rsidR="002846FB">
        <w:t xml:space="preserve">acquisition of Walton Common and the replacement land. </w:t>
      </w:r>
      <w:r w:rsidR="000A4199">
        <w:t>However, c</w:t>
      </w:r>
      <w:r w:rsidR="00B33E9C">
        <w:t>ompulso</w:t>
      </w:r>
      <w:r w:rsidR="00BB2AC0">
        <w:t>r</w:t>
      </w:r>
      <w:r w:rsidR="00B33E9C">
        <w:t xml:space="preserve">y acquisition is not the </w:t>
      </w:r>
      <w:r w:rsidR="00654843">
        <w:t>preferred approach of the current landowner and the developer who have entered into an option fo</w:t>
      </w:r>
      <w:r w:rsidR="00AB45CD">
        <w:t>r lease of the land</w:t>
      </w:r>
      <w:r w:rsidR="00E0230B">
        <w:t>. T</w:t>
      </w:r>
      <w:r w:rsidR="00AB45CD">
        <w:t xml:space="preserve">he </w:t>
      </w:r>
      <w:r w:rsidR="00CD054B">
        <w:t xml:space="preserve">deregistration and exchange application </w:t>
      </w:r>
      <w:r w:rsidR="00E0230B">
        <w:t xml:space="preserve">has been </w:t>
      </w:r>
      <w:r w:rsidR="00CD054B">
        <w:t xml:space="preserve">made in accordance with the terms of the </w:t>
      </w:r>
      <w:r w:rsidR="00BB2AC0">
        <w:t>option for lease.</w:t>
      </w:r>
    </w:p>
    <w:p w14:paraId="79B75653" w14:textId="76A8FFF4" w:rsidR="00C845E9" w:rsidRDefault="001A29AF" w:rsidP="001A29AF">
      <w:pPr>
        <w:pStyle w:val="Heading6"/>
      </w:pPr>
      <w:r w:rsidRPr="001A29AF">
        <w:t>The Release Land</w:t>
      </w:r>
    </w:p>
    <w:p w14:paraId="70CDBA74" w14:textId="1D105907" w:rsidR="009F2098" w:rsidRDefault="00E010EB" w:rsidP="003E6CD7">
      <w:pPr>
        <w:pStyle w:val="Style1"/>
      </w:pPr>
      <w:r>
        <w:t xml:space="preserve">The </w:t>
      </w:r>
      <w:r w:rsidR="009A4C7A">
        <w:t>A</w:t>
      </w:r>
      <w:r w:rsidR="00E058EB">
        <w:t>pplicants propose the deregistration of</w:t>
      </w:r>
      <w:r>
        <w:t xml:space="preserve"> </w:t>
      </w:r>
      <w:r w:rsidR="00CC7BF2">
        <w:t>two parcels of land within CL 228</w:t>
      </w:r>
      <w:r w:rsidR="00A02F8F">
        <w:t xml:space="preserve">; </w:t>
      </w:r>
      <w:r w:rsidR="009373BE">
        <w:t>100,695</w:t>
      </w:r>
      <w:r>
        <w:t>m</w:t>
      </w:r>
      <w:r w:rsidRPr="00066016">
        <w:rPr>
          <w:vertAlign w:val="superscript"/>
        </w:rPr>
        <w:t>2</w:t>
      </w:r>
      <w:r>
        <w:t xml:space="preserve"> </w:t>
      </w:r>
      <w:r w:rsidR="006D65FA">
        <w:t>of</w:t>
      </w:r>
      <w:r w:rsidR="00896A92">
        <w:t xml:space="preserve"> </w:t>
      </w:r>
      <w:r w:rsidR="009373BE">
        <w:t>Walton</w:t>
      </w:r>
      <w:r w:rsidR="00896A92">
        <w:t xml:space="preserve"> </w:t>
      </w:r>
      <w:r w:rsidR="00976368">
        <w:t>Common</w:t>
      </w:r>
      <w:r w:rsidR="00EE1EE8">
        <w:t xml:space="preserve"> and </w:t>
      </w:r>
      <w:r w:rsidR="00560238">
        <w:t>464m</w:t>
      </w:r>
      <w:r w:rsidR="00560238" w:rsidRPr="002156AD">
        <w:rPr>
          <w:vertAlign w:val="superscript"/>
        </w:rPr>
        <w:t>2</w:t>
      </w:r>
      <w:r w:rsidR="00560238">
        <w:t xml:space="preserve"> of Tilbury Fort Common </w:t>
      </w:r>
      <w:r w:rsidR="000F79A2">
        <w:t>(these parcels are shown edged red</w:t>
      </w:r>
      <w:r w:rsidR="004327B5">
        <w:t xml:space="preserve"> on the pl</w:t>
      </w:r>
      <w:r w:rsidR="00342FD8">
        <w:t>an appended to this decision</w:t>
      </w:r>
      <w:r w:rsidR="004327B5">
        <w:t>).</w:t>
      </w:r>
      <w:r w:rsidR="003E6CD7">
        <w:t xml:space="preserve"> </w:t>
      </w:r>
      <w:r w:rsidR="002156AD">
        <w:t xml:space="preserve">The Ministry of Agriculture, Fisheries and Food Land Classification System 1988 classes the release land as lower quality subgrade 3b. </w:t>
      </w:r>
      <w:r w:rsidR="00826C52">
        <w:t>Th</w:t>
      </w:r>
      <w:r w:rsidR="00915799">
        <w:t>e</w:t>
      </w:r>
      <w:r w:rsidR="00826C52">
        <w:t xml:space="preserve"> release land </w:t>
      </w:r>
      <w:r w:rsidR="00DA71B0">
        <w:t xml:space="preserve">is not subject to any </w:t>
      </w:r>
      <w:r w:rsidR="00701AA9">
        <w:t xml:space="preserve">statutory </w:t>
      </w:r>
      <w:r w:rsidR="00826C52">
        <w:t xml:space="preserve">designations </w:t>
      </w:r>
      <w:r w:rsidR="00447F37">
        <w:t>for nature conservation</w:t>
      </w:r>
      <w:r w:rsidR="00974C7C">
        <w:t>.</w:t>
      </w:r>
    </w:p>
    <w:p w14:paraId="62306235" w14:textId="4DB53A4E" w:rsidR="00F77A5E" w:rsidRDefault="00804F38" w:rsidP="007234CE">
      <w:pPr>
        <w:pStyle w:val="Heading6"/>
      </w:pPr>
      <w:r>
        <w:t>The Replacement Land</w:t>
      </w:r>
    </w:p>
    <w:p w14:paraId="54460725" w14:textId="28628390" w:rsidR="002156AD" w:rsidRDefault="00EE40B1" w:rsidP="002156AD">
      <w:pPr>
        <w:pStyle w:val="Style1"/>
      </w:pPr>
      <w:r>
        <w:t>The replacement land</w:t>
      </w:r>
      <w:r w:rsidR="00552555">
        <w:t xml:space="preserve"> </w:t>
      </w:r>
      <w:r>
        <w:t>comprises</w:t>
      </w:r>
      <w:r w:rsidR="008D3EA2">
        <w:t xml:space="preserve"> </w:t>
      </w:r>
      <w:r w:rsidR="00626B1A">
        <w:t>115,779</w:t>
      </w:r>
      <w:r>
        <w:t>m</w:t>
      </w:r>
      <w:r w:rsidRPr="003B64FB">
        <w:rPr>
          <w:vertAlign w:val="superscript"/>
        </w:rPr>
        <w:t>2</w:t>
      </w:r>
      <w:r>
        <w:t xml:space="preserve"> </w:t>
      </w:r>
      <w:r w:rsidR="000B2E91">
        <w:t>of</w:t>
      </w:r>
      <w:r w:rsidR="00700454">
        <w:t xml:space="preserve"> an agricultural field currently used for </w:t>
      </w:r>
      <w:r w:rsidR="00460E04">
        <w:t xml:space="preserve">the growing of arable crops. </w:t>
      </w:r>
      <w:r w:rsidR="00B50BDB">
        <w:t xml:space="preserve">The Ministry of </w:t>
      </w:r>
      <w:r w:rsidR="006913ED">
        <w:t>A</w:t>
      </w:r>
      <w:r w:rsidR="00D937CB">
        <w:t>griculture</w:t>
      </w:r>
      <w:r w:rsidR="006913ED">
        <w:t xml:space="preserve">, </w:t>
      </w:r>
      <w:r w:rsidR="00D937CB">
        <w:t xml:space="preserve">Fisheries and Food Land Classification System 1988 classes this land as </w:t>
      </w:r>
      <w:r w:rsidR="006913ED">
        <w:t>lower quality subgrade 3b.</w:t>
      </w:r>
      <w:r w:rsidR="00552285">
        <w:t xml:space="preserve"> </w:t>
      </w:r>
      <w:r w:rsidR="00A01C23">
        <w:t xml:space="preserve">The replacement land lies </w:t>
      </w:r>
      <w:r w:rsidR="009B33FC">
        <w:t xml:space="preserve">immediately to the </w:t>
      </w:r>
      <w:r w:rsidR="00146B5E">
        <w:t>south west of Parsonage Common</w:t>
      </w:r>
      <w:r w:rsidR="00D743B0">
        <w:t xml:space="preserve"> </w:t>
      </w:r>
      <w:r w:rsidR="004E6419">
        <w:t xml:space="preserve">and is </w:t>
      </w:r>
      <w:r w:rsidR="003E7910">
        <w:t xml:space="preserve">bounded on the south by </w:t>
      </w:r>
      <w:r w:rsidR="00073F8A">
        <w:t>an operational</w:t>
      </w:r>
      <w:r w:rsidR="003E7910">
        <w:t xml:space="preserve"> railway, on the </w:t>
      </w:r>
      <w:r w:rsidR="00907D89">
        <w:t>west</w:t>
      </w:r>
      <w:r w:rsidR="003E7910">
        <w:t xml:space="preserve"> by </w:t>
      </w:r>
      <w:r w:rsidR="0034101A">
        <w:t>Fort Road and to the north by a drainage ditch and other agricultural land</w:t>
      </w:r>
      <w:r w:rsidR="00715141">
        <w:t xml:space="preserve">. </w:t>
      </w:r>
    </w:p>
    <w:p w14:paraId="626C8147" w14:textId="2767CD91" w:rsidR="00A01C23" w:rsidRDefault="004E367B" w:rsidP="002156AD">
      <w:pPr>
        <w:pStyle w:val="Style1"/>
      </w:pPr>
      <w:r>
        <w:t>The</w:t>
      </w:r>
      <w:r w:rsidR="00B56942">
        <w:t xml:space="preserve"> p</w:t>
      </w:r>
      <w:r>
        <w:t>roposed replacement land</w:t>
      </w:r>
      <w:r w:rsidR="00B56942">
        <w:t xml:space="preserve"> is not subject to any form of public access and is not </w:t>
      </w:r>
      <w:r w:rsidR="002156AD">
        <w:t xml:space="preserve">subject to any statutory designations for nature conservation. </w:t>
      </w:r>
      <w:r w:rsidR="00715141">
        <w:t xml:space="preserve">The proposed replacement land is shown edged light green on the plan </w:t>
      </w:r>
      <w:r w:rsidR="00D743B0">
        <w:t>appended to this decision.</w:t>
      </w:r>
    </w:p>
    <w:p w14:paraId="71591C70" w14:textId="00B13EAC" w:rsidR="00750C58" w:rsidRDefault="00750C58" w:rsidP="00750C58">
      <w:pPr>
        <w:pStyle w:val="Heading6"/>
      </w:pPr>
      <w:r>
        <w:t>Representations</w:t>
      </w:r>
      <w:r w:rsidR="00D1311C">
        <w:t xml:space="preserve"> and objections</w:t>
      </w:r>
    </w:p>
    <w:p w14:paraId="217DEBAA" w14:textId="77777777" w:rsidR="00F33BE3" w:rsidRDefault="00E5591B" w:rsidP="00C654D4">
      <w:pPr>
        <w:pStyle w:val="Style1"/>
      </w:pPr>
      <w:r>
        <w:t>Two</w:t>
      </w:r>
      <w:r w:rsidR="00A2548E">
        <w:t xml:space="preserve"> representations</w:t>
      </w:r>
      <w:r w:rsidR="00DD5B7E">
        <w:t xml:space="preserve"> </w:t>
      </w:r>
      <w:r>
        <w:t xml:space="preserve">and one objection </w:t>
      </w:r>
      <w:r w:rsidR="00A867C0">
        <w:t>were made in response to the</w:t>
      </w:r>
      <w:r w:rsidR="00DD5B7E">
        <w:t xml:space="preserve"> notice of </w:t>
      </w:r>
      <w:r w:rsidR="003E5843">
        <w:t xml:space="preserve">the application. </w:t>
      </w:r>
      <w:r w:rsidR="001A3B01">
        <w:t xml:space="preserve">Representations were received from Natural England and </w:t>
      </w:r>
      <w:r w:rsidR="00F33BE3">
        <w:t>Historic England. The objection was made by the Open Spaces Society.</w:t>
      </w:r>
    </w:p>
    <w:p w14:paraId="294612C5" w14:textId="5B4CCC6F" w:rsidR="00924B67" w:rsidRDefault="000341A8" w:rsidP="00C654D4">
      <w:pPr>
        <w:pStyle w:val="Style1"/>
      </w:pPr>
      <w:r>
        <w:t xml:space="preserve">Natural England </w:t>
      </w:r>
      <w:r w:rsidR="00694820">
        <w:t xml:space="preserve">(NE) </w:t>
      </w:r>
      <w:r w:rsidR="00621B44">
        <w:t>raised concerns regarding the proposal to provide permissive access to the replacement land from For</w:t>
      </w:r>
      <w:r w:rsidR="00DD0F8D">
        <w:t>t</w:t>
      </w:r>
      <w:r w:rsidR="00621B44">
        <w:t xml:space="preserve"> Road </w:t>
      </w:r>
      <w:r w:rsidR="00AB4218">
        <w:t xml:space="preserve">as opposed to extending the replacement land to the edge of the road. </w:t>
      </w:r>
      <w:r w:rsidR="00A64205">
        <w:t xml:space="preserve">In addition, as the </w:t>
      </w:r>
      <w:r w:rsidR="00A64205">
        <w:lastRenderedPageBreak/>
        <w:t xml:space="preserve">replacement land was currently used for </w:t>
      </w:r>
      <w:r w:rsidR="00467536">
        <w:t xml:space="preserve">arable production, it was unlikely to be of equal benefit </w:t>
      </w:r>
      <w:r w:rsidR="00CD72F4">
        <w:t>for</w:t>
      </w:r>
      <w:r w:rsidR="00467536">
        <w:t xml:space="preserve"> nature conservation</w:t>
      </w:r>
      <w:r w:rsidR="00CD72F4">
        <w:t xml:space="preserve"> in comparison with the release land</w:t>
      </w:r>
      <w:r w:rsidR="00824E99">
        <w:t>. NE</w:t>
      </w:r>
      <w:r w:rsidR="00CD72F4">
        <w:t xml:space="preserve"> acknowledged that </w:t>
      </w:r>
      <w:r w:rsidR="002A63FF">
        <w:t xml:space="preserve">over time, the nature conservation value of the replacement land </w:t>
      </w:r>
      <w:r w:rsidR="000F102D">
        <w:t xml:space="preserve">may increase, but only with suitable treatment and ongoing management in accordance with </w:t>
      </w:r>
      <w:r w:rsidR="00F05431">
        <w:t>a dedicated site plan.</w:t>
      </w:r>
    </w:p>
    <w:p w14:paraId="6B4510E1" w14:textId="72F87678" w:rsidR="007A5565" w:rsidRDefault="00A20F17" w:rsidP="00C654D4">
      <w:pPr>
        <w:pStyle w:val="Style1"/>
      </w:pPr>
      <w:r>
        <w:t xml:space="preserve">The Open Spaces Society </w:t>
      </w:r>
      <w:r w:rsidR="000039FA">
        <w:t xml:space="preserve">(‘OSS’) </w:t>
      </w:r>
      <w:r>
        <w:t xml:space="preserve">argues that </w:t>
      </w:r>
      <w:r w:rsidR="0093163C">
        <w:t xml:space="preserve">the </w:t>
      </w:r>
      <w:r w:rsidR="004D5035">
        <w:t xml:space="preserve">list of rights holders </w:t>
      </w:r>
      <w:r w:rsidR="009E6E1B">
        <w:t xml:space="preserve">found in the commons register requires updating to </w:t>
      </w:r>
      <w:r w:rsidR="00F41769">
        <w:t>show who currently own</w:t>
      </w:r>
      <w:r w:rsidR="000039FA">
        <w:t>s</w:t>
      </w:r>
      <w:r w:rsidR="00F41769">
        <w:t xml:space="preserve"> the land to which a right to graze the commons was attached. Although the tabular information provided by the applicant suggests that the land to which the rights were attached no longer forms part of the common, the OSS argue that such land</w:t>
      </w:r>
      <w:r w:rsidR="002A4E22">
        <w:t>s</w:t>
      </w:r>
      <w:r w:rsidR="00F41769">
        <w:t xml:space="preserve"> were never part of the comm</w:t>
      </w:r>
      <w:r w:rsidR="002A4E22">
        <w:t xml:space="preserve">on. </w:t>
      </w:r>
      <w:r w:rsidR="007A102D">
        <w:t xml:space="preserve">Despite the assertions of the applicant that all extant grazing rights were held by them, the </w:t>
      </w:r>
      <w:r w:rsidR="00CF38F2">
        <w:t xml:space="preserve">OSS argue that the </w:t>
      </w:r>
      <w:r w:rsidR="006964E2">
        <w:t xml:space="preserve">Commons Register demonstrates that other persons also hold rights over the commons. </w:t>
      </w:r>
      <w:r w:rsidR="00724EED">
        <w:t xml:space="preserve">It cannot be assumed that </w:t>
      </w:r>
      <w:r w:rsidR="00BB09AC">
        <w:t>the proposal would be in the interests of those rights holders if the</w:t>
      </w:r>
      <w:r w:rsidR="00C82E90">
        <w:t>ir views had not been sought.</w:t>
      </w:r>
    </w:p>
    <w:p w14:paraId="63D9F9DA" w14:textId="07AD4F88" w:rsidR="00C82E90" w:rsidRDefault="00BF384C" w:rsidP="00C654D4">
      <w:pPr>
        <w:pStyle w:val="Style1"/>
      </w:pPr>
      <w:r>
        <w:t>If the applicants control</w:t>
      </w:r>
      <w:r w:rsidR="00632BFD">
        <w:t>led</w:t>
      </w:r>
      <w:r>
        <w:t xml:space="preserve"> all </w:t>
      </w:r>
      <w:r w:rsidR="00632BFD">
        <w:t xml:space="preserve">the extant </w:t>
      </w:r>
      <w:r>
        <w:t xml:space="preserve">grazing rights but do not exercise those rights, </w:t>
      </w:r>
      <w:r w:rsidR="00632BFD">
        <w:t xml:space="preserve">the OSS had doubts </w:t>
      </w:r>
      <w:r w:rsidR="008B16F9">
        <w:t>as to how the owners could be compelled</w:t>
      </w:r>
      <w:r w:rsidR="00AC5264">
        <w:t xml:space="preserve"> to revert </w:t>
      </w:r>
      <w:r w:rsidR="006771C4">
        <w:t xml:space="preserve">the </w:t>
      </w:r>
      <w:r w:rsidR="008B16F9">
        <w:t>replacement</w:t>
      </w:r>
      <w:r w:rsidR="006771C4">
        <w:t xml:space="preserve"> to grassland from arable</w:t>
      </w:r>
      <w:r w:rsidR="008B16F9">
        <w:t>.</w:t>
      </w:r>
      <w:r w:rsidR="00A639CD">
        <w:t xml:space="preserve"> It was considered that this matter should</w:t>
      </w:r>
      <w:r w:rsidR="006771C4">
        <w:t xml:space="preserve"> be the subject of a s106</w:t>
      </w:r>
      <w:r w:rsidR="002D0938">
        <w:t xml:space="preserve"> agreement or under s39 of the 2006 Act.</w:t>
      </w:r>
      <w:r w:rsidR="00965720">
        <w:t xml:space="preserve"> </w:t>
      </w:r>
    </w:p>
    <w:p w14:paraId="3D092729" w14:textId="47F9ECB6" w:rsidR="00D55A8F" w:rsidRDefault="00194D35" w:rsidP="00C654D4">
      <w:pPr>
        <w:pStyle w:val="Style1"/>
      </w:pPr>
      <w:r>
        <w:t>The OSS notes that n</w:t>
      </w:r>
      <w:r w:rsidR="007769F1">
        <w:t xml:space="preserve">o provision was made </w:t>
      </w:r>
      <w:r w:rsidR="00831CD0">
        <w:t xml:space="preserve">for access to the replacement land </w:t>
      </w:r>
      <w:r w:rsidR="00454F09">
        <w:t>from For</w:t>
      </w:r>
      <w:r>
        <w:t>t</w:t>
      </w:r>
      <w:r w:rsidR="00454F09">
        <w:t xml:space="preserve"> Road. Access to the replacem</w:t>
      </w:r>
      <w:r w:rsidR="00901B03">
        <w:t>en</w:t>
      </w:r>
      <w:r w:rsidR="00454F09">
        <w:t xml:space="preserve">t land would have to be taken from </w:t>
      </w:r>
      <w:r w:rsidR="005B3F91">
        <w:t>Pa</w:t>
      </w:r>
      <w:r w:rsidR="00901B03">
        <w:t>r</w:t>
      </w:r>
      <w:r w:rsidR="005B3F91">
        <w:t>sonage Common</w:t>
      </w:r>
      <w:r w:rsidR="00901B03">
        <w:t xml:space="preserve">. The result would be the </w:t>
      </w:r>
      <w:r w:rsidR="007D0786">
        <w:t>substitution of one parcel of inaccessible land with another</w:t>
      </w:r>
      <w:r w:rsidR="00B068BC">
        <w:t>; the absence of any provision for greater access is not in the interests of the neighbourhood</w:t>
      </w:r>
      <w:r w:rsidR="00D470C0">
        <w:t xml:space="preserve"> or the public and may not be in the interests of other r</w:t>
      </w:r>
      <w:r w:rsidR="00E73DBE">
        <w:t>i</w:t>
      </w:r>
      <w:r w:rsidR="00D470C0">
        <w:t>ghts holders.</w:t>
      </w:r>
      <w:r w:rsidR="00E73DBE">
        <w:t xml:space="preserve"> A footbridge should be provided </w:t>
      </w:r>
      <w:r w:rsidR="004F74E9">
        <w:t xml:space="preserve">at Fort Road over the drain </w:t>
      </w:r>
      <w:r w:rsidR="00E73DBE">
        <w:t xml:space="preserve">to </w:t>
      </w:r>
      <w:r w:rsidR="004F74E9">
        <w:t xml:space="preserve">provide </w:t>
      </w:r>
      <w:r w:rsidR="00E73DBE">
        <w:t xml:space="preserve">access </w:t>
      </w:r>
      <w:r w:rsidR="00401B1C">
        <w:t xml:space="preserve">to </w:t>
      </w:r>
      <w:r w:rsidR="00E73DBE">
        <w:t>the replacement land</w:t>
      </w:r>
      <w:r w:rsidR="00401B1C">
        <w:t xml:space="preserve"> for the residents of Tilbury</w:t>
      </w:r>
      <w:r w:rsidR="00AD4D06">
        <w:t xml:space="preserve"> and the replacement land should extend to Fort Road to meet that footbridge.</w:t>
      </w:r>
    </w:p>
    <w:p w14:paraId="2ABDF8C5" w14:textId="1D2EA675" w:rsidR="00C654D4" w:rsidRDefault="00045F15" w:rsidP="00C654D4">
      <w:pPr>
        <w:pStyle w:val="Style1"/>
      </w:pPr>
      <w:r>
        <w:t>The OSS submits that the proposal would not secure the registration of land of at least equal benefit</w:t>
      </w:r>
      <w:r w:rsidR="00DB1A48">
        <w:t>,</w:t>
      </w:r>
      <w:r w:rsidR="008A0835">
        <w:t xml:space="preserve"> would be contrary to the interests of other rights holders, the public and the neighbourhood</w:t>
      </w:r>
      <w:r w:rsidR="00AD4D06">
        <w:t xml:space="preserve"> </w:t>
      </w:r>
      <w:r w:rsidR="00DB1A48">
        <w:t>and should be refused.</w:t>
      </w:r>
      <w:r w:rsidR="00E73DBE">
        <w:t xml:space="preserve"> </w:t>
      </w:r>
      <w:r w:rsidR="005B3F91">
        <w:t xml:space="preserve"> </w:t>
      </w:r>
    </w:p>
    <w:p w14:paraId="4FF4B6DF" w14:textId="669EFF50" w:rsidR="00355FCC" w:rsidRDefault="00257E33" w:rsidP="003867A1">
      <w:pPr>
        <w:pStyle w:val="Heading6blackfont"/>
      </w:pPr>
      <w:r>
        <w:t>Assessment</w:t>
      </w:r>
    </w:p>
    <w:p w14:paraId="52153186" w14:textId="22B8F458" w:rsidR="00B24015" w:rsidRDefault="006C4118" w:rsidP="006C4118">
      <w:pPr>
        <w:pStyle w:val="Heading6"/>
        <w:rPr>
          <w:i/>
        </w:rPr>
      </w:pPr>
      <w:r w:rsidRPr="006C4118">
        <w:rPr>
          <w:i/>
        </w:rPr>
        <w:t>The interests of persons occupying or having rights over the land</w:t>
      </w:r>
    </w:p>
    <w:p w14:paraId="2723396E" w14:textId="77777777" w:rsidR="00D35EFF" w:rsidRDefault="008B75CE" w:rsidP="00D35EFF">
      <w:pPr>
        <w:pStyle w:val="Style1"/>
      </w:pPr>
      <w:r>
        <w:t xml:space="preserve">The release land is owned by the applicant </w:t>
      </w:r>
      <w:r w:rsidR="0069629B">
        <w:t xml:space="preserve">who I understand has entered into </w:t>
      </w:r>
      <w:r w:rsidR="003C225A">
        <w:t xml:space="preserve">an option to lease the land to Thurrock Power Limited as part of its proposal to </w:t>
      </w:r>
      <w:r w:rsidR="00DD2F98">
        <w:t xml:space="preserve">construct and develop </w:t>
      </w:r>
      <w:r w:rsidR="00FF3EE3">
        <w:t xml:space="preserve">a new electricity generation plant on the site. </w:t>
      </w:r>
      <w:r w:rsidR="00D35EFF">
        <w:t>I consider the proposal would be in the interests of the owner of the release land.</w:t>
      </w:r>
    </w:p>
    <w:p w14:paraId="5189762A" w14:textId="6D104EC6" w:rsidR="00FB4F06" w:rsidRDefault="00D35EFF" w:rsidP="00D35EFF">
      <w:pPr>
        <w:pStyle w:val="Style1"/>
      </w:pPr>
      <w:r>
        <w:t xml:space="preserve">It is submitted that the owner of Walton Common is also the holder of all extant grazing </w:t>
      </w:r>
      <w:r w:rsidR="00767E28">
        <w:t>rights over CL 228. It is submitted that grazing of the c</w:t>
      </w:r>
      <w:r w:rsidR="00E429DF">
        <w:t xml:space="preserve">ommon is regulated by the West Tilbury </w:t>
      </w:r>
      <w:r w:rsidR="00AD04C9">
        <w:t xml:space="preserve">Commons Conservators (WTCC) under the provisions of the </w:t>
      </w:r>
      <w:r w:rsidR="00136B2A">
        <w:t xml:space="preserve">1893 </w:t>
      </w:r>
      <w:r w:rsidR="00B86399">
        <w:t xml:space="preserve">Act </w:t>
      </w:r>
      <w:r w:rsidR="00136B2A">
        <w:t xml:space="preserve">and the subsequent </w:t>
      </w:r>
      <w:r w:rsidR="00E14B09">
        <w:t>A</w:t>
      </w:r>
      <w:r w:rsidR="00136B2A">
        <w:t xml:space="preserve">ward undertaken by the valuer in 1895. </w:t>
      </w:r>
    </w:p>
    <w:p w14:paraId="241681D6" w14:textId="34F639F8" w:rsidR="00720B30" w:rsidRDefault="0078136F" w:rsidP="00D35EFF">
      <w:pPr>
        <w:pStyle w:val="Style1"/>
      </w:pPr>
      <w:r>
        <w:t xml:space="preserve">The </w:t>
      </w:r>
      <w:r w:rsidR="006B56D8">
        <w:t>A</w:t>
      </w:r>
      <w:r>
        <w:t>pplicants submit that u</w:t>
      </w:r>
      <w:r w:rsidR="00FB4F06">
        <w:t xml:space="preserve">nder the provisions of the </w:t>
      </w:r>
      <w:r w:rsidR="00E14B09">
        <w:t>A</w:t>
      </w:r>
      <w:r w:rsidR="00FB4F06">
        <w:t>ward,</w:t>
      </w:r>
      <w:r w:rsidR="00D71AEE">
        <w:t xml:space="preserve"> the persons by whom</w:t>
      </w:r>
      <w:r w:rsidR="00190D8C">
        <w:t xml:space="preserve">, the stock by which and the times at which common rights of pasture </w:t>
      </w:r>
      <w:r w:rsidR="0022075B">
        <w:t xml:space="preserve">could be exercised </w:t>
      </w:r>
      <w:r w:rsidR="00190D8C">
        <w:t xml:space="preserve">were identified. </w:t>
      </w:r>
      <w:r w:rsidR="003C2EAE">
        <w:t>These rights were divided into 500 ‘stints’</w:t>
      </w:r>
      <w:r w:rsidR="009205F1">
        <w:t xml:space="preserve">, none of which can be attached to any particular landholding </w:t>
      </w:r>
      <w:r w:rsidR="005F1F45">
        <w:t xml:space="preserve">as stinted rights do </w:t>
      </w:r>
      <w:r w:rsidR="005F1F45">
        <w:lastRenderedPageBreak/>
        <w:t>not transfer with landownership</w:t>
      </w:r>
      <w:r w:rsidR="005352B5">
        <w:t xml:space="preserve"> but require acquisition (and payment) each year. It is the </w:t>
      </w:r>
      <w:r w:rsidR="006B56D8">
        <w:t>A</w:t>
      </w:r>
      <w:r w:rsidR="005352B5">
        <w:t>pplicants</w:t>
      </w:r>
      <w:r w:rsidR="00E14B09">
        <w:t>’</w:t>
      </w:r>
      <w:r w:rsidR="005352B5">
        <w:t xml:space="preserve"> case </w:t>
      </w:r>
      <w:r w:rsidR="00DD0AF6">
        <w:t>that they have purchased all 500 stints annual</w:t>
      </w:r>
      <w:r w:rsidR="00BF2D72">
        <w:t>l</w:t>
      </w:r>
      <w:r w:rsidR="00DD0AF6">
        <w:t xml:space="preserve">y for a number of years </w:t>
      </w:r>
      <w:r w:rsidR="00BF2D72">
        <w:t xml:space="preserve">and intend to continue </w:t>
      </w:r>
      <w:r w:rsidR="00720B30">
        <w:t>with this arrangement in future years if possible.</w:t>
      </w:r>
    </w:p>
    <w:p w14:paraId="7B283EBE" w14:textId="2E1642A6" w:rsidR="00BA605D" w:rsidRDefault="00C2639B" w:rsidP="00D35EFF">
      <w:pPr>
        <w:pStyle w:val="Style1"/>
      </w:pPr>
      <w:r>
        <w:t xml:space="preserve">The </w:t>
      </w:r>
      <w:r w:rsidR="003E4A02">
        <w:t xml:space="preserve">determination of objections made to the registration of rights </w:t>
      </w:r>
      <w:r w:rsidR="00F560C5">
        <w:t xml:space="preserve">made by Commissioner Baden-Fuller in July 1979 apportioned </w:t>
      </w:r>
      <w:r w:rsidR="00AE54FA">
        <w:t>490</w:t>
      </w:r>
      <w:r w:rsidR="00477502">
        <w:t xml:space="preserve"> stints over CL228 with all entries in the register </w:t>
      </w:r>
      <w:r w:rsidR="00DB599A">
        <w:t>(</w:t>
      </w:r>
      <w:r w:rsidR="00477502">
        <w:t xml:space="preserve">other than entry </w:t>
      </w:r>
      <w:r w:rsidR="00DB599A">
        <w:t>N</w:t>
      </w:r>
      <w:r w:rsidR="00477502">
        <w:t>o1</w:t>
      </w:r>
      <w:r w:rsidR="00DB599A">
        <w:t xml:space="preserve"> in favour of the owner of the common</w:t>
      </w:r>
      <w:r w:rsidR="00477502">
        <w:t>) being attached to land</w:t>
      </w:r>
      <w:r w:rsidR="00DB599A">
        <w:t>.</w:t>
      </w:r>
      <w:r w:rsidR="00474FE5">
        <w:t xml:space="preserve"> </w:t>
      </w:r>
      <w:r w:rsidR="00AE54FA">
        <w:t xml:space="preserve">The </w:t>
      </w:r>
      <w:r w:rsidR="00164983">
        <w:t>A</w:t>
      </w:r>
      <w:r w:rsidR="00AE54FA">
        <w:t xml:space="preserve">pplicant says that </w:t>
      </w:r>
      <w:r w:rsidR="00277ECF">
        <w:t xml:space="preserve">the </w:t>
      </w:r>
      <w:r w:rsidR="003C6007">
        <w:t xml:space="preserve">entries in the register </w:t>
      </w:r>
      <w:r w:rsidR="00106001">
        <w:t xml:space="preserve">presented a snapshot of the relevant stint holders under the </w:t>
      </w:r>
      <w:r w:rsidR="00057886">
        <w:t xml:space="preserve">1893 Act and Award at the date of registration under the </w:t>
      </w:r>
      <w:r w:rsidR="008F102F">
        <w:t xml:space="preserve">1965 Act and does not provide an accurate record of grazing rights over the common as these are created </w:t>
      </w:r>
      <w:r w:rsidR="00BA605D">
        <w:t>annually by the purchase of stints.</w:t>
      </w:r>
    </w:p>
    <w:p w14:paraId="3F6B7C03" w14:textId="607DDA9D" w:rsidR="003D58D5" w:rsidRDefault="001978E8" w:rsidP="00D35EFF">
      <w:pPr>
        <w:pStyle w:val="Style1"/>
      </w:pPr>
      <w:r>
        <w:t xml:space="preserve">In response, the OSS </w:t>
      </w:r>
      <w:r w:rsidR="005308DB">
        <w:t xml:space="preserve">considers that it may be that the owner of the common has acquired </w:t>
      </w:r>
      <w:r w:rsidR="003E434E">
        <w:t xml:space="preserve">some (or all) of the stints since registration under the 1965 </w:t>
      </w:r>
      <w:r w:rsidR="00C573DF">
        <w:t>Act. However, none of those acquisitions appear to have been recorded in the register</w:t>
      </w:r>
      <w:r w:rsidR="0030134A">
        <w:t xml:space="preserve">. Although the </w:t>
      </w:r>
      <w:r w:rsidR="00E5045D">
        <w:t>A</w:t>
      </w:r>
      <w:r w:rsidR="0030134A">
        <w:t>pplicant</w:t>
      </w:r>
      <w:r w:rsidR="00E5045D">
        <w:t xml:space="preserve">s </w:t>
      </w:r>
      <w:r w:rsidR="0030134A">
        <w:t>claim to be the o</w:t>
      </w:r>
      <w:r w:rsidR="003E75E1">
        <w:t>w</w:t>
      </w:r>
      <w:r w:rsidR="0030134A">
        <w:t>ner of all 500 stints, the register suggests othe</w:t>
      </w:r>
      <w:r w:rsidR="002B27A7">
        <w:t>rwise</w:t>
      </w:r>
      <w:r w:rsidR="003E75E1">
        <w:t xml:space="preserve">. </w:t>
      </w:r>
      <w:r w:rsidR="007A791C">
        <w:t>The OSS submits that</w:t>
      </w:r>
      <w:r w:rsidR="00A82775">
        <w:t xml:space="preserve"> there is no evidence that</w:t>
      </w:r>
      <w:r w:rsidR="007A791C">
        <w:t>, for example</w:t>
      </w:r>
      <w:r w:rsidR="00D12359">
        <w:t>,</w:t>
      </w:r>
      <w:r w:rsidR="007A791C">
        <w:t xml:space="preserve"> the 18.75 stints </w:t>
      </w:r>
      <w:r w:rsidR="00A82775">
        <w:t>recorded as being exercisable by the local authority</w:t>
      </w:r>
      <w:r w:rsidR="00D12359">
        <w:t xml:space="preserve"> </w:t>
      </w:r>
      <w:r w:rsidR="009F6A72">
        <w:t xml:space="preserve">have been </w:t>
      </w:r>
      <w:r w:rsidR="00D707D3">
        <w:t xml:space="preserve">severed and assigned to the </w:t>
      </w:r>
      <w:r w:rsidR="00E5045D">
        <w:t>A</w:t>
      </w:r>
      <w:r w:rsidR="00D707D3">
        <w:t>pplicant</w:t>
      </w:r>
      <w:r w:rsidR="00E5045D">
        <w:t>s</w:t>
      </w:r>
      <w:r w:rsidR="00D707D3">
        <w:t xml:space="preserve">. In the absence of evidence of applications having been made to </w:t>
      </w:r>
      <w:r w:rsidR="00C51011">
        <w:t>update the register, the OSS take</w:t>
      </w:r>
      <w:r w:rsidR="004830EC">
        <w:t>s</w:t>
      </w:r>
      <w:r w:rsidR="00C51011">
        <w:t xml:space="preserve"> the view that reliance should be placed on the register </w:t>
      </w:r>
      <w:r w:rsidR="00AE06CB">
        <w:t xml:space="preserve">and </w:t>
      </w:r>
      <w:r w:rsidR="000569F8">
        <w:t xml:space="preserve">doubt </w:t>
      </w:r>
      <w:r w:rsidR="00AE06CB">
        <w:t xml:space="preserve">cast </w:t>
      </w:r>
      <w:r w:rsidR="000569F8">
        <w:t xml:space="preserve">over the claim </w:t>
      </w:r>
      <w:r w:rsidR="00AE06CB">
        <w:t xml:space="preserve">that the owner of the common is also the owner </w:t>
      </w:r>
      <w:r w:rsidR="003D58D5">
        <w:t>of all 500 stints.</w:t>
      </w:r>
    </w:p>
    <w:p w14:paraId="3934B140" w14:textId="6F98F1EA" w:rsidR="00DB599A" w:rsidRDefault="00FC6790" w:rsidP="00D35EFF">
      <w:pPr>
        <w:pStyle w:val="Style1"/>
      </w:pPr>
      <w:r>
        <w:t xml:space="preserve">There is clearly a </w:t>
      </w:r>
      <w:r w:rsidR="00430C9B">
        <w:t>conflict</w:t>
      </w:r>
      <w:r>
        <w:t xml:space="preserve"> </w:t>
      </w:r>
      <w:r w:rsidR="00CE617E">
        <w:t xml:space="preserve">between what is claimed to be the practice of </w:t>
      </w:r>
      <w:r w:rsidR="002E5570">
        <w:t>paying</w:t>
      </w:r>
      <w:r w:rsidR="00CE617E">
        <w:t xml:space="preserve"> annual </w:t>
      </w:r>
      <w:r w:rsidR="002E5570">
        <w:t>stint money to purchase a</w:t>
      </w:r>
      <w:r w:rsidR="00CE617E">
        <w:t xml:space="preserve"> right to graze the common </w:t>
      </w:r>
      <w:r w:rsidR="00430C9B">
        <w:t>and</w:t>
      </w:r>
      <w:r w:rsidR="002A493B">
        <w:t xml:space="preserve"> </w:t>
      </w:r>
      <w:r w:rsidR="00430C9B">
        <w:t xml:space="preserve">the attachment of those rights to particular properties as set out in the </w:t>
      </w:r>
      <w:r w:rsidR="00447316">
        <w:t>Register</w:t>
      </w:r>
      <w:r w:rsidR="002A493B">
        <w:t xml:space="preserve">. </w:t>
      </w:r>
      <w:r w:rsidR="00FE3F8F">
        <w:t xml:space="preserve">The </w:t>
      </w:r>
      <w:r w:rsidR="00FA636F">
        <w:t>A</w:t>
      </w:r>
      <w:r w:rsidR="00FE3F8F">
        <w:t>pplicant</w:t>
      </w:r>
      <w:r w:rsidR="00FA636F">
        <w:t>s have</w:t>
      </w:r>
      <w:r w:rsidR="00FE3F8F">
        <w:t xml:space="preserve"> acknowledged this conflict and </w:t>
      </w:r>
      <w:r w:rsidR="00CD3E18">
        <w:t xml:space="preserve">has consulted with </w:t>
      </w:r>
      <w:r w:rsidR="00C110B7">
        <w:t>those named in the register or their suc</w:t>
      </w:r>
      <w:r w:rsidR="00CE3265">
        <w:t>c</w:t>
      </w:r>
      <w:r w:rsidR="00C110B7">
        <w:t>essors in title where the named landholding has subsequently been developed</w:t>
      </w:r>
      <w:r w:rsidR="00CE3265">
        <w:t xml:space="preserve">; the </w:t>
      </w:r>
      <w:r w:rsidR="00FA636F">
        <w:t>A</w:t>
      </w:r>
      <w:r w:rsidR="00CE3265">
        <w:t>pplicant</w:t>
      </w:r>
      <w:r w:rsidR="00FA636F">
        <w:t>s</w:t>
      </w:r>
      <w:r w:rsidR="00CE3265">
        <w:t xml:space="preserve"> state that none of those consulted </w:t>
      </w:r>
      <w:r w:rsidR="0047793A">
        <w:t xml:space="preserve">responded claiming to have </w:t>
      </w:r>
      <w:r w:rsidR="007F51AA">
        <w:t xml:space="preserve">rights over the common. </w:t>
      </w:r>
    </w:p>
    <w:p w14:paraId="4627B3CE" w14:textId="5A4D8225" w:rsidR="00D264A3" w:rsidRDefault="005D7E8F" w:rsidP="00002255">
      <w:pPr>
        <w:pStyle w:val="Style1"/>
      </w:pPr>
      <w:r>
        <w:t xml:space="preserve">If the </w:t>
      </w:r>
      <w:r w:rsidR="006026C3">
        <w:t>C</w:t>
      </w:r>
      <w:r w:rsidR="00046C8A">
        <w:t xml:space="preserve">ommons </w:t>
      </w:r>
      <w:r w:rsidR="006026C3">
        <w:t>R</w:t>
      </w:r>
      <w:r w:rsidR="00046C8A">
        <w:t xml:space="preserve">egister is correct in that the rights to graze on the common are attached to land, as a stinted common, this would not prevent the owners of those rights leasing or renting out their </w:t>
      </w:r>
      <w:r w:rsidR="00AB57E6">
        <w:t>stints to others.</w:t>
      </w:r>
      <w:r w:rsidR="00933727">
        <w:t xml:space="preserve"> </w:t>
      </w:r>
      <w:r w:rsidR="009D4B6C">
        <w:t xml:space="preserve">The practical implication of </w:t>
      </w:r>
      <w:r w:rsidR="005D3E09">
        <w:t>the propos</w:t>
      </w:r>
      <w:r w:rsidR="006026C3">
        <w:t>ed deregistration and exchange</w:t>
      </w:r>
      <w:r w:rsidR="005D3E09">
        <w:t xml:space="preserve"> would be to substitute</w:t>
      </w:r>
      <w:r w:rsidR="00933727">
        <w:t xml:space="preserve"> parts of</w:t>
      </w:r>
      <w:r w:rsidR="005D3E09">
        <w:t xml:space="preserve"> Walton </w:t>
      </w:r>
      <w:r w:rsidR="00933727">
        <w:t xml:space="preserve">and Tilbury Fort </w:t>
      </w:r>
      <w:r w:rsidR="005D3E09">
        <w:t>Common</w:t>
      </w:r>
      <w:r w:rsidR="00933727">
        <w:t>s</w:t>
      </w:r>
      <w:r w:rsidR="005D3E09">
        <w:t xml:space="preserve"> for a larger area of land over which </w:t>
      </w:r>
      <w:r w:rsidR="00DC15AC">
        <w:t>those holding grazing rights could exercise those rights</w:t>
      </w:r>
      <w:r w:rsidR="0034374E">
        <w:t>. The increase in the area of land available for grazing which would arise from the proposal</w:t>
      </w:r>
      <w:r w:rsidR="00EE4DCB">
        <w:t xml:space="preserve"> would not appear to b</w:t>
      </w:r>
      <w:r w:rsidR="0076053A">
        <w:t xml:space="preserve">e detrimental to the </w:t>
      </w:r>
      <w:r w:rsidR="00002255">
        <w:t xml:space="preserve">interests of the </w:t>
      </w:r>
      <w:r w:rsidR="0076053A">
        <w:t>holders of those rights</w:t>
      </w:r>
      <w:r w:rsidR="00002255">
        <w:t xml:space="preserve"> (should they choose to exercise them) given that the </w:t>
      </w:r>
      <w:r w:rsidR="00AB5662">
        <w:t>land appears to be of the same agric</w:t>
      </w:r>
      <w:r w:rsidR="00651FAB">
        <w:t>ultural quality</w:t>
      </w:r>
      <w:r w:rsidR="00D17079">
        <w:t xml:space="preserve"> and given that the rights extant over the release land would transfer to the replacement land</w:t>
      </w:r>
      <w:r w:rsidR="00651FAB">
        <w:t xml:space="preserve">. </w:t>
      </w:r>
    </w:p>
    <w:p w14:paraId="4A36E7E9" w14:textId="3726B7A4" w:rsidR="000569F8" w:rsidRDefault="00651FAB" w:rsidP="00002255">
      <w:pPr>
        <w:pStyle w:val="Style1"/>
      </w:pPr>
      <w:r>
        <w:t>For those who do not exercise their rights</w:t>
      </w:r>
      <w:r w:rsidR="00540206">
        <w:t>, but who lease or rent out their stints via the WTCC, there would appear to be no detrimental impact</w:t>
      </w:r>
      <w:r w:rsidR="00D17079">
        <w:t xml:space="preserve"> </w:t>
      </w:r>
      <w:r w:rsidR="00D264A3">
        <w:t xml:space="preserve">on their interests, as </w:t>
      </w:r>
      <w:r w:rsidR="00C22306">
        <w:t>the current practice would be maintained</w:t>
      </w:r>
      <w:r w:rsidR="00D052A8">
        <w:t xml:space="preserve"> over the replacement land.</w:t>
      </w:r>
    </w:p>
    <w:p w14:paraId="72398290" w14:textId="02B433CF" w:rsidR="00B22A96" w:rsidRDefault="00B22A96" w:rsidP="00B22A96">
      <w:pPr>
        <w:pStyle w:val="Style1"/>
      </w:pPr>
      <w:r>
        <w:t xml:space="preserve">I conclude that the proposed deregistration and exchange would be in the interests of the owner of the release land and that it is unlikely that there would be any </w:t>
      </w:r>
      <w:r w:rsidR="002052CC">
        <w:t>adverse impact upon those holders of grazing rights over the common</w:t>
      </w:r>
      <w:r>
        <w:t>.</w:t>
      </w:r>
    </w:p>
    <w:p w14:paraId="441783E7" w14:textId="77777777" w:rsidR="006B3758" w:rsidRDefault="006B3758" w:rsidP="006B3758">
      <w:pPr>
        <w:pStyle w:val="Heading6"/>
        <w:rPr>
          <w:i/>
        </w:rPr>
      </w:pPr>
      <w:r w:rsidRPr="0091685C">
        <w:rPr>
          <w:i/>
        </w:rPr>
        <w:lastRenderedPageBreak/>
        <w:t>The interests of the neighbourhood</w:t>
      </w:r>
    </w:p>
    <w:p w14:paraId="552C101B" w14:textId="77777777" w:rsidR="006B3758" w:rsidRDefault="006B3758" w:rsidP="006B3758">
      <w:pPr>
        <w:pStyle w:val="Style1"/>
        <w:numPr>
          <w:ilvl w:val="0"/>
          <w:numId w:val="21"/>
        </w:numPr>
        <w:tabs>
          <w:tab w:val="clear" w:pos="720"/>
        </w:tabs>
      </w:pPr>
      <w:r>
        <w:t>Defra’s Common Land Consents Policy Guidance indicates that the issues to be considered in this context includes whether the exchange would prevent local people from using the common in the way they are used to, and whether or not there would be an interference with the future use and enjoyment of the common.</w:t>
      </w:r>
    </w:p>
    <w:p w14:paraId="701E55EE" w14:textId="698E06EE" w:rsidR="003046F4" w:rsidRDefault="006B3758" w:rsidP="00C75E40">
      <w:pPr>
        <w:pStyle w:val="Style1"/>
      </w:pPr>
      <w:r>
        <w:t xml:space="preserve">The release land is subject to access rights under part 1 of the Countryside and Rights of Way Act 2000 (‘the 2000 Act’). The replacement land will also become subject to those access provisions under the 2000 Act although those access rights will not come into effect until a review of the access map prepared under part 1 of the 2000 Act has taken place. The release land is also subject to the provisions </w:t>
      </w:r>
      <w:r w:rsidR="00B908AC">
        <w:t xml:space="preserve">of the </w:t>
      </w:r>
      <w:r w:rsidR="00191D03">
        <w:t xml:space="preserve">1893 Act for </w:t>
      </w:r>
      <w:r w:rsidR="00F37BD8">
        <w:t xml:space="preserve">access, </w:t>
      </w:r>
      <w:r w:rsidR="00191D03">
        <w:t xml:space="preserve">the playing of games </w:t>
      </w:r>
      <w:r w:rsidR="00281947">
        <w:t>and reasonable recreation</w:t>
      </w:r>
      <w:r w:rsidR="00D526F8">
        <w:t xml:space="preserve">. The release land is also </w:t>
      </w:r>
      <w:r w:rsidR="00281947">
        <w:t xml:space="preserve">subject to the provisions </w:t>
      </w:r>
      <w:r>
        <w:t xml:space="preserve">of s193 of the Law of Property </w:t>
      </w:r>
      <w:r w:rsidR="00E419A3">
        <w:t xml:space="preserve">Act </w:t>
      </w:r>
      <w:r>
        <w:t xml:space="preserve">1925 </w:t>
      </w:r>
      <w:r w:rsidR="00E419A3">
        <w:t xml:space="preserve">(‘the 1925 Act’) </w:t>
      </w:r>
      <w:r w:rsidR="008F559A">
        <w:t>for air and exercise</w:t>
      </w:r>
      <w:r w:rsidR="00E419A3">
        <w:t>.</w:t>
      </w:r>
      <w:r w:rsidR="008F559A">
        <w:t xml:space="preserve"> </w:t>
      </w:r>
      <w:r w:rsidR="00E419A3">
        <w:t>T</w:t>
      </w:r>
      <w:r>
        <w:t xml:space="preserve">he right of the public to </w:t>
      </w:r>
      <w:r w:rsidR="001E10CD">
        <w:t xml:space="preserve">undertake such activities </w:t>
      </w:r>
      <w:r>
        <w:t>over the release land would transfer to the replacement land.</w:t>
      </w:r>
    </w:p>
    <w:p w14:paraId="77455BEC" w14:textId="77777777" w:rsidR="004C04D0" w:rsidRDefault="00C75E40" w:rsidP="00C75E40">
      <w:pPr>
        <w:pStyle w:val="Style1"/>
      </w:pPr>
      <w:r>
        <w:t>The release land is separated from the remainder of the commons by the Tilbury</w:t>
      </w:r>
      <w:r w:rsidR="00661BF2">
        <w:t xml:space="preserve"> to Southend</w:t>
      </w:r>
      <w:r>
        <w:t xml:space="preserve"> railway line</w:t>
      </w:r>
      <w:r w:rsidR="00B732A2">
        <w:t xml:space="preserve"> and is </w:t>
      </w:r>
      <w:r w:rsidR="00BD2037">
        <w:t xml:space="preserve">bounded on the </w:t>
      </w:r>
      <w:r w:rsidR="000E42A4">
        <w:t xml:space="preserve">south by Tilbury substation, on the </w:t>
      </w:r>
      <w:r w:rsidR="00DA63F0">
        <w:t xml:space="preserve">north and </w:t>
      </w:r>
      <w:r w:rsidR="000E42A4">
        <w:t xml:space="preserve">east by </w:t>
      </w:r>
      <w:r w:rsidR="00DA63F0">
        <w:t xml:space="preserve">other agricultural land, and on the west by </w:t>
      </w:r>
      <w:r w:rsidR="002C5CEE">
        <w:t xml:space="preserve">a sewage farm. Access to the common from the railway is via </w:t>
      </w:r>
      <w:r w:rsidR="00DF1729">
        <w:t>a narrow strip of</w:t>
      </w:r>
      <w:r w:rsidR="00F97F24">
        <w:t xml:space="preserve"> land known as ‘Walton Wall’</w:t>
      </w:r>
      <w:r w:rsidR="00515BD8">
        <w:t xml:space="preserve">. </w:t>
      </w:r>
      <w:r w:rsidR="004C04D0">
        <w:t>Access to Walton Common is only possible from Parsonage Common which is on the north side of the railway.</w:t>
      </w:r>
    </w:p>
    <w:p w14:paraId="67035E08" w14:textId="54840723" w:rsidR="00613200" w:rsidRDefault="00EA3416" w:rsidP="00C75E40">
      <w:pPr>
        <w:pStyle w:val="Style1"/>
      </w:pPr>
      <w:r>
        <w:t>T</w:t>
      </w:r>
      <w:r w:rsidR="00515BD8">
        <w:t xml:space="preserve">he parties submitted that the gates </w:t>
      </w:r>
      <w:r w:rsidR="00AD52D8">
        <w:t>at the railway crossing were locked</w:t>
      </w:r>
      <w:r w:rsidR="002C2289">
        <w:t>. However</w:t>
      </w:r>
      <w:r w:rsidR="00AD52D8">
        <w:t xml:space="preserve">, I found on my site visit that there was a suitable gap between the </w:t>
      </w:r>
      <w:r w:rsidR="00F6096C">
        <w:t xml:space="preserve">gate post and adjacent fence for a pedestrian to </w:t>
      </w:r>
      <w:r w:rsidR="0069658C">
        <w:t>bypass the gate and</w:t>
      </w:r>
      <w:r w:rsidR="004346A7">
        <w:t>,</w:t>
      </w:r>
      <w:r w:rsidR="0069658C">
        <w:t xml:space="preserve"> following </w:t>
      </w:r>
      <w:r w:rsidR="00A2631D">
        <w:t xml:space="preserve">the ‘stop, look, listen’ protocol, it was possible to cross the railway from Parsonage Common onto Walton Common. </w:t>
      </w:r>
    </w:p>
    <w:p w14:paraId="3AEB4A23" w14:textId="2B43F011" w:rsidR="007F2C9D" w:rsidRDefault="00613200" w:rsidP="00C75E40">
      <w:pPr>
        <w:pStyle w:val="Style1"/>
      </w:pPr>
      <w:r>
        <w:t xml:space="preserve">Access to Parsonage Common </w:t>
      </w:r>
      <w:r w:rsidR="009901C8">
        <w:t xml:space="preserve">was problematic as there is only one access point from </w:t>
      </w:r>
      <w:r w:rsidR="00CB5B0A">
        <w:t>Coopers Shaw Road</w:t>
      </w:r>
      <w:r w:rsidR="0093091C">
        <w:t xml:space="preserve"> and this was obstructed by a considerable amount of fly-tipped rubbish.</w:t>
      </w:r>
      <w:r w:rsidR="002454B2">
        <w:t xml:space="preserve"> I saw</w:t>
      </w:r>
      <w:r w:rsidR="00870573">
        <w:t xml:space="preserve"> few signs on </w:t>
      </w:r>
      <w:r w:rsidR="00B1734A">
        <w:t>either common to suggest</w:t>
      </w:r>
      <w:r w:rsidR="00687969">
        <w:t xml:space="preserve"> that those resident in the neighbourhood </w:t>
      </w:r>
      <w:r w:rsidR="007F2C9D">
        <w:t xml:space="preserve">were in the habit of taking air and exercise on either </w:t>
      </w:r>
      <w:r w:rsidR="00B1734A">
        <w:t>Parsonage or Walton C</w:t>
      </w:r>
      <w:r w:rsidR="007F2C9D">
        <w:t>ommon</w:t>
      </w:r>
      <w:r w:rsidR="00AD2C3C">
        <w:t>s</w:t>
      </w:r>
      <w:r w:rsidR="007F2C9D">
        <w:t>.</w:t>
      </w:r>
    </w:p>
    <w:p w14:paraId="4AF7B80C" w14:textId="57267B58" w:rsidR="00C75E40" w:rsidRDefault="003A3924" w:rsidP="00C75E40">
      <w:pPr>
        <w:pStyle w:val="Style1"/>
      </w:pPr>
      <w:r>
        <w:t xml:space="preserve">The limited evidence of </w:t>
      </w:r>
      <w:r w:rsidR="00BF06CF">
        <w:t xml:space="preserve">public access to either </w:t>
      </w:r>
      <w:r w:rsidR="007F2C9D">
        <w:t xml:space="preserve">Parsonage </w:t>
      </w:r>
      <w:r w:rsidR="00682944">
        <w:t>or</w:t>
      </w:r>
      <w:r w:rsidR="007F2C9D">
        <w:t xml:space="preserve"> Walton </w:t>
      </w:r>
      <w:r>
        <w:t>Common</w:t>
      </w:r>
      <w:r w:rsidR="00E935CE">
        <w:t>s</w:t>
      </w:r>
      <w:r>
        <w:t xml:space="preserve"> </w:t>
      </w:r>
      <w:r w:rsidR="00BF06CF">
        <w:t>is likely to be</w:t>
      </w:r>
      <w:r w:rsidR="00885F24">
        <w:t xml:space="preserve"> the result of potential users having to walk around 1.6Km from Tilbury </w:t>
      </w:r>
      <w:r w:rsidR="00A13EE7">
        <w:t xml:space="preserve">to reach the access point onto Parsonage Common. </w:t>
      </w:r>
      <w:r w:rsidR="006B1C34">
        <w:t>The public may be dissuaded from doing so as For</w:t>
      </w:r>
      <w:r w:rsidR="00682944">
        <w:t>t</w:t>
      </w:r>
      <w:r w:rsidR="006B1C34">
        <w:t xml:space="preserve"> Road and Coopers Shaw </w:t>
      </w:r>
      <w:r w:rsidR="00310E50">
        <w:t>Road</w:t>
      </w:r>
      <w:r w:rsidR="00CC697A">
        <w:t xml:space="preserve"> are 60 mph </w:t>
      </w:r>
      <w:r w:rsidR="0023787D">
        <w:t>roads</w:t>
      </w:r>
      <w:r w:rsidR="00AE1720">
        <w:t xml:space="preserve"> which are used extensively by articulated vehicles </w:t>
      </w:r>
      <w:r w:rsidR="00D0433F">
        <w:t xml:space="preserve">travelling to and from the industrial sites located on the fringes of Tilbury. </w:t>
      </w:r>
      <w:r w:rsidR="007B1243">
        <w:t xml:space="preserve">However, </w:t>
      </w:r>
      <w:r w:rsidR="004419ED">
        <w:t xml:space="preserve">I found that there was sufficient space on the roadside verges to step off the carriageway as part of </w:t>
      </w:r>
      <w:r w:rsidR="00056861">
        <w:t xml:space="preserve">my journey to and from Parsonage Common, but </w:t>
      </w:r>
      <w:r w:rsidR="004D71F8">
        <w:t xml:space="preserve">I can understand that some users may be dissuaded </w:t>
      </w:r>
      <w:r w:rsidR="00A032DE">
        <w:t xml:space="preserve">from doing so </w:t>
      </w:r>
      <w:r w:rsidR="0036498F">
        <w:t xml:space="preserve">by the </w:t>
      </w:r>
      <w:r w:rsidR="00A032DE">
        <w:t xml:space="preserve">existing </w:t>
      </w:r>
      <w:r w:rsidR="0036498F">
        <w:t xml:space="preserve">road conditions. </w:t>
      </w:r>
    </w:p>
    <w:p w14:paraId="0CF3464E" w14:textId="77777777" w:rsidR="00DC5EC8" w:rsidRDefault="00102DB4" w:rsidP="00C75E40">
      <w:pPr>
        <w:pStyle w:val="Style1"/>
      </w:pPr>
      <w:r>
        <w:t xml:space="preserve">The replacement land would be immediately adjacent to </w:t>
      </w:r>
      <w:r w:rsidR="006534CF">
        <w:t>the south-western part of Parsonage Common and would be readily accessible using the existing agricul</w:t>
      </w:r>
      <w:r w:rsidR="0063729D">
        <w:t xml:space="preserve">tural access which links those cultivated fields either side of Parsonage Common. </w:t>
      </w:r>
      <w:r w:rsidR="00985FAD">
        <w:t xml:space="preserve">Public access to the replacement land would be </w:t>
      </w:r>
      <w:r w:rsidR="00086F4E">
        <w:t>from Parsonage Common</w:t>
      </w:r>
      <w:r w:rsidR="005D5AA3">
        <w:t xml:space="preserve">; whilst </w:t>
      </w:r>
      <w:r w:rsidR="0068475F">
        <w:t>users would still be required to undertake a journey along Fort Road and Coopers Shaw Road</w:t>
      </w:r>
      <w:r w:rsidR="0020661A">
        <w:t xml:space="preserve">, access to the replacement land would be </w:t>
      </w:r>
      <w:r w:rsidR="0020661A">
        <w:lastRenderedPageBreak/>
        <w:t xml:space="preserve">marginally easier and safer as </w:t>
      </w:r>
      <w:r w:rsidR="009C4CAC">
        <w:t>the requirement to cross the railway would be removed.</w:t>
      </w:r>
    </w:p>
    <w:p w14:paraId="16A7A677" w14:textId="6389DB6F" w:rsidR="00DC5EC8" w:rsidRDefault="004B72DD" w:rsidP="00C75E40">
      <w:pPr>
        <w:pStyle w:val="Style1"/>
      </w:pPr>
      <w:r>
        <w:t xml:space="preserve">Both OSS and NE </w:t>
      </w:r>
      <w:r w:rsidR="00A06572">
        <w:t xml:space="preserve">draw attention to the </w:t>
      </w:r>
      <w:r w:rsidR="00717A9F">
        <w:t xml:space="preserve">south-western boundary of the </w:t>
      </w:r>
      <w:r w:rsidR="00A50ED8">
        <w:t>replacement</w:t>
      </w:r>
      <w:r w:rsidR="00717A9F">
        <w:t xml:space="preserve"> land terminating approximately 100 metres from For</w:t>
      </w:r>
      <w:r w:rsidR="008D1E84">
        <w:t>t</w:t>
      </w:r>
      <w:r w:rsidR="00717A9F">
        <w:t xml:space="preserve"> Road with no provision being made for access to the replacement land from </w:t>
      </w:r>
      <w:r w:rsidR="0099519E">
        <w:t xml:space="preserve">the west. The provision of access in either the form of a strip of common land </w:t>
      </w:r>
      <w:r w:rsidR="007C05AD">
        <w:t>from</w:t>
      </w:r>
      <w:r w:rsidR="00DF4E4B">
        <w:t xml:space="preserve"> the roadside</w:t>
      </w:r>
      <w:r w:rsidR="007C05AD">
        <w:t>,</w:t>
      </w:r>
      <w:r w:rsidR="00DF4E4B">
        <w:t xml:space="preserve"> </w:t>
      </w:r>
      <w:r w:rsidR="0099519E">
        <w:t xml:space="preserve">or the dedication of a public right of way </w:t>
      </w:r>
      <w:r w:rsidR="007C05AD">
        <w:t>across th</w:t>
      </w:r>
      <w:r w:rsidR="004E6E61">
        <w:t xml:space="preserve">at part of the arable field not offered as replacement land </w:t>
      </w:r>
      <w:r w:rsidR="00DF4E4B">
        <w:t xml:space="preserve">would provide access </w:t>
      </w:r>
      <w:r w:rsidR="004F2B63">
        <w:t xml:space="preserve">to the replacement </w:t>
      </w:r>
      <w:r w:rsidR="00167250">
        <w:t>land</w:t>
      </w:r>
      <w:r w:rsidR="00FE3D8A">
        <w:t xml:space="preserve"> </w:t>
      </w:r>
      <w:r w:rsidR="00DF4E4B">
        <w:t>for th</w:t>
      </w:r>
      <w:r w:rsidR="00EF2D61">
        <w:t>ose in the neighbourhood.</w:t>
      </w:r>
    </w:p>
    <w:p w14:paraId="61D866FF" w14:textId="12FB2F45" w:rsidR="001E1D1A" w:rsidRDefault="00EF2D61" w:rsidP="00C75E40">
      <w:pPr>
        <w:pStyle w:val="Style1"/>
      </w:pPr>
      <w:r>
        <w:t xml:space="preserve">The </w:t>
      </w:r>
      <w:r w:rsidR="004E6E61">
        <w:t>A</w:t>
      </w:r>
      <w:r>
        <w:t>pplicant</w:t>
      </w:r>
      <w:r w:rsidR="00E71FE8">
        <w:t>s</w:t>
      </w:r>
      <w:r>
        <w:t xml:space="preserve"> </w:t>
      </w:r>
      <w:r w:rsidR="00410211">
        <w:t>ha</w:t>
      </w:r>
      <w:r w:rsidR="00E71FE8">
        <w:t>ve</w:t>
      </w:r>
      <w:r w:rsidR="00410211">
        <w:t xml:space="preserve"> proposed the creation of a permissive means of access to the replacement land </w:t>
      </w:r>
      <w:r w:rsidR="005630A0">
        <w:t>from Fort Road via a footbridge</w:t>
      </w:r>
      <w:r w:rsidR="00B221C9">
        <w:t xml:space="preserve">. </w:t>
      </w:r>
      <w:r w:rsidR="00430D71">
        <w:t>T</w:t>
      </w:r>
      <w:r w:rsidR="005630A0">
        <w:t xml:space="preserve">he </w:t>
      </w:r>
      <w:r w:rsidR="00E71FE8">
        <w:t>A</w:t>
      </w:r>
      <w:r w:rsidR="005630A0">
        <w:t>pplicant</w:t>
      </w:r>
      <w:r w:rsidR="00E71FE8">
        <w:t xml:space="preserve">s have </w:t>
      </w:r>
      <w:r w:rsidR="005630A0">
        <w:t>concerns</w:t>
      </w:r>
      <w:r w:rsidR="00430D71">
        <w:t xml:space="preserve"> that </w:t>
      </w:r>
      <w:r w:rsidR="000A3B1B">
        <w:t>a permanent means of access would increase the lik</w:t>
      </w:r>
      <w:r w:rsidR="00740537">
        <w:t>e</w:t>
      </w:r>
      <w:r w:rsidR="000A3B1B">
        <w:t>l</w:t>
      </w:r>
      <w:r w:rsidR="00740537">
        <w:t>i</w:t>
      </w:r>
      <w:r w:rsidR="000A3B1B">
        <w:t>hood of fly-tipping</w:t>
      </w:r>
      <w:r w:rsidR="00740537">
        <w:t xml:space="preserve"> along Fort Road and on the replacement land</w:t>
      </w:r>
      <w:r w:rsidR="00756DD8">
        <w:t>. It is submitted that p</w:t>
      </w:r>
      <w:r w:rsidR="00FE3D8A">
        <w:t>ermissive access would allow for</w:t>
      </w:r>
      <w:r w:rsidR="00C675BF">
        <w:t xml:space="preserve"> </w:t>
      </w:r>
      <w:r w:rsidR="00AF2431">
        <w:t>monitoring and assessment of the impact of access</w:t>
      </w:r>
      <w:r w:rsidR="009B6F1D">
        <w:t xml:space="preserve"> from Fort Road,</w:t>
      </w:r>
      <w:r w:rsidR="00AF2431">
        <w:t xml:space="preserve"> which </w:t>
      </w:r>
      <w:r w:rsidR="009B6F1D">
        <w:t xml:space="preserve">the </w:t>
      </w:r>
      <w:r w:rsidR="00756DD8">
        <w:t>A</w:t>
      </w:r>
      <w:r w:rsidR="009B6F1D">
        <w:t>pplicants would be willing to retain</w:t>
      </w:r>
      <w:r w:rsidR="00AF2431">
        <w:t xml:space="preserve"> if there were no demonstrable adverse impacts.</w:t>
      </w:r>
    </w:p>
    <w:p w14:paraId="0EA804C1" w14:textId="489DDAA4" w:rsidR="00EF2D61" w:rsidRDefault="001E1D1A" w:rsidP="00C75E40">
      <w:pPr>
        <w:pStyle w:val="Style1"/>
      </w:pPr>
      <w:r>
        <w:t xml:space="preserve">It was noticeable </w:t>
      </w:r>
      <w:r w:rsidR="00AF2431">
        <w:t xml:space="preserve">the extent to which fly-tipping had occurred along Fort Road and Coopers Shaw Road; </w:t>
      </w:r>
      <w:r w:rsidR="005A160A">
        <w:t>there were quantities of waste and rubbish in the verges and ditches</w:t>
      </w:r>
      <w:r w:rsidR="006F7ECE">
        <w:t>, with a significant quantity of waste tipped at the e</w:t>
      </w:r>
      <w:r w:rsidR="005F4E97">
        <w:t>nt</w:t>
      </w:r>
      <w:r w:rsidR="006F7ECE">
        <w:t>rance to Parsonag</w:t>
      </w:r>
      <w:r w:rsidR="005F4E97">
        <w:t>e</w:t>
      </w:r>
      <w:r w:rsidR="006A4AF4">
        <w:t xml:space="preserve"> </w:t>
      </w:r>
      <w:r w:rsidR="005F4E97">
        <w:t xml:space="preserve">Common. </w:t>
      </w:r>
      <w:r w:rsidR="00724C6D">
        <w:t xml:space="preserve">The concerns which the </w:t>
      </w:r>
      <w:r w:rsidR="003B409A">
        <w:t>A</w:t>
      </w:r>
      <w:r w:rsidR="00724C6D">
        <w:t>pplicant</w:t>
      </w:r>
      <w:r w:rsidR="003B409A">
        <w:t>s</w:t>
      </w:r>
      <w:r w:rsidR="00724C6D">
        <w:t xml:space="preserve"> express about the likelihood of fly-tipping arising at a </w:t>
      </w:r>
      <w:r w:rsidR="00E4020A">
        <w:t xml:space="preserve">new point of access appear to be real rather than imagined. </w:t>
      </w:r>
      <w:r w:rsidR="005F4E97">
        <w:t xml:space="preserve">Whilst I </w:t>
      </w:r>
      <w:r w:rsidR="00C9512B">
        <w:t xml:space="preserve">consider that </w:t>
      </w:r>
      <w:r w:rsidR="00990AE2">
        <w:t>a</w:t>
      </w:r>
      <w:r w:rsidR="00C9512B">
        <w:t xml:space="preserve"> permissive </w:t>
      </w:r>
      <w:r w:rsidR="00C75F30">
        <w:t xml:space="preserve">path would provide a convenient means of by which those living in Tilbury could access the replacement land, </w:t>
      </w:r>
      <w:r w:rsidR="00FE0CC2">
        <w:t xml:space="preserve">the permissive nature limits the benefit that would arise to the public </w:t>
      </w:r>
      <w:r w:rsidR="001764CF">
        <w:t>as that access could be removed at any time.</w:t>
      </w:r>
    </w:p>
    <w:p w14:paraId="6589CDD9" w14:textId="215AE94F" w:rsidR="00D5285A" w:rsidRDefault="00466EE5" w:rsidP="00DC5EC8">
      <w:pPr>
        <w:pStyle w:val="Style1"/>
      </w:pPr>
      <w:r>
        <w:t xml:space="preserve">Nonetheless, </w:t>
      </w:r>
      <w:r w:rsidR="00DC5EC8">
        <w:t>I consider that the exchange would not prevent local people from using the common</w:t>
      </w:r>
      <w:r w:rsidR="00654C5A">
        <w:t>s</w:t>
      </w:r>
      <w:r w:rsidR="00DC5EC8">
        <w:t xml:space="preserve"> as they do now. Although the public would not enjoy a right of access to the replacement land under the 2000 Act prior to a review of the Part 1 access maps being concluded, access for local people would be protected under </w:t>
      </w:r>
      <w:r w:rsidR="008D6444">
        <w:t xml:space="preserve">the </w:t>
      </w:r>
      <w:r w:rsidR="0033335D">
        <w:t xml:space="preserve">provisions within the </w:t>
      </w:r>
      <w:r w:rsidR="008D6444">
        <w:t>1893 and 1925 Acts</w:t>
      </w:r>
      <w:r w:rsidR="00DC5EC8">
        <w:t xml:space="preserve"> which would transfer from the release land. There is no evidence before me from which I could conclude that the proposed exchange would interfere with </w:t>
      </w:r>
      <w:r w:rsidR="00B57C38">
        <w:t xml:space="preserve">or adversely affect </w:t>
      </w:r>
      <w:r w:rsidR="00DC5EC8">
        <w:t>the future use and enjoyment of the common by local people.</w:t>
      </w:r>
      <w:r w:rsidR="0068475F">
        <w:t xml:space="preserve"> </w:t>
      </w:r>
    </w:p>
    <w:p w14:paraId="3298426D" w14:textId="77777777" w:rsidR="005257CA" w:rsidRPr="00E168E9" w:rsidRDefault="005257CA" w:rsidP="005257CA">
      <w:pPr>
        <w:pStyle w:val="Heading6"/>
        <w:rPr>
          <w:i/>
        </w:rPr>
      </w:pPr>
      <w:r w:rsidRPr="00E168E9">
        <w:rPr>
          <w:i/>
        </w:rPr>
        <w:t>The public interest</w:t>
      </w:r>
    </w:p>
    <w:p w14:paraId="16392F6F" w14:textId="77777777" w:rsidR="005257CA" w:rsidRDefault="005257CA" w:rsidP="005257CA">
      <w:pPr>
        <w:pStyle w:val="Heading6"/>
        <w:rPr>
          <w:b w:val="0"/>
          <w:i/>
        </w:rPr>
      </w:pPr>
      <w:r w:rsidRPr="00FA3BD0">
        <w:rPr>
          <w:b w:val="0"/>
          <w:i/>
        </w:rPr>
        <w:t>The protection of public rights of access</w:t>
      </w:r>
    </w:p>
    <w:p w14:paraId="635FCCFE" w14:textId="2069A463" w:rsidR="00D052A8" w:rsidRDefault="00C37974" w:rsidP="00002255">
      <w:pPr>
        <w:pStyle w:val="Style1"/>
      </w:pPr>
      <w:r>
        <w:t>The</w:t>
      </w:r>
      <w:r w:rsidR="006E2C98">
        <w:t>re are no public rights of way which cross either the release or replacement land</w:t>
      </w:r>
      <w:r w:rsidR="008D0510">
        <w:t xml:space="preserve">. The exchange would increase the area of common land and thereby the area of land available for the playing of games under the 1893 Act or for air and exercise under </w:t>
      </w:r>
      <w:r w:rsidR="003F041A">
        <w:t>the</w:t>
      </w:r>
      <w:r w:rsidR="008B005D">
        <w:t xml:space="preserve"> 1925</w:t>
      </w:r>
      <w:r w:rsidR="003F041A">
        <w:t xml:space="preserve"> Act</w:t>
      </w:r>
      <w:r w:rsidR="00C21212">
        <w:t>.</w:t>
      </w:r>
      <w:r w:rsidR="009D737C">
        <w:t xml:space="preserve"> </w:t>
      </w:r>
      <w:r w:rsidR="00D747B3">
        <w:t xml:space="preserve">I consider that the proposal </w:t>
      </w:r>
      <w:r w:rsidR="00030B05">
        <w:t xml:space="preserve">would not </w:t>
      </w:r>
      <w:r w:rsidR="00203315">
        <w:t>have an adverse effect upon public rights of access or result in a reduction in the stock of land to w</w:t>
      </w:r>
      <w:r w:rsidR="001E5060">
        <w:t>hich the public have access.</w:t>
      </w:r>
    </w:p>
    <w:p w14:paraId="1961DCE8" w14:textId="0E089F57" w:rsidR="001E5060" w:rsidRPr="00F81E9C" w:rsidRDefault="001E5060" w:rsidP="00F81E9C">
      <w:pPr>
        <w:pStyle w:val="Style1"/>
        <w:numPr>
          <w:ilvl w:val="0"/>
          <w:numId w:val="0"/>
        </w:numPr>
        <w:rPr>
          <w:i/>
          <w:iCs/>
        </w:rPr>
      </w:pPr>
      <w:r w:rsidRPr="00F81E9C">
        <w:rPr>
          <w:i/>
          <w:iCs/>
        </w:rPr>
        <w:t>Nature conservation and biodiversity</w:t>
      </w:r>
    </w:p>
    <w:p w14:paraId="10135D34" w14:textId="491B3CF6" w:rsidR="00F81E9C" w:rsidRDefault="00F42603" w:rsidP="00002255">
      <w:pPr>
        <w:pStyle w:val="Style1"/>
      </w:pPr>
      <w:r>
        <w:t xml:space="preserve">The release </w:t>
      </w:r>
      <w:r w:rsidR="00FA30CF">
        <w:t>and</w:t>
      </w:r>
      <w:r>
        <w:t xml:space="preserve"> replacement land</w:t>
      </w:r>
      <w:r w:rsidR="00B34ABA">
        <w:t xml:space="preserve"> </w:t>
      </w:r>
      <w:r w:rsidR="00F75984">
        <w:t>is</w:t>
      </w:r>
      <w:r w:rsidR="00B34ABA">
        <w:t xml:space="preserve"> not with</w:t>
      </w:r>
      <w:r w:rsidR="00FA30CF">
        <w:t>in</w:t>
      </w:r>
      <w:r w:rsidR="00B34ABA">
        <w:t xml:space="preserve"> an area of Special Scientific Interest, a National Natur</w:t>
      </w:r>
      <w:r w:rsidR="00947B26">
        <w:t xml:space="preserve">e Reserve, a Special Area of Conservation, a Special Protection Area or a Ramsar site. </w:t>
      </w:r>
      <w:r w:rsidR="00391970">
        <w:t xml:space="preserve">The main part of the release land comprises </w:t>
      </w:r>
      <w:r w:rsidR="005E55A3">
        <w:t>semi-improved grassland</w:t>
      </w:r>
      <w:r w:rsidR="00807465">
        <w:t xml:space="preserve"> </w:t>
      </w:r>
      <w:r w:rsidR="001455D3">
        <w:t xml:space="preserve">which </w:t>
      </w:r>
      <w:r w:rsidR="009E260B">
        <w:t>appears to be man</w:t>
      </w:r>
      <w:r w:rsidR="0008014B">
        <w:t>aged by mowing as opposed to being grazed by livestock</w:t>
      </w:r>
      <w:r w:rsidR="001455D3">
        <w:t xml:space="preserve">. </w:t>
      </w:r>
      <w:r w:rsidR="00340286">
        <w:t xml:space="preserve">The replacement land is currently </w:t>
      </w:r>
      <w:r w:rsidR="001831C4">
        <w:t xml:space="preserve">cultivated to </w:t>
      </w:r>
      <w:r w:rsidR="001831C4">
        <w:lastRenderedPageBreak/>
        <w:t>provide an arable crop. The</w:t>
      </w:r>
      <w:r w:rsidR="0008014B">
        <w:t xml:space="preserve"> </w:t>
      </w:r>
      <w:r w:rsidR="00F75984">
        <w:t>A</w:t>
      </w:r>
      <w:r w:rsidR="0008014B">
        <w:t>pplicant</w:t>
      </w:r>
      <w:r w:rsidR="00F75984">
        <w:t>s</w:t>
      </w:r>
      <w:r w:rsidR="0008014B">
        <w:t xml:space="preserve"> propos</w:t>
      </w:r>
      <w:r w:rsidR="009B246F">
        <w:t>e</w:t>
      </w:r>
      <w:r w:rsidR="0008014B">
        <w:t xml:space="preserve"> to</w:t>
      </w:r>
      <w:r w:rsidR="0082536A">
        <w:t xml:space="preserve"> </w:t>
      </w:r>
      <w:r w:rsidR="004446C7">
        <w:t xml:space="preserve">convert the arable field to semi-improved grassland using a seed mix </w:t>
      </w:r>
      <w:r w:rsidR="00E20EE1">
        <w:t xml:space="preserve">which </w:t>
      </w:r>
      <w:r w:rsidR="00806FC7">
        <w:t xml:space="preserve">contains the grass and flowering plant species </w:t>
      </w:r>
      <w:r w:rsidR="00C44662">
        <w:t xml:space="preserve">in similar proportions to those which have been found on the release land. The </w:t>
      </w:r>
      <w:r w:rsidR="009B246F">
        <w:t>A</w:t>
      </w:r>
      <w:r w:rsidR="00C44662">
        <w:t>pplicant</w:t>
      </w:r>
      <w:r w:rsidR="009B246F">
        <w:t>s</w:t>
      </w:r>
      <w:r w:rsidR="00C44662">
        <w:t xml:space="preserve"> considers that </w:t>
      </w:r>
      <w:r w:rsidR="008E30E0">
        <w:t xml:space="preserve">such treatment would result in a like-for-like </w:t>
      </w:r>
      <w:r w:rsidR="00F3396B">
        <w:t xml:space="preserve">replacement for the release land. </w:t>
      </w:r>
    </w:p>
    <w:p w14:paraId="4B5704B9" w14:textId="09638F8D" w:rsidR="00F81E9C" w:rsidRDefault="008C4821" w:rsidP="00002255">
      <w:pPr>
        <w:pStyle w:val="Style1"/>
      </w:pPr>
      <w:r>
        <w:t xml:space="preserve">NE </w:t>
      </w:r>
      <w:r w:rsidR="0056446C">
        <w:t>and the OSS consider that as arable land</w:t>
      </w:r>
      <w:r w:rsidR="00502FAC">
        <w:t xml:space="preserve">, the replacement land would offer no biodiversity interest </w:t>
      </w:r>
      <w:r w:rsidR="00EE78E7">
        <w:t xml:space="preserve">and would only become of ‘equal </w:t>
      </w:r>
      <w:r w:rsidR="005A2C1F">
        <w:t>benefit</w:t>
      </w:r>
      <w:r w:rsidR="00EE78E7">
        <w:t xml:space="preserve">’ </w:t>
      </w:r>
      <w:r w:rsidR="00E77DE5">
        <w:t>with ongoing site management</w:t>
      </w:r>
      <w:r w:rsidR="00F70797">
        <w:t>. NE acknowledge</w:t>
      </w:r>
      <w:r w:rsidR="000506B7">
        <w:t>s that mitigation works are proposed for the whole of the site subject to the DCO</w:t>
      </w:r>
      <w:r w:rsidR="008F70DD">
        <w:t xml:space="preserve"> </w:t>
      </w:r>
      <w:r w:rsidR="00D81E88">
        <w:t xml:space="preserve">but is of the view that </w:t>
      </w:r>
      <w:r w:rsidR="008F70DD">
        <w:t xml:space="preserve">‘equal benefit’ is only likely to be </w:t>
      </w:r>
      <w:r w:rsidR="00487474">
        <w:t>obtained via a clear set of measures that relate specifically to the replacement land such as would be found in a dedicated site management plan.</w:t>
      </w:r>
    </w:p>
    <w:p w14:paraId="45F0E691" w14:textId="3D4099A3" w:rsidR="00A71B5B" w:rsidRDefault="00095681" w:rsidP="00002255">
      <w:pPr>
        <w:pStyle w:val="Style1"/>
      </w:pPr>
      <w:r>
        <w:t xml:space="preserve">The </w:t>
      </w:r>
      <w:r w:rsidR="003A4502">
        <w:t>A</w:t>
      </w:r>
      <w:r>
        <w:t>pplicant</w:t>
      </w:r>
      <w:r w:rsidR="003A4502">
        <w:t>s</w:t>
      </w:r>
      <w:r>
        <w:t xml:space="preserve"> ha</w:t>
      </w:r>
      <w:r w:rsidR="003A4502">
        <w:t>ve</w:t>
      </w:r>
      <w:r>
        <w:t xml:space="preserve"> not submitted a </w:t>
      </w:r>
      <w:r w:rsidR="00E56FCE">
        <w:t>site management plan for the replacement land</w:t>
      </w:r>
      <w:r w:rsidR="00572EF3">
        <w:t>. H</w:t>
      </w:r>
      <w:r w:rsidR="005A2C1F">
        <w:t xml:space="preserve">owever, </w:t>
      </w:r>
      <w:r w:rsidR="000C046E">
        <w:t xml:space="preserve">Requirement 14 of the DCO as made requires a Landscape and Ecological Management Plan </w:t>
      </w:r>
      <w:r w:rsidR="00E31330">
        <w:t xml:space="preserve">(LEMP) </w:t>
      </w:r>
      <w:r w:rsidR="000C046E">
        <w:t xml:space="preserve">to be approved by the relevant planning authority in consultation with NE. </w:t>
      </w:r>
      <w:r w:rsidR="00A809C6">
        <w:t xml:space="preserve">Furthermore, section 3.2.20 of the </w:t>
      </w:r>
      <w:r w:rsidR="003A4502">
        <w:t>A</w:t>
      </w:r>
      <w:r w:rsidR="004C71D4">
        <w:t>pplicants</w:t>
      </w:r>
      <w:r w:rsidR="00731F63">
        <w:t>’</w:t>
      </w:r>
      <w:r w:rsidR="004C71D4">
        <w:t xml:space="preserve"> Common Lan</w:t>
      </w:r>
      <w:r w:rsidR="00E31330">
        <w:t>d</w:t>
      </w:r>
      <w:r w:rsidR="004C71D4">
        <w:t xml:space="preserve"> Report </w:t>
      </w:r>
      <w:r w:rsidR="0044281C">
        <w:t>set</w:t>
      </w:r>
      <w:r w:rsidR="0044599B">
        <w:t>s</w:t>
      </w:r>
      <w:r w:rsidR="0044281C">
        <w:t xml:space="preserve"> out the works </w:t>
      </w:r>
      <w:r w:rsidR="00B670E3">
        <w:t xml:space="preserve">which would be undertaken on the </w:t>
      </w:r>
      <w:r w:rsidR="009D636E">
        <w:t>replacement</w:t>
      </w:r>
      <w:r w:rsidR="00E56FCE">
        <w:t xml:space="preserve"> </w:t>
      </w:r>
      <w:r w:rsidR="00B670E3">
        <w:t xml:space="preserve">to </w:t>
      </w:r>
      <w:r w:rsidR="009D636E">
        <w:t>establish</w:t>
      </w:r>
      <w:r w:rsidR="00B670E3">
        <w:t xml:space="preserve"> a habitat </w:t>
      </w:r>
      <w:r w:rsidR="00D81408">
        <w:t>equivalent to that currently present on the release land.</w:t>
      </w:r>
      <w:r w:rsidR="00E31330">
        <w:t xml:space="preserve"> </w:t>
      </w:r>
    </w:p>
    <w:p w14:paraId="51300B85" w14:textId="3BDE3E79" w:rsidR="001E5060" w:rsidRDefault="00E31330" w:rsidP="00CE5E99">
      <w:pPr>
        <w:pStyle w:val="Style1"/>
      </w:pPr>
      <w:r>
        <w:t xml:space="preserve">I consider that the requirement for </w:t>
      </w:r>
      <w:r w:rsidR="00AB6E69">
        <w:t xml:space="preserve">the development and approval of a LEMP which would encompass the replacement land would </w:t>
      </w:r>
      <w:r w:rsidR="007B63BB">
        <w:t>en</w:t>
      </w:r>
      <w:r w:rsidR="00BF1BF4">
        <w:t>able</w:t>
      </w:r>
      <w:r w:rsidR="007B63BB">
        <w:t xml:space="preserve"> the necessary works and future management of the s</w:t>
      </w:r>
      <w:r w:rsidR="00BF1BF4">
        <w:t>ite to be</w:t>
      </w:r>
      <w:r w:rsidR="005213D6">
        <w:t xml:space="preserve"> carried out to ensure that there was no adverse </w:t>
      </w:r>
      <w:r w:rsidR="00A71B5B">
        <w:t>impact upon the public’s interest in nature conservation.</w:t>
      </w:r>
      <w:r w:rsidR="005E55A3">
        <w:t xml:space="preserve"> </w:t>
      </w:r>
    </w:p>
    <w:p w14:paraId="7C365FBF" w14:textId="044694E5" w:rsidR="00F4203B" w:rsidRDefault="00F4203B" w:rsidP="00F4203B">
      <w:pPr>
        <w:pStyle w:val="Heading6"/>
        <w:rPr>
          <w:b w:val="0"/>
          <w:i/>
        </w:rPr>
      </w:pPr>
      <w:r w:rsidRPr="00F4203B">
        <w:rPr>
          <w:b w:val="0"/>
          <w:i/>
        </w:rPr>
        <w:t>Conservation of the landscape</w:t>
      </w:r>
    </w:p>
    <w:p w14:paraId="448A32F9" w14:textId="588B5348" w:rsidR="008D5511" w:rsidRDefault="00563CD0" w:rsidP="00EE4A38">
      <w:pPr>
        <w:pStyle w:val="Style1"/>
      </w:pPr>
      <w:r>
        <w:t>H</w:t>
      </w:r>
      <w:r w:rsidR="00EF2DC1">
        <w:t xml:space="preserve">istoric </w:t>
      </w:r>
      <w:r w:rsidR="00CE5E99">
        <w:t>E</w:t>
      </w:r>
      <w:r w:rsidR="00742D31">
        <w:t>ngland</w:t>
      </w:r>
      <w:r w:rsidR="00CE5E99">
        <w:t xml:space="preserve"> r</w:t>
      </w:r>
      <w:r w:rsidR="00273B24">
        <w:t>ais</w:t>
      </w:r>
      <w:r w:rsidR="00CE5E99">
        <w:t xml:space="preserve">e a number of concerns </w:t>
      </w:r>
      <w:r w:rsidR="00273B24">
        <w:t xml:space="preserve">regarding the impact </w:t>
      </w:r>
      <w:r w:rsidR="00EF2DC1">
        <w:t xml:space="preserve">that </w:t>
      </w:r>
      <w:r w:rsidR="00280040">
        <w:t>the loss of Wa</w:t>
      </w:r>
      <w:r w:rsidR="00E479FD">
        <w:t xml:space="preserve">lton Common would have </w:t>
      </w:r>
      <w:r w:rsidR="00273B24">
        <w:t xml:space="preserve">upon the </w:t>
      </w:r>
      <w:r w:rsidR="00280040">
        <w:t>historic landscape</w:t>
      </w:r>
      <w:r w:rsidR="00E479FD">
        <w:t xml:space="preserve">, and the ability of the public to read and interpret that historic landscape. </w:t>
      </w:r>
      <w:r w:rsidR="00DD0072">
        <w:t xml:space="preserve">HE notes that Walton Common is one of five interlinked commons </w:t>
      </w:r>
      <w:r w:rsidR="004625C5">
        <w:t>on Tilbury Marshes which have survived within the modern lands</w:t>
      </w:r>
      <w:r w:rsidR="001D539F">
        <w:t>cape</w:t>
      </w:r>
      <w:r w:rsidR="00742D31">
        <w:t xml:space="preserve">. HE argues </w:t>
      </w:r>
      <w:r w:rsidR="00AD02A2">
        <w:t xml:space="preserve">that such survival </w:t>
      </w:r>
      <w:r w:rsidR="001D539F">
        <w:t>elevate</w:t>
      </w:r>
      <w:r w:rsidR="00AD02A2">
        <w:t>s</w:t>
      </w:r>
      <w:r w:rsidR="001D539F">
        <w:t xml:space="preserve"> their significance in terms of the group value. OSS make similar repres</w:t>
      </w:r>
      <w:r w:rsidR="00F91828">
        <w:t>e</w:t>
      </w:r>
      <w:r w:rsidR="001D539F">
        <w:t xml:space="preserve">ntations, contending that the commons are as much a part of the landscape heritage as </w:t>
      </w:r>
      <w:r w:rsidR="00A517A9">
        <w:t xml:space="preserve">built assets of </w:t>
      </w:r>
      <w:r w:rsidR="001D539F">
        <w:t>Tilbury Fort and</w:t>
      </w:r>
      <w:r w:rsidR="00A517A9">
        <w:t xml:space="preserve"> St James’ </w:t>
      </w:r>
      <w:r w:rsidR="00515CCF">
        <w:t>C</w:t>
      </w:r>
      <w:r w:rsidR="00A517A9">
        <w:t>hurch</w:t>
      </w:r>
      <w:r w:rsidR="00DB68C0">
        <w:t xml:space="preserve"> in West Tilbury</w:t>
      </w:r>
      <w:r w:rsidR="00A517A9">
        <w:t>.</w:t>
      </w:r>
    </w:p>
    <w:p w14:paraId="01EABBA7" w14:textId="61DBCB08" w:rsidR="00C1254D" w:rsidRDefault="009D7592" w:rsidP="00EE4A38">
      <w:pPr>
        <w:pStyle w:val="Style1"/>
      </w:pPr>
      <w:r>
        <w:t xml:space="preserve">However, neither the release land nor the replacement land </w:t>
      </w:r>
      <w:r w:rsidR="0033768B">
        <w:t xml:space="preserve">lie within any designated landscape nor do they contain features of landscape interest. </w:t>
      </w:r>
      <w:r w:rsidR="0056567B">
        <w:t xml:space="preserve">The </w:t>
      </w:r>
      <w:r w:rsidR="00BF6BA5">
        <w:t xml:space="preserve">landscape in which </w:t>
      </w:r>
      <w:r w:rsidR="006D6918">
        <w:t xml:space="preserve">Walton and Tilbury Fort </w:t>
      </w:r>
      <w:r w:rsidR="00452DEA">
        <w:t>Commons</w:t>
      </w:r>
      <w:r w:rsidR="00BF6BA5">
        <w:t xml:space="preserve"> </w:t>
      </w:r>
      <w:r w:rsidR="00452DEA">
        <w:t>are</w:t>
      </w:r>
      <w:r w:rsidR="00BF6BA5">
        <w:t xml:space="preserve"> located has been degraded by the indust</w:t>
      </w:r>
      <w:r w:rsidR="00597E2B">
        <w:t xml:space="preserve">rial development which is found to </w:t>
      </w:r>
      <w:r w:rsidR="00452DEA">
        <w:t>the</w:t>
      </w:r>
      <w:r w:rsidR="00597E2B">
        <w:t xml:space="preserve"> south and west</w:t>
      </w:r>
      <w:r w:rsidR="006A5CDD">
        <w:t>. Even</w:t>
      </w:r>
      <w:r w:rsidR="00597E2B">
        <w:t xml:space="preserve"> wh</w:t>
      </w:r>
      <w:r w:rsidR="001D18BD">
        <w:t xml:space="preserve">en standing within </w:t>
      </w:r>
      <w:r w:rsidR="00362E72">
        <w:t>Walton Common</w:t>
      </w:r>
      <w:r w:rsidR="001D18BD">
        <w:t xml:space="preserve"> and looking north towards </w:t>
      </w:r>
      <w:r w:rsidR="001C016B">
        <w:t xml:space="preserve">the less urbanised area in the vicinity of </w:t>
      </w:r>
      <w:r w:rsidR="001D18BD">
        <w:t xml:space="preserve">St James’ and </w:t>
      </w:r>
      <w:r w:rsidR="00C1254D">
        <w:t>East</w:t>
      </w:r>
      <w:r w:rsidR="001D18BD">
        <w:t xml:space="preserve"> Tilbury</w:t>
      </w:r>
      <w:r w:rsidR="000E4725">
        <w:t xml:space="preserve">, the pylons which carry electricity from the Tilbury substation </w:t>
      </w:r>
      <w:r w:rsidR="00D62A45">
        <w:t>remain</w:t>
      </w:r>
      <w:r w:rsidR="000E4725">
        <w:t xml:space="preserve"> prominent within the landscape.</w:t>
      </w:r>
      <w:r w:rsidR="00C809BF">
        <w:t xml:space="preserve"> </w:t>
      </w:r>
    </w:p>
    <w:p w14:paraId="2FF6EBED" w14:textId="77777777" w:rsidR="00E91152" w:rsidRDefault="00CE1098" w:rsidP="00E91152">
      <w:pPr>
        <w:pStyle w:val="Style1"/>
      </w:pPr>
      <w:r>
        <w:t>Overall, t</w:t>
      </w:r>
      <w:r w:rsidR="009A37BF">
        <w:t>he proposed exchange would not have, of itself, any adverse impact upon the character of the landscape surrounding the release or replacement land.</w:t>
      </w:r>
    </w:p>
    <w:p w14:paraId="3E4A618E" w14:textId="77777777" w:rsidR="0063445E" w:rsidRDefault="0063445E" w:rsidP="00E91152">
      <w:pPr>
        <w:pStyle w:val="Style1"/>
        <w:numPr>
          <w:ilvl w:val="0"/>
          <w:numId w:val="0"/>
        </w:numPr>
        <w:rPr>
          <w:i/>
        </w:rPr>
      </w:pPr>
    </w:p>
    <w:p w14:paraId="388ECBB8" w14:textId="77777777" w:rsidR="0063445E" w:rsidRDefault="0063445E" w:rsidP="00E91152">
      <w:pPr>
        <w:pStyle w:val="Style1"/>
        <w:numPr>
          <w:ilvl w:val="0"/>
          <w:numId w:val="0"/>
        </w:numPr>
        <w:rPr>
          <w:i/>
        </w:rPr>
      </w:pPr>
    </w:p>
    <w:p w14:paraId="6D94D2BC" w14:textId="468D5F53" w:rsidR="00F4203B" w:rsidRPr="00E91152" w:rsidRDefault="004B2B0A" w:rsidP="00E91152">
      <w:pPr>
        <w:pStyle w:val="Style1"/>
        <w:numPr>
          <w:ilvl w:val="0"/>
          <w:numId w:val="0"/>
        </w:numPr>
      </w:pPr>
      <w:r w:rsidRPr="00E91152">
        <w:rPr>
          <w:i/>
        </w:rPr>
        <w:lastRenderedPageBreak/>
        <w:t>Archaeological remains and features of historic interest</w:t>
      </w:r>
    </w:p>
    <w:p w14:paraId="695CA101" w14:textId="77777777" w:rsidR="001A222A" w:rsidRDefault="001A222A" w:rsidP="0002030E">
      <w:pPr>
        <w:pStyle w:val="Style1"/>
      </w:pPr>
      <w:r>
        <w:t>There are no listed buildings, scheduled ancient monuments or non-designated nationally important archaeological sites on the release land.</w:t>
      </w:r>
      <w:r w:rsidR="004B28B0">
        <w:t xml:space="preserve"> HE considers that </w:t>
      </w:r>
      <w:r w:rsidR="0033439A">
        <w:t>the relatively undisturbed nature of the common</w:t>
      </w:r>
      <w:r w:rsidR="00C71F46">
        <w:t xml:space="preserve"> suggests that there may be important paleoenvironmental </w:t>
      </w:r>
      <w:r w:rsidR="009B6FCA">
        <w:t>remains buried within the common</w:t>
      </w:r>
      <w:r w:rsidR="00942F0F">
        <w:t>. The investigation of such remains</w:t>
      </w:r>
      <w:r w:rsidR="009B6FCA">
        <w:t xml:space="preserve"> may shed light o</w:t>
      </w:r>
      <w:r w:rsidR="00942F0F">
        <w:t>n</w:t>
      </w:r>
      <w:r w:rsidR="009B6FCA">
        <w:t xml:space="preserve"> </w:t>
      </w:r>
      <w:r w:rsidR="002C0091">
        <w:t>environmental and landscape change during prehistoric periods</w:t>
      </w:r>
      <w:r w:rsidR="005611E1">
        <w:t xml:space="preserve">, and that </w:t>
      </w:r>
      <w:r w:rsidR="005257E7">
        <w:t xml:space="preserve">a </w:t>
      </w:r>
      <w:r w:rsidR="005611E1">
        <w:t>trial trenching</w:t>
      </w:r>
      <w:r w:rsidR="005257E7">
        <w:t xml:space="preserve"> investigation on the common should be undertaken to establish their character.</w:t>
      </w:r>
    </w:p>
    <w:p w14:paraId="66ABDFF9" w14:textId="04D040C0" w:rsidR="000153B0" w:rsidRDefault="00DE4BAE" w:rsidP="0002030E">
      <w:pPr>
        <w:pStyle w:val="Style1"/>
      </w:pPr>
      <w:r>
        <w:t xml:space="preserve">The </w:t>
      </w:r>
      <w:r w:rsidR="000C0B66">
        <w:t>A</w:t>
      </w:r>
      <w:r>
        <w:t>pplicant</w:t>
      </w:r>
      <w:r w:rsidR="000C0B66">
        <w:t>s</w:t>
      </w:r>
      <w:r>
        <w:t xml:space="preserve"> submit that the </w:t>
      </w:r>
      <w:r w:rsidR="001520FE">
        <w:t>preliminary investigations</w:t>
      </w:r>
      <w:r w:rsidR="00074A62">
        <w:t xml:space="preserve"> undertaken as part of </w:t>
      </w:r>
      <w:r w:rsidR="009946A1">
        <w:t xml:space="preserve">the application for the DCO </w:t>
      </w:r>
      <w:r w:rsidR="00CE31A4">
        <w:t xml:space="preserve">does not suggest that there is likely to be </w:t>
      </w:r>
      <w:r w:rsidR="00C2553B">
        <w:t>well preserved remains of importance within the common.</w:t>
      </w:r>
    </w:p>
    <w:p w14:paraId="549EBFF7" w14:textId="77777777" w:rsidR="00F25AB0" w:rsidRDefault="004708A5" w:rsidP="00F25AB0">
      <w:pPr>
        <w:pStyle w:val="Style1"/>
      </w:pPr>
      <w:r>
        <w:t xml:space="preserve">It is not possible to assess </w:t>
      </w:r>
      <w:r w:rsidR="00895261">
        <w:t>t</w:t>
      </w:r>
      <w:r w:rsidR="0008089E">
        <w:t>he importance or otherwise of what lies beneath the surface of Walton Common</w:t>
      </w:r>
      <w:r w:rsidR="00895261">
        <w:t xml:space="preserve"> from</w:t>
      </w:r>
      <w:r w:rsidR="007E040E">
        <w:t xml:space="preserve"> the information submitted </w:t>
      </w:r>
      <w:r w:rsidR="00AE1158">
        <w:t xml:space="preserve">with the application. </w:t>
      </w:r>
      <w:r w:rsidR="00EF5EDF">
        <w:t>The trial trenching of the common</w:t>
      </w:r>
      <w:r w:rsidR="0008089E">
        <w:t xml:space="preserve"> </w:t>
      </w:r>
      <w:r w:rsidR="00EF5EDF">
        <w:t xml:space="preserve">suggested by </w:t>
      </w:r>
      <w:r w:rsidR="003406E7">
        <w:t xml:space="preserve">HE </w:t>
      </w:r>
      <w:r w:rsidR="00E41DD6">
        <w:t>is likely to require a section 16 application to deregister the land in order for such works to be undertaken</w:t>
      </w:r>
      <w:r w:rsidR="00EA5DCA">
        <w:t>, as the</w:t>
      </w:r>
      <w:r w:rsidR="00F25AB0">
        <w:t>ir</w:t>
      </w:r>
      <w:r w:rsidR="00EA5DCA">
        <w:t xml:space="preserve"> intrusive nature is likely to be </w:t>
      </w:r>
      <w:r w:rsidR="008B2B04">
        <w:t xml:space="preserve">inconsistent with the use and enjoyment of the land as common land. </w:t>
      </w:r>
    </w:p>
    <w:p w14:paraId="35D4E7C0" w14:textId="4322ABE5" w:rsidR="00D7775E" w:rsidRDefault="005C3CC3" w:rsidP="00F25AB0">
      <w:pPr>
        <w:pStyle w:val="Style1"/>
      </w:pPr>
      <w:r>
        <w:t>The proposed exchange would allow such int</w:t>
      </w:r>
      <w:r w:rsidR="002D615B">
        <w:t>rusive investigations to be undertaken as part of the proposed development of the land</w:t>
      </w:r>
      <w:r w:rsidR="00325377">
        <w:t xml:space="preserve">. The DCO provides for such investigations to be carried out </w:t>
      </w:r>
      <w:r w:rsidR="00E170DD">
        <w:t xml:space="preserve">in accordance with a written scheme of investigation </w:t>
      </w:r>
      <w:r w:rsidR="00D7775E">
        <w:t xml:space="preserve">to ensure that </w:t>
      </w:r>
      <w:r w:rsidR="00B124A8">
        <w:t xml:space="preserve">any </w:t>
      </w:r>
      <w:r w:rsidR="00D7775E">
        <w:t>archaeological remains that may exist are recorded and preserved.</w:t>
      </w:r>
    </w:p>
    <w:p w14:paraId="224C48D0" w14:textId="2DF8B8A9" w:rsidR="00F57B47" w:rsidRDefault="00D7775E" w:rsidP="00C62399">
      <w:pPr>
        <w:pStyle w:val="Style1"/>
      </w:pPr>
      <w:r>
        <w:t>Overall</w:t>
      </w:r>
      <w:r w:rsidR="00EB277A">
        <w:t>,</w:t>
      </w:r>
      <w:r w:rsidR="00EB277A" w:rsidRPr="00EB277A">
        <w:t xml:space="preserve"> </w:t>
      </w:r>
      <w:r w:rsidR="00EB277A">
        <w:t xml:space="preserve">there is no evidence before me that the exchange will have any adverse effect upon archaeological remains or features of historic interest. </w:t>
      </w:r>
    </w:p>
    <w:p w14:paraId="2E92AB23" w14:textId="56128325" w:rsidR="00407161" w:rsidRPr="00407161" w:rsidRDefault="00407161" w:rsidP="00407161">
      <w:pPr>
        <w:pStyle w:val="Style1"/>
        <w:numPr>
          <w:ilvl w:val="0"/>
          <w:numId w:val="0"/>
        </w:numPr>
        <w:rPr>
          <w:b/>
          <w:bCs/>
        </w:rPr>
      </w:pPr>
      <w:r w:rsidRPr="00407161">
        <w:rPr>
          <w:b/>
          <w:bCs/>
        </w:rPr>
        <w:t>Conclusions</w:t>
      </w:r>
    </w:p>
    <w:p w14:paraId="191A804C" w14:textId="6E6FB35C" w:rsidR="004D1BA1" w:rsidRDefault="00AB2BD6" w:rsidP="004D1BA1">
      <w:pPr>
        <w:pStyle w:val="Style1"/>
      </w:pPr>
      <w:r>
        <w:t xml:space="preserve">Collectively, </w:t>
      </w:r>
      <w:r w:rsidR="00E83E4C">
        <w:t>the release land is 101,159</w:t>
      </w:r>
      <w:r w:rsidR="008C3672">
        <w:t>m</w:t>
      </w:r>
      <w:r w:rsidR="008C3672" w:rsidRPr="00966DED">
        <w:rPr>
          <w:vertAlign w:val="superscript"/>
        </w:rPr>
        <w:t>2</w:t>
      </w:r>
      <w:r w:rsidR="008C3672">
        <w:t xml:space="preserve"> whereas the land offered in replacement is 115,779m</w:t>
      </w:r>
      <w:r w:rsidR="008C3672" w:rsidRPr="00966DED">
        <w:rPr>
          <w:vertAlign w:val="superscript"/>
        </w:rPr>
        <w:t>2</w:t>
      </w:r>
      <w:r w:rsidR="004D1BA1">
        <w:t xml:space="preserve">. There </w:t>
      </w:r>
      <w:r w:rsidR="00804BAA">
        <w:t>w</w:t>
      </w:r>
      <w:r w:rsidR="003C61D6">
        <w:t xml:space="preserve">ould </w:t>
      </w:r>
      <w:r w:rsidR="004D1BA1">
        <w:t xml:space="preserve">therefore </w:t>
      </w:r>
      <w:r w:rsidR="00804BAA">
        <w:t xml:space="preserve">be </w:t>
      </w:r>
      <w:r w:rsidR="004D1BA1">
        <w:t xml:space="preserve">a net increase in common land </w:t>
      </w:r>
      <w:r w:rsidR="00804BAA">
        <w:t xml:space="preserve">as a result of the exchange </w:t>
      </w:r>
      <w:r w:rsidR="004D1BA1">
        <w:t>which accords with Government objectives that the stock of common land should not be diminished</w:t>
      </w:r>
      <w:r w:rsidR="001F1504">
        <w:t xml:space="preserve"> as a result of deregistration and exchange</w:t>
      </w:r>
      <w:r w:rsidR="004D1BA1">
        <w:t>.</w:t>
      </w:r>
      <w:r w:rsidR="009E48BC">
        <w:t xml:space="preserve"> </w:t>
      </w:r>
      <w:r w:rsidR="001861CF">
        <w:t xml:space="preserve">The replacement land is not subject </w:t>
      </w:r>
      <w:r w:rsidR="00957DAF">
        <w:t>to</w:t>
      </w:r>
      <w:r w:rsidR="001861CF">
        <w:t xml:space="preserve"> a public right of access and so</w:t>
      </w:r>
      <w:r w:rsidR="00D108AD">
        <w:t xml:space="preserve"> the </w:t>
      </w:r>
      <w:r w:rsidR="00890A12">
        <w:t>proposal</w:t>
      </w:r>
      <w:r w:rsidR="00D108AD">
        <w:t xml:space="preserve"> would also</w:t>
      </w:r>
      <w:r w:rsidR="00890A12">
        <w:t xml:space="preserve"> accord with</w:t>
      </w:r>
      <w:r w:rsidR="00F06016">
        <w:t xml:space="preserve"> </w:t>
      </w:r>
      <w:r w:rsidR="00441DFB">
        <w:t>Government objectives</w:t>
      </w:r>
      <w:r w:rsidR="00820B42">
        <w:t xml:space="preserve"> as it would</w:t>
      </w:r>
      <w:r w:rsidR="00D108AD">
        <w:t xml:space="preserve"> extend</w:t>
      </w:r>
      <w:r w:rsidR="00441DFB" w:rsidRPr="00820B42">
        <w:t xml:space="preserve"> the total stock of access land available to the public</w:t>
      </w:r>
      <w:r w:rsidR="00820B42" w:rsidRPr="00820B42">
        <w:t>.</w:t>
      </w:r>
    </w:p>
    <w:p w14:paraId="4E40CD54" w14:textId="4BAF3553" w:rsidR="001352FC" w:rsidRDefault="001352FC" w:rsidP="004D1BA1">
      <w:pPr>
        <w:pStyle w:val="Style1"/>
      </w:pPr>
      <w:r>
        <w:t>Section 17 (</w:t>
      </w:r>
      <w:r w:rsidR="009F512E">
        <w:t>7</w:t>
      </w:r>
      <w:r>
        <w:t xml:space="preserve">) </w:t>
      </w:r>
      <w:r w:rsidR="009F512E">
        <w:t xml:space="preserve">(b) (ii) </w:t>
      </w:r>
      <w:r>
        <w:t>of the 2006 Act provides for the transfer of the section 193 rights of access from the release land to the replacement land on the date on which the Commons Registration Authority amends the register.</w:t>
      </w:r>
      <w:r w:rsidR="00E22CF7">
        <w:t xml:space="preserve"> Section 17 (c) </w:t>
      </w:r>
      <w:r w:rsidR="00A454F9">
        <w:t xml:space="preserve">provides for the transfer of </w:t>
      </w:r>
      <w:r w:rsidR="00347FE9">
        <w:t xml:space="preserve">rights </w:t>
      </w:r>
      <w:r w:rsidR="001610E4">
        <w:t xml:space="preserve">over the release land </w:t>
      </w:r>
      <w:r w:rsidR="00347FE9">
        <w:t xml:space="preserve">granted under any local Act (such as the 1893 Act) </w:t>
      </w:r>
      <w:r w:rsidR="001610E4">
        <w:t>to be transferred to the replacement land.</w:t>
      </w:r>
    </w:p>
    <w:p w14:paraId="2A9A6246" w14:textId="2521C616" w:rsidR="002B6108" w:rsidRDefault="008F720B" w:rsidP="001C7D41">
      <w:pPr>
        <w:pStyle w:val="Style1"/>
      </w:pPr>
      <w:r>
        <w:t xml:space="preserve">Having regard to these and all other matters raised in the application and in the written representations </w:t>
      </w:r>
      <w:r w:rsidR="002B6108">
        <w:t>I conclude that the application should be</w:t>
      </w:r>
      <w:r w:rsidR="00F44066">
        <w:t xml:space="preserve"> granted</w:t>
      </w:r>
      <w:r w:rsidR="0056063C">
        <w:t>,</w:t>
      </w:r>
      <w:r w:rsidR="002B6108">
        <w:t xml:space="preserve"> and </w:t>
      </w:r>
      <w:r w:rsidR="00270734">
        <w:t>an Order of Exchange should</w:t>
      </w:r>
      <w:r w:rsidR="00615593">
        <w:t xml:space="preserve"> </w:t>
      </w:r>
      <w:r w:rsidR="00270734">
        <w:t>be given</w:t>
      </w:r>
      <w:r w:rsidR="00566783">
        <w:t xml:space="preserve"> in respect of the application</w:t>
      </w:r>
      <w:r w:rsidR="00270734">
        <w:t>.</w:t>
      </w:r>
    </w:p>
    <w:p w14:paraId="09D881A5" w14:textId="439A6B2A" w:rsidR="00270734" w:rsidRPr="00270734" w:rsidRDefault="00270734" w:rsidP="00270734">
      <w:pPr>
        <w:pStyle w:val="Style1"/>
        <w:numPr>
          <w:ilvl w:val="0"/>
          <w:numId w:val="0"/>
        </w:numPr>
        <w:ind w:left="431" w:hanging="431"/>
        <w:rPr>
          <w:rFonts w:ascii="Monotype Corsiva" w:hAnsi="Monotype Corsiva"/>
          <w:sz w:val="36"/>
          <w:szCs w:val="36"/>
        </w:rPr>
      </w:pPr>
      <w:r w:rsidRPr="00270734">
        <w:rPr>
          <w:rFonts w:ascii="Monotype Corsiva" w:hAnsi="Monotype Corsiva"/>
          <w:sz w:val="36"/>
          <w:szCs w:val="36"/>
        </w:rPr>
        <w:t>Alan Beckett</w:t>
      </w:r>
    </w:p>
    <w:p w14:paraId="06D0DD5C" w14:textId="07462D1B" w:rsidR="00566783" w:rsidRDefault="00270734" w:rsidP="003B0C5A">
      <w:pPr>
        <w:pStyle w:val="Style1"/>
        <w:numPr>
          <w:ilvl w:val="0"/>
          <w:numId w:val="0"/>
        </w:numPr>
        <w:ind w:left="431" w:hanging="431"/>
      </w:pPr>
      <w:r>
        <w:t>Inspector</w:t>
      </w:r>
    </w:p>
    <w:p w14:paraId="2A3D2C4B" w14:textId="07D8F7AA" w:rsidR="00163CF7" w:rsidRDefault="00163CF7" w:rsidP="003B0C5A">
      <w:pPr>
        <w:pStyle w:val="Style1"/>
        <w:numPr>
          <w:ilvl w:val="0"/>
          <w:numId w:val="0"/>
        </w:numPr>
        <w:ind w:left="431" w:hanging="431"/>
      </w:pPr>
    </w:p>
    <w:p w14:paraId="55856E9A" w14:textId="77777777" w:rsidR="00163CF7" w:rsidRPr="00EA79D3" w:rsidRDefault="00163CF7" w:rsidP="00163CF7">
      <w:pPr>
        <w:pStyle w:val="Style1"/>
        <w:numPr>
          <w:ilvl w:val="0"/>
          <w:numId w:val="0"/>
        </w:numPr>
        <w:rPr>
          <w:b/>
        </w:rPr>
      </w:pPr>
      <w:r w:rsidRPr="00EA79D3">
        <w:rPr>
          <w:b/>
        </w:rPr>
        <w:lastRenderedPageBreak/>
        <w:t>Order</w:t>
      </w:r>
    </w:p>
    <w:p w14:paraId="7AF0DBB0" w14:textId="0AF50F6C" w:rsidR="00163CF7" w:rsidRDefault="00163CF7" w:rsidP="00163CF7">
      <w:pPr>
        <w:pStyle w:val="Style1"/>
        <w:numPr>
          <w:ilvl w:val="0"/>
          <w:numId w:val="0"/>
        </w:numPr>
      </w:pPr>
      <w:r>
        <w:t>On behalf of the Secretary of State for Environment, Food and Rural Affairs and pursuant to section 17 (1), (2), (6), (7) (b) (ii), &amp; (c) and (8) of the Commons Act 2006</w:t>
      </w:r>
      <w:r w:rsidRPr="00EA79D3">
        <w:t>,</w:t>
      </w:r>
      <w:r w:rsidRPr="00EA79D3">
        <w:rPr>
          <w:b/>
        </w:rPr>
        <w:t xml:space="preserve"> I HEREBY ORDER</w:t>
      </w:r>
      <w:r>
        <w:t xml:space="preserve"> the </w:t>
      </w:r>
      <w:r w:rsidR="00432B0F">
        <w:t>Thurrock</w:t>
      </w:r>
      <w:r>
        <w:t xml:space="preserve"> Council, as Commons Registration Authority for the area in which the release land and the replacement land are situated:</w:t>
      </w:r>
    </w:p>
    <w:p w14:paraId="0528F5AA" w14:textId="0BF4217A" w:rsidR="00163CF7" w:rsidRDefault="00163CF7" w:rsidP="00163CF7">
      <w:pPr>
        <w:pStyle w:val="Style1"/>
        <w:numPr>
          <w:ilvl w:val="0"/>
          <w:numId w:val="26"/>
        </w:numPr>
        <w:tabs>
          <w:tab w:val="num" w:pos="1077"/>
        </w:tabs>
        <w:ind w:left="1077" w:hanging="646"/>
      </w:pPr>
      <w:r>
        <w:t>to remove the release land from its register of common land, by amending register unit CL2</w:t>
      </w:r>
      <w:r w:rsidR="00432B0F">
        <w:t>28</w:t>
      </w:r>
      <w:r>
        <w:t xml:space="preserve"> to exclude the release land;</w:t>
      </w:r>
    </w:p>
    <w:p w14:paraId="0F651EA7" w14:textId="40A819D7" w:rsidR="00163CF7" w:rsidRDefault="00163CF7" w:rsidP="00163CF7">
      <w:pPr>
        <w:pStyle w:val="Style1"/>
        <w:numPr>
          <w:ilvl w:val="0"/>
          <w:numId w:val="26"/>
        </w:numPr>
        <w:tabs>
          <w:tab w:val="num" w:pos="1077"/>
        </w:tabs>
        <w:ind w:left="1077" w:hanging="646"/>
      </w:pPr>
      <w:r>
        <w:t>to register the replacement land as common land, by amending the register unit CL2</w:t>
      </w:r>
      <w:r w:rsidR="00432B0F">
        <w:t>28</w:t>
      </w:r>
      <w:r>
        <w:t xml:space="preserve"> to include the replacement land;</w:t>
      </w:r>
    </w:p>
    <w:p w14:paraId="3555A05F" w14:textId="35BA219B" w:rsidR="00163CF7" w:rsidRDefault="00163CF7" w:rsidP="00163CF7">
      <w:pPr>
        <w:pStyle w:val="Style1"/>
        <w:numPr>
          <w:ilvl w:val="0"/>
          <w:numId w:val="26"/>
        </w:numPr>
        <w:tabs>
          <w:tab w:val="num" w:pos="1077"/>
        </w:tabs>
        <w:ind w:left="1077" w:hanging="646"/>
      </w:pPr>
      <w:r>
        <w:t>to register as exercisable over the replacement land (in addition to remaining exercisable over the remainder of the land comprised in register unit CL2</w:t>
      </w:r>
      <w:r w:rsidR="00966DED">
        <w:t>28</w:t>
      </w:r>
      <w:r>
        <w:t>) any rights of common which, immediately before the date on which the release land is removed from the register, are registered as exercisable over the release land and the remainder of the land comprised in register unit CL2</w:t>
      </w:r>
      <w:r w:rsidR="00432B0F">
        <w:t>28</w:t>
      </w:r>
      <w:r>
        <w:t>;</w:t>
      </w:r>
    </w:p>
    <w:p w14:paraId="30F61CBA" w14:textId="3511735F" w:rsidR="00163CF7" w:rsidRDefault="00163CF7" w:rsidP="00163CF7">
      <w:pPr>
        <w:pStyle w:val="Style1"/>
        <w:numPr>
          <w:ilvl w:val="0"/>
          <w:numId w:val="26"/>
        </w:numPr>
        <w:tabs>
          <w:tab w:val="num" w:pos="1077"/>
        </w:tabs>
        <w:ind w:left="1077" w:hanging="646"/>
      </w:pPr>
      <w:r>
        <w:t>Section 193 of the Law of Property Act 1925 (public right of access for air and exercise) shall apply</w:t>
      </w:r>
      <w:r w:rsidR="001A4AF1">
        <w:t xml:space="preserve"> </w:t>
      </w:r>
      <w:r>
        <w:t>to the replacement land</w:t>
      </w:r>
      <w:r w:rsidR="005C0F5E">
        <w:t>;</w:t>
      </w:r>
    </w:p>
    <w:p w14:paraId="336323ED" w14:textId="2FB50D07" w:rsidR="005C0F5E" w:rsidRDefault="005C0F5E" w:rsidP="00163CF7">
      <w:pPr>
        <w:pStyle w:val="Style1"/>
        <w:numPr>
          <w:ilvl w:val="0"/>
          <w:numId w:val="26"/>
        </w:numPr>
        <w:tabs>
          <w:tab w:val="num" w:pos="1077"/>
        </w:tabs>
        <w:ind w:left="1077" w:hanging="646"/>
      </w:pPr>
      <w:r>
        <w:t xml:space="preserve">The provisions of </w:t>
      </w:r>
      <w:r w:rsidR="007E26CE">
        <w:t xml:space="preserve">the </w:t>
      </w:r>
      <w:r w:rsidR="00FA1B04">
        <w:t>Commons Regulation (West Tilbury) Provisional Order Confirmation Act</w:t>
      </w:r>
      <w:r w:rsidR="00E57BE4">
        <w:t xml:space="preserve"> 1893 shall apply to the replacement</w:t>
      </w:r>
      <w:r w:rsidR="00966DED">
        <w:t xml:space="preserve"> </w:t>
      </w:r>
      <w:r w:rsidR="001A4AF1">
        <w:t>land.</w:t>
      </w:r>
    </w:p>
    <w:p w14:paraId="6CB8D898" w14:textId="77777777" w:rsidR="00163CF7" w:rsidRPr="00FF4534" w:rsidRDefault="00163CF7" w:rsidP="00163CF7">
      <w:pPr>
        <w:pStyle w:val="Style1"/>
        <w:numPr>
          <w:ilvl w:val="0"/>
          <w:numId w:val="0"/>
        </w:numPr>
        <w:ind w:left="432"/>
      </w:pPr>
    </w:p>
    <w:p w14:paraId="0A5A34EF" w14:textId="77777777" w:rsidR="00163CF7" w:rsidRDefault="00163CF7" w:rsidP="00163CF7">
      <w:pPr>
        <w:pStyle w:val="Style1"/>
        <w:numPr>
          <w:ilvl w:val="0"/>
          <w:numId w:val="0"/>
        </w:numPr>
        <w:ind w:left="432" w:hanging="432"/>
      </w:pPr>
      <w:r w:rsidRPr="00EA79D3">
        <w:rPr>
          <w:b/>
        </w:rPr>
        <w:t>First Schedule</w:t>
      </w:r>
      <w:r>
        <w:t xml:space="preserve"> – the release land</w:t>
      </w:r>
    </w:p>
    <w:p w14:paraId="41AD7616" w14:textId="77777777" w:rsidR="00163CF7" w:rsidRDefault="00163CF7" w:rsidP="00163CF7">
      <w:pPr>
        <w:pStyle w:val="Style1"/>
        <w:numPr>
          <w:ilvl w:val="0"/>
          <w:numId w:val="0"/>
        </w:numPr>
        <w:ind w:left="432" w:hanging="432"/>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986"/>
        <w:gridCol w:w="2964"/>
      </w:tblGrid>
      <w:tr w:rsidR="00163CF7" w14:paraId="2F983C76" w14:textId="77777777" w:rsidTr="00F75206">
        <w:tc>
          <w:tcPr>
            <w:tcW w:w="3173" w:type="dxa"/>
            <w:shd w:val="clear" w:color="auto" w:fill="auto"/>
          </w:tcPr>
          <w:p w14:paraId="36980BD9" w14:textId="77777777" w:rsidR="00163CF7" w:rsidRPr="000527C8" w:rsidRDefault="00163CF7" w:rsidP="00F75206">
            <w:pPr>
              <w:pStyle w:val="Style1"/>
              <w:numPr>
                <w:ilvl w:val="0"/>
                <w:numId w:val="0"/>
              </w:numPr>
              <w:rPr>
                <w:b/>
              </w:rPr>
            </w:pPr>
            <w:r w:rsidRPr="000527C8">
              <w:rPr>
                <w:b/>
              </w:rPr>
              <w:t>Colour On Plan</w:t>
            </w:r>
          </w:p>
        </w:tc>
        <w:tc>
          <w:tcPr>
            <w:tcW w:w="3173" w:type="dxa"/>
            <w:shd w:val="clear" w:color="auto" w:fill="auto"/>
          </w:tcPr>
          <w:p w14:paraId="020B6638" w14:textId="77777777" w:rsidR="00163CF7" w:rsidRPr="000527C8" w:rsidRDefault="00163CF7" w:rsidP="00F75206">
            <w:pPr>
              <w:pStyle w:val="Style1"/>
              <w:numPr>
                <w:ilvl w:val="0"/>
                <w:numId w:val="0"/>
              </w:numPr>
              <w:rPr>
                <w:b/>
              </w:rPr>
            </w:pPr>
            <w:r w:rsidRPr="000527C8">
              <w:rPr>
                <w:b/>
              </w:rPr>
              <w:t>Description</w:t>
            </w:r>
          </w:p>
        </w:tc>
        <w:tc>
          <w:tcPr>
            <w:tcW w:w="3174" w:type="dxa"/>
            <w:shd w:val="clear" w:color="auto" w:fill="auto"/>
          </w:tcPr>
          <w:p w14:paraId="0A5D126B" w14:textId="77777777" w:rsidR="00163CF7" w:rsidRPr="000527C8" w:rsidRDefault="00163CF7" w:rsidP="00F75206">
            <w:pPr>
              <w:pStyle w:val="Style1"/>
              <w:numPr>
                <w:ilvl w:val="0"/>
                <w:numId w:val="0"/>
              </w:numPr>
              <w:rPr>
                <w:b/>
              </w:rPr>
            </w:pPr>
            <w:r w:rsidRPr="000527C8">
              <w:rPr>
                <w:b/>
              </w:rPr>
              <w:t>Extent</w:t>
            </w:r>
          </w:p>
        </w:tc>
      </w:tr>
      <w:tr w:rsidR="00163CF7" w14:paraId="568C40EB" w14:textId="77777777" w:rsidTr="00F75206">
        <w:tc>
          <w:tcPr>
            <w:tcW w:w="3173" w:type="dxa"/>
            <w:shd w:val="clear" w:color="auto" w:fill="auto"/>
          </w:tcPr>
          <w:p w14:paraId="7E543E11" w14:textId="77777777" w:rsidR="00163CF7" w:rsidRDefault="00163CF7" w:rsidP="00F75206">
            <w:pPr>
              <w:pStyle w:val="Style1"/>
              <w:numPr>
                <w:ilvl w:val="0"/>
                <w:numId w:val="0"/>
              </w:numPr>
            </w:pPr>
            <w:r>
              <w:t>Edged Red</w:t>
            </w:r>
          </w:p>
        </w:tc>
        <w:tc>
          <w:tcPr>
            <w:tcW w:w="3173" w:type="dxa"/>
            <w:shd w:val="clear" w:color="auto" w:fill="auto"/>
          </w:tcPr>
          <w:p w14:paraId="29BE4B4A" w14:textId="77777777" w:rsidR="00163CF7" w:rsidRDefault="00163CF7" w:rsidP="00F75206">
            <w:pPr>
              <w:pStyle w:val="Style1"/>
              <w:numPr>
                <w:ilvl w:val="0"/>
                <w:numId w:val="0"/>
              </w:numPr>
            </w:pPr>
            <w:r>
              <w:t xml:space="preserve">Land comprising </w:t>
            </w:r>
            <w:r w:rsidR="00A079F7">
              <w:t>part of Walton Common, West Tilbury, Thurrock</w:t>
            </w:r>
          </w:p>
          <w:p w14:paraId="34887453" w14:textId="77777777" w:rsidR="00A079F7" w:rsidRDefault="00A079F7" w:rsidP="00F75206">
            <w:pPr>
              <w:pStyle w:val="Style1"/>
              <w:numPr>
                <w:ilvl w:val="0"/>
                <w:numId w:val="0"/>
              </w:numPr>
            </w:pPr>
          </w:p>
          <w:p w14:paraId="00DE0083" w14:textId="0B9EBA62" w:rsidR="00A079F7" w:rsidRDefault="00A079F7" w:rsidP="00F75206">
            <w:pPr>
              <w:pStyle w:val="Style1"/>
              <w:numPr>
                <w:ilvl w:val="0"/>
                <w:numId w:val="0"/>
              </w:numPr>
            </w:pPr>
            <w:r>
              <w:t xml:space="preserve">Land comprising part of </w:t>
            </w:r>
            <w:r w:rsidR="00DD51B5">
              <w:t>Tilbury Fort Co</w:t>
            </w:r>
            <w:r w:rsidR="009D74AE">
              <w:t>mm</w:t>
            </w:r>
            <w:r w:rsidR="00DD51B5">
              <w:t>on, West Tilbury, Thurrock</w:t>
            </w:r>
          </w:p>
        </w:tc>
        <w:tc>
          <w:tcPr>
            <w:tcW w:w="3174" w:type="dxa"/>
            <w:shd w:val="clear" w:color="auto" w:fill="auto"/>
          </w:tcPr>
          <w:p w14:paraId="39EA078C" w14:textId="536EB7DD" w:rsidR="00163CF7" w:rsidRDefault="00A079F7" w:rsidP="00F75206">
            <w:pPr>
              <w:pStyle w:val="Style1"/>
              <w:numPr>
                <w:ilvl w:val="0"/>
                <w:numId w:val="0"/>
              </w:numPr>
              <w:rPr>
                <w:vertAlign w:val="superscript"/>
              </w:rPr>
            </w:pPr>
            <w:r>
              <w:t>100</w:t>
            </w:r>
            <w:r w:rsidR="00BD0458">
              <w:t>,</w:t>
            </w:r>
            <w:r>
              <w:t>695</w:t>
            </w:r>
            <w:r w:rsidR="00163CF7">
              <w:t>m</w:t>
            </w:r>
            <w:r w:rsidR="00163CF7" w:rsidRPr="000527C8">
              <w:rPr>
                <w:vertAlign w:val="superscript"/>
              </w:rPr>
              <w:t>2</w:t>
            </w:r>
          </w:p>
          <w:p w14:paraId="713C5115" w14:textId="77777777" w:rsidR="00DD51B5" w:rsidRDefault="00DD51B5" w:rsidP="00F75206">
            <w:pPr>
              <w:pStyle w:val="Style1"/>
              <w:numPr>
                <w:ilvl w:val="0"/>
                <w:numId w:val="0"/>
              </w:numPr>
              <w:rPr>
                <w:vertAlign w:val="superscript"/>
              </w:rPr>
            </w:pPr>
          </w:p>
          <w:p w14:paraId="3788C98D" w14:textId="77777777" w:rsidR="00DD51B5" w:rsidRDefault="00DD51B5" w:rsidP="00F75206">
            <w:pPr>
              <w:pStyle w:val="Style1"/>
              <w:numPr>
                <w:ilvl w:val="0"/>
                <w:numId w:val="0"/>
              </w:numPr>
              <w:rPr>
                <w:vertAlign w:val="superscript"/>
              </w:rPr>
            </w:pPr>
          </w:p>
          <w:p w14:paraId="5FC653DD" w14:textId="7FBFAEF5" w:rsidR="00DD51B5" w:rsidRDefault="00DD51B5" w:rsidP="00F75206">
            <w:pPr>
              <w:pStyle w:val="Style1"/>
              <w:numPr>
                <w:ilvl w:val="0"/>
                <w:numId w:val="0"/>
              </w:numPr>
            </w:pPr>
            <w:r>
              <w:t>464</w:t>
            </w:r>
            <w:r w:rsidR="00FC3E2D">
              <w:t>m</w:t>
            </w:r>
            <w:r w:rsidR="00FC3E2D" w:rsidRPr="00966DED">
              <w:rPr>
                <w:vertAlign w:val="superscript"/>
              </w:rPr>
              <w:t>2</w:t>
            </w:r>
          </w:p>
        </w:tc>
      </w:tr>
    </w:tbl>
    <w:p w14:paraId="5DA3516F" w14:textId="77777777" w:rsidR="00163CF7" w:rsidRDefault="00163CF7" w:rsidP="00163CF7">
      <w:pPr>
        <w:pStyle w:val="Style1"/>
        <w:numPr>
          <w:ilvl w:val="0"/>
          <w:numId w:val="0"/>
        </w:numPr>
        <w:rPr>
          <w:b/>
        </w:rPr>
      </w:pPr>
    </w:p>
    <w:p w14:paraId="5D77F5E6" w14:textId="77777777" w:rsidR="00163CF7" w:rsidRDefault="00163CF7" w:rsidP="00163CF7">
      <w:pPr>
        <w:pStyle w:val="Style1"/>
        <w:numPr>
          <w:ilvl w:val="0"/>
          <w:numId w:val="0"/>
        </w:numPr>
      </w:pPr>
      <w:r w:rsidRPr="00EA79D3">
        <w:rPr>
          <w:b/>
        </w:rPr>
        <w:t>Second Schedule</w:t>
      </w:r>
      <w:r>
        <w:t xml:space="preserve"> – the replacement land</w:t>
      </w:r>
    </w:p>
    <w:p w14:paraId="5E216BF1" w14:textId="77777777" w:rsidR="00163CF7" w:rsidRDefault="00163CF7" w:rsidP="00163CF7">
      <w:pPr>
        <w:pStyle w:val="Style1"/>
        <w:numPr>
          <w:ilvl w:val="0"/>
          <w:numId w:val="0"/>
        </w:num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986"/>
        <w:gridCol w:w="2964"/>
      </w:tblGrid>
      <w:tr w:rsidR="00163CF7" w14:paraId="2D0E16FC" w14:textId="77777777" w:rsidTr="00F75206">
        <w:tc>
          <w:tcPr>
            <w:tcW w:w="3173" w:type="dxa"/>
            <w:shd w:val="clear" w:color="auto" w:fill="auto"/>
          </w:tcPr>
          <w:p w14:paraId="4336F243" w14:textId="77777777" w:rsidR="00163CF7" w:rsidRPr="000527C8" w:rsidRDefault="00163CF7" w:rsidP="00F75206">
            <w:pPr>
              <w:pStyle w:val="Style1"/>
              <w:numPr>
                <w:ilvl w:val="0"/>
                <w:numId w:val="0"/>
              </w:numPr>
              <w:rPr>
                <w:b/>
              </w:rPr>
            </w:pPr>
            <w:r w:rsidRPr="000527C8">
              <w:rPr>
                <w:b/>
              </w:rPr>
              <w:t>Colour On Plan</w:t>
            </w:r>
          </w:p>
        </w:tc>
        <w:tc>
          <w:tcPr>
            <w:tcW w:w="3173" w:type="dxa"/>
            <w:shd w:val="clear" w:color="auto" w:fill="auto"/>
          </w:tcPr>
          <w:p w14:paraId="2DF8DBE4" w14:textId="77777777" w:rsidR="00163CF7" w:rsidRPr="000527C8" w:rsidRDefault="00163CF7" w:rsidP="00F75206">
            <w:pPr>
              <w:pStyle w:val="Style1"/>
              <w:numPr>
                <w:ilvl w:val="0"/>
                <w:numId w:val="0"/>
              </w:numPr>
              <w:rPr>
                <w:b/>
              </w:rPr>
            </w:pPr>
            <w:r w:rsidRPr="000527C8">
              <w:rPr>
                <w:b/>
              </w:rPr>
              <w:t>Description</w:t>
            </w:r>
          </w:p>
        </w:tc>
        <w:tc>
          <w:tcPr>
            <w:tcW w:w="3174" w:type="dxa"/>
            <w:shd w:val="clear" w:color="auto" w:fill="auto"/>
          </w:tcPr>
          <w:p w14:paraId="3F1894B7" w14:textId="77777777" w:rsidR="00163CF7" w:rsidRPr="000527C8" w:rsidRDefault="00163CF7" w:rsidP="00F75206">
            <w:pPr>
              <w:pStyle w:val="Style1"/>
              <w:numPr>
                <w:ilvl w:val="0"/>
                <w:numId w:val="0"/>
              </w:numPr>
              <w:rPr>
                <w:b/>
              </w:rPr>
            </w:pPr>
            <w:r w:rsidRPr="000527C8">
              <w:rPr>
                <w:b/>
              </w:rPr>
              <w:t>Extent</w:t>
            </w:r>
          </w:p>
        </w:tc>
      </w:tr>
      <w:tr w:rsidR="00163CF7" w14:paraId="125FE702" w14:textId="77777777" w:rsidTr="00F75206">
        <w:tc>
          <w:tcPr>
            <w:tcW w:w="3173" w:type="dxa"/>
            <w:shd w:val="clear" w:color="auto" w:fill="auto"/>
          </w:tcPr>
          <w:p w14:paraId="1094879C" w14:textId="77777777" w:rsidR="00163CF7" w:rsidRDefault="00163CF7" w:rsidP="00F75206">
            <w:pPr>
              <w:pStyle w:val="Style1"/>
              <w:numPr>
                <w:ilvl w:val="0"/>
                <w:numId w:val="0"/>
              </w:numPr>
            </w:pPr>
            <w:r>
              <w:t>Edged light green</w:t>
            </w:r>
          </w:p>
        </w:tc>
        <w:tc>
          <w:tcPr>
            <w:tcW w:w="3173" w:type="dxa"/>
            <w:shd w:val="clear" w:color="auto" w:fill="auto"/>
          </w:tcPr>
          <w:p w14:paraId="2D2318C8" w14:textId="697038B5" w:rsidR="00163CF7" w:rsidRDefault="00163CF7" w:rsidP="00F75206">
            <w:pPr>
              <w:pStyle w:val="Style1"/>
              <w:numPr>
                <w:ilvl w:val="0"/>
                <w:numId w:val="0"/>
              </w:numPr>
            </w:pPr>
            <w:r>
              <w:t>Land to the south-</w:t>
            </w:r>
            <w:r w:rsidR="00FC3E2D">
              <w:t>west of Parsonage Common, West Tilbury, Thurrock</w:t>
            </w:r>
          </w:p>
        </w:tc>
        <w:tc>
          <w:tcPr>
            <w:tcW w:w="3174" w:type="dxa"/>
            <w:shd w:val="clear" w:color="auto" w:fill="auto"/>
          </w:tcPr>
          <w:p w14:paraId="367A7178" w14:textId="2C639026" w:rsidR="00163CF7" w:rsidRDefault="00966DED" w:rsidP="00F75206">
            <w:pPr>
              <w:pStyle w:val="Style1"/>
              <w:numPr>
                <w:ilvl w:val="0"/>
                <w:numId w:val="0"/>
              </w:numPr>
            </w:pPr>
            <w:r>
              <w:t>115,779</w:t>
            </w:r>
            <w:r w:rsidR="00163CF7">
              <w:t>m</w:t>
            </w:r>
            <w:r w:rsidR="00163CF7" w:rsidRPr="000527C8">
              <w:rPr>
                <w:vertAlign w:val="superscript"/>
              </w:rPr>
              <w:t>2</w:t>
            </w:r>
          </w:p>
        </w:tc>
      </w:tr>
    </w:tbl>
    <w:p w14:paraId="042DE61C" w14:textId="77777777" w:rsidR="00163CF7" w:rsidRDefault="00163CF7" w:rsidP="00163CF7">
      <w:pPr>
        <w:pStyle w:val="Style1"/>
        <w:numPr>
          <w:ilvl w:val="0"/>
          <w:numId w:val="0"/>
        </w:numPr>
      </w:pPr>
    </w:p>
    <w:p w14:paraId="295FA68E" w14:textId="77777777" w:rsidR="00163CF7" w:rsidRDefault="00163CF7" w:rsidP="003B0C5A">
      <w:pPr>
        <w:pStyle w:val="Style1"/>
        <w:numPr>
          <w:ilvl w:val="0"/>
          <w:numId w:val="0"/>
        </w:numPr>
        <w:ind w:left="431" w:hanging="431"/>
      </w:pPr>
    </w:p>
    <w:p w14:paraId="67FFEFB8" w14:textId="05E20EF6" w:rsidR="00B67AFE" w:rsidRDefault="00C945F5" w:rsidP="004D1BA1">
      <w:pPr>
        <w:pStyle w:val="Style1"/>
        <w:numPr>
          <w:ilvl w:val="0"/>
          <w:numId w:val="0"/>
        </w:numPr>
      </w:pPr>
      <w:r>
        <w:lastRenderedPageBreak/>
        <w:t>A</w:t>
      </w:r>
      <w:r w:rsidR="00B67AFE">
        <w:t>PPENDIX</w:t>
      </w:r>
      <w:r w:rsidR="009D74AE">
        <w:t xml:space="preserve"> </w:t>
      </w:r>
      <w:r w:rsidR="00B149B8">
        <w:t xml:space="preserve">– Location Plan </w:t>
      </w:r>
    </w:p>
    <w:p w14:paraId="4C64B707" w14:textId="4E02D8E4" w:rsidR="00B55A82" w:rsidRPr="00B67AFE" w:rsidRDefault="00B55A82" w:rsidP="004D1BA1">
      <w:pPr>
        <w:pStyle w:val="Style1"/>
        <w:numPr>
          <w:ilvl w:val="0"/>
          <w:numId w:val="0"/>
        </w:numPr>
        <w:rPr>
          <w:caps/>
        </w:rPr>
      </w:pPr>
      <w:r>
        <w:rPr>
          <w:caps/>
          <w:noProof/>
        </w:rPr>
        <w:drawing>
          <wp:inline distT="0" distB="0" distL="0" distR="0" wp14:anchorId="5E47935E" wp14:editId="2FF20C0B">
            <wp:extent cx="5908040" cy="8124825"/>
            <wp:effectExtent l="0" t="0" r="0" b="952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08040" cy="8124825"/>
                    </a:xfrm>
                    <a:prstGeom prst="rect">
                      <a:avLst/>
                    </a:prstGeom>
                  </pic:spPr>
                </pic:pic>
              </a:graphicData>
            </a:graphic>
          </wp:inline>
        </w:drawing>
      </w:r>
    </w:p>
    <w:sectPr w:rsidR="00B55A82" w:rsidRPr="00B67AF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4D90" w14:textId="77777777" w:rsidR="00D036BA" w:rsidRDefault="00D036BA" w:rsidP="00F62916">
      <w:r>
        <w:separator/>
      </w:r>
    </w:p>
  </w:endnote>
  <w:endnote w:type="continuationSeparator" w:id="0">
    <w:p w14:paraId="4D85B033" w14:textId="77777777" w:rsidR="00D036BA" w:rsidRDefault="00D036BA"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11B9"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F5AFCA"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984295"/>
      <w:docPartObj>
        <w:docPartGallery w:val="Page Numbers (Bottom of Page)"/>
        <w:docPartUnique/>
      </w:docPartObj>
    </w:sdtPr>
    <w:sdtEndPr>
      <w:rPr>
        <w:noProof/>
      </w:rPr>
    </w:sdtEndPr>
    <w:sdtContent>
      <w:p w14:paraId="6964E954" w14:textId="570632DE" w:rsidR="002E3B16" w:rsidRDefault="002E3B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75FD7" w14:textId="1EDF99C7" w:rsidR="00366F95" w:rsidRPr="00E45340" w:rsidRDefault="00366F95" w:rsidP="00E45340">
    <w:pPr>
      <w:pStyle w:val="Footer"/>
      <w:ind w:right="-5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7323"/>
      <w:docPartObj>
        <w:docPartGallery w:val="Page Numbers (Bottom of Page)"/>
        <w:docPartUnique/>
      </w:docPartObj>
    </w:sdtPr>
    <w:sdtEndPr>
      <w:rPr>
        <w:noProof/>
      </w:rPr>
    </w:sdtEndPr>
    <w:sdtContent>
      <w:p w14:paraId="2AA2CFA7" w14:textId="3015CA16" w:rsidR="00F9201E" w:rsidRDefault="00F92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FE1D8" w14:textId="46BF0EAD"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EED9" w14:textId="77777777" w:rsidR="00D036BA" w:rsidRDefault="00D036BA" w:rsidP="00F62916">
      <w:r>
        <w:separator/>
      </w:r>
    </w:p>
  </w:footnote>
  <w:footnote w:type="continuationSeparator" w:id="0">
    <w:p w14:paraId="537756C8" w14:textId="77777777" w:rsidR="00D036BA" w:rsidRDefault="00D036BA" w:rsidP="00F62916">
      <w:r>
        <w:continuationSeparator/>
      </w:r>
    </w:p>
  </w:footnote>
  <w:footnote w:id="1">
    <w:p w14:paraId="214C7C3A" w14:textId="77777777" w:rsidR="00897AAC" w:rsidRPr="00C64949" w:rsidRDefault="00897AAC" w:rsidP="00897AAC">
      <w:pPr>
        <w:pStyle w:val="FootnoteText"/>
        <w:tabs>
          <w:tab w:val="left" w:pos="142"/>
        </w:tabs>
        <w:ind w:left="142" w:hanging="142"/>
        <w:rPr>
          <w:szCs w:val="16"/>
        </w:rPr>
      </w:pPr>
      <w:r>
        <w:rPr>
          <w:rStyle w:val="FootnoteReference"/>
        </w:rPr>
        <w:footnoteRef/>
      </w:r>
      <w:r>
        <w:t xml:space="preserve"> </w:t>
      </w:r>
      <w:r w:rsidRPr="00C64949">
        <w:rPr>
          <w:szCs w:val="16"/>
        </w:rPr>
        <w:t>Section 16</w:t>
      </w:r>
      <w:r>
        <w:rPr>
          <w:szCs w:val="16"/>
        </w:rPr>
        <w:t xml:space="preserve"> </w:t>
      </w:r>
      <w:r w:rsidRPr="00C64949">
        <w:rPr>
          <w:szCs w:val="16"/>
        </w:rPr>
        <w:t>(8)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520"/>
    </w:tblGrid>
    <w:tr w:rsidR="00366F95" w14:paraId="211B792E" w14:textId="77777777">
      <w:tc>
        <w:tcPr>
          <w:tcW w:w="9520" w:type="dxa"/>
        </w:tcPr>
        <w:p w14:paraId="2DBC0513" w14:textId="07A166FF" w:rsidR="00366F95" w:rsidRDefault="003867A1">
          <w:pPr>
            <w:pStyle w:val="Footer"/>
          </w:pPr>
          <w:r>
            <w:t>Ap</w:t>
          </w:r>
          <w:r w:rsidR="00746688">
            <w:t>plication</w:t>
          </w:r>
          <w:r>
            <w:t xml:space="preserve"> Decision COM/</w:t>
          </w:r>
          <w:r w:rsidR="00A90671">
            <w:t>32</w:t>
          </w:r>
          <w:r w:rsidR="002428DF">
            <w:t>73818</w:t>
          </w:r>
        </w:p>
      </w:tc>
    </w:tr>
  </w:tbl>
  <w:p w14:paraId="360493EE" w14:textId="568F8516" w:rsidR="00366F95" w:rsidRDefault="00366F95" w:rsidP="00087477">
    <w:pPr>
      <w:pStyle w:val="Footer"/>
      <w:spacing w:after="180"/>
    </w:pPr>
    <w:r>
      <w:rPr>
        <w:noProof/>
      </w:rPr>
      <mc:AlternateContent>
        <mc:Choice Requires="wps">
          <w:drawing>
            <wp:anchor distT="0" distB="0" distL="114300" distR="114300" simplePos="0" relativeHeight="251657216" behindDoc="0" locked="0" layoutInCell="1" allowOverlap="1" wp14:anchorId="2B706241" wp14:editId="1176144F">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607F"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F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D96B" w14:textId="22FCEDC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2AC44BC9"/>
    <w:multiLevelType w:val="hybridMultilevel"/>
    <w:tmpl w:val="56823586"/>
    <w:lvl w:ilvl="0" w:tplc="2A2C64EE">
      <w:start w:val="1"/>
      <w:numFmt w:val="lowerLetter"/>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32164117"/>
    <w:multiLevelType w:val="hybridMultilevel"/>
    <w:tmpl w:val="9B5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1F33B21"/>
    <w:multiLevelType w:val="hybridMultilevel"/>
    <w:tmpl w:val="21D0B32C"/>
    <w:lvl w:ilvl="0" w:tplc="AD786D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3" w15:restartNumberingAfterBreak="0">
    <w:nsid w:val="4AB7177F"/>
    <w:multiLevelType w:val="multilevel"/>
    <w:tmpl w:val="A22611FC"/>
    <w:numStyleLink w:val="ConditionsList"/>
  </w:abstractNum>
  <w:abstractNum w:abstractNumId="14"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2342F1"/>
    <w:multiLevelType w:val="multilevel"/>
    <w:tmpl w:val="A22611FC"/>
    <w:numStyleLink w:val="ConditionsList"/>
  </w:abstractNum>
  <w:abstractNum w:abstractNumId="16" w15:restartNumberingAfterBreak="0">
    <w:nsid w:val="50260ADD"/>
    <w:multiLevelType w:val="hybridMultilevel"/>
    <w:tmpl w:val="2D464BDC"/>
    <w:lvl w:ilvl="0" w:tplc="BFE2F078">
      <w:start w:val="1"/>
      <w:numFmt w:val="lowerLetter"/>
      <w:lvlText w:val="(%1)"/>
      <w:lvlJc w:val="left"/>
      <w:pPr>
        <w:tabs>
          <w:tab w:val="num" w:pos="2292"/>
        </w:tabs>
        <w:ind w:left="2292" w:hanging="720"/>
      </w:pPr>
      <w:rPr>
        <w:rFonts w:ascii="Verdana" w:eastAsia="Times New Roman" w:hAnsi="Verdana" w:cs="Times New Roman" w:hint="default"/>
      </w:rPr>
    </w:lvl>
    <w:lvl w:ilvl="1" w:tplc="743E0CC8">
      <w:start w:val="19"/>
      <w:numFmt w:val="decimal"/>
      <w:lvlText w:val="%2."/>
      <w:lvlJc w:val="left"/>
      <w:pPr>
        <w:tabs>
          <w:tab w:val="num" w:pos="1249"/>
        </w:tabs>
        <w:ind w:left="1249" w:hanging="397"/>
      </w:pPr>
      <w:rPr>
        <w:rFonts w:ascii="Verdana" w:hAnsi="Verdana" w:cs="Times New Roman" w:hint="default"/>
        <w:b w:val="0"/>
        <w:i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9AEE4124">
      <w:start w:val="10"/>
      <w:numFmt w:val="decimal"/>
      <w:lvlText w:val="%3."/>
      <w:lvlJc w:val="left"/>
      <w:pPr>
        <w:tabs>
          <w:tab w:val="num" w:pos="1249"/>
        </w:tabs>
        <w:ind w:left="1249" w:hanging="397"/>
      </w:pPr>
      <w:rPr>
        <w:rFonts w:ascii="Verdana" w:hAnsi="Verdana" w:cs="Times New Roman" w:hint="default"/>
        <w:b w:val="0"/>
        <w:i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tabs>
          <w:tab w:val="num" w:pos="4092"/>
        </w:tabs>
        <w:ind w:left="4092" w:hanging="360"/>
      </w:pPr>
      <w:rPr>
        <w:rFonts w:cs="Times New Roman"/>
      </w:rPr>
    </w:lvl>
    <w:lvl w:ilvl="4" w:tplc="08090019" w:tentative="1">
      <w:start w:val="1"/>
      <w:numFmt w:val="lowerLetter"/>
      <w:lvlText w:val="%5."/>
      <w:lvlJc w:val="left"/>
      <w:pPr>
        <w:tabs>
          <w:tab w:val="num" w:pos="4812"/>
        </w:tabs>
        <w:ind w:left="4812" w:hanging="360"/>
      </w:pPr>
      <w:rPr>
        <w:rFonts w:cs="Times New Roman"/>
      </w:rPr>
    </w:lvl>
    <w:lvl w:ilvl="5" w:tplc="0809001B" w:tentative="1">
      <w:start w:val="1"/>
      <w:numFmt w:val="lowerRoman"/>
      <w:lvlText w:val="%6."/>
      <w:lvlJc w:val="right"/>
      <w:pPr>
        <w:tabs>
          <w:tab w:val="num" w:pos="5532"/>
        </w:tabs>
        <w:ind w:left="5532" w:hanging="180"/>
      </w:pPr>
      <w:rPr>
        <w:rFonts w:cs="Times New Roman"/>
      </w:rPr>
    </w:lvl>
    <w:lvl w:ilvl="6" w:tplc="0809000F" w:tentative="1">
      <w:start w:val="1"/>
      <w:numFmt w:val="decimal"/>
      <w:lvlText w:val="%7."/>
      <w:lvlJc w:val="left"/>
      <w:pPr>
        <w:tabs>
          <w:tab w:val="num" w:pos="6252"/>
        </w:tabs>
        <w:ind w:left="6252" w:hanging="360"/>
      </w:pPr>
      <w:rPr>
        <w:rFonts w:cs="Times New Roman"/>
      </w:rPr>
    </w:lvl>
    <w:lvl w:ilvl="7" w:tplc="08090019" w:tentative="1">
      <w:start w:val="1"/>
      <w:numFmt w:val="lowerLetter"/>
      <w:lvlText w:val="%8."/>
      <w:lvlJc w:val="left"/>
      <w:pPr>
        <w:tabs>
          <w:tab w:val="num" w:pos="6972"/>
        </w:tabs>
        <w:ind w:left="6972" w:hanging="360"/>
      </w:pPr>
      <w:rPr>
        <w:rFonts w:cs="Times New Roman"/>
      </w:rPr>
    </w:lvl>
    <w:lvl w:ilvl="8" w:tplc="0809001B" w:tentative="1">
      <w:start w:val="1"/>
      <w:numFmt w:val="lowerRoman"/>
      <w:lvlText w:val="%9."/>
      <w:lvlJc w:val="right"/>
      <w:pPr>
        <w:tabs>
          <w:tab w:val="num" w:pos="7692"/>
        </w:tabs>
        <w:ind w:left="7692" w:hanging="180"/>
      </w:pPr>
      <w:rPr>
        <w:rFonts w:cs="Times New Roman"/>
      </w:rPr>
    </w:lvl>
  </w:abstractNum>
  <w:abstractNum w:abstractNumId="17" w15:restartNumberingAfterBreak="0">
    <w:nsid w:val="5137716E"/>
    <w:multiLevelType w:val="multilevel"/>
    <w:tmpl w:val="A22611FC"/>
    <w:numStyleLink w:val="ConditionsList"/>
  </w:abstractNum>
  <w:abstractNum w:abstractNumId="18" w15:restartNumberingAfterBreak="0">
    <w:nsid w:val="53F51752"/>
    <w:multiLevelType w:val="multilevel"/>
    <w:tmpl w:val="A22611FC"/>
    <w:numStyleLink w:val="ConditionsList"/>
  </w:abstractNum>
  <w:abstractNum w:abstractNumId="19"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0"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2" w15:restartNumberingAfterBreak="0">
    <w:nsid w:val="65B7639F"/>
    <w:multiLevelType w:val="multilevel"/>
    <w:tmpl w:val="A22611FC"/>
    <w:numStyleLink w:val="ConditionsList"/>
  </w:abstractNum>
  <w:abstractNum w:abstractNumId="2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4"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21"/>
  </w:num>
  <w:num w:numId="3">
    <w:abstractNumId w:val="23"/>
  </w:num>
  <w:num w:numId="4">
    <w:abstractNumId w:val="0"/>
  </w:num>
  <w:num w:numId="5">
    <w:abstractNumId w:val="10"/>
  </w:num>
  <w:num w:numId="6">
    <w:abstractNumId w:val="20"/>
  </w:num>
  <w:num w:numId="7">
    <w:abstractNumId w:val="24"/>
  </w:num>
  <w:num w:numId="8">
    <w:abstractNumId w:val="19"/>
  </w:num>
  <w:num w:numId="9">
    <w:abstractNumId w:val="3"/>
  </w:num>
  <w:num w:numId="10">
    <w:abstractNumId w:val="4"/>
  </w:num>
  <w:num w:numId="11">
    <w:abstractNumId w:val="14"/>
  </w:num>
  <w:num w:numId="12">
    <w:abstractNumId w:val="15"/>
  </w:num>
  <w:num w:numId="13">
    <w:abstractNumId w:val="7"/>
  </w:num>
  <w:num w:numId="14">
    <w:abstractNumId w:val="13"/>
  </w:num>
  <w:num w:numId="15">
    <w:abstractNumId w:val="17"/>
  </w:num>
  <w:num w:numId="16">
    <w:abstractNumId w:val="1"/>
  </w:num>
  <w:num w:numId="17">
    <w:abstractNumId w:val="18"/>
  </w:num>
  <w:num w:numId="18">
    <w:abstractNumId w:val="5"/>
  </w:num>
  <w:num w:numId="19">
    <w:abstractNumId w:val="2"/>
  </w:num>
  <w:num w:numId="20">
    <w:abstractNumId w:val="6"/>
  </w:num>
  <w:num w:numId="21">
    <w:abstractNumId w:val="12"/>
  </w:num>
  <w:num w:numId="22">
    <w:abstractNumId w:val="12"/>
  </w:num>
  <w:num w:numId="23">
    <w:abstractNumId w:val="22"/>
  </w:num>
  <w:num w:numId="24">
    <w:abstractNumId w:val="16"/>
  </w:num>
  <w:num w:numId="25">
    <w:abstractNumId w:val="9"/>
  </w:num>
  <w:num w:numId="26">
    <w:abstractNumId w:val="8"/>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867A1"/>
    <w:rsid w:val="00002255"/>
    <w:rsid w:val="00002BCD"/>
    <w:rsid w:val="0000335F"/>
    <w:rsid w:val="000039FA"/>
    <w:rsid w:val="00004788"/>
    <w:rsid w:val="00006931"/>
    <w:rsid w:val="00006E05"/>
    <w:rsid w:val="00007195"/>
    <w:rsid w:val="00007A23"/>
    <w:rsid w:val="000129A8"/>
    <w:rsid w:val="000146FC"/>
    <w:rsid w:val="000153B0"/>
    <w:rsid w:val="00015C7D"/>
    <w:rsid w:val="000160BE"/>
    <w:rsid w:val="0001696A"/>
    <w:rsid w:val="00017737"/>
    <w:rsid w:val="0002030E"/>
    <w:rsid w:val="00020B8E"/>
    <w:rsid w:val="00021D4F"/>
    <w:rsid w:val="00021F9B"/>
    <w:rsid w:val="00024491"/>
    <w:rsid w:val="00024500"/>
    <w:rsid w:val="000247B2"/>
    <w:rsid w:val="000261B8"/>
    <w:rsid w:val="00027B9D"/>
    <w:rsid w:val="00030B05"/>
    <w:rsid w:val="00031050"/>
    <w:rsid w:val="00031BB6"/>
    <w:rsid w:val="000325FE"/>
    <w:rsid w:val="0003268E"/>
    <w:rsid w:val="000332D5"/>
    <w:rsid w:val="00033752"/>
    <w:rsid w:val="0003393D"/>
    <w:rsid w:val="000339B6"/>
    <w:rsid w:val="000341A8"/>
    <w:rsid w:val="000341F3"/>
    <w:rsid w:val="00034225"/>
    <w:rsid w:val="0003452B"/>
    <w:rsid w:val="00034654"/>
    <w:rsid w:val="0003494F"/>
    <w:rsid w:val="0003769C"/>
    <w:rsid w:val="00040CD1"/>
    <w:rsid w:val="0004230C"/>
    <w:rsid w:val="00042566"/>
    <w:rsid w:val="000433A8"/>
    <w:rsid w:val="00043AEB"/>
    <w:rsid w:val="00044145"/>
    <w:rsid w:val="0004486A"/>
    <w:rsid w:val="00044F0B"/>
    <w:rsid w:val="00045902"/>
    <w:rsid w:val="00045D68"/>
    <w:rsid w:val="00045F15"/>
    <w:rsid w:val="00046145"/>
    <w:rsid w:val="0004625F"/>
    <w:rsid w:val="00046704"/>
    <w:rsid w:val="00046C8A"/>
    <w:rsid w:val="000506B7"/>
    <w:rsid w:val="00050C73"/>
    <w:rsid w:val="00052B25"/>
    <w:rsid w:val="00052EEA"/>
    <w:rsid w:val="00053135"/>
    <w:rsid w:val="00055644"/>
    <w:rsid w:val="00056861"/>
    <w:rsid w:val="000569F8"/>
    <w:rsid w:val="00057886"/>
    <w:rsid w:val="0006449F"/>
    <w:rsid w:val="0006493C"/>
    <w:rsid w:val="00066016"/>
    <w:rsid w:val="00066A43"/>
    <w:rsid w:val="00066FCA"/>
    <w:rsid w:val="00067241"/>
    <w:rsid w:val="000718E6"/>
    <w:rsid w:val="00071DDA"/>
    <w:rsid w:val="00073922"/>
    <w:rsid w:val="00073F8A"/>
    <w:rsid w:val="000747B3"/>
    <w:rsid w:val="00074A62"/>
    <w:rsid w:val="00076BFE"/>
    <w:rsid w:val="00077358"/>
    <w:rsid w:val="00077C34"/>
    <w:rsid w:val="0008014B"/>
    <w:rsid w:val="0008089E"/>
    <w:rsid w:val="000815F7"/>
    <w:rsid w:val="000830A5"/>
    <w:rsid w:val="0008328B"/>
    <w:rsid w:val="00086CA2"/>
    <w:rsid w:val="00086F4E"/>
    <w:rsid w:val="00087477"/>
    <w:rsid w:val="00087DEC"/>
    <w:rsid w:val="00091994"/>
    <w:rsid w:val="0009228D"/>
    <w:rsid w:val="000927BC"/>
    <w:rsid w:val="00092D16"/>
    <w:rsid w:val="00092F31"/>
    <w:rsid w:val="000932EB"/>
    <w:rsid w:val="00094627"/>
    <w:rsid w:val="00094A44"/>
    <w:rsid w:val="00095681"/>
    <w:rsid w:val="00096141"/>
    <w:rsid w:val="00097729"/>
    <w:rsid w:val="000A21B2"/>
    <w:rsid w:val="000A3B1B"/>
    <w:rsid w:val="000A4199"/>
    <w:rsid w:val="000A41B2"/>
    <w:rsid w:val="000A4AEB"/>
    <w:rsid w:val="000A5711"/>
    <w:rsid w:val="000A64AE"/>
    <w:rsid w:val="000A7AD2"/>
    <w:rsid w:val="000B02BC"/>
    <w:rsid w:val="000B0589"/>
    <w:rsid w:val="000B074B"/>
    <w:rsid w:val="000B1732"/>
    <w:rsid w:val="000B2E91"/>
    <w:rsid w:val="000B2F36"/>
    <w:rsid w:val="000B3420"/>
    <w:rsid w:val="000B423F"/>
    <w:rsid w:val="000B6532"/>
    <w:rsid w:val="000C046E"/>
    <w:rsid w:val="000C0B66"/>
    <w:rsid w:val="000C1F66"/>
    <w:rsid w:val="000C29D9"/>
    <w:rsid w:val="000C3F13"/>
    <w:rsid w:val="000C5098"/>
    <w:rsid w:val="000C5713"/>
    <w:rsid w:val="000C698E"/>
    <w:rsid w:val="000C7820"/>
    <w:rsid w:val="000D00B2"/>
    <w:rsid w:val="000D0673"/>
    <w:rsid w:val="000D09ED"/>
    <w:rsid w:val="000D0BB3"/>
    <w:rsid w:val="000D1F9F"/>
    <w:rsid w:val="000D338F"/>
    <w:rsid w:val="000D641D"/>
    <w:rsid w:val="000D7751"/>
    <w:rsid w:val="000E09C5"/>
    <w:rsid w:val="000E1052"/>
    <w:rsid w:val="000E214B"/>
    <w:rsid w:val="000E3430"/>
    <w:rsid w:val="000E354F"/>
    <w:rsid w:val="000E42A4"/>
    <w:rsid w:val="000E4725"/>
    <w:rsid w:val="000E4A05"/>
    <w:rsid w:val="000E5689"/>
    <w:rsid w:val="000E57C1"/>
    <w:rsid w:val="000E7766"/>
    <w:rsid w:val="000E7BE7"/>
    <w:rsid w:val="000F102D"/>
    <w:rsid w:val="000F10FE"/>
    <w:rsid w:val="000F16F4"/>
    <w:rsid w:val="000F4151"/>
    <w:rsid w:val="000F5A8C"/>
    <w:rsid w:val="000F6171"/>
    <w:rsid w:val="000F6C8B"/>
    <w:rsid w:val="000F6CED"/>
    <w:rsid w:val="000F6EC2"/>
    <w:rsid w:val="000F79A2"/>
    <w:rsid w:val="000F7FAB"/>
    <w:rsid w:val="001000CB"/>
    <w:rsid w:val="00100345"/>
    <w:rsid w:val="00101234"/>
    <w:rsid w:val="00102DB4"/>
    <w:rsid w:val="00102FAE"/>
    <w:rsid w:val="001042B0"/>
    <w:rsid w:val="00104D93"/>
    <w:rsid w:val="00105015"/>
    <w:rsid w:val="00106001"/>
    <w:rsid w:val="0010778A"/>
    <w:rsid w:val="001079E7"/>
    <w:rsid w:val="001108C4"/>
    <w:rsid w:val="001115FA"/>
    <w:rsid w:val="00112B0B"/>
    <w:rsid w:val="00115501"/>
    <w:rsid w:val="00120527"/>
    <w:rsid w:val="0012130D"/>
    <w:rsid w:val="001218A6"/>
    <w:rsid w:val="00121F5E"/>
    <w:rsid w:val="0012263D"/>
    <w:rsid w:val="0012504F"/>
    <w:rsid w:val="001251E0"/>
    <w:rsid w:val="001257BC"/>
    <w:rsid w:val="00126B7E"/>
    <w:rsid w:val="00126B83"/>
    <w:rsid w:val="00127068"/>
    <w:rsid w:val="0012728E"/>
    <w:rsid w:val="0013182F"/>
    <w:rsid w:val="00131DDB"/>
    <w:rsid w:val="00132346"/>
    <w:rsid w:val="001328CE"/>
    <w:rsid w:val="00133501"/>
    <w:rsid w:val="0013421A"/>
    <w:rsid w:val="001352B9"/>
    <w:rsid w:val="001352FC"/>
    <w:rsid w:val="0013570A"/>
    <w:rsid w:val="0013624F"/>
    <w:rsid w:val="001365F5"/>
    <w:rsid w:val="0013695E"/>
    <w:rsid w:val="00136A45"/>
    <w:rsid w:val="00136B2A"/>
    <w:rsid w:val="00137B55"/>
    <w:rsid w:val="00137EEA"/>
    <w:rsid w:val="00141928"/>
    <w:rsid w:val="00142004"/>
    <w:rsid w:val="00142389"/>
    <w:rsid w:val="001423B2"/>
    <w:rsid w:val="001429E1"/>
    <w:rsid w:val="001440C3"/>
    <w:rsid w:val="001455D3"/>
    <w:rsid w:val="00146B5E"/>
    <w:rsid w:val="001520FE"/>
    <w:rsid w:val="00152C92"/>
    <w:rsid w:val="001530B2"/>
    <w:rsid w:val="001535DD"/>
    <w:rsid w:val="0015361D"/>
    <w:rsid w:val="00155AB8"/>
    <w:rsid w:val="001610E4"/>
    <w:rsid w:val="00161989"/>
    <w:rsid w:val="00161B5C"/>
    <w:rsid w:val="001625C0"/>
    <w:rsid w:val="00163CF7"/>
    <w:rsid w:val="00163FCB"/>
    <w:rsid w:val="001643B1"/>
    <w:rsid w:val="00164983"/>
    <w:rsid w:val="0016647E"/>
    <w:rsid w:val="001666F9"/>
    <w:rsid w:val="00166FA1"/>
    <w:rsid w:val="00167250"/>
    <w:rsid w:val="0017059E"/>
    <w:rsid w:val="001764CF"/>
    <w:rsid w:val="00176B31"/>
    <w:rsid w:val="00176BCD"/>
    <w:rsid w:val="001775F6"/>
    <w:rsid w:val="00177F5E"/>
    <w:rsid w:val="00181C02"/>
    <w:rsid w:val="00181D42"/>
    <w:rsid w:val="00182642"/>
    <w:rsid w:val="001831C4"/>
    <w:rsid w:val="00183648"/>
    <w:rsid w:val="0018546B"/>
    <w:rsid w:val="00185BF9"/>
    <w:rsid w:val="001861CF"/>
    <w:rsid w:val="001872AC"/>
    <w:rsid w:val="00190D8C"/>
    <w:rsid w:val="00191D03"/>
    <w:rsid w:val="00192D83"/>
    <w:rsid w:val="00193216"/>
    <w:rsid w:val="0019326C"/>
    <w:rsid w:val="00193807"/>
    <w:rsid w:val="00194D35"/>
    <w:rsid w:val="0019577C"/>
    <w:rsid w:val="001958EC"/>
    <w:rsid w:val="00195EF6"/>
    <w:rsid w:val="0019669B"/>
    <w:rsid w:val="00196DB8"/>
    <w:rsid w:val="00196ECC"/>
    <w:rsid w:val="00196F61"/>
    <w:rsid w:val="001971F8"/>
    <w:rsid w:val="001978E8"/>
    <w:rsid w:val="00197B5B"/>
    <w:rsid w:val="00197D33"/>
    <w:rsid w:val="00197FB1"/>
    <w:rsid w:val="001A222A"/>
    <w:rsid w:val="001A29AF"/>
    <w:rsid w:val="001A340C"/>
    <w:rsid w:val="001A3B01"/>
    <w:rsid w:val="001A4AF1"/>
    <w:rsid w:val="001A6BE6"/>
    <w:rsid w:val="001A6FBC"/>
    <w:rsid w:val="001A79A9"/>
    <w:rsid w:val="001B11D1"/>
    <w:rsid w:val="001B13D9"/>
    <w:rsid w:val="001B189C"/>
    <w:rsid w:val="001B2649"/>
    <w:rsid w:val="001B2A35"/>
    <w:rsid w:val="001B348A"/>
    <w:rsid w:val="001B37BF"/>
    <w:rsid w:val="001B3986"/>
    <w:rsid w:val="001B3C8A"/>
    <w:rsid w:val="001C016B"/>
    <w:rsid w:val="001C16CF"/>
    <w:rsid w:val="001C6C18"/>
    <w:rsid w:val="001C7BC5"/>
    <w:rsid w:val="001C7D41"/>
    <w:rsid w:val="001C7FCE"/>
    <w:rsid w:val="001D18BD"/>
    <w:rsid w:val="001D33C4"/>
    <w:rsid w:val="001D47E0"/>
    <w:rsid w:val="001D5059"/>
    <w:rsid w:val="001D539F"/>
    <w:rsid w:val="001D7EC9"/>
    <w:rsid w:val="001E10CD"/>
    <w:rsid w:val="001E1D1A"/>
    <w:rsid w:val="001E38D6"/>
    <w:rsid w:val="001E40A5"/>
    <w:rsid w:val="001E4973"/>
    <w:rsid w:val="001E5060"/>
    <w:rsid w:val="001E5EB3"/>
    <w:rsid w:val="001F0316"/>
    <w:rsid w:val="001F0449"/>
    <w:rsid w:val="001F0B44"/>
    <w:rsid w:val="001F14C1"/>
    <w:rsid w:val="001F1504"/>
    <w:rsid w:val="001F28A7"/>
    <w:rsid w:val="001F2F82"/>
    <w:rsid w:val="001F4144"/>
    <w:rsid w:val="001F5990"/>
    <w:rsid w:val="001F5AE4"/>
    <w:rsid w:val="001F70A5"/>
    <w:rsid w:val="00200495"/>
    <w:rsid w:val="002008DC"/>
    <w:rsid w:val="00200C2E"/>
    <w:rsid w:val="00200F8C"/>
    <w:rsid w:val="00201D87"/>
    <w:rsid w:val="00202188"/>
    <w:rsid w:val="00203315"/>
    <w:rsid w:val="00203E60"/>
    <w:rsid w:val="00204FD5"/>
    <w:rsid w:val="002052CC"/>
    <w:rsid w:val="002055C1"/>
    <w:rsid w:val="0020661A"/>
    <w:rsid w:val="002069F1"/>
    <w:rsid w:val="00206F15"/>
    <w:rsid w:val="002072B2"/>
    <w:rsid w:val="00207816"/>
    <w:rsid w:val="00207B76"/>
    <w:rsid w:val="00207E52"/>
    <w:rsid w:val="0021076E"/>
    <w:rsid w:val="002113D4"/>
    <w:rsid w:val="00211AB1"/>
    <w:rsid w:val="00212C8F"/>
    <w:rsid w:val="002154BD"/>
    <w:rsid w:val="002156AD"/>
    <w:rsid w:val="00215BE9"/>
    <w:rsid w:val="002166A2"/>
    <w:rsid w:val="00217D2F"/>
    <w:rsid w:val="0022075B"/>
    <w:rsid w:val="00220F65"/>
    <w:rsid w:val="0022166A"/>
    <w:rsid w:val="00221AFB"/>
    <w:rsid w:val="002236BE"/>
    <w:rsid w:val="00223D4D"/>
    <w:rsid w:val="00225590"/>
    <w:rsid w:val="00230648"/>
    <w:rsid w:val="00230819"/>
    <w:rsid w:val="0023098F"/>
    <w:rsid w:val="00232EF7"/>
    <w:rsid w:val="00236FE9"/>
    <w:rsid w:val="0023787D"/>
    <w:rsid w:val="0023797E"/>
    <w:rsid w:val="00237F0C"/>
    <w:rsid w:val="002428DF"/>
    <w:rsid w:val="00242A5E"/>
    <w:rsid w:val="002443BA"/>
    <w:rsid w:val="002454B2"/>
    <w:rsid w:val="00246865"/>
    <w:rsid w:val="002479D8"/>
    <w:rsid w:val="00251FCD"/>
    <w:rsid w:val="002530A6"/>
    <w:rsid w:val="00253D2D"/>
    <w:rsid w:val="00254458"/>
    <w:rsid w:val="0025487D"/>
    <w:rsid w:val="00257E33"/>
    <w:rsid w:val="002619A8"/>
    <w:rsid w:val="00261E1B"/>
    <w:rsid w:val="00264813"/>
    <w:rsid w:val="00264D4B"/>
    <w:rsid w:val="002661F3"/>
    <w:rsid w:val="00270734"/>
    <w:rsid w:val="0027169F"/>
    <w:rsid w:val="00273B24"/>
    <w:rsid w:val="002749A4"/>
    <w:rsid w:val="00277E82"/>
    <w:rsid w:val="00277ECF"/>
    <w:rsid w:val="00280040"/>
    <w:rsid w:val="00281474"/>
    <w:rsid w:val="00281947"/>
    <w:rsid w:val="002819AB"/>
    <w:rsid w:val="00282D1A"/>
    <w:rsid w:val="002846FB"/>
    <w:rsid w:val="00290135"/>
    <w:rsid w:val="002902EC"/>
    <w:rsid w:val="00292CDE"/>
    <w:rsid w:val="002932C0"/>
    <w:rsid w:val="00293E6C"/>
    <w:rsid w:val="0029427D"/>
    <w:rsid w:val="00294E27"/>
    <w:rsid w:val="002958D9"/>
    <w:rsid w:val="00295C3A"/>
    <w:rsid w:val="00295C55"/>
    <w:rsid w:val="00296508"/>
    <w:rsid w:val="00296AEF"/>
    <w:rsid w:val="002A02A7"/>
    <w:rsid w:val="002A092A"/>
    <w:rsid w:val="002A3549"/>
    <w:rsid w:val="002A493B"/>
    <w:rsid w:val="002A4E22"/>
    <w:rsid w:val="002A58AE"/>
    <w:rsid w:val="002A63FF"/>
    <w:rsid w:val="002A7C99"/>
    <w:rsid w:val="002B113F"/>
    <w:rsid w:val="002B27A7"/>
    <w:rsid w:val="002B2C15"/>
    <w:rsid w:val="002B4F5B"/>
    <w:rsid w:val="002B5A3A"/>
    <w:rsid w:val="002B5F5D"/>
    <w:rsid w:val="002B6108"/>
    <w:rsid w:val="002B78BA"/>
    <w:rsid w:val="002C0091"/>
    <w:rsid w:val="002C068A"/>
    <w:rsid w:val="002C091A"/>
    <w:rsid w:val="002C17EF"/>
    <w:rsid w:val="002C2289"/>
    <w:rsid w:val="002C2524"/>
    <w:rsid w:val="002C32E1"/>
    <w:rsid w:val="002C4DAB"/>
    <w:rsid w:val="002C5AFE"/>
    <w:rsid w:val="002C5CEE"/>
    <w:rsid w:val="002C689F"/>
    <w:rsid w:val="002D02C3"/>
    <w:rsid w:val="002D0938"/>
    <w:rsid w:val="002D2FE2"/>
    <w:rsid w:val="002D44C4"/>
    <w:rsid w:val="002D58B3"/>
    <w:rsid w:val="002D5A7C"/>
    <w:rsid w:val="002D615B"/>
    <w:rsid w:val="002D696F"/>
    <w:rsid w:val="002D74BF"/>
    <w:rsid w:val="002D76B0"/>
    <w:rsid w:val="002E061E"/>
    <w:rsid w:val="002E2E67"/>
    <w:rsid w:val="002E353E"/>
    <w:rsid w:val="002E39EA"/>
    <w:rsid w:val="002E3B16"/>
    <w:rsid w:val="002E438C"/>
    <w:rsid w:val="002E4D37"/>
    <w:rsid w:val="002E5570"/>
    <w:rsid w:val="002E6E9A"/>
    <w:rsid w:val="002E785A"/>
    <w:rsid w:val="002F0167"/>
    <w:rsid w:val="002F0415"/>
    <w:rsid w:val="002F07C2"/>
    <w:rsid w:val="002F20C0"/>
    <w:rsid w:val="002F219B"/>
    <w:rsid w:val="002F2BAE"/>
    <w:rsid w:val="002F371B"/>
    <w:rsid w:val="002F3A4B"/>
    <w:rsid w:val="002F3DD1"/>
    <w:rsid w:val="002F4B4A"/>
    <w:rsid w:val="002F5C70"/>
    <w:rsid w:val="002F69A5"/>
    <w:rsid w:val="002F79E3"/>
    <w:rsid w:val="0030134A"/>
    <w:rsid w:val="00303215"/>
    <w:rsid w:val="00303CA5"/>
    <w:rsid w:val="003046F4"/>
    <w:rsid w:val="00304D54"/>
    <w:rsid w:val="0030500E"/>
    <w:rsid w:val="00305216"/>
    <w:rsid w:val="00305ACF"/>
    <w:rsid w:val="003103D6"/>
    <w:rsid w:val="003108F6"/>
    <w:rsid w:val="00310E50"/>
    <w:rsid w:val="00312A07"/>
    <w:rsid w:val="00313E6D"/>
    <w:rsid w:val="00313F0A"/>
    <w:rsid w:val="0031456B"/>
    <w:rsid w:val="00315CE5"/>
    <w:rsid w:val="00315E08"/>
    <w:rsid w:val="00316C2D"/>
    <w:rsid w:val="003172F9"/>
    <w:rsid w:val="00317410"/>
    <w:rsid w:val="003206FD"/>
    <w:rsid w:val="00321EF4"/>
    <w:rsid w:val="003223A1"/>
    <w:rsid w:val="0032288C"/>
    <w:rsid w:val="00322E51"/>
    <w:rsid w:val="00322EF3"/>
    <w:rsid w:val="00323D3D"/>
    <w:rsid w:val="00324146"/>
    <w:rsid w:val="00325377"/>
    <w:rsid w:val="00331643"/>
    <w:rsid w:val="00332B86"/>
    <w:rsid w:val="0033335D"/>
    <w:rsid w:val="0033439A"/>
    <w:rsid w:val="003363A7"/>
    <w:rsid w:val="0033768B"/>
    <w:rsid w:val="00340286"/>
    <w:rsid w:val="003406E7"/>
    <w:rsid w:val="00340951"/>
    <w:rsid w:val="00340D3C"/>
    <w:rsid w:val="0034101A"/>
    <w:rsid w:val="00342FD8"/>
    <w:rsid w:val="0034374E"/>
    <w:rsid w:val="00343A1F"/>
    <w:rsid w:val="00343DE6"/>
    <w:rsid w:val="00344294"/>
    <w:rsid w:val="00344665"/>
    <w:rsid w:val="00344CD1"/>
    <w:rsid w:val="003450EC"/>
    <w:rsid w:val="00346499"/>
    <w:rsid w:val="003468B2"/>
    <w:rsid w:val="00347FE9"/>
    <w:rsid w:val="00351E6D"/>
    <w:rsid w:val="00352ED5"/>
    <w:rsid w:val="00352EF9"/>
    <w:rsid w:val="003531AB"/>
    <w:rsid w:val="00355FCC"/>
    <w:rsid w:val="00356360"/>
    <w:rsid w:val="00356B33"/>
    <w:rsid w:val="00357103"/>
    <w:rsid w:val="003574C3"/>
    <w:rsid w:val="00360664"/>
    <w:rsid w:val="003606C2"/>
    <w:rsid w:val="00361890"/>
    <w:rsid w:val="00361F8F"/>
    <w:rsid w:val="00362E72"/>
    <w:rsid w:val="00363588"/>
    <w:rsid w:val="00363758"/>
    <w:rsid w:val="0036498F"/>
    <w:rsid w:val="00364E17"/>
    <w:rsid w:val="00366F95"/>
    <w:rsid w:val="0036730E"/>
    <w:rsid w:val="00372B0B"/>
    <w:rsid w:val="00372B20"/>
    <w:rsid w:val="00372D2E"/>
    <w:rsid w:val="00372DCB"/>
    <w:rsid w:val="00372F82"/>
    <w:rsid w:val="00373CA8"/>
    <w:rsid w:val="00373D49"/>
    <w:rsid w:val="00374156"/>
    <w:rsid w:val="00374200"/>
    <w:rsid w:val="0037448A"/>
    <w:rsid w:val="003753FE"/>
    <w:rsid w:val="00376128"/>
    <w:rsid w:val="00377528"/>
    <w:rsid w:val="00383EBA"/>
    <w:rsid w:val="003867A1"/>
    <w:rsid w:val="003868A4"/>
    <w:rsid w:val="0038723E"/>
    <w:rsid w:val="003872B5"/>
    <w:rsid w:val="00387B4B"/>
    <w:rsid w:val="00390E1C"/>
    <w:rsid w:val="00391970"/>
    <w:rsid w:val="00392ACC"/>
    <w:rsid w:val="003941CF"/>
    <w:rsid w:val="0039730D"/>
    <w:rsid w:val="00397A51"/>
    <w:rsid w:val="003A29F3"/>
    <w:rsid w:val="003A3924"/>
    <w:rsid w:val="003A4502"/>
    <w:rsid w:val="003A5025"/>
    <w:rsid w:val="003A51B2"/>
    <w:rsid w:val="003A52E8"/>
    <w:rsid w:val="003B0C5A"/>
    <w:rsid w:val="003B11BB"/>
    <w:rsid w:val="003B2DC1"/>
    <w:rsid w:val="003B2FE6"/>
    <w:rsid w:val="003B3F6C"/>
    <w:rsid w:val="003B409A"/>
    <w:rsid w:val="003B64FB"/>
    <w:rsid w:val="003B69E6"/>
    <w:rsid w:val="003C0DD1"/>
    <w:rsid w:val="003C20AD"/>
    <w:rsid w:val="003C225A"/>
    <w:rsid w:val="003C2EAE"/>
    <w:rsid w:val="003C4786"/>
    <w:rsid w:val="003C51CD"/>
    <w:rsid w:val="003C56C4"/>
    <w:rsid w:val="003C6007"/>
    <w:rsid w:val="003C61D6"/>
    <w:rsid w:val="003C6B45"/>
    <w:rsid w:val="003D1D4A"/>
    <w:rsid w:val="003D206F"/>
    <w:rsid w:val="003D2656"/>
    <w:rsid w:val="003D2E9D"/>
    <w:rsid w:val="003D32F2"/>
    <w:rsid w:val="003D3715"/>
    <w:rsid w:val="003D58D5"/>
    <w:rsid w:val="003E1A8E"/>
    <w:rsid w:val="003E3C6A"/>
    <w:rsid w:val="003E434E"/>
    <w:rsid w:val="003E4A02"/>
    <w:rsid w:val="003E54CC"/>
    <w:rsid w:val="003E5843"/>
    <w:rsid w:val="003E65FB"/>
    <w:rsid w:val="003E664E"/>
    <w:rsid w:val="003E66ED"/>
    <w:rsid w:val="003E6CD7"/>
    <w:rsid w:val="003E6E00"/>
    <w:rsid w:val="003E6F14"/>
    <w:rsid w:val="003E701E"/>
    <w:rsid w:val="003E75E1"/>
    <w:rsid w:val="003E7910"/>
    <w:rsid w:val="003F041A"/>
    <w:rsid w:val="003F18DC"/>
    <w:rsid w:val="003F2E96"/>
    <w:rsid w:val="003F3533"/>
    <w:rsid w:val="003F4BD3"/>
    <w:rsid w:val="003F63A8"/>
    <w:rsid w:val="003F76A7"/>
    <w:rsid w:val="003F7DFB"/>
    <w:rsid w:val="00400BB1"/>
    <w:rsid w:val="00400DDC"/>
    <w:rsid w:val="00401B1C"/>
    <w:rsid w:val="00401D8D"/>
    <w:rsid w:val="004020D0"/>
    <w:rsid w:val="0040240C"/>
    <w:rsid w:val="004025B6"/>
    <w:rsid w:val="004029F3"/>
    <w:rsid w:val="00402FCC"/>
    <w:rsid w:val="00403E42"/>
    <w:rsid w:val="004041B6"/>
    <w:rsid w:val="00407161"/>
    <w:rsid w:val="004101FF"/>
    <w:rsid w:val="00410211"/>
    <w:rsid w:val="004104AB"/>
    <w:rsid w:val="004119C4"/>
    <w:rsid w:val="00411F87"/>
    <w:rsid w:val="0041242D"/>
    <w:rsid w:val="00413A36"/>
    <w:rsid w:val="00415415"/>
    <w:rsid w:val="004156F0"/>
    <w:rsid w:val="00416271"/>
    <w:rsid w:val="00417707"/>
    <w:rsid w:val="00420BEE"/>
    <w:rsid w:val="00422E41"/>
    <w:rsid w:val="00425212"/>
    <w:rsid w:val="00425523"/>
    <w:rsid w:val="00430C9B"/>
    <w:rsid w:val="00430D71"/>
    <w:rsid w:val="004327B5"/>
    <w:rsid w:val="00432B0F"/>
    <w:rsid w:val="00433111"/>
    <w:rsid w:val="00433813"/>
    <w:rsid w:val="00433A3F"/>
    <w:rsid w:val="004346A7"/>
    <w:rsid w:val="00434739"/>
    <w:rsid w:val="00434F1B"/>
    <w:rsid w:val="0043535B"/>
    <w:rsid w:val="004418D3"/>
    <w:rsid w:val="004419ED"/>
    <w:rsid w:val="00441C8D"/>
    <w:rsid w:val="00441DFB"/>
    <w:rsid w:val="00441F91"/>
    <w:rsid w:val="0044281C"/>
    <w:rsid w:val="0044285A"/>
    <w:rsid w:val="00442974"/>
    <w:rsid w:val="00442F85"/>
    <w:rsid w:val="00443B23"/>
    <w:rsid w:val="004446C7"/>
    <w:rsid w:val="00444CB3"/>
    <w:rsid w:val="0044599B"/>
    <w:rsid w:val="00445C6D"/>
    <w:rsid w:val="00447316"/>
    <w:rsid w:val="004474DE"/>
    <w:rsid w:val="00447F37"/>
    <w:rsid w:val="00450C64"/>
    <w:rsid w:val="00451EE4"/>
    <w:rsid w:val="004522C1"/>
    <w:rsid w:val="00452DEA"/>
    <w:rsid w:val="00453466"/>
    <w:rsid w:val="00453E15"/>
    <w:rsid w:val="004546D8"/>
    <w:rsid w:val="00454F09"/>
    <w:rsid w:val="0045557A"/>
    <w:rsid w:val="004576EB"/>
    <w:rsid w:val="00460974"/>
    <w:rsid w:val="00460E04"/>
    <w:rsid w:val="004612B8"/>
    <w:rsid w:val="004625C5"/>
    <w:rsid w:val="00464247"/>
    <w:rsid w:val="00464A31"/>
    <w:rsid w:val="00466EE5"/>
    <w:rsid w:val="00467233"/>
    <w:rsid w:val="00467536"/>
    <w:rsid w:val="004708A5"/>
    <w:rsid w:val="00471C0D"/>
    <w:rsid w:val="004736D3"/>
    <w:rsid w:val="00474FE5"/>
    <w:rsid w:val="00475967"/>
    <w:rsid w:val="00475D52"/>
    <w:rsid w:val="0047718B"/>
    <w:rsid w:val="00477502"/>
    <w:rsid w:val="0047793A"/>
    <w:rsid w:val="0048041A"/>
    <w:rsid w:val="00482080"/>
    <w:rsid w:val="004830EC"/>
    <w:rsid w:val="00483136"/>
    <w:rsid w:val="00483476"/>
    <w:rsid w:val="004839C3"/>
    <w:rsid w:val="00483D15"/>
    <w:rsid w:val="0048538D"/>
    <w:rsid w:val="00486A01"/>
    <w:rsid w:val="00487474"/>
    <w:rsid w:val="00490888"/>
    <w:rsid w:val="00492F6E"/>
    <w:rsid w:val="004958BA"/>
    <w:rsid w:val="004969CD"/>
    <w:rsid w:val="00496D39"/>
    <w:rsid w:val="004976CF"/>
    <w:rsid w:val="004A08C1"/>
    <w:rsid w:val="004A08FC"/>
    <w:rsid w:val="004A125D"/>
    <w:rsid w:val="004A1980"/>
    <w:rsid w:val="004A2411"/>
    <w:rsid w:val="004A2EB8"/>
    <w:rsid w:val="004A5837"/>
    <w:rsid w:val="004A58B6"/>
    <w:rsid w:val="004A66A2"/>
    <w:rsid w:val="004B22A9"/>
    <w:rsid w:val="004B28B0"/>
    <w:rsid w:val="004B2B0A"/>
    <w:rsid w:val="004B3E71"/>
    <w:rsid w:val="004B4E76"/>
    <w:rsid w:val="004B6E32"/>
    <w:rsid w:val="004B721F"/>
    <w:rsid w:val="004B72DD"/>
    <w:rsid w:val="004C04D0"/>
    <w:rsid w:val="004C07CB"/>
    <w:rsid w:val="004C0E27"/>
    <w:rsid w:val="004C133B"/>
    <w:rsid w:val="004C54E1"/>
    <w:rsid w:val="004C5A7E"/>
    <w:rsid w:val="004C71D4"/>
    <w:rsid w:val="004C7668"/>
    <w:rsid w:val="004D1A87"/>
    <w:rsid w:val="004D1BA1"/>
    <w:rsid w:val="004D2B49"/>
    <w:rsid w:val="004D2F84"/>
    <w:rsid w:val="004D32C8"/>
    <w:rsid w:val="004D4B13"/>
    <w:rsid w:val="004D5035"/>
    <w:rsid w:val="004D6517"/>
    <w:rsid w:val="004D71F8"/>
    <w:rsid w:val="004E04E0"/>
    <w:rsid w:val="004E0715"/>
    <w:rsid w:val="004E17CB"/>
    <w:rsid w:val="004E1B58"/>
    <w:rsid w:val="004E1B9C"/>
    <w:rsid w:val="004E2074"/>
    <w:rsid w:val="004E2F13"/>
    <w:rsid w:val="004E33AE"/>
    <w:rsid w:val="004E367B"/>
    <w:rsid w:val="004E442A"/>
    <w:rsid w:val="004E5A80"/>
    <w:rsid w:val="004E5B3C"/>
    <w:rsid w:val="004E5CA2"/>
    <w:rsid w:val="004E6091"/>
    <w:rsid w:val="004E6419"/>
    <w:rsid w:val="004E6E61"/>
    <w:rsid w:val="004F09A3"/>
    <w:rsid w:val="004F0CA5"/>
    <w:rsid w:val="004F11F5"/>
    <w:rsid w:val="004F12C5"/>
    <w:rsid w:val="004F274A"/>
    <w:rsid w:val="004F2B63"/>
    <w:rsid w:val="004F429E"/>
    <w:rsid w:val="004F5CED"/>
    <w:rsid w:val="004F74E9"/>
    <w:rsid w:val="0050061F"/>
    <w:rsid w:val="005013A5"/>
    <w:rsid w:val="0050193E"/>
    <w:rsid w:val="00502AFB"/>
    <w:rsid w:val="00502FAC"/>
    <w:rsid w:val="005035E9"/>
    <w:rsid w:val="00503B24"/>
    <w:rsid w:val="005063DB"/>
    <w:rsid w:val="00506851"/>
    <w:rsid w:val="005108B8"/>
    <w:rsid w:val="00510CF5"/>
    <w:rsid w:val="00515BD8"/>
    <w:rsid w:val="00515CCF"/>
    <w:rsid w:val="00517443"/>
    <w:rsid w:val="005179CD"/>
    <w:rsid w:val="0052024E"/>
    <w:rsid w:val="005213D6"/>
    <w:rsid w:val="00522892"/>
    <w:rsid w:val="0052347F"/>
    <w:rsid w:val="005234ED"/>
    <w:rsid w:val="00523706"/>
    <w:rsid w:val="0052370B"/>
    <w:rsid w:val="00523FBE"/>
    <w:rsid w:val="00524FC9"/>
    <w:rsid w:val="00525069"/>
    <w:rsid w:val="005257CA"/>
    <w:rsid w:val="005257E7"/>
    <w:rsid w:val="005308DB"/>
    <w:rsid w:val="0053335F"/>
    <w:rsid w:val="00534999"/>
    <w:rsid w:val="005352B5"/>
    <w:rsid w:val="00536613"/>
    <w:rsid w:val="00536F93"/>
    <w:rsid w:val="00537279"/>
    <w:rsid w:val="00540206"/>
    <w:rsid w:val="00541734"/>
    <w:rsid w:val="00542210"/>
    <w:rsid w:val="00542B0D"/>
    <w:rsid w:val="00542B4C"/>
    <w:rsid w:val="00550857"/>
    <w:rsid w:val="005514E7"/>
    <w:rsid w:val="00552285"/>
    <w:rsid w:val="00552555"/>
    <w:rsid w:val="00553909"/>
    <w:rsid w:val="00554676"/>
    <w:rsid w:val="00554856"/>
    <w:rsid w:val="00554D73"/>
    <w:rsid w:val="00554DF5"/>
    <w:rsid w:val="005558FB"/>
    <w:rsid w:val="00556CB9"/>
    <w:rsid w:val="00560238"/>
    <w:rsid w:val="0056063C"/>
    <w:rsid w:val="005611E1"/>
    <w:rsid w:val="00561709"/>
    <w:rsid w:val="00561E69"/>
    <w:rsid w:val="00561ECF"/>
    <w:rsid w:val="005630A0"/>
    <w:rsid w:val="005638C7"/>
    <w:rsid w:val="00563CD0"/>
    <w:rsid w:val="0056446C"/>
    <w:rsid w:val="00564F1A"/>
    <w:rsid w:val="00564FD6"/>
    <w:rsid w:val="0056567B"/>
    <w:rsid w:val="0056634F"/>
    <w:rsid w:val="00566661"/>
    <w:rsid w:val="00566783"/>
    <w:rsid w:val="0056774A"/>
    <w:rsid w:val="0057098A"/>
    <w:rsid w:val="005718AF"/>
    <w:rsid w:val="00571FD4"/>
    <w:rsid w:val="00572879"/>
    <w:rsid w:val="00572D4C"/>
    <w:rsid w:val="00572EF3"/>
    <w:rsid w:val="0057443D"/>
    <w:rsid w:val="0057471E"/>
    <w:rsid w:val="00575740"/>
    <w:rsid w:val="005764C7"/>
    <w:rsid w:val="0057782A"/>
    <w:rsid w:val="005802B0"/>
    <w:rsid w:val="0058250B"/>
    <w:rsid w:val="00583F8B"/>
    <w:rsid w:val="00584950"/>
    <w:rsid w:val="00585B70"/>
    <w:rsid w:val="0058641E"/>
    <w:rsid w:val="00587FC5"/>
    <w:rsid w:val="00591235"/>
    <w:rsid w:val="00591257"/>
    <w:rsid w:val="005921B5"/>
    <w:rsid w:val="00593BC1"/>
    <w:rsid w:val="00595319"/>
    <w:rsid w:val="005959F8"/>
    <w:rsid w:val="005967AA"/>
    <w:rsid w:val="00597E2B"/>
    <w:rsid w:val="005A0799"/>
    <w:rsid w:val="005A160A"/>
    <w:rsid w:val="005A2C1F"/>
    <w:rsid w:val="005A326E"/>
    <w:rsid w:val="005A3A64"/>
    <w:rsid w:val="005A47D0"/>
    <w:rsid w:val="005A589E"/>
    <w:rsid w:val="005A5ABB"/>
    <w:rsid w:val="005B16E6"/>
    <w:rsid w:val="005B1CC5"/>
    <w:rsid w:val="005B3F91"/>
    <w:rsid w:val="005B402B"/>
    <w:rsid w:val="005B4EEF"/>
    <w:rsid w:val="005B50B9"/>
    <w:rsid w:val="005B5337"/>
    <w:rsid w:val="005B5417"/>
    <w:rsid w:val="005B581B"/>
    <w:rsid w:val="005B59CB"/>
    <w:rsid w:val="005B6075"/>
    <w:rsid w:val="005B6AD5"/>
    <w:rsid w:val="005B7568"/>
    <w:rsid w:val="005C0F5E"/>
    <w:rsid w:val="005C1F39"/>
    <w:rsid w:val="005C2169"/>
    <w:rsid w:val="005C2FCD"/>
    <w:rsid w:val="005C3BDC"/>
    <w:rsid w:val="005C3CC3"/>
    <w:rsid w:val="005C4528"/>
    <w:rsid w:val="005C639B"/>
    <w:rsid w:val="005C7B92"/>
    <w:rsid w:val="005C7F80"/>
    <w:rsid w:val="005D0F1A"/>
    <w:rsid w:val="005D1132"/>
    <w:rsid w:val="005D2DA8"/>
    <w:rsid w:val="005D3E09"/>
    <w:rsid w:val="005D48F6"/>
    <w:rsid w:val="005D5735"/>
    <w:rsid w:val="005D5AA3"/>
    <w:rsid w:val="005D5ABE"/>
    <w:rsid w:val="005D6BAF"/>
    <w:rsid w:val="005D7374"/>
    <w:rsid w:val="005D739E"/>
    <w:rsid w:val="005D7E8F"/>
    <w:rsid w:val="005E050E"/>
    <w:rsid w:val="005E1564"/>
    <w:rsid w:val="005E1D73"/>
    <w:rsid w:val="005E2C48"/>
    <w:rsid w:val="005E34E1"/>
    <w:rsid w:val="005E34FF"/>
    <w:rsid w:val="005E3542"/>
    <w:rsid w:val="005E480D"/>
    <w:rsid w:val="005E4D8C"/>
    <w:rsid w:val="005E52F9"/>
    <w:rsid w:val="005E55A3"/>
    <w:rsid w:val="005E700D"/>
    <w:rsid w:val="005E7FC8"/>
    <w:rsid w:val="005F012E"/>
    <w:rsid w:val="005F0A84"/>
    <w:rsid w:val="005F1261"/>
    <w:rsid w:val="005F15F5"/>
    <w:rsid w:val="005F1F45"/>
    <w:rsid w:val="005F212C"/>
    <w:rsid w:val="005F391E"/>
    <w:rsid w:val="005F3935"/>
    <w:rsid w:val="005F49B1"/>
    <w:rsid w:val="005F4A49"/>
    <w:rsid w:val="005F4E97"/>
    <w:rsid w:val="00600CF3"/>
    <w:rsid w:val="00602315"/>
    <w:rsid w:val="006026C3"/>
    <w:rsid w:val="00604F86"/>
    <w:rsid w:val="006052EF"/>
    <w:rsid w:val="006054FE"/>
    <w:rsid w:val="006127F0"/>
    <w:rsid w:val="00613200"/>
    <w:rsid w:val="006147E8"/>
    <w:rsid w:val="00614E46"/>
    <w:rsid w:val="00615462"/>
    <w:rsid w:val="00615593"/>
    <w:rsid w:val="00615D41"/>
    <w:rsid w:val="00615F9F"/>
    <w:rsid w:val="0062088B"/>
    <w:rsid w:val="00621B44"/>
    <w:rsid w:val="00622294"/>
    <w:rsid w:val="0062255B"/>
    <w:rsid w:val="00622BA6"/>
    <w:rsid w:val="00623741"/>
    <w:rsid w:val="006239DC"/>
    <w:rsid w:val="00626301"/>
    <w:rsid w:val="00626B1A"/>
    <w:rsid w:val="00627747"/>
    <w:rsid w:val="006305B3"/>
    <w:rsid w:val="0063119D"/>
    <w:rsid w:val="006319E6"/>
    <w:rsid w:val="00632BFD"/>
    <w:rsid w:val="0063350D"/>
    <w:rsid w:val="0063373D"/>
    <w:rsid w:val="00633935"/>
    <w:rsid w:val="0063445E"/>
    <w:rsid w:val="00636BA1"/>
    <w:rsid w:val="0063729D"/>
    <w:rsid w:val="00637A07"/>
    <w:rsid w:val="00641B30"/>
    <w:rsid w:val="0064493A"/>
    <w:rsid w:val="006450E8"/>
    <w:rsid w:val="006452E6"/>
    <w:rsid w:val="0065062F"/>
    <w:rsid w:val="00650C17"/>
    <w:rsid w:val="00651FAB"/>
    <w:rsid w:val="00652147"/>
    <w:rsid w:val="006534CF"/>
    <w:rsid w:val="00654843"/>
    <w:rsid w:val="00654C5A"/>
    <w:rsid w:val="00656622"/>
    <w:rsid w:val="00656EEB"/>
    <w:rsid w:val="0065719B"/>
    <w:rsid w:val="00657AFA"/>
    <w:rsid w:val="00661419"/>
    <w:rsid w:val="006614B2"/>
    <w:rsid w:val="00661955"/>
    <w:rsid w:val="00661BF2"/>
    <w:rsid w:val="006627AE"/>
    <w:rsid w:val="0066322F"/>
    <w:rsid w:val="006637ED"/>
    <w:rsid w:val="00667754"/>
    <w:rsid w:val="00673316"/>
    <w:rsid w:val="006749C3"/>
    <w:rsid w:val="00675821"/>
    <w:rsid w:val="0067702E"/>
    <w:rsid w:val="006771C4"/>
    <w:rsid w:val="00680D12"/>
    <w:rsid w:val="00681108"/>
    <w:rsid w:val="00681EA3"/>
    <w:rsid w:val="0068236D"/>
    <w:rsid w:val="00682944"/>
    <w:rsid w:val="00683417"/>
    <w:rsid w:val="00683C76"/>
    <w:rsid w:val="0068475F"/>
    <w:rsid w:val="00685A46"/>
    <w:rsid w:val="00686C93"/>
    <w:rsid w:val="00687969"/>
    <w:rsid w:val="00690721"/>
    <w:rsid w:val="006913ED"/>
    <w:rsid w:val="00692E6D"/>
    <w:rsid w:val="00694820"/>
    <w:rsid w:val="00694ADC"/>
    <w:rsid w:val="0069559D"/>
    <w:rsid w:val="0069629B"/>
    <w:rsid w:val="00696368"/>
    <w:rsid w:val="006964AC"/>
    <w:rsid w:val="006964E2"/>
    <w:rsid w:val="0069658C"/>
    <w:rsid w:val="00696A4D"/>
    <w:rsid w:val="00697DBA"/>
    <w:rsid w:val="006A0D5A"/>
    <w:rsid w:val="006A3A79"/>
    <w:rsid w:val="006A4AF4"/>
    <w:rsid w:val="006A553D"/>
    <w:rsid w:val="006A5BB3"/>
    <w:rsid w:val="006A5CDD"/>
    <w:rsid w:val="006A5F36"/>
    <w:rsid w:val="006A7B8B"/>
    <w:rsid w:val="006B1C34"/>
    <w:rsid w:val="006B2F7D"/>
    <w:rsid w:val="006B3758"/>
    <w:rsid w:val="006B4F8D"/>
    <w:rsid w:val="006B56D8"/>
    <w:rsid w:val="006B6454"/>
    <w:rsid w:val="006C0BF3"/>
    <w:rsid w:val="006C0FD4"/>
    <w:rsid w:val="006C17F2"/>
    <w:rsid w:val="006C4118"/>
    <w:rsid w:val="006C4461"/>
    <w:rsid w:val="006C4C25"/>
    <w:rsid w:val="006C4FDF"/>
    <w:rsid w:val="006C5027"/>
    <w:rsid w:val="006C6D1A"/>
    <w:rsid w:val="006C7A92"/>
    <w:rsid w:val="006D16D7"/>
    <w:rsid w:val="006D2121"/>
    <w:rsid w:val="006D2842"/>
    <w:rsid w:val="006D3401"/>
    <w:rsid w:val="006D3637"/>
    <w:rsid w:val="006D472E"/>
    <w:rsid w:val="006D4738"/>
    <w:rsid w:val="006D5133"/>
    <w:rsid w:val="006D5B18"/>
    <w:rsid w:val="006D65FA"/>
    <w:rsid w:val="006D6820"/>
    <w:rsid w:val="006D6918"/>
    <w:rsid w:val="006D6DD8"/>
    <w:rsid w:val="006E0786"/>
    <w:rsid w:val="006E0F90"/>
    <w:rsid w:val="006E12AA"/>
    <w:rsid w:val="006E29C3"/>
    <w:rsid w:val="006E2C98"/>
    <w:rsid w:val="006E4750"/>
    <w:rsid w:val="006E55D0"/>
    <w:rsid w:val="006E66EE"/>
    <w:rsid w:val="006E69C1"/>
    <w:rsid w:val="006E6BFF"/>
    <w:rsid w:val="006F02FD"/>
    <w:rsid w:val="006F080D"/>
    <w:rsid w:val="006F0B14"/>
    <w:rsid w:val="006F16D9"/>
    <w:rsid w:val="006F26E7"/>
    <w:rsid w:val="006F6496"/>
    <w:rsid w:val="006F7ECE"/>
    <w:rsid w:val="00700454"/>
    <w:rsid w:val="00701303"/>
    <w:rsid w:val="00701AA9"/>
    <w:rsid w:val="00702139"/>
    <w:rsid w:val="0070261C"/>
    <w:rsid w:val="00704126"/>
    <w:rsid w:val="00707E4A"/>
    <w:rsid w:val="007104E7"/>
    <w:rsid w:val="00711CC0"/>
    <w:rsid w:val="00715141"/>
    <w:rsid w:val="00715746"/>
    <w:rsid w:val="00715D10"/>
    <w:rsid w:val="0071604A"/>
    <w:rsid w:val="0071791C"/>
    <w:rsid w:val="00717A9F"/>
    <w:rsid w:val="00720B30"/>
    <w:rsid w:val="007234CE"/>
    <w:rsid w:val="00723E9A"/>
    <w:rsid w:val="00724BB6"/>
    <w:rsid w:val="00724C6D"/>
    <w:rsid w:val="00724EED"/>
    <w:rsid w:val="00725204"/>
    <w:rsid w:val="007263BA"/>
    <w:rsid w:val="00731F63"/>
    <w:rsid w:val="00732420"/>
    <w:rsid w:val="0073242B"/>
    <w:rsid w:val="00732B5F"/>
    <w:rsid w:val="00732B8F"/>
    <w:rsid w:val="00733E63"/>
    <w:rsid w:val="00733F20"/>
    <w:rsid w:val="00734BD0"/>
    <w:rsid w:val="00737239"/>
    <w:rsid w:val="00740537"/>
    <w:rsid w:val="0074079F"/>
    <w:rsid w:val="00742D31"/>
    <w:rsid w:val="00743E8D"/>
    <w:rsid w:val="00744DAA"/>
    <w:rsid w:val="007463F9"/>
    <w:rsid w:val="00746688"/>
    <w:rsid w:val="00747549"/>
    <w:rsid w:val="00747E58"/>
    <w:rsid w:val="007501C6"/>
    <w:rsid w:val="00750C58"/>
    <w:rsid w:val="00755BCE"/>
    <w:rsid w:val="00755C60"/>
    <w:rsid w:val="00756DD8"/>
    <w:rsid w:val="0076053A"/>
    <w:rsid w:val="00763AB1"/>
    <w:rsid w:val="0076522B"/>
    <w:rsid w:val="00765AEC"/>
    <w:rsid w:val="00767E28"/>
    <w:rsid w:val="007704ED"/>
    <w:rsid w:val="00770A47"/>
    <w:rsid w:val="007737C5"/>
    <w:rsid w:val="007769F1"/>
    <w:rsid w:val="007777ED"/>
    <w:rsid w:val="007811F1"/>
    <w:rsid w:val="0078136F"/>
    <w:rsid w:val="00784DE0"/>
    <w:rsid w:val="00785862"/>
    <w:rsid w:val="00787433"/>
    <w:rsid w:val="007948AE"/>
    <w:rsid w:val="00796703"/>
    <w:rsid w:val="007978FF"/>
    <w:rsid w:val="007A0537"/>
    <w:rsid w:val="007A06BE"/>
    <w:rsid w:val="007A102D"/>
    <w:rsid w:val="007A259B"/>
    <w:rsid w:val="007A36CE"/>
    <w:rsid w:val="007A4C6C"/>
    <w:rsid w:val="007A5565"/>
    <w:rsid w:val="007A5A5A"/>
    <w:rsid w:val="007A5FED"/>
    <w:rsid w:val="007A758C"/>
    <w:rsid w:val="007A791C"/>
    <w:rsid w:val="007B02FE"/>
    <w:rsid w:val="007B11C2"/>
    <w:rsid w:val="007B1243"/>
    <w:rsid w:val="007B18C9"/>
    <w:rsid w:val="007B338D"/>
    <w:rsid w:val="007B3D2F"/>
    <w:rsid w:val="007B4C9B"/>
    <w:rsid w:val="007B63BB"/>
    <w:rsid w:val="007C05AD"/>
    <w:rsid w:val="007C1046"/>
    <w:rsid w:val="007C1721"/>
    <w:rsid w:val="007C1DBC"/>
    <w:rsid w:val="007C6488"/>
    <w:rsid w:val="007D0786"/>
    <w:rsid w:val="007D0C9B"/>
    <w:rsid w:val="007D0DB0"/>
    <w:rsid w:val="007D3B26"/>
    <w:rsid w:val="007D4CB7"/>
    <w:rsid w:val="007D4D1B"/>
    <w:rsid w:val="007D5658"/>
    <w:rsid w:val="007D5D64"/>
    <w:rsid w:val="007D5D74"/>
    <w:rsid w:val="007D65B4"/>
    <w:rsid w:val="007E0289"/>
    <w:rsid w:val="007E040E"/>
    <w:rsid w:val="007E2001"/>
    <w:rsid w:val="007E25F2"/>
    <w:rsid w:val="007E26CE"/>
    <w:rsid w:val="007E37D4"/>
    <w:rsid w:val="007E43D5"/>
    <w:rsid w:val="007E79EA"/>
    <w:rsid w:val="007F12E9"/>
    <w:rsid w:val="007F1352"/>
    <w:rsid w:val="007F194C"/>
    <w:rsid w:val="007F2519"/>
    <w:rsid w:val="007F2542"/>
    <w:rsid w:val="007F2C9D"/>
    <w:rsid w:val="007F2D23"/>
    <w:rsid w:val="007F3A4E"/>
    <w:rsid w:val="007F3F10"/>
    <w:rsid w:val="007F4445"/>
    <w:rsid w:val="007F51AA"/>
    <w:rsid w:val="007F59EB"/>
    <w:rsid w:val="00800986"/>
    <w:rsid w:val="00801E84"/>
    <w:rsid w:val="00803DEA"/>
    <w:rsid w:val="00804716"/>
    <w:rsid w:val="00804BAA"/>
    <w:rsid w:val="00804F38"/>
    <w:rsid w:val="008052B4"/>
    <w:rsid w:val="00806B77"/>
    <w:rsid w:val="00806F2A"/>
    <w:rsid w:val="00806FC7"/>
    <w:rsid w:val="00807465"/>
    <w:rsid w:val="00812401"/>
    <w:rsid w:val="00815030"/>
    <w:rsid w:val="00820B42"/>
    <w:rsid w:val="00820BE3"/>
    <w:rsid w:val="0082246B"/>
    <w:rsid w:val="00823666"/>
    <w:rsid w:val="00824AE5"/>
    <w:rsid w:val="00824E99"/>
    <w:rsid w:val="0082536A"/>
    <w:rsid w:val="00826C52"/>
    <w:rsid w:val="00827709"/>
    <w:rsid w:val="00827937"/>
    <w:rsid w:val="00830D48"/>
    <w:rsid w:val="00831CD0"/>
    <w:rsid w:val="0083233B"/>
    <w:rsid w:val="008324EE"/>
    <w:rsid w:val="00834368"/>
    <w:rsid w:val="00835E67"/>
    <w:rsid w:val="0083606A"/>
    <w:rsid w:val="00836B50"/>
    <w:rsid w:val="00837818"/>
    <w:rsid w:val="0083784B"/>
    <w:rsid w:val="00840D29"/>
    <w:rsid w:val="00840E0A"/>
    <w:rsid w:val="008411A4"/>
    <w:rsid w:val="0084608A"/>
    <w:rsid w:val="00846654"/>
    <w:rsid w:val="00846D17"/>
    <w:rsid w:val="00847994"/>
    <w:rsid w:val="0085001C"/>
    <w:rsid w:val="00851263"/>
    <w:rsid w:val="00852167"/>
    <w:rsid w:val="0085485F"/>
    <w:rsid w:val="008605B5"/>
    <w:rsid w:val="0086228D"/>
    <w:rsid w:val="00862779"/>
    <w:rsid w:val="008637D5"/>
    <w:rsid w:val="00863E2F"/>
    <w:rsid w:val="00864E2D"/>
    <w:rsid w:val="008652F2"/>
    <w:rsid w:val="00867506"/>
    <w:rsid w:val="00870573"/>
    <w:rsid w:val="00870BA1"/>
    <w:rsid w:val="00871554"/>
    <w:rsid w:val="00873268"/>
    <w:rsid w:val="00873A98"/>
    <w:rsid w:val="00873AE4"/>
    <w:rsid w:val="00875928"/>
    <w:rsid w:val="00876447"/>
    <w:rsid w:val="0087647F"/>
    <w:rsid w:val="00881C5D"/>
    <w:rsid w:val="008826F6"/>
    <w:rsid w:val="00882B66"/>
    <w:rsid w:val="008830D1"/>
    <w:rsid w:val="00883784"/>
    <w:rsid w:val="00884A18"/>
    <w:rsid w:val="00884E34"/>
    <w:rsid w:val="008854A0"/>
    <w:rsid w:val="00885513"/>
    <w:rsid w:val="00885F24"/>
    <w:rsid w:val="008873FC"/>
    <w:rsid w:val="00890A12"/>
    <w:rsid w:val="00890EAA"/>
    <w:rsid w:val="00891674"/>
    <w:rsid w:val="00892178"/>
    <w:rsid w:val="00892D2B"/>
    <w:rsid w:val="00893762"/>
    <w:rsid w:val="00893B96"/>
    <w:rsid w:val="00894A2B"/>
    <w:rsid w:val="008950F9"/>
    <w:rsid w:val="00895261"/>
    <w:rsid w:val="008955F8"/>
    <w:rsid w:val="00896A92"/>
    <w:rsid w:val="00897AAC"/>
    <w:rsid w:val="00897DF9"/>
    <w:rsid w:val="008A03E3"/>
    <w:rsid w:val="008A0547"/>
    <w:rsid w:val="008A0835"/>
    <w:rsid w:val="008A0867"/>
    <w:rsid w:val="008A65D0"/>
    <w:rsid w:val="008A778B"/>
    <w:rsid w:val="008A7F47"/>
    <w:rsid w:val="008B005D"/>
    <w:rsid w:val="008B16F9"/>
    <w:rsid w:val="008B1A1F"/>
    <w:rsid w:val="008B1FAA"/>
    <w:rsid w:val="008B24C5"/>
    <w:rsid w:val="008B2B04"/>
    <w:rsid w:val="008B353B"/>
    <w:rsid w:val="008B3973"/>
    <w:rsid w:val="008B63E5"/>
    <w:rsid w:val="008B64D2"/>
    <w:rsid w:val="008B75CE"/>
    <w:rsid w:val="008B7B9A"/>
    <w:rsid w:val="008B7D44"/>
    <w:rsid w:val="008C1299"/>
    <w:rsid w:val="008C14F1"/>
    <w:rsid w:val="008C1FFC"/>
    <w:rsid w:val="008C20EF"/>
    <w:rsid w:val="008C2A33"/>
    <w:rsid w:val="008C3672"/>
    <w:rsid w:val="008C422D"/>
    <w:rsid w:val="008C4821"/>
    <w:rsid w:val="008C4CD5"/>
    <w:rsid w:val="008C67D2"/>
    <w:rsid w:val="008C6FA3"/>
    <w:rsid w:val="008D0510"/>
    <w:rsid w:val="008D0F1D"/>
    <w:rsid w:val="008D12D7"/>
    <w:rsid w:val="008D1E84"/>
    <w:rsid w:val="008D3554"/>
    <w:rsid w:val="008D3EA2"/>
    <w:rsid w:val="008D5511"/>
    <w:rsid w:val="008D5A43"/>
    <w:rsid w:val="008D5F7E"/>
    <w:rsid w:val="008D6444"/>
    <w:rsid w:val="008E0179"/>
    <w:rsid w:val="008E208A"/>
    <w:rsid w:val="008E2634"/>
    <w:rsid w:val="008E2F79"/>
    <w:rsid w:val="008E30E0"/>
    <w:rsid w:val="008E359C"/>
    <w:rsid w:val="008E3916"/>
    <w:rsid w:val="008E4CBA"/>
    <w:rsid w:val="008E7593"/>
    <w:rsid w:val="008E7643"/>
    <w:rsid w:val="008F02AB"/>
    <w:rsid w:val="008F102F"/>
    <w:rsid w:val="008F15FA"/>
    <w:rsid w:val="008F3ED8"/>
    <w:rsid w:val="008F4449"/>
    <w:rsid w:val="008F559A"/>
    <w:rsid w:val="008F5AB0"/>
    <w:rsid w:val="008F5E06"/>
    <w:rsid w:val="008F70DD"/>
    <w:rsid w:val="008F720B"/>
    <w:rsid w:val="008F7863"/>
    <w:rsid w:val="0090115E"/>
    <w:rsid w:val="00901334"/>
    <w:rsid w:val="00901B03"/>
    <w:rsid w:val="00902715"/>
    <w:rsid w:val="009044DE"/>
    <w:rsid w:val="00904D8B"/>
    <w:rsid w:val="00907036"/>
    <w:rsid w:val="00907D89"/>
    <w:rsid w:val="00910617"/>
    <w:rsid w:val="009124CE"/>
    <w:rsid w:val="00912954"/>
    <w:rsid w:val="00915799"/>
    <w:rsid w:val="00915D94"/>
    <w:rsid w:val="0091637D"/>
    <w:rsid w:val="009165B1"/>
    <w:rsid w:val="0091685C"/>
    <w:rsid w:val="00916C55"/>
    <w:rsid w:val="009176E1"/>
    <w:rsid w:val="00917D60"/>
    <w:rsid w:val="009205F1"/>
    <w:rsid w:val="009216D3"/>
    <w:rsid w:val="00921F34"/>
    <w:rsid w:val="0092304C"/>
    <w:rsid w:val="0092392E"/>
    <w:rsid w:val="00923F06"/>
    <w:rsid w:val="00924A8C"/>
    <w:rsid w:val="00924B67"/>
    <w:rsid w:val="0092562E"/>
    <w:rsid w:val="0092627E"/>
    <w:rsid w:val="00930145"/>
    <w:rsid w:val="0093091C"/>
    <w:rsid w:val="0093163C"/>
    <w:rsid w:val="00933727"/>
    <w:rsid w:val="0093724C"/>
    <w:rsid w:val="009373BE"/>
    <w:rsid w:val="00940418"/>
    <w:rsid w:val="00940CA2"/>
    <w:rsid w:val="00940DE0"/>
    <w:rsid w:val="00941412"/>
    <w:rsid w:val="00941712"/>
    <w:rsid w:val="00942F0F"/>
    <w:rsid w:val="009468E5"/>
    <w:rsid w:val="00947280"/>
    <w:rsid w:val="00947B26"/>
    <w:rsid w:val="009501F0"/>
    <w:rsid w:val="00950596"/>
    <w:rsid w:val="00950F62"/>
    <w:rsid w:val="00955C6C"/>
    <w:rsid w:val="00957DAF"/>
    <w:rsid w:val="009603AF"/>
    <w:rsid w:val="00960B10"/>
    <w:rsid w:val="0096342F"/>
    <w:rsid w:val="009636F0"/>
    <w:rsid w:val="009640E9"/>
    <w:rsid w:val="00965541"/>
    <w:rsid w:val="00965720"/>
    <w:rsid w:val="00966C04"/>
    <w:rsid w:val="00966DED"/>
    <w:rsid w:val="009675BA"/>
    <w:rsid w:val="00970FB4"/>
    <w:rsid w:val="00972783"/>
    <w:rsid w:val="009730DA"/>
    <w:rsid w:val="00973688"/>
    <w:rsid w:val="0097495B"/>
    <w:rsid w:val="00974C7C"/>
    <w:rsid w:val="009757DA"/>
    <w:rsid w:val="00975864"/>
    <w:rsid w:val="00976368"/>
    <w:rsid w:val="00977607"/>
    <w:rsid w:val="00977F95"/>
    <w:rsid w:val="009813FC"/>
    <w:rsid w:val="00983356"/>
    <w:rsid w:val="009841DA"/>
    <w:rsid w:val="009845FD"/>
    <w:rsid w:val="00984D6D"/>
    <w:rsid w:val="00985FAD"/>
    <w:rsid w:val="00986627"/>
    <w:rsid w:val="009870B9"/>
    <w:rsid w:val="00987FD8"/>
    <w:rsid w:val="009901C8"/>
    <w:rsid w:val="00990AE2"/>
    <w:rsid w:val="0099440A"/>
    <w:rsid w:val="009946A1"/>
    <w:rsid w:val="00994A8E"/>
    <w:rsid w:val="0099519E"/>
    <w:rsid w:val="00996653"/>
    <w:rsid w:val="0099717C"/>
    <w:rsid w:val="009A0BB6"/>
    <w:rsid w:val="009A0CA2"/>
    <w:rsid w:val="009A1970"/>
    <w:rsid w:val="009A37BF"/>
    <w:rsid w:val="009A4C7A"/>
    <w:rsid w:val="009A5899"/>
    <w:rsid w:val="009A75FD"/>
    <w:rsid w:val="009A7BE2"/>
    <w:rsid w:val="009B0DA4"/>
    <w:rsid w:val="009B191C"/>
    <w:rsid w:val="009B246F"/>
    <w:rsid w:val="009B3075"/>
    <w:rsid w:val="009B33FC"/>
    <w:rsid w:val="009B340B"/>
    <w:rsid w:val="009B3792"/>
    <w:rsid w:val="009B40D4"/>
    <w:rsid w:val="009B583D"/>
    <w:rsid w:val="009B6F1D"/>
    <w:rsid w:val="009B6FCA"/>
    <w:rsid w:val="009B72ED"/>
    <w:rsid w:val="009B7628"/>
    <w:rsid w:val="009B7BD4"/>
    <w:rsid w:val="009B7E85"/>
    <w:rsid w:val="009B7F3F"/>
    <w:rsid w:val="009C09CF"/>
    <w:rsid w:val="009C1BA7"/>
    <w:rsid w:val="009C42D4"/>
    <w:rsid w:val="009C4CAC"/>
    <w:rsid w:val="009C5567"/>
    <w:rsid w:val="009C5A42"/>
    <w:rsid w:val="009C5D8A"/>
    <w:rsid w:val="009C61BA"/>
    <w:rsid w:val="009D03F8"/>
    <w:rsid w:val="009D2986"/>
    <w:rsid w:val="009D3244"/>
    <w:rsid w:val="009D32BD"/>
    <w:rsid w:val="009D3DD3"/>
    <w:rsid w:val="009D4B6C"/>
    <w:rsid w:val="009D4EF9"/>
    <w:rsid w:val="009D4F8C"/>
    <w:rsid w:val="009D5054"/>
    <w:rsid w:val="009D636E"/>
    <w:rsid w:val="009D737C"/>
    <w:rsid w:val="009D74AE"/>
    <w:rsid w:val="009D7592"/>
    <w:rsid w:val="009D7A89"/>
    <w:rsid w:val="009E0850"/>
    <w:rsid w:val="009E0DED"/>
    <w:rsid w:val="009E1447"/>
    <w:rsid w:val="009E179D"/>
    <w:rsid w:val="009E2422"/>
    <w:rsid w:val="009E260B"/>
    <w:rsid w:val="009E3401"/>
    <w:rsid w:val="009E3C69"/>
    <w:rsid w:val="009E4076"/>
    <w:rsid w:val="009E48BC"/>
    <w:rsid w:val="009E4DFC"/>
    <w:rsid w:val="009E6195"/>
    <w:rsid w:val="009E6E1B"/>
    <w:rsid w:val="009E6FB7"/>
    <w:rsid w:val="009E7842"/>
    <w:rsid w:val="009F2098"/>
    <w:rsid w:val="009F2B97"/>
    <w:rsid w:val="009F434A"/>
    <w:rsid w:val="009F512E"/>
    <w:rsid w:val="009F61EB"/>
    <w:rsid w:val="009F6A72"/>
    <w:rsid w:val="00A005B8"/>
    <w:rsid w:val="00A007D5"/>
    <w:rsid w:val="00A00FCD"/>
    <w:rsid w:val="00A01C23"/>
    <w:rsid w:val="00A02F8F"/>
    <w:rsid w:val="00A031A6"/>
    <w:rsid w:val="00A032DE"/>
    <w:rsid w:val="00A04D8A"/>
    <w:rsid w:val="00A0576E"/>
    <w:rsid w:val="00A061F7"/>
    <w:rsid w:val="00A06572"/>
    <w:rsid w:val="00A071E0"/>
    <w:rsid w:val="00A078CC"/>
    <w:rsid w:val="00A079F7"/>
    <w:rsid w:val="00A101CD"/>
    <w:rsid w:val="00A13EE7"/>
    <w:rsid w:val="00A15139"/>
    <w:rsid w:val="00A17412"/>
    <w:rsid w:val="00A20F17"/>
    <w:rsid w:val="00A21A6B"/>
    <w:rsid w:val="00A22F40"/>
    <w:rsid w:val="00A23FC7"/>
    <w:rsid w:val="00A243E3"/>
    <w:rsid w:val="00A246F9"/>
    <w:rsid w:val="00A2548E"/>
    <w:rsid w:val="00A2631D"/>
    <w:rsid w:val="00A26775"/>
    <w:rsid w:val="00A276C9"/>
    <w:rsid w:val="00A30D63"/>
    <w:rsid w:val="00A31C64"/>
    <w:rsid w:val="00A32000"/>
    <w:rsid w:val="00A32179"/>
    <w:rsid w:val="00A3524F"/>
    <w:rsid w:val="00A35C30"/>
    <w:rsid w:val="00A418A7"/>
    <w:rsid w:val="00A4228C"/>
    <w:rsid w:val="00A454F9"/>
    <w:rsid w:val="00A4590C"/>
    <w:rsid w:val="00A4592E"/>
    <w:rsid w:val="00A4668B"/>
    <w:rsid w:val="00A5024B"/>
    <w:rsid w:val="00A50ED8"/>
    <w:rsid w:val="00A51439"/>
    <w:rsid w:val="00A517A9"/>
    <w:rsid w:val="00A51EE8"/>
    <w:rsid w:val="00A52A00"/>
    <w:rsid w:val="00A54C5D"/>
    <w:rsid w:val="00A56442"/>
    <w:rsid w:val="00A56FBB"/>
    <w:rsid w:val="00A5760C"/>
    <w:rsid w:val="00A603F8"/>
    <w:rsid w:val="00A60DB3"/>
    <w:rsid w:val="00A639CD"/>
    <w:rsid w:val="00A64205"/>
    <w:rsid w:val="00A71324"/>
    <w:rsid w:val="00A71B5B"/>
    <w:rsid w:val="00A725DE"/>
    <w:rsid w:val="00A726E5"/>
    <w:rsid w:val="00A7317E"/>
    <w:rsid w:val="00A7512F"/>
    <w:rsid w:val="00A7520E"/>
    <w:rsid w:val="00A75523"/>
    <w:rsid w:val="00A765EA"/>
    <w:rsid w:val="00A809C6"/>
    <w:rsid w:val="00A80C06"/>
    <w:rsid w:val="00A80C83"/>
    <w:rsid w:val="00A82775"/>
    <w:rsid w:val="00A832C3"/>
    <w:rsid w:val="00A83B5F"/>
    <w:rsid w:val="00A8507B"/>
    <w:rsid w:val="00A867C0"/>
    <w:rsid w:val="00A90164"/>
    <w:rsid w:val="00A90571"/>
    <w:rsid w:val="00A90671"/>
    <w:rsid w:val="00A916E8"/>
    <w:rsid w:val="00A91E0A"/>
    <w:rsid w:val="00A948F9"/>
    <w:rsid w:val="00A95E95"/>
    <w:rsid w:val="00A976E1"/>
    <w:rsid w:val="00AA0038"/>
    <w:rsid w:val="00AA0C8B"/>
    <w:rsid w:val="00AA1272"/>
    <w:rsid w:val="00AA195A"/>
    <w:rsid w:val="00AA1BF5"/>
    <w:rsid w:val="00AA6951"/>
    <w:rsid w:val="00AA7559"/>
    <w:rsid w:val="00AB0F99"/>
    <w:rsid w:val="00AB22DD"/>
    <w:rsid w:val="00AB2868"/>
    <w:rsid w:val="00AB2BD6"/>
    <w:rsid w:val="00AB4218"/>
    <w:rsid w:val="00AB45CD"/>
    <w:rsid w:val="00AB4D9E"/>
    <w:rsid w:val="00AB4DE4"/>
    <w:rsid w:val="00AB5662"/>
    <w:rsid w:val="00AB577A"/>
    <w:rsid w:val="00AB57E6"/>
    <w:rsid w:val="00AB6319"/>
    <w:rsid w:val="00AB639B"/>
    <w:rsid w:val="00AB65A8"/>
    <w:rsid w:val="00AB6E69"/>
    <w:rsid w:val="00AB6F26"/>
    <w:rsid w:val="00AB7BFD"/>
    <w:rsid w:val="00AB7CF1"/>
    <w:rsid w:val="00AC074A"/>
    <w:rsid w:val="00AC5264"/>
    <w:rsid w:val="00AC5C2E"/>
    <w:rsid w:val="00AC7A90"/>
    <w:rsid w:val="00AD02A2"/>
    <w:rsid w:val="00AD04C9"/>
    <w:rsid w:val="00AD0E39"/>
    <w:rsid w:val="00AD10E4"/>
    <w:rsid w:val="00AD1BB6"/>
    <w:rsid w:val="00AD2C3C"/>
    <w:rsid w:val="00AD2F56"/>
    <w:rsid w:val="00AD3008"/>
    <w:rsid w:val="00AD4749"/>
    <w:rsid w:val="00AD4D06"/>
    <w:rsid w:val="00AD52D8"/>
    <w:rsid w:val="00AD6404"/>
    <w:rsid w:val="00AD6F74"/>
    <w:rsid w:val="00AD6FCD"/>
    <w:rsid w:val="00AD702B"/>
    <w:rsid w:val="00AD7876"/>
    <w:rsid w:val="00AE06CB"/>
    <w:rsid w:val="00AE1158"/>
    <w:rsid w:val="00AE1720"/>
    <w:rsid w:val="00AE2ABC"/>
    <w:rsid w:val="00AE2CA1"/>
    <w:rsid w:val="00AE2FAA"/>
    <w:rsid w:val="00AE4AA3"/>
    <w:rsid w:val="00AE4EAD"/>
    <w:rsid w:val="00AE500D"/>
    <w:rsid w:val="00AE54FA"/>
    <w:rsid w:val="00AE74CE"/>
    <w:rsid w:val="00AF2431"/>
    <w:rsid w:val="00AF26CE"/>
    <w:rsid w:val="00AF3684"/>
    <w:rsid w:val="00AF60F4"/>
    <w:rsid w:val="00B0020B"/>
    <w:rsid w:val="00B009B9"/>
    <w:rsid w:val="00B011B7"/>
    <w:rsid w:val="00B049F2"/>
    <w:rsid w:val="00B06266"/>
    <w:rsid w:val="00B068BC"/>
    <w:rsid w:val="00B10299"/>
    <w:rsid w:val="00B124A8"/>
    <w:rsid w:val="00B13E9E"/>
    <w:rsid w:val="00B149B8"/>
    <w:rsid w:val="00B14FA8"/>
    <w:rsid w:val="00B1712C"/>
    <w:rsid w:val="00B1734A"/>
    <w:rsid w:val="00B17827"/>
    <w:rsid w:val="00B17C07"/>
    <w:rsid w:val="00B20264"/>
    <w:rsid w:val="00B21564"/>
    <w:rsid w:val="00B221C9"/>
    <w:rsid w:val="00B2241E"/>
    <w:rsid w:val="00B22A96"/>
    <w:rsid w:val="00B22BCD"/>
    <w:rsid w:val="00B24015"/>
    <w:rsid w:val="00B242C5"/>
    <w:rsid w:val="00B24719"/>
    <w:rsid w:val="00B26F76"/>
    <w:rsid w:val="00B27BE7"/>
    <w:rsid w:val="00B30CB4"/>
    <w:rsid w:val="00B32324"/>
    <w:rsid w:val="00B32990"/>
    <w:rsid w:val="00B33E9C"/>
    <w:rsid w:val="00B345C9"/>
    <w:rsid w:val="00B34ABA"/>
    <w:rsid w:val="00B352A1"/>
    <w:rsid w:val="00B35967"/>
    <w:rsid w:val="00B360FF"/>
    <w:rsid w:val="00B4132F"/>
    <w:rsid w:val="00B42828"/>
    <w:rsid w:val="00B43074"/>
    <w:rsid w:val="00B448D9"/>
    <w:rsid w:val="00B44C46"/>
    <w:rsid w:val="00B46BF8"/>
    <w:rsid w:val="00B475A7"/>
    <w:rsid w:val="00B50213"/>
    <w:rsid w:val="00B5037D"/>
    <w:rsid w:val="00B50BDB"/>
    <w:rsid w:val="00B516E6"/>
    <w:rsid w:val="00B517EA"/>
    <w:rsid w:val="00B51D9F"/>
    <w:rsid w:val="00B521EF"/>
    <w:rsid w:val="00B53D56"/>
    <w:rsid w:val="00B54993"/>
    <w:rsid w:val="00B555A0"/>
    <w:rsid w:val="00B55A82"/>
    <w:rsid w:val="00B56942"/>
    <w:rsid w:val="00B56990"/>
    <w:rsid w:val="00B569AA"/>
    <w:rsid w:val="00B57C38"/>
    <w:rsid w:val="00B61676"/>
    <w:rsid w:val="00B61A59"/>
    <w:rsid w:val="00B625A3"/>
    <w:rsid w:val="00B662B9"/>
    <w:rsid w:val="00B670E3"/>
    <w:rsid w:val="00B67160"/>
    <w:rsid w:val="00B67707"/>
    <w:rsid w:val="00B67AFE"/>
    <w:rsid w:val="00B7142C"/>
    <w:rsid w:val="00B719F8"/>
    <w:rsid w:val="00B71B49"/>
    <w:rsid w:val="00B732A2"/>
    <w:rsid w:val="00B732A6"/>
    <w:rsid w:val="00B73B04"/>
    <w:rsid w:val="00B75118"/>
    <w:rsid w:val="00B75DB3"/>
    <w:rsid w:val="00B76DF2"/>
    <w:rsid w:val="00B77A09"/>
    <w:rsid w:val="00B8251F"/>
    <w:rsid w:val="00B82D29"/>
    <w:rsid w:val="00B83231"/>
    <w:rsid w:val="00B8438A"/>
    <w:rsid w:val="00B860CB"/>
    <w:rsid w:val="00B86399"/>
    <w:rsid w:val="00B87125"/>
    <w:rsid w:val="00B9088C"/>
    <w:rsid w:val="00B908AC"/>
    <w:rsid w:val="00B90DD4"/>
    <w:rsid w:val="00B91025"/>
    <w:rsid w:val="00B92ABA"/>
    <w:rsid w:val="00B92DC4"/>
    <w:rsid w:val="00B955F7"/>
    <w:rsid w:val="00B965C5"/>
    <w:rsid w:val="00B96CC9"/>
    <w:rsid w:val="00B96CDC"/>
    <w:rsid w:val="00BA068F"/>
    <w:rsid w:val="00BA10D6"/>
    <w:rsid w:val="00BA23A7"/>
    <w:rsid w:val="00BA41B4"/>
    <w:rsid w:val="00BA58EE"/>
    <w:rsid w:val="00BA605D"/>
    <w:rsid w:val="00BA6739"/>
    <w:rsid w:val="00BA7053"/>
    <w:rsid w:val="00BB09AC"/>
    <w:rsid w:val="00BB0C2E"/>
    <w:rsid w:val="00BB2AC0"/>
    <w:rsid w:val="00BB344F"/>
    <w:rsid w:val="00BB3F99"/>
    <w:rsid w:val="00BB5005"/>
    <w:rsid w:val="00BB6522"/>
    <w:rsid w:val="00BB6AAC"/>
    <w:rsid w:val="00BB6D22"/>
    <w:rsid w:val="00BC0524"/>
    <w:rsid w:val="00BC08BB"/>
    <w:rsid w:val="00BC0C69"/>
    <w:rsid w:val="00BC24BB"/>
    <w:rsid w:val="00BC2702"/>
    <w:rsid w:val="00BC2896"/>
    <w:rsid w:val="00BC2B55"/>
    <w:rsid w:val="00BC4341"/>
    <w:rsid w:val="00BC43CA"/>
    <w:rsid w:val="00BC6F04"/>
    <w:rsid w:val="00BD0458"/>
    <w:rsid w:val="00BD09CD"/>
    <w:rsid w:val="00BD1AD8"/>
    <w:rsid w:val="00BD1DDD"/>
    <w:rsid w:val="00BD2037"/>
    <w:rsid w:val="00BD4104"/>
    <w:rsid w:val="00BD4DDF"/>
    <w:rsid w:val="00BD5090"/>
    <w:rsid w:val="00BD6E1C"/>
    <w:rsid w:val="00BE1AEF"/>
    <w:rsid w:val="00BE1E55"/>
    <w:rsid w:val="00BE3599"/>
    <w:rsid w:val="00BE4EAC"/>
    <w:rsid w:val="00BE56C1"/>
    <w:rsid w:val="00BE5BA1"/>
    <w:rsid w:val="00BE6377"/>
    <w:rsid w:val="00BF06CF"/>
    <w:rsid w:val="00BF18C1"/>
    <w:rsid w:val="00BF1BF4"/>
    <w:rsid w:val="00BF2D72"/>
    <w:rsid w:val="00BF34D7"/>
    <w:rsid w:val="00BF384C"/>
    <w:rsid w:val="00BF3951"/>
    <w:rsid w:val="00BF4DF2"/>
    <w:rsid w:val="00BF52C1"/>
    <w:rsid w:val="00BF6076"/>
    <w:rsid w:val="00BF6BA5"/>
    <w:rsid w:val="00BF7433"/>
    <w:rsid w:val="00BF7F71"/>
    <w:rsid w:val="00C00E8A"/>
    <w:rsid w:val="00C01516"/>
    <w:rsid w:val="00C02587"/>
    <w:rsid w:val="00C03B56"/>
    <w:rsid w:val="00C046E2"/>
    <w:rsid w:val="00C04CD5"/>
    <w:rsid w:val="00C0636A"/>
    <w:rsid w:val="00C06F62"/>
    <w:rsid w:val="00C07247"/>
    <w:rsid w:val="00C10DB4"/>
    <w:rsid w:val="00C110B7"/>
    <w:rsid w:val="00C11BD0"/>
    <w:rsid w:val="00C1254D"/>
    <w:rsid w:val="00C15AF5"/>
    <w:rsid w:val="00C17184"/>
    <w:rsid w:val="00C174EC"/>
    <w:rsid w:val="00C1788E"/>
    <w:rsid w:val="00C202C5"/>
    <w:rsid w:val="00C20AC0"/>
    <w:rsid w:val="00C21212"/>
    <w:rsid w:val="00C21908"/>
    <w:rsid w:val="00C219DF"/>
    <w:rsid w:val="00C221F5"/>
    <w:rsid w:val="00C22306"/>
    <w:rsid w:val="00C22A2D"/>
    <w:rsid w:val="00C236A7"/>
    <w:rsid w:val="00C23BFD"/>
    <w:rsid w:val="00C23F75"/>
    <w:rsid w:val="00C2553B"/>
    <w:rsid w:val="00C2639B"/>
    <w:rsid w:val="00C274BB"/>
    <w:rsid w:val="00C274BD"/>
    <w:rsid w:val="00C27D45"/>
    <w:rsid w:val="00C31C40"/>
    <w:rsid w:val="00C33968"/>
    <w:rsid w:val="00C34DF2"/>
    <w:rsid w:val="00C35387"/>
    <w:rsid w:val="00C357C7"/>
    <w:rsid w:val="00C35ED6"/>
    <w:rsid w:val="00C36797"/>
    <w:rsid w:val="00C37974"/>
    <w:rsid w:val="00C37FBD"/>
    <w:rsid w:val="00C40EA6"/>
    <w:rsid w:val="00C43469"/>
    <w:rsid w:val="00C43B5B"/>
    <w:rsid w:val="00C44662"/>
    <w:rsid w:val="00C45331"/>
    <w:rsid w:val="00C45B63"/>
    <w:rsid w:val="00C51011"/>
    <w:rsid w:val="00C52967"/>
    <w:rsid w:val="00C52A3C"/>
    <w:rsid w:val="00C5382C"/>
    <w:rsid w:val="00C56C7E"/>
    <w:rsid w:val="00C56CCE"/>
    <w:rsid w:val="00C573DF"/>
    <w:rsid w:val="00C57B84"/>
    <w:rsid w:val="00C6129B"/>
    <w:rsid w:val="00C615E3"/>
    <w:rsid w:val="00C61CFF"/>
    <w:rsid w:val="00C61E59"/>
    <w:rsid w:val="00C620D5"/>
    <w:rsid w:val="00C62399"/>
    <w:rsid w:val="00C62551"/>
    <w:rsid w:val="00C62D28"/>
    <w:rsid w:val="00C62F29"/>
    <w:rsid w:val="00C6326E"/>
    <w:rsid w:val="00C63CAB"/>
    <w:rsid w:val="00C654D4"/>
    <w:rsid w:val="00C67058"/>
    <w:rsid w:val="00C6711D"/>
    <w:rsid w:val="00C6724B"/>
    <w:rsid w:val="00C675BF"/>
    <w:rsid w:val="00C71F46"/>
    <w:rsid w:val="00C72538"/>
    <w:rsid w:val="00C73F9C"/>
    <w:rsid w:val="00C74873"/>
    <w:rsid w:val="00C75BDB"/>
    <w:rsid w:val="00C75E40"/>
    <w:rsid w:val="00C75F30"/>
    <w:rsid w:val="00C7756C"/>
    <w:rsid w:val="00C809BF"/>
    <w:rsid w:val="00C80F5C"/>
    <w:rsid w:val="00C81807"/>
    <w:rsid w:val="00C81F23"/>
    <w:rsid w:val="00C829F6"/>
    <w:rsid w:val="00C82E90"/>
    <w:rsid w:val="00C8343C"/>
    <w:rsid w:val="00C839E3"/>
    <w:rsid w:val="00C845E9"/>
    <w:rsid w:val="00C85114"/>
    <w:rsid w:val="00C854B4"/>
    <w:rsid w:val="00C857CB"/>
    <w:rsid w:val="00C86BA9"/>
    <w:rsid w:val="00C8740F"/>
    <w:rsid w:val="00C915A8"/>
    <w:rsid w:val="00C93A71"/>
    <w:rsid w:val="00C945F5"/>
    <w:rsid w:val="00C9512B"/>
    <w:rsid w:val="00CA05A0"/>
    <w:rsid w:val="00CA10E7"/>
    <w:rsid w:val="00CA1285"/>
    <w:rsid w:val="00CA1FE1"/>
    <w:rsid w:val="00CA256A"/>
    <w:rsid w:val="00CA4D5D"/>
    <w:rsid w:val="00CB1E41"/>
    <w:rsid w:val="00CB1F42"/>
    <w:rsid w:val="00CB2D30"/>
    <w:rsid w:val="00CB35A7"/>
    <w:rsid w:val="00CB3DEC"/>
    <w:rsid w:val="00CB5165"/>
    <w:rsid w:val="00CB5B0A"/>
    <w:rsid w:val="00CB7A96"/>
    <w:rsid w:val="00CB7B72"/>
    <w:rsid w:val="00CC03A9"/>
    <w:rsid w:val="00CC3DD8"/>
    <w:rsid w:val="00CC50AC"/>
    <w:rsid w:val="00CC6041"/>
    <w:rsid w:val="00CC697A"/>
    <w:rsid w:val="00CC7BF2"/>
    <w:rsid w:val="00CD054B"/>
    <w:rsid w:val="00CD0884"/>
    <w:rsid w:val="00CD18A6"/>
    <w:rsid w:val="00CD319E"/>
    <w:rsid w:val="00CD3552"/>
    <w:rsid w:val="00CD3A0F"/>
    <w:rsid w:val="00CD3C0F"/>
    <w:rsid w:val="00CD3E18"/>
    <w:rsid w:val="00CD4771"/>
    <w:rsid w:val="00CD5707"/>
    <w:rsid w:val="00CD6776"/>
    <w:rsid w:val="00CD72F4"/>
    <w:rsid w:val="00CD7F74"/>
    <w:rsid w:val="00CE071D"/>
    <w:rsid w:val="00CE1098"/>
    <w:rsid w:val="00CE21C0"/>
    <w:rsid w:val="00CE24F7"/>
    <w:rsid w:val="00CE31A4"/>
    <w:rsid w:val="00CE3265"/>
    <w:rsid w:val="00CE36D4"/>
    <w:rsid w:val="00CE38D4"/>
    <w:rsid w:val="00CE3CA2"/>
    <w:rsid w:val="00CE48C2"/>
    <w:rsid w:val="00CE4E08"/>
    <w:rsid w:val="00CE5815"/>
    <w:rsid w:val="00CE5C38"/>
    <w:rsid w:val="00CE5E99"/>
    <w:rsid w:val="00CE617E"/>
    <w:rsid w:val="00CE6B69"/>
    <w:rsid w:val="00CE7E26"/>
    <w:rsid w:val="00CF2225"/>
    <w:rsid w:val="00CF38F2"/>
    <w:rsid w:val="00CF5EE7"/>
    <w:rsid w:val="00D0120E"/>
    <w:rsid w:val="00D019E4"/>
    <w:rsid w:val="00D02B48"/>
    <w:rsid w:val="00D034F1"/>
    <w:rsid w:val="00D036BA"/>
    <w:rsid w:val="00D0433F"/>
    <w:rsid w:val="00D045FC"/>
    <w:rsid w:val="00D052A8"/>
    <w:rsid w:val="00D0576F"/>
    <w:rsid w:val="00D06864"/>
    <w:rsid w:val="00D108AD"/>
    <w:rsid w:val="00D110DF"/>
    <w:rsid w:val="00D1120A"/>
    <w:rsid w:val="00D11B87"/>
    <w:rsid w:val="00D12359"/>
    <w:rsid w:val="00D125BE"/>
    <w:rsid w:val="00D1311C"/>
    <w:rsid w:val="00D13FF7"/>
    <w:rsid w:val="00D1410D"/>
    <w:rsid w:val="00D146E2"/>
    <w:rsid w:val="00D154C1"/>
    <w:rsid w:val="00D155E9"/>
    <w:rsid w:val="00D15E19"/>
    <w:rsid w:val="00D16F98"/>
    <w:rsid w:val="00D17079"/>
    <w:rsid w:val="00D17C5F"/>
    <w:rsid w:val="00D206E7"/>
    <w:rsid w:val="00D21557"/>
    <w:rsid w:val="00D215C2"/>
    <w:rsid w:val="00D264A3"/>
    <w:rsid w:val="00D275D9"/>
    <w:rsid w:val="00D30111"/>
    <w:rsid w:val="00D30A63"/>
    <w:rsid w:val="00D316B8"/>
    <w:rsid w:val="00D31DE7"/>
    <w:rsid w:val="00D31EE3"/>
    <w:rsid w:val="00D332ED"/>
    <w:rsid w:val="00D34BA0"/>
    <w:rsid w:val="00D34D8A"/>
    <w:rsid w:val="00D354A3"/>
    <w:rsid w:val="00D35A4A"/>
    <w:rsid w:val="00D35EFF"/>
    <w:rsid w:val="00D35FBB"/>
    <w:rsid w:val="00D41CF9"/>
    <w:rsid w:val="00D423EB"/>
    <w:rsid w:val="00D42763"/>
    <w:rsid w:val="00D4497C"/>
    <w:rsid w:val="00D470C0"/>
    <w:rsid w:val="00D5039E"/>
    <w:rsid w:val="00D51ACE"/>
    <w:rsid w:val="00D526F8"/>
    <w:rsid w:val="00D5285A"/>
    <w:rsid w:val="00D528FD"/>
    <w:rsid w:val="00D535A4"/>
    <w:rsid w:val="00D53E95"/>
    <w:rsid w:val="00D54251"/>
    <w:rsid w:val="00D54DE3"/>
    <w:rsid w:val="00D555DA"/>
    <w:rsid w:val="00D55A8F"/>
    <w:rsid w:val="00D56583"/>
    <w:rsid w:val="00D613FE"/>
    <w:rsid w:val="00D62A45"/>
    <w:rsid w:val="00D62CA0"/>
    <w:rsid w:val="00D64C1D"/>
    <w:rsid w:val="00D651C5"/>
    <w:rsid w:val="00D6552A"/>
    <w:rsid w:val="00D65C81"/>
    <w:rsid w:val="00D7017F"/>
    <w:rsid w:val="00D7051E"/>
    <w:rsid w:val="00D705B6"/>
    <w:rsid w:val="00D707D3"/>
    <w:rsid w:val="00D712E9"/>
    <w:rsid w:val="00D71AEE"/>
    <w:rsid w:val="00D735B2"/>
    <w:rsid w:val="00D73FF2"/>
    <w:rsid w:val="00D743B0"/>
    <w:rsid w:val="00D747B3"/>
    <w:rsid w:val="00D75014"/>
    <w:rsid w:val="00D759DC"/>
    <w:rsid w:val="00D75D39"/>
    <w:rsid w:val="00D75DBA"/>
    <w:rsid w:val="00D7775E"/>
    <w:rsid w:val="00D77B68"/>
    <w:rsid w:val="00D81408"/>
    <w:rsid w:val="00D819C9"/>
    <w:rsid w:val="00D81E88"/>
    <w:rsid w:val="00D835AA"/>
    <w:rsid w:val="00D83D31"/>
    <w:rsid w:val="00D85456"/>
    <w:rsid w:val="00D8780D"/>
    <w:rsid w:val="00D91EC1"/>
    <w:rsid w:val="00D91FF3"/>
    <w:rsid w:val="00D92A1D"/>
    <w:rsid w:val="00D937CB"/>
    <w:rsid w:val="00D94AEA"/>
    <w:rsid w:val="00D94D2C"/>
    <w:rsid w:val="00D9518B"/>
    <w:rsid w:val="00DA06F4"/>
    <w:rsid w:val="00DA077A"/>
    <w:rsid w:val="00DA0BE6"/>
    <w:rsid w:val="00DA2533"/>
    <w:rsid w:val="00DA2570"/>
    <w:rsid w:val="00DA63F0"/>
    <w:rsid w:val="00DA6422"/>
    <w:rsid w:val="00DA6F89"/>
    <w:rsid w:val="00DA6FD7"/>
    <w:rsid w:val="00DA71B0"/>
    <w:rsid w:val="00DB1128"/>
    <w:rsid w:val="00DB1A48"/>
    <w:rsid w:val="00DB599A"/>
    <w:rsid w:val="00DB68C0"/>
    <w:rsid w:val="00DB7219"/>
    <w:rsid w:val="00DB7937"/>
    <w:rsid w:val="00DB7C5D"/>
    <w:rsid w:val="00DC03FC"/>
    <w:rsid w:val="00DC15AC"/>
    <w:rsid w:val="00DC2376"/>
    <w:rsid w:val="00DC2977"/>
    <w:rsid w:val="00DC2FAE"/>
    <w:rsid w:val="00DC4BFF"/>
    <w:rsid w:val="00DC502E"/>
    <w:rsid w:val="00DC548F"/>
    <w:rsid w:val="00DC54B1"/>
    <w:rsid w:val="00DC579D"/>
    <w:rsid w:val="00DC5EC8"/>
    <w:rsid w:val="00DC666F"/>
    <w:rsid w:val="00DC6802"/>
    <w:rsid w:val="00DD0072"/>
    <w:rsid w:val="00DD055C"/>
    <w:rsid w:val="00DD0AF6"/>
    <w:rsid w:val="00DD0F21"/>
    <w:rsid w:val="00DD0F8D"/>
    <w:rsid w:val="00DD10CF"/>
    <w:rsid w:val="00DD19BB"/>
    <w:rsid w:val="00DD2F98"/>
    <w:rsid w:val="00DD3352"/>
    <w:rsid w:val="00DD463F"/>
    <w:rsid w:val="00DD51B5"/>
    <w:rsid w:val="00DD5B7E"/>
    <w:rsid w:val="00DD71A6"/>
    <w:rsid w:val="00DE0D54"/>
    <w:rsid w:val="00DE265F"/>
    <w:rsid w:val="00DE4BAE"/>
    <w:rsid w:val="00DE4C48"/>
    <w:rsid w:val="00DE6DF4"/>
    <w:rsid w:val="00DE74BC"/>
    <w:rsid w:val="00DF07FF"/>
    <w:rsid w:val="00DF1729"/>
    <w:rsid w:val="00DF2E71"/>
    <w:rsid w:val="00DF39C1"/>
    <w:rsid w:val="00DF4E4B"/>
    <w:rsid w:val="00DF682F"/>
    <w:rsid w:val="00DF68E3"/>
    <w:rsid w:val="00DF6C0D"/>
    <w:rsid w:val="00DF7E75"/>
    <w:rsid w:val="00E00257"/>
    <w:rsid w:val="00E010EB"/>
    <w:rsid w:val="00E0230B"/>
    <w:rsid w:val="00E0295C"/>
    <w:rsid w:val="00E02FD0"/>
    <w:rsid w:val="00E04A04"/>
    <w:rsid w:val="00E058EB"/>
    <w:rsid w:val="00E05C28"/>
    <w:rsid w:val="00E0627F"/>
    <w:rsid w:val="00E06728"/>
    <w:rsid w:val="00E07041"/>
    <w:rsid w:val="00E07C5D"/>
    <w:rsid w:val="00E11244"/>
    <w:rsid w:val="00E113E5"/>
    <w:rsid w:val="00E121ED"/>
    <w:rsid w:val="00E14B09"/>
    <w:rsid w:val="00E15353"/>
    <w:rsid w:val="00E15546"/>
    <w:rsid w:val="00E168E9"/>
    <w:rsid w:val="00E16CAE"/>
    <w:rsid w:val="00E170DD"/>
    <w:rsid w:val="00E20EE1"/>
    <w:rsid w:val="00E21842"/>
    <w:rsid w:val="00E21E38"/>
    <w:rsid w:val="00E22CAB"/>
    <w:rsid w:val="00E22CF7"/>
    <w:rsid w:val="00E23380"/>
    <w:rsid w:val="00E2382E"/>
    <w:rsid w:val="00E23DCF"/>
    <w:rsid w:val="00E2428F"/>
    <w:rsid w:val="00E2586E"/>
    <w:rsid w:val="00E2658D"/>
    <w:rsid w:val="00E277D7"/>
    <w:rsid w:val="00E311EF"/>
    <w:rsid w:val="00E31330"/>
    <w:rsid w:val="00E378A6"/>
    <w:rsid w:val="00E4020A"/>
    <w:rsid w:val="00E40A52"/>
    <w:rsid w:val="00E40A54"/>
    <w:rsid w:val="00E40A5D"/>
    <w:rsid w:val="00E41081"/>
    <w:rsid w:val="00E419A3"/>
    <w:rsid w:val="00E41DD6"/>
    <w:rsid w:val="00E41EF6"/>
    <w:rsid w:val="00E429DF"/>
    <w:rsid w:val="00E42ED7"/>
    <w:rsid w:val="00E45340"/>
    <w:rsid w:val="00E45D27"/>
    <w:rsid w:val="00E4635C"/>
    <w:rsid w:val="00E46840"/>
    <w:rsid w:val="00E479FD"/>
    <w:rsid w:val="00E47E33"/>
    <w:rsid w:val="00E50060"/>
    <w:rsid w:val="00E5045D"/>
    <w:rsid w:val="00E515DB"/>
    <w:rsid w:val="00E537A0"/>
    <w:rsid w:val="00E53E36"/>
    <w:rsid w:val="00E53FDB"/>
    <w:rsid w:val="00E54055"/>
    <w:rsid w:val="00E54F7C"/>
    <w:rsid w:val="00E551C3"/>
    <w:rsid w:val="00E553BD"/>
    <w:rsid w:val="00E5591B"/>
    <w:rsid w:val="00E55D75"/>
    <w:rsid w:val="00E55E62"/>
    <w:rsid w:val="00E563A8"/>
    <w:rsid w:val="00E56FCE"/>
    <w:rsid w:val="00E5781C"/>
    <w:rsid w:val="00E57BE4"/>
    <w:rsid w:val="00E602A3"/>
    <w:rsid w:val="00E624F0"/>
    <w:rsid w:val="00E62B31"/>
    <w:rsid w:val="00E65BFF"/>
    <w:rsid w:val="00E65CED"/>
    <w:rsid w:val="00E674DD"/>
    <w:rsid w:val="00E67B22"/>
    <w:rsid w:val="00E67ED6"/>
    <w:rsid w:val="00E711E1"/>
    <w:rsid w:val="00E71FE8"/>
    <w:rsid w:val="00E73290"/>
    <w:rsid w:val="00E73DBE"/>
    <w:rsid w:val="00E740F6"/>
    <w:rsid w:val="00E75DE7"/>
    <w:rsid w:val="00E76A07"/>
    <w:rsid w:val="00E7778B"/>
    <w:rsid w:val="00E77DE5"/>
    <w:rsid w:val="00E80C6E"/>
    <w:rsid w:val="00E81323"/>
    <w:rsid w:val="00E81F92"/>
    <w:rsid w:val="00E82148"/>
    <w:rsid w:val="00E82612"/>
    <w:rsid w:val="00E83E4C"/>
    <w:rsid w:val="00E83FFD"/>
    <w:rsid w:val="00E840D6"/>
    <w:rsid w:val="00E842FA"/>
    <w:rsid w:val="00E85D3A"/>
    <w:rsid w:val="00E85E3D"/>
    <w:rsid w:val="00E90E27"/>
    <w:rsid w:val="00E91152"/>
    <w:rsid w:val="00E935CE"/>
    <w:rsid w:val="00E94EC1"/>
    <w:rsid w:val="00E94F87"/>
    <w:rsid w:val="00E95379"/>
    <w:rsid w:val="00E974ED"/>
    <w:rsid w:val="00E97FF8"/>
    <w:rsid w:val="00EA3416"/>
    <w:rsid w:val="00EA406E"/>
    <w:rsid w:val="00EA43AC"/>
    <w:rsid w:val="00EA52D3"/>
    <w:rsid w:val="00EA5DCA"/>
    <w:rsid w:val="00EA613B"/>
    <w:rsid w:val="00EA7049"/>
    <w:rsid w:val="00EA73CE"/>
    <w:rsid w:val="00EB02FC"/>
    <w:rsid w:val="00EB2329"/>
    <w:rsid w:val="00EB277A"/>
    <w:rsid w:val="00EB4DD7"/>
    <w:rsid w:val="00EB4EDF"/>
    <w:rsid w:val="00EB53DE"/>
    <w:rsid w:val="00EB59A5"/>
    <w:rsid w:val="00EB64F8"/>
    <w:rsid w:val="00EC0206"/>
    <w:rsid w:val="00EC15DC"/>
    <w:rsid w:val="00EC2F95"/>
    <w:rsid w:val="00EC2FE0"/>
    <w:rsid w:val="00EC5929"/>
    <w:rsid w:val="00EC6BA7"/>
    <w:rsid w:val="00EC6C3D"/>
    <w:rsid w:val="00EC762E"/>
    <w:rsid w:val="00ED043A"/>
    <w:rsid w:val="00ED090F"/>
    <w:rsid w:val="00ED13A8"/>
    <w:rsid w:val="00ED3453"/>
    <w:rsid w:val="00ED3727"/>
    <w:rsid w:val="00ED3DDF"/>
    <w:rsid w:val="00ED3FF4"/>
    <w:rsid w:val="00ED50F4"/>
    <w:rsid w:val="00ED5909"/>
    <w:rsid w:val="00ED6F1B"/>
    <w:rsid w:val="00ED774F"/>
    <w:rsid w:val="00EE0CFC"/>
    <w:rsid w:val="00EE1C1A"/>
    <w:rsid w:val="00EE1EE8"/>
    <w:rsid w:val="00EE2613"/>
    <w:rsid w:val="00EE2631"/>
    <w:rsid w:val="00EE37F1"/>
    <w:rsid w:val="00EE3F4A"/>
    <w:rsid w:val="00EE40B1"/>
    <w:rsid w:val="00EE4A38"/>
    <w:rsid w:val="00EE4DCB"/>
    <w:rsid w:val="00EE5112"/>
    <w:rsid w:val="00EE550A"/>
    <w:rsid w:val="00EE5979"/>
    <w:rsid w:val="00EE78E7"/>
    <w:rsid w:val="00EE7EE3"/>
    <w:rsid w:val="00EF0BBD"/>
    <w:rsid w:val="00EF0E89"/>
    <w:rsid w:val="00EF1E98"/>
    <w:rsid w:val="00EF2D61"/>
    <w:rsid w:val="00EF2DC1"/>
    <w:rsid w:val="00EF36B1"/>
    <w:rsid w:val="00EF5455"/>
    <w:rsid w:val="00EF5820"/>
    <w:rsid w:val="00EF5C8E"/>
    <w:rsid w:val="00EF5EDF"/>
    <w:rsid w:val="00F01D8C"/>
    <w:rsid w:val="00F0213E"/>
    <w:rsid w:val="00F03A7D"/>
    <w:rsid w:val="00F05431"/>
    <w:rsid w:val="00F06016"/>
    <w:rsid w:val="00F06668"/>
    <w:rsid w:val="00F06B7F"/>
    <w:rsid w:val="00F1025A"/>
    <w:rsid w:val="00F10603"/>
    <w:rsid w:val="00F11314"/>
    <w:rsid w:val="00F11E8D"/>
    <w:rsid w:val="00F14593"/>
    <w:rsid w:val="00F14EA2"/>
    <w:rsid w:val="00F14FE6"/>
    <w:rsid w:val="00F15B82"/>
    <w:rsid w:val="00F1762F"/>
    <w:rsid w:val="00F20476"/>
    <w:rsid w:val="00F221A0"/>
    <w:rsid w:val="00F225BF"/>
    <w:rsid w:val="00F2297F"/>
    <w:rsid w:val="00F23F8C"/>
    <w:rsid w:val="00F253F8"/>
    <w:rsid w:val="00F25AB0"/>
    <w:rsid w:val="00F2692B"/>
    <w:rsid w:val="00F26A52"/>
    <w:rsid w:val="00F26C0D"/>
    <w:rsid w:val="00F27787"/>
    <w:rsid w:val="00F30AE2"/>
    <w:rsid w:val="00F30F44"/>
    <w:rsid w:val="00F31027"/>
    <w:rsid w:val="00F31D48"/>
    <w:rsid w:val="00F3396B"/>
    <w:rsid w:val="00F33A3E"/>
    <w:rsid w:val="00F33BE3"/>
    <w:rsid w:val="00F34F1F"/>
    <w:rsid w:val="00F35A76"/>
    <w:rsid w:val="00F35EDC"/>
    <w:rsid w:val="00F37682"/>
    <w:rsid w:val="00F37BD8"/>
    <w:rsid w:val="00F4017D"/>
    <w:rsid w:val="00F41769"/>
    <w:rsid w:val="00F41BC4"/>
    <w:rsid w:val="00F4203B"/>
    <w:rsid w:val="00F42603"/>
    <w:rsid w:val="00F42B1C"/>
    <w:rsid w:val="00F44066"/>
    <w:rsid w:val="00F44F0E"/>
    <w:rsid w:val="00F52A9F"/>
    <w:rsid w:val="00F52AA0"/>
    <w:rsid w:val="00F535DD"/>
    <w:rsid w:val="00F5475A"/>
    <w:rsid w:val="00F54EB5"/>
    <w:rsid w:val="00F555A6"/>
    <w:rsid w:val="00F555C3"/>
    <w:rsid w:val="00F56051"/>
    <w:rsid w:val="00F560C5"/>
    <w:rsid w:val="00F568B7"/>
    <w:rsid w:val="00F56E85"/>
    <w:rsid w:val="00F57B47"/>
    <w:rsid w:val="00F60338"/>
    <w:rsid w:val="00F6096C"/>
    <w:rsid w:val="00F60C8F"/>
    <w:rsid w:val="00F6142A"/>
    <w:rsid w:val="00F61D1F"/>
    <w:rsid w:val="00F62916"/>
    <w:rsid w:val="00F63081"/>
    <w:rsid w:val="00F63086"/>
    <w:rsid w:val="00F6348C"/>
    <w:rsid w:val="00F63D96"/>
    <w:rsid w:val="00F63D9A"/>
    <w:rsid w:val="00F64ECE"/>
    <w:rsid w:val="00F659A3"/>
    <w:rsid w:val="00F70797"/>
    <w:rsid w:val="00F70BC8"/>
    <w:rsid w:val="00F71AFD"/>
    <w:rsid w:val="00F724F1"/>
    <w:rsid w:val="00F7417F"/>
    <w:rsid w:val="00F743C0"/>
    <w:rsid w:val="00F74692"/>
    <w:rsid w:val="00F75984"/>
    <w:rsid w:val="00F76CDB"/>
    <w:rsid w:val="00F77A5E"/>
    <w:rsid w:val="00F80347"/>
    <w:rsid w:val="00F80353"/>
    <w:rsid w:val="00F80D63"/>
    <w:rsid w:val="00F81E9C"/>
    <w:rsid w:val="00F8256A"/>
    <w:rsid w:val="00F84794"/>
    <w:rsid w:val="00F850E5"/>
    <w:rsid w:val="00F8695D"/>
    <w:rsid w:val="00F90569"/>
    <w:rsid w:val="00F90849"/>
    <w:rsid w:val="00F9103F"/>
    <w:rsid w:val="00F91583"/>
    <w:rsid w:val="00F91828"/>
    <w:rsid w:val="00F91A1D"/>
    <w:rsid w:val="00F9201E"/>
    <w:rsid w:val="00F929F8"/>
    <w:rsid w:val="00F9387E"/>
    <w:rsid w:val="00F9410F"/>
    <w:rsid w:val="00F96118"/>
    <w:rsid w:val="00F96187"/>
    <w:rsid w:val="00F9724D"/>
    <w:rsid w:val="00F973D3"/>
    <w:rsid w:val="00F97C73"/>
    <w:rsid w:val="00F97F24"/>
    <w:rsid w:val="00FA02D2"/>
    <w:rsid w:val="00FA1495"/>
    <w:rsid w:val="00FA1B04"/>
    <w:rsid w:val="00FA30CF"/>
    <w:rsid w:val="00FA3BD0"/>
    <w:rsid w:val="00FA5163"/>
    <w:rsid w:val="00FA537B"/>
    <w:rsid w:val="00FA636F"/>
    <w:rsid w:val="00FA7E72"/>
    <w:rsid w:val="00FB310E"/>
    <w:rsid w:val="00FB4674"/>
    <w:rsid w:val="00FB4F06"/>
    <w:rsid w:val="00FB5597"/>
    <w:rsid w:val="00FB637B"/>
    <w:rsid w:val="00FB6A0C"/>
    <w:rsid w:val="00FB743C"/>
    <w:rsid w:val="00FC09D1"/>
    <w:rsid w:val="00FC272B"/>
    <w:rsid w:val="00FC29D8"/>
    <w:rsid w:val="00FC3E2D"/>
    <w:rsid w:val="00FC64B1"/>
    <w:rsid w:val="00FC6790"/>
    <w:rsid w:val="00FC68DC"/>
    <w:rsid w:val="00FC6E8D"/>
    <w:rsid w:val="00FD137B"/>
    <w:rsid w:val="00FD2CD3"/>
    <w:rsid w:val="00FD307B"/>
    <w:rsid w:val="00FD4C65"/>
    <w:rsid w:val="00FD5C93"/>
    <w:rsid w:val="00FD626C"/>
    <w:rsid w:val="00FD68AE"/>
    <w:rsid w:val="00FD777C"/>
    <w:rsid w:val="00FE0CC2"/>
    <w:rsid w:val="00FE1569"/>
    <w:rsid w:val="00FE1995"/>
    <w:rsid w:val="00FE1B1C"/>
    <w:rsid w:val="00FE3D8A"/>
    <w:rsid w:val="00FE3F8F"/>
    <w:rsid w:val="00FE49A4"/>
    <w:rsid w:val="00FE68E4"/>
    <w:rsid w:val="00FE7DEC"/>
    <w:rsid w:val="00FF241F"/>
    <w:rsid w:val="00FF2713"/>
    <w:rsid w:val="00FF34A3"/>
    <w:rsid w:val="00FF3EE3"/>
    <w:rsid w:val="00FF4574"/>
    <w:rsid w:val="00FF4C23"/>
    <w:rsid w:val="00FF51BA"/>
    <w:rsid w:val="00FF5372"/>
    <w:rsid w:val="00FF5998"/>
    <w:rsid w:val="00FF6493"/>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344D7"/>
  <w15:docId w15:val="{D2C85C1B-88C4-43D2-A515-72EB2B39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link w:val="FooterChar"/>
    <w:uiPriority w:val="99"/>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styleId="FootnoteReference">
    <w:name w:val="footnote reference"/>
    <w:semiHidden/>
    <w:rsid w:val="00652147"/>
    <w:rPr>
      <w:vertAlign w:val="superscript"/>
    </w:rPr>
  </w:style>
  <w:style w:type="character" w:customStyle="1" w:styleId="Style1Char">
    <w:name w:val="Style1 Char"/>
    <w:link w:val="Style1"/>
    <w:rsid w:val="00652147"/>
    <w:rPr>
      <w:rFonts w:ascii="Verdana" w:hAnsi="Verdana"/>
      <w:color w:val="000000"/>
      <w:kern w:val="28"/>
      <w:sz w:val="22"/>
    </w:rPr>
  </w:style>
  <w:style w:type="character" w:customStyle="1" w:styleId="FootnoteTextChar">
    <w:name w:val="Footnote Text Char"/>
    <w:link w:val="FootnoteText"/>
    <w:semiHidden/>
    <w:locked/>
    <w:rsid w:val="00652147"/>
    <w:rPr>
      <w:rFonts w:ascii="Verdana" w:hAnsi="Verdana"/>
      <w:sz w:val="16"/>
    </w:rPr>
  </w:style>
  <w:style w:type="character" w:customStyle="1" w:styleId="FooterChar">
    <w:name w:val="Footer Char"/>
    <w:basedOn w:val="DefaultParagraphFont"/>
    <w:link w:val="Footer"/>
    <w:uiPriority w:val="99"/>
    <w:rsid w:val="00566661"/>
    <w:rPr>
      <w:rFonts w:ascii="Verdana" w:hAnsi="Verdana"/>
      <w:sz w:val="18"/>
    </w:rPr>
  </w:style>
  <w:style w:type="table" w:styleId="TableGridLight">
    <w:name w:val="Grid Table Light"/>
    <w:basedOn w:val="TableNormal"/>
    <w:uiPriority w:val="40"/>
    <w:rsid w:val="00C171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C1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V\D582E660-D402-454A-A488-49E046D74EDC\0F98B914-D66D-42C8-9FCC-4F327F168F6C\root\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F8272B18-2D67-4271-8031-14FC853B3ABE}">
  <ds:schemaRefs>
    <ds:schemaRef ds:uri="http://schemas.microsoft.com/sharepoint/v3/contenttype/forms"/>
  </ds:schemaRefs>
</ds:datastoreItem>
</file>

<file path=customXml/itemProps2.xml><?xml version="1.0" encoding="utf-8"?>
<ds:datastoreItem xmlns:ds="http://schemas.openxmlformats.org/officeDocument/2006/customXml" ds:itemID="{8DAB2426-56C8-473E-A4CE-6E6E61A4B64B}"/>
</file>

<file path=customXml/itemProps3.xml><?xml version="1.0" encoding="utf-8"?>
<ds:datastoreItem xmlns:ds="http://schemas.openxmlformats.org/officeDocument/2006/customXml" ds:itemID="{69A0C2C2-1888-4829-A162-6B42ECBAA8F2}">
  <ds:schemaRefs>
    <ds:schemaRef ds:uri="http://schemas.openxmlformats.org/officeDocument/2006/bibliography"/>
  </ds:schemaRefs>
</ds:datastoreItem>
</file>

<file path=customXml/itemProps4.xml><?xml version="1.0" encoding="utf-8"?>
<ds:datastoreItem xmlns:ds="http://schemas.openxmlformats.org/officeDocument/2006/customXml" ds:itemID="{2526BCF6-BF98-4E19-91F0-66D6D348DD7D}">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1</TotalTime>
  <Pages>11</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Beckett, Alan</dc:creator>
  <cp:lastModifiedBy>Margoum, Naoual</cp:lastModifiedBy>
  <cp:revision>3</cp:revision>
  <cp:lastPrinted>2022-06-01T11:44:00Z</cp:lastPrinted>
  <dcterms:created xsi:type="dcterms:W3CDTF">2022-06-09T10:31:00Z</dcterms:created>
  <dcterms:modified xsi:type="dcterms:W3CDTF">2022-06-09T14:23:00Z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y fmtid="{D5CDD505-2E9C-101B-9397-08002B2CF9AE}" pid="12" name="MediaServiceImageTags">
    <vt:lpwstr/>
  </property>
</Properties>
</file>