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1EE92" w14:textId="57AC9DF5" w:rsidR="00136717" w:rsidRPr="00136717" w:rsidRDefault="00136717" w:rsidP="00136717">
      <w:r w:rsidRPr="00136717">
        <w:rPr>
          <w:noProof/>
        </w:rPr>
        <w:drawing>
          <wp:anchor distT="0" distB="0" distL="114300" distR="114300" simplePos="0" relativeHeight="251658240" behindDoc="0" locked="0" layoutInCell="1" allowOverlap="1" wp14:anchorId="0B5F8EB2" wp14:editId="676B1E33">
            <wp:simplePos x="0" y="0"/>
            <wp:positionH relativeFrom="column">
              <wp:posOffset>-190500</wp:posOffset>
            </wp:positionH>
            <wp:positionV relativeFrom="paragraph">
              <wp:posOffset>19050</wp:posOffset>
            </wp:positionV>
            <wp:extent cx="2343150" cy="1320165"/>
            <wp:effectExtent l="0" t="0" r="0" b="0"/>
            <wp:wrapTopAndBottom/>
            <wp:docPr id="836113608" name="Picture 7" descr="A logo with a lion and unico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113608" name="Picture 7" descr="A logo with a lion and unicor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43150" cy="1320165"/>
                    </a:xfrm>
                    <a:prstGeom prst="rect">
                      <a:avLst/>
                    </a:prstGeom>
                    <a:noFill/>
                    <a:ln>
                      <a:noFill/>
                    </a:ln>
                  </pic:spPr>
                </pic:pic>
              </a:graphicData>
            </a:graphic>
          </wp:anchor>
        </w:drawing>
      </w:r>
    </w:p>
    <w:p w14:paraId="6866C382" w14:textId="3B5A41D0" w:rsidR="001C1DB8" w:rsidRDefault="001C1DB8"/>
    <w:p w14:paraId="6866C383" w14:textId="77777777" w:rsidR="001C1DB8" w:rsidRDefault="001C1DB8"/>
    <w:p w14:paraId="6866C384" w14:textId="77777777" w:rsidR="001C1DB8" w:rsidRDefault="001C1DB8"/>
    <w:p w14:paraId="1239157C" w14:textId="77777777" w:rsidR="00AD3187" w:rsidRDefault="00AD3187" w:rsidP="00AD3187">
      <w:pPr>
        <w:pStyle w:val="INDTitle"/>
      </w:pPr>
      <w:r>
        <w:t>Stewardship Report</w:t>
      </w:r>
    </w:p>
    <w:p w14:paraId="32F9E434" w14:textId="095D85C8" w:rsidR="00AD3187" w:rsidRDefault="00AD3187" w:rsidP="00AD3187">
      <w:pPr>
        <w:pStyle w:val="INDSub-title"/>
      </w:pPr>
      <w:r>
        <w:t>202</w:t>
      </w:r>
      <w:r w:rsidR="00AD4DE1">
        <w:t>4</w:t>
      </w:r>
      <w:r>
        <w:t>/2</w:t>
      </w:r>
      <w:r w:rsidR="00AD4DE1">
        <w:t>5</w:t>
      </w:r>
    </w:p>
    <w:p w14:paraId="4765A891" w14:textId="45354A19" w:rsidR="001C1DB8" w:rsidRDefault="001C1DB8" w:rsidP="5B84DC7A">
      <w:pPr>
        <w:pStyle w:val="FootnoteText"/>
      </w:pPr>
    </w:p>
    <w:p w14:paraId="6866C399" w14:textId="67173731" w:rsidR="001C1DB8" w:rsidDel="00AD3187" w:rsidRDefault="001C1DB8" w:rsidP="5B84DC7A">
      <w:pPr>
        <w:pStyle w:val="FootnoteText"/>
      </w:pPr>
    </w:p>
    <w:p w14:paraId="6866C39A" w14:textId="406A0B69" w:rsidR="001C1DB8" w:rsidDel="00AD3187" w:rsidRDefault="001C1DB8" w:rsidP="5B84DC7A">
      <w:pPr>
        <w:pStyle w:val="FootnoteText"/>
      </w:pPr>
    </w:p>
    <w:p w14:paraId="6866C39D" w14:textId="77777777" w:rsidR="001C1DB8" w:rsidRDefault="001C1DB8"/>
    <w:p w14:paraId="4F0CD209" w14:textId="77777777" w:rsidR="007D7646" w:rsidRDefault="007D7646"/>
    <w:p w14:paraId="77110BB9" w14:textId="77777777" w:rsidR="007D7646" w:rsidRDefault="007D7646"/>
    <w:p w14:paraId="16F1689D" w14:textId="77777777" w:rsidR="007D7646" w:rsidRDefault="007D7646"/>
    <w:p w14:paraId="0324FE10" w14:textId="77777777" w:rsidR="007D7646" w:rsidRDefault="007D7646"/>
    <w:p w14:paraId="0C43D7E2" w14:textId="77777777" w:rsidR="007D7646" w:rsidRDefault="007D7646"/>
    <w:p w14:paraId="290B5BC7" w14:textId="77777777" w:rsidR="007D7646" w:rsidRDefault="007D7646"/>
    <w:p w14:paraId="5A8B4C5D" w14:textId="77777777" w:rsidR="007D7646" w:rsidRDefault="007D7646"/>
    <w:p w14:paraId="5DF43C00" w14:textId="77777777" w:rsidR="007D7646" w:rsidRDefault="007D7646"/>
    <w:p w14:paraId="31A09FE3" w14:textId="77777777" w:rsidR="007D7646" w:rsidRDefault="007D7646"/>
    <w:p w14:paraId="0B6AC7B2" w14:textId="77777777" w:rsidR="007D7646" w:rsidRDefault="007D7646"/>
    <w:p w14:paraId="54BD2D49" w14:textId="77777777" w:rsidR="007D7646" w:rsidRDefault="007D7646"/>
    <w:p w14:paraId="00D1F29A" w14:textId="77777777" w:rsidR="007D7646" w:rsidRDefault="007D7646"/>
    <w:p w14:paraId="02BDC14C" w14:textId="77777777" w:rsidR="007D7646" w:rsidRDefault="007D7646"/>
    <w:p w14:paraId="7418D675" w14:textId="77777777" w:rsidR="007D7646" w:rsidRDefault="007D7646"/>
    <w:p w14:paraId="73FA5A04" w14:textId="77777777" w:rsidR="007D7646" w:rsidRDefault="007D7646"/>
    <w:p w14:paraId="0F646737" w14:textId="77777777" w:rsidR="007D7646" w:rsidRDefault="007D7646"/>
    <w:p w14:paraId="2CD92DDF" w14:textId="77777777" w:rsidR="007D7646" w:rsidRDefault="007D7646"/>
    <w:p w14:paraId="2EA51D44" w14:textId="77777777" w:rsidR="007D7646" w:rsidRDefault="007D7646"/>
    <w:p w14:paraId="26034492" w14:textId="77777777" w:rsidR="007D7646" w:rsidRDefault="007D7646"/>
    <w:p w14:paraId="3073A014" w14:textId="77777777" w:rsidR="007D7646" w:rsidRDefault="007D7646"/>
    <w:p w14:paraId="023DB764" w14:textId="77777777" w:rsidR="007D7646" w:rsidRDefault="007D7646"/>
    <w:p w14:paraId="454888C0" w14:textId="77777777" w:rsidR="007D7646" w:rsidRDefault="007D7646"/>
    <w:p w14:paraId="422D4DE5" w14:textId="77777777" w:rsidR="007D7646" w:rsidRDefault="007D7646"/>
    <w:p w14:paraId="334504DA" w14:textId="77777777" w:rsidR="007D7646" w:rsidRDefault="007D7646"/>
    <w:p w14:paraId="79A8F25C" w14:textId="77777777" w:rsidR="007D7646" w:rsidRDefault="007D7646"/>
    <w:p w14:paraId="73EEA7D9" w14:textId="77777777" w:rsidR="007D7646" w:rsidRDefault="007D7646"/>
    <w:p w14:paraId="521CAC93" w14:textId="77777777" w:rsidR="007D7646" w:rsidRDefault="007D7646"/>
    <w:p w14:paraId="4B76BE99" w14:textId="77777777" w:rsidR="007D7646" w:rsidRDefault="007D7646"/>
    <w:p w14:paraId="2A380CA5" w14:textId="77777777" w:rsidR="007D7646" w:rsidRDefault="007D7646"/>
    <w:p w14:paraId="6056D436" w14:textId="77777777" w:rsidR="007D7646" w:rsidRDefault="007D7646"/>
    <w:p w14:paraId="40670768" w14:textId="77777777" w:rsidR="007D7646" w:rsidRDefault="007D7646"/>
    <w:p w14:paraId="3D156B80" w14:textId="77777777" w:rsidR="007D7646" w:rsidRDefault="007D7646"/>
    <w:p w14:paraId="31D87CEA" w14:textId="77777777" w:rsidR="007D7646" w:rsidRDefault="007D7646"/>
    <w:p w14:paraId="645B770D" w14:textId="77777777" w:rsidR="007D7646" w:rsidRDefault="007D7646"/>
    <w:p w14:paraId="33750EB7" w14:textId="77777777" w:rsidR="007D7646" w:rsidRDefault="007D7646"/>
    <w:p w14:paraId="4F9C6E02" w14:textId="77777777" w:rsidR="007D7646" w:rsidRDefault="007D7646"/>
    <w:p w14:paraId="6866C39E" w14:textId="77777777" w:rsidR="001C1DB8" w:rsidRDefault="001C1DB8">
      <w:pPr>
        <w:pStyle w:val="FootnoteText"/>
      </w:pPr>
    </w:p>
    <w:p w14:paraId="6866C39F" w14:textId="77777777" w:rsidR="001C1DB8" w:rsidRDefault="001C1DB8"/>
    <w:p w14:paraId="6866C3A0" w14:textId="77777777" w:rsidR="001C1DB8" w:rsidRDefault="001C1DB8"/>
    <w:p w14:paraId="6866C3A1" w14:textId="77777777" w:rsidR="001C1DB8" w:rsidRDefault="001C1DB8"/>
    <w:p w14:paraId="6866C3AE" w14:textId="01FDEB96" w:rsidR="001C1DB8" w:rsidRDefault="00FB2C3B">
      <w:pPr>
        <w:pStyle w:val="Copyrightstatement"/>
      </w:pPr>
      <w:r>
        <w:rPr>
          <w:noProof/>
        </w:rPr>
        <w:drawing>
          <wp:inline distT="0" distB="0" distL="0" distR="0" wp14:anchorId="146B6160" wp14:editId="492C44D8">
            <wp:extent cx="792483" cy="323212"/>
            <wp:effectExtent l="0" t="0" r="7617" b="638"/>
            <wp:docPr id="984509026" name="Picture 984509026" descr="Open Government Licence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792483" cy="323212"/>
                    </a:xfrm>
                    <a:prstGeom prst="rect">
                      <a:avLst/>
                    </a:prstGeom>
                    <a:noFill/>
                    <a:ln>
                      <a:noFill/>
                      <a:prstDash/>
                    </a:ln>
                  </pic:spPr>
                </pic:pic>
              </a:graphicData>
            </a:graphic>
          </wp:inline>
        </w:drawing>
      </w:r>
    </w:p>
    <w:p w14:paraId="6866C3AF" w14:textId="43C3D583" w:rsidR="001C1DB8" w:rsidRDefault="00FB2C3B">
      <w:pPr>
        <w:pStyle w:val="Copyrightstatement"/>
        <w:rPr>
          <w:szCs w:val="20"/>
        </w:rPr>
      </w:pPr>
      <w:r>
        <w:rPr>
          <w:szCs w:val="20"/>
        </w:rPr>
        <w:t>© Crown copyright 202</w:t>
      </w:r>
      <w:r w:rsidR="00E84E54">
        <w:rPr>
          <w:szCs w:val="20"/>
        </w:rPr>
        <w:t>5</w:t>
      </w:r>
    </w:p>
    <w:p w14:paraId="6866C3B0" w14:textId="77777777" w:rsidR="001C1DB8" w:rsidRDefault="00FB2C3B">
      <w:pPr>
        <w:pStyle w:val="Copyrightstatement"/>
      </w:pPr>
      <w:r>
        <w:rPr>
          <w:szCs w:val="20"/>
        </w:rPr>
        <w:t xml:space="preserve">This publication is licensed under the terms of the Open Government Licence v3.0 except where otherwise stated. To view this licence, visit </w:t>
      </w:r>
      <w:hyperlink r:id="rId14" w:history="1">
        <w:r>
          <w:rPr>
            <w:rStyle w:val="Hyperlink"/>
            <w:szCs w:val="20"/>
          </w:rPr>
          <w:t>nationalarchives.gov.uk/doc/open-government-licence/version/3</w:t>
        </w:r>
      </w:hyperlink>
      <w:r>
        <w:rPr>
          <w:szCs w:val="20"/>
        </w:rPr>
        <w:t xml:space="preserve"> or write to the Information Policy Team, The National Archives, Kew, London TW9 4DU, or email: </w:t>
      </w:r>
      <w:hyperlink r:id="rId15" w:history="1">
        <w:r>
          <w:rPr>
            <w:rStyle w:val="Hyperlink"/>
            <w:szCs w:val="20"/>
          </w:rPr>
          <w:t>psi@nationalarchives.gsi.gov.uk</w:t>
        </w:r>
      </w:hyperlink>
      <w:r>
        <w:rPr>
          <w:szCs w:val="20"/>
        </w:rPr>
        <w:t xml:space="preserve">. </w:t>
      </w:r>
    </w:p>
    <w:p w14:paraId="6866C3B1" w14:textId="77777777" w:rsidR="001C1DB8" w:rsidRDefault="00FB2C3B">
      <w:pPr>
        <w:pStyle w:val="Copyrightstatement"/>
        <w:rPr>
          <w:szCs w:val="20"/>
        </w:rPr>
      </w:pPr>
      <w:r>
        <w:rPr>
          <w:szCs w:val="20"/>
        </w:rPr>
        <w:t>Where we have identified any third-party copyright information you will need to obtain permission from the copyright holders concerned.</w:t>
      </w:r>
    </w:p>
    <w:p w14:paraId="6866C3B3" w14:textId="2AD4E57F" w:rsidR="001C1DB8" w:rsidRDefault="32E0B0F9" w:rsidP="0053034A">
      <w:pPr>
        <w:pStyle w:val="Copyrightstatement"/>
      </w:pPr>
      <w:r>
        <w:t xml:space="preserve">Any enquiries regarding this publication should be sent to us at: </w:t>
      </w:r>
      <w:r w:rsidR="00FB2C3B">
        <w:br/>
      </w:r>
      <w:hyperlink r:id="rId16">
        <w:r w:rsidR="6176C42F" w:rsidRPr="4C29F370">
          <w:rPr>
            <w:rStyle w:val="Hyperlink"/>
          </w:rPr>
          <w:t>OPRB.enquiries@businessandtrade.gov.uk</w:t>
        </w:r>
      </w:hyperlink>
      <w:r w:rsidR="6176C42F">
        <w:t xml:space="preserve"> </w:t>
      </w:r>
    </w:p>
    <w:p w14:paraId="6866C3B4" w14:textId="689F48FA" w:rsidR="001C1DB8" w:rsidRDefault="00FB2C3B">
      <w:r>
        <w:rPr>
          <w:spacing w:val="1"/>
          <w:sz w:val="20"/>
          <w:szCs w:val="20"/>
        </w:rPr>
        <w:t>T</w:t>
      </w:r>
      <w:r>
        <w:rPr>
          <w:sz w:val="20"/>
          <w:szCs w:val="20"/>
        </w:rPr>
        <w:t>h</w:t>
      </w:r>
      <w:r>
        <w:rPr>
          <w:spacing w:val="-2"/>
          <w:sz w:val="20"/>
          <w:szCs w:val="20"/>
        </w:rPr>
        <w:t>i</w:t>
      </w:r>
      <w:r>
        <w:rPr>
          <w:sz w:val="20"/>
          <w:szCs w:val="20"/>
        </w:rPr>
        <w:t>s</w:t>
      </w:r>
      <w:r>
        <w:rPr>
          <w:spacing w:val="1"/>
          <w:sz w:val="20"/>
          <w:szCs w:val="20"/>
        </w:rPr>
        <w:t xml:space="preserve"> </w:t>
      </w:r>
      <w:r>
        <w:rPr>
          <w:sz w:val="20"/>
          <w:szCs w:val="20"/>
        </w:rPr>
        <w:t>p</w:t>
      </w:r>
      <w:r>
        <w:rPr>
          <w:spacing w:val="-1"/>
          <w:sz w:val="20"/>
          <w:szCs w:val="20"/>
        </w:rPr>
        <w:t>u</w:t>
      </w:r>
      <w:r>
        <w:rPr>
          <w:sz w:val="20"/>
          <w:szCs w:val="20"/>
        </w:rPr>
        <w:t>b</w:t>
      </w:r>
      <w:r>
        <w:rPr>
          <w:spacing w:val="-2"/>
          <w:sz w:val="20"/>
          <w:szCs w:val="20"/>
        </w:rPr>
        <w:t>li</w:t>
      </w:r>
      <w:r>
        <w:rPr>
          <w:sz w:val="20"/>
          <w:szCs w:val="20"/>
        </w:rPr>
        <w:t>cati</w:t>
      </w:r>
      <w:r>
        <w:rPr>
          <w:spacing w:val="-1"/>
          <w:sz w:val="20"/>
          <w:szCs w:val="20"/>
        </w:rPr>
        <w:t>o</w:t>
      </w:r>
      <w:r>
        <w:rPr>
          <w:sz w:val="20"/>
          <w:szCs w:val="20"/>
        </w:rPr>
        <w:t>n</w:t>
      </w:r>
      <w:r>
        <w:rPr>
          <w:spacing w:val="-2"/>
          <w:sz w:val="20"/>
          <w:szCs w:val="20"/>
        </w:rPr>
        <w:t xml:space="preserve"> i</w:t>
      </w:r>
      <w:r>
        <w:rPr>
          <w:sz w:val="20"/>
          <w:szCs w:val="20"/>
        </w:rPr>
        <w:t>s</w:t>
      </w:r>
      <w:r>
        <w:rPr>
          <w:spacing w:val="1"/>
          <w:sz w:val="20"/>
          <w:szCs w:val="20"/>
        </w:rPr>
        <w:t xml:space="preserve"> </w:t>
      </w:r>
      <w:r>
        <w:rPr>
          <w:sz w:val="20"/>
          <w:szCs w:val="20"/>
        </w:rPr>
        <w:t>a</w:t>
      </w:r>
      <w:r>
        <w:rPr>
          <w:spacing w:val="-3"/>
          <w:sz w:val="20"/>
          <w:szCs w:val="20"/>
        </w:rPr>
        <w:t>v</w:t>
      </w:r>
      <w:r>
        <w:rPr>
          <w:sz w:val="20"/>
          <w:szCs w:val="20"/>
        </w:rPr>
        <w:t>a</w:t>
      </w:r>
      <w:r>
        <w:rPr>
          <w:spacing w:val="-2"/>
          <w:sz w:val="20"/>
          <w:szCs w:val="20"/>
        </w:rPr>
        <w:t>il</w:t>
      </w:r>
      <w:r>
        <w:rPr>
          <w:spacing w:val="1"/>
          <w:sz w:val="20"/>
          <w:szCs w:val="20"/>
        </w:rPr>
        <w:t>a</w:t>
      </w:r>
      <w:r>
        <w:rPr>
          <w:sz w:val="20"/>
          <w:szCs w:val="20"/>
        </w:rPr>
        <w:t>b</w:t>
      </w:r>
      <w:r>
        <w:rPr>
          <w:spacing w:val="-2"/>
          <w:sz w:val="20"/>
          <w:szCs w:val="20"/>
        </w:rPr>
        <w:t>l</w:t>
      </w:r>
      <w:r>
        <w:rPr>
          <w:sz w:val="20"/>
          <w:szCs w:val="20"/>
        </w:rPr>
        <w:t xml:space="preserve">e from: </w:t>
      </w:r>
      <w:hyperlink r:id="rId17" w:history="1">
        <w:r w:rsidR="00D85963" w:rsidRPr="00915543">
          <w:rPr>
            <w:rStyle w:val="Hyperlink"/>
            <w:sz w:val="20"/>
            <w:szCs w:val="20"/>
          </w:rPr>
          <w:t>https://www.gov.uk/government/organisations/office-for-the-pay-review-bodies</w:t>
        </w:r>
      </w:hyperlink>
      <w:r w:rsidR="00D85963">
        <w:rPr>
          <w:sz w:val="20"/>
          <w:szCs w:val="20"/>
        </w:rPr>
        <w:t xml:space="preserve"> </w:t>
      </w:r>
    </w:p>
    <w:p w14:paraId="4AEE9688" w14:textId="77777777" w:rsidR="00DC2972" w:rsidRDefault="00DC2972">
      <w:pPr>
        <w:suppressAutoHyphens w:val="0"/>
        <w:spacing w:before="0" w:after="160"/>
        <w:rPr>
          <w:rFonts w:eastAsia="Yu Gothic Light" w:cs="Times New Roman"/>
          <w:b/>
          <w:color w:val="000000"/>
          <w:sz w:val="28"/>
          <w:szCs w:val="32"/>
        </w:rPr>
      </w:pPr>
      <w:r>
        <w:br w:type="page"/>
      </w:r>
    </w:p>
    <w:p w14:paraId="6866C3B6" w14:textId="47B5F2A3" w:rsidR="001C1DB8" w:rsidRDefault="00FB2C3B">
      <w:pPr>
        <w:pStyle w:val="Heading1"/>
      </w:pPr>
      <w:bookmarkStart w:id="0" w:name="_Toc188365103"/>
      <w:r>
        <w:lastRenderedPageBreak/>
        <w:t>Foreword by the Director, Office</w:t>
      </w:r>
      <w:r w:rsidR="00D12110">
        <w:t xml:space="preserve"> for the Pay Review Bodies</w:t>
      </w:r>
      <w:bookmarkEnd w:id="0"/>
      <w:r>
        <w:t xml:space="preserve"> </w:t>
      </w:r>
    </w:p>
    <w:p w14:paraId="6866C3B7" w14:textId="77777777" w:rsidR="001C1DB8" w:rsidRDefault="001C1DB8">
      <w:pPr>
        <w:pStyle w:val="paragraph"/>
        <w:spacing w:before="0" w:after="0"/>
        <w:textAlignment w:val="baseline"/>
      </w:pPr>
    </w:p>
    <w:p w14:paraId="48B4E81E" w14:textId="77777777" w:rsidR="007836D8" w:rsidRDefault="007836D8" w:rsidP="00F02C83"/>
    <w:p w14:paraId="166C085F" w14:textId="77777777" w:rsidR="00F02C83" w:rsidRDefault="00F02C83" w:rsidP="00F02C83">
      <w:r w:rsidRPr="00F02C83">
        <w:t>I am pleased to present this summary of the Office for the Pay Review Bodies’ work during 2024/25.</w:t>
      </w:r>
    </w:p>
    <w:p w14:paraId="39D2019F" w14:textId="77777777" w:rsidR="00F02C83" w:rsidRDefault="00F02C83" w:rsidP="00F02C83"/>
    <w:p w14:paraId="4CF19786" w14:textId="77777777" w:rsidR="00F02C83" w:rsidRDefault="00F02C83" w:rsidP="00F02C83">
      <w:r w:rsidRPr="00F02C83">
        <w:t xml:space="preserve">This year has been marked by significant progress in improving the timeliness of pay awards for public sector remit groups. Following the Chancellor’s call in July 2024 to accelerate the review timetable, all eight Pay Review Bodies rose to the challenge, delivering recommendations around two months earlier than in previous rounds. </w:t>
      </w:r>
    </w:p>
    <w:p w14:paraId="3661710A" w14:textId="77777777" w:rsidR="00F02C83" w:rsidRDefault="00F02C83" w:rsidP="00F02C83"/>
    <w:p w14:paraId="4A548009" w14:textId="1CF824E0" w:rsidR="00F02C83" w:rsidRDefault="00F02C83" w:rsidP="00F02C83">
      <w:r w:rsidRPr="00F02C83">
        <w:t xml:space="preserve">Most reports were published in July, and </w:t>
      </w:r>
      <w:proofErr w:type="gramStart"/>
      <w:r w:rsidRPr="00F02C83">
        <w:t>the majority of</w:t>
      </w:r>
      <w:proofErr w:type="gramEnd"/>
      <w:r w:rsidRPr="00F02C83">
        <w:t xml:space="preserve"> recommendations were accepted by the respective governments—a testament to the commitment and collaboration across the system. </w:t>
      </w:r>
    </w:p>
    <w:p w14:paraId="254DC6C3" w14:textId="77777777" w:rsidR="00351A1B" w:rsidRPr="00F02C83" w:rsidRDefault="00351A1B" w:rsidP="00F02C83"/>
    <w:p w14:paraId="26C0B043" w14:textId="18E3F0CD" w:rsidR="00F02C83" w:rsidRDefault="00F02C83" w:rsidP="00F02C83">
      <w:r w:rsidRPr="00F02C83">
        <w:t xml:space="preserve">Alongside this, OPRB continued to commission and publish research that provides valuable insight to inform the Review Bodies’ decisions. We also embraced a hybrid approach to evidence gathering, combining virtual and face-to-face meetings. This enabled </w:t>
      </w:r>
      <w:r w:rsidR="00021742">
        <w:t>high quality</w:t>
      </w:r>
      <w:r w:rsidRPr="00F02C83">
        <w:t xml:space="preserve"> discussion and decision</w:t>
      </w:r>
      <w:r w:rsidR="001C45B8">
        <w:t xml:space="preserve"> </w:t>
      </w:r>
      <w:r w:rsidRPr="00F02C83">
        <w:t>making while ensuring cost efficiency and broad engagement across the four nations.</w:t>
      </w:r>
    </w:p>
    <w:p w14:paraId="31B8F06A" w14:textId="77777777" w:rsidR="00351A1B" w:rsidRPr="00F02C83" w:rsidRDefault="00351A1B" w:rsidP="00F02C83"/>
    <w:p w14:paraId="4936CFC2" w14:textId="77777777" w:rsidR="00F02C83" w:rsidRPr="00F02C83" w:rsidRDefault="00F02C83" w:rsidP="00F02C83">
      <w:r w:rsidRPr="00F02C83">
        <w:t>I am grateful to the Chairs, Review Body members, and all those who contributed evidence. Their efforts have been instrumental in achieving more timely pay awards. I also extend my thanks to colleagues at OPRB for their professionalism. Together, we have taken an important step forward, and I look forward to building on this progress in the year ahead.</w:t>
      </w:r>
    </w:p>
    <w:p w14:paraId="7CC970DD" w14:textId="77777777" w:rsidR="001D67DA" w:rsidRDefault="001D67DA" w:rsidP="0078071C"/>
    <w:p w14:paraId="5933F316" w14:textId="77777777" w:rsidR="00BB6E85" w:rsidRDefault="00BB6E85" w:rsidP="0078071C"/>
    <w:p w14:paraId="65EEF40C" w14:textId="77777777" w:rsidR="00BB6E85" w:rsidRDefault="00BB6E85" w:rsidP="00BB6E85">
      <w:pPr>
        <w:pStyle w:val="paragraph"/>
        <w:spacing w:before="0" w:after="0"/>
        <w:textAlignment w:val="baseline"/>
      </w:pPr>
      <w:r>
        <w:rPr>
          <w:rStyle w:val="normaltextrun"/>
          <w:rFonts w:ascii="Arial" w:hAnsi="Arial" w:cs="Arial"/>
          <w:b/>
          <w:bCs/>
          <w:color w:val="000000"/>
        </w:rPr>
        <w:t>David Fry</w:t>
      </w:r>
      <w:r>
        <w:rPr>
          <w:rStyle w:val="eop"/>
          <w:rFonts w:cs="Arial"/>
          <w:b/>
          <w:bCs/>
          <w:color w:val="000000"/>
        </w:rPr>
        <w:t> </w:t>
      </w:r>
    </w:p>
    <w:p w14:paraId="1B1566D3" w14:textId="77777777" w:rsidR="00BB6E85" w:rsidRDefault="00BB6E85" w:rsidP="00BB6E85">
      <w:pPr>
        <w:pStyle w:val="paragraph"/>
        <w:spacing w:before="0" w:after="0"/>
        <w:textAlignment w:val="baseline"/>
      </w:pPr>
      <w:r>
        <w:rPr>
          <w:rStyle w:val="normaltextrun"/>
          <w:rFonts w:ascii="Arial" w:hAnsi="Arial" w:cs="Arial"/>
          <w:color w:val="000000"/>
        </w:rPr>
        <w:t xml:space="preserve">Director, OPRB </w:t>
      </w:r>
    </w:p>
    <w:p w14:paraId="6866C3CA" w14:textId="4D4F0BA2" w:rsidR="001C1DB8" w:rsidRDefault="00BB6E85" w:rsidP="00017DA6">
      <w:pPr>
        <w:spacing w:before="0" w:after="0"/>
        <w:textAlignment w:val="baseline"/>
      </w:pPr>
      <w:r>
        <w:rPr>
          <w:rStyle w:val="normaltextrun"/>
          <w:lang w:eastAsia="en-GB"/>
        </w:rPr>
        <w:t>November 2025</w:t>
      </w:r>
      <w:r w:rsidRPr="36083F43">
        <w:rPr>
          <w:rStyle w:val="normaltextrun"/>
          <w:lang w:eastAsia="en-GB"/>
        </w:rPr>
        <w:t xml:space="preserve"> </w:t>
      </w:r>
    </w:p>
    <w:p w14:paraId="6866C3CB" w14:textId="77777777" w:rsidR="001C1DB8" w:rsidRDefault="001C1DB8">
      <w:pPr>
        <w:pageBreakBefore/>
      </w:pPr>
    </w:p>
    <w:p w14:paraId="6866C3CC" w14:textId="77777777" w:rsidR="001C1DB8" w:rsidRDefault="00FB2C3B">
      <w:pPr>
        <w:pStyle w:val="TOCHeading"/>
        <w:outlineLvl w:val="9"/>
      </w:pPr>
      <w:r>
        <w:rPr>
          <w:rFonts w:cs="Arial"/>
        </w:rPr>
        <w:t>Contents</w:t>
      </w:r>
    </w:p>
    <w:p w14:paraId="702F3320" w14:textId="0A847AEF" w:rsidR="00506C65" w:rsidRDefault="00FB2C3B">
      <w:pPr>
        <w:pStyle w:val="TOC1"/>
        <w:tabs>
          <w:tab w:val="right" w:leader="dot" w:pos="9016"/>
        </w:tabs>
        <w:rPr>
          <w:rFonts w:asciiTheme="minorHAnsi" w:eastAsiaTheme="minorEastAsia" w:hAnsiTheme="minorHAnsi" w:cstheme="minorBidi"/>
          <w:noProof/>
          <w:kern w:val="2"/>
          <w:szCs w:val="24"/>
          <w:lang w:eastAsia="en-GB"/>
          <w14:ligatures w14:val="standardContextual"/>
        </w:rPr>
      </w:pPr>
      <w:r>
        <w:rPr>
          <w:rFonts w:eastAsia="Yu Gothic Light" w:cs="Times New Roman"/>
          <w:b/>
          <w:sz w:val="28"/>
          <w:szCs w:val="32"/>
          <w:lang w:val="en-US"/>
        </w:rPr>
        <w:fldChar w:fldCharType="begin"/>
      </w:r>
      <w:r>
        <w:instrText xml:space="preserve"> TOC \o "1-3" \u \h </w:instrText>
      </w:r>
      <w:r>
        <w:rPr>
          <w:rFonts w:eastAsia="Yu Gothic Light" w:cs="Times New Roman"/>
          <w:b/>
          <w:sz w:val="28"/>
          <w:szCs w:val="32"/>
          <w:lang w:val="en-US"/>
        </w:rPr>
        <w:fldChar w:fldCharType="separate"/>
      </w:r>
      <w:hyperlink w:anchor="_Toc188365103" w:history="1">
        <w:r w:rsidR="00506C65" w:rsidRPr="003F4065">
          <w:rPr>
            <w:rStyle w:val="Hyperlink"/>
            <w:noProof/>
          </w:rPr>
          <w:t>Foreword by the Director, Office for the Pay Review Bodies</w:t>
        </w:r>
        <w:r w:rsidR="00506C65">
          <w:rPr>
            <w:noProof/>
          </w:rPr>
          <w:tab/>
        </w:r>
        <w:r w:rsidR="00506C65">
          <w:rPr>
            <w:noProof/>
          </w:rPr>
          <w:fldChar w:fldCharType="begin"/>
        </w:r>
        <w:r w:rsidR="00506C65">
          <w:rPr>
            <w:noProof/>
          </w:rPr>
          <w:instrText xml:space="preserve"> PAGEREF _Toc188365103 \h </w:instrText>
        </w:r>
        <w:r w:rsidR="00506C65">
          <w:rPr>
            <w:noProof/>
          </w:rPr>
        </w:r>
        <w:r w:rsidR="00506C65">
          <w:rPr>
            <w:noProof/>
          </w:rPr>
          <w:fldChar w:fldCharType="separate"/>
        </w:r>
        <w:r w:rsidR="00506C65">
          <w:rPr>
            <w:noProof/>
          </w:rPr>
          <w:t>3</w:t>
        </w:r>
        <w:r w:rsidR="00506C65">
          <w:rPr>
            <w:noProof/>
          </w:rPr>
          <w:fldChar w:fldCharType="end"/>
        </w:r>
      </w:hyperlink>
    </w:p>
    <w:p w14:paraId="5DC93E12" w14:textId="1C65D48D" w:rsidR="00506C65" w:rsidRDefault="00506C65">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88365104" w:history="1">
        <w:r w:rsidRPr="003F4065">
          <w:rPr>
            <w:rStyle w:val="Hyperlink"/>
            <w:noProof/>
          </w:rPr>
          <w:t>The Office for the Pay Review Bodies (OPRB)</w:t>
        </w:r>
        <w:r>
          <w:rPr>
            <w:noProof/>
          </w:rPr>
          <w:tab/>
        </w:r>
        <w:r>
          <w:rPr>
            <w:noProof/>
          </w:rPr>
          <w:fldChar w:fldCharType="begin"/>
        </w:r>
        <w:r>
          <w:rPr>
            <w:noProof/>
          </w:rPr>
          <w:instrText xml:space="preserve"> PAGEREF _Toc188365104 \h </w:instrText>
        </w:r>
        <w:r>
          <w:rPr>
            <w:noProof/>
          </w:rPr>
        </w:r>
        <w:r>
          <w:rPr>
            <w:noProof/>
          </w:rPr>
          <w:fldChar w:fldCharType="separate"/>
        </w:r>
        <w:r>
          <w:rPr>
            <w:noProof/>
          </w:rPr>
          <w:t>5</w:t>
        </w:r>
        <w:r>
          <w:rPr>
            <w:noProof/>
          </w:rPr>
          <w:fldChar w:fldCharType="end"/>
        </w:r>
      </w:hyperlink>
    </w:p>
    <w:p w14:paraId="0C5F24AA" w14:textId="1F08607B" w:rsidR="00506C65" w:rsidRDefault="00506C65">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88365105" w:history="1">
        <w:r w:rsidRPr="003F4065">
          <w:rPr>
            <w:rStyle w:val="Hyperlink"/>
            <w:noProof/>
          </w:rPr>
          <w:t>The Public Sector Pay Review Bodies</w:t>
        </w:r>
        <w:r>
          <w:rPr>
            <w:noProof/>
          </w:rPr>
          <w:tab/>
        </w:r>
        <w:r>
          <w:rPr>
            <w:noProof/>
          </w:rPr>
          <w:fldChar w:fldCharType="begin"/>
        </w:r>
        <w:r>
          <w:rPr>
            <w:noProof/>
          </w:rPr>
          <w:instrText xml:space="preserve"> PAGEREF _Toc188365105 \h </w:instrText>
        </w:r>
        <w:r>
          <w:rPr>
            <w:noProof/>
          </w:rPr>
        </w:r>
        <w:r>
          <w:rPr>
            <w:noProof/>
          </w:rPr>
          <w:fldChar w:fldCharType="separate"/>
        </w:r>
        <w:r>
          <w:rPr>
            <w:noProof/>
          </w:rPr>
          <w:t>6</w:t>
        </w:r>
        <w:r>
          <w:rPr>
            <w:noProof/>
          </w:rPr>
          <w:fldChar w:fldCharType="end"/>
        </w:r>
      </w:hyperlink>
    </w:p>
    <w:p w14:paraId="390E455B" w14:textId="2159B742" w:rsidR="00506C65" w:rsidRDefault="00506C65">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88365106" w:history="1">
        <w:r w:rsidRPr="003F4065">
          <w:rPr>
            <w:rStyle w:val="Hyperlink"/>
            <w:noProof/>
          </w:rPr>
          <w:t>Chapter 1: About OPRB</w:t>
        </w:r>
        <w:r>
          <w:rPr>
            <w:noProof/>
          </w:rPr>
          <w:tab/>
        </w:r>
        <w:r>
          <w:rPr>
            <w:noProof/>
          </w:rPr>
          <w:fldChar w:fldCharType="begin"/>
        </w:r>
        <w:r>
          <w:rPr>
            <w:noProof/>
          </w:rPr>
          <w:instrText xml:space="preserve"> PAGEREF _Toc188365106 \h </w:instrText>
        </w:r>
        <w:r>
          <w:rPr>
            <w:noProof/>
          </w:rPr>
        </w:r>
        <w:r>
          <w:rPr>
            <w:noProof/>
          </w:rPr>
          <w:fldChar w:fldCharType="separate"/>
        </w:r>
        <w:r>
          <w:rPr>
            <w:noProof/>
          </w:rPr>
          <w:t>7</w:t>
        </w:r>
        <w:r>
          <w:rPr>
            <w:noProof/>
          </w:rPr>
          <w:fldChar w:fldCharType="end"/>
        </w:r>
      </w:hyperlink>
    </w:p>
    <w:p w14:paraId="7387855A" w14:textId="1E8790D9" w:rsidR="00506C65" w:rsidRDefault="00506C65">
      <w:pPr>
        <w:pStyle w:val="TOC2"/>
        <w:rPr>
          <w:rFonts w:asciiTheme="minorHAnsi" w:eastAsiaTheme="minorEastAsia" w:hAnsiTheme="minorHAnsi" w:cstheme="minorBidi"/>
          <w:noProof/>
          <w:kern w:val="2"/>
          <w:szCs w:val="24"/>
          <w:lang w:eastAsia="en-GB"/>
          <w14:ligatures w14:val="standardContextual"/>
        </w:rPr>
      </w:pPr>
      <w:hyperlink w:anchor="_Toc188365107" w:history="1">
        <w:r w:rsidRPr="003F4065">
          <w:rPr>
            <w:rStyle w:val="Hyperlink"/>
            <w:noProof/>
          </w:rPr>
          <w:t>Values and behaviours</w:t>
        </w:r>
        <w:r>
          <w:rPr>
            <w:noProof/>
          </w:rPr>
          <w:tab/>
        </w:r>
        <w:r>
          <w:rPr>
            <w:noProof/>
          </w:rPr>
          <w:fldChar w:fldCharType="begin"/>
        </w:r>
        <w:r>
          <w:rPr>
            <w:noProof/>
          </w:rPr>
          <w:instrText xml:space="preserve"> PAGEREF _Toc188365107 \h </w:instrText>
        </w:r>
        <w:r>
          <w:rPr>
            <w:noProof/>
          </w:rPr>
        </w:r>
        <w:r>
          <w:rPr>
            <w:noProof/>
          </w:rPr>
          <w:fldChar w:fldCharType="separate"/>
        </w:r>
        <w:r>
          <w:rPr>
            <w:noProof/>
          </w:rPr>
          <w:t>7</w:t>
        </w:r>
        <w:r>
          <w:rPr>
            <w:noProof/>
          </w:rPr>
          <w:fldChar w:fldCharType="end"/>
        </w:r>
      </w:hyperlink>
    </w:p>
    <w:p w14:paraId="3113D0F9" w14:textId="08C13751" w:rsidR="00506C65" w:rsidRDefault="00506C65">
      <w:pPr>
        <w:pStyle w:val="TOC2"/>
        <w:rPr>
          <w:rFonts w:asciiTheme="minorHAnsi" w:eastAsiaTheme="minorEastAsia" w:hAnsiTheme="minorHAnsi" w:cstheme="minorBidi"/>
          <w:noProof/>
          <w:kern w:val="2"/>
          <w:szCs w:val="24"/>
          <w:lang w:eastAsia="en-GB"/>
          <w14:ligatures w14:val="standardContextual"/>
        </w:rPr>
      </w:pPr>
      <w:hyperlink w:anchor="_Toc188365108" w:history="1">
        <w:r w:rsidRPr="003F4065">
          <w:rPr>
            <w:rStyle w:val="Hyperlink"/>
            <w:noProof/>
          </w:rPr>
          <w:t>Learning and development</w:t>
        </w:r>
        <w:r>
          <w:rPr>
            <w:noProof/>
          </w:rPr>
          <w:tab/>
        </w:r>
        <w:r>
          <w:rPr>
            <w:noProof/>
          </w:rPr>
          <w:fldChar w:fldCharType="begin"/>
        </w:r>
        <w:r>
          <w:rPr>
            <w:noProof/>
          </w:rPr>
          <w:instrText xml:space="preserve"> PAGEREF _Toc188365108 \h </w:instrText>
        </w:r>
        <w:r>
          <w:rPr>
            <w:noProof/>
          </w:rPr>
        </w:r>
        <w:r>
          <w:rPr>
            <w:noProof/>
          </w:rPr>
          <w:fldChar w:fldCharType="separate"/>
        </w:r>
        <w:r>
          <w:rPr>
            <w:noProof/>
          </w:rPr>
          <w:t>8</w:t>
        </w:r>
        <w:r>
          <w:rPr>
            <w:noProof/>
          </w:rPr>
          <w:fldChar w:fldCharType="end"/>
        </w:r>
      </w:hyperlink>
    </w:p>
    <w:p w14:paraId="60449CEC" w14:textId="146A9850" w:rsidR="00506C65" w:rsidRDefault="00506C65">
      <w:pPr>
        <w:pStyle w:val="TOC2"/>
        <w:rPr>
          <w:rFonts w:asciiTheme="minorHAnsi" w:eastAsiaTheme="minorEastAsia" w:hAnsiTheme="minorHAnsi" w:cstheme="minorBidi"/>
          <w:noProof/>
          <w:kern w:val="2"/>
          <w:szCs w:val="24"/>
          <w:lang w:eastAsia="en-GB"/>
          <w14:ligatures w14:val="standardContextual"/>
        </w:rPr>
      </w:pPr>
      <w:hyperlink w:anchor="_Toc188365109" w:history="1">
        <w:r w:rsidRPr="003F4065">
          <w:rPr>
            <w:rStyle w:val="Hyperlink"/>
            <w:noProof/>
          </w:rPr>
          <w:t>Working with DBT (Department for Business and Trade)</w:t>
        </w:r>
        <w:r>
          <w:rPr>
            <w:noProof/>
          </w:rPr>
          <w:tab/>
        </w:r>
        <w:r>
          <w:rPr>
            <w:noProof/>
          </w:rPr>
          <w:fldChar w:fldCharType="begin"/>
        </w:r>
        <w:r>
          <w:rPr>
            <w:noProof/>
          </w:rPr>
          <w:instrText xml:space="preserve"> PAGEREF _Toc188365109 \h </w:instrText>
        </w:r>
        <w:r>
          <w:rPr>
            <w:noProof/>
          </w:rPr>
        </w:r>
        <w:r>
          <w:rPr>
            <w:noProof/>
          </w:rPr>
          <w:fldChar w:fldCharType="separate"/>
        </w:r>
        <w:r>
          <w:rPr>
            <w:noProof/>
          </w:rPr>
          <w:t>9</w:t>
        </w:r>
        <w:r>
          <w:rPr>
            <w:noProof/>
          </w:rPr>
          <w:fldChar w:fldCharType="end"/>
        </w:r>
      </w:hyperlink>
    </w:p>
    <w:p w14:paraId="4344F9FA" w14:textId="18230FF2" w:rsidR="00506C65" w:rsidRDefault="00506C65">
      <w:pPr>
        <w:pStyle w:val="TOC2"/>
        <w:rPr>
          <w:rFonts w:asciiTheme="minorHAnsi" w:eastAsiaTheme="minorEastAsia" w:hAnsiTheme="minorHAnsi" w:cstheme="minorBidi"/>
          <w:noProof/>
          <w:kern w:val="2"/>
          <w:szCs w:val="24"/>
          <w:lang w:eastAsia="en-GB"/>
          <w14:ligatures w14:val="standardContextual"/>
        </w:rPr>
      </w:pPr>
      <w:hyperlink w:anchor="_Toc188365110" w:history="1">
        <w:r w:rsidRPr="003F4065">
          <w:rPr>
            <w:rStyle w:val="Hyperlink"/>
            <w:noProof/>
          </w:rPr>
          <w:t>The Freedom of Information (FOI) Act 2000</w:t>
        </w:r>
        <w:r>
          <w:rPr>
            <w:noProof/>
          </w:rPr>
          <w:tab/>
        </w:r>
        <w:r>
          <w:rPr>
            <w:noProof/>
          </w:rPr>
          <w:fldChar w:fldCharType="begin"/>
        </w:r>
        <w:r>
          <w:rPr>
            <w:noProof/>
          </w:rPr>
          <w:instrText xml:space="preserve"> PAGEREF _Toc188365110 \h </w:instrText>
        </w:r>
        <w:r>
          <w:rPr>
            <w:noProof/>
          </w:rPr>
        </w:r>
        <w:r>
          <w:rPr>
            <w:noProof/>
          </w:rPr>
          <w:fldChar w:fldCharType="separate"/>
        </w:r>
        <w:r>
          <w:rPr>
            <w:noProof/>
          </w:rPr>
          <w:t>9</w:t>
        </w:r>
        <w:r>
          <w:rPr>
            <w:noProof/>
          </w:rPr>
          <w:fldChar w:fldCharType="end"/>
        </w:r>
      </w:hyperlink>
    </w:p>
    <w:p w14:paraId="4836C968" w14:textId="1EC8B3DC" w:rsidR="00506C65" w:rsidRDefault="00506C65">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88365111" w:history="1">
        <w:r w:rsidRPr="003F4065">
          <w:rPr>
            <w:rStyle w:val="Hyperlink"/>
            <w:noProof/>
          </w:rPr>
          <w:t>Chapter 2: The Work of OPRB Teams</w:t>
        </w:r>
        <w:r>
          <w:rPr>
            <w:noProof/>
          </w:rPr>
          <w:tab/>
        </w:r>
        <w:r>
          <w:rPr>
            <w:noProof/>
          </w:rPr>
          <w:fldChar w:fldCharType="begin"/>
        </w:r>
        <w:r>
          <w:rPr>
            <w:noProof/>
          </w:rPr>
          <w:instrText xml:space="preserve"> PAGEREF _Toc188365111 \h </w:instrText>
        </w:r>
        <w:r>
          <w:rPr>
            <w:noProof/>
          </w:rPr>
        </w:r>
        <w:r>
          <w:rPr>
            <w:noProof/>
          </w:rPr>
          <w:fldChar w:fldCharType="separate"/>
        </w:r>
        <w:r>
          <w:rPr>
            <w:noProof/>
          </w:rPr>
          <w:t>10</w:t>
        </w:r>
        <w:r>
          <w:rPr>
            <w:noProof/>
          </w:rPr>
          <w:fldChar w:fldCharType="end"/>
        </w:r>
      </w:hyperlink>
    </w:p>
    <w:p w14:paraId="78D96F99" w14:textId="218A8C46" w:rsidR="00506C65" w:rsidRDefault="00506C65">
      <w:pPr>
        <w:pStyle w:val="TOC2"/>
        <w:rPr>
          <w:rFonts w:asciiTheme="minorHAnsi" w:eastAsiaTheme="minorEastAsia" w:hAnsiTheme="minorHAnsi" w:cstheme="minorBidi"/>
          <w:noProof/>
          <w:kern w:val="2"/>
          <w:szCs w:val="24"/>
          <w:lang w:eastAsia="en-GB"/>
          <w14:ligatures w14:val="standardContextual"/>
        </w:rPr>
      </w:pPr>
      <w:hyperlink w:anchor="_Toc188365112" w:history="1">
        <w:r w:rsidRPr="003F4065">
          <w:rPr>
            <w:rStyle w:val="Hyperlink"/>
            <w:noProof/>
            <w:lang w:val="en-US"/>
          </w:rPr>
          <w:t>Overview</w:t>
        </w:r>
        <w:r>
          <w:rPr>
            <w:noProof/>
          </w:rPr>
          <w:tab/>
        </w:r>
        <w:r>
          <w:rPr>
            <w:noProof/>
          </w:rPr>
          <w:fldChar w:fldCharType="begin"/>
        </w:r>
        <w:r>
          <w:rPr>
            <w:noProof/>
          </w:rPr>
          <w:instrText xml:space="preserve"> PAGEREF _Toc188365112 \h </w:instrText>
        </w:r>
        <w:r>
          <w:rPr>
            <w:noProof/>
          </w:rPr>
        </w:r>
        <w:r>
          <w:rPr>
            <w:noProof/>
          </w:rPr>
          <w:fldChar w:fldCharType="separate"/>
        </w:r>
        <w:r>
          <w:rPr>
            <w:noProof/>
          </w:rPr>
          <w:t>10</w:t>
        </w:r>
        <w:r>
          <w:rPr>
            <w:noProof/>
          </w:rPr>
          <w:fldChar w:fldCharType="end"/>
        </w:r>
      </w:hyperlink>
    </w:p>
    <w:p w14:paraId="489B3219" w14:textId="36808078" w:rsidR="00506C65" w:rsidRDefault="00506C65">
      <w:pPr>
        <w:pStyle w:val="TOC2"/>
        <w:rPr>
          <w:rFonts w:asciiTheme="minorHAnsi" w:eastAsiaTheme="minorEastAsia" w:hAnsiTheme="minorHAnsi" w:cstheme="minorBidi"/>
          <w:noProof/>
          <w:kern w:val="2"/>
          <w:szCs w:val="24"/>
          <w:lang w:eastAsia="en-GB"/>
          <w14:ligatures w14:val="standardContextual"/>
        </w:rPr>
      </w:pPr>
      <w:hyperlink w:anchor="_Toc188365113" w:history="1">
        <w:r w:rsidRPr="003F4065">
          <w:rPr>
            <w:rStyle w:val="Hyperlink"/>
            <w:noProof/>
          </w:rPr>
          <w:t>Con</w:t>
        </w:r>
        <w:r w:rsidRPr="003F4065">
          <w:rPr>
            <w:rStyle w:val="Hyperlink"/>
            <w:noProof/>
            <w:spacing w:val="-2"/>
          </w:rPr>
          <w:t>t</w:t>
        </w:r>
        <w:r w:rsidRPr="003F4065">
          <w:rPr>
            <w:rStyle w:val="Hyperlink"/>
            <w:noProof/>
          </w:rPr>
          <w:t xml:space="preserve">ext and </w:t>
        </w:r>
        <w:r w:rsidRPr="003F4065">
          <w:rPr>
            <w:rStyle w:val="Hyperlink"/>
            <w:noProof/>
            <w:spacing w:val="-2"/>
          </w:rPr>
          <w:t>Government</w:t>
        </w:r>
        <w:r w:rsidRPr="003F4065">
          <w:rPr>
            <w:rStyle w:val="Hyperlink"/>
            <w:noProof/>
          </w:rPr>
          <w:t xml:space="preserve"> remits during 202</w:t>
        </w:r>
        <w:r w:rsidR="00D110A0">
          <w:rPr>
            <w:rStyle w:val="Hyperlink"/>
            <w:noProof/>
          </w:rPr>
          <w:t>4</w:t>
        </w:r>
        <w:r w:rsidRPr="003F4065">
          <w:rPr>
            <w:rStyle w:val="Hyperlink"/>
            <w:noProof/>
          </w:rPr>
          <w:t>/2</w:t>
        </w:r>
        <w:r w:rsidR="00726995">
          <w:rPr>
            <w:rStyle w:val="Hyperlink"/>
            <w:noProof/>
          </w:rPr>
          <w:t>5</w:t>
        </w:r>
        <w:r>
          <w:rPr>
            <w:noProof/>
          </w:rPr>
          <w:tab/>
        </w:r>
        <w:r>
          <w:rPr>
            <w:noProof/>
          </w:rPr>
          <w:fldChar w:fldCharType="begin"/>
        </w:r>
        <w:r>
          <w:rPr>
            <w:noProof/>
          </w:rPr>
          <w:instrText xml:space="preserve"> PAGEREF _Toc188365113 \h </w:instrText>
        </w:r>
        <w:r>
          <w:rPr>
            <w:noProof/>
          </w:rPr>
        </w:r>
        <w:r>
          <w:rPr>
            <w:noProof/>
          </w:rPr>
          <w:fldChar w:fldCharType="separate"/>
        </w:r>
        <w:r>
          <w:rPr>
            <w:noProof/>
          </w:rPr>
          <w:t>1</w:t>
        </w:r>
        <w:r w:rsidR="007E382C">
          <w:rPr>
            <w:noProof/>
          </w:rPr>
          <w:t>6</w:t>
        </w:r>
        <w:r>
          <w:rPr>
            <w:noProof/>
          </w:rPr>
          <w:fldChar w:fldCharType="end"/>
        </w:r>
      </w:hyperlink>
    </w:p>
    <w:p w14:paraId="04DDCA1E" w14:textId="4487D34F" w:rsidR="00506C65" w:rsidRDefault="00506C65">
      <w:pPr>
        <w:pStyle w:val="TOC2"/>
        <w:rPr>
          <w:rFonts w:asciiTheme="minorHAnsi" w:eastAsiaTheme="minorEastAsia" w:hAnsiTheme="minorHAnsi" w:cstheme="minorBidi"/>
          <w:noProof/>
          <w:kern w:val="2"/>
          <w:szCs w:val="24"/>
          <w:lang w:eastAsia="en-GB"/>
          <w14:ligatures w14:val="standardContextual"/>
        </w:rPr>
      </w:pPr>
      <w:hyperlink w:anchor="_Toc188365114" w:history="1">
        <w:r w:rsidRPr="003F4065">
          <w:rPr>
            <w:rStyle w:val="Hyperlink"/>
            <w:noProof/>
          </w:rPr>
          <w:t>The work of the Pay Review Body Secretariats</w:t>
        </w:r>
        <w:r>
          <w:rPr>
            <w:noProof/>
          </w:rPr>
          <w:tab/>
        </w:r>
        <w:r>
          <w:rPr>
            <w:noProof/>
          </w:rPr>
          <w:fldChar w:fldCharType="begin"/>
        </w:r>
        <w:r>
          <w:rPr>
            <w:noProof/>
          </w:rPr>
          <w:instrText xml:space="preserve"> PAGEREF _Toc188365114 \h </w:instrText>
        </w:r>
        <w:r>
          <w:rPr>
            <w:noProof/>
          </w:rPr>
        </w:r>
        <w:r>
          <w:rPr>
            <w:noProof/>
          </w:rPr>
          <w:fldChar w:fldCharType="separate"/>
        </w:r>
        <w:r>
          <w:rPr>
            <w:noProof/>
          </w:rPr>
          <w:t>1</w:t>
        </w:r>
        <w:r>
          <w:rPr>
            <w:noProof/>
          </w:rPr>
          <w:fldChar w:fldCharType="end"/>
        </w:r>
      </w:hyperlink>
      <w:r w:rsidR="00DB71EE">
        <w:t>6</w:t>
      </w:r>
    </w:p>
    <w:p w14:paraId="4B9F9CFE" w14:textId="29C25C56" w:rsidR="00506C65" w:rsidRDefault="00506C65">
      <w:pPr>
        <w:pStyle w:val="TOC2"/>
        <w:rPr>
          <w:rFonts w:asciiTheme="minorHAnsi" w:eastAsiaTheme="minorEastAsia" w:hAnsiTheme="minorHAnsi" w:cstheme="minorBidi"/>
          <w:noProof/>
          <w:kern w:val="2"/>
          <w:szCs w:val="24"/>
          <w:lang w:eastAsia="en-GB"/>
          <w14:ligatures w14:val="standardContextual"/>
        </w:rPr>
      </w:pPr>
      <w:hyperlink w:anchor="_Toc188365115" w:history="1">
        <w:r w:rsidRPr="003F4065">
          <w:rPr>
            <w:rStyle w:val="Hyperlink"/>
            <w:noProof/>
          </w:rPr>
          <w:t>Armed Forces’ Pay Review Body (AFPRB) Secretariat</w:t>
        </w:r>
        <w:r>
          <w:rPr>
            <w:noProof/>
          </w:rPr>
          <w:tab/>
        </w:r>
        <w:r>
          <w:rPr>
            <w:noProof/>
          </w:rPr>
          <w:fldChar w:fldCharType="begin"/>
        </w:r>
        <w:r>
          <w:rPr>
            <w:noProof/>
          </w:rPr>
          <w:instrText xml:space="preserve"> PAGEREF _Toc188365115 \h </w:instrText>
        </w:r>
        <w:r>
          <w:rPr>
            <w:noProof/>
          </w:rPr>
        </w:r>
        <w:r>
          <w:rPr>
            <w:noProof/>
          </w:rPr>
          <w:fldChar w:fldCharType="separate"/>
        </w:r>
        <w:r>
          <w:rPr>
            <w:noProof/>
          </w:rPr>
          <w:t>1</w:t>
        </w:r>
        <w:r w:rsidR="00DB71EE">
          <w:rPr>
            <w:noProof/>
          </w:rPr>
          <w:t>7</w:t>
        </w:r>
        <w:r>
          <w:rPr>
            <w:noProof/>
          </w:rPr>
          <w:fldChar w:fldCharType="end"/>
        </w:r>
      </w:hyperlink>
    </w:p>
    <w:p w14:paraId="455689AD" w14:textId="37893989" w:rsidR="00506C65" w:rsidRDefault="00506C65">
      <w:pPr>
        <w:pStyle w:val="TOC2"/>
        <w:rPr>
          <w:rFonts w:asciiTheme="minorHAnsi" w:eastAsiaTheme="minorEastAsia" w:hAnsiTheme="minorHAnsi" w:cstheme="minorBidi"/>
          <w:noProof/>
          <w:kern w:val="2"/>
          <w:szCs w:val="24"/>
          <w:lang w:eastAsia="en-GB"/>
          <w14:ligatures w14:val="standardContextual"/>
        </w:rPr>
      </w:pPr>
      <w:hyperlink w:anchor="_Toc188365116" w:history="1">
        <w:r w:rsidRPr="003F4065">
          <w:rPr>
            <w:rStyle w:val="Hyperlink"/>
            <w:noProof/>
          </w:rPr>
          <w:t>Review Body on Doctors’ and Dentists’ Remuneration (DDRB) Secretariat</w:t>
        </w:r>
        <w:r>
          <w:rPr>
            <w:noProof/>
          </w:rPr>
          <w:tab/>
        </w:r>
        <w:r>
          <w:rPr>
            <w:noProof/>
          </w:rPr>
          <w:fldChar w:fldCharType="begin"/>
        </w:r>
        <w:r>
          <w:rPr>
            <w:noProof/>
          </w:rPr>
          <w:instrText xml:space="preserve"> PAGEREF _Toc188365116 \h </w:instrText>
        </w:r>
        <w:r>
          <w:rPr>
            <w:noProof/>
          </w:rPr>
        </w:r>
        <w:r>
          <w:rPr>
            <w:noProof/>
          </w:rPr>
          <w:fldChar w:fldCharType="separate"/>
        </w:r>
        <w:r>
          <w:rPr>
            <w:noProof/>
          </w:rPr>
          <w:t>1</w:t>
        </w:r>
        <w:r w:rsidR="00013CBE">
          <w:rPr>
            <w:noProof/>
          </w:rPr>
          <w:t>9</w:t>
        </w:r>
        <w:r>
          <w:rPr>
            <w:noProof/>
          </w:rPr>
          <w:fldChar w:fldCharType="end"/>
        </w:r>
      </w:hyperlink>
    </w:p>
    <w:p w14:paraId="23EC7DAD" w14:textId="682301D0" w:rsidR="00506C65" w:rsidRDefault="00506C65">
      <w:pPr>
        <w:pStyle w:val="TOC2"/>
        <w:rPr>
          <w:rFonts w:asciiTheme="minorHAnsi" w:eastAsiaTheme="minorEastAsia" w:hAnsiTheme="minorHAnsi" w:cstheme="minorBidi"/>
          <w:noProof/>
          <w:kern w:val="2"/>
          <w:szCs w:val="24"/>
          <w:lang w:eastAsia="en-GB"/>
          <w14:ligatures w14:val="standardContextual"/>
        </w:rPr>
      </w:pPr>
      <w:hyperlink w:anchor="_Toc188365117" w:history="1">
        <w:r w:rsidRPr="003F4065">
          <w:rPr>
            <w:rStyle w:val="Hyperlink"/>
            <w:noProof/>
          </w:rPr>
          <w:t>National Crime Agency Remuneration Review Body (NCARRB) Secretariat</w:t>
        </w:r>
        <w:r>
          <w:rPr>
            <w:noProof/>
          </w:rPr>
          <w:tab/>
        </w:r>
        <w:r w:rsidR="00262C5E">
          <w:rPr>
            <w:noProof/>
          </w:rPr>
          <w:t>2</w:t>
        </w:r>
        <w:r w:rsidR="006921CA">
          <w:rPr>
            <w:noProof/>
          </w:rPr>
          <w:t>0</w:t>
        </w:r>
      </w:hyperlink>
    </w:p>
    <w:p w14:paraId="429E28CB" w14:textId="617FA7EB" w:rsidR="00506C65" w:rsidRDefault="00506C65">
      <w:pPr>
        <w:pStyle w:val="TOC2"/>
        <w:rPr>
          <w:rFonts w:asciiTheme="minorHAnsi" w:eastAsiaTheme="minorEastAsia" w:hAnsiTheme="minorHAnsi" w:cstheme="minorBidi"/>
          <w:noProof/>
          <w:kern w:val="2"/>
          <w:szCs w:val="24"/>
          <w:lang w:eastAsia="en-GB"/>
          <w14:ligatures w14:val="standardContextual"/>
        </w:rPr>
      </w:pPr>
      <w:hyperlink w:anchor="_Toc188365118" w:history="1">
        <w:r w:rsidRPr="003F4065">
          <w:rPr>
            <w:rStyle w:val="Hyperlink"/>
            <w:noProof/>
          </w:rPr>
          <w:t>National Health Service Pay Review Body (NHSPRB) Secretariat</w:t>
        </w:r>
        <w:r>
          <w:rPr>
            <w:noProof/>
          </w:rPr>
          <w:tab/>
        </w:r>
        <w:r>
          <w:rPr>
            <w:noProof/>
          </w:rPr>
          <w:fldChar w:fldCharType="begin"/>
        </w:r>
        <w:r>
          <w:rPr>
            <w:noProof/>
          </w:rPr>
          <w:instrText xml:space="preserve"> PAGEREF _Toc188365118 \h </w:instrText>
        </w:r>
        <w:r>
          <w:rPr>
            <w:noProof/>
          </w:rPr>
        </w:r>
        <w:r>
          <w:rPr>
            <w:noProof/>
          </w:rPr>
          <w:fldChar w:fldCharType="separate"/>
        </w:r>
        <w:r>
          <w:rPr>
            <w:noProof/>
          </w:rPr>
          <w:t>2</w:t>
        </w:r>
        <w:r w:rsidR="006921CA">
          <w:rPr>
            <w:noProof/>
          </w:rPr>
          <w:t>1</w:t>
        </w:r>
        <w:r>
          <w:rPr>
            <w:noProof/>
          </w:rPr>
          <w:fldChar w:fldCharType="end"/>
        </w:r>
      </w:hyperlink>
    </w:p>
    <w:p w14:paraId="488FD082" w14:textId="7959D216" w:rsidR="00506C65" w:rsidRDefault="00506C65">
      <w:pPr>
        <w:pStyle w:val="TOC2"/>
        <w:rPr>
          <w:rFonts w:asciiTheme="minorHAnsi" w:eastAsiaTheme="minorEastAsia" w:hAnsiTheme="minorHAnsi" w:cstheme="minorBidi"/>
          <w:noProof/>
          <w:kern w:val="2"/>
          <w:szCs w:val="24"/>
          <w:lang w:eastAsia="en-GB"/>
          <w14:ligatures w14:val="standardContextual"/>
        </w:rPr>
      </w:pPr>
      <w:hyperlink w:anchor="_Toc188365119" w:history="1">
        <w:r w:rsidRPr="003F4065">
          <w:rPr>
            <w:rStyle w:val="Hyperlink"/>
            <w:noProof/>
          </w:rPr>
          <w:t>Police Remuneration Review Body (PRRB) Secretariat</w:t>
        </w:r>
        <w:r>
          <w:rPr>
            <w:noProof/>
          </w:rPr>
          <w:tab/>
        </w:r>
        <w:r>
          <w:rPr>
            <w:noProof/>
          </w:rPr>
          <w:fldChar w:fldCharType="begin"/>
        </w:r>
        <w:r>
          <w:rPr>
            <w:noProof/>
          </w:rPr>
          <w:instrText xml:space="preserve"> PAGEREF _Toc188365119 \h </w:instrText>
        </w:r>
        <w:r>
          <w:rPr>
            <w:noProof/>
          </w:rPr>
        </w:r>
        <w:r>
          <w:rPr>
            <w:noProof/>
          </w:rPr>
          <w:fldChar w:fldCharType="separate"/>
        </w:r>
        <w:r>
          <w:rPr>
            <w:noProof/>
          </w:rPr>
          <w:t>2</w:t>
        </w:r>
        <w:r w:rsidR="006921CA">
          <w:rPr>
            <w:noProof/>
          </w:rPr>
          <w:t>2</w:t>
        </w:r>
        <w:r>
          <w:rPr>
            <w:noProof/>
          </w:rPr>
          <w:fldChar w:fldCharType="end"/>
        </w:r>
      </w:hyperlink>
    </w:p>
    <w:p w14:paraId="42DC491D" w14:textId="0904B7E1" w:rsidR="00285153" w:rsidRDefault="00506C65" w:rsidP="00285153">
      <w:pPr>
        <w:pStyle w:val="TOC2"/>
      </w:pPr>
      <w:hyperlink w:anchor="_Toc188365120" w:history="1">
        <w:r w:rsidRPr="003F4065">
          <w:rPr>
            <w:rStyle w:val="Hyperlink"/>
            <w:noProof/>
          </w:rPr>
          <w:t>Prison Service Pay Review Body (PSPRB) Secretariat</w:t>
        </w:r>
        <w:r>
          <w:rPr>
            <w:noProof/>
          </w:rPr>
          <w:tab/>
        </w:r>
        <w:r>
          <w:rPr>
            <w:noProof/>
          </w:rPr>
          <w:fldChar w:fldCharType="begin"/>
        </w:r>
        <w:r>
          <w:rPr>
            <w:noProof/>
          </w:rPr>
          <w:instrText xml:space="preserve"> PAGEREF _Toc188365120 \h </w:instrText>
        </w:r>
        <w:r>
          <w:rPr>
            <w:noProof/>
          </w:rPr>
        </w:r>
        <w:r>
          <w:rPr>
            <w:noProof/>
          </w:rPr>
          <w:fldChar w:fldCharType="separate"/>
        </w:r>
        <w:r>
          <w:rPr>
            <w:noProof/>
          </w:rPr>
          <w:t>2</w:t>
        </w:r>
        <w:r>
          <w:rPr>
            <w:noProof/>
          </w:rPr>
          <w:fldChar w:fldCharType="end"/>
        </w:r>
      </w:hyperlink>
      <w:r w:rsidR="00B57905">
        <w:t>3</w:t>
      </w:r>
    </w:p>
    <w:p w14:paraId="7A90DBE5" w14:textId="557B918A" w:rsidR="00285153" w:rsidRPr="00285153" w:rsidRDefault="0066225D" w:rsidP="00285153">
      <w:pPr>
        <w:pStyle w:val="TOC2"/>
      </w:pPr>
      <w:r w:rsidRPr="0066225D">
        <w:t xml:space="preserve">Review Body on Senior Salaries (SSRB) Secretariat </w:t>
      </w:r>
      <w:r>
        <w:tab/>
        <w:t>25</w:t>
      </w:r>
    </w:p>
    <w:p w14:paraId="14DBA771" w14:textId="4F8D92BB" w:rsidR="00506C65" w:rsidRDefault="00506C65">
      <w:pPr>
        <w:pStyle w:val="TOC2"/>
        <w:rPr>
          <w:rFonts w:asciiTheme="minorHAnsi" w:eastAsiaTheme="minorEastAsia" w:hAnsiTheme="minorHAnsi" w:cstheme="minorBidi"/>
          <w:noProof/>
          <w:kern w:val="2"/>
          <w:szCs w:val="24"/>
          <w:lang w:eastAsia="en-GB"/>
          <w14:ligatures w14:val="standardContextual"/>
        </w:rPr>
      </w:pPr>
      <w:hyperlink w:anchor="_Toc188365122" w:history="1">
        <w:r w:rsidRPr="003F4065">
          <w:rPr>
            <w:rStyle w:val="Hyperlink"/>
            <w:noProof/>
          </w:rPr>
          <w:t>School Teachers’ Review Body (STRB) Secretariat</w:t>
        </w:r>
        <w:r>
          <w:rPr>
            <w:noProof/>
          </w:rPr>
          <w:tab/>
        </w:r>
        <w:r w:rsidR="007E17DA">
          <w:rPr>
            <w:noProof/>
          </w:rPr>
          <w:t>2</w:t>
        </w:r>
        <w:r w:rsidR="00B30D50">
          <w:rPr>
            <w:noProof/>
          </w:rPr>
          <w:t>7</w:t>
        </w:r>
        <w:r>
          <w:rPr>
            <w:noProof/>
          </w:rPr>
          <w:fldChar w:fldCharType="begin"/>
        </w:r>
        <w:r>
          <w:rPr>
            <w:noProof/>
          </w:rPr>
          <w:instrText xml:space="preserve"> PAGEREF _Toc188365122 \h </w:instrText>
        </w:r>
        <w:r>
          <w:rPr>
            <w:noProof/>
          </w:rPr>
        </w:r>
        <w:r>
          <w:rPr>
            <w:noProof/>
          </w:rPr>
          <w:fldChar w:fldCharType="separate"/>
        </w:r>
        <w:r>
          <w:rPr>
            <w:noProof/>
          </w:rPr>
          <w:fldChar w:fldCharType="end"/>
        </w:r>
      </w:hyperlink>
    </w:p>
    <w:p w14:paraId="49B34F8D" w14:textId="14DCBEE8" w:rsidR="00506C65" w:rsidRDefault="00506C65">
      <w:pPr>
        <w:pStyle w:val="TOC2"/>
        <w:rPr>
          <w:rFonts w:asciiTheme="minorHAnsi" w:eastAsiaTheme="minorEastAsia" w:hAnsiTheme="minorHAnsi" w:cstheme="minorBidi"/>
          <w:noProof/>
          <w:kern w:val="2"/>
          <w:szCs w:val="24"/>
          <w:lang w:eastAsia="en-GB"/>
          <w14:ligatures w14:val="standardContextual"/>
        </w:rPr>
      </w:pPr>
      <w:hyperlink w:anchor="_Toc188365123" w:history="1">
        <w:r w:rsidRPr="003F4065">
          <w:rPr>
            <w:rStyle w:val="Hyperlink"/>
            <w:noProof/>
          </w:rPr>
          <w:t>Research and Analysis</w:t>
        </w:r>
        <w:r>
          <w:rPr>
            <w:noProof/>
          </w:rPr>
          <w:tab/>
        </w:r>
        <w:r w:rsidR="007E17DA">
          <w:rPr>
            <w:noProof/>
          </w:rPr>
          <w:t>2</w:t>
        </w:r>
      </w:hyperlink>
      <w:r w:rsidR="00557D70">
        <w:t>8</w:t>
      </w:r>
    </w:p>
    <w:p w14:paraId="7EFFA238" w14:textId="0753440F" w:rsidR="00506C65" w:rsidRDefault="00506C65">
      <w:pPr>
        <w:pStyle w:val="TOC2"/>
        <w:rPr>
          <w:rFonts w:asciiTheme="minorHAnsi" w:eastAsiaTheme="minorEastAsia" w:hAnsiTheme="minorHAnsi" w:cstheme="minorBidi"/>
          <w:noProof/>
          <w:kern w:val="2"/>
          <w:szCs w:val="24"/>
          <w:lang w:eastAsia="en-GB"/>
          <w14:ligatures w14:val="standardContextual"/>
        </w:rPr>
      </w:pPr>
      <w:hyperlink w:anchor="_Toc188365124" w:history="1">
        <w:r w:rsidRPr="003F4065">
          <w:rPr>
            <w:rStyle w:val="Hyperlink"/>
            <w:noProof/>
            <w:spacing w:val="-1"/>
          </w:rPr>
          <w:t>R</w:t>
        </w:r>
        <w:r w:rsidRPr="003F4065">
          <w:rPr>
            <w:rStyle w:val="Hyperlink"/>
            <w:noProof/>
          </w:rPr>
          <w:t>e</w:t>
        </w:r>
        <w:r w:rsidRPr="003F4065">
          <w:rPr>
            <w:rStyle w:val="Hyperlink"/>
            <w:noProof/>
            <w:spacing w:val="-4"/>
          </w:rPr>
          <w:t>v</w:t>
        </w:r>
        <w:r w:rsidRPr="003F4065">
          <w:rPr>
            <w:rStyle w:val="Hyperlink"/>
            <w:noProof/>
          </w:rPr>
          <w:t>i</w:t>
        </w:r>
        <w:r w:rsidRPr="003F4065">
          <w:rPr>
            <w:rStyle w:val="Hyperlink"/>
            <w:noProof/>
            <w:spacing w:val="1"/>
          </w:rPr>
          <w:t>e</w:t>
        </w:r>
        <w:r w:rsidRPr="003F4065">
          <w:rPr>
            <w:rStyle w:val="Hyperlink"/>
            <w:noProof/>
          </w:rPr>
          <w:t>w</w:t>
        </w:r>
        <w:r w:rsidRPr="003F4065">
          <w:rPr>
            <w:rStyle w:val="Hyperlink"/>
            <w:noProof/>
            <w:spacing w:val="3"/>
          </w:rPr>
          <w:t xml:space="preserve"> </w:t>
        </w:r>
        <w:r w:rsidRPr="003F4065">
          <w:rPr>
            <w:rStyle w:val="Hyperlink"/>
            <w:noProof/>
            <w:spacing w:val="-1"/>
          </w:rPr>
          <w:t>B</w:t>
        </w:r>
        <w:r w:rsidRPr="003F4065">
          <w:rPr>
            <w:rStyle w:val="Hyperlink"/>
            <w:noProof/>
          </w:rPr>
          <w:t>o</w:t>
        </w:r>
        <w:r w:rsidRPr="003F4065">
          <w:rPr>
            <w:rStyle w:val="Hyperlink"/>
            <w:noProof/>
            <w:spacing w:val="1"/>
          </w:rPr>
          <w:t>d</w:t>
        </w:r>
        <w:r w:rsidRPr="003F4065">
          <w:rPr>
            <w:rStyle w:val="Hyperlink"/>
            <w:noProof/>
          </w:rPr>
          <w:t>y</w:t>
        </w:r>
        <w:r w:rsidRPr="003F4065">
          <w:rPr>
            <w:rStyle w:val="Hyperlink"/>
            <w:noProof/>
            <w:spacing w:val="-6"/>
          </w:rPr>
          <w:t xml:space="preserve"> </w:t>
        </w:r>
        <w:r w:rsidRPr="003F4065">
          <w:rPr>
            <w:rStyle w:val="Hyperlink"/>
            <w:noProof/>
          </w:rPr>
          <w:t>appointmen</w:t>
        </w:r>
        <w:r w:rsidRPr="003F4065">
          <w:rPr>
            <w:rStyle w:val="Hyperlink"/>
            <w:noProof/>
            <w:spacing w:val="-1"/>
          </w:rPr>
          <w:t>t</w:t>
        </w:r>
        <w:r w:rsidRPr="003F4065">
          <w:rPr>
            <w:rStyle w:val="Hyperlink"/>
            <w:noProof/>
          </w:rPr>
          <w:t>s</w:t>
        </w:r>
        <w:r>
          <w:rPr>
            <w:noProof/>
          </w:rPr>
          <w:tab/>
        </w:r>
        <w:r w:rsidR="007E17DA">
          <w:rPr>
            <w:noProof/>
          </w:rPr>
          <w:t>2</w:t>
        </w:r>
      </w:hyperlink>
      <w:r w:rsidR="00904B1B">
        <w:t>8</w:t>
      </w:r>
    </w:p>
    <w:p w14:paraId="2FFF41EB" w14:textId="578CAFA8" w:rsidR="00506C65" w:rsidRDefault="00506C65">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88365125" w:history="1">
        <w:r w:rsidRPr="003F4065">
          <w:rPr>
            <w:rStyle w:val="Hyperlink"/>
            <w:noProof/>
          </w:rPr>
          <w:t>Annex A: OPRB staff resources 202</w:t>
        </w:r>
        <w:r w:rsidR="00E84D61">
          <w:rPr>
            <w:rStyle w:val="Hyperlink"/>
            <w:noProof/>
          </w:rPr>
          <w:t>4</w:t>
        </w:r>
        <w:r w:rsidRPr="003F4065">
          <w:rPr>
            <w:rStyle w:val="Hyperlink"/>
            <w:noProof/>
          </w:rPr>
          <w:t xml:space="preserve"> and 202</w:t>
        </w:r>
        <w:r w:rsidR="00E84D61">
          <w:rPr>
            <w:rStyle w:val="Hyperlink"/>
            <w:noProof/>
          </w:rPr>
          <w:t>5</w:t>
        </w:r>
        <w:r>
          <w:rPr>
            <w:noProof/>
          </w:rPr>
          <w:tab/>
        </w:r>
        <w:r w:rsidR="007E17DA">
          <w:rPr>
            <w:noProof/>
          </w:rPr>
          <w:t>3</w:t>
        </w:r>
        <w:r w:rsidR="007021FC">
          <w:rPr>
            <w:noProof/>
          </w:rPr>
          <w:t>0</w:t>
        </w:r>
      </w:hyperlink>
    </w:p>
    <w:p w14:paraId="6E90ACB6" w14:textId="446739F2" w:rsidR="00506C65" w:rsidRDefault="00506C65">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88365126" w:history="1">
        <w:r w:rsidRPr="003F4065">
          <w:rPr>
            <w:rStyle w:val="Hyperlink"/>
            <w:noProof/>
          </w:rPr>
          <w:t>Annex B: Review Body secretariat work volumes from September 1</w:t>
        </w:r>
        <w:r w:rsidRPr="003F4065">
          <w:rPr>
            <w:rStyle w:val="Hyperlink"/>
            <w:noProof/>
            <w:vertAlign w:val="superscript"/>
          </w:rPr>
          <w:t>st</w:t>
        </w:r>
        <w:r w:rsidRPr="003F4065">
          <w:rPr>
            <w:rStyle w:val="Hyperlink"/>
            <w:noProof/>
          </w:rPr>
          <w:t xml:space="preserve"> 202</w:t>
        </w:r>
        <w:r w:rsidR="00E84D61">
          <w:rPr>
            <w:rStyle w:val="Hyperlink"/>
            <w:noProof/>
          </w:rPr>
          <w:t>4</w:t>
        </w:r>
        <w:r w:rsidRPr="003F4065">
          <w:rPr>
            <w:rStyle w:val="Hyperlink"/>
            <w:noProof/>
          </w:rPr>
          <w:t xml:space="preserve"> to August 31</w:t>
        </w:r>
        <w:r w:rsidRPr="003F4065">
          <w:rPr>
            <w:rStyle w:val="Hyperlink"/>
            <w:noProof/>
            <w:vertAlign w:val="superscript"/>
          </w:rPr>
          <w:t>st</w:t>
        </w:r>
        <w:r w:rsidRPr="003F4065">
          <w:rPr>
            <w:rStyle w:val="Hyperlink"/>
            <w:noProof/>
          </w:rPr>
          <w:t xml:space="preserve"> 202</w:t>
        </w:r>
        <w:r w:rsidR="00E84D61">
          <w:rPr>
            <w:rStyle w:val="Hyperlink"/>
            <w:noProof/>
          </w:rPr>
          <w:t>5</w:t>
        </w:r>
        <w:r>
          <w:rPr>
            <w:noProof/>
          </w:rPr>
          <w:tab/>
        </w:r>
        <w:r w:rsidR="007E17DA">
          <w:rPr>
            <w:noProof/>
          </w:rPr>
          <w:t>3</w:t>
        </w:r>
        <w:r w:rsidR="007021FC">
          <w:rPr>
            <w:noProof/>
          </w:rPr>
          <w:t>1</w:t>
        </w:r>
      </w:hyperlink>
    </w:p>
    <w:p w14:paraId="6866C3E5" w14:textId="3F3EA1E0" w:rsidR="001C1DB8" w:rsidRDefault="00FB2C3B">
      <w:r>
        <w:fldChar w:fldCharType="end"/>
      </w:r>
    </w:p>
    <w:p w14:paraId="6866C3E6" w14:textId="77777777" w:rsidR="001C1DB8" w:rsidRDefault="001C1DB8">
      <w:pPr>
        <w:pageBreakBefore/>
      </w:pPr>
    </w:p>
    <w:tbl>
      <w:tblPr>
        <w:tblW w:w="9016" w:type="dxa"/>
        <w:jc w:val="center"/>
        <w:tblCellMar>
          <w:left w:w="10" w:type="dxa"/>
          <w:right w:w="10" w:type="dxa"/>
        </w:tblCellMar>
        <w:tblLook w:val="0000" w:firstRow="0" w:lastRow="0" w:firstColumn="0" w:lastColumn="0" w:noHBand="0" w:noVBand="0"/>
      </w:tblPr>
      <w:tblGrid>
        <w:gridCol w:w="9016"/>
      </w:tblGrid>
      <w:tr w:rsidR="001C1DB8" w14:paraId="6866C3F8" w14:textId="77777777" w:rsidTr="5B84DC7A">
        <w:trPr>
          <w:cantSplit/>
          <w:jc w:val="center"/>
        </w:trPr>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left w:w="284" w:type="dxa"/>
              <w:bottom w:w="284" w:type="dxa"/>
              <w:right w:w="284" w:type="dxa"/>
            </w:tcMar>
          </w:tcPr>
          <w:p w14:paraId="6866C3E7" w14:textId="75E4C501" w:rsidR="001C1DB8" w:rsidRDefault="00FB2C3B">
            <w:pPr>
              <w:pStyle w:val="Heading1"/>
            </w:pPr>
            <w:bookmarkStart w:id="1" w:name="_Toc188365104"/>
            <w:r>
              <w:t>The Office</w:t>
            </w:r>
            <w:r w:rsidR="004B07C5">
              <w:t xml:space="preserve"> for the Pay Review Bodies</w:t>
            </w:r>
            <w:r>
              <w:t xml:space="preserve"> (O</w:t>
            </w:r>
            <w:r w:rsidR="004B07C5">
              <w:t>PRB</w:t>
            </w:r>
            <w:r>
              <w:t>)</w:t>
            </w:r>
            <w:bookmarkEnd w:id="1"/>
          </w:p>
          <w:p w14:paraId="6866C3E8" w14:textId="567DD36E" w:rsidR="001C1DB8" w:rsidRPr="00FB3B16" w:rsidRDefault="00FB2C3B">
            <w:r>
              <w:t xml:space="preserve">The Office </w:t>
            </w:r>
            <w:r w:rsidR="00354CD0">
              <w:t>for the Pay Review Bod</w:t>
            </w:r>
            <w:r w:rsidR="005C157E">
              <w:t>ies</w:t>
            </w:r>
            <w:r w:rsidDel="00354CD0">
              <w:t xml:space="preserve"> </w:t>
            </w:r>
            <w:r>
              <w:t xml:space="preserve">provides an independent secretariat to eight Pay Review Bodies which make recommendations impacting </w:t>
            </w:r>
            <w:r w:rsidRPr="00FB3B16">
              <w:t>2.</w:t>
            </w:r>
            <w:r w:rsidR="00CA14AC" w:rsidRPr="00FB3B16">
              <w:t>5</w:t>
            </w:r>
            <w:r w:rsidRPr="00FB3B16">
              <w:t xml:space="preserve"> million workers</w:t>
            </w:r>
            <w:r>
              <w:t xml:space="preserve"> – around </w:t>
            </w:r>
            <w:r w:rsidR="4D464E01" w:rsidRPr="00FB3B16">
              <w:t>4</w:t>
            </w:r>
            <w:r w:rsidR="00CA14AC" w:rsidRPr="00FB3B16">
              <w:t>5</w:t>
            </w:r>
            <w:r w:rsidRPr="00FB3B16">
              <w:t>%</w:t>
            </w:r>
            <w:r>
              <w:t xml:space="preserve"> of public sector staff – and a pay bill of </w:t>
            </w:r>
            <w:r w:rsidR="00E95899">
              <w:t xml:space="preserve">over </w:t>
            </w:r>
            <w:r w:rsidRPr="00FB3B16">
              <w:t>£1</w:t>
            </w:r>
            <w:r w:rsidR="00916835" w:rsidRPr="00FB3B16">
              <w:t>00</w:t>
            </w:r>
            <w:r w:rsidRPr="00FB3B16">
              <w:t xml:space="preserve"> billion.</w:t>
            </w:r>
            <w:r w:rsidRPr="00FB3B16">
              <w:rPr>
                <w:rStyle w:val="FootnoteReference"/>
              </w:rPr>
              <w:footnoteReference w:id="2"/>
            </w:r>
            <w:r w:rsidRPr="00FB3B16">
              <w:t xml:space="preserve"> </w:t>
            </w:r>
          </w:p>
          <w:p w14:paraId="6866C3E9" w14:textId="77777777" w:rsidR="001C1DB8" w:rsidRDefault="001C1DB8"/>
          <w:p w14:paraId="6866C3EA" w14:textId="26BD3F9B" w:rsidR="001C1DB8" w:rsidRDefault="00FB2C3B">
            <w:pPr>
              <w:spacing w:before="0" w:after="0"/>
              <w:textAlignment w:val="baseline"/>
              <w:rPr>
                <w:rFonts w:eastAsia="Times New Roman"/>
                <w:lang w:eastAsia="en-GB"/>
              </w:rPr>
            </w:pPr>
            <w:r>
              <w:rPr>
                <w:rFonts w:eastAsia="Times New Roman"/>
                <w:lang w:eastAsia="en-GB"/>
              </w:rPr>
              <w:t>The O</w:t>
            </w:r>
            <w:r w:rsidR="004B07C5">
              <w:rPr>
                <w:rFonts w:eastAsia="Times New Roman"/>
                <w:lang w:eastAsia="en-GB"/>
              </w:rPr>
              <w:t>PRB</w:t>
            </w:r>
            <w:r>
              <w:rPr>
                <w:rFonts w:eastAsia="Times New Roman"/>
                <w:lang w:eastAsia="en-GB"/>
              </w:rPr>
              <w:t xml:space="preserve">’s </w:t>
            </w:r>
            <w:r w:rsidR="00A713E5">
              <w:rPr>
                <w:rFonts w:eastAsia="Times New Roman"/>
                <w:lang w:eastAsia="en-GB"/>
              </w:rPr>
              <w:t>20</w:t>
            </w:r>
            <w:r>
              <w:rPr>
                <w:rFonts w:eastAsia="Times New Roman"/>
                <w:lang w:eastAsia="en-GB"/>
              </w:rPr>
              <w:t>2</w:t>
            </w:r>
            <w:r w:rsidR="002421BC">
              <w:rPr>
                <w:rFonts w:eastAsia="Times New Roman"/>
                <w:lang w:eastAsia="en-GB"/>
              </w:rPr>
              <w:t>4</w:t>
            </w:r>
            <w:r>
              <w:rPr>
                <w:rFonts w:eastAsia="Times New Roman"/>
                <w:lang w:eastAsia="en-GB"/>
              </w:rPr>
              <w:t>/2</w:t>
            </w:r>
            <w:r w:rsidR="002421BC">
              <w:rPr>
                <w:rFonts w:eastAsia="Times New Roman"/>
                <w:lang w:eastAsia="en-GB"/>
              </w:rPr>
              <w:t>5</w:t>
            </w:r>
            <w:r>
              <w:rPr>
                <w:rFonts w:eastAsia="Times New Roman"/>
                <w:lang w:eastAsia="en-GB"/>
              </w:rPr>
              <w:t xml:space="preserve"> aim remained unchanged from previous years: </w:t>
            </w:r>
          </w:p>
          <w:p w14:paraId="6866C3EB" w14:textId="77777777" w:rsidR="001C1DB8" w:rsidRDefault="001C1DB8">
            <w:pPr>
              <w:spacing w:before="0" w:after="0"/>
              <w:textAlignment w:val="baseline"/>
              <w:rPr>
                <w:rFonts w:ascii="Segoe UI" w:eastAsia="Times New Roman" w:hAnsi="Segoe UI" w:cs="Segoe UI"/>
                <w:sz w:val="18"/>
                <w:szCs w:val="18"/>
                <w:lang w:eastAsia="en-GB"/>
              </w:rPr>
            </w:pPr>
          </w:p>
          <w:p w14:paraId="6866C3EC" w14:textId="77777777" w:rsidR="001C1DB8" w:rsidRDefault="00FB2C3B">
            <w:pPr>
              <w:spacing w:before="0" w:after="0"/>
              <w:ind w:left="855" w:right="855"/>
              <w:textAlignment w:val="baseline"/>
            </w:pPr>
            <w:r>
              <w:rPr>
                <w:rFonts w:eastAsia="Times New Roman"/>
                <w:i/>
                <w:iCs/>
                <w:color w:val="404040"/>
                <w:szCs w:val="24"/>
                <w:lang w:eastAsia="en-GB"/>
              </w:rPr>
              <w:t>“Through the quality, timeliness, efficiency and rigour of its work, to support the Pay Review Bodies in offering evidence-based independent advice on public sector pay and conditions, in accordance with their terms of reference, and in making a positive contribution to public sector reform and delivery.” </w:t>
            </w:r>
          </w:p>
          <w:p w14:paraId="6866C3ED" w14:textId="77777777" w:rsidR="001C1DB8" w:rsidRDefault="001C1DB8"/>
          <w:p w14:paraId="6866C3EE" w14:textId="76FBC690" w:rsidR="001C1DB8" w:rsidRDefault="00FB2C3B">
            <w:r>
              <w:t>The O</w:t>
            </w:r>
            <w:r w:rsidR="004D023B">
              <w:t>PRB</w:t>
            </w:r>
            <w:r>
              <w:t xml:space="preserve"> sought to do this by:</w:t>
            </w:r>
          </w:p>
          <w:p w14:paraId="6866C3EF" w14:textId="77777777" w:rsidR="001C1DB8" w:rsidRDefault="001C1DB8"/>
          <w:p w14:paraId="6866C3F0" w14:textId="0A924C0C" w:rsidR="001C1DB8" w:rsidRDefault="007B538B">
            <w:pPr>
              <w:pStyle w:val="ListParagraph"/>
              <w:numPr>
                <w:ilvl w:val="0"/>
                <w:numId w:val="2"/>
              </w:numPr>
              <w:ind w:left="714" w:hanging="357"/>
            </w:pPr>
            <w:r>
              <w:t>Providing expert</w:t>
            </w:r>
            <w:r w:rsidR="00331260">
              <w:t xml:space="preserve"> and evidence</w:t>
            </w:r>
            <w:r w:rsidR="00441FEE">
              <w:t>-</w:t>
            </w:r>
            <w:r w:rsidR="00331260">
              <w:t xml:space="preserve">based </w:t>
            </w:r>
            <w:r w:rsidR="00ED66E9">
              <w:t xml:space="preserve">policy and analytical </w:t>
            </w:r>
            <w:r w:rsidR="00331260">
              <w:t>support</w:t>
            </w:r>
            <w:r w:rsidR="00FB2C3B">
              <w:t xml:space="preserve"> to Review </w:t>
            </w:r>
            <w:r w:rsidR="00F772C0">
              <w:t>Bodies</w:t>
            </w:r>
            <w:r w:rsidR="00441FEE">
              <w:t xml:space="preserve"> to </w:t>
            </w:r>
            <w:r w:rsidR="00327B54">
              <w:t xml:space="preserve">aid their </w:t>
            </w:r>
            <w:r w:rsidR="00FB2C3B">
              <w:t>decision</w:t>
            </w:r>
            <w:r w:rsidR="00327B54">
              <w:t>-making process</w:t>
            </w:r>
            <w:r w:rsidR="00F772C0">
              <w:t>es</w:t>
            </w:r>
            <w:r w:rsidR="00FB2C3B">
              <w:t xml:space="preserve"> and underpin their recommendations</w:t>
            </w:r>
            <w:r w:rsidR="00327B54">
              <w:t>.</w:t>
            </w:r>
          </w:p>
          <w:p w14:paraId="03CB2770" w14:textId="0938C7CC" w:rsidR="002736C8" w:rsidRDefault="00392986">
            <w:pPr>
              <w:pStyle w:val="ListParagraph"/>
              <w:numPr>
                <w:ilvl w:val="0"/>
                <w:numId w:val="2"/>
              </w:numPr>
            </w:pPr>
            <w:r>
              <w:t xml:space="preserve">Drafting reports </w:t>
            </w:r>
            <w:r w:rsidR="00177524">
              <w:t>for the</w:t>
            </w:r>
            <w:r w:rsidR="00D6591F">
              <w:t xml:space="preserve"> Review bodie</w:t>
            </w:r>
            <w:r w:rsidR="00177524">
              <w:t>s</w:t>
            </w:r>
            <w:r w:rsidR="00D6591F">
              <w:t xml:space="preserve">, </w:t>
            </w:r>
            <w:r w:rsidR="00930B4D">
              <w:t xml:space="preserve">ensuring </w:t>
            </w:r>
            <w:r w:rsidR="00177524">
              <w:t xml:space="preserve">they </w:t>
            </w:r>
            <w:r w:rsidR="002736C8">
              <w:t>are relevant, accurate and clearly represent the Review Bodies’ recommendations.</w:t>
            </w:r>
          </w:p>
          <w:p w14:paraId="394A3F75" w14:textId="06CFA16B" w:rsidR="004A6029" w:rsidRDefault="00856C2B">
            <w:pPr>
              <w:pStyle w:val="ListParagraph"/>
              <w:numPr>
                <w:ilvl w:val="0"/>
                <w:numId w:val="2"/>
              </w:numPr>
            </w:pPr>
            <w:r>
              <w:t>Working flexibly and proactively to e</w:t>
            </w:r>
            <w:r w:rsidR="00FB2C3B">
              <w:t>nabl</w:t>
            </w:r>
            <w:r>
              <w:t>e</w:t>
            </w:r>
            <w:r w:rsidR="00FB2C3B">
              <w:t xml:space="preserve"> the Review Bodies to deliver their reports </w:t>
            </w:r>
            <w:r w:rsidR="00055E36">
              <w:t>in</w:t>
            </w:r>
            <w:r w:rsidR="004A6029">
              <w:t xml:space="preserve"> a</w:t>
            </w:r>
            <w:r w:rsidR="00055E36">
              <w:t xml:space="preserve"> timely manner</w:t>
            </w:r>
            <w:r w:rsidR="00FB2C3B">
              <w:t xml:space="preserve"> and in accordance with their terms of reference and remits</w:t>
            </w:r>
            <w:r w:rsidR="004A6029">
              <w:t>.</w:t>
            </w:r>
            <w:r w:rsidR="00FB2C3B">
              <w:t xml:space="preserve"> </w:t>
            </w:r>
            <w:bookmarkStart w:id="2" w:name="_Int_nFj0m1OM"/>
          </w:p>
          <w:bookmarkEnd w:id="2"/>
          <w:p w14:paraId="16D3BC9D" w14:textId="206A0CD9" w:rsidR="00A32833" w:rsidRDefault="00AC17CF" w:rsidP="00A32833">
            <w:pPr>
              <w:pStyle w:val="ListParagraph"/>
              <w:numPr>
                <w:ilvl w:val="0"/>
                <w:numId w:val="2"/>
              </w:numPr>
            </w:pPr>
            <w:r>
              <w:t>P</w:t>
            </w:r>
            <w:r w:rsidR="00FB2C3B">
              <w:t xml:space="preserve">roviding high-quality secretariat services </w:t>
            </w:r>
            <w:r w:rsidR="002B2876">
              <w:t xml:space="preserve">by </w:t>
            </w:r>
            <w:r w:rsidR="007461CF">
              <w:t>being open to new and innovative ways of working,</w:t>
            </w:r>
            <w:r w:rsidR="00094BC4">
              <w:t xml:space="preserve"> and </w:t>
            </w:r>
            <w:r w:rsidR="00756B25">
              <w:t>d</w:t>
            </w:r>
            <w:r w:rsidR="00A32833">
              <w:t xml:space="preserve">eveloping </w:t>
            </w:r>
            <w:r w:rsidR="00010B4A">
              <w:t xml:space="preserve">OPRB </w:t>
            </w:r>
            <w:r w:rsidR="00A32833">
              <w:t xml:space="preserve">capacity and capabilities, in line with </w:t>
            </w:r>
            <w:r w:rsidR="00AD1938">
              <w:t>C</w:t>
            </w:r>
            <w:r w:rsidR="00A32833">
              <w:t xml:space="preserve">ivil </w:t>
            </w:r>
            <w:r w:rsidR="00AD1938">
              <w:t>S</w:t>
            </w:r>
            <w:r w:rsidR="00A32833">
              <w:t>ervice good practice</w:t>
            </w:r>
            <w:r w:rsidR="00756B25">
              <w:t>.</w:t>
            </w:r>
          </w:p>
          <w:p w14:paraId="6866C3F1" w14:textId="2376D787" w:rsidR="001C1DB8" w:rsidRDefault="00756B25">
            <w:pPr>
              <w:pStyle w:val="ListParagraph"/>
              <w:numPr>
                <w:ilvl w:val="0"/>
                <w:numId w:val="2"/>
              </w:numPr>
            </w:pPr>
            <w:r>
              <w:t>M</w:t>
            </w:r>
            <w:r w:rsidR="00FB2C3B">
              <w:t xml:space="preserve">anaging relationships with </w:t>
            </w:r>
            <w:r w:rsidR="00183037">
              <w:t>stakeholder</w:t>
            </w:r>
            <w:r w:rsidR="00E403F7">
              <w:t>s</w:t>
            </w:r>
            <w:r w:rsidR="0022252F">
              <w:t xml:space="preserve"> and engaging with </w:t>
            </w:r>
            <w:r w:rsidR="00FB2C3B">
              <w:t xml:space="preserve">all </w:t>
            </w:r>
            <w:r w:rsidR="0022252F">
              <w:t>those involved in the process constructively</w:t>
            </w:r>
            <w:r w:rsidR="00E403F7">
              <w:t xml:space="preserve">, to </w:t>
            </w:r>
            <w:r w:rsidR="007E2736">
              <w:t>help</w:t>
            </w:r>
            <w:r w:rsidR="00C60D07">
              <w:t xml:space="preserve"> </w:t>
            </w:r>
            <w:r w:rsidR="00FB2C3B">
              <w:t>the process</w:t>
            </w:r>
            <w:r w:rsidR="00337D6E">
              <w:t xml:space="preserve"> </w:t>
            </w:r>
            <w:r w:rsidR="007E2736">
              <w:t>run as smoothly as possible year-on-year.</w:t>
            </w:r>
          </w:p>
          <w:p w14:paraId="5CE86EC0" w14:textId="77777777" w:rsidR="001C1DB8" w:rsidRDefault="001C1DB8" w:rsidP="00AC17CF">
            <w:pPr>
              <w:pStyle w:val="ListParagraph"/>
            </w:pPr>
          </w:p>
          <w:p w14:paraId="619730A9" w14:textId="4922D8E0" w:rsidR="001C1DB8" w:rsidRDefault="00FB2C3B">
            <w:r>
              <w:t>The O</w:t>
            </w:r>
            <w:r w:rsidR="004D023B">
              <w:t>PRB</w:t>
            </w:r>
            <w:r>
              <w:t xml:space="preserve"> is an independent non-statutory public body, free from </w:t>
            </w:r>
            <w:r w:rsidR="002331E4">
              <w:t>G</w:t>
            </w:r>
            <w:r>
              <w:t xml:space="preserve">overnment direction in terms of its policy and operational activities. The staff are drawn mainly from </w:t>
            </w:r>
            <w:r w:rsidR="00BC27B7">
              <w:t>DBT</w:t>
            </w:r>
            <w:r>
              <w:t xml:space="preserve">. Its </w:t>
            </w:r>
            <w:proofErr w:type="gramStart"/>
            <w:r w:rsidR="00B34F94">
              <w:t>D</w:t>
            </w:r>
            <w:r>
              <w:t>irector</w:t>
            </w:r>
            <w:proofErr w:type="gramEnd"/>
            <w:r>
              <w:t xml:space="preserve"> is responsible to the </w:t>
            </w:r>
            <w:r w:rsidR="00106DAD">
              <w:t>DBT</w:t>
            </w:r>
            <w:r>
              <w:t xml:space="preserve"> Accounting Officer for resource and staff issues.</w:t>
            </w:r>
          </w:p>
          <w:p w14:paraId="6866C3F6" w14:textId="77777777" w:rsidR="001C1DB8" w:rsidRDefault="001C1DB8"/>
          <w:p w14:paraId="6866C3F7" w14:textId="144A5FD5" w:rsidR="001C1DB8" w:rsidRDefault="00FB2C3B">
            <w:r>
              <w:t>Details of staffing and the organisational structure of the O</w:t>
            </w:r>
            <w:r w:rsidR="004D023B">
              <w:t>PRB</w:t>
            </w:r>
            <w:r>
              <w:t xml:space="preserve"> are given in Chapter 1 and in Annex A.</w:t>
            </w:r>
          </w:p>
        </w:tc>
      </w:tr>
    </w:tbl>
    <w:p w14:paraId="0FCB7A6E" w14:textId="418570B0" w:rsidR="334C3324" w:rsidRDefault="334C3324"/>
    <w:p w14:paraId="6866C3F9" w14:textId="77777777" w:rsidR="001C1DB8" w:rsidRDefault="001C1DB8">
      <w:pPr>
        <w:pageBreakBefore/>
      </w:pPr>
    </w:p>
    <w:tbl>
      <w:tblPr>
        <w:tblW w:w="9016" w:type="dxa"/>
        <w:tblCellMar>
          <w:left w:w="10" w:type="dxa"/>
          <w:right w:w="10" w:type="dxa"/>
        </w:tblCellMar>
        <w:tblLook w:val="0000" w:firstRow="0" w:lastRow="0" w:firstColumn="0" w:lastColumn="0" w:noHBand="0" w:noVBand="0"/>
      </w:tblPr>
      <w:tblGrid>
        <w:gridCol w:w="9016"/>
      </w:tblGrid>
      <w:tr w:rsidR="001C1DB8" w14:paraId="6866C402" w14:textId="77777777" w:rsidTr="334C332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4" w:type="dxa"/>
              <w:left w:w="284" w:type="dxa"/>
              <w:bottom w:w="284" w:type="dxa"/>
              <w:right w:w="284" w:type="dxa"/>
            </w:tcMar>
          </w:tcPr>
          <w:p w14:paraId="6866C3FA" w14:textId="77777777" w:rsidR="001C1DB8" w:rsidRDefault="00FB2C3B">
            <w:pPr>
              <w:pStyle w:val="Heading1"/>
            </w:pPr>
            <w:bookmarkStart w:id="3" w:name="_Toc188365105"/>
            <w:r>
              <w:t>The Public Sector Pay Review Bodies</w:t>
            </w:r>
            <w:bookmarkEnd w:id="3"/>
          </w:p>
          <w:p w14:paraId="6866C3FB" w14:textId="465B57C1" w:rsidR="001C1DB8" w:rsidRDefault="00FB2C3B">
            <w:r>
              <w:t xml:space="preserve">There are eight independent Public Sector Pay Review Bodies </w:t>
            </w:r>
            <w:r w:rsidR="001D3C75">
              <w:t xml:space="preserve">supported </w:t>
            </w:r>
            <w:r>
              <w:t>by the O</w:t>
            </w:r>
            <w:r w:rsidR="004D023B">
              <w:t>PRB</w:t>
            </w:r>
            <w:r>
              <w:t>. The Review Bodies advise the Prime Minister, relevant Secretaries of State, and the devolved administrations where required, on remuneration matters referred to them, including annual recommendations about pay levels.</w:t>
            </w:r>
          </w:p>
          <w:p w14:paraId="6866C3FC" w14:textId="77777777" w:rsidR="001C1DB8" w:rsidRDefault="001C1DB8"/>
          <w:p w14:paraId="6866C3FD" w14:textId="14934034" w:rsidR="001C1DB8" w:rsidRDefault="00FB2C3B">
            <w:r>
              <w:t xml:space="preserve">Although the Review Bodies operate independently of one another, and each has different terms of reference, their procedures are broadly similar. Once issued with a remit, they receive written and oral evidence from the </w:t>
            </w:r>
            <w:r w:rsidR="008566C1">
              <w:t>G</w:t>
            </w:r>
            <w:r>
              <w:t xml:space="preserve">overnment, employers, and representative organisations, such as trade unions and staff associations, about pay issues for the relevant workgroups. Other interested parties may also </w:t>
            </w:r>
            <w:r w:rsidR="00B8119B">
              <w:t xml:space="preserve">be invited to </w:t>
            </w:r>
            <w:r>
              <w:t>submit evidence. The Review Bodies then consider the evidence and their own independent research to formulate recommendations on the remuneration of their remit groups. Following this</w:t>
            </w:r>
            <w:r w:rsidR="00FD1EEB">
              <w:t>,</w:t>
            </w:r>
            <w:r>
              <w:t xml:space="preserve"> they submit their recommendations to </w:t>
            </w:r>
            <w:r w:rsidR="008566C1">
              <w:t>G</w:t>
            </w:r>
            <w:r>
              <w:t>overnment.</w:t>
            </w:r>
          </w:p>
          <w:p w14:paraId="6866C3FE" w14:textId="77777777" w:rsidR="001C1DB8" w:rsidRDefault="001C1DB8"/>
          <w:p w14:paraId="6866C3FF" w14:textId="62E42D25" w:rsidR="001C1DB8" w:rsidRDefault="00FB2C3B">
            <w:r>
              <w:t xml:space="preserve">In addition to the annual pay round described above, the Review Bodies </w:t>
            </w:r>
            <w:r w:rsidR="009043BA">
              <w:t>may be</w:t>
            </w:r>
            <w:r>
              <w:t xml:space="preserve"> asked to look at other issues affecting the pay and other terms and conditions of their respective workforces.</w:t>
            </w:r>
          </w:p>
          <w:p w14:paraId="6866C400" w14:textId="77777777" w:rsidR="001C1DB8" w:rsidRDefault="001C1DB8"/>
          <w:p w14:paraId="6866C401" w14:textId="66A4D68E" w:rsidR="001C1DB8" w:rsidRDefault="00FB2C3B">
            <w:r>
              <w:t>The work undertaken by each Review Body is set out fully in their published reports which are available on the O</w:t>
            </w:r>
            <w:r w:rsidR="004D023B">
              <w:t>PRB</w:t>
            </w:r>
            <w:r>
              <w:t xml:space="preserve"> pages of GOV.UK. This report summarises the work</w:t>
            </w:r>
            <w:r w:rsidR="00E95899">
              <w:t xml:space="preserve"> of OPRB in support of the operation of the Pay Review Bodies</w:t>
            </w:r>
            <w:r>
              <w:t>.</w:t>
            </w:r>
          </w:p>
        </w:tc>
      </w:tr>
    </w:tbl>
    <w:p w14:paraId="72A04F74" w14:textId="6BB9AE27" w:rsidR="334C3324" w:rsidRDefault="334C3324"/>
    <w:p w14:paraId="6866C404" w14:textId="7A4383EF" w:rsidR="001C1DB8" w:rsidRDefault="00FB2C3B" w:rsidP="00A93AB6">
      <w:pPr>
        <w:pStyle w:val="Heading1"/>
        <w:pageBreakBefore/>
        <w:spacing w:before="0"/>
      </w:pPr>
      <w:bookmarkStart w:id="4" w:name="_Toc188365106"/>
      <w:r>
        <w:lastRenderedPageBreak/>
        <w:t>Chapter 1: About O</w:t>
      </w:r>
      <w:r w:rsidR="008F28DA">
        <w:t>PRB</w:t>
      </w:r>
      <w:bookmarkEnd w:id="4"/>
    </w:p>
    <w:p w14:paraId="6866C405" w14:textId="2CEF5FB3" w:rsidR="001C1DB8" w:rsidRDefault="00FB2C3B">
      <w:pPr>
        <w:pStyle w:val="ListParagraph"/>
        <w:numPr>
          <w:ilvl w:val="0"/>
          <w:numId w:val="3"/>
        </w:numPr>
      </w:pPr>
      <w:r>
        <w:t xml:space="preserve">The purpose of </w:t>
      </w:r>
      <w:r w:rsidR="00E02413">
        <w:t>the</w:t>
      </w:r>
      <w:r>
        <w:t xml:space="preserve"> O</w:t>
      </w:r>
      <w:r w:rsidR="008F28DA">
        <w:t>PRB</w:t>
      </w:r>
      <w:r>
        <w:t xml:space="preserve"> is to provide the eight Pay Review Bodies with the support they require </w:t>
      </w:r>
      <w:proofErr w:type="gramStart"/>
      <w:r>
        <w:t>in order to</w:t>
      </w:r>
      <w:proofErr w:type="gramEnd"/>
      <w:r>
        <w:t xml:space="preserve"> fulfil their respective terms of reference in making pay and related recommendations for public sector workers. </w:t>
      </w:r>
      <w:proofErr w:type="gramStart"/>
      <w:r>
        <w:t>Similar to</w:t>
      </w:r>
      <w:proofErr w:type="gramEnd"/>
      <w:r>
        <w:t xml:space="preserve"> other </w:t>
      </w:r>
      <w:r w:rsidR="00AB67D3">
        <w:t>G</w:t>
      </w:r>
      <w:r>
        <w:t>overnment departments, it receives public funds to carry out this function. Its purpose is predominantly a secretariat role in support of the annual activity and process that is described in Chapter 2.</w:t>
      </w:r>
    </w:p>
    <w:p w14:paraId="6866C406" w14:textId="77777777" w:rsidR="001C1DB8" w:rsidRDefault="001C1DB8"/>
    <w:p w14:paraId="6866C407" w14:textId="6FD5BCCF" w:rsidR="001C1DB8" w:rsidRDefault="00FB2C3B">
      <w:pPr>
        <w:pStyle w:val="ListParagraph"/>
        <w:numPr>
          <w:ilvl w:val="0"/>
          <w:numId w:val="3"/>
        </w:numPr>
      </w:pPr>
      <w:r>
        <w:t>This report covers the period from 1 September 202</w:t>
      </w:r>
      <w:r w:rsidR="00B36F15">
        <w:t>4</w:t>
      </w:r>
      <w:r>
        <w:t xml:space="preserve"> to 31 August 202</w:t>
      </w:r>
      <w:r w:rsidR="00B36F15">
        <w:t>5</w:t>
      </w:r>
      <w:r>
        <w:t xml:space="preserve">, reflecting the Review Bodies’ customary reporting cycle. It provides an account of the </w:t>
      </w:r>
      <w:r w:rsidR="00603C00">
        <w:t xml:space="preserve">OPRB’s </w:t>
      </w:r>
      <w:r>
        <w:t xml:space="preserve">use of public funds in terms of its budget and the work for which it pays. </w:t>
      </w:r>
    </w:p>
    <w:p w14:paraId="4F17BCA9" w14:textId="77777777" w:rsidR="00F65284" w:rsidRDefault="00F65284" w:rsidP="36083F43"/>
    <w:p w14:paraId="6866C40A" w14:textId="7BA7E3C3" w:rsidR="001C1DB8" w:rsidRDefault="00C0766C">
      <w:pPr>
        <w:pStyle w:val="ListParagraph"/>
        <w:numPr>
          <w:ilvl w:val="0"/>
          <w:numId w:val="3"/>
        </w:numPr>
      </w:pPr>
      <w:r>
        <w:t xml:space="preserve">The </w:t>
      </w:r>
      <w:r w:rsidR="00FB2C3B">
        <w:t>O</w:t>
      </w:r>
      <w:r w:rsidR="008F28DA">
        <w:t>PRB</w:t>
      </w:r>
      <w:r w:rsidR="00FB2C3B">
        <w:t>’s total expenditure in 202</w:t>
      </w:r>
      <w:r w:rsidR="00300AEF">
        <w:t>4</w:t>
      </w:r>
      <w:r w:rsidR="00FB2C3B">
        <w:t>/</w:t>
      </w:r>
      <w:r w:rsidR="00E95899">
        <w:t>2</w:t>
      </w:r>
      <w:r w:rsidR="00300AEF">
        <w:t>5</w:t>
      </w:r>
      <w:r w:rsidR="00E95899">
        <w:t xml:space="preserve"> </w:t>
      </w:r>
      <w:r w:rsidR="00FB2C3B">
        <w:t>was £</w:t>
      </w:r>
      <w:r w:rsidR="002A6005">
        <w:t>2.</w:t>
      </w:r>
      <w:r w:rsidR="41A373DC">
        <w:t>9</w:t>
      </w:r>
      <w:r w:rsidR="00FB2C3B">
        <w:t>million. This includes the costs of O</w:t>
      </w:r>
      <w:r w:rsidR="008F28DA">
        <w:t>PRB</w:t>
      </w:r>
      <w:r w:rsidR="00FB2C3B">
        <w:t xml:space="preserve"> staff, the fees paid to Review Body members, the costs associated with running meetings and visits, and the costs of commissioning research and analysis.</w:t>
      </w:r>
    </w:p>
    <w:p w14:paraId="6866C40B" w14:textId="03D65FB5" w:rsidR="001C1DB8" w:rsidRDefault="001C1DB8"/>
    <w:p w14:paraId="6866C40D" w14:textId="4BE69504" w:rsidR="001C1DB8" w:rsidRPr="0078146A" w:rsidRDefault="01FDBFAD" w:rsidP="0078146A">
      <w:pPr>
        <w:rPr>
          <w:b/>
        </w:rPr>
      </w:pPr>
      <w:r w:rsidRPr="0078146A">
        <w:rPr>
          <w:b/>
        </w:rPr>
        <w:t>S</w:t>
      </w:r>
      <w:r w:rsidR="10355611" w:rsidRPr="0078146A">
        <w:rPr>
          <w:b/>
        </w:rPr>
        <w:t>taffing numbers</w:t>
      </w:r>
      <w:r w:rsidR="00FB2C3B" w:rsidRPr="0078146A" w:rsidDel="10355611">
        <w:rPr>
          <w:b/>
        </w:rPr>
        <w:t xml:space="preserve"> </w:t>
      </w:r>
      <w:r w:rsidR="3CBD5F41" w:rsidRPr="0078146A">
        <w:rPr>
          <w:b/>
        </w:rPr>
        <w:t>(both headcount and full-time equivalent) by grade are given in Annex A. See for the O</w:t>
      </w:r>
      <w:r w:rsidR="1BBA5347" w:rsidRPr="0078146A">
        <w:rPr>
          <w:b/>
        </w:rPr>
        <w:t>PRB</w:t>
      </w:r>
      <w:r w:rsidR="3CBD5F41" w:rsidRPr="0078146A">
        <w:rPr>
          <w:b/>
        </w:rPr>
        <w:t xml:space="preserve">’s organisational chart. </w:t>
      </w:r>
    </w:p>
    <w:p w14:paraId="6866C40E" w14:textId="77777777" w:rsidR="001C1DB8" w:rsidRDefault="001C1DB8"/>
    <w:p w14:paraId="6866C40F" w14:textId="38CCFC0B" w:rsidR="001C1DB8" w:rsidRDefault="00FB2C3B">
      <w:pPr>
        <w:pStyle w:val="Caption"/>
        <w:keepNext/>
        <w:rPr>
          <w:sz w:val="24"/>
          <w:szCs w:val="24"/>
        </w:rPr>
      </w:pPr>
      <w:bookmarkStart w:id="5" w:name="_Ref46752360"/>
      <w:r>
        <w:rPr>
          <w:sz w:val="24"/>
          <w:szCs w:val="24"/>
        </w:rPr>
        <w:t>Figure 1</w:t>
      </w:r>
      <w:bookmarkEnd w:id="5"/>
      <w:r>
        <w:rPr>
          <w:sz w:val="24"/>
          <w:szCs w:val="24"/>
        </w:rPr>
        <w:t xml:space="preserve">: </w:t>
      </w:r>
      <w:r w:rsidR="0067116F">
        <w:rPr>
          <w:sz w:val="24"/>
          <w:szCs w:val="24"/>
        </w:rPr>
        <w:t>Senior Leadership Team</w:t>
      </w:r>
      <w:r>
        <w:rPr>
          <w:sz w:val="24"/>
          <w:szCs w:val="24"/>
        </w:rPr>
        <w:t xml:space="preserve">, as </w:t>
      </w:r>
      <w:proofErr w:type="gramStart"/>
      <w:r>
        <w:rPr>
          <w:sz w:val="24"/>
          <w:szCs w:val="24"/>
        </w:rPr>
        <w:t>at</w:t>
      </w:r>
      <w:proofErr w:type="gramEnd"/>
      <w:r>
        <w:rPr>
          <w:sz w:val="24"/>
          <w:szCs w:val="24"/>
        </w:rPr>
        <w:t xml:space="preserve"> 31</w:t>
      </w:r>
      <w:r w:rsidR="00F154C9" w:rsidRPr="00F154C9">
        <w:rPr>
          <w:sz w:val="24"/>
          <w:szCs w:val="24"/>
          <w:vertAlign w:val="superscript"/>
        </w:rPr>
        <w:t>st</w:t>
      </w:r>
      <w:r>
        <w:rPr>
          <w:sz w:val="24"/>
          <w:szCs w:val="24"/>
        </w:rPr>
        <w:t xml:space="preserve"> August 202</w:t>
      </w:r>
      <w:r w:rsidR="00BC380B">
        <w:rPr>
          <w:sz w:val="24"/>
          <w:szCs w:val="24"/>
        </w:rPr>
        <w:t>5</w:t>
      </w:r>
      <w:r>
        <w:rPr>
          <w:sz w:val="24"/>
          <w:szCs w:val="24"/>
        </w:rPr>
        <w:t xml:space="preserve">. </w:t>
      </w:r>
    </w:p>
    <w:p w14:paraId="42903160" w14:textId="263F7848" w:rsidR="004456C6" w:rsidRDefault="0062449A">
      <w:r w:rsidRPr="0062449A">
        <w:rPr>
          <w:noProof/>
        </w:rPr>
        <w:drawing>
          <wp:anchor distT="0" distB="0" distL="114300" distR="114300" simplePos="0" relativeHeight="251658241" behindDoc="0" locked="0" layoutInCell="1" allowOverlap="1" wp14:anchorId="7543CBA3" wp14:editId="6BF61FE5">
            <wp:simplePos x="0" y="0"/>
            <wp:positionH relativeFrom="margin">
              <wp:align>center</wp:align>
            </wp:positionH>
            <wp:positionV relativeFrom="paragraph">
              <wp:posOffset>247650</wp:posOffset>
            </wp:positionV>
            <wp:extent cx="6997065" cy="2254250"/>
            <wp:effectExtent l="0" t="0" r="0" b="0"/>
            <wp:wrapSquare wrapText="bothSides"/>
            <wp:docPr id="1888739549"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739549" name="Picture 1" descr="A blue sign with white text&#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6997065" cy="2254250"/>
                    </a:xfrm>
                    <a:prstGeom prst="rect">
                      <a:avLst/>
                    </a:prstGeom>
                  </pic:spPr>
                </pic:pic>
              </a:graphicData>
            </a:graphic>
            <wp14:sizeRelH relativeFrom="margin">
              <wp14:pctWidth>0</wp14:pctWidth>
            </wp14:sizeRelH>
            <wp14:sizeRelV relativeFrom="margin">
              <wp14:pctHeight>0</wp14:pctHeight>
            </wp14:sizeRelV>
          </wp:anchor>
        </w:drawing>
      </w:r>
    </w:p>
    <w:p w14:paraId="51FCEEAE" w14:textId="77777777" w:rsidR="00B01AB9" w:rsidRDefault="00B01AB9">
      <w:pPr>
        <w:pStyle w:val="Heading2"/>
      </w:pPr>
      <w:bookmarkStart w:id="6" w:name="_Toc188365107"/>
    </w:p>
    <w:p w14:paraId="6866C411" w14:textId="7C0AEB31" w:rsidR="001C1DB8" w:rsidRDefault="00FB2C3B">
      <w:pPr>
        <w:pStyle w:val="Heading2"/>
      </w:pPr>
      <w:r>
        <w:t>Values and behaviours</w:t>
      </w:r>
      <w:bookmarkEnd w:id="6"/>
    </w:p>
    <w:p w14:paraId="6866C412" w14:textId="605F7B96" w:rsidR="001C1DB8" w:rsidRDefault="00FB2C3B">
      <w:pPr>
        <w:pStyle w:val="ListParagraph"/>
        <w:numPr>
          <w:ilvl w:val="0"/>
          <w:numId w:val="3"/>
        </w:numPr>
      </w:pPr>
      <w:r>
        <w:t>The O</w:t>
      </w:r>
      <w:r w:rsidR="008F28DA">
        <w:t>PRB</w:t>
      </w:r>
      <w:r>
        <w:t xml:space="preserve">’s values and behaviours, which are shown below, help staff to ensure their work for the Pay Review Bodies is independent, professional, collaborative, and </w:t>
      </w:r>
      <w:proofErr w:type="gramStart"/>
      <w:r>
        <w:t>evidence-based</w:t>
      </w:r>
      <w:proofErr w:type="gramEnd"/>
      <w:r>
        <w:t xml:space="preserve">. </w:t>
      </w:r>
    </w:p>
    <w:p w14:paraId="6866C413" w14:textId="77777777" w:rsidR="001C1DB8" w:rsidRDefault="001C1DB8">
      <w:pPr>
        <w:pStyle w:val="ListParagraph"/>
      </w:pPr>
    </w:p>
    <w:p w14:paraId="6866C414" w14:textId="4A151A42" w:rsidR="001C1DB8" w:rsidRDefault="00FB2C3B">
      <w:pPr>
        <w:pStyle w:val="Caption"/>
        <w:keepNext/>
      </w:pPr>
      <w:r>
        <w:rPr>
          <w:sz w:val="24"/>
          <w:szCs w:val="24"/>
        </w:rPr>
        <w:lastRenderedPageBreak/>
        <w:t xml:space="preserve">Figure 2: The </w:t>
      </w:r>
      <w:r w:rsidR="00E932B2">
        <w:rPr>
          <w:sz w:val="24"/>
          <w:szCs w:val="24"/>
        </w:rPr>
        <w:t>OPRB</w:t>
      </w:r>
      <w:r w:rsidR="00865F01">
        <w:rPr>
          <w:sz w:val="24"/>
          <w:szCs w:val="24"/>
        </w:rPr>
        <w:t>’s</w:t>
      </w:r>
      <w:r w:rsidR="00E932B2">
        <w:rPr>
          <w:sz w:val="24"/>
          <w:szCs w:val="24"/>
        </w:rPr>
        <w:t xml:space="preserve"> </w:t>
      </w:r>
      <w:r>
        <w:rPr>
          <w:sz w:val="24"/>
          <w:szCs w:val="24"/>
        </w:rPr>
        <w:t>values and behaviours.</w:t>
      </w:r>
    </w:p>
    <w:p w14:paraId="6866C415" w14:textId="4B80762F" w:rsidR="001C1DB8" w:rsidRDefault="00FB2C3B">
      <w:r>
        <w:rPr>
          <w:noProof/>
        </w:rPr>
        <mc:AlternateContent>
          <mc:Choice Requires="wpg">
            <w:drawing>
              <wp:inline distT="0" distB="0" distL="0" distR="0" wp14:anchorId="3EFA08A1" wp14:editId="2775D0BD">
                <wp:extent cx="6068695" cy="4730750"/>
                <wp:effectExtent l="0" t="0" r="27305" b="12700"/>
                <wp:docPr id="237913159" name="Group 237913159" descr="This figure describes OME's values and behaviours, which are 'evidence-based', 'collaborative', 'professional' and 'independent'. &#10;&#10;Evidence-based means that we provide analysis of evidence, we influence and persuade stakeholders to provide timely, high-quality evidence, and we address weaknesses in our evidence base. &#10;&#10;Collaborative means that we work flexibly to improve both performance and work/life balance, we recognise and share good practice, and we seek and encourage views and ideas from others. &#10;&#10;Independent means that we are balanced and objective, we are sensitive to the concerns of our stakeholders, and we are aware of wider issues and context.&#10;&#10;Professional means that we product accurate, high-quality work, we optimise our use of resources, we communicate clearly and unambiguously, and we take responsibility and empower others. "/>
                <wp:cNvGraphicFramePr/>
                <a:graphic xmlns:a="http://schemas.openxmlformats.org/drawingml/2006/main">
                  <a:graphicData uri="http://schemas.microsoft.com/office/word/2010/wordprocessingGroup">
                    <wpg:wgp>
                      <wpg:cNvGrpSpPr/>
                      <wpg:grpSpPr>
                        <a:xfrm>
                          <a:off x="0" y="0"/>
                          <a:ext cx="6068695" cy="4730750"/>
                          <a:chOff x="0" y="0"/>
                          <a:chExt cx="6196320" cy="3742052"/>
                        </a:xfrm>
                      </wpg:grpSpPr>
                      <wps:wsp>
                        <wps:cNvPr id="1600452477" name="Freeform: Shape 14"/>
                        <wps:cNvSpPr/>
                        <wps:spPr>
                          <a:xfrm>
                            <a:off x="0" y="0"/>
                            <a:ext cx="3098170" cy="1871026"/>
                          </a:xfrm>
                          <a:custGeom>
                            <a:avLst/>
                            <a:gdLst>
                              <a:gd name="f0" fmla="val 10800000"/>
                              <a:gd name="f1" fmla="val 5400000"/>
                              <a:gd name="f2" fmla="val 180"/>
                              <a:gd name="f3" fmla="val w"/>
                              <a:gd name="f4" fmla="val h"/>
                              <a:gd name="f5" fmla="val 0"/>
                              <a:gd name="f6" fmla="val 1871027"/>
                              <a:gd name="f7" fmla="val 3098165"/>
                              <a:gd name="f8" fmla="val 516371"/>
                              <a:gd name="f9" fmla="val 231187"/>
                              <a:gd name="f10" fmla="val 84317"/>
                              <a:gd name="f11" fmla="val 188327"/>
                              <a:gd name="f12" fmla="+- 0 0 -90"/>
                              <a:gd name="f13" fmla="*/ f3 1 1871027"/>
                              <a:gd name="f14" fmla="*/ f4 1 3098165"/>
                              <a:gd name="f15" fmla="+- f7 0 f5"/>
                              <a:gd name="f16" fmla="+- f6 0 f5"/>
                              <a:gd name="f17" fmla="*/ f12 f0 1"/>
                              <a:gd name="f18" fmla="*/ f16 1 1871027"/>
                              <a:gd name="f19" fmla="*/ f15 1 3098165"/>
                              <a:gd name="f20" fmla="*/ 0 f16 1"/>
                              <a:gd name="f21" fmla="*/ 0 f15 1"/>
                              <a:gd name="f22" fmla="*/ 1559183 f16 1"/>
                              <a:gd name="f23" fmla="*/ 1871027 f16 1"/>
                              <a:gd name="f24" fmla="*/ 311844 f15 1"/>
                              <a:gd name="f25" fmla="*/ 3098165 f15 1"/>
                              <a:gd name="f26" fmla="*/ f17 1 f2"/>
                              <a:gd name="f27" fmla="*/ f20 1 1871027"/>
                              <a:gd name="f28" fmla="*/ f21 1 3098165"/>
                              <a:gd name="f29" fmla="*/ f22 1 1871027"/>
                              <a:gd name="f30" fmla="*/ f23 1 1871027"/>
                              <a:gd name="f31" fmla="*/ f24 1 3098165"/>
                              <a:gd name="f32" fmla="*/ f25 1 3098165"/>
                              <a:gd name="f33" fmla="*/ f5 1 f18"/>
                              <a:gd name="f34" fmla="*/ f6 1 f18"/>
                              <a:gd name="f35" fmla="*/ f5 1 f19"/>
                              <a:gd name="f36" fmla="*/ f7 1 f19"/>
                              <a:gd name="f37" fmla="+- f26 0 f1"/>
                              <a:gd name="f38" fmla="*/ f27 1 f18"/>
                              <a:gd name="f39" fmla="*/ f28 1 f19"/>
                              <a:gd name="f40" fmla="*/ f29 1 f18"/>
                              <a:gd name="f41" fmla="*/ f30 1 f18"/>
                              <a:gd name="f42" fmla="*/ f31 1 f19"/>
                              <a:gd name="f43" fmla="*/ f32 1 f19"/>
                              <a:gd name="f44" fmla="*/ f33 f13 1"/>
                              <a:gd name="f45" fmla="*/ f34 f13 1"/>
                              <a:gd name="f46" fmla="*/ f36 f14 1"/>
                              <a:gd name="f47" fmla="*/ f35 f14 1"/>
                              <a:gd name="f48" fmla="*/ f38 f13 1"/>
                              <a:gd name="f49" fmla="*/ f39 f14 1"/>
                              <a:gd name="f50" fmla="*/ f40 f13 1"/>
                              <a:gd name="f51" fmla="*/ f41 f13 1"/>
                              <a:gd name="f52" fmla="*/ f42 f14 1"/>
                              <a:gd name="f53" fmla="*/ f43 f14 1"/>
                            </a:gdLst>
                            <a:ahLst/>
                            <a:cxnLst>
                              <a:cxn ang="3cd4">
                                <a:pos x="hc" y="t"/>
                              </a:cxn>
                              <a:cxn ang="0">
                                <a:pos x="r" y="vc"/>
                              </a:cxn>
                              <a:cxn ang="cd4">
                                <a:pos x="hc" y="b"/>
                              </a:cxn>
                              <a:cxn ang="cd2">
                                <a:pos x="l" y="vc"/>
                              </a:cxn>
                              <a:cxn ang="f37">
                                <a:pos x="f48" y="f49"/>
                              </a:cxn>
                              <a:cxn ang="f37">
                                <a:pos x="f50" y="f49"/>
                              </a:cxn>
                              <a:cxn ang="f37">
                                <a:pos x="f51" y="f52"/>
                              </a:cxn>
                              <a:cxn ang="f37">
                                <a:pos x="f51" y="f53"/>
                              </a:cxn>
                              <a:cxn ang="f37">
                                <a:pos x="f48" y="f53"/>
                              </a:cxn>
                              <a:cxn ang="f37">
                                <a:pos x="f48" y="f49"/>
                              </a:cxn>
                            </a:cxnLst>
                            <a:rect l="f44" t="f47" r="f45" b="f46"/>
                            <a:pathLst>
                              <a:path w="1871027" h="3098165">
                                <a:moveTo>
                                  <a:pt x="f5" y="f7"/>
                                </a:moveTo>
                                <a:lnTo>
                                  <a:pt x="f5" y="f8"/>
                                </a:lnTo>
                                <a:cubicBezTo>
                                  <a:pt x="f5" y="f9"/>
                                  <a:pt x="f10" y="f5"/>
                                  <a:pt x="f11" y="f5"/>
                                </a:cubicBezTo>
                                <a:lnTo>
                                  <a:pt x="f6" y="f5"/>
                                </a:lnTo>
                                <a:lnTo>
                                  <a:pt x="f6" y="f7"/>
                                </a:lnTo>
                                <a:lnTo>
                                  <a:pt x="f5" y="f7"/>
                                </a:lnTo>
                                <a:close/>
                              </a:path>
                            </a:pathLst>
                          </a:custGeom>
                          <a:solidFill>
                            <a:srgbClr val="FFFFFF"/>
                          </a:solidFill>
                          <a:ln w="12701" cap="flat">
                            <a:solidFill>
                              <a:srgbClr val="3D67B1"/>
                            </a:solidFill>
                            <a:prstDash val="solid"/>
                            <a:miter/>
                          </a:ln>
                        </wps:spPr>
                        <wps:txbx>
                          <w:txbxContent>
                            <w:p w14:paraId="55C83C75" w14:textId="77777777" w:rsidR="001C1DB8" w:rsidRDefault="00FB2C3B">
                              <w:pPr>
                                <w:spacing w:before="0" w:after="80" w:line="216" w:lineRule="auto"/>
                              </w:pPr>
                              <w:r>
                                <w:rPr>
                                  <w:rFonts w:eastAsia="Arial"/>
                                  <w:b/>
                                  <w:bCs/>
                                  <w:color w:val="000000"/>
                                  <w:kern w:val="3"/>
                                  <w:sz w:val="20"/>
                                  <w:szCs w:val="20"/>
                                  <w14:shadow w14:blurRad="152336" w14:dist="0" w14:dir="0" w14:sx="100000" w14:sy="100000" w14:kx="0" w14:ky="0" w14:algn="b">
                                    <w14:srgbClr w14:val="FFFFFF"/>
                                  </w14:shadow>
                                </w:rPr>
                                <w:t>Evidence-based</w:t>
                              </w:r>
                            </w:p>
                            <w:p w14:paraId="5CC00E3A" w14:textId="21E7B52E" w:rsidR="001C1DB8" w:rsidRDefault="00FB2C3B">
                              <w:pPr>
                                <w:spacing w:before="0" w:after="80" w:line="216" w:lineRule="auto"/>
                              </w:pPr>
                              <w:r>
                                <w:rPr>
                                  <w:rFonts w:eastAsia="Arial"/>
                                  <w:color w:val="000000"/>
                                  <w:kern w:val="3"/>
                                  <w:sz w:val="20"/>
                                  <w:szCs w:val="20"/>
                                  <w14:shadow w14:blurRad="152336" w14:dist="0" w14:dir="0" w14:sx="100000" w14:sy="100000" w14:kx="0" w14:ky="0" w14:algn="b">
                                    <w14:srgbClr w14:val="FFFFFF"/>
                                  </w14:shadow>
                                </w:rPr>
                                <w:t xml:space="preserve">We provide </w:t>
                              </w:r>
                              <w:r w:rsidR="00475B22">
                                <w:rPr>
                                  <w:rFonts w:eastAsia="Arial"/>
                                  <w:color w:val="000000"/>
                                  <w:kern w:val="3"/>
                                  <w:sz w:val="20"/>
                                  <w:szCs w:val="20"/>
                                  <w14:shadow w14:blurRad="152336" w14:dist="0" w14:dir="0" w14:sx="100000" w14:sy="100000" w14:kx="0" w14:ky="0" w14:algn="b">
                                    <w14:srgbClr w14:val="FFFFFF"/>
                                  </w14:shadow>
                                </w:rPr>
                                <w:t>expert</w:t>
                              </w:r>
                              <w:r>
                                <w:rPr>
                                  <w:rFonts w:eastAsia="Arial"/>
                                  <w:color w:val="000000"/>
                                  <w:kern w:val="3"/>
                                  <w:sz w:val="20"/>
                                  <w:szCs w:val="20"/>
                                  <w14:shadow w14:blurRad="152336" w14:dist="0" w14:dir="0" w14:sx="100000" w14:sy="100000" w14:kx="0" w14:ky="0" w14:algn="b">
                                    <w14:srgbClr w14:val="FFFFFF"/>
                                  </w14:shadow>
                                </w:rPr>
                                <w:t xml:space="preserve"> analysis of evidence </w:t>
                              </w:r>
                            </w:p>
                            <w:p w14:paraId="44F62A45" w14:textId="12159584" w:rsidR="001C1DB8" w:rsidRDefault="00FB2C3B">
                              <w:pPr>
                                <w:spacing w:before="0" w:after="80" w:line="216" w:lineRule="auto"/>
                              </w:pPr>
                              <w:r>
                                <w:rPr>
                                  <w:rFonts w:eastAsia="Arial"/>
                                  <w:color w:val="000000"/>
                                  <w:kern w:val="3"/>
                                  <w:sz w:val="20"/>
                                  <w:szCs w:val="20"/>
                                  <w14:shadow w14:blurRad="152336" w14:dist="0" w14:dir="0" w14:sx="100000" w14:sy="100000" w14:kx="0" w14:ky="0" w14:algn="b">
                                    <w14:srgbClr w14:val="FFFFFF"/>
                                  </w14:shadow>
                                </w:rPr>
                                <w:t xml:space="preserve">We </w:t>
                              </w:r>
                              <w:r w:rsidR="00672721">
                                <w:rPr>
                                  <w:rFonts w:eastAsia="Arial"/>
                                  <w:color w:val="000000"/>
                                  <w:kern w:val="3"/>
                                  <w:sz w:val="20"/>
                                  <w:szCs w:val="20"/>
                                  <w14:shadow w14:blurRad="152336" w14:dist="0" w14:dir="0" w14:sx="100000" w14:sy="100000" w14:kx="0" w14:ky="0" w14:algn="b">
                                    <w14:srgbClr w14:val="FFFFFF"/>
                                  </w14:shadow>
                                </w:rPr>
                                <w:t>i</w:t>
                              </w:r>
                              <w:r>
                                <w:rPr>
                                  <w:rFonts w:eastAsia="Arial"/>
                                  <w:color w:val="000000"/>
                                  <w:kern w:val="3"/>
                                  <w:sz w:val="20"/>
                                  <w:szCs w:val="20"/>
                                  <w14:shadow w14:blurRad="152336" w14:dist="0" w14:dir="0" w14:sx="100000" w14:sy="100000" w14:kx="0" w14:ky="0" w14:algn="b">
                                    <w14:srgbClr w14:val="FFFFFF"/>
                                  </w14:shadow>
                                </w:rPr>
                                <w:t>nfluence and persuade stakeholders to provide timely, high-quality evidence</w:t>
                              </w:r>
                            </w:p>
                            <w:p w14:paraId="6C69D931" w14:textId="77777777" w:rsidR="001C1DB8" w:rsidRDefault="00FB2C3B">
                              <w:pPr>
                                <w:spacing w:before="0" w:after="80" w:line="216" w:lineRule="auto"/>
                              </w:pPr>
                              <w:r>
                                <w:rPr>
                                  <w:rFonts w:eastAsia="Arial"/>
                                  <w:color w:val="000000"/>
                                  <w:kern w:val="3"/>
                                  <w:sz w:val="20"/>
                                  <w:szCs w:val="20"/>
                                  <w14:shadow w14:blurRad="152336" w14:dist="0" w14:dir="0" w14:sx="100000" w14:sy="100000" w14:kx="0" w14:ky="0" w14:algn="b">
                                    <w14:srgbClr w14:val="FFFFFF"/>
                                  </w14:shadow>
                                </w:rPr>
                                <w:t>We address weaknesses in our evidence base</w:t>
                              </w:r>
                            </w:p>
                          </w:txbxContent>
                        </wps:txbx>
                        <wps:bodyPr vert="horz" wrap="square" lIns="78236" tIns="78226" rIns="78226" bIns="545988" anchor="ctr" anchorCtr="0" compatLnSpc="0">
                          <a:noAutofit/>
                        </wps:bodyPr>
                      </wps:wsp>
                      <wps:wsp>
                        <wps:cNvPr id="1260742574" name="Freeform: Shape 15"/>
                        <wps:cNvSpPr/>
                        <wps:spPr>
                          <a:xfrm>
                            <a:off x="3096286" y="0"/>
                            <a:ext cx="3098160" cy="1939286"/>
                          </a:xfrm>
                          <a:custGeom>
                            <a:avLst/>
                            <a:gdLst>
                              <a:gd name="f0" fmla="val 10800000"/>
                              <a:gd name="f1" fmla="val 5400000"/>
                              <a:gd name="f2" fmla="val 180"/>
                              <a:gd name="f3" fmla="val w"/>
                              <a:gd name="f4" fmla="val h"/>
                              <a:gd name="f5" fmla="val 0"/>
                              <a:gd name="f6" fmla="val 3098165"/>
                              <a:gd name="f7" fmla="val 1871027"/>
                              <a:gd name="f8" fmla="val 2786321"/>
                              <a:gd name="f9" fmla="val 2958548"/>
                              <a:gd name="f10" fmla="val 139617"/>
                              <a:gd name="f11" fmla="val 311844"/>
                              <a:gd name="f12" fmla="+- 0 0 -90"/>
                              <a:gd name="f13" fmla="*/ f3 1 3098165"/>
                              <a:gd name="f14" fmla="*/ f4 1 1871027"/>
                              <a:gd name="f15" fmla="+- f7 0 f5"/>
                              <a:gd name="f16" fmla="+- f6 0 f5"/>
                              <a:gd name="f17" fmla="*/ f12 f0 1"/>
                              <a:gd name="f18" fmla="*/ f16 1 3098165"/>
                              <a:gd name="f19" fmla="*/ f15 1 1871027"/>
                              <a:gd name="f20" fmla="*/ 0 f16 1"/>
                              <a:gd name="f21" fmla="*/ 0 f15 1"/>
                              <a:gd name="f22" fmla="*/ 2786321 f16 1"/>
                              <a:gd name="f23" fmla="*/ 3098165 f16 1"/>
                              <a:gd name="f24" fmla="*/ 311844 f15 1"/>
                              <a:gd name="f25" fmla="*/ 1871027 f15 1"/>
                              <a:gd name="f26" fmla="*/ f17 1 f2"/>
                              <a:gd name="f27" fmla="*/ f20 1 3098165"/>
                              <a:gd name="f28" fmla="*/ f21 1 1871027"/>
                              <a:gd name="f29" fmla="*/ f22 1 3098165"/>
                              <a:gd name="f30" fmla="*/ f23 1 3098165"/>
                              <a:gd name="f31" fmla="*/ f24 1 1871027"/>
                              <a:gd name="f32" fmla="*/ f25 1 1871027"/>
                              <a:gd name="f33" fmla="*/ f5 1 f18"/>
                              <a:gd name="f34" fmla="*/ f6 1 f18"/>
                              <a:gd name="f35" fmla="*/ f5 1 f19"/>
                              <a:gd name="f36" fmla="*/ f7 1 f19"/>
                              <a:gd name="f37" fmla="+- f26 0 f1"/>
                              <a:gd name="f38" fmla="*/ f27 1 f18"/>
                              <a:gd name="f39" fmla="*/ f28 1 f19"/>
                              <a:gd name="f40" fmla="*/ f29 1 f18"/>
                              <a:gd name="f41" fmla="*/ f30 1 f18"/>
                              <a:gd name="f42" fmla="*/ f31 1 f19"/>
                              <a:gd name="f43" fmla="*/ f32 1 f19"/>
                              <a:gd name="f44" fmla="*/ f33 f13 1"/>
                              <a:gd name="f45" fmla="*/ f34 f13 1"/>
                              <a:gd name="f46" fmla="*/ f36 f14 1"/>
                              <a:gd name="f47" fmla="*/ f35 f14 1"/>
                              <a:gd name="f48" fmla="*/ f38 f13 1"/>
                              <a:gd name="f49" fmla="*/ f39 f14 1"/>
                              <a:gd name="f50" fmla="*/ f40 f13 1"/>
                              <a:gd name="f51" fmla="*/ f41 f13 1"/>
                              <a:gd name="f52" fmla="*/ f42 f14 1"/>
                              <a:gd name="f53" fmla="*/ f43 f14 1"/>
                            </a:gdLst>
                            <a:ahLst/>
                            <a:cxnLst>
                              <a:cxn ang="3cd4">
                                <a:pos x="hc" y="t"/>
                              </a:cxn>
                              <a:cxn ang="0">
                                <a:pos x="r" y="vc"/>
                              </a:cxn>
                              <a:cxn ang="cd4">
                                <a:pos x="hc" y="b"/>
                              </a:cxn>
                              <a:cxn ang="cd2">
                                <a:pos x="l" y="vc"/>
                              </a:cxn>
                              <a:cxn ang="f37">
                                <a:pos x="f48" y="f49"/>
                              </a:cxn>
                              <a:cxn ang="f37">
                                <a:pos x="f50" y="f49"/>
                              </a:cxn>
                              <a:cxn ang="f37">
                                <a:pos x="f51" y="f52"/>
                              </a:cxn>
                              <a:cxn ang="f37">
                                <a:pos x="f51" y="f53"/>
                              </a:cxn>
                              <a:cxn ang="f37">
                                <a:pos x="f48" y="f53"/>
                              </a:cxn>
                              <a:cxn ang="f37">
                                <a:pos x="f48" y="f49"/>
                              </a:cxn>
                            </a:cxnLst>
                            <a:rect l="f44" t="f47" r="f45" b="f46"/>
                            <a:pathLst>
                              <a:path w="3098165" h="1871027">
                                <a:moveTo>
                                  <a:pt x="f5" y="f5"/>
                                </a:moveTo>
                                <a:lnTo>
                                  <a:pt x="f8" y="f5"/>
                                </a:lnTo>
                                <a:cubicBezTo>
                                  <a:pt x="f9" y="f5"/>
                                  <a:pt x="f6" y="f10"/>
                                  <a:pt x="f6" y="f11"/>
                                </a:cubicBezTo>
                                <a:lnTo>
                                  <a:pt x="f6" y="f7"/>
                                </a:lnTo>
                                <a:lnTo>
                                  <a:pt x="f5" y="f7"/>
                                </a:lnTo>
                                <a:lnTo>
                                  <a:pt x="f5" y="f5"/>
                                </a:lnTo>
                                <a:close/>
                              </a:path>
                            </a:pathLst>
                          </a:custGeom>
                          <a:solidFill>
                            <a:srgbClr val="FFFFFF"/>
                          </a:solidFill>
                          <a:ln w="12701" cap="flat">
                            <a:solidFill>
                              <a:srgbClr val="3D67B1"/>
                            </a:solidFill>
                            <a:prstDash val="solid"/>
                            <a:miter/>
                          </a:ln>
                        </wps:spPr>
                        <wps:txbx>
                          <w:txbxContent>
                            <w:p w14:paraId="346B26D8" w14:textId="77777777" w:rsidR="001C1DB8" w:rsidRDefault="00FB2C3B">
                              <w:pPr>
                                <w:spacing w:before="0" w:after="80" w:line="216" w:lineRule="auto"/>
                              </w:pPr>
                              <w:r>
                                <w:rPr>
                                  <w:rFonts w:eastAsia="Arial"/>
                                  <w:b/>
                                  <w:bCs/>
                                  <w:color w:val="000000"/>
                                  <w:kern w:val="3"/>
                                  <w:sz w:val="20"/>
                                  <w:szCs w:val="20"/>
                                  <w14:shadow w14:blurRad="152336" w14:dist="0" w14:dir="0" w14:sx="100000" w14:sy="100000" w14:kx="0" w14:ky="0" w14:algn="b">
                                    <w14:srgbClr w14:val="FFFFFF"/>
                                  </w14:shadow>
                                </w:rPr>
                                <w:t>Collaborative</w:t>
                              </w:r>
                            </w:p>
                            <w:p w14:paraId="6066E8AC" w14:textId="77777777" w:rsidR="001C1DB8" w:rsidRDefault="00FB2C3B">
                              <w:pPr>
                                <w:spacing w:before="0" w:after="80" w:line="216" w:lineRule="auto"/>
                              </w:pPr>
                              <w:r>
                                <w:rPr>
                                  <w:rFonts w:eastAsia="Arial"/>
                                  <w:color w:val="000000"/>
                                  <w:kern w:val="3"/>
                                  <w:sz w:val="20"/>
                                  <w:szCs w:val="20"/>
                                  <w14:shadow w14:blurRad="152336" w14:dist="0" w14:dir="0" w14:sx="100000" w14:sy="100000" w14:kx="0" w14:ky="0" w14:algn="b">
                                    <w14:srgbClr w14:val="FFFFFF"/>
                                  </w14:shadow>
                                </w:rPr>
                                <w:t xml:space="preserve">We work flexibly to improve both performance and work/life balance </w:t>
                              </w:r>
                            </w:p>
                            <w:p w14:paraId="7F8A8750" w14:textId="77777777" w:rsidR="001C1DB8" w:rsidRDefault="00FB2C3B">
                              <w:pPr>
                                <w:spacing w:before="0" w:after="80" w:line="216" w:lineRule="auto"/>
                              </w:pPr>
                              <w:r>
                                <w:rPr>
                                  <w:rFonts w:eastAsia="Arial"/>
                                  <w:color w:val="000000"/>
                                  <w:kern w:val="3"/>
                                  <w:sz w:val="20"/>
                                  <w:szCs w:val="20"/>
                                  <w14:shadow w14:blurRad="152336" w14:dist="0" w14:dir="0" w14:sx="100000" w14:sy="100000" w14:kx="0" w14:ky="0" w14:algn="b">
                                    <w14:srgbClr w14:val="FFFFFF"/>
                                  </w14:shadow>
                                </w:rPr>
                                <w:t>We recognise and share good practice</w:t>
                              </w:r>
                            </w:p>
                            <w:p w14:paraId="196CA76A" w14:textId="4603E4BB" w:rsidR="001C1DB8" w:rsidRDefault="00FB2C3B">
                              <w:pPr>
                                <w:spacing w:before="0" w:after="80" w:line="216" w:lineRule="auto"/>
                              </w:pPr>
                              <w:r>
                                <w:rPr>
                                  <w:rFonts w:eastAsia="Arial"/>
                                  <w:color w:val="000000"/>
                                  <w:kern w:val="3"/>
                                  <w:sz w:val="20"/>
                                  <w:szCs w:val="20"/>
                                  <w14:shadow w14:blurRad="152336" w14:dist="0" w14:dir="0" w14:sx="100000" w14:sy="100000" w14:kx="0" w14:ky="0" w14:algn="b">
                                    <w14:srgbClr w14:val="FFFFFF"/>
                                  </w14:shadow>
                                </w:rPr>
                                <w:t xml:space="preserve">We seek and encourage views and ideas from others </w:t>
                              </w:r>
                            </w:p>
                            <w:p w14:paraId="18534633" w14:textId="7EC80D14" w:rsidR="001C1DB8" w:rsidRDefault="00FB2C3B">
                              <w:pPr>
                                <w:spacing w:before="0" w:after="80" w:line="216" w:lineRule="auto"/>
                              </w:pPr>
                              <w:r>
                                <w:rPr>
                                  <w:rFonts w:eastAsia="Arial"/>
                                  <w:color w:val="000000"/>
                                  <w:kern w:val="3"/>
                                  <w:sz w:val="20"/>
                                  <w:szCs w:val="20"/>
                                  <w14:shadow w14:blurRad="152336" w14:dist="0" w14:dir="0" w14:sx="100000" w14:sy="100000" w14:kx="0" w14:ky="0" w14:algn="b">
                                    <w14:srgbClr w14:val="FFFFFF"/>
                                  </w14:shadow>
                                </w:rPr>
                                <w:t>We encourage learning and development</w:t>
                              </w:r>
                              <w:r w:rsidR="00F6297B">
                                <w:rPr>
                                  <w:rFonts w:eastAsia="Arial"/>
                                  <w:color w:val="000000"/>
                                  <w:kern w:val="3"/>
                                  <w:sz w:val="20"/>
                                  <w:szCs w:val="20"/>
                                  <w14:shadow w14:blurRad="152336" w14:dist="0" w14:dir="0" w14:sx="100000" w14:sy="100000" w14:kx="0" w14:ky="0" w14:algn="b">
                                    <w14:srgbClr w14:val="FFFFFF"/>
                                  </w14:shadow>
                                </w:rPr>
                                <w:t xml:space="preserve"> and work flexibly</w:t>
                              </w:r>
                            </w:p>
                            <w:p w14:paraId="1E58BC77" w14:textId="37E94FDF" w:rsidR="00F82A45" w:rsidRDefault="00F82A45">
                              <w:pPr>
                                <w:spacing w:before="0" w:after="80" w:line="216" w:lineRule="auto"/>
                              </w:pPr>
                            </w:p>
                            <w:p w14:paraId="7222311C" w14:textId="1E6AB679" w:rsidR="001C1DB8" w:rsidRDefault="00FB2C3B">
                              <w:pPr>
                                <w:spacing w:before="0" w:after="80" w:line="216" w:lineRule="auto"/>
                              </w:pPr>
                              <w:r>
                                <w:rPr>
                                  <w:rFonts w:eastAsia="Arial"/>
                                  <w:color w:val="000000"/>
                                  <w:kern w:val="3"/>
                                  <w:sz w:val="20"/>
                                  <w:szCs w:val="20"/>
                                  <w14:shadow w14:blurRad="152336" w14:dist="0" w14:dir="0" w14:sx="100000" w14:sy="100000" w14:kx="0" w14:ky="0" w14:algn="b">
                                    <w14:srgbClr w14:val="FFFFFF"/>
                                  </w14:shadow>
                                </w:rPr>
                                <w:t>We are inclusive</w:t>
                              </w:r>
                            </w:p>
                          </w:txbxContent>
                        </wps:txbx>
                        <wps:bodyPr vert="horz" wrap="square" lIns="78236" tIns="78236" rIns="78236" bIns="545988" anchor="ctr" anchorCtr="0" compatLnSpc="0">
                          <a:noAutofit/>
                        </wps:bodyPr>
                      </wps:wsp>
                      <wps:wsp>
                        <wps:cNvPr id="1775386645" name="Freeform: Shape 16"/>
                        <wps:cNvSpPr/>
                        <wps:spPr>
                          <a:xfrm>
                            <a:off x="0" y="1871026"/>
                            <a:ext cx="3098170" cy="1871026"/>
                          </a:xfrm>
                          <a:custGeom>
                            <a:avLst/>
                            <a:gdLst>
                              <a:gd name="f0" fmla="val 10800000"/>
                              <a:gd name="f1" fmla="val 5400000"/>
                              <a:gd name="f2" fmla="val 180"/>
                              <a:gd name="f3" fmla="val w"/>
                              <a:gd name="f4" fmla="val h"/>
                              <a:gd name="f5" fmla="val 0"/>
                              <a:gd name="f6" fmla="val 3098165"/>
                              <a:gd name="f7" fmla="val 1871027"/>
                              <a:gd name="f8" fmla="val 1871026"/>
                              <a:gd name="f9" fmla="val 311844"/>
                              <a:gd name="f10" fmla="val 139617"/>
                              <a:gd name="f11" fmla="val 1731409"/>
                              <a:gd name="f12" fmla="val 1559182"/>
                              <a:gd name="f13" fmla="val 1"/>
                              <a:gd name="f14" fmla="+- 0 0 -90"/>
                              <a:gd name="f15" fmla="*/ f3 1 3098165"/>
                              <a:gd name="f16" fmla="*/ f4 1 1871027"/>
                              <a:gd name="f17" fmla="+- f7 0 f5"/>
                              <a:gd name="f18" fmla="+- f6 0 f5"/>
                              <a:gd name="f19" fmla="*/ f14 f0 1"/>
                              <a:gd name="f20" fmla="*/ f18 1 3098165"/>
                              <a:gd name="f21" fmla="*/ f17 1 1871027"/>
                              <a:gd name="f22" fmla="*/ 0 f18 1"/>
                              <a:gd name="f23" fmla="*/ 0 f17 1"/>
                              <a:gd name="f24" fmla="*/ 2786321 f18 1"/>
                              <a:gd name="f25" fmla="*/ 3098165 f18 1"/>
                              <a:gd name="f26" fmla="*/ 311844 f17 1"/>
                              <a:gd name="f27" fmla="*/ 1871027 f17 1"/>
                              <a:gd name="f28" fmla="*/ f19 1 f2"/>
                              <a:gd name="f29" fmla="*/ f22 1 3098165"/>
                              <a:gd name="f30" fmla="*/ f23 1 1871027"/>
                              <a:gd name="f31" fmla="*/ f24 1 3098165"/>
                              <a:gd name="f32" fmla="*/ f25 1 3098165"/>
                              <a:gd name="f33" fmla="*/ f26 1 1871027"/>
                              <a:gd name="f34" fmla="*/ f27 1 1871027"/>
                              <a:gd name="f35" fmla="*/ f5 1 f20"/>
                              <a:gd name="f36" fmla="*/ f6 1 f20"/>
                              <a:gd name="f37" fmla="*/ f5 1 f21"/>
                              <a:gd name="f38" fmla="*/ f7 1 f21"/>
                              <a:gd name="f39" fmla="+- f28 0 f1"/>
                              <a:gd name="f40" fmla="*/ f29 1 f20"/>
                              <a:gd name="f41" fmla="*/ f30 1 f21"/>
                              <a:gd name="f42" fmla="*/ f31 1 f20"/>
                              <a:gd name="f43" fmla="*/ f32 1 f20"/>
                              <a:gd name="f44" fmla="*/ f33 1 f21"/>
                              <a:gd name="f45" fmla="*/ f34 1 f21"/>
                              <a:gd name="f46" fmla="*/ f35 f15 1"/>
                              <a:gd name="f47" fmla="*/ f36 f15 1"/>
                              <a:gd name="f48" fmla="*/ f38 f16 1"/>
                              <a:gd name="f49" fmla="*/ f37 f16 1"/>
                              <a:gd name="f50" fmla="*/ f40 f15 1"/>
                              <a:gd name="f51" fmla="*/ f41 f16 1"/>
                              <a:gd name="f52" fmla="*/ f42 f15 1"/>
                              <a:gd name="f53" fmla="*/ f43 f15 1"/>
                              <a:gd name="f54" fmla="*/ f44 f16 1"/>
                              <a:gd name="f55" fmla="*/ f45 f16 1"/>
                            </a:gdLst>
                            <a:ahLst/>
                            <a:cxnLst>
                              <a:cxn ang="3cd4">
                                <a:pos x="hc" y="t"/>
                              </a:cxn>
                              <a:cxn ang="0">
                                <a:pos x="r" y="vc"/>
                              </a:cxn>
                              <a:cxn ang="cd4">
                                <a:pos x="hc" y="b"/>
                              </a:cxn>
                              <a:cxn ang="cd2">
                                <a:pos x="l" y="vc"/>
                              </a:cxn>
                              <a:cxn ang="f39">
                                <a:pos x="f50" y="f51"/>
                              </a:cxn>
                              <a:cxn ang="f39">
                                <a:pos x="f52" y="f51"/>
                              </a:cxn>
                              <a:cxn ang="f39">
                                <a:pos x="f53" y="f54"/>
                              </a:cxn>
                              <a:cxn ang="f39">
                                <a:pos x="f53" y="f55"/>
                              </a:cxn>
                              <a:cxn ang="f39">
                                <a:pos x="f50" y="f55"/>
                              </a:cxn>
                              <a:cxn ang="f39">
                                <a:pos x="f50" y="f51"/>
                              </a:cxn>
                            </a:cxnLst>
                            <a:rect l="f46" t="f49" r="f47" b="f48"/>
                            <a:pathLst>
                              <a:path w="3098165" h="1871027">
                                <a:moveTo>
                                  <a:pt x="f6" y="f8"/>
                                </a:moveTo>
                                <a:lnTo>
                                  <a:pt x="f9" y="f8"/>
                                </a:lnTo>
                                <a:cubicBezTo>
                                  <a:pt x="f10" y="f8"/>
                                  <a:pt x="f5" y="f11"/>
                                  <a:pt x="f5" y="f12"/>
                                </a:cubicBezTo>
                                <a:lnTo>
                                  <a:pt x="f5" y="f13"/>
                                </a:lnTo>
                                <a:lnTo>
                                  <a:pt x="f6" y="f13"/>
                                </a:lnTo>
                                <a:lnTo>
                                  <a:pt x="f6" y="f8"/>
                                </a:lnTo>
                                <a:close/>
                              </a:path>
                            </a:pathLst>
                          </a:custGeom>
                          <a:solidFill>
                            <a:srgbClr val="FFFFFF"/>
                          </a:solidFill>
                          <a:ln w="12701" cap="flat">
                            <a:solidFill>
                              <a:srgbClr val="3D67B1"/>
                            </a:solidFill>
                            <a:prstDash val="solid"/>
                            <a:miter/>
                          </a:ln>
                        </wps:spPr>
                        <wps:txbx>
                          <w:txbxContent>
                            <w:p w14:paraId="6A91AC06" w14:textId="77777777" w:rsidR="001C1DB8" w:rsidRDefault="00FB2C3B">
                              <w:pPr>
                                <w:spacing w:before="0" w:after="80" w:line="216" w:lineRule="auto"/>
                              </w:pPr>
                              <w:r>
                                <w:rPr>
                                  <w:rFonts w:eastAsia="Arial"/>
                                  <w:b/>
                                  <w:bCs/>
                                  <w:color w:val="000000"/>
                                  <w:kern w:val="3"/>
                                  <w:sz w:val="20"/>
                                  <w:szCs w:val="20"/>
                                  <w14:shadow w14:blurRad="152336" w14:dist="0" w14:dir="0" w14:sx="100000" w14:sy="100000" w14:kx="0" w14:ky="0" w14:algn="b">
                                    <w14:srgbClr w14:val="FFFFFF"/>
                                  </w14:shadow>
                                </w:rPr>
                                <w:t>Professional</w:t>
                              </w:r>
                            </w:p>
                            <w:p w14:paraId="68609F70" w14:textId="23D0D51D" w:rsidR="001C1DB8" w:rsidRDefault="00FB2C3B">
                              <w:pPr>
                                <w:spacing w:before="0" w:after="80" w:line="216" w:lineRule="auto"/>
                              </w:pPr>
                              <w:r>
                                <w:rPr>
                                  <w:rFonts w:eastAsia="Arial"/>
                                  <w:color w:val="000000"/>
                                  <w:kern w:val="3"/>
                                  <w:sz w:val="20"/>
                                  <w:szCs w:val="20"/>
                                  <w14:shadow w14:blurRad="152336" w14:dist="0" w14:dir="0" w14:sx="100000" w14:sy="100000" w14:kx="0" w14:ky="0" w14:algn="b">
                                    <w14:srgbClr w14:val="FFFFFF"/>
                                  </w14:shadow>
                                </w:rPr>
                                <w:t>We produc</w:t>
                              </w:r>
                              <w:r w:rsidR="00EA65A2">
                                <w:rPr>
                                  <w:rFonts w:eastAsia="Arial"/>
                                  <w:color w:val="000000"/>
                                  <w:kern w:val="3"/>
                                  <w:sz w:val="20"/>
                                  <w:szCs w:val="20"/>
                                  <w14:shadow w14:blurRad="152336" w14:dist="0" w14:dir="0" w14:sx="100000" w14:sy="100000" w14:kx="0" w14:ky="0" w14:algn="b">
                                    <w14:srgbClr w14:val="FFFFFF"/>
                                  </w14:shadow>
                                </w:rPr>
                                <w:t>ed</w:t>
                              </w:r>
                              <w:r>
                                <w:rPr>
                                  <w:rFonts w:eastAsia="Arial"/>
                                  <w:color w:val="000000"/>
                                  <w:kern w:val="3"/>
                                  <w:sz w:val="20"/>
                                  <w:szCs w:val="20"/>
                                  <w14:shadow w14:blurRad="152336" w14:dist="0" w14:dir="0" w14:sx="100000" w14:sy="100000" w14:kx="0" w14:ky="0" w14:algn="b">
                                    <w14:srgbClr w14:val="FFFFFF"/>
                                  </w14:shadow>
                                </w:rPr>
                                <w:t xml:space="preserve"> accurate, high-quality work</w:t>
                              </w:r>
                            </w:p>
                            <w:p w14:paraId="6C212F3D" w14:textId="77777777" w:rsidR="001C1DB8" w:rsidRDefault="00FB2C3B">
                              <w:pPr>
                                <w:spacing w:before="0" w:after="80" w:line="216" w:lineRule="auto"/>
                              </w:pPr>
                              <w:r>
                                <w:rPr>
                                  <w:rFonts w:eastAsia="Arial"/>
                                  <w:color w:val="000000"/>
                                  <w:kern w:val="3"/>
                                  <w:sz w:val="20"/>
                                  <w:szCs w:val="20"/>
                                  <w14:shadow w14:blurRad="152336" w14:dist="0" w14:dir="0" w14:sx="100000" w14:sy="100000" w14:kx="0" w14:ky="0" w14:algn="b">
                                    <w14:srgbClr w14:val="FFFFFF"/>
                                  </w14:shadow>
                                </w:rPr>
                                <w:t>We communicate clearly and unambiguously</w:t>
                              </w:r>
                            </w:p>
                            <w:p w14:paraId="5FEAF32F" w14:textId="77777777" w:rsidR="001C1DB8" w:rsidRDefault="00FB2C3B">
                              <w:pPr>
                                <w:spacing w:before="0" w:after="80" w:line="216" w:lineRule="auto"/>
                              </w:pPr>
                              <w:r>
                                <w:rPr>
                                  <w:rFonts w:eastAsia="Arial"/>
                                  <w:color w:val="000000"/>
                                  <w:kern w:val="3"/>
                                  <w:sz w:val="20"/>
                                  <w:szCs w:val="20"/>
                                  <w14:shadow w14:blurRad="152336" w14:dist="0" w14:dir="0" w14:sx="100000" w14:sy="100000" w14:kx="0" w14:ky="0" w14:algn="b">
                                    <w14:srgbClr w14:val="FFFFFF"/>
                                  </w14:shadow>
                                </w:rPr>
                                <w:t>We take responsibility and empower others</w:t>
                              </w:r>
                            </w:p>
                            <w:p w14:paraId="4F98848A" w14:textId="36BC9F6A" w:rsidR="001C1DB8" w:rsidRDefault="00FB2C3B">
                              <w:pPr>
                                <w:spacing w:before="0" w:after="80" w:line="216" w:lineRule="auto"/>
                              </w:pPr>
                              <w:r>
                                <w:rPr>
                                  <w:rFonts w:eastAsia="Arial"/>
                                  <w:color w:val="000000"/>
                                  <w:kern w:val="3"/>
                                  <w:sz w:val="20"/>
                                  <w:szCs w:val="20"/>
                                  <w14:shadow w14:blurRad="152336" w14:dist="0" w14:dir="0" w14:sx="100000" w14:sy="100000" w14:kx="0" w14:ky="0" w14:algn="b">
                                    <w14:srgbClr w14:val="FFFFFF"/>
                                  </w14:shadow>
                                </w:rPr>
                                <w:t>We challenge unacceptable behaviours</w:t>
                              </w:r>
                            </w:p>
                          </w:txbxContent>
                        </wps:txbx>
                        <wps:bodyPr vert="horz" wrap="square" lIns="78226" tIns="545988" rIns="78236" bIns="78236" anchor="ctr" anchorCtr="0" compatLnSpc="0">
                          <a:noAutofit/>
                        </wps:bodyPr>
                      </wps:wsp>
                      <wps:wsp>
                        <wps:cNvPr id="1782949700" name="Freeform: Shape 17"/>
                        <wps:cNvSpPr/>
                        <wps:spPr>
                          <a:xfrm>
                            <a:off x="3098160" y="1871026"/>
                            <a:ext cx="3098160" cy="1871026"/>
                          </a:xfrm>
                          <a:custGeom>
                            <a:avLst/>
                            <a:gdLst>
                              <a:gd name="f0" fmla="val 10800000"/>
                              <a:gd name="f1" fmla="val 5400000"/>
                              <a:gd name="f2" fmla="val 180"/>
                              <a:gd name="f3" fmla="val w"/>
                              <a:gd name="f4" fmla="val h"/>
                              <a:gd name="f5" fmla="val 0"/>
                              <a:gd name="f6" fmla="val 1871027"/>
                              <a:gd name="f7" fmla="val 3098165"/>
                              <a:gd name="f8" fmla="val 1"/>
                              <a:gd name="f9" fmla="val 2581793"/>
                              <a:gd name="f10" fmla="val 2866978"/>
                              <a:gd name="f11" fmla="val 1786710"/>
                              <a:gd name="f12" fmla="val 3098164"/>
                              <a:gd name="f13" fmla="val 1682700"/>
                              <a:gd name="f14" fmla="+- 0 0 -90"/>
                              <a:gd name="f15" fmla="*/ f3 1 1871027"/>
                              <a:gd name="f16" fmla="*/ f4 1 3098165"/>
                              <a:gd name="f17" fmla="+- f7 0 f5"/>
                              <a:gd name="f18" fmla="+- f6 0 f5"/>
                              <a:gd name="f19" fmla="*/ f14 f0 1"/>
                              <a:gd name="f20" fmla="*/ f18 1 1871027"/>
                              <a:gd name="f21" fmla="*/ f17 1 3098165"/>
                              <a:gd name="f22" fmla="*/ 0 f18 1"/>
                              <a:gd name="f23" fmla="*/ 0 f17 1"/>
                              <a:gd name="f24" fmla="*/ 1559183 f18 1"/>
                              <a:gd name="f25" fmla="*/ 1871027 f18 1"/>
                              <a:gd name="f26" fmla="*/ 311844 f17 1"/>
                              <a:gd name="f27" fmla="*/ 3098165 f17 1"/>
                              <a:gd name="f28" fmla="*/ f19 1 f2"/>
                              <a:gd name="f29" fmla="*/ f22 1 1871027"/>
                              <a:gd name="f30" fmla="*/ f23 1 3098165"/>
                              <a:gd name="f31" fmla="*/ f24 1 1871027"/>
                              <a:gd name="f32" fmla="*/ f25 1 1871027"/>
                              <a:gd name="f33" fmla="*/ f26 1 3098165"/>
                              <a:gd name="f34" fmla="*/ f27 1 3098165"/>
                              <a:gd name="f35" fmla="*/ f5 1 f20"/>
                              <a:gd name="f36" fmla="*/ f6 1 f20"/>
                              <a:gd name="f37" fmla="*/ f5 1 f21"/>
                              <a:gd name="f38" fmla="*/ f7 1 f21"/>
                              <a:gd name="f39" fmla="+- f28 0 f1"/>
                              <a:gd name="f40" fmla="*/ f29 1 f20"/>
                              <a:gd name="f41" fmla="*/ f30 1 f21"/>
                              <a:gd name="f42" fmla="*/ f31 1 f20"/>
                              <a:gd name="f43" fmla="*/ f32 1 f20"/>
                              <a:gd name="f44" fmla="*/ f33 1 f21"/>
                              <a:gd name="f45" fmla="*/ f34 1 f21"/>
                              <a:gd name="f46" fmla="*/ f35 f15 1"/>
                              <a:gd name="f47" fmla="*/ f36 f15 1"/>
                              <a:gd name="f48" fmla="*/ f38 f16 1"/>
                              <a:gd name="f49" fmla="*/ f37 f16 1"/>
                              <a:gd name="f50" fmla="*/ f40 f15 1"/>
                              <a:gd name="f51" fmla="*/ f41 f16 1"/>
                              <a:gd name="f52" fmla="*/ f42 f15 1"/>
                              <a:gd name="f53" fmla="*/ f43 f15 1"/>
                              <a:gd name="f54" fmla="*/ f44 f16 1"/>
                              <a:gd name="f55" fmla="*/ f45 f16 1"/>
                            </a:gdLst>
                            <a:ahLst/>
                            <a:cxnLst>
                              <a:cxn ang="3cd4">
                                <a:pos x="hc" y="t"/>
                              </a:cxn>
                              <a:cxn ang="0">
                                <a:pos x="r" y="vc"/>
                              </a:cxn>
                              <a:cxn ang="cd4">
                                <a:pos x="hc" y="b"/>
                              </a:cxn>
                              <a:cxn ang="cd2">
                                <a:pos x="l" y="vc"/>
                              </a:cxn>
                              <a:cxn ang="f39">
                                <a:pos x="f50" y="f51"/>
                              </a:cxn>
                              <a:cxn ang="f39">
                                <a:pos x="f52" y="f51"/>
                              </a:cxn>
                              <a:cxn ang="f39">
                                <a:pos x="f53" y="f54"/>
                              </a:cxn>
                              <a:cxn ang="f39">
                                <a:pos x="f53" y="f55"/>
                              </a:cxn>
                              <a:cxn ang="f39">
                                <a:pos x="f50" y="f55"/>
                              </a:cxn>
                              <a:cxn ang="f39">
                                <a:pos x="f50" y="f51"/>
                              </a:cxn>
                            </a:cxnLst>
                            <a:rect l="f46" t="f49" r="f47" b="f48"/>
                            <a:pathLst>
                              <a:path w="1871027" h="3098165">
                                <a:moveTo>
                                  <a:pt x="f6" y="f8"/>
                                </a:moveTo>
                                <a:lnTo>
                                  <a:pt x="f6" y="f9"/>
                                </a:lnTo>
                                <a:cubicBezTo>
                                  <a:pt x="f6" y="f10"/>
                                  <a:pt x="f11" y="f12"/>
                                  <a:pt x="f13" y="f12"/>
                                </a:cubicBezTo>
                                <a:lnTo>
                                  <a:pt x="f5" y="f12"/>
                                </a:lnTo>
                                <a:lnTo>
                                  <a:pt x="f5" y="f8"/>
                                </a:lnTo>
                                <a:lnTo>
                                  <a:pt x="f6" y="f8"/>
                                </a:lnTo>
                                <a:close/>
                              </a:path>
                            </a:pathLst>
                          </a:custGeom>
                          <a:solidFill>
                            <a:srgbClr val="FFFFFF"/>
                          </a:solidFill>
                          <a:ln w="12701" cap="flat">
                            <a:solidFill>
                              <a:srgbClr val="3D67B1"/>
                            </a:solidFill>
                            <a:prstDash val="solid"/>
                            <a:miter/>
                          </a:ln>
                        </wps:spPr>
                        <wps:txbx>
                          <w:txbxContent>
                            <w:p w14:paraId="79BE72D9" w14:textId="77777777" w:rsidR="001C1DB8" w:rsidRDefault="00FB2C3B">
                              <w:pPr>
                                <w:spacing w:before="0" w:after="80" w:line="216" w:lineRule="auto"/>
                              </w:pPr>
                              <w:r>
                                <w:rPr>
                                  <w:rFonts w:eastAsia="Arial"/>
                                  <w:b/>
                                  <w:bCs/>
                                  <w:color w:val="000000"/>
                                  <w:kern w:val="3"/>
                                  <w:sz w:val="20"/>
                                  <w:szCs w:val="20"/>
                                  <w14:shadow w14:blurRad="152336" w14:dist="0" w14:dir="0" w14:sx="100000" w14:sy="100000" w14:kx="0" w14:ky="0" w14:algn="b">
                                    <w14:srgbClr w14:val="FFFFFF"/>
                                  </w14:shadow>
                                </w:rPr>
                                <w:t>Independent</w:t>
                              </w:r>
                            </w:p>
                            <w:p w14:paraId="50195B0C" w14:textId="77777777" w:rsidR="001C1DB8" w:rsidRDefault="00FB2C3B">
                              <w:pPr>
                                <w:spacing w:before="0" w:after="80" w:line="216" w:lineRule="auto"/>
                              </w:pPr>
                              <w:r>
                                <w:rPr>
                                  <w:rFonts w:eastAsia="Arial"/>
                                  <w:color w:val="000000"/>
                                  <w:kern w:val="3"/>
                                  <w:sz w:val="20"/>
                                  <w:szCs w:val="20"/>
                                  <w14:shadow w14:blurRad="152336" w14:dist="0" w14:dir="0" w14:sx="100000" w14:sy="100000" w14:kx="0" w14:ky="0" w14:algn="b">
                                    <w14:srgbClr w14:val="FFFFFF"/>
                                  </w14:shadow>
                                </w:rPr>
                                <w:t>We are balanced and objective</w:t>
                              </w:r>
                            </w:p>
                            <w:p w14:paraId="588E7F0D" w14:textId="77777777" w:rsidR="001C1DB8" w:rsidRDefault="00FB2C3B">
                              <w:pPr>
                                <w:spacing w:before="0" w:after="80" w:line="216" w:lineRule="auto"/>
                              </w:pPr>
                              <w:r>
                                <w:rPr>
                                  <w:rFonts w:eastAsia="Arial"/>
                                  <w:color w:val="000000"/>
                                  <w:kern w:val="3"/>
                                  <w:sz w:val="20"/>
                                  <w:szCs w:val="20"/>
                                  <w14:shadow w14:blurRad="152336" w14:dist="0" w14:dir="0" w14:sx="100000" w14:sy="100000" w14:kx="0" w14:ky="0" w14:algn="b">
                                    <w14:srgbClr w14:val="FFFFFF"/>
                                  </w14:shadow>
                                </w:rPr>
                                <w:t xml:space="preserve">We are sensitive to the concerns of our stakeholders </w:t>
                              </w:r>
                            </w:p>
                            <w:p w14:paraId="5FE152CF" w14:textId="77777777" w:rsidR="001C1DB8" w:rsidRDefault="00FB2C3B">
                              <w:pPr>
                                <w:spacing w:before="0" w:after="80" w:line="216" w:lineRule="auto"/>
                              </w:pPr>
                              <w:r>
                                <w:rPr>
                                  <w:rFonts w:eastAsia="Arial"/>
                                  <w:color w:val="000000"/>
                                  <w:kern w:val="3"/>
                                  <w:sz w:val="20"/>
                                  <w:szCs w:val="20"/>
                                  <w14:shadow w14:blurRad="152336" w14:dist="0" w14:dir="0" w14:sx="100000" w14:sy="100000" w14:kx="0" w14:ky="0" w14:algn="b">
                                    <w14:srgbClr w14:val="FFFFFF"/>
                                  </w14:shadow>
                                </w:rPr>
                                <w:t>We are aware of wider issues and context</w:t>
                              </w:r>
                            </w:p>
                          </w:txbxContent>
                        </wps:txbx>
                        <wps:bodyPr vert="horz" wrap="square" lIns="78236" tIns="545988" rIns="78226" bIns="78236" anchor="ctr" anchorCtr="0" compatLnSpc="0">
                          <a:noAutofit/>
                        </wps:bodyPr>
                      </wps:wsp>
                      <wps:wsp>
                        <wps:cNvPr id="453450938" name="Freeform: Shape 18"/>
                        <wps:cNvSpPr/>
                        <wps:spPr>
                          <a:xfrm>
                            <a:off x="1605915" y="1661437"/>
                            <a:ext cx="2984501" cy="419188"/>
                          </a:xfrm>
                          <a:custGeom>
                            <a:avLst/>
                            <a:gdLst>
                              <a:gd name="f0" fmla="val 10800000"/>
                              <a:gd name="f1" fmla="val 5400000"/>
                              <a:gd name="f2" fmla="val 180"/>
                              <a:gd name="f3" fmla="val w"/>
                              <a:gd name="f4" fmla="val h"/>
                              <a:gd name="f5" fmla="val 0"/>
                              <a:gd name="f6" fmla="val 2984499"/>
                              <a:gd name="f7" fmla="val 419185"/>
                              <a:gd name="f8" fmla="val 69866"/>
                              <a:gd name="f9" fmla="val 31280"/>
                              <a:gd name="f10" fmla="val 2914633"/>
                              <a:gd name="f11" fmla="val 2953219"/>
                              <a:gd name="f12" fmla="val 349319"/>
                              <a:gd name="f13" fmla="val 387905"/>
                              <a:gd name="f14" fmla="+- 0 0 -90"/>
                              <a:gd name="f15" fmla="*/ f3 1 2984499"/>
                              <a:gd name="f16" fmla="*/ f4 1 419185"/>
                              <a:gd name="f17" fmla="+- f7 0 f5"/>
                              <a:gd name="f18" fmla="+- f6 0 f5"/>
                              <a:gd name="f19" fmla="*/ f14 f0 1"/>
                              <a:gd name="f20" fmla="*/ f18 1 2984499"/>
                              <a:gd name="f21" fmla="*/ f17 1 419185"/>
                              <a:gd name="f22" fmla="*/ 0 f18 1"/>
                              <a:gd name="f23" fmla="*/ 69866 f17 1"/>
                              <a:gd name="f24" fmla="*/ 69866 f18 1"/>
                              <a:gd name="f25" fmla="*/ 0 f17 1"/>
                              <a:gd name="f26" fmla="*/ 2914633 f18 1"/>
                              <a:gd name="f27" fmla="*/ 2984499 f18 1"/>
                              <a:gd name="f28" fmla="*/ 349319 f17 1"/>
                              <a:gd name="f29" fmla="*/ 419185 f17 1"/>
                              <a:gd name="f30" fmla="*/ f19 1 f2"/>
                              <a:gd name="f31" fmla="*/ f22 1 2984499"/>
                              <a:gd name="f32" fmla="*/ f23 1 419185"/>
                              <a:gd name="f33" fmla="*/ f24 1 2984499"/>
                              <a:gd name="f34" fmla="*/ f25 1 419185"/>
                              <a:gd name="f35" fmla="*/ f26 1 2984499"/>
                              <a:gd name="f36" fmla="*/ f27 1 2984499"/>
                              <a:gd name="f37" fmla="*/ f28 1 419185"/>
                              <a:gd name="f38" fmla="*/ f29 1 419185"/>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2984499" h="419185">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B0BCDE"/>
                          </a:solidFill>
                          <a:ln w="12701" cap="flat">
                            <a:solidFill>
                              <a:srgbClr val="FFFFFF"/>
                            </a:solidFill>
                            <a:prstDash val="solid"/>
                            <a:miter/>
                          </a:ln>
                        </wps:spPr>
                        <wps:txbx>
                          <w:txbxContent>
                            <w:p w14:paraId="27C21A8D" w14:textId="77777777" w:rsidR="001C1DB8" w:rsidRDefault="00FB2C3B">
                              <w:pPr>
                                <w:spacing w:before="0" w:after="100" w:line="216" w:lineRule="auto"/>
                                <w:jc w:val="center"/>
                              </w:pPr>
                              <w:r>
                                <w:rPr>
                                  <w:rFonts w:eastAsia="Arial"/>
                                  <w:b/>
                                  <w:bCs/>
                                  <w:color w:val="000000"/>
                                  <w:kern w:val="3"/>
                                  <w:szCs w:val="24"/>
                                </w:rPr>
                                <w:t xml:space="preserve">Values and Behaviours </w:t>
                              </w:r>
                            </w:p>
                          </w:txbxContent>
                        </wps:txbx>
                        <wps:bodyPr vert="horz" wrap="square" lIns="66184" tIns="66184" rIns="66184" bIns="66184" anchor="ctr" anchorCtr="1" compatLnSpc="0">
                          <a:noAutofit/>
                        </wps:bodyPr>
                      </wps:wsp>
                    </wpg:wgp>
                  </a:graphicData>
                </a:graphic>
              </wp:inline>
            </w:drawing>
          </mc:Choice>
          <mc:Fallback>
            <w:pict>
              <v:group w14:anchorId="3EFA08A1" id="Group 237913159" o:spid="_x0000_s1026" alt="This figure describes OME's values and behaviours, which are 'evidence-based', 'collaborative', 'professional' and 'independent'. &#10;&#10;Evidence-based means that we provide analysis of evidence, we influence and persuade stakeholders to provide timely, high-quality evidence, and we address weaknesses in our evidence base. &#10;&#10;Collaborative means that we work flexibly to improve both performance and work/life balance, we recognise and share good practice, and we seek and encourage views and ideas from others. &#10;&#10;Independent means that we are balanced and objective, we are sensitive to the concerns of our stakeholders, and we are aware of wider issues and context.&#10;&#10;Professional means that we product accurate, high-quality work, we optimise our use of resources, we communicate clearly and unambiguously, and we take responsibility and empower others. " style="width:477.85pt;height:372.5pt;mso-position-horizontal-relative:char;mso-position-vertical-relative:line" coordsize="61963,3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">
                <v:shape id="Freeform: Shape 14" o:spid="_x0000_s1027" style="position:absolute;width:30981;height:18710;visibility:visible;mso-wrap-style:square;v-text-anchor:middle" coordsize="1871027,30981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" adj="-11796480,,5400" path="m,3098165l,516371c,231187,84317,,188327,l1871027,r,3098165l,3098165xe" strokecolor="#3d67b1" strokeweight=".35281mm">
                  <v:stroke joinstyle="miter"/>
                  <v:formulas/>
                  <v:path arrowok="t" o:connecttype="custom" o:connectlocs="1549085,0;3098170,935513;1549085,1871026;0,935513;0,0;2581798,0;3098170,188327;3098170,1871026;0,1871026;0,0" o:connectangles="270,0,90,180,0,0,0,0,0,0" textboxrect="0,0,1871027,3098165"/>
                  <v:textbox inset="2.17322mm,2.17294mm,2.17294mm,15.16633mm">
                    <w:txbxContent>
                      <w:p w14:paraId="55C83C75" w14:textId="77777777" w:rsidR="001C1DB8" w:rsidRDefault="00FB2C3B">
                        <w:pPr>
                          <w:spacing w:before="0" w:after="80" w:line="216" w:lineRule="auto"/>
                        </w:pPr>
                        <w:r>
                          <w:rPr>
                            <w:rFonts w:eastAsia="Arial"/>
                            <w:b/>
                            <w:bCs/>
                            <w:color w:val="000000"/>
                            <w:kern w:val="3"/>
                            <w:sz w:val="20"/>
                            <w:szCs w:val="20"/>
                            <w14:shadow w14:blurRad="152336" w14:dist="0" w14:dir="0" w14:sx="100000" w14:sy="100000" w14:kx="0" w14:ky="0" w14:algn="b">
                              <w14:srgbClr w14:val="FFFFFF"/>
                            </w14:shadow>
                          </w:rPr>
                          <w:t>Evidence-based</w:t>
                        </w:r>
                      </w:p>
                      <w:p w14:paraId="5CC00E3A" w14:textId="21E7B52E" w:rsidR="001C1DB8" w:rsidRDefault="00FB2C3B">
                        <w:pPr>
                          <w:spacing w:before="0" w:after="80" w:line="216" w:lineRule="auto"/>
                        </w:pPr>
                        <w:r>
                          <w:rPr>
                            <w:rFonts w:eastAsia="Arial"/>
                            <w:color w:val="000000"/>
                            <w:kern w:val="3"/>
                            <w:sz w:val="20"/>
                            <w:szCs w:val="20"/>
                            <w14:shadow w14:blurRad="152336" w14:dist="0" w14:dir="0" w14:sx="100000" w14:sy="100000" w14:kx="0" w14:ky="0" w14:algn="b">
                              <w14:srgbClr w14:val="FFFFFF"/>
                            </w14:shadow>
                          </w:rPr>
                          <w:t xml:space="preserve">We provide </w:t>
                        </w:r>
                        <w:r w:rsidR="00475B22">
                          <w:rPr>
                            <w:rFonts w:eastAsia="Arial"/>
                            <w:color w:val="000000"/>
                            <w:kern w:val="3"/>
                            <w:sz w:val="20"/>
                            <w:szCs w:val="20"/>
                            <w14:shadow w14:blurRad="152336" w14:dist="0" w14:dir="0" w14:sx="100000" w14:sy="100000" w14:kx="0" w14:ky="0" w14:algn="b">
                              <w14:srgbClr w14:val="FFFFFF"/>
                            </w14:shadow>
                          </w:rPr>
                          <w:t>expert</w:t>
                        </w:r>
                        <w:r>
                          <w:rPr>
                            <w:rFonts w:eastAsia="Arial"/>
                            <w:color w:val="000000"/>
                            <w:kern w:val="3"/>
                            <w:sz w:val="20"/>
                            <w:szCs w:val="20"/>
                            <w14:shadow w14:blurRad="152336" w14:dist="0" w14:dir="0" w14:sx="100000" w14:sy="100000" w14:kx="0" w14:ky="0" w14:algn="b">
                              <w14:srgbClr w14:val="FFFFFF"/>
                            </w14:shadow>
                          </w:rPr>
                          <w:t xml:space="preserve"> analysis of evidence </w:t>
                        </w:r>
                      </w:p>
                      <w:p w14:paraId="44F62A45" w14:textId="12159584" w:rsidR="001C1DB8" w:rsidRDefault="00FB2C3B">
                        <w:pPr>
                          <w:spacing w:before="0" w:after="80" w:line="216" w:lineRule="auto"/>
                        </w:pPr>
                        <w:r>
                          <w:rPr>
                            <w:rFonts w:eastAsia="Arial"/>
                            <w:color w:val="000000"/>
                            <w:kern w:val="3"/>
                            <w:sz w:val="20"/>
                            <w:szCs w:val="20"/>
                            <w14:shadow w14:blurRad="152336" w14:dist="0" w14:dir="0" w14:sx="100000" w14:sy="100000" w14:kx="0" w14:ky="0" w14:algn="b">
                              <w14:srgbClr w14:val="FFFFFF"/>
                            </w14:shadow>
                          </w:rPr>
                          <w:t xml:space="preserve">We </w:t>
                        </w:r>
                        <w:r w:rsidR="00672721">
                          <w:rPr>
                            <w:rFonts w:eastAsia="Arial"/>
                            <w:color w:val="000000"/>
                            <w:kern w:val="3"/>
                            <w:sz w:val="20"/>
                            <w:szCs w:val="20"/>
                            <w14:shadow w14:blurRad="152336" w14:dist="0" w14:dir="0" w14:sx="100000" w14:sy="100000" w14:kx="0" w14:ky="0" w14:algn="b">
                              <w14:srgbClr w14:val="FFFFFF"/>
                            </w14:shadow>
                          </w:rPr>
                          <w:t>i</w:t>
                        </w:r>
                        <w:r>
                          <w:rPr>
                            <w:rFonts w:eastAsia="Arial"/>
                            <w:color w:val="000000"/>
                            <w:kern w:val="3"/>
                            <w:sz w:val="20"/>
                            <w:szCs w:val="20"/>
                            <w14:shadow w14:blurRad="152336" w14:dist="0" w14:dir="0" w14:sx="100000" w14:sy="100000" w14:kx="0" w14:ky="0" w14:algn="b">
                              <w14:srgbClr w14:val="FFFFFF"/>
                            </w14:shadow>
                          </w:rPr>
                          <w:t>nfluence and persuade stakeholders to provide timely, high-quality evidence</w:t>
                        </w:r>
                      </w:p>
                      <w:p w14:paraId="6C69D931" w14:textId="77777777" w:rsidR="001C1DB8" w:rsidRDefault="00FB2C3B">
                        <w:pPr>
                          <w:spacing w:before="0" w:after="80" w:line="216" w:lineRule="auto"/>
                        </w:pPr>
                        <w:r>
                          <w:rPr>
                            <w:rFonts w:eastAsia="Arial"/>
                            <w:color w:val="000000"/>
                            <w:kern w:val="3"/>
                            <w:sz w:val="20"/>
                            <w:szCs w:val="20"/>
                            <w14:shadow w14:blurRad="152336" w14:dist="0" w14:dir="0" w14:sx="100000" w14:sy="100000" w14:kx="0" w14:ky="0" w14:algn="b">
                              <w14:srgbClr w14:val="FFFFFF"/>
                            </w14:shadow>
                          </w:rPr>
                          <w:t>We address weaknesses in our evidence base</w:t>
                        </w:r>
                      </w:p>
                    </w:txbxContent>
                  </v:textbox>
                </v:shape>
                <v:shape id="Freeform: Shape 15" o:spid="_x0000_s1028" style="position:absolute;left:30962;width:30982;height:19392;visibility:visible;mso-wrap-style:square;v-text-anchor:middle" coordsize="3098165,18710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" adj="-11796480,,5400" path="m,l2786321,v172227,,311844,139617,311844,311844l3098165,1871027,,1871027,,xe" strokecolor="#3d67b1" strokeweight=".35281mm">
                  <v:stroke joinstyle="miter"/>
                  <v:formulas/>
                  <v:path arrowok="t" o:connecttype="custom" o:connectlocs="1549080,0;3098160,969643;1549080,1939286;0,969643;0,0;2786317,0;3098160,323221;3098160,1939286;0,1939286;0,0" o:connectangles="270,0,90,180,0,0,0,0,0,0" textboxrect="0,0,3098165,1871027"/>
                  <v:textbox inset="2.17322mm,2.17322mm,2.17322mm,15.16633mm">
                    <w:txbxContent>
                      <w:p w14:paraId="346B26D8" w14:textId="77777777" w:rsidR="001C1DB8" w:rsidRDefault="00FB2C3B">
                        <w:pPr>
                          <w:spacing w:before="0" w:after="80" w:line="216" w:lineRule="auto"/>
                        </w:pPr>
                        <w:r>
                          <w:rPr>
                            <w:rFonts w:eastAsia="Arial"/>
                            <w:b/>
                            <w:bCs/>
                            <w:color w:val="000000"/>
                            <w:kern w:val="3"/>
                            <w:sz w:val="20"/>
                            <w:szCs w:val="20"/>
                            <w14:shadow w14:blurRad="152336" w14:dist="0" w14:dir="0" w14:sx="100000" w14:sy="100000" w14:kx="0" w14:ky="0" w14:algn="b">
                              <w14:srgbClr w14:val="FFFFFF"/>
                            </w14:shadow>
                          </w:rPr>
                          <w:t>Collaborative</w:t>
                        </w:r>
                      </w:p>
                      <w:p w14:paraId="6066E8AC" w14:textId="77777777" w:rsidR="001C1DB8" w:rsidRDefault="00FB2C3B">
                        <w:pPr>
                          <w:spacing w:before="0" w:after="80" w:line="216" w:lineRule="auto"/>
                        </w:pPr>
                        <w:r>
                          <w:rPr>
                            <w:rFonts w:eastAsia="Arial"/>
                            <w:color w:val="000000"/>
                            <w:kern w:val="3"/>
                            <w:sz w:val="20"/>
                            <w:szCs w:val="20"/>
                            <w14:shadow w14:blurRad="152336" w14:dist="0" w14:dir="0" w14:sx="100000" w14:sy="100000" w14:kx="0" w14:ky="0" w14:algn="b">
                              <w14:srgbClr w14:val="FFFFFF"/>
                            </w14:shadow>
                          </w:rPr>
                          <w:t xml:space="preserve">We work flexibly to improve both performance and work/life balance </w:t>
                        </w:r>
                      </w:p>
                      <w:p w14:paraId="7F8A8750" w14:textId="77777777" w:rsidR="001C1DB8" w:rsidRDefault="00FB2C3B">
                        <w:pPr>
                          <w:spacing w:before="0" w:after="80" w:line="216" w:lineRule="auto"/>
                        </w:pPr>
                        <w:r>
                          <w:rPr>
                            <w:rFonts w:eastAsia="Arial"/>
                            <w:color w:val="000000"/>
                            <w:kern w:val="3"/>
                            <w:sz w:val="20"/>
                            <w:szCs w:val="20"/>
                            <w14:shadow w14:blurRad="152336" w14:dist="0" w14:dir="0" w14:sx="100000" w14:sy="100000" w14:kx="0" w14:ky="0" w14:algn="b">
                              <w14:srgbClr w14:val="FFFFFF"/>
                            </w14:shadow>
                          </w:rPr>
                          <w:t>We recognise and share good practice</w:t>
                        </w:r>
                      </w:p>
                      <w:p w14:paraId="196CA76A" w14:textId="4603E4BB" w:rsidR="001C1DB8" w:rsidRDefault="00FB2C3B">
                        <w:pPr>
                          <w:spacing w:before="0" w:after="80" w:line="216" w:lineRule="auto"/>
                        </w:pPr>
                        <w:r>
                          <w:rPr>
                            <w:rFonts w:eastAsia="Arial"/>
                            <w:color w:val="000000"/>
                            <w:kern w:val="3"/>
                            <w:sz w:val="20"/>
                            <w:szCs w:val="20"/>
                            <w14:shadow w14:blurRad="152336" w14:dist="0" w14:dir="0" w14:sx="100000" w14:sy="100000" w14:kx="0" w14:ky="0" w14:algn="b">
                              <w14:srgbClr w14:val="FFFFFF"/>
                            </w14:shadow>
                          </w:rPr>
                          <w:t xml:space="preserve">We seek and encourage views and ideas from others </w:t>
                        </w:r>
                      </w:p>
                      <w:p w14:paraId="18534633" w14:textId="7EC80D14" w:rsidR="001C1DB8" w:rsidRDefault="00FB2C3B">
                        <w:pPr>
                          <w:spacing w:before="0" w:after="80" w:line="216" w:lineRule="auto"/>
                        </w:pPr>
                        <w:r>
                          <w:rPr>
                            <w:rFonts w:eastAsia="Arial"/>
                            <w:color w:val="000000"/>
                            <w:kern w:val="3"/>
                            <w:sz w:val="20"/>
                            <w:szCs w:val="20"/>
                            <w14:shadow w14:blurRad="152336" w14:dist="0" w14:dir="0" w14:sx="100000" w14:sy="100000" w14:kx="0" w14:ky="0" w14:algn="b">
                              <w14:srgbClr w14:val="FFFFFF"/>
                            </w14:shadow>
                          </w:rPr>
                          <w:t>We encourage learning and development</w:t>
                        </w:r>
                        <w:r w:rsidR="00F6297B">
                          <w:rPr>
                            <w:rFonts w:eastAsia="Arial"/>
                            <w:color w:val="000000"/>
                            <w:kern w:val="3"/>
                            <w:sz w:val="20"/>
                            <w:szCs w:val="20"/>
                            <w14:shadow w14:blurRad="152336" w14:dist="0" w14:dir="0" w14:sx="100000" w14:sy="100000" w14:kx="0" w14:ky="0" w14:algn="b">
                              <w14:srgbClr w14:val="FFFFFF"/>
                            </w14:shadow>
                          </w:rPr>
                          <w:t xml:space="preserve"> and work flexibly</w:t>
                        </w:r>
                      </w:p>
                      <w:p w14:paraId="1E58BC77" w14:textId="37E94FDF" w:rsidR="00F82A45" w:rsidRDefault="00F82A45">
                        <w:pPr>
                          <w:spacing w:before="0" w:after="80" w:line="216" w:lineRule="auto"/>
                        </w:pPr>
                      </w:p>
                      <w:p w14:paraId="7222311C" w14:textId="1E6AB679" w:rsidR="001C1DB8" w:rsidRDefault="00FB2C3B">
                        <w:pPr>
                          <w:spacing w:before="0" w:after="80" w:line="216" w:lineRule="auto"/>
                        </w:pPr>
                        <w:r>
                          <w:rPr>
                            <w:rFonts w:eastAsia="Arial"/>
                            <w:color w:val="000000"/>
                            <w:kern w:val="3"/>
                            <w:sz w:val="20"/>
                            <w:szCs w:val="20"/>
                            <w14:shadow w14:blurRad="152336" w14:dist="0" w14:dir="0" w14:sx="100000" w14:sy="100000" w14:kx="0" w14:ky="0" w14:algn="b">
                              <w14:srgbClr w14:val="FFFFFF"/>
                            </w14:shadow>
                          </w:rPr>
                          <w:t>We are inclusive</w:t>
                        </w:r>
                      </w:p>
                    </w:txbxContent>
                  </v:textbox>
                </v:shape>
                <v:shape id="Freeform: Shape 16" o:spid="_x0000_s1029" style="position:absolute;top:18710;width:30981;height:18710;visibility:visible;mso-wrap-style:square;v-text-anchor:middle" coordsize="3098165,18710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" adj="-11796480,,5400" path="m3098165,1871026r-2786321,c139617,1871026,,1731409,,1559182l,1r3098165,l3098165,1871026xe" strokecolor="#3d67b1" strokeweight=".35281mm">
                  <v:stroke joinstyle="miter"/>
                  <v:formulas/>
                  <v:path arrowok="t" o:connecttype="custom" o:connectlocs="1549085,0;3098170,935513;1549085,1871026;0,935513;0,0;2786325,0;3098170,311844;3098170,1871026;0,1871026;0,0" o:connectangles="270,0,90,180,0,0,0,0,0,0" textboxrect="0,0,3098165,1871027"/>
                  <v:textbox inset="2.17294mm,15.16633mm,2.17322mm,2.17322mm">
                    <w:txbxContent>
                      <w:p w14:paraId="6A91AC06" w14:textId="77777777" w:rsidR="001C1DB8" w:rsidRDefault="00FB2C3B">
                        <w:pPr>
                          <w:spacing w:before="0" w:after="80" w:line="216" w:lineRule="auto"/>
                        </w:pPr>
                        <w:r>
                          <w:rPr>
                            <w:rFonts w:eastAsia="Arial"/>
                            <w:b/>
                            <w:bCs/>
                            <w:color w:val="000000"/>
                            <w:kern w:val="3"/>
                            <w:sz w:val="20"/>
                            <w:szCs w:val="20"/>
                            <w14:shadow w14:blurRad="152336" w14:dist="0" w14:dir="0" w14:sx="100000" w14:sy="100000" w14:kx="0" w14:ky="0" w14:algn="b">
                              <w14:srgbClr w14:val="FFFFFF"/>
                            </w14:shadow>
                          </w:rPr>
                          <w:t>Professional</w:t>
                        </w:r>
                      </w:p>
                      <w:p w14:paraId="68609F70" w14:textId="23D0D51D" w:rsidR="001C1DB8" w:rsidRDefault="00FB2C3B">
                        <w:pPr>
                          <w:spacing w:before="0" w:after="80" w:line="216" w:lineRule="auto"/>
                        </w:pPr>
                        <w:r>
                          <w:rPr>
                            <w:rFonts w:eastAsia="Arial"/>
                            <w:color w:val="000000"/>
                            <w:kern w:val="3"/>
                            <w:sz w:val="20"/>
                            <w:szCs w:val="20"/>
                            <w14:shadow w14:blurRad="152336" w14:dist="0" w14:dir="0" w14:sx="100000" w14:sy="100000" w14:kx="0" w14:ky="0" w14:algn="b">
                              <w14:srgbClr w14:val="FFFFFF"/>
                            </w14:shadow>
                          </w:rPr>
                          <w:t>We produc</w:t>
                        </w:r>
                        <w:r w:rsidR="00EA65A2">
                          <w:rPr>
                            <w:rFonts w:eastAsia="Arial"/>
                            <w:color w:val="000000"/>
                            <w:kern w:val="3"/>
                            <w:sz w:val="20"/>
                            <w:szCs w:val="20"/>
                            <w14:shadow w14:blurRad="152336" w14:dist="0" w14:dir="0" w14:sx="100000" w14:sy="100000" w14:kx="0" w14:ky="0" w14:algn="b">
                              <w14:srgbClr w14:val="FFFFFF"/>
                            </w14:shadow>
                          </w:rPr>
                          <w:t>ed</w:t>
                        </w:r>
                        <w:r>
                          <w:rPr>
                            <w:rFonts w:eastAsia="Arial"/>
                            <w:color w:val="000000"/>
                            <w:kern w:val="3"/>
                            <w:sz w:val="20"/>
                            <w:szCs w:val="20"/>
                            <w14:shadow w14:blurRad="152336" w14:dist="0" w14:dir="0" w14:sx="100000" w14:sy="100000" w14:kx="0" w14:ky="0" w14:algn="b">
                              <w14:srgbClr w14:val="FFFFFF"/>
                            </w14:shadow>
                          </w:rPr>
                          <w:t xml:space="preserve"> accurate, high-quality work</w:t>
                        </w:r>
                      </w:p>
                      <w:p w14:paraId="6C212F3D" w14:textId="77777777" w:rsidR="001C1DB8" w:rsidRDefault="00FB2C3B">
                        <w:pPr>
                          <w:spacing w:before="0" w:after="80" w:line="216" w:lineRule="auto"/>
                        </w:pPr>
                        <w:r>
                          <w:rPr>
                            <w:rFonts w:eastAsia="Arial"/>
                            <w:color w:val="000000"/>
                            <w:kern w:val="3"/>
                            <w:sz w:val="20"/>
                            <w:szCs w:val="20"/>
                            <w14:shadow w14:blurRad="152336" w14:dist="0" w14:dir="0" w14:sx="100000" w14:sy="100000" w14:kx="0" w14:ky="0" w14:algn="b">
                              <w14:srgbClr w14:val="FFFFFF"/>
                            </w14:shadow>
                          </w:rPr>
                          <w:t>We communicate clearly and unambiguously</w:t>
                        </w:r>
                      </w:p>
                      <w:p w14:paraId="5FEAF32F" w14:textId="77777777" w:rsidR="001C1DB8" w:rsidRDefault="00FB2C3B">
                        <w:pPr>
                          <w:spacing w:before="0" w:after="80" w:line="216" w:lineRule="auto"/>
                        </w:pPr>
                        <w:r>
                          <w:rPr>
                            <w:rFonts w:eastAsia="Arial"/>
                            <w:color w:val="000000"/>
                            <w:kern w:val="3"/>
                            <w:sz w:val="20"/>
                            <w:szCs w:val="20"/>
                            <w14:shadow w14:blurRad="152336" w14:dist="0" w14:dir="0" w14:sx="100000" w14:sy="100000" w14:kx="0" w14:ky="0" w14:algn="b">
                              <w14:srgbClr w14:val="FFFFFF"/>
                            </w14:shadow>
                          </w:rPr>
                          <w:t>We take responsibility and empower others</w:t>
                        </w:r>
                      </w:p>
                      <w:p w14:paraId="4F98848A" w14:textId="36BC9F6A" w:rsidR="001C1DB8" w:rsidRDefault="00FB2C3B">
                        <w:pPr>
                          <w:spacing w:before="0" w:after="80" w:line="216" w:lineRule="auto"/>
                        </w:pPr>
                        <w:r>
                          <w:rPr>
                            <w:rFonts w:eastAsia="Arial"/>
                            <w:color w:val="000000"/>
                            <w:kern w:val="3"/>
                            <w:sz w:val="20"/>
                            <w:szCs w:val="20"/>
                            <w14:shadow w14:blurRad="152336" w14:dist="0" w14:dir="0" w14:sx="100000" w14:sy="100000" w14:kx="0" w14:ky="0" w14:algn="b">
                              <w14:srgbClr w14:val="FFFFFF"/>
                            </w14:shadow>
                          </w:rPr>
                          <w:t>We challenge unacceptable behaviours</w:t>
                        </w:r>
                      </w:p>
                    </w:txbxContent>
                  </v:textbox>
                </v:shape>
                <v:shape id="Freeform: Shape 17" o:spid="_x0000_s1030" style="position:absolute;left:30981;top:18710;width:30982;height:18710;visibility:visible;mso-wrap-style:square;v-text-anchor:middle" coordsize="1871027,30981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" adj="-11796480,,5400" path="m1871027,1r,2581792c1871027,2866978,1786710,3098164,1682700,3098164l,3098164,,1r1871027,xe" strokecolor="#3d67b1" strokeweight=".35281mm">
                  <v:stroke joinstyle="miter"/>
                  <v:formulas/>
                  <v:path arrowok="t" o:connecttype="custom" o:connectlocs="1549080,0;3098160,935513;1549080,1871026;0,935513;0,0;2581790,0;3098160,188327;3098160,1871026;0,1871026;0,0" o:connectangles="270,0,90,180,0,0,0,0,0,0" textboxrect="0,0,1871027,3098165"/>
                  <v:textbox inset="2.17322mm,15.16633mm,2.17294mm,2.17322mm">
                    <w:txbxContent>
                      <w:p w14:paraId="79BE72D9" w14:textId="77777777" w:rsidR="001C1DB8" w:rsidRDefault="00FB2C3B">
                        <w:pPr>
                          <w:spacing w:before="0" w:after="80" w:line="216" w:lineRule="auto"/>
                        </w:pPr>
                        <w:r>
                          <w:rPr>
                            <w:rFonts w:eastAsia="Arial"/>
                            <w:b/>
                            <w:bCs/>
                            <w:color w:val="000000"/>
                            <w:kern w:val="3"/>
                            <w:sz w:val="20"/>
                            <w:szCs w:val="20"/>
                            <w14:shadow w14:blurRad="152336" w14:dist="0" w14:dir="0" w14:sx="100000" w14:sy="100000" w14:kx="0" w14:ky="0" w14:algn="b">
                              <w14:srgbClr w14:val="FFFFFF"/>
                            </w14:shadow>
                          </w:rPr>
                          <w:t>Independent</w:t>
                        </w:r>
                      </w:p>
                      <w:p w14:paraId="50195B0C" w14:textId="77777777" w:rsidR="001C1DB8" w:rsidRDefault="00FB2C3B">
                        <w:pPr>
                          <w:spacing w:before="0" w:after="80" w:line="216" w:lineRule="auto"/>
                        </w:pPr>
                        <w:r>
                          <w:rPr>
                            <w:rFonts w:eastAsia="Arial"/>
                            <w:color w:val="000000"/>
                            <w:kern w:val="3"/>
                            <w:sz w:val="20"/>
                            <w:szCs w:val="20"/>
                            <w14:shadow w14:blurRad="152336" w14:dist="0" w14:dir="0" w14:sx="100000" w14:sy="100000" w14:kx="0" w14:ky="0" w14:algn="b">
                              <w14:srgbClr w14:val="FFFFFF"/>
                            </w14:shadow>
                          </w:rPr>
                          <w:t>We are balanced and objective</w:t>
                        </w:r>
                      </w:p>
                      <w:p w14:paraId="588E7F0D" w14:textId="77777777" w:rsidR="001C1DB8" w:rsidRDefault="00FB2C3B">
                        <w:pPr>
                          <w:spacing w:before="0" w:after="80" w:line="216" w:lineRule="auto"/>
                        </w:pPr>
                        <w:r>
                          <w:rPr>
                            <w:rFonts w:eastAsia="Arial"/>
                            <w:color w:val="000000"/>
                            <w:kern w:val="3"/>
                            <w:sz w:val="20"/>
                            <w:szCs w:val="20"/>
                            <w14:shadow w14:blurRad="152336" w14:dist="0" w14:dir="0" w14:sx="100000" w14:sy="100000" w14:kx="0" w14:ky="0" w14:algn="b">
                              <w14:srgbClr w14:val="FFFFFF"/>
                            </w14:shadow>
                          </w:rPr>
                          <w:t xml:space="preserve">We are sensitive to the concerns of our stakeholders </w:t>
                        </w:r>
                      </w:p>
                      <w:p w14:paraId="5FE152CF" w14:textId="77777777" w:rsidR="001C1DB8" w:rsidRDefault="00FB2C3B">
                        <w:pPr>
                          <w:spacing w:before="0" w:after="80" w:line="216" w:lineRule="auto"/>
                        </w:pPr>
                        <w:r>
                          <w:rPr>
                            <w:rFonts w:eastAsia="Arial"/>
                            <w:color w:val="000000"/>
                            <w:kern w:val="3"/>
                            <w:sz w:val="20"/>
                            <w:szCs w:val="20"/>
                            <w14:shadow w14:blurRad="152336" w14:dist="0" w14:dir="0" w14:sx="100000" w14:sy="100000" w14:kx="0" w14:ky="0" w14:algn="b">
                              <w14:srgbClr w14:val="FFFFFF"/>
                            </w14:shadow>
                          </w:rPr>
                          <w:t>We are aware of wider issues and context</w:t>
                        </w:r>
                      </w:p>
                    </w:txbxContent>
                  </v:textbox>
                </v:shape>
                <v:shape id="Freeform: Shape 18" o:spid="_x0000_s1031" style="position:absolute;left:16059;top:16614;width:29845;height:4192;visibility:visible;mso-wrap-style:square;v-text-anchor:middle-center" coordsize="2984499,4191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" adj="-11796480,,5400" path="m,69866c,31280,31280,,69866,l2914633,v38586,,69866,31280,69866,69866l2984499,349319v,38586,-31280,69866,-69866,69866l69866,419185c31280,419185,,387905,,349319l,69866xe" fillcolor="#b0bcde" strokecolor="white" strokeweight=".35281mm">
                  <v:stroke joinstyle="miter"/>
                  <v:formulas/>
                  <v:path arrowok="t" o:connecttype="custom" o:connectlocs="1492251,0;2984501,209594;1492251,419188;0,209594;0,69867;69866,0;2914635,0;2984501,69867;2984501,349321;2914635,419188;69866,419188;0,349321;0,69867" o:connectangles="270,0,90,180,0,0,0,0,0,0,0,0,0" textboxrect="0,0,2984499,419185"/>
                  <v:textbox inset="1.83844mm,1.83844mm,1.83844mm,1.83844mm">
                    <w:txbxContent>
                      <w:p w14:paraId="27C21A8D" w14:textId="77777777" w:rsidR="001C1DB8" w:rsidRDefault="00FB2C3B">
                        <w:pPr>
                          <w:spacing w:before="0" w:after="100" w:line="216" w:lineRule="auto"/>
                          <w:jc w:val="center"/>
                        </w:pPr>
                        <w:r>
                          <w:rPr>
                            <w:rFonts w:eastAsia="Arial"/>
                            <w:b/>
                            <w:bCs/>
                            <w:color w:val="000000"/>
                            <w:kern w:val="3"/>
                            <w:szCs w:val="24"/>
                          </w:rPr>
                          <w:t xml:space="preserve">Values and Behaviours </w:t>
                        </w:r>
                      </w:p>
                    </w:txbxContent>
                  </v:textbox>
                </v:shape>
                <w10:anchorlock/>
              </v:group>
            </w:pict>
          </mc:Fallback>
        </mc:AlternateContent>
      </w:r>
    </w:p>
    <w:p w14:paraId="6866C416" w14:textId="77777777" w:rsidR="001C1DB8" w:rsidRDefault="001C1DB8"/>
    <w:p w14:paraId="6866C417" w14:textId="77777777" w:rsidR="001C1DB8" w:rsidRDefault="00FB2C3B">
      <w:pPr>
        <w:pStyle w:val="Heading2"/>
      </w:pPr>
      <w:bookmarkStart w:id="7" w:name="_Toc188365108"/>
      <w:r>
        <w:t>Learning and development</w:t>
      </w:r>
      <w:bookmarkEnd w:id="7"/>
      <w:r>
        <w:t xml:space="preserve"> </w:t>
      </w:r>
    </w:p>
    <w:p w14:paraId="6866C418" w14:textId="795F7E27" w:rsidR="001C1DB8" w:rsidRDefault="00FB2C3B">
      <w:pPr>
        <w:pStyle w:val="ListParagraph"/>
        <w:numPr>
          <w:ilvl w:val="0"/>
          <w:numId w:val="3"/>
        </w:numPr>
      </w:pPr>
      <w:r>
        <w:t>The O</w:t>
      </w:r>
      <w:r w:rsidR="00D8715C">
        <w:t>PRB</w:t>
      </w:r>
      <w:r>
        <w:t>’s training and development activities continue to focus on:</w:t>
      </w:r>
    </w:p>
    <w:p w14:paraId="6866C419" w14:textId="77777777" w:rsidR="001C1DB8" w:rsidRDefault="001C1DB8">
      <w:pPr>
        <w:pStyle w:val="ListParagraph"/>
      </w:pPr>
    </w:p>
    <w:p w14:paraId="6866C41A" w14:textId="0934A929" w:rsidR="001C1DB8" w:rsidRDefault="00FB2C3B">
      <w:pPr>
        <w:numPr>
          <w:ilvl w:val="1"/>
          <w:numId w:val="4"/>
        </w:numPr>
      </w:pPr>
      <w:r>
        <w:t xml:space="preserve">Promoting best practice </w:t>
      </w:r>
      <w:r w:rsidR="00840CCC">
        <w:t>and shared learning</w:t>
      </w:r>
      <w:r w:rsidR="006708A9">
        <w:t xml:space="preserve"> </w:t>
      </w:r>
      <w:r>
        <w:t xml:space="preserve">across teams to ensure </w:t>
      </w:r>
      <w:r w:rsidR="008F44FA">
        <w:t>OPR</w:t>
      </w:r>
      <w:r w:rsidR="00337616">
        <w:t>B continues to</w:t>
      </w:r>
      <w:r>
        <w:t xml:space="preserve"> offer the best possible support to the Pay Review Bodies.</w:t>
      </w:r>
    </w:p>
    <w:p w14:paraId="6866C41B" w14:textId="7D54D26C" w:rsidR="001C1DB8" w:rsidRDefault="00FB2C3B">
      <w:pPr>
        <w:numPr>
          <w:ilvl w:val="1"/>
          <w:numId w:val="3"/>
        </w:numPr>
      </w:pPr>
      <w:r>
        <w:t xml:space="preserve">Developing individuals to improve their </w:t>
      </w:r>
      <w:r w:rsidR="00C36E53">
        <w:t xml:space="preserve">skills, knowledge and </w:t>
      </w:r>
      <w:r>
        <w:t>performance</w:t>
      </w:r>
      <w:r w:rsidR="00A62593">
        <w:t xml:space="preserve"> through access to training or development opportunities as required</w:t>
      </w:r>
      <w:r>
        <w:t>, enabling them to operate flexibly across the O</w:t>
      </w:r>
      <w:r w:rsidR="00D8715C">
        <w:t>PRB</w:t>
      </w:r>
      <w:r>
        <w:t xml:space="preserve"> and </w:t>
      </w:r>
      <w:r w:rsidR="00500953">
        <w:t>DBT</w:t>
      </w:r>
      <w:r w:rsidR="002F0045">
        <w:t xml:space="preserve"> and to ensure continuous improvement in the service provided to the PRBs</w:t>
      </w:r>
      <w:r w:rsidR="00A62593">
        <w:t>.</w:t>
      </w:r>
    </w:p>
    <w:p w14:paraId="6866C41C" w14:textId="341A5668" w:rsidR="001C1DB8" w:rsidRDefault="00FB2C3B">
      <w:pPr>
        <w:numPr>
          <w:ilvl w:val="1"/>
          <w:numId w:val="3"/>
        </w:numPr>
      </w:pPr>
      <w:r>
        <w:t xml:space="preserve">Encouraging individuals to develop key </w:t>
      </w:r>
      <w:r w:rsidR="007663A8">
        <w:t>C</w:t>
      </w:r>
      <w:r>
        <w:t xml:space="preserve">ivil </w:t>
      </w:r>
      <w:r w:rsidR="007663A8">
        <w:t>S</w:t>
      </w:r>
      <w:r>
        <w:t>ervice competencies</w:t>
      </w:r>
      <w:r w:rsidR="00A62593">
        <w:t>, assisting them to achieve future career aspirations</w:t>
      </w:r>
      <w:r>
        <w:t>. In addition, O</w:t>
      </w:r>
      <w:r w:rsidR="00D8715C">
        <w:t>PRB</w:t>
      </w:r>
      <w:r>
        <w:t xml:space="preserve"> ensures that analysts (who comprise a third of O</w:t>
      </w:r>
      <w:r w:rsidR="00D8715C">
        <w:t>PRB</w:t>
      </w:r>
      <w:r w:rsidR="007663A8">
        <w:t>’</w:t>
      </w:r>
      <w:r>
        <w:t>s staff) satisfy Continuous Professional Development requirements for their profession</w:t>
      </w:r>
      <w:r w:rsidR="0095159A">
        <w:t>s</w:t>
      </w:r>
      <w:r>
        <w:t xml:space="preserve">. </w:t>
      </w:r>
    </w:p>
    <w:p w14:paraId="6866C41D" w14:textId="77777777" w:rsidR="001C1DB8" w:rsidRDefault="001C1DB8"/>
    <w:p w14:paraId="6866C420" w14:textId="54FE2FB5" w:rsidR="001C1DB8" w:rsidRDefault="00FB2C3B" w:rsidP="36083F43">
      <w:pPr>
        <w:pStyle w:val="ListParagraph"/>
        <w:numPr>
          <w:ilvl w:val="0"/>
          <w:numId w:val="3"/>
        </w:numPr>
      </w:pPr>
      <w:r>
        <w:t>During 202</w:t>
      </w:r>
      <w:r w:rsidR="002D6F4F">
        <w:t>4</w:t>
      </w:r>
      <w:r w:rsidR="00622F87">
        <w:t>/</w:t>
      </w:r>
      <w:r>
        <w:t>2</w:t>
      </w:r>
      <w:r w:rsidR="002D6F4F">
        <w:t>5</w:t>
      </w:r>
      <w:r>
        <w:t xml:space="preserve">, </w:t>
      </w:r>
      <w:r w:rsidR="00DF7508">
        <w:t>staff undertook a variety of training</w:t>
      </w:r>
      <w:r>
        <w:t xml:space="preserve"> opportunities </w:t>
      </w:r>
      <w:r w:rsidR="00DF7508">
        <w:t xml:space="preserve">alongside </w:t>
      </w:r>
      <w:r w:rsidR="007365A6">
        <w:t xml:space="preserve">other </w:t>
      </w:r>
      <w:r>
        <w:t>learning and development activities including specialist conferences. O</w:t>
      </w:r>
      <w:r w:rsidR="00D8715C">
        <w:t>PRB</w:t>
      </w:r>
      <w:r>
        <w:t xml:space="preserve">’s Learning and Development Group </w:t>
      </w:r>
      <w:r w:rsidR="00DF7508">
        <w:t xml:space="preserve">champions the benefits of </w:t>
      </w:r>
      <w:r w:rsidR="009F2D3F">
        <w:lastRenderedPageBreak/>
        <w:t xml:space="preserve">development and training, supporting staff to </w:t>
      </w:r>
      <w:r w:rsidR="00605250">
        <w:t xml:space="preserve">access individual and group training, </w:t>
      </w:r>
      <w:r w:rsidR="007365A6">
        <w:t>and connecting O</w:t>
      </w:r>
      <w:r w:rsidR="00D8715C">
        <w:t>PRB</w:t>
      </w:r>
      <w:r w:rsidR="007365A6">
        <w:t xml:space="preserve"> with central DBT L&amp;D activities.</w:t>
      </w:r>
    </w:p>
    <w:p w14:paraId="4364D5AF" w14:textId="77777777" w:rsidR="001B44F6" w:rsidRDefault="001B44F6" w:rsidP="001B44F6">
      <w:pPr>
        <w:pStyle w:val="ListParagraph"/>
      </w:pPr>
    </w:p>
    <w:p w14:paraId="6FF3FDF8" w14:textId="7F003FE0" w:rsidR="001B44F6" w:rsidRDefault="001B44F6" w:rsidP="36083F43">
      <w:pPr>
        <w:pStyle w:val="ListParagraph"/>
        <w:numPr>
          <w:ilvl w:val="0"/>
          <w:numId w:val="3"/>
        </w:numPr>
      </w:pPr>
      <w:r w:rsidRPr="001B44F6">
        <w:t>The OPRB’s 202</w:t>
      </w:r>
      <w:r w:rsidR="00DB33E1">
        <w:t>4</w:t>
      </w:r>
      <w:r w:rsidRPr="001B44F6">
        <w:t xml:space="preserve"> People Survey results (part of the wider Civil Service People Survey) </w:t>
      </w:r>
      <w:r w:rsidR="00E43AE3">
        <w:t>improved</w:t>
      </w:r>
      <w:r w:rsidRPr="001B44F6">
        <w:t xml:space="preserve"> from the previous year. Our overall engagement index went </w:t>
      </w:r>
      <w:r w:rsidR="00E43AE3">
        <w:t>up</w:t>
      </w:r>
      <w:r w:rsidRPr="001B44F6">
        <w:t xml:space="preserve"> by </w:t>
      </w:r>
      <w:r w:rsidR="007C3D8E">
        <w:t>4</w:t>
      </w:r>
      <w:r w:rsidRPr="001B44F6">
        <w:t xml:space="preserve">% to </w:t>
      </w:r>
      <w:r w:rsidR="001B64FE">
        <w:t>63</w:t>
      </w:r>
      <w:r w:rsidRPr="001B44F6">
        <w:t>% in 202</w:t>
      </w:r>
      <w:r w:rsidR="001B64FE">
        <w:t>4</w:t>
      </w:r>
      <w:r w:rsidRPr="001B44F6">
        <w:t xml:space="preserve">, from </w:t>
      </w:r>
      <w:r w:rsidR="001B64FE">
        <w:t>59</w:t>
      </w:r>
      <w:r w:rsidRPr="001B44F6">
        <w:t>% in 202</w:t>
      </w:r>
      <w:r w:rsidR="001B64FE">
        <w:t>3</w:t>
      </w:r>
      <w:r w:rsidRPr="001B44F6">
        <w:t>.</w:t>
      </w:r>
    </w:p>
    <w:p w14:paraId="6866C422" w14:textId="3D9BBDA3" w:rsidR="001C1DB8" w:rsidRDefault="001C1DB8">
      <w:pPr>
        <w:pStyle w:val="ListParagraph"/>
      </w:pPr>
    </w:p>
    <w:p w14:paraId="6866C424" w14:textId="6BD46B1C" w:rsidR="001C1DB8" w:rsidRDefault="00FB2C3B">
      <w:pPr>
        <w:pStyle w:val="Heading2"/>
      </w:pPr>
      <w:bookmarkStart w:id="8" w:name="_Toc188365109"/>
      <w:r>
        <w:t xml:space="preserve">Working with </w:t>
      </w:r>
      <w:r w:rsidR="00EF58FF">
        <w:t xml:space="preserve">DBT </w:t>
      </w:r>
      <w:r w:rsidR="00A53875">
        <w:t>(Department for Business and Trade)</w:t>
      </w:r>
      <w:bookmarkEnd w:id="8"/>
    </w:p>
    <w:p w14:paraId="6866C425" w14:textId="6A2ABDFA" w:rsidR="001C1DB8" w:rsidRDefault="00FB2C3B">
      <w:pPr>
        <w:pStyle w:val="ListParagraph"/>
        <w:numPr>
          <w:ilvl w:val="0"/>
          <w:numId w:val="3"/>
        </w:numPr>
      </w:pPr>
      <w:r>
        <w:t>The</w:t>
      </w:r>
      <w:r w:rsidDel="00AB246A">
        <w:t xml:space="preserve"> </w:t>
      </w:r>
      <w:r w:rsidR="00AB246A">
        <w:t xml:space="preserve">OPRB </w:t>
      </w:r>
      <w:r>
        <w:t xml:space="preserve">is a small organisation and </w:t>
      </w:r>
      <w:r w:rsidR="006462CC">
        <w:t xml:space="preserve">DBT </w:t>
      </w:r>
      <w:r>
        <w:t xml:space="preserve">provides the IT, accommodation, HR, and financial services. Consequently, staff </w:t>
      </w:r>
      <w:proofErr w:type="gramStart"/>
      <w:r>
        <w:t>are considered to be</w:t>
      </w:r>
      <w:proofErr w:type="gramEnd"/>
      <w:r>
        <w:t xml:space="preserve"> part of the </w:t>
      </w:r>
      <w:r w:rsidR="006462CC">
        <w:t xml:space="preserve">DBT </w:t>
      </w:r>
      <w:r>
        <w:t>“family” for pay purposes and logistical issues. However, the</w:t>
      </w:r>
      <w:r w:rsidDel="00AB246A">
        <w:t xml:space="preserve"> </w:t>
      </w:r>
      <w:r w:rsidR="00AB246A">
        <w:t xml:space="preserve">OPRB </w:t>
      </w:r>
      <w:r>
        <w:t xml:space="preserve">maintains policy and operational independence, and the Pay Review Bodies have no direct relationship with </w:t>
      </w:r>
      <w:r w:rsidR="00EF58FF">
        <w:t>DBT</w:t>
      </w:r>
      <w:r>
        <w:t>.</w:t>
      </w:r>
    </w:p>
    <w:p w14:paraId="6866C426" w14:textId="77777777" w:rsidR="001C1DB8" w:rsidRDefault="001C1DB8">
      <w:pPr>
        <w:pStyle w:val="ListParagraph"/>
      </w:pPr>
    </w:p>
    <w:p w14:paraId="6866C427" w14:textId="4C8FD4C5" w:rsidR="001C1DB8" w:rsidRDefault="00FB2C3B">
      <w:pPr>
        <w:pStyle w:val="ListParagraph"/>
        <w:numPr>
          <w:ilvl w:val="0"/>
          <w:numId w:val="3"/>
        </w:numPr>
      </w:pPr>
      <w:r>
        <w:t>In 202</w:t>
      </w:r>
      <w:r w:rsidR="005F2AC4">
        <w:t>4</w:t>
      </w:r>
      <w:r>
        <w:t>/2</w:t>
      </w:r>
      <w:r w:rsidR="005F2AC4">
        <w:t>5</w:t>
      </w:r>
      <w:r w:rsidDel="001E7899">
        <w:t xml:space="preserve"> </w:t>
      </w:r>
      <w:r w:rsidR="001E7899">
        <w:t xml:space="preserve">OPRB </w:t>
      </w:r>
      <w:r>
        <w:t>staff were involved in a range of the Department’s activity, including:</w:t>
      </w:r>
    </w:p>
    <w:p w14:paraId="6866C428" w14:textId="77777777" w:rsidR="001C1DB8" w:rsidRDefault="001C1DB8">
      <w:pPr>
        <w:pStyle w:val="ListParagraph"/>
      </w:pPr>
    </w:p>
    <w:p w14:paraId="6866C429" w14:textId="15521368" w:rsidR="001C1DB8" w:rsidRDefault="00FB2C3B">
      <w:pPr>
        <w:pStyle w:val="ListParagraph"/>
        <w:numPr>
          <w:ilvl w:val="1"/>
          <w:numId w:val="3"/>
        </w:numPr>
      </w:pPr>
      <w:r>
        <w:t>Participating in the annual People Survey.</w:t>
      </w:r>
    </w:p>
    <w:p w14:paraId="6866C42A" w14:textId="31EA7FE8" w:rsidR="001C1DB8" w:rsidRDefault="00FB2C3B">
      <w:pPr>
        <w:pStyle w:val="ListParagraph"/>
        <w:numPr>
          <w:ilvl w:val="1"/>
          <w:numId w:val="3"/>
        </w:numPr>
      </w:pPr>
      <w:r>
        <w:t xml:space="preserve">Participating in the </w:t>
      </w:r>
      <w:r w:rsidR="006462CC">
        <w:t xml:space="preserve">DBT </w:t>
      </w:r>
      <w:r>
        <w:t>professional networks for Economists and Statisticians.</w:t>
      </w:r>
    </w:p>
    <w:p w14:paraId="6866C42B" w14:textId="34F07552" w:rsidR="001C1DB8" w:rsidRDefault="00FB2C3B">
      <w:pPr>
        <w:pStyle w:val="ListParagraph"/>
        <w:numPr>
          <w:ilvl w:val="1"/>
          <w:numId w:val="3"/>
        </w:numPr>
      </w:pPr>
      <w:r>
        <w:t xml:space="preserve">Participating in many </w:t>
      </w:r>
      <w:r w:rsidR="006462CC">
        <w:t xml:space="preserve">DBT </w:t>
      </w:r>
      <w:r>
        <w:t xml:space="preserve">staff events and </w:t>
      </w:r>
      <w:r w:rsidR="00D075E9">
        <w:t xml:space="preserve">DBT </w:t>
      </w:r>
      <w:r>
        <w:t>training programmes, including Learning and Development Network meetings and Fast Stream Programme.</w:t>
      </w:r>
    </w:p>
    <w:p w14:paraId="6866C42C" w14:textId="244E4C28" w:rsidR="001C1DB8" w:rsidRDefault="00FB2C3B">
      <w:pPr>
        <w:pStyle w:val="ListParagraph"/>
        <w:numPr>
          <w:ilvl w:val="1"/>
          <w:numId w:val="3"/>
        </w:numPr>
      </w:pPr>
      <w:r>
        <w:t xml:space="preserve">Continuing the use of </w:t>
      </w:r>
      <w:r w:rsidR="007C7172">
        <w:t xml:space="preserve">X </w:t>
      </w:r>
      <w:r w:rsidR="00985C0E">
        <w:t xml:space="preserve">(formerly known as </w:t>
      </w:r>
      <w:r>
        <w:t>Twitter</w:t>
      </w:r>
      <w:r w:rsidR="00985C0E">
        <w:t>)</w:t>
      </w:r>
      <w:r>
        <w:t xml:space="preserve"> for </w:t>
      </w:r>
      <w:r w:rsidR="00843E68">
        <w:t xml:space="preserve">OPRB </w:t>
      </w:r>
      <w:r>
        <w:t>and promoting the work of the Pay Review Bodies.</w:t>
      </w:r>
    </w:p>
    <w:p w14:paraId="79E6FAAF" w14:textId="0EC482E4" w:rsidR="001C1DB8" w:rsidRDefault="00FB2C3B">
      <w:pPr>
        <w:pStyle w:val="ListParagraph"/>
        <w:numPr>
          <w:ilvl w:val="1"/>
          <w:numId w:val="3"/>
        </w:numPr>
      </w:pPr>
      <w:r>
        <w:t>Managing</w:t>
      </w:r>
      <w:r w:rsidDel="00843E68">
        <w:t xml:space="preserve"> </w:t>
      </w:r>
      <w:r w:rsidR="00843E68">
        <w:t xml:space="preserve">OPRB’s </w:t>
      </w:r>
      <w:r>
        <w:t xml:space="preserve">recruitment by fully engaging with </w:t>
      </w:r>
      <w:r w:rsidR="00D075E9">
        <w:t xml:space="preserve">DBT </w:t>
      </w:r>
      <w:r>
        <w:t xml:space="preserve">Recruitment Team and Policy colleagues and by adhering to the procedures in place. </w:t>
      </w:r>
    </w:p>
    <w:p w14:paraId="6866C42E" w14:textId="024F50F5" w:rsidR="001C1DB8" w:rsidRDefault="00FB2C3B">
      <w:pPr>
        <w:pStyle w:val="Heading2"/>
      </w:pPr>
      <w:bookmarkStart w:id="9" w:name="_Toc188365110"/>
      <w:r>
        <w:t>The Freedom of Information (FOI) Act 2000</w:t>
      </w:r>
      <w:bookmarkEnd w:id="9"/>
      <w:r>
        <w:t xml:space="preserve"> </w:t>
      </w:r>
    </w:p>
    <w:p w14:paraId="7FAD6C02" w14:textId="0659F8FD" w:rsidR="00894D2A" w:rsidRPr="00894D2A" w:rsidRDefault="004E250E" w:rsidP="00894D2A">
      <w:r>
        <w:rPr>
          <w:rStyle w:val="ui-provider"/>
        </w:rPr>
        <w:t>1</w:t>
      </w:r>
      <w:r w:rsidR="008F33A9">
        <w:rPr>
          <w:rStyle w:val="ui-provider"/>
        </w:rPr>
        <w:t>.</w:t>
      </w:r>
      <w:r w:rsidR="004425D2">
        <w:rPr>
          <w:rStyle w:val="ui-provider"/>
        </w:rPr>
        <w:t>1</w:t>
      </w:r>
      <w:r w:rsidR="008F33A9">
        <w:rPr>
          <w:rStyle w:val="ui-provider"/>
        </w:rPr>
        <w:t xml:space="preserve">0 </w:t>
      </w:r>
      <w:r w:rsidR="003A023B">
        <w:rPr>
          <w:rStyle w:val="ui-provider"/>
        </w:rPr>
        <w:t xml:space="preserve"> </w:t>
      </w:r>
      <w:r w:rsidR="008F33A9">
        <w:rPr>
          <w:rStyle w:val="ui-provider"/>
        </w:rPr>
        <w:t xml:space="preserve"> </w:t>
      </w:r>
      <w:r w:rsidR="00843E68" w:rsidRPr="08F1913D">
        <w:rPr>
          <w:rStyle w:val="ui-provider"/>
        </w:rPr>
        <w:t>O</w:t>
      </w:r>
      <w:r w:rsidR="002B4075" w:rsidRPr="08F1913D">
        <w:rPr>
          <w:rStyle w:val="ui-provider"/>
        </w:rPr>
        <w:t>PRB</w:t>
      </w:r>
      <w:r w:rsidR="00843E68" w:rsidRPr="08F1913D">
        <w:rPr>
          <w:rStyle w:val="ui-provider"/>
        </w:rPr>
        <w:t xml:space="preserve"> </w:t>
      </w:r>
      <w:r w:rsidR="00BE19A0" w:rsidRPr="08F1913D">
        <w:rPr>
          <w:rStyle w:val="ui-provider"/>
        </w:rPr>
        <w:t xml:space="preserve">has received and responded to </w:t>
      </w:r>
      <w:r w:rsidR="6298E8E8" w:rsidRPr="08F1913D">
        <w:rPr>
          <w:rStyle w:val="ui-provider"/>
        </w:rPr>
        <w:t>2</w:t>
      </w:r>
      <w:r w:rsidR="00B77D56">
        <w:rPr>
          <w:rStyle w:val="ui-provider"/>
        </w:rPr>
        <w:t>2</w:t>
      </w:r>
      <w:r w:rsidR="00BE19A0" w:rsidRPr="08F1913D">
        <w:rPr>
          <w:rStyle w:val="ui-provider"/>
        </w:rPr>
        <w:t xml:space="preserve"> FOIA requests between 1 September </w:t>
      </w:r>
      <w:r w:rsidR="00A772BE" w:rsidRPr="08F1913D">
        <w:rPr>
          <w:rStyle w:val="ui-provider"/>
        </w:rPr>
        <w:t>202</w:t>
      </w:r>
      <w:r w:rsidR="00877DDF">
        <w:rPr>
          <w:rStyle w:val="ui-provider"/>
        </w:rPr>
        <w:t>4</w:t>
      </w:r>
      <w:r w:rsidR="00BE19A0" w:rsidRPr="08F1913D">
        <w:rPr>
          <w:rStyle w:val="ui-provider"/>
        </w:rPr>
        <w:t xml:space="preserve"> and 31 </w:t>
      </w:r>
      <w:r w:rsidR="00244A15">
        <w:rPr>
          <w:rStyle w:val="ui-provider"/>
        </w:rPr>
        <w:t>August</w:t>
      </w:r>
      <w:r w:rsidR="00BE19A0" w:rsidRPr="08F1913D">
        <w:rPr>
          <w:rStyle w:val="ui-provider"/>
        </w:rPr>
        <w:t xml:space="preserve"> </w:t>
      </w:r>
      <w:r w:rsidR="00A772BE" w:rsidRPr="08F1913D">
        <w:rPr>
          <w:rStyle w:val="ui-provider"/>
        </w:rPr>
        <w:t>202</w:t>
      </w:r>
      <w:r w:rsidR="00877DDF">
        <w:rPr>
          <w:rStyle w:val="ui-provider"/>
        </w:rPr>
        <w:t>5</w:t>
      </w:r>
      <w:r w:rsidR="00BA4A59">
        <w:rPr>
          <w:rStyle w:val="ui-provider"/>
        </w:rPr>
        <w:t>.</w:t>
      </w:r>
    </w:p>
    <w:p w14:paraId="6866C430" w14:textId="77777777" w:rsidR="001C1DB8" w:rsidRDefault="001C1DB8">
      <w:pPr>
        <w:pageBreakBefore/>
        <w:spacing w:before="0" w:after="160"/>
      </w:pPr>
    </w:p>
    <w:p w14:paraId="6866C431" w14:textId="2EF69744" w:rsidR="001C1DB8" w:rsidRDefault="00FB2C3B">
      <w:pPr>
        <w:pStyle w:val="Heading1"/>
      </w:pPr>
      <w:bookmarkStart w:id="10" w:name="_Toc188365111"/>
      <w:r>
        <w:t xml:space="preserve">Chapter 2: The </w:t>
      </w:r>
      <w:r w:rsidR="00A66205">
        <w:t>W</w:t>
      </w:r>
      <w:r>
        <w:t xml:space="preserve">ork of </w:t>
      </w:r>
      <w:r w:rsidR="009F01E5">
        <w:t>OPRB</w:t>
      </w:r>
      <w:r w:rsidR="000617C2">
        <w:t xml:space="preserve"> T</w:t>
      </w:r>
      <w:r>
        <w:t>eams</w:t>
      </w:r>
      <w:bookmarkEnd w:id="10"/>
    </w:p>
    <w:p w14:paraId="6866C432" w14:textId="77777777" w:rsidR="001C1DB8" w:rsidRDefault="00FB2C3B">
      <w:pPr>
        <w:pStyle w:val="Heading2"/>
        <w:rPr>
          <w:lang w:val="en-US"/>
        </w:rPr>
      </w:pPr>
      <w:bookmarkStart w:id="11" w:name="_TOC_250008"/>
      <w:bookmarkStart w:id="12" w:name="_Toc188365112"/>
      <w:r>
        <w:rPr>
          <w:lang w:val="en-US"/>
        </w:rPr>
        <w:t>Overview</w:t>
      </w:r>
      <w:bookmarkEnd w:id="11"/>
      <w:bookmarkEnd w:id="12"/>
    </w:p>
    <w:p w14:paraId="670DDBEA" w14:textId="04A42E43" w:rsidR="006627CA" w:rsidRDefault="00FB2C3B" w:rsidP="009D408F">
      <w:pPr>
        <w:numPr>
          <w:ilvl w:val="0"/>
          <w:numId w:val="5"/>
        </w:numPr>
        <w:rPr>
          <w:lang w:val="en-US"/>
        </w:rPr>
      </w:pPr>
      <w:r w:rsidRPr="006627CA">
        <w:rPr>
          <w:lang w:val="en-US"/>
        </w:rPr>
        <w:t>The work of O</w:t>
      </w:r>
      <w:r w:rsidR="00A42A81" w:rsidRPr="006627CA">
        <w:rPr>
          <w:lang w:val="en-US"/>
        </w:rPr>
        <w:t>PRB</w:t>
      </w:r>
      <w:r w:rsidRPr="006627CA">
        <w:rPr>
          <w:lang w:val="en-US"/>
        </w:rPr>
        <w:t xml:space="preserve"> staff is directed by the requirements of the Pay Review Bodies that </w:t>
      </w:r>
      <w:r w:rsidR="006D0274" w:rsidRPr="006627CA">
        <w:rPr>
          <w:lang w:val="en-US"/>
        </w:rPr>
        <w:t>they</w:t>
      </w:r>
      <w:r w:rsidRPr="006627CA">
        <w:rPr>
          <w:lang w:val="en-US"/>
        </w:rPr>
        <w:t xml:space="preserve"> support. The Review Bodies normally receive annual remits from </w:t>
      </w:r>
      <w:r w:rsidR="00F53233" w:rsidRPr="006627CA">
        <w:rPr>
          <w:lang w:val="en-US"/>
        </w:rPr>
        <w:t xml:space="preserve">the UK </w:t>
      </w:r>
      <w:r w:rsidR="00AB67D3" w:rsidRPr="006627CA">
        <w:rPr>
          <w:lang w:val="en-US"/>
        </w:rPr>
        <w:t>G</w:t>
      </w:r>
      <w:r w:rsidRPr="006627CA">
        <w:rPr>
          <w:lang w:val="en-US"/>
        </w:rPr>
        <w:t xml:space="preserve">overnment </w:t>
      </w:r>
      <w:r w:rsidR="00F53233" w:rsidRPr="006627CA">
        <w:rPr>
          <w:lang w:val="en-US"/>
        </w:rPr>
        <w:t>and</w:t>
      </w:r>
      <w:r w:rsidR="00BD43BE" w:rsidRPr="006627CA">
        <w:rPr>
          <w:lang w:val="en-US"/>
        </w:rPr>
        <w:t>/or</w:t>
      </w:r>
      <w:r w:rsidR="00F53233" w:rsidRPr="006627CA">
        <w:rPr>
          <w:lang w:val="en-US"/>
        </w:rPr>
        <w:t xml:space="preserve"> devolved administrations</w:t>
      </w:r>
      <w:r w:rsidRPr="006627CA">
        <w:rPr>
          <w:lang w:val="en-US"/>
        </w:rPr>
        <w:t xml:space="preserve"> to recommend on pay for the groups they represent, but may also receive “special remits”, such as the SSRB’s </w:t>
      </w:r>
      <w:r w:rsidR="006627CA">
        <w:rPr>
          <w:lang w:val="en-US"/>
        </w:rPr>
        <w:t>M</w:t>
      </w:r>
      <w:r w:rsidR="00CD15FF" w:rsidRPr="006627CA">
        <w:rPr>
          <w:lang w:val="en-US"/>
        </w:rPr>
        <w:t xml:space="preserve">ajor </w:t>
      </w:r>
      <w:r w:rsidR="006627CA">
        <w:rPr>
          <w:lang w:val="en-US"/>
        </w:rPr>
        <w:t>R</w:t>
      </w:r>
      <w:r w:rsidR="00CD15FF" w:rsidRPr="006627CA">
        <w:rPr>
          <w:lang w:val="en-US"/>
        </w:rPr>
        <w:t xml:space="preserve">eview of the </w:t>
      </w:r>
      <w:r w:rsidR="006627CA">
        <w:rPr>
          <w:lang w:val="en-US"/>
        </w:rPr>
        <w:t>J</w:t>
      </w:r>
      <w:r w:rsidR="00CD15FF" w:rsidRPr="006627CA">
        <w:rPr>
          <w:lang w:val="en-US"/>
        </w:rPr>
        <w:t>udiciary</w:t>
      </w:r>
      <w:r w:rsidR="006627CA">
        <w:rPr>
          <w:lang w:val="en-US"/>
        </w:rPr>
        <w:t>.</w:t>
      </w:r>
    </w:p>
    <w:p w14:paraId="31CEC931" w14:textId="77777777" w:rsidR="009D408F" w:rsidRPr="009D408F" w:rsidRDefault="009D408F" w:rsidP="009D408F">
      <w:pPr>
        <w:ind w:left="720"/>
        <w:rPr>
          <w:lang w:val="en-US"/>
        </w:rPr>
      </w:pPr>
    </w:p>
    <w:p w14:paraId="6866C435" w14:textId="77777777" w:rsidR="001C1DB8" w:rsidRDefault="00FB2C3B" w:rsidP="00A60884">
      <w:pPr>
        <w:numPr>
          <w:ilvl w:val="0"/>
          <w:numId w:val="5"/>
        </w:numPr>
        <w:rPr>
          <w:lang w:val="en-US"/>
        </w:rPr>
      </w:pPr>
      <w:r>
        <w:rPr>
          <w:lang w:val="en-US"/>
        </w:rPr>
        <w:t>The secretariats’ work falls into several areas:</w:t>
      </w:r>
    </w:p>
    <w:p w14:paraId="6866C436" w14:textId="77777777" w:rsidR="001C1DB8" w:rsidRDefault="001C1DB8">
      <w:pPr>
        <w:ind w:left="720"/>
        <w:rPr>
          <w:lang w:val="en-US"/>
        </w:rPr>
      </w:pPr>
    </w:p>
    <w:p w14:paraId="6866C438" w14:textId="73F70D4C" w:rsidR="001C1DB8" w:rsidRDefault="00FB2C3B" w:rsidP="00A60884">
      <w:pPr>
        <w:numPr>
          <w:ilvl w:val="1"/>
          <w:numId w:val="5"/>
        </w:numPr>
        <w:rPr>
          <w:lang w:val="en-US"/>
        </w:rPr>
      </w:pPr>
      <w:r>
        <w:rPr>
          <w:lang w:val="en-US"/>
        </w:rPr>
        <w:t>Commissioning research and collecting data or analys</w:t>
      </w:r>
      <w:r w:rsidR="00137F5C">
        <w:rPr>
          <w:lang w:val="en-US"/>
        </w:rPr>
        <w:t>i</w:t>
      </w:r>
      <w:r>
        <w:rPr>
          <w:lang w:val="en-US"/>
        </w:rPr>
        <w:t>s that the Review Body requests. These can include information about the remit group</w:t>
      </w:r>
      <w:r w:rsidR="008B0101">
        <w:rPr>
          <w:lang w:val="en-US"/>
        </w:rPr>
        <w:t>,</w:t>
      </w:r>
      <w:r>
        <w:rPr>
          <w:lang w:val="en-US"/>
        </w:rPr>
        <w:t xml:space="preserve"> and more general information about the economy drawn from a variety of sources.</w:t>
      </w:r>
    </w:p>
    <w:p w14:paraId="6866C439" w14:textId="5E9DBCF9" w:rsidR="001C1DB8" w:rsidRDefault="00FB2C3B" w:rsidP="00A60884">
      <w:pPr>
        <w:numPr>
          <w:ilvl w:val="1"/>
          <w:numId w:val="5"/>
        </w:numPr>
        <w:rPr>
          <w:lang w:val="en-US"/>
        </w:rPr>
      </w:pPr>
      <w:r>
        <w:rPr>
          <w:lang w:val="en-US"/>
        </w:rPr>
        <w:t xml:space="preserve">Liaising with the parties (such as </w:t>
      </w:r>
      <w:r w:rsidR="00AB67D3">
        <w:rPr>
          <w:lang w:val="en-US"/>
        </w:rPr>
        <w:t>G</w:t>
      </w:r>
      <w:r>
        <w:rPr>
          <w:lang w:val="en-US"/>
        </w:rPr>
        <w:t>overnment departments, employers, and unions) to ensure that written evidence is provided to the Review Bodies on time and that subsequent oral hearings with the major parties are arranged and supported.</w:t>
      </w:r>
    </w:p>
    <w:p w14:paraId="6866C43A" w14:textId="77777777" w:rsidR="001C1DB8" w:rsidRDefault="00FB2C3B" w:rsidP="00A60884">
      <w:pPr>
        <w:numPr>
          <w:ilvl w:val="1"/>
          <w:numId w:val="5"/>
        </w:numPr>
        <w:rPr>
          <w:lang w:val="en-US"/>
        </w:rPr>
      </w:pPr>
      <w:r>
        <w:rPr>
          <w:lang w:val="en-US"/>
        </w:rPr>
        <w:t>Scheduling, arranging, and supporting all meetings.</w:t>
      </w:r>
    </w:p>
    <w:p w14:paraId="6866C43B" w14:textId="51A57F4A" w:rsidR="001C1DB8" w:rsidRDefault="00FB2C3B" w:rsidP="00A60884">
      <w:pPr>
        <w:numPr>
          <w:ilvl w:val="1"/>
          <w:numId w:val="5"/>
        </w:numPr>
        <w:rPr>
          <w:lang w:val="en-US"/>
        </w:rPr>
      </w:pPr>
      <w:r>
        <w:rPr>
          <w:lang w:val="en-US"/>
        </w:rPr>
        <w:t xml:space="preserve">Preparing briefing and technical papers on </w:t>
      </w:r>
      <w:proofErr w:type="gramStart"/>
      <w:r>
        <w:rPr>
          <w:lang w:val="en-US"/>
        </w:rPr>
        <w:t>the written</w:t>
      </w:r>
      <w:proofErr w:type="gramEnd"/>
      <w:r>
        <w:rPr>
          <w:lang w:val="en-US"/>
        </w:rPr>
        <w:t xml:space="preserve"> evidence from the </w:t>
      </w:r>
      <w:r w:rsidR="00AB67D3">
        <w:rPr>
          <w:lang w:val="en-US"/>
        </w:rPr>
        <w:t>G</w:t>
      </w:r>
      <w:r>
        <w:rPr>
          <w:lang w:val="en-US"/>
        </w:rPr>
        <w:t>overnment and the other parties</w:t>
      </w:r>
      <w:r w:rsidR="008C6AA6">
        <w:rPr>
          <w:lang w:val="en-US"/>
        </w:rPr>
        <w:t>,</w:t>
      </w:r>
      <w:r>
        <w:rPr>
          <w:lang w:val="en-US"/>
        </w:rPr>
        <w:t xml:space="preserve"> </w:t>
      </w:r>
      <w:r w:rsidR="002D4F63">
        <w:rPr>
          <w:lang w:val="en-US"/>
        </w:rPr>
        <w:t xml:space="preserve">and on </w:t>
      </w:r>
      <w:r w:rsidR="00583D01">
        <w:rPr>
          <w:lang w:val="en-US"/>
        </w:rPr>
        <w:t>pay options,</w:t>
      </w:r>
      <w:r>
        <w:rPr>
          <w:lang w:val="en-US"/>
        </w:rPr>
        <w:t xml:space="preserve"> to assist the Review Bodies in their consideration of their remits from </w:t>
      </w:r>
      <w:r w:rsidR="00AB67D3">
        <w:rPr>
          <w:lang w:val="en-US"/>
        </w:rPr>
        <w:t>G</w:t>
      </w:r>
      <w:r>
        <w:rPr>
          <w:lang w:val="en-US"/>
        </w:rPr>
        <w:t>overnment.</w:t>
      </w:r>
    </w:p>
    <w:p w14:paraId="5F3BA971" w14:textId="77777777" w:rsidR="00C732DE" w:rsidRDefault="00FB2C3B" w:rsidP="00A60884">
      <w:pPr>
        <w:numPr>
          <w:ilvl w:val="1"/>
          <w:numId w:val="5"/>
        </w:numPr>
      </w:pPr>
      <w:r>
        <w:rPr>
          <w:lang w:val="en-US"/>
        </w:rPr>
        <w:t>Drafting the reports following the evidence sessions and the Review Body decision-making process. This involves a considerable amount of background briefing and clearance of technical detail.</w:t>
      </w:r>
      <w:r w:rsidR="00C732DE" w:rsidRPr="00C732DE">
        <w:t xml:space="preserve"> </w:t>
      </w:r>
    </w:p>
    <w:p w14:paraId="6866C43C" w14:textId="524E85A4" w:rsidR="001C1DB8" w:rsidRDefault="00C732DE" w:rsidP="00A60884">
      <w:pPr>
        <w:numPr>
          <w:ilvl w:val="1"/>
          <w:numId w:val="5"/>
        </w:numPr>
        <w:rPr>
          <w:lang w:val="en-US"/>
        </w:rPr>
      </w:pPr>
      <w:r>
        <w:t>Organising</w:t>
      </w:r>
      <w:r>
        <w:rPr>
          <w:lang w:val="en-US"/>
        </w:rPr>
        <w:t xml:space="preserve"> and supporting members across an extensive visits </w:t>
      </w:r>
      <w:r>
        <w:t>programme</w:t>
      </w:r>
      <w:r>
        <w:rPr>
          <w:lang w:val="en-US"/>
        </w:rPr>
        <w:t>.</w:t>
      </w:r>
    </w:p>
    <w:p w14:paraId="6866C43D" w14:textId="77777777" w:rsidR="001C1DB8" w:rsidRDefault="00FB2C3B" w:rsidP="00A60884">
      <w:pPr>
        <w:numPr>
          <w:ilvl w:val="1"/>
          <w:numId w:val="5"/>
        </w:numPr>
        <w:rPr>
          <w:lang w:val="en-US"/>
        </w:rPr>
      </w:pPr>
      <w:r>
        <w:rPr>
          <w:lang w:val="en-US"/>
        </w:rPr>
        <w:t xml:space="preserve">Informal discussions with the parties about the outcome of the last round and likely pointers for the future. </w:t>
      </w:r>
    </w:p>
    <w:p w14:paraId="6866C43E" w14:textId="77777777" w:rsidR="001C1DB8" w:rsidRDefault="001C1DB8">
      <w:pPr>
        <w:rPr>
          <w:lang w:val="en-US"/>
        </w:rPr>
      </w:pPr>
    </w:p>
    <w:p w14:paraId="6866C43F" w14:textId="6AFEB918" w:rsidR="001C1DB8" w:rsidRDefault="00FB2C3B" w:rsidP="00A60884">
      <w:pPr>
        <w:numPr>
          <w:ilvl w:val="0"/>
          <w:numId w:val="5"/>
        </w:numPr>
        <w:rPr>
          <w:lang w:val="en-US"/>
        </w:rPr>
      </w:pPr>
      <w:r>
        <w:rPr>
          <w:lang w:val="en-US"/>
        </w:rPr>
        <w:t>The exact nature of the work varies between secretariats. Timetables and submission dates depend on when remit letters and evidence are provided.  Historically</w:t>
      </w:r>
      <w:r w:rsidR="00FE3CDF">
        <w:rPr>
          <w:lang w:val="en-US"/>
        </w:rPr>
        <w:t>,</w:t>
      </w:r>
      <w:r>
        <w:rPr>
          <w:lang w:val="en-US"/>
        </w:rPr>
        <w:t xml:space="preserve"> they have varied to take account of when the annual pay increases are applied (for example, changes to police officers’ and teachers’ pay apply from 1 September but most other groups, including the Armed Forces and NHS staff, have awards and changes applying from 1 April each year). The Review Bodies are independent of one another, as well as from </w:t>
      </w:r>
      <w:r w:rsidR="00AB67D3">
        <w:rPr>
          <w:lang w:val="en-US"/>
        </w:rPr>
        <w:t>G</w:t>
      </w:r>
      <w:r>
        <w:rPr>
          <w:lang w:val="en-US"/>
        </w:rPr>
        <w:t>overnment.</w:t>
      </w:r>
    </w:p>
    <w:p w14:paraId="6866C440" w14:textId="77777777" w:rsidR="001C1DB8" w:rsidRDefault="001C1DB8">
      <w:pPr>
        <w:rPr>
          <w:lang w:val="en-US"/>
        </w:rPr>
      </w:pPr>
    </w:p>
    <w:p w14:paraId="6866C441" w14:textId="77777777" w:rsidR="001C1DB8" w:rsidRDefault="00FB2C3B" w:rsidP="00A60884">
      <w:pPr>
        <w:numPr>
          <w:ilvl w:val="0"/>
          <w:numId w:val="5"/>
        </w:numPr>
        <w:rPr>
          <w:lang w:val="en-US"/>
        </w:rPr>
        <w:sectPr w:rsidR="001C1DB8" w:rsidSect="00170908">
          <w:footerReference w:type="default" r:id="rId19"/>
          <w:footerReference w:type="first" r:id="rId20"/>
          <w:pgSz w:w="11906" w:h="16838"/>
          <w:pgMar w:top="1440" w:right="1440" w:bottom="1440" w:left="1440" w:header="708" w:footer="708" w:gutter="0"/>
          <w:cols w:space="720"/>
          <w:titlePg/>
        </w:sectPr>
      </w:pPr>
      <w:r>
        <w:rPr>
          <w:lang w:val="en-US"/>
        </w:rPr>
        <w:t>See Table 1 for more detailed information about the Review Bodies.</w:t>
      </w:r>
    </w:p>
    <w:p w14:paraId="6866C442" w14:textId="49092DC0" w:rsidR="001C1DB8" w:rsidRDefault="00FB2C3B">
      <w:pPr>
        <w:pStyle w:val="Caption"/>
        <w:keepNext/>
      </w:pPr>
      <w:bookmarkStart w:id="13" w:name="_Ref46821820"/>
      <w:r>
        <w:rPr>
          <w:sz w:val="24"/>
          <w:szCs w:val="24"/>
        </w:rPr>
        <w:lastRenderedPageBreak/>
        <w:t xml:space="preserve">Table </w:t>
      </w:r>
      <w:bookmarkEnd w:id="13"/>
      <w:r>
        <w:rPr>
          <w:sz w:val="24"/>
          <w:szCs w:val="24"/>
        </w:rPr>
        <w:t xml:space="preserve">1: Information on the Review Bodies supported by the </w:t>
      </w:r>
      <w:r w:rsidR="00A97BEC">
        <w:rPr>
          <w:sz w:val="24"/>
          <w:szCs w:val="24"/>
        </w:rPr>
        <w:t>OPRB</w:t>
      </w:r>
      <w:r>
        <w:rPr>
          <w:sz w:val="24"/>
          <w:szCs w:val="24"/>
        </w:rPr>
        <w:t>.</w:t>
      </w:r>
    </w:p>
    <w:tbl>
      <w:tblPr>
        <w:tblW w:w="14209" w:type="dxa"/>
        <w:tblLayout w:type="fixed"/>
        <w:tblCellMar>
          <w:left w:w="10" w:type="dxa"/>
          <w:right w:w="10" w:type="dxa"/>
        </w:tblCellMar>
        <w:tblLook w:val="0000" w:firstRow="0" w:lastRow="0" w:firstColumn="0" w:lastColumn="0" w:noHBand="0" w:noVBand="0"/>
      </w:tblPr>
      <w:tblGrid>
        <w:gridCol w:w="1129"/>
        <w:gridCol w:w="1134"/>
        <w:gridCol w:w="1418"/>
        <w:gridCol w:w="2126"/>
        <w:gridCol w:w="3686"/>
        <w:gridCol w:w="1417"/>
        <w:gridCol w:w="1990"/>
        <w:gridCol w:w="1309"/>
      </w:tblGrid>
      <w:tr w:rsidR="001C1DB8" w14:paraId="6866C44B" w14:textId="77777777" w:rsidTr="12F99BFE">
        <w:trPr>
          <w:trHeight w:val="649"/>
          <w:tblHeader/>
        </w:trPr>
        <w:tc>
          <w:tcPr>
            <w:tcW w:w="1129"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43" w14:textId="77777777" w:rsidR="001C1DB8" w:rsidRDefault="00FB2C3B">
            <w:pPr>
              <w:rPr>
                <w:b/>
                <w:bCs/>
                <w:sz w:val="21"/>
                <w:szCs w:val="21"/>
              </w:rPr>
            </w:pPr>
            <w:r>
              <w:rPr>
                <w:b/>
                <w:bCs/>
                <w:sz w:val="21"/>
                <w:szCs w:val="21"/>
              </w:rPr>
              <w:t>Review Body</w:t>
            </w:r>
          </w:p>
        </w:tc>
        <w:tc>
          <w:tcPr>
            <w:tcW w:w="113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44" w14:textId="77777777" w:rsidR="001C1DB8" w:rsidRDefault="00FB2C3B">
            <w:pPr>
              <w:rPr>
                <w:b/>
                <w:bCs/>
                <w:sz w:val="21"/>
                <w:szCs w:val="21"/>
              </w:rPr>
            </w:pPr>
            <w:r>
              <w:rPr>
                <w:b/>
                <w:bCs/>
                <w:sz w:val="21"/>
                <w:szCs w:val="21"/>
              </w:rPr>
              <w:t>Status</w:t>
            </w:r>
          </w:p>
        </w:tc>
        <w:tc>
          <w:tcPr>
            <w:tcW w:w="141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45" w14:textId="77777777" w:rsidR="001C1DB8" w:rsidRDefault="00FB2C3B">
            <w:pPr>
              <w:rPr>
                <w:b/>
                <w:bCs/>
                <w:sz w:val="21"/>
                <w:szCs w:val="21"/>
              </w:rPr>
            </w:pPr>
            <w:r>
              <w:rPr>
                <w:b/>
                <w:bCs/>
                <w:sz w:val="21"/>
                <w:szCs w:val="21"/>
              </w:rPr>
              <w:t>Sponsoring Department</w:t>
            </w:r>
          </w:p>
        </w:tc>
        <w:tc>
          <w:tcPr>
            <w:tcW w:w="212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46" w14:textId="3333DCB4" w:rsidR="001C1DB8" w:rsidRDefault="00FB2C3B">
            <w:pPr>
              <w:rPr>
                <w:b/>
                <w:bCs/>
                <w:sz w:val="21"/>
                <w:szCs w:val="21"/>
              </w:rPr>
            </w:pPr>
            <w:r>
              <w:rPr>
                <w:b/>
                <w:bCs/>
                <w:sz w:val="21"/>
                <w:szCs w:val="21"/>
              </w:rPr>
              <w:t>Remit Group</w:t>
            </w:r>
            <w:r w:rsidR="008D1100">
              <w:rPr>
                <w:b/>
                <w:bCs/>
                <w:sz w:val="21"/>
                <w:szCs w:val="21"/>
              </w:rPr>
              <w:t>(s)</w:t>
            </w:r>
          </w:p>
        </w:tc>
        <w:tc>
          <w:tcPr>
            <w:tcW w:w="368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47" w14:textId="734F98EC" w:rsidR="001C1DB8" w:rsidRDefault="00B11488">
            <w:pPr>
              <w:rPr>
                <w:b/>
                <w:bCs/>
                <w:sz w:val="21"/>
                <w:szCs w:val="21"/>
              </w:rPr>
            </w:pPr>
            <w:r>
              <w:rPr>
                <w:b/>
                <w:bCs/>
                <w:sz w:val="21"/>
                <w:szCs w:val="21"/>
              </w:rPr>
              <w:t>Parties</w:t>
            </w:r>
          </w:p>
        </w:tc>
        <w:tc>
          <w:tcPr>
            <w:tcW w:w="1417"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48" w14:textId="4FAA90FE" w:rsidR="001C1DB8" w:rsidRDefault="00FB2C3B">
            <w:pPr>
              <w:rPr>
                <w:b/>
                <w:bCs/>
                <w:sz w:val="21"/>
                <w:szCs w:val="21"/>
              </w:rPr>
            </w:pPr>
            <w:r>
              <w:rPr>
                <w:b/>
                <w:bCs/>
                <w:sz w:val="21"/>
                <w:szCs w:val="21"/>
              </w:rPr>
              <w:t xml:space="preserve">Remit Group </w:t>
            </w:r>
            <w:r w:rsidR="00476A52">
              <w:rPr>
                <w:b/>
                <w:bCs/>
                <w:sz w:val="21"/>
                <w:szCs w:val="21"/>
              </w:rPr>
              <w:t>Size</w:t>
            </w:r>
          </w:p>
        </w:tc>
        <w:tc>
          <w:tcPr>
            <w:tcW w:w="1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49" w14:textId="626C75E5" w:rsidR="001C1DB8" w:rsidRDefault="00FB2C3B">
            <w:r>
              <w:rPr>
                <w:b/>
                <w:bCs/>
                <w:sz w:val="21"/>
                <w:szCs w:val="21"/>
              </w:rPr>
              <w:t xml:space="preserve">Annual </w:t>
            </w:r>
            <w:proofErr w:type="spellStart"/>
            <w:r>
              <w:rPr>
                <w:b/>
                <w:bCs/>
                <w:sz w:val="21"/>
                <w:szCs w:val="21"/>
              </w:rPr>
              <w:t>Paybill</w:t>
            </w:r>
            <w:proofErr w:type="spellEnd"/>
            <w:r>
              <w:rPr>
                <w:b/>
                <w:bCs/>
                <w:sz w:val="21"/>
                <w:szCs w:val="21"/>
              </w:rPr>
              <w:t xml:space="preserve"> </w:t>
            </w:r>
          </w:p>
        </w:tc>
        <w:tc>
          <w:tcPr>
            <w:tcW w:w="1309"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4A" w14:textId="77777777" w:rsidR="001C1DB8" w:rsidRDefault="00FB2C3B">
            <w:pPr>
              <w:rPr>
                <w:b/>
                <w:bCs/>
                <w:sz w:val="21"/>
                <w:szCs w:val="21"/>
              </w:rPr>
            </w:pPr>
            <w:r>
              <w:rPr>
                <w:b/>
                <w:bCs/>
                <w:sz w:val="21"/>
                <w:szCs w:val="21"/>
              </w:rPr>
              <w:t>National Coverage</w:t>
            </w:r>
          </w:p>
        </w:tc>
      </w:tr>
      <w:tr w:rsidR="001C1DB8" w14:paraId="6866C454" w14:textId="77777777" w:rsidTr="12F99BFE">
        <w:tc>
          <w:tcPr>
            <w:tcW w:w="1129"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4C" w14:textId="77777777" w:rsidR="001C1DB8" w:rsidRDefault="00FB2C3B">
            <w:r>
              <w:rPr>
                <w:rStyle w:val="normaltextrun"/>
                <w:b/>
                <w:bCs/>
                <w:sz w:val="21"/>
                <w:szCs w:val="21"/>
              </w:rPr>
              <w:t>AFPRB</w:t>
            </w:r>
            <w:r>
              <w:rPr>
                <w:rStyle w:val="normaltextrun"/>
                <w:b/>
                <w:bCs/>
              </w:rPr>
              <w:t> </w:t>
            </w:r>
          </w:p>
        </w:tc>
        <w:tc>
          <w:tcPr>
            <w:tcW w:w="113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4D" w14:textId="77777777" w:rsidR="001C1DB8" w:rsidRDefault="00FB2C3B">
            <w:r>
              <w:rPr>
                <w:rStyle w:val="normaltextrun"/>
                <w:sz w:val="21"/>
                <w:szCs w:val="21"/>
              </w:rPr>
              <w:t>Non-Statutory</w:t>
            </w:r>
            <w:r>
              <w:rPr>
                <w:rStyle w:val="normaltextrun"/>
              </w:rPr>
              <w:t> </w:t>
            </w:r>
          </w:p>
        </w:tc>
        <w:tc>
          <w:tcPr>
            <w:tcW w:w="141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4E" w14:textId="6A4857A8" w:rsidR="001C1DB8" w:rsidRDefault="00FB2C3B">
            <w:r>
              <w:rPr>
                <w:rStyle w:val="normaltextrun"/>
                <w:sz w:val="21"/>
                <w:szCs w:val="21"/>
              </w:rPr>
              <w:t xml:space="preserve">Ministry of Defence </w:t>
            </w:r>
            <w:r>
              <w:rPr>
                <w:rStyle w:val="normaltextrun"/>
              </w:rPr>
              <w:t> </w:t>
            </w:r>
          </w:p>
        </w:tc>
        <w:tc>
          <w:tcPr>
            <w:tcW w:w="212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4F" w14:textId="69BEAC5F" w:rsidR="001C1DB8" w:rsidRDefault="00FB2C3B">
            <w:r>
              <w:rPr>
                <w:rStyle w:val="normaltextrun"/>
                <w:sz w:val="21"/>
                <w:szCs w:val="21"/>
              </w:rPr>
              <w:t>Members of the Armed Forces up to and including the rank of Brigadier (one-star) and equivalents</w:t>
            </w:r>
            <w:r w:rsidR="006B49B2">
              <w:rPr>
                <w:rStyle w:val="FootnoteReference"/>
                <w:sz w:val="21"/>
                <w:szCs w:val="21"/>
              </w:rPr>
              <w:footnoteReference w:id="3"/>
            </w:r>
            <w:r>
              <w:rPr>
                <w:rStyle w:val="normaltextrun"/>
                <w:sz w:val="21"/>
                <w:szCs w:val="21"/>
              </w:rPr>
              <w:t>.</w:t>
            </w:r>
            <w:r>
              <w:rPr>
                <w:rStyle w:val="normaltextrun"/>
              </w:rPr>
              <w:t> </w:t>
            </w:r>
          </w:p>
        </w:tc>
        <w:tc>
          <w:tcPr>
            <w:tcW w:w="368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50" w14:textId="5A31C27E" w:rsidR="001C1DB8" w:rsidRDefault="00FB2C3B">
            <w:r>
              <w:rPr>
                <w:rStyle w:val="normaltextrun"/>
                <w:sz w:val="21"/>
                <w:szCs w:val="21"/>
              </w:rPr>
              <w:t xml:space="preserve">Ministry of Defence, Service Families’ Federations, British Medical Association </w:t>
            </w:r>
            <w:r w:rsidR="00CC6827" w:rsidRPr="002676F8">
              <w:rPr>
                <w:rStyle w:val="normaltextrun"/>
                <w:sz w:val="21"/>
                <w:szCs w:val="21"/>
              </w:rPr>
              <w:t xml:space="preserve">(BMA) </w:t>
            </w:r>
            <w:r>
              <w:rPr>
                <w:rStyle w:val="normaltextrun"/>
                <w:sz w:val="21"/>
                <w:szCs w:val="21"/>
              </w:rPr>
              <w:t>and British Dental Association</w:t>
            </w:r>
            <w:r w:rsidR="00CC6827" w:rsidRPr="002676F8">
              <w:rPr>
                <w:rStyle w:val="normaltextrun"/>
                <w:sz w:val="21"/>
                <w:szCs w:val="21"/>
              </w:rPr>
              <w:t xml:space="preserve"> (BDA)</w:t>
            </w:r>
            <w:r w:rsidR="00A86FD5" w:rsidRPr="002676F8">
              <w:rPr>
                <w:rStyle w:val="FootnoteReference"/>
                <w:sz w:val="21"/>
                <w:szCs w:val="21"/>
              </w:rPr>
              <w:footnoteReference w:id="4"/>
            </w:r>
            <w:r>
              <w:rPr>
                <w:rStyle w:val="normaltextrun"/>
                <w:sz w:val="21"/>
                <w:szCs w:val="21"/>
              </w:rPr>
              <w:t>.</w:t>
            </w:r>
            <w:r>
              <w:rPr>
                <w:rStyle w:val="normaltextrun"/>
              </w:rPr>
              <w:t> </w:t>
            </w:r>
          </w:p>
        </w:tc>
        <w:tc>
          <w:tcPr>
            <w:tcW w:w="1417"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51" w14:textId="489BDDA9" w:rsidR="001C1DB8" w:rsidRDefault="00603EDE">
            <w:pPr>
              <w:rPr>
                <w:sz w:val="21"/>
                <w:szCs w:val="21"/>
                <w:highlight w:val="yellow"/>
              </w:rPr>
            </w:pPr>
            <w:r w:rsidRPr="26A403C0">
              <w:rPr>
                <w:sz w:val="21"/>
                <w:szCs w:val="21"/>
              </w:rPr>
              <w:t>1</w:t>
            </w:r>
            <w:r w:rsidR="3C0CF336" w:rsidRPr="26A403C0">
              <w:rPr>
                <w:sz w:val="21"/>
                <w:szCs w:val="21"/>
              </w:rPr>
              <w:t>85</w:t>
            </w:r>
            <w:r w:rsidR="00FB2C3B">
              <w:rPr>
                <w:sz w:val="21"/>
                <w:szCs w:val="21"/>
              </w:rPr>
              <w:t>,000 (headcount)</w:t>
            </w:r>
          </w:p>
        </w:tc>
        <w:tc>
          <w:tcPr>
            <w:tcW w:w="1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52" w14:textId="754C26C7" w:rsidR="001C1DB8" w:rsidRDefault="00FB2C3B">
            <w:pPr>
              <w:rPr>
                <w:highlight w:val="yellow"/>
              </w:rPr>
            </w:pPr>
            <w:r>
              <w:rPr>
                <w:sz w:val="21"/>
                <w:szCs w:val="21"/>
              </w:rPr>
              <w:t>£</w:t>
            </w:r>
            <w:r w:rsidR="00475DB1">
              <w:rPr>
                <w:sz w:val="21"/>
                <w:szCs w:val="21"/>
              </w:rPr>
              <w:t>13</w:t>
            </w:r>
            <w:r w:rsidR="002676F8" w:rsidRPr="002676F8">
              <w:rPr>
                <w:sz w:val="21"/>
                <w:szCs w:val="21"/>
              </w:rPr>
              <w:t>.7</w:t>
            </w:r>
            <w:r>
              <w:rPr>
                <w:sz w:val="21"/>
                <w:szCs w:val="21"/>
              </w:rPr>
              <w:t xml:space="preserve"> billion</w:t>
            </w:r>
            <w:r>
              <w:rPr>
                <w:rStyle w:val="FootnoteReference"/>
                <w:sz w:val="21"/>
                <w:szCs w:val="21"/>
              </w:rPr>
              <w:footnoteReference w:id="5"/>
            </w:r>
          </w:p>
        </w:tc>
        <w:tc>
          <w:tcPr>
            <w:tcW w:w="1309"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53" w14:textId="77777777" w:rsidR="001C1DB8" w:rsidRDefault="00FB2C3B">
            <w:pPr>
              <w:rPr>
                <w:sz w:val="21"/>
                <w:szCs w:val="21"/>
              </w:rPr>
            </w:pPr>
            <w:r>
              <w:rPr>
                <w:sz w:val="21"/>
                <w:szCs w:val="21"/>
              </w:rPr>
              <w:t>United Kingdom</w:t>
            </w:r>
          </w:p>
        </w:tc>
      </w:tr>
      <w:tr w:rsidR="001C1DB8" w14:paraId="6866C45D" w14:textId="77777777" w:rsidTr="00CD349E">
        <w:tc>
          <w:tcPr>
            <w:tcW w:w="1129"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55" w14:textId="77777777" w:rsidR="001C1DB8" w:rsidRDefault="00FB2C3B">
            <w:r>
              <w:rPr>
                <w:rStyle w:val="normaltextrun"/>
                <w:b/>
                <w:bCs/>
                <w:sz w:val="21"/>
                <w:szCs w:val="21"/>
              </w:rPr>
              <w:t>DDRB</w:t>
            </w:r>
            <w:r>
              <w:rPr>
                <w:rStyle w:val="eop"/>
                <w:sz w:val="21"/>
                <w:szCs w:val="21"/>
              </w:rPr>
              <w:t> </w:t>
            </w:r>
          </w:p>
        </w:tc>
        <w:tc>
          <w:tcPr>
            <w:tcW w:w="113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56" w14:textId="77777777" w:rsidR="001C1DB8" w:rsidRDefault="00FB2C3B">
            <w:r>
              <w:rPr>
                <w:rStyle w:val="normaltextrun"/>
                <w:sz w:val="21"/>
                <w:szCs w:val="21"/>
              </w:rPr>
              <w:t>Non- Statutory</w:t>
            </w:r>
            <w:r>
              <w:rPr>
                <w:rStyle w:val="eop"/>
                <w:sz w:val="21"/>
                <w:szCs w:val="21"/>
              </w:rPr>
              <w:t> </w:t>
            </w:r>
          </w:p>
        </w:tc>
        <w:tc>
          <w:tcPr>
            <w:tcW w:w="141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57" w14:textId="77777777" w:rsidR="001C1DB8" w:rsidRDefault="00FB2C3B">
            <w:r>
              <w:rPr>
                <w:rStyle w:val="normaltextrun"/>
                <w:sz w:val="21"/>
                <w:szCs w:val="21"/>
              </w:rPr>
              <w:t>Department of Health and Social Care</w:t>
            </w:r>
            <w:r>
              <w:rPr>
                <w:rStyle w:val="eop"/>
                <w:sz w:val="21"/>
                <w:szCs w:val="21"/>
              </w:rPr>
              <w:t> </w:t>
            </w:r>
          </w:p>
        </w:tc>
        <w:tc>
          <w:tcPr>
            <w:tcW w:w="212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58" w14:textId="55110ACE" w:rsidR="001C1DB8" w:rsidRDefault="00FB2C3B">
            <w:r>
              <w:rPr>
                <w:rStyle w:val="normaltextrun"/>
                <w:sz w:val="21"/>
                <w:szCs w:val="21"/>
              </w:rPr>
              <w:t>Hospital doctors and dentists; general medical practitioners; general dental practitioners; and salaried primary dental care services.</w:t>
            </w:r>
            <w:r>
              <w:rPr>
                <w:rStyle w:val="eop"/>
                <w:sz w:val="21"/>
                <w:szCs w:val="21"/>
              </w:rPr>
              <w:t> </w:t>
            </w:r>
          </w:p>
        </w:tc>
        <w:tc>
          <w:tcPr>
            <w:tcW w:w="368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59" w14:textId="18E76A54" w:rsidR="001C1DB8" w:rsidRDefault="00FB2C3B">
            <w:r>
              <w:rPr>
                <w:rStyle w:val="normaltextrun"/>
                <w:sz w:val="21"/>
                <w:szCs w:val="21"/>
              </w:rPr>
              <w:t>Department of Health and Social Care, England; Welsh Government; Scottish Government; Department of Health, Northern Ireland Executive; NHS Employers; NHS Providers; British Medical Association; British Dental Association; Hospital Consultants and Specialists Association.</w:t>
            </w:r>
            <w:r>
              <w:rPr>
                <w:rStyle w:val="eop"/>
                <w:sz w:val="21"/>
                <w:szCs w:val="21"/>
              </w:rPr>
              <w:t> </w:t>
            </w:r>
          </w:p>
        </w:tc>
        <w:tc>
          <w:tcPr>
            <w:tcW w:w="1417"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5A" w14:textId="6BC61EFF" w:rsidR="001C1DB8" w:rsidRDefault="00407587">
            <w:r w:rsidRPr="00562BEA">
              <w:rPr>
                <w:rStyle w:val="normaltextrun"/>
                <w:sz w:val="21"/>
                <w:szCs w:val="21"/>
              </w:rPr>
              <w:t>2</w:t>
            </w:r>
            <w:r w:rsidR="001D5F5B">
              <w:rPr>
                <w:rStyle w:val="normaltextrun"/>
                <w:sz w:val="21"/>
                <w:szCs w:val="21"/>
              </w:rPr>
              <w:t>76</w:t>
            </w:r>
            <w:r w:rsidR="00FB2C3B">
              <w:rPr>
                <w:rStyle w:val="normaltextrun"/>
                <w:sz w:val="21"/>
                <w:szCs w:val="21"/>
              </w:rPr>
              <w:t>,000 (headcount)</w:t>
            </w:r>
            <w:r w:rsidR="00FB2C3B">
              <w:rPr>
                <w:rStyle w:val="eop"/>
                <w:sz w:val="21"/>
                <w:szCs w:val="21"/>
              </w:rPr>
              <w:t> </w:t>
            </w:r>
          </w:p>
        </w:tc>
        <w:tc>
          <w:tcPr>
            <w:tcW w:w="1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5B" w14:textId="41C8CB37" w:rsidR="001C1DB8" w:rsidRDefault="00FB2C3B">
            <w:r w:rsidRPr="00562BEA">
              <w:rPr>
                <w:rStyle w:val="normaltextrun"/>
                <w:sz w:val="21"/>
                <w:szCs w:val="21"/>
              </w:rPr>
              <w:t>£</w:t>
            </w:r>
            <w:r w:rsidR="00482DCC">
              <w:rPr>
                <w:rStyle w:val="normaltextrun"/>
                <w:sz w:val="21"/>
                <w:szCs w:val="21"/>
              </w:rPr>
              <w:t>33.5</w:t>
            </w:r>
            <w:r w:rsidRPr="00562BEA">
              <w:rPr>
                <w:rStyle w:val="normaltextrun"/>
                <w:sz w:val="21"/>
                <w:szCs w:val="21"/>
              </w:rPr>
              <w:t xml:space="preserve"> billion</w:t>
            </w:r>
            <w:r w:rsidRPr="00562BEA">
              <w:rPr>
                <w:rStyle w:val="eop"/>
                <w:sz w:val="21"/>
                <w:szCs w:val="21"/>
              </w:rPr>
              <w:t> </w:t>
            </w:r>
          </w:p>
        </w:tc>
        <w:tc>
          <w:tcPr>
            <w:tcW w:w="1309"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5C" w14:textId="77777777" w:rsidR="001C1DB8" w:rsidRDefault="00FB2C3B">
            <w:r>
              <w:rPr>
                <w:rStyle w:val="normaltextrun"/>
                <w:sz w:val="21"/>
                <w:szCs w:val="21"/>
              </w:rPr>
              <w:t>United Kingdom</w:t>
            </w:r>
            <w:r>
              <w:rPr>
                <w:rStyle w:val="eop"/>
                <w:sz w:val="21"/>
                <w:szCs w:val="21"/>
              </w:rPr>
              <w:t> </w:t>
            </w:r>
          </w:p>
        </w:tc>
      </w:tr>
      <w:tr w:rsidR="001C1DB8" w14:paraId="6866C466" w14:textId="77777777" w:rsidTr="12F99BFE">
        <w:tc>
          <w:tcPr>
            <w:tcW w:w="1129"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5E" w14:textId="77777777" w:rsidR="001C1DB8" w:rsidRDefault="00FB2C3B">
            <w:pPr>
              <w:rPr>
                <w:b/>
                <w:bCs/>
                <w:sz w:val="21"/>
                <w:szCs w:val="21"/>
              </w:rPr>
            </w:pPr>
            <w:r>
              <w:rPr>
                <w:b/>
                <w:bCs/>
                <w:sz w:val="21"/>
                <w:szCs w:val="21"/>
              </w:rPr>
              <w:t>NCARRB</w:t>
            </w:r>
          </w:p>
        </w:tc>
        <w:tc>
          <w:tcPr>
            <w:tcW w:w="113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5F" w14:textId="34C2FAD4" w:rsidR="001C1DB8" w:rsidRDefault="00FB2C3B">
            <w:pPr>
              <w:rPr>
                <w:sz w:val="21"/>
                <w:szCs w:val="21"/>
              </w:rPr>
            </w:pPr>
            <w:r>
              <w:rPr>
                <w:sz w:val="21"/>
                <w:szCs w:val="21"/>
              </w:rPr>
              <w:t>Statutory</w:t>
            </w:r>
          </w:p>
        </w:tc>
        <w:tc>
          <w:tcPr>
            <w:tcW w:w="141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60" w14:textId="77777777" w:rsidR="001C1DB8" w:rsidRDefault="00FB2C3B">
            <w:pPr>
              <w:rPr>
                <w:sz w:val="21"/>
                <w:szCs w:val="21"/>
              </w:rPr>
            </w:pPr>
            <w:r>
              <w:rPr>
                <w:sz w:val="21"/>
                <w:szCs w:val="21"/>
              </w:rPr>
              <w:t>Home Office</w:t>
            </w:r>
          </w:p>
        </w:tc>
        <w:tc>
          <w:tcPr>
            <w:tcW w:w="212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61" w14:textId="77777777" w:rsidR="001C1DB8" w:rsidRDefault="00FB2C3B">
            <w:pPr>
              <w:rPr>
                <w:sz w:val="21"/>
                <w:szCs w:val="21"/>
              </w:rPr>
            </w:pPr>
            <w:r>
              <w:rPr>
                <w:sz w:val="21"/>
                <w:szCs w:val="21"/>
              </w:rPr>
              <w:t>National Crime Agency officers designated with operational powers.</w:t>
            </w:r>
          </w:p>
        </w:tc>
        <w:tc>
          <w:tcPr>
            <w:tcW w:w="368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62" w14:textId="77777777" w:rsidR="001C1DB8" w:rsidRDefault="00FB2C3B">
            <w:pPr>
              <w:rPr>
                <w:sz w:val="21"/>
                <w:szCs w:val="21"/>
              </w:rPr>
            </w:pPr>
            <w:r>
              <w:rPr>
                <w:sz w:val="21"/>
                <w:szCs w:val="21"/>
              </w:rPr>
              <w:t>Home Office, National Crime Agency, Public and Commercial Services Union, National Crime Officers’ Association, FDA.</w:t>
            </w:r>
          </w:p>
        </w:tc>
        <w:tc>
          <w:tcPr>
            <w:tcW w:w="1417"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63" w14:textId="33169998" w:rsidR="001C1DB8" w:rsidRDefault="00FB2C3B">
            <w:pPr>
              <w:rPr>
                <w:sz w:val="21"/>
                <w:szCs w:val="21"/>
              </w:rPr>
            </w:pPr>
            <w:r>
              <w:rPr>
                <w:sz w:val="21"/>
                <w:szCs w:val="21"/>
              </w:rPr>
              <w:t>2,</w:t>
            </w:r>
            <w:r w:rsidR="005A475B">
              <w:rPr>
                <w:sz w:val="21"/>
                <w:szCs w:val="21"/>
              </w:rPr>
              <w:t>2</w:t>
            </w:r>
            <w:r w:rsidR="000D670F">
              <w:rPr>
                <w:sz w:val="21"/>
                <w:szCs w:val="21"/>
              </w:rPr>
              <w:t>00</w:t>
            </w:r>
            <w:r>
              <w:rPr>
                <w:sz w:val="21"/>
                <w:szCs w:val="21"/>
              </w:rPr>
              <w:t xml:space="preserve"> (</w:t>
            </w:r>
            <w:r w:rsidR="005A475B">
              <w:rPr>
                <w:sz w:val="21"/>
                <w:szCs w:val="21"/>
              </w:rPr>
              <w:t>headcount</w:t>
            </w:r>
            <w:r>
              <w:rPr>
                <w:sz w:val="21"/>
                <w:szCs w:val="21"/>
              </w:rPr>
              <w:t>)</w:t>
            </w:r>
          </w:p>
        </w:tc>
        <w:tc>
          <w:tcPr>
            <w:tcW w:w="1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64" w14:textId="09D86146" w:rsidR="001C1DB8" w:rsidRDefault="00FB2C3B">
            <w:pPr>
              <w:rPr>
                <w:sz w:val="21"/>
                <w:szCs w:val="21"/>
              </w:rPr>
            </w:pPr>
            <w:r>
              <w:rPr>
                <w:sz w:val="21"/>
                <w:szCs w:val="21"/>
              </w:rPr>
              <w:t>£</w:t>
            </w:r>
            <w:r w:rsidR="00F474CF">
              <w:rPr>
                <w:sz w:val="21"/>
                <w:szCs w:val="21"/>
              </w:rPr>
              <w:t>155</w:t>
            </w:r>
            <w:r w:rsidR="005A475B">
              <w:rPr>
                <w:sz w:val="21"/>
                <w:szCs w:val="21"/>
              </w:rPr>
              <w:t xml:space="preserve"> </w:t>
            </w:r>
            <w:r>
              <w:rPr>
                <w:sz w:val="21"/>
                <w:szCs w:val="21"/>
              </w:rPr>
              <w:t>million</w:t>
            </w:r>
          </w:p>
        </w:tc>
        <w:tc>
          <w:tcPr>
            <w:tcW w:w="1309"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65" w14:textId="708674F4" w:rsidR="001C1DB8" w:rsidRDefault="001D6D26">
            <w:pPr>
              <w:rPr>
                <w:sz w:val="21"/>
                <w:szCs w:val="21"/>
              </w:rPr>
            </w:pPr>
            <w:r>
              <w:rPr>
                <w:sz w:val="21"/>
                <w:szCs w:val="21"/>
              </w:rPr>
              <w:t>United Kingdom</w:t>
            </w:r>
          </w:p>
        </w:tc>
      </w:tr>
      <w:tr w:rsidR="001C1DB8" w14:paraId="6866C470" w14:textId="77777777" w:rsidTr="12F99BFE">
        <w:tc>
          <w:tcPr>
            <w:tcW w:w="1129"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67" w14:textId="77777777" w:rsidR="001C1DB8" w:rsidRDefault="00FB2C3B">
            <w:pPr>
              <w:rPr>
                <w:b/>
                <w:bCs/>
                <w:sz w:val="21"/>
                <w:szCs w:val="21"/>
              </w:rPr>
            </w:pPr>
            <w:r>
              <w:rPr>
                <w:b/>
                <w:bCs/>
                <w:sz w:val="21"/>
                <w:szCs w:val="21"/>
              </w:rPr>
              <w:t>NHSPRB</w:t>
            </w:r>
          </w:p>
        </w:tc>
        <w:tc>
          <w:tcPr>
            <w:tcW w:w="113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68" w14:textId="77777777" w:rsidR="001C1DB8" w:rsidRDefault="00FB2C3B">
            <w:pPr>
              <w:rPr>
                <w:sz w:val="21"/>
                <w:szCs w:val="21"/>
              </w:rPr>
            </w:pPr>
            <w:r>
              <w:rPr>
                <w:sz w:val="21"/>
                <w:szCs w:val="21"/>
              </w:rPr>
              <w:t>Non- Statutory</w:t>
            </w:r>
          </w:p>
        </w:tc>
        <w:tc>
          <w:tcPr>
            <w:tcW w:w="141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69" w14:textId="77777777" w:rsidR="001C1DB8" w:rsidRDefault="00FB2C3B">
            <w:pPr>
              <w:rPr>
                <w:sz w:val="21"/>
                <w:szCs w:val="21"/>
              </w:rPr>
            </w:pPr>
            <w:r>
              <w:rPr>
                <w:sz w:val="21"/>
                <w:szCs w:val="21"/>
              </w:rPr>
              <w:t>Department of Health and Social Care</w:t>
            </w:r>
          </w:p>
        </w:tc>
        <w:tc>
          <w:tcPr>
            <w:tcW w:w="212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6A" w14:textId="4D186523" w:rsidR="001C1DB8" w:rsidRDefault="00FB2C3B" w:rsidP="002676F8">
            <w:pPr>
              <w:spacing w:line="259" w:lineRule="auto"/>
              <w:rPr>
                <w:sz w:val="21"/>
                <w:szCs w:val="21"/>
              </w:rPr>
            </w:pPr>
            <w:r>
              <w:rPr>
                <w:sz w:val="21"/>
                <w:szCs w:val="21"/>
              </w:rPr>
              <w:t>All staff employed in the NHS</w:t>
            </w:r>
            <w:r w:rsidR="26FA6F17" w:rsidRPr="382C397A">
              <w:rPr>
                <w:sz w:val="21"/>
                <w:szCs w:val="21"/>
              </w:rPr>
              <w:t>/HSC</w:t>
            </w:r>
            <w:r>
              <w:rPr>
                <w:sz w:val="21"/>
                <w:szCs w:val="21"/>
              </w:rPr>
              <w:t xml:space="preserve"> and paid under Agenda for Change. This covers all </w:t>
            </w:r>
            <w:r w:rsidR="56B8FB43" w:rsidRPr="382C397A">
              <w:rPr>
                <w:sz w:val="21"/>
                <w:szCs w:val="21"/>
              </w:rPr>
              <w:t xml:space="preserve">staff employed by </w:t>
            </w:r>
            <w:r w:rsidR="56B8FB43" w:rsidRPr="382C397A">
              <w:rPr>
                <w:sz w:val="21"/>
                <w:szCs w:val="21"/>
              </w:rPr>
              <w:lastRenderedPageBreak/>
              <w:t>NHS/HSC Trusts and Health Boards</w:t>
            </w:r>
            <w:r>
              <w:rPr>
                <w:sz w:val="21"/>
                <w:szCs w:val="21"/>
              </w:rPr>
              <w:t xml:space="preserve"> </w:t>
            </w:r>
            <w:proofErr w:type="gramStart"/>
            <w:r>
              <w:rPr>
                <w:sz w:val="21"/>
                <w:szCs w:val="21"/>
              </w:rPr>
              <w:t>with the exception of</w:t>
            </w:r>
            <w:proofErr w:type="gramEnd"/>
            <w:r>
              <w:rPr>
                <w:sz w:val="21"/>
                <w:szCs w:val="21"/>
              </w:rPr>
              <w:t xml:space="preserve"> doctors, dentists, and very senior managers.</w:t>
            </w:r>
          </w:p>
        </w:tc>
        <w:tc>
          <w:tcPr>
            <w:tcW w:w="368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6B" w14:textId="414E53F4" w:rsidR="001C1DB8" w:rsidRDefault="00FB2C3B">
            <w:pPr>
              <w:rPr>
                <w:sz w:val="21"/>
                <w:szCs w:val="21"/>
              </w:rPr>
            </w:pPr>
            <w:r>
              <w:rPr>
                <w:sz w:val="21"/>
                <w:szCs w:val="21"/>
              </w:rPr>
              <w:lastRenderedPageBreak/>
              <w:t xml:space="preserve">Department </w:t>
            </w:r>
            <w:r w:rsidR="60F99C8B" w:rsidRPr="53B52BB1">
              <w:rPr>
                <w:sz w:val="21"/>
                <w:szCs w:val="21"/>
              </w:rPr>
              <w:t>for</w:t>
            </w:r>
            <w:r>
              <w:rPr>
                <w:sz w:val="21"/>
                <w:szCs w:val="21"/>
              </w:rPr>
              <w:t xml:space="preserve"> Health and Social Care, England; Welsh Government’s Health and Social Services Group; Department of Health, Northern Ireland; NHS England; NHS Employers; NHS Providers; the Joint Staff Side and its individual staff </w:t>
            </w:r>
            <w:r>
              <w:rPr>
                <w:sz w:val="21"/>
                <w:szCs w:val="21"/>
              </w:rPr>
              <w:lastRenderedPageBreak/>
              <w:t>bodies, which are: Royal College of Nursing; Royal College of Midwives; Chartered Society of Physiotherapists; Society of Radiographers; UNISON; GMB; Unite; Royal College of Podiatrists</w:t>
            </w:r>
          </w:p>
        </w:tc>
        <w:tc>
          <w:tcPr>
            <w:tcW w:w="1417"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6C" w14:textId="3BECDE16" w:rsidR="001C1DB8" w:rsidRDefault="00FB2C3B" w:rsidP="0053034A">
            <w:pPr>
              <w:spacing w:line="259" w:lineRule="auto"/>
            </w:pPr>
            <w:r>
              <w:rPr>
                <w:sz w:val="21"/>
                <w:szCs w:val="21"/>
              </w:rPr>
              <w:lastRenderedPageBreak/>
              <w:t>1,</w:t>
            </w:r>
            <w:r w:rsidR="00DE7AEB" w:rsidRPr="731F3307">
              <w:rPr>
                <w:sz w:val="21"/>
                <w:szCs w:val="21"/>
              </w:rPr>
              <w:t>5</w:t>
            </w:r>
            <w:r w:rsidR="29CE2D52" w:rsidRPr="731F3307">
              <w:rPr>
                <w:sz w:val="21"/>
                <w:szCs w:val="21"/>
              </w:rPr>
              <w:t>0</w:t>
            </w:r>
            <w:r w:rsidR="00DE7AEB" w:rsidRPr="731F3307">
              <w:rPr>
                <w:sz w:val="21"/>
                <w:szCs w:val="21"/>
              </w:rPr>
              <w:t>0</w:t>
            </w:r>
            <w:r>
              <w:rPr>
                <w:sz w:val="21"/>
                <w:szCs w:val="21"/>
              </w:rPr>
              <w:t>,000 (headcount)</w:t>
            </w:r>
          </w:p>
          <w:p w14:paraId="6866C46D" w14:textId="0910BAD3" w:rsidR="001C1DB8" w:rsidRDefault="00FB2C3B">
            <w:r>
              <w:rPr>
                <w:sz w:val="21"/>
                <w:szCs w:val="21"/>
              </w:rPr>
              <w:t>1,</w:t>
            </w:r>
            <w:r w:rsidR="7CBFA01D" w:rsidRPr="731F3307">
              <w:rPr>
                <w:sz w:val="21"/>
                <w:szCs w:val="21"/>
              </w:rPr>
              <w:t>40</w:t>
            </w:r>
            <w:r w:rsidR="00E401F9">
              <w:rPr>
                <w:sz w:val="21"/>
                <w:szCs w:val="21"/>
              </w:rPr>
              <w:t>0</w:t>
            </w:r>
            <w:r>
              <w:rPr>
                <w:sz w:val="21"/>
                <w:szCs w:val="21"/>
              </w:rPr>
              <w:t>,000 (FTE)</w:t>
            </w:r>
          </w:p>
        </w:tc>
        <w:tc>
          <w:tcPr>
            <w:tcW w:w="1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6E" w14:textId="4EFBF2EE" w:rsidR="001C1DB8" w:rsidRDefault="00FB2C3B" w:rsidP="0053034A">
            <w:pPr>
              <w:spacing w:line="259" w:lineRule="auto"/>
            </w:pPr>
            <w:r>
              <w:rPr>
                <w:sz w:val="21"/>
                <w:szCs w:val="21"/>
              </w:rPr>
              <w:t>£</w:t>
            </w:r>
            <w:r w:rsidR="2609A649" w:rsidRPr="071F3ED1">
              <w:rPr>
                <w:sz w:val="21"/>
                <w:szCs w:val="21"/>
              </w:rPr>
              <w:t>71</w:t>
            </w:r>
            <w:r>
              <w:rPr>
                <w:sz w:val="21"/>
                <w:szCs w:val="21"/>
              </w:rPr>
              <w:t xml:space="preserve"> billion</w:t>
            </w:r>
          </w:p>
        </w:tc>
        <w:tc>
          <w:tcPr>
            <w:tcW w:w="1309"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6F" w14:textId="01B88FFC" w:rsidR="001C1DB8" w:rsidRDefault="00707ECD">
            <w:pPr>
              <w:rPr>
                <w:sz w:val="21"/>
                <w:szCs w:val="21"/>
              </w:rPr>
            </w:pPr>
            <w:r>
              <w:rPr>
                <w:sz w:val="21"/>
                <w:szCs w:val="21"/>
              </w:rPr>
              <w:t>England, Wales and Northern Ireland</w:t>
            </w:r>
          </w:p>
        </w:tc>
      </w:tr>
      <w:tr w:rsidR="001C1DB8" w14:paraId="6866C47B" w14:textId="77777777" w:rsidTr="12F99BFE">
        <w:tc>
          <w:tcPr>
            <w:tcW w:w="1129"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71" w14:textId="77777777" w:rsidR="001C1DB8" w:rsidRDefault="00FB2C3B">
            <w:r>
              <w:rPr>
                <w:b/>
                <w:bCs/>
                <w:sz w:val="21"/>
                <w:szCs w:val="21"/>
              </w:rPr>
              <w:t>PRRB</w:t>
            </w:r>
          </w:p>
        </w:tc>
        <w:tc>
          <w:tcPr>
            <w:tcW w:w="113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72" w14:textId="77777777" w:rsidR="001C1DB8" w:rsidRDefault="00FB2C3B">
            <w:pPr>
              <w:rPr>
                <w:sz w:val="21"/>
                <w:szCs w:val="21"/>
              </w:rPr>
            </w:pPr>
            <w:r>
              <w:rPr>
                <w:sz w:val="21"/>
                <w:szCs w:val="21"/>
              </w:rPr>
              <w:t>Statutory</w:t>
            </w:r>
          </w:p>
        </w:tc>
        <w:tc>
          <w:tcPr>
            <w:tcW w:w="141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73" w14:textId="77777777" w:rsidR="001C1DB8" w:rsidRDefault="00FB2C3B">
            <w:pPr>
              <w:rPr>
                <w:sz w:val="21"/>
                <w:szCs w:val="21"/>
              </w:rPr>
            </w:pPr>
            <w:r>
              <w:rPr>
                <w:sz w:val="21"/>
                <w:szCs w:val="21"/>
              </w:rPr>
              <w:t>Home Office, Department of Justice for Northern Ireland.</w:t>
            </w:r>
          </w:p>
        </w:tc>
        <w:tc>
          <w:tcPr>
            <w:tcW w:w="212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74" w14:textId="28CDE5C2" w:rsidR="001C1DB8" w:rsidRDefault="00FB2C3B">
            <w:pPr>
              <w:rPr>
                <w:sz w:val="21"/>
                <w:szCs w:val="21"/>
              </w:rPr>
            </w:pPr>
            <w:r>
              <w:rPr>
                <w:sz w:val="21"/>
                <w:szCs w:val="21"/>
              </w:rPr>
              <w:t xml:space="preserve">Federated ranks of police officers and superintending ranks in England and Wales, and Northern Ireland. </w:t>
            </w:r>
          </w:p>
        </w:tc>
        <w:tc>
          <w:tcPr>
            <w:tcW w:w="368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75" w14:textId="7DF40A48" w:rsidR="001C1DB8" w:rsidRDefault="00FB2C3B">
            <w:r>
              <w:rPr>
                <w:sz w:val="21"/>
                <w:szCs w:val="21"/>
              </w:rPr>
              <w:t>Home Office; Police Federation of England and Wales; Police Superintendents’ Association; National Police Chiefs’ Council; Metropolitan Police Service; Association of Police and Crime Commissioners; Police Service of Northern Ireland; Department of Justice Northern Ireland; Northern Ireland Policing Board; Police Federation for Northern Ireland; Superintendents’ Association of Northern Ireland.</w:t>
            </w:r>
          </w:p>
        </w:tc>
        <w:tc>
          <w:tcPr>
            <w:tcW w:w="1417"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76" w14:textId="32A380BC" w:rsidR="001C1DB8" w:rsidRDefault="00655974">
            <w:pPr>
              <w:rPr>
                <w:sz w:val="21"/>
                <w:szCs w:val="21"/>
              </w:rPr>
            </w:pPr>
            <w:r>
              <w:rPr>
                <w:sz w:val="21"/>
                <w:szCs w:val="21"/>
              </w:rPr>
              <w:t>156</w:t>
            </w:r>
            <w:r w:rsidR="00FB2C3B">
              <w:rPr>
                <w:sz w:val="21"/>
                <w:szCs w:val="21"/>
              </w:rPr>
              <w:t>,</w:t>
            </w:r>
            <w:r w:rsidR="00182C86">
              <w:rPr>
                <w:sz w:val="21"/>
                <w:szCs w:val="21"/>
              </w:rPr>
              <w:t>0</w:t>
            </w:r>
            <w:r w:rsidR="00FB2C3B">
              <w:rPr>
                <w:sz w:val="21"/>
                <w:szCs w:val="21"/>
              </w:rPr>
              <w:t>00 (headcount)</w:t>
            </w:r>
          </w:p>
          <w:p w14:paraId="6866C477" w14:textId="5586E1B4" w:rsidR="001C1DB8" w:rsidRDefault="00C2642C">
            <w:pPr>
              <w:rPr>
                <w:sz w:val="21"/>
                <w:szCs w:val="21"/>
              </w:rPr>
            </w:pPr>
            <w:r>
              <w:rPr>
                <w:sz w:val="21"/>
                <w:szCs w:val="21"/>
              </w:rPr>
              <w:t>153</w:t>
            </w:r>
            <w:r w:rsidR="00FB2C3B">
              <w:rPr>
                <w:sz w:val="21"/>
                <w:szCs w:val="21"/>
              </w:rPr>
              <w:t>,</w:t>
            </w:r>
            <w:r>
              <w:rPr>
                <w:sz w:val="21"/>
                <w:szCs w:val="21"/>
              </w:rPr>
              <w:t xml:space="preserve">900 </w:t>
            </w:r>
            <w:r w:rsidR="00FB2C3B">
              <w:rPr>
                <w:sz w:val="21"/>
                <w:szCs w:val="21"/>
              </w:rPr>
              <w:t>(FTE)</w:t>
            </w:r>
          </w:p>
        </w:tc>
        <w:tc>
          <w:tcPr>
            <w:tcW w:w="1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78" w14:textId="32569CFC" w:rsidR="001C1DB8" w:rsidRDefault="00FB2C3B">
            <w:r>
              <w:rPr>
                <w:rFonts w:eastAsia="Yu Mincho"/>
                <w:sz w:val="21"/>
                <w:szCs w:val="21"/>
              </w:rPr>
              <w:t>£</w:t>
            </w:r>
            <w:r w:rsidR="00203425">
              <w:rPr>
                <w:rFonts w:eastAsia="Yu Mincho"/>
                <w:sz w:val="21"/>
                <w:szCs w:val="21"/>
              </w:rPr>
              <w:t>10.5</w:t>
            </w:r>
            <w:r w:rsidR="00EA6288">
              <w:rPr>
                <w:sz w:val="21"/>
                <w:szCs w:val="21"/>
              </w:rPr>
              <w:t xml:space="preserve"> </w:t>
            </w:r>
            <w:r>
              <w:rPr>
                <w:sz w:val="21"/>
                <w:szCs w:val="21"/>
              </w:rPr>
              <w:t>billion</w:t>
            </w:r>
          </w:p>
        </w:tc>
        <w:tc>
          <w:tcPr>
            <w:tcW w:w="1309"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79" w14:textId="77777777" w:rsidR="001C1DB8" w:rsidRDefault="00FB2C3B">
            <w:pPr>
              <w:rPr>
                <w:sz w:val="21"/>
                <w:szCs w:val="21"/>
              </w:rPr>
            </w:pPr>
            <w:r>
              <w:rPr>
                <w:sz w:val="21"/>
                <w:szCs w:val="21"/>
              </w:rPr>
              <w:t>England, Wales &amp;</w:t>
            </w:r>
          </w:p>
          <w:p w14:paraId="6866C47A" w14:textId="77777777" w:rsidR="001C1DB8" w:rsidRDefault="00FB2C3B">
            <w:pPr>
              <w:rPr>
                <w:sz w:val="21"/>
                <w:szCs w:val="21"/>
              </w:rPr>
            </w:pPr>
            <w:r>
              <w:rPr>
                <w:sz w:val="21"/>
                <w:szCs w:val="21"/>
              </w:rPr>
              <w:t>Northern Ireland</w:t>
            </w:r>
          </w:p>
        </w:tc>
      </w:tr>
      <w:tr w:rsidR="001C1DB8" w14:paraId="6866C486" w14:textId="77777777" w:rsidTr="12F99BFE">
        <w:tc>
          <w:tcPr>
            <w:tcW w:w="1129"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7C" w14:textId="77777777" w:rsidR="001C1DB8" w:rsidRDefault="00FB2C3B">
            <w:pPr>
              <w:rPr>
                <w:b/>
                <w:bCs/>
                <w:sz w:val="21"/>
                <w:szCs w:val="21"/>
              </w:rPr>
            </w:pPr>
            <w:r>
              <w:rPr>
                <w:b/>
                <w:bCs/>
                <w:sz w:val="21"/>
                <w:szCs w:val="21"/>
              </w:rPr>
              <w:t>PSPRB</w:t>
            </w:r>
          </w:p>
        </w:tc>
        <w:tc>
          <w:tcPr>
            <w:tcW w:w="113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7D" w14:textId="77777777" w:rsidR="001C1DB8" w:rsidRDefault="00FB2C3B">
            <w:pPr>
              <w:rPr>
                <w:sz w:val="21"/>
                <w:szCs w:val="21"/>
              </w:rPr>
            </w:pPr>
            <w:r>
              <w:rPr>
                <w:sz w:val="21"/>
                <w:szCs w:val="21"/>
              </w:rPr>
              <w:t>Statutory</w:t>
            </w:r>
          </w:p>
        </w:tc>
        <w:tc>
          <w:tcPr>
            <w:tcW w:w="141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7E" w14:textId="77777777" w:rsidR="001C1DB8" w:rsidRDefault="00FB2C3B">
            <w:pPr>
              <w:rPr>
                <w:sz w:val="21"/>
                <w:szCs w:val="21"/>
              </w:rPr>
            </w:pPr>
            <w:r>
              <w:rPr>
                <w:sz w:val="21"/>
                <w:szCs w:val="21"/>
              </w:rPr>
              <w:t>Ministry of Justice (England &amp; Wales)</w:t>
            </w:r>
          </w:p>
        </w:tc>
        <w:tc>
          <w:tcPr>
            <w:tcW w:w="212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7F" w14:textId="1DE664F6" w:rsidR="001C1DB8" w:rsidRDefault="00FB2C3B">
            <w:pPr>
              <w:rPr>
                <w:sz w:val="21"/>
                <w:szCs w:val="21"/>
              </w:rPr>
            </w:pPr>
            <w:r>
              <w:rPr>
                <w:sz w:val="21"/>
                <w:szCs w:val="21"/>
              </w:rPr>
              <w:t xml:space="preserve">Governing governors, other operational managers, officers and support grades in </w:t>
            </w:r>
            <w:r w:rsidR="00777F87">
              <w:rPr>
                <w:sz w:val="21"/>
                <w:szCs w:val="21"/>
              </w:rPr>
              <w:t>His Majesty’s Prison and Probation Service.</w:t>
            </w:r>
          </w:p>
          <w:p w14:paraId="6866C480" w14:textId="77777777" w:rsidR="001C1DB8" w:rsidRDefault="001C1DB8">
            <w:pPr>
              <w:rPr>
                <w:sz w:val="21"/>
                <w:szCs w:val="21"/>
              </w:rPr>
            </w:pPr>
          </w:p>
        </w:tc>
        <w:tc>
          <w:tcPr>
            <w:tcW w:w="368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81" w14:textId="77777777" w:rsidR="001C1DB8" w:rsidRDefault="00FB2C3B">
            <w:r>
              <w:rPr>
                <w:sz w:val="21"/>
                <w:szCs w:val="21"/>
              </w:rPr>
              <w:t>His Majesty’s Prison and Probation Service, the POA, the Prison Governors’ Association and the Public and Commercial Services Union.</w:t>
            </w:r>
          </w:p>
        </w:tc>
        <w:tc>
          <w:tcPr>
            <w:tcW w:w="1417"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82" w14:textId="575903C3" w:rsidR="001C1DB8" w:rsidRDefault="42407312">
            <w:r w:rsidRPr="239BC4F4">
              <w:rPr>
                <w:sz w:val="21"/>
                <w:szCs w:val="21"/>
              </w:rPr>
              <w:t>30,733</w:t>
            </w:r>
            <w:r w:rsidR="00FB2C3B">
              <w:rPr>
                <w:sz w:val="21"/>
                <w:szCs w:val="21"/>
              </w:rPr>
              <w:t xml:space="preserve"> (headcount)</w:t>
            </w:r>
          </w:p>
          <w:p w14:paraId="6866C483" w14:textId="02AE653A" w:rsidR="001C1DB8" w:rsidRDefault="7480758F">
            <w:r w:rsidRPr="7A2E2E35">
              <w:rPr>
                <w:sz w:val="21"/>
                <w:szCs w:val="21"/>
              </w:rPr>
              <w:t>29,221</w:t>
            </w:r>
            <w:r w:rsidR="00FB2C3B">
              <w:rPr>
                <w:sz w:val="21"/>
                <w:szCs w:val="21"/>
              </w:rPr>
              <w:t xml:space="preserve"> (FTE)</w:t>
            </w:r>
          </w:p>
        </w:tc>
        <w:tc>
          <w:tcPr>
            <w:tcW w:w="1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84" w14:textId="776E26ED" w:rsidR="001C1DB8" w:rsidRDefault="00FB2C3B">
            <w:pPr>
              <w:rPr>
                <w:sz w:val="21"/>
                <w:szCs w:val="21"/>
              </w:rPr>
            </w:pPr>
            <w:r>
              <w:rPr>
                <w:sz w:val="21"/>
                <w:szCs w:val="21"/>
              </w:rPr>
              <w:t>£1.</w:t>
            </w:r>
            <w:r w:rsidR="224DEF6F" w:rsidRPr="198D24B6">
              <w:rPr>
                <w:sz w:val="21"/>
                <w:szCs w:val="21"/>
              </w:rPr>
              <w:t>66</w:t>
            </w:r>
            <w:r>
              <w:rPr>
                <w:sz w:val="21"/>
                <w:szCs w:val="21"/>
              </w:rPr>
              <w:t xml:space="preserve"> billion</w:t>
            </w:r>
          </w:p>
        </w:tc>
        <w:tc>
          <w:tcPr>
            <w:tcW w:w="1309"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85" w14:textId="77777777" w:rsidR="001C1DB8" w:rsidRDefault="00FB2C3B">
            <w:pPr>
              <w:rPr>
                <w:sz w:val="21"/>
                <w:szCs w:val="21"/>
              </w:rPr>
            </w:pPr>
            <w:r>
              <w:rPr>
                <w:sz w:val="21"/>
                <w:szCs w:val="21"/>
              </w:rPr>
              <w:t>England &amp; Wales</w:t>
            </w:r>
          </w:p>
        </w:tc>
      </w:tr>
      <w:tr w:rsidR="001C1DB8" w14:paraId="6866C48F" w14:textId="77777777" w:rsidTr="12F99BFE">
        <w:tc>
          <w:tcPr>
            <w:tcW w:w="1129"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87" w14:textId="77777777" w:rsidR="001C1DB8" w:rsidRDefault="00FB2C3B">
            <w:pPr>
              <w:rPr>
                <w:b/>
                <w:bCs/>
                <w:sz w:val="21"/>
                <w:szCs w:val="21"/>
              </w:rPr>
            </w:pPr>
            <w:r>
              <w:rPr>
                <w:b/>
                <w:bCs/>
                <w:sz w:val="21"/>
                <w:szCs w:val="21"/>
              </w:rPr>
              <w:t>PSPRB</w:t>
            </w:r>
          </w:p>
        </w:tc>
        <w:tc>
          <w:tcPr>
            <w:tcW w:w="113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88" w14:textId="77777777" w:rsidR="001C1DB8" w:rsidRDefault="00FB2C3B">
            <w:pPr>
              <w:rPr>
                <w:sz w:val="21"/>
                <w:szCs w:val="21"/>
              </w:rPr>
            </w:pPr>
            <w:r>
              <w:rPr>
                <w:sz w:val="21"/>
                <w:szCs w:val="21"/>
              </w:rPr>
              <w:t>Statutory</w:t>
            </w:r>
          </w:p>
        </w:tc>
        <w:tc>
          <w:tcPr>
            <w:tcW w:w="141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89" w14:textId="77777777" w:rsidR="001C1DB8" w:rsidRDefault="00FB2C3B">
            <w:pPr>
              <w:rPr>
                <w:sz w:val="21"/>
                <w:szCs w:val="21"/>
              </w:rPr>
            </w:pPr>
            <w:r>
              <w:rPr>
                <w:sz w:val="21"/>
                <w:szCs w:val="21"/>
              </w:rPr>
              <w:t>Department of Justice (Northern Ireland)</w:t>
            </w:r>
          </w:p>
        </w:tc>
        <w:tc>
          <w:tcPr>
            <w:tcW w:w="212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8A" w14:textId="77777777" w:rsidR="001C1DB8" w:rsidRDefault="00FB2C3B">
            <w:pPr>
              <w:rPr>
                <w:sz w:val="21"/>
                <w:szCs w:val="21"/>
              </w:rPr>
            </w:pPr>
            <w:r>
              <w:rPr>
                <w:sz w:val="21"/>
                <w:szCs w:val="21"/>
              </w:rPr>
              <w:t xml:space="preserve">Governor grades, officers, support grades and Prisoner Escorting and Court Custody Service </w:t>
            </w:r>
            <w:r>
              <w:rPr>
                <w:sz w:val="21"/>
                <w:szCs w:val="21"/>
              </w:rPr>
              <w:lastRenderedPageBreak/>
              <w:t>staff in the Northern Ireland Prison Service.</w:t>
            </w:r>
          </w:p>
        </w:tc>
        <w:tc>
          <w:tcPr>
            <w:tcW w:w="368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8B" w14:textId="77777777" w:rsidR="001C1DB8" w:rsidRDefault="00FB2C3B">
            <w:pPr>
              <w:rPr>
                <w:sz w:val="21"/>
                <w:szCs w:val="21"/>
              </w:rPr>
            </w:pPr>
            <w:r>
              <w:rPr>
                <w:sz w:val="21"/>
                <w:szCs w:val="21"/>
              </w:rPr>
              <w:lastRenderedPageBreak/>
              <w:t>Northern Ireland Prison Service, the POA (Northern Ireland) and the Prison Governors’ Association (Northern Ireland).</w:t>
            </w:r>
          </w:p>
        </w:tc>
        <w:tc>
          <w:tcPr>
            <w:tcW w:w="1417"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8C" w14:textId="7F2B0E8A" w:rsidR="001C1DB8" w:rsidRDefault="00FB2C3B">
            <w:pPr>
              <w:rPr>
                <w:sz w:val="21"/>
                <w:szCs w:val="21"/>
              </w:rPr>
            </w:pPr>
            <w:r>
              <w:rPr>
                <w:sz w:val="21"/>
                <w:szCs w:val="21"/>
              </w:rPr>
              <w:t>1,</w:t>
            </w:r>
            <w:r w:rsidR="7CCE5DD0" w:rsidRPr="290BF390">
              <w:rPr>
                <w:sz w:val="21"/>
                <w:szCs w:val="21"/>
              </w:rPr>
              <w:t>3</w:t>
            </w:r>
            <w:r w:rsidR="18D44558" w:rsidRPr="290BF390">
              <w:rPr>
                <w:sz w:val="21"/>
                <w:szCs w:val="21"/>
              </w:rPr>
              <w:t>86</w:t>
            </w:r>
            <w:r>
              <w:rPr>
                <w:sz w:val="21"/>
                <w:szCs w:val="21"/>
              </w:rPr>
              <w:t xml:space="preserve"> (headcount</w:t>
            </w:r>
            <w:r w:rsidR="3F4CBE6B" w:rsidRPr="626BD1D2">
              <w:rPr>
                <w:sz w:val="21"/>
                <w:szCs w:val="21"/>
              </w:rPr>
              <w:t>)</w:t>
            </w:r>
            <w:r w:rsidR="144DB803" w:rsidRPr="626BD1D2">
              <w:rPr>
                <w:sz w:val="21"/>
                <w:szCs w:val="21"/>
              </w:rPr>
              <w:t>,</w:t>
            </w:r>
            <w:r w:rsidR="7CCE5DD0" w:rsidRPr="626BD1D2">
              <w:rPr>
                <w:sz w:val="21"/>
                <w:szCs w:val="21"/>
              </w:rPr>
              <w:t xml:space="preserve"> </w:t>
            </w:r>
            <w:r w:rsidR="65743B64" w:rsidRPr="626BD1D2">
              <w:rPr>
                <w:sz w:val="21"/>
                <w:szCs w:val="21"/>
              </w:rPr>
              <w:t>1,</w:t>
            </w:r>
            <w:r w:rsidR="65743B64" w:rsidRPr="290BF390">
              <w:rPr>
                <w:sz w:val="21"/>
                <w:szCs w:val="21"/>
              </w:rPr>
              <w:t>3</w:t>
            </w:r>
            <w:r w:rsidR="14D3F096" w:rsidRPr="290BF390">
              <w:rPr>
                <w:sz w:val="21"/>
                <w:szCs w:val="21"/>
              </w:rPr>
              <w:t>51</w:t>
            </w:r>
            <w:r w:rsidR="65743B64" w:rsidRPr="626BD1D2">
              <w:rPr>
                <w:sz w:val="21"/>
                <w:szCs w:val="21"/>
              </w:rPr>
              <w:t xml:space="preserve"> (</w:t>
            </w:r>
            <w:r>
              <w:rPr>
                <w:sz w:val="21"/>
                <w:szCs w:val="21"/>
              </w:rPr>
              <w:t>FTE)</w:t>
            </w:r>
          </w:p>
        </w:tc>
        <w:tc>
          <w:tcPr>
            <w:tcW w:w="1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8D" w14:textId="31D9CDED" w:rsidR="001C1DB8" w:rsidRDefault="00FB2C3B">
            <w:r>
              <w:rPr>
                <w:sz w:val="21"/>
                <w:szCs w:val="21"/>
              </w:rPr>
              <w:t>£</w:t>
            </w:r>
            <w:r w:rsidR="6EF2082E" w:rsidRPr="290BF390">
              <w:rPr>
                <w:sz w:val="21"/>
                <w:szCs w:val="21"/>
              </w:rPr>
              <w:t>84.5</w:t>
            </w:r>
            <w:r>
              <w:rPr>
                <w:sz w:val="21"/>
                <w:szCs w:val="21"/>
              </w:rPr>
              <w:t xml:space="preserve"> million</w:t>
            </w:r>
          </w:p>
        </w:tc>
        <w:tc>
          <w:tcPr>
            <w:tcW w:w="1309"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8E" w14:textId="77777777" w:rsidR="001C1DB8" w:rsidRDefault="00FB2C3B">
            <w:pPr>
              <w:rPr>
                <w:sz w:val="21"/>
                <w:szCs w:val="21"/>
              </w:rPr>
            </w:pPr>
            <w:r>
              <w:rPr>
                <w:sz w:val="21"/>
                <w:szCs w:val="21"/>
              </w:rPr>
              <w:t>Northern Ireland</w:t>
            </w:r>
          </w:p>
        </w:tc>
      </w:tr>
      <w:tr w:rsidR="001C1DB8" w14:paraId="6866C4B1" w14:textId="77777777" w:rsidTr="12F99BFE">
        <w:tc>
          <w:tcPr>
            <w:tcW w:w="1129"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90" w14:textId="77777777" w:rsidR="001C1DB8" w:rsidRDefault="00FB2C3B">
            <w:r>
              <w:rPr>
                <w:rStyle w:val="normaltextrun"/>
                <w:b/>
                <w:bCs/>
                <w:sz w:val="21"/>
                <w:szCs w:val="21"/>
              </w:rPr>
              <w:t>SSRB</w:t>
            </w:r>
            <w:r>
              <w:rPr>
                <w:rStyle w:val="eop"/>
                <w:sz w:val="21"/>
                <w:szCs w:val="21"/>
              </w:rPr>
              <w:t> </w:t>
            </w:r>
          </w:p>
        </w:tc>
        <w:tc>
          <w:tcPr>
            <w:tcW w:w="113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91" w14:textId="3D80EFF9" w:rsidR="001C1DB8" w:rsidRDefault="00FB2C3B">
            <w:r>
              <w:rPr>
                <w:rStyle w:val="normaltextrun"/>
                <w:sz w:val="21"/>
                <w:szCs w:val="21"/>
              </w:rPr>
              <w:t>Non- Statutory</w:t>
            </w:r>
            <w:r>
              <w:rPr>
                <w:rStyle w:val="eop"/>
                <w:sz w:val="21"/>
                <w:szCs w:val="21"/>
              </w:rPr>
              <w:t> </w:t>
            </w:r>
          </w:p>
        </w:tc>
        <w:tc>
          <w:tcPr>
            <w:tcW w:w="141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93" w14:textId="184F08ED" w:rsidR="001C1DB8" w:rsidRDefault="00FB2C3B" w:rsidP="0053034A">
            <w:pPr>
              <w:pStyle w:val="paragraph"/>
              <w:spacing w:before="0" w:after="0"/>
              <w:textAlignment w:val="baseline"/>
            </w:pPr>
            <w:r>
              <w:rPr>
                <w:rStyle w:val="normaltextrun"/>
                <w:rFonts w:ascii="Arial" w:hAnsi="Arial" w:cs="Arial"/>
                <w:sz w:val="21"/>
                <w:szCs w:val="21"/>
              </w:rPr>
              <w:t>Cabinet Office</w:t>
            </w:r>
          </w:p>
        </w:tc>
        <w:tc>
          <w:tcPr>
            <w:tcW w:w="212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4CD9B06E" w14:textId="6F98D0F7" w:rsidR="009023A0" w:rsidRDefault="00FB2C3B">
            <w:pPr>
              <w:rPr>
                <w:rStyle w:val="normaltextrun"/>
                <w:sz w:val="21"/>
                <w:szCs w:val="21"/>
              </w:rPr>
            </w:pPr>
            <w:r>
              <w:rPr>
                <w:rStyle w:val="normaltextrun"/>
                <w:sz w:val="21"/>
                <w:szCs w:val="21"/>
              </w:rPr>
              <w:t>Senior Civil Servants</w:t>
            </w:r>
            <w:r w:rsidR="00875306">
              <w:rPr>
                <w:rStyle w:val="normaltextrun"/>
                <w:sz w:val="21"/>
                <w:szCs w:val="21"/>
              </w:rPr>
              <w:t xml:space="preserve"> (SCS)</w:t>
            </w:r>
          </w:p>
          <w:p w14:paraId="3DF694C6" w14:textId="77777777" w:rsidR="009023A0" w:rsidRDefault="009023A0">
            <w:pPr>
              <w:rPr>
                <w:rStyle w:val="normaltextrun"/>
                <w:sz w:val="21"/>
                <w:szCs w:val="21"/>
              </w:rPr>
            </w:pPr>
          </w:p>
          <w:p w14:paraId="659DA73A" w14:textId="77777777" w:rsidR="00835696" w:rsidRDefault="00835696">
            <w:pPr>
              <w:rPr>
                <w:rStyle w:val="normaltextrun"/>
                <w:sz w:val="21"/>
                <w:szCs w:val="21"/>
              </w:rPr>
            </w:pPr>
          </w:p>
          <w:p w14:paraId="2A25E655" w14:textId="0B08391A" w:rsidR="009023A0" w:rsidRDefault="00FB2C3B">
            <w:pPr>
              <w:rPr>
                <w:rStyle w:val="normaltextrun"/>
                <w:sz w:val="21"/>
                <w:szCs w:val="21"/>
              </w:rPr>
            </w:pPr>
            <w:r>
              <w:rPr>
                <w:rStyle w:val="normaltextrun"/>
                <w:sz w:val="21"/>
                <w:szCs w:val="21"/>
              </w:rPr>
              <w:t>Senior Officers</w:t>
            </w:r>
            <w:r w:rsidR="00E4764D">
              <w:rPr>
                <w:rStyle w:val="normaltextrun"/>
                <w:sz w:val="21"/>
                <w:szCs w:val="21"/>
              </w:rPr>
              <w:t xml:space="preserve"> of</w:t>
            </w:r>
            <w:r>
              <w:rPr>
                <w:rStyle w:val="normaltextrun"/>
                <w:sz w:val="21"/>
                <w:szCs w:val="21"/>
              </w:rPr>
              <w:t xml:space="preserve"> the </w:t>
            </w:r>
            <w:r w:rsidR="00E4764D">
              <w:rPr>
                <w:rStyle w:val="normaltextrun"/>
                <w:sz w:val="21"/>
                <w:szCs w:val="21"/>
              </w:rPr>
              <w:t>Armed Forces</w:t>
            </w:r>
            <w:r w:rsidR="00114A9E">
              <w:rPr>
                <w:rStyle w:val="normaltextrun"/>
                <w:sz w:val="21"/>
                <w:szCs w:val="21"/>
              </w:rPr>
              <w:t xml:space="preserve"> </w:t>
            </w:r>
          </w:p>
          <w:p w14:paraId="1D32492C" w14:textId="77777777" w:rsidR="009023A0" w:rsidRDefault="009023A0">
            <w:pPr>
              <w:rPr>
                <w:rStyle w:val="normaltextrun"/>
                <w:sz w:val="21"/>
                <w:szCs w:val="21"/>
              </w:rPr>
            </w:pPr>
          </w:p>
          <w:p w14:paraId="4CC6DBAF" w14:textId="2C4AE623" w:rsidR="009023A0" w:rsidRDefault="00E4764D">
            <w:pPr>
              <w:rPr>
                <w:rStyle w:val="normaltextrun"/>
                <w:sz w:val="21"/>
                <w:szCs w:val="21"/>
              </w:rPr>
            </w:pPr>
            <w:r>
              <w:rPr>
                <w:rStyle w:val="normaltextrun"/>
                <w:sz w:val="21"/>
                <w:szCs w:val="21"/>
              </w:rPr>
              <w:t>Salaried judicial officeholders</w:t>
            </w:r>
          </w:p>
          <w:p w14:paraId="6B9D7054" w14:textId="77777777" w:rsidR="009023A0" w:rsidRDefault="009023A0">
            <w:pPr>
              <w:rPr>
                <w:rStyle w:val="normaltextrun"/>
                <w:sz w:val="21"/>
                <w:szCs w:val="21"/>
              </w:rPr>
            </w:pPr>
          </w:p>
          <w:p w14:paraId="025DBB72" w14:textId="77777777" w:rsidR="003D131C" w:rsidRDefault="003D131C">
            <w:pPr>
              <w:rPr>
                <w:rStyle w:val="normaltextrun"/>
                <w:sz w:val="21"/>
                <w:szCs w:val="21"/>
              </w:rPr>
            </w:pPr>
          </w:p>
          <w:p w14:paraId="613FE079" w14:textId="77777777" w:rsidR="003D131C" w:rsidRDefault="003D131C">
            <w:pPr>
              <w:rPr>
                <w:rStyle w:val="normaltextrun"/>
                <w:sz w:val="21"/>
                <w:szCs w:val="21"/>
              </w:rPr>
            </w:pPr>
          </w:p>
          <w:p w14:paraId="58C3224E" w14:textId="77777777" w:rsidR="003D131C" w:rsidRDefault="003D131C">
            <w:pPr>
              <w:rPr>
                <w:rStyle w:val="normaltextrun"/>
                <w:sz w:val="21"/>
                <w:szCs w:val="21"/>
              </w:rPr>
            </w:pPr>
          </w:p>
          <w:p w14:paraId="752A6290" w14:textId="77777777" w:rsidR="003D131C" w:rsidRDefault="003D131C">
            <w:pPr>
              <w:rPr>
                <w:rStyle w:val="normaltextrun"/>
                <w:sz w:val="21"/>
                <w:szCs w:val="21"/>
              </w:rPr>
            </w:pPr>
          </w:p>
          <w:p w14:paraId="7919261C" w14:textId="77777777" w:rsidR="003D131C" w:rsidRDefault="003D131C">
            <w:pPr>
              <w:rPr>
                <w:rStyle w:val="normaltextrun"/>
                <w:sz w:val="21"/>
                <w:szCs w:val="21"/>
              </w:rPr>
            </w:pPr>
          </w:p>
          <w:p w14:paraId="70BF159B" w14:textId="77777777" w:rsidR="003D131C" w:rsidRDefault="003D131C">
            <w:pPr>
              <w:rPr>
                <w:rStyle w:val="normaltextrun"/>
                <w:sz w:val="21"/>
                <w:szCs w:val="21"/>
              </w:rPr>
            </w:pPr>
          </w:p>
          <w:p w14:paraId="015ED7CD" w14:textId="77777777" w:rsidR="003D131C" w:rsidRDefault="003D131C">
            <w:pPr>
              <w:rPr>
                <w:rStyle w:val="normaltextrun"/>
                <w:sz w:val="21"/>
                <w:szCs w:val="21"/>
              </w:rPr>
            </w:pPr>
          </w:p>
          <w:p w14:paraId="51FEAA01" w14:textId="77777777" w:rsidR="003D131C" w:rsidRDefault="003D131C">
            <w:pPr>
              <w:rPr>
                <w:rStyle w:val="normaltextrun"/>
                <w:sz w:val="21"/>
                <w:szCs w:val="21"/>
              </w:rPr>
            </w:pPr>
          </w:p>
          <w:p w14:paraId="6D97F4DA" w14:textId="77777777" w:rsidR="003D131C" w:rsidRDefault="003D131C">
            <w:pPr>
              <w:rPr>
                <w:rStyle w:val="normaltextrun"/>
                <w:sz w:val="21"/>
                <w:szCs w:val="21"/>
              </w:rPr>
            </w:pPr>
          </w:p>
          <w:p w14:paraId="4EADC423" w14:textId="77777777" w:rsidR="003D131C" w:rsidRDefault="003D131C">
            <w:pPr>
              <w:rPr>
                <w:rStyle w:val="normaltextrun"/>
                <w:sz w:val="21"/>
                <w:szCs w:val="21"/>
              </w:rPr>
            </w:pPr>
          </w:p>
          <w:p w14:paraId="2CD32645" w14:textId="5EA3D84C" w:rsidR="00E4764D" w:rsidRDefault="00FB2C3B">
            <w:pPr>
              <w:rPr>
                <w:rStyle w:val="normaltextrun"/>
                <w:sz w:val="21"/>
                <w:szCs w:val="21"/>
              </w:rPr>
            </w:pPr>
            <w:r>
              <w:rPr>
                <w:rStyle w:val="normaltextrun"/>
                <w:sz w:val="21"/>
                <w:szCs w:val="21"/>
              </w:rPr>
              <w:t>Senior Leaders in the NHS (Executive and Senior Managers and Very Senior Managers</w:t>
            </w:r>
            <w:r w:rsidR="008C4798">
              <w:rPr>
                <w:rStyle w:val="normaltextrun"/>
                <w:sz w:val="21"/>
                <w:szCs w:val="21"/>
              </w:rPr>
              <w:t>)</w:t>
            </w:r>
          </w:p>
          <w:p w14:paraId="24C2828F" w14:textId="77777777" w:rsidR="009023A0" w:rsidRDefault="009023A0">
            <w:pPr>
              <w:rPr>
                <w:rStyle w:val="normaltextrun"/>
                <w:sz w:val="21"/>
                <w:szCs w:val="21"/>
              </w:rPr>
            </w:pPr>
          </w:p>
          <w:p w14:paraId="2258E614" w14:textId="77777777" w:rsidR="009A51BC" w:rsidRDefault="009A51BC">
            <w:pPr>
              <w:rPr>
                <w:rStyle w:val="normaltextrun"/>
                <w:sz w:val="21"/>
                <w:szCs w:val="21"/>
              </w:rPr>
            </w:pPr>
          </w:p>
          <w:p w14:paraId="2D540BE1" w14:textId="77777777" w:rsidR="009A51BC" w:rsidRDefault="009A51BC">
            <w:pPr>
              <w:rPr>
                <w:rStyle w:val="normaltextrun"/>
                <w:sz w:val="21"/>
                <w:szCs w:val="21"/>
              </w:rPr>
            </w:pPr>
          </w:p>
          <w:p w14:paraId="70BF37A5" w14:textId="77777777" w:rsidR="009A51BC" w:rsidRDefault="009A51BC">
            <w:pPr>
              <w:rPr>
                <w:rStyle w:val="normaltextrun"/>
                <w:sz w:val="21"/>
                <w:szCs w:val="21"/>
              </w:rPr>
            </w:pPr>
          </w:p>
          <w:p w14:paraId="7D31D442" w14:textId="77777777" w:rsidR="009A51BC" w:rsidRDefault="009A51BC">
            <w:pPr>
              <w:rPr>
                <w:rStyle w:val="normaltextrun"/>
                <w:sz w:val="21"/>
                <w:szCs w:val="21"/>
              </w:rPr>
            </w:pPr>
          </w:p>
          <w:p w14:paraId="191701F2" w14:textId="77777777" w:rsidR="009A51BC" w:rsidRDefault="009A51BC">
            <w:pPr>
              <w:rPr>
                <w:rStyle w:val="normaltextrun"/>
                <w:sz w:val="21"/>
                <w:szCs w:val="21"/>
              </w:rPr>
            </w:pPr>
          </w:p>
          <w:p w14:paraId="7D75B0F9" w14:textId="4220FA8D" w:rsidR="00E4764D" w:rsidRDefault="005D723D">
            <w:pPr>
              <w:rPr>
                <w:rStyle w:val="normaltextrun"/>
                <w:sz w:val="21"/>
                <w:szCs w:val="21"/>
              </w:rPr>
            </w:pPr>
            <w:r>
              <w:rPr>
                <w:rStyle w:val="normaltextrun"/>
                <w:sz w:val="21"/>
                <w:szCs w:val="21"/>
              </w:rPr>
              <w:t>Chief Police Officers</w:t>
            </w:r>
            <w:r w:rsidR="00252122">
              <w:rPr>
                <w:rStyle w:val="normaltextrun"/>
                <w:sz w:val="21"/>
                <w:szCs w:val="21"/>
              </w:rPr>
              <w:t xml:space="preserve"> </w:t>
            </w:r>
            <w:r w:rsidR="00875306">
              <w:rPr>
                <w:rStyle w:val="normaltextrun"/>
                <w:sz w:val="21"/>
                <w:szCs w:val="21"/>
              </w:rPr>
              <w:t xml:space="preserve">(CPOs) </w:t>
            </w:r>
            <w:r w:rsidR="00252122">
              <w:rPr>
                <w:rStyle w:val="normaltextrun"/>
                <w:sz w:val="21"/>
                <w:szCs w:val="21"/>
              </w:rPr>
              <w:t>in England, Wales and Northern Ireland</w:t>
            </w:r>
          </w:p>
          <w:p w14:paraId="222D2AEE" w14:textId="77777777" w:rsidR="009023A0" w:rsidRDefault="009023A0">
            <w:pPr>
              <w:rPr>
                <w:rStyle w:val="normaltextrun"/>
                <w:sz w:val="21"/>
                <w:szCs w:val="21"/>
              </w:rPr>
            </w:pPr>
          </w:p>
          <w:p w14:paraId="74D2706A" w14:textId="77777777" w:rsidR="009A51BC" w:rsidRDefault="009A51BC">
            <w:pPr>
              <w:rPr>
                <w:rStyle w:val="normaltextrun"/>
                <w:sz w:val="21"/>
                <w:szCs w:val="21"/>
              </w:rPr>
            </w:pPr>
          </w:p>
          <w:p w14:paraId="3E2EC892" w14:textId="77777777" w:rsidR="009A51BC" w:rsidRDefault="009A51BC">
            <w:pPr>
              <w:rPr>
                <w:rStyle w:val="normaltextrun"/>
                <w:sz w:val="21"/>
                <w:szCs w:val="21"/>
              </w:rPr>
            </w:pPr>
          </w:p>
          <w:p w14:paraId="2D66CE96" w14:textId="77777777" w:rsidR="009A51BC" w:rsidRDefault="009A51BC">
            <w:pPr>
              <w:rPr>
                <w:rStyle w:val="normaltextrun"/>
                <w:sz w:val="21"/>
                <w:szCs w:val="21"/>
              </w:rPr>
            </w:pPr>
          </w:p>
          <w:p w14:paraId="6866C494" w14:textId="290C4D4D" w:rsidR="001C1DB8" w:rsidRDefault="00FB2C3B">
            <w:r>
              <w:rPr>
                <w:rStyle w:val="normaltextrun"/>
                <w:sz w:val="21"/>
                <w:szCs w:val="21"/>
              </w:rPr>
              <w:t>Police and Crime Commissioners</w:t>
            </w:r>
            <w:r w:rsidR="00875306">
              <w:rPr>
                <w:rStyle w:val="normaltextrun"/>
                <w:sz w:val="21"/>
                <w:szCs w:val="21"/>
              </w:rPr>
              <w:t xml:space="preserve"> (PCCs)</w:t>
            </w:r>
          </w:p>
        </w:tc>
        <w:tc>
          <w:tcPr>
            <w:tcW w:w="368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7F16DAB8" w14:textId="4D8B35CC" w:rsidR="009A294E" w:rsidRDefault="008B3A7A">
            <w:pPr>
              <w:rPr>
                <w:rStyle w:val="normaltextrun"/>
                <w:sz w:val="21"/>
                <w:szCs w:val="21"/>
              </w:rPr>
            </w:pPr>
            <w:r>
              <w:rPr>
                <w:rStyle w:val="normaltextrun"/>
                <w:i/>
                <w:iCs/>
                <w:sz w:val="21"/>
                <w:szCs w:val="21"/>
              </w:rPr>
              <w:lastRenderedPageBreak/>
              <w:t xml:space="preserve">For the </w:t>
            </w:r>
            <w:r w:rsidR="00916169">
              <w:rPr>
                <w:rStyle w:val="normaltextrun"/>
                <w:i/>
                <w:iCs/>
                <w:sz w:val="21"/>
                <w:szCs w:val="21"/>
              </w:rPr>
              <w:t>SCS</w:t>
            </w:r>
            <w:r>
              <w:rPr>
                <w:rStyle w:val="normaltextrun"/>
                <w:i/>
                <w:iCs/>
                <w:sz w:val="21"/>
                <w:szCs w:val="21"/>
              </w:rPr>
              <w:t xml:space="preserve">: </w:t>
            </w:r>
            <w:r w:rsidR="00FB2C3B">
              <w:rPr>
                <w:rStyle w:val="normaltextrun"/>
                <w:sz w:val="21"/>
                <w:szCs w:val="21"/>
              </w:rPr>
              <w:t xml:space="preserve">Cabinet Office, </w:t>
            </w:r>
            <w:r w:rsidR="005D4330">
              <w:rPr>
                <w:rStyle w:val="normaltextrun"/>
                <w:sz w:val="21"/>
                <w:szCs w:val="21"/>
              </w:rPr>
              <w:t>Civil Service Commission</w:t>
            </w:r>
            <w:r w:rsidR="00A42307">
              <w:rPr>
                <w:rStyle w:val="normaltextrun"/>
                <w:sz w:val="21"/>
                <w:szCs w:val="21"/>
              </w:rPr>
              <w:t xml:space="preserve"> (CSC)</w:t>
            </w:r>
            <w:r w:rsidR="005D4330">
              <w:rPr>
                <w:rStyle w:val="normaltextrun"/>
                <w:sz w:val="21"/>
                <w:szCs w:val="21"/>
              </w:rPr>
              <w:t>, FDA</w:t>
            </w:r>
            <w:r w:rsidR="00A42307">
              <w:rPr>
                <w:rStyle w:val="normaltextrun"/>
                <w:sz w:val="21"/>
                <w:szCs w:val="21"/>
              </w:rPr>
              <w:t xml:space="preserve"> and</w:t>
            </w:r>
            <w:r w:rsidR="005D4330">
              <w:rPr>
                <w:rStyle w:val="normaltextrun"/>
                <w:sz w:val="21"/>
                <w:szCs w:val="21"/>
              </w:rPr>
              <w:t xml:space="preserve"> Prospect</w:t>
            </w:r>
          </w:p>
          <w:p w14:paraId="54CFC122" w14:textId="77777777" w:rsidR="009A294E" w:rsidRDefault="009A294E">
            <w:pPr>
              <w:rPr>
                <w:rStyle w:val="normaltextrun"/>
                <w:sz w:val="21"/>
                <w:szCs w:val="21"/>
              </w:rPr>
            </w:pPr>
          </w:p>
          <w:p w14:paraId="3053B4C1" w14:textId="57FE4642" w:rsidR="009A294E" w:rsidRDefault="009A294E">
            <w:pPr>
              <w:rPr>
                <w:rStyle w:val="normaltextrun"/>
                <w:sz w:val="21"/>
                <w:szCs w:val="21"/>
              </w:rPr>
            </w:pPr>
            <w:r>
              <w:rPr>
                <w:rStyle w:val="normaltextrun"/>
                <w:i/>
                <w:iCs/>
                <w:sz w:val="21"/>
                <w:szCs w:val="21"/>
              </w:rPr>
              <w:t xml:space="preserve">For Senior Officers of the Armed Forces: </w:t>
            </w:r>
            <w:r w:rsidR="00FB2C3B">
              <w:rPr>
                <w:rStyle w:val="normaltextrun"/>
                <w:sz w:val="21"/>
                <w:szCs w:val="21"/>
              </w:rPr>
              <w:t>Ministry of Defence</w:t>
            </w:r>
            <w:r w:rsidR="00A42307">
              <w:rPr>
                <w:rStyle w:val="normaltextrun"/>
                <w:sz w:val="21"/>
                <w:szCs w:val="21"/>
              </w:rPr>
              <w:t xml:space="preserve"> (MoD)</w:t>
            </w:r>
          </w:p>
          <w:p w14:paraId="025614D4" w14:textId="77777777" w:rsidR="009A294E" w:rsidRDefault="009A294E">
            <w:pPr>
              <w:rPr>
                <w:rStyle w:val="normaltextrun"/>
                <w:sz w:val="21"/>
                <w:szCs w:val="21"/>
              </w:rPr>
            </w:pPr>
          </w:p>
          <w:p w14:paraId="17CE1CE0" w14:textId="50DA3029" w:rsidR="009A294E" w:rsidRDefault="009A294E">
            <w:pPr>
              <w:rPr>
                <w:rStyle w:val="normaltextrun"/>
                <w:sz w:val="21"/>
                <w:szCs w:val="21"/>
              </w:rPr>
            </w:pPr>
            <w:r>
              <w:rPr>
                <w:rStyle w:val="normaltextrun"/>
                <w:i/>
                <w:iCs/>
                <w:sz w:val="21"/>
                <w:szCs w:val="21"/>
              </w:rPr>
              <w:t xml:space="preserve">For salaried judicial officeholders: </w:t>
            </w:r>
            <w:r w:rsidR="00FB2C3B">
              <w:rPr>
                <w:rStyle w:val="normaltextrun"/>
                <w:sz w:val="21"/>
                <w:szCs w:val="21"/>
              </w:rPr>
              <w:t>Ministry of Justice</w:t>
            </w:r>
            <w:r w:rsidR="00A42307">
              <w:rPr>
                <w:rStyle w:val="normaltextrun"/>
                <w:sz w:val="21"/>
                <w:szCs w:val="21"/>
              </w:rPr>
              <w:t xml:space="preserve"> (MoJ),</w:t>
            </w:r>
            <w:r w:rsidR="00133883">
              <w:rPr>
                <w:rStyle w:val="normaltextrun"/>
                <w:sz w:val="21"/>
                <w:szCs w:val="21"/>
              </w:rPr>
              <w:t xml:space="preserve"> President of the Supreme Court of the United Kingdom,</w:t>
            </w:r>
            <w:r w:rsidR="00A42307">
              <w:rPr>
                <w:rStyle w:val="normaltextrun"/>
                <w:sz w:val="21"/>
                <w:szCs w:val="21"/>
              </w:rPr>
              <w:t xml:space="preserve"> </w:t>
            </w:r>
            <w:r w:rsidR="00832EE7" w:rsidRPr="36083F43">
              <w:rPr>
                <w:rStyle w:val="normaltextrun"/>
                <w:sz w:val="21"/>
                <w:szCs w:val="21"/>
              </w:rPr>
              <w:t>Lady</w:t>
            </w:r>
            <w:r w:rsidR="00832EE7">
              <w:rPr>
                <w:rStyle w:val="normaltextrun"/>
                <w:sz w:val="21"/>
                <w:szCs w:val="21"/>
              </w:rPr>
              <w:t xml:space="preserve"> Chief Justice of England &amp; Wales, Lord President of the Court of Session (Scotland), Lady Chief Justice of Northern Ireland, Judicial Appointments Commission (England and Wales), Judicial Appointments Board for Scotland, Northern Ireland Judicial Appointments Commission, </w:t>
            </w:r>
            <w:r w:rsidR="00832EE7" w:rsidRPr="1A2CF5F8">
              <w:rPr>
                <w:rStyle w:val="normaltextrun"/>
                <w:sz w:val="21"/>
                <w:szCs w:val="21"/>
              </w:rPr>
              <w:t xml:space="preserve">Scottish Courts and Tribunals Service, Northern Ireland Courts and Tribunals Service, </w:t>
            </w:r>
            <w:r w:rsidR="00656969">
              <w:rPr>
                <w:rStyle w:val="normaltextrun"/>
                <w:sz w:val="21"/>
                <w:szCs w:val="21"/>
              </w:rPr>
              <w:t xml:space="preserve">various </w:t>
            </w:r>
            <w:r w:rsidR="00832EE7">
              <w:rPr>
                <w:rStyle w:val="normaltextrun"/>
                <w:sz w:val="21"/>
                <w:szCs w:val="21"/>
              </w:rPr>
              <w:t>judicial associations</w:t>
            </w:r>
          </w:p>
          <w:p w14:paraId="78F04F39" w14:textId="3C227D26" w:rsidR="009A294E" w:rsidRDefault="009A294E">
            <w:pPr>
              <w:rPr>
                <w:rStyle w:val="normaltextrun"/>
                <w:sz w:val="21"/>
                <w:szCs w:val="21"/>
              </w:rPr>
            </w:pPr>
            <w:r>
              <w:rPr>
                <w:rStyle w:val="normaltextrun"/>
                <w:i/>
                <w:iCs/>
                <w:sz w:val="21"/>
                <w:szCs w:val="21"/>
              </w:rPr>
              <w:t xml:space="preserve">For Senior Leaders in the NHS: </w:t>
            </w:r>
            <w:r w:rsidR="00FB2C3B">
              <w:rPr>
                <w:rStyle w:val="normaltextrun"/>
                <w:sz w:val="21"/>
                <w:szCs w:val="21"/>
              </w:rPr>
              <w:t>Department of Health and Social Care</w:t>
            </w:r>
            <w:r w:rsidR="000F4CA4">
              <w:rPr>
                <w:rStyle w:val="normaltextrun"/>
                <w:sz w:val="21"/>
                <w:szCs w:val="21"/>
              </w:rPr>
              <w:t xml:space="preserve"> (DHSC)</w:t>
            </w:r>
            <w:r w:rsidR="00FB2C3B">
              <w:rPr>
                <w:rStyle w:val="normaltextrun"/>
                <w:sz w:val="21"/>
                <w:szCs w:val="21"/>
              </w:rPr>
              <w:t xml:space="preserve">, NHS England, </w:t>
            </w:r>
            <w:r w:rsidR="00832EE7">
              <w:rPr>
                <w:rStyle w:val="normaltextrun"/>
                <w:sz w:val="21"/>
                <w:szCs w:val="21"/>
              </w:rPr>
              <w:t xml:space="preserve">NHS </w:t>
            </w:r>
            <w:r w:rsidR="00832EE7">
              <w:rPr>
                <w:rStyle w:val="normaltextrun"/>
                <w:sz w:val="21"/>
                <w:szCs w:val="21"/>
              </w:rPr>
              <w:lastRenderedPageBreak/>
              <w:t>Providers, Managers in Partnership (</w:t>
            </w:r>
            <w:proofErr w:type="spellStart"/>
            <w:r w:rsidR="00832EE7">
              <w:rPr>
                <w:rStyle w:val="normaltextrun"/>
                <w:sz w:val="21"/>
                <w:szCs w:val="21"/>
              </w:rPr>
              <w:t>MiP</w:t>
            </w:r>
            <w:proofErr w:type="spellEnd"/>
            <w:r w:rsidR="00832EE7">
              <w:rPr>
                <w:rStyle w:val="normaltextrun"/>
                <w:sz w:val="21"/>
                <w:szCs w:val="21"/>
              </w:rPr>
              <w:t>)</w:t>
            </w:r>
          </w:p>
          <w:p w14:paraId="3F3F1610" w14:textId="77777777" w:rsidR="009A294E" w:rsidRDefault="009A294E">
            <w:pPr>
              <w:rPr>
                <w:rStyle w:val="normaltextrun"/>
                <w:sz w:val="21"/>
                <w:szCs w:val="21"/>
              </w:rPr>
            </w:pPr>
          </w:p>
          <w:p w14:paraId="043C6747" w14:textId="77777777" w:rsidR="009A51BC" w:rsidRDefault="009A51BC" w:rsidP="0029047E">
            <w:pPr>
              <w:rPr>
                <w:rStyle w:val="normaltextrun"/>
                <w:i/>
                <w:iCs/>
                <w:sz w:val="21"/>
                <w:szCs w:val="21"/>
              </w:rPr>
            </w:pPr>
          </w:p>
          <w:p w14:paraId="0B91366D" w14:textId="77777777" w:rsidR="009A51BC" w:rsidRDefault="009A51BC" w:rsidP="0029047E">
            <w:pPr>
              <w:rPr>
                <w:rStyle w:val="normaltextrun"/>
                <w:i/>
                <w:iCs/>
                <w:sz w:val="21"/>
                <w:szCs w:val="21"/>
              </w:rPr>
            </w:pPr>
          </w:p>
          <w:p w14:paraId="1FE1841F" w14:textId="77777777" w:rsidR="009A51BC" w:rsidRDefault="009A51BC" w:rsidP="0029047E">
            <w:pPr>
              <w:rPr>
                <w:rStyle w:val="normaltextrun"/>
                <w:i/>
                <w:iCs/>
                <w:sz w:val="21"/>
                <w:szCs w:val="21"/>
              </w:rPr>
            </w:pPr>
          </w:p>
          <w:p w14:paraId="36F23660" w14:textId="77777777" w:rsidR="009A51BC" w:rsidRDefault="009A51BC" w:rsidP="0029047E">
            <w:pPr>
              <w:rPr>
                <w:rStyle w:val="normaltextrun"/>
                <w:i/>
                <w:iCs/>
                <w:sz w:val="21"/>
                <w:szCs w:val="21"/>
              </w:rPr>
            </w:pPr>
          </w:p>
          <w:p w14:paraId="1BC606A0" w14:textId="77777777" w:rsidR="009A51BC" w:rsidRDefault="009A51BC" w:rsidP="0029047E">
            <w:pPr>
              <w:rPr>
                <w:rStyle w:val="normaltextrun"/>
                <w:i/>
                <w:iCs/>
                <w:sz w:val="21"/>
                <w:szCs w:val="21"/>
              </w:rPr>
            </w:pPr>
          </w:p>
          <w:p w14:paraId="40EA3F6B" w14:textId="5FAEB277" w:rsidR="001C1DB8" w:rsidRDefault="009A294E" w:rsidP="0029047E">
            <w:pPr>
              <w:rPr>
                <w:rStyle w:val="normaltextrun"/>
                <w:sz w:val="21"/>
                <w:szCs w:val="21"/>
              </w:rPr>
            </w:pPr>
            <w:r>
              <w:rPr>
                <w:rStyle w:val="normaltextrun"/>
                <w:i/>
                <w:iCs/>
                <w:sz w:val="21"/>
                <w:szCs w:val="21"/>
              </w:rPr>
              <w:t xml:space="preserve">For </w:t>
            </w:r>
            <w:r w:rsidR="0029047E">
              <w:rPr>
                <w:rStyle w:val="normaltextrun"/>
                <w:i/>
                <w:iCs/>
                <w:sz w:val="21"/>
                <w:szCs w:val="21"/>
              </w:rPr>
              <w:t>CPOs</w:t>
            </w:r>
            <w:r>
              <w:rPr>
                <w:rStyle w:val="normaltextrun"/>
                <w:i/>
                <w:iCs/>
                <w:sz w:val="21"/>
                <w:szCs w:val="21"/>
              </w:rPr>
              <w:t xml:space="preserve">: </w:t>
            </w:r>
            <w:r w:rsidR="00FB2C3B">
              <w:rPr>
                <w:rStyle w:val="normaltextrun"/>
                <w:sz w:val="21"/>
                <w:szCs w:val="21"/>
              </w:rPr>
              <w:t xml:space="preserve">Home Office, Association of Police and Crime Commissioners, </w:t>
            </w:r>
            <w:r w:rsidR="00A43AE1">
              <w:rPr>
                <w:rStyle w:val="normaltextrun"/>
                <w:sz w:val="21"/>
                <w:szCs w:val="21"/>
              </w:rPr>
              <w:t xml:space="preserve">National </w:t>
            </w:r>
            <w:r w:rsidR="00507D8C">
              <w:rPr>
                <w:rStyle w:val="normaltextrun"/>
                <w:sz w:val="21"/>
                <w:szCs w:val="21"/>
              </w:rPr>
              <w:t>Police Chiefs Council, Chief Police Officers Staff Association</w:t>
            </w:r>
            <w:r w:rsidR="005B3863">
              <w:rPr>
                <w:rStyle w:val="normaltextrun"/>
                <w:sz w:val="21"/>
                <w:szCs w:val="21"/>
              </w:rPr>
              <w:t>, Northern Ireland Department of Justice, Northern Ireland Policing Board</w:t>
            </w:r>
          </w:p>
          <w:p w14:paraId="2812319A" w14:textId="77777777" w:rsidR="0029047E" w:rsidRDefault="0029047E" w:rsidP="0029047E">
            <w:pPr>
              <w:rPr>
                <w:rStyle w:val="normaltextrun"/>
                <w:sz w:val="21"/>
                <w:szCs w:val="21"/>
              </w:rPr>
            </w:pPr>
          </w:p>
          <w:p w14:paraId="6BE532AA" w14:textId="5FBCB294" w:rsidR="0029047E" w:rsidRDefault="0029047E" w:rsidP="0029047E">
            <w:pPr>
              <w:rPr>
                <w:rStyle w:val="normaltextrun"/>
                <w:sz w:val="21"/>
                <w:szCs w:val="21"/>
              </w:rPr>
            </w:pPr>
            <w:r>
              <w:rPr>
                <w:rStyle w:val="normaltextrun"/>
                <w:i/>
                <w:iCs/>
                <w:sz w:val="21"/>
                <w:szCs w:val="21"/>
              </w:rPr>
              <w:t xml:space="preserve">For PCCs: </w:t>
            </w:r>
            <w:r>
              <w:rPr>
                <w:rStyle w:val="normaltextrun"/>
                <w:sz w:val="21"/>
                <w:szCs w:val="21"/>
              </w:rPr>
              <w:t>Home Office, Association of Police and Crime Commissioners, National Police Chiefs Council, Chief Police Officers Staff Association</w:t>
            </w:r>
          </w:p>
          <w:p w14:paraId="6866C495" w14:textId="319F71A8" w:rsidR="001C1DB8" w:rsidRDefault="001C1DB8"/>
        </w:tc>
        <w:tc>
          <w:tcPr>
            <w:tcW w:w="1417"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1C483873" w14:textId="339AD5BF" w:rsidR="00FC1858" w:rsidRPr="007A5552" w:rsidRDefault="00FB2C3B">
            <w:pPr>
              <w:pStyle w:val="paragraph"/>
              <w:spacing w:before="0" w:after="0"/>
              <w:textAlignment w:val="baseline"/>
              <w:rPr>
                <w:rStyle w:val="normaltextrun"/>
                <w:rFonts w:ascii="Arial" w:hAnsi="Arial" w:cs="Arial"/>
                <w:sz w:val="21"/>
                <w:szCs w:val="21"/>
              </w:rPr>
            </w:pPr>
            <w:r w:rsidRPr="007A5552">
              <w:rPr>
                <w:rStyle w:val="normaltextrun"/>
                <w:rFonts w:ascii="Arial" w:hAnsi="Arial" w:cs="Arial"/>
                <w:sz w:val="21"/>
                <w:szCs w:val="21"/>
              </w:rPr>
              <w:lastRenderedPageBreak/>
              <w:t>SCS</w:t>
            </w:r>
            <w:r w:rsidR="007634CB" w:rsidRPr="007A5552">
              <w:rPr>
                <w:rStyle w:val="normaltextrun"/>
                <w:rFonts w:ascii="Arial" w:hAnsi="Arial" w:cs="Arial"/>
                <w:sz w:val="21"/>
                <w:szCs w:val="21"/>
              </w:rPr>
              <w:t>:</w:t>
            </w:r>
            <w:r w:rsidR="00F71E7C" w:rsidRPr="007A5552">
              <w:rPr>
                <w:rStyle w:val="normaltextrun"/>
                <w:rFonts w:ascii="Arial" w:hAnsi="Arial" w:cs="Arial"/>
                <w:sz w:val="21"/>
                <w:szCs w:val="21"/>
              </w:rPr>
              <w:t>6,685</w:t>
            </w:r>
          </w:p>
          <w:p w14:paraId="7DDADA16" w14:textId="107965EF" w:rsidR="009A51BE" w:rsidRPr="007A5552" w:rsidRDefault="009A51BE">
            <w:pPr>
              <w:pStyle w:val="paragraph"/>
              <w:spacing w:before="0" w:after="0"/>
              <w:textAlignment w:val="baseline"/>
              <w:rPr>
                <w:rStyle w:val="normaltextrun"/>
                <w:rFonts w:ascii="Arial" w:hAnsi="Arial" w:cs="Arial"/>
                <w:sz w:val="21"/>
                <w:szCs w:val="21"/>
              </w:rPr>
            </w:pPr>
            <w:r w:rsidRPr="007A5552">
              <w:rPr>
                <w:rStyle w:val="normaltextrun"/>
                <w:rFonts w:ascii="Arial" w:hAnsi="Arial" w:cs="Arial"/>
                <w:sz w:val="21"/>
                <w:szCs w:val="21"/>
              </w:rPr>
              <w:t>(headcount)</w:t>
            </w:r>
          </w:p>
          <w:p w14:paraId="6866C496" w14:textId="0BD7EE1B" w:rsidR="001C1DB8" w:rsidRPr="007A5552" w:rsidRDefault="213AE234">
            <w:pPr>
              <w:pStyle w:val="paragraph"/>
              <w:spacing w:before="0" w:after="0"/>
              <w:textAlignment w:val="baseline"/>
              <w:rPr>
                <w:rFonts w:ascii="Arial" w:hAnsi="Arial" w:cs="Arial"/>
              </w:rPr>
            </w:pPr>
            <w:r w:rsidRPr="007A5552">
              <w:rPr>
                <w:rStyle w:val="normaltextrun"/>
                <w:rFonts w:ascii="Arial" w:hAnsi="Arial" w:cs="Arial"/>
                <w:sz w:val="21"/>
                <w:szCs w:val="21"/>
              </w:rPr>
              <w:t xml:space="preserve"> </w:t>
            </w:r>
            <w:r w:rsidR="00FB2C3B" w:rsidRPr="007A5552">
              <w:rPr>
                <w:rStyle w:val="normaltextrun"/>
                <w:rFonts w:ascii="Arial" w:hAnsi="Arial" w:cs="Arial"/>
                <w:sz w:val="21"/>
                <w:szCs w:val="21"/>
              </w:rPr>
              <w:t>6,</w:t>
            </w:r>
            <w:r w:rsidR="248DE837" w:rsidRPr="007A5552">
              <w:rPr>
                <w:rStyle w:val="normaltextrun"/>
                <w:rFonts w:ascii="Arial" w:hAnsi="Arial" w:cs="Arial"/>
                <w:sz w:val="21"/>
                <w:szCs w:val="21"/>
              </w:rPr>
              <w:t>5</w:t>
            </w:r>
            <w:r w:rsidR="6B57A23D" w:rsidRPr="007A5552">
              <w:rPr>
                <w:rStyle w:val="normaltextrun"/>
                <w:rFonts w:ascii="Arial" w:hAnsi="Arial" w:cs="Arial"/>
                <w:sz w:val="21"/>
                <w:szCs w:val="21"/>
              </w:rPr>
              <w:t>15 (FTE</w:t>
            </w:r>
            <w:proofErr w:type="gramStart"/>
            <w:r w:rsidR="6B57A23D" w:rsidRPr="007A5552">
              <w:rPr>
                <w:rStyle w:val="normaltextrun"/>
                <w:rFonts w:ascii="Arial" w:hAnsi="Arial" w:cs="Arial"/>
                <w:sz w:val="21"/>
                <w:szCs w:val="21"/>
              </w:rPr>
              <w:t>)</w:t>
            </w:r>
            <w:r w:rsidR="00FB2C3B" w:rsidRPr="007A5552">
              <w:rPr>
                <w:rStyle w:val="normaltextrun"/>
                <w:rFonts w:ascii="Arial" w:hAnsi="Arial" w:cs="Arial"/>
                <w:sz w:val="21"/>
                <w:szCs w:val="21"/>
              </w:rPr>
              <w:t>;</w:t>
            </w:r>
            <w:proofErr w:type="gramEnd"/>
            <w:r w:rsidR="00FB2C3B" w:rsidRPr="007A5552">
              <w:rPr>
                <w:rStyle w:val="eop"/>
                <w:rFonts w:ascii="Arial" w:hAnsi="Arial" w:cs="Arial"/>
                <w:sz w:val="21"/>
                <w:szCs w:val="21"/>
              </w:rPr>
              <w:t> </w:t>
            </w:r>
          </w:p>
          <w:p w14:paraId="6866C497" w14:textId="77777777" w:rsidR="001C1DB8" w:rsidRPr="0053034A" w:rsidRDefault="001C1DB8">
            <w:pPr>
              <w:pStyle w:val="paragraph"/>
              <w:spacing w:before="0" w:after="0"/>
              <w:textAlignment w:val="baseline"/>
              <w:rPr>
                <w:rFonts w:ascii="Segoe UI" w:hAnsi="Segoe UI" w:cs="Segoe UI"/>
                <w:sz w:val="18"/>
                <w:szCs w:val="18"/>
                <w:highlight w:val="yellow"/>
              </w:rPr>
            </w:pPr>
          </w:p>
          <w:p w14:paraId="6866C498" w14:textId="5EFCB5D5" w:rsidR="001C1DB8" w:rsidRPr="007A5552" w:rsidRDefault="00FB2C3B">
            <w:pPr>
              <w:pStyle w:val="paragraph"/>
              <w:spacing w:before="0" w:after="0"/>
              <w:textAlignment w:val="baseline"/>
            </w:pPr>
            <w:r w:rsidRPr="007A5552">
              <w:rPr>
                <w:rStyle w:val="normaltextrun"/>
                <w:rFonts w:ascii="Arial" w:hAnsi="Arial" w:cs="Arial"/>
                <w:sz w:val="21"/>
                <w:szCs w:val="21"/>
              </w:rPr>
              <w:t>Senior Military</w:t>
            </w:r>
            <w:r w:rsidR="007634CB" w:rsidRPr="007A5552">
              <w:rPr>
                <w:rStyle w:val="normaltextrun"/>
                <w:rFonts w:ascii="Arial" w:hAnsi="Arial" w:cs="Arial"/>
                <w:sz w:val="21"/>
                <w:szCs w:val="21"/>
              </w:rPr>
              <w:t>:</w:t>
            </w:r>
            <w:r w:rsidR="00D62B5C" w:rsidRPr="007A5552">
              <w:rPr>
                <w:rStyle w:val="normaltextrun"/>
                <w:rFonts w:ascii="Arial" w:hAnsi="Arial" w:cs="Arial"/>
                <w:sz w:val="21"/>
                <w:szCs w:val="21"/>
              </w:rPr>
              <w:t xml:space="preserve"> </w:t>
            </w:r>
            <w:r w:rsidR="15ACBB85" w:rsidRPr="007A5552">
              <w:rPr>
                <w:rStyle w:val="normaltextrun"/>
                <w:rFonts w:ascii="Arial" w:hAnsi="Arial" w:cs="Arial"/>
                <w:sz w:val="21"/>
                <w:szCs w:val="21"/>
              </w:rPr>
              <w:t>134</w:t>
            </w:r>
            <w:r w:rsidRPr="007A5552">
              <w:rPr>
                <w:rStyle w:val="normaltextrun"/>
                <w:rFonts w:ascii="Arial" w:hAnsi="Arial" w:cs="Arial"/>
                <w:sz w:val="21"/>
                <w:szCs w:val="21"/>
              </w:rPr>
              <w:t xml:space="preserve"> </w:t>
            </w:r>
          </w:p>
          <w:p w14:paraId="6866C499" w14:textId="77777777" w:rsidR="001C1DB8" w:rsidRPr="0053034A" w:rsidRDefault="001C1DB8">
            <w:pPr>
              <w:pStyle w:val="paragraph"/>
              <w:spacing w:before="0" w:after="0"/>
              <w:textAlignment w:val="baseline"/>
              <w:rPr>
                <w:highlight w:val="yellow"/>
              </w:rPr>
            </w:pPr>
          </w:p>
          <w:p w14:paraId="6FF3BFDE" w14:textId="77777777" w:rsidR="00111972" w:rsidRDefault="00111972">
            <w:pPr>
              <w:pStyle w:val="paragraph"/>
              <w:spacing w:before="0" w:after="0"/>
              <w:textAlignment w:val="baseline"/>
              <w:rPr>
                <w:rStyle w:val="normaltextrun"/>
                <w:rFonts w:ascii="Arial" w:hAnsi="Arial" w:cs="Arial"/>
                <w:sz w:val="21"/>
                <w:szCs w:val="21"/>
                <w:highlight w:val="yellow"/>
              </w:rPr>
            </w:pPr>
          </w:p>
          <w:p w14:paraId="6866C49A" w14:textId="6DE212A4" w:rsidR="001C1DB8" w:rsidRPr="007A5552" w:rsidRDefault="00FB2C3B">
            <w:pPr>
              <w:pStyle w:val="paragraph"/>
              <w:spacing w:before="0" w:after="0"/>
              <w:textAlignment w:val="baseline"/>
            </w:pPr>
            <w:r w:rsidRPr="007A5552">
              <w:rPr>
                <w:rStyle w:val="normaltextrun"/>
                <w:rFonts w:ascii="Arial" w:hAnsi="Arial" w:cs="Arial"/>
                <w:sz w:val="21"/>
                <w:szCs w:val="21"/>
              </w:rPr>
              <w:t>Judiciary</w:t>
            </w:r>
            <w:r w:rsidR="007634CB" w:rsidRPr="007A5552">
              <w:rPr>
                <w:rStyle w:val="normaltextrun"/>
                <w:rFonts w:ascii="Arial" w:hAnsi="Arial" w:cs="Arial"/>
                <w:sz w:val="21"/>
                <w:szCs w:val="21"/>
              </w:rPr>
              <w:t>:</w:t>
            </w:r>
            <w:r w:rsidR="00D62B5C" w:rsidRPr="007A5552">
              <w:rPr>
                <w:rStyle w:val="normaltextrun"/>
                <w:rFonts w:ascii="Arial" w:hAnsi="Arial" w:cs="Arial"/>
                <w:sz w:val="21"/>
                <w:szCs w:val="21"/>
              </w:rPr>
              <w:t xml:space="preserve"> </w:t>
            </w:r>
            <w:r w:rsidR="008844EA" w:rsidRPr="007A5552">
              <w:rPr>
                <w:rStyle w:val="normaltextrun"/>
                <w:rFonts w:ascii="Arial" w:hAnsi="Arial" w:cs="Arial"/>
                <w:sz w:val="21"/>
                <w:szCs w:val="21"/>
              </w:rPr>
              <w:t>2</w:t>
            </w:r>
            <w:r w:rsidRPr="007A5552">
              <w:rPr>
                <w:rStyle w:val="normaltextrun"/>
                <w:rFonts w:ascii="Arial" w:hAnsi="Arial" w:cs="Arial"/>
                <w:sz w:val="21"/>
                <w:szCs w:val="21"/>
              </w:rPr>
              <w:t>,</w:t>
            </w:r>
            <w:r w:rsidR="005000EF" w:rsidRPr="007A5552">
              <w:rPr>
                <w:rStyle w:val="normaltextrun"/>
                <w:rFonts w:ascii="Arial" w:hAnsi="Arial" w:cs="Arial"/>
                <w:sz w:val="21"/>
                <w:szCs w:val="21"/>
              </w:rPr>
              <w:t>320</w:t>
            </w:r>
          </w:p>
          <w:p w14:paraId="6866C49B" w14:textId="77777777" w:rsidR="001C1DB8" w:rsidRPr="0053034A" w:rsidRDefault="001C1DB8">
            <w:pPr>
              <w:pStyle w:val="paragraph"/>
              <w:spacing w:before="0" w:after="0"/>
              <w:textAlignment w:val="baseline"/>
              <w:rPr>
                <w:highlight w:val="yellow"/>
              </w:rPr>
            </w:pPr>
          </w:p>
          <w:p w14:paraId="1EA243E6" w14:textId="77777777" w:rsidR="00490C49" w:rsidRDefault="00490C49">
            <w:pPr>
              <w:pStyle w:val="paragraph"/>
              <w:spacing w:before="0" w:after="0"/>
              <w:textAlignment w:val="baseline"/>
              <w:rPr>
                <w:rStyle w:val="normaltextrun"/>
                <w:rFonts w:ascii="Arial" w:hAnsi="Arial" w:cs="Arial"/>
                <w:sz w:val="21"/>
                <w:szCs w:val="21"/>
                <w:highlight w:val="yellow"/>
              </w:rPr>
            </w:pPr>
          </w:p>
          <w:p w14:paraId="43FF13E1" w14:textId="77777777" w:rsidR="00490C49" w:rsidRDefault="00490C49">
            <w:pPr>
              <w:pStyle w:val="paragraph"/>
              <w:spacing w:before="0" w:after="0"/>
              <w:textAlignment w:val="baseline"/>
              <w:rPr>
                <w:rStyle w:val="normaltextrun"/>
                <w:rFonts w:ascii="Arial" w:hAnsi="Arial" w:cs="Arial"/>
                <w:sz w:val="21"/>
                <w:szCs w:val="21"/>
                <w:highlight w:val="yellow"/>
              </w:rPr>
            </w:pPr>
          </w:p>
          <w:p w14:paraId="1129B734" w14:textId="77777777" w:rsidR="009A51BC" w:rsidRDefault="009A51BC">
            <w:pPr>
              <w:pStyle w:val="paragraph"/>
              <w:spacing w:before="0" w:after="0"/>
              <w:textAlignment w:val="baseline"/>
              <w:rPr>
                <w:rStyle w:val="normaltextrun"/>
                <w:rFonts w:ascii="Arial" w:hAnsi="Arial" w:cs="Arial"/>
                <w:sz w:val="21"/>
                <w:szCs w:val="21"/>
                <w:highlight w:val="yellow"/>
              </w:rPr>
            </w:pPr>
          </w:p>
          <w:p w14:paraId="734091E4" w14:textId="77777777" w:rsidR="009A51BC" w:rsidRDefault="009A51BC">
            <w:pPr>
              <w:pStyle w:val="paragraph"/>
              <w:spacing w:before="0" w:after="0"/>
              <w:textAlignment w:val="baseline"/>
              <w:rPr>
                <w:rStyle w:val="normaltextrun"/>
                <w:rFonts w:ascii="Arial" w:hAnsi="Arial" w:cs="Arial"/>
                <w:sz w:val="21"/>
                <w:szCs w:val="21"/>
                <w:highlight w:val="yellow"/>
              </w:rPr>
            </w:pPr>
          </w:p>
          <w:p w14:paraId="3556F92A" w14:textId="77777777" w:rsidR="009A51BC" w:rsidRDefault="009A51BC">
            <w:pPr>
              <w:pStyle w:val="paragraph"/>
              <w:spacing w:before="0" w:after="0"/>
              <w:textAlignment w:val="baseline"/>
              <w:rPr>
                <w:rStyle w:val="normaltextrun"/>
                <w:rFonts w:ascii="Arial" w:hAnsi="Arial" w:cs="Arial"/>
                <w:sz w:val="21"/>
                <w:szCs w:val="21"/>
                <w:highlight w:val="yellow"/>
              </w:rPr>
            </w:pPr>
          </w:p>
          <w:p w14:paraId="6778E44B" w14:textId="77777777" w:rsidR="009A51BC" w:rsidRDefault="009A51BC">
            <w:pPr>
              <w:pStyle w:val="paragraph"/>
              <w:spacing w:before="0" w:after="0"/>
              <w:textAlignment w:val="baseline"/>
              <w:rPr>
                <w:rStyle w:val="normaltextrun"/>
                <w:rFonts w:ascii="Arial" w:hAnsi="Arial" w:cs="Arial"/>
                <w:sz w:val="21"/>
                <w:szCs w:val="21"/>
                <w:highlight w:val="yellow"/>
              </w:rPr>
            </w:pPr>
          </w:p>
          <w:p w14:paraId="704E8182" w14:textId="77777777" w:rsidR="009A51BC" w:rsidRDefault="009A51BC">
            <w:pPr>
              <w:pStyle w:val="paragraph"/>
              <w:spacing w:before="0" w:after="0"/>
              <w:textAlignment w:val="baseline"/>
              <w:rPr>
                <w:rStyle w:val="normaltextrun"/>
                <w:rFonts w:ascii="Arial" w:hAnsi="Arial" w:cs="Arial"/>
                <w:sz w:val="21"/>
                <w:szCs w:val="21"/>
                <w:highlight w:val="yellow"/>
              </w:rPr>
            </w:pPr>
          </w:p>
          <w:p w14:paraId="1EA5EBB8" w14:textId="77777777" w:rsidR="009A51BC" w:rsidRDefault="009A51BC">
            <w:pPr>
              <w:pStyle w:val="paragraph"/>
              <w:spacing w:before="0" w:after="0"/>
              <w:textAlignment w:val="baseline"/>
              <w:rPr>
                <w:rStyle w:val="normaltextrun"/>
                <w:rFonts w:ascii="Arial" w:hAnsi="Arial" w:cs="Arial"/>
                <w:sz w:val="21"/>
                <w:szCs w:val="21"/>
                <w:highlight w:val="yellow"/>
              </w:rPr>
            </w:pPr>
          </w:p>
          <w:p w14:paraId="592C90E9" w14:textId="77777777" w:rsidR="009A51BC" w:rsidRDefault="009A51BC">
            <w:pPr>
              <w:pStyle w:val="paragraph"/>
              <w:spacing w:before="0" w:after="0"/>
              <w:textAlignment w:val="baseline"/>
              <w:rPr>
                <w:rStyle w:val="normaltextrun"/>
                <w:rFonts w:ascii="Arial" w:hAnsi="Arial" w:cs="Arial"/>
                <w:sz w:val="21"/>
                <w:szCs w:val="21"/>
                <w:highlight w:val="yellow"/>
              </w:rPr>
            </w:pPr>
          </w:p>
          <w:p w14:paraId="37F84402" w14:textId="77777777" w:rsidR="009A51BC" w:rsidRDefault="009A51BC">
            <w:pPr>
              <w:pStyle w:val="paragraph"/>
              <w:spacing w:before="0" w:after="0"/>
              <w:textAlignment w:val="baseline"/>
              <w:rPr>
                <w:rStyle w:val="normaltextrun"/>
                <w:rFonts w:ascii="Arial" w:hAnsi="Arial" w:cs="Arial"/>
                <w:sz w:val="21"/>
                <w:szCs w:val="21"/>
                <w:highlight w:val="yellow"/>
              </w:rPr>
            </w:pPr>
          </w:p>
          <w:p w14:paraId="6866C49C" w14:textId="3B25C07B" w:rsidR="001C1DB8" w:rsidRPr="00FD7786" w:rsidRDefault="00FB2C3B">
            <w:pPr>
              <w:pStyle w:val="paragraph"/>
              <w:spacing w:before="0" w:after="0"/>
              <w:textAlignment w:val="baseline"/>
            </w:pPr>
            <w:r w:rsidRPr="00FD7786">
              <w:rPr>
                <w:rStyle w:val="normaltextrun"/>
                <w:rFonts w:ascii="Arial" w:hAnsi="Arial" w:cs="Arial"/>
                <w:sz w:val="21"/>
                <w:szCs w:val="21"/>
              </w:rPr>
              <w:t>Senior Leaders in the NHS</w:t>
            </w:r>
            <w:r w:rsidR="00FC0BFB" w:rsidRPr="00FD7786">
              <w:rPr>
                <w:rStyle w:val="normaltextrun"/>
                <w:rFonts w:ascii="Arial" w:hAnsi="Arial" w:cs="Arial"/>
                <w:sz w:val="21"/>
                <w:szCs w:val="21"/>
              </w:rPr>
              <w:t xml:space="preserve">: </w:t>
            </w:r>
            <w:r w:rsidRPr="00FD7786">
              <w:rPr>
                <w:rStyle w:val="normaltextrun"/>
                <w:rFonts w:ascii="Arial" w:hAnsi="Arial" w:cs="Arial"/>
                <w:sz w:val="21"/>
                <w:szCs w:val="21"/>
              </w:rPr>
              <w:t xml:space="preserve"> </w:t>
            </w:r>
            <w:r w:rsidR="0716B4B9" w:rsidRPr="00FD7786">
              <w:rPr>
                <w:rStyle w:val="normaltextrun"/>
                <w:rFonts w:ascii="Arial" w:hAnsi="Arial" w:cs="Arial"/>
                <w:sz w:val="21"/>
                <w:szCs w:val="21"/>
              </w:rPr>
              <w:t>3,</w:t>
            </w:r>
            <w:r w:rsidR="000376E4" w:rsidRPr="00FD7786">
              <w:rPr>
                <w:rStyle w:val="normaltextrun"/>
                <w:rFonts w:ascii="Arial" w:hAnsi="Arial" w:cs="Arial"/>
                <w:sz w:val="21"/>
                <w:szCs w:val="21"/>
              </w:rPr>
              <w:t>951</w:t>
            </w:r>
            <w:r w:rsidR="00FC0BFB" w:rsidRPr="00FD7786">
              <w:rPr>
                <w:rStyle w:val="normaltextrun"/>
                <w:rFonts w:ascii="Arial" w:hAnsi="Arial" w:cs="Arial"/>
                <w:i/>
                <w:sz w:val="21"/>
                <w:szCs w:val="21"/>
              </w:rPr>
              <w:t xml:space="preserve">(England and </w:t>
            </w:r>
            <w:r w:rsidR="00FC0BFB" w:rsidRPr="00FD7786">
              <w:rPr>
                <w:rStyle w:val="normaltextrun"/>
                <w:rFonts w:ascii="Arial" w:hAnsi="Arial" w:cs="Arial"/>
                <w:i/>
                <w:sz w:val="21"/>
                <w:szCs w:val="21"/>
              </w:rPr>
              <w:lastRenderedPageBreak/>
              <w:t>DHSC ALBs only)</w:t>
            </w:r>
          </w:p>
          <w:p w14:paraId="6866C49D" w14:textId="77777777" w:rsidR="001C1DB8" w:rsidRPr="0053034A" w:rsidRDefault="001C1DB8">
            <w:pPr>
              <w:pStyle w:val="paragraph"/>
              <w:spacing w:before="0" w:after="0"/>
              <w:textAlignment w:val="baseline"/>
              <w:rPr>
                <w:highlight w:val="yellow"/>
              </w:rPr>
            </w:pPr>
          </w:p>
          <w:p w14:paraId="1000C826" w14:textId="77777777" w:rsidR="00363666" w:rsidRDefault="00363666">
            <w:pPr>
              <w:pStyle w:val="paragraph"/>
              <w:spacing w:before="0" w:after="0"/>
              <w:textAlignment w:val="baseline"/>
              <w:rPr>
                <w:rStyle w:val="normaltextrun"/>
                <w:rFonts w:ascii="Arial" w:hAnsi="Arial" w:cs="Arial"/>
                <w:sz w:val="21"/>
                <w:szCs w:val="21"/>
                <w:highlight w:val="yellow"/>
              </w:rPr>
            </w:pPr>
          </w:p>
          <w:p w14:paraId="454ADAD9" w14:textId="77777777" w:rsidR="00363666" w:rsidRDefault="00363666">
            <w:pPr>
              <w:pStyle w:val="paragraph"/>
              <w:spacing w:before="0" w:after="0"/>
              <w:textAlignment w:val="baseline"/>
              <w:rPr>
                <w:rStyle w:val="normaltextrun"/>
                <w:rFonts w:ascii="Arial" w:hAnsi="Arial" w:cs="Arial"/>
                <w:sz w:val="21"/>
                <w:szCs w:val="21"/>
                <w:highlight w:val="yellow"/>
              </w:rPr>
            </w:pPr>
          </w:p>
          <w:p w14:paraId="47875C7C" w14:textId="77777777" w:rsidR="00363666" w:rsidRDefault="00363666">
            <w:pPr>
              <w:pStyle w:val="paragraph"/>
              <w:spacing w:before="0" w:after="0"/>
              <w:textAlignment w:val="baseline"/>
              <w:rPr>
                <w:rStyle w:val="normaltextrun"/>
                <w:rFonts w:ascii="Arial" w:hAnsi="Arial" w:cs="Arial"/>
                <w:sz w:val="21"/>
                <w:szCs w:val="21"/>
                <w:highlight w:val="yellow"/>
              </w:rPr>
            </w:pPr>
          </w:p>
          <w:p w14:paraId="4CCD348C" w14:textId="77777777" w:rsidR="00363666" w:rsidRDefault="00363666">
            <w:pPr>
              <w:pStyle w:val="paragraph"/>
              <w:spacing w:before="0" w:after="0"/>
              <w:textAlignment w:val="baseline"/>
              <w:rPr>
                <w:rStyle w:val="normaltextrun"/>
                <w:rFonts w:ascii="Arial" w:hAnsi="Arial" w:cs="Arial"/>
                <w:sz w:val="21"/>
                <w:szCs w:val="21"/>
                <w:highlight w:val="yellow"/>
              </w:rPr>
            </w:pPr>
          </w:p>
          <w:p w14:paraId="08C6E679" w14:textId="1FF30A94" w:rsidR="009A51BC" w:rsidRPr="00FD7786" w:rsidRDefault="009A51BC" w:rsidP="009A51BC">
            <w:pPr>
              <w:pStyle w:val="paragraph"/>
              <w:spacing w:before="0" w:after="0"/>
              <w:textAlignment w:val="baseline"/>
              <w:rPr>
                <w:rStyle w:val="normaltextrun"/>
                <w:rFonts w:ascii="Arial" w:hAnsi="Arial" w:cs="Arial"/>
                <w:sz w:val="21"/>
                <w:szCs w:val="21"/>
              </w:rPr>
            </w:pPr>
            <w:r w:rsidRPr="00FD7786">
              <w:rPr>
                <w:rStyle w:val="normaltextrun"/>
                <w:rFonts w:ascii="Arial" w:hAnsi="Arial" w:cs="Arial"/>
                <w:sz w:val="21"/>
                <w:szCs w:val="21"/>
              </w:rPr>
              <w:t>Chief Police Officers: 251 (FTE)</w:t>
            </w:r>
            <w:r w:rsidR="00D3490D" w:rsidRPr="00FD7786">
              <w:rPr>
                <w:rStyle w:val="FootnoteReference"/>
                <w:rFonts w:ascii="Arial" w:hAnsi="Arial" w:cs="Arial"/>
                <w:sz w:val="21"/>
                <w:szCs w:val="21"/>
              </w:rPr>
              <w:footnoteReference w:id="6"/>
            </w:r>
            <w:r w:rsidRPr="00FD7786">
              <w:rPr>
                <w:rStyle w:val="normaltextrun"/>
                <w:rFonts w:ascii="Arial" w:hAnsi="Arial" w:cs="Arial"/>
                <w:sz w:val="21"/>
                <w:szCs w:val="21"/>
              </w:rPr>
              <w:t xml:space="preserve"> </w:t>
            </w:r>
          </w:p>
          <w:p w14:paraId="478F8BA1" w14:textId="77777777" w:rsidR="00CC7844" w:rsidRPr="0053034A" w:rsidRDefault="00CC7844">
            <w:pPr>
              <w:pStyle w:val="paragraph"/>
              <w:spacing w:before="0" w:after="0"/>
              <w:textAlignment w:val="baseline"/>
              <w:rPr>
                <w:rStyle w:val="normaltextrun"/>
                <w:rFonts w:ascii="Arial" w:hAnsi="Arial" w:cs="Arial"/>
                <w:sz w:val="21"/>
                <w:szCs w:val="21"/>
                <w:highlight w:val="yellow"/>
              </w:rPr>
            </w:pPr>
          </w:p>
          <w:p w14:paraId="72EBB685" w14:textId="77777777" w:rsidR="00B15B0E" w:rsidRDefault="00B15B0E">
            <w:pPr>
              <w:pStyle w:val="paragraph"/>
              <w:spacing w:before="0" w:after="0"/>
              <w:textAlignment w:val="baseline"/>
              <w:rPr>
                <w:rStyle w:val="normaltextrun"/>
                <w:rFonts w:ascii="Arial" w:hAnsi="Arial" w:cs="Arial"/>
                <w:sz w:val="21"/>
                <w:szCs w:val="21"/>
                <w:highlight w:val="yellow"/>
              </w:rPr>
            </w:pPr>
          </w:p>
          <w:p w14:paraId="6854EA6A" w14:textId="77777777" w:rsidR="00B15B0E" w:rsidRDefault="00B15B0E">
            <w:pPr>
              <w:pStyle w:val="paragraph"/>
              <w:spacing w:before="0" w:after="0"/>
              <w:textAlignment w:val="baseline"/>
              <w:rPr>
                <w:rStyle w:val="normaltextrun"/>
                <w:rFonts w:ascii="Arial" w:hAnsi="Arial" w:cs="Arial"/>
                <w:sz w:val="21"/>
                <w:szCs w:val="21"/>
                <w:highlight w:val="yellow"/>
              </w:rPr>
            </w:pPr>
          </w:p>
          <w:p w14:paraId="5E3808E0" w14:textId="77777777" w:rsidR="00B15B0E" w:rsidRDefault="00B15B0E">
            <w:pPr>
              <w:pStyle w:val="paragraph"/>
              <w:spacing w:before="0" w:after="0"/>
              <w:textAlignment w:val="baseline"/>
              <w:rPr>
                <w:rStyle w:val="normaltextrun"/>
                <w:rFonts w:ascii="Arial" w:hAnsi="Arial" w:cs="Arial"/>
                <w:sz w:val="21"/>
                <w:szCs w:val="21"/>
                <w:highlight w:val="yellow"/>
              </w:rPr>
            </w:pPr>
          </w:p>
          <w:p w14:paraId="4E0F1500" w14:textId="77777777" w:rsidR="00B15B0E" w:rsidRDefault="00B15B0E">
            <w:pPr>
              <w:pStyle w:val="paragraph"/>
              <w:spacing w:before="0" w:after="0"/>
              <w:textAlignment w:val="baseline"/>
              <w:rPr>
                <w:rStyle w:val="normaltextrun"/>
                <w:rFonts w:ascii="Arial" w:hAnsi="Arial" w:cs="Arial"/>
                <w:sz w:val="21"/>
                <w:szCs w:val="21"/>
                <w:highlight w:val="yellow"/>
              </w:rPr>
            </w:pPr>
          </w:p>
          <w:p w14:paraId="50C02222" w14:textId="77777777" w:rsidR="00B15B0E" w:rsidRDefault="00B15B0E">
            <w:pPr>
              <w:pStyle w:val="paragraph"/>
              <w:spacing w:before="0" w:after="0"/>
              <w:textAlignment w:val="baseline"/>
              <w:rPr>
                <w:rStyle w:val="normaltextrun"/>
                <w:rFonts w:ascii="Arial" w:hAnsi="Arial" w:cs="Arial"/>
                <w:sz w:val="21"/>
                <w:szCs w:val="21"/>
                <w:highlight w:val="yellow"/>
              </w:rPr>
            </w:pPr>
          </w:p>
          <w:p w14:paraId="6866C49E" w14:textId="3730125B" w:rsidR="001C1DB8" w:rsidRDefault="00FB2C3B">
            <w:pPr>
              <w:pStyle w:val="paragraph"/>
              <w:spacing w:before="0" w:after="0"/>
              <w:textAlignment w:val="baseline"/>
            </w:pPr>
            <w:r w:rsidRPr="00FD7786">
              <w:rPr>
                <w:rStyle w:val="normaltextrun"/>
                <w:rFonts w:ascii="Arial" w:hAnsi="Arial" w:cs="Arial"/>
                <w:sz w:val="21"/>
                <w:szCs w:val="21"/>
              </w:rPr>
              <w:t>PCCs</w:t>
            </w:r>
            <w:r w:rsidR="00FC0BFB" w:rsidRPr="00FD7786">
              <w:rPr>
                <w:rStyle w:val="normaltextrun"/>
                <w:rFonts w:ascii="Arial" w:hAnsi="Arial" w:cs="Arial"/>
                <w:sz w:val="21"/>
                <w:szCs w:val="21"/>
              </w:rPr>
              <w:t>:</w:t>
            </w:r>
            <w:r w:rsidRPr="00FD7786">
              <w:rPr>
                <w:rStyle w:val="normaltextrun"/>
                <w:rFonts w:ascii="Arial" w:hAnsi="Arial" w:cs="Arial"/>
                <w:sz w:val="21"/>
                <w:szCs w:val="21"/>
              </w:rPr>
              <w:t xml:space="preserve"> </w:t>
            </w:r>
            <w:r w:rsidR="004E4EEB" w:rsidRPr="00FD7786">
              <w:rPr>
                <w:rStyle w:val="normaltextrun"/>
                <w:rFonts w:ascii="Arial" w:hAnsi="Arial" w:cs="Arial"/>
                <w:sz w:val="21"/>
                <w:szCs w:val="21"/>
              </w:rPr>
              <w:t>37</w:t>
            </w:r>
          </w:p>
          <w:p w14:paraId="3107B47A" w14:textId="77777777" w:rsidR="009E75C7" w:rsidRDefault="009E75C7">
            <w:pPr>
              <w:rPr>
                <w:rStyle w:val="normaltextrun"/>
                <w:sz w:val="21"/>
                <w:szCs w:val="21"/>
              </w:rPr>
            </w:pPr>
          </w:p>
          <w:p w14:paraId="6866C49F" w14:textId="4A3D0B3E" w:rsidR="001C1DB8" w:rsidRPr="0053034A" w:rsidRDefault="00FB2C3B">
            <w:pPr>
              <w:rPr>
                <w:i/>
              </w:rPr>
            </w:pPr>
            <w:r w:rsidRPr="0053034A">
              <w:rPr>
                <w:rStyle w:val="normaltextrun"/>
                <w:i/>
                <w:sz w:val="21"/>
                <w:szCs w:val="21"/>
              </w:rPr>
              <w:t>(All headcount figures)</w:t>
            </w:r>
          </w:p>
        </w:tc>
        <w:tc>
          <w:tcPr>
            <w:tcW w:w="1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A1" w14:textId="58ADDCDD" w:rsidR="001C1DB8" w:rsidRPr="0053034A" w:rsidRDefault="00FB2C3B">
            <w:pPr>
              <w:pStyle w:val="paragraph"/>
              <w:spacing w:before="0" w:after="0"/>
              <w:textAlignment w:val="baseline"/>
              <w:rPr>
                <w:rFonts w:ascii="Arial" w:hAnsi="Arial" w:cs="Arial"/>
                <w:highlight w:val="yellow"/>
              </w:rPr>
            </w:pPr>
            <w:r w:rsidRPr="007A5552">
              <w:rPr>
                <w:rStyle w:val="normaltextrun"/>
                <w:rFonts w:ascii="Arial" w:hAnsi="Arial" w:cs="Arial"/>
                <w:sz w:val="21"/>
                <w:szCs w:val="21"/>
              </w:rPr>
              <w:lastRenderedPageBreak/>
              <w:t>SCS</w:t>
            </w:r>
            <w:r w:rsidR="004D44B5" w:rsidRPr="007A5552">
              <w:rPr>
                <w:rStyle w:val="normaltextrun"/>
                <w:rFonts w:ascii="Arial" w:hAnsi="Arial" w:cs="Arial"/>
              </w:rPr>
              <w:t xml:space="preserve">: </w:t>
            </w:r>
            <w:r w:rsidRPr="007A5552">
              <w:rPr>
                <w:rStyle w:val="normaltextrun"/>
                <w:rFonts w:ascii="Arial" w:hAnsi="Arial" w:cs="Arial"/>
                <w:sz w:val="21"/>
                <w:szCs w:val="21"/>
              </w:rPr>
              <w:t>£</w:t>
            </w:r>
            <w:r w:rsidR="2E4CF290" w:rsidRPr="007A5552">
              <w:rPr>
                <w:rStyle w:val="normaltextrun"/>
                <w:rFonts w:ascii="Arial" w:hAnsi="Arial" w:cs="Arial"/>
                <w:sz w:val="21"/>
                <w:szCs w:val="21"/>
              </w:rPr>
              <w:t>933</w:t>
            </w:r>
            <w:r w:rsidRPr="007A5552">
              <w:rPr>
                <w:rStyle w:val="normaltextrun"/>
                <w:rFonts w:ascii="Arial" w:hAnsi="Arial" w:cs="Arial"/>
                <w:sz w:val="21"/>
                <w:szCs w:val="21"/>
              </w:rPr>
              <w:t xml:space="preserve"> million</w:t>
            </w:r>
          </w:p>
          <w:p w14:paraId="48370A44" w14:textId="77777777" w:rsidR="00AC2C4E" w:rsidRPr="0053034A" w:rsidRDefault="00AC2C4E">
            <w:pPr>
              <w:pStyle w:val="paragraph"/>
              <w:spacing w:before="0" w:after="0"/>
              <w:textAlignment w:val="baseline"/>
              <w:rPr>
                <w:rStyle w:val="normaltextrun"/>
                <w:rFonts w:ascii="Arial" w:hAnsi="Arial" w:cs="Arial"/>
                <w:sz w:val="21"/>
                <w:szCs w:val="21"/>
                <w:highlight w:val="yellow"/>
              </w:rPr>
            </w:pPr>
          </w:p>
          <w:p w14:paraId="156814A9" w14:textId="77777777" w:rsidR="00111972" w:rsidRDefault="00111972">
            <w:pPr>
              <w:pStyle w:val="paragraph"/>
              <w:spacing w:before="0" w:after="0"/>
              <w:textAlignment w:val="baseline"/>
              <w:rPr>
                <w:rStyle w:val="normaltextrun"/>
                <w:rFonts w:ascii="Arial" w:hAnsi="Arial" w:cs="Arial"/>
                <w:sz w:val="21"/>
                <w:szCs w:val="21"/>
                <w:highlight w:val="yellow"/>
              </w:rPr>
            </w:pPr>
          </w:p>
          <w:p w14:paraId="43E84FCF" w14:textId="77777777" w:rsidR="00111972" w:rsidRDefault="00111972">
            <w:pPr>
              <w:pStyle w:val="paragraph"/>
              <w:spacing w:before="0" w:after="0"/>
              <w:textAlignment w:val="baseline"/>
              <w:rPr>
                <w:rStyle w:val="normaltextrun"/>
                <w:rFonts w:ascii="Arial" w:hAnsi="Arial" w:cs="Arial"/>
                <w:sz w:val="21"/>
                <w:szCs w:val="21"/>
                <w:highlight w:val="yellow"/>
              </w:rPr>
            </w:pPr>
          </w:p>
          <w:p w14:paraId="1C292284" w14:textId="77777777" w:rsidR="00111972" w:rsidRDefault="00111972">
            <w:pPr>
              <w:pStyle w:val="paragraph"/>
              <w:spacing w:before="0" w:after="0"/>
              <w:textAlignment w:val="baseline"/>
              <w:rPr>
                <w:rStyle w:val="normaltextrun"/>
                <w:rFonts w:ascii="Arial" w:hAnsi="Arial" w:cs="Arial"/>
                <w:sz w:val="21"/>
                <w:szCs w:val="21"/>
                <w:highlight w:val="yellow"/>
              </w:rPr>
            </w:pPr>
          </w:p>
          <w:p w14:paraId="6866C4A3" w14:textId="4CAC39B6" w:rsidR="001C1DB8" w:rsidRPr="007A5552" w:rsidRDefault="00FB2C3B">
            <w:pPr>
              <w:pStyle w:val="paragraph"/>
              <w:spacing w:before="0" w:after="0"/>
              <w:textAlignment w:val="baseline"/>
            </w:pPr>
            <w:r w:rsidRPr="007A5552">
              <w:rPr>
                <w:rStyle w:val="normaltextrun"/>
                <w:rFonts w:ascii="Arial" w:hAnsi="Arial" w:cs="Arial"/>
                <w:sz w:val="21"/>
                <w:szCs w:val="21"/>
              </w:rPr>
              <w:t>Senior Military</w:t>
            </w:r>
            <w:r w:rsidR="004D44B5" w:rsidRPr="007A5552">
              <w:rPr>
                <w:rStyle w:val="normaltextrun"/>
                <w:rFonts w:ascii="Arial" w:hAnsi="Arial" w:cs="Arial"/>
                <w:sz w:val="21"/>
                <w:szCs w:val="21"/>
              </w:rPr>
              <w:t>:</w:t>
            </w:r>
            <w:r w:rsidRPr="007A5552">
              <w:rPr>
                <w:rStyle w:val="normaltextrun"/>
                <w:rFonts w:ascii="Arial" w:hAnsi="Arial" w:cs="Arial"/>
                <w:sz w:val="21"/>
                <w:szCs w:val="21"/>
              </w:rPr>
              <w:t xml:space="preserve"> £</w:t>
            </w:r>
            <w:r w:rsidR="57229B5B" w:rsidRPr="007A5552">
              <w:rPr>
                <w:rStyle w:val="normaltextrun"/>
                <w:rFonts w:ascii="Arial" w:hAnsi="Arial" w:cs="Arial"/>
                <w:sz w:val="21"/>
                <w:szCs w:val="21"/>
              </w:rPr>
              <w:t>38.8</w:t>
            </w:r>
            <w:r w:rsidRPr="007A5552">
              <w:rPr>
                <w:rStyle w:val="normaltextrun"/>
                <w:rFonts w:ascii="Arial" w:hAnsi="Arial" w:cs="Arial"/>
                <w:sz w:val="21"/>
                <w:szCs w:val="21"/>
              </w:rPr>
              <w:t xml:space="preserve"> million</w:t>
            </w:r>
          </w:p>
          <w:p w14:paraId="6866C4A4" w14:textId="77777777" w:rsidR="001C1DB8" w:rsidRPr="007A5552" w:rsidRDefault="001C1DB8">
            <w:pPr>
              <w:pStyle w:val="paragraph"/>
              <w:spacing w:before="0" w:after="0"/>
              <w:textAlignment w:val="baseline"/>
            </w:pPr>
          </w:p>
          <w:p w14:paraId="6866C4A5" w14:textId="2EF6127D" w:rsidR="001C1DB8" w:rsidRPr="007A5552" w:rsidRDefault="004D44B5">
            <w:pPr>
              <w:pStyle w:val="paragraph"/>
              <w:spacing w:before="0" w:after="0"/>
              <w:textAlignment w:val="baseline"/>
              <w:rPr>
                <w:rFonts w:ascii="Arial" w:hAnsi="Arial" w:cs="Arial"/>
              </w:rPr>
            </w:pPr>
            <w:r w:rsidRPr="007A5552">
              <w:rPr>
                <w:rStyle w:val="normaltextrun"/>
                <w:rFonts w:ascii="Arial" w:hAnsi="Arial" w:cs="Arial"/>
                <w:sz w:val="21"/>
                <w:szCs w:val="21"/>
              </w:rPr>
              <w:t>Salaried judicial officeholders:</w:t>
            </w:r>
            <w:r w:rsidR="31B69B26" w:rsidRPr="007A5552">
              <w:rPr>
                <w:rStyle w:val="normaltextrun"/>
                <w:rFonts w:ascii="Arial" w:hAnsi="Arial" w:cs="Arial"/>
                <w:sz w:val="21"/>
                <w:szCs w:val="21"/>
              </w:rPr>
              <w:t>(salaried)</w:t>
            </w:r>
            <w:r w:rsidR="00FB2C3B" w:rsidRPr="007A5552">
              <w:rPr>
                <w:rStyle w:val="normaltextrun"/>
                <w:rFonts w:ascii="Arial" w:hAnsi="Arial" w:cs="Arial"/>
                <w:sz w:val="21"/>
                <w:szCs w:val="21"/>
              </w:rPr>
              <w:t> </w:t>
            </w:r>
          </w:p>
          <w:p w14:paraId="6866C4A7" w14:textId="4411D973" w:rsidR="001C1DB8" w:rsidRPr="007A5552" w:rsidRDefault="00FB2C3B" w:rsidP="0053034A">
            <w:pPr>
              <w:pStyle w:val="paragraph"/>
              <w:spacing w:before="0" w:after="0"/>
              <w:textAlignment w:val="baseline"/>
              <w:rPr>
                <w:rStyle w:val="normaltextrun"/>
                <w:rFonts w:ascii="Arial" w:hAnsi="Arial" w:cs="Arial"/>
                <w:sz w:val="21"/>
                <w:szCs w:val="21"/>
              </w:rPr>
            </w:pPr>
            <w:r w:rsidRPr="007A5552">
              <w:rPr>
                <w:rStyle w:val="normaltextrun"/>
                <w:rFonts w:ascii="Arial" w:hAnsi="Arial" w:cs="Arial"/>
                <w:sz w:val="21"/>
                <w:szCs w:val="21"/>
              </w:rPr>
              <w:t>£</w:t>
            </w:r>
            <w:r w:rsidR="00773E09" w:rsidRPr="007A5552">
              <w:rPr>
                <w:rStyle w:val="normaltextrun"/>
                <w:rFonts w:ascii="Arial" w:hAnsi="Arial" w:cs="Arial"/>
                <w:sz w:val="21"/>
                <w:szCs w:val="21"/>
              </w:rPr>
              <w:t>5</w:t>
            </w:r>
            <w:r w:rsidR="00561F0A" w:rsidRPr="007A5552">
              <w:rPr>
                <w:rStyle w:val="normaltextrun"/>
                <w:rFonts w:ascii="Arial" w:hAnsi="Arial" w:cs="Arial"/>
                <w:sz w:val="21"/>
                <w:szCs w:val="21"/>
              </w:rPr>
              <w:t>30</w:t>
            </w:r>
            <w:r w:rsidR="4B90BA0D" w:rsidRPr="007A5552">
              <w:rPr>
                <w:rStyle w:val="normaltextrun"/>
                <w:rFonts w:ascii="Arial" w:hAnsi="Arial" w:cs="Arial"/>
                <w:sz w:val="21"/>
                <w:szCs w:val="21"/>
              </w:rPr>
              <w:t xml:space="preserve"> million</w:t>
            </w:r>
            <w:r w:rsidR="007C3F3C" w:rsidRPr="007A5552">
              <w:rPr>
                <w:rStyle w:val="FootnoteReference"/>
                <w:rFonts w:ascii="Arial" w:hAnsi="Arial" w:cs="Arial"/>
                <w:sz w:val="21"/>
                <w:szCs w:val="21"/>
              </w:rPr>
              <w:footnoteReference w:id="7"/>
            </w:r>
          </w:p>
          <w:p w14:paraId="6866C4A8" w14:textId="77777777" w:rsidR="001C1DB8" w:rsidRPr="0053034A" w:rsidRDefault="001C1DB8">
            <w:pPr>
              <w:pStyle w:val="paragraph"/>
              <w:spacing w:before="0" w:after="0"/>
              <w:textAlignment w:val="baseline"/>
              <w:rPr>
                <w:highlight w:val="yellow"/>
              </w:rPr>
            </w:pPr>
          </w:p>
          <w:p w14:paraId="4C63D4A6" w14:textId="77777777" w:rsidR="009A51BC" w:rsidRDefault="009A51BC" w:rsidP="008168F5">
            <w:pPr>
              <w:pStyle w:val="paragraph"/>
              <w:spacing w:before="0" w:after="0"/>
              <w:textAlignment w:val="baseline"/>
              <w:rPr>
                <w:rStyle w:val="normaltextrun"/>
                <w:rFonts w:ascii="Arial" w:hAnsi="Arial" w:cs="Arial"/>
                <w:sz w:val="21"/>
                <w:szCs w:val="21"/>
                <w:highlight w:val="yellow"/>
              </w:rPr>
            </w:pPr>
          </w:p>
          <w:p w14:paraId="6DDAE1A2" w14:textId="77777777" w:rsidR="009A51BC" w:rsidRDefault="009A51BC" w:rsidP="008168F5">
            <w:pPr>
              <w:pStyle w:val="paragraph"/>
              <w:spacing w:before="0" w:after="0"/>
              <w:textAlignment w:val="baseline"/>
              <w:rPr>
                <w:rStyle w:val="normaltextrun"/>
                <w:rFonts w:ascii="Arial" w:hAnsi="Arial" w:cs="Arial"/>
                <w:sz w:val="21"/>
                <w:szCs w:val="21"/>
                <w:highlight w:val="yellow"/>
              </w:rPr>
            </w:pPr>
          </w:p>
          <w:p w14:paraId="5B3ED4FA" w14:textId="77777777" w:rsidR="009A51BC" w:rsidRDefault="009A51BC" w:rsidP="008168F5">
            <w:pPr>
              <w:pStyle w:val="paragraph"/>
              <w:spacing w:before="0" w:after="0"/>
              <w:textAlignment w:val="baseline"/>
              <w:rPr>
                <w:rStyle w:val="normaltextrun"/>
                <w:rFonts w:ascii="Arial" w:hAnsi="Arial" w:cs="Arial"/>
                <w:sz w:val="21"/>
                <w:szCs w:val="21"/>
                <w:highlight w:val="yellow"/>
              </w:rPr>
            </w:pPr>
          </w:p>
          <w:p w14:paraId="6C60DC7A" w14:textId="77777777" w:rsidR="009A51BC" w:rsidRDefault="009A51BC" w:rsidP="008168F5">
            <w:pPr>
              <w:pStyle w:val="paragraph"/>
              <w:spacing w:before="0" w:after="0"/>
              <w:textAlignment w:val="baseline"/>
              <w:rPr>
                <w:rStyle w:val="normaltextrun"/>
                <w:rFonts w:ascii="Arial" w:hAnsi="Arial" w:cs="Arial"/>
                <w:sz w:val="21"/>
                <w:szCs w:val="21"/>
                <w:highlight w:val="yellow"/>
              </w:rPr>
            </w:pPr>
          </w:p>
          <w:p w14:paraId="51DA389E" w14:textId="77777777" w:rsidR="009A51BC" w:rsidRDefault="009A51BC" w:rsidP="008168F5">
            <w:pPr>
              <w:pStyle w:val="paragraph"/>
              <w:spacing w:before="0" w:after="0"/>
              <w:textAlignment w:val="baseline"/>
              <w:rPr>
                <w:rStyle w:val="normaltextrun"/>
                <w:rFonts w:ascii="Arial" w:hAnsi="Arial" w:cs="Arial"/>
                <w:sz w:val="21"/>
                <w:szCs w:val="21"/>
                <w:highlight w:val="yellow"/>
              </w:rPr>
            </w:pPr>
          </w:p>
          <w:p w14:paraId="5F9DC097" w14:textId="77777777" w:rsidR="009A51BC" w:rsidRDefault="009A51BC" w:rsidP="008168F5">
            <w:pPr>
              <w:pStyle w:val="paragraph"/>
              <w:spacing w:before="0" w:after="0"/>
              <w:textAlignment w:val="baseline"/>
              <w:rPr>
                <w:rStyle w:val="normaltextrun"/>
                <w:rFonts w:ascii="Arial" w:hAnsi="Arial" w:cs="Arial"/>
                <w:sz w:val="21"/>
                <w:szCs w:val="21"/>
                <w:highlight w:val="yellow"/>
              </w:rPr>
            </w:pPr>
          </w:p>
          <w:p w14:paraId="3724A10B" w14:textId="77777777" w:rsidR="009A51BC" w:rsidRDefault="009A51BC" w:rsidP="008168F5">
            <w:pPr>
              <w:pStyle w:val="paragraph"/>
              <w:spacing w:before="0" w:after="0"/>
              <w:textAlignment w:val="baseline"/>
              <w:rPr>
                <w:rStyle w:val="normaltextrun"/>
                <w:rFonts w:ascii="Arial" w:hAnsi="Arial" w:cs="Arial"/>
                <w:sz w:val="21"/>
                <w:szCs w:val="21"/>
                <w:highlight w:val="yellow"/>
              </w:rPr>
            </w:pPr>
          </w:p>
          <w:p w14:paraId="58F2729E" w14:textId="77777777" w:rsidR="009A51BC" w:rsidRDefault="009A51BC" w:rsidP="008168F5">
            <w:pPr>
              <w:pStyle w:val="paragraph"/>
              <w:spacing w:before="0" w:after="0"/>
              <w:textAlignment w:val="baseline"/>
              <w:rPr>
                <w:rStyle w:val="normaltextrun"/>
                <w:rFonts w:ascii="Arial" w:hAnsi="Arial" w:cs="Arial"/>
                <w:sz w:val="21"/>
                <w:szCs w:val="21"/>
                <w:highlight w:val="yellow"/>
              </w:rPr>
            </w:pPr>
          </w:p>
          <w:p w14:paraId="6866C4AA" w14:textId="7B48E021" w:rsidR="001C1DB8" w:rsidRPr="00FD7786" w:rsidRDefault="00FB2C3B" w:rsidP="008168F5">
            <w:pPr>
              <w:pStyle w:val="paragraph"/>
              <w:spacing w:before="0" w:after="0"/>
              <w:textAlignment w:val="baseline"/>
              <w:rPr>
                <w:rStyle w:val="normaltextrun"/>
                <w:rFonts w:ascii="Arial" w:hAnsi="Arial" w:cs="Arial"/>
                <w:sz w:val="21"/>
                <w:szCs w:val="21"/>
              </w:rPr>
            </w:pPr>
            <w:r w:rsidRPr="00FD7786">
              <w:rPr>
                <w:rStyle w:val="normaltextrun"/>
                <w:rFonts w:ascii="Arial" w:hAnsi="Arial" w:cs="Arial"/>
                <w:sz w:val="21"/>
                <w:szCs w:val="21"/>
              </w:rPr>
              <w:t>Senior Leaders in the NHS</w:t>
            </w:r>
            <w:r w:rsidR="008168F5" w:rsidRPr="00FD7786">
              <w:rPr>
                <w:rStyle w:val="normaltextrun"/>
                <w:rFonts w:ascii="Arial" w:hAnsi="Arial" w:cs="Arial"/>
                <w:sz w:val="21"/>
                <w:szCs w:val="21"/>
              </w:rPr>
              <w:t xml:space="preserve">: </w:t>
            </w:r>
            <w:r w:rsidRPr="00FD7786">
              <w:rPr>
                <w:rStyle w:val="normaltextrun"/>
                <w:rFonts w:ascii="Arial" w:hAnsi="Arial" w:cs="Arial"/>
                <w:sz w:val="21"/>
                <w:szCs w:val="21"/>
              </w:rPr>
              <w:t>£</w:t>
            </w:r>
            <w:r w:rsidR="00E439CA" w:rsidRPr="00FD7786">
              <w:rPr>
                <w:rStyle w:val="normaltextrun"/>
                <w:rFonts w:ascii="Arial" w:hAnsi="Arial" w:cs="Arial"/>
                <w:sz w:val="21"/>
                <w:szCs w:val="21"/>
              </w:rPr>
              <w:t>797</w:t>
            </w:r>
            <w:r w:rsidRPr="00FD7786">
              <w:rPr>
                <w:rStyle w:val="normaltextrun"/>
                <w:rFonts w:ascii="Arial" w:hAnsi="Arial" w:cs="Arial"/>
                <w:sz w:val="21"/>
                <w:szCs w:val="21"/>
              </w:rPr>
              <w:t>million</w:t>
            </w:r>
            <w:r w:rsidR="00E439CA" w:rsidRPr="00FD7786">
              <w:rPr>
                <w:rStyle w:val="FootnoteReference"/>
                <w:rFonts w:ascii="Arial" w:hAnsi="Arial" w:cs="Arial"/>
                <w:sz w:val="21"/>
                <w:szCs w:val="21"/>
              </w:rPr>
              <w:footnoteReference w:id="8"/>
            </w:r>
            <w:r w:rsidR="00E439CA" w:rsidRPr="00FD7786">
              <w:rPr>
                <w:rStyle w:val="normaltextrun"/>
                <w:rFonts w:ascii="Arial" w:hAnsi="Arial" w:cs="Arial"/>
                <w:i/>
                <w:sz w:val="21"/>
                <w:szCs w:val="21"/>
              </w:rPr>
              <w:t xml:space="preserve"> </w:t>
            </w:r>
            <w:r w:rsidR="008168F5" w:rsidRPr="00FD7786">
              <w:rPr>
                <w:rStyle w:val="normaltextrun"/>
                <w:rFonts w:ascii="Arial" w:hAnsi="Arial" w:cs="Arial"/>
                <w:sz w:val="21"/>
                <w:szCs w:val="21"/>
              </w:rPr>
              <w:t xml:space="preserve"> </w:t>
            </w:r>
            <w:r w:rsidR="008168F5" w:rsidRPr="00FD7786">
              <w:rPr>
                <w:rStyle w:val="normaltextrun"/>
                <w:rFonts w:ascii="Arial" w:hAnsi="Arial" w:cs="Arial"/>
                <w:i/>
                <w:sz w:val="21"/>
                <w:szCs w:val="21"/>
              </w:rPr>
              <w:t>(England and DHSC ALBs only)</w:t>
            </w:r>
          </w:p>
          <w:p w14:paraId="3FB632D5" w14:textId="77777777" w:rsidR="008168F5" w:rsidRPr="0053034A" w:rsidRDefault="008168F5" w:rsidP="0053034A">
            <w:pPr>
              <w:pStyle w:val="paragraph"/>
              <w:spacing w:before="0" w:after="0"/>
              <w:textAlignment w:val="baseline"/>
              <w:rPr>
                <w:rStyle w:val="normaltextrun"/>
                <w:sz w:val="21"/>
                <w:szCs w:val="21"/>
                <w:highlight w:val="yellow"/>
              </w:rPr>
            </w:pPr>
          </w:p>
          <w:p w14:paraId="1840CB75" w14:textId="77777777" w:rsidR="00093327" w:rsidRDefault="00093327">
            <w:pPr>
              <w:rPr>
                <w:rStyle w:val="normaltextrun"/>
                <w:rFonts w:eastAsia="Times New Roman"/>
                <w:sz w:val="21"/>
                <w:szCs w:val="21"/>
                <w:highlight w:val="yellow"/>
                <w:lang w:eastAsia="en-GB"/>
              </w:rPr>
            </w:pPr>
          </w:p>
          <w:p w14:paraId="5EEB68E7" w14:textId="77777777" w:rsidR="00093327" w:rsidRDefault="00093327">
            <w:pPr>
              <w:rPr>
                <w:rStyle w:val="normaltextrun"/>
                <w:rFonts w:eastAsia="Times New Roman"/>
                <w:sz w:val="21"/>
                <w:szCs w:val="21"/>
                <w:highlight w:val="yellow"/>
                <w:lang w:eastAsia="en-GB"/>
              </w:rPr>
            </w:pPr>
          </w:p>
          <w:p w14:paraId="43CC9D4F" w14:textId="77777777" w:rsidR="00093327" w:rsidRDefault="00093327">
            <w:pPr>
              <w:rPr>
                <w:rStyle w:val="normaltextrun"/>
                <w:rFonts w:eastAsia="Times New Roman"/>
                <w:sz w:val="21"/>
                <w:szCs w:val="21"/>
                <w:highlight w:val="yellow"/>
                <w:lang w:eastAsia="en-GB"/>
              </w:rPr>
            </w:pPr>
          </w:p>
          <w:p w14:paraId="43172348" w14:textId="77777777" w:rsidR="00093327" w:rsidRDefault="00093327">
            <w:pPr>
              <w:rPr>
                <w:rStyle w:val="normaltextrun"/>
                <w:rFonts w:eastAsia="Times New Roman"/>
                <w:sz w:val="21"/>
                <w:szCs w:val="21"/>
                <w:highlight w:val="yellow"/>
                <w:lang w:eastAsia="en-GB"/>
              </w:rPr>
            </w:pPr>
          </w:p>
          <w:p w14:paraId="63A2ABCF" w14:textId="77777777" w:rsidR="00093327" w:rsidRDefault="00093327">
            <w:pPr>
              <w:rPr>
                <w:rStyle w:val="normaltextrun"/>
                <w:rFonts w:eastAsia="Times New Roman"/>
                <w:sz w:val="21"/>
                <w:szCs w:val="21"/>
                <w:highlight w:val="yellow"/>
                <w:lang w:eastAsia="en-GB"/>
              </w:rPr>
            </w:pPr>
          </w:p>
          <w:p w14:paraId="38A5A8E4" w14:textId="35CB5CE8" w:rsidR="0023743F" w:rsidRPr="00FD7786" w:rsidRDefault="00F734AE">
            <w:pPr>
              <w:rPr>
                <w:rStyle w:val="normaltextrun"/>
                <w:rFonts w:eastAsia="Times New Roman"/>
                <w:sz w:val="21"/>
                <w:szCs w:val="21"/>
                <w:lang w:eastAsia="en-GB"/>
              </w:rPr>
            </w:pPr>
            <w:r w:rsidRPr="00FD7786">
              <w:rPr>
                <w:rStyle w:val="normaltextrun"/>
                <w:rFonts w:eastAsia="Times New Roman"/>
                <w:sz w:val="21"/>
                <w:szCs w:val="21"/>
                <w:lang w:eastAsia="en-GB"/>
              </w:rPr>
              <w:t>Chief Police Officers</w:t>
            </w:r>
            <w:r w:rsidR="008168F5" w:rsidRPr="003A023B">
              <w:rPr>
                <w:rStyle w:val="normaltextrun"/>
                <w:rFonts w:eastAsia="Times New Roman"/>
                <w:sz w:val="21"/>
                <w:szCs w:val="21"/>
                <w:lang w:eastAsia="en-GB"/>
              </w:rPr>
              <w:t xml:space="preserve">: </w:t>
            </w:r>
            <w:r w:rsidR="0023743F" w:rsidRPr="003A023B">
              <w:rPr>
                <w:rStyle w:val="normaltextrun"/>
                <w:rFonts w:eastAsia="Times New Roman"/>
                <w:sz w:val="21"/>
                <w:szCs w:val="21"/>
                <w:lang w:eastAsia="en-GB"/>
              </w:rPr>
              <w:t>£</w:t>
            </w:r>
            <w:r w:rsidR="00980661" w:rsidRPr="00FD7786">
              <w:rPr>
                <w:rStyle w:val="normaltextrun"/>
                <w:rFonts w:eastAsia="Times New Roman"/>
                <w:sz w:val="21"/>
                <w:szCs w:val="21"/>
                <w:lang w:eastAsia="en-GB"/>
              </w:rPr>
              <w:t>5</w:t>
            </w:r>
            <w:r w:rsidR="00C50F6D" w:rsidRPr="00FD7786">
              <w:rPr>
                <w:rStyle w:val="normaltextrun"/>
                <w:rFonts w:eastAsia="Times New Roman"/>
                <w:sz w:val="21"/>
                <w:szCs w:val="21"/>
                <w:lang w:eastAsia="en-GB"/>
              </w:rPr>
              <w:t>5</w:t>
            </w:r>
            <w:r w:rsidR="001F7357" w:rsidRPr="003A023B">
              <w:rPr>
                <w:rStyle w:val="normaltextrun"/>
                <w:rFonts w:eastAsia="Times New Roman"/>
                <w:sz w:val="21"/>
                <w:szCs w:val="21"/>
                <w:lang w:eastAsia="en-GB"/>
              </w:rPr>
              <w:t xml:space="preserve"> </w:t>
            </w:r>
            <w:r w:rsidR="001F7357" w:rsidRPr="00FD7786">
              <w:rPr>
                <w:rStyle w:val="normaltextrun"/>
                <w:rFonts w:eastAsia="Times New Roman"/>
                <w:sz w:val="21"/>
                <w:szCs w:val="21"/>
                <w:lang w:eastAsia="en-GB"/>
              </w:rPr>
              <w:t>million</w:t>
            </w:r>
            <w:r w:rsidR="00AD646D" w:rsidRPr="00FD7786">
              <w:rPr>
                <w:rStyle w:val="FootnoteReference"/>
                <w:rFonts w:eastAsia="Times New Roman"/>
                <w:sz w:val="21"/>
                <w:szCs w:val="21"/>
                <w:lang w:eastAsia="en-GB"/>
              </w:rPr>
              <w:footnoteReference w:id="9"/>
            </w:r>
          </w:p>
          <w:p w14:paraId="5740CB2F" w14:textId="44774328" w:rsidR="00363666" w:rsidRDefault="00363666">
            <w:pPr>
              <w:rPr>
                <w:rStyle w:val="normaltextrun"/>
                <w:rFonts w:eastAsia="Times New Roman"/>
                <w:sz w:val="21"/>
                <w:szCs w:val="21"/>
                <w:highlight w:val="yellow"/>
                <w:lang w:eastAsia="en-GB"/>
              </w:rPr>
            </w:pPr>
          </w:p>
          <w:p w14:paraId="56525DFD" w14:textId="77777777" w:rsidR="00B15B0E" w:rsidRDefault="00B15B0E">
            <w:pPr>
              <w:rPr>
                <w:rStyle w:val="normaltextrun"/>
                <w:rFonts w:eastAsia="Times New Roman"/>
                <w:sz w:val="21"/>
                <w:szCs w:val="21"/>
                <w:highlight w:val="yellow"/>
                <w:lang w:eastAsia="en-GB"/>
              </w:rPr>
            </w:pPr>
          </w:p>
          <w:p w14:paraId="13C5D10B" w14:textId="77777777" w:rsidR="00B15B0E" w:rsidRDefault="00B15B0E">
            <w:pPr>
              <w:rPr>
                <w:rStyle w:val="normaltextrun"/>
                <w:rFonts w:eastAsia="Times New Roman"/>
                <w:sz w:val="21"/>
                <w:szCs w:val="21"/>
                <w:highlight w:val="yellow"/>
                <w:lang w:eastAsia="en-GB"/>
              </w:rPr>
            </w:pPr>
          </w:p>
          <w:p w14:paraId="29EDC391" w14:textId="77777777" w:rsidR="00B15B0E" w:rsidRDefault="00B15B0E">
            <w:pPr>
              <w:rPr>
                <w:rStyle w:val="normaltextrun"/>
                <w:rFonts w:eastAsia="Times New Roman"/>
                <w:sz w:val="21"/>
                <w:szCs w:val="21"/>
                <w:highlight w:val="yellow"/>
                <w:lang w:eastAsia="en-GB"/>
              </w:rPr>
            </w:pPr>
          </w:p>
          <w:p w14:paraId="1D1AFA6A" w14:textId="77777777" w:rsidR="00B15B0E" w:rsidRDefault="00B15B0E">
            <w:pPr>
              <w:rPr>
                <w:rStyle w:val="normaltextrun"/>
                <w:rFonts w:eastAsia="Times New Roman"/>
                <w:sz w:val="21"/>
                <w:szCs w:val="21"/>
                <w:highlight w:val="yellow"/>
                <w:lang w:eastAsia="en-GB"/>
              </w:rPr>
            </w:pPr>
          </w:p>
          <w:p w14:paraId="6866C4AC" w14:textId="2C88C4B8" w:rsidR="001C1DB8" w:rsidRDefault="00FB2C3B">
            <w:r w:rsidRPr="00FD7786">
              <w:rPr>
                <w:rStyle w:val="normaltextrun"/>
                <w:rFonts w:eastAsia="Times New Roman"/>
                <w:sz w:val="21"/>
                <w:szCs w:val="21"/>
                <w:lang w:eastAsia="en-GB"/>
              </w:rPr>
              <w:t>PCCs</w:t>
            </w:r>
            <w:r w:rsidR="008168F5" w:rsidRPr="00FD7786">
              <w:rPr>
                <w:rStyle w:val="normaltextrun"/>
                <w:rFonts w:eastAsia="Times New Roman"/>
                <w:sz w:val="21"/>
                <w:szCs w:val="21"/>
                <w:lang w:eastAsia="en-GB"/>
              </w:rPr>
              <w:t>:</w:t>
            </w:r>
            <w:r w:rsidRPr="00FD7786">
              <w:rPr>
                <w:rStyle w:val="normaltextrun"/>
                <w:rFonts w:eastAsia="Times New Roman"/>
                <w:sz w:val="21"/>
                <w:szCs w:val="21"/>
                <w:lang w:eastAsia="en-GB"/>
              </w:rPr>
              <w:t xml:space="preserve"> £3 million</w:t>
            </w:r>
            <w:r>
              <w:rPr>
                <w:rStyle w:val="normaltextrun"/>
                <w:rFonts w:eastAsia="Times New Roman"/>
                <w:lang w:eastAsia="en-GB"/>
              </w:rPr>
              <w:t> </w:t>
            </w:r>
          </w:p>
        </w:tc>
        <w:tc>
          <w:tcPr>
            <w:tcW w:w="1309"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73D9C974" w14:textId="3AFBD4E1" w:rsidR="001C1DB8" w:rsidRDefault="00FB2C3B">
            <w:pPr>
              <w:pStyle w:val="paragraph"/>
              <w:spacing w:before="0" w:after="0"/>
              <w:textAlignment w:val="baseline"/>
            </w:pPr>
            <w:r>
              <w:rPr>
                <w:rStyle w:val="normaltextrun"/>
                <w:rFonts w:ascii="Arial" w:hAnsi="Arial" w:cs="Arial"/>
                <w:sz w:val="21"/>
                <w:szCs w:val="21"/>
              </w:rPr>
              <w:lastRenderedPageBreak/>
              <w:t xml:space="preserve">SCS: England, Wales &amp; Scotland </w:t>
            </w:r>
          </w:p>
          <w:p w14:paraId="46F94C30" w14:textId="77777777" w:rsidR="009A6F15" w:rsidRDefault="009A6F15">
            <w:pPr>
              <w:pStyle w:val="paragraph"/>
              <w:spacing w:before="0" w:after="0"/>
              <w:textAlignment w:val="baseline"/>
              <w:rPr>
                <w:rStyle w:val="normaltextrun"/>
                <w:rFonts w:ascii="Arial" w:hAnsi="Arial" w:cs="Arial"/>
                <w:sz w:val="21"/>
                <w:szCs w:val="21"/>
              </w:rPr>
            </w:pPr>
          </w:p>
          <w:p w14:paraId="1DCAE9A8" w14:textId="537EEA8F" w:rsidR="001C1DB8" w:rsidRDefault="728F7460">
            <w:pPr>
              <w:pStyle w:val="paragraph"/>
              <w:spacing w:before="0" w:after="0"/>
              <w:textAlignment w:val="baseline"/>
            </w:pPr>
            <w:r w:rsidRPr="36083F43">
              <w:rPr>
                <w:rStyle w:val="normaltextrun"/>
                <w:rFonts w:ascii="Arial" w:hAnsi="Arial" w:cs="Arial"/>
                <w:sz w:val="21"/>
                <w:szCs w:val="21"/>
              </w:rPr>
              <w:t xml:space="preserve">Senior Military: UK </w:t>
            </w:r>
          </w:p>
          <w:p w14:paraId="5CDA1C13" w14:textId="77777777" w:rsidR="003D7589" w:rsidRDefault="003D7589">
            <w:pPr>
              <w:pStyle w:val="paragraph"/>
              <w:spacing w:before="0" w:after="0"/>
              <w:textAlignment w:val="baseline"/>
              <w:rPr>
                <w:rStyle w:val="normaltextrun"/>
                <w:rFonts w:ascii="Arial" w:hAnsi="Arial" w:cs="Arial"/>
                <w:sz w:val="21"/>
                <w:szCs w:val="21"/>
              </w:rPr>
            </w:pPr>
          </w:p>
          <w:p w14:paraId="6866C4AD" w14:textId="76523C39" w:rsidR="001C1DB8" w:rsidRDefault="009A6F15">
            <w:pPr>
              <w:pStyle w:val="paragraph"/>
              <w:spacing w:before="0" w:after="0"/>
              <w:textAlignment w:val="baseline"/>
            </w:pPr>
            <w:r>
              <w:rPr>
                <w:rStyle w:val="normaltextrun"/>
                <w:rFonts w:ascii="Arial" w:hAnsi="Arial" w:cs="Arial"/>
                <w:sz w:val="21"/>
                <w:szCs w:val="21"/>
              </w:rPr>
              <w:t xml:space="preserve">Salaried </w:t>
            </w:r>
            <w:r w:rsidR="002E3371">
              <w:rPr>
                <w:rStyle w:val="normaltextrun"/>
                <w:rFonts w:ascii="Arial" w:hAnsi="Arial" w:cs="Arial"/>
                <w:sz w:val="21"/>
                <w:szCs w:val="21"/>
              </w:rPr>
              <w:t>judicial officeholders</w:t>
            </w:r>
            <w:r w:rsidR="728F7460" w:rsidRPr="1A2CF5F8">
              <w:rPr>
                <w:rStyle w:val="normaltextrun"/>
                <w:rFonts w:ascii="Arial" w:hAnsi="Arial" w:cs="Arial"/>
                <w:sz w:val="21"/>
                <w:szCs w:val="21"/>
              </w:rPr>
              <w:t>: UK</w:t>
            </w:r>
          </w:p>
          <w:p w14:paraId="48B70CCA" w14:textId="77777777" w:rsidR="003D7589" w:rsidRDefault="003D7589">
            <w:pPr>
              <w:pStyle w:val="paragraph"/>
              <w:spacing w:before="0" w:after="0"/>
              <w:textAlignment w:val="baseline"/>
              <w:rPr>
                <w:rStyle w:val="normaltextrun"/>
                <w:rFonts w:ascii="Arial" w:hAnsi="Arial" w:cs="Arial"/>
                <w:sz w:val="21"/>
                <w:szCs w:val="21"/>
              </w:rPr>
            </w:pPr>
          </w:p>
          <w:p w14:paraId="56F9A523" w14:textId="77777777" w:rsidR="009A51BC" w:rsidRDefault="009A51BC">
            <w:pPr>
              <w:pStyle w:val="paragraph"/>
              <w:spacing w:before="0" w:after="0"/>
              <w:textAlignment w:val="baseline"/>
              <w:rPr>
                <w:rStyle w:val="normaltextrun"/>
                <w:rFonts w:ascii="Arial" w:hAnsi="Arial" w:cs="Arial"/>
                <w:sz w:val="21"/>
                <w:szCs w:val="21"/>
              </w:rPr>
            </w:pPr>
          </w:p>
          <w:p w14:paraId="149909CB" w14:textId="77777777" w:rsidR="009A51BC" w:rsidRDefault="009A51BC">
            <w:pPr>
              <w:pStyle w:val="paragraph"/>
              <w:spacing w:before="0" w:after="0"/>
              <w:textAlignment w:val="baseline"/>
              <w:rPr>
                <w:rStyle w:val="normaltextrun"/>
                <w:rFonts w:ascii="Arial" w:hAnsi="Arial" w:cs="Arial"/>
                <w:sz w:val="21"/>
                <w:szCs w:val="21"/>
              </w:rPr>
            </w:pPr>
          </w:p>
          <w:p w14:paraId="48D45AFC" w14:textId="77777777" w:rsidR="009A51BC" w:rsidRDefault="009A51BC">
            <w:pPr>
              <w:pStyle w:val="paragraph"/>
              <w:spacing w:before="0" w:after="0"/>
              <w:textAlignment w:val="baseline"/>
              <w:rPr>
                <w:rStyle w:val="normaltextrun"/>
                <w:rFonts w:ascii="Arial" w:hAnsi="Arial" w:cs="Arial"/>
                <w:sz w:val="21"/>
                <w:szCs w:val="21"/>
              </w:rPr>
            </w:pPr>
          </w:p>
          <w:p w14:paraId="33CD58E8" w14:textId="77777777" w:rsidR="009A51BC" w:rsidRDefault="009A51BC">
            <w:pPr>
              <w:pStyle w:val="paragraph"/>
              <w:spacing w:before="0" w:after="0"/>
              <w:textAlignment w:val="baseline"/>
              <w:rPr>
                <w:rStyle w:val="normaltextrun"/>
                <w:rFonts w:ascii="Arial" w:hAnsi="Arial" w:cs="Arial"/>
                <w:sz w:val="21"/>
                <w:szCs w:val="21"/>
              </w:rPr>
            </w:pPr>
          </w:p>
          <w:p w14:paraId="0F5450FB" w14:textId="77777777" w:rsidR="009A51BC" w:rsidRDefault="009A51BC">
            <w:pPr>
              <w:pStyle w:val="paragraph"/>
              <w:spacing w:before="0" w:after="0"/>
              <w:textAlignment w:val="baseline"/>
              <w:rPr>
                <w:rStyle w:val="normaltextrun"/>
                <w:rFonts w:ascii="Arial" w:hAnsi="Arial" w:cs="Arial"/>
                <w:sz w:val="21"/>
                <w:szCs w:val="21"/>
              </w:rPr>
            </w:pPr>
          </w:p>
          <w:p w14:paraId="5CD511B4" w14:textId="77777777" w:rsidR="009A51BC" w:rsidRDefault="009A51BC">
            <w:pPr>
              <w:pStyle w:val="paragraph"/>
              <w:spacing w:before="0" w:after="0"/>
              <w:textAlignment w:val="baseline"/>
              <w:rPr>
                <w:rStyle w:val="normaltextrun"/>
                <w:rFonts w:ascii="Arial" w:hAnsi="Arial" w:cs="Arial"/>
                <w:sz w:val="21"/>
                <w:szCs w:val="21"/>
              </w:rPr>
            </w:pPr>
          </w:p>
          <w:p w14:paraId="077E90EA" w14:textId="77777777" w:rsidR="009A51BC" w:rsidRDefault="009A51BC">
            <w:pPr>
              <w:pStyle w:val="paragraph"/>
              <w:spacing w:before="0" w:after="0"/>
              <w:textAlignment w:val="baseline"/>
              <w:rPr>
                <w:rStyle w:val="normaltextrun"/>
                <w:rFonts w:ascii="Arial" w:hAnsi="Arial" w:cs="Arial"/>
                <w:sz w:val="21"/>
                <w:szCs w:val="21"/>
              </w:rPr>
            </w:pPr>
          </w:p>
          <w:p w14:paraId="7FF61369" w14:textId="77777777" w:rsidR="009A51BC" w:rsidRDefault="009A51BC">
            <w:pPr>
              <w:pStyle w:val="paragraph"/>
              <w:spacing w:before="0" w:after="0"/>
              <w:textAlignment w:val="baseline"/>
              <w:rPr>
                <w:rStyle w:val="normaltextrun"/>
                <w:rFonts w:ascii="Arial" w:hAnsi="Arial" w:cs="Arial"/>
                <w:sz w:val="21"/>
                <w:szCs w:val="21"/>
              </w:rPr>
            </w:pPr>
          </w:p>
          <w:p w14:paraId="751409B8" w14:textId="77777777" w:rsidR="009A51BC" w:rsidRDefault="009A51BC">
            <w:pPr>
              <w:pStyle w:val="paragraph"/>
              <w:spacing w:before="0" w:after="0"/>
              <w:textAlignment w:val="baseline"/>
              <w:rPr>
                <w:rStyle w:val="normaltextrun"/>
                <w:rFonts w:ascii="Arial" w:hAnsi="Arial" w:cs="Arial"/>
                <w:sz w:val="21"/>
                <w:szCs w:val="21"/>
              </w:rPr>
            </w:pPr>
          </w:p>
          <w:p w14:paraId="049D3B4C" w14:textId="77777777" w:rsidR="009A51BC" w:rsidRDefault="009A51BC">
            <w:pPr>
              <w:pStyle w:val="paragraph"/>
              <w:spacing w:before="0" w:after="0"/>
              <w:textAlignment w:val="baseline"/>
              <w:rPr>
                <w:rStyle w:val="normaltextrun"/>
                <w:rFonts w:ascii="Arial" w:hAnsi="Arial" w:cs="Arial"/>
                <w:sz w:val="21"/>
                <w:szCs w:val="21"/>
              </w:rPr>
            </w:pPr>
          </w:p>
          <w:p w14:paraId="6866C4AE" w14:textId="05FA135B" w:rsidR="001C1DB8" w:rsidRDefault="00FB2C3B">
            <w:pPr>
              <w:pStyle w:val="paragraph"/>
              <w:spacing w:before="0" w:after="0"/>
              <w:textAlignment w:val="baseline"/>
            </w:pPr>
            <w:r>
              <w:rPr>
                <w:rStyle w:val="normaltextrun"/>
                <w:rFonts w:ascii="Arial" w:hAnsi="Arial" w:cs="Arial"/>
                <w:sz w:val="21"/>
                <w:szCs w:val="21"/>
              </w:rPr>
              <w:t>Senior Health Leaders in the NHS:</w:t>
            </w:r>
          </w:p>
          <w:p w14:paraId="45C91CA4" w14:textId="3DBF97F1" w:rsidR="009412C1" w:rsidRDefault="00FB2C3B">
            <w:pPr>
              <w:pStyle w:val="paragraph"/>
              <w:spacing w:before="0" w:after="0"/>
              <w:textAlignment w:val="baseline"/>
              <w:rPr>
                <w:rStyle w:val="normaltextrun"/>
                <w:rFonts w:ascii="Arial" w:hAnsi="Arial" w:cs="Arial"/>
                <w:sz w:val="21"/>
                <w:szCs w:val="21"/>
              </w:rPr>
            </w:pPr>
            <w:r>
              <w:rPr>
                <w:rStyle w:val="normaltextrun"/>
                <w:rFonts w:ascii="Arial" w:hAnsi="Arial" w:cs="Arial"/>
                <w:sz w:val="21"/>
                <w:szCs w:val="21"/>
              </w:rPr>
              <w:lastRenderedPageBreak/>
              <w:t xml:space="preserve">England </w:t>
            </w:r>
            <w:r w:rsidR="002E3371">
              <w:rPr>
                <w:rStyle w:val="normaltextrun"/>
                <w:rFonts w:ascii="Arial" w:hAnsi="Arial" w:cs="Arial"/>
                <w:sz w:val="21"/>
                <w:szCs w:val="21"/>
              </w:rPr>
              <w:t>and DHSC ALBs</w:t>
            </w:r>
            <w:r w:rsidR="00A64F2A">
              <w:rPr>
                <w:rStyle w:val="normaltextrun"/>
                <w:rFonts w:ascii="Arial" w:hAnsi="Arial" w:cs="Arial"/>
                <w:sz w:val="21"/>
                <w:szCs w:val="21"/>
              </w:rPr>
              <w:t xml:space="preserve"> </w:t>
            </w:r>
            <w:r w:rsidR="00A64F2A">
              <w:rPr>
                <w:rStyle w:val="normaltextrun"/>
                <w:rFonts w:ascii="Arial" w:hAnsi="Arial" w:cs="Arial"/>
                <w:i/>
                <w:iCs/>
                <w:sz w:val="21"/>
                <w:szCs w:val="21"/>
              </w:rPr>
              <w:t>(For 2024/25 report</w:t>
            </w:r>
            <w:r w:rsidR="00B20B11">
              <w:rPr>
                <w:rStyle w:val="normaltextrun"/>
                <w:rFonts w:ascii="Arial" w:hAnsi="Arial" w:cs="Arial"/>
                <w:i/>
                <w:iCs/>
                <w:sz w:val="21"/>
                <w:szCs w:val="21"/>
              </w:rPr>
              <w:t xml:space="preserve"> – standing remit is UK-wide</w:t>
            </w:r>
            <w:r w:rsidR="00A64F2A">
              <w:rPr>
                <w:rStyle w:val="normaltextrun"/>
                <w:rFonts w:ascii="Arial" w:hAnsi="Arial" w:cs="Arial"/>
                <w:i/>
                <w:iCs/>
                <w:sz w:val="21"/>
                <w:szCs w:val="21"/>
              </w:rPr>
              <w:t>)</w:t>
            </w:r>
            <w:r>
              <w:rPr>
                <w:rStyle w:val="normaltextrun"/>
                <w:rFonts w:ascii="Arial" w:hAnsi="Arial" w:cs="Arial"/>
                <w:sz w:val="21"/>
                <w:szCs w:val="21"/>
              </w:rPr>
              <w:t xml:space="preserve"> </w:t>
            </w:r>
          </w:p>
          <w:p w14:paraId="137F924F" w14:textId="3AC6E79F" w:rsidR="00CC7844" w:rsidRDefault="003B4B23">
            <w:pPr>
              <w:pStyle w:val="paragraph"/>
              <w:spacing w:before="0" w:after="0"/>
              <w:textAlignment w:val="baseline"/>
              <w:rPr>
                <w:rStyle w:val="normaltextrun"/>
                <w:rFonts w:ascii="Arial" w:hAnsi="Arial" w:cs="Arial"/>
                <w:sz w:val="21"/>
                <w:szCs w:val="21"/>
              </w:rPr>
            </w:pPr>
            <w:r>
              <w:rPr>
                <w:rStyle w:val="normaltextrun"/>
                <w:rFonts w:ascii="Arial" w:hAnsi="Arial" w:cs="Arial"/>
                <w:sz w:val="21"/>
                <w:szCs w:val="21"/>
              </w:rPr>
              <w:t xml:space="preserve">CPOs: </w:t>
            </w:r>
            <w:r w:rsidR="004E1277">
              <w:rPr>
                <w:rStyle w:val="normaltextrun"/>
                <w:rFonts w:ascii="Arial" w:hAnsi="Arial" w:cs="Arial"/>
                <w:sz w:val="21"/>
                <w:szCs w:val="21"/>
              </w:rPr>
              <w:t>England, Wales &amp; N</w:t>
            </w:r>
            <w:r w:rsidR="00B20B11">
              <w:rPr>
                <w:rStyle w:val="normaltextrun"/>
                <w:rFonts w:ascii="Arial" w:hAnsi="Arial" w:cs="Arial"/>
                <w:sz w:val="21"/>
                <w:szCs w:val="21"/>
              </w:rPr>
              <w:t>orthern Ireland</w:t>
            </w:r>
          </w:p>
          <w:p w14:paraId="6866C4AF" w14:textId="3CF1DCC0" w:rsidR="001C1DB8" w:rsidRDefault="00FB2C3B">
            <w:pPr>
              <w:pStyle w:val="paragraph"/>
              <w:spacing w:before="0" w:after="0"/>
              <w:textAlignment w:val="baseline"/>
            </w:pPr>
            <w:r>
              <w:rPr>
                <w:rStyle w:val="normaltextrun"/>
                <w:rFonts w:ascii="Arial" w:hAnsi="Arial" w:cs="Arial"/>
                <w:sz w:val="21"/>
                <w:szCs w:val="21"/>
              </w:rPr>
              <w:t>PCCs:</w:t>
            </w:r>
            <w:r w:rsidR="00B20B11">
              <w:rPr>
                <w:rStyle w:val="eop"/>
              </w:rPr>
              <w:t xml:space="preserve"> </w:t>
            </w:r>
          </w:p>
          <w:p w14:paraId="6866C4B0" w14:textId="25AE7D6E" w:rsidR="001C1DB8" w:rsidRDefault="00FB2C3B">
            <w:r>
              <w:rPr>
                <w:rStyle w:val="normaltextrun"/>
                <w:sz w:val="21"/>
                <w:szCs w:val="21"/>
              </w:rPr>
              <w:t>England &amp; Wales.</w:t>
            </w:r>
          </w:p>
        </w:tc>
      </w:tr>
      <w:tr w:rsidR="001C1DB8" w14:paraId="6866C4BC" w14:textId="77777777" w:rsidTr="12F99BFE">
        <w:trPr>
          <w:trHeight w:val="2278"/>
        </w:trPr>
        <w:tc>
          <w:tcPr>
            <w:tcW w:w="1129"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B2" w14:textId="77777777" w:rsidR="001C1DB8" w:rsidRDefault="00FB2C3B">
            <w:r>
              <w:rPr>
                <w:b/>
                <w:bCs/>
                <w:sz w:val="21"/>
                <w:szCs w:val="21"/>
              </w:rPr>
              <w:lastRenderedPageBreak/>
              <w:t>STRB</w:t>
            </w:r>
          </w:p>
        </w:tc>
        <w:tc>
          <w:tcPr>
            <w:tcW w:w="1134"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B3" w14:textId="77777777" w:rsidR="001C1DB8" w:rsidRDefault="00FB2C3B">
            <w:r>
              <w:rPr>
                <w:sz w:val="21"/>
                <w:szCs w:val="21"/>
              </w:rPr>
              <w:t>Statutory</w:t>
            </w:r>
          </w:p>
        </w:tc>
        <w:tc>
          <w:tcPr>
            <w:tcW w:w="141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B4" w14:textId="77777777" w:rsidR="001C1DB8" w:rsidRDefault="00FB2C3B">
            <w:r>
              <w:rPr>
                <w:sz w:val="21"/>
                <w:szCs w:val="21"/>
              </w:rPr>
              <w:t>Department for Education</w:t>
            </w:r>
          </w:p>
        </w:tc>
        <w:tc>
          <w:tcPr>
            <w:tcW w:w="212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B5" w14:textId="77777777" w:rsidR="001C1DB8" w:rsidRDefault="00FB2C3B">
            <w:r>
              <w:rPr>
                <w:sz w:val="21"/>
                <w:szCs w:val="21"/>
              </w:rPr>
              <w:t xml:space="preserve">Teachers, including head teachers, in local </w:t>
            </w:r>
            <w:proofErr w:type="gramStart"/>
            <w:r>
              <w:rPr>
                <w:sz w:val="21"/>
                <w:szCs w:val="21"/>
              </w:rPr>
              <w:t>authority maintained</w:t>
            </w:r>
            <w:proofErr w:type="gramEnd"/>
            <w:r>
              <w:rPr>
                <w:sz w:val="21"/>
                <w:szCs w:val="21"/>
              </w:rPr>
              <w:t xml:space="preserve"> schools and services in England</w:t>
            </w:r>
          </w:p>
        </w:tc>
        <w:tc>
          <w:tcPr>
            <w:tcW w:w="368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B6" w14:textId="77777777" w:rsidR="001C1DB8" w:rsidRDefault="00FB2C3B">
            <w:pPr>
              <w:rPr>
                <w:sz w:val="21"/>
                <w:szCs w:val="21"/>
              </w:rPr>
            </w:pPr>
            <w:r>
              <w:rPr>
                <w:sz w:val="21"/>
                <w:szCs w:val="21"/>
              </w:rPr>
              <w:t xml:space="preserve">Department for Education, National Employers’ Organisation for School Teachers, National Governance Association, Association of School and College Leaders, British Association of Teachers of the Deaf, National Association of Head Teachers, </w:t>
            </w:r>
          </w:p>
          <w:p w14:paraId="6866C4B7" w14:textId="51914260" w:rsidR="001C1DB8" w:rsidRDefault="00FB2C3B">
            <w:pPr>
              <w:rPr>
                <w:sz w:val="21"/>
                <w:szCs w:val="21"/>
              </w:rPr>
            </w:pPr>
            <w:r>
              <w:rPr>
                <w:sz w:val="21"/>
                <w:szCs w:val="21"/>
              </w:rPr>
              <w:t xml:space="preserve">NASUWT, National Education Union, </w:t>
            </w:r>
            <w:r w:rsidR="001478BB">
              <w:rPr>
                <w:sz w:val="21"/>
                <w:szCs w:val="21"/>
              </w:rPr>
              <w:t>Community</w:t>
            </w:r>
          </w:p>
        </w:tc>
        <w:tc>
          <w:tcPr>
            <w:tcW w:w="1417"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B8" w14:textId="21C1B73B" w:rsidR="001C1DB8" w:rsidRDefault="217710FA">
            <w:pPr>
              <w:rPr>
                <w:sz w:val="21"/>
                <w:szCs w:val="21"/>
              </w:rPr>
            </w:pPr>
            <w:r w:rsidRPr="55254A9A">
              <w:rPr>
                <w:sz w:val="21"/>
                <w:szCs w:val="21"/>
              </w:rPr>
              <w:t>198</w:t>
            </w:r>
            <w:r w:rsidR="00FB2C3B">
              <w:rPr>
                <w:sz w:val="21"/>
                <w:szCs w:val="21"/>
              </w:rPr>
              <w:t>,000 (headcount)</w:t>
            </w:r>
          </w:p>
          <w:p w14:paraId="6866C4B9" w14:textId="14B0E6B1" w:rsidR="001C1DB8" w:rsidRDefault="76E9A3BB">
            <w:r w:rsidRPr="08FF6987">
              <w:rPr>
                <w:sz w:val="21"/>
                <w:szCs w:val="21"/>
              </w:rPr>
              <w:t>177</w:t>
            </w:r>
            <w:r w:rsidR="00FB2C3B">
              <w:rPr>
                <w:sz w:val="21"/>
                <w:szCs w:val="21"/>
              </w:rPr>
              <w:t>,000 (FTE)</w:t>
            </w:r>
          </w:p>
        </w:tc>
        <w:tc>
          <w:tcPr>
            <w:tcW w:w="1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BA" w14:textId="7614B447" w:rsidR="001C1DB8" w:rsidRDefault="00FB2C3B">
            <w:r>
              <w:rPr>
                <w:sz w:val="21"/>
                <w:szCs w:val="21"/>
              </w:rPr>
              <w:t>£1</w:t>
            </w:r>
            <w:r w:rsidR="00021D20">
              <w:rPr>
                <w:sz w:val="21"/>
                <w:szCs w:val="21"/>
              </w:rPr>
              <w:t>2.</w:t>
            </w:r>
            <w:r w:rsidR="14076F8D" w:rsidRPr="3F23D6AB">
              <w:rPr>
                <w:sz w:val="21"/>
                <w:szCs w:val="21"/>
              </w:rPr>
              <w:t>9</w:t>
            </w:r>
            <w:r>
              <w:rPr>
                <w:i/>
                <w:sz w:val="21"/>
                <w:szCs w:val="21"/>
              </w:rPr>
              <w:t xml:space="preserve"> </w:t>
            </w:r>
            <w:r>
              <w:rPr>
                <w:sz w:val="21"/>
                <w:szCs w:val="21"/>
              </w:rPr>
              <w:t>billion</w:t>
            </w:r>
          </w:p>
        </w:tc>
        <w:tc>
          <w:tcPr>
            <w:tcW w:w="1309"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Mar>
              <w:top w:w="0" w:type="dxa"/>
              <w:left w:w="108" w:type="dxa"/>
              <w:bottom w:w="0" w:type="dxa"/>
              <w:right w:w="108" w:type="dxa"/>
            </w:tcMar>
          </w:tcPr>
          <w:p w14:paraId="6866C4BB" w14:textId="77777777" w:rsidR="001C1DB8" w:rsidRDefault="00FB2C3B">
            <w:r>
              <w:rPr>
                <w:sz w:val="21"/>
                <w:szCs w:val="21"/>
              </w:rPr>
              <w:t>England</w:t>
            </w:r>
          </w:p>
        </w:tc>
      </w:tr>
    </w:tbl>
    <w:p w14:paraId="6866C4BD" w14:textId="77777777" w:rsidR="001C1DB8" w:rsidRDefault="001C1DB8">
      <w:pPr>
        <w:rPr>
          <w:sz w:val="20"/>
          <w:szCs w:val="20"/>
        </w:rPr>
      </w:pPr>
    </w:p>
    <w:p w14:paraId="6866C4BE" w14:textId="77777777" w:rsidR="001C1DB8" w:rsidRDefault="00FB2C3B">
      <w:pPr>
        <w:rPr>
          <w:b/>
          <w:bCs/>
          <w:sz w:val="20"/>
          <w:szCs w:val="20"/>
        </w:rPr>
      </w:pPr>
      <w:r>
        <w:rPr>
          <w:b/>
          <w:bCs/>
          <w:sz w:val="20"/>
          <w:szCs w:val="20"/>
        </w:rPr>
        <w:t>Notes:</w:t>
      </w:r>
    </w:p>
    <w:p w14:paraId="6866C4BF" w14:textId="56177276" w:rsidR="001C1DB8" w:rsidRDefault="00FB2C3B" w:rsidP="00A60884">
      <w:pPr>
        <w:pStyle w:val="ListParagraph"/>
        <w:numPr>
          <w:ilvl w:val="0"/>
          <w:numId w:val="6"/>
        </w:numPr>
        <w:rPr>
          <w:sz w:val="20"/>
          <w:szCs w:val="20"/>
        </w:rPr>
      </w:pPr>
      <w:r>
        <w:rPr>
          <w:sz w:val="20"/>
          <w:szCs w:val="20"/>
        </w:rPr>
        <w:t>The figures above are O</w:t>
      </w:r>
      <w:r w:rsidR="002707B5">
        <w:rPr>
          <w:sz w:val="20"/>
          <w:szCs w:val="20"/>
        </w:rPr>
        <w:t>PRB</w:t>
      </w:r>
      <w:r>
        <w:rPr>
          <w:sz w:val="20"/>
          <w:szCs w:val="20"/>
        </w:rPr>
        <w:t xml:space="preserve"> estimates relating to </w:t>
      </w:r>
      <w:r w:rsidRPr="090D35EA">
        <w:rPr>
          <w:sz w:val="20"/>
          <w:szCs w:val="20"/>
        </w:rPr>
        <w:t>202</w:t>
      </w:r>
      <w:r w:rsidR="2F4C33D3" w:rsidRPr="090D35EA">
        <w:rPr>
          <w:sz w:val="20"/>
          <w:szCs w:val="20"/>
        </w:rPr>
        <w:t>4</w:t>
      </w:r>
      <w:r w:rsidRPr="090D35EA">
        <w:rPr>
          <w:sz w:val="20"/>
          <w:szCs w:val="20"/>
        </w:rPr>
        <w:t>-2</w:t>
      </w:r>
      <w:r w:rsidR="62C501FF" w:rsidRPr="090D35EA">
        <w:rPr>
          <w:sz w:val="20"/>
          <w:szCs w:val="20"/>
        </w:rPr>
        <w:t>5</w:t>
      </w:r>
      <w:r>
        <w:rPr>
          <w:sz w:val="20"/>
          <w:szCs w:val="20"/>
        </w:rPr>
        <w:t xml:space="preserve"> and mostly made in </w:t>
      </w:r>
      <w:r w:rsidR="00F35509" w:rsidRPr="36083F43">
        <w:rPr>
          <w:sz w:val="20"/>
          <w:szCs w:val="20"/>
        </w:rPr>
        <w:t xml:space="preserve">November </w:t>
      </w:r>
      <w:r w:rsidR="00A96F0D" w:rsidRPr="090D35EA">
        <w:rPr>
          <w:sz w:val="20"/>
          <w:szCs w:val="20"/>
        </w:rPr>
        <w:t>202</w:t>
      </w:r>
      <w:r w:rsidR="3CA16E34" w:rsidRPr="090D35EA">
        <w:rPr>
          <w:sz w:val="20"/>
          <w:szCs w:val="20"/>
        </w:rPr>
        <w:t>5</w:t>
      </w:r>
      <w:r w:rsidRPr="090D35EA">
        <w:rPr>
          <w:sz w:val="20"/>
          <w:szCs w:val="20"/>
        </w:rPr>
        <w:t>.</w:t>
      </w:r>
      <w:r>
        <w:rPr>
          <w:sz w:val="20"/>
          <w:szCs w:val="20"/>
        </w:rPr>
        <w:t xml:space="preserve"> They give a general indication of orders of magnitude but have not been compiled on a wholly consistent basis due to the different nature of the data sources, timing, and methodological approaches.</w:t>
      </w:r>
    </w:p>
    <w:p w14:paraId="6866C4C1" w14:textId="7632F648" w:rsidR="001C1DB8" w:rsidRPr="007D6356" w:rsidRDefault="00FB2C3B" w:rsidP="00A60884">
      <w:pPr>
        <w:pStyle w:val="ListParagraph"/>
        <w:numPr>
          <w:ilvl w:val="0"/>
          <w:numId w:val="6"/>
        </w:numPr>
        <w:rPr>
          <w:sz w:val="20"/>
          <w:szCs w:val="20"/>
        </w:rPr>
      </w:pPr>
      <w:r>
        <w:rPr>
          <w:sz w:val="20"/>
          <w:szCs w:val="20"/>
        </w:rPr>
        <w:t>DDRB figures include GPs and GDPs as well as salaried staff.</w:t>
      </w:r>
    </w:p>
    <w:p w14:paraId="6866C4C3" w14:textId="13550633" w:rsidR="001C1DB8" w:rsidRDefault="00FB2C3B" w:rsidP="00A60884">
      <w:pPr>
        <w:pStyle w:val="ListParagraph"/>
        <w:numPr>
          <w:ilvl w:val="0"/>
          <w:numId w:val="6"/>
        </w:numPr>
        <w:rPr>
          <w:sz w:val="20"/>
          <w:szCs w:val="20"/>
        </w:rPr>
        <w:sectPr w:rsidR="001C1DB8" w:rsidSect="00170908">
          <w:headerReference w:type="default" r:id="rId21"/>
          <w:footerReference w:type="default" r:id="rId22"/>
          <w:pgSz w:w="16838" w:h="11906" w:orient="landscape"/>
          <w:pgMar w:top="1440" w:right="1440" w:bottom="1440" w:left="1440" w:header="720" w:footer="720" w:gutter="0"/>
          <w:cols w:space="720"/>
        </w:sectPr>
      </w:pPr>
      <w:r>
        <w:rPr>
          <w:sz w:val="20"/>
          <w:szCs w:val="20"/>
        </w:rPr>
        <w:t xml:space="preserve">The STRB’s figures relate to maintained schools in England for </w:t>
      </w:r>
      <w:r w:rsidRPr="62222C4B">
        <w:rPr>
          <w:sz w:val="20"/>
          <w:szCs w:val="20"/>
        </w:rPr>
        <w:t>202</w:t>
      </w:r>
      <w:r w:rsidR="18FD37D4" w:rsidRPr="62222C4B">
        <w:rPr>
          <w:sz w:val="20"/>
          <w:szCs w:val="20"/>
        </w:rPr>
        <w:t>4</w:t>
      </w:r>
      <w:r w:rsidRPr="62222C4B">
        <w:rPr>
          <w:sz w:val="20"/>
          <w:szCs w:val="20"/>
        </w:rPr>
        <w:t>-2</w:t>
      </w:r>
      <w:r w:rsidR="2012160E" w:rsidRPr="62222C4B">
        <w:rPr>
          <w:sz w:val="20"/>
          <w:szCs w:val="20"/>
        </w:rPr>
        <w:t>5</w:t>
      </w:r>
      <w:r w:rsidRPr="62222C4B">
        <w:rPr>
          <w:sz w:val="20"/>
          <w:szCs w:val="20"/>
        </w:rPr>
        <w:t>.</w:t>
      </w:r>
      <w:r>
        <w:rPr>
          <w:sz w:val="20"/>
          <w:szCs w:val="20"/>
        </w:rPr>
        <w:t xml:space="preserve"> Academy schools are not formally part of the STRB’s remit group but, in practice, many choose to use the national teachers’ pay and conditions framework. The combined annual </w:t>
      </w:r>
      <w:proofErr w:type="spellStart"/>
      <w:r>
        <w:rPr>
          <w:sz w:val="20"/>
          <w:szCs w:val="20"/>
        </w:rPr>
        <w:t>paybill</w:t>
      </w:r>
      <w:proofErr w:type="spellEnd"/>
      <w:r>
        <w:rPr>
          <w:sz w:val="20"/>
          <w:szCs w:val="20"/>
        </w:rPr>
        <w:t xml:space="preserve"> for all state-funded schools in England (local authority-maintained schools and academies) is £</w:t>
      </w:r>
      <w:r w:rsidR="42651A31" w:rsidRPr="3F23D6AB">
        <w:rPr>
          <w:sz w:val="20"/>
          <w:szCs w:val="20"/>
        </w:rPr>
        <w:t>34.0</w:t>
      </w:r>
      <w:r>
        <w:rPr>
          <w:sz w:val="20"/>
          <w:szCs w:val="20"/>
        </w:rPr>
        <w:t xml:space="preserve"> billion, and the number of teachers is </w:t>
      </w:r>
      <w:r w:rsidRPr="62222C4B">
        <w:rPr>
          <w:sz w:val="20"/>
          <w:szCs w:val="20"/>
        </w:rPr>
        <w:t>51</w:t>
      </w:r>
      <w:r w:rsidR="1A792257" w:rsidRPr="62222C4B">
        <w:rPr>
          <w:sz w:val="20"/>
          <w:szCs w:val="20"/>
        </w:rPr>
        <w:t>3</w:t>
      </w:r>
      <w:r>
        <w:rPr>
          <w:sz w:val="20"/>
          <w:szCs w:val="20"/>
        </w:rPr>
        <w:t xml:space="preserve">,000 (headcount) / </w:t>
      </w:r>
      <w:r w:rsidRPr="62222C4B">
        <w:rPr>
          <w:sz w:val="20"/>
          <w:szCs w:val="20"/>
        </w:rPr>
        <w:t>46</w:t>
      </w:r>
      <w:r w:rsidR="0AE519E3" w:rsidRPr="62222C4B">
        <w:rPr>
          <w:sz w:val="20"/>
          <w:szCs w:val="20"/>
        </w:rPr>
        <w:t>8</w:t>
      </w:r>
      <w:r>
        <w:rPr>
          <w:sz w:val="20"/>
          <w:szCs w:val="20"/>
        </w:rPr>
        <w:t>,000 (FTE). </w:t>
      </w:r>
    </w:p>
    <w:p w14:paraId="6866C4C9" w14:textId="67E456C3" w:rsidR="001C1DB8" w:rsidRPr="00522FE3" w:rsidRDefault="00FB2C3B" w:rsidP="00522FE3">
      <w:pPr>
        <w:pStyle w:val="Heading2"/>
      </w:pPr>
      <w:bookmarkStart w:id="14" w:name="_Toc188365113"/>
      <w:r w:rsidRPr="00B106F3">
        <w:lastRenderedPageBreak/>
        <w:t>Con</w:t>
      </w:r>
      <w:r w:rsidRPr="00B106F3">
        <w:rPr>
          <w:spacing w:val="-2"/>
        </w:rPr>
        <w:t>t</w:t>
      </w:r>
      <w:r w:rsidRPr="00B106F3">
        <w:t xml:space="preserve">ext and </w:t>
      </w:r>
      <w:r w:rsidR="001B0131" w:rsidRPr="00B106F3">
        <w:rPr>
          <w:spacing w:val="-2"/>
        </w:rPr>
        <w:t>G</w:t>
      </w:r>
      <w:r w:rsidRPr="00B106F3">
        <w:rPr>
          <w:spacing w:val="-2"/>
        </w:rPr>
        <w:t>overnment</w:t>
      </w:r>
      <w:r w:rsidRPr="00B106F3">
        <w:t xml:space="preserve"> </w:t>
      </w:r>
      <w:r w:rsidR="000617C2">
        <w:t>remits</w:t>
      </w:r>
      <w:r w:rsidRPr="00B106F3">
        <w:t xml:space="preserve"> </w:t>
      </w:r>
      <w:r w:rsidR="00656A75">
        <w:t xml:space="preserve">during </w:t>
      </w:r>
      <w:bookmarkEnd w:id="14"/>
      <w:r w:rsidR="00656A75">
        <w:t>202</w:t>
      </w:r>
      <w:r w:rsidR="00D74075">
        <w:t>4</w:t>
      </w:r>
      <w:r w:rsidR="00C0370D">
        <w:t>/</w:t>
      </w:r>
      <w:r w:rsidR="00656A75">
        <w:t>2</w:t>
      </w:r>
      <w:r w:rsidR="00D74075">
        <w:t>5</w:t>
      </w:r>
    </w:p>
    <w:p w14:paraId="50BA0E3E" w14:textId="02AB8B9C" w:rsidR="00F75A8E" w:rsidRPr="0053034A" w:rsidRDefault="00950A0A" w:rsidP="00A60884">
      <w:pPr>
        <w:pStyle w:val="BodyText"/>
        <w:numPr>
          <w:ilvl w:val="0"/>
          <w:numId w:val="5"/>
        </w:numPr>
        <w:tabs>
          <w:tab w:val="left" w:pos="3906"/>
        </w:tabs>
        <w:ind w:right="248"/>
      </w:pPr>
      <w:r>
        <w:t>In July 2024 the Cha</w:t>
      </w:r>
      <w:r w:rsidR="00522A1E">
        <w:t>n</w:t>
      </w:r>
      <w:r>
        <w:t>c</w:t>
      </w:r>
      <w:r w:rsidR="00522A1E">
        <w:t>e</w:t>
      </w:r>
      <w:r>
        <w:t xml:space="preserve">llor </w:t>
      </w:r>
      <w:r w:rsidR="006E7B46">
        <w:t>signaled</w:t>
      </w:r>
      <w:r w:rsidR="00522A1E">
        <w:t xml:space="preserve"> the </w:t>
      </w:r>
      <w:r w:rsidR="00522A1E" w:rsidRPr="00522A1E">
        <w:rPr>
          <w:lang w:val="en-GB"/>
        </w:rPr>
        <w:t xml:space="preserve">government’s intention to announce pay awards as close to the start of the pay year of 1 April as possible for </w:t>
      </w:r>
      <w:r w:rsidR="007D5915" w:rsidRPr="00522406">
        <w:rPr>
          <w:lang w:val="en-GB"/>
        </w:rPr>
        <w:t>2025/26</w:t>
      </w:r>
      <w:r w:rsidR="00522A1E" w:rsidRPr="00522A1E">
        <w:rPr>
          <w:lang w:val="en-GB"/>
        </w:rPr>
        <w:t>. </w:t>
      </w:r>
    </w:p>
    <w:p w14:paraId="50CAEAB2" w14:textId="77777777" w:rsidR="00522A1E" w:rsidRPr="0053034A" w:rsidRDefault="00522A1E" w:rsidP="00B15DEF">
      <w:pPr>
        <w:pStyle w:val="BodyText"/>
        <w:tabs>
          <w:tab w:val="left" w:pos="3906"/>
        </w:tabs>
        <w:ind w:left="720" w:right="248"/>
      </w:pPr>
    </w:p>
    <w:p w14:paraId="16E86CDF" w14:textId="50FB17DB" w:rsidR="002333A2" w:rsidRPr="007D6356" w:rsidRDefault="006E7B46" w:rsidP="00A60884">
      <w:pPr>
        <w:pStyle w:val="BodyText"/>
        <w:numPr>
          <w:ilvl w:val="0"/>
          <w:numId w:val="5"/>
        </w:numPr>
        <w:tabs>
          <w:tab w:val="left" w:pos="3906"/>
        </w:tabs>
        <w:ind w:right="248"/>
      </w:pPr>
      <w:r w:rsidRPr="00B15DEF">
        <w:rPr>
          <w:lang w:val="en-GB"/>
        </w:rPr>
        <w:t>In September 2024</w:t>
      </w:r>
      <w:r>
        <w:rPr>
          <w:lang w:val="en-GB"/>
        </w:rPr>
        <w:t xml:space="preserve"> </w:t>
      </w:r>
      <w:r w:rsidR="00B93706">
        <w:rPr>
          <w:lang w:val="en-GB"/>
        </w:rPr>
        <w:t>t</w:t>
      </w:r>
      <w:r w:rsidR="002333A2">
        <w:rPr>
          <w:lang w:val="en-GB"/>
        </w:rPr>
        <w:t xml:space="preserve">he UK </w:t>
      </w:r>
      <w:r w:rsidR="000617C2" w:rsidRPr="007D6356">
        <w:rPr>
          <w:lang w:val="en-GB"/>
        </w:rPr>
        <w:t xml:space="preserve">Government provided remits </w:t>
      </w:r>
      <w:r w:rsidR="000617C2">
        <w:rPr>
          <w:lang w:val="en-GB"/>
        </w:rPr>
        <w:t xml:space="preserve">for </w:t>
      </w:r>
      <w:r w:rsidR="000617C2" w:rsidRPr="00522406">
        <w:rPr>
          <w:lang w:val="en-GB"/>
        </w:rPr>
        <w:t>202</w:t>
      </w:r>
      <w:r w:rsidR="00F16703" w:rsidRPr="00522406">
        <w:rPr>
          <w:lang w:val="en-GB"/>
        </w:rPr>
        <w:t>5</w:t>
      </w:r>
      <w:r w:rsidR="00C879C4" w:rsidRPr="00522406">
        <w:rPr>
          <w:lang w:val="en-GB"/>
        </w:rPr>
        <w:t>/</w:t>
      </w:r>
      <w:r w:rsidR="00C7139A" w:rsidRPr="00522406">
        <w:rPr>
          <w:lang w:val="en-GB"/>
        </w:rPr>
        <w:t>2</w:t>
      </w:r>
      <w:r w:rsidR="00F16703" w:rsidRPr="00522406">
        <w:rPr>
          <w:lang w:val="en-GB"/>
        </w:rPr>
        <w:t>6</w:t>
      </w:r>
      <w:r w:rsidR="00C7139A">
        <w:rPr>
          <w:lang w:val="en-GB"/>
        </w:rPr>
        <w:t xml:space="preserve"> pay </w:t>
      </w:r>
      <w:r w:rsidR="000617C2" w:rsidRPr="007D6356">
        <w:rPr>
          <w:lang w:val="en-GB"/>
        </w:rPr>
        <w:t xml:space="preserve">to the individual pay review bodies </w:t>
      </w:r>
      <w:r w:rsidR="002333A2">
        <w:rPr>
          <w:lang w:val="en-GB"/>
        </w:rPr>
        <w:t>with remit letters from devolved administrations following where appropriate</w:t>
      </w:r>
      <w:r w:rsidR="000617C2" w:rsidRPr="007D6356">
        <w:rPr>
          <w:lang w:val="en-GB"/>
        </w:rPr>
        <w:t xml:space="preserve">. </w:t>
      </w:r>
    </w:p>
    <w:p w14:paraId="38411DC6" w14:textId="77777777" w:rsidR="002333A2" w:rsidRPr="007D6356" w:rsidRDefault="002333A2" w:rsidP="007D6356">
      <w:pPr>
        <w:pStyle w:val="BodyText"/>
        <w:tabs>
          <w:tab w:val="left" w:pos="3906"/>
        </w:tabs>
        <w:ind w:left="720" w:right="248"/>
      </w:pPr>
    </w:p>
    <w:p w14:paraId="700272D9" w14:textId="16C1779C" w:rsidR="000617C2" w:rsidRPr="007D6356" w:rsidRDefault="000617C2" w:rsidP="00A60884">
      <w:pPr>
        <w:pStyle w:val="BodyText"/>
        <w:numPr>
          <w:ilvl w:val="0"/>
          <w:numId w:val="5"/>
        </w:numPr>
        <w:tabs>
          <w:tab w:val="left" w:pos="3906"/>
        </w:tabs>
        <w:ind w:right="248"/>
      </w:pPr>
      <w:r w:rsidRPr="007D6356">
        <w:rPr>
          <w:lang w:val="en-GB"/>
        </w:rPr>
        <w:t xml:space="preserve">This was much </w:t>
      </w:r>
      <w:r w:rsidR="00452638">
        <w:rPr>
          <w:lang w:val="en-GB"/>
        </w:rPr>
        <w:t>earlier</w:t>
      </w:r>
      <w:r w:rsidR="00452638" w:rsidRPr="007D6356">
        <w:rPr>
          <w:lang w:val="en-GB"/>
        </w:rPr>
        <w:t xml:space="preserve"> </w:t>
      </w:r>
      <w:r w:rsidR="00F52E28">
        <w:rPr>
          <w:lang w:val="en-GB"/>
        </w:rPr>
        <w:t xml:space="preserve">in the calendar year </w:t>
      </w:r>
      <w:r w:rsidRPr="007D6356">
        <w:rPr>
          <w:lang w:val="en-GB"/>
        </w:rPr>
        <w:t xml:space="preserve">than in previous rounds. The HM Treasury economic evidence to the pay review bodies was published on </w:t>
      </w:r>
      <w:r w:rsidR="00D52E5C" w:rsidRPr="00B15DEF">
        <w:rPr>
          <w:lang w:val="en-GB"/>
        </w:rPr>
        <w:t xml:space="preserve">10 December </w:t>
      </w:r>
      <w:r w:rsidRPr="007D6356">
        <w:rPr>
          <w:lang w:val="en-GB"/>
        </w:rPr>
        <w:t>2024</w:t>
      </w:r>
      <w:r w:rsidR="00F52E28" w:rsidRPr="002333A2">
        <w:rPr>
          <w:lang w:val="en-GB"/>
        </w:rPr>
        <w:t xml:space="preserve">, alongside most </w:t>
      </w:r>
      <w:r w:rsidR="002333A2" w:rsidRPr="002333A2">
        <w:rPr>
          <w:lang w:val="en-GB"/>
        </w:rPr>
        <w:t xml:space="preserve">UK Government </w:t>
      </w:r>
      <w:r w:rsidR="00F52E28" w:rsidRPr="002333A2">
        <w:rPr>
          <w:lang w:val="en-GB"/>
        </w:rPr>
        <w:t>departmental evidence.</w:t>
      </w:r>
    </w:p>
    <w:p w14:paraId="4B20404E" w14:textId="77777777" w:rsidR="000617C2" w:rsidRPr="007D6356" w:rsidRDefault="000617C2" w:rsidP="000617C2">
      <w:pPr>
        <w:pStyle w:val="BodyText"/>
        <w:tabs>
          <w:tab w:val="left" w:pos="3906"/>
        </w:tabs>
        <w:ind w:left="0" w:right="248"/>
        <w:rPr>
          <w:b/>
          <w:bCs/>
        </w:rPr>
      </w:pPr>
    </w:p>
    <w:p w14:paraId="417D6688" w14:textId="78AB634B" w:rsidR="000617C2" w:rsidRPr="00522FE3" w:rsidRDefault="000617C2" w:rsidP="00522FE3">
      <w:pPr>
        <w:pStyle w:val="Heading2"/>
      </w:pPr>
      <w:bookmarkStart w:id="15" w:name="_Toc188365114"/>
      <w:r w:rsidRPr="007D6356">
        <w:t>The work of the Pay Review Body Secretariats</w:t>
      </w:r>
      <w:bookmarkEnd w:id="15"/>
    </w:p>
    <w:p w14:paraId="6866C4CA" w14:textId="77777777" w:rsidR="001C1DB8" w:rsidRDefault="00FB2C3B" w:rsidP="00A60884">
      <w:pPr>
        <w:pStyle w:val="BodyText"/>
        <w:numPr>
          <w:ilvl w:val="0"/>
          <w:numId w:val="5"/>
        </w:numPr>
        <w:tabs>
          <w:tab w:val="left" w:pos="3906"/>
        </w:tabs>
        <w:ind w:right="248"/>
      </w:pPr>
      <w:r>
        <w:rPr>
          <w:spacing w:val="1"/>
        </w:rPr>
        <w:t>T</w:t>
      </w:r>
      <w:r>
        <w:rPr>
          <w:spacing w:val="-2"/>
        </w:rPr>
        <w:t>h</w:t>
      </w:r>
      <w:r>
        <w:t>e</w:t>
      </w:r>
      <w:r>
        <w:rPr>
          <w:spacing w:val="-2"/>
        </w:rPr>
        <w:t xml:space="preserve"> </w:t>
      </w:r>
      <w:r>
        <w:rPr>
          <w:spacing w:val="2"/>
        </w:rPr>
        <w:t>f</w:t>
      </w:r>
      <w:r>
        <w:t>ol</w:t>
      </w:r>
      <w:r>
        <w:rPr>
          <w:spacing w:val="-1"/>
        </w:rPr>
        <w:t>l</w:t>
      </w:r>
      <w:r>
        <w:t>o</w:t>
      </w:r>
      <w:r>
        <w:rPr>
          <w:spacing w:val="-3"/>
        </w:rPr>
        <w:t>w</w:t>
      </w:r>
      <w:r>
        <w:t>ing</w:t>
      </w:r>
      <w:r>
        <w:rPr>
          <w:spacing w:val="-1"/>
        </w:rPr>
        <w:t xml:space="preserve"> </w:t>
      </w:r>
      <w:r>
        <w:rPr>
          <w:spacing w:val="1"/>
        </w:rPr>
        <w:t>p</w:t>
      </w:r>
      <w:r>
        <w:rPr>
          <w:spacing w:val="3"/>
        </w:rPr>
        <w:t>a</w:t>
      </w:r>
      <w:r>
        <w:rPr>
          <w:spacing w:val="-2"/>
        </w:rPr>
        <w:t>g</w:t>
      </w:r>
      <w:r>
        <w:t>es s</w:t>
      </w:r>
      <w:r>
        <w:rPr>
          <w:spacing w:val="-2"/>
        </w:rPr>
        <w:t>e</w:t>
      </w:r>
      <w:r>
        <w:t>t out</w:t>
      </w:r>
      <w:r>
        <w:rPr>
          <w:spacing w:val="-2"/>
        </w:rPr>
        <w:t xml:space="preserve"> </w:t>
      </w:r>
      <w:r>
        <w:t>t</w:t>
      </w:r>
      <w:r>
        <w:rPr>
          <w:spacing w:val="-2"/>
        </w:rPr>
        <w:t>h</w:t>
      </w:r>
      <w:r>
        <w:t>e</w:t>
      </w:r>
      <w:r>
        <w:rPr>
          <w:spacing w:val="-2"/>
        </w:rPr>
        <w:t xml:space="preserve"> </w:t>
      </w:r>
      <w:r>
        <w:rPr>
          <w:spacing w:val="1"/>
        </w:rPr>
        <w:t>m</w:t>
      </w:r>
      <w:r>
        <w:t>ain</w:t>
      </w:r>
      <w:r>
        <w:rPr>
          <w:spacing w:val="2"/>
        </w:rPr>
        <w:t xml:space="preserve"> </w:t>
      </w:r>
      <w:r>
        <w:rPr>
          <w:spacing w:val="-3"/>
        </w:rPr>
        <w:t>w</w:t>
      </w:r>
      <w:r>
        <w:t xml:space="preserve">ork </w:t>
      </w:r>
      <w:r>
        <w:rPr>
          <w:spacing w:val="-2"/>
        </w:rPr>
        <w:t>o</w:t>
      </w:r>
      <w:r>
        <w:t>f each</w:t>
      </w:r>
      <w:r>
        <w:rPr>
          <w:spacing w:val="2"/>
        </w:rPr>
        <w:t xml:space="preserve"> </w:t>
      </w:r>
      <w:r>
        <w:rPr>
          <w:spacing w:val="-3"/>
        </w:rPr>
        <w:t>s</w:t>
      </w:r>
      <w:r>
        <w:t>ec</w:t>
      </w:r>
      <w:r>
        <w:rPr>
          <w:spacing w:val="-1"/>
        </w:rPr>
        <w:t>r</w:t>
      </w:r>
      <w:r>
        <w:t>et</w:t>
      </w:r>
      <w:r>
        <w:rPr>
          <w:spacing w:val="1"/>
        </w:rPr>
        <w:t>a</w:t>
      </w:r>
      <w:r>
        <w:t>r</w:t>
      </w:r>
      <w:r>
        <w:rPr>
          <w:spacing w:val="-2"/>
        </w:rPr>
        <w:t>i</w:t>
      </w:r>
      <w:r>
        <w:t>a</w:t>
      </w:r>
      <w:r>
        <w:rPr>
          <w:spacing w:val="-1"/>
        </w:rPr>
        <w:t>t</w:t>
      </w:r>
      <w:r>
        <w:t>,</w:t>
      </w:r>
      <w:r>
        <w:rPr>
          <w:spacing w:val="1"/>
        </w:rPr>
        <w:t xml:space="preserve"> </w:t>
      </w:r>
      <w:r>
        <w:t>incl</w:t>
      </w:r>
      <w:r>
        <w:rPr>
          <w:spacing w:val="-2"/>
        </w:rPr>
        <w:t>u</w:t>
      </w:r>
      <w:r>
        <w:t>ding</w:t>
      </w:r>
      <w:r>
        <w:rPr>
          <w:spacing w:val="-1"/>
        </w:rPr>
        <w:t xml:space="preserve"> </w:t>
      </w:r>
      <w:r>
        <w:t>t</w:t>
      </w:r>
      <w:r>
        <w:rPr>
          <w:spacing w:val="1"/>
        </w:rPr>
        <w:t>h</w:t>
      </w:r>
      <w:r>
        <w:t>e Re</w:t>
      </w:r>
      <w:r>
        <w:rPr>
          <w:spacing w:val="-2"/>
        </w:rPr>
        <w:t>v</w:t>
      </w:r>
      <w:r>
        <w:t>i</w:t>
      </w:r>
      <w:r>
        <w:rPr>
          <w:spacing w:val="2"/>
        </w:rPr>
        <w:t>e</w:t>
      </w:r>
      <w:r>
        <w:t>w</w:t>
      </w:r>
      <w:r>
        <w:rPr>
          <w:spacing w:val="-3"/>
        </w:rPr>
        <w:t xml:space="preserve"> </w:t>
      </w:r>
      <w:r>
        <w:t>Body</w:t>
      </w:r>
      <w:r>
        <w:rPr>
          <w:spacing w:val="-3"/>
        </w:rPr>
        <w:t xml:space="preserve"> </w:t>
      </w:r>
      <w:r>
        <w:t>re</w:t>
      </w:r>
      <w:r>
        <w:rPr>
          <w:spacing w:val="1"/>
        </w:rPr>
        <w:t>p</w:t>
      </w:r>
      <w:r>
        <w:t xml:space="preserve">orts </w:t>
      </w:r>
      <w:r>
        <w:rPr>
          <w:spacing w:val="-2"/>
        </w:rPr>
        <w:t>p</w:t>
      </w:r>
      <w:r>
        <w:t>roduc</w:t>
      </w:r>
      <w:r>
        <w:rPr>
          <w:spacing w:val="-2"/>
        </w:rPr>
        <w:t>e</w:t>
      </w:r>
      <w:r>
        <w:t>d</w:t>
      </w:r>
      <w:r>
        <w:rPr>
          <w:spacing w:val="3"/>
        </w:rPr>
        <w:t xml:space="preserve"> </w:t>
      </w:r>
      <w:r>
        <w:t xml:space="preserve">in </w:t>
      </w:r>
      <w:r>
        <w:rPr>
          <w:spacing w:val="-2"/>
        </w:rPr>
        <w:t>t</w:t>
      </w:r>
      <w:r>
        <w:t xml:space="preserve">he </w:t>
      </w:r>
      <w:r>
        <w:rPr>
          <w:spacing w:val="-2"/>
        </w:rPr>
        <w:t>y</w:t>
      </w:r>
      <w:r>
        <w:t>ear</w:t>
      </w:r>
      <w:r>
        <w:rPr>
          <w:spacing w:val="1"/>
        </w:rPr>
        <w:t xml:space="preserve"> </w:t>
      </w:r>
      <w:r>
        <w:rPr>
          <w:spacing w:val="-2"/>
        </w:rPr>
        <w:t>an</w:t>
      </w:r>
      <w:r>
        <w:t>d t</w:t>
      </w:r>
      <w:r>
        <w:rPr>
          <w:spacing w:val="-2"/>
        </w:rPr>
        <w:t>h</w:t>
      </w:r>
      <w:r>
        <w:rPr>
          <w:spacing w:val="1"/>
        </w:rPr>
        <w:t>e</w:t>
      </w:r>
      <w:r>
        <w:rPr>
          <w:spacing w:val="-1"/>
        </w:rPr>
        <w:t>i</w:t>
      </w:r>
      <w:r>
        <w:t xml:space="preserve">r </w:t>
      </w:r>
      <w:r>
        <w:rPr>
          <w:spacing w:val="1"/>
        </w:rPr>
        <w:t>m</w:t>
      </w:r>
      <w:r>
        <w:t>ain</w:t>
      </w:r>
      <w:r>
        <w:rPr>
          <w:spacing w:val="-1"/>
        </w:rPr>
        <w:t xml:space="preserve"> </w:t>
      </w:r>
      <w:r>
        <w:t>rec</w:t>
      </w:r>
      <w:r>
        <w:rPr>
          <w:spacing w:val="-2"/>
        </w:rPr>
        <w:t>o</w:t>
      </w:r>
      <w:r>
        <w:rPr>
          <w:spacing w:val="-1"/>
        </w:rPr>
        <w:t>m</w:t>
      </w:r>
      <w:r>
        <w:rPr>
          <w:spacing w:val="1"/>
        </w:rPr>
        <w:t>m</w:t>
      </w:r>
      <w:r>
        <w:t>e</w:t>
      </w:r>
      <w:r>
        <w:rPr>
          <w:spacing w:val="-2"/>
        </w:rPr>
        <w:t>n</w:t>
      </w:r>
      <w:r>
        <w:t>dati</w:t>
      </w:r>
      <w:r>
        <w:rPr>
          <w:spacing w:val="-2"/>
        </w:rPr>
        <w:t>o</w:t>
      </w:r>
      <w:r>
        <w:t xml:space="preserve">ns. </w:t>
      </w:r>
      <w:r>
        <w:rPr>
          <w:spacing w:val="1"/>
        </w:rPr>
        <w:t>T</w:t>
      </w:r>
      <w:r>
        <w:rPr>
          <w:spacing w:val="-2"/>
        </w:rPr>
        <w:t>h</w:t>
      </w:r>
      <w:r>
        <w:t>e t</w:t>
      </w:r>
      <w:r>
        <w:rPr>
          <w:spacing w:val="-2"/>
        </w:rPr>
        <w:t>o</w:t>
      </w:r>
      <w:r>
        <w:t>t</w:t>
      </w:r>
      <w:r>
        <w:rPr>
          <w:spacing w:val="1"/>
        </w:rPr>
        <w:t>a</w:t>
      </w:r>
      <w:r>
        <w:t xml:space="preserve">l </w:t>
      </w:r>
      <w:r>
        <w:rPr>
          <w:spacing w:val="-2"/>
        </w:rPr>
        <w:t>nu</w:t>
      </w:r>
      <w:r>
        <w:rPr>
          <w:spacing w:val="1"/>
        </w:rPr>
        <w:t>m</w:t>
      </w:r>
      <w:r>
        <w:t>ber</w:t>
      </w:r>
      <w:r>
        <w:rPr>
          <w:spacing w:val="-3"/>
        </w:rPr>
        <w:t xml:space="preserve"> </w:t>
      </w:r>
      <w:r>
        <w:rPr>
          <w:spacing w:val="-2"/>
        </w:rPr>
        <w:t>o</w:t>
      </w:r>
      <w:r>
        <w:t>f</w:t>
      </w:r>
      <w:r>
        <w:rPr>
          <w:spacing w:val="2"/>
        </w:rPr>
        <w:t xml:space="preserve"> </w:t>
      </w:r>
      <w:r>
        <w:rPr>
          <w:spacing w:val="-2"/>
        </w:rPr>
        <w:t>v</w:t>
      </w:r>
      <w:r>
        <w:t>is</w:t>
      </w:r>
      <w:r>
        <w:rPr>
          <w:spacing w:val="-1"/>
        </w:rPr>
        <w:t>i</w:t>
      </w:r>
      <w:r>
        <w:t xml:space="preserve">ts, </w:t>
      </w:r>
      <w:r>
        <w:rPr>
          <w:spacing w:val="1"/>
        </w:rPr>
        <w:t>m</w:t>
      </w:r>
      <w:r>
        <w:rPr>
          <w:spacing w:val="-2"/>
        </w:rPr>
        <w:t>e</w:t>
      </w:r>
      <w:r>
        <w:t>etin</w:t>
      </w:r>
      <w:r>
        <w:rPr>
          <w:spacing w:val="-2"/>
        </w:rPr>
        <w:t>g</w:t>
      </w:r>
      <w:r>
        <w:t xml:space="preserve">s, </w:t>
      </w:r>
      <w:r>
        <w:rPr>
          <w:spacing w:val="-1"/>
        </w:rPr>
        <w:t>a</w:t>
      </w:r>
      <w:r>
        <w:t>nd r</w:t>
      </w:r>
      <w:r>
        <w:rPr>
          <w:spacing w:val="-2"/>
        </w:rPr>
        <w:t>e</w:t>
      </w:r>
      <w:r>
        <w:t>po</w:t>
      </w:r>
      <w:r>
        <w:rPr>
          <w:spacing w:val="-4"/>
        </w:rPr>
        <w:t>r</w:t>
      </w:r>
      <w:r>
        <w:t>ts</w:t>
      </w:r>
      <w:r>
        <w:rPr>
          <w:spacing w:val="3"/>
        </w:rPr>
        <w:t xml:space="preserve"> </w:t>
      </w:r>
      <w:r>
        <w:rPr>
          <w:spacing w:val="2"/>
        </w:rPr>
        <w:t>f</w:t>
      </w:r>
      <w:r>
        <w:t xml:space="preserve">or </w:t>
      </w:r>
      <w:r>
        <w:rPr>
          <w:spacing w:val="-2"/>
        </w:rPr>
        <w:t>e</w:t>
      </w:r>
      <w:r>
        <w:t>ach Re</w:t>
      </w:r>
      <w:r>
        <w:rPr>
          <w:spacing w:val="-3"/>
        </w:rPr>
        <w:t>v</w:t>
      </w:r>
      <w:r>
        <w:t>iew</w:t>
      </w:r>
      <w:r>
        <w:rPr>
          <w:spacing w:val="-3"/>
        </w:rPr>
        <w:t xml:space="preserve"> </w:t>
      </w:r>
      <w:r>
        <w:t>Body</w:t>
      </w:r>
      <w:r>
        <w:rPr>
          <w:spacing w:val="-3"/>
        </w:rPr>
        <w:t xml:space="preserve"> </w:t>
      </w:r>
      <w:r>
        <w:t>is presented in Annex</w:t>
      </w:r>
      <w:r>
        <w:rPr>
          <w:spacing w:val="-1"/>
        </w:rPr>
        <w:t xml:space="preserve"> </w:t>
      </w:r>
      <w:r>
        <w:t>B.</w:t>
      </w:r>
    </w:p>
    <w:p w14:paraId="6866C4CC" w14:textId="6401BBDC" w:rsidR="001C1DB8" w:rsidRDefault="001C1DB8" w:rsidP="007D6356">
      <w:pPr>
        <w:pStyle w:val="BodyText"/>
        <w:tabs>
          <w:tab w:val="left" w:pos="3906"/>
        </w:tabs>
        <w:ind w:left="720" w:right="435"/>
      </w:pPr>
    </w:p>
    <w:tbl>
      <w:tblPr>
        <w:tblW w:w="9103" w:type="dxa"/>
        <w:tblCellMar>
          <w:left w:w="10" w:type="dxa"/>
          <w:right w:w="10" w:type="dxa"/>
        </w:tblCellMar>
        <w:tblLook w:val="0000" w:firstRow="0" w:lastRow="0" w:firstColumn="0" w:lastColumn="0" w:noHBand="0" w:noVBand="0"/>
      </w:tblPr>
      <w:tblGrid>
        <w:gridCol w:w="9103"/>
      </w:tblGrid>
      <w:tr w:rsidR="001C1DB8" w14:paraId="6866C4CF" w14:textId="77777777" w:rsidTr="003F1E5A">
        <w:trPr>
          <w:trHeight w:val="143"/>
        </w:trPr>
        <w:tc>
          <w:tcPr>
            <w:tcW w:w="9103" w:type="dxa"/>
            <w:tcBorders>
              <w:top w:val="single" w:sz="4" w:space="0" w:color="000000" w:themeColor="text1"/>
              <w:left w:val="single" w:sz="4" w:space="0" w:color="000000" w:themeColor="text1"/>
              <w:bottom w:val="single" w:sz="4" w:space="0" w:color="A5A5A5" w:themeColor="accent3"/>
              <w:right w:val="single" w:sz="4" w:space="0" w:color="000000" w:themeColor="text1"/>
            </w:tcBorders>
            <w:tcMar>
              <w:top w:w="227" w:type="dxa"/>
              <w:left w:w="227" w:type="dxa"/>
              <w:bottom w:w="227" w:type="dxa"/>
              <w:right w:w="227" w:type="dxa"/>
            </w:tcMar>
          </w:tcPr>
          <w:p w14:paraId="306B9FF8" w14:textId="77777777" w:rsidR="001C1DB8" w:rsidRDefault="00FB2C3B">
            <w:pPr>
              <w:pStyle w:val="Heading2"/>
            </w:pPr>
            <w:bookmarkStart w:id="16" w:name="_Toc188365115"/>
            <w:r>
              <w:lastRenderedPageBreak/>
              <w:t>Armed Forces’ Pay Review Body (AFPRB) Secretariat</w:t>
            </w:r>
            <w:bookmarkEnd w:id="16"/>
          </w:p>
          <w:p w14:paraId="3077345B" w14:textId="77777777" w:rsidR="000519A3" w:rsidRDefault="000519A3" w:rsidP="000519A3">
            <w:pPr>
              <w:spacing w:before="0" w:after="0"/>
              <w:textAlignment w:val="baseline"/>
              <w:rPr>
                <w:rFonts w:eastAsia="Times New Roman"/>
                <w:lang w:eastAsia="en-GB"/>
              </w:rPr>
            </w:pPr>
            <w:r>
              <w:rPr>
                <w:rFonts w:eastAsia="Times New Roman"/>
                <w:lang w:eastAsia="en-GB"/>
              </w:rPr>
              <w:t>The AFPRB secretariat supports its Review Body in providing independent advice on the remuneration and charges for members of the Naval, Military and Air Forces of the Crown. </w:t>
            </w:r>
          </w:p>
          <w:p w14:paraId="682049F8" w14:textId="77777777" w:rsidR="000519A3" w:rsidRDefault="000519A3" w:rsidP="000519A3">
            <w:pPr>
              <w:spacing w:before="0" w:after="0"/>
              <w:textAlignment w:val="baseline"/>
            </w:pPr>
            <w:r>
              <w:rPr>
                <w:rFonts w:eastAsia="Times New Roman"/>
                <w:szCs w:val="24"/>
                <w:lang w:eastAsia="en-GB"/>
              </w:rPr>
              <w:t> </w:t>
            </w:r>
          </w:p>
          <w:p w14:paraId="39C290CD" w14:textId="21E27F34" w:rsidR="000519A3" w:rsidRPr="00BD5646" w:rsidRDefault="000519A3" w:rsidP="000519A3">
            <w:pPr>
              <w:spacing w:before="0" w:after="0"/>
              <w:textAlignment w:val="baseline"/>
              <w:rPr>
                <w:rFonts w:eastAsia="Times New Roman"/>
                <w:lang w:eastAsia="en-GB"/>
              </w:rPr>
            </w:pPr>
            <w:r w:rsidRPr="209BD109">
              <w:rPr>
                <w:rFonts w:eastAsia="Times New Roman"/>
                <w:lang w:eastAsia="en-GB"/>
              </w:rPr>
              <w:t xml:space="preserve">In </w:t>
            </w:r>
            <w:r w:rsidR="003F653C" w:rsidRPr="209BD109">
              <w:rPr>
                <w:rFonts w:eastAsia="Times New Roman"/>
                <w:lang w:eastAsia="en-GB"/>
              </w:rPr>
              <w:t>202</w:t>
            </w:r>
            <w:r w:rsidR="003F653C">
              <w:rPr>
                <w:rFonts w:eastAsia="Times New Roman"/>
                <w:lang w:eastAsia="en-GB"/>
              </w:rPr>
              <w:t>4</w:t>
            </w:r>
            <w:r w:rsidRPr="209BD109">
              <w:rPr>
                <w:rFonts w:eastAsia="Times New Roman"/>
                <w:lang w:eastAsia="en-GB"/>
              </w:rPr>
              <w:t>/</w:t>
            </w:r>
            <w:r w:rsidR="003F653C" w:rsidRPr="209BD109">
              <w:rPr>
                <w:rFonts w:eastAsia="Times New Roman"/>
                <w:lang w:eastAsia="en-GB"/>
              </w:rPr>
              <w:t>2</w:t>
            </w:r>
            <w:r w:rsidR="003F653C">
              <w:rPr>
                <w:rFonts w:eastAsia="Times New Roman"/>
                <w:lang w:eastAsia="en-GB"/>
              </w:rPr>
              <w:t>5</w:t>
            </w:r>
            <w:r w:rsidRPr="209BD109">
              <w:rPr>
                <w:rFonts w:eastAsia="Times New Roman"/>
                <w:lang w:eastAsia="en-GB"/>
              </w:rPr>
              <w:t xml:space="preserve">, the AFPRB Secretariat supported the Review Body through its annual remit, covering pay, </w:t>
            </w:r>
            <w:r>
              <w:rPr>
                <w:rFonts w:eastAsia="Times New Roman"/>
                <w:lang w:eastAsia="en-GB"/>
              </w:rPr>
              <w:t xml:space="preserve">compensatory </w:t>
            </w:r>
            <w:r w:rsidRPr="209BD109">
              <w:rPr>
                <w:rFonts w:eastAsia="Times New Roman"/>
                <w:lang w:eastAsia="en-GB"/>
              </w:rPr>
              <w:t xml:space="preserve">allowances and accommodation charges. During this pay review year, the AFPRB’s recommendations were developed against a wide range of evidence and in the context of </w:t>
            </w:r>
            <w:r w:rsidR="00125609">
              <w:rPr>
                <w:rFonts w:eastAsia="Times New Roman"/>
                <w:lang w:eastAsia="en-GB"/>
              </w:rPr>
              <w:t xml:space="preserve">international turbulence unprecedented </w:t>
            </w:r>
            <w:r w:rsidR="001C7507">
              <w:rPr>
                <w:rFonts w:eastAsia="Times New Roman"/>
                <w:lang w:eastAsia="en-GB"/>
              </w:rPr>
              <w:t>in recent years.</w:t>
            </w:r>
            <w:r w:rsidRPr="209BD109">
              <w:rPr>
                <w:rFonts w:eastAsia="Times New Roman"/>
                <w:lang w:eastAsia="en-GB"/>
              </w:rPr>
              <w:t xml:space="preserve"> </w:t>
            </w:r>
          </w:p>
          <w:p w14:paraId="7839DCEA" w14:textId="77777777" w:rsidR="000519A3" w:rsidRPr="00BD5646" w:rsidRDefault="000519A3" w:rsidP="000519A3">
            <w:pPr>
              <w:spacing w:before="0" w:after="0"/>
              <w:textAlignment w:val="baseline"/>
              <w:rPr>
                <w:rFonts w:eastAsia="Times New Roman"/>
                <w:szCs w:val="24"/>
                <w:lang w:eastAsia="en-GB"/>
              </w:rPr>
            </w:pPr>
          </w:p>
          <w:p w14:paraId="5EDCF20B" w14:textId="31B13A9E" w:rsidR="000519A3" w:rsidRPr="00BD5646" w:rsidRDefault="000519A3" w:rsidP="000519A3">
            <w:pPr>
              <w:spacing w:before="0" w:after="0"/>
              <w:textAlignment w:val="baseline"/>
            </w:pPr>
            <w:r w:rsidRPr="00BD5646">
              <w:rPr>
                <w:rFonts w:eastAsia="Times New Roman"/>
                <w:lang w:eastAsia="en-GB"/>
              </w:rPr>
              <w:t>The AFPRB submitted its fifty-</w:t>
            </w:r>
            <w:r w:rsidR="003F653C">
              <w:rPr>
                <w:rFonts w:eastAsia="Times New Roman"/>
                <w:lang w:eastAsia="en-GB"/>
              </w:rPr>
              <w:t>fourth</w:t>
            </w:r>
            <w:r w:rsidR="003F653C" w:rsidRPr="00BD5646">
              <w:rPr>
                <w:rFonts w:eastAsia="Times New Roman"/>
                <w:lang w:eastAsia="en-GB"/>
              </w:rPr>
              <w:t xml:space="preserve"> </w:t>
            </w:r>
            <w:r w:rsidRPr="00BD5646">
              <w:rPr>
                <w:rFonts w:eastAsia="Times New Roman"/>
                <w:lang w:eastAsia="en-GB"/>
              </w:rPr>
              <w:t xml:space="preserve">annual report in </w:t>
            </w:r>
            <w:r w:rsidR="003F653C">
              <w:rPr>
                <w:rFonts w:eastAsia="Times New Roman"/>
                <w:lang w:eastAsia="en-GB"/>
              </w:rPr>
              <w:t>April</w:t>
            </w:r>
            <w:r w:rsidR="003F653C" w:rsidRPr="00BD5646">
              <w:rPr>
                <w:rFonts w:eastAsia="Times New Roman"/>
                <w:lang w:eastAsia="en-GB"/>
              </w:rPr>
              <w:t xml:space="preserve"> </w:t>
            </w:r>
            <w:r w:rsidR="00F87B3C" w:rsidRPr="00BD5646">
              <w:rPr>
                <w:rFonts w:eastAsia="Times New Roman"/>
                <w:lang w:eastAsia="en-GB"/>
              </w:rPr>
              <w:t>202</w:t>
            </w:r>
            <w:r w:rsidR="00F87B3C">
              <w:rPr>
                <w:rFonts w:eastAsia="Times New Roman"/>
                <w:lang w:eastAsia="en-GB"/>
              </w:rPr>
              <w:t>5</w:t>
            </w:r>
            <w:r w:rsidRPr="00BD5646">
              <w:rPr>
                <w:rFonts w:eastAsia="Times New Roman"/>
                <w:lang w:eastAsia="en-GB"/>
              </w:rPr>
              <w:t>. Its main recommendations were</w:t>
            </w:r>
            <w:r>
              <w:rPr>
                <w:rStyle w:val="FootnoteReference"/>
                <w:rFonts w:eastAsia="Times New Roman"/>
                <w:lang w:eastAsia="en-GB"/>
              </w:rPr>
              <w:footnoteReference w:id="10"/>
            </w:r>
            <w:r w:rsidRPr="00BD5646">
              <w:rPr>
                <w:rFonts w:eastAsia="Times New Roman"/>
                <w:lang w:eastAsia="en-GB"/>
              </w:rPr>
              <w:t>: </w:t>
            </w:r>
          </w:p>
          <w:p w14:paraId="5D3E85B5" w14:textId="67FF38FB" w:rsidR="000519A3" w:rsidRPr="00BD5646" w:rsidRDefault="000519A3" w:rsidP="00A60884">
            <w:pPr>
              <w:pStyle w:val="ListParagraph"/>
              <w:numPr>
                <w:ilvl w:val="0"/>
                <w:numId w:val="13"/>
              </w:numPr>
              <w:spacing w:before="0" w:after="0"/>
              <w:rPr>
                <w:rFonts w:eastAsia="Times New Roman"/>
                <w:lang w:eastAsia="en-GB"/>
              </w:rPr>
            </w:pPr>
            <w:r w:rsidRPr="1505E2D0">
              <w:rPr>
                <w:rFonts w:eastAsia="Times New Roman"/>
                <w:lang w:eastAsia="en-GB"/>
              </w:rPr>
              <w:t xml:space="preserve">Rates of base pay to increase by </w:t>
            </w:r>
            <w:r w:rsidR="00307515">
              <w:rPr>
                <w:rFonts w:eastAsia="Times New Roman"/>
                <w:lang w:eastAsia="en-GB"/>
              </w:rPr>
              <w:t>4.5</w:t>
            </w:r>
            <w:r w:rsidRPr="1505E2D0">
              <w:rPr>
                <w:rFonts w:eastAsia="Times New Roman"/>
                <w:lang w:eastAsia="en-GB"/>
              </w:rPr>
              <w:t xml:space="preserve">% for </w:t>
            </w:r>
            <w:r w:rsidR="00307515">
              <w:rPr>
                <w:rFonts w:eastAsia="Times New Roman"/>
                <w:lang w:eastAsia="en-GB"/>
              </w:rPr>
              <w:t>all</w:t>
            </w:r>
            <w:r w:rsidRPr="1505E2D0">
              <w:rPr>
                <w:rFonts w:eastAsia="Times New Roman"/>
                <w:lang w:eastAsia="en-GB"/>
              </w:rPr>
              <w:t xml:space="preserve"> members of our remit group from 1 April </w:t>
            </w:r>
            <w:r w:rsidR="00B93CBD" w:rsidRPr="1505E2D0">
              <w:rPr>
                <w:rFonts w:eastAsia="Times New Roman"/>
                <w:lang w:eastAsia="en-GB"/>
              </w:rPr>
              <w:t>202</w:t>
            </w:r>
            <w:r w:rsidR="00B93CBD">
              <w:rPr>
                <w:rFonts w:eastAsia="Times New Roman"/>
                <w:lang w:eastAsia="en-GB"/>
              </w:rPr>
              <w:t>5</w:t>
            </w:r>
            <w:r w:rsidRPr="1505E2D0">
              <w:rPr>
                <w:rFonts w:eastAsia="Times New Roman"/>
                <w:lang w:eastAsia="en-GB"/>
              </w:rPr>
              <w:t>.</w:t>
            </w:r>
          </w:p>
          <w:p w14:paraId="3456C5AE" w14:textId="77777777" w:rsidR="000519A3" w:rsidRPr="00BD5646" w:rsidRDefault="000519A3" w:rsidP="00A60884">
            <w:pPr>
              <w:pStyle w:val="ListParagraph"/>
              <w:numPr>
                <w:ilvl w:val="0"/>
                <w:numId w:val="13"/>
              </w:numPr>
              <w:spacing w:before="0" w:after="0"/>
              <w:rPr>
                <w:rFonts w:eastAsia="Times New Roman"/>
                <w:lang w:eastAsia="en-GB"/>
              </w:rPr>
            </w:pPr>
            <w:r w:rsidRPr="00BD5646">
              <w:rPr>
                <w:rFonts w:eastAsia="Times New Roman"/>
                <w:lang w:eastAsia="en-GB"/>
              </w:rPr>
              <w:t xml:space="preserve">Recommendations for </w:t>
            </w:r>
            <w:r>
              <w:rPr>
                <w:rFonts w:eastAsia="Times New Roman"/>
                <w:lang w:eastAsia="en-GB"/>
              </w:rPr>
              <w:t>Medical and Dental Officers (MODO)</w:t>
            </w:r>
            <w:r w:rsidRPr="00BD5646">
              <w:rPr>
                <w:rFonts w:eastAsia="Times New Roman"/>
                <w:lang w:eastAsia="en-GB"/>
              </w:rPr>
              <w:t>, including:</w:t>
            </w:r>
          </w:p>
          <w:p w14:paraId="7FEA6851" w14:textId="22F906A4" w:rsidR="000519A3" w:rsidRPr="00BD5646" w:rsidRDefault="000519A3" w:rsidP="00A60884">
            <w:pPr>
              <w:pStyle w:val="ListParagraph"/>
              <w:numPr>
                <w:ilvl w:val="1"/>
                <w:numId w:val="13"/>
              </w:numPr>
              <w:spacing w:before="0" w:after="0"/>
              <w:rPr>
                <w:rFonts w:eastAsia="Times New Roman"/>
                <w:lang w:eastAsia="en-GB"/>
              </w:rPr>
            </w:pPr>
            <w:r>
              <w:rPr>
                <w:rFonts w:eastAsia="Times New Roman"/>
                <w:lang w:eastAsia="en-GB"/>
              </w:rPr>
              <w:t>Some a</w:t>
            </w:r>
            <w:r w:rsidR="006B4DED">
              <w:rPr>
                <w:rFonts w:eastAsia="Times New Roman"/>
                <w:lang w:eastAsia="en-GB"/>
              </w:rPr>
              <w:t xml:space="preserve">mendments </w:t>
            </w:r>
            <w:r>
              <w:rPr>
                <w:rFonts w:eastAsia="Times New Roman"/>
                <w:lang w:eastAsia="en-GB"/>
              </w:rPr>
              <w:t>to MODO pay scales</w:t>
            </w:r>
            <w:r w:rsidR="00786D2C">
              <w:rPr>
                <w:rFonts w:eastAsia="Times New Roman"/>
                <w:lang w:eastAsia="en-GB"/>
              </w:rPr>
              <w:t xml:space="preserve"> for MODOs at OF5 and OF6</w:t>
            </w:r>
            <w:r>
              <w:rPr>
                <w:rFonts w:eastAsia="Times New Roman"/>
                <w:lang w:eastAsia="en-GB"/>
              </w:rPr>
              <w:t>.</w:t>
            </w:r>
          </w:p>
          <w:p w14:paraId="5EB0EFE6" w14:textId="468083D1" w:rsidR="000519A3" w:rsidRPr="00BD5646" w:rsidRDefault="00CF7708" w:rsidP="00A60884">
            <w:pPr>
              <w:pStyle w:val="ListParagraph"/>
              <w:numPr>
                <w:ilvl w:val="1"/>
                <w:numId w:val="13"/>
              </w:numPr>
              <w:spacing w:before="0" w:after="0"/>
              <w:rPr>
                <w:rFonts w:eastAsia="Times New Roman"/>
                <w:lang w:eastAsia="en-GB"/>
              </w:rPr>
            </w:pPr>
            <w:r>
              <w:rPr>
                <w:rFonts w:eastAsia="Times New Roman"/>
                <w:lang w:eastAsia="en-GB"/>
              </w:rPr>
              <w:t xml:space="preserve">The value of the Golden Hello should increase to £100,000 </w:t>
            </w:r>
            <w:r w:rsidR="009E7809">
              <w:rPr>
                <w:rFonts w:eastAsia="Times New Roman"/>
                <w:lang w:eastAsia="en-GB"/>
              </w:rPr>
              <w:t xml:space="preserve">from 1 April 2025 for payment to consultants and registrars </w:t>
            </w:r>
            <w:r w:rsidR="0011524B">
              <w:rPr>
                <w:rFonts w:eastAsia="Times New Roman"/>
                <w:lang w:eastAsia="en-GB"/>
              </w:rPr>
              <w:t>(specialist training year three upwards) in specialisms with a declared delivery workforce capability gap.</w:t>
            </w:r>
          </w:p>
          <w:p w14:paraId="44F029CA" w14:textId="022FBFA1" w:rsidR="000519A3" w:rsidRPr="00BD5646" w:rsidRDefault="000519A3" w:rsidP="00A60884">
            <w:pPr>
              <w:pStyle w:val="ListParagraph"/>
              <w:numPr>
                <w:ilvl w:val="1"/>
                <w:numId w:val="13"/>
              </w:numPr>
              <w:spacing w:before="0" w:after="0"/>
              <w:rPr>
                <w:rFonts w:eastAsia="Times New Roman"/>
                <w:lang w:eastAsia="en-GB"/>
              </w:rPr>
            </w:pPr>
            <w:r w:rsidRPr="00BD5646">
              <w:rPr>
                <w:rFonts w:eastAsia="Times New Roman"/>
                <w:lang w:eastAsia="en-GB"/>
              </w:rPr>
              <w:t xml:space="preserve">The value of Defence Clinical Impact Awards should increase by </w:t>
            </w:r>
            <w:r w:rsidR="00086E3E">
              <w:rPr>
                <w:rFonts w:eastAsia="Times New Roman"/>
                <w:lang w:eastAsia="en-GB"/>
              </w:rPr>
              <w:t>4.5</w:t>
            </w:r>
            <w:r w:rsidRPr="00BD5646">
              <w:rPr>
                <w:rFonts w:eastAsia="Times New Roman"/>
                <w:lang w:eastAsia="en-GB"/>
              </w:rPr>
              <w:t xml:space="preserve">% from 1 April </w:t>
            </w:r>
            <w:r w:rsidR="00086E3E" w:rsidRPr="00BD5646">
              <w:rPr>
                <w:rFonts w:eastAsia="Times New Roman"/>
                <w:lang w:eastAsia="en-GB"/>
              </w:rPr>
              <w:t>202</w:t>
            </w:r>
            <w:r w:rsidR="00086E3E">
              <w:rPr>
                <w:rFonts w:eastAsia="Times New Roman"/>
                <w:lang w:eastAsia="en-GB"/>
              </w:rPr>
              <w:t>5</w:t>
            </w:r>
            <w:r w:rsidRPr="00BD5646">
              <w:rPr>
                <w:rFonts w:eastAsia="Times New Roman"/>
                <w:lang w:eastAsia="en-GB"/>
              </w:rPr>
              <w:t>.</w:t>
            </w:r>
          </w:p>
          <w:p w14:paraId="4C7FFF0D" w14:textId="65566B12" w:rsidR="000519A3" w:rsidRPr="005844BC" w:rsidRDefault="000519A3" w:rsidP="00A60884">
            <w:pPr>
              <w:pStyle w:val="ListParagraph"/>
              <w:numPr>
                <w:ilvl w:val="1"/>
                <w:numId w:val="13"/>
              </w:numPr>
              <w:spacing w:before="0" w:after="0"/>
              <w:rPr>
                <w:rFonts w:eastAsia="Times New Roman"/>
                <w:lang w:eastAsia="en-GB"/>
              </w:rPr>
            </w:pPr>
            <w:r w:rsidRPr="00BD5646">
              <w:rPr>
                <w:rFonts w:eastAsia="Times New Roman"/>
                <w:lang w:eastAsia="en-GB"/>
              </w:rPr>
              <w:t xml:space="preserve">Rates of Trainer Pay should increase by </w:t>
            </w:r>
            <w:r w:rsidR="00086E3E">
              <w:rPr>
                <w:rFonts w:eastAsia="Times New Roman"/>
                <w:lang w:eastAsia="en-GB"/>
              </w:rPr>
              <w:t>4.5</w:t>
            </w:r>
            <w:r w:rsidRPr="00BD5646">
              <w:rPr>
                <w:rFonts w:eastAsia="Times New Roman"/>
                <w:lang w:eastAsia="en-GB"/>
              </w:rPr>
              <w:t>% from 1 April 202</w:t>
            </w:r>
            <w:r w:rsidR="00516E62">
              <w:rPr>
                <w:rFonts w:eastAsia="Times New Roman"/>
                <w:lang w:eastAsia="en-GB"/>
              </w:rPr>
              <w:t>5</w:t>
            </w:r>
            <w:r w:rsidRPr="00BD5646">
              <w:rPr>
                <w:rFonts w:eastAsia="Times New Roman"/>
                <w:lang w:eastAsia="en-GB"/>
              </w:rPr>
              <w:t>.</w:t>
            </w:r>
          </w:p>
          <w:p w14:paraId="7402682B" w14:textId="24C1F1E9" w:rsidR="000519A3" w:rsidRPr="00BD5646" w:rsidRDefault="000519A3" w:rsidP="00A60884">
            <w:pPr>
              <w:pStyle w:val="ListParagraph"/>
              <w:numPr>
                <w:ilvl w:val="0"/>
                <w:numId w:val="12"/>
              </w:numPr>
              <w:spacing w:before="0" w:after="0"/>
              <w:rPr>
                <w:rFonts w:eastAsia="Times New Roman"/>
                <w:lang w:eastAsia="en-GB"/>
              </w:rPr>
            </w:pPr>
            <w:r w:rsidRPr="33DA65E8">
              <w:rPr>
                <w:rFonts w:eastAsia="Times New Roman"/>
                <w:lang w:eastAsia="en-GB"/>
              </w:rPr>
              <w:t xml:space="preserve">All rates of </w:t>
            </w:r>
            <w:r w:rsidR="00381A8A">
              <w:rPr>
                <w:rFonts w:eastAsia="Times New Roman"/>
                <w:lang w:eastAsia="en-GB"/>
              </w:rPr>
              <w:t>Recruitment and Retention Pay</w:t>
            </w:r>
            <w:r w:rsidR="00086E3E">
              <w:rPr>
                <w:rFonts w:eastAsia="Times New Roman"/>
                <w:lang w:eastAsia="en-GB"/>
              </w:rPr>
              <w:t>ments</w:t>
            </w:r>
            <w:r w:rsidR="00381A8A">
              <w:rPr>
                <w:rFonts w:eastAsia="Times New Roman"/>
                <w:lang w:eastAsia="en-GB"/>
              </w:rPr>
              <w:t xml:space="preserve"> (</w:t>
            </w:r>
            <w:r w:rsidRPr="33DA65E8">
              <w:rPr>
                <w:rFonts w:eastAsia="Times New Roman"/>
                <w:lang w:eastAsia="en-GB"/>
              </w:rPr>
              <w:t>RRPs</w:t>
            </w:r>
            <w:r w:rsidR="001F0DA8">
              <w:rPr>
                <w:rFonts w:eastAsia="Times New Roman"/>
                <w:lang w:eastAsia="en-GB"/>
              </w:rPr>
              <w:t>)</w:t>
            </w:r>
            <w:r w:rsidRPr="33DA65E8">
              <w:rPr>
                <w:rFonts w:eastAsia="Times New Roman"/>
                <w:lang w:eastAsia="en-GB"/>
              </w:rPr>
              <w:t xml:space="preserve"> should increase by </w:t>
            </w:r>
            <w:r w:rsidR="00086E3E">
              <w:rPr>
                <w:rFonts w:eastAsia="Times New Roman"/>
                <w:lang w:eastAsia="en-GB"/>
              </w:rPr>
              <w:t>4.5</w:t>
            </w:r>
            <w:r w:rsidRPr="33DA65E8">
              <w:rPr>
                <w:rFonts w:eastAsia="Times New Roman"/>
                <w:lang w:eastAsia="en-GB"/>
              </w:rPr>
              <w:t xml:space="preserve">% from 1 April </w:t>
            </w:r>
            <w:r w:rsidR="00086E3E" w:rsidRPr="33DA65E8">
              <w:rPr>
                <w:rFonts w:eastAsia="Times New Roman"/>
                <w:lang w:eastAsia="en-GB"/>
              </w:rPr>
              <w:t>202</w:t>
            </w:r>
            <w:r w:rsidR="00086E3E">
              <w:rPr>
                <w:rFonts w:eastAsia="Times New Roman"/>
                <w:lang w:eastAsia="en-GB"/>
              </w:rPr>
              <w:t>5</w:t>
            </w:r>
            <w:r w:rsidRPr="33DA65E8">
              <w:rPr>
                <w:rFonts w:eastAsia="Times New Roman"/>
                <w:lang w:eastAsia="en-GB"/>
              </w:rPr>
              <w:t xml:space="preserve">. </w:t>
            </w:r>
          </w:p>
          <w:p w14:paraId="5B4E9FF7" w14:textId="60D969D5" w:rsidR="00086E3E" w:rsidRDefault="00C97896" w:rsidP="00A60884">
            <w:pPr>
              <w:pStyle w:val="ListParagraph"/>
              <w:numPr>
                <w:ilvl w:val="0"/>
                <w:numId w:val="12"/>
              </w:numPr>
              <w:spacing w:before="0" w:after="0"/>
              <w:rPr>
                <w:rFonts w:eastAsia="Times New Roman"/>
                <w:lang w:eastAsia="en-GB"/>
              </w:rPr>
            </w:pPr>
            <w:r>
              <w:rPr>
                <w:rFonts w:eastAsia="Times New Roman"/>
                <w:lang w:eastAsia="en-GB"/>
              </w:rPr>
              <w:t>All rates of the Cyber Skills Payment and all rate</w:t>
            </w:r>
            <w:r w:rsidR="00686CC0">
              <w:rPr>
                <w:rFonts w:eastAsia="Times New Roman"/>
                <w:lang w:eastAsia="en-GB"/>
              </w:rPr>
              <w:t>s</w:t>
            </w:r>
            <w:r>
              <w:rPr>
                <w:rFonts w:eastAsia="Times New Roman"/>
                <w:lang w:eastAsia="en-GB"/>
              </w:rPr>
              <w:t xml:space="preserve"> of the Engineer Supplement Payment should increase by 4.5% from 1 April 2025.</w:t>
            </w:r>
          </w:p>
          <w:p w14:paraId="27D77692" w14:textId="3532D49F" w:rsidR="00314A7D" w:rsidRDefault="00314A7D" w:rsidP="00A60884">
            <w:pPr>
              <w:pStyle w:val="ListParagraph"/>
              <w:numPr>
                <w:ilvl w:val="0"/>
                <w:numId w:val="12"/>
              </w:numPr>
              <w:spacing w:before="0" w:after="0"/>
              <w:rPr>
                <w:rFonts w:eastAsia="Times New Roman"/>
                <w:lang w:eastAsia="en-GB"/>
              </w:rPr>
            </w:pPr>
            <w:r>
              <w:rPr>
                <w:rFonts w:eastAsia="Times New Roman"/>
                <w:lang w:eastAsia="en-GB"/>
              </w:rPr>
              <w:t>To agree to the in</w:t>
            </w:r>
            <w:r w:rsidR="00427A23">
              <w:rPr>
                <w:rFonts w:eastAsia="Times New Roman"/>
                <w:lang w:eastAsia="en-GB"/>
              </w:rPr>
              <w:t>troduction of two retention payments for RN catering services’ personnel.</w:t>
            </w:r>
          </w:p>
          <w:p w14:paraId="1B633ABA" w14:textId="6901DF0A" w:rsidR="000519A3" w:rsidRPr="00BD5646" w:rsidRDefault="000519A3" w:rsidP="00A60884">
            <w:pPr>
              <w:pStyle w:val="ListParagraph"/>
              <w:numPr>
                <w:ilvl w:val="0"/>
                <w:numId w:val="12"/>
              </w:numPr>
              <w:spacing w:before="0" w:after="0"/>
              <w:rPr>
                <w:rFonts w:eastAsia="Times New Roman"/>
                <w:lang w:eastAsia="en-GB"/>
              </w:rPr>
            </w:pPr>
            <w:r w:rsidRPr="00BD5646">
              <w:rPr>
                <w:rFonts w:eastAsia="Times New Roman"/>
                <w:lang w:eastAsia="en-GB"/>
              </w:rPr>
              <w:t xml:space="preserve">An increase of </w:t>
            </w:r>
            <w:r w:rsidR="00272C3B">
              <w:rPr>
                <w:rFonts w:eastAsia="Times New Roman"/>
                <w:lang w:eastAsia="en-GB"/>
              </w:rPr>
              <w:t>4.5</w:t>
            </w:r>
            <w:r w:rsidRPr="00BD5646">
              <w:rPr>
                <w:rFonts w:eastAsia="Times New Roman"/>
                <w:lang w:eastAsia="en-GB"/>
              </w:rPr>
              <w:t xml:space="preserve">% from 1 April </w:t>
            </w:r>
            <w:r w:rsidR="00272C3B" w:rsidRPr="00BD5646">
              <w:rPr>
                <w:rFonts w:eastAsia="Times New Roman"/>
                <w:lang w:eastAsia="en-GB"/>
              </w:rPr>
              <w:t>202</w:t>
            </w:r>
            <w:r w:rsidR="00272C3B">
              <w:rPr>
                <w:rFonts w:eastAsia="Times New Roman"/>
                <w:lang w:eastAsia="en-GB"/>
              </w:rPr>
              <w:t>5</w:t>
            </w:r>
            <w:r w:rsidR="00272C3B" w:rsidRPr="00BD5646">
              <w:rPr>
                <w:rFonts w:eastAsia="Times New Roman"/>
                <w:lang w:eastAsia="en-GB"/>
              </w:rPr>
              <w:t xml:space="preserve"> </w:t>
            </w:r>
            <w:r w:rsidRPr="00BD5646">
              <w:rPr>
                <w:rFonts w:eastAsia="Times New Roman"/>
                <w:lang w:eastAsia="en-GB"/>
              </w:rPr>
              <w:t>to the Volunteer Reserves Training Bounty.</w:t>
            </w:r>
          </w:p>
          <w:p w14:paraId="48D0A3D9" w14:textId="4B40BF18" w:rsidR="000519A3" w:rsidRPr="00BD5646" w:rsidRDefault="000519A3" w:rsidP="00A60884">
            <w:pPr>
              <w:pStyle w:val="ListParagraph"/>
              <w:numPr>
                <w:ilvl w:val="0"/>
                <w:numId w:val="12"/>
              </w:numPr>
              <w:spacing w:before="0" w:after="0"/>
              <w:rPr>
                <w:rFonts w:eastAsia="Times New Roman"/>
                <w:lang w:eastAsia="en-GB"/>
              </w:rPr>
            </w:pPr>
            <w:r w:rsidRPr="00BD5646">
              <w:rPr>
                <w:rFonts w:eastAsia="Times New Roman"/>
                <w:lang w:eastAsia="en-GB"/>
              </w:rPr>
              <w:t xml:space="preserve">An increase of </w:t>
            </w:r>
            <w:r w:rsidR="00272C3B">
              <w:rPr>
                <w:rFonts w:eastAsia="Times New Roman"/>
                <w:lang w:eastAsia="en-GB"/>
              </w:rPr>
              <w:t>4.5</w:t>
            </w:r>
            <w:r w:rsidRPr="00BD5646">
              <w:rPr>
                <w:rFonts w:eastAsia="Times New Roman"/>
                <w:lang w:eastAsia="en-GB"/>
              </w:rPr>
              <w:t xml:space="preserve">% from 1 April </w:t>
            </w:r>
            <w:r w:rsidR="00272C3B" w:rsidRPr="00BD5646">
              <w:rPr>
                <w:rFonts w:eastAsia="Times New Roman"/>
                <w:lang w:eastAsia="en-GB"/>
              </w:rPr>
              <w:t>202</w:t>
            </w:r>
            <w:r w:rsidR="00272C3B">
              <w:rPr>
                <w:rFonts w:eastAsia="Times New Roman"/>
                <w:lang w:eastAsia="en-GB"/>
              </w:rPr>
              <w:t>5</w:t>
            </w:r>
            <w:r w:rsidR="00272C3B" w:rsidRPr="00BD5646">
              <w:rPr>
                <w:rFonts w:eastAsia="Times New Roman"/>
                <w:lang w:eastAsia="en-GB"/>
              </w:rPr>
              <w:t xml:space="preserve"> </w:t>
            </w:r>
            <w:r w:rsidRPr="00BD5646">
              <w:rPr>
                <w:rFonts w:eastAsia="Times New Roman"/>
                <w:lang w:eastAsia="en-GB"/>
              </w:rPr>
              <w:t>to the rates of all compensatory allowances.</w:t>
            </w:r>
          </w:p>
          <w:p w14:paraId="561F4BC1" w14:textId="1BC9243E" w:rsidR="00626595" w:rsidRPr="00BD5646" w:rsidRDefault="00626595" w:rsidP="00A60884">
            <w:pPr>
              <w:pStyle w:val="ListParagraph"/>
              <w:numPr>
                <w:ilvl w:val="0"/>
                <w:numId w:val="12"/>
              </w:numPr>
              <w:spacing w:before="0" w:after="0"/>
              <w:rPr>
                <w:rFonts w:eastAsia="Times New Roman"/>
                <w:lang w:eastAsia="en-GB"/>
              </w:rPr>
            </w:pPr>
            <w:r>
              <w:rPr>
                <w:rFonts w:eastAsia="Times New Roman"/>
                <w:lang w:eastAsia="en-GB"/>
              </w:rPr>
              <w:t>The introduction of the Afloat Environmental Allowance.</w:t>
            </w:r>
          </w:p>
          <w:p w14:paraId="072A911B" w14:textId="77777777" w:rsidR="000519A3" w:rsidRPr="00BD5646" w:rsidRDefault="000519A3" w:rsidP="00A60884">
            <w:pPr>
              <w:pStyle w:val="ListParagraph"/>
              <w:numPr>
                <w:ilvl w:val="0"/>
                <w:numId w:val="12"/>
              </w:numPr>
              <w:spacing w:before="0" w:after="0"/>
              <w:rPr>
                <w:rFonts w:eastAsia="Times New Roman"/>
                <w:lang w:eastAsia="en-GB"/>
              </w:rPr>
            </w:pPr>
            <w:r w:rsidRPr="00BD5646">
              <w:rPr>
                <w:rFonts w:eastAsia="Times New Roman"/>
                <w:lang w:eastAsia="en-GB"/>
              </w:rPr>
              <w:t>Recommendations on Accommodation, including:</w:t>
            </w:r>
          </w:p>
          <w:p w14:paraId="070D610D" w14:textId="3D4AD757" w:rsidR="000519A3" w:rsidRPr="00BD5646" w:rsidRDefault="001F0DA8" w:rsidP="00A60884">
            <w:pPr>
              <w:pStyle w:val="ListParagraph"/>
              <w:numPr>
                <w:ilvl w:val="1"/>
                <w:numId w:val="12"/>
              </w:numPr>
              <w:spacing w:before="0" w:after="0"/>
              <w:rPr>
                <w:rFonts w:eastAsia="Times New Roman"/>
                <w:lang w:eastAsia="en-GB"/>
              </w:rPr>
            </w:pPr>
            <w:r>
              <w:rPr>
                <w:rFonts w:eastAsia="Times New Roman"/>
                <w:lang w:eastAsia="en-GB"/>
              </w:rPr>
              <w:t>Service Family Accommodation (</w:t>
            </w:r>
            <w:r w:rsidR="000519A3" w:rsidRPr="00BD5646">
              <w:rPr>
                <w:rFonts w:eastAsia="Times New Roman"/>
                <w:lang w:eastAsia="en-GB"/>
              </w:rPr>
              <w:t>SFA</w:t>
            </w:r>
            <w:r>
              <w:rPr>
                <w:rFonts w:eastAsia="Times New Roman"/>
                <w:lang w:eastAsia="en-GB"/>
              </w:rPr>
              <w:t>)</w:t>
            </w:r>
            <w:r w:rsidR="000519A3" w:rsidRPr="00BD5646">
              <w:rPr>
                <w:rFonts w:eastAsia="Times New Roman"/>
                <w:lang w:eastAsia="en-GB"/>
              </w:rPr>
              <w:t xml:space="preserve"> Band A</w:t>
            </w:r>
            <w:r w:rsidR="006B2389">
              <w:rPr>
                <w:rFonts w:eastAsia="Times New Roman"/>
                <w:lang w:eastAsia="en-GB"/>
              </w:rPr>
              <w:t>-F</w:t>
            </w:r>
            <w:r w:rsidR="000519A3" w:rsidRPr="00BD5646">
              <w:rPr>
                <w:rFonts w:eastAsia="Times New Roman"/>
                <w:lang w:eastAsia="en-GB"/>
              </w:rPr>
              <w:t xml:space="preserve"> charges should increase by </w:t>
            </w:r>
            <w:r w:rsidR="00D17041">
              <w:rPr>
                <w:rFonts w:eastAsia="Times New Roman"/>
                <w:lang w:eastAsia="en-GB"/>
              </w:rPr>
              <w:t>7.6</w:t>
            </w:r>
            <w:r w:rsidR="000519A3" w:rsidRPr="00BD5646">
              <w:rPr>
                <w:rFonts w:eastAsia="Times New Roman"/>
                <w:lang w:eastAsia="en-GB"/>
              </w:rPr>
              <w:t xml:space="preserve">% </w:t>
            </w:r>
            <w:r w:rsidR="00D17041">
              <w:rPr>
                <w:rFonts w:eastAsia="Times New Roman"/>
                <w:lang w:eastAsia="en-GB"/>
              </w:rPr>
              <w:t>and not be subject to any backdating</w:t>
            </w:r>
            <w:r w:rsidR="000519A3" w:rsidRPr="00BD5646">
              <w:rPr>
                <w:rFonts w:eastAsia="Times New Roman"/>
                <w:lang w:eastAsia="en-GB"/>
              </w:rPr>
              <w:t xml:space="preserve">. </w:t>
            </w:r>
            <w:r w:rsidR="002D6E6F">
              <w:rPr>
                <w:rFonts w:eastAsia="Times New Roman"/>
                <w:lang w:eastAsia="en-GB"/>
              </w:rPr>
              <w:t>There should be no increase to the rates of charges for SFA</w:t>
            </w:r>
            <w:r w:rsidR="00986BA6">
              <w:rPr>
                <w:rFonts w:eastAsia="Times New Roman"/>
                <w:lang w:eastAsia="en-GB"/>
              </w:rPr>
              <w:t xml:space="preserve"> at</w:t>
            </w:r>
            <w:r w:rsidR="002D6E6F">
              <w:rPr>
                <w:rFonts w:eastAsia="Times New Roman"/>
                <w:lang w:eastAsia="en-GB"/>
              </w:rPr>
              <w:t xml:space="preserve"> </w:t>
            </w:r>
            <w:r w:rsidR="00FC0834">
              <w:rPr>
                <w:rFonts w:eastAsia="Times New Roman"/>
                <w:lang w:eastAsia="en-GB"/>
              </w:rPr>
              <w:t>B</w:t>
            </w:r>
            <w:r w:rsidR="002D6E6F">
              <w:rPr>
                <w:rFonts w:eastAsia="Times New Roman"/>
                <w:lang w:eastAsia="en-GB"/>
              </w:rPr>
              <w:t xml:space="preserve">and </w:t>
            </w:r>
            <w:r w:rsidR="00986BA6">
              <w:rPr>
                <w:rFonts w:eastAsia="Times New Roman"/>
                <w:lang w:eastAsia="en-GB"/>
              </w:rPr>
              <w:t>G and below.</w:t>
            </w:r>
          </w:p>
          <w:p w14:paraId="2750D198" w14:textId="4C968F70" w:rsidR="000519A3" w:rsidRPr="00BD5646" w:rsidRDefault="006A7590" w:rsidP="00A60884">
            <w:pPr>
              <w:pStyle w:val="ListParagraph"/>
              <w:numPr>
                <w:ilvl w:val="1"/>
                <w:numId w:val="12"/>
              </w:numPr>
              <w:spacing w:before="0" w:after="0"/>
              <w:rPr>
                <w:rFonts w:eastAsia="Times New Roman"/>
                <w:lang w:eastAsia="en-GB"/>
              </w:rPr>
            </w:pPr>
            <w:r>
              <w:rPr>
                <w:rFonts w:eastAsia="Times New Roman"/>
                <w:lang w:eastAsia="en-GB"/>
              </w:rPr>
              <w:t>N</w:t>
            </w:r>
            <w:r w:rsidR="00C451B8">
              <w:rPr>
                <w:rFonts w:eastAsia="Times New Roman"/>
                <w:lang w:eastAsia="en-GB"/>
              </w:rPr>
              <w:t xml:space="preserve">o increase in the rates of </w:t>
            </w:r>
            <w:r w:rsidR="000519A3" w:rsidRPr="00BD5646">
              <w:rPr>
                <w:rFonts w:eastAsia="Times New Roman"/>
                <w:lang w:eastAsia="en-GB"/>
              </w:rPr>
              <w:t>furniture charges</w:t>
            </w:r>
            <w:r w:rsidR="00C451B8">
              <w:rPr>
                <w:rFonts w:eastAsia="Times New Roman"/>
                <w:lang w:eastAsia="en-GB"/>
              </w:rPr>
              <w:t>.</w:t>
            </w:r>
          </w:p>
          <w:p w14:paraId="62856B97" w14:textId="72C7D4F0" w:rsidR="000519A3" w:rsidRPr="00BD5646" w:rsidRDefault="009A70DB" w:rsidP="00A60884">
            <w:pPr>
              <w:pStyle w:val="ListParagraph"/>
              <w:numPr>
                <w:ilvl w:val="1"/>
                <w:numId w:val="12"/>
              </w:numPr>
              <w:spacing w:before="0" w:after="0"/>
              <w:rPr>
                <w:rFonts w:eastAsia="Times New Roman"/>
                <w:lang w:eastAsia="en-GB"/>
              </w:rPr>
            </w:pPr>
            <w:r>
              <w:rPr>
                <w:rFonts w:eastAsia="Times New Roman"/>
                <w:lang w:eastAsia="en-GB"/>
              </w:rPr>
              <w:t>Single Living Accom</w:t>
            </w:r>
            <w:r w:rsidR="00A8370E">
              <w:rPr>
                <w:rFonts w:eastAsia="Times New Roman"/>
                <w:lang w:eastAsia="en-GB"/>
              </w:rPr>
              <w:t>modation (</w:t>
            </w:r>
            <w:r w:rsidR="000519A3" w:rsidRPr="00BD5646">
              <w:rPr>
                <w:rFonts w:eastAsia="Times New Roman"/>
                <w:lang w:eastAsia="en-GB"/>
              </w:rPr>
              <w:t>SLA</w:t>
            </w:r>
            <w:r w:rsidR="00A8370E">
              <w:rPr>
                <w:rFonts w:eastAsia="Times New Roman"/>
                <w:lang w:eastAsia="en-GB"/>
              </w:rPr>
              <w:t>)</w:t>
            </w:r>
            <w:r w:rsidR="000519A3" w:rsidRPr="00BD5646">
              <w:rPr>
                <w:rFonts w:eastAsia="Times New Roman"/>
                <w:lang w:eastAsia="en-GB"/>
              </w:rPr>
              <w:t xml:space="preserve"> rental charges for Grade 1 should increase by </w:t>
            </w:r>
            <w:r w:rsidR="00A17C28">
              <w:rPr>
                <w:rFonts w:eastAsia="Times New Roman"/>
                <w:lang w:eastAsia="en-GB"/>
              </w:rPr>
              <w:t>7.</w:t>
            </w:r>
            <w:r w:rsidR="000519A3" w:rsidRPr="00BD5646">
              <w:rPr>
                <w:rFonts w:eastAsia="Times New Roman"/>
                <w:lang w:eastAsia="en-GB"/>
              </w:rPr>
              <w:t xml:space="preserve">6% </w:t>
            </w:r>
            <w:r w:rsidR="00F30729">
              <w:rPr>
                <w:rFonts w:eastAsia="Times New Roman"/>
                <w:lang w:eastAsia="en-GB"/>
              </w:rPr>
              <w:t xml:space="preserve">and </w:t>
            </w:r>
            <w:r w:rsidR="000519A3" w:rsidRPr="00BD5646">
              <w:rPr>
                <w:rFonts w:eastAsia="Times New Roman"/>
                <w:lang w:eastAsia="en-GB"/>
              </w:rPr>
              <w:t xml:space="preserve">increases of </w:t>
            </w:r>
            <w:r w:rsidR="009523A8">
              <w:rPr>
                <w:rFonts w:eastAsia="Times New Roman"/>
                <w:lang w:eastAsia="en-GB"/>
              </w:rPr>
              <w:t>5.1</w:t>
            </w:r>
            <w:r w:rsidR="000519A3" w:rsidRPr="00BD5646">
              <w:rPr>
                <w:rFonts w:eastAsia="Times New Roman"/>
                <w:lang w:eastAsia="en-GB"/>
              </w:rPr>
              <w:t>% to Grade 2, 2</w:t>
            </w:r>
            <w:r w:rsidR="009523A8">
              <w:rPr>
                <w:rFonts w:eastAsia="Times New Roman"/>
                <w:lang w:eastAsia="en-GB"/>
              </w:rPr>
              <w:t>.5</w:t>
            </w:r>
            <w:r w:rsidR="000519A3" w:rsidRPr="00BD5646">
              <w:rPr>
                <w:rFonts w:eastAsia="Times New Roman"/>
                <w:lang w:eastAsia="en-GB"/>
              </w:rPr>
              <w:t>% to Grade 3 and no increase to Grade 4 accommodation</w:t>
            </w:r>
            <w:r w:rsidR="00F30729">
              <w:rPr>
                <w:rFonts w:eastAsia="Times New Roman"/>
                <w:lang w:eastAsia="en-GB"/>
              </w:rPr>
              <w:t xml:space="preserve"> and not be subject to any backdating</w:t>
            </w:r>
            <w:r w:rsidR="000519A3" w:rsidRPr="00BD5646">
              <w:rPr>
                <w:rFonts w:eastAsia="Times New Roman"/>
                <w:lang w:eastAsia="en-GB"/>
              </w:rPr>
              <w:t>.</w:t>
            </w:r>
          </w:p>
          <w:p w14:paraId="337D629D" w14:textId="05D31644" w:rsidR="000519A3" w:rsidRPr="00BD5646" w:rsidRDefault="00F30729" w:rsidP="00A60884">
            <w:pPr>
              <w:pStyle w:val="ListParagraph"/>
              <w:numPr>
                <w:ilvl w:val="1"/>
                <w:numId w:val="12"/>
              </w:numPr>
              <w:spacing w:before="0" w:after="0"/>
              <w:rPr>
                <w:rFonts w:eastAsia="Times New Roman"/>
                <w:lang w:eastAsia="en-GB"/>
              </w:rPr>
            </w:pPr>
            <w:r>
              <w:rPr>
                <w:rFonts w:eastAsia="Times New Roman"/>
                <w:lang w:eastAsia="en-GB"/>
              </w:rPr>
              <w:lastRenderedPageBreak/>
              <w:t>C</w:t>
            </w:r>
            <w:r w:rsidR="000519A3" w:rsidRPr="00BD5646">
              <w:rPr>
                <w:rFonts w:eastAsia="Times New Roman"/>
                <w:lang w:eastAsia="en-GB"/>
              </w:rPr>
              <w:t xml:space="preserve">harges for standard garages and carports should increase by </w:t>
            </w:r>
            <w:r>
              <w:rPr>
                <w:rFonts w:eastAsia="Times New Roman"/>
                <w:lang w:eastAsia="en-GB"/>
              </w:rPr>
              <w:t>7.</w:t>
            </w:r>
            <w:r w:rsidR="000519A3" w:rsidRPr="00BD5646">
              <w:rPr>
                <w:rFonts w:eastAsia="Times New Roman"/>
                <w:lang w:eastAsia="en-GB"/>
              </w:rPr>
              <w:t>6%</w:t>
            </w:r>
            <w:r w:rsidR="002A184B">
              <w:rPr>
                <w:rFonts w:eastAsia="Times New Roman"/>
                <w:lang w:eastAsia="en-GB"/>
              </w:rPr>
              <w:t xml:space="preserve"> and not be subject to any backdating</w:t>
            </w:r>
            <w:r w:rsidR="002A184B" w:rsidRPr="00BD5646">
              <w:rPr>
                <w:rFonts w:eastAsia="Times New Roman"/>
                <w:lang w:eastAsia="en-GB"/>
              </w:rPr>
              <w:t>.</w:t>
            </w:r>
            <w:r w:rsidR="000519A3" w:rsidRPr="00BD5646">
              <w:rPr>
                <w:rFonts w:eastAsia="Times New Roman"/>
                <w:lang w:eastAsia="en-GB"/>
              </w:rPr>
              <w:t xml:space="preserve"> </w:t>
            </w:r>
            <w:r w:rsidR="002A184B">
              <w:rPr>
                <w:rFonts w:eastAsia="Times New Roman"/>
                <w:lang w:eastAsia="en-GB"/>
              </w:rPr>
              <w:t>N</w:t>
            </w:r>
            <w:r w:rsidR="000519A3" w:rsidRPr="00BD5646">
              <w:rPr>
                <w:rFonts w:eastAsia="Times New Roman"/>
                <w:lang w:eastAsia="en-GB"/>
              </w:rPr>
              <w:t>o increase for substandard garages and substandard carports.</w:t>
            </w:r>
          </w:p>
          <w:p w14:paraId="6C3CE3F2" w14:textId="77777777" w:rsidR="000519A3" w:rsidRDefault="000519A3" w:rsidP="000519A3">
            <w:pPr>
              <w:spacing w:before="0" w:after="0"/>
              <w:textAlignment w:val="baseline"/>
              <w:rPr>
                <w:rFonts w:eastAsia="Times New Roman"/>
                <w:lang w:eastAsia="en-GB"/>
              </w:rPr>
            </w:pPr>
          </w:p>
          <w:p w14:paraId="77019C9E" w14:textId="6CF2659E" w:rsidR="000519A3" w:rsidRDefault="000519A3" w:rsidP="000519A3">
            <w:r w:rsidRPr="02F3AB16">
              <w:rPr>
                <w:rFonts w:eastAsia="Times New Roman"/>
                <w:lang w:eastAsia="en-GB"/>
              </w:rPr>
              <w:t xml:space="preserve">The </w:t>
            </w:r>
            <w:r>
              <w:rPr>
                <w:rFonts w:eastAsia="Times New Roman"/>
                <w:lang w:eastAsia="en-GB"/>
              </w:rPr>
              <w:t>G</w:t>
            </w:r>
            <w:r w:rsidRPr="02F3AB16">
              <w:rPr>
                <w:rFonts w:eastAsia="Times New Roman"/>
                <w:lang w:eastAsia="en-GB"/>
              </w:rPr>
              <w:t xml:space="preserve">overnment published the report in </w:t>
            </w:r>
            <w:r w:rsidR="002A184B">
              <w:rPr>
                <w:rFonts w:eastAsia="Times New Roman"/>
                <w:lang w:eastAsia="en-GB"/>
              </w:rPr>
              <w:t>May 2025</w:t>
            </w:r>
            <w:r w:rsidR="002A184B" w:rsidRPr="02F3AB16">
              <w:rPr>
                <w:rFonts w:eastAsia="Times New Roman"/>
                <w:lang w:eastAsia="en-GB"/>
              </w:rPr>
              <w:t xml:space="preserve"> </w:t>
            </w:r>
            <w:r w:rsidRPr="02F3AB16">
              <w:rPr>
                <w:rFonts w:eastAsia="Times New Roman"/>
                <w:lang w:eastAsia="en-GB"/>
              </w:rPr>
              <w:t xml:space="preserve">and accepted </w:t>
            </w:r>
            <w:r w:rsidR="002A184B">
              <w:rPr>
                <w:rFonts w:eastAsia="Times New Roman"/>
                <w:lang w:eastAsia="en-GB"/>
              </w:rPr>
              <w:t xml:space="preserve">all </w:t>
            </w:r>
            <w:r w:rsidRPr="02F3AB16">
              <w:rPr>
                <w:rFonts w:eastAsia="Times New Roman"/>
                <w:lang w:eastAsia="en-GB"/>
              </w:rPr>
              <w:t>the recommendations in full.</w:t>
            </w:r>
            <w:r w:rsidRPr="00640F79">
              <w:rPr>
                <w:vertAlign w:val="superscript"/>
              </w:rPr>
              <w:footnoteReference w:id="11"/>
            </w:r>
            <w:r w:rsidR="00B73E74">
              <w:rPr>
                <w:vertAlign w:val="superscript"/>
              </w:rPr>
              <w:t>.</w:t>
            </w:r>
          </w:p>
          <w:p w14:paraId="6866C4CE" w14:textId="77777777" w:rsidR="001C1DB8" w:rsidRDefault="001C1DB8" w:rsidP="00640F79"/>
        </w:tc>
      </w:tr>
    </w:tbl>
    <w:p w14:paraId="6866C4F0" w14:textId="77777777" w:rsidR="001C1DB8" w:rsidRDefault="001C1DB8">
      <w:pPr>
        <w:pageBreakBefore/>
        <w:spacing w:before="0" w:after="160"/>
      </w:pPr>
    </w:p>
    <w:tbl>
      <w:tblPr>
        <w:tblW w:w="9016" w:type="dxa"/>
        <w:tblCellMar>
          <w:left w:w="10" w:type="dxa"/>
          <w:right w:w="10" w:type="dxa"/>
        </w:tblCellMar>
        <w:tblLook w:val="0000" w:firstRow="0" w:lastRow="0" w:firstColumn="0" w:lastColumn="0" w:noHBand="0" w:noVBand="0"/>
      </w:tblPr>
      <w:tblGrid>
        <w:gridCol w:w="9016"/>
      </w:tblGrid>
      <w:tr w:rsidR="001C1DB8" w14:paraId="6866C4F2" w14:textId="77777777" w:rsidTr="5B84DC7A">
        <w:tc>
          <w:tcPr>
            <w:tcW w:w="9016" w:type="dxa"/>
            <w:tcBorders>
              <w:top w:val="single" w:sz="4" w:space="0" w:color="000000" w:themeColor="text1"/>
              <w:left w:val="single" w:sz="4" w:space="0" w:color="000000" w:themeColor="text1"/>
              <w:bottom w:val="single" w:sz="4" w:space="0" w:color="A5A5A5" w:themeColor="accent3"/>
              <w:right w:val="single" w:sz="4" w:space="0" w:color="000000" w:themeColor="text1"/>
            </w:tcBorders>
            <w:tcMar>
              <w:top w:w="227" w:type="dxa"/>
              <w:left w:w="227" w:type="dxa"/>
              <w:bottom w:w="227" w:type="dxa"/>
              <w:right w:w="227" w:type="dxa"/>
            </w:tcMar>
          </w:tcPr>
          <w:p w14:paraId="6866C4F1" w14:textId="77777777" w:rsidR="001C1DB8" w:rsidRDefault="00FB2C3B">
            <w:pPr>
              <w:pStyle w:val="Heading2"/>
            </w:pPr>
            <w:bookmarkStart w:id="17" w:name="_Toc188365116"/>
            <w:bookmarkStart w:id="18" w:name="_Hlk46823817"/>
            <w:r>
              <w:t>Review Body on Doctors’ and Dentists’ Remuneration (DDRB) Secretariat</w:t>
            </w:r>
            <w:bookmarkEnd w:id="17"/>
          </w:p>
        </w:tc>
      </w:tr>
      <w:tr w:rsidR="001C1DB8" w14:paraId="6866C502" w14:textId="77777777" w:rsidTr="007D6356">
        <w:trPr>
          <w:trHeight w:val="8006"/>
        </w:trPr>
        <w:tc>
          <w:tcPr>
            <w:tcW w:w="9016" w:type="dxa"/>
            <w:tcBorders>
              <w:top w:val="single" w:sz="4" w:space="0" w:color="A5A5A5" w:themeColor="accent3"/>
              <w:left w:val="single" w:sz="4" w:space="0" w:color="000000" w:themeColor="text1"/>
              <w:bottom w:val="single" w:sz="4" w:space="0" w:color="000000" w:themeColor="text1"/>
              <w:right w:val="single" w:sz="4" w:space="0" w:color="000000" w:themeColor="text1"/>
            </w:tcBorders>
            <w:tcMar>
              <w:top w:w="227" w:type="dxa"/>
              <w:left w:w="227" w:type="dxa"/>
              <w:bottom w:w="227" w:type="dxa"/>
              <w:right w:w="227" w:type="dxa"/>
            </w:tcMar>
          </w:tcPr>
          <w:p w14:paraId="6B85DA07" w14:textId="7D3F296C" w:rsidR="00FC3068" w:rsidRDefault="00FC3068" w:rsidP="00FC3068">
            <w:pPr>
              <w:spacing w:before="0" w:after="0"/>
              <w:textAlignment w:val="baseline"/>
            </w:pPr>
            <w:r>
              <w:rPr>
                <w:rFonts w:eastAsia="Times New Roman"/>
                <w:szCs w:val="24"/>
                <w:lang w:eastAsia="en-GB"/>
              </w:rPr>
              <w:t xml:space="preserve">The DDRB secretariat supports </w:t>
            </w:r>
            <w:r w:rsidR="00D144D8">
              <w:rPr>
                <w:rFonts w:eastAsia="Times New Roman"/>
                <w:szCs w:val="24"/>
                <w:lang w:eastAsia="en-GB"/>
              </w:rPr>
              <w:t>the</w:t>
            </w:r>
            <w:r>
              <w:rPr>
                <w:rFonts w:eastAsia="Times New Roman"/>
                <w:szCs w:val="24"/>
                <w:lang w:eastAsia="en-GB"/>
              </w:rPr>
              <w:t xml:space="preserve"> </w:t>
            </w:r>
            <w:r w:rsidR="00D144D8">
              <w:rPr>
                <w:rFonts w:eastAsia="Times New Roman"/>
                <w:szCs w:val="24"/>
                <w:lang w:eastAsia="en-GB"/>
              </w:rPr>
              <w:t>r</w:t>
            </w:r>
            <w:r>
              <w:rPr>
                <w:rFonts w:eastAsia="Times New Roman"/>
                <w:szCs w:val="24"/>
                <w:lang w:eastAsia="en-GB"/>
              </w:rPr>
              <w:t xml:space="preserve">eview </w:t>
            </w:r>
            <w:r w:rsidR="00D144D8">
              <w:rPr>
                <w:rFonts w:eastAsia="Times New Roman"/>
                <w:szCs w:val="24"/>
                <w:lang w:eastAsia="en-GB"/>
              </w:rPr>
              <w:t>b</w:t>
            </w:r>
            <w:r>
              <w:rPr>
                <w:rFonts w:eastAsia="Times New Roman"/>
                <w:szCs w:val="24"/>
                <w:lang w:eastAsia="en-GB"/>
              </w:rPr>
              <w:t xml:space="preserve">ody </w:t>
            </w:r>
            <w:r w:rsidR="00D144D8">
              <w:rPr>
                <w:rFonts w:eastAsia="Times New Roman"/>
                <w:szCs w:val="24"/>
                <w:lang w:eastAsia="en-GB"/>
              </w:rPr>
              <w:t>to</w:t>
            </w:r>
            <w:r>
              <w:rPr>
                <w:rFonts w:eastAsia="Times New Roman"/>
                <w:szCs w:val="24"/>
                <w:lang w:eastAsia="en-GB"/>
              </w:rPr>
              <w:t xml:space="preserve"> provid</w:t>
            </w:r>
            <w:r w:rsidR="00D144D8">
              <w:rPr>
                <w:rFonts w:eastAsia="Times New Roman"/>
                <w:szCs w:val="24"/>
                <w:lang w:eastAsia="en-GB"/>
              </w:rPr>
              <w:t>e</w:t>
            </w:r>
            <w:r>
              <w:rPr>
                <w:rFonts w:eastAsia="Times New Roman"/>
                <w:szCs w:val="24"/>
                <w:lang w:eastAsia="en-GB"/>
              </w:rPr>
              <w:t xml:space="preserve"> independent advice on remuneration for doctors and dentists in England, Scotland, Wales, and Northern Ireland. </w:t>
            </w:r>
          </w:p>
          <w:p w14:paraId="090A391F" w14:textId="77777777" w:rsidR="00FC3068" w:rsidRDefault="00FC3068" w:rsidP="00FC3068">
            <w:pPr>
              <w:spacing w:before="0" w:after="0"/>
              <w:textAlignment w:val="baseline"/>
            </w:pPr>
            <w:r>
              <w:rPr>
                <w:rFonts w:eastAsia="Times New Roman"/>
                <w:szCs w:val="24"/>
                <w:lang w:eastAsia="en-GB"/>
              </w:rPr>
              <w:t> </w:t>
            </w:r>
          </w:p>
          <w:p w14:paraId="683E04E5" w14:textId="2DD5E858" w:rsidR="00FC3068" w:rsidRDefault="00FC3068" w:rsidP="00FC3068">
            <w:r>
              <w:rPr>
                <w:rFonts w:eastAsia="Times New Roman"/>
                <w:szCs w:val="24"/>
                <w:lang w:eastAsia="en-GB"/>
              </w:rPr>
              <w:t xml:space="preserve">The DDRB’s latest pay round took place from </w:t>
            </w:r>
            <w:r w:rsidR="003172FA">
              <w:rPr>
                <w:rFonts w:eastAsia="Times New Roman"/>
                <w:szCs w:val="24"/>
                <w:lang w:eastAsia="en-GB"/>
              </w:rPr>
              <w:t>September</w:t>
            </w:r>
            <w:r w:rsidR="00802FA3">
              <w:rPr>
                <w:rFonts w:eastAsia="Times New Roman"/>
                <w:szCs w:val="24"/>
                <w:lang w:eastAsia="en-GB"/>
              </w:rPr>
              <w:t xml:space="preserve"> 2024 </w:t>
            </w:r>
            <w:r>
              <w:rPr>
                <w:rFonts w:eastAsia="Times New Roman"/>
                <w:szCs w:val="24"/>
                <w:lang w:eastAsia="en-GB"/>
              </w:rPr>
              <w:t xml:space="preserve">to </w:t>
            </w:r>
            <w:r w:rsidR="00992D59">
              <w:rPr>
                <w:rFonts w:eastAsia="Times New Roman"/>
                <w:szCs w:val="24"/>
                <w:lang w:eastAsia="en-GB"/>
              </w:rPr>
              <w:t xml:space="preserve">April </w:t>
            </w:r>
            <w:r w:rsidR="00802FA3">
              <w:rPr>
                <w:rFonts w:eastAsia="Times New Roman"/>
                <w:szCs w:val="24"/>
                <w:lang w:eastAsia="en-GB"/>
              </w:rPr>
              <w:t>202</w:t>
            </w:r>
            <w:r w:rsidR="00992D59">
              <w:rPr>
                <w:rFonts w:eastAsia="Times New Roman"/>
                <w:szCs w:val="24"/>
                <w:lang w:eastAsia="en-GB"/>
              </w:rPr>
              <w:t>5</w:t>
            </w:r>
            <w:r>
              <w:rPr>
                <w:rFonts w:eastAsia="Times New Roman"/>
                <w:szCs w:val="24"/>
                <w:lang w:eastAsia="en-GB"/>
              </w:rPr>
              <w:t xml:space="preserve">. DDRB was asked to recommend on pay and allowances for all its remit groups in all four </w:t>
            </w:r>
            <w:r w:rsidR="005D2926">
              <w:rPr>
                <w:rFonts w:eastAsia="Times New Roman"/>
                <w:szCs w:val="24"/>
                <w:lang w:eastAsia="en-GB"/>
              </w:rPr>
              <w:t>nations</w:t>
            </w:r>
            <w:r>
              <w:rPr>
                <w:rFonts w:eastAsia="Times New Roman"/>
                <w:szCs w:val="24"/>
                <w:lang w:eastAsia="en-GB"/>
              </w:rPr>
              <w:t xml:space="preserve"> </w:t>
            </w:r>
            <w:r w:rsidR="006978C5">
              <w:rPr>
                <w:rFonts w:eastAsia="Times New Roman"/>
                <w:szCs w:val="24"/>
                <w:lang w:eastAsia="en-GB"/>
              </w:rPr>
              <w:t xml:space="preserve">except </w:t>
            </w:r>
            <w:r w:rsidR="00530A8F">
              <w:rPr>
                <w:rFonts w:eastAsia="Times New Roman"/>
                <w:szCs w:val="24"/>
                <w:lang w:eastAsia="en-GB"/>
              </w:rPr>
              <w:t xml:space="preserve">resident </w:t>
            </w:r>
            <w:r w:rsidR="006978C5">
              <w:rPr>
                <w:rFonts w:eastAsia="Times New Roman"/>
                <w:szCs w:val="24"/>
                <w:lang w:eastAsia="en-GB"/>
              </w:rPr>
              <w:t>doctors and dentists in Scotland</w:t>
            </w:r>
            <w:r>
              <w:rPr>
                <w:rFonts w:eastAsia="Times New Roman"/>
                <w:szCs w:val="24"/>
                <w:lang w:eastAsia="en-GB"/>
              </w:rPr>
              <w:t xml:space="preserve">. </w:t>
            </w:r>
          </w:p>
          <w:p w14:paraId="2E4EAC98" w14:textId="77777777" w:rsidR="00FC3068" w:rsidRDefault="00FC3068" w:rsidP="00FC3068">
            <w:pPr>
              <w:spacing w:before="0" w:after="0"/>
              <w:textAlignment w:val="baseline"/>
            </w:pPr>
            <w:r>
              <w:rPr>
                <w:rFonts w:eastAsia="Times New Roman"/>
                <w:szCs w:val="24"/>
                <w:lang w:eastAsia="en-GB"/>
              </w:rPr>
              <w:t> </w:t>
            </w:r>
          </w:p>
          <w:p w14:paraId="1B40102C" w14:textId="7FD3BCE9" w:rsidR="00FC3068" w:rsidRDefault="00FC3068" w:rsidP="00FC3068">
            <w:pPr>
              <w:spacing w:before="0" w:after="0"/>
              <w:contextualSpacing/>
              <w:textAlignment w:val="baseline"/>
            </w:pPr>
            <w:r>
              <w:rPr>
                <w:rFonts w:eastAsia="Times New Roman"/>
                <w:szCs w:val="24"/>
                <w:lang w:eastAsia="en-GB"/>
              </w:rPr>
              <w:t>The DDRB submitted its fifty-</w:t>
            </w:r>
            <w:r w:rsidR="00806F5A">
              <w:rPr>
                <w:rFonts w:eastAsia="Times New Roman"/>
                <w:szCs w:val="24"/>
                <w:lang w:eastAsia="en-GB"/>
              </w:rPr>
              <w:t>third</w:t>
            </w:r>
            <w:r w:rsidR="00382FDE">
              <w:rPr>
                <w:rFonts w:eastAsia="Times New Roman"/>
                <w:szCs w:val="24"/>
                <w:lang w:eastAsia="en-GB"/>
              </w:rPr>
              <w:t xml:space="preserve"> </w:t>
            </w:r>
            <w:r>
              <w:rPr>
                <w:rFonts w:eastAsia="Times New Roman"/>
                <w:szCs w:val="24"/>
                <w:lang w:eastAsia="en-GB"/>
              </w:rPr>
              <w:t xml:space="preserve">annual report in </w:t>
            </w:r>
            <w:r w:rsidR="00E058FD">
              <w:rPr>
                <w:rFonts w:eastAsia="Times New Roman"/>
                <w:szCs w:val="24"/>
                <w:lang w:eastAsia="en-GB"/>
              </w:rPr>
              <w:t xml:space="preserve">April </w:t>
            </w:r>
            <w:r w:rsidR="00C92776">
              <w:rPr>
                <w:rFonts w:eastAsia="Times New Roman"/>
                <w:szCs w:val="24"/>
                <w:lang w:eastAsia="en-GB"/>
              </w:rPr>
              <w:t>202</w:t>
            </w:r>
            <w:r w:rsidR="00E058FD">
              <w:rPr>
                <w:rFonts w:eastAsia="Times New Roman"/>
                <w:szCs w:val="24"/>
                <w:lang w:eastAsia="en-GB"/>
              </w:rPr>
              <w:t>5</w:t>
            </w:r>
            <w:r>
              <w:rPr>
                <w:rFonts w:eastAsia="Times New Roman"/>
                <w:szCs w:val="24"/>
                <w:lang w:eastAsia="en-GB"/>
              </w:rPr>
              <w:t>. The central recommendations in the reports were: </w:t>
            </w:r>
          </w:p>
          <w:p w14:paraId="03B9305E" w14:textId="790328E8" w:rsidR="00FC3068" w:rsidRDefault="00FC3068" w:rsidP="00A60884">
            <w:pPr>
              <w:pStyle w:val="ListParagraph"/>
              <w:numPr>
                <w:ilvl w:val="0"/>
                <w:numId w:val="12"/>
              </w:numPr>
              <w:spacing w:before="0" w:after="0"/>
              <w:textAlignment w:val="baseline"/>
              <w:rPr>
                <w:rFonts w:eastAsia="Times New Roman"/>
                <w:szCs w:val="24"/>
                <w:lang w:eastAsia="en-GB"/>
              </w:rPr>
            </w:pPr>
            <w:r>
              <w:rPr>
                <w:rFonts w:eastAsia="Times New Roman"/>
                <w:szCs w:val="24"/>
                <w:lang w:eastAsia="en-GB"/>
              </w:rPr>
              <w:t xml:space="preserve">Pay for consultants, </w:t>
            </w:r>
            <w:r w:rsidR="007F3A1B">
              <w:rPr>
                <w:rFonts w:eastAsia="Times New Roman"/>
                <w:szCs w:val="24"/>
                <w:lang w:eastAsia="en-GB"/>
              </w:rPr>
              <w:t xml:space="preserve">specialty, </w:t>
            </w:r>
            <w:r w:rsidR="00716B74">
              <w:rPr>
                <w:rFonts w:eastAsia="Times New Roman"/>
                <w:szCs w:val="24"/>
                <w:lang w:eastAsia="en-GB"/>
              </w:rPr>
              <w:t>specialist and associate specialist</w:t>
            </w:r>
            <w:r w:rsidR="007F3A1B">
              <w:rPr>
                <w:rFonts w:eastAsia="Times New Roman"/>
                <w:szCs w:val="24"/>
                <w:lang w:eastAsia="en-GB"/>
              </w:rPr>
              <w:t xml:space="preserve"> </w:t>
            </w:r>
            <w:r w:rsidR="00716B74">
              <w:rPr>
                <w:rFonts w:eastAsia="Times New Roman"/>
                <w:szCs w:val="24"/>
                <w:lang w:eastAsia="en-GB"/>
              </w:rPr>
              <w:t>(</w:t>
            </w:r>
            <w:r>
              <w:rPr>
                <w:rFonts w:eastAsia="Times New Roman"/>
                <w:szCs w:val="24"/>
                <w:lang w:eastAsia="en-GB"/>
              </w:rPr>
              <w:t>SAS</w:t>
            </w:r>
            <w:r w:rsidR="00716B74">
              <w:rPr>
                <w:rFonts w:eastAsia="Times New Roman"/>
                <w:szCs w:val="24"/>
                <w:lang w:eastAsia="en-GB"/>
              </w:rPr>
              <w:t>)</w:t>
            </w:r>
            <w:r>
              <w:rPr>
                <w:rFonts w:eastAsia="Times New Roman"/>
                <w:szCs w:val="24"/>
                <w:lang w:eastAsia="en-GB"/>
              </w:rPr>
              <w:t xml:space="preserve"> doctors and dentists, </w:t>
            </w:r>
            <w:r w:rsidR="006D1D9D">
              <w:rPr>
                <w:rFonts w:eastAsia="Times New Roman"/>
                <w:szCs w:val="24"/>
                <w:lang w:eastAsia="en-GB"/>
              </w:rPr>
              <w:t xml:space="preserve">salaried dentists, contractor general medical </w:t>
            </w:r>
            <w:r>
              <w:rPr>
                <w:rFonts w:eastAsia="Times New Roman"/>
                <w:szCs w:val="24"/>
                <w:lang w:eastAsia="en-GB"/>
              </w:rPr>
              <w:t>practitioners</w:t>
            </w:r>
            <w:r w:rsidR="00012D2E">
              <w:rPr>
                <w:rFonts w:eastAsia="Times New Roman"/>
                <w:szCs w:val="24"/>
                <w:lang w:eastAsia="en-GB"/>
              </w:rPr>
              <w:t>, salaried GP</w:t>
            </w:r>
            <w:r w:rsidR="00377AC2">
              <w:rPr>
                <w:rFonts w:eastAsia="Times New Roman"/>
                <w:szCs w:val="24"/>
                <w:lang w:eastAsia="en-GB"/>
              </w:rPr>
              <w:t xml:space="preserve"> pay </w:t>
            </w:r>
            <w:r w:rsidR="00012D2E">
              <w:rPr>
                <w:rFonts w:eastAsia="Times New Roman"/>
                <w:szCs w:val="24"/>
                <w:lang w:eastAsia="en-GB"/>
              </w:rPr>
              <w:t>ranges and</w:t>
            </w:r>
            <w:r>
              <w:rPr>
                <w:rFonts w:eastAsia="Times New Roman"/>
                <w:szCs w:val="24"/>
                <w:lang w:eastAsia="en-GB"/>
              </w:rPr>
              <w:t xml:space="preserve"> the pay </w:t>
            </w:r>
            <w:r w:rsidR="00012D2E">
              <w:rPr>
                <w:rFonts w:eastAsia="Times New Roman"/>
                <w:szCs w:val="24"/>
                <w:lang w:eastAsia="en-GB"/>
              </w:rPr>
              <w:t>element of dental contracts</w:t>
            </w:r>
            <w:r>
              <w:rPr>
                <w:rFonts w:eastAsia="Times New Roman"/>
                <w:szCs w:val="24"/>
                <w:lang w:eastAsia="en-GB"/>
              </w:rPr>
              <w:t xml:space="preserve">, should be uplifted by </w:t>
            </w:r>
            <w:r w:rsidR="00775ED9">
              <w:rPr>
                <w:rFonts w:eastAsia="Times New Roman"/>
                <w:szCs w:val="24"/>
                <w:lang w:eastAsia="en-GB"/>
              </w:rPr>
              <w:t>4</w:t>
            </w:r>
            <w:r>
              <w:rPr>
                <w:rFonts w:eastAsia="Times New Roman"/>
                <w:szCs w:val="24"/>
                <w:lang w:eastAsia="en-GB"/>
              </w:rPr>
              <w:t xml:space="preserve"> per cent.  </w:t>
            </w:r>
          </w:p>
          <w:p w14:paraId="72814B74" w14:textId="1FC8D9E3" w:rsidR="00FC3068" w:rsidRDefault="00FC3068" w:rsidP="00A60884">
            <w:pPr>
              <w:pStyle w:val="ListParagraph"/>
              <w:numPr>
                <w:ilvl w:val="0"/>
                <w:numId w:val="12"/>
              </w:numPr>
              <w:spacing w:before="0" w:after="0"/>
              <w:textAlignment w:val="baseline"/>
              <w:rPr>
                <w:rFonts w:eastAsia="Times New Roman"/>
                <w:szCs w:val="24"/>
                <w:lang w:eastAsia="en-GB"/>
              </w:rPr>
            </w:pPr>
            <w:r>
              <w:rPr>
                <w:rFonts w:eastAsia="Times New Roman"/>
                <w:szCs w:val="24"/>
                <w:lang w:eastAsia="en-GB"/>
              </w:rPr>
              <w:t xml:space="preserve">Pay points for doctors </w:t>
            </w:r>
            <w:r w:rsidR="00910E5A">
              <w:rPr>
                <w:rFonts w:eastAsia="Times New Roman"/>
                <w:szCs w:val="24"/>
                <w:lang w:eastAsia="en-GB"/>
              </w:rPr>
              <w:t xml:space="preserve">and dentists in training </w:t>
            </w:r>
            <w:r>
              <w:rPr>
                <w:rFonts w:eastAsia="Times New Roman"/>
                <w:szCs w:val="24"/>
                <w:lang w:eastAsia="en-GB"/>
              </w:rPr>
              <w:t xml:space="preserve">should be uplifted by </w:t>
            </w:r>
            <w:r w:rsidR="004163D2">
              <w:rPr>
                <w:rFonts w:eastAsia="Times New Roman"/>
                <w:szCs w:val="24"/>
                <w:lang w:eastAsia="en-GB"/>
              </w:rPr>
              <w:t>4</w:t>
            </w:r>
            <w:r>
              <w:rPr>
                <w:rFonts w:eastAsia="Times New Roman"/>
                <w:szCs w:val="24"/>
                <w:lang w:eastAsia="en-GB"/>
              </w:rPr>
              <w:t xml:space="preserve"> per cent plus £</w:t>
            </w:r>
            <w:r w:rsidR="004163D2">
              <w:rPr>
                <w:rFonts w:eastAsia="Times New Roman"/>
                <w:szCs w:val="24"/>
                <w:lang w:eastAsia="en-GB"/>
              </w:rPr>
              <w:t>750</w:t>
            </w:r>
            <w:r>
              <w:rPr>
                <w:rFonts w:eastAsia="Times New Roman"/>
                <w:szCs w:val="24"/>
                <w:lang w:eastAsia="en-GB"/>
              </w:rPr>
              <w:t xml:space="preserve">. </w:t>
            </w:r>
          </w:p>
          <w:p w14:paraId="0DB79B7E" w14:textId="775BA451" w:rsidR="004034F7" w:rsidRDefault="004034F7" w:rsidP="00A60884">
            <w:pPr>
              <w:pStyle w:val="ListParagraph"/>
              <w:numPr>
                <w:ilvl w:val="0"/>
                <w:numId w:val="12"/>
              </w:numPr>
              <w:spacing w:before="0" w:after="0"/>
              <w:textAlignment w:val="baseline"/>
              <w:rPr>
                <w:rFonts w:eastAsia="Times New Roman"/>
                <w:szCs w:val="24"/>
                <w:lang w:eastAsia="en-GB"/>
              </w:rPr>
            </w:pPr>
            <w:r w:rsidRPr="004034F7">
              <w:rPr>
                <w:rFonts w:eastAsia="Times New Roman"/>
                <w:szCs w:val="24"/>
                <w:lang w:eastAsia="en-GB"/>
              </w:rPr>
              <w:t>That governments consider a separate pay framework for locally employed doctors.</w:t>
            </w:r>
          </w:p>
          <w:p w14:paraId="6866C4F9" w14:textId="1249B10F" w:rsidR="001C1DB8" w:rsidRDefault="00047F41" w:rsidP="00A60884">
            <w:pPr>
              <w:pStyle w:val="ListParagraph"/>
              <w:numPr>
                <w:ilvl w:val="0"/>
                <w:numId w:val="12"/>
              </w:numPr>
              <w:spacing w:before="0" w:after="0"/>
              <w:textAlignment w:val="baseline"/>
              <w:rPr>
                <w:rFonts w:eastAsia="Times New Roman"/>
                <w:szCs w:val="24"/>
                <w:lang w:eastAsia="en-GB"/>
              </w:rPr>
            </w:pPr>
            <w:r>
              <w:rPr>
                <w:rFonts w:eastAsia="Times New Roman"/>
                <w:szCs w:val="24"/>
                <w:lang w:eastAsia="en-GB"/>
              </w:rPr>
              <w:t>T</w:t>
            </w:r>
            <w:r w:rsidRPr="00047F41">
              <w:rPr>
                <w:rFonts w:eastAsia="Times New Roman"/>
                <w:szCs w:val="24"/>
                <w:lang w:eastAsia="en-GB"/>
              </w:rPr>
              <w:t>he government reviews flexible pay premia in England to assess their value for money and effectiveness.</w:t>
            </w:r>
            <w:r w:rsidR="00FC3068">
              <w:rPr>
                <w:rFonts w:eastAsia="Times New Roman"/>
                <w:szCs w:val="24"/>
                <w:lang w:eastAsia="en-GB"/>
              </w:rPr>
              <w:t> </w:t>
            </w:r>
          </w:p>
          <w:p w14:paraId="65FE6833" w14:textId="51D705E6" w:rsidR="00047F41" w:rsidRDefault="00CE02D5" w:rsidP="00A60884">
            <w:pPr>
              <w:pStyle w:val="ListParagraph"/>
              <w:numPr>
                <w:ilvl w:val="0"/>
                <w:numId w:val="12"/>
              </w:numPr>
              <w:spacing w:before="0" w:after="0"/>
              <w:textAlignment w:val="baseline"/>
              <w:rPr>
                <w:rFonts w:eastAsia="Times New Roman"/>
                <w:szCs w:val="24"/>
                <w:lang w:eastAsia="en-GB"/>
              </w:rPr>
            </w:pPr>
            <w:r w:rsidRPr="00BC2947">
              <w:rPr>
                <w:rFonts w:eastAsia="Times New Roman"/>
                <w:szCs w:val="24"/>
                <w:lang w:eastAsia="en-GB"/>
              </w:rPr>
              <w:t>An increase in the value of national clinical impact awards in England and Wales from 1 April 2025. The level 0 award to be increased from £10,000 to £10,500. The level 1 award to be increased from £20,000 to £21,000.</w:t>
            </w:r>
            <w:r w:rsidR="00BC2947" w:rsidRPr="00BC2947">
              <w:rPr>
                <w:rFonts w:eastAsia="Times New Roman"/>
                <w:szCs w:val="24"/>
                <w:lang w:eastAsia="en-GB"/>
              </w:rPr>
              <w:t xml:space="preserve"> </w:t>
            </w:r>
            <w:r w:rsidRPr="00BC2947">
              <w:rPr>
                <w:rFonts w:eastAsia="Times New Roman"/>
                <w:szCs w:val="24"/>
                <w:lang w:eastAsia="en-GB"/>
              </w:rPr>
              <w:t>The level 2 award to be increased from £30,000 to £31,500.</w:t>
            </w:r>
            <w:r w:rsidR="00BC2947" w:rsidRPr="00BC2947">
              <w:rPr>
                <w:rFonts w:eastAsia="Times New Roman"/>
                <w:szCs w:val="24"/>
                <w:lang w:eastAsia="en-GB"/>
              </w:rPr>
              <w:t xml:space="preserve"> </w:t>
            </w:r>
            <w:r w:rsidRPr="00BC2947">
              <w:rPr>
                <w:rFonts w:eastAsia="Times New Roman"/>
                <w:szCs w:val="24"/>
                <w:lang w:eastAsia="en-GB"/>
              </w:rPr>
              <w:t>The level 3 award to be increased from £40,000 to £42,000.</w:t>
            </w:r>
          </w:p>
          <w:p w14:paraId="30D43704" w14:textId="20ADEC43" w:rsidR="00BC2947" w:rsidRDefault="001B2F91" w:rsidP="00A60884">
            <w:pPr>
              <w:pStyle w:val="ListParagraph"/>
              <w:numPr>
                <w:ilvl w:val="0"/>
                <w:numId w:val="12"/>
              </w:numPr>
              <w:spacing w:before="0" w:after="0"/>
              <w:textAlignment w:val="baseline"/>
              <w:rPr>
                <w:rFonts w:eastAsia="Times New Roman"/>
                <w:szCs w:val="24"/>
                <w:lang w:eastAsia="en-GB"/>
              </w:rPr>
            </w:pPr>
            <w:r w:rsidRPr="001B2F91">
              <w:rPr>
                <w:rFonts w:eastAsia="Times New Roman"/>
                <w:szCs w:val="24"/>
                <w:lang w:eastAsia="en-GB"/>
              </w:rPr>
              <w:t>That the four governments work with GPs’ and dentists’ representatives to develop an index of general practice costs and an index of dental costs. These indices should then be used to determine the expenses element of the GP and dental contract uplifts in each nation.</w:t>
            </w:r>
          </w:p>
          <w:p w14:paraId="00C0DDFA" w14:textId="1373C0A2" w:rsidR="003E007B" w:rsidRPr="00BC2947" w:rsidRDefault="003E007B" w:rsidP="00A60884">
            <w:pPr>
              <w:pStyle w:val="ListParagraph"/>
              <w:numPr>
                <w:ilvl w:val="0"/>
                <w:numId w:val="12"/>
              </w:numPr>
              <w:spacing w:before="0" w:after="0"/>
              <w:textAlignment w:val="baseline"/>
              <w:rPr>
                <w:rFonts w:eastAsia="Times New Roman"/>
                <w:szCs w:val="24"/>
                <w:lang w:eastAsia="en-GB"/>
              </w:rPr>
            </w:pPr>
            <w:r>
              <w:t>That each government should undertake a review of pay and progression for salaried dentists working in Community and Public Dental Services to assess whether the reward structure is appropriate to support recruitment, retention and service delivery.</w:t>
            </w:r>
          </w:p>
          <w:p w14:paraId="6866C4FA" w14:textId="77777777" w:rsidR="001C1DB8" w:rsidRDefault="00FB2C3B">
            <w:pPr>
              <w:spacing w:before="0" w:after="0"/>
              <w:textAlignment w:val="baseline"/>
            </w:pPr>
            <w:r>
              <w:rPr>
                <w:rFonts w:eastAsia="Times New Roman"/>
                <w:szCs w:val="24"/>
                <w:lang w:eastAsia="en-GB"/>
              </w:rPr>
              <w:t> </w:t>
            </w:r>
          </w:p>
          <w:p w14:paraId="6866C501" w14:textId="3A5E3CF9" w:rsidR="001C1DB8" w:rsidRDefault="001B0131">
            <w:pPr>
              <w:spacing w:before="0" w:after="0"/>
              <w:textAlignment w:val="baseline"/>
            </w:pPr>
            <w:r>
              <w:rPr>
                <w:rFonts w:eastAsia="Times New Roman"/>
                <w:lang w:eastAsia="en-GB"/>
              </w:rPr>
              <w:t>G</w:t>
            </w:r>
            <w:r w:rsidR="007D3D74" w:rsidRPr="02F3AB16">
              <w:rPr>
                <w:rFonts w:eastAsia="Times New Roman"/>
                <w:lang w:eastAsia="en-GB"/>
              </w:rPr>
              <w:t>overnment</w:t>
            </w:r>
            <w:r w:rsidR="009E4CA4">
              <w:rPr>
                <w:rFonts w:eastAsia="Times New Roman"/>
                <w:lang w:eastAsia="en-GB"/>
              </w:rPr>
              <w:t>s</w:t>
            </w:r>
            <w:r w:rsidR="007D3D74" w:rsidRPr="02F3AB16">
              <w:rPr>
                <w:rFonts w:eastAsia="Times New Roman"/>
                <w:lang w:eastAsia="en-GB"/>
              </w:rPr>
              <w:t xml:space="preserve"> </w:t>
            </w:r>
            <w:r w:rsidR="00295EA4">
              <w:rPr>
                <w:rFonts w:eastAsia="Times New Roman"/>
                <w:lang w:eastAsia="en-GB"/>
              </w:rPr>
              <w:t xml:space="preserve">in all four nations </w:t>
            </w:r>
            <w:r w:rsidR="007D3D74" w:rsidRPr="02F3AB16">
              <w:rPr>
                <w:rFonts w:eastAsia="Times New Roman"/>
                <w:lang w:eastAsia="en-GB"/>
              </w:rPr>
              <w:t>accepted the DDRB recommendations</w:t>
            </w:r>
            <w:r w:rsidR="00DE7562">
              <w:rPr>
                <w:rFonts w:eastAsia="Times New Roman"/>
                <w:lang w:eastAsia="en-GB"/>
              </w:rPr>
              <w:t xml:space="preserve"> on</w:t>
            </w:r>
            <w:r w:rsidR="00A66A63">
              <w:rPr>
                <w:rFonts w:eastAsia="Times New Roman"/>
                <w:lang w:eastAsia="en-GB"/>
              </w:rPr>
              <w:t xml:space="preserve"> pay</w:t>
            </w:r>
            <w:r w:rsidR="00594C92" w:rsidRPr="00594C92">
              <w:rPr>
                <w:rFonts w:eastAsia="Times New Roman"/>
                <w:szCs w:val="24"/>
                <w:lang w:eastAsia="en-GB"/>
              </w:rPr>
              <w:t>.</w:t>
            </w:r>
            <w:r w:rsidR="00C514A8">
              <w:rPr>
                <w:rStyle w:val="FootnoteReference"/>
                <w:rFonts w:eastAsia="Times New Roman"/>
                <w:szCs w:val="24"/>
                <w:lang w:eastAsia="en-GB"/>
              </w:rPr>
              <w:footnoteReference w:id="12"/>
            </w:r>
            <w:r w:rsidR="00DE7562">
              <w:rPr>
                <w:rFonts w:eastAsia="Times New Roman"/>
                <w:szCs w:val="24"/>
                <w:lang w:eastAsia="en-GB"/>
              </w:rPr>
              <w:t xml:space="preserve"> Formal responses have not been made on all the additional recommendations.</w:t>
            </w:r>
          </w:p>
        </w:tc>
      </w:tr>
      <w:bookmarkEnd w:id="18"/>
    </w:tbl>
    <w:p w14:paraId="12FDC2EB" w14:textId="77777777" w:rsidR="003629BA" w:rsidRDefault="003629BA" w:rsidP="003629BA">
      <w:pPr>
        <w:pageBreakBefore/>
        <w:spacing w:before="0" w:after="0"/>
      </w:pPr>
    </w:p>
    <w:tbl>
      <w:tblPr>
        <w:tblW w:w="9016" w:type="dxa"/>
        <w:tblCellMar>
          <w:left w:w="10" w:type="dxa"/>
          <w:right w:w="10" w:type="dxa"/>
        </w:tblCellMar>
        <w:tblLook w:val="0000" w:firstRow="0" w:lastRow="0" w:firstColumn="0" w:lastColumn="0" w:noHBand="0" w:noVBand="0"/>
      </w:tblPr>
      <w:tblGrid>
        <w:gridCol w:w="9016"/>
      </w:tblGrid>
      <w:tr w:rsidR="003629BA" w14:paraId="173BE7D9" w14:textId="77777777">
        <w:tc>
          <w:tcPr>
            <w:tcW w:w="9016" w:type="dxa"/>
            <w:tcBorders>
              <w:top w:val="single" w:sz="4" w:space="0" w:color="000000" w:themeColor="text1"/>
              <w:left w:val="single" w:sz="4" w:space="0" w:color="000000" w:themeColor="text1"/>
              <w:bottom w:val="single" w:sz="4" w:space="0" w:color="A5A5A5" w:themeColor="accent3"/>
              <w:right w:val="single" w:sz="4" w:space="0" w:color="000000" w:themeColor="text1"/>
            </w:tcBorders>
            <w:tcMar>
              <w:top w:w="227" w:type="dxa"/>
              <w:left w:w="227" w:type="dxa"/>
              <w:bottom w:w="227" w:type="dxa"/>
              <w:right w:w="227" w:type="dxa"/>
            </w:tcMar>
          </w:tcPr>
          <w:p w14:paraId="2C2B612E" w14:textId="77777777" w:rsidR="003629BA" w:rsidRDefault="003629BA">
            <w:pPr>
              <w:pStyle w:val="Heading2"/>
            </w:pPr>
            <w:r>
              <w:t>National Crime Agency Remuneration Review Body (NCARRB) Secretariat</w:t>
            </w:r>
          </w:p>
        </w:tc>
      </w:tr>
      <w:tr w:rsidR="003629BA" w14:paraId="5C049B0A" w14:textId="77777777">
        <w:tc>
          <w:tcPr>
            <w:tcW w:w="9016" w:type="dxa"/>
            <w:tcBorders>
              <w:top w:val="single" w:sz="4" w:space="0" w:color="A5A5A5" w:themeColor="accent3"/>
              <w:left w:val="single" w:sz="4" w:space="0" w:color="000000" w:themeColor="text1"/>
              <w:bottom w:val="single" w:sz="4" w:space="0" w:color="000000" w:themeColor="text1"/>
              <w:right w:val="single" w:sz="4" w:space="0" w:color="000000" w:themeColor="text1"/>
            </w:tcBorders>
            <w:tcMar>
              <w:top w:w="227" w:type="dxa"/>
              <w:left w:w="227" w:type="dxa"/>
              <w:bottom w:w="227" w:type="dxa"/>
              <w:right w:w="227" w:type="dxa"/>
            </w:tcMar>
          </w:tcPr>
          <w:p w14:paraId="703A23E8" w14:textId="398AFEA2" w:rsidR="003629BA" w:rsidRDefault="003629BA">
            <w:pPr>
              <w:spacing w:before="0" w:after="0"/>
              <w:textAlignment w:val="baseline"/>
            </w:pPr>
            <w:r>
              <w:rPr>
                <w:rFonts w:eastAsia="Times New Roman"/>
                <w:szCs w:val="24"/>
                <w:lang w:eastAsia="en-GB"/>
              </w:rPr>
              <w:t>The NCARRB secretariat supports its Review Body in providing independent recommendations on pay and allowances for NCA officers designated with operational powers below the level of Deputy Director.  </w:t>
            </w:r>
          </w:p>
          <w:p w14:paraId="01805E57" w14:textId="77777777" w:rsidR="003629BA" w:rsidRPr="003F1E5A" w:rsidRDefault="003629BA">
            <w:pPr>
              <w:spacing w:before="0" w:after="0"/>
              <w:textAlignment w:val="baseline"/>
            </w:pPr>
            <w:r>
              <w:rPr>
                <w:rFonts w:eastAsia="Times New Roman"/>
                <w:szCs w:val="24"/>
                <w:lang w:eastAsia="en-GB"/>
              </w:rPr>
              <w:t> </w:t>
            </w:r>
          </w:p>
          <w:p w14:paraId="34AFE82D" w14:textId="77777777" w:rsidR="003629BA" w:rsidRDefault="003629BA">
            <w:pPr>
              <w:spacing w:before="0" w:after="0"/>
              <w:textAlignment w:val="baseline"/>
            </w:pPr>
            <w:r>
              <w:t xml:space="preserve">The 2025 (Eleventh) NCARRB report was submitted to the Home Secretary in June 2025. It contained the following recommendations from 1 August 2025: </w:t>
            </w:r>
          </w:p>
          <w:p w14:paraId="5B6AE582" w14:textId="77777777" w:rsidR="003629BA" w:rsidRDefault="003629BA" w:rsidP="00A60884">
            <w:pPr>
              <w:pStyle w:val="ListParagraph"/>
              <w:numPr>
                <w:ilvl w:val="0"/>
                <w:numId w:val="19"/>
              </w:numPr>
              <w:spacing w:before="0" w:after="0"/>
              <w:textAlignment w:val="baseline"/>
            </w:pPr>
            <w:r>
              <w:t>A consolidated pay award of 4.4% from all NCA officers within our remit group. The spot rates for Grades 1 to 5 and the minima and maxima of the standard pay ranges for Grades 1 to 6 to be raised by 4.4%.</w:t>
            </w:r>
          </w:p>
          <w:p w14:paraId="2EF3856E" w14:textId="77777777" w:rsidR="003629BA" w:rsidRDefault="003629BA" w:rsidP="00A60884">
            <w:pPr>
              <w:pStyle w:val="ListParagraph"/>
              <w:numPr>
                <w:ilvl w:val="0"/>
                <w:numId w:val="19"/>
              </w:numPr>
              <w:spacing w:before="0" w:after="0"/>
              <w:textAlignment w:val="baseline"/>
            </w:pPr>
            <w:r>
              <w:t xml:space="preserve">An increase of 4.4% to the London Weighting Allowance and </w:t>
            </w:r>
            <w:proofErr w:type="gramStart"/>
            <w:r>
              <w:t>South East</w:t>
            </w:r>
            <w:proofErr w:type="gramEnd"/>
            <w:r>
              <w:t xml:space="preserve"> Allowance for all NCA officers within our remit group. </w:t>
            </w:r>
          </w:p>
          <w:p w14:paraId="4F529CFC" w14:textId="77777777" w:rsidR="003629BA" w:rsidRDefault="003629BA" w:rsidP="00A60884">
            <w:pPr>
              <w:pStyle w:val="ListParagraph"/>
              <w:numPr>
                <w:ilvl w:val="0"/>
                <w:numId w:val="19"/>
              </w:numPr>
              <w:spacing w:before="0" w:after="0"/>
              <w:textAlignment w:val="baseline"/>
            </w:pPr>
            <w:r>
              <w:t>The allowances of International Liaison Officers in the NCA to be reviewed.</w:t>
            </w:r>
          </w:p>
          <w:p w14:paraId="2F5D4916" w14:textId="77777777" w:rsidR="003629BA" w:rsidRDefault="003629BA">
            <w:pPr>
              <w:spacing w:before="0" w:after="0"/>
              <w:textAlignment w:val="baseline"/>
            </w:pPr>
          </w:p>
          <w:p w14:paraId="28C9AD28" w14:textId="77777777" w:rsidR="003629BA" w:rsidRDefault="003629BA">
            <w:pPr>
              <w:spacing w:before="0" w:after="0"/>
              <w:textAlignment w:val="baseline"/>
            </w:pPr>
            <w:r>
              <w:t>The report was published by the Government on 22 July 2025. On that date, the Home Secretary accepted the NCARRB’s recommendations in full</w:t>
            </w:r>
            <w:r>
              <w:rPr>
                <w:rStyle w:val="FootnoteReference"/>
              </w:rPr>
              <w:footnoteReference w:id="13"/>
            </w:r>
            <w:r>
              <w:t>.</w:t>
            </w:r>
          </w:p>
        </w:tc>
      </w:tr>
    </w:tbl>
    <w:p w14:paraId="6866C503" w14:textId="77777777" w:rsidR="001C1DB8" w:rsidRDefault="001C1DB8">
      <w:pPr>
        <w:pageBreakBefore/>
        <w:spacing w:before="0" w:after="0"/>
      </w:pPr>
    </w:p>
    <w:tbl>
      <w:tblPr>
        <w:tblpPr w:leftFromText="180" w:rightFromText="180" w:vertAnchor="text" w:horzAnchor="margin" w:tblpY="-659"/>
        <w:tblW w:w="9016" w:type="dxa"/>
        <w:tblCellMar>
          <w:left w:w="10" w:type="dxa"/>
          <w:right w:w="10" w:type="dxa"/>
        </w:tblCellMar>
        <w:tblLook w:val="0000" w:firstRow="0" w:lastRow="0" w:firstColumn="0" w:lastColumn="0" w:noHBand="0" w:noVBand="0"/>
      </w:tblPr>
      <w:tblGrid>
        <w:gridCol w:w="9016"/>
      </w:tblGrid>
      <w:tr w:rsidR="003E5DC2" w14:paraId="4BE80ED7" w14:textId="77777777" w:rsidTr="00802E76">
        <w:tc>
          <w:tcPr>
            <w:tcW w:w="9016" w:type="dxa"/>
            <w:tcBorders>
              <w:top w:val="single" w:sz="4" w:space="0" w:color="000000" w:themeColor="text1"/>
              <w:left w:val="single" w:sz="4" w:space="0" w:color="000000" w:themeColor="text1"/>
              <w:bottom w:val="single" w:sz="4" w:space="0" w:color="A5A5A5" w:themeColor="accent3"/>
              <w:right w:val="single" w:sz="4" w:space="0" w:color="000000" w:themeColor="text1"/>
            </w:tcBorders>
            <w:tcMar>
              <w:top w:w="227" w:type="dxa"/>
              <w:left w:w="227" w:type="dxa"/>
              <w:bottom w:w="227" w:type="dxa"/>
              <w:right w:w="227" w:type="dxa"/>
            </w:tcMar>
          </w:tcPr>
          <w:p w14:paraId="1E916BFA" w14:textId="77777777" w:rsidR="003E5DC2" w:rsidRDefault="003E5DC2" w:rsidP="00802E76">
            <w:pPr>
              <w:pStyle w:val="Heading2"/>
            </w:pPr>
            <w:bookmarkStart w:id="19" w:name="_Toc188365118"/>
            <w:r>
              <w:t>National Health Service Pay Review Body (NHSPRB) Secretariat</w:t>
            </w:r>
            <w:bookmarkEnd w:id="19"/>
          </w:p>
        </w:tc>
      </w:tr>
      <w:tr w:rsidR="003E5DC2" w14:paraId="5F9980F8" w14:textId="77777777" w:rsidTr="00802E76">
        <w:tc>
          <w:tcPr>
            <w:tcW w:w="9016" w:type="dxa"/>
            <w:tcBorders>
              <w:top w:val="single" w:sz="4" w:space="0" w:color="A5A5A5" w:themeColor="accent3"/>
              <w:left w:val="single" w:sz="4" w:space="0" w:color="000000" w:themeColor="text1"/>
              <w:bottom w:val="single" w:sz="4" w:space="0" w:color="000000" w:themeColor="text1"/>
              <w:right w:val="single" w:sz="4" w:space="0" w:color="000000" w:themeColor="text1"/>
            </w:tcBorders>
            <w:tcMar>
              <w:top w:w="227" w:type="dxa"/>
              <w:left w:w="227" w:type="dxa"/>
              <w:bottom w:w="227" w:type="dxa"/>
              <w:right w:w="227" w:type="dxa"/>
            </w:tcMar>
          </w:tcPr>
          <w:p w14:paraId="208E30B7" w14:textId="2457662B" w:rsidR="003E5DC2" w:rsidRDefault="003E5DC2" w:rsidP="00802E76">
            <w:pPr>
              <w:spacing w:before="0" w:after="0"/>
              <w:rPr>
                <w:rFonts w:eastAsia="Times New Roman"/>
                <w:lang w:eastAsia="en-GB"/>
              </w:rPr>
            </w:pPr>
            <w:r>
              <w:rPr>
                <w:rFonts w:eastAsia="Times New Roman"/>
                <w:lang w:eastAsia="en-GB"/>
              </w:rPr>
              <w:t>The NHSPRB secretariat supports its Review Body in its role to provide independent recommendations on the remuneration of all staff paid under the Agenda for Change (</w:t>
            </w:r>
            <w:proofErr w:type="spellStart"/>
            <w:r>
              <w:rPr>
                <w:rFonts w:eastAsia="Times New Roman"/>
                <w:lang w:eastAsia="en-GB"/>
              </w:rPr>
              <w:t>AfC</w:t>
            </w:r>
            <w:proofErr w:type="spellEnd"/>
            <w:r>
              <w:rPr>
                <w:rFonts w:eastAsia="Times New Roman"/>
                <w:lang w:eastAsia="en-GB"/>
              </w:rPr>
              <w:t xml:space="preserve">) and employed in the National Health Service </w:t>
            </w:r>
            <w:r w:rsidRPr="6EBCBFC0">
              <w:rPr>
                <w:rFonts w:eastAsia="Times New Roman"/>
                <w:lang w:eastAsia="en-GB"/>
              </w:rPr>
              <w:t xml:space="preserve">in </w:t>
            </w:r>
            <w:r w:rsidRPr="11E799C2">
              <w:rPr>
                <w:rFonts w:eastAsia="Times New Roman"/>
                <w:lang w:eastAsia="en-GB"/>
              </w:rPr>
              <w:t xml:space="preserve">England and </w:t>
            </w:r>
            <w:r w:rsidRPr="0727B1BC">
              <w:rPr>
                <w:rFonts w:eastAsia="Times New Roman"/>
                <w:lang w:eastAsia="en-GB"/>
              </w:rPr>
              <w:t xml:space="preserve">Wales </w:t>
            </w:r>
            <w:r>
              <w:rPr>
                <w:rFonts w:eastAsia="Times New Roman"/>
                <w:lang w:eastAsia="en-GB"/>
              </w:rPr>
              <w:t>and the Health and Social Care service in Northern Ireland.  </w:t>
            </w:r>
          </w:p>
          <w:p w14:paraId="09EF9175" w14:textId="77777777" w:rsidR="003E5DC2" w:rsidRDefault="003E5DC2" w:rsidP="00802E76">
            <w:pPr>
              <w:spacing w:before="0" w:after="0"/>
              <w:textAlignment w:val="baseline"/>
            </w:pPr>
            <w:r>
              <w:rPr>
                <w:rFonts w:eastAsia="Times New Roman"/>
                <w:szCs w:val="24"/>
                <w:lang w:eastAsia="en-GB"/>
              </w:rPr>
              <w:t> </w:t>
            </w:r>
          </w:p>
          <w:p w14:paraId="46ABF917" w14:textId="77777777" w:rsidR="003E5DC2" w:rsidRDefault="003E5DC2" w:rsidP="00802E76">
            <w:pPr>
              <w:spacing w:before="0" w:after="0" w:line="259" w:lineRule="auto"/>
              <w:rPr>
                <w:rFonts w:eastAsia="Times New Roman"/>
                <w:lang w:eastAsia="en-GB"/>
              </w:rPr>
            </w:pPr>
            <w:r>
              <w:rPr>
                <w:rFonts w:eastAsia="Times New Roman"/>
                <w:lang w:eastAsia="en-GB"/>
              </w:rPr>
              <w:t xml:space="preserve">The NHSPRB’s latest pay round took place from </w:t>
            </w:r>
            <w:r w:rsidRPr="04A7DE4E">
              <w:rPr>
                <w:rFonts w:eastAsia="Times New Roman"/>
                <w:lang w:eastAsia="en-GB"/>
              </w:rPr>
              <w:t>October 2024</w:t>
            </w:r>
            <w:r>
              <w:rPr>
                <w:rFonts w:eastAsia="Times New Roman"/>
                <w:lang w:eastAsia="en-GB"/>
              </w:rPr>
              <w:t xml:space="preserve"> to </w:t>
            </w:r>
            <w:r w:rsidRPr="04A7DE4E">
              <w:rPr>
                <w:rFonts w:eastAsia="Times New Roman"/>
                <w:lang w:eastAsia="en-GB"/>
              </w:rPr>
              <w:t>April 2025.</w:t>
            </w:r>
            <w:r w:rsidRPr="518B9FF8">
              <w:rPr>
                <w:rFonts w:eastAsia="Times New Roman"/>
                <w:lang w:eastAsia="en-GB"/>
              </w:rPr>
              <w:t xml:space="preserve"> The Secretary of State for Health and Social Care, the </w:t>
            </w:r>
            <w:r w:rsidRPr="04A7DE4E">
              <w:rPr>
                <w:rFonts w:eastAsia="Times New Roman"/>
                <w:lang w:eastAsia="en-GB"/>
              </w:rPr>
              <w:t xml:space="preserve">Northern Ireland Minister </w:t>
            </w:r>
            <w:r w:rsidRPr="518B9FF8">
              <w:rPr>
                <w:rFonts w:eastAsia="Times New Roman"/>
                <w:lang w:eastAsia="en-GB"/>
              </w:rPr>
              <w:t xml:space="preserve">of Health and the </w:t>
            </w:r>
            <w:r w:rsidRPr="04A7DE4E">
              <w:rPr>
                <w:rFonts w:eastAsia="Times New Roman"/>
                <w:lang w:eastAsia="en-GB"/>
              </w:rPr>
              <w:t xml:space="preserve">Cabinet Secretary for Health and Social Care </w:t>
            </w:r>
            <w:r w:rsidRPr="518B9FF8">
              <w:rPr>
                <w:rFonts w:eastAsia="Times New Roman"/>
                <w:lang w:eastAsia="en-GB"/>
              </w:rPr>
              <w:t>in Wales asked the NHSPRB in their respective remit letters to make a recommendation for a pay award for Agenda for Change (</w:t>
            </w:r>
            <w:proofErr w:type="spellStart"/>
            <w:r w:rsidRPr="518B9FF8">
              <w:rPr>
                <w:rFonts w:eastAsia="Times New Roman"/>
                <w:lang w:eastAsia="en-GB"/>
              </w:rPr>
              <w:t>AfC</w:t>
            </w:r>
            <w:proofErr w:type="spellEnd"/>
            <w:r w:rsidRPr="518B9FF8">
              <w:rPr>
                <w:rFonts w:eastAsia="Times New Roman"/>
                <w:lang w:eastAsia="en-GB"/>
              </w:rPr>
              <w:t xml:space="preserve">) staff. </w:t>
            </w:r>
          </w:p>
          <w:p w14:paraId="4E7FBB0D" w14:textId="77777777" w:rsidR="003E5DC2" w:rsidRDefault="003E5DC2" w:rsidP="00802E76">
            <w:pPr>
              <w:spacing w:before="0" w:after="0"/>
              <w:rPr>
                <w:rFonts w:eastAsia="Times New Roman"/>
                <w:lang w:eastAsia="en-GB"/>
              </w:rPr>
            </w:pPr>
          </w:p>
          <w:p w14:paraId="1537B772" w14:textId="77777777" w:rsidR="003E5DC2" w:rsidRDefault="003E5DC2" w:rsidP="00802E76">
            <w:pPr>
              <w:spacing w:before="0" w:after="0"/>
              <w:rPr>
                <w:rFonts w:eastAsia="Times New Roman"/>
                <w:lang w:eastAsia="en-GB"/>
              </w:rPr>
            </w:pPr>
            <w:r>
              <w:rPr>
                <w:rFonts w:eastAsia="Times New Roman"/>
                <w:lang w:eastAsia="en-GB"/>
              </w:rPr>
              <w:t>The NHSPRB submitted its thirty-</w:t>
            </w:r>
            <w:r w:rsidRPr="0B4579A2">
              <w:rPr>
                <w:rFonts w:eastAsia="Times New Roman"/>
                <w:lang w:eastAsia="en-GB"/>
              </w:rPr>
              <w:t>seventh</w:t>
            </w:r>
            <w:r>
              <w:rPr>
                <w:rFonts w:eastAsia="Times New Roman"/>
                <w:lang w:eastAsia="en-GB"/>
              </w:rPr>
              <w:t xml:space="preserve"> annual report in June </w:t>
            </w:r>
            <w:r w:rsidRPr="0B4579A2">
              <w:rPr>
                <w:rFonts w:eastAsia="Times New Roman"/>
                <w:lang w:eastAsia="en-GB"/>
              </w:rPr>
              <w:t>2024.</w:t>
            </w:r>
            <w:r>
              <w:rPr>
                <w:rFonts w:eastAsia="Times New Roman"/>
                <w:lang w:eastAsia="en-GB"/>
              </w:rPr>
              <w:t xml:space="preserve"> The NHSPRB made </w:t>
            </w:r>
            <w:r w:rsidRPr="0B4579A2">
              <w:rPr>
                <w:rFonts w:eastAsia="Times New Roman"/>
                <w:lang w:eastAsia="en-GB"/>
              </w:rPr>
              <w:t>a recomme</w:t>
            </w:r>
            <w:r>
              <w:rPr>
                <w:rFonts w:eastAsia="Times New Roman"/>
                <w:lang w:eastAsia="en-GB"/>
              </w:rPr>
              <w:t>n</w:t>
            </w:r>
            <w:r w:rsidRPr="0B4579A2">
              <w:rPr>
                <w:rFonts w:eastAsia="Times New Roman"/>
                <w:lang w:eastAsia="en-GB"/>
              </w:rPr>
              <w:t>dation of:</w:t>
            </w:r>
          </w:p>
          <w:p w14:paraId="15853C1A" w14:textId="77777777" w:rsidR="003E5DC2" w:rsidRDefault="003E5DC2" w:rsidP="00802E76">
            <w:pPr>
              <w:spacing w:before="0" w:after="0"/>
              <w:rPr>
                <w:rFonts w:eastAsia="Times New Roman"/>
                <w:lang w:eastAsia="en-GB"/>
              </w:rPr>
            </w:pPr>
          </w:p>
          <w:p w14:paraId="335F60F3" w14:textId="77777777" w:rsidR="003E5DC2" w:rsidRDefault="003E5DC2" w:rsidP="00A60884">
            <w:pPr>
              <w:pStyle w:val="ListParagraph"/>
              <w:numPr>
                <w:ilvl w:val="3"/>
                <w:numId w:val="5"/>
              </w:numPr>
              <w:spacing w:before="0" w:after="0" w:line="259" w:lineRule="auto"/>
              <w:rPr>
                <w:rFonts w:eastAsia="Times New Roman"/>
                <w:lang w:eastAsia="en-GB"/>
              </w:rPr>
            </w:pPr>
            <w:r w:rsidRPr="661C0EA2">
              <w:rPr>
                <w:rFonts w:eastAsia="Times New Roman"/>
                <w:lang w:eastAsia="en-GB"/>
              </w:rPr>
              <w:t xml:space="preserve">A consolidated </w:t>
            </w:r>
            <w:r w:rsidRPr="2EB5CC91">
              <w:rPr>
                <w:rFonts w:eastAsia="Times New Roman"/>
                <w:lang w:eastAsia="en-GB"/>
              </w:rPr>
              <w:t>3.6</w:t>
            </w:r>
            <w:r w:rsidRPr="661C0EA2">
              <w:rPr>
                <w:rFonts w:eastAsia="Times New Roman"/>
                <w:lang w:eastAsia="en-GB"/>
              </w:rPr>
              <w:t>% increase with effect from 1 April 202</w:t>
            </w:r>
            <w:r w:rsidRPr="2EB5CC91">
              <w:rPr>
                <w:rFonts w:eastAsia="Times New Roman"/>
                <w:lang w:eastAsia="en-GB"/>
              </w:rPr>
              <w:t>5</w:t>
            </w:r>
            <w:r w:rsidRPr="661C0EA2">
              <w:rPr>
                <w:rFonts w:eastAsia="Times New Roman"/>
                <w:lang w:eastAsia="en-GB"/>
              </w:rPr>
              <w:t xml:space="preserve"> for all </w:t>
            </w:r>
            <w:proofErr w:type="spellStart"/>
            <w:r w:rsidRPr="661C0EA2">
              <w:rPr>
                <w:rFonts w:eastAsia="Times New Roman"/>
                <w:lang w:eastAsia="en-GB"/>
              </w:rPr>
              <w:t>AfC</w:t>
            </w:r>
            <w:proofErr w:type="spellEnd"/>
            <w:r w:rsidRPr="661C0EA2">
              <w:rPr>
                <w:rFonts w:eastAsia="Times New Roman"/>
                <w:lang w:eastAsia="en-GB"/>
              </w:rPr>
              <w:t xml:space="preserve"> staff.</w:t>
            </w:r>
          </w:p>
          <w:p w14:paraId="6D172A42" w14:textId="47F746E1" w:rsidR="003E5DC2" w:rsidRPr="001E58F2" w:rsidRDefault="003E5DC2" w:rsidP="00802E76">
            <w:pPr>
              <w:spacing w:before="0" w:after="0"/>
              <w:rPr>
                <w:rFonts w:eastAsia="Times New Roman"/>
                <w:lang w:eastAsia="en-GB"/>
              </w:rPr>
            </w:pPr>
            <w:r w:rsidRPr="661C0EA2">
              <w:rPr>
                <w:rFonts w:eastAsia="Times New Roman"/>
                <w:lang w:eastAsia="en-GB"/>
              </w:rPr>
              <w:t xml:space="preserve"> </w:t>
            </w:r>
            <w:r w:rsidRPr="001E58F2">
              <w:rPr>
                <w:rFonts w:eastAsia="Times New Roman"/>
                <w:lang w:eastAsia="en-GB"/>
              </w:rPr>
              <w:t xml:space="preserve"> </w:t>
            </w:r>
          </w:p>
          <w:p w14:paraId="2CBD19F8" w14:textId="77777777" w:rsidR="003E5DC2" w:rsidRPr="001E58F2" w:rsidRDefault="003E5DC2" w:rsidP="00A60884">
            <w:pPr>
              <w:pStyle w:val="ListParagraph"/>
              <w:numPr>
                <w:ilvl w:val="3"/>
                <w:numId w:val="5"/>
              </w:numPr>
              <w:spacing w:before="0" w:after="0"/>
              <w:rPr>
                <w:rFonts w:eastAsia="Times New Roman"/>
                <w:lang w:eastAsia="en-GB"/>
              </w:rPr>
            </w:pPr>
            <w:r w:rsidRPr="2EB5CC91">
              <w:rPr>
                <w:rFonts w:eastAsia="Times New Roman"/>
                <w:lang w:eastAsia="en-GB"/>
              </w:rPr>
              <w:t>A restatement of their recommendation from 2024 that</w:t>
            </w:r>
            <w:r w:rsidRPr="661C0EA2">
              <w:rPr>
                <w:rFonts w:eastAsia="Times New Roman"/>
                <w:lang w:eastAsia="en-GB"/>
              </w:rPr>
              <w:t xml:space="preserve"> the UK Government to issue the NHS Staff Council with a funded mandate to begin to resolve outstanding concerns within the </w:t>
            </w:r>
            <w:proofErr w:type="spellStart"/>
            <w:r w:rsidRPr="661C0EA2">
              <w:rPr>
                <w:rFonts w:eastAsia="Times New Roman"/>
                <w:lang w:eastAsia="en-GB"/>
              </w:rPr>
              <w:t>AfC</w:t>
            </w:r>
            <w:proofErr w:type="spellEnd"/>
            <w:r w:rsidRPr="661C0EA2">
              <w:rPr>
                <w:rFonts w:eastAsia="Times New Roman"/>
                <w:lang w:eastAsia="en-GB"/>
              </w:rPr>
              <w:t xml:space="preserve"> pay structure and for the Northern Ireland Executive and the Welsh Government to support the issuance of this mandate and to work with the Staff Council, their social partners and with the UK Government on this matter. </w:t>
            </w:r>
          </w:p>
          <w:p w14:paraId="6D99F976" w14:textId="77777777" w:rsidR="003E5DC2" w:rsidRDefault="003E5DC2" w:rsidP="00802E76">
            <w:pPr>
              <w:spacing w:before="0" w:after="0"/>
              <w:rPr>
                <w:rFonts w:eastAsia="Times New Roman"/>
                <w:lang w:eastAsia="en-GB"/>
              </w:rPr>
            </w:pPr>
          </w:p>
          <w:p w14:paraId="470410D0" w14:textId="77777777" w:rsidR="003E5DC2" w:rsidRDefault="003E5DC2" w:rsidP="00802E76">
            <w:pPr>
              <w:spacing w:before="0" w:after="0"/>
              <w:textAlignment w:val="baseline"/>
            </w:pPr>
            <w:r w:rsidRPr="02F3AB16">
              <w:rPr>
                <w:rFonts w:eastAsia="Times New Roman"/>
                <w:lang w:eastAsia="en-GB"/>
              </w:rPr>
              <w:t>For England</w:t>
            </w:r>
            <w:r>
              <w:rPr>
                <w:rFonts w:eastAsia="Times New Roman"/>
                <w:lang w:eastAsia="en-GB"/>
              </w:rPr>
              <w:t xml:space="preserve"> and Wales</w:t>
            </w:r>
            <w:r w:rsidRPr="02F3AB16">
              <w:rPr>
                <w:rFonts w:eastAsia="Times New Roman"/>
                <w:lang w:eastAsia="en-GB"/>
              </w:rPr>
              <w:t>,</w:t>
            </w:r>
            <w:r>
              <w:rPr>
                <w:rFonts w:eastAsia="Times New Roman"/>
                <w:lang w:eastAsia="en-GB"/>
              </w:rPr>
              <w:t xml:space="preserve"> both</w:t>
            </w:r>
            <w:r w:rsidRPr="02F3AB16">
              <w:rPr>
                <w:rFonts w:eastAsia="Times New Roman"/>
                <w:lang w:eastAsia="en-GB"/>
              </w:rPr>
              <w:t xml:space="preserve"> </w:t>
            </w:r>
            <w:r>
              <w:rPr>
                <w:rFonts w:eastAsia="Times New Roman"/>
                <w:lang w:eastAsia="en-GB"/>
              </w:rPr>
              <w:t>G</w:t>
            </w:r>
            <w:r w:rsidRPr="02F3AB16">
              <w:rPr>
                <w:rFonts w:eastAsia="Times New Roman"/>
                <w:lang w:eastAsia="en-GB"/>
              </w:rPr>
              <w:t>overnment</w:t>
            </w:r>
            <w:r>
              <w:rPr>
                <w:rFonts w:eastAsia="Times New Roman"/>
                <w:lang w:eastAsia="en-GB"/>
              </w:rPr>
              <w:t>s</w:t>
            </w:r>
            <w:r w:rsidRPr="02F3AB16">
              <w:rPr>
                <w:rFonts w:eastAsia="Times New Roman"/>
                <w:lang w:eastAsia="en-GB"/>
              </w:rPr>
              <w:t xml:space="preserve"> accepted all the </w:t>
            </w:r>
            <w:r>
              <w:rPr>
                <w:rFonts w:eastAsia="Times New Roman"/>
                <w:lang w:eastAsia="en-GB"/>
              </w:rPr>
              <w:t xml:space="preserve">NHSPRB </w:t>
            </w:r>
            <w:r w:rsidRPr="02F3AB16">
              <w:rPr>
                <w:rFonts w:eastAsia="Times New Roman"/>
                <w:lang w:eastAsia="en-GB"/>
              </w:rPr>
              <w:t>recommendations</w:t>
            </w:r>
            <w:r>
              <w:rPr>
                <w:rStyle w:val="FootnoteReference"/>
                <w:rFonts w:eastAsia="Times New Roman"/>
                <w:lang w:eastAsia="en-GB"/>
              </w:rPr>
              <w:footnoteReference w:id="14"/>
            </w:r>
            <w:r>
              <w:rPr>
                <w:rFonts w:eastAsia="Times New Roman"/>
                <w:lang w:eastAsia="en-GB"/>
              </w:rPr>
              <w:t xml:space="preserve"> </w:t>
            </w:r>
            <w:r>
              <w:rPr>
                <w:rStyle w:val="FootnoteReference"/>
                <w:rFonts w:eastAsia="Times New Roman"/>
                <w:lang w:eastAsia="en-GB"/>
              </w:rPr>
              <w:footnoteReference w:id="15"/>
            </w:r>
            <w:r>
              <w:rPr>
                <w:rFonts w:eastAsia="Times New Roman"/>
                <w:lang w:eastAsia="en-GB"/>
              </w:rPr>
              <w:t>.</w:t>
            </w:r>
          </w:p>
          <w:p w14:paraId="0205D99A" w14:textId="77777777" w:rsidR="003E5DC2" w:rsidRDefault="003E5DC2" w:rsidP="00802E76">
            <w:pPr>
              <w:spacing w:before="0" w:after="0"/>
              <w:rPr>
                <w:rFonts w:eastAsia="Times New Roman"/>
                <w:lang w:eastAsia="en-GB"/>
              </w:rPr>
            </w:pPr>
          </w:p>
          <w:p w14:paraId="35799AD9" w14:textId="77777777" w:rsidR="003E5DC2" w:rsidRPr="001A14ED" w:rsidRDefault="003E5DC2" w:rsidP="00802E76">
            <w:pPr>
              <w:spacing w:before="0" w:after="0"/>
              <w:textAlignment w:val="baseline"/>
            </w:pPr>
            <w:r w:rsidRPr="001A14ED">
              <w:rPr>
                <w:rFonts w:eastAsia="Times New Roman"/>
                <w:szCs w:val="24"/>
                <w:lang w:eastAsia="en-GB"/>
              </w:rPr>
              <w:t>At the time of writing, the Northern Ireland Executive had not formally responded to the recommendations, although talks are ongoin</w:t>
            </w:r>
            <w:r>
              <w:rPr>
                <w:rFonts w:eastAsia="Times New Roman"/>
                <w:szCs w:val="24"/>
                <w:lang w:eastAsia="en-GB"/>
              </w:rPr>
              <w:t>g</w:t>
            </w:r>
            <w:r w:rsidRPr="001A14ED">
              <w:rPr>
                <w:rFonts w:eastAsia="Times New Roman"/>
                <w:szCs w:val="24"/>
                <w:lang w:eastAsia="en-GB"/>
              </w:rPr>
              <w:t>. </w:t>
            </w:r>
          </w:p>
          <w:p w14:paraId="15364FA1" w14:textId="77777777" w:rsidR="003E5DC2" w:rsidRDefault="003E5DC2" w:rsidP="00802E76">
            <w:pPr>
              <w:spacing w:before="0" w:after="0"/>
              <w:rPr>
                <w:rFonts w:eastAsia="Times New Roman"/>
                <w:lang w:eastAsia="en-GB"/>
              </w:rPr>
            </w:pPr>
          </w:p>
        </w:tc>
      </w:tr>
    </w:tbl>
    <w:p w14:paraId="6866C519" w14:textId="77777777" w:rsidR="001C1DB8" w:rsidRDefault="001C1DB8">
      <w:pPr>
        <w:pageBreakBefore/>
        <w:spacing w:before="0" w:after="160"/>
      </w:pPr>
    </w:p>
    <w:tbl>
      <w:tblPr>
        <w:tblW w:w="9016" w:type="dxa"/>
        <w:tblCellMar>
          <w:left w:w="10" w:type="dxa"/>
          <w:right w:w="10" w:type="dxa"/>
        </w:tblCellMar>
        <w:tblLook w:val="0000" w:firstRow="0" w:lastRow="0" w:firstColumn="0" w:lastColumn="0" w:noHBand="0" w:noVBand="0"/>
      </w:tblPr>
      <w:tblGrid>
        <w:gridCol w:w="9016"/>
      </w:tblGrid>
      <w:tr w:rsidR="001C1DB8" w14:paraId="6866C51B" w14:textId="77777777" w:rsidTr="767FE1A8">
        <w:tc>
          <w:tcPr>
            <w:tcW w:w="9016" w:type="dxa"/>
            <w:tcBorders>
              <w:top w:val="single" w:sz="4" w:space="0" w:color="000000" w:themeColor="text1"/>
              <w:left w:val="single" w:sz="4" w:space="0" w:color="000000" w:themeColor="text1"/>
              <w:bottom w:val="single" w:sz="4" w:space="0" w:color="A5A5A5" w:themeColor="accent3"/>
              <w:right w:val="single" w:sz="4" w:space="0" w:color="000000" w:themeColor="text1"/>
            </w:tcBorders>
            <w:tcMar>
              <w:top w:w="227" w:type="dxa"/>
              <w:left w:w="227" w:type="dxa"/>
              <w:bottom w:w="227" w:type="dxa"/>
              <w:right w:w="227" w:type="dxa"/>
            </w:tcMar>
          </w:tcPr>
          <w:p w14:paraId="6866C51A" w14:textId="77777777" w:rsidR="001C1DB8" w:rsidRDefault="00FB2C3B">
            <w:pPr>
              <w:pStyle w:val="Heading2"/>
            </w:pPr>
            <w:bookmarkStart w:id="20" w:name="_Toc188365119"/>
            <w:r>
              <w:t>Police Remuneration Review Body (PRRB) Secretariat</w:t>
            </w:r>
            <w:bookmarkEnd w:id="20"/>
          </w:p>
        </w:tc>
      </w:tr>
      <w:tr w:rsidR="001C1DB8" w14:paraId="6866C537" w14:textId="77777777" w:rsidTr="767FE1A8">
        <w:trPr>
          <w:trHeight w:val="614"/>
        </w:trPr>
        <w:tc>
          <w:tcPr>
            <w:tcW w:w="9016" w:type="dxa"/>
            <w:tcBorders>
              <w:top w:val="single" w:sz="4" w:space="0" w:color="A5A5A5" w:themeColor="accent3"/>
              <w:left w:val="single" w:sz="4" w:space="0" w:color="000000" w:themeColor="text1"/>
              <w:bottom w:val="single" w:sz="4" w:space="0" w:color="000000" w:themeColor="text1"/>
              <w:right w:val="single" w:sz="4" w:space="0" w:color="000000" w:themeColor="text1"/>
            </w:tcBorders>
            <w:tcMar>
              <w:top w:w="227" w:type="dxa"/>
              <w:left w:w="227" w:type="dxa"/>
              <w:bottom w:w="227" w:type="dxa"/>
              <w:right w:w="227" w:type="dxa"/>
            </w:tcMar>
          </w:tcPr>
          <w:p w14:paraId="098352DB" w14:textId="77777777" w:rsidR="002A0982" w:rsidRDefault="00FB2C3B">
            <w:pPr>
              <w:spacing w:before="0" w:after="0"/>
              <w:textAlignment w:val="baseline"/>
              <w:rPr>
                <w:rFonts w:eastAsia="Times New Roman"/>
                <w:lang w:eastAsia="en-GB"/>
              </w:rPr>
            </w:pPr>
            <w:r>
              <w:rPr>
                <w:rFonts w:eastAsia="Times New Roman"/>
                <w:lang w:eastAsia="en-GB"/>
              </w:rPr>
              <w:t xml:space="preserve">The PRRB secretariat supports its Review Body in providing independent advice on the pay and allowances for all police officers up to and including the rank of chief superintendent in England, Wales, and Northern Ireland. </w:t>
            </w:r>
          </w:p>
          <w:p w14:paraId="14399D3D" w14:textId="77777777" w:rsidR="00AC4E68" w:rsidRPr="007D6356" w:rsidDel="00652126" w:rsidRDefault="00AC4E68" w:rsidP="00AC4E68">
            <w:pPr>
              <w:spacing w:before="0" w:after="0"/>
              <w:textAlignment w:val="baseline"/>
              <w:rPr>
                <w:rFonts w:eastAsia="Times New Roman"/>
                <w:szCs w:val="24"/>
                <w:u w:val="single"/>
                <w:lang w:eastAsia="en-GB"/>
              </w:rPr>
            </w:pPr>
          </w:p>
          <w:p w14:paraId="10EF82AE" w14:textId="3160023A" w:rsidR="007C5FA3" w:rsidRPr="007C5FA3" w:rsidRDefault="007C5FA3" w:rsidP="007C5FA3">
            <w:pPr>
              <w:spacing w:before="0" w:after="0"/>
              <w:textAlignment w:val="baseline"/>
              <w:rPr>
                <w:rFonts w:eastAsia="Times New Roman"/>
                <w:szCs w:val="24"/>
                <w:lang w:eastAsia="en-GB"/>
              </w:rPr>
            </w:pPr>
            <w:r w:rsidRPr="007C5FA3">
              <w:rPr>
                <w:rFonts w:eastAsia="Times New Roman"/>
                <w:szCs w:val="24"/>
                <w:lang w:eastAsia="en-GB"/>
              </w:rPr>
              <w:t>The PRRB produced two reports in 202</w:t>
            </w:r>
            <w:r w:rsidR="00BB695E">
              <w:rPr>
                <w:rFonts w:eastAsia="Times New Roman"/>
                <w:szCs w:val="24"/>
                <w:lang w:eastAsia="en-GB"/>
              </w:rPr>
              <w:t>5</w:t>
            </w:r>
            <w:r w:rsidRPr="007C5FA3">
              <w:rPr>
                <w:rFonts w:eastAsia="Times New Roman"/>
                <w:szCs w:val="24"/>
                <w:lang w:eastAsia="en-GB"/>
              </w:rPr>
              <w:t>: one for England and Wales and one for Northern Ireland.  </w:t>
            </w:r>
          </w:p>
          <w:p w14:paraId="104C52A5" w14:textId="77777777" w:rsidR="00F32A62" w:rsidRDefault="00F32A62">
            <w:pPr>
              <w:spacing w:before="0" w:after="0"/>
              <w:textAlignment w:val="baseline"/>
              <w:rPr>
                <w:rFonts w:eastAsia="Times New Roman"/>
                <w:b/>
                <w:bCs/>
                <w:szCs w:val="24"/>
                <w:lang w:eastAsia="en-GB"/>
              </w:rPr>
            </w:pPr>
          </w:p>
          <w:p w14:paraId="6866C526" w14:textId="21D64553" w:rsidR="001C1DB8" w:rsidRDefault="00FB2C3B">
            <w:pPr>
              <w:spacing w:before="0" w:after="0"/>
              <w:textAlignment w:val="baseline"/>
            </w:pPr>
            <w:r>
              <w:rPr>
                <w:rFonts w:eastAsia="Times New Roman"/>
                <w:b/>
                <w:bCs/>
                <w:szCs w:val="24"/>
                <w:lang w:eastAsia="en-GB"/>
              </w:rPr>
              <w:t xml:space="preserve">PRRB England and Wales and Northern Ireland </w:t>
            </w:r>
            <w:r w:rsidR="00A6480B">
              <w:rPr>
                <w:rFonts w:eastAsia="Times New Roman"/>
                <w:b/>
                <w:bCs/>
                <w:szCs w:val="24"/>
                <w:lang w:eastAsia="en-GB"/>
              </w:rPr>
              <w:t>Eleventh</w:t>
            </w:r>
            <w:r w:rsidR="00937167">
              <w:rPr>
                <w:rFonts w:eastAsia="Times New Roman"/>
                <w:b/>
                <w:bCs/>
                <w:szCs w:val="24"/>
                <w:lang w:eastAsia="en-GB"/>
              </w:rPr>
              <w:t xml:space="preserve"> </w:t>
            </w:r>
            <w:r>
              <w:rPr>
                <w:rFonts w:eastAsia="Times New Roman"/>
                <w:b/>
                <w:bCs/>
                <w:szCs w:val="24"/>
                <w:lang w:eastAsia="en-GB"/>
              </w:rPr>
              <w:t>Reports 202</w:t>
            </w:r>
            <w:r w:rsidR="00A6480B">
              <w:rPr>
                <w:rFonts w:eastAsia="Times New Roman"/>
                <w:b/>
                <w:bCs/>
                <w:szCs w:val="24"/>
                <w:lang w:eastAsia="en-GB"/>
              </w:rPr>
              <w:t>5</w:t>
            </w:r>
            <w:r>
              <w:rPr>
                <w:rFonts w:eastAsia="Times New Roman"/>
                <w:b/>
                <w:bCs/>
                <w:szCs w:val="24"/>
                <w:lang w:eastAsia="en-GB"/>
              </w:rPr>
              <w:t>/2</w:t>
            </w:r>
            <w:r w:rsidR="00A6480B">
              <w:rPr>
                <w:rFonts w:eastAsia="Times New Roman"/>
                <w:b/>
                <w:bCs/>
                <w:szCs w:val="24"/>
                <w:lang w:eastAsia="en-GB"/>
              </w:rPr>
              <w:t>6</w:t>
            </w:r>
            <w:r>
              <w:rPr>
                <w:rFonts w:eastAsia="Times New Roman"/>
                <w:szCs w:val="24"/>
                <w:lang w:eastAsia="en-GB"/>
              </w:rPr>
              <w:t> </w:t>
            </w:r>
          </w:p>
          <w:p w14:paraId="6866C528" w14:textId="77777777" w:rsidR="001C1DB8" w:rsidRDefault="00FB2C3B">
            <w:pPr>
              <w:spacing w:before="0" w:after="0"/>
              <w:textAlignment w:val="baseline"/>
            </w:pPr>
            <w:r>
              <w:rPr>
                <w:rFonts w:eastAsia="Times New Roman"/>
                <w:szCs w:val="24"/>
                <w:lang w:eastAsia="en-GB"/>
              </w:rPr>
              <w:t> </w:t>
            </w:r>
          </w:p>
          <w:p w14:paraId="6866C529" w14:textId="77777777" w:rsidR="001C1DB8" w:rsidRDefault="00FB2C3B">
            <w:pPr>
              <w:spacing w:before="0" w:after="0"/>
              <w:textAlignment w:val="baseline"/>
              <w:rPr>
                <w:rFonts w:eastAsia="Times New Roman"/>
                <w:szCs w:val="24"/>
                <w:lang w:eastAsia="en-GB"/>
              </w:rPr>
            </w:pPr>
            <w:r>
              <w:rPr>
                <w:rFonts w:eastAsia="Times New Roman"/>
                <w:szCs w:val="24"/>
                <w:u w:val="single"/>
                <w:lang w:eastAsia="en-GB"/>
              </w:rPr>
              <w:t>England and Wales</w:t>
            </w:r>
            <w:r>
              <w:rPr>
                <w:rFonts w:eastAsia="Times New Roman"/>
                <w:szCs w:val="24"/>
                <w:lang w:eastAsia="en-GB"/>
              </w:rPr>
              <w:t> </w:t>
            </w:r>
          </w:p>
          <w:p w14:paraId="19BF95CB" w14:textId="77777777" w:rsidR="00303AF9" w:rsidRDefault="00303AF9">
            <w:pPr>
              <w:spacing w:before="0" w:after="0"/>
              <w:textAlignment w:val="baseline"/>
            </w:pPr>
          </w:p>
          <w:p w14:paraId="6866C52A" w14:textId="6B7D97F8" w:rsidR="001C1DB8" w:rsidRDefault="00FB2C3B">
            <w:pPr>
              <w:spacing w:before="0" w:after="0"/>
              <w:textAlignment w:val="baseline"/>
              <w:rPr>
                <w:rFonts w:eastAsia="Times New Roman"/>
                <w:szCs w:val="24"/>
                <w:lang w:eastAsia="en-GB"/>
              </w:rPr>
            </w:pPr>
            <w:r>
              <w:rPr>
                <w:rFonts w:eastAsia="Times New Roman"/>
                <w:szCs w:val="24"/>
                <w:lang w:eastAsia="en-GB"/>
              </w:rPr>
              <w:t>The 202</w:t>
            </w:r>
            <w:r w:rsidR="00F703B7">
              <w:rPr>
                <w:rFonts w:eastAsia="Times New Roman"/>
                <w:szCs w:val="24"/>
                <w:lang w:eastAsia="en-GB"/>
              </w:rPr>
              <w:t>5</w:t>
            </w:r>
            <w:r>
              <w:rPr>
                <w:rFonts w:eastAsia="Times New Roman"/>
                <w:szCs w:val="24"/>
                <w:lang w:eastAsia="en-GB"/>
              </w:rPr>
              <w:t xml:space="preserve"> PRRB report for England and Wales recommended (from 1 September 202</w:t>
            </w:r>
            <w:r w:rsidR="00F703B7">
              <w:rPr>
                <w:rFonts w:eastAsia="Times New Roman"/>
                <w:szCs w:val="24"/>
                <w:lang w:eastAsia="en-GB"/>
              </w:rPr>
              <w:t>5</w:t>
            </w:r>
            <w:r>
              <w:rPr>
                <w:rFonts w:eastAsia="Times New Roman"/>
                <w:szCs w:val="24"/>
                <w:lang w:eastAsia="en-GB"/>
              </w:rPr>
              <w:t>):  </w:t>
            </w:r>
          </w:p>
          <w:p w14:paraId="7FA2806C" w14:textId="75EC3EC1" w:rsidR="00C748CD" w:rsidRDefault="00E01BDF" w:rsidP="00A60884">
            <w:pPr>
              <w:pStyle w:val="ListParagraph"/>
              <w:numPr>
                <w:ilvl w:val="0"/>
                <w:numId w:val="20"/>
              </w:numPr>
              <w:spacing w:before="0" w:after="0"/>
              <w:textAlignment w:val="baseline"/>
              <w:rPr>
                <w:rFonts w:eastAsia="Times New Roman"/>
                <w:szCs w:val="24"/>
                <w:lang w:eastAsia="en-GB"/>
              </w:rPr>
            </w:pPr>
            <w:r>
              <w:rPr>
                <w:rFonts w:eastAsia="Times New Roman"/>
                <w:szCs w:val="24"/>
                <w:lang w:eastAsia="en-GB"/>
              </w:rPr>
              <w:t xml:space="preserve">A consolidated increase of 4.2% to all police </w:t>
            </w:r>
            <w:proofErr w:type="gramStart"/>
            <w:r>
              <w:rPr>
                <w:rFonts w:eastAsia="Times New Roman"/>
                <w:szCs w:val="24"/>
                <w:lang w:eastAsia="en-GB"/>
              </w:rPr>
              <w:t>officer</w:t>
            </w:r>
            <w:proofErr w:type="gramEnd"/>
            <w:r>
              <w:rPr>
                <w:rFonts w:eastAsia="Times New Roman"/>
                <w:szCs w:val="24"/>
                <w:lang w:eastAsia="en-GB"/>
              </w:rPr>
              <w:t xml:space="preserve"> pay points for all ranks up to and including chief superintendent.</w:t>
            </w:r>
          </w:p>
          <w:p w14:paraId="3D3400D1" w14:textId="3B4377C0" w:rsidR="00E01BDF" w:rsidRDefault="00E01BDF" w:rsidP="00A60884">
            <w:pPr>
              <w:pStyle w:val="ListParagraph"/>
              <w:numPr>
                <w:ilvl w:val="0"/>
                <w:numId w:val="20"/>
              </w:numPr>
              <w:spacing w:before="0" w:after="0"/>
              <w:textAlignment w:val="baseline"/>
              <w:rPr>
                <w:rFonts w:eastAsia="Times New Roman"/>
                <w:szCs w:val="24"/>
                <w:lang w:eastAsia="en-GB"/>
              </w:rPr>
            </w:pPr>
            <w:r>
              <w:rPr>
                <w:rFonts w:eastAsia="Times New Roman"/>
                <w:szCs w:val="24"/>
                <w:lang w:eastAsia="en-GB"/>
              </w:rPr>
              <w:t xml:space="preserve">On-call Allowance </w:t>
            </w:r>
            <w:r w:rsidR="00520D95">
              <w:rPr>
                <w:rFonts w:eastAsia="Times New Roman"/>
                <w:szCs w:val="24"/>
                <w:lang w:eastAsia="en-GB"/>
              </w:rPr>
              <w:t>to be increased from £25 to £35.</w:t>
            </w:r>
          </w:p>
          <w:p w14:paraId="76811349" w14:textId="39B5DADF" w:rsidR="00520D95" w:rsidRDefault="00520D95" w:rsidP="00A60884">
            <w:pPr>
              <w:pStyle w:val="ListParagraph"/>
              <w:numPr>
                <w:ilvl w:val="0"/>
                <w:numId w:val="20"/>
              </w:numPr>
              <w:spacing w:before="0" w:after="0"/>
              <w:textAlignment w:val="baseline"/>
              <w:rPr>
                <w:rFonts w:eastAsia="Times New Roman"/>
                <w:szCs w:val="24"/>
                <w:lang w:eastAsia="en-GB"/>
              </w:rPr>
            </w:pPr>
            <w:r>
              <w:rPr>
                <w:rFonts w:eastAsia="Times New Roman"/>
                <w:szCs w:val="24"/>
                <w:lang w:eastAsia="en-GB"/>
              </w:rPr>
              <w:t xml:space="preserve">The current three bands for the Motor Vehicle Allowance essential users’ lump sum, linked to engine size of the vehicle, to be replaced with a single allowance of £1,239 irrespective of the engine size. </w:t>
            </w:r>
          </w:p>
          <w:p w14:paraId="08A2E7C0" w14:textId="0E86493E" w:rsidR="00520D95" w:rsidRDefault="00520D95" w:rsidP="00A60884">
            <w:pPr>
              <w:pStyle w:val="ListParagraph"/>
              <w:numPr>
                <w:ilvl w:val="0"/>
                <w:numId w:val="20"/>
              </w:numPr>
              <w:spacing w:before="0" w:after="0"/>
              <w:textAlignment w:val="baseline"/>
              <w:rPr>
                <w:rFonts w:eastAsia="Times New Roman"/>
                <w:szCs w:val="24"/>
                <w:lang w:eastAsia="en-GB"/>
              </w:rPr>
            </w:pPr>
            <w:r>
              <w:rPr>
                <w:rFonts w:eastAsia="Times New Roman"/>
                <w:szCs w:val="24"/>
                <w:lang w:eastAsia="en-GB"/>
              </w:rPr>
              <w:t xml:space="preserve">The Away from Home Overnight Allowance to be increased by £10 from £50 to £60. </w:t>
            </w:r>
          </w:p>
          <w:p w14:paraId="5C569E8F" w14:textId="03A3D5AC" w:rsidR="00520D95" w:rsidRDefault="00520D95" w:rsidP="00A60884">
            <w:pPr>
              <w:pStyle w:val="ListParagraph"/>
              <w:numPr>
                <w:ilvl w:val="0"/>
                <w:numId w:val="20"/>
              </w:numPr>
              <w:spacing w:before="0" w:after="0"/>
              <w:textAlignment w:val="baseline"/>
              <w:rPr>
                <w:rFonts w:eastAsia="Times New Roman"/>
                <w:szCs w:val="24"/>
                <w:lang w:eastAsia="en-GB"/>
              </w:rPr>
            </w:pPr>
            <w:r>
              <w:rPr>
                <w:rFonts w:eastAsia="Times New Roman"/>
                <w:szCs w:val="24"/>
                <w:lang w:eastAsia="en-GB"/>
              </w:rPr>
              <w:t>The Hardship Allowance to be increased by £10 from £30 to £40.</w:t>
            </w:r>
          </w:p>
          <w:p w14:paraId="6C28EEA7" w14:textId="5228D864" w:rsidR="00520D95" w:rsidRPr="0053034A" w:rsidRDefault="00520D95" w:rsidP="00A60884">
            <w:pPr>
              <w:pStyle w:val="ListParagraph"/>
              <w:numPr>
                <w:ilvl w:val="0"/>
                <w:numId w:val="20"/>
              </w:numPr>
              <w:spacing w:before="0" w:after="0"/>
              <w:textAlignment w:val="baseline"/>
              <w:rPr>
                <w:rFonts w:eastAsia="Times New Roman"/>
                <w:szCs w:val="24"/>
                <w:lang w:eastAsia="en-GB"/>
              </w:rPr>
            </w:pPr>
            <w:r>
              <w:rPr>
                <w:rFonts w:eastAsia="Times New Roman"/>
                <w:szCs w:val="24"/>
                <w:lang w:eastAsia="en-GB"/>
              </w:rPr>
              <w:t>London Weighting to be uprated by 4.2%.</w:t>
            </w:r>
          </w:p>
          <w:p w14:paraId="23F608BB" w14:textId="40B86405" w:rsidR="002B261F" w:rsidRPr="0053034A" w:rsidRDefault="002B261F" w:rsidP="0053034A">
            <w:pPr>
              <w:pStyle w:val="ListParagraph"/>
              <w:spacing w:before="0" w:after="0"/>
              <w:ind w:left="5040"/>
              <w:textAlignment w:val="baseline"/>
              <w:rPr>
                <w:rFonts w:eastAsia="Times New Roman"/>
                <w:szCs w:val="24"/>
                <w:lang w:eastAsia="en-GB"/>
              </w:rPr>
            </w:pPr>
          </w:p>
          <w:p w14:paraId="6866C532" w14:textId="7D6C880B" w:rsidR="001C1DB8" w:rsidRPr="0061133A" w:rsidRDefault="00A20A30">
            <w:pPr>
              <w:spacing w:before="0" w:after="0"/>
              <w:textAlignment w:val="baseline"/>
            </w:pPr>
            <w:r>
              <w:rPr>
                <w:bCs/>
              </w:rPr>
              <w:t xml:space="preserve">The Home Secretary responded </w:t>
            </w:r>
            <w:r w:rsidR="00FE4131">
              <w:t>on 1 August 2025</w:t>
            </w:r>
            <w:r w:rsidR="00D872C4">
              <w:t xml:space="preserve"> by </w:t>
            </w:r>
            <w:r w:rsidR="00B76456">
              <w:rPr>
                <w:bCs/>
              </w:rPr>
              <w:t>a</w:t>
            </w:r>
            <w:r w:rsidR="001703B3">
              <w:rPr>
                <w:bCs/>
              </w:rPr>
              <w:t xml:space="preserve">ccepting </w:t>
            </w:r>
            <w:r w:rsidR="00D872C4">
              <w:t>the PRRB’s</w:t>
            </w:r>
            <w:r w:rsidR="001703B3">
              <w:rPr>
                <w:bCs/>
              </w:rPr>
              <w:t xml:space="preserve"> recommendations</w:t>
            </w:r>
            <w:r w:rsidR="002B4E31">
              <w:rPr>
                <w:bCs/>
              </w:rPr>
              <w:t xml:space="preserve"> </w:t>
            </w:r>
            <w:r w:rsidR="00D872C4">
              <w:t>in full</w:t>
            </w:r>
            <w:r w:rsidR="009010ED">
              <w:rPr>
                <w:rStyle w:val="FootnoteReference"/>
              </w:rPr>
              <w:footnoteReference w:id="16"/>
            </w:r>
            <w:r w:rsidR="00D872C4">
              <w:t>.</w:t>
            </w:r>
          </w:p>
          <w:p w14:paraId="3F10EBCB" w14:textId="77777777" w:rsidR="009036E6" w:rsidRDefault="009036E6" w:rsidP="003B2C5E">
            <w:pPr>
              <w:spacing w:before="0" w:after="0"/>
              <w:textAlignment w:val="baseline"/>
              <w:rPr>
                <w:rFonts w:eastAsia="Times New Roman"/>
                <w:szCs w:val="24"/>
                <w:u w:val="single"/>
                <w:lang w:eastAsia="en-GB"/>
              </w:rPr>
            </w:pPr>
          </w:p>
          <w:p w14:paraId="6866C533" w14:textId="77777777" w:rsidR="001C1DB8" w:rsidRDefault="00FB2C3B" w:rsidP="003B2C5E">
            <w:pPr>
              <w:spacing w:before="0" w:after="0"/>
              <w:textAlignment w:val="baseline"/>
            </w:pPr>
            <w:r>
              <w:rPr>
                <w:rFonts w:eastAsia="Times New Roman"/>
                <w:szCs w:val="24"/>
                <w:u w:val="single"/>
                <w:lang w:eastAsia="en-GB"/>
              </w:rPr>
              <w:t>Northern Ireland</w:t>
            </w:r>
            <w:r>
              <w:rPr>
                <w:rFonts w:eastAsia="Times New Roman"/>
                <w:szCs w:val="24"/>
                <w:lang w:eastAsia="en-GB"/>
              </w:rPr>
              <w:t> </w:t>
            </w:r>
          </w:p>
          <w:p w14:paraId="6866C535" w14:textId="77777777" w:rsidR="001C1DB8" w:rsidRDefault="00FB2C3B" w:rsidP="003B2C5E">
            <w:pPr>
              <w:spacing w:before="0" w:after="0"/>
              <w:textAlignment w:val="baseline"/>
            </w:pPr>
            <w:r>
              <w:rPr>
                <w:rFonts w:eastAsia="Times New Roman"/>
                <w:szCs w:val="24"/>
                <w:lang w:eastAsia="en-GB"/>
              </w:rPr>
              <w:t> </w:t>
            </w:r>
          </w:p>
          <w:p w14:paraId="525CAF0E" w14:textId="554B93F2" w:rsidR="006118AC" w:rsidRPr="007D6356" w:rsidRDefault="00FB2C3B" w:rsidP="0053034A">
            <w:pPr>
              <w:spacing w:before="0" w:after="0"/>
              <w:textAlignment w:val="baseline"/>
            </w:pPr>
            <w:r w:rsidRPr="767FE1A8">
              <w:rPr>
                <w:rFonts w:eastAsia="Times New Roman"/>
                <w:lang w:eastAsia="en-GB"/>
              </w:rPr>
              <w:t xml:space="preserve">The </w:t>
            </w:r>
            <w:r w:rsidR="00943ADE">
              <w:rPr>
                <w:rFonts w:eastAsia="Times New Roman"/>
                <w:lang w:eastAsia="en-GB"/>
              </w:rPr>
              <w:t>2025</w:t>
            </w:r>
            <w:r w:rsidRPr="767FE1A8">
              <w:rPr>
                <w:rFonts w:eastAsia="Times New Roman"/>
                <w:lang w:eastAsia="en-GB"/>
              </w:rPr>
              <w:t xml:space="preserve"> PRRB report for Northern Ireland was submitted to the </w:t>
            </w:r>
            <w:r w:rsidR="00C435F7" w:rsidRPr="767FE1A8">
              <w:rPr>
                <w:rFonts w:eastAsia="Times New Roman"/>
                <w:lang w:eastAsia="en-GB"/>
              </w:rPr>
              <w:t xml:space="preserve">Department </w:t>
            </w:r>
            <w:r w:rsidRPr="767FE1A8">
              <w:rPr>
                <w:rFonts w:eastAsia="Times New Roman"/>
                <w:lang w:eastAsia="en-GB"/>
              </w:rPr>
              <w:t xml:space="preserve">of Justice for Northern Ireland on </w:t>
            </w:r>
            <w:r w:rsidR="000227EF">
              <w:rPr>
                <w:rFonts w:eastAsia="Times New Roman"/>
                <w:lang w:eastAsia="en-GB"/>
              </w:rPr>
              <w:t>7 July 2025.</w:t>
            </w:r>
            <w:r w:rsidRPr="767FE1A8">
              <w:rPr>
                <w:rFonts w:eastAsia="Times New Roman"/>
                <w:lang w:eastAsia="en-GB"/>
              </w:rPr>
              <w:t xml:space="preserve"> </w:t>
            </w:r>
            <w:r w:rsidR="005F46CA">
              <w:rPr>
                <w:rFonts w:eastAsia="Times New Roman"/>
                <w:lang w:eastAsia="en-GB"/>
              </w:rPr>
              <w:t xml:space="preserve">A response is awaited. </w:t>
            </w:r>
          </w:p>
          <w:p w14:paraId="6866C536" w14:textId="67266ED6" w:rsidR="004F4C1C" w:rsidRDefault="004F4C1C" w:rsidP="003B2C5E">
            <w:pPr>
              <w:spacing w:before="0" w:after="0"/>
              <w:textAlignment w:val="baseline"/>
            </w:pPr>
            <w:r>
              <w:t xml:space="preserve"> </w:t>
            </w:r>
          </w:p>
        </w:tc>
      </w:tr>
    </w:tbl>
    <w:p w14:paraId="6866C538" w14:textId="77777777" w:rsidR="001C1DB8" w:rsidRDefault="001C1DB8">
      <w:pPr>
        <w:pageBreakBefore/>
        <w:spacing w:before="0" w:after="160"/>
      </w:pPr>
    </w:p>
    <w:tbl>
      <w:tblPr>
        <w:tblW w:w="9016" w:type="dxa"/>
        <w:tblCellMar>
          <w:left w:w="10" w:type="dxa"/>
          <w:right w:w="10" w:type="dxa"/>
        </w:tblCellMar>
        <w:tblLook w:val="0000" w:firstRow="0" w:lastRow="0" w:firstColumn="0" w:lastColumn="0" w:noHBand="0" w:noVBand="0"/>
      </w:tblPr>
      <w:tblGrid>
        <w:gridCol w:w="9016"/>
      </w:tblGrid>
      <w:tr w:rsidR="001C1DB8" w14:paraId="6866C53A" w14:textId="77777777" w:rsidTr="62F59657">
        <w:tc>
          <w:tcPr>
            <w:tcW w:w="9016" w:type="dxa"/>
            <w:tcBorders>
              <w:top w:val="single" w:sz="4" w:space="0" w:color="000000" w:themeColor="text1"/>
              <w:left w:val="single" w:sz="4" w:space="0" w:color="000000" w:themeColor="text1"/>
              <w:bottom w:val="single" w:sz="4" w:space="0" w:color="A5A5A5" w:themeColor="accent3"/>
              <w:right w:val="single" w:sz="4" w:space="0" w:color="000000" w:themeColor="text1"/>
            </w:tcBorders>
            <w:tcMar>
              <w:top w:w="227" w:type="dxa"/>
              <w:left w:w="227" w:type="dxa"/>
              <w:bottom w:w="227" w:type="dxa"/>
              <w:right w:w="227" w:type="dxa"/>
            </w:tcMar>
          </w:tcPr>
          <w:p w14:paraId="6866C539" w14:textId="77777777" w:rsidR="001C1DB8" w:rsidRDefault="00FB2C3B">
            <w:pPr>
              <w:pStyle w:val="Heading2"/>
            </w:pPr>
            <w:bookmarkStart w:id="21" w:name="_Toc188365120"/>
            <w:r>
              <w:t>Prison Service Pay Review Body (PSPRB) Secretariat</w:t>
            </w:r>
            <w:bookmarkEnd w:id="21"/>
          </w:p>
        </w:tc>
      </w:tr>
      <w:tr w:rsidR="001C1DB8" w14:paraId="6866C55D" w14:textId="77777777" w:rsidTr="62F59657">
        <w:trPr>
          <w:trHeight w:val="1039"/>
        </w:trPr>
        <w:tc>
          <w:tcPr>
            <w:tcW w:w="9016" w:type="dxa"/>
            <w:tcBorders>
              <w:top w:val="single" w:sz="4" w:space="0" w:color="A5A5A5" w:themeColor="accent3"/>
              <w:left w:val="single" w:sz="4" w:space="0" w:color="000000" w:themeColor="text1"/>
              <w:bottom w:val="single" w:sz="4" w:space="0" w:color="000000" w:themeColor="text1"/>
              <w:right w:val="single" w:sz="4" w:space="0" w:color="000000" w:themeColor="text1"/>
            </w:tcBorders>
            <w:tcMar>
              <w:top w:w="227" w:type="dxa"/>
              <w:left w:w="227" w:type="dxa"/>
              <w:bottom w:w="227" w:type="dxa"/>
              <w:right w:w="227" w:type="dxa"/>
            </w:tcMar>
          </w:tcPr>
          <w:p w14:paraId="6866C53B" w14:textId="77777777" w:rsidR="001C1DB8" w:rsidRDefault="00FB2C3B">
            <w:pPr>
              <w:spacing w:before="0" w:after="0"/>
              <w:textAlignment w:val="baseline"/>
              <w:rPr>
                <w:rFonts w:eastAsia="Times New Roman"/>
                <w:lang w:eastAsia="en-GB"/>
              </w:rPr>
            </w:pPr>
            <w:bookmarkStart w:id="22" w:name="_TOC_250004"/>
            <w:r>
              <w:rPr>
                <w:rFonts w:eastAsia="Times New Roman"/>
                <w:lang w:eastAsia="en-GB"/>
              </w:rPr>
              <w:t>The PSPRB secretariat supports its Review Body in providing independent advice on the pay of governing governors, operational managers, prison officers, and support grades in HM Prison Service (England and Wales) and equivalent posts in the Northern Ireland Prison Service. </w:t>
            </w:r>
          </w:p>
          <w:p w14:paraId="6866C53C" w14:textId="77777777" w:rsidR="001C1DB8" w:rsidRDefault="00FB2C3B">
            <w:pPr>
              <w:spacing w:before="0" w:after="0"/>
              <w:textAlignment w:val="baseline"/>
            </w:pPr>
            <w:r>
              <w:rPr>
                <w:rFonts w:eastAsia="Times New Roman"/>
                <w:szCs w:val="24"/>
                <w:lang w:eastAsia="en-GB"/>
              </w:rPr>
              <w:t> </w:t>
            </w:r>
          </w:p>
          <w:p w14:paraId="1F6ED41A" w14:textId="2AAEA82E" w:rsidR="00D91B0B" w:rsidRDefault="00D91B0B" w:rsidP="00D91B0B">
            <w:pPr>
              <w:spacing w:before="0" w:after="0"/>
              <w:textAlignment w:val="baseline"/>
              <w:rPr>
                <w:rFonts w:eastAsia="Times New Roman"/>
                <w:b/>
                <w:lang w:eastAsia="en-GB"/>
              </w:rPr>
            </w:pPr>
            <w:r w:rsidRPr="5194E5E4">
              <w:rPr>
                <w:rFonts w:eastAsia="Times New Roman"/>
                <w:b/>
                <w:bCs/>
                <w:lang w:eastAsia="en-GB"/>
              </w:rPr>
              <w:t>202</w:t>
            </w:r>
            <w:r w:rsidR="0A49773A" w:rsidRPr="5194E5E4">
              <w:rPr>
                <w:rFonts w:eastAsia="Times New Roman"/>
                <w:b/>
                <w:bCs/>
                <w:lang w:eastAsia="en-GB"/>
              </w:rPr>
              <w:t>5</w:t>
            </w:r>
            <w:r w:rsidRPr="5194E5E4">
              <w:rPr>
                <w:rFonts w:eastAsia="Times New Roman"/>
                <w:b/>
                <w:lang w:eastAsia="en-GB"/>
              </w:rPr>
              <w:t xml:space="preserve"> England and Wales report</w:t>
            </w:r>
          </w:p>
          <w:p w14:paraId="79CBB4E5" w14:textId="59A7D050" w:rsidR="00D91B0B" w:rsidRDefault="00D91B0B" w:rsidP="00D91B0B">
            <w:pPr>
              <w:spacing w:before="0" w:after="0"/>
              <w:textAlignment w:val="baseline"/>
              <w:rPr>
                <w:rFonts w:eastAsia="Times New Roman"/>
                <w:lang w:eastAsia="en-GB"/>
              </w:rPr>
            </w:pPr>
            <w:r w:rsidRPr="5194E5E4">
              <w:rPr>
                <w:rFonts w:eastAsia="Times New Roman"/>
                <w:lang w:eastAsia="en-GB"/>
              </w:rPr>
              <w:t>The 202</w:t>
            </w:r>
            <w:r w:rsidR="4B20AE73" w:rsidRPr="5194E5E4">
              <w:rPr>
                <w:rFonts w:eastAsia="Times New Roman"/>
                <w:lang w:eastAsia="en-GB"/>
              </w:rPr>
              <w:t>5</w:t>
            </w:r>
            <w:r w:rsidRPr="5194E5E4">
              <w:rPr>
                <w:rFonts w:eastAsia="Times New Roman"/>
                <w:lang w:eastAsia="en-GB"/>
              </w:rPr>
              <w:t xml:space="preserve"> PSPRB report on England and Wales was submitted to Government on </w:t>
            </w:r>
            <w:r w:rsidR="3ED746C5" w:rsidRPr="5194E5E4">
              <w:rPr>
                <w:rFonts w:eastAsia="Times New Roman"/>
                <w:lang w:eastAsia="en-GB"/>
              </w:rPr>
              <w:t>9</w:t>
            </w:r>
            <w:r w:rsidRPr="5194E5E4">
              <w:rPr>
                <w:rFonts w:eastAsia="Times New Roman"/>
                <w:lang w:eastAsia="en-GB"/>
              </w:rPr>
              <w:t xml:space="preserve"> </w:t>
            </w:r>
            <w:r w:rsidR="4881851F" w:rsidRPr="5194E5E4">
              <w:rPr>
                <w:rFonts w:eastAsia="Times New Roman"/>
                <w:lang w:eastAsia="en-GB"/>
              </w:rPr>
              <w:t>April</w:t>
            </w:r>
            <w:r w:rsidRPr="5194E5E4">
              <w:rPr>
                <w:rFonts w:eastAsia="Times New Roman"/>
                <w:lang w:eastAsia="en-GB"/>
              </w:rPr>
              <w:t xml:space="preserve"> 202</w:t>
            </w:r>
            <w:r w:rsidR="23FD3CD6" w:rsidRPr="5194E5E4">
              <w:rPr>
                <w:rFonts w:eastAsia="Times New Roman"/>
                <w:lang w:eastAsia="en-GB"/>
              </w:rPr>
              <w:t>5</w:t>
            </w:r>
            <w:r w:rsidRPr="5194E5E4">
              <w:rPr>
                <w:rFonts w:eastAsia="Times New Roman"/>
                <w:lang w:eastAsia="en-GB"/>
              </w:rPr>
              <w:t>. The 1 April 202</w:t>
            </w:r>
            <w:r w:rsidR="32BC1DBC" w:rsidRPr="5194E5E4">
              <w:rPr>
                <w:rFonts w:eastAsia="Times New Roman"/>
                <w:lang w:eastAsia="en-GB"/>
              </w:rPr>
              <w:t>5</w:t>
            </w:r>
            <w:r w:rsidRPr="5194E5E4">
              <w:rPr>
                <w:rFonts w:eastAsia="Times New Roman"/>
                <w:lang w:eastAsia="en-GB"/>
              </w:rPr>
              <w:t xml:space="preserve"> recommendations for England and Wales were:  </w:t>
            </w:r>
          </w:p>
          <w:p w14:paraId="16E7B206" w14:textId="77777777" w:rsidR="00D91B0B" w:rsidRDefault="00D91B0B" w:rsidP="00D91B0B">
            <w:pPr>
              <w:spacing w:before="0" w:after="0"/>
              <w:textAlignment w:val="baseline"/>
            </w:pPr>
            <w:r>
              <w:rPr>
                <w:rFonts w:eastAsia="Times New Roman"/>
                <w:szCs w:val="24"/>
                <w:lang w:eastAsia="en-GB"/>
              </w:rPr>
              <w:t> </w:t>
            </w:r>
          </w:p>
          <w:p w14:paraId="2FD92C17" w14:textId="23784196" w:rsidR="00D91B0B" w:rsidRDefault="7ACA9AA2" w:rsidP="00A60884">
            <w:pPr>
              <w:pStyle w:val="ListParagraph"/>
              <w:numPr>
                <w:ilvl w:val="0"/>
                <w:numId w:val="7"/>
              </w:numPr>
              <w:spacing w:before="0" w:after="0"/>
              <w:ind w:left="484" w:hanging="378"/>
              <w:textAlignment w:val="baseline"/>
            </w:pPr>
            <w:r>
              <w:t>A 4% pay increase to all pay points, ranges and spot rates in Fair and Sustainable Bands 2 to 5 and 7 to 12. The award to Band 2 is on top of the National Living Wage increase.</w:t>
            </w:r>
          </w:p>
          <w:p w14:paraId="1DED08D9" w14:textId="3CB26151" w:rsidR="00D91B0B" w:rsidRDefault="7ACA9AA2" w:rsidP="00A60884">
            <w:pPr>
              <w:pStyle w:val="ListParagraph"/>
              <w:numPr>
                <w:ilvl w:val="0"/>
                <w:numId w:val="7"/>
              </w:numPr>
              <w:spacing w:before="0" w:after="0"/>
              <w:ind w:left="484"/>
              <w:textAlignment w:val="baseline"/>
              <w:rPr>
                <w:szCs w:val="24"/>
              </w:rPr>
            </w:pPr>
            <w:r>
              <w:t>Closed grades who would not financially benefit from opting in to Fair and Sustainable receive a 4% non-consolidated payment.</w:t>
            </w:r>
          </w:p>
          <w:p w14:paraId="3403B4EA" w14:textId="26EB74FB" w:rsidR="00D91B0B" w:rsidRDefault="7ACA9AA2" w:rsidP="00A60884">
            <w:pPr>
              <w:pStyle w:val="ListParagraph"/>
              <w:numPr>
                <w:ilvl w:val="0"/>
                <w:numId w:val="7"/>
              </w:numPr>
              <w:spacing w:before="0" w:after="0"/>
              <w:ind w:left="484"/>
              <w:textAlignment w:val="baseline"/>
              <w:rPr>
                <w:szCs w:val="24"/>
              </w:rPr>
            </w:pPr>
            <w:r>
              <w:t>All closed grade rates of pay to at least match the National Living Wage.</w:t>
            </w:r>
          </w:p>
          <w:p w14:paraId="326F344A" w14:textId="71549AAF" w:rsidR="00D91B0B" w:rsidRDefault="7ACA9AA2" w:rsidP="00A60884">
            <w:pPr>
              <w:pStyle w:val="ListParagraph"/>
              <w:numPr>
                <w:ilvl w:val="0"/>
                <w:numId w:val="7"/>
              </w:numPr>
              <w:spacing w:before="0" w:after="0"/>
              <w:ind w:left="484"/>
              <w:textAlignment w:val="baseline"/>
              <w:rPr>
                <w:szCs w:val="24"/>
              </w:rPr>
            </w:pPr>
            <w:r>
              <w:t>Closed grade staff who chose to opt in to Fair and Sustainable should go on to the maximum of the equivalent Fair and Sustainable pay scale. The opt in process should be expedited to as close as possible to publication of the report.</w:t>
            </w:r>
          </w:p>
          <w:p w14:paraId="28BA4B3F" w14:textId="31F81736" w:rsidR="00D91B0B" w:rsidRDefault="7ACA9AA2" w:rsidP="00A60884">
            <w:pPr>
              <w:pStyle w:val="ListParagraph"/>
              <w:numPr>
                <w:ilvl w:val="0"/>
                <w:numId w:val="7"/>
              </w:numPr>
              <w:spacing w:before="0" w:after="0"/>
              <w:ind w:left="484"/>
              <w:textAlignment w:val="baseline"/>
              <w:rPr>
                <w:szCs w:val="24"/>
              </w:rPr>
            </w:pPr>
            <w:r>
              <w:t>All staff in Bands 3 to 5 to progress one pay point, except those on formal poor performance procedures.</w:t>
            </w:r>
          </w:p>
          <w:p w14:paraId="22A89AD3" w14:textId="6E874C90" w:rsidR="00D91B0B" w:rsidRDefault="7ACA9AA2" w:rsidP="00A60884">
            <w:pPr>
              <w:pStyle w:val="ListParagraph"/>
              <w:numPr>
                <w:ilvl w:val="0"/>
                <w:numId w:val="7"/>
              </w:numPr>
              <w:spacing w:before="0" w:after="0"/>
              <w:ind w:left="484"/>
              <w:textAlignment w:val="baseline"/>
              <w:rPr>
                <w:szCs w:val="24"/>
              </w:rPr>
            </w:pPr>
            <w:r>
              <w:t xml:space="preserve">All staff in Bands 8 to 11 to progress up the pay ranges by 3⅓%, except those on formal poor performance procedures.   </w:t>
            </w:r>
          </w:p>
          <w:p w14:paraId="467FD402" w14:textId="38145FE0" w:rsidR="00D91B0B" w:rsidRDefault="7ACA9AA2" w:rsidP="00A60884">
            <w:pPr>
              <w:pStyle w:val="ListParagraph"/>
              <w:numPr>
                <w:ilvl w:val="0"/>
                <w:numId w:val="7"/>
              </w:numPr>
              <w:spacing w:before="0" w:after="0"/>
              <w:ind w:left="484"/>
              <w:textAlignment w:val="baseline"/>
              <w:rPr>
                <w:szCs w:val="24"/>
              </w:rPr>
            </w:pPr>
            <w:r>
              <w:t>The Band 10 maxima in Inner and Outer London to be 10% above that of the Band 9 maxima in Inner and Outer London.</w:t>
            </w:r>
          </w:p>
          <w:p w14:paraId="1C13EEC8" w14:textId="7D114480" w:rsidR="00D91B0B" w:rsidRDefault="7ACA9AA2" w:rsidP="00A60884">
            <w:pPr>
              <w:pStyle w:val="ListParagraph"/>
              <w:numPr>
                <w:ilvl w:val="0"/>
                <w:numId w:val="7"/>
              </w:numPr>
              <w:spacing w:before="0" w:after="0"/>
              <w:ind w:left="484"/>
              <w:textAlignment w:val="baseline"/>
              <w:rPr>
                <w:szCs w:val="24"/>
              </w:rPr>
            </w:pPr>
            <w:r>
              <w:t xml:space="preserve">The Inner and Outer London cash differentials to increase by 4%. </w:t>
            </w:r>
          </w:p>
          <w:p w14:paraId="69F314B0" w14:textId="00229756" w:rsidR="00D91B0B" w:rsidRDefault="7ACA9AA2" w:rsidP="00A60884">
            <w:pPr>
              <w:pStyle w:val="ListParagraph"/>
              <w:numPr>
                <w:ilvl w:val="0"/>
                <w:numId w:val="7"/>
              </w:numPr>
              <w:spacing w:before="0" w:after="0"/>
              <w:ind w:left="484"/>
              <w:textAlignment w:val="baseline"/>
              <w:rPr>
                <w:szCs w:val="24"/>
              </w:rPr>
            </w:pPr>
            <w:r>
              <w:t>Operational Response and Resilience Unit on-call allowances increased from £6,670 to £8,000 a year.</w:t>
            </w:r>
          </w:p>
          <w:p w14:paraId="58910911" w14:textId="55714EF7" w:rsidR="00D91B0B" w:rsidRDefault="7ACA9AA2" w:rsidP="00A60884">
            <w:pPr>
              <w:pStyle w:val="ListParagraph"/>
              <w:numPr>
                <w:ilvl w:val="0"/>
                <w:numId w:val="7"/>
              </w:numPr>
              <w:spacing w:before="0" w:after="0"/>
              <w:ind w:left="484"/>
              <w:textAlignment w:val="baseline"/>
              <w:rPr>
                <w:szCs w:val="24"/>
              </w:rPr>
            </w:pPr>
            <w:r>
              <w:t>The Unsocial Working Hours payment for Band 2 OSGs to be increased temporarily from 20% to 25% for all contracted hours and to be fully considered in two years in the 2027 Report.</w:t>
            </w:r>
          </w:p>
          <w:p w14:paraId="31EE148F" w14:textId="7013F494" w:rsidR="00D91B0B" w:rsidRDefault="7ACA9AA2" w:rsidP="00A60884">
            <w:pPr>
              <w:pStyle w:val="ListParagraph"/>
              <w:numPr>
                <w:ilvl w:val="0"/>
                <w:numId w:val="7"/>
              </w:numPr>
              <w:spacing w:before="0" w:after="0"/>
              <w:ind w:left="484"/>
              <w:textAlignment w:val="baseline"/>
              <w:rPr>
                <w:szCs w:val="24"/>
              </w:rPr>
            </w:pPr>
            <w:r>
              <w:t xml:space="preserve">A </w:t>
            </w:r>
            <w:proofErr w:type="gramStart"/>
            <w:r>
              <w:t>two year</w:t>
            </w:r>
            <w:proofErr w:type="gramEnd"/>
            <w:r>
              <w:t>, temporary, non-consolidated payment of £1,500 for qualified Physical education Instructors (PEIs) working in a recognised PEI role. To be reviewed in the 2027 Report.</w:t>
            </w:r>
          </w:p>
          <w:p w14:paraId="21A418F4" w14:textId="107F9DBA" w:rsidR="00D91B0B" w:rsidRDefault="7ACA9AA2" w:rsidP="00A60884">
            <w:pPr>
              <w:pStyle w:val="ListParagraph"/>
              <w:numPr>
                <w:ilvl w:val="0"/>
                <w:numId w:val="7"/>
              </w:numPr>
              <w:spacing w:before="0" w:after="0"/>
              <w:ind w:left="484"/>
              <w:textAlignment w:val="baseline"/>
            </w:pPr>
            <w:r>
              <w:t>The Care and Maintenance of Dogs allowance to increase by 4% to £2,845 for a single dog and £3,419 for multiple dogs</w:t>
            </w:r>
            <w:r w:rsidR="00D91B0B">
              <w:t>.</w:t>
            </w:r>
          </w:p>
          <w:p w14:paraId="2F5E13A5" w14:textId="77777777" w:rsidR="00D91B0B" w:rsidRDefault="00D91B0B" w:rsidP="00D91B0B">
            <w:pPr>
              <w:spacing w:before="0" w:after="0"/>
              <w:textAlignment w:val="baseline"/>
            </w:pPr>
            <w:r>
              <w:rPr>
                <w:rFonts w:eastAsia="Times New Roman"/>
                <w:szCs w:val="24"/>
                <w:lang w:eastAsia="en-GB"/>
              </w:rPr>
              <w:t> </w:t>
            </w:r>
          </w:p>
          <w:p w14:paraId="472473F6" w14:textId="4F1791C0" w:rsidR="00D91B0B" w:rsidRDefault="00D91B0B" w:rsidP="00D91B0B">
            <w:pPr>
              <w:spacing w:before="0" w:after="0"/>
              <w:textAlignment w:val="baseline"/>
              <w:rPr>
                <w:rFonts w:eastAsia="Times New Roman"/>
                <w:lang w:eastAsia="en-GB"/>
              </w:rPr>
            </w:pPr>
            <w:r>
              <w:rPr>
                <w:rFonts w:eastAsia="Times New Roman"/>
                <w:lang w:eastAsia="en-GB"/>
              </w:rPr>
              <w:t>The Government responded to the report in Parliament and accepted all recommendations</w:t>
            </w:r>
            <w:r w:rsidR="5C3E68D8">
              <w:rPr>
                <w:rFonts w:eastAsia="Times New Roman"/>
                <w:lang w:eastAsia="en-GB"/>
              </w:rPr>
              <w:t xml:space="preserve"> on 22 May 2025</w:t>
            </w:r>
            <w:r>
              <w:rPr>
                <w:rFonts w:eastAsia="Times New Roman"/>
                <w:lang w:eastAsia="en-GB"/>
              </w:rPr>
              <w:t>.</w:t>
            </w:r>
            <w:r>
              <w:rPr>
                <w:rStyle w:val="FootnoteReference"/>
                <w:rFonts w:eastAsia="Times New Roman"/>
                <w:lang w:eastAsia="en-GB"/>
              </w:rPr>
              <w:footnoteReference w:id="17"/>
            </w:r>
            <w:r>
              <w:rPr>
                <w:rFonts w:eastAsia="Times New Roman"/>
                <w:lang w:eastAsia="en-GB"/>
              </w:rPr>
              <w:t xml:space="preserve">  </w:t>
            </w:r>
          </w:p>
          <w:p w14:paraId="5C818818" w14:textId="77777777" w:rsidR="00D91B0B" w:rsidRDefault="00D91B0B" w:rsidP="00D91B0B">
            <w:pPr>
              <w:spacing w:before="0" w:after="0"/>
              <w:textAlignment w:val="baseline"/>
            </w:pPr>
            <w:r>
              <w:rPr>
                <w:rFonts w:eastAsia="Times New Roman"/>
                <w:szCs w:val="24"/>
                <w:lang w:eastAsia="en-GB"/>
              </w:rPr>
              <w:lastRenderedPageBreak/>
              <w:t> </w:t>
            </w:r>
          </w:p>
          <w:p w14:paraId="704EF7DA" w14:textId="230FF7BB" w:rsidR="00D91B0B" w:rsidRDefault="16541AF2" w:rsidP="00D91B0B">
            <w:pPr>
              <w:spacing w:before="0" w:after="0"/>
              <w:textAlignment w:val="baseline"/>
            </w:pPr>
            <w:r w:rsidRPr="7F6FF8D9">
              <w:rPr>
                <w:rFonts w:eastAsia="Times New Roman"/>
                <w:b/>
                <w:bCs/>
                <w:lang w:eastAsia="en-GB"/>
              </w:rPr>
              <w:t>202</w:t>
            </w:r>
            <w:r w:rsidR="109EF0EF" w:rsidRPr="7F6FF8D9">
              <w:rPr>
                <w:rFonts w:eastAsia="Times New Roman"/>
                <w:b/>
                <w:bCs/>
                <w:lang w:eastAsia="en-GB"/>
              </w:rPr>
              <w:t>5</w:t>
            </w:r>
            <w:r w:rsidRPr="62F59657">
              <w:rPr>
                <w:rFonts w:eastAsia="Times New Roman"/>
                <w:b/>
                <w:bCs/>
                <w:lang w:eastAsia="en-GB"/>
              </w:rPr>
              <w:t xml:space="preserve"> Northern Ireland r</w:t>
            </w:r>
            <w:r w:rsidR="7875F487" w:rsidRPr="62F59657">
              <w:rPr>
                <w:rFonts w:eastAsia="Times New Roman"/>
                <w:b/>
                <w:bCs/>
                <w:lang w:eastAsia="en-GB"/>
              </w:rPr>
              <w:t>ound</w:t>
            </w:r>
            <w:r w:rsidRPr="62F59657">
              <w:rPr>
                <w:rFonts w:eastAsia="Times New Roman"/>
                <w:b/>
                <w:bCs/>
                <w:lang w:eastAsia="en-GB"/>
              </w:rPr>
              <w:t> </w:t>
            </w:r>
          </w:p>
          <w:bookmarkEnd w:id="22"/>
          <w:p w14:paraId="10111377" w14:textId="0758DDD8" w:rsidR="001C1DB8" w:rsidRDefault="1B6E7A70" w:rsidP="0053034A">
            <w:pPr>
              <w:spacing w:before="150" w:after="0" w:line="216" w:lineRule="auto"/>
              <w:textAlignment w:val="baseline"/>
              <w:rPr>
                <w:rFonts w:eastAsia="Times New Roman"/>
                <w:lang w:eastAsia="en-GB"/>
              </w:rPr>
            </w:pPr>
            <w:r w:rsidRPr="721171E3">
              <w:rPr>
                <w:rFonts w:eastAsia="Times New Roman"/>
                <w:lang w:eastAsia="en-GB"/>
              </w:rPr>
              <w:t xml:space="preserve">A remit letter for the 2025 report pay round was received from the Northern Ireland Justice Minister on 28 January activating the Review Body to conduct the round. However, for this round, we were informed that the parties were trying to again reach agreement and, if this was reached, the traditional written evidence would not be submitted (although statistical information was provided). </w:t>
            </w:r>
          </w:p>
          <w:p w14:paraId="16EEA43A" w14:textId="7B94C994" w:rsidR="001C1DB8" w:rsidRDefault="1B6E7A70" w:rsidP="005433FF">
            <w:pPr>
              <w:spacing w:before="150" w:after="0" w:line="216" w:lineRule="auto"/>
              <w:textAlignment w:val="baseline"/>
              <w:rPr>
                <w:rFonts w:eastAsia="Times New Roman"/>
                <w:lang w:eastAsia="en-GB"/>
              </w:rPr>
            </w:pPr>
            <w:r w:rsidRPr="20BD025C">
              <w:rPr>
                <w:rFonts w:eastAsia="Times New Roman"/>
                <w:lang w:eastAsia="en-GB"/>
              </w:rPr>
              <w:t xml:space="preserve">A letter was received from </w:t>
            </w:r>
            <w:r w:rsidR="1E200416" w:rsidRPr="20BD025C">
              <w:rPr>
                <w:rFonts w:eastAsia="Times New Roman"/>
                <w:lang w:eastAsia="en-GB"/>
              </w:rPr>
              <w:t xml:space="preserve">the </w:t>
            </w:r>
            <w:r w:rsidRPr="20BD025C">
              <w:rPr>
                <w:rFonts w:eastAsia="Times New Roman"/>
                <w:lang w:eastAsia="en-GB"/>
              </w:rPr>
              <w:t>N</w:t>
            </w:r>
            <w:r w:rsidR="766164B9" w:rsidRPr="20BD025C">
              <w:rPr>
                <w:rFonts w:eastAsia="Times New Roman"/>
                <w:lang w:eastAsia="en-GB"/>
              </w:rPr>
              <w:t xml:space="preserve">orthern </w:t>
            </w:r>
            <w:r w:rsidRPr="20BD025C">
              <w:rPr>
                <w:rFonts w:eastAsia="Times New Roman"/>
                <w:lang w:eastAsia="en-GB"/>
              </w:rPr>
              <w:t>I</w:t>
            </w:r>
            <w:r w:rsidR="25DC9363" w:rsidRPr="20BD025C">
              <w:rPr>
                <w:rFonts w:eastAsia="Times New Roman"/>
                <w:lang w:eastAsia="en-GB"/>
              </w:rPr>
              <w:t xml:space="preserve">reland </w:t>
            </w:r>
            <w:r w:rsidRPr="20BD025C">
              <w:rPr>
                <w:rFonts w:eastAsia="Times New Roman"/>
                <w:lang w:eastAsia="en-GB"/>
              </w:rPr>
              <w:t>P</w:t>
            </w:r>
            <w:r w:rsidR="4267315A" w:rsidRPr="20BD025C">
              <w:rPr>
                <w:rFonts w:eastAsia="Times New Roman"/>
                <w:lang w:eastAsia="en-GB"/>
              </w:rPr>
              <w:t xml:space="preserve">rison </w:t>
            </w:r>
            <w:r w:rsidRPr="20BD025C">
              <w:rPr>
                <w:rFonts w:eastAsia="Times New Roman"/>
                <w:lang w:eastAsia="en-GB"/>
              </w:rPr>
              <w:t>S</w:t>
            </w:r>
            <w:r w:rsidR="5F136CC5" w:rsidRPr="20BD025C">
              <w:rPr>
                <w:rFonts w:eastAsia="Times New Roman"/>
                <w:lang w:eastAsia="en-GB"/>
              </w:rPr>
              <w:t>ervice</w:t>
            </w:r>
            <w:r w:rsidRPr="20BD025C">
              <w:rPr>
                <w:rFonts w:eastAsia="Times New Roman"/>
                <w:lang w:eastAsia="en-GB"/>
              </w:rPr>
              <w:t xml:space="preserve"> on 3 July 2025, which set out the agreement reached with the POA(NI) and PGA(NI). As for the previous year, the Review Body endorsed the agreement, rather than producing a full report. That letter was submitted on 10 July 2025 and was published on 25 July</w:t>
            </w:r>
            <w:r w:rsidR="74433715" w:rsidRPr="20BD025C">
              <w:rPr>
                <w:rFonts w:eastAsia="Times New Roman"/>
                <w:lang w:eastAsia="en-GB"/>
              </w:rPr>
              <w:t>.</w:t>
            </w:r>
            <w:r w:rsidR="784C2E49" w:rsidRPr="62F59657">
              <w:rPr>
                <w:rFonts w:eastAsia="Times New Roman"/>
                <w:lang w:eastAsia="en-GB"/>
              </w:rPr>
              <w:t xml:space="preserve"> The </w:t>
            </w:r>
            <w:r w:rsidR="0D2BC71B" w:rsidRPr="62F59657">
              <w:rPr>
                <w:rFonts w:eastAsia="Times New Roman"/>
                <w:lang w:eastAsia="en-GB"/>
              </w:rPr>
              <w:t xml:space="preserve">recommendations </w:t>
            </w:r>
            <w:r w:rsidR="0EA96B89" w:rsidRPr="62F59657">
              <w:rPr>
                <w:rFonts w:eastAsia="Times New Roman"/>
                <w:lang w:eastAsia="en-GB"/>
              </w:rPr>
              <w:t xml:space="preserve">effective 1 April </w:t>
            </w:r>
            <w:r w:rsidR="71FF5987" w:rsidRPr="20BD025C">
              <w:rPr>
                <w:rFonts w:eastAsia="Times New Roman"/>
                <w:lang w:eastAsia="en-GB"/>
              </w:rPr>
              <w:t>202</w:t>
            </w:r>
            <w:r w:rsidR="15B6D119" w:rsidRPr="20BD025C">
              <w:rPr>
                <w:rFonts w:eastAsia="Times New Roman"/>
                <w:lang w:eastAsia="en-GB"/>
              </w:rPr>
              <w:t>5</w:t>
            </w:r>
            <w:r w:rsidR="0EA96B89" w:rsidRPr="62F59657">
              <w:rPr>
                <w:rFonts w:eastAsia="Times New Roman"/>
                <w:lang w:eastAsia="en-GB"/>
              </w:rPr>
              <w:t xml:space="preserve"> </w:t>
            </w:r>
            <w:r w:rsidR="0D2BC71B" w:rsidRPr="62F59657">
              <w:rPr>
                <w:rFonts w:eastAsia="Times New Roman"/>
                <w:lang w:eastAsia="en-GB"/>
              </w:rPr>
              <w:t>were:</w:t>
            </w:r>
          </w:p>
          <w:p w14:paraId="3CD17865" w14:textId="77777777" w:rsidR="003E7212" w:rsidRDefault="003E7212">
            <w:pPr>
              <w:spacing w:before="0" w:after="0"/>
              <w:textAlignment w:val="baseline"/>
            </w:pPr>
          </w:p>
          <w:p w14:paraId="59CE4ADC" w14:textId="2BA474BF" w:rsidR="005F2649" w:rsidRDefault="3722E463" w:rsidP="00A60884">
            <w:pPr>
              <w:pStyle w:val="ListParagraph"/>
              <w:numPr>
                <w:ilvl w:val="0"/>
                <w:numId w:val="15"/>
              </w:numPr>
              <w:spacing w:before="0" w:after="0"/>
              <w:ind w:left="484"/>
              <w:textAlignment w:val="baseline"/>
            </w:pPr>
            <w:r>
              <w:t xml:space="preserve">A headline 3% award to all governor grades, SO, CPO and MGOs. </w:t>
            </w:r>
          </w:p>
          <w:p w14:paraId="2487E6F0" w14:textId="3D3FF90E" w:rsidR="005F2649" w:rsidRDefault="3722E463" w:rsidP="00A60884">
            <w:pPr>
              <w:pStyle w:val="ListParagraph"/>
              <w:numPr>
                <w:ilvl w:val="0"/>
                <w:numId w:val="15"/>
              </w:numPr>
              <w:spacing w:before="0" w:after="0"/>
              <w:ind w:left="484"/>
              <w:textAlignment w:val="baseline"/>
              <w:rPr>
                <w:szCs w:val="24"/>
              </w:rPr>
            </w:pPr>
            <w:r>
              <w:t>A headline 4% award to NCOs and PCOs, which moves these scales closer to the CPO minimum as part of the one officer policy.</w:t>
            </w:r>
          </w:p>
          <w:p w14:paraId="63EF3E9C" w14:textId="788607A4" w:rsidR="005F2649" w:rsidRDefault="3722E463" w:rsidP="00A60884">
            <w:pPr>
              <w:pStyle w:val="ListParagraph"/>
              <w:numPr>
                <w:ilvl w:val="0"/>
                <w:numId w:val="15"/>
              </w:numPr>
              <w:spacing w:before="0" w:after="0"/>
              <w:ind w:left="484"/>
              <w:textAlignment w:val="baseline"/>
              <w:rPr>
                <w:szCs w:val="24"/>
              </w:rPr>
            </w:pPr>
            <w:r>
              <w:t xml:space="preserve">A 6% increase to the OSG scale to combat low pay and to reduce the gap with the CPO minimum. PECCS Managers to also receive 6% to move closer to the SO minimum as part of the one first line manager policy. </w:t>
            </w:r>
          </w:p>
          <w:p w14:paraId="6AA7539E" w14:textId="5E8F278E" w:rsidR="005F2649" w:rsidRDefault="3722E463" w:rsidP="00A60884">
            <w:pPr>
              <w:pStyle w:val="ListParagraph"/>
              <w:numPr>
                <w:ilvl w:val="0"/>
                <w:numId w:val="15"/>
              </w:numPr>
              <w:spacing w:before="0" w:after="0"/>
              <w:ind w:left="484"/>
              <w:textAlignment w:val="baseline"/>
              <w:rPr>
                <w:szCs w:val="24"/>
              </w:rPr>
            </w:pPr>
            <w:r>
              <w:t>Removal of one CPO pay point to create a six point pay scale, with the intention of reducing to five points in 2026-27.</w:t>
            </w:r>
          </w:p>
          <w:p w14:paraId="55B6A1EC" w14:textId="0023082C" w:rsidR="005F2649" w:rsidRDefault="3722E463" w:rsidP="00A60884">
            <w:pPr>
              <w:pStyle w:val="ListParagraph"/>
              <w:numPr>
                <w:ilvl w:val="1"/>
                <w:numId w:val="15"/>
              </w:numPr>
              <w:spacing w:before="0" w:after="0"/>
              <w:ind w:left="909"/>
              <w:textAlignment w:val="baseline"/>
              <w:rPr>
                <w:szCs w:val="24"/>
              </w:rPr>
            </w:pPr>
            <w:r>
              <w:t xml:space="preserve">Those on the minimum of the 2024-25 CPO pay scale progress to pay point two on the new 2025-26 pay scale subject to a satisfactory performance report. </w:t>
            </w:r>
          </w:p>
          <w:p w14:paraId="2C22109F" w14:textId="29FB51E9" w:rsidR="005F2649" w:rsidRDefault="3722E463" w:rsidP="00A60884">
            <w:pPr>
              <w:pStyle w:val="ListParagraph"/>
              <w:numPr>
                <w:ilvl w:val="1"/>
                <w:numId w:val="15"/>
              </w:numPr>
              <w:spacing w:before="0" w:after="0"/>
              <w:ind w:left="909"/>
              <w:textAlignment w:val="baseline"/>
              <w:rPr>
                <w:szCs w:val="24"/>
              </w:rPr>
            </w:pPr>
            <w:r>
              <w:t xml:space="preserve">Those longest serving CPOs, on pay point five, of the 2024-25 CPO pay scale progress to the maximum of the new 2025-26 pay scale, subject to a satisfactory performance report. </w:t>
            </w:r>
          </w:p>
          <w:p w14:paraId="76A507FE" w14:textId="32BED965" w:rsidR="005F2649" w:rsidRDefault="3722E463" w:rsidP="00A60884">
            <w:pPr>
              <w:pStyle w:val="ListParagraph"/>
              <w:numPr>
                <w:ilvl w:val="0"/>
                <w:numId w:val="15"/>
              </w:numPr>
              <w:spacing w:before="0" w:after="0"/>
              <w:ind w:left="484"/>
              <w:textAlignment w:val="baseline"/>
              <w:rPr>
                <w:szCs w:val="24"/>
              </w:rPr>
            </w:pPr>
            <w:r>
              <w:t xml:space="preserve">SRA to increase to the level of the Police Service of Northern Ireland’s Transitional Allowance (NITA) and extended in full to governor grades. </w:t>
            </w:r>
          </w:p>
          <w:p w14:paraId="4D50322E" w14:textId="7DFF4016" w:rsidR="005F2649" w:rsidRDefault="3722E463" w:rsidP="00A60884">
            <w:pPr>
              <w:pStyle w:val="ListParagraph"/>
              <w:numPr>
                <w:ilvl w:val="0"/>
                <w:numId w:val="15"/>
              </w:numPr>
              <w:spacing w:before="0" w:after="0"/>
              <w:ind w:left="484"/>
              <w:textAlignment w:val="baseline"/>
              <w:rPr>
                <w:szCs w:val="24"/>
              </w:rPr>
            </w:pPr>
            <w:r>
              <w:t>Non-pensionable premia extended to two more specific public and privilege holidays (six in total) – 17 March and 12 July. Staff working in prison establishments receive on the stipulated date, other business areas receive on the substitute day when the public/bank holiday falls on a weekend.</w:t>
            </w:r>
          </w:p>
          <w:p w14:paraId="69B6D537" w14:textId="5D263C0D" w:rsidR="005F2649" w:rsidRDefault="3722E463" w:rsidP="00A60884">
            <w:pPr>
              <w:pStyle w:val="ListParagraph"/>
              <w:numPr>
                <w:ilvl w:val="0"/>
                <w:numId w:val="15"/>
              </w:numPr>
              <w:spacing w:before="0" w:after="0"/>
              <w:ind w:left="484"/>
              <w:textAlignment w:val="baseline"/>
              <w:rPr>
                <w:szCs w:val="24"/>
              </w:rPr>
            </w:pPr>
            <w:r>
              <w:t xml:space="preserve">Specialist non-pensionable allowances for: Control and Restraint (C&amp;R) instructors; C&amp;R advanced trained staff; incident negotiator; and Tactical Response Group. </w:t>
            </w:r>
          </w:p>
          <w:p w14:paraId="74E85192" w14:textId="29ABA369" w:rsidR="005F2649" w:rsidRDefault="3722E463" w:rsidP="00A60884">
            <w:pPr>
              <w:pStyle w:val="ListParagraph"/>
              <w:numPr>
                <w:ilvl w:val="1"/>
                <w:numId w:val="15"/>
              </w:numPr>
              <w:spacing w:before="0" w:after="0"/>
              <w:ind w:left="909"/>
              <w:textAlignment w:val="baseline"/>
              <w:rPr>
                <w:szCs w:val="24"/>
              </w:rPr>
            </w:pPr>
            <w:r>
              <w:t xml:space="preserve">A £250 payment for passing initial training in one of the four specialisms irrespective of how many trained for. Paid once. </w:t>
            </w:r>
          </w:p>
          <w:p w14:paraId="574EF2BA" w14:textId="49D4C1CF" w:rsidR="005F2649" w:rsidRDefault="3722E463" w:rsidP="00A60884">
            <w:pPr>
              <w:pStyle w:val="ListParagraph"/>
              <w:numPr>
                <w:ilvl w:val="1"/>
                <w:numId w:val="15"/>
              </w:numPr>
              <w:spacing w:before="0" w:after="0"/>
              <w:ind w:left="909"/>
              <w:textAlignment w:val="baseline"/>
              <w:rPr>
                <w:szCs w:val="24"/>
              </w:rPr>
            </w:pPr>
            <w:r>
              <w:t>A £250 per year, paid monthly, retainer payment payable at £250, irrespective of how many specialisms staff work.</w:t>
            </w:r>
          </w:p>
          <w:p w14:paraId="3005B1BE" w14:textId="4E112617" w:rsidR="005F2649" w:rsidRDefault="3722E463" w:rsidP="00A60884">
            <w:pPr>
              <w:pStyle w:val="ListParagraph"/>
              <w:numPr>
                <w:ilvl w:val="0"/>
                <w:numId w:val="15"/>
              </w:numPr>
              <w:spacing w:before="0" w:after="0"/>
              <w:ind w:left="484"/>
              <w:textAlignment w:val="baseline"/>
              <w:rPr>
                <w:szCs w:val="24"/>
              </w:rPr>
            </w:pPr>
            <w:r>
              <w:t>Governor on-call rates increased to broadly align with the Northern Ireland Civil Service – £21 to £30 for weekends and £40 to £45 for public/bank and privilege holidays.</w:t>
            </w:r>
          </w:p>
          <w:p w14:paraId="5BBE043C" w14:textId="60391A2F" w:rsidR="005F2649" w:rsidRDefault="3722E463" w:rsidP="00A60884">
            <w:pPr>
              <w:pStyle w:val="ListParagraph"/>
              <w:numPr>
                <w:ilvl w:val="0"/>
                <w:numId w:val="15"/>
              </w:numPr>
              <w:spacing w:before="0" w:after="0"/>
              <w:ind w:left="484"/>
              <w:textAlignment w:val="baseline"/>
              <w:rPr>
                <w:szCs w:val="24"/>
              </w:rPr>
            </w:pPr>
            <w:r>
              <w:t xml:space="preserve">Removal of the bottom pay point on the Head of Function pay scale and an addition of one step at the top. </w:t>
            </w:r>
          </w:p>
          <w:p w14:paraId="6866C55C" w14:textId="556068FF" w:rsidR="00F547BF" w:rsidRDefault="3722E463" w:rsidP="00A60884">
            <w:pPr>
              <w:pStyle w:val="ListParagraph"/>
              <w:numPr>
                <w:ilvl w:val="0"/>
                <w:numId w:val="15"/>
              </w:numPr>
              <w:spacing w:before="0" w:after="0"/>
              <w:ind w:left="484"/>
              <w:textAlignment w:val="baseline"/>
            </w:pPr>
            <w:r>
              <w:t>Introduction of a three-hour minimum credit for staff at SO and below coming into work for an emergency if required to stay under three hours</w:t>
            </w:r>
            <w:r w:rsidR="005F2649">
              <w:t xml:space="preserve">. </w:t>
            </w:r>
            <w:r w:rsidR="00B47B69">
              <w:t xml:space="preserve"> </w:t>
            </w:r>
          </w:p>
        </w:tc>
      </w:tr>
    </w:tbl>
    <w:p w14:paraId="6866C55E" w14:textId="77777777" w:rsidR="001C1DB8" w:rsidRDefault="001C1DB8">
      <w:pPr>
        <w:pageBreakBefore/>
        <w:spacing w:before="0" w:after="160"/>
      </w:pPr>
    </w:p>
    <w:tbl>
      <w:tblPr>
        <w:tblW w:w="9016" w:type="dxa"/>
        <w:tblCellMar>
          <w:left w:w="10" w:type="dxa"/>
          <w:right w:w="10" w:type="dxa"/>
        </w:tblCellMar>
        <w:tblLook w:val="0000" w:firstRow="0" w:lastRow="0" w:firstColumn="0" w:lastColumn="0" w:noHBand="0" w:noVBand="0"/>
      </w:tblPr>
      <w:tblGrid>
        <w:gridCol w:w="9016"/>
      </w:tblGrid>
      <w:tr w:rsidR="001C1DB8" w14:paraId="6866C560" w14:textId="77777777" w:rsidTr="39FFA081">
        <w:tc>
          <w:tcPr>
            <w:tcW w:w="9016" w:type="dxa"/>
            <w:tcBorders>
              <w:top w:val="single" w:sz="4" w:space="0" w:color="000000" w:themeColor="text1"/>
              <w:left w:val="single" w:sz="4" w:space="0" w:color="000000" w:themeColor="text1"/>
              <w:bottom w:val="single" w:sz="4" w:space="0" w:color="A5A5A5" w:themeColor="accent3"/>
              <w:right w:val="single" w:sz="4" w:space="0" w:color="000000" w:themeColor="text1"/>
            </w:tcBorders>
            <w:tcMar>
              <w:top w:w="227" w:type="dxa"/>
              <w:left w:w="227" w:type="dxa"/>
              <w:bottom w:w="227" w:type="dxa"/>
              <w:right w:w="227" w:type="dxa"/>
            </w:tcMar>
          </w:tcPr>
          <w:p w14:paraId="6866C55F" w14:textId="77777777" w:rsidR="001C1DB8" w:rsidRPr="0053034A" w:rsidRDefault="00FB2C3B">
            <w:pPr>
              <w:pStyle w:val="Heading2"/>
              <w:rPr>
                <w:highlight w:val="yellow"/>
              </w:rPr>
            </w:pPr>
            <w:bookmarkStart w:id="23" w:name="_Toc188365121"/>
            <w:r w:rsidRPr="00924E3A">
              <w:t>Review Body on Senior Salaries (SSRB) Secretariat</w:t>
            </w:r>
            <w:bookmarkEnd w:id="23"/>
          </w:p>
        </w:tc>
      </w:tr>
      <w:tr w:rsidR="001C1DB8" w14:paraId="6866C579" w14:textId="77777777" w:rsidTr="39FFA081">
        <w:trPr>
          <w:trHeight w:val="3874"/>
        </w:trPr>
        <w:tc>
          <w:tcPr>
            <w:tcW w:w="9016" w:type="dxa"/>
            <w:tcBorders>
              <w:top w:val="single" w:sz="4" w:space="0" w:color="A5A5A5" w:themeColor="accent3"/>
              <w:left w:val="single" w:sz="4" w:space="0" w:color="000000" w:themeColor="text1"/>
              <w:bottom w:val="single" w:sz="4" w:space="0" w:color="000000" w:themeColor="text1"/>
              <w:right w:val="single" w:sz="4" w:space="0" w:color="000000" w:themeColor="text1"/>
            </w:tcBorders>
            <w:tcMar>
              <w:top w:w="227" w:type="dxa"/>
              <w:left w:w="227" w:type="dxa"/>
              <w:bottom w:w="227" w:type="dxa"/>
              <w:right w:w="227" w:type="dxa"/>
            </w:tcMar>
          </w:tcPr>
          <w:p w14:paraId="6866C561" w14:textId="7466F59C" w:rsidR="001C1DB8" w:rsidRPr="00924E3A" w:rsidRDefault="00FB2C3B">
            <w:pPr>
              <w:spacing w:before="0" w:after="0"/>
              <w:textAlignment w:val="baseline"/>
              <w:rPr>
                <w:rFonts w:eastAsia="Times New Roman"/>
                <w:szCs w:val="24"/>
                <w:lang w:eastAsia="en-GB"/>
              </w:rPr>
            </w:pPr>
            <w:r w:rsidRPr="00924E3A">
              <w:rPr>
                <w:rFonts w:eastAsia="Times New Roman"/>
                <w:szCs w:val="24"/>
                <w:lang w:eastAsia="en-GB"/>
              </w:rPr>
              <w:t>The SSRB secretariat supports its Review Body in providing independent advice on the pay of:  </w:t>
            </w:r>
          </w:p>
          <w:p w14:paraId="6866C562" w14:textId="2CE953A4" w:rsidR="001C1DB8" w:rsidRPr="00924E3A" w:rsidRDefault="00FB2C3B" w:rsidP="00A60884">
            <w:pPr>
              <w:numPr>
                <w:ilvl w:val="0"/>
                <w:numId w:val="8"/>
              </w:numPr>
              <w:tabs>
                <w:tab w:val="left" w:pos="720"/>
              </w:tabs>
              <w:spacing w:before="0" w:after="0"/>
              <w:ind w:left="1080" w:firstLine="0"/>
              <w:textAlignment w:val="baseline"/>
              <w:rPr>
                <w:rFonts w:eastAsia="Times New Roman"/>
                <w:szCs w:val="24"/>
                <w:lang w:eastAsia="en-GB"/>
              </w:rPr>
            </w:pPr>
            <w:r w:rsidRPr="00924E3A">
              <w:rPr>
                <w:rFonts w:eastAsia="Times New Roman"/>
                <w:szCs w:val="24"/>
                <w:lang w:eastAsia="en-GB"/>
              </w:rPr>
              <w:t xml:space="preserve">the senior civil service (the SCS) in England, Wales and </w:t>
            </w:r>
            <w:proofErr w:type="gramStart"/>
            <w:r w:rsidRPr="00924E3A">
              <w:rPr>
                <w:rFonts w:eastAsia="Times New Roman"/>
                <w:szCs w:val="24"/>
                <w:lang w:eastAsia="en-GB"/>
              </w:rPr>
              <w:t>Scotland;</w:t>
            </w:r>
            <w:proofErr w:type="gramEnd"/>
            <w:r w:rsidRPr="00924E3A">
              <w:rPr>
                <w:rFonts w:eastAsia="Times New Roman"/>
                <w:szCs w:val="24"/>
                <w:lang w:eastAsia="en-GB"/>
              </w:rPr>
              <w:t>  </w:t>
            </w:r>
          </w:p>
          <w:p w14:paraId="6866C563" w14:textId="6EA8CEF5" w:rsidR="001C1DB8" w:rsidRPr="00924E3A" w:rsidRDefault="00FB2C3B" w:rsidP="00A60884">
            <w:pPr>
              <w:numPr>
                <w:ilvl w:val="0"/>
                <w:numId w:val="8"/>
              </w:numPr>
              <w:tabs>
                <w:tab w:val="left" w:pos="720"/>
              </w:tabs>
              <w:spacing w:before="0" w:after="0"/>
              <w:ind w:left="1080" w:firstLine="0"/>
              <w:textAlignment w:val="baseline"/>
              <w:rPr>
                <w:rFonts w:eastAsia="Times New Roman"/>
                <w:szCs w:val="24"/>
                <w:lang w:eastAsia="en-GB"/>
              </w:rPr>
            </w:pPr>
            <w:r w:rsidRPr="00924E3A">
              <w:rPr>
                <w:rFonts w:eastAsia="Times New Roman"/>
                <w:szCs w:val="24"/>
                <w:lang w:eastAsia="en-GB"/>
              </w:rPr>
              <w:t xml:space="preserve">the salaried judiciary </w:t>
            </w:r>
            <w:r w:rsidR="003F71E6" w:rsidRPr="0053034A">
              <w:rPr>
                <w:rFonts w:eastAsia="Times New Roman"/>
                <w:szCs w:val="24"/>
                <w:lang w:eastAsia="en-GB"/>
              </w:rPr>
              <w:t>of</w:t>
            </w:r>
            <w:r w:rsidRPr="00924E3A">
              <w:rPr>
                <w:rFonts w:eastAsia="Times New Roman"/>
                <w:szCs w:val="24"/>
                <w:lang w:eastAsia="en-GB"/>
              </w:rPr>
              <w:t xml:space="preserve"> the United </w:t>
            </w:r>
            <w:proofErr w:type="gramStart"/>
            <w:r w:rsidRPr="00924E3A">
              <w:rPr>
                <w:rFonts w:eastAsia="Times New Roman"/>
                <w:szCs w:val="24"/>
                <w:lang w:eastAsia="en-GB"/>
              </w:rPr>
              <w:t>Kingdom;</w:t>
            </w:r>
            <w:proofErr w:type="gramEnd"/>
            <w:r w:rsidRPr="00924E3A">
              <w:rPr>
                <w:rFonts w:eastAsia="Times New Roman"/>
                <w:szCs w:val="24"/>
                <w:lang w:eastAsia="en-GB"/>
              </w:rPr>
              <w:t>  </w:t>
            </w:r>
          </w:p>
          <w:p w14:paraId="6866C564" w14:textId="5D18826A" w:rsidR="001C1DB8" w:rsidRPr="00924E3A" w:rsidRDefault="00FB2C3B" w:rsidP="00A60884">
            <w:pPr>
              <w:numPr>
                <w:ilvl w:val="0"/>
                <w:numId w:val="8"/>
              </w:numPr>
              <w:tabs>
                <w:tab w:val="left" w:pos="720"/>
              </w:tabs>
              <w:spacing w:before="0" w:after="0"/>
              <w:ind w:left="1080" w:firstLine="0"/>
              <w:textAlignment w:val="baseline"/>
              <w:rPr>
                <w:rFonts w:eastAsia="Times New Roman"/>
                <w:szCs w:val="24"/>
                <w:lang w:eastAsia="en-GB"/>
              </w:rPr>
            </w:pPr>
            <w:r w:rsidRPr="00924E3A">
              <w:rPr>
                <w:rFonts w:eastAsia="Times New Roman"/>
                <w:szCs w:val="24"/>
                <w:lang w:eastAsia="en-GB"/>
              </w:rPr>
              <w:t>senior officers of the Armed Forces (stationed both within and outside the United Kingdom</w:t>
            </w:r>
            <w:proofErr w:type="gramStart"/>
            <w:r w:rsidRPr="00924E3A">
              <w:rPr>
                <w:rFonts w:eastAsia="Times New Roman"/>
                <w:szCs w:val="24"/>
                <w:lang w:eastAsia="en-GB"/>
              </w:rPr>
              <w:t>);</w:t>
            </w:r>
            <w:proofErr w:type="gramEnd"/>
            <w:r w:rsidRPr="00924E3A">
              <w:rPr>
                <w:rFonts w:eastAsia="Times New Roman"/>
                <w:szCs w:val="24"/>
                <w:lang w:eastAsia="en-GB"/>
              </w:rPr>
              <w:t>  </w:t>
            </w:r>
          </w:p>
          <w:p w14:paraId="6866C565" w14:textId="10500EA0" w:rsidR="001C1DB8" w:rsidRPr="00924E3A" w:rsidRDefault="00FB2C3B" w:rsidP="00A60884">
            <w:pPr>
              <w:numPr>
                <w:ilvl w:val="0"/>
                <w:numId w:val="8"/>
              </w:numPr>
              <w:tabs>
                <w:tab w:val="left" w:pos="720"/>
              </w:tabs>
              <w:spacing w:before="0" w:after="0"/>
              <w:ind w:left="1080" w:firstLine="0"/>
              <w:textAlignment w:val="baseline"/>
            </w:pPr>
            <w:r w:rsidRPr="00924E3A">
              <w:rPr>
                <w:rFonts w:eastAsia="Times New Roman"/>
                <w:lang w:eastAsia="en-GB"/>
              </w:rPr>
              <w:t>senior leaders in the NHS (Executive and Senior Managers (ESMs) and Very Senior Managers (VSMs</w:t>
            </w:r>
            <w:proofErr w:type="gramStart"/>
            <w:r w:rsidRPr="00924E3A">
              <w:rPr>
                <w:rFonts w:eastAsia="Times New Roman"/>
                <w:lang w:eastAsia="en-GB"/>
              </w:rPr>
              <w:t>);</w:t>
            </w:r>
            <w:proofErr w:type="gramEnd"/>
            <w:r w:rsidRPr="00924E3A">
              <w:rPr>
                <w:rFonts w:eastAsia="Times New Roman"/>
                <w:lang w:eastAsia="en-GB"/>
              </w:rPr>
              <w:t xml:space="preserve">   </w:t>
            </w:r>
          </w:p>
          <w:p w14:paraId="6866C566" w14:textId="4801B254" w:rsidR="001C1DB8" w:rsidRPr="00924E3A" w:rsidRDefault="00FB2C3B" w:rsidP="00A60884">
            <w:pPr>
              <w:numPr>
                <w:ilvl w:val="0"/>
                <w:numId w:val="8"/>
              </w:numPr>
              <w:tabs>
                <w:tab w:val="left" w:pos="720"/>
              </w:tabs>
              <w:spacing w:before="0" w:after="0"/>
              <w:ind w:left="1080" w:firstLine="0"/>
              <w:textAlignment w:val="baseline"/>
              <w:rPr>
                <w:rFonts w:eastAsia="Times New Roman"/>
                <w:szCs w:val="24"/>
                <w:lang w:eastAsia="en-GB"/>
              </w:rPr>
            </w:pPr>
            <w:r w:rsidRPr="00924E3A">
              <w:rPr>
                <w:rFonts w:eastAsia="Times New Roman"/>
                <w:szCs w:val="24"/>
                <w:lang w:eastAsia="en-GB"/>
              </w:rPr>
              <w:t xml:space="preserve">chief police officers (CPOs) in </w:t>
            </w:r>
            <w:r w:rsidR="00475DAA" w:rsidRPr="0053034A">
              <w:rPr>
                <w:rFonts w:eastAsia="Times New Roman"/>
                <w:szCs w:val="24"/>
                <w:lang w:eastAsia="en-GB"/>
              </w:rPr>
              <w:t xml:space="preserve">the territorial police forces of </w:t>
            </w:r>
            <w:r w:rsidRPr="00924E3A">
              <w:rPr>
                <w:rFonts w:eastAsia="Times New Roman"/>
                <w:szCs w:val="24"/>
                <w:lang w:eastAsia="en-GB"/>
              </w:rPr>
              <w:t>England</w:t>
            </w:r>
            <w:r w:rsidR="00475DAA" w:rsidRPr="008C4977">
              <w:rPr>
                <w:rFonts w:eastAsia="Times New Roman"/>
                <w:szCs w:val="24"/>
                <w:lang w:eastAsia="en-GB"/>
              </w:rPr>
              <w:t xml:space="preserve"> </w:t>
            </w:r>
            <w:r w:rsidR="00475DAA" w:rsidRPr="0053034A">
              <w:rPr>
                <w:rFonts w:eastAsia="Times New Roman"/>
                <w:szCs w:val="24"/>
                <w:lang w:eastAsia="en-GB"/>
              </w:rPr>
              <w:t>and</w:t>
            </w:r>
            <w:r w:rsidRPr="00924E3A">
              <w:rPr>
                <w:rFonts w:eastAsia="Times New Roman"/>
                <w:szCs w:val="24"/>
                <w:lang w:eastAsia="en-GB"/>
              </w:rPr>
              <w:t xml:space="preserve"> Wales</w:t>
            </w:r>
            <w:r w:rsidR="00475DAA" w:rsidRPr="0053034A">
              <w:rPr>
                <w:rFonts w:eastAsia="Times New Roman"/>
                <w:szCs w:val="24"/>
                <w:lang w:eastAsia="en-GB"/>
              </w:rPr>
              <w:t>, and in the Police Service of</w:t>
            </w:r>
            <w:r w:rsidRPr="00924E3A" w:rsidDel="00475DAA">
              <w:rPr>
                <w:rFonts w:eastAsia="Times New Roman"/>
                <w:szCs w:val="24"/>
                <w:lang w:eastAsia="en-GB"/>
              </w:rPr>
              <w:t xml:space="preserve"> </w:t>
            </w:r>
            <w:r w:rsidRPr="00924E3A">
              <w:rPr>
                <w:rFonts w:eastAsia="Times New Roman"/>
                <w:szCs w:val="24"/>
                <w:lang w:eastAsia="en-GB"/>
              </w:rPr>
              <w:t>Northern Ireland</w:t>
            </w:r>
            <w:r w:rsidR="00936E4E" w:rsidRPr="00924E3A">
              <w:rPr>
                <w:rFonts w:eastAsia="Times New Roman"/>
                <w:szCs w:val="24"/>
                <w:lang w:eastAsia="en-GB"/>
              </w:rPr>
              <w:t>; and</w:t>
            </w:r>
            <w:r w:rsidRPr="00924E3A">
              <w:rPr>
                <w:rFonts w:eastAsia="Times New Roman"/>
                <w:szCs w:val="24"/>
                <w:lang w:eastAsia="en-GB"/>
              </w:rPr>
              <w:t>  </w:t>
            </w:r>
          </w:p>
          <w:p w14:paraId="26F566A8" w14:textId="28E253E1" w:rsidR="004F53B7" w:rsidRPr="00924E3A" w:rsidRDefault="004F53B7" w:rsidP="00A60884">
            <w:pPr>
              <w:numPr>
                <w:ilvl w:val="0"/>
                <w:numId w:val="8"/>
              </w:numPr>
              <w:tabs>
                <w:tab w:val="left" w:pos="720"/>
              </w:tabs>
              <w:spacing w:before="0" w:after="0"/>
              <w:ind w:left="1080" w:firstLine="0"/>
              <w:textAlignment w:val="baseline"/>
              <w:rPr>
                <w:rFonts w:eastAsia="Times New Roman"/>
                <w:szCs w:val="24"/>
                <w:lang w:eastAsia="en-GB"/>
              </w:rPr>
            </w:pPr>
            <w:r w:rsidRPr="00924E3A">
              <w:rPr>
                <w:rFonts w:eastAsia="Times New Roman"/>
                <w:szCs w:val="24"/>
                <w:lang w:eastAsia="en-GB"/>
              </w:rPr>
              <w:t>Police and Crime Commissioners (PCCs) in England and Wales</w:t>
            </w:r>
            <w:r w:rsidR="00936E4E" w:rsidRPr="00924E3A">
              <w:rPr>
                <w:rFonts w:eastAsia="Times New Roman"/>
                <w:szCs w:val="24"/>
                <w:lang w:eastAsia="en-GB"/>
              </w:rPr>
              <w:t>.</w:t>
            </w:r>
            <w:r w:rsidRPr="00924E3A">
              <w:rPr>
                <w:rFonts w:eastAsia="Times New Roman"/>
                <w:szCs w:val="24"/>
                <w:lang w:eastAsia="en-GB"/>
              </w:rPr>
              <w:t xml:space="preserve"> </w:t>
            </w:r>
          </w:p>
          <w:p w14:paraId="6866C567" w14:textId="77777777" w:rsidR="001C1DB8" w:rsidRPr="00924E3A" w:rsidRDefault="00FB2C3B">
            <w:pPr>
              <w:spacing w:before="0" w:after="0"/>
              <w:textAlignment w:val="baseline"/>
              <w:rPr>
                <w:rFonts w:eastAsia="Times New Roman"/>
                <w:szCs w:val="24"/>
                <w:lang w:eastAsia="en-GB"/>
              </w:rPr>
            </w:pPr>
            <w:r w:rsidRPr="00924E3A">
              <w:rPr>
                <w:rFonts w:eastAsia="Times New Roman"/>
                <w:szCs w:val="24"/>
                <w:lang w:eastAsia="en-GB"/>
              </w:rPr>
              <w:t> </w:t>
            </w:r>
          </w:p>
          <w:p w14:paraId="6866C568" w14:textId="435E6AA2" w:rsidR="001C1DB8" w:rsidRPr="00924E3A" w:rsidRDefault="00FB2C3B">
            <w:pPr>
              <w:spacing w:before="0" w:after="0"/>
              <w:textAlignment w:val="baseline"/>
              <w:rPr>
                <w:rFonts w:eastAsia="Times New Roman"/>
                <w:lang w:eastAsia="en-GB"/>
              </w:rPr>
            </w:pPr>
            <w:r w:rsidRPr="00924E3A">
              <w:rPr>
                <w:rFonts w:eastAsia="Times New Roman"/>
                <w:lang w:eastAsia="en-GB"/>
              </w:rPr>
              <w:t>For the 202</w:t>
            </w:r>
            <w:r w:rsidR="0000589F" w:rsidRPr="00924E3A">
              <w:rPr>
                <w:rFonts w:eastAsia="Times New Roman"/>
                <w:lang w:eastAsia="en-GB"/>
              </w:rPr>
              <w:t>4</w:t>
            </w:r>
            <w:r w:rsidRPr="00924E3A">
              <w:rPr>
                <w:rFonts w:eastAsia="Times New Roman"/>
                <w:lang w:eastAsia="en-GB"/>
              </w:rPr>
              <w:t>-2</w:t>
            </w:r>
            <w:r w:rsidR="004858CA" w:rsidRPr="00924E3A">
              <w:rPr>
                <w:rFonts w:eastAsia="Times New Roman"/>
                <w:lang w:eastAsia="en-GB"/>
              </w:rPr>
              <w:t>5</w:t>
            </w:r>
            <w:r w:rsidRPr="00924E3A">
              <w:rPr>
                <w:rFonts w:eastAsia="Times New Roman"/>
                <w:lang w:eastAsia="en-GB"/>
              </w:rPr>
              <w:t xml:space="preserve"> pay round, the SSRB was asked to make recommendations on an annual pay award for members of the SCS, the salaried judiciary, senior </w:t>
            </w:r>
          </w:p>
          <w:p w14:paraId="6866C569" w14:textId="421B855B" w:rsidR="001C1DB8" w:rsidRPr="00924E3A" w:rsidRDefault="00FB2C3B">
            <w:pPr>
              <w:spacing w:before="0" w:after="0"/>
              <w:textAlignment w:val="baseline"/>
              <w:rPr>
                <w:rFonts w:eastAsia="Times New Roman"/>
                <w:lang w:eastAsia="en-GB"/>
              </w:rPr>
            </w:pPr>
            <w:r w:rsidRPr="00924E3A">
              <w:rPr>
                <w:rFonts w:eastAsia="Times New Roman"/>
                <w:lang w:eastAsia="en-GB"/>
              </w:rPr>
              <w:t>officers in the Armed Forces</w:t>
            </w:r>
            <w:r w:rsidR="000165A4" w:rsidRPr="00924E3A">
              <w:rPr>
                <w:rFonts w:eastAsia="Times New Roman"/>
                <w:lang w:eastAsia="en-GB"/>
              </w:rPr>
              <w:t>,</w:t>
            </w:r>
            <w:r w:rsidR="00A14C7A" w:rsidRPr="00924E3A">
              <w:rPr>
                <w:rFonts w:eastAsia="Times New Roman"/>
                <w:lang w:eastAsia="en-GB"/>
              </w:rPr>
              <w:t xml:space="preserve"> </w:t>
            </w:r>
            <w:r w:rsidRPr="00924E3A">
              <w:rPr>
                <w:rFonts w:eastAsia="Times New Roman"/>
                <w:lang w:eastAsia="en-GB"/>
              </w:rPr>
              <w:t>senior leaders in the NHS in England</w:t>
            </w:r>
            <w:r w:rsidR="00924E3A" w:rsidRPr="0053034A">
              <w:rPr>
                <w:rFonts w:eastAsia="Times New Roman"/>
                <w:lang w:eastAsia="en-GB"/>
              </w:rPr>
              <w:t>,</w:t>
            </w:r>
            <w:r w:rsidR="00202F0D" w:rsidRPr="00924E3A">
              <w:rPr>
                <w:rFonts w:eastAsia="Times New Roman"/>
                <w:lang w:eastAsia="en-GB"/>
              </w:rPr>
              <w:t xml:space="preserve"> </w:t>
            </w:r>
            <w:r w:rsidR="00924E3A" w:rsidRPr="0053034A">
              <w:rPr>
                <w:rFonts w:eastAsia="Times New Roman"/>
                <w:lang w:eastAsia="en-GB"/>
              </w:rPr>
              <w:t>CPOs</w:t>
            </w:r>
            <w:r w:rsidR="00202F0D" w:rsidRPr="0053034A">
              <w:rPr>
                <w:rFonts w:eastAsia="Times New Roman"/>
                <w:lang w:eastAsia="en-GB"/>
              </w:rPr>
              <w:t xml:space="preserve"> and </w:t>
            </w:r>
            <w:r w:rsidR="00924E3A" w:rsidRPr="0053034A">
              <w:rPr>
                <w:rFonts w:eastAsia="Times New Roman"/>
                <w:lang w:eastAsia="en-GB"/>
              </w:rPr>
              <w:t>PCCs</w:t>
            </w:r>
            <w:r w:rsidR="0068768D" w:rsidRPr="00924E3A">
              <w:rPr>
                <w:rFonts w:eastAsia="Times New Roman"/>
                <w:lang w:eastAsia="en-GB"/>
              </w:rPr>
              <w:t xml:space="preserve">. </w:t>
            </w:r>
          </w:p>
          <w:p w14:paraId="6866C56A" w14:textId="51C7C32C" w:rsidR="001C1DB8" w:rsidRPr="0053034A" w:rsidRDefault="001C1DB8">
            <w:pPr>
              <w:spacing w:before="0" w:after="0"/>
              <w:textAlignment w:val="baseline"/>
              <w:rPr>
                <w:rFonts w:eastAsia="Times New Roman"/>
                <w:highlight w:val="yellow"/>
                <w:lang w:eastAsia="en-GB"/>
              </w:rPr>
            </w:pPr>
          </w:p>
          <w:p w14:paraId="6866C56B" w14:textId="0C665511" w:rsidR="001C1DB8" w:rsidRPr="002F786F" w:rsidRDefault="00FB2C3B">
            <w:pPr>
              <w:spacing w:before="0" w:after="0"/>
              <w:textAlignment w:val="baseline"/>
              <w:rPr>
                <w:rFonts w:eastAsia="Times New Roman"/>
                <w:szCs w:val="24"/>
                <w:lang w:eastAsia="en-GB"/>
              </w:rPr>
            </w:pPr>
            <w:r w:rsidRPr="002F786F">
              <w:rPr>
                <w:rFonts w:eastAsia="Times New Roman"/>
                <w:szCs w:val="24"/>
                <w:lang w:eastAsia="en-GB"/>
              </w:rPr>
              <w:t xml:space="preserve">In </w:t>
            </w:r>
            <w:r w:rsidR="004478F5">
              <w:rPr>
                <w:rFonts w:eastAsia="Times New Roman"/>
                <w:szCs w:val="24"/>
                <w:lang w:eastAsia="en-GB"/>
              </w:rPr>
              <w:t>May</w:t>
            </w:r>
            <w:r w:rsidRPr="002F786F">
              <w:rPr>
                <w:rFonts w:eastAsia="Times New Roman"/>
                <w:szCs w:val="24"/>
                <w:lang w:eastAsia="en-GB"/>
              </w:rPr>
              <w:t xml:space="preserve"> 202</w:t>
            </w:r>
            <w:r w:rsidR="004478F5">
              <w:rPr>
                <w:rFonts w:eastAsia="Times New Roman"/>
                <w:szCs w:val="24"/>
                <w:lang w:eastAsia="en-GB"/>
              </w:rPr>
              <w:t>5</w:t>
            </w:r>
            <w:r w:rsidRPr="002F786F">
              <w:rPr>
                <w:rFonts w:eastAsia="Times New Roman"/>
                <w:szCs w:val="24"/>
                <w:lang w:eastAsia="en-GB"/>
              </w:rPr>
              <w:t>, the SSRB submitted its annual report, which contained the following main pay award recommendations</w:t>
            </w:r>
            <w:r w:rsidR="00360B51" w:rsidRPr="002F786F">
              <w:rPr>
                <w:rFonts w:eastAsia="Times New Roman"/>
                <w:szCs w:val="24"/>
                <w:lang w:eastAsia="en-GB"/>
              </w:rPr>
              <w:t>:</w:t>
            </w:r>
          </w:p>
          <w:p w14:paraId="6866C56C" w14:textId="77777777" w:rsidR="001C1DB8" w:rsidRPr="002F786F" w:rsidRDefault="00FB2C3B">
            <w:pPr>
              <w:spacing w:before="0" w:after="0"/>
              <w:textAlignment w:val="baseline"/>
              <w:rPr>
                <w:rFonts w:eastAsia="Times New Roman"/>
                <w:szCs w:val="24"/>
                <w:lang w:eastAsia="en-GB"/>
              </w:rPr>
            </w:pPr>
            <w:r w:rsidRPr="002F786F">
              <w:rPr>
                <w:rFonts w:eastAsia="Times New Roman"/>
                <w:szCs w:val="24"/>
                <w:lang w:eastAsia="en-GB"/>
              </w:rPr>
              <w:t> </w:t>
            </w:r>
          </w:p>
          <w:p w14:paraId="6866C56D" w14:textId="6A98E637" w:rsidR="001C1DB8" w:rsidRPr="004D7D4C" w:rsidRDefault="00FB2C3B" w:rsidP="00A60884">
            <w:pPr>
              <w:numPr>
                <w:ilvl w:val="0"/>
                <w:numId w:val="9"/>
              </w:numPr>
              <w:tabs>
                <w:tab w:val="left" w:pos="720"/>
              </w:tabs>
              <w:spacing w:before="0" w:after="0"/>
              <w:ind w:left="1080" w:firstLine="0"/>
              <w:textAlignment w:val="baseline"/>
              <w:rPr>
                <w:rFonts w:eastAsia="Times New Roman"/>
                <w:lang w:eastAsia="en-GB"/>
              </w:rPr>
            </w:pPr>
            <w:r w:rsidRPr="004D7D4C">
              <w:rPr>
                <w:rFonts w:eastAsia="Times New Roman"/>
                <w:lang w:eastAsia="en-GB"/>
              </w:rPr>
              <w:t>A</w:t>
            </w:r>
            <w:r w:rsidR="00230070" w:rsidRPr="004D7D4C">
              <w:rPr>
                <w:rFonts w:eastAsia="Times New Roman"/>
                <w:lang w:eastAsia="en-GB"/>
              </w:rPr>
              <w:t xml:space="preserve"> consolidated </w:t>
            </w:r>
            <w:r w:rsidRPr="004D7D4C">
              <w:rPr>
                <w:rFonts w:eastAsia="Times New Roman"/>
                <w:lang w:eastAsia="en-GB"/>
              </w:rPr>
              <w:t xml:space="preserve">pay increase of </w:t>
            </w:r>
            <w:r w:rsidR="00CB4854">
              <w:rPr>
                <w:rFonts w:eastAsia="Times New Roman"/>
                <w:lang w:eastAsia="en-GB"/>
              </w:rPr>
              <w:t>3.25</w:t>
            </w:r>
            <w:r w:rsidRPr="004D7D4C">
              <w:rPr>
                <w:rFonts w:eastAsia="Times New Roman"/>
                <w:lang w:eastAsia="en-GB"/>
              </w:rPr>
              <w:t xml:space="preserve"> per cent for </w:t>
            </w:r>
            <w:r w:rsidR="007B4428" w:rsidRPr="004D7D4C">
              <w:rPr>
                <w:rFonts w:eastAsia="Times New Roman"/>
                <w:lang w:eastAsia="en-GB"/>
              </w:rPr>
              <w:t xml:space="preserve">all </w:t>
            </w:r>
            <w:r w:rsidRPr="004D7D4C">
              <w:rPr>
                <w:rFonts w:eastAsia="Times New Roman"/>
                <w:lang w:eastAsia="en-GB"/>
              </w:rPr>
              <w:t xml:space="preserve">members of the SCS </w:t>
            </w:r>
            <w:r w:rsidR="00D811A7" w:rsidRPr="004D7D4C">
              <w:rPr>
                <w:rFonts w:eastAsia="Times New Roman"/>
                <w:lang w:eastAsia="en-GB"/>
              </w:rPr>
              <w:t>from 1 April 202</w:t>
            </w:r>
            <w:r w:rsidR="00194192">
              <w:rPr>
                <w:rFonts w:eastAsia="Times New Roman"/>
                <w:lang w:eastAsia="en-GB"/>
              </w:rPr>
              <w:t>5</w:t>
            </w:r>
            <w:r w:rsidR="00A33F90">
              <w:rPr>
                <w:rFonts w:eastAsia="Times New Roman"/>
                <w:lang w:eastAsia="en-GB"/>
              </w:rPr>
              <w:t xml:space="preserve">, with an additional 0.5 per cent of the </w:t>
            </w:r>
            <w:proofErr w:type="spellStart"/>
            <w:r w:rsidR="00A33F90">
              <w:rPr>
                <w:rFonts w:eastAsia="Times New Roman"/>
                <w:lang w:eastAsia="en-GB"/>
              </w:rPr>
              <w:t>paybill</w:t>
            </w:r>
            <w:proofErr w:type="spellEnd"/>
            <w:r w:rsidR="00A33F90">
              <w:rPr>
                <w:rFonts w:eastAsia="Times New Roman"/>
                <w:lang w:eastAsia="en-GB"/>
              </w:rPr>
              <w:t xml:space="preserve"> </w:t>
            </w:r>
            <w:r w:rsidR="00F721CA">
              <w:rPr>
                <w:rFonts w:eastAsia="Times New Roman"/>
                <w:lang w:eastAsia="en-GB"/>
              </w:rPr>
              <w:t>to be used to address anomalies</w:t>
            </w:r>
            <w:r w:rsidR="00D811A7" w:rsidRPr="004D7D4C">
              <w:rPr>
                <w:rFonts w:eastAsia="Times New Roman"/>
                <w:lang w:eastAsia="en-GB"/>
              </w:rPr>
              <w:t>.</w:t>
            </w:r>
          </w:p>
          <w:p w14:paraId="736FADFC" w14:textId="1E20EADF" w:rsidR="00E134D7" w:rsidRDefault="007053D4">
            <w:pPr>
              <w:numPr>
                <w:ilvl w:val="0"/>
                <w:numId w:val="9"/>
              </w:numPr>
              <w:tabs>
                <w:tab w:val="left" w:pos="720"/>
              </w:tabs>
              <w:spacing w:before="0" w:after="0"/>
              <w:ind w:left="1080" w:firstLine="0"/>
              <w:textAlignment w:val="baseline"/>
              <w:rPr>
                <w:rFonts w:eastAsia="Times New Roman"/>
                <w:lang w:eastAsia="en-GB"/>
              </w:rPr>
            </w:pPr>
            <w:r>
              <w:rPr>
                <w:rFonts w:eastAsia="Times New Roman"/>
                <w:lang w:eastAsia="en-GB"/>
              </w:rPr>
              <w:t>The following increases to the SCS pay band</w:t>
            </w:r>
            <w:r w:rsidR="00B17066">
              <w:rPr>
                <w:rFonts w:eastAsia="Times New Roman"/>
                <w:lang w:eastAsia="en-GB"/>
              </w:rPr>
              <w:t xml:space="preserve"> minima and maxima from 1 April 2025</w:t>
            </w:r>
            <w:r>
              <w:rPr>
                <w:rFonts w:eastAsia="Times New Roman"/>
                <w:lang w:eastAsia="en-GB"/>
              </w:rPr>
              <w:t>:</w:t>
            </w:r>
          </w:p>
          <w:p w14:paraId="4DC7A0C3" w14:textId="1CDE2430" w:rsidR="00B17066" w:rsidRDefault="000B237B" w:rsidP="00B17066">
            <w:pPr>
              <w:pStyle w:val="ListParagraph"/>
              <w:numPr>
                <w:ilvl w:val="2"/>
                <w:numId w:val="9"/>
              </w:numPr>
              <w:tabs>
                <w:tab w:val="left" w:pos="720"/>
              </w:tabs>
              <w:spacing w:before="0" w:after="0"/>
              <w:textAlignment w:val="baseline"/>
              <w:rPr>
                <w:rFonts w:eastAsia="Times New Roman"/>
                <w:lang w:eastAsia="en-GB"/>
              </w:rPr>
            </w:pPr>
            <w:r>
              <w:rPr>
                <w:rFonts w:eastAsia="Times New Roman"/>
                <w:lang w:eastAsia="en-GB"/>
              </w:rPr>
              <w:t xml:space="preserve">An increase of £5,000 </w:t>
            </w:r>
            <w:r w:rsidR="001D0EAE">
              <w:rPr>
                <w:rFonts w:eastAsia="Times New Roman"/>
                <w:lang w:eastAsia="en-GB"/>
              </w:rPr>
              <w:t>to the minimum and £12,</w:t>
            </w:r>
            <w:r w:rsidR="00622455">
              <w:rPr>
                <w:rFonts w:eastAsia="Times New Roman"/>
                <w:lang w:eastAsia="en-GB"/>
              </w:rPr>
              <w:t>200 to the maximum</w:t>
            </w:r>
            <w:r w:rsidR="003F5C9F">
              <w:rPr>
                <w:rFonts w:eastAsia="Times New Roman"/>
                <w:lang w:eastAsia="en-GB"/>
              </w:rPr>
              <w:t xml:space="preserve"> for SCS </w:t>
            </w:r>
            <w:proofErr w:type="gramStart"/>
            <w:r w:rsidR="003F5C9F">
              <w:rPr>
                <w:rFonts w:eastAsia="Times New Roman"/>
                <w:lang w:eastAsia="en-GB"/>
              </w:rPr>
              <w:t>1</w:t>
            </w:r>
            <w:r w:rsidR="00622455">
              <w:rPr>
                <w:rFonts w:eastAsia="Times New Roman"/>
                <w:lang w:eastAsia="en-GB"/>
              </w:rPr>
              <w:t>;</w:t>
            </w:r>
            <w:proofErr w:type="gramEnd"/>
          </w:p>
          <w:p w14:paraId="39608C6C" w14:textId="6940F771" w:rsidR="00622455" w:rsidRPr="00225366" w:rsidRDefault="00A06924" w:rsidP="00A06924">
            <w:pPr>
              <w:pStyle w:val="ListParagraph"/>
              <w:numPr>
                <w:ilvl w:val="2"/>
                <w:numId w:val="9"/>
              </w:numPr>
              <w:tabs>
                <w:tab w:val="left" w:pos="720"/>
              </w:tabs>
              <w:spacing w:before="0" w:after="0"/>
              <w:textAlignment w:val="baseline"/>
              <w:rPr>
                <w:rFonts w:eastAsia="Times New Roman"/>
                <w:lang w:eastAsia="en-GB"/>
              </w:rPr>
            </w:pPr>
            <w:r>
              <w:rPr>
                <w:rFonts w:eastAsia="Times New Roman"/>
                <w:lang w:eastAsia="en-GB"/>
              </w:rPr>
              <w:t xml:space="preserve">An </w:t>
            </w:r>
            <w:r w:rsidR="00FB2C3B">
              <w:rPr>
                <w:rFonts w:eastAsia="Times New Roman"/>
                <w:lang w:eastAsia="en-GB"/>
              </w:rPr>
              <w:t xml:space="preserve">increase of </w:t>
            </w:r>
            <w:r>
              <w:rPr>
                <w:rFonts w:eastAsia="Times New Roman"/>
                <w:lang w:eastAsia="en-GB"/>
              </w:rPr>
              <w:t>£5,000 to the minimum and £1</w:t>
            </w:r>
            <w:r w:rsidR="003F69D3">
              <w:rPr>
                <w:rFonts w:eastAsia="Times New Roman"/>
                <w:lang w:eastAsia="en-GB"/>
              </w:rPr>
              <w:t>,1</w:t>
            </w:r>
            <w:r>
              <w:rPr>
                <w:rFonts w:eastAsia="Times New Roman"/>
                <w:lang w:eastAsia="en-GB"/>
              </w:rPr>
              <w:t>00 to the maximum</w:t>
            </w:r>
            <w:r w:rsidR="003F69D3">
              <w:rPr>
                <w:rFonts w:eastAsia="Times New Roman"/>
                <w:lang w:eastAsia="en-GB"/>
              </w:rPr>
              <w:t xml:space="preserve"> for SCS </w:t>
            </w:r>
            <w:proofErr w:type="gramStart"/>
            <w:r w:rsidR="003F69D3">
              <w:rPr>
                <w:rFonts w:eastAsia="Times New Roman"/>
                <w:lang w:eastAsia="en-GB"/>
              </w:rPr>
              <w:t>1A</w:t>
            </w:r>
            <w:r>
              <w:rPr>
                <w:rFonts w:eastAsia="Times New Roman"/>
                <w:lang w:eastAsia="en-GB"/>
              </w:rPr>
              <w:t>;</w:t>
            </w:r>
            <w:proofErr w:type="gramEnd"/>
          </w:p>
          <w:p w14:paraId="4F8E33CC" w14:textId="34242B32" w:rsidR="006B7C65" w:rsidRDefault="006B7C65" w:rsidP="006B7C65">
            <w:pPr>
              <w:pStyle w:val="ListParagraph"/>
              <w:numPr>
                <w:ilvl w:val="2"/>
                <w:numId w:val="9"/>
              </w:numPr>
              <w:tabs>
                <w:tab w:val="left" w:pos="720"/>
              </w:tabs>
              <w:spacing w:before="0" w:after="0"/>
              <w:textAlignment w:val="baseline"/>
              <w:rPr>
                <w:rFonts w:eastAsia="Times New Roman"/>
                <w:lang w:eastAsia="en-GB"/>
              </w:rPr>
            </w:pPr>
            <w:r>
              <w:rPr>
                <w:rFonts w:eastAsia="Times New Roman"/>
                <w:lang w:eastAsia="en-GB"/>
              </w:rPr>
              <w:t>An increase of £</w:t>
            </w:r>
            <w:r w:rsidR="00B711BC">
              <w:rPr>
                <w:rFonts w:eastAsia="Times New Roman"/>
                <w:lang w:eastAsia="en-GB"/>
              </w:rPr>
              <w:t>2</w:t>
            </w:r>
            <w:r>
              <w:rPr>
                <w:rFonts w:eastAsia="Times New Roman"/>
                <w:lang w:eastAsia="en-GB"/>
              </w:rPr>
              <w:t>,000 to the minimum and £</w:t>
            </w:r>
            <w:r w:rsidR="00A771A2">
              <w:rPr>
                <w:rFonts w:eastAsia="Times New Roman"/>
                <w:lang w:eastAsia="en-GB"/>
              </w:rPr>
              <w:t>500</w:t>
            </w:r>
            <w:r>
              <w:rPr>
                <w:rFonts w:eastAsia="Times New Roman"/>
                <w:lang w:eastAsia="en-GB"/>
              </w:rPr>
              <w:t xml:space="preserve"> to the </w:t>
            </w:r>
            <w:r w:rsidR="00AB49D8">
              <w:rPr>
                <w:rFonts w:eastAsia="Times New Roman"/>
                <w:lang w:eastAsia="en-GB"/>
              </w:rPr>
              <w:t xml:space="preserve">maximum for </w:t>
            </w:r>
            <w:r>
              <w:rPr>
                <w:rFonts w:eastAsia="Times New Roman"/>
                <w:lang w:eastAsia="en-GB"/>
              </w:rPr>
              <w:t>SCS</w:t>
            </w:r>
            <w:r w:rsidR="000432C1">
              <w:rPr>
                <w:rFonts w:eastAsia="Times New Roman"/>
                <w:lang w:eastAsia="en-GB"/>
              </w:rPr>
              <w:t xml:space="preserve"> </w:t>
            </w:r>
            <w:proofErr w:type="gramStart"/>
            <w:r w:rsidR="000432C1">
              <w:rPr>
                <w:rFonts w:eastAsia="Times New Roman"/>
                <w:lang w:eastAsia="en-GB"/>
              </w:rPr>
              <w:t>2</w:t>
            </w:r>
            <w:r>
              <w:rPr>
                <w:rFonts w:eastAsia="Times New Roman"/>
                <w:lang w:eastAsia="en-GB"/>
              </w:rPr>
              <w:t>;</w:t>
            </w:r>
            <w:proofErr w:type="gramEnd"/>
          </w:p>
          <w:p w14:paraId="68D2B80E" w14:textId="1E489946" w:rsidR="006B7C65" w:rsidRDefault="006B7C65" w:rsidP="006B7C65">
            <w:pPr>
              <w:pStyle w:val="ListParagraph"/>
              <w:numPr>
                <w:ilvl w:val="2"/>
                <w:numId w:val="9"/>
              </w:numPr>
              <w:tabs>
                <w:tab w:val="left" w:pos="720"/>
              </w:tabs>
              <w:spacing w:before="0" w:after="0"/>
              <w:textAlignment w:val="baseline"/>
              <w:rPr>
                <w:rFonts w:eastAsia="Times New Roman"/>
                <w:lang w:eastAsia="en-GB"/>
              </w:rPr>
            </w:pPr>
            <w:r>
              <w:rPr>
                <w:rFonts w:eastAsia="Times New Roman"/>
                <w:lang w:eastAsia="en-GB"/>
              </w:rPr>
              <w:t>An increase of £</w:t>
            </w:r>
            <w:r w:rsidR="00B711BC">
              <w:rPr>
                <w:rFonts w:eastAsia="Times New Roman"/>
                <w:lang w:eastAsia="en-GB"/>
              </w:rPr>
              <w:t>2</w:t>
            </w:r>
            <w:r>
              <w:rPr>
                <w:rFonts w:eastAsia="Times New Roman"/>
                <w:lang w:eastAsia="en-GB"/>
              </w:rPr>
              <w:t>,000 to the minimum and £</w:t>
            </w:r>
            <w:r w:rsidR="00EA4C38">
              <w:rPr>
                <w:rFonts w:eastAsia="Times New Roman"/>
                <w:lang w:eastAsia="en-GB"/>
              </w:rPr>
              <w:t>9</w:t>
            </w:r>
            <w:r>
              <w:rPr>
                <w:rFonts w:eastAsia="Times New Roman"/>
                <w:lang w:eastAsia="en-GB"/>
              </w:rPr>
              <w:t xml:space="preserve">00 to the </w:t>
            </w:r>
            <w:r w:rsidR="00EA4C38">
              <w:rPr>
                <w:rFonts w:eastAsia="Times New Roman"/>
                <w:lang w:eastAsia="en-GB"/>
              </w:rPr>
              <w:t xml:space="preserve">maximum for </w:t>
            </w:r>
            <w:r>
              <w:rPr>
                <w:rFonts w:eastAsia="Times New Roman"/>
                <w:lang w:eastAsia="en-GB"/>
              </w:rPr>
              <w:t>SCS</w:t>
            </w:r>
            <w:r w:rsidR="000432C1">
              <w:rPr>
                <w:rFonts w:eastAsia="Times New Roman"/>
                <w:lang w:eastAsia="en-GB"/>
              </w:rPr>
              <w:t xml:space="preserve"> </w:t>
            </w:r>
            <w:proofErr w:type="gramStart"/>
            <w:r w:rsidR="000432C1">
              <w:rPr>
                <w:rFonts w:eastAsia="Times New Roman"/>
                <w:lang w:eastAsia="en-GB"/>
              </w:rPr>
              <w:t>3</w:t>
            </w:r>
            <w:r>
              <w:rPr>
                <w:rFonts w:eastAsia="Times New Roman"/>
                <w:lang w:eastAsia="en-GB"/>
              </w:rPr>
              <w:t>;</w:t>
            </w:r>
            <w:proofErr w:type="gramEnd"/>
          </w:p>
          <w:p w14:paraId="17866CBF" w14:textId="3456D0F6" w:rsidR="006B7C65" w:rsidRPr="00225366" w:rsidRDefault="006B7C65" w:rsidP="00225366">
            <w:pPr>
              <w:pStyle w:val="ListParagraph"/>
              <w:numPr>
                <w:ilvl w:val="2"/>
                <w:numId w:val="9"/>
              </w:numPr>
              <w:tabs>
                <w:tab w:val="left" w:pos="720"/>
              </w:tabs>
              <w:spacing w:before="0" w:after="0"/>
              <w:textAlignment w:val="baseline"/>
              <w:rPr>
                <w:rFonts w:eastAsia="Times New Roman"/>
                <w:lang w:eastAsia="en-GB"/>
              </w:rPr>
            </w:pPr>
            <w:r>
              <w:rPr>
                <w:rFonts w:eastAsia="Times New Roman"/>
                <w:lang w:eastAsia="en-GB"/>
              </w:rPr>
              <w:t>An increase of £</w:t>
            </w:r>
            <w:r w:rsidR="00B711BC">
              <w:rPr>
                <w:rFonts w:eastAsia="Times New Roman"/>
                <w:lang w:eastAsia="en-GB"/>
              </w:rPr>
              <w:t>2</w:t>
            </w:r>
            <w:r>
              <w:rPr>
                <w:rFonts w:eastAsia="Times New Roman"/>
                <w:lang w:eastAsia="en-GB"/>
              </w:rPr>
              <w:t>,000 to the minimum and £</w:t>
            </w:r>
            <w:r w:rsidR="000432C1">
              <w:rPr>
                <w:rFonts w:eastAsia="Times New Roman"/>
                <w:lang w:eastAsia="en-GB"/>
              </w:rPr>
              <w:t>20,0</w:t>
            </w:r>
            <w:r>
              <w:rPr>
                <w:rFonts w:eastAsia="Times New Roman"/>
                <w:lang w:eastAsia="en-GB"/>
              </w:rPr>
              <w:t xml:space="preserve">00 to the </w:t>
            </w:r>
            <w:r w:rsidR="00EA4C38">
              <w:rPr>
                <w:rFonts w:eastAsia="Times New Roman"/>
                <w:lang w:eastAsia="en-GB"/>
              </w:rPr>
              <w:t xml:space="preserve">maximum for </w:t>
            </w:r>
            <w:r>
              <w:rPr>
                <w:rFonts w:eastAsia="Times New Roman"/>
                <w:lang w:eastAsia="en-GB"/>
              </w:rPr>
              <w:t xml:space="preserve">SCS </w:t>
            </w:r>
            <w:proofErr w:type="gramStart"/>
            <w:r w:rsidR="000432C1">
              <w:rPr>
                <w:rFonts w:eastAsia="Times New Roman"/>
                <w:lang w:eastAsia="en-GB"/>
              </w:rPr>
              <w:t>4</w:t>
            </w:r>
            <w:r>
              <w:rPr>
                <w:rFonts w:eastAsia="Times New Roman"/>
                <w:lang w:eastAsia="en-GB"/>
              </w:rPr>
              <w:t>;</w:t>
            </w:r>
            <w:proofErr w:type="gramEnd"/>
          </w:p>
          <w:p w14:paraId="6E9250BC" w14:textId="715E305A" w:rsidR="000112D4" w:rsidRPr="004D7D4C" w:rsidRDefault="000112D4">
            <w:pPr>
              <w:numPr>
                <w:ilvl w:val="0"/>
                <w:numId w:val="9"/>
              </w:numPr>
              <w:tabs>
                <w:tab w:val="left" w:pos="720"/>
              </w:tabs>
              <w:spacing w:before="0" w:after="0"/>
              <w:ind w:left="1080" w:firstLine="0"/>
              <w:textAlignment w:val="baseline"/>
              <w:rPr>
                <w:rFonts w:eastAsia="Times New Roman"/>
                <w:lang w:eastAsia="en-GB"/>
              </w:rPr>
            </w:pPr>
            <w:r>
              <w:rPr>
                <w:rFonts w:eastAsia="Times New Roman"/>
                <w:lang w:eastAsia="en-GB"/>
              </w:rPr>
              <w:t xml:space="preserve">The </w:t>
            </w:r>
            <w:r w:rsidR="003103FA">
              <w:rPr>
                <w:rFonts w:eastAsia="Times New Roman"/>
                <w:lang w:eastAsia="en-GB"/>
              </w:rPr>
              <w:t xml:space="preserve">Government should undertake a Fundamental Review of </w:t>
            </w:r>
            <w:r w:rsidR="00912E27">
              <w:rPr>
                <w:rFonts w:eastAsia="Times New Roman"/>
                <w:lang w:eastAsia="en-GB"/>
              </w:rPr>
              <w:t xml:space="preserve">the SCS pay and reward frameworks. </w:t>
            </w:r>
          </w:p>
          <w:p w14:paraId="6866C56F" w14:textId="14651D9B" w:rsidR="001C1DB8" w:rsidRPr="004D7D4C" w:rsidRDefault="00FB2C3B" w:rsidP="00A60884">
            <w:pPr>
              <w:numPr>
                <w:ilvl w:val="0"/>
                <w:numId w:val="9"/>
              </w:numPr>
              <w:tabs>
                <w:tab w:val="left" w:pos="720"/>
              </w:tabs>
              <w:spacing w:before="0" w:after="0"/>
              <w:ind w:left="1080" w:firstLine="0"/>
              <w:textAlignment w:val="baseline"/>
              <w:rPr>
                <w:rFonts w:eastAsia="Times New Roman"/>
                <w:szCs w:val="24"/>
                <w:lang w:eastAsia="en-GB"/>
              </w:rPr>
            </w:pPr>
            <w:r w:rsidRPr="004D7D4C">
              <w:rPr>
                <w:rFonts w:eastAsia="Times New Roman"/>
                <w:szCs w:val="24"/>
                <w:lang w:eastAsia="en-GB"/>
              </w:rPr>
              <w:t xml:space="preserve">A </w:t>
            </w:r>
            <w:r w:rsidR="00380E07">
              <w:rPr>
                <w:rFonts w:eastAsia="Times New Roman"/>
                <w:szCs w:val="24"/>
                <w:lang w:eastAsia="en-GB"/>
              </w:rPr>
              <w:t>consolidated</w:t>
            </w:r>
            <w:r w:rsidRPr="004D7D4C">
              <w:rPr>
                <w:rFonts w:eastAsia="Times New Roman"/>
                <w:szCs w:val="24"/>
                <w:lang w:eastAsia="en-GB"/>
              </w:rPr>
              <w:t xml:space="preserve"> pay increase of </w:t>
            </w:r>
            <w:r w:rsidR="0086053B">
              <w:rPr>
                <w:rFonts w:eastAsia="Times New Roman"/>
                <w:szCs w:val="24"/>
                <w:lang w:eastAsia="en-GB"/>
              </w:rPr>
              <w:t>4</w:t>
            </w:r>
            <w:r w:rsidRPr="004D7D4C">
              <w:rPr>
                <w:rFonts w:eastAsia="Times New Roman"/>
                <w:szCs w:val="24"/>
                <w:lang w:eastAsia="en-GB"/>
              </w:rPr>
              <w:t>.</w:t>
            </w:r>
            <w:r w:rsidR="0086053B">
              <w:rPr>
                <w:rFonts w:eastAsia="Times New Roman"/>
                <w:szCs w:val="24"/>
                <w:lang w:eastAsia="en-GB"/>
              </w:rPr>
              <w:t>75</w:t>
            </w:r>
            <w:r w:rsidRPr="004D7D4C">
              <w:rPr>
                <w:rFonts w:eastAsia="Times New Roman"/>
                <w:szCs w:val="24"/>
                <w:lang w:eastAsia="en-GB"/>
              </w:rPr>
              <w:t xml:space="preserve"> per cent for all salaried members of the judiciary</w:t>
            </w:r>
            <w:r w:rsidR="00070DE4" w:rsidRPr="004D7D4C">
              <w:rPr>
                <w:rFonts w:eastAsia="Times New Roman"/>
                <w:szCs w:val="24"/>
                <w:lang w:eastAsia="en-GB"/>
              </w:rPr>
              <w:t xml:space="preserve"> from 1 April 202</w:t>
            </w:r>
            <w:r w:rsidR="00D96C62">
              <w:rPr>
                <w:rFonts w:eastAsia="Times New Roman"/>
                <w:szCs w:val="24"/>
                <w:lang w:eastAsia="en-GB"/>
              </w:rPr>
              <w:t>5</w:t>
            </w:r>
            <w:r w:rsidRPr="004D7D4C">
              <w:rPr>
                <w:rFonts w:eastAsia="Times New Roman"/>
                <w:szCs w:val="24"/>
                <w:lang w:eastAsia="en-GB"/>
              </w:rPr>
              <w:t>. </w:t>
            </w:r>
          </w:p>
          <w:p w14:paraId="6866C571" w14:textId="069B1897" w:rsidR="001C1DB8" w:rsidRPr="004D7D4C" w:rsidRDefault="00FB2C3B" w:rsidP="00225366">
            <w:pPr>
              <w:numPr>
                <w:ilvl w:val="0"/>
                <w:numId w:val="9"/>
              </w:numPr>
              <w:tabs>
                <w:tab w:val="left" w:pos="720"/>
              </w:tabs>
              <w:spacing w:before="0" w:after="0"/>
              <w:ind w:left="1080" w:firstLine="0"/>
              <w:textAlignment w:val="baseline"/>
              <w:rPr>
                <w:rFonts w:eastAsia="Times New Roman"/>
                <w:szCs w:val="24"/>
                <w:lang w:eastAsia="en-GB"/>
              </w:rPr>
            </w:pPr>
            <w:r w:rsidRPr="004D7D4C">
              <w:rPr>
                <w:rFonts w:eastAsia="Times New Roman"/>
                <w:lang w:eastAsia="en-GB"/>
              </w:rPr>
              <w:lastRenderedPageBreak/>
              <w:t>A</w:t>
            </w:r>
            <w:r w:rsidR="00D206F6" w:rsidRPr="004D7D4C">
              <w:rPr>
                <w:rFonts w:eastAsia="Times New Roman"/>
                <w:lang w:eastAsia="en-GB"/>
              </w:rPr>
              <w:t xml:space="preserve"> consolidated </w:t>
            </w:r>
            <w:r w:rsidRPr="004D7D4C">
              <w:rPr>
                <w:rFonts w:eastAsia="Times New Roman"/>
                <w:lang w:eastAsia="en-GB"/>
              </w:rPr>
              <w:t xml:space="preserve">increase in base pay of </w:t>
            </w:r>
            <w:r w:rsidR="001D3FE5" w:rsidRPr="001D3FE5">
              <w:rPr>
                <w:rFonts w:eastAsia="Times New Roman"/>
                <w:lang w:eastAsia="en-GB"/>
              </w:rPr>
              <w:t>3</w:t>
            </w:r>
            <w:r w:rsidRPr="001D3FE5">
              <w:rPr>
                <w:rFonts w:eastAsia="Times New Roman"/>
                <w:lang w:eastAsia="en-GB"/>
              </w:rPr>
              <w:t>.</w:t>
            </w:r>
            <w:r w:rsidR="001D3FE5" w:rsidRPr="001D3FE5">
              <w:rPr>
                <w:rFonts w:eastAsia="Times New Roman"/>
                <w:lang w:eastAsia="en-GB"/>
              </w:rPr>
              <w:t>75</w:t>
            </w:r>
            <w:r w:rsidRPr="004D7D4C">
              <w:rPr>
                <w:rFonts w:eastAsia="Times New Roman"/>
                <w:lang w:eastAsia="en-GB"/>
              </w:rPr>
              <w:t xml:space="preserve"> per cent for all members of the </w:t>
            </w:r>
            <w:r w:rsidRPr="004D7D4C">
              <w:rPr>
                <w:rFonts w:eastAsia="Times New Roman"/>
                <w:szCs w:val="24"/>
                <w:lang w:eastAsia="en-GB"/>
              </w:rPr>
              <w:t>senior military, including Medical Officers and Dental Officers (MODOs)</w:t>
            </w:r>
            <w:r w:rsidR="002E3384" w:rsidRPr="004D7D4C">
              <w:rPr>
                <w:rFonts w:eastAsia="Times New Roman"/>
                <w:szCs w:val="24"/>
                <w:lang w:eastAsia="en-GB"/>
              </w:rPr>
              <w:t xml:space="preserve"> from 1 April </w:t>
            </w:r>
            <w:r w:rsidR="002E3384" w:rsidRPr="001D3FE5">
              <w:rPr>
                <w:rFonts w:eastAsia="Times New Roman"/>
                <w:szCs w:val="24"/>
                <w:lang w:eastAsia="en-GB"/>
              </w:rPr>
              <w:t>202</w:t>
            </w:r>
            <w:r w:rsidR="001D3FE5" w:rsidRPr="001D3FE5">
              <w:rPr>
                <w:rFonts w:eastAsia="Times New Roman"/>
                <w:szCs w:val="24"/>
                <w:lang w:eastAsia="en-GB"/>
              </w:rPr>
              <w:t>5</w:t>
            </w:r>
            <w:r w:rsidRPr="004D7D4C">
              <w:rPr>
                <w:rFonts w:eastAsia="Times New Roman"/>
                <w:szCs w:val="24"/>
                <w:lang w:eastAsia="en-GB"/>
              </w:rPr>
              <w:t>. </w:t>
            </w:r>
          </w:p>
          <w:p w14:paraId="6866C572" w14:textId="5EC8A647" w:rsidR="001C1DB8" w:rsidRPr="004D7D4C" w:rsidRDefault="00FB2C3B" w:rsidP="00A60884">
            <w:pPr>
              <w:numPr>
                <w:ilvl w:val="0"/>
                <w:numId w:val="9"/>
              </w:numPr>
              <w:tabs>
                <w:tab w:val="left" w:pos="720"/>
              </w:tabs>
              <w:spacing w:before="0" w:after="0"/>
              <w:ind w:left="1080" w:firstLine="0"/>
              <w:textAlignment w:val="baseline"/>
              <w:rPr>
                <w:rFonts w:eastAsia="Times New Roman"/>
                <w:lang w:eastAsia="en-GB"/>
              </w:rPr>
            </w:pPr>
            <w:r w:rsidRPr="004D7D4C">
              <w:rPr>
                <w:rFonts w:eastAsia="Times New Roman"/>
                <w:lang w:eastAsia="en-GB"/>
              </w:rPr>
              <w:t>A</w:t>
            </w:r>
            <w:r w:rsidR="00740DF9">
              <w:rPr>
                <w:rFonts w:eastAsia="Times New Roman"/>
                <w:lang w:eastAsia="en-GB"/>
              </w:rPr>
              <w:t xml:space="preserve"> </w:t>
            </w:r>
            <w:r w:rsidR="009B56C0">
              <w:rPr>
                <w:rFonts w:eastAsia="Times New Roman"/>
                <w:lang w:eastAsia="en-GB"/>
              </w:rPr>
              <w:t>consolidated</w:t>
            </w:r>
            <w:r w:rsidR="00740DF9">
              <w:rPr>
                <w:rFonts w:eastAsia="Times New Roman"/>
                <w:lang w:eastAsia="en-GB"/>
              </w:rPr>
              <w:t xml:space="preserve"> </w:t>
            </w:r>
            <w:r w:rsidRPr="004D7D4C">
              <w:rPr>
                <w:rFonts w:eastAsia="Times New Roman"/>
                <w:lang w:eastAsia="en-GB"/>
              </w:rPr>
              <w:t xml:space="preserve">pay increase of </w:t>
            </w:r>
            <w:r w:rsidR="00740DF9">
              <w:rPr>
                <w:rFonts w:eastAsia="Times New Roman"/>
                <w:lang w:eastAsia="en-GB"/>
              </w:rPr>
              <w:t>3</w:t>
            </w:r>
            <w:r w:rsidRPr="004D7D4C">
              <w:rPr>
                <w:rFonts w:eastAsia="Times New Roman"/>
                <w:lang w:eastAsia="en-GB"/>
              </w:rPr>
              <w:t>.</w:t>
            </w:r>
            <w:r w:rsidR="00740DF9">
              <w:rPr>
                <w:rFonts w:eastAsia="Times New Roman"/>
                <w:lang w:eastAsia="en-GB"/>
              </w:rPr>
              <w:t>25</w:t>
            </w:r>
            <w:r w:rsidRPr="004D7D4C">
              <w:rPr>
                <w:rFonts w:eastAsia="Times New Roman"/>
                <w:lang w:eastAsia="en-GB"/>
              </w:rPr>
              <w:t xml:space="preserve"> per cent for all </w:t>
            </w:r>
            <w:r w:rsidR="00FE289E" w:rsidRPr="004D7D4C">
              <w:rPr>
                <w:rFonts w:eastAsia="Times New Roman"/>
                <w:lang w:eastAsia="en-GB"/>
              </w:rPr>
              <w:t xml:space="preserve">Executive and Senior Managers and all Very Senior Managers </w:t>
            </w:r>
            <w:r w:rsidR="002E3384" w:rsidRPr="004D7D4C">
              <w:rPr>
                <w:rFonts w:eastAsia="Times New Roman"/>
                <w:lang w:eastAsia="en-GB"/>
              </w:rPr>
              <w:t>from 1 April 202</w:t>
            </w:r>
            <w:r w:rsidR="002E0E18">
              <w:rPr>
                <w:rFonts w:eastAsia="Times New Roman"/>
                <w:lang w:eastAsia="en-GB"/>
              </w:rPr>
              <w:t>5</w:t>
            </w:r>
            <w:r w:rsidR="000112D4">
              <w:rPr>
                <w:rFonts w:eastAsia="Times New Roman"/>
                <w:lang w:eastAsia="en-GB"/>
              </w:rPr>
              <w:t>,</w:t>
            </w:r>
            <w:r w:rsidR="002E0E18">
              <w:rPr>
                <w:rFonts w:eastAsia="Times New Roman"/>
                <w:lang w:eastAsia="en-GB"/>
              </w:rPr>
              <w:t xml:space="preserve"> with an additional 0.5 per cent </w:t>
            </w:r>
            <w:r w:rsidR="00BF21CA">
              <w:rPr>
                <w:rFonts w:eastAsia="Times New Roman"/>
                <w:lang w:eastAsia="en-GB"/>
              </w:rPr>
              <w:t xml:space="preserve">of the </w:t>
            </w:r>
            <w:proofErr w:type="spellStart"/>
            <w:r w:rsidR="00BF21CA">
              <w:rPr>
                <w:rFonts w:eastAsia="Times New Roman"/>
                <w:lang w:eastAsia="en-GB"/>
              </w:rPr>
              <w:t>paybill</w:t>
            </w:r>
            <w:proofErr w:type="spellEnd"/>
            <w:r w:rsidR="00BF21CA">
              <w:rPr>
                <w:rFonts w:eastAsia="Times New Roman"/>
                <w:lang w:eastAsia="en-GB"/>
              </w:rPr>
              <w:t xml:space="preserve"> to be used to address pay anomalies. </w:t>
            </w:r>
            <w:r w:rsidRPr="004D7D4C">
              <w:rPr>
                <w:rFonts w:eastAsia="Times New Roman"/>
                <w:lang w:eastAsia="en-GB"/>
              </w:rPr>
              <w:t xml:space="preserve"> </w:t>
            </w:r>
          </w:p>
          <w:p w14:paraId="6866C573" w14:textId="508EFD03" w:rsidR="001C1DB8" w:rsidRPr="004D7D4C" w:rsidRDefault="001C1DB8">
            <w:pPr>
              <w:spacing w:before="0" w:after="0"/>
              <w:textAlignment w:val="baseline"/>
              <w:rPr>
                <w:rFonts w:eastAsia="Times New Roman"/>
                <w:szCs w:val="24"/>
                <w:lang w:eastAsia="en-GB"/>
              </w:rPr>
            </w:pPr>
          </w:p>
          <w:p w14:paraId="6866C574" w14:textId="06D2FF98" w:rsidR="001C1DB8" w:rsidRPr="00156609" w:rsidRDefault="00FB2C3B">
            <w:pPr>
              <w:spacing w:before="0" w:after="0"/>
              <w:textAlignment w:val="baseline"/>
              <w:rPr>
                <w:rFonts w:eastAsia="Times New Roman"/>
                <w:szCs w:val="24"/>
                <w:lang w:eastAsia="en-GB"/>
              </w:rPr>
            </w:pPr>
            <w:r w:rsidRPr="00156609">
              <w:rPr>
                <w:rFonts w:eastAsia="Times New Roman"/>
                <w:szCs w:val="24"/>
                <w:lang w:eastAsia="en-GB"/>
              </w:rPr>
              <w:t xml:space="preserve">The </w:t>
            </w:r>
            <w:r w:rsidR="00676756" w:rsidRPr="00156609">
              <w:rPr>
                <w:rFonts w:eastAsia="Times New Roman"/>
                <w:szCs w:val="24"/>
                <w:lang w:eastAsia="en-GB"/>
              </w:rPr>
              <w:t>R</w:t>
            </w:r>
            <w:r w:rsidRPr="00156609">
              <w:rPr>
                <w:rFonts w:eastAsia="Times New Roman"/>
                <w:szCs w:val="24"/>
                <w:lang w:eastAsia="en-GB"/>
              </w:rPr>
              <w:t xml:space="preserve">eport was published on </w:t>
            </w:r>
            <w:r w:rsidR="008760D6">
              <w:rPr>
                <w:rFonts w:eastAsia="Times New Roman"/>
                <w:szCs w:val="24"/>
                <w:lang w:eastAsia="en-GB"/>
              </w:rPr>
              <w:t>22 May</w:t>
            </w:r>
            <w:r w:rsidRPr="00156609">
              <w:rPr>
                <w:rFonts w:eastAsia="Times New Roman"/>
                <w:szCs w:val="24"/>
                <w:lang w:eastAsia="en-GB"/>
              </w:rPr>
              <w:t xml:space="preserve"> 202</w:t>
            </w:r>
            <w:r w:rsidR="00F312CB">
              <w:rPr>
                <w:rFonts w:eastAsia="Times New Roman"/>
                <w:szCs w:val="24"/>
                <w:lang w:eastAsia="en-GB"/>
              </w:rPr>
              <w:t>5</w:t>
            </w:r>
            <w:r w:rsidRPr="00156609">
              <w:rPr>
                <w:rFonts w:eastAsia="Times New Roman"/>
                <w:szCs w:val="24"/>
                <w:lang w:eastAsia="en-GB"/>
              </w:rPr>
              <w:t xml:space="preserve">. The Government accepted all the SSRB’s recommendations, </w:t>
            </w:r>
            <w:proofErr w:type="gramStart"/>
            <w:r w:rsidRPr="00156609">
              <w:rPr>
                <w:rFonts w:eastAsia="Times New Roman"/>
                <w:szCs w:val="24"/>
                <w:lang w:eastAsia="en-GB"/>
              </w:rPr>
              <w:t>with the exception of</w:t>
            </w:r>
            <w:proofErr w:type="gramEnd"/>
            <w:r w:rsidRPr="00156609">
              <w:rPr>
                <w:rFonts w:eastAsia="Times New Roman"/>
                <w:szCs w:val="24"/>
                <w:lang w:eastAsia="en-GB"/>
              </w:rPr>
              <w:t xml:space="preserve"> the following: </w:t>
            </w:r>
          </w:p>
          <w:p w14:paraId="4EC633B6" w14:textId="06A6118C" w:rsidR="00A80E7E" w:rsidRDefault="00A80E7E" w:rsidP="00FA4169">
            <w:pPr>
              <w:numPr>
                <w:ilvl w:val="0"/>
                <w:numId w:val="9"/>
              </w:numPr>
              <w:tabs>
                <w:tab w:val="left" w:pos="720"/>
              </w:tabs>
              <w:spacing w:before="0" w:after="0"/>
              <w:ind w:left="1080" w:firstLine="0"/>
              <w:textAlignment w:val="baseline"/>
              <w:rPr>
                <w:rFonts w:eastAsia="Times New Roman"/>
                <w:szCs w:val="24"/>
                <w:lang w:eastAsia="en-GB"/>
              </w:rPr>
            </w:pPr>
            <w:r>
              <w:rPr>
                <w:rFonts w:eastAsia="Times New Roman"/>
                <w:szCs w:val="24"/>
                <w:lang w:eastAsia="en-GB"/>
              </w:rPr>
              <w:t xml:space="preserve">Increases to the pay band maxima for the SCS pay bands 1 to 3 were </w:t>
            </w:r>
            <w:r w:rsidR="00CB6458">
              <w:rPr>
                <w:rFonts w:eastAsia="Times New Roman"/>
                <w:szCs w:val="24"/>
                <w:lang w:eastAsia="en-GB"/>
              </w:rPr>
              <w:t xml:space="preserve">deferred for consideration under the Fundamental Review of the SCS pay and reward </w:t>
            </w:r>
            <w:r w:rsidR="00F60656">
              <w:rPr>
                <w:rFonts w:eastAsia="Times New Roman"/>
                <w:szCs w:val="24"/>
                <w:lang w:eastAsia="en-GB"/>
              </w:rPr>
              <w:t>frameworks</w:t>
            </w:r>
            <w:r w:rsidR="00CB6458">
              <w:rPr>
                <w:rFonts w:eastAsia="Times New Roman"/>
                <w:szCs w:val="24"/>
                <w:lang w:eastAsia="en-GB"/>
              </w:rPr>
              <w:t xml:space="preserve">. </w:t>
            </w:r>
          </w:p>
          <w:p w14:paraId="6F1AE258" w14:textId="0DEF8573" w:rsidR="00493DF0" w:rsidRDefault="001E1B3E" w:rsidP="00FA4169">
            <w:pPr>
              <w:numPr>
                <w:ilvl w:val="0"/>
                <w:numId w:val="9"/>
              </w:numPr>
              <w:tabs>
                <w:tab w:val="left" w:pos="720"/>
              </w:tabs>
              <w:spacing w:before="0" w:after="0"/>
              <w:ind w:left="1080" w:firstLine="0"/>
              <w:textAlignment w:val="baseline"/>
              <w:rPr>
                <w:rFonts w:eastAsia="Times New Roman"/>
                <w:szCs w:val="24"/>
                <w:lang w:eastAsia="en-GB"/>
              </w:rPr>
            </w:pPr>
            <w:r>
              <w:rPr>
                <w:rFonts w:eastAsia="Times New Roman"/>
                <w:szCs w:val="24"/>
                <w:lang w:eastAsia="en-GB"/>
              </w:rPr>
              <w:t xml:space="preserve">The pay award for the judiciary was reduced to 4.0 per cent. </w:t>
            </w:r>
          </w:p>
          <w:p w14:paraId="6BA733D1" w14:textId="76C83E19" w:rsidR="002F786F" w:rsidRPr="00884F14" w:rsidRDefault="00B025D2" w:rsidP="00FA4169">
            <w:pPr>
              <w:numPr>
                <w:ilvl w:val="0"/>
                <w:numId w:val="9"/>
              </w:numPr>
              <w:tabs>
                <w:tab w:val="left" w:pos="720"/>
              </w:tabs>
              <w:spacing w:before="0" w:after="0"/>
              <w:ind w:left="1080" w:firstLine="0"/>
              <w:textAlignment w:val="baseline"/>
              <w:rPr>
                <w:rFonts w:eastAsia="Times New Roman"/>
                <w:szCs w:val="24"/>
                <w:lang w:eastAsia="en-GB"/>
              </w:rPr>
            </w:pPr>
            <w:r>
              <w:rPr>
                <w:rFonts w:eastAsia="Times New Roman"/>
                <w:szCs w:val="24"/>
                <w:lang w:eastAsia="en-GB"/>
              </w:rPr>
              <w:t>The 0.5 per cent for anomalies for the senior health leaders was rejected.</w:t>
            </w:r>
          </w:p>
          <w:p w14:paraId="039E64F9" w14:textId="77777777" w:rsidR="00884F14" w:rsidRDefault="00884F14" w:rsidP="00225366">
            <w:pPr>
              <w:tabs>
                <w:tab w:val="left" w:pos="720"/>
              </w:tabs>
              <w:spacing w:before="0" w:after="0"/>
              <w:ind w:left="1080"/>
              <w:textAlignment w:val="baseline"/>
              <w:rPr>
                <w:rFonts w:eastAsia="Times New Roman"/>
                <w:szCs w:val="24"/>
                <w:lang w:eastAsia="en-GB"/>
              </w:rPr>
            </w:pPr>
          </w:p>
          <w:p w14:paraId="65A983B8" w14:textId="412BE5F7" w:rsidR="00884F14" w:rsidRDefault="001A2C04" w:rsidP="00884F14">
            <w:pPr>
              <w:spacing w:before="0" w:after="0"/>
              <w:textAlignment w:val="baseline"/>
              <w:rPr>
                <w:rFonts w:eastAsia="Times New Roman"/>
                <w:szCs w:val="24"/>
                <w:lang w:eastAsia="en-GB"/>
              </w:rPr>
            </w:pPr>
            <w:r>
              <w:rPr>
                <w:rFonts w:eastAsia="Times New Roman"/>
                <w:szCs w:val="24"/>
                <w:lang w:eastAsia="en-GB"/>
              </w:rPr>
              <w:t>In June 2025, t</w:t>
            </w:r>
            <w:r w:rsidR="00884F14" w:rsidRPr="00156609">
              <w:rPr>
                <w:rFonts w:eastAsia="Times New Roman"/>
                <w:szCs w:val="24"/>
                <w:lang w:eastAsia="en-GB"/>
              </w:rPr>
              <w:t xml:space="preserve">he </w:t>
            </w:r>
            <w:r w:rsidR="00884F14">
              <w:rPr>
                <w:rFonts w:eastAsia="Times New Roman"/>
                <w:szCs w:val="24"/>
                <w:lang w:eastAsia="en-GB"/>
              </w:rPr>
              <w:t xml:space="preserve">SSRB also submitted a </w:t>
            </w:r>
            <w:r w:rsidR="00D03915">
              <w:rPr>
                <w:rFonts w:eastAsia="Times New Roman"/>
                <w:szCs w:val="24"/>
                <w:lang w:eastAsia="en-GB"/>
              </w:rPr>
              <w:t xml:space="preserve">Supplementary </w:t>
            </w:r>
            <w:r w:rsidR="00884F14" w:rsidRPr="00156609">
              <w:rPr>
                <w:rFonts w:eastAsia="Times New Roman"/>
                <w:szCs w:val="24"/>
                <w:lang w:eastAsia="en-GB"/>
              </w:rPr>
              <w:t xml:space="preserve">Report </w:t>
            </w:r>
            <w:r w:rsidR="00D03915">
              <w:rPr>
                <w:rFonts w:eastAsia="Times New Roman"/>
                <w:szCs w:val="24"/>
                <w:lang w:eastAsia="en-GB"/>
              </w:rPr>
              <w:t xml:space="preserve">to the Government containing recommendations on the pay and reward for chief police officers in England, Wales and Northern Ireland and for Police and Crime Commissioners. </w:t>
            </w:r>
            <w:r w:rsidR="008D2953">
              <w:rPr>
                <w:rFonts w:eastAsia="Times New Roman"/>
                <w:szCs w:val="24"/>
                <w:lang w:eastAsia="en-GB"/>
              </w:rPr>
              <w:t xml:space="preserve">This Report has not yet been published by the Government. </w:t>
            </w:r>
            <w:r w:rsidR="00884F14" w:rsidRPr="00156609">
              <w:rPr>
                <w:rFonts w:eastAsia="Times New Roman"/>
                <w:szCs w:val="24"/>
                <w:lang w:eastAsia="en-GB"/>
              </w:rPr>
              <w:t> </w:t>
            </w:r>
          </w:p>
          <w:p w14:paraId="6866C578" w14:textId="66D4B5F9" w:rsidR="001C1DB8" w:rsidRPr="0053034A" w:rsidRDefault="001C1DB8" w:rsidP="002F786F">
            <w:pPr>
              <w:tabs>
                <w:tab w:val="left" w:pos="720"/>
              </w:tabs>
              <w:spacing w:before="0" w:after="0"/>
              <w:textAlignment w:val="baseline"/>
              <w:rPr>
                <w:highlight w:val="yellow"/>
              </w:rPr>
            </w:pPr>
          </w:p>
        </w:tc>
      </w:tr>
    </w:tbl>
    <w:p w14:paraId="6866C57A" w14:textId="77777777" w:rsidR="001C1DB8" w:rsidRDefault="001C1DB8">
      <w:pPr>
        <w:pageBreakBefore/>
        <w:spacing w:before="0" w:after="160"/>
      </w:pPr>
    </w:p>
    <w:tbl>
      <w:tblPr>
        <w:tblW w:w="9016" w:type="dxa"/>
        <w:tblCellMar>
          <w:left w:w="10" w:type="dxa"/>
          <w:right w:w="10" w:type="dxa"/>
        </w:tblCellMar>
        <w:tblLook w:val="0000" w:firstRow="0" w:lastRow="0" w:firstColumn="0" w:lastColumn="0" w:noHBand="0" w:noVBand="0"/>
      </w:tblPr>
      <w:tblGrid>
        <w:gridCol w:w="9016"/>
      </w:tblGrid>
      <w:tr w:rsidR="001C1DB8" w14:paraId="6866C57C" w14:textId="77777777" w:rsidTr="08F1913D">
        <w:tc>
          <w:tcPr>
            <w:tcW w:w="9016" w:type="dxa"/>
            <w:tcBorders>
              <w:top w:val="single" w:sz="4" w:space="0" w:color="000000" w:themeColor="text1"/>
              <w:left w:val="single" w:sz="4" w:space="0" w:color="000000" w:themeColor="text1"/>
              <w:bottom w:val="single" w:sz="4" w:space="0" w:color="A5A5A5" w:themeColor="accent3"/>
              <w:right w:val="single" w:sz="4" w:space="0" w:color="000000" w:themeColor="text1"/>
            </w:tcBorders>
            <w:tcMar>
              <w:top w:w="227" w:type="dxa"/>
              <w:left w:w="227" w:type="dxa"/>
              <w:bottom w:w="227" w:type="dxa"/>
              <w:right w:w="227" w:type="dxa"/>
            </w:tcMar>
          </w:tcPr>
          <w:p w14:paraId="6866C57B" w14:textId="77777777" w:rsidR="001C1DB8" w:rsidRDefault="00FB2C3B">
            <w:pPr>
              <w:pStyle w:val="Heading2"/>
            </w:pPr>
            <w:bookmarkStart w:id="24" w:name="_Toc188365122"/>
            <w:r>
              <w:t>School Teachers’ Review Body (STRB) Secretariat</w:t>
            </w:r>
            <w:bookmarkEnd w:id="24"/>
          </w:p>
        </w:tc>
      </w:tr>
      <w:tr w:rsidR="001C1DB8" w14:paraId="6866C587" w14:textId="77777777" w:rsidTr="08F1913D">
        <w:trPr>
          <w:trHeight w:val="4755"/>
        </w:trPr>
        <w:tc>
          <w:tcPr>
            <w:tcW w:w="9016" w:type="dxa"/>
            <w:tcBorders>
              <w:top w:val="single" w:sz="4" w:space="0" w:color="A5A5A5" w:themeColor="accent3"/>
              <w:left w:val="single" w:sz="4" w:space="0" w:color="000000" w:themeColor="text1"/>
              <w:bottom w:val="single" w:sz="4" w:space="0" w:color="000000" w:themeColor="text1"/>
              <w:right w:val="single" w:sz="4" w:space="0" w:color="000000" w:themeColor="text1"/>
            </w:tcBorders>
            <w:tcMar>
              <w:top w:w="227" w:type="dxa"/>
              <w:left w:w="227" w:type="dxa"/>
              <w:bottom w:w="227" w:type="dxa"/>
              <w:right w:w="227" w:type="dxa"/>
            </w:tcMar>
          </w:tcPr>
          <w:p w14:paraId="6866C57D" w14:textId="0E3A78B2" w:rsidR="001C1DB8" w:rsidRDefault="00FB2C3B">
            <w:pPr>
              <w:spacing w:before="0" w:after="0"/>
              <w:textAlignment w:val="baseline"/>
            </w:pPr>
            <w:r>
              <w:t xml:space="preserve">The STRB secretariat supports its Review Body in providing independent advice on the pay and statutory conditions of employment of teachers and school leaders in local authority-maintained schools in England.  </w:t>
            </w:r>
          </w:p>
          <w:p w14:paraId="6866C57E" w14:textId="77777777" w:rsidR="001C1DB8" w:rsidRDefault="00FB2C3B">
            <w:pPr>
              <w:spacing w:before="0" w:after="0"/>
              <w:textAlignment w:val="baseline"/>
            </w:pPr>
            <w:r>
              <w:t xml:space="preserve"> </w:t>
            </w:r>
          </w:p>
          <w:p w14:paraId="086E2C38" w14:textId="6918E6A5" w:rsidR="00E21905" w:rsidRDefault="00FB2C3B" w:rsidP="00EA015D">
            <w:pPr>
              <w:spacing w:before="0" w:after="0"/>
              <w:textAlignment w:val="baseline"/>
            </w:pPr>
            <w:r>
              <w:t xml:space="preserve">The STRB received a remit letter from the Secretary of State for Education on </w:t>
            </w:r>
            <w:r w:rsidR="00941C2A">
              <w:t>30</w:t>
            </w:r>
            <w:r>
              <w:t xml:space="preserve"> </w:t>
            </w:r>
            <w:r w:rsidR="003764AC">
              <w:t>September 2024</w:t>
            </w:r>
            <w:r>
              <w:t xml:space="preserve">. The letter </w:t>
            </w:r>
            <w:r w:rsidR="00294DC1">
              <w:t>set out the following matter for recommendation:</w:t>
            </w:r>
          </w:p>
          <w:p w14:paraId="5F381C5D" w14:textId="016485D0" w:rsidR="00E85F38" w:rsidRDefault="00FB2C3B" w:rsidP="00EA015D">
            <w:pPr>
              <w:spacing w:before="0" w:after="0"/>
              <w:textAlignment w:val="baseline"/>
            </w:pPr>
            <w:r>
              <w:t xml:space="preserve"> </w:t>
            </w:r>
            <w:r w:rsidR="003E265A">
              <w:t xml:space="preserve"> </w:t>
            </w:r>
          </w:p>
          <w:p w14:paraId="7D2DA909" w14:textId="7B553F39" w:rsidR="00E21905" w:rsidRDefault="003E265A" w:rsidP="00A60884">
            <w:pPr>
              <w:pStyle w:val="ListParagraph"/>
              <w:numPr>
                <w:ilvl w:val="0"/>
                <w:numId w:val="18"/>
              </w:numPr>
              <w:spacing w:before="0" w:after="0"/>
              <w:textAlignment w:val="baseline"/>
            </w:pPr>
            <w:r>
              <w:t xml:space="preserve">An assessment of the adjustments </w:t>
            </w:r>
            <w:r w:rsidR="00BF0B2A">
              <w:t>that should</w:t>
            </w:r>
            <w:r>
              <w:t xml:space="preserve"> be made to the salary and allowance ranges for classroom teachers, unqualified teachers, and school leaders in 202</w:t>
            </w:r>
            <w:r w:rsidR="001E5BF6">
              <w:t>5</w:t>
            </w:r>
            <w:r>
              <w:t>/2</w:t>
            </w:r>
            <w:r w:rsidR="001E5BF6">
              <w:t>6</w:t>
            </w:r>
            <w:r w:rsidR="00476011">
              <w:t>.</w:t>
            </w:r>
          </w:p>
          <w:p w14:paraId="140AF294" w14:textId="77777777" w:rsidR="00B63E63" w:rsidRDefault="00E21905" w:rsidP="00A60884">
            <w:pPr>
              <w:pStyle w:val="ListParagraph"/>
              <w:numPr>
                <w:ilvl w:val="0"/>
                <w:numId w:val="18"/>
              </w:numPr>
              <w:spacing w:before="0" w:after="0"/>
              <w:textAlignment w:val="baseline"/>
            </w:pPr>
            <w:r w:rsidRPr="00E21905">
              <w:t>An assessment of any changes to flexibilities around TLR payments, concerning the existing pro-rata rule.</w:t>
            </w:r>
          </w:p>
          <w:p w14:paraId="15836879" w14:textId="77777777" w:rsidR="00476011" w:rsidRDefault="00476011" w:rsidP="00EA015D">
            <w:pPr>
              <w:spacing w:before="0" w:after="0"/>
              <w:textAlignment w:val="baseline"/>
            </w:pPr>
          </w:p>
          <w:p w14:paraId="6866C57F" w14:textId="025275AF" w:rsidR="001C1DB8" w:rsidRDefault="00476011">
            <w:pPr>
              <w:spacing w:before="0" w:after="0"/>
              <w:textAlignment w:val="baseline"/>
            </w:pPr>
            <w:r>
              <w:t xml:space="preserve">The letter also sought </w:t>
            </w:r>
            <w:r w:rsidR="00B97196">
              <w:t>views on how the current pay framework can best support teachers from all backgrounds and with protected characteristics, including by promoting flexible working.</w:t>
            </w:r>
            <w:r w:rsidR="00071BA0">
              <w:t xml:space="preserve"> </w:t>
            </w:r>
          </w:p>
          <w:p w14:paraId="716A82B6" w14:textId="54704E82" w:rsidR="0091050B" w:rsidRDefault="00FB2C3B">
            <w:pPr>
              <w:spacing w:before="0" w:after="0"/>
              <w:textAlignment w:val="baseline"/>
            </w:pPr>
            <w:r>
              <w:t xml:space="preserve"> </w:t>
            </w:r>
          </w:p>
          <w:p w14:paraId="6866C583" w14:textId="7FDCFA13" w:rsidR="001C1DB8" w:rsidRDefault="00FB2C3B">
            <w:pPr>
              <w:spacing w:before="0" w:after="0"/>
              <w:textAlignment w:val="baseline"/>
            </w:pPr>
            <w:r>
              <w:t>The STRB submitted its thirty-</w:t>
            </w:r>
            <w:r w:rsidR="0012404B">
              <w:t>fourth</w:t>
            </w:r>
            <w:r>
              <w:t xml:space="preserve"> </w:t>
            </w:r>
            <w:r w:rsidR="009B49BF">
              <w:t>r</w:t>
            </w:r>
            <w:r>
              <w:t>eport in Ma</w:t>
            </w:r>
            <w:r w:rsidR="00AD01B8">
              <w:t>rch</w:t>
            </w:r>
            <w:r>
              <w:t xml:space="preserve"> 202</w:t>
            </w:r>
            <w:r w:rsidR="0012404B">
              <w:t>5</w:t>
            </w:r>
            <w:r>
              <w:t xml:space="preserve">. It recommended the following: </w:t>
            </w:r>
          </w:p>
          <w:p w14:paraId="6866C584" w14:textId="5815683F" w:rsidR="001C1DB8" w:rsidRDefault="00FB2C3B" w:rsidP="00A60884">
            <w:pPr>
              <w:pStyle w:val="ListParagraph"/>
              <w:numPr>
                <w:ilvl w:val="0"/>
                <w:numId w:val="11"/>
              </w:numPr>
              <w:spacing w:before="0" w:after="0"/>
              <w:textAlignment w:val="baseline"/>
            </w:pPr>
            <w:r>
              <w:t xml:space="preserve">a </w:t>
            </w:r>
            <w:r w:rsidR="007F44B3">
              <w:t>4</w:t>
            </w:r>
            <w:r>
              <w:t xml:space="preserve">% increase to all </w:t>
            </w:r>
            <w:proofErr w:type="gramStart"/>
            <w:r>
              <w:t>pay</w:t>
            </w:r>
            <w:proofErr w:type="gramEnd"/>
            <w:r>
              <w:t xml:space="preserve"> ranges and advisory points</w:t>
            </w:r>
            <w:r w:rsidR="0035076D">
              <w:t>.</w:t>
            </w:r>
          </w:p>
          <w:p w14:paraId="188C5AAD" w14:textId="0DDB106A" w:rsidR="00804F75" w:rsidRDefault="0035076D" w:rsidP="00A60884">
            <w:pPr>
              <w:pStyle w:val="ListParagraph"/>
              <w:numPr>
                <w:ilvl w:val="0"/>
                <w:numId w:val="11"/>
              </w:numPr>
              <w:spacing w:before="0" w:after="0"/>
              <w:textAlignment w:val="baseline"/>
            </w:pPr>
            <w:r w:rsidRPr="0035076D">
              <w:t xml:space="preserve">changes to </w:t>
            </w:r>
            <w:r>
              <w:t xml:space="preserve">the </w:t>
            </w:r>
            <w:r w:rsidRPr="0035076D">
              <w:t>flexibility around TLR payments to reflect the proportion of the responsibility being carried out.</w:t>
            </w:r>
          </w:p>
          <w:p w14:paraId="4EF798C6" w14:textId="77777777" w:rsidR="008B0C17" w:rsidRDefault="008B0C17" w:rsidP="008B0C17">
            <w:pPr>
              <w:spacing w:before="0" w:after="0"/>
              <w:textAlignment w:val="baseline"/>
            </w:pPr>
          </w:p>
          <w:p w14:paraId="6DF6504E" w14:textId="686EB6CB" w:rsidR="008B0C17" w:rsidRDefault="008B0C17" w:rsidP="0053034A">
            <w:pPr>
              <w:spacing w:before="0" w:after="0"/>
              <w:textAlignment w:val="baseline"/>
            </w:pPr>
            <w:r>
              <w:t xml:space="preserve">The report also </w:t>
            </w:r>
            <w:r w:rsidR="0019007E" w:rsidRPr="0019007E">
              <w:t>suggest</w:t>
            </w:r>
            <w:r w:rsidR="0019007E">
              <w:t>ed</w:t>
            </w:r>
            <w:r w:rsidR="0019007E" w:rsidRPr="0019007E">
              <w:t xml:space="preserve"> actions in a range of areas to improve the attractiveness of the teaching profession and </w:t>
            </w:r>
            <w:r w:rsidR="00BE45A7">
              <w:t xml:space="preserve">to </w:t>
            </w:r>
            <w:r w:rsidR="0019007E" w:rsidRPr="0019007E">
              <w:t>ensure taxpayer value for money</w:t>
            </w:r>
          </w:p>
          <w:p w14:paraId="6866C585" w14:textId="77777777" w:rsidR="001C1DB8" w:rsidRDefault="001C1DB8">
            <w:pPr>
              <w:spacing w:before="0" w:after="0"/>
              <w:textAlignment w:val="baseline"/>
            </w:pPr>
          </w:p>
          <w:p w14:paraId="6866C586" w14:textId="272C6884" w:rsidR="001C1DB8" w:rsidRDefault="00FB2C3B">
            <w:pPr>
              <w:spacing w:before="0" w:after="0"/>
              <w:textAlignment w:val="baseline"/>
            </w:pPr>
            <w:r>
              <w:t xml:space="preserve">The </w:t>
            </w:r>
            <w:r w:rsidR="00AA0BC9">
              <w:t>G</w:t>
            </w:r>
            <w:r>
              <w:t xml:space="preserve">overnment responded to the report on </w:t>
            </w:r>
            <w:r w:rsidR="00AA205A">
              <w:t>22</w:t>
            </w:r>
            <w:r>
              <w:t xml:space="preserve"> </w:t>
            </w:r>
            <w:r w:rsidR="00AA205A">
              <w:t>May</w:t>
            </w:r>
            <w:r>
              <w:t xml:space="preserve"> 202</w:t>
            </w:r>
            <w:r w:rsidR="00AA205A">
              <w:t>5</w:t>
            </w:r>
            <w:r>
              <w:t xml:space="preserve"> and accepted the recommendations in full</w:t>
            </w:r>
            <w:r>
              <w:rPr>
                <w:rStyle w:val="FootnoteReference"/>
              </w:rPr>
              <w:footnoteReference w:id="18"/>
            </w:r>
            <w:r>
              <w:t xml:space="preserve">.  </w:t>
            </w:r>
          </w:p>
        </w:tc>
      </w:tr>
    </w:tbl>
    <w:p w14:paraId="6866C588" w14:textId="77777777" w:rsidR="001C1DB8" w:rsidRDefault="001C1DB8"/>
    <w:p w14:paraId="6866C589" w14:textId="77777777" w:rsidR="001C1DB8" w:rsidRDefault="001C1DB8">
      <w:bookmarkStart w:id="25" w:name="_TOC_250001"/>
    </w:p>
    <w:p w14:paraId="6866C58A" w14:textId="77777777" w:rsidR="001C1DB8" w:rsidRDefault="001C1DB8"/>
    <w:p w14:paraId="6634CE3F" w14:textId="77777777" w:rsidR="00B34F82" w:rsidRDefault="00B34F82"/>
    <w:p w14:paraId="08351840" w14:textId="77777777" w:rsidR="00B34F82" w:rsidRDefault="00B34F82"/>
    <w:p w14:paraId="475921ED" w14:textId="77777777" w:rsidR="00B34F82" w:rsidRDefault="00B34F82"/>
    <w:p w14:paraId="5DDBFCB9" w14:textId="77777777" w:rsidR="00B34F82" w:rsidRDefault="00B34F82"/>
    <w:p w14:paraId="2A1EDBD9" w14:textId="2B547EB4" w:rsidR="004D65C8" w:rsidRDefault="004D65C8" w:rsidP="00107BCA">
      <w:pPr>
        <w:rPr>
          <w:b/>
          <w:bCs/>
        </w:rPr>
      </w:pPr>
      <w:r w:rsidRPr="00107BCA">
        <w:rPr>
          <w:spacing w:val="1"/>
        </w:rPr>
        <w:lastRenderedPageBreak/>
        <w:t>T</w:t>
      </w:r>
      <w:r w:rsidRPr="00DB03B4">
        <w:rPr>
          <w:bCs/>
          <w:spacing w:val="-2"/>
        </w:rPr>
        <w:t>h</w:t>
      </w:r>
      <w:r w:rsidRPr="00DB03B4">
        <w:rPr>
          <w:bCs/>
        </w:rPr>
        <w:t>e</w:t>
      </w:r>
      <w:r w:rsidRPr="00DB03B4">
        <w:rPr>
          <w:bCs/>
          <w:spacing w:val="-2"/>
        </w:rPr>
        <w:t xml:space="preserve"> remainder</w:t>
      </w:r>
      <w:r w:rsidRPr="00DB03B4">
        <w:rPr>
          <w:bCs/>
          <w:spacing w:val="-3"/>
        </w:rPr>
        <w:t xml:space="preserve"> </w:t>
      </w:r>
      <w:r w:rsidRPr="00DB03B4">
        <w:rPr>
          <w:bCs/>
          <w:spacing w:val="-1"/>
        </w:rPr>
        <w:t>o</w:t>
      </w:r>
      <w:r w:rsidRPr="00DB03B4">
        <w:rPr>
          <w:bCs/>
        </w:rPr>
        <w:t>f t</w:t>
      </w:r>
      <w:r w:rsidRPr="00DB03B4">
        <w:rPr>
          <w:bCs/>
          <w:spacing w:val="3"/>
        </w:rPr>
        <w:t>h</w:t>
      </w:r>
      <w:r w:rsidRPr="00DB03B4">
        <w:rPr>
          <w:bCs/>
          <w:spacing w:val="-1"/>
        </w:rPr>
        <w:t>i</w:t>
      </w:r>
      <w:r w:rsidRPr="00DB03B4">
        <w:rPr>
          <w:bCs/>
        </w:rPr>
        <w:t>s c</w:t>
      </w:r>
      <w:r w:rsidRPr="00DB03B4">
        <w:rPr>
          <w:bCs/>
          <w:spacing w:val="-2"/>
        </w:rPr>
        <w:t>h</w:t>
      </w:r>
      <w:r w:rsidRPr="00DB03B4">
        <w:rPr>
          <w:bCs/>
        </w:rPr>
        <w:t>apt</w:t>
      </w:r>
      <w:r w:rsidRPr="00DB03B4">
        <w:rPr>
          <w:bCs/>
          <w:spacing w:val="1"/>
        </w:rPr>
        <w:t>e</w:t>
      </w:r>
      <w:r w:rsidRPr="00DB03B4">
        <w:rPr>
          <w:bCs/>
        </w:rPr>
        <w:t xml:space="preserve">r </w:t>
      </w:r>
      <w:r w:rsidRPr="00DB03B4">
        <w:rPr>
          <w:bCs/>
          <w:spacing w:val="-3"/>
        </w:rPr>
        <w:t>c</w:t>
      </w:r>
      <w:r w:rsidRPr="00DB03B4">
        <w:rPr>
          <w:bCs/>
        </w:rPr>
        <w:t>o</w:t>
      </w:r>
      <w:r w:rsidRPr="00DB03B4">
        <w:rPr>
          <w:bCs/>
          <w:spacing w:val="-3"/>
        </w:rPr>
        <w:t>v</w:t>
      </w:r>
      <w:r w:rsidRPr="00DB03B4">
        <w:rPr>
          <w:bCs/>
        </w:rPr>
        <w:t>ers t</w:t>
      </w:r>
      <w:r w:rsidRPr="00DB03B4">
        <w:rPr>
          <w:bCs/>
          <w:spacing w:val="1"/>
        </w:rPr>
        <w:t>h</w:t>
      </w:r>
      <w:r w:rsidRPr="00DB03B4">
        <w:rPr>
          <w:bCs/>
        </w:rPr>
        <w:t xml:space="preserve">e </w:t>
      </w:r>
      <w:r w:rsidRPr="00DB03B4">
        <w:rPr>
          <w:bCs/>
          <w:spacing w:val="-2"/>
        </w:rPr>
        <w:t>r</w:t>
      </w:r>
      <w:r w:rsidRPr="00DB03B4">
        <w:rPr>
          <w:bCs/>
        </w:rPr>
        <w:t>e</w:t>
      </w:r>
      <w:r w:rsidRPr="00DB03B4">
        <w:rPr>
          <w:bCs/>
          <w:spacing w:val="-2"/>
        </w:rPr>
        <w:t>s</w:t>
      </w:r>
      <w:r w:rsidRPr="00DB03B4">
        <w:rPr>
          <w:bCs/>
        </w:rPr>
        <w:t>earch</w:t>
      </w:r>
      <w:r w:rsidRPr="00DB03B4">
        <w:rPr>
          <w:bCs/>
          <w:spacing w:val="-1"/>
        </w:rPr>
        <w:t xml:space="preserve"> </w:t>
      </w:r>
      <w:r w:rsidRPr="00DB03B4">
        <w:rPr>
          <w:bCs/>
        </w:rPr>
        <w:t>and</w:t>
      </w:r>
      <w:r w:rsidRPr="00DB03B4">
        <w:rPr>
          <w:bCs/>
          <w:spacing w:val="-1"/>
        </w:rPr>
        <w:t xml:space="preserve"> </w:t>
      </w:r>
      <w:r w:rsidRPr="00DB03B4">
        <w:rPr>
          <w:bCs/>
          <w:spacing w:val="-2"/>
        </w:rPr>
        <w:t>a</w:t>
      </w:r>
      <w:r w:rsidRPr="00DB03B4">
        <w:rPr>
          <w:bCs/>
        </w:rPr>
        <w:t>nal</w:t>
      </w:r>
      <w:r w:rsidRPr="00DB03B4">
        <w:rPr>
          <w:bCs/>
          <w:spacing w:val="-3"/>
        </w:rPr>
        <w:t>y</w:t>
      </w:r>
      <w:r w:rsidRPr="00DB03B4">
        <w:rPr>
          <w:bCs/>
        </w:rPr>
        <w:t>sis</w:t>
      </w:r>
      <w:r>
        <w:rPr>
          <w:bCs/>
        </w:rPr>
        <w:t xml:space="preserve"> undertaken by </w:t>
      </w:r>
      <w:r w:rsidR="003659F2">
        <w:rPr>
          <w:bCs/>
        </w:rPr>
        <w:t xml:space="preserve">the </w:t>
      </w:r>
      <w:r>
        <w:rPr>
          <w:bCs/>
        </w:rPr>
        <w:t>OPRB,</w:t>
      </w:r>
      <w:r w:rsidRPr="00DB03B4">
        <w:rPr>
          <w:bCs/>
        </w:rPr>
        <w:t xml:space="preserve"> as </w:t>
      </w:r>
      <w:r w:rsidRPr="00DB03B4">
        <w:rPr>
          <w:bCs/>
          <w:spacing w:val="-3"/>
        </w:rPr>
        <w:t>w</w:t>
      </w:r>
      <w:r w:rsidRPr="00DB03B4">
        <w:rPr>
          <w:bCs/>
        </w:rPr>
        <w:t>ell</w:t>
      </w:r>
      <w:r w:rsidRPr="00DB03B4">
        <w:rPr>
          <w:bCs/>
          <w:spacing w:val="-1"/>
        </w:rPr>
        <w:t xml:space="preserve"> </w:t>
      </w:r>
      <w:r w:rsidRPr="00DB03B4">
        <w:rPr>
          <w:bCs/>
          <w:spacing w:val="1"/>
        </w:rPr>
        <w:t>a</w:t>
      </w:r>
      <w:r w:rsidRPr="00DB03B4">
        <w:rPr>
          <w:bCs/>
        </w:rPr>
        <w:t>s</w:t>
      </w:r>
      <w:r w:rsidRPr="00DB03B4">
        <w:rPr>
          <w:bCs/>
          <w:spacing w:val="1"/>
        </w:rPr>
        <w:t xml:space="preserve"> </w:t>
      </w:r>
      <w:r w:rsidRPr="00DB03B4">
        <w:rPr>
          <w:bCs/>
        </w:rPr>
        <w:t>t</w:t>
      </w:r>
      <w:r w:rsidRPr="00DB03B4">
        <w:rPr>
          <w:bCs/>
          <w:spacing w:val="1"/>
        </w:rPr>
        <w:t>h</w:t>
      </w:r>
      <w:r w:rsidRPr="00DB03B4">
        <w:rPr>
          <w:bCs/>
        </w:rPr>
        <w:t>e</w:t>
      </w:r>
      <w:r w:rsidRPr="00DB03B4">
        <w:rPr>
          <w:bCs/>
          <w:spacing w:val="-2"/>
        </w:rPr>
        <w:t xml:space="preserve"> Review Body </w:t>
      </w:r>
      <w:r w:rsidRPr="00DB03B4">
        <w:rPr>
          <w:bCs/>
          <w:spacing w:val="-1"/>
        </w:rPr>
        <w:t>a</w:t>
      </w:r>
      <w:r w:rsidRPr="00DB03B4">
        <w:rPr>
          <w:bCs/>
        </w:rPr>
        <w:t>ppoi</w:t>
      </w:r>
      <w:r w:rsidRPr="00DB03B4">
        <w:rPr>
          <w:bCs/>
          <w:spacing w:val="-2"/>
        </w:rPr>
        <w:t>n</w:t>
      </w:r>
      <w:r w:rsidRPr="00DB03B4">
        <w:rPr>
          <w:bCs/>
        </w:rPr>
        <w:t>tme</w:t>
      </w:r>
      <w:r w:rsidRPr="00DB03B4">
        <w:rPr>
          <w:bCs/>
          <w:spacing w:val="1"/>
        </w:rPr>
        <w:t>n</w:t>
      </w:r>
      <w:r w:rsidRPr="00DB03B4">
        <w:rPr>
          <w:bCs/>
        </w:rPr>
        <w:t>ts</w:t>
      </w:r>
      <w:r w:rsidRPr="00DB03B4">
        <w:rPr>
          <w:bCs/>
          <w:spacing w:val="-2"/>
        </w:rPr>
        <w:t xml:space="preserve"> </w:t>
      </w:r>
      <w:r w:rsidRPr="00DB03B4">
        <w:rPr>
          <w:bCs/>
        </w:rPr>
        <w:t>proces</w:t>
      </w:r>
      <w:r w:rsidRPr="00DB03B4">
        <w:rPr>
          <w:bCs/>
          <w:spacing w:val="-1"/>
        </w:rPr>
        <w:t>s</w:t>
      </w:r>
      <w:r w:rsidRPr="00DB03B4">
        <w:rPr>
          <w:bCs/>
          <w:spacing w:val="-2"/>
        </w:rPr>
        <w:t>e</w:t>
      </w:r>
      <w:r w:rsidRPr="00DB03B4">
        <w:rPr>
          <w:bCs/>
        </w:rPr>
        <w:t>s.</w:t>
      </w:r>
    </w:p>
    <w:p w14:paraId="59795A98" w14:textId="77777777" w:rsidR="004D65C8" w:rsidRPr="004D65C8" w:rsidRDefault="004D65C8" w:rsidP="00107BCA"/>
    <w:p w14:paraId="6866C58C" w14:textId="77777777" w:rsidR="001C1DB8" w:rsidRDefault="00FB2C3B">
      <w:pPr>
        <w:pStyle w:val="Heading2"/>
      </w:pPr>
      <w:bookmarkStart w:id="26" w:name="_Toc188365123"/>
      <w:r>
        <w:t>Research and Analysis</w:t>
      </w:r>
      <w:bookmarkEnd w:id="25"/>
      <w:bookmarkEnd w:id="26"/>
    </w:p>
    <w:p w14:paraId="6866C58D" w14:textId="30D633E4" w:rsidR="001C1DB8" w:rsidRDefault="00FB2C3B" w:rsidP="00A60884">
      <w:pPr>
        <w:pStyle w:val="ListParagraph"/>
        <w:numPr>
          <w:ilvl w:val="0"/>
          <w:numId w:val="5"/>
        </w:numPr>
        <w:rPr>
          <w:rFonts w:eastAsia="Times New Roman"/>
          <w:lang w:eastAsia="en-GB"/>
        </w:rPr>
      </w:pPr>
      <w:r w:rsidRPr="24FD3F11">
        <w:rPr>
          <w:rFonts w:eastAsia="Times New Roman"/>
          <w:lang w:eastAsia="en-GB"/>
        </w:rPr>
        <w:t xml:space="preserve">The </w:t>
      </w:r>
      <w:r w:rsidR="00A97BEC">
        <w:rPr>
          <w:rFonts w:eastAsia="Times New Roman"/>
          <w:lang w:eastAsia="en-GB"/>
        </w:rPr>
        <w:t>OPRB</w:t>
      </w:r>
      <w:r w:rsidRPr="24FD3F11">
        <w:rPr>
          <w:rFonts w:eastAsia="Times New Roman"/>
          <w:lang w:eastAsia="en-GB"/>
        </w:rPr>
        <w:t xml:space="preserve">’s staffing includes analysts specialising in economics, statistics, </w:t>
      </w:r>
      <w:r w:rsidR="004F4089">
        <w:rPr>
          <w:rFonts w:eastAsia="Times New Roman"/>
          <w:lang w:eastAsia="en-GB"/>
        </w:rPr>
        <w:t xml:space="preserve">social research </w:t>
      </w:r>
      <w:r w:rsidRPr="24FD3F11">
        <w:rPr>
          <w:rFonts w:eastAsia="Times New Roman"/>
          <w:lang w:eastAsia="en-GB"/>
        </w:rPr>
        <w:t>and remuneration</w:t>
      </w:r>
      <w:r w:rsidR="005F09A8">
        <w:rPr>
          <w:rFonts w:eastAsia="Times New Roman"/>
          <w:lang w:eastAsia="en-GB"/>
        </w:rPr>
        <w:t>,</w:t>
      </w:r>
      <w:r w:rsidR="00B5118C">
        <w:rPr>
          <w:rFonts w:eastAsia="Times New Roman"/>
          <w:lang w:eastAsia="en-GB"/>
        </w:rPr>
        <w:t xml:space="preserve"> </w:t>
      </w:r>
      <w:r w:rsidRPr="34285246">
        <w:rPr>
          <w:rFonts w:eastAsia="Times New Roman"/>
          <w:lang w:eastAsia="en-GB"/>
        </w:rPr>
        <w:t>provid</w:t>
      </w:r>
      <w:r w:rsidR="005F09A8">
        <w:rPr>
          <w:rFonts w:eastAsia="Times New Roman"/>
          <w:lang w:eastAsia="en-GB"/>
        </w:rPr>
        <w:t>ing</w:t>
      </w:r>
      <w:r w:rsidR="00632154">
        <w:rPr>
          <w:rFonts w:eastAsia="Times New Roman"/>
          <w:lang w:eastAsia="en-GB"/>
        </w:rPr>
        <w:t xml:space="preserve"> bespoke</w:t>
      </w:r>
      <w:r>
        <w:rPr>
          <w:rFonts w:eastAsia="Times New Roman"/>
          <w:lang w:eastAsia="en-GB"/>
        </w:rPr>
        <w:t xml:space="preserve"> </w:t>
      </w:r>
      <w:r w:rsidR="1BFD4918" w:rsidRPr="24FD3F11">
        <w:rPr>
          <w:rFonts w:eastAsia="Times New Roman"/>
          <w:lang w:eastAsia="en-GB"/>
        </w:rPr>
        <w:t xml:space="preserve">support </w:t>
      </w:r>
      <w:r w:rsidRPr="24FD3F11">
        <w:rPr>
          <w:rFonts w:eastAsia="Times New Roman"/>
          <w:lang w:eastAsia="en-GB"/>
        </w:rPr>
        <w:t>to the Review Bodies</w:t>
      </w:r>
      <w:r w:rsidR="3247181B" w:rsidRPr="24FD3F11">
        <w:rPr>
          <w:rFonts w:eastAsia="Times New Roman"/>
          <w:lang w:eastAsia="en-GB"/>
        </w:rPr>
        <w:t>.</w:t>
      </w:r>
      <w:r w:rsidRPr="24FD3F11">
        <w:rPr>
          <w:rFonts w:eastAsia="Times New Roman"/>
          <w:lang w:eastAsia="en-GB"/>
        </w:rPr>
        <w:t xml:space="preserve"> During </w:t>
      </w:r>
      <w:r w:rsidR="00FA5650" w:rsidRPr="24FD3F11">
        <w:rPr>
          <w:rFonts w:eastAsia="Times New Roman"/>
          <w:lang w:eastAsia="en-GB"/>
        </w:rPr>
        <w:t>202</w:t>
      </w:r>
      <w:r w:rsidR="00D61A54">
        <w:rPr>
          <w:rFonts w:eastAsia="Times New Roman"/>
          <w:lang w:eastAsia="en-GB"/>
        </w:rPr>
        <w:t>4</w:t>
      </w:r>
      <w:r w:rsidRPr="24FD3F11">
        <w:rPr>
          <w:rFonts w:eastAsia="Times New Roman"/>
          <w:lang w:eastAsia="en-GB"/>
        </w:rPr>
        <w:t>/</w:t>
      </w:r>
      <w:r w:rsidR="00FA5650" w:rsidRPr="24FD3F11">
        <w:rPr>
          <w:rFonts w:eastAsia="Times New Roman"/>
          <w:lang w:eastAsia="en-GB"/>
        </w:rPr>
        <w:t>2</w:t>
      </w:r>
      <w:r w:rsidR="00D61A54">
        <w:rPr>
          <w:rFonts w:eastAsia="Times New Roman"/>
          <w:lang w:eastAsia="en-GB"/>
        </w:rPr>
        <w:t>5</w:t>
      </w:r>
      <w:r w:rsidRPr="24FD3F11">
        <w:rPr>
          <w:rFonts w:eastAsia="Times New Roman"/>
          <w:lang w:eastAsia="en-GB"/>
        </w:rPr>
        <w:t>, analysts within</w:t>
      </w:r>
      <w:r w:rsidRPr="24FD3F11" w:rsidDel="00A97BEC">
        <w:rPr>
          <w:rFonts w:eastAsia="Times New Roman"/>
          <w:lang w:eastAsia="en-GB"/>
        </w:rPr>
        <w:t xml:space="preserve"> </w:t>
      </w:r>
      <w:r w:rsidR="00A97BEC">
        <w:rPr>
          <w:rFonts w:eastAsia="Times New Roman"/>
          <w:lang w:eastAsia="en-GB"/>
        </w:rPr>
        <w:t>OPRB</w:t>
      </w:r>
      <w:r w:rsidR="00A97BEC" w:rsidRPr="24FD3F11">
        <w:rPr>
          <w:rFonts w:eastAsia="Times New Roman"/>
          <w:lang w:eastAsia="en-GB"/>
        </w:rPr>
        <w:t xml:space="preserve"> </w:t>
      </w:r>
      <w:r w:rsidRPr="24FD3F11">
        <w:rPr>
          <w:rFonts w:eastAsia="Times New Roman"/>
          <w:lang w:eastAsia="en-GB"/>
        </w:rPr>
        <w:t>progressed</w:t>
      </w:r>
      <w:r w:rsidR="00FD04E9">
        <w:rPr>
          <w:rFonts w:eastAsia="Times New Roman"/>
          <w:lang w:eastAsia="en-GB"/>
        </w:rPr>
        <w:t xml:space="preserve"> </w:t>
      </w:r>
      <w:proofErr w:type="gramStart"/>
      <w:r w:rsidR="00FD04E9">
        <w:rPr>
          <w:rFonts w:eastAsia="Times New Roman"/>
          <w:lang w:eastAsia="en-GB"/>
        </w:rPr>
        <w:t>a number of</w:t>
      </w:r>
      <w:proofErr w:type="gramEnd"/>
      <w:r w:rsidRPr="24FD3F11">
        <w:rPr>
          <w:rFonts w:eastAsia="Times New Roman"/>
          <w:lang w:eastAsia="en-GB"/>
        </w:rPr>
        <w:t xml:space="preserve"> analytical priorities, such as procuring research, carrying out </w:t>
      </w:r>
      <w:r w:rsidR="00FD04E9">
        <w:rPr>
          <w:rFonts w:eastAsia="Times New Roman"/>
          <w:lang w:eastAsia="en-GB"/>
        </w:rPr>
        <w:t xml:space="preserve">detailed </w:t>
      </w:r>
      <w:r w:rsidRPr="24FD3F11">
        <w:rPr>
          <w:rFonts w:eastAsia="Times New Roman"/>
          <w:lang w:eastAsia="en-GB"/>
        </w:rPr>
        <w:t>analysis requ</w:t>
      </w:r>
      <w:r w:rsidR="00FD04E9">
        <w:rPr>
          <w:rFonts w:eastAsia="Times New Roman"/>
          <w:lang w:eastAsia="en-GB"/>
        </w:rPr>
        <w:t>ested</w:t>
      </w:r>
      <w:r w:rsidRPr="24FD3F11">
        <w:rPr>
          <w:rFonts w:eastAsia="Times New Roman"/>
          <w:lang w:eastAsia="en-GB"/>
        </w:rPr>
        <w:t xml:space="preserve"> by the Review Bodies, organising and undertaking quality assurance of analytical inputs to the Review Bodies</w:t>
      </w:r>
      <w:r w:rsidR="005B5DC1">
        <w:rPr>
          <w:rFonts w:eastAsia="Times New Roman"/>
          <w:lang w:eastAsia="en-GB"/>
        </w:rPr>
        <w:t>,</w:t>
      </w:r>
      <w:r w:rsidRPr="24FD3F11">
        <w:rPr>
          <w:rFonts w:eastAsia="Times New Roman"/>
          <w:lang w:eastAsia="en-GB"/>
        </w:rPr>
        <w:t xml:space="preserve"> </w:t>
      </w:r>
      <w:r w:rsidRPr="24FD3F11" w:rsidDel="00FA5650">
        <w:rPr>
          <w:rFonts w:eastAsia="Times New Roman"/>
          <w:lang w:eastAsia="en-GB"/>
        </w:rPr>
        <w:t xml:space="preserve">and </w:t>
      </w:r>
      <w:r w:rsidR="00FA5650" w:rsidRPr="24FD3F11">
        <w:rPr>
          <w:rFonts w:eastAsia="Times New Roman"/>
          <w:lang w:eastAsia="en-GB"/>
        </w:rPr>
        <w:t>working with evidence providers to develop and improve the evidence base</w:t>
      </w:r>
      <w:r w:rsidRPr="24FD3F11">
        <w:rPr>
          <w:rFonts w:eastAsia="Times New Roman"/>
          <w:lang w:eastAsia="en-GB"/>
        </w:rPr>
        <w:t>.</w:t>
      </w:r>
    </w:p>
    <w:p w14:paraId="6866C590" w14:textId="77777777" w:rsidR="001C1DB8" w:rsidRDefault="001C1DB8">
      <w:pPr>
        <w:rPr>
          <w:szCs w:val="24"/>
        </w:rPr>
      </w:pPr>
    </w:p>
    <w:p w14:paraId="6866C591" w14:textId="581FFFA6" w:rsidR="001C1DB8" w:rsidRDefault="00FB2C3B" w:rsidP="00A60884">
      <w:pPr>
        <w:pStyle w:val="ListParagraph"/>
        <w:numPr>
          <w:ilvl w:val="0"/>
          <w:numId w:val="5"/>
        </w:numPr>
        <w:rPr>
          <w:szCs w:val="24"/>
        </w:rPr>
      </w:pPr>
      <w:r w:rsidRPr="68778AA1">
        <w:t xml:space="preserve">In the year to August </w:t>
      </w:r>
      <w:r w:rsidR="00C23B1D">
        <w:t>202</w:t>
      </w:r>
      <w:r w:rsidR="002A6A60">
        <w:t>4</w:t>
      </w:r>
      <w:r w:rsidRPr="68778AA1">
        <w:t xml:space="preserve">, </w:t>
      </w:r>
      <w:r w:rsidR="00C236D9">
        <w:t>the OP</w:t>
      </w:r>
      <w:r w:rsidR="009F3E08">
        <w:t xml:space="preserve">RB analyst group </w:t>
      </w:r>
      <w:r w:rsidR="005F70A3">
        <w:t xml:space="preserve">critically </w:t>
      </w:r>
      <w:r w:rsidR="009F3E08">
        <w:t xml:space="preserve">reviewed each of the most recent PRB reports, identifying areas </w:t>
      </w:r>
      <w:r w:rsidR="003F6F04">
        <w:t xml:space="preserve">for potential improvement for individual reports alongside drawing out cross-cutting themes </w:t>
      </w:r>
      <w:r w:rsidR="008206E5">
        <w:t>to inform future analytical workplans</w:t>
      </w:r>
      <w:r w:rsidR="004E2960">
        <w:t xml:space="preserve">. </w:t>
      </w:r>
      <w:r w:rsidR="00AE16B3">
        <w:rPr>
          <w:szCs w:val="24"/>
        </w:rPr>
        <w:t xml:space="preserve">Two pieces of </w:t>
      </w:r>
      <w:r w:rsidR="00AE16B3">
        <w:t>r</w:t>
      </w:r>
      <w:r w:rsidR="00FD2981">
        <w:t xml:space="preserve">esearch on </w:t>
      </w:r>
      <w:r w:rsidR="008206E5">
        <w:t>pay comparators</w:t>
      </w:r>
      <w:r w:rsidR="00AE16B3">
        <w:t>,</w:t>
      </w:r>
      <w:r w:rsidR="008206E5">
        <w:t xml:space="preserve"> </w:t>
      </w:r>
      <w:r w:rsidR="00756653">
        <w:t>for people working in the Prison Service</w:t>
      </w:r>
      <w:r w:rsidR="00AE16B3">
        <w:t>,</w:t>
      </w:r>
      <w:r w:rsidR="004D3430">
        <w:t xml:space="preserve"> and for Doctors and Dentists</w:t>
      </w:r>
      <w:r w:rsidR="00AE16B3">
        <w:t>,</w:t>
      </w:r>
      <w:r w:rsidR="00756653">
        <w:t xml:space="preserve"> </w:t>
      </w:r>
      <w:r w:rsidR="00AE16B3">
        <w:t>are</w:t>
      </w:r>
      <w:r w:rsidR="00756653">
        <w:t xml:space="preserve"> being commissioned and</w:t>
      </w:r>
      <w:r w:rsidR="002403D2">
        <w:t xml:space="preserve"> will be </w:t>
      </w:r>
      <w:r w:rsidR="00D3785A">
        <w:t xml:space="preserve">taken forward during </w:t>
      </w:r>
      <w:r w:rsidR="003F3F26">
        <w:t>202</w:t>
      </w:r>
      <w:r w:rsidR="00756653">
        <w:t>5</w:t>
      </w:r>
      <w:r w:rsidR="00FE6D2A">
        <w:t>.</w:t>
      </w:r>
    </w:p>
    <w:p w14:paraId="6866C592" w14:textId="77777777" w:rsidR="001C1DB8" w:rsidRDefault="001C1DB8">
      <w:pPr>
        <w:rPr>
          <w:szCs w:val="24"/>
        </w:rPr>
      </w:pPr>
    </w:p>
    <w:p w14:paraId="6866C593" w14:textId="095C4AC4" w:rsidR="001C1DB8" w:rsidRDefault="00FB2C3B" w:rsidP="00A60884">
      <w:pPr>
        <w:pStyle w:val="ListParagraph"/>
        <w:numPr>
          <w:ilvl w:val="0"/>
          <w:numId w:val="5"/>
        </w:numPr>
      </w:pPr>
      <w:r>
        <w:t>The</w:t>
      </w:r>
      <w:r w:rsidDel="00A97BEC">
        <w:t xml:space="preserve"> </w:t>
      </w:r>
      <w:r w:rsidR="00A97BEC">
        <w:t xml:space="preserve">OPRB </w:t>
      </w:r>
      <w:r>
        <w:t>continued to operate a flexible junior analyst resource initiative in 202</w:t>
      </w:r>
      <w:r w:rsidR="00BC0728">
        <w:t>4</w:t>
      </w:r>
      <w:r>
        <w:t>/2</w:t>
      </w:r>
      <w:r w:rsidR="00BC0728">
        <w:t>5</w:t>
      </w:r>
      <w:r>
        <w:t>:</w:t>
      </w:r>
      <w:r w:rsidDel="008F7589">
        <w:t xml:space="preserve"> </w:t>
      </w:r>
      <w:r w:rsidR="002F4863">
        <w:t xml:space="preserve">two </w:t>
      </w:r>
      <w:r w:rsidR="00A24E27">
        <w:t>junior</w:t>
      </w:r>
      <w:r>
        <w:t xml:space="preserve"> </w:t>
      </w:r>
      <w:proofErr w:type="gramStart"/>
      <w:r w:rsidR="00DC3447">
        <w:t>analyst</w:t>
      </w:r>
      <w:proofErr w:type="gramEnd"/>
      <w:r w:rsidR="00DC3447">
        <w:t xml:space="preserve"> </w:t>
      </w:r>
      <w:r>
        <w:t>helped progress strategic cross-cutting research and analysis</w:t>
      </w:r>
      <w:r w:rsidR="00D3785A">
        <w:t>, and they</w:t>
      </w:r>
      <w:r>
        <w:t xml:space="preserve"> were also made available to support </w:t>
      </w:r>
      <w:r w:rsidR="00A24E27">
        <w:t>economics</w:t>
      </w:r>
      <w:r>
        <w:t xml:space="preserve"> work within secretariat teams. </w:t>
      </w:r>
    </w:p>
    <w:p w14:paraId="6866C595" w14:textId="77777777" w:rsidR="001C1DB8" w:rsidRDefault="001C1DB8"/>
    <w:p w14:paraId="6866C596" w14:textId="77777777" w:rsidR="001C1DB8" w:rsidRDefault="00FB2C3B">
      <w:pPr>
        <w:pStyle w:val="Heading2"/>
      </w:pPr>
      <w:bookmarkStart w:id="27" w:name="_TOC_250000"/>
      <w:bookmarkStart w:id="28" w:name="_Toc188365124"/>
      <w:r>
        <w:rPr>
          <w:spacing w:val="-1"/>
        </w:rPr>
        <w:t>R</w:t>
      </w:r>
      <w:r>
        <w:t>e</w:t>
      </w:r>
      <w:r>
        <w:rPr>
          <w:spacing w:val="-4"/>
        </w:rPr>
        <w:t>v</w:t>
      </w:r>
      <w:r>
        <w:t>i</w:t>
      </w:r>
      <w:r>
        <w:rPr>
          <w:spacing w:val="1"/>
        </w:rPr>
        <w:t>e</w:t>
      </w:r>
      <w:r>
        <w:t>w</w:t>
      </w:r>
      <w:r>
        <w:rPr>
          <w:spacing w:val="3"/>
        </w:rPr>
        <w:t xml:space="preserve"> </w:t>
      </w:r>
      <w:r>
        <w:rPr>
          <w:spacing w:val="-1"/>
        </w:rPr>
        <w:t>B</w:t>
      </w:r>
      <w:r>
        <w:t>o</w:t>
      </w:r>
      <w:r>
        <w:rPr>
          <w:spacing w:val="1"/>
        </w:rPr>
        <w:t>d</w:t>
      </w:r>
      <w:r>
        <w:t>y</w:t>
      </w:r>
      <w:r>
        <w:rPr>
          <w:spacing w:val="-6"/>
        </w:rPr>
        <w:t xml:space="preserve"> </w:t>
      </w:r>
      <w:r>
        <w:t>appointmen</w:t>
      </w:r>
      <w:r>
        <w:rPr>
          <w:spacing w:val="-1"/>
        </w:rPr>
        <w:t>t</w:t>
      </w:r>
      <w:r>
        <w:t>s</w:t>
      </w:r>
      <w:bookmarkEnd w:id="27"/>
      <w:bookmarkEnd w:id="28"/>
    </w:p>
    <w:p w14:paraId="6866C597" w14:textId="67A71811" w:rsidR="001C1DB8" w:rsidRDefault="00FB2C3B" w:rsidP="00A60884">
      <w:pPr>
        <w:pStyle w:val="ListParagraph"/>
        <w:numPr>
          <w:ilvl w:val="0"/>
          <w:numId w:val="5"/>
        </w:numPr>
      </w:pPr>
      <w:r>
        <w:rPr>
          <w:spacing w:val="1"/>
        </w:rPr>
        <w:t>T</w:t>
      </w:r>
      <w:r>
        <w:rPr>
          <w:spacing w:val="-2"/>
        </w:rPr>
        <w:t>h</w:t>
      </w:r>
      <w:r>
        <w:t>e</w:t>
      </w:r>
      <w:r w:rsidDel="00A97BEC">
        <w:t xml:space="preserve"> </w:t>
      </w:r>
      <w:r w:rsidR="00A97BEC">
        <w:t>OPRB</w:t>
      </w:r>
      <w:r w:rsidR="00A97BEC">
        <w:rPr>
          <w:spacing w:val="-1"/>
        </w:rPr>
        <w:t xml:space="preserve"> </w:t>
      </w:r>
      <w:r>
        <w:t>does</w:t>
      </w:r>
      <w:r>
        <w:rPr>
          <w:spacing w:val="-3"/>
        </w:rPr>
        <w:t xml:space="preserve"> </w:t>
      </w:r>
      <w:r>
        <w:rPr>
          <w:spacing w:val="1"/>
        </w:rPr>
        <w:t>n</w:t>
      </w:r>
      <w:r>
        <w:rPr>
          <w:spacing w:val="-2"/>
        </w:rPr>
        <w:t>o</w:t>
      </w:r>
      <w:r>
        <w:t>t</w:t>
      </w:r>
      <w:r>
        <w:rPr>
          <w:spacing w:val="2"/>
        </w:rPr>
        <w:t xml:space="preserve"> </w:t>
      </w:r>
      <w:r>
        <w:rPr>
          <w:spacing w:val="-2"/>
        </w:rPr>
        <w:t>ap</w:t>
      </w:r>
      <w:r>
        <w:t>point</w:t>
      </w:r>
      <w:r>
        <w:rPr>
          <w:spacing w:val="-2"/>
        </w:rPr>
        <w:t xml:space="preserve"> </w:t>
      </w:r>
      <w:r>
        <w:rPr>
          <w:spacing w:val="1"/>
        </w:rPr>
        <w:t>Pay Review</w:t>
      </w:r>
      <w:r>
        <w:rPr>
          <w:spacing w:val="-3"/>
        </w:rPr>
        <w:t xml:space="preserve"> </w:t>
      </w:r>
      <w:r>
        <w:rPr>
          <w:spacing w:val="1"/>
        </w:rPr>
        <w:t>B</w:t>
      </w:r>
      <w:r>
        <w:t>o</w:t>
      </w:r>
      <w:r>
        <w:rPr>
          <w:spacing w:val="-2"/>
        </w:rPr>
        <w:t>d</w:t>
      </w:r>
      <w:r>
        <w:t>y</w:t>
      </w:r>
      <w:r>
        <w:rPr>
          <w:spacing w:val="-3"/>
        </w:rPr>
        <w:t xml:space="preserve"> </w:t>
      </w:r>
      <w:r>
        <w:t>Chai</w:t>
      </w:r>
      <w:r>
        <w:rPr>
          <w:spacing w:val="-2"/>
        </w:rPr>
        <w:t>r</w:t>
      </w:r>
      <w:r>
        <w:t xml:space="preserve">s </w:t>
      </w:r>
      <w:r>
        <w:rPr>
          <w:spacing w:val="1"/>
        </w:rPr>
        <w:t>a</w:t>
      </w:r>
      <w:r>
        <w:t>nd m</w:t>
      </w:r>
      <w:r>
        <w:rPr>
          <w:spacing w:val="-2"/>
        </w:rPr>
        <w:t>e</w:t>
      </w:r>
      <w:r>
        <w:rPr>
          <w:spacing w:val="1"/>
        </w:rPr>
        <w:t>m</w:t>
      </w:r>
      <w:r>
        <w:t>ber</w:t>
      </w:r>
      <w:r>
        <w:rPr>
          <w:spacing w:val="-4"/>
        </w:rPr>
        <w:t>s</w:t>
      </w:r>
      <w:r>
        <w:t>; t</w:t>
      </w:r>
      <w:r>
        <w:rPr>
          <w:spacing w:val="1"/>
        </w:rPr>
        <w:t>h</w:t>
      </w:r>
      <w:r>
        <w:t>is</w:t>
      </w:r>
      <w:r>
        <w:rPr>
          <w:spacing w:val="3"/>
        </w:rPr>
        <w:t xml:space="preserve"> </w:t>
      </w:r>
      <w:r>
        <w:t xml:space="preserve">is </w:t>
      </w:r>
      <w:r>
        <w:rPr>
          <w:spacing w:val="-2"/>
        </w:rPr>
        <w:t>t</w:t>
      </w:r>
      <w:r>
        <w:t>he responsibil</w:t>
      </w:r>
      <w:r>
        <w:rPr>
          <w:spacing w:val="-1"/>
        </w:rPr>
        <w:t>i</w:t>
      </w:r>
      <w:r>
        <w:t>ty</w:t>
      </w:r>
      <w:r>
        <w:rPr>
          <w:spacing w:val="-2"/>
        </w:rPr>
        <w:t xml:space="preserve"> </w:t>
      </w:r>
      <w:r>
        <w:rPr>
          <w:spacing w:val="-1"/>
        </w:rPr>
        <w:t>o</w:t>
      </w:r>
      <w:r>
        <w:t>f</w:t>
      </w:r>
      <w:r>
        <w:rPr>
          <w:spacing w:val="4"/>
        </w:rPr>
        <w:t xml:space="preserve"> </w:t>
      </w:r>
      <w:r>
        <w:rPr>
          <w:spacing w:val="-2"/>
        </w:rPr>
        <w:t>t</w:t>
      </w:r>
      <w:r>
        <w:t xml:space="preserve">he </w:t>
      </w:r>
      <w:r>
        <w:rPr>
          <w:spacing w:val="-2"/>
        </w:rPr>
        <w:t>sp</w:t>
      </w:r>
      <w:r>
        <w:t>onsor</w:t>
      </w:r>
      <w:r>
        <w:rPr>
          <w:spacing w:val="-2"/>
        </w:rPr>
        <w:t>i</w:t>
      </w:r>
      <w:r>
        <w:t>ng</w:t>
      </w:r>
      <w:r>
        <w:rPr>
          <w:spacing w:val="-2"/>
        </w:rPr>
        <w:t xml:space="preserve"> </w:t>
      </w:r>
      <w:r>
        <w:rPr>
          <w:spacing w:val="2"/>
        </w:rPr>
        <w:t>d</w:t>
      </w:r>
      <w:r>
        <w:rPr>
          <w:spacing w:val="-2"/>
        </w:rPr>
        <w:t>e</w:t>
      </w:r>
      <w:r>
        <w:t>par</w:t>
      </w:r>
      <w:r>
        <w:rPr>
          <w:spacing w:val="-3"/>
        </w:rPr>
        <w:t>t</w:t>
      </w:r>
      <w:r>
        <w:rPr>
          <w:spacing w:val="1"/>
        </w:rPr>
        <w:t>m</w:t>
      </w:r>
      <w:r>
        <w:t>e</w:t>
      </w:r>
      <w:r>
        <w:rPr>
          <w:spacing w:val="-2"/>
        </w:rPr>
        <w:t>n</w:t>
      </w:r>
      <w:r>
        <w:rPr>
          <w:spacing w:val="1"/>
        </w:rPr>
        <w:t>t</w:t>
      </w:r>
      <w:r>
        <w:t>s.</w:t>
      </w:r>
      <w:r>
        <w:rPr>
          <w:spacing w:val="-2"/>
        </w:rPr>
        <w:t xml:space="preserve"> </w:t>
      </w:r>
      <w:r>
        <w:t>Ho</w:t>
      </w:r>
      <w:r>
        <w:rPr>
          <w:spacing w:val="-3"/>
        </w:rPr>
        <w:t>w</w:t>
      </w:r>
      <w:r>
        <w:rPr>
          <w:spacing w:val="3"/>
        </w:rPr>
        <w:t>e</w:t>
      </w:r>
      <w:r>
        <w:rPr>
          <w:spacing w:val="-3"/>
        </w:rPr>
        <w:t>v</w:t>
      </w:r>
      <w:r>
        <w:t>er, t</w:t>
      </w:r>
      <w:r>
        <w:rPr>
          <w:spacing w:val="2"/>
        </w:rPr>
        <w:t>h</w:t>
      </w:r>
      <w:r>
        <w:t>e s</w:t>
      </w:r>
      <w:r>
        <w:rPr>
          <w:spacing w:val="1"/>
        </w:rPr>
        <w:t>e</w:t>
      </w:r>
      <w:r>
        <w:t>c</w:t>
      </w:r>
      <w:r>
        <w:rPr>
          <w:spacing w:val="-1"/>
        </w:rPr>
        <w:t>r</w:t>
      </w:r>
      <w:r>
        <w:rPr>
          <w:spacing w:val="-2"/>
        </w:rPr>
        <w:t>e</w:t>
      </w:r>
      <w:r>
        <w:t>t</w:t>
      </w:r>
      <w:r>
        <w:rPr>
          <w:spacing w:val="1"/>
        </w:rPr>
        <w:t>a</w:t>
      </w:r>
      <w:r>
        <w:t>r</w:t>
      </w:r>
      <w:r>
        <w:rPr>
          <w:spacing w:val="-4"/>
        </w:rPr>
        <w:t>i</w:t>
      </w:r>
      <w:r>
        <w:t>ats sup</w:t>
      </w:r>
      <w:r>
        <w:rPr>
          <w:spacing w:val="-2"/>
        </w:rPr>
        <w:t>p</w:t>
      </w:r>
      <w:r>
        <w:t>ort t</w:t>
      </w:r>
      <w:r>
        <w:rPr>
          <w:spacing w:val="-1"/>
        </w:rPr>
        <w:t>h</w:t>
      </w:r>
      <w:r>
        <w:t xml:space="preserve">e </w:t>
      </w:r>
      <w:r>
        <w:rPr>
          <w:spacing w:val="1"/>
        </w:rPr>
        <w:t>p</w:t>
      </w:r>
      <w:r>
        <w:t>ro</w:t>
      </w:r>
      <w:r>
        <w:rPr>
          <w:spacing w:val="-3"/>
        </w:rPr>
        <w:t>c</w:t>
      </w:r>
      <w:r>
        <w:t>es</w:t>
      </w:r>
      <w:r>
        <w:rPr>
          <w:spacing w:val="2"/>
        </w:rPr>
        <w:t>s</w:t>
      </w:r>
      <w:r>
        <w:t>;</w:t>
      </w:r>
      <w:r>
        <w:rPr>
          <w:spacing w:val="-2"/>
        </w:rPr>
        <w:t xml:space="preserve"> </w:t>
      </w:r>
      <w:r>
        <w:t>f</w:t>
      </w:r>
      <w:r>
        <w:rPr>
          <w:spacing w:val="-1"/>
        </w:rPr>
        <w:t>o</w:t>
      </w:r>
      <w:r>
        <w:t>r e</w:t>
      </w:r>
      <w:r>
        <w:rPr>
          <w:spacing w:val="-2"/>
        </w:rPr>
        <w:t>x</w:t>
      </w:r>
      <w:r>
        <w:t>a</w:t>
      </w:r>
      <w:r>
        <w:rPr>
          <w:spacing w:val="1"/>
        </w:rPr>
        <w:t>m</w:t>
      </w:r>
      <w:r>
        <w:t>ple,</w:t>
      </w:r>
      <w:r>
        <w:rPr>
          <w:spacing w:val="-1"/>
        </w:rPr>
        <w:t xml:space="preserve"> </w:t>
      </w:r>
      <w:r>
        <w:t>t</w:t>
      </w:r>
      <w:r>
        <w:rPr>
          <w:spacing w:val="1"/>
        </w:rPr>
        <w:t>h</w:t>
      </w:r>
      <w:r>
        <w:t>ey</w:t>
      </w:r>
      <w:r>
        <w:rPr>
          <w:spacing w:val="-2"/>
        </w:rPr>
        <w:t xml:space="preserve"> </w:t>
      </w:r>
      <w:r>
        <w:t>check</w:t>
      </w:r>
      <w:r>
        <w:rPr>
          <w:spacing w:val="-2"/>
        </w:rPr>
        <w:t xml:space="preserve"> </w:t>
      </w:r>
      <w:r>
        <w:t>t</w:t>
      </w:r>
      <w:r>
        <w:rPr>
          <w:spacing w:val="1"/>
        </w:rPr>
        <w:t>h</w:t>
      </w:r>
      <w:r>
        <w:t>at</w:t>
      </w:r>
      <w:r>
        <w:rPr>
          <w:spacing w:val="-2"/>
        </w:rPr>
        <w:t xml:space="preserve"> </w:t>
      </w:r>
      <w:r>
        <w:t>ad</w:t>
      </w:r>
      <w:r>
        <w:rPr>
          <w:spacing w:val="-3"/>
        </w:rPr>
        <w:t>v</w:t>
      </w:r>
      <w:r>
        <w:t>erts a</w:t>
      </w:r>
      <w:r>
        <w:rPr>
          <w:spacing w:val="-2"/>
        </w:rPr>
        <w:t>n</w:t>
      </w:r>
      <w:r>
        <w:t>d c</w:t>
      </w:r>
      <w:r>
        <w:rPr>
          <w:spacing w:val="-1"/>
        </w:rPr>
        <w:t>a</w:t>
      </w:r>
      <w:r>
        <w:t>nd</w:t>
      </w:r>
      <w:r>
        <w:rPr>
          <w:spacing w:val="-3"/>
        </w:rPr>
        <w:t>i</w:t>
      </w:r>
      <w:r>
        <w:t>date packs c</w:t>
      </w:r>
      <w:r>
        <w:rPr>
          <w:spacing w:val="-1"/>
        </w:rPr>
        <w:t>o</w:t>
      </w:r>
      <w:r>
        <w:t>nt</w:t>
      </w:r>
      <w:r>
        <w:rPr>
          <w:spacing w:val="1"/>
        </w:rPr>
        <w:t>a</w:t>
      </w:r>
      <w:r>
        <w:t>in</w:t>
      </w:r>
      <w:r>
        <w:rPr>
          <w:spacing w:val="-2"/>
        </w:rPr>
        <w:t xml:space="preserve"> </w:t>
      </w:r>
      <w:r>
        <w:rPr>
          <w:spacing w:val="1"/>
        </w:rPr>
        <w:t>u</w:t>
      </w:r>
      <w:r>
        <w:rPr>
          <w:spacing w:val="2"/>
        </w:rPr>
        <w:t>p</w:t>
      </w:r>
      <w:r>
        <w:rPr>
          <w:spacing w:val="-1"/>
        </w:rPr>
        <w:t>-</w:t>
      </w:r>
      <w:r>
        <w:rPr>
          <w:spacing w:val="-2"/>
        </w:rPr>
        <w:t>t</w:t>
      </w:r>
      <w:r>
        <w:t>o</w:t>
      </w:r>
      <w:r>
        <w:rPr>
          <w:spacing w:val="-1"/>
        </w:rPr>
        <w:t>-</w:t>
      </w:r>
      <w:r>
        <w:t>d</w:t>
      </w:r>
      <w:r>
        <w:rPr>
          <w:spacing w:val="-2"/>
        </w:rPr>
        <w:t>a</w:t>
      </w:r>
      <w:r>
        <w:t>te</w:t>
      </w:r>
      <w:r>
        <w:rPr>
          <w:spacing w:val="1"/>
        </w:rPr>
        <w:t xml:space="preserve"> </w:t>
      </w:r>
      <w:r>
        <w:t>i</w:t>
      </w:r>
      <w:r>
        <w:rPr>
          <w:spacing w:val="-2"/>
        </w:rPr>
        <w:t>n</w:t>
      </w:r>
      <w:r>
        <w:t>f</w:t>
      </w:r>
      <w:r>
        <w:rPr>
          <w:spacing w:val="1"/>
        </w:rPr>
        <w:t>o</w:t>
      </w:r>
      <w:r>
        <w:t>rm</w:t>
      </w:r>
      <w:r>
        <w:rPr>
          <w:spacing w:val="-2"/>
        </w:rPr>
        <w:t>a</w:t>
      </w:r>
      <w:r>
        <w:t>tion</w:t>
      </w:r>
      <w:r>
        <w:rPr>
          <w:spacing w:val="-2"/>
        </w:rPr>
        <w:t xml:space="preserve"> </w:t>
      </w:r>
      <w:r>
        <w:t>ab</w:t>
      </w:r>
      <w:r>
        <w:rPr>
          <w:spacing w:val="-2"/>
        </w:rPr>
        <w:t>o</w:t>
      </w:r>
      <w:r>
        <w:t xml:space="preserve">ut </w:t>
      </w:r>
      <w:r>
        <w:rPr>
          <w:spacing w:val="-2"/>
        </w:rPr>
        <w:t>th</w:t>
      </w:r>
      <w:r>
        <w:t>e roles.</w:t>
      </w:r>
      <w:r>
        <w:rPr>
          <w:spacing w:val="-2"/>
        </w:rPr>
        <w:t xml:space="preserve"> </w:t>
      </w:r>
      <w:r>
        <w:rPr>
          <w:spacing w:val="2"/>
        </w:rPr>
        <w:t>T</w:t>
      </w:r>
      <w:r>
        <w:t>he</w:t>
      </w:r>
      <w:r w:rsidDel="00A97BEC">
        <w:t xml:space="preserve"> </w:t>
      </w:r>
      <w:r w:rsidR="00A97BEC">
        <w:t>OPRB</w:t>
      </w:r>
      <w:r w:rsidR="00A97BEC">
        <w:rPr>
          <w:spacing w:val="-2"/>
        </w:rPr>
        <w:t xml:space="preserve"> </w:t>
      </w:r>
      <w:r w:rsidR="00D94359">
        <w:t>D</w:t>
      </w:r>
      <w:r>
        <w:t>i</w:t>
      </w:r>
      <w:r>
        <w:rPr>
          <w:spacing w:val="-2"/>
        </w:rPr>
        <w:t>r</w:t>
      </w:r>
      <w:r>
        <w:t>ect</w:t>
      </w:r>
      <w:r>
        <w:rPr>
          <w:spacing w:val="1"/>
        </w:rPr>
        <w:t>o</w:t>
      </w:r>
      <w:r>
        <w:t>r usual</w:t>
      </w:r>
      <w:r>
        <w:rPr>
          <w:spacing w:val="-1"/>
        </w:rPr>
        <w:t>l</w:t>
      </w:r>
      <w:r>
        <w:t>y</w:t>
      </w:r>
      <w:r>
        <w:rPr>
          <w:spacing w:val="-3"/>
        </w:rPr>
        <w:t xml:space="preserve"> </w:t>
      </w:r>
      <w:r>
        <w:t xml:space="preserve">sits on </w:t>
      </w:r>
      <w:r>
        <w:rPr>
          <w:spacing w:val="-2"/>
        </w:rPr>
        <w:t>t</w:t>
      </w:r>
      <w:r>
        <w:t>he i</w:t>
      </w:r>
      <w:r>
        <w:rPr>
          <w:spacing w:val="-2"/>
        </w:rPr>
        <w:t>n</w:t>
      </w:r>
      <w:r>
        <w:t>t</w:t>
      </w:r>
      <w:r>
        <w:rPr>
          <w:spacing w:val="1"/>
        </w:rPr>
        <w:t>e</w:t>
      </w:r>
      <w:r>
        <w:rPr>
          <w:spacing w:val="-4"/>
        </w:rPr>
        <w:t>r</w:t>
      </w:r>
      <w:r>
        <w:rPr>
          <w:spacing w:val="-3"/>
        </w:rPr>
        <w:t>v</w:t>
      </w:r>
      <w:r>
        <w:t>i</w:t>
      </w:r>
      <w:r>
        <w:rPr>
          <w:spacing w:val="2"/>
        </w:rPr>
        <w:t>e</w:t>
      </w:r>
      <w:r>
        <w:rPr>
          <w:spacing w:val="-3"/>
        </w:rPr>
        <w:t>w</w:t>
      </w:r>
      <w:r>
        <w:t>i</w:t>
      </w:r>
      <w:r>
        <w:rPr>
          <w:spacing w:val="2"/>
        </w:rPr>
        <w:t>n</w:t>
      </w:r>
      <w:r>
        <w:t>g</w:t>
      </w:r>
      <w:r>
        <w:rPr>
          <w:spacing w:val="-2"/>
        </w:rPr>
        <w:t xml:space="preserve"> </w:t>
      </w:r>
      <w:r>
        <w:rPr>
          <w:spacing w:val="1"/>
        </w:rPr>
        <w:t>p</w:t>
      </w:r>
      <w:r>
        <w:t>ane</w:t>
      </w:r>
      <w:r>
        <w:rPr>
          <w:spacing w:val="3"/>
        </w:rPr>
        <w:t>l</w:t>
      </w:r>
      <w:r>
        <w:t>.</w:t>
      </w:r>
    </w:p>
    <w:p w14:paraId="3BAB3A58" w14:textId="21E38EE8" w:rsidR="001C1DB8" w:rsidRDefault="001C1DB8"/>
    <w:p w14:paraId="54E798B0" w14:textId="0F102875" w:rsidR="00AD7B66" w:rsidRDefault="004059A2" w:rsidP="00A60884">
      <w:pPr>
        <w:pStyle w:val="ListParagraph"/>
        <w:numPr>
          <w:ilvl w:val="0"/>
          <w:numId w:val="5"/>
        </w:numPr>
      </w:pPr>
      <w:r>
        <w:t xml:space="preserve">Most of the </w:t>
      </w:r>
      <w:r w:rsidR="00785770">
        <w:t xml:space="preserve">PRBs consist of 8 </w:t>
      </w:r>
      <w:r>
        <w:t xml:space="preserve">members, including one chair. </w:t>
      </w:r>
      <w:r w:rsidR="00337247">
        <w:t>O</w:t>
      </w:r>
      <w:r w:rsidR="00785770">
        <w:t xml:space="preserve">ver the course of </w:t>
      </w:r>
      <w:r w:rsidR="00194727">
        <w:t>20</w:t>
      </w:r>
      <w:r w:rsidR="00785770">
        <w:t>2</w:t>
      </w:r>
      <w:r w:rsidR="000A560E">
        <w:t>4</w:t>
      </w:r>
      <w:r w:rsidR="00194727">
        <w:t>/</w:t>
      </w:r>
      <w:r w:rsidR="00785770">
        <w:t>2</w:t>
      </w:r>
      <w:r w:rsidR="000A560E">
        <w:t>5</w:t>
      </w:r>
      <w:r w:rsidR="00785770" w:rsidDel="00A97BEC">
        <w:t xml:space="preserve"> </w:t>
      </w:r>
      <w:r w:rsidR="00A97BEC" w:rsidRPr="006E6A01">
        <w:rPr>
          <w:color w:val="000000" w:themeColor="text1"/>
        </w:rPr>
        <w:t xml:space="preserve">OPRB </w:t>
      </w:r>
      <w:r w:rsidR="00785770" w:rsidRPr="006E6A01">
        <w:rPr>
          <w:color w:val="000000" w:themeColor="text1"/>
        </w:rPr>
        <w:t xml:space="preserve">supported the recruitment of </w:t>
      </w:r>
      <w:r w:rsidR="19949C02" w:rsidRPr="006E6A01">
        <w:rPr>
          <w:color w:val="000000" w:themeColor="text1"/>
        </w:rPr>
        <w:t>17</w:t>
      </w:r>
      <w:r w:rsidR="006557B3" w:rsidRPr="006E6A01">
        <w:rPr>
          <w:color w:val="000000" w:themeColor="text1"/>
        </w:rPr>
        <w:t xml:space="preserve"> new</w:t>
      </w:r>
      <w:r w:rsidR="00785770" w:rsidRPr="006E6A01">
        <w:rPr>
          <w:color w:val="000000" w:themeColor="text1"/>
        </w:rPr>
        <w:t xml:space="preserve"> members and </w:t>
      </w:r>
      <w:r w:rsidR="006557B3" w:rsidRPr="006E6A01">
        <w:rPr>
          <w:color w:val="000000" w:themeColor="text1"/>
        </w:rPr>
        <w:t xml:space="preserve">the re-appointment of </w:t>
      </w:r>
      <w:r w:rsidR="00AD4CE2" w:rsidRPr="006E6A01">
        <w:rPr>
          <w:color w:val="000000" w:themeColor="text1"/>
        </w:rPr>
        <w:t>1</w:t>
      </w:r>
      <w:r w:rsidR="7B44F7A7" w:rsidRPr="006E6A01">
        <w:rPr>
          <w:color w:val="000000" w:themeColor="text1"/>
        </w:rPr>
        <w:t>4</w:t>
      </w:r>
      <w:r w:rsidR="006557B3" w:rsidRPr="006E6A01">
        <w:rPr>
          <w:color w:val="000000" w:themeColor="text1"/>
        </w:rPr>
        <w:t xml:space="preserve"> </w:t>
      </w:r>
      <w:r w:rsidR="006557B3">
        <w:t>existing members</w:t>
      </w:r>
      <w:r w:rsidR="00AD7B66">
        <w:t>.</w:t>
      </w:r>
    </w:p>
    <w:p w14:paraId="5B1D09A8" w14:textId="77777777" w:rsidR="00D66748" w:rsidRDefault="00D66748" w:rsidP="00D66748">
      <w:pPr>
        <w:pStyle w:val="ListParagraph"/>
      </w:pPr>
    </w:p>
    <w:p w14:paraId="218525C4" w14:textId="77777777" w:rsidR="00DE3BBE" w:rsidRDefault="00DE3BBE" w:rsidP="00DE3BBE"/>
    <w:p w14:paraId="71B9F316" w14:textId="77777777" w:rsidR="00DE3BBE" w:rsidRDefault="00DE3BBE" w:rsidP="00DE3BBE"/>
    <w:p w14:paraId="2AAD68D1" w14:textId="77777777" w:rsidR="00DE3BBE" w:rsidRDefault="00DE3BBE" w:rsidP="00DE3BBE"/>
    <w:p w14:paraId="25B4F856" w14:textId="77777777" w:rsidR="00DE3BBE" w:rsidRDefault="00DE3BBE" w:rsidP="00DE3BBE"/>
    <w:p w14:paraId="035E7B8A" w14:textId="77777777" w:rsidR="00DE3BBE" w:rsidRDefault="00DE3BBE" w:rsidP="00DE3BBE"/>
    <w:p w14:paraId="13C7F7F2" w14:textId="77777777" w:rsidR="00DE3BBE" w:rsidRDefault="00DE3BBE" w:rsidP="00DE3BBE"/>
    <w:p w14:paraId="32811CC9" w14:textId="77777777" w:rsidR="00DE3BBE" w:rsidRDefault="00DE3BBE" w:rsidP="00DE3BBE"/>
    <w:p w14:paraId="37711FEC" w14:textId="77777777" w:rsidR="00DE3BBE" w:rsidRDefault="00DE3BBE" w:rsidP="00DE3BBE"/>
    <w:p w14:paraId="5012303F" w14:textId="77777777" w:rsidR="00DE3BBE" w:rsidRDefault="00DE3BBE" w:rsidP="00DE3BBE"/>
    <w:p w14:paraId="0D671493" w14:textId="77777777" w:rsidR="00DE3BBE" w:rsidRDefault="00DE3BBE" w:rsidP="00DE3BBE"/>
    <w:p w14:paraId="638FB276" w14:textId="480217AE" w:rsidR="00AD7B66" w:rsidRDefault="00AD7B66" w:rsidP="00A60884">
      <w:pPr>
        <w:pStyle w:val="ListParagraph"/>
        <w:numPr>
          <w:ilvl w:val="0"/>
          <w:numId w:val="5"/>
        </w:numPr>
      </w:pPr>
      <w:r>
        <w:lastRenderedPageBreak/>
        <w:t xml:space="preserve">As of the </w:t>
      </w:r>
      <w:proofErr w:type="gramStart"/>
      <w:r w:rsidR="007A5854">
        <w:t>31</w:t>
      </w:r>
      <w:r w:rsidR="007A5854" w:rsidRPr="00A93AB6">
        <w:rPr>
          <w:vertAlign w:val="superscript"/>
        </w:rPr>
        <w:t>st</w:t>
      </w:r>
      <w:proofErr w:type="gramEnd"/>
      <w:r w:rsidR="007A5854">
        <w:t xml:space="preserve"> August 202</w:t>
      </w:r>
      <w:r w:rsidR="00B7143C">
        <w:t>5</w:t>
      </w:r>
      <w:r w:rsidR="007A5854">
        <w:t xml:space="preserve">, there were </w:t>
      </w:r>
      <w:r w:rsidR="000E12F5">
        <w:t>6</w:t>
      </w:r>
      <w:r w:rsidR="007A5854">
        <w:t xml:space="preserve"> vacancies on the PRBs.</w:t>
      </w:r>
    </w:p>
    <w:p w14:paraId="6CC31D2A" w14:textId="77777777" w:rsidR="00785770" w:rsidRDefault="00785770" w:rsidP="00A93AB6">
      <w:pPr>
        <w:pStyle w:val="ListParagraph"/>
      </w:pPr>
    </w:p>
    <w:p w14:paraId="297121FD" w14:textId="77777777" w:rsidR="007A0D93" w:rsidRDefault="007A0D93" w:rsidP="00A93AB6">
      <w:pPr>
        <w:pStyle w:val="ListParagraph"/>
      </w:pPr>
    </w:p>
    <w:tbl>
      <w:tblPr>
        <w:tblW w:w="5000" w:type="pct"/>
        <w:tblBorders>
          <w:top w:val="single" w:sz="4" w:space="0" w:color="A5A5A5" w:themeColor="accent3"/>
          <w:left w:val="single" w:sz="4" w:space="0" w:color="A5A5A5" w:themeColor="accent3"/>
          <w:bottom w:val="single" w:sz="4" w:space="0" w:color="auto"/>
          <w:right w:val="single" w:sz="4" w:space="0" w:color="A5A5A5" w:themeColor="accent3"/>
        </w:tblBorders>
        <w:tblCellMar>
          <w:left w:w="10" w:type="dxa"/>
          <w:right w:w="10" w:type="dxa"/>
        </w:tblCellMar>
        <w:tblLook w:val="0000" w:firstRow="0" w:lastRow="0" w:firstColumn="0" w:lastColumn="0" w:noHBand="0" w:noVBand="0"/>
      </w:tblPr>
      <w:tblGrid>
        <w:gridCol w:w="2254"/>
        <w:gridCol w:w="2254"/>
        <w:gridCol w:w="2254"/>
        <w:gridCol w:w="2254"/>
      </w:tblGrid>
      <w:tr w:rsidR="007A0D93" w14:paraId="18EC8F2E" w14:textId="77777777" w:rsidTr="00D63BA7">
        <w:trPr>
          <w:trHeight w:val="436"/>
          <w:tblHeader/>
        </w:trPr>
        <w:tc>
          <w:tcPr>
            <w:tcW w:w="2254" w:type="dxa"/>
            <w:noWrap/>
            <w:tcMar>
              <w:top w:w="0" w:type="dxa"/>
              <w:left w:w="108" w:type="dxa"/>
              <w:bottom w:w="0" w:type="dxa"/>
              <w:right w:w="108" w:type="dxa"/>
            </w:tcMar>
          </w:tcPr>
          <w:p w14:paraId="27002C31" w14:textId="77777777" w:rsidR="007A0D93" w:rsidRPr="00A93AB6" w:rsidRDefault="007A0D93" w:rsidP="000C17B1">
            <w:pPr>
              <w:spacing w:before="0" w:after="0"/>
              <w:rPr>
                <w:sz w:val="22"/>
              </w:rPr>
            </w:pPr>
            <w:r w:rsidRPr="00A93AB6">
              <w:rPr>
                <w:rFonts w:eastAsia="Times New Roman"/>
                <w:b/>
                <w:sz w:val="22"/>
                <w:lang w:val="en-US" w:eastAsia="en-GB"/>
              </w:rPr>
              <w:t>Secretariat</w:t>
            </w:r>
          </w:p>
        </w:tc>
        <w:tc>
          <w:tcPr>
            <w:tcW w:w="2254" w:type="dxa"/>
            <w:noWrap/>
            <w:tcMar>
              <w:top w:w="0" w:type="dxa"/>
              <w:left w:w="108" w:type="dxa"/>
              <w:bottom w:w="0" w:type="dxa"/>
              <w:right w:w="108" w:type="dxa"/>
            </w:tcMar>
          </w:tcPr>
          <w:p w14:paraId="4CAC277F" w14:textId="46B88C66" w:rsidR="007A0D93" w:rsidRPr="00344734" w:rsidRDefault="008E4105" w:rsidP="00A93AB6">
            <w:pPr>
              <w:spacing w:before="0" w:after="0"/>
              <w:jc w:val="center"/>
              <w:rPr>
                <w:b/>
                <w:bCs/>
                <w:sz w:val="22"/>
              </w:rPr>
            </w:pPr>
            <w:r w:rsidRPr="00344734">
              <w:rPr>
                <w:b/>
                <w:bCs/>
                <w:sz w:val="22"/>
              </w:rPr>
              <w:t>Members</w:t>
            </w:r>
            <w:r w:rsidR="00A64DBE" w:rsidRPr="00344734">
              <w:rPr>
                <w:b/>
                <w:bCs/>
                <w:sz w:val="22"/>
              </w:rPr>
              <w:t xml:space="preserve"> in place</w:t>
            </w:r>
          </w:p>
        </w:tc>
        <w:tc>
          <w:tcPr>
            <w:tcW w:w="2254" w:type="dxa"/>
            <w:noWrap/>
            <w:tcMar>
              <w:top w:w="0" w:type="dxa"/>
              <w:left w:w="108" w:type="dxa"/>
              <w:bottom w:w="0" w:type="dxa"/>
              <w:right w:w="108" w:type="dxa"/>
            </w:tcMar>
          </w:tcPr>
          <w:p w14:paraId="037408DC" w14:textId="40AA4886" w:rsidR="007A0D93" w:rsidRPr="00A93AB6" w:rsidRDefault="008E4105" w:rsidP="000C17B1">
            <w:pPr>
              <w:spacing w:before="0" w:after="0"/>
              <w:jc w:val="right"/>
              <w:rPr>
                <w:sz w:val="22"/>
              </w:rPr>
            </w:pPr>
            <w:r w:rsidRPr="00A93AB6">
              <w:rPr>
                <w:rFonts w:eastAsia="Times New Roman"/>
                <w:b/>
                <w:sz w:val="22"/>
                <w:lang w:val="en-US" w:eastAsia="en-GB"/>
              </w:rPr>
              <w:t>Vacancies</w:t>
            </w:r>
            <w:r w:rsidR="00A64DBE" w:rsidRPr="00A93AB6">
              <w:rPr>
                <w:rFonts w:eastAsia="Times New Roman"/>
                <w:b/>
                <w:sz w:val="22"/>
                <w:lang w:val="en-US" w:eastAsia="en-GB"/>
              </w:rPr>
              <w:t xml:space="preserve"> on PRB</w:t>
            </w:r>
          </w:p>
        </w:tc>
        <w:tc>
          <w:tcPr>
            <w:tcW w:w="2254" w:type="dxa"/>
            <w:noWrap/>
            <w:tcMar>
              <w:top w:w="0" w:type="dxa"/>
              <w:left w:w="108" w:type="dxa"/>
              <w:bottom w:w="0" w:type="dxa"/>
              <w:right w:w="108" w:type="dxa"/>
            </w:tcMar>
          </w:tcPr>
          <w:p w14:paraId="15848B9C" w14:textId="5552112F" w:rsidR="007A0D93" w:rsidRPr="00A93AB6" w:rsidRDefault="008E4105" w:rsidP="00812A63">
            <w:pPr>
              <w:spacing w:before="0" w:after="0"/>
              <w:jc w:val="center"/>
              <w:rPr>
                <w:sz w:val="22"/>
              </w:rPr>
            </w:pPr>
            <w:r w:rsidRPr="00A93AB6">
              <w:rPr>
                <w:rFonts w:eastAsia="Times New Roman"/>
                <w:b/>
                <w:sz w:val="22"/>
                <w:lang w:val="en-US" w:eastAsia="en-GB"/>
              </w:rPr>
              <w:t>Appointments</w:t>
            </w:r>
            <w:r w:rsidR="00A64DBE" w:rsidRPr="00A93AB6">
              <w:rPr>
                <w:rFonts w:eastAsia="Times New Roman"/>
                <w:b/>
                <w:sz w:val="22"/>
                <w:lang w:val="en-US" w:eastAsia="en-GB"/>
              </w:rPr>
              <w:t xml:space="preserve"> made</w:t>
            </w:r>
          </w:p>
        </w:tc>
      </w:tr>
      <w:tr w:rsidR="007A0D93" w14:paraId="59183D24" w14:textId="77777777" w:rsidTr="00D63BA7">
        <w:trPr>
          <w:trHeight w:hRule="exact" w:val="297"/>
        </w:trPr>
        <w:tc>
          <w:tcPr>
            <w:tcW w:w="2254" w:type="dxa"/>
            <w:noWrap/>
            <w:tcMar>
              <w:top w:w="0" w:type="dxa"/>
              <w:left w:w="108" w:type="dxa"/>
              <w:bottom w:w="0" w:type="dxa"/>
              <w:right w:w="108" w:type="dxa"/>
            </w:tcMar>
            <w:vAlign w:val="center"/>
          </w:tcPr>
          <w:p w14:paraId="463D9155" w14:textId="77777777" w:rsidR="007A0D93" w:rsidRPr="00A93AB6" w:rsidRDefault="007A0D93" w:rsidP="000C17B1">
            <w:pPr>
              <w:spacing w:before="0" w:after="0"/>
              <w:rPr>
                <w:sz w:val="22"/>
              </w:rPr>
            </w:pPr>
            <w:r w:rsidRPr="00A93AB6">
              <w:rPr>
                <w:rFonts w:eastAsia="Times New Roman"/>
                <w:b/>
                <w:color w:val="000000" w:themeColor="text1"/>
                <w:sz w:val="22"/>
                <w:lang w:val="en-US" w:eastAsia="en-GB"/>
              </w:rPr>
              <w:t>AFPRB</w:t>
            </w:r>
          </w:p>
        </w:tc>
        <w:tc>
          <w:tcPr>
            <w:tcW w:w="2254" w:type="dxa"/>
            <w:noWrap/>
            <w:tcMar>
              <w:top w:w="0" w:type="dxa"/>
              <w:left w:w="108" w:type="dxa"/>
              <w:bottom w:w="0" w:type="dxa"/>
              <w:right w:w="108" w:type="dxa"/>
            </w:tcMar>
            <w:vAlign w:val="center"/>
          </w:tcPr>
          <w:p w14:paraId="42FD3781" w14:textId="2F945FF8" w:rsidR="007A0D93" w:rsidRPr="00A93AB6" w:rsidRDefault="6B4E9925" w:rsidP="00A93AB6">
            <w:pPr>
              <w:jc w:val="center"/>
              <w:rPr>
                <w:sz w:val="22"/>
              </w:rPr>
            </w:pPr>
            <w:r w:rsidRPr="68778AA1">
              <w:rPr>
                <w:sz w:val="22"/>
              </w:rPr>
              <w:t>8</w:t>
            </w:r>
          </w:p>
        </w:tc>
        <w:tc>
          <w:tcPr>
            <w:tcW w:w="2254" w:type="dxa"/>
            <w:noWrap/>
            <w:tcMar>
              <w:top w:w="0" w:type="dxa"/>
              <w:left w:w="108" w:type="dxa"/>
              <w:bottom w:w="0" w:type="dxa"/>
              <w:right w:w="108" w:type="dxa"/>
            </w:tcMar>
            <w:vAlign w:val="center"/>
          </w:tcPr>
          <w:p w14:paraId="07473099" w14:textId="375F3BAB" w:rsidR="007A0D93" w:rsidRPr="00A93AB6" w:rsidRDefault="00A14833" w:rsidP="00A93AB6">
            <w:pPr>
              <w:spacing w:before="0" w:after="0"/>
              <w:jc w:val="center"/>
              <w:rPr>
                <w:sz w:val="22"/>
              </w:rPr>
            </w:pPr>
            <w:r>
              <w:rPr>
                <w:sz w:val="22"/>
              </w:rPr>
              <w:t>0</w:t>
            </w:r>
          </w:p>
        </w:tc>
        <w:tc>
          <w:tcPr>
            <w:tcW w:w="2254" w:type="dxa"/>
            <w:noWrap/>
            <w:tcMar>
              <w:top w:w="0" w:type="dxa"/>
              <w:left w:w="108" w:type="dxa"/>
              <w:bottom w:w="0" w:type="dxa"/>
              <w:right w:w="108" w:type="dxa"/>
            </w:tcMar>
            <w:vAlign w:val="center"/>
          </w:tcPr>
          <w:p w14:paraId="5120242A" w14:textId="5B80E789" w:rsidR="007A0D93" w:rsidRPr="00A93AB6" w:rsidRDefault="00A14833" w:rsidP="00A93AB6">
            <w:pPr>
              <w:spacing w:before="0" w:after="0"/>
              <w:jc w:val="center"/>
              <w:rPr>
                <w:sz w:val="22"/>
              </w:rPr>
            </w:pPr>
            <w:r>
              <w:rPr>
                <w:sz w:val="22"/>
              </w:rPr>
              <w:t>0</w:t>
            </w:r>
          </w:p>
        </w:tc>
      </w:tr>
      <w:tr w:rsidR="007A0D93" w14:paraId="10474A2D" w14:textId="77777777" w:rsidTr="00D63BA7">
        <w:trPr>
          <w:trHeight w:hRule="exact" w:val="297"/>
        </w:trPr>
        <w:tc>
          <w:tcPr>
            <w:tcW w:w="2254" w:type="dxa"/>
            <w:noWrap/>
            <w:tcMar>
              <w:top w:w="0" w:type="dxa"/>
              <w:left w:w="108" w:type="dxa"/>
              <w:bottom w:w="0" w:type="dxa"/>
              <w:right w:w="108" w:type="dxa"/>
            </w:tcMar>
            <w:vAlign w:val="center"/>
          </w:tcPr>
          <w:p w14:paraId="11EE7EC6" w14:textId="77777777" w:rsidR="007A0D93" w:rsidRPr="00A93AB6" w:rsidRDefault="007A0D93" w:rsidP="000C17B1">
            <w:pPr>
              <w:spacing w:before="0" w:after="0"/>
              <w:rPr>
                <w:sz w:val="22"/>
              </w:rPr>
            </w:pPr>
            <w:r w:rsidRPr="00A93AB6">
              <w:rPr>
                <w:rFonts w:eastAsia="Times New Roman"/>
                <w:b/>
                <w:color w:val="000000" w:themeColor="text1"/>
                <w:sz w:val="22"/>
                <w:lang w:val="en-US" w:eastAsia="en-GB"/>
              </w:rPr>
              <w:t>DDRB</w:t>
            </w:r>
          </w:p>
        </w:tc>
        <w:tc>
          <w:tcPr>
            <w:tcW w:w="2254" w:type="dxa"/>
            <w:noWrap/>
            <w:tcMar>
              <w:top w:w="0" w:type="dxa"/>
              <w:left w:w="108" w:type="dxa"/>
              <w:bottom w:w="0" w:type="dxa"/>
              <w:right w:w="108" w:type="dxa"/>
            </w:tcMar>
            <w:vAlign w:val="center"/>
          </w:tcPr>
          <w:p w14:paraId="05822C9A" w14:textId="75423719" w:rsidR="007A0D93" w:rsidRPr="00A93AB6" w:rsidRDefault="00512481" w:rsidP="00A93AB6">
            <w:pPr>
              <w:spacing w:before="0" w:after="0"/>
              <w:jc w:val="center"/>
              <w:rPr>
                <w:sz w:val="22"/>
              </w:rPr>
            </w:pPr>
            <w:r>
              <w:rPr>
                <w:sz w:val="22"/>
              </w:rPr>
              <w:t>8</w:t>
            </w:r>
          </w:p>
        </w:tc>
        <w:tc>
          <w:tcPr>
            <w:tcW w:w="2254" w:type="dxa"/>
            <w:noWrap/>
            <w:tcMar>
              <w:top w:w="0" w:type="dxa"/>
              <w:left w:w="108" w:type="dxa"/>
              <w:bottom w:w="0" w:type="dxa"/>
              <w:right w:w="108" w:type="dxa"/>
            </w:tcMar>
            <w:vAlign w:val="center"/>
          </w:tcPr>
          <w:p w14:paraId="6DF5CC09" w14:textId="0848AE13" w:rsidR="007A0D93" w:rsidRPr="00A93AB6" w:rsidRDefault="00512481" w:rsidP="00A93AB6">
            <w:pPr>
              <w:spacing w:before="0" w:after="0"/>
              <w:jc w:val="center"/>
              <w:rPr>
                <w:sz w:val="22"/>
              </w:rPr>
            </w:pPr>
            <w:r>
              <w:rPr>
                <w:sz w:val="22"/>
              </w:rPr>
              <w:t>0</w:t>
            </w:r>
          </w:p>
        </w:tc>
        <w:tc>
          <w:tcPr>
            <w:tcW w:w="2254" w:type="dxa"/>
            <w:noWrap/>
            <w:tcMar>
              <w:top w:w="0" w:type="dxa"/>
              <w:left w:w="108" w:type="dxa"/>
              <w:bottom w:w="0" w:type="dxa"/>
              <w:right w:w="108" w:type="dxa"/>
            </w:tcMar>
            <w:vAlign w:val="center"/>
          </w:tcPr>
          <w:p w14:paraId="09A1690A" w14:textId="674AC945" w:rsidR="007A0D93" w:rsidRPr="00A93AB6" w:rsidRDefault="00BB283D" w:rsidP="00A93AB6">
            <w:pPr>
              <w:spacing w:before="0" w:after="0"/>
              <w:jc w:val="center"/>
              <w:rPr>
                <w:sz w:val="22"/>
              </w:rPr>
            </w:pPr>
            <w:r>
              <w:rPr>
                <w:sz w:val="22"/>
              </w:rPr>
              <w:t>5</w:t>
            </w:r>
          </w:p>
        </w:tc>
      </w:tr>
      <w:tr w:rsidR="007A0D93" w14:paraId="38DE3A25" w14:textId="77777777" w:rsidTr="00D63BA7">
        <w:trPr>
          <w:trHeight w:hRule="exact" w:val="297"/>
        </w:trPr>
        <w:tc>
          <w:tcPr>
            <w:tcW w:w="2254" w:type="dxa"/>
            <w:noWrap/>
            <w:tcMar>
              <w:top w:w="0" w:type="dxa"/>
              <w:left w:w="108" w:type="dxa"/>
              <w:bottom w:w="0" w:type="dxa"/>
              <w:right w:w="108" w:type="dxa"/>
            </w:tcMar>
            <w:vAlign w:val="center"/>
          </w:tcPr>
          <w:p w14:paraId="19F553E7" w14:textId="77777777" w:rsidR="007A0D93" w:rsidRPr="00A93AB6" w:rsidRDefault="007A0D93" w:rsidP="000C17B1">
            <w:pPr>
              <w:spacing w:before="0" w:after="0"/>
              <w:rPr>
                <w:sz w:val="22"/>
              </w:rPr>
            </w:pPr>
            <w:r w:rsidRPr="00A93AB6">
              <w:rPr>
                <w:rFonts w:eastAsia="Times New Roman"/>
                <w:b/>
                <w:color w:val="000000" w:themeColor="text1"/>
                <w:sz w:val="22"/>
                <w:lang w:val="en-US" w:eastAsia="en-GB"/>
              </w:rPr>
              <w:t>NCARRB</w:t>
            </w:r>
          </w:p>
        </w:tc>
        <w:tc>
          <w:tcPr>
            <w:tcW w:w="2254" w:type="dxa"/>
            <w:noWrap/>
            <w:tcMar>
              <w:top w:w="0" w:type="dxa"/>
              <w:left w:w="108" w:type="dxa"/>
              <w:bottom w:w="0" w:type="dxa"/>
              <w:right w:w="108" w:type="dxa"/>
            </w:tcMar>
            <w:vAlign w:val="center"/>
          </w:tcPr>
          <w:p w14:paraId="73A07731" w14:textId="3B184903" w:rsidR="007A0D93" w:rsidRPr="00A93AB6" w:rsidRDefault="00574AC3" w:rsidP="00A93AB6">
            <w:pPr>
              <w:spacing w:before="0" w:after="0"/>
              <w:jc w:val="center"/>
              <w:rPr>
                <w:rFonts w:eastAsia="Times New Roman"/>
                <w:color w:val="000000"/>
                <w:sz w:val="22"/>
                <w:lang w:eastAsia="en-GB"/>
              </w:rPr>
            </w:pPr>
            <w:r>
              <w:rPr>
                <w:rFonts w:eastAsia="Times New Roman"/>
                <w:color w:val="000000"/>
                <w:sz w:val="22"/>
                <w:lang w:eastAsia="en-GB"/>
              </w:rPr>
              <w:t>6</w:t>
            </w:r>
          </w:p>
        </w:tc>
        <w:tc>
          <w:tcPr>
            <w:tcW w:w="2254" w:type="dxa"/>
            <w:noWrap/>
            <w:tcMar>
              <w:top w:w="0" w:type="dxa"/>
              <w:left w:w="108" w:type="dxa"/>
              <w:bottom w:w="0" w:type="dxa"/>
              <w:right w:w="108" w:type="dxa"/>
            </w:tcMar>
            <w:vAlign w:val="center"/>
          </w:tcPr>
          <w:p w14:paraId="6E098E6E" w14:textId="2DB5D5FA" w:rsidR="007A0D93" w:rsidRPr="00A93AB6" w:rsidRDefault="00027B61" w:rsidP="00A93AB6">
            <w:pPr>
              <w:spacing w:before="0" w:after="0"/>
              <w:jc w:val="center"/>
              <w:rPr>
                <w:sz w:val="22"/>
              </w:rPr>
            </w:pPr>
            <w:r>
              <w:rPr>
                <w:sz w:val="22"/>
              </w:rPr>
              <w:t>2</w:t>
            </w:r>
          </w:p>
        </w:tc>
        <w:tc>
          <w:tcPr>
            <w:tcW w:w="2254" w:type="dxa"/>
            <w:noWrap/>
            <w:tcMar>
              <w:top w:w="0" w:type="dxa"/>
              <w:left w:w="108" w:type="dxa"/>
              <w:bottom w:w="0" w:type="dxa"/>
              <w:right w:w="108" w:type="dxa"/>
            </w:tcMar>
            <w:vAlign w:val="center"/>
          </w:tcPr>
          <w:p w14:paraId="7FAA0712" w14:textId="5E233D43" w:rsidR="007A0D93" w:rsidRPr="00A93AB6" w:rsidRDefault="002F1E37" w:rsidP="00A93AB6">
            <w:pPr>
              <w:spacing w:before="0" w:after="0"/>
              <w:jc w:val="center"/>
              <w:rPr>
                <w:sz w:val="22"/>
              </w:rPr>
            </w:pPr>
            <w:r>
              <w:rPr>
                <w:sz w:val="22"/>
              </w:rPr>
              <w:t>1</w:t>
            </w:r>
          </w:p>
        </w:tc>
      </w:tr>
      <w:tr w:rsidR="007A0D93" w14:paraId="610AF1C3" w14:textId="77777777" w:rsidTr="00D63BA7">
        <w:trPr>
          <w:trHeight w:hRule="exact" w:val="297"/>
        </w:trPr>
        <w:tc>
          <w:tcPr>
            <w:tcW w:w="2254" w:type="dxa"/>
            <w:noWrap/>
            <w:tcMar>
              <w:top w:w="0" w:type="dxa"/>
              <w:left w:w="108" w:type="dxa"/>
              <w:bottom w:w="0" w:type="dxa"/>
              <w:right w:w="108" w:type="dxa"/>
            </w:tcMar>
            <w:vAlign w:val="center"/>
          </w:tcPr>
          <w:p w14:paraId="406979FA" w14:textId="77777777" w:rsidR="007A0D93" w:rsidRPr="00A93AB6" w:rsidRDefault="007A0D93" w:rsidP="000C17B1">
            <w:pPr>
              <w:spacing w:before="0" w:after="0"/>
              <w:rPr>
                <w:sz w:val="22"/>
              </w:rPr>
            </w:pPr>
            <w:r w:rsidRPr="00A93AB6">
              <w:rPr>
                <w:rFonts w:eastAsia="Times New Roman"/>
                <w:b/>
                <w:color w:val="000000" w:themeColor="text1"/>
                <w:sz w:val="22"/>
                <w:lang w:val="en-US" w:eastAsia="en-GB"/>
              </w:rPr>
              <w:t>NHSPRB</w:t>
            </w:r>
          </w:p>
        </w:tc>
        <w:tc>
          <w:tcPr>
            <w:tcW w:w="2254" w:type="dxa"/>
            <w:noWrap/>
            <w:tcMar>
              <w:top w:w="0" w:type="dxa"/>
              <w:left w:w="108" w:type="dxa"/>
              <w:bottom w:w="0" w:type="dxa"/>
              <w:right w:w="108" w:type="dxa"/>
            </w:tcMar>
            <w:vAlign w:val="center"/>
          </w:tcPr>
          <w:p w14:paraId="2979522D" w14:textId="7BD41F6D" w:rsidR="007A0D93" w:rsidRPr="00A93AB6" w:rsidRDefault="00A14C7A" w:rsidP="00A93AB6">
            <w:pPr>
              <w:spacing w:before="0" w:after="0"/>
              <w:jc w:val="center"/>
              <w:rPr>
                <w:rFonts w:eastAsia="Times New Roman"/>
                <w:color w:val="000000"/>
                <w:sz w:val="22"/>
                <w:vertAlign w:val="superscript"/>
                <w:lang w:eastAsia="en-GB"/>
              </w:rPr>
            </w:pPr>
            <w:r>
              <w:rPr>
                <w:rFonts w:eastAsia="Times New Roman"/>
                <w:color w:val="000000" w:themeColor="text1"/>
                <w:sz w:val="22"/>
                <w:lang w:eastAsia="en-GB"/>
              </w:rPr>
              <w:t>6</w:t>
            </w:r>
          </w:p>
        </w:tc>
        <w:tc>
          <w:tcPr>
            <w:tcW w:w="2254" w:type="dxa"/>
            <w:noWrap/>
            <w:tcMar>
              <w:top w:w="0" w:type="dxa"/>
              <w:left w:w="108" w:type="dxa"/>
              <w:bottom w:w="0" w:type="dxa"/>
              <w:right w:w="108" w:type="dxa"/>
            </w:tcMar>
            <w:vAlign w:val="center"/>
          </w:tcPr>
          <w:p w14:paraId="2E524078" w14:textId="13C6A29E" w:rsidR="007A0D93" w:rsidRPr="00A93AB6" w:rsidRDefault="00A14C7A" w:rsidP="00A93AB6">
            <w:pPr>
              <w:spacing w:before="0" w:after="0"/>
              <w:jc w:val="center"/>
              <w:rPr>
                <w:sz w:val="22"/>
              </w:rPr>
            </w:pPr>
            <w:r>
              <w:rPr>
                <w:sz w:val="22"/>
              </w:rPr>
              <w:t>2</w:t>
            </w:r>
          </w:p>
        </w:tc>
        <w:tc>
          <w:tcPr>
            <w:tcW w:w="2254" w:type="dxa"/>
            <w:noWrap/>
            <w:tcMar>
              <w:top w:w="0" w:type="dxa"/>
              <w:left w:w="108" w:type="dxa"/>
              <w:bottom w:w="0" w:type="dxa"/>
              <w:right w:w="108" w:type="dxa"/>
            </w:tcMar>
            <w:vAlign w:val="center"/>
          </w:tcPr>
          <w:p w14:paraId="2480174F" w14:textId="7846C664" w:rsidR="007A0D93" w:rsidRPr="00A93AB6" w:rsidRDefault="00FF431A" w:rsidP="00A93AB6">
            <w:pPr>
              <w:spacing w:before="0" w:after="0"/>
              <w:jc w:val="center"/>
              <w:rPr>
                <w:sz w:val="22"/>
              </w:rPr>
            </w:pPr>
            <w:r>
              <w:rPr>
                <w:sz w:val="22"/>
              </w:rPr>
              <w:t>2</w:t>
            </w:r>
          </w:p>
        </w:tc>
      </w:tr>
      <w:tr w:rsidR="007A0D93" w14:paraId="57B77DD6" w14:textId="77777777" w:rsidTr="00D63BA7">
        <w:trPr>
          <w:trHeight w:hRule="exact" w:val="297"/>
        </w:trPr>
        <w:tc>
          <w:tcPr>
            <w:tcW w:w="2254" w:type="dxa"/>
            <w:noWrap/>
            <w:tcMar>
              <w:top w:w="0" w:type="dxa"/>
              <w:left w:w="108" w:type="dxa"/>
              <w:bottom w:w="0" w:type="dxa"/>
              <w:right w:w="108" w:type="dxa"/>
            </w:tcMar>
            <w:vAlign w:val="center"/>
          </w:tcPr>
          <w:p w14:paraId="7BE9AB4A" w14:textId="77777777" w:rsidR="007A0D93" w:rsidRPr="00A93AB6" w:rsidRDefault="007A0D93" w:rsidP="000C17B1">
            <w:pPr>
              <w:spacing w:before="0" w:after="0"/>
              <w:rPr>
                <w:sz w:val="22"/>
              </w:rPr>
            </w:pPr>
            <w:r w:rsidRPr="00A93AB6">
              <w:rPr>
                <w:rFonts w:eastAsia="Times New Roman"/>
                <w:b/>
                <w:color w:val="000000" w:themeColor="text1"/>
                <w:sz w:val="22"/>
                <w:lang w:val="en-US" w:eastAsia="en-GB"/>
              </w:rPr>
              <w:t>PRRB</w:t>
            </w:r>
          </w:p>
        </w:tc>
        <w:tc>
          <w:tcPr>
            <w:tcW w:w="2254" w:type="dxa"/>
            <w:noWrap/>
            <w:tcMar>
              <w:top w:w="0" w:type="dxa"/>
              <w:left w:w="108" w:type="dxa"/>
              <w:bottom w:w="0" w:type="dxa"/>
              <w:right w:w="108" w:type="dxa"/>
            </w:tcMar>
            <w:vAlign w:val="center"/>
          </w:tcPr>
          <w:p w14:paraId="4E5D33D6" w14:textId="33DEA226" w:rsidR="007A0D93" w:rsidRPr="00A93AB6" w:rsidRDefault="00574AC3" w:rsidP="00A93AB6">
            <w:pPr>
              <w:spacing w:before="0" w:after="0"/>
              <w:jc w:val="center"/>
              <w:rPr>
                <w:sz w:val="22"/>
              </w:rPr>
            </w:pPr>
            <w:r>
              <w:rPr>
                <w:sz w:val="22"/>
              </w:rPr>
              <w:t>6</w:t>
            </w:r>
          </w:p>
        </w:tc>
        <w:tc>
          <w:tcPr>
            <w:tcW w:w="2254" w:type="dxa"/>
            <w:noWrap/>
            <w:tcMar>
              <w:top w:w="0" w:type="dxa"/>
              <w:left w:w="108" w:type="dxa"/>
              <w:bottom w:w="0" w:type="dxa"/>
              <w:right w:w="108" w:type="dxa"/>
            </w:tcMar>
            <w:vAlign w:val="center"/>
          </w:tcPr>
          <w:p w14:paraId="689A7F9E" w14:textId="7EFF6CD5" w:rsidR="007A0D93" w:rsidRPr="00A93AB6" w:rsidRDefault="00027B61" w:rsidP="00A93AB6">
            <w:pPr>
              <w:spacing w:before="0" w:after="0"/>
              <w:jc w:val="center"/>
              <w:rPr>
                <w:sz w:val="22"/>
              </w:rPr>
            </w:pPr>
            <w:r>
              <w:rPr>
                <w:sz w:val="22"/>
              </w:rPr>
              <w:t>2</w:t>
            </w:r>
          </w:p>
        </w:tc>
        <w:tc>
          <w:tcPr>
            <w:tcW w:w="2254" w:type="dxa"/>
            <w:noWrap/>
            <w:tcMar>
              <w:top w:w="0" w:type="dxa"/>
              <w:left w:w="108" w:type="dxa"/>
              <w:bottom w:w="0" w:type="dxa"/>
              <w:right w:w="108" w:type="dxa"/>
            </w:tcMar>
            <w:vAlign w:val="center"/>
          </w:tcPr>
          <w:p w14:paraId="0A1EB94D" w14:textId="08F2254F" w:rsidR="007A0D93" w:rsidRPr="00A93AB6" w:rsidRDefault="00AD62EC" w:rsidP="00A93AB6">
            <w:pPr>
              <w:spacing w:before="0" w:after="0"/>
              <w:jc w:val="center"/>
              <w:rPr>
                <w:sz w:val="22"/>
              </w:rPr>
            </w:pPr>
            <w:r>
              <w:rPr>
                <w:sz w:val="22"/>
              </w:rPr>
              <w:t>1</w:t>
            </w:r>
          </w:p>
        </w:tc>
      </w:tr>
      <w:tr w:rsidR="007A0D93" w14:paraId="441F1740" w14:textId="77777777" w:rsidTr="00D63BA7">
        <w:trPr>
          <w:trHeight w:hRule="exact" w:val="297"/>
        </w:trPr>
        <w:tc>
          <w:tcPr>
            <w:tcW w:w="2254" w:type="dxa"/>
            <w:noWrap/>
            <w:tcMar>
              <w:top w:w="0" w:type="dxa"/>
              <w:left w:w="108" w:type="dxa"/>
              <w:bottom w:w="0" w:type="dxa"/>
              <w:right w:w="108" w:type="dxa"/>
            </w:tcMar>
            <w:vAlign w:val="center"/>
          </w:tcPr>
          <w:p w14:paraId="356363CB" w14:textId="77777777" w:rsidR="007A0D93" w:rsidRPr="00A93AB6" w:rsidRDefault="007A0D93" w:rsidP="000C17B1">
            <w:pPr>
              <w:spacing w:before="0" w:after="0"/>
              <w:rPr>
                <w:sz w:val="22"/>
              </w:rPr>
            </w:pPr>
            <w:r w:rsidRPr="00A93AB6">
              <w:rPr>
                <w:rFonts w:eastAsia="Times New Roman"/>
                <w:b/>
                <w:color w:val="000000" w:themeColor="text1"/>
                <w:sz w:val="22"/>
                <w:lang w:val="en-US" w:eastAsia="en-GB"/>
              </w:rPr>
              <w:t>PSPRB</w:t>
            </w:r>
          </w:p>
        </w:tc>
        <w:tc>
          <w:tcPr>
            <w:tcW w:w="2254" w:type="dxa"/>
            <w:noWrap/>
            <w:tcMar>
              <w:top w:w="0" w:type="dxa"/>
              <w:left w:w="108" w:type="dxa"/>
              <w:bottom w:w="0" w:type="dxa"/>
              <w:right w:w="108" w:type="dxa"/>
            </w:tcMar>
            <w:vAlign w:val="center"/>
          </w:tcPr>
          <w:p w14:paraId="40F82F8C" w14:textId="27FF3033" w:rsidR="007A0D93" w:rsidRPr="00A93AB6" w:rsidRDefault="5B7CA79C" w:rsidP="00A93AB6">
            <w:pPr>
              <w:spacing w:before="0" w:after="0"/>
              <w:jc w:val="center"/>
              <w:rPr>
                <w:sz w:val="22"/>
              </w:rPr>
            </w:pPr>
            <w:r w:rsidRPr="156C4956">
              <w:rPr>
                <w:sz w:val="22"/>
              </w:rPr>
              <w:t>9</w:t>
            </w:r>
          </w:p>
        </w:tc>
        <w:tc>
          <w:tcPr>
            <w:tcW w:w="2254" w:type="dxa"/>
            <w:noWrap/>
            <w:tcMar>
              <w:top w:w="0" w:type="dxa"/>
              <w:left w:w="108" w:type="dxa"/>
              <w:bottom w:w="0" w:type="dxa"/>
              <w:right w:w="108" w:type="dxa"/>
            </w:tcMar>
            <w:vAlign w:val="center"/>
          </w:tcPr>
          <w:p w14:paraId="0C44EEAC" w14:textId="03E8E215" w:rsidR="007A0D93" w:rsidRPr="00A93AB6" w:rsidRDefault="5B7CA79C" w:rsidP="00A93AB6">
            <w:pPr>
              <w:spacing w:before="0" w:after="0"/>
              <w:jc w:val="center"/>
              <w:rPr>
                <w:rFonts w:eastAsia="Times New Roman"/>
                <w:color w:val="000000"/>
                <w:sz w:val="22"/>
                <w:lang w:eastAsia="en-GB"/>
              </w:rPr>
            </w:pPr>
            <w:r w:rsidRPr="156C4956">
              <w:rPr>
                <w:rFonts w:eastAsia="Times New Roman"/>
                <w:color w:val="000000" w:themeColor="text1"/>
                <w:sz w:val="22"/>
                <w:lang w:eastAsia="en-GB"/>
              </w:rPr>
              <w:t>0</w:t>
            </w:r>
          </w:p>
        </w:tc>
        <w:tc>
          <w:tcPr>
            <w:tcW w:w="2254" w:type="dxa"/>
            <w:noWrap/>
            <w:tcMar>
              <w:top w:w="0" w:type="dxa"/>
              <w:left w:w="108" w:type="dxa"/>
              <w:bottom w:w="0" w:type="dxa"/>
              <w:right w:w="108" w:type="dxa"/>
            </w:tcMar>
            <w:vAlign w:val="center"/>
          </w:tcPr>
          <w:p w14:paraId="4B84E3AC" w14:textId="1835F308" w:rsidR="007A0D93" w:rsidRPr="00A93AB6" w:rsidRDefault="5ED6E09B" w:rsidP="00A93AB6">
            <w:pPr>
              <w:spacing w:before="0" w:after="0"/>
              <w:jc w:val="center"/>
              <w:rPr>
                <w:sz w:val="22"/>
              </w:rPr>
            </w:pPr>
            <w:r w:rsidRPr="156C4956">
              <w:rPr>
                <w:sz w:val="22"/>
              </w:rPr>
              <w:t>3</w:t>
            </w:r>
          </w:p>
        </w:tc>
      </w:tr>
      <w:tr w:rsidR="007A0D93" w14:paraId="68493DF0" w14:textId="77777777" w:rsidTr="00D63BA7">
        <w:trPr>
          <w:trHeight w:hRule="exact" w:val="297"/>
        </w:trPr>
        <w:tc>
          <w:tcPr>
            <w:tcW w:w="2254" w:type="dxa"/>
            <w:noWrap/>
            <w:tcMar>
              <w:top w:w="0" w:type="dxa"/>
              <w:left w:w="108" w:type="dxa"/>
              <w:bottom w:w="0" w:type="dxa"/>
              <w:right w:w="108" w:type="dxa"/>
            </w:tcMar>
            <w:vAlign w:val="center"/>
          </w:tcPr>
          <w:p w14:paraId="77CBBCF3" w14:textId="77777777" w:rsidR="007A0D93" w:rsidRPr="00A93AB6" w:rsidRDefault="007A0D93" w:rsidP="000C17B1">
            <w:pPr>
              <w:spacing w:before="0" w:after="0"/>
              <w:rPr>
                <w:sz w:val="22"/>
              </w:rPr>
            </w:pPr>
            <w:r w:rsidRPr="00A93AB6">
              <w:rPr>
                <w:rFonts w:eastAsia="Times New Roman"/>
                <w:b/>
                <w:color w:val="000000" w:themeColor="text1"/>
                <w:sz w:val="22"/>
                <w:lang w:val="en-US" w:eastAsia="en-GB"/>
              </w:rPr>
              <w:t>SSRB</w:t>
            </w:r>
          </w:p>
        </w:tc>
        <w:tc>
          <w:tcPr>
            <w:tcW w:w="2254" w:type="dxa"/>
            <w:noWrap/>
            <w:tcMar>
              <w:top w:w="0" w:type="dxa"/>
              <w:left w:w="108" w:type="dxa"/>
              <w:bottom w:w="0" w:type="dxa"/>
              <w:right w:w="108" w:type="dxa"/>
            </w:tcMar>
            <w:vAlign w:val="center"/>
          </w:tcPr>
          <w:p w14:paraId="5E1CBA26" w14:textId="68B9449C" w:rsidR="007A0D93" w:rsidRPr="006D6C1F" w:rsidRDefault="00ED4438" w:rsidP="00A93AB6">
            <w:pPr>
              <w:spacing w:before="0" w:after="0"/>
              <w:jc w:val="center"/>
              <w:rPr>
                <w:sz w:val="22"/>
              </w:rPr>
            </w:pPr>
            <w:r w:rsidRPr="006D6C1F">
              <w:rPr>
                <w:sz w:val="22"/>
              </w:rPr>
              <w:t>8</w:t>
            </w:r>
          </w:p>
        </w:tc>
        <w:tc>
          <w:tcPr>
            <w:tcW w:w="2254" w:type="dxa"/>
            <w:noWrap/>
            <w:tcMar>
              <w:top w:w="0" w:type="dxa"/>
              <w:left w:w="108" w:type="dxa"/>
              <w:bottom w:w="0" w:type="dxa"/>
              <w:right w:w="108" w:type="dxa"/>
            </w:tcMar>
            <w:vAlign w:val="center"/>
          </w:tcPr>
          <w:p w14:paraId="0F1E3806" w14:textId="151CC2ED" w:rsidR="007A0D93" w:rsidRPr="00154513" w:rsidRDefault="006D6C1F" w:rsidP="00A93AB6">
            <w:pPr>
              <w:spacing w:before="0" w:after="0"/>
              <w:jc w:val="center"/>
              <w:rPr>
                <w:rFonts w:eastAsia="Times New Roman"/>
                <w:sz w:val="22"/>
                <w:lang w:eastAsia="en-GB"/>
              </w:rPr>
            </w:pPr>
            <w:r w:rsidRPr="00154513">
              <w:rPr>
                <w:rFonts w:eastAsia="Times New Roman"/>
                <w:sz w:val="22"/>
                <w:lang w:eastAsia="en-GB"/>
              </w:rPr>
              <w:t>0</w:t>
            </w:r>
          </w:p>
        </w:tc>
        <w:tc>
          <w:tcPr>
            <w:tcW w:w="2254" w:type="dxa"/>
            <w:noWrap/>
            <w:tcMar>
              <w:top w:w="0" w:type="dxa"/>
              <w:left w:w="108" w:type="dxa"/>
              <w:bottom w:w="0" w:type="dxa"/>
              <w:right w:w="108" w:type="dxa"/>
            </w:tcMar>
            <w:vAlign w:val="center"/>
          </w:tcPr>
          <w:p w14:paraId="1557E718" w14:textId="0B6ECD60" w:rsidR="007A0D93" w:rsidRPr="003E121E" w:rsidRDefault="00006E4D" w:rsidP="00A93AB6">
            <w:pPr>
              <w:spacing w:before="0" w:after="0"/>
              <w:jc w:val="center"/>
              <w:rPr>
                <w:sz w:val="22"/>
              </w:rPr>
            </w:pPr>
            <w:r w:rsidRPr="003E121E">
              <w:rPr>
                <w:sz w:val="22"/>
              </w:rPr>
              <w:t>2</w:t>
            </w:r>
          </w:p>
        </w:tc>
      </w:tr>
      <w:tr w:rsidR="007A0D93" w14:paraId="579C4BDF" w14:textId="77777777" w:rsidTr="00D63BA7">
        <w:trPr>
          <w:trHeight w:hRule="exact" w:val="297"/>
        </w:trPr>
        <w:tc>
          <w:tcPr>
            <w:tcW w:w="2254" w:type="dxa"/>
            <w:noWrap/>
            <w:tcMar>
              <w:top w:w="0" w:type="dxa"/>
              <w:left w:w="108" w:type="dxa"/>
              <w:bottom w:w="0" w:type="dxa"/>
              <w:right w:w="108" w:type="dxa"/>
            </w:tcMar>
            <w:vAlign w:val="center"/>
          </w:tcPr>
          <w:p w14:paraId="5CD9FF32" w14:textId="77777777" w:rsidR="007A0D93" w:rsidRPr="00A93AB6" w:rsidRDefault="007A0D93" w:rsidP="000C17B1">
            <w:pPr>
              <w:spacing w:before="0" w:after="0"/>
              <w:rPr>
                <w:sz w:val="22"/>
              </w:rPr>
            </w:pPr>
            <w:r w:rsidRPr="00A93AB6">
              <w:rPr>
                <w:rFonts w:eastAsia="Times New Roman"/>
                <w:b/>
                <w:color w:val="000000" w:themeColor="text1"/>
                <w:sz w:val="22"/>
                <w:lang w:val="en-US" w:eastAsia="en-GB"/>
              </w:rPr>
              <w:t>STRB</w:t>
            </w:r>
          </w:p>
        </w:tc>
        <w:tc>
          <w:tcPr>
            <w:tcW w:w="2254" w:type="dxa"/>
            <w:noWrap/>
            <w:tcMar>
              <w:top w:w="0" w:type="dxa"/>
              <w:left w:w="108" w:type="dxa"/>
              <w:bottom w:w="0" w:type="dxa"/>
              <w:right w:w="108" w:type="dxa"/>
            </w:tcMar>
            <w:vAlign w:val="center"/>
          </w:tcPr>
          <w:p w14:paraId="3220074B" w14:textId="34C99618" w:rsidR="007A0D93" w:rsidRPr="00A93AB6" w:rsidRDefault="0094629E" w:rsidP="00A93AB6">
            <w:pPr>
              <w:spacing w:before="0" w:after="0"/>
              <w:jc w:val="center"/>
              <w:rPr>
                <w:sz w:val="22"/>
              </w:rPr>
            </w:pPr>
            <w:r>
              <w:rPr>
                <w:sz w:val="22"/>
              </w:rPr>
              <w:t>8</w:t>
            </w:r>
          </w:p>
        </w:tc>
        <w:tc>
          <w:tcPr>
            <w:tcW w:w="2254" w:type="dxa"/>
            <w:noWrap/>
            <w:tcMar>
              <w:top w:w="0" w:type="dxa"/>
              <w:left w:w="108" w:type="dxa"/>
              <w:bottom w:w="0" w:type="dxa"/>
              <w:right w:w="108" w:type="dxa"/>
            </w:tcMar>
            <w:vAlign w:val="center"/>
          </w:tcPr>
          <w:p w14:paraId="11C491D4" w14:textId="348FF5BB" w:rsidR="007A0D93" w:rsidRPr="00A93AB6" w:rsidRDefault="003173DB" w:rsidP="00A93AB6">
            <w:pPr>
              <w:spacing w:before="0" w:after="0"/>
              <w:jc w:val="center"/>
              <w:rPr>
                <w:rFonts w:eastAsia="Times New Roman"/>
                <w:color w:val="000000"/>
                <w:sz w:val="22"/>
                <w:lang w:eastAsia="en-GB"/>
              </w:rPr>
            </w:pPr>
            <w:r w:rsidRPr="00AA4EC7">
              <w:rPr>
                <w:rFonts w:eastAsia="Times New Roman"/>
                <w:color w:val="000000" w:themeColor="text1"/>
                <w:sz w:val="22"/>
                <w:lang w:eastAsia="en-GB"/>
              </w:rPr>
              <w:t>0</w:t>
            </w:r>
          </w:p>
        </w:tc>
        <w:tc>
          <w:tcPr>
            <w:tcW w:w="2254" w:type="dxa"/>
            <w:noWrap/>
            <w:tcMar>
              <w:top w:w="0" w:type="dxa"/>
              <w:left w:w="108" w:type="dxa"/>
              <w:bottom w:w="0" w:type="dxa"/>
              <w:right w:w="108" w:type="dxa"/>
            </w:tcMar>
            <w:vAlign w:val="center"/>
          </w:tcPr>
          <w:p w14:paraId="3D1B33BA" w14:textId="11D2C6B3" w:rsidR="007A0D93" w:rsidRPr="00A93AB6" w:rsidRDefault="003173DB" w:rsidP="00A93AB6">
            <w:pPr>
              <w:spacing w:before="0" w:after="0"/>
              <w:jc w:val="center"/>
              <w:rPr>
                <w:sz w:val="22"/>
              </w:rPr>
            </w:pPr>
            <w:r w:rsidRPr="00AA4EC7">
              <w:rPr>
                <w:sz w:val="22"/>
              </w:rPr>
              <w:t>4</w:t>
            </w:r>
          </w:p>
        </w:tc>
      </w:tr>
    </w:tbl>
    <w:p w14:paraId="387B9702" w14:textId="77777777" w:rsidR="0055656B" w:rsidRDefault="0055656B" w:rsidP="0055656B"/>
    <w:p w14:paraId="1CB6A38D" w14:textId="2AA60E5B" w:rsidR="00931884" w:rsidRDefault="00B22BE7" w:rsidP="00A60884">
      <w:pPr>
        <w:pStyle w:val="ListParagraph"/>
        <w:numPr>
          <w:ilvl w:val="1"/>
          <w:numId w:val="14"/>
        </w:numPr>
      </w:pPr>
      <w:r w:rsidRPr="68778AA1">
        <w:t>This table</w:t>
      </w:r>
      <w:r w:rsidR="00CD627C" w:rsidRPr="68778AA1">
        <w:t xml:space="preserve"> relates to the member appointments</w:t>
      </w:r>
      <w:r w:rsidR="00447BFE" w:rsidRPr="68778AA1">
        <w:t xml:space="preserve"> made</w:t>
      </w:r>
      <w:r w:rsidR="00CD627C" w:rsidRPr="68778AA1">
        <w:t xml:space="preserve"> </w:t>
      </w:r>
      <w:r w:rsidR="00863A76" w:rsidRPr="68778AA1">
        <w:t>from September 202</w:t>
      </w:r>
      <w:r w:rsidR="0090338E">
        <w:t>4</w:t>
      </w:r>
      <w:r w:rsidR="00863A76" w:rsidRPr="68778AA1">
        <w:t xml:space="preserve"> to </w:t>
      </w:r>
      <w:r w:rsidR="00F00C0C" w:rsidRPr="68778AA1">
        <w:t>August 202</w:t>
      </w:r>
      <w:r w:rsidR="0090338E">
        <w:t>5</w:t>
      </w:r>
      <w:r w:rsidR="00F00C0C" w:rsidRPr="68778AA1">
        <w:t xml:space="preserve">. The </w:t>
      </w:r>
      <w:r w:rsidR="00931884" w:rsidRPr="68778AA1">
        <w:t>‘</w:t>
      </w:r>
      <w:r w:rsidR="00F00C0C" w:rsidRPr="68778AA1">
        <w:t>member</w:t>
      </w:r>
      <w:r w:rsidR="00931884" w:rsidRPr="68778AA1">
        <w:t>s in place’</w:t>
      </w:r>
      <w:r w:rsidR="00F00C0C" w:rsidRPr="68778AA1">
        <w:t xml:space="preserve"> column depicts the number of members </w:t>
      </w:r>
      <w:r w:rsidR="00A664F4" w:rsidRPr="68778AA1">
        <w:t xml:space="preserve">that were in place on the PRB </w:t>
      </w:r>
      <w:r w:rsidR="00A426F8">
        <w:t>by the end of the</w:t>
      </w:r>
      <w:r w:rsidR="00A664F4" w:rsidRPr="68778AA1">
        <w:t xml:space="preserve"> September 202</w:t>
      </w:r>
      <w:r w:rsidR="00650964">
        <w:t>4</w:t>
      </w:r>
      <w:r w:rsidR="00A664F4" w:rsidRPr="68778AA1">
        <w:t xml:space="preserve"> to August 202</w:t>
      </w:r>
      <w:r w:rsidR="00650964">
        <w:t>5</w:t>
      </w:r>
      <w:r w:rsidR="00A426F8">
        <w:t xml:space="preserve"> period</w:t>
      </w:r>
      <w:r w:rsidR="00A664F4" w:rsidRPr="68778AA1">
        <w:t>.</w:t>
      </w:r>
    </w:p>
    <w:p w14:paraId="7246AC70" w14:textId="77777777" w:rsidR="0055656B" w:rsidRDefault="0055656B" w:rsidP="0055656B">
      <w:pPr>
        <w:pStyle w:val="ListParagraph"/>
        <w:ind w:left="530"/>
      </w:pPr>
    </w:p>
    <w:p w14:paraId="005AEC26" w14:textId="77777777" w:rsidR="00CF3A9F" w:rsidRDefault="001477DC" w:rsidP="00A60884">
      <w:pPr>
        <w:pStyle w:val="ListParagraph"/>
        <w:numPr>
          <w:ilvl w:val="1"/>
          <w:numId w:val="14"/>
        </w:numPr>
        <w:rPr>
          <w:szCs w:val="24"/>
        </w:rPr>
      </w:pPr>
      <w:r w:rsidRPr="0055656B">
        <w:rPr>
          <w:szCs w:val="24"/>
        </w:rPr>
        <w:t>‘</w:t>
      </w:r>
      <w:r w:rsidR="00D41BC6" w:rsidRPr="0055656B">
        <w:rPr>
          <w:szCs w:val="24"/>
        </w:rPr>
        <w:t>V</w:t>
      </w:r>
      <w:r w:rsidR="00F00C0C" w:rsidRPr="0055656B">
        <w:rPr>
          <w:szCs w:val="24"/>
        </w:rPr>
        <w:t>acancies</w:t>
      </w:r>
      <w:r w:rsidR="00D41BC6" w:rsidRPr="0055656B">
        <w:rPr>
          <w:szCs w:val="24"/>
        </w:rPr>
        <w:t xml:space="preserve"> on PRB’ </w:t>
      </w:r>
      <w:r w:rsidR="00A664F4" w:rsidRPr="0055656B">
        <w:rPr>
          <w:szCs w:val="24"/>
        </w:rPr>
        <w:t>refers to</w:t>
      </w:r>
      <w:r w:rsidR="00F00C0C" w:rsidRPr="0055656B">
        <w:rPr>
          <w:szCs w:val="24"/>
        </w:rPr>
        <w:t xml:space="preserve"> the number of </w:t>
      </w:r>
      <w:r w:rsidR="00F00C0C" w:rsidRPr="0055656B" w:rsidDel="00122331">
        <w:rPr>
          <w:szCs w:val="24"/>
        </w:rPr>
        <w:t>vacancies</w:t>
      </w:r>
      <w:r w:rsidR="00A664F4" w:rsidRPr="0055656B" w:rsidDel="00122331">
        <w:rPr>
          <w:szCs w:val="24"/>
        </w:rPr>
        <w:t xml:space="preserve"> </w:t>
      </w:r>
      <w:r w:rsidR="00D41BC6" w:rsidRPr="0055656B" w:rsidDel="00A70DD7">
        <w:rPr>
          <w:szCs w:val="24"/>
        </w:rPr>
        <w:t>on</w:t>
      </w:r>
      <w:r w:rsidR="00D41BC6" w:rsidRPr="0055656B" w:rsidDel="00AD02F5">
        <w:rPr>
          <w:szCs w:val="24"/>
        </w:rPr>
        <w:t xml:space="preserve"> </w:t>
      </w:r>
      <w:r w:rsidR="00D41BC6" w:rsidRPr="0055656B">
        <w:rPr>
          <w:szCs w:val="24"/>
        </w:rPr>
        <w:t>the pay review body</w:t>
      </w:r>
      <w:r w:rsidR="00186B64" w:rsidRPr="0055656B">
        <w:rPr>
          <w:szCs w:val="24"/>
        </w:rPr>
        <w:t xml:space="preserve"> at the start of </w:t>
      </w:r>
      <w:r w:rsidR="00AF1D89" w:rsidRPr="0055656B">
        <w:rPr>
          <w:szCs w:val="24"/>
        </w:rPr>
        <w:t xml:space="preserve">and throughout </w:t>
      </w:r>
      <w:r w:rsidR="00C41073" w:rsidRPr="0055656B">
        <w:rPr>
          <w:szCs w:val="24"/>
        </w:rPr>
        <w:t>the period</w:t>
      </w:r>
      <w:r w:rsidR="00CF3A9F">
        <w:rPr>
          <w:szCs w:val="24"/>
        </w:rPr>
        <w:t xml:space="preserve">. </w:t>
      </w:r>
    </w:p>
    <w:p w14:paraId="3B220FBF" w14:textId="77777777" w:rsidR="00CF3A9F" w:rsidRPr="00CF3A9F" w:rsidRDefault="00CF3A9F" w:rsidP="00CF3A9F">
      <w:pPr>
        <w:pStyle w:val="ListParagraph"/>
        <w:rPr>
          <w:szCs w:val="24"/>
        </w:rPr>
      </w:pPr>
    </w:p>
    <w:p w14:paraId="752581C2" w14:textId="6741067E" w:rsidR="00F00C0C" w:rsidRPr="0055656B" w:rsidRDefault="00D41BC6" w:rsidP="00A60884">
      <w:pPr>
        <w:pStyle w:val="ListParagraph"/>
        <w:numPr>
          <w:ilvl w:val="1"/>
          <w:numId w:val="14"/>
        </w:numPr>
        <w:rPr>
          <w:szCs w:val="24"/>
        </w:rPr>
      </w:pPr>
      <w:r w:rsidRPr="0055656B">
        <w:rPr>
          <w:szCs w:val="24"/>
        </w:rPr>
        <w:t xml:space="preserve">‘Appointments made’ </w:t>
      </w:r>
      <w:r w:rsidR="00C715AB" w:rsidRPr="0055656B">
        <w:rPr>
          <w:szCs w:val="24"/>
        </w:rPr>
        <w:t>refers</w:t>
      </w:r>
      <w:r w:rsidRPr="0055656B">
        <w:rPr>
          <w:szCs w:val="24"/>
        </w:rPr>
        <w:t xml:space="preserve"> </w:t>
      </w:r>
      <w:r w:rsidR="00372E22" w:rsidRPr="0055656B">
        <w:rPr>
          <w:szCs w:val="24"/>
        </w:rPr>
        <w:t xml:space="preserve">to </w:t>
      </w:r>
      <w:r w:rsidRPr="0055656B">
        <w:rPr>
          <w:szCs w:val="24"/>
        </w:rPr>
        <w:t>the number of member appointments</w:t>
      </w:r>
      <w:r w:rsidR="00C41073" w:rsidRPr="0055656B">
        <w:rPr>
          <w:szCs w:val="24"/>
        </w:rPr>
        <w:t xml:space="preserve"> that were</w:t>
      </w:r>
      <w:r w:rsidRPr="0055656B">
        <w:rPr>
          <w:szCs w:val="24"/>
        </w:rPr>
        <w:t xml:space="preserve"> made from September 202</w:t>
      </w:r>
      <w:r w:rsidR="00247ECE">
        <w:rPr>
          <w:szCs w:val="24"/>
        </w:rPr>
        <w:t>4</w:t>
      </w:r>
      <w:r w:rsidRPr="0055656B">
        <w:rPr>
          <w:szCs w:val="24"/>
        </w:rPr>
        <w:t xml:space="preserve"> to August 202</w:t>
      </w:r>
      <w:r w:rsidR="00247ECE">
        <w:rPr>
          <w:szCs w:val="24"/>
        </w:rPr>
        <w:t>5</w:t>
      </w:r>
      <w:r w:rsidRPr="0055656B">
        <w:rPr>
          <w:szCs w:val="24"/>
        </w:rPr>
        <w:t>.</w:t>
      </w:r>
    </w:p>
    <w:p w14:paraId="493086C2" w14:textId="77777777" w:rsidR="001C1DB8" w:rsidRDefault="001C1DB8">
      <w:pPr>
        <w:spacing w:before="0" w:after="0"/>
        <w:textAlignment w:val="baseline"/>
      </w:pPr>
    </w:p>
    <w:p w14:paraId="77CA36EE" w14:textId="77777777" w:rsidR="00F51AAD" w:rsidRDefault="00F51AAD">
      <w:pPr>
        <w:spacing w:before="0" w:after="0"/>
        <w:textAlignment w:val="baseline"/>
      </w:pPr>
    </w:p>
    <w:p w14:paraId="542BB0AD" w14:textId="77777777" w:rsidR="00F51AAD" w:rsidRDefault="00F51AAD">
      <w:pPr>
        <w:spacing w:before="0" w:after="0"/>
        <w:textAlignment w:val="baseline"/>
      </w:pPr>
    </w:p>
    <w:p w14:paraId="63DDCD14" w14:textId="77777777" w:rsidR="00F51AAD" w:rsidRDefault="00F51AAD">
      <w:pPr>
        <w:spacing w:before="0" w:after="0"/>
        <w:textAlignment w:val="baseline"/>
      </w:pPr>
    </w:p>
    <w:p w14:paraId="684AF32D" w14:textId="77777777" w:rsidR="00F51AAD" w:rsidRDefault="00F51AAD">
      <w:pPr>
        <w:spacing w:before="0" w:after="0"/>
        <w:textAlignment w:val="baseline"/>
      </w:pPr>
    </w:p>
    <w:p w14:paraId="5FB71DF6" w14:textId="77777777" w:rsidR="00F51AAD" w:rsidRDefault="00F51AAD">
      <w:pPr>
        <w:spacing w:before="0" w:after="0"/>
        <w:textAlignment w:val="baseline"/>
      </w:pPr>
    </w:p>
    <w:p w14:paraId="58C1D450" w14:textId="77777777" w:rsidR="00F51AAD" w:rsidRDefault="00F51AAD">
      <w:pPr>
        <w:spacing w:before="0" w:after="0"/>
        <w:textAlignment w:val="baseline"/>
      </w:pPr>
    </w:p>
    <w:p w14:paraId="17CF4B8D" w14:textId="77777777" w:rsidR="00F51AAD" w:rsidRDefault="00F51AAD">
      <w:pPr>
        <w:spacing w:before="0" w:after="0"/>
        <w:textAlignment w:val="baseline"/>
      </w:pPr>
    </w:p>
    <w:p w14:paraId="2E88DA80" w14:textId="77777777" w:rsidR="00F51AAD" w:rsidRDefault="00F51AAD">
      <w:pPr>
        <w:spacing w:before="0" w:after="0"/>
        <w:textAlignment w:val="baseline"/>
      </w:pPr>
    </w:p>
    <w:p w14:paraId="6D9A2110" w14:textId="77777777" w:rsidR="00F51AAD" w:rsidRDefault="00F51AAD">
      <w:pPr>
        <w:spacing w:before="0" w:after="0"/>
        <w:textAlignment w:val="baseline"/>
      </w:pPr>
    </w:p>
    <w:p w14:paraId="2CDA6847" w14:textId="77777777" w:rsidR="00F51AAD" w:rsidRDefault="00F51AAD">
      <w:pPr>
        <w:spacing w:before="0" w:after="0"/>
        <w:textAlignment w:val="baseline"/>
      </w:pPr>
    </w:p>
    <w:p w14:paraId="7BA4DEDC" w14:textId="77777777" w:rsidR="00845221" w:rsidRDefault="00845221">
      <w:pPr>
        <w:spacing w:before="0" w:after="0"/>
        <w:textAlignment w:val="baseline"/>
      </w:pPr>
    </w:p>
    <w:p w14:paraId="320B56DA" w14:textId="77777777" w:rsidR="00A80908" w:rsidRDefault="00A80908">
      <w:pPr>
        <w:suppressAutoHyphens w:val="0"/>
        <w:spacing w:before="0" w:after="160"/>
        <w:rPr>
          <w:rFonts w:eastAsia="Times New Roman"/>
          <w:b/>
          <w:bCs/>
          <w:sz w:val="28"/>
          <w:szCs w:val="28"/>
          <w:lang w:eastAsia="en-GB"/>
        </w:rPr>
      </w:pPr>
      <w:bookmarkStart w:id="29" w:name="_Hlk181888841"/>
      <w:r>
        <w:rPr>
          <w:rFonts w:eastAsia="Times New Roman"/>
          <w:b/>
          <w:bCs/>
          <w:sz w:val="28"/>
          <w:szCs w:val="28"/>
          <w:lang w:eastAsia="en-GB"/>
        </w:rPr>
        <w:br w:type="page"/>
      </w:r>
    </w:p>
    <w:p w14:paraId="6866C59B" w14:textId="3EA01BE1" w:rsidR="001C1DB8" w:rsidRDefault="00FB2C3B" w:rsidP="00165D90">
      <w:pPr>
        <w:pStyle w:val="Heading1"/>
      </w:pPr>
      <w:bookmarkStart w:id="30" w:name="_Toc188365125"/>
      <w:r w:rsidRPr="00165D90">
        <w:lastRenderedPageBreak/>
        <w:t xml:space="preserve">Annex A: </w:t>
      </w:r>
      <w:r w:rsidR="0069401E" w:rsidRPr="00165D90">
        <w:t xml:space="preserve">OPRB </w:t>
      </w:r>
      <w:r w:rsidRPr="00165D90">
        <w:t>staff resources 202</w:t>
      </w:r>
      <w:r w:rsidR="009A2A78">
        <w:t>4</w:t>
      </w:r>
      <w:r w:rsidRPr="00165D90">
        <w:t xml:space="preserve"> and </w:t>
      </w:r>
      <w:bookmarkEnd w:id="30"/>
      <w:r w:rsidRPr="00165D90">
        <w:t>202</w:t>
      </w:r>
      <w:r w:rsidR="009A2A78">
        <w:t>5</w:t>
      </w:r>
      <w:r w:rsidRPr="00165D90">
        <w:t> </w:t>
      </w:r>
    </w:p>
    <w:bookmarkEnd w:id="29"/>
    <w:p w14:paraId="6866C59C" w14:textId="77777777" w:rsidR="001C1DB8" w:rsidRDefault="001C1DB8">
      <w:pPr>
        <w:spacing w:before="0" w:after="0"/>
        <w:textAlignment w:val="baseline"/>
        <w:rPr>
          <w:rFonts w:ascii="Segoe UI" w:eastAsia="Times New Roman" w:hAnsi="Segoe UI" w:cs="Segoe UI"/>
          <w:b/>
          <w:bCs/>
          <w:color w:val="000000"/>
          <w:sz w:val="18"/>
          <w:szCs w:val="18"/>
          <w:lang w:eastAsia="en-GB"/>
        </w:rPr>
      </w:pPr>
    </w:p>
    <w:p w14:paraId="6866C59D" w14:textId="1CAB5D6D" w:rsidR="001C1DB8" w:rsidRDefault="00FB2C3B">
      <w:pPr>
        <w:spacing w:before="0" w:after="0"/>
        <w:textAlignment w:val="baseline"/>
        <w:rPr>
          <w:rFonts w:eastAsia="Times New Roman"/>
          <w:i/>
          <w:iCs/>
          <w:color w:val="44546A"/>
          <w:szCs w:val="24"/>
          <w:lang w:eastAsia="en-GB"/>
        </w:rPr>
      </w:pPr>
      <w:r>
        <w:rPr>
          <w:rFonts w:eastAsia="Times New Roman"/>
          <w:i/>
          <w:iCs/>
          <w:color w:val="44546A"/>
          <w:szCs w:val="24"/>
          <w:lang w:eastAsia="en-GB"/>
        </w:rPr>
        <w:t xml:space="preserve">Table 2: The </w:t>
      </w:r>
      <w:r w:rsidR="0069401E">
        <w:rPr>
          <w:rFonts w:eastAsia="Times New Roman"/>
          <w:i/>
          <w:iCs/>
          <w:color w:val="44546A"/>
          <w:szCs w:val="24"/>
          <w:lang w:eastAsia="en-GB"/>
        </w:rPr>
        <w:t xml:space="preserve">OPRB’s </w:t>
      </w:r>
      <w:r>
        <w:rPr>
          <w:rFonts w:eastAsia="Times New Roman"/>
          <w:i/>
          <w:iCs/>
          <w:color w:val="44546A"/>
          <w:szCs w:val="24"/>
          <w:lang w:eastAsia="en-GB"/>
        </w:rPr>
        <w:t xml:space="preserve">staff in post as </w:t>
      </w:r>
      <w:proofErr w:type="gramStart"/>
      <w:r>
        <w:rPr>
          <w:rFonts w:eastAsia="Times New Roman"/>
          <w:i/>
          <w:iCs/>
          <w:color w:val="44546A"/>
          <w:szCs w:val="24"/>
          <w:lang w:eastAsia="en-GB"/>
        </w:rPr>
        <w:t>at</w:t>
      </w:r>
      <w:proofErr w:type="gramEnd"/>
      <w:r>
        <w:rPr>
          <w:rFonts w:eastAsia="Times New Roman"/>
          <w:i/>
          <w:iCs/>
          <w:color w:val="44546A"/>
          <w:szCs w:val="24"/>
          <w:lang w:eastAsia="en-GB"/>
        </w:rPr>
        <w:t xml:space="preserve"> 31 August in 202</w:t>
      </w:r>
      <w:r w:rsidR="009A2A78">
        <w:rPr>
          <w:rFonts w:eastAsia="Times New Roman"/>
          <w:i/>
          <w:iCs/>
          <w:color w:val="44546A"/>
          <w:szCs w:val="24"/>
          <w:lang w:eastAsia="en-GB"/>
        </w:rPr>
        <w:t>4</w:t>
      </w:r>
      <w:r>
        <w:rPr>
          <w:rFonts w:eastAsia="Times New Roman"/>
          <w:i/>
          <w:iCs/>
          <w:color w:val="44546A"/>
          <w:szCs w:val="24"/>
          <w:lang w:eastAsia="en-GB"/>
        </w:rPr>
        <w:t xml:space="preserve"> and 202</w:t>
      </w:r>
      <w:r w:rsidR="009A2A78">
        <w:rPr>
          <w:rFonts w:eastAsia="Times New Roman"/>
          <w:i/>
          <w:iCs/>
          <w:color w:val="44546A"/>
          <w:szCs w:val="24"/>
          <w:lang w:eastAsia="en-GB"/>
        </w:rPr>
        <w:t>5</w:t>
      </w:r>
      <w:r>
        <w:rPr>
          <w:rFonts w:eastAsia="Times New Roman"/>
          <w:i/>
          <w:iCs/>
          <w:color w:val="44546A"/>
          <w:szCs w:val="24"/>
          <w:lang w:eastAsia="en-GB"/>
        </w:rPr>
        <w:t>, headcount and full-time equivalent (FTE). </w:t>
      </w:r>
    </w:p>
    <w:p w14:paraId="6866C59E" w14:textId="77777777" w:rsidR="001C1DB8" w:rsidRDefault="001C1DB8">
      <w:pPr>
        <w:spacing w:before="0" w:after="0"/>
        <w:textAlignment w:val="baseline"/>
        <w:rPr>
          <w:rFonts w:ascii="Segoe UI" w:eastAsia="Times New Roman" w:hAnsi="Segoe UI" w:cs="Segoe UI"/>
          <w:i/>
          <w:iCs/>
          <w:color w:val="44546A"/>
          <w:sz w:val="18"/>
          <w:szCs w:val="18"/>
          <w:lang w:eastAsia="en-GB"/>
        </w:rPr>
      </w:pPr>
    </w:p>
    <w:tbl>
      <w:tblPr>
        <w:tblW w:w="8760" w:type="dxa"/>
        <w:tblCellMar>
          <w:left w:w="10" w:type="dxa"/>
          <w:right w:w="10" w:type="dxa"/>
        </w:tblCellMar>
        <w:tblLook w:val="0000" w:firstRow="0" w:lastRow="0" w:firstColumn="0" w:lastColumn="0" w:noHBand="0" w:noVBand="0"/>
      </w:tblPr>
      <w:tblGrid>
        <w:gridCol w:w="1840"/>
        <w:gridCol w:w="1829"/>
        <w:gridCol w:w="1630"/>
        <w:gridCol w:w="1829"/>
        <w:gridCol w:w="1632"/>
      </w:tblGrid>
      <w:tr w:rsidR="00C532EA" w14:paraId="6866C5A6" w14:textId="13E5B215" w:rsidTr="008E7E72">
        <w:trPr>
          <w:trHeight w:val="744"/>
        </w:trPr>
        <w:tc>
          <w:tcPr>
            <w:tcW w:w="1840" w:type="dxa"/>
            <w:tcBorders>
              <w:top w:val="single" w:sz="6" w:space="0" w:color="A5A5A5"/>
              <w:left w:val="single" w:sz="6" w:space="0" w:color="A5A5A5"/>
            </w:tcBorders>
            <w:tcMar>
              <w:top w:w="0" w:type="dxa"/>
              <w:left w:w="0" w:type="dxa"/>
              <w:bottom w:w="0" w:type="dxa"/>
              <w:right w:w="0" w:type="dxa"/>
            </w:tcMar>
          </w:tcPr>
          <w:p w14:paraId="6866C59F" w14:textId="77777777" w:rsidR="00C532EA" w:rsidRDefault="00C532EA">
            <w:pPr>
              <w:spacing w:before="0" w:after="0"/>
              <w:textAlignment w:val="baseline"/>
            </w:pPr>
            <w:r>
              <w:rPr>
                <w:rFonts w:eastAsia="Times New Roman"/>
                <w:b/>
                <w:bCs/>
                <w:color w:val="000000"/>
                <w:szCs w:val="24"/>
                <w:lang w:eastAsia="en-GB"/>
              </w:rPr>
              <w:t>Grade</w:t>
            </w:r>
            <w:r>
              <w:rPr>
                <w:rFonts w:eastAsia="Times New Roman"/>
                <w:color w:val="000000"/>
                <w:szCs w:val="24"/>
                <w:lang w:eastAsia="en-GB"/>
              </w:rPr>
              <w:t> </w:t>
            </w:r>
          </w:p>
        </w:tc>
        <w:tc>
          <w:tcPr>
            <w:tcW w:w="1829" w:type="dxa"/>
            <w:tcBorders>
              <w:top w:val="single" w:sz="6" w:space="0" w:color="A5A5A5"/>
            </w:tcBorders>
            <w:tcMar>
              <w:top w:w="0" w:type="dxa"/>
              <w:left w:w="0" w:type="dxa"/>
              <w:bottom w:w="0" w:type="dxa"/>
              <w:right w:w="0" w:type="dxa"/>
            </w:tcMar>
          </w:tcPr>
          <w:p w14:paraId="6866C5A0" w14:textId="752BE28E" w:rsidR="00C532EA" w:rsidRDefault="00C532EA">
            <w:pPr>
              <w:spacing w:before="0" w:after="0"/>
              <w:jc w:val="right"/>
              <w:textAlignment w:val="baseline"/>
            </w:pPr>
            <w:r>
              <w:rPr>
                <w:rFonts w:eastAsia="Times New Roman"/>
                <w:b/>
                <w:bCs/>
                <w:color w:val="000000"/>
                <w:szCs w:val="24"/>
                <w:lang w:eastAsia="en-GB"/>
              </w:rPr>
              <w:t>Headcount 202</w:t>
            </w:r>
            <w:r w:rsidR="003F3B99">
              <w:rPr>
                <w:rFonts w:eastAsia="Times New Roman"/>
                <w:b/>
                <w:bCs/>
                <w:color w:val="000000"/>
                <w:szCs w:val="24"/>
                <w:lang w:eastAsia="en-GB"/>
              </w:rPr>
              <w:t>4</w:t>
            </w:r>
            <w:r>
              <w:rPr>
                <w:rFonts w:eastAsia="Times New Roman"/>
                <w:color w:val="000000"/>
                <w:szCs w:val="24"/>
                <w:lang w:eastAsia="en-GB"/>
              </w:rPr>
              <w:t> </w:t>
            </w:r>
          </w:p>
        </w:tc>
        <w:tc>
          <w:tcPr>
            <w:tcW w:w="1630" w:type="dxa"/>
            <w:tcBorders>
              <w:top w:val="single" w:sz="6" w:space="0" w:color="A5A5A5"/>
            </w:tcBorders>
            <w:tcMar>
              <w:top w:w="0" w:type="dxa"/>
              <w:left w:w="0" w:type="dxa"/>
              <w:bottom w:w="0" w:type="dxa"/>
              <w:right w:w="0" w:type="dxa"/>
            </w:tcMar>
          </w:tcPr>
          <w:p w14:paraId="6866C5A1" w14:textId="74350E64" w:rsidR="00C532EA" w:rsidRDefault="00C532EA">
            <w:pPr>
              <w:spacing w:before="0" w:after="0"/>
              <w:jc w:val="right"/>
              <w:textAlignment w:val="baseline"/>
            </w:pPr>
            <w:r>
              <w:rPr>
                <w:rFonts w:eastAsia="Times New Roman"/>
                <w:b/>
                <w:bCs/>
                <w:color w:val="000000"/>
                <w:szCs w:val="24"/>
                <w:lang w:eastAsia="en-GB"/>
              </w:rPr>
              <w:t>FTE </w:t>
            </w:r>
            <w:r>
              <w:rPr>
                <w:rFonts w:eastAsia="Times New Roman"/>
                <w:color w:val="000000"/>
                <w:szCs w:val="24"/>
                <w:lang w:eastAsia="en-GB"/>
              </w:rPr>
              <w:t> </w:t>
            </w:r>
          </w:p>
          <w:p w14:paraId="6866C5A2" w14:textId="2F9F5820" w:rsidR="00C532EA" w:rsidRDefault="00C532EA">
            <w:pPr>
              <w:spacing w:before="0" w:after="0"/>
              <w:jc w:val="right"/>
              <w:textAlignment w:val="baseline"/>
            </w:pPr>
            <w:r>
              <w:rPr>
                <w:rFonts w:eastAsia="Times New Roman"/>
                <w:b/>
                <w:bCs/>
                <w:color w:val="000000"/>
                <w:szCs w:val="24"/>
                <w:lang w:eastAsia="en-GB"/>
              </w:rPr>
              <w:t>202</w:t>
            </w:r>
            <w:r w:rsidR="003F3B99">
              <w:rPr>
                <w:rFonts w:eastAsia="Times New Roman"/>
                <w:b/>
                <w:bCs/>
                <w:color w:val="000000"/>
                <w:szCs w:val="24"/>
                <w:lang w:eastAsia="en-GB"/>
              </w:rPr>
              <w:t>4</w:t>
            </w:r>
            <w:r>
              <w:rPr>
                <w:rFonts w:eastAsia="Times New Roman"/>
                <w:color w:val="000000"/>
                <w:szCs w:val="24"/>
                <w:lang w:eastAsia="en-GB"/>
              </w:rPr>
              <w:t> </w:t>
            </w:r>
          </w:p>
        </w:tc>
        <w:tc>
          <w:tcPr>
            <w:tcW w:w="1829" w:type="dxa"/>
            <w:tcBorders>
              <w:top w:val="single" w:sz="6" w:space="0" w:color="A5A5A5"/>
            </w:tcBorders>
            <w:tcMar>
              <w:top w:w="0" w:type="dxa"/>
              <w:left w:w="0" w:type="dxa"/>
              <w:bottom w:w="0" w:type="dxa"/>
              <w:right w:w="0" w:type="dxa"/>
            </w:tcMar>
          </w:tcPr>
          <w:p w14:paraId="6866C5A3" w14:textId="0F0484E4" w:rsidR="00C532EA" w:rsidRDefault="00C532EA">
            <w:pPr>
              <w:spacing w:before="0" w:after="0"/>
              <w:jc w:val="right"/>
              <w:textAlignment w:val="baseline"/>
            </w:pPr>
            <w:r>
              <w:rPr>
                <w:rFonts w:eastAsia="Times New Roman"/>
                <w:b/>
                <w:bCs/>
                <w:color w:val="000000"/>
                <w:szCs w:val="24"/>
                <w:lang w:eastAsia="en-GB"/>
              </w:rPr>
              <w:t>Headcount 202</w:t>
            </w:r>
            <w:r w:rsidR="0068074C">
              <w:rPr>
                <w:rFonts w:eastAsia="Times New Roman"/>
                <w:b/>
                <w:bCs/>
                <w:color w:val="000000"/>
                <w:szCs w:val="24"/>
                <w:lang w:eastAsia="en-GB"/>
              </w:rPr>
              <w:t>5</w:t>
            </w:r>
            <w:r>
              <w:rPr>
                <w:rFonts w:eastAsia="Times New Roman"/>
                <w:color w:val="000000"/>
                <w:szCs w:val="24"/>
                <w:lang w:eastAsia="en-GB"/>
              </w:rPr>
              <w:t> </w:t>
            </w:r>
          </w:p>
        </w:tc>
        <w:tc>
          <w:tcPr>
            <w:tcW w:w="1632" w:type="dxa"/>
            <w:tcBorders>
              <w:top w:val="single" w:sz="6" w:space="0" w:color="A5A5A5"/>
              <w:right w:val="single" w:sz="6" w:space="0" w:color="A5A5A5"/>
            </w:tcBorders>
            <w:tcMar>
              <w:top w:w="0" w:type="dxa"/>
              <w:left w:w="0" w:type="dxa"/>
              <w:bottom w:w="0" w:type="dxa"/>
              <w:right w:w="0" w:type="dxa"/>
            </w:tcMar>
          </w:tcPr>
          <w:p w14:paraId="6866C5A4" w14:textId="32760857" w:rsidR="00C532EA" w:rsidRDefault="00C532EA">
            <w:pPr>
              <w:spacing w:before="0" w:after="0"/>
              <w:jc w:val="right"/>
              <w:textAlignment w:val="baseline"/>
            </w:pPr>
            <w:r>
              <w:rPr>
                <w:rFonts w:eastAsia="Times New Roman"/>
                <w:b/>
                <w:bCs/>
                <w:color w:val="000000"/>
                <w:szCs w:val="24"/>
                <w:lang w:eastAsia="en-GB"/>
              </w:rPr>
              <w:t>FTE </w:t>
            </w:r>
            <w:r>
              <w:rPr>
                <w:rFonts w:eastAsia="Times New Roman"/>
                <w:color w:val="000000"/>
                <w:szCs w:val="24"/>
                <w:lang w:eastAsia="en-GB"/>
              </w:rPr>
              <w:t> </w:t>
            </w:r>
          </w:p>
          <w:p w14:paraId="6866C5A5" w14:textId="3B6ADA52" w:rsidR="00C532EA" w:rsidRDefault="00C532EA">
            <w:pPr>
              <w:spacing w:before="0" w:after="0"/>
              <w:jc w:val="right"/>
              <w:textAlignment w:val="baseline"/>
            </w:pPr>
            <w:r>
              <w:rPr>
                <w:rFonts w:eastAsia="Times New Roman"/>
                <w:b/>
                <w:bCs/>
                <w:color w:val="000000"/>
                <w:szCs w:val="24"/>
                <w:lang w:eastAsia="en-GB"/>
              </w:rPr>
              <w:t>202</w:t>
            </w:r>
            <w:r w:rsidR="0068074C">
              <w:rPr>
                <w:rFonts w:eastAsia="Times New Roman"/>
                <w:b/>
                <w:bCs/>
                <w:color w:val="000000"/>
                <w:szCs w:val="24"/>
                <w:lang w:eastAsia="en-GB"/>
              </w:rPr>
              <w:t>5</w:t>
            </w:r>
            <w:r>
              <w:rPr>
                <w:rFonts w:eastAsia="Times New Roman"/>
                <w:color w:val="000000"/>
                <w:szCs w:val="24"/>
                <w:lang w:eastAsia="en-GB"/>
              </w:rPr>
              <w:t> </w:t>
            </w:r>
          </w:p>
        </w:tc>
      </w:tr>
      <w:tr w:rsidR="00C532EA" w14:paraId="6866C5AC" w14:textId="4E4E1924" w:rsidTr="008E7E72">
        <w:trPr>
          <w:trHeight w:val="304"/>
        </w:trPr>
        <w:tc>
          <w:tcPr>
            <w:tcW w:w="1840" w:type="dxa"/>
            <w:tcBorders>
              <w:left w:val="single" w:sz="6" w:space="0" w:color="A5A5A5"/>
            </w:tcBorders>
            <w:tcMar>
              <w:top w:w="0" w:type="dxa"/>
              <w:left w:w="0" w:type="dxa"/>
              <w:bottom w:w="0" w:type="dxa"/>
              <w:right w:w="0" w:type="dxa"/>
            </w:tcMar>
            <w:vAlign w:val="center"/>
          </w:tcPr>
          <w:p w14:paraId="6866C5A7" w14:textId="77777777" w:rsidR="00C532EA" w:rsidRDefault="00C532EA">
            <w:pPr>
              <w:spacing w:before="0" w:after="0"/>
              <w:textAlignment w:val="baseline"/>
            </w:pPr>
            <w:r>
              <w:rPr>
                <w:rFonts w:eastAsia="Times New Roman"/>
                <w:color w:val="000000"/>
                <w:szCs w:val="24"/>
                <w:lang w:val="en-US" w:eastAsia="en-GB"/>
              </w:rPr>
              <w:t>SCS</w:t>
            </w:r>
            <w:r>
              <w:rPr>
                <w:rFonts w:eastAsia="Times New Roman"/>
                <w:color w:val="000000"/>
                <w:szCs w:val="24"/>
                <w:lang w:eastAsia="en-GB"/>
              </w:rPr>
              <w:t> </w:t>
            </w:r>
          </w:p>
        </w:tc>
        <w:tc>
          <w:tcPr>
            <w:tcW w:w="1829" w:type="dxa"/>
            <w:tcMar>
              <w:top w:w="0" w:type="dxa"/>
              <w:left w:w="0" w:type="dxa"/>
              <w:bottom w:w="0" w:type="dxa"/>
              <w:right w:w="0" w:type="dxa"/>
            </w:tcMar>
          </w:tcPr>
          <w:p w14:paraId="6866C5A8" w14:textId="0D465E2C" w:rsidR="00C532EA" w:rsidRDefault="00246C19">
            <w:pPr>
              <w:spacing w:before="0" w:after="0"/>
              <w:jc w:val="right"/>
              <w:textAlignment w:val="baseline"/>
            </w:pPr>
            <w:r>
              <w:rPr>
                <w:rFonts w:eastAsia="Times New Roman"/>
                <w:color w:val="000000"/>
                <w:szCs w:val="24"/>
                <w:lang w:eastAsia="en-GB"/>
              </w:rPr>
              <w:t>4 </w:t>
            </w:r>
          </w:p>
        </w:tc>
        <w:tc>
          <w:tcPr>
            <w:tcW w:w="1630" w:type="dxa"/>
            <w:tcMar>
              <w:top w:w="0" w:type="dxa"/>
              <w:left w:w="0" w:type="dxa"/>
              <w:bottom w:w="0" w:type="dxa"/>
              <w:right w:w="0" w:type="dxa"/>
            </w:tcMar>
          </w:tcPr>
          <w:p w14:paraId="6866C5A9" w14:textId="5F97846A" w:rsidR="00C532EA" w:rsidRDefault="00930A48">
            <w:pPr>
              <w:spacing w:before="0" w:after="0"/>
              <w:jc w:val="right"/>
              <w:textAlignment w:val="baseline"/>
            </w:pPr>
            <w:r>
              <w:rPr>
                <w:rFonts w:eastAsia="Times New Roman"/>
                <w:color w:val="000000"/>
                <w:szCs w:val="24"/>
                <w:lang w:eastAsia="en-GB"/>
              </w:rPr>
              <w:t>3</w:t>
            </w:r>
            <w:r w:rsidR="00C532EA">
              <w:rPr>
                <w:rFonts w:eastAsia="Times New Roman"/>
                <w:color w:val="000000"/>
                <w:szCs w:val="24"/>
                <w:lang w:eastAsia="en-GB"/>
              </w:rPr>
              <w:t>.5 </w:t>
            </w:r>
          </w:p>
        </w:tc>
        <w:tc>
          <w:tcPr>
            <w:tcW w:w="1829" w:type="dxa"/>
            <w:tcMar>
              <w:top w:w="0" w:type="dxa"/>
              <w:left w:w="0" w:type="dxa"/>
              <w:bottom w:w="0" w:type="dxa"/>
              <w:right w:w="0" w:type="dxa"/>
            </w:tcMar>
          </w:tcPr>
          <w:p w14:paraId="6866C5AA" w14:textId="52BFCCD2" w:rsidR="00C532EA" w:rsidRDefault="005E0D01">
            <w:pPr>
              <w:spacing w:before="0" w:after="0"/>
              <w:jc w:val="right"/>
              <w:textAlignment w:val="baseline"/>
            </w:pPr>
            <w:r>
              <w:rPr>
                <w:rFonts w:eastAsia="Times New Roman"/>
                <w:color w:val="000000"/>
                <w:szCs w:val="24"/>
                <w:lang w:eastAsia="en-GB"/>
              </w:rPr>
              <w:t>6</w:t>
            </w:r>
            <w:r w:rsidR="00C532EA">
              <w:rPr>
                <w:rFonts w:eastAsia="Times New Roman"/>
                <w:color w:val="000000"/>
                <w:szCs w:val="24"/>
                <w:lang w:eastAsia="en-GB"/>
              </w:rPr>
              <w:t> </w:t>
            </w:r>
          </w:p>
        </w:tc>
        <w:tc>
          <w:tcPr>
            <w:tcW w:w="1632" w:type="dxa"/>
            <w:tcBorders>
              <w:right w:val="single" w:sz="6" w:space="0" w:color="A5A5A5"/>
            </w:tcBorders>
            <w:tcMar>
              <w:top w:w="0" w:type="dxa"/>
              <w:left w:w="0" w:type="dxa"/>
              <w:bottom w:w="0" w:type="dxa"/>
              <w:right w:w="0" w:type="dxa"/>
            </w:tcMar>
          </w:tcPr>
          <w:p w14:paraId="6866C5AB" w14:textId="5373E634" w:rsidR="00C532EA" w:rsidRDefault="00814885">
            <w:pPr>
              <w:spacing w:before="0" w:after="0"/>
              <w:jc w:val="right"/>
              <w:textAlignment w:val="baseline"/>
            </w:pPr>
            <w:r>
              <w:rPr>
                <w:rFonts w:eastAsia="Times New Roman"/>
                <w:color w:val="000000"/>
                <w:szCs w:val="24"/>
                <w:lang w:eastAsia="en-GB"/>
              </w:rPr>
              <w:t>4.7</w:t>
            </w:r>
            <w:r w:rsidR="00C532EA">
              <w:rPr>
                <w:rFonts w:eastAsia="Times New Roman"/>
                <w:color w:val="000000"/>
                <w:szCs w:val="24"/>
                <w:lang w:eastAsia="en-GB"/>
              </w:rPr>
              <w:t> </w:t>
            </w:r>
          </w:p>
        </w:tc>
      </w:tr>
      <w:tr w:rsidR="00C532EA" w14:paraId="6866C5B2" w14:textId="0311AFD4" w:rsidTr="008E7E72">
        <w:trPr>
          <w:trHeight w:val="304"/>
        </w:trPr>
        <w:tc>
          <w:tcPr>
            <w:tcW w:w="1840" w:type="dxa"/>
            <w:tcBorders>
              <w:left w:val="single" w:sz="6" w:space="0" w:color="A5A5A5"/>
            </w:tcBorders>
            <w:tcMar>
              <w:top w:w="0" w:type="dxa"/>
              <w:left w:w="0" w:type="dxa"/>
              <w:bottom w:w="0" w:type="dxa"/>
              <w:right w:w="0" w:type="dxa"/>
            </w:tcMar>
            <w:vAlign w:val="center"/>
          </w:tcPr>
          <w:p w14:paraId="6866C5AD" w14:textId="77777777" w:rsidR="00C532EA" w:rsidRDefault="00C532EA">
            <w:pPr>
              <w:spacing w:before="0" w:after="0"/>
              <w:textAlignment w:val="baseline"/>
            </w:pPr>
            <w:r>
              <w:rPr>
                <w:rFonts w:eastAsia="Times New Roman"/>
                <w:color w:val="000000"/>
                <w:szCs w:val="24"/>
                <w:lang w:val="en-US" w:eastAsia="en-GB"/>
              </w:rPr>
              <w:t>Grade 6</w:t>
            </w:r>
            <w:r>
              <w:rPr>
                <w:rFonts w:eastAsia="Times New Roman"/>
                <w:color w:val="000000"/>
                <w:szCs w:val="24"/>
                <w:lang w:eastAsia="en-GB"/>
              </w:rPr>
              <w:t> </w:t>
            </w:r>
          </w:p>
        </w:tc>
        <w:tc>
          <w:tcPr>
            <w:tcW w:w="1829" w:type="dxa"/>
            <w:tcMar>
              <w:top w:w="0" w:type="dxa"/>
              <w:left w:w="0" w:type="dxa"/>
              <w:bottom w:w="0" w:type="dxa"/>
              <w:right w:w="0" w:type="dxa"/>
            </w:tcMar>
          </w:tcPr>
          <w:p w14:paraId="6866C5AE" w14:textId="721EC8ED" w:rsidR="00C532EA" w:rsidRDefault="00C532EA">
            <w:pPr>
              <w:spacing w:before="0" w:after="0"/>
              <w:jc w:val="right"/>
              <w:textAlignment w:val="baseline"/>
            </w:pPr>
            <w:r>
              <w:rPr>
                <w:rFonts w:eastAsia="Times New Roman"/>
                <w:color w:val="000000"/>
                <w:szCs w:val="24"/>
                <w:lang w:eastAsia="en-GB"/>
              </w:rPr>
              <w:t>0 </w:t>
            </w:r>
          </w:p>
        </w:tc>
        <w:tc>
          <w:tcPr>
            <w:tcW w:w="1630" w:type="dxa"/>
            <w:tcMar>
              <w:top w:w="0" w:type="dxa"/>
              <w:left w:w="0" w:type="dxa"/>
              <w:bottom w:w="0" w:type="dxa"/>
              <w:right w:w="0" w:type="dxa"/>
            </w:tcMar>
          </w:tcPr>
          <w:p w14:paraId="6866C5AF" w14:textId="220F166C" w:rsidR="00C532EA" w:rsidRDefault="00C532EA">
            <w:pPr>
              <w:spacing w:before="0" w:after="0"/>
              <w:jc w:val="right"/>
              <w:textAlignment w:val="baseline"/>
            </w:pPr>
            <w:r>
              <w:rPr>
                <w:rFonts w:eastAsia="Times New Roman"/>
                <w:color w:val="000000"/>
                <w:szCs w:val="24"/>
                <w:lang w:eastAsia="en-GB"/>
              </w:rPr>
              <w:t>0 </w:t>
            </w:r>
          </w:p>
        </w:tc>
        <w:tc>
          <w:tcPr>
            <w:tcW w:w="1829" w:type="dxa"/>
            <w:tcMar>
              <w:top w:w="0" w:type="dxa"/>
              <w:left w:w="0" w:type="dxa"/>
              <w:bottom w:w="0" w:type="dxa"/>
              <w:right w:w="0" w:type="dxa"/>
            </w:tcMar>
          </w:tcPr>
          <w:p w14:paraId="6866C5B0" w14:textId="0EA2AB21" w:rsidR="00C532EA" w:rsidRDefault="00C532EA">
            <w:pPr>
              <w:spacing w:before="0" w:after="0"/>
              <w:jc w:val="right"/>
              <w:textAlignment w:val="baseline"/>
            </w:pPr>
            <w:r>
              <w:rPr>
                <w:rFonts w:eastAsia="Times New Roman"/>
                <w:color w:val="000000"/>
                <w:szCs w:val="24"/>
                <w:lang w:eastAsia="en-GB"/>
              </w:rPr>
              <w:t>0 </w:t>
            </w:r>
          </w:p>
        </w:tc>
        <w:tc>
          <w:tcPr>
            <w:tcW w:w="1632" w:type="dxa"/>
            <w:tcBorders>
              <w:right w:val="single" w:sz="6" w:space="0" w:color="A5A5A5"/>
            </w:tcBorders>
            <w:tcMar>
              <w:top w:w="0" w:type="dxa"/>
              <w:left w:w="0" w:type="dxa"/>
              <w:bottom w:w="0" w:type="dxa"/>
              <w:right w:w="0" w:type="dxa"/>
            </w:tcMar>
          </w:tcPr>
          <w:p w14:paraId="6866C5B1" w14:textId="118BD76D" w:rsidR="00C532EA" w:rsidRDefault="00C532EA">
            <w:pPr>
              <w:spacing w:before="0" w:after="0"/>
              <w:jc w:val="right"/>
              <w:textAlignment w:val="baseline"/>
            </w:pPr>
            <w:r>
              <w:rPr>
                <w:rFonts w:eastAsia="Times New Roman"/>
                <w:color w:val="000000"/>
                <w:szCs w:val="24"/>
                <w:lang w:eastAsia="en-GB"/>
              </w:rPr>
              <w:t>0 </w:t>
            </w:r>
          </w:p>
        </w:tc>
      </w:tr>
      <w:tr w:rsidR="00C532EA" w14:paraId="6866C5B8" w14:textId="2A0CAE8E" w:rsidTr="008E7E72">
        <w:trPr>
          <w:trHeight w:val="304"/>
        </w:trPr>
        <w:tc>
          <w:tcPr>
            <w:tcW w:w="1840" w:type="dxa"/>
            <w:tcBorders>
              <w:left w:val="single" w:sz="6" w:space="0" w:color="A5A5A5"/>
            </w:tcBorders>
            <w:tcMar>
              <w:top w:w="0" w:type="dxa"/>
              <w:left w:w="0" w:type="dxa"/>
              <w:bottom w:w="0" w:type="dxa"/>
              <w:right w:w="0" w:type="dxa"/>
            </w:tcMar>
            <w:vAlign w:val="center"/>
          </w:tcPr>
          <w:p w14:paraId="6866C5B3" w14:textId="77777777" w:rsidR="00C532EA" w:rsidRDefault="00C532EA">
            <w:pPr>
              <w:spacing w:before="0" w:after="0"/>
              <w:textAlignment w:val="baseline"/>
            </w:pPr>
            <w:r>
              <w:rPr>
                <w:rFonts w:eastAsia="Times New Roman"/>
                <w:color w:val="000000"/>
                <w:szCs w:val="24"/>
                <w:lang w:val="en-US" w:eastAsia="en-GB"/>
              </w:rPr>
              <w:t>Grade 7</w:t>
            </w:r>
            <w:r>
              <w:rPr>
                <w:rFonts w:eastAsia="Times New Roman"/>
                <w:color w:val="000000"/>
                <w:szCs w:val="24"/>
                <w:lang w:eastAsia="en-GB"/>
              </w:rPr>
              <w:t> </w:t>
            </w:r>
          </w:p>
        </w:tc>
        <w:tc>
          <w:tcPr>
            <w:tcW w:w="1829" w:type="dxa"/>
            <w:tcMar>
              <w:top w:w="0" w:type="dxa"/>
              <w:left w:w="0" w:type="dxa"/>
              <w:bottom w:w="0" w:type="dxa"/>
              <w:right w:w="0" w:type="dxa"/>
            </w:tcMar>
          </w:tcPr>
          <w:p w14:paraId="6866C5B4" w14:textId="3CD41A2F" w:rsidR="00C532EA" w:rsidRDefault="00C532EA">
            <w:pPr>
              <w:spacing w:before="0" w:after="0"/>
              <w:jc w:val="right"/>
              <w:textAlignment w:val="baseline"/>
            </w:pPr>
            <w:r>
              <w:rPr>
                <w:rFonts w:eastAsia="Times New Roman"/>
                <w:color w:val="000000"/>
                <w:szCs w:val="24"/>
                <w:lang w:eastAsia="en-GB"/>
              </w:rPr>
              <w:t>13 </w:t>
            </w:r>
          </w:p>
        </w:tc>
        <w:tc>
          <w:tcPr>
            <w:tcW w:w="1630" w:type="dxa"/>
            <w:tcMar>
              <w:top w:w="0" w:type="dxa"/>
              <w:left w:w="0" w:type="dxa"/>
              <w:bottom w:w="0" w:type="dxa"/>
              <w:right w:w="0" w:type="dxa"/>
            </w:tcMar>
          </w:tcPr>
          <w:p w14:paraId="6866C5B5" w14:textId="2FFD4FA6" w:rsidR="00C532EA" w:rsidRDefault="00C532EA">
            <w:pPr>
              <w:spacing w:before="0" w:after="0"/>
              <w:jc w:val="right"/>
              <w:textAlignment w:val="baseline"/>
            </w:pPr>
            <w:r>
              <w:rPr>
                <w:rFonts w:eastAsia="Times New Roman"/>
                <w:color w:val="000000"/>
                <w:szCs w:val="24"/>
                <w:lang w:eastAsia="en-GB"/>
              </w:rPr>
              <w:t>12.3 </w:t>
            </w:r>
          </w:p>
        </w:tc>
        <w:tc>
          <w:tcPr>
            <w:tcW w:w="1829" w:type="dxa"/>
            <w:tcMar>
              <w:top w:w="0" w:type="dxa"/>
              <w:left w:w="0" w:type="dxa"/>
              <w:bottom w:w="0" w:type="dxa"/>
              <w:right w:w="0" w:type="dxa"/>
            </w:tcMar>
          </w:tcPr>
          <w:p w14:paraId="6866C5B6" w14:textId="78948580" w:rsidR="00C532EA" w:rsidRDefault="00C532EA">
            <w:pPr>
              <w:spacing w:before="0" w:after="0"/>
              <w:jc w:val="right"/>
              <w:textAlignment w:val="baseline"/>
            </w:pPr>
            <w:r>
              <w:rPr>
                <w:rFonts w:eastAsia="Times New Roman"/>
                <w:color w:val="000000"/>
                <w:szCs w:val="24"/>
                <w:lang w:eastAsia="en-GB"/>
              </w:rPr>
              <w:t>1</w:t>
            </w:r>
            <w:r w:rsidR="004111A0">
              <w:rPr>
                <w:rFonts w:eastAsia="Times New Roman"/>
                <w:color w:val="000000"/>
                <w:szCs w:val="24"/>
                <w:lang w:eastAsia="en-GB"/>
              </w:rPr>
              <w:t>7</w:t>
            </w:r>
            <w:r>
              <w:rPr>
                <w:rFonts w:eastAsia="Times New Roman"/>
                <w:color w:val="000000"/>
                <w:szCs w:val="24"/>
                <w:lang w:eastAsia="en-GB"/>
              </w:rPr>
              <w:t> </w:t>
            </w:r>
            <w:r w:rsidR="007C2B1F">
              <w:rPr>
                <w:rStyle w:val="FootnoteReference"/>
              </w:rPr>
              <w:footnoteReference w:id="19"/>
            </w:r>
          </w:p>
        </w:tc>
        <w:tc>
          <w:tcPr>
            <w:tcW w:w="1632" w:type="dxa"/>
            <w:tcBorders>
              <w:right w:val="single" w:sz="6" w:space="0" w:color="A5A5A5"/>
            </w:tcBorders>
            <w:tcMar>
              <w:top w:w="0" w:type="dxa"/>
              <w:left w:w="0" w:type="dxa"/>
              <w:bottom w:w="0" w:type="dxa"/>
              <w:right w:w="0" w:type="dxa"/>
            </w:tcMar>
          </w:tcPr>
          <w:p w14:paraId="6866C5B7" w14:textId="3CDDCBA2" w:rsidR="00C532EA" w:rsidRDefault="00C532EA">
            <w:pPr>
              <w:spacing w:before="0" w:after="0"/>
              <w:jc w:val="right"/>
              <w:textAlignment w:val="baseline"/>
            </w:pPr>
            <w:r>
              <w:rPr>
                <w:rFonts w:eastAsia="Times New Roman"/>
                <w:color w:val="000000"/>
                <w:szCs w:val="24"/>
                <w:lang w:eastAsia="en-GB"/>
              </w:rPr>
              <w:t>1</w:t>
            </w:r>
            <w:r w:rsidR="00472635">
              <w:rPr>
                <w:rFonts w:eastAsia="Times New Roman"/>
                <w:color w:val="000000"/>
                <w:szCs w:val="24"/>
                <w:lang w:eastAsia="en-GB"/>
              </w:rPr>
              <w:t>6.</w:t>
            </w:r>
            <w:r>
              <w:rPr>
                <w:rFonts w:eastAsia="Times New Roman"/>
                <w:color w:val="000000"/>
                <w:szCs w:val="24"/>
                <w:lang w:eastAsia="en-GB"/>
              </w:rPr>
              <w:t>3 </w:t>
            </w:r>
          </w:p>
        </w:tc>
      </w:tr>
      <w:tr w:rsidR="00C532EA" w14:paraId="6866C5BE" w14:textId="71F40F5A" w:rsidTr="008E7E72">
        <w:trPr>
          <w:trHeight w:val="304"/>
        </w:trPr>
        <w:tc>
          <w:tcPr>
            <w:tcW w:w="1840" w:type="dxa"/>
            <w:tcBorders>
              <w:left w:val="single" w:sz="6" w:space="0" w:color="A5A5A5"/>
            </w:tcBorders>
            <w:tcMar>
              <w:top w:w="0" w:type="dxa"/>
              <w:left w:w="0" w:type="dxa"/>
              <w:bottom w:w="0" w:type="dxa"/>
              <w:right w:w="0" w:type="dxa"/>
            </w:tcMar>
            <w:vAlign w:val="center"/>
          </w:tcPr>
          <w:p w14:paraId="6866C5B9" w14:textId="77777777" w:rsidR="00C532EA" w:rsidRDefault="00C532EA">
            <w:pPr>
              <w:spacing w:before="0" w:after="0"/>
              <w:textAlignment w:val="baseline"/>
            </w:pPr>
            <w:r>
              <w:rPr>
                <w:rFonts w:eastAsia="Times New Roman"/>
                <w:color w:val="000000"/>
                <w:szCs w:val="24"/>
                <w:lang w:val="en-US" w:eastAsia="en-GB"/>
              </w:rPr>
              <w:t>SEO</w:t>
            </w:r>
            <w:r>
              <w:rPr>
                <w:rFonts w:eastAsia="Times New Roman"/>
                <w:color w:val="000000"/>
                <w:szCs w:val="24"/>
                <w:lang w:eastAsia="en-GB"/>
              </w:rPr>
              <w:t> </w:t>
            </w:r>
          </w:p>
        </w:tc>
        <w:tc>
          <w:tcPr>
            <w:tcW w:w="1829" w:type="dxa"/>
            <w:tcMar>
              <w:top w:w="0" w:type="dxa"/>
              <w:left w:w="0" w:type="dxa"/>
              <w:bottom w:w="0" w:type="dxa"/>
              <w:right w:w="0" w:type="dxa"/>
            </w:tcMar>
          </w:tcPr>
          <w:p w14:paraId="6866C5BA" w14:textId="6505E9B6" w:rsidR="00C532EA" w:rsidRDefault="00C532EA">
            <w:pPr>
              <w:spacing w:before="0" w:after="0"/>
              <w:jc w:val="right"/>
              <w:textAlignment w:val="baseline"/>
            </w:pPr>
            <w:r>
              <w:rPr>
                <w:rFonts w:eastAsia="Times New Roman"/>
                <w:color w:val="000000"/>
                <w:szCs w:val="24"/>
                <w:lang w:eastAsia="en-GB"/>
              </w:rPr>
              <w:t>1 </w:t>
            </w:r>
          </w:p>
        </w:tc>
        <w:tc>
          <w:tcPr>
            <w:tcW w:w="1630" w:type="dxa"/>
            <w:tcMar>
              <w:top w:w="0" w:type="dxa"/>
              <w:left w:w="0" w:type="dxa"/>
              <w:bottom w:w="0" w:type="dxa"/>
              <w:right w:w="0" w:type="dxa"/>
            </w:tcMar>
          </w:tcPr>
          <w:p w14:paraId="6866C5BB" w14:textId="2EE3D631" w:rsidR="00C532EA" w:rsidRDefault="00C532EA">
            <w:pPr>
              <w:spacing w:before="0" w:after="0"/>
              <w:jc w:val="right"/>
              <w:textAlignment w:val="baseline"/>
            </w:pPr>
            <w:r>
              <w:rPr>
                <w:rFonts w:eastAsia="Times New Roman"/>
                <w:color w:val="000000"/>
                <w:szCs w:val="24"/>
                <w:lang w:eastAsia="en-GB"/>
              </w:rPr>
              <w:t>1.0 </w:t>
            </w:r>
          </w:p>
        </w:tc>
        <w:tc>
          <w:tcPr>
            <w:tcW w:w="1829" w:type="dxa"/>
            <w:tcMar>
              <w:top w:w="0" w:type="dxa"/>
              <w:left w:w="0" w:type="dxa"/>
              <w:bottom w:w="0" w:type="dxa"/>
              <w:right w:w="0" w:type="dxa"/>
            </w:tcMar>
          </w:tcPr>
          <w:p w14:paraId="6866C5BC" w14:textId="77777777" w:rsidR="00C532EA" w:rsidRDefault="00C532EA">
            <w:pPr>
              <w:spacing w:before="0" w:after="0"/>
              <w:jc w:val="right"/>
              <w:textAlignment w:val="baseline"/>
            </w:pPr>
            <w:r>
              <w:rPr>
                <w:rFonts w:eastAsia="Times New Roman"/>
                <w:color w:val="000000"/>
                <w:szCs w:val="24"/>
                <w:lang w:eastAsia="en-GB"/>
              </w:rPr>
              <w:t>1 </w:t>
            </w:r>
          </w:p>
        </w:tc>
        <w:tc>
          <w:tcPr>
            <w:tcW w:w="1632" w:type="dxa"/>
            <w:tcBorders>
              <w:right w:val="single" w:sz="6" w:space="0" w:color="A5A5A5"/>
            </w:tcBorders>
            <w:tcMar>
              <w:top w:w="0" w:type="dxa"/>
              <w:left w:w="0" w:type="dxa"/>
              <w:bottom w:w="0" w:type="dxa"/>
              <w:right w:w="0" w:type="dxa"/>
            </w:tcMar>
          </w:tcPr>
          <w:p w14:paraId="6866C5BD" w14:textId="77777777" w:rsidR="00C532EA" w:rsidRDefault="00C532EA">
            <w:pPr>
              <w:spacing w:before="0" w:after="0"/>
              <w:jc w:val="right"/>
              <w:textAlignment w:val="baseline"/>
            </w:pPr>
            <w:r>
              <w:rPr>
                <w:rFonts w:eastAsia="Times New Roman"/>
                <w:color w:val="000000"/>
                <w:szCs w:val="24"/>
                <w:lang w:eastAsia="en-GB"/>
              </w:rPr>
              <w:t>1.0 </w:t>
            </w:r>
          </w:p>
        </w:tc>
      </w:tr>
      <w:tr w:rsidR="00C532EA" w14:paraId="6866C5C4" w14:textId="17DEE058" w:rsidTr="008E7E72">
        <w:trPr>
          <w:trHeight w:val="304"/>
        </w:trPr>
        <w:tc>
          <w:tcPr>
            <w:tcW w:w="1840" w:type="dxa"/>
            <w:tcBorders>
              <w:left w:val="single" w:sz="6" w:space="0" w:color="A5A5A5"/>
            </w:tcBorders>
            <w:tcMar>
              <w:top w:w="0" w:type="dxa"/>
              <w:left w:w="0" w:type="dxa"/>
              <w:bottom w:w="0" w:type="dxa"/>
              <w:right w:w="0" w:type="dxa"/>
            </w:tcMar>
            <w:vAlign w:val="center"/>
          </w:tcPr>
          <w:p w14:paraId="6866C5BF" w14:textId="77777777" w:rsidR="00C532EA" w:rsidRDefault="00C532EA">
            <w:pPr>
              <w:spacing w:before="0" w:after="0"/>
              <w:textAlignment w:val="baseline"/>
            </w:pPr>
            <w:r>
              <w:rPr>
                <w:rFonts w:eastAsia="Times New Roman"/>
                <w:color w:val="000000"/>
                <w:szCs w:val="24"/>
                <w:lang w:val="en-US" w:eastAsia="en-GB"/>
              </w:rPr>
              <w:t>Fast stream</w:t>
            </w:r>
            <w:r>
              <w:rPr>
                <w:rFonts w:eastAsia="Times New Roman"/>
                <w:color w:val="000000"/>
                <w:szCs w:val="24"/>
                <w:lang w:eastAsia="en-GB"/>
              </w:rPr>
              <w:t> </w:t>
            </w:r>
          </w:p>
        </w:tc>
        <w:tc>
          <w:tcPr>
            <w:tcW w:w="1829" w:type="dxa"/>
            <w:tcMar>
              <w:top w:w="0" w:type="dxa"/>
              <w:left w:w="0" w:type="dxa"/>
              <w:bottom w:w="0" w:type="dxa"/>
              <w:right w:w="0" w:type="dxa"/>
            </w:tcMar>
          </w:tcPr>
          <w:p w14:paraId="6866C5C0" w14:textId="23D9CA7D" w:rsidR="00C532EA" w:rsidRDefault="00CF26EF">
            <w:pPr>
              <w:spacing w:before="0" w:after="0"/>
              <w:jc w:val="right"/>
              <w:textAlignment w:val="baseline"/>
            </w:pPr>
            <w:r>
              <w:rPr>
                <w:rFonts w:eastAsia="Times New Roman"/>
                <w:color w:val="000000"/>
                <w:szCs w:val="24"/>
                <w:lang w:eastAsia="en-GB"/>
              </w:rPr>
              <w:t>1</w:t>
            </w:r>
            <w:r w:rsidR="00C532EA">
              <w:rPr>
                <w:rFonts w:eastAsia="Times New Roman"/>
                <w:color w:val="000000"/>
                <w:szCs w:val="24"/>
                <w:lang w:eastAsia="en-GB"/>
              </w:rPr>
              <w:t> </w:t>
            </w:r>
          </w:p>
        </w:tc>
        <w:tc>
          <w:tcPr>
            <w:tcW w:w="1630" w:type="dxa"/>
            <w:tcMar>
              <w:top w:w="0" w:type="dxa"/>
              <w:left w:w="0" w:type="dxa"/>
              <w:bottom w:w="0" w:type="dxa"/>
              <w:right w:w="0" w:type="dxa"/>
            </w:tcMar>
          </w:tcPr>
          <w:p w14:paraId="6866C5C1" w14:textId="7539DF92" w:rsidR="00C532EA" w:rsidRDefault="00CF26EF">
            <w:pPr>
              <w:spacing w:before="0" w:after="0"/>
              <w:jc w:val="right"/>
              <w:textAlignment w:val="baseline"/>
            </w:pPr>
            <w:r>
              <w:rPr>
                <w:rFonts w:eastAsia="Times New Roman"/>
                <w:color w:val="000000"/>
                <w:szCs w:val="24"/>
                <w:lang w:eastAsia="en-GB"/>
              </w:rPr>
              <w:t>1</w:t>
            </w:r>
            <w:r w:rsidR="00867A86">
              <w:rPr>
                <w:rFonts w:eastAsia="Times New Roman"/>
                <w:color w:val="000000"/>
                <w:szCs w:val="24"/>
                <w:lang w:eastAsia="en-GB"/>
              </w:rPr>
              <w:t>.</w:t>
            </w:r>
            <w:r w:rsidR="00C532EA" w:rsidDel="00C532EA">
              <w:rPr>
                <w:rFonts w:eastAsia="Times New Roman"/>
                <w:color w:val="000000"/>
                <w:szCs w:val="24"/>
                <w:lang w:eastAsia="en-GB"/>
              </w:rPr>
              <w:t>0</w:t>
            </w:r>
            <w:r w:rsidR="00C532EA">
              <w:rPr>
                <w:rFonts w:eastAsia="Times New Roman"/>
                <w:color w:val="000000"/>
                <w:szCs w:val="24"/>
                <w:lang w:eastAsia="en-GB"/>
              </w:rPr>
              <w:t> </w:t>
            </w:r>
          </w:p>
        </w:tc>
        <w:tc>
          <w:tcPr>
            <w:tcW w:w="1829" w:type="dxa"/>
            <w:tcMar>
              <w:top w:w="0" w:type="dxa"/>
              <w:left w:w="0" w:type="dxa"/>
              <w:bottom w:w="0" w:type="dxa"/>
              <w:right w:w="0" w:type="dxa"/>
            </w:tcMar>
          </w:tcPr>
          <w:p w14:paraId="6866C5C2" w14:textId="25C72FCA" w:rsidR="00C532EA" w:rsidRDefault="00CE2938">
            <w:pPr>
              <w:spacing w:before="0" w:after="0"/>
              <w:jc w:val="right"/>
              <w:textAlignment w:val="baseline"/>
            </w:pPr>
            <w:r>
              <w:rPr>
                <w:rFonts w:eastAsia="Times New Roman"/>
                <w:color w:val="000000"/>
                <w:szCs w:val="24"/>
                <w:lang w:eastAsia="en-GB"/>
              </w:rPr>
              <w:t>1</w:t>
            </w:r>
            <w:r w:rsidR="00C532EA">
              <w:rPr>
                <w:rFonts w:eastAsia="Times New Roman"/>
                <w:color w:val="000000"/>
                <w:szCs w:val="24"/>
                <w:lang w:eastAsia="en-GB"/>
              </w:rPr>
              <w:t> </w:t>
            </w:r>
          </w:p>
        </w:tc>
        <w:tc>
          <w:tcPr>
            <w:tcW w:w="1632" w:type="dxa"/>
            <w:tcBorders>
              <w:right w:val="single" w:sz="6" w:space="0" w:color="A5A5A5"/>
            </w:tcBorders>
            <w:tcMar>
              <w:top w:w="0" w:type="dxa"/>
              <w:left w:w="0" w:type="dxa"/>
              <w:bottom w:w="0" w:type="dxa"/>
              <w:right w:w="0" w:type="dxa"/>
            </w:tcMar>
          </w:tcPr>
          <w:p w14:paraId="6866C5C3" w14:textId="65811D04" w:rsidR="00C532EA" w:rsidRDefault="00CE2938">
            <w:pPr>
              <w:spacing w:before="0" w:after="0"/>
              <w:jc w:val="right"/>
              <w:textAlignment w:val="baseline"/>
            </w:pPr>
            <w:r>
              <w:rPr>
                <w:rFonts w:eastAsia="Times New Roman"/>
                <w:color w:val="000000"/>
                <w:szCs w:val="24"/>
                <w:lang w:eastAsia="en-GB"/>
              </w:rPr>
              <w:t>1</w:t>
            </w:r>
            <w:r w:rsidR="00D20D58">
              <w:rPr>
                <w:rFonts w:eastAsia="Times New Roman"/>
                <w:color w:val="000000"/>
                <w:szCs w:val="24"/>
                <w:lang w:eastAsia="en-GB"/>
              </w:rPr>
              <w:t>.</w:t>
            </w:r>
            <w:r w:rsidR="00C532EA" w:rsidDel="00CE2938">
              <w:rPr>
                <w:rFonts w:eastAsia="Times New Roman"/>
                <w:color w:val="000000"/>
                <w:szCs w:val="24"/>
                <w:lang w:eastAsia="en-GB"/>
              </w:rPr>
              <w:t>0</w:t>
            </w:r>
            <w:r w:rsidR="00C532EA">
              <w:rPr>
                <w:rFonts w:eastAsia="Times New Roman"/>
                <w:color w:val="000000"/>
                <w:szCs w:val="24"/>
                <w:lang w:eastAsia="en-GB"/>
              </w:rPr>
              <w:t> </w:t>
            </w:r>
          </w:p>
        </w:tc>
      </w:tr>
      <w:tr w:rsidR="00C532EA" w14:paraId="6866C5CA" w14:textId="1765EA45" w:rsidTr="008E7E72">
        <w:trPr>
          <w:trHeight w:val="304"/>
        </w:trPr>
        <w:tc>
          <w:tcPr>
            <w:tcW w:w="1840" w:type="dxa"/>
            <w:tcBorders>
              <w:left w:val="single" w:sz="6" w:space="0" w:color="A5A5A5"/>
            </w:tcBorders>
            <w:tcMar>
              <w:top w:w="0" w:type="dxa"/>
              <w:left w:w="0" w:type="dxa"/>
              <w:bottom w:w="0" w:type="dxa"/>
              <w:right w:w="0" w:type="dxa"/>
            </w:tcMar>
            <w:vAlign w:val="center"/>
          </w:tcPr>
          <w:p w14:paraId="6866C5C5" w14:textId="77777777" w:rsidR="00C532EA" w:rsidRDefault="00C532EA">
            <w:pPr>
              <w:spacing w:before="0" w:after="0"/>
              <w:textAlignment w:val="baseline"/>
            </w:pPr>
            <w:r>
              <w:rPr>
                <w:rFonts w:eastAsia="Times New Roman"/>
                <w:color w:val="000000"/>
                <w:szCs w:val="24"/>
                <w:lang w:val="en-US" w:eastAsia="en-GB"/>
              </w:rPr>
              <w:t>HEO</w:t>
            </w:r>
            <w:r>
              <w:rPr>
                <w:rFonts w:eastAsia="Times New Roman"/>
                <w:color w:val="000000"/>
                <w:szCs w:val="24"/>
                <w:lang w:eastAsia="en-GB"/>
              </w:rPr>
              <w:t> </w:t>
            </w:r>
          </w:p>
        </w:tc>
        <w:tc>
          <w:tcPr>
            <w:tcW w:w="1829" w:type="dxa"/>
            <w:tcMar>
              <w:top w:w="0" w:type="dxa"/>
              <w:left w:w="0" w:type="dxa"/>
              <w:bottom w:w="0" w:type="dxa"/>
              <w:right w:w="0" w:type="dxa"/>
            </w:tcMar>
          </w:tcPr>
          <w:p w14:paraId="6866C5C6" w14:textId="4842CCCA" w:rsidR="00C532EA" w:rsidRDefault="00E2020E">
            <w:pPr>
              <w:spacing w:before="0" w:after="0"/>
              <w:jc w:val="right"/>
              <w:textAlignment w:val="baseline"/>
            </w:pPr>
            <w:r>
              <w:rPr>
                <w:rFonts w:eastAsia="Times New Roman"/>
                <w:color w:val="000000"/>
                <w:szCs w:val="24"/>
                <w:lang w:eastAsia="en-GB"/>
              </w:rPr>
              <w:t>7</w:t>
            </w:r>
            <w:r w:rsidR="00C532EA">
              <w:rPr>
                <w:rFonts w:eastAsia="Times New Roman"/>
                <w:color w:val="000000"/>
                <w:szCs w:val="24"/>
                <w:lang w:eastAsia="en-GB"/>
              </w:rPr>
              <w:t> </w:t>
            </w:r>
          </w:p>
        </w:tc>
        <w:tc>
          <w:tcPr>
            <w:tcW w:w="1630" w:type="dxa"/>
            <w:tcMar>
              <w:top w:w="0" w:type="dxa"/>
              <w:left w:w="0" w:type="dxa"/>
              <w:bottom w:w="0" w:type="dxa"/>
              <w:right w:w="0" w:type="dxa"/>
            </w:tcMar>
          </w:tcPr>
          <w:p w14:paraId="6866C5C7" w14:textId="45B738D3" w:rsidR="00C532EA" w:rsidRDefault="00E2020E">
            <w:pPr>
              <w:spacing w:before="0" w:after="0"/>
              <w:jc w:val="right"/>
              <w:textAlignment w:val="baseline"/>
            </w:pPr>
            <w:r>
              <w:rPr>
                <w:rFonts w:eastAsia="Times New Roman"/>
                <w:color w:val="000000"/>
                <w:szCs w:val="24"/>
                <w:lang w:eastAsia="en-GB"/>
              </w:rPr>
              <w:t>7</w:t>
            </w:r>
            <w:r w:rsidR="000241AE">
              <w:rPr>
                <w:rFonts w:eastAsia="Times New Roman"/>
                <w:color w:val="000000"/>
                <w:szCs w:val="24"/>
                <w:lang w:eastAsia="en-GB"/>
              </w:rPr>
              <w:t>.0</w:t>
            </w:r>
            <w:r w:rsidR="00C532EA">
              <w:rPr>
                <w:rFonts w:eastAsia="Times New Roman"/>
                <w:color w:val="000000"/>
                <w:szCs w:val="24"/>
                <w:lang w:eastAsia="en-GB"/>
              </w:rPr>
              <w:t> </w:t>
            </w:r>
          </w:p>
        </w:tc>
        <w:tc>
          <w:tcPr>
            <w:tcW w:w="1829" w:type="dxa"/>
            <w:tcMar>
              <w:top w:w="0" w:type="dxa"/>
              <w:left w:w="0" w:type="dxa"/>
              <w:bottom w:w="0" w:type="dxa"/>
              <w:right w:w="0" w:type="dxa"/>
            </w:tcMar>
          </w:tcPr>
          <w:p w14:paraId="6866C5C8" w14:textId="210BCF85" w:rsidR="00C532EA" w:rsidRPr="008E7E72" w:rsidRDefault="00237784" w:rsidP="00D32AE7">
            <w:pPr>
              <w:spacing w:before="0" w:after="0"/>
              <w:ind w:right="52"/>
              <w:jc w:val="right"/>
              <w:textAlignment w:val="baseline"/>
              <w:rPr>
                <w:rFonts w:eastAsia="Times New Roman"/>
                <w:color w:val="000000"/>
                <w:szCs w:val="24"/>
                <w:lang w:eastAsia="en-GB"/>
              </w:rPr>
            </w:pPr>
            <w:r>
              <w:rPr>
                <w:rFonts w:eastAsia="Times New Roman"/>
                <w:color w:val="000000"/>
                <w:szCs w:val="24"/>
                <w:lang w:eastAsia="en-GB"/>
              </w:rPr>
              <w:t>9</w:t>
            </w:r>
          </w:p>
        </w:tc>
        <w:tc>
          <w:tcPr>
            <w:tcW w:w="1632" w:type="dxa"/>
            <w:tcBorders>
              <w:right w:val="single" w:sz="6" w:space="0" w:color="A5A5A5"/>
            </w:tcBorders>
            <w:tcMar>
              <w:top w:w="0" w:type="dxa"/>
              <w:left w:w="0" w:type="dxa"/>
              <w:bottom w:w="0" w:type="dxa"/>
              <w:right w:w="0" w:type="dxa"/>
            </w:tcMar>
          </w:tcPr>
          <w:p w14:paraId="6866C5C9" w14:textId="5D24E520" w:rsidR="00C532EA" w:rsidRDefault="00237784">
            <w:pPr>
              <w:spacing w:before="0" w:after="0"/>
              <w:jc w:val="right"/>
              <w:textAlignment w:val="baseline"/>
            </w:pPr>
            <w:r>
              <w:rPr>
                <w:rFonts w:eastAsia="Times New Roman"/>
                <w:color w:val="000000"/>
                <w:szCs w:val="24"/>
                <w:lang w:eastAsia="en-GB"/>
              </w:rPr>
              <w:t>9</w:t>
            </w:r>
            <w:r w:rsidR="00781624">
              <w:rPr>
                <w:rFonts w:eastAsia="Times New Roman"/>
                <w:color w:val="000000"/>
                <w:szCs w:val="24"/>
                <w:lang w:eastAsia="en-GB"/>
              </w:rPr>
              <w:t>.0</w:t>
            </w:r>
            <w:r w:rsidR="00C532EA">
              <w:rPr>
                <w:rFonts w:eastAsia="Times New Roman"/>
                <w:color w:val="000000"/>
                <w:szCs w:val="24"/>
                <w:lang w:eastAsia="en-GB"/>
              </w:rPr>
              <w:t> </w:t>
            </w:r>
          </w:p>
        </w:tc>
      </w:tr>
      <w:tr w:rsidR="00C532EA" w14:paraId="6866C5D0" w14:textId="7B1F976D" w:rsidTr="008E7E72">
        <w:trPr>
          <w:trHeight w:val="304"/>
        </w:trPr>
        <w:tc>
          <w:tcPr>
            <w:tcW w:w="1840" w:type="dxa"/>
            <w:tcBorders>
              <w:left w:val="single" w:sz="6" w:space="0" w:color="A5A5A5"/>
            </w:tcBorders>
            <w:tcMar>
              <w:top w:w="0" w:type="dxa"/>
              <w:left w:w="0" w:type="dxa"/>
              <w:bottom w:w="0" w:type="dxa"/>
              <w:right w:w="0" w:type="dxa"/>
            </w:tcMar>
            <w:vAlign w:val="center"/>
          </w:tcPr>
          <w:p w14:paraId="6866C5CB" w14:textId="77777777" w:rsidR="00C532EA" w:rsidRDefault="00C532EA">
            <w:pPr>
              <w:spacing w:before="0" w:after="0"/>
              <w:textAlignment w:val="baseline"/>
            </w:pPr>
            <w:r>
              <w:rPr>
                <w:rFonts w:eastAsia="Times New Roman"/>
                <w:color w:val="000000"/>
                <w:szCs w:val="24"/>
                <w:lang w:val="en-US" w:eastAsia="en-GB"/>
              </w:rPr>
              <w:t>EO</w:t>
            </w:r>
            <w:r>
              <w:rPr>
                <w:rFonts w:eastAsia="Times New Roman"/>
                <w:color w:val="000000"/>
                <w:szCs w:val="24"/>
                <w:lang w:eastAsia="en-GB"/>
              </w:rPr>
              <w:t> </w:t>
            </w:r>
          </w:p>
        </w:tc>
        <w:tc>
          <w:tcPr>
            <w:tcW w:w="1829" w:type="dxa"/>
            <w:tcMar>
              <w:top w:w="0" w:type="dxa"/>
              <w:left w:w="0" w:type="dxa"/>
              <w:bottom w:w="0" w:type="dxa"/>
              <w:right w:w="0" w:type="dxa"/>
            </w:tcMar>
          </w:tcPr>
          <w:p w14:paraId="6866C5CC" w14:textId="6B76E539" w:rsidR="00C532EA" w:rsidRDefault="0082528B">
            <w:pPr>
              <w:spacing w:before="0" w:after="0"/>
              <w:jc w:val="right"/>
              <w:textAlignment w:val="baseline"/>
            </w:pPr>
            <w:r>
              <w:rPr>
                <w:rFonts w:eastAsia="Times New Roman"/>
                <w:color w:val="000000"/>
                <w:szCs w:val="24"/>
                <w:lang w:eastAsia="en-GB"/>
              </w:rPr>
              <w:t>2</w:t>
            </w:r>
            <w:r w:rsidR="00C532EA">
              <w:rPr>
                <w:rFonts w:eastAsia="Times New Roman"/>
                <w:color w:val="000000"/>
                <w:szCs w:val="24"/>
                <w:lang w:eastAsia="en-GB"/>
              </w:rPr>
              <w:t> </w:t>
            </w:r>
          </w:p>
        </w:tc>
        <w:tc>
          <w:tcPr>
            <w:tcW w:w="1630" w:type="dxa"/>
            <w:tcMar>
              <w:top w:w="0" w:type="dxa"/>
              <w:left w:w="0" w:type="dxa"/>
              <w:bottom w:w="0" w:type="dxa"/>
              <w:right w:w="0" w:type="dxa"/>
            </w:tcMar>
          </w:tcPr>
          <w:p w14:paraId="6866C5CD" w14:textId="4B44AB6D" w:rsidR="00C532EA" w:rsidRDefault="0082528B">
            <w:pPr>
              <w:spacing w:before="0" w:after="0"/>
              <w:jc w:val="right"/>
              <w:textAlignment w:val="baseline"/>
            </w:pPr>
            <w:r>
              <w:rPr>
                <w:rFonts w:eastAsia="Times New Roman"/>
                <w:color w:val="000000"/>
                <w:szCs w:val="24"/>
                <w:lang w:eastAsia="en-GB"/>
              </w:rPr>
              <w:t>2</w:t>
            </w:r>
            <w:r w:rsidR="00C532EA">
              <w:rPr>
                <w:rFonts w:eastAsia="Times New Roman"/>
                <w:color w:val="000000"/>
                <w:szCs w:val="24"/>
                <w:lang w:eastAsia="en-GB"/>
              </w:rPr>
              <w:t>.0 </w:t>
            </w:r>
          </w:p>
        </w:tc>
        <w:tc>
          <w:tcPr>
            <w:tcW w:w="1829" w:type="dxa"/>
            <w:tcMar>
              <w:top w:w="0" w:type="dxa"/>
              <w:left w:w="0" w:type="dxa"/>
              <w:bottom w:w="0" w:type="dxa"/>
              <w:right w:w="0" w:type="dxa"/>
            </w:tcMar>
          </w:tcPr>
          <w:p w14:paraId="6866C5CE" w14:textId="498B5940" w:rsidR="00C532EA" w:rsidRDefault="00884E79" w:rsidP="008E7E72">
            <w:pPr>
              <w:spacing w:before="0" w:after="0"/>
              <w:ind w:right="52"/>
              <w:jc w:val="right"/>
              <w:textAlignment w:val="baseline"/>
            </w:pPr>
            <w:r>
              <w:rPr>
                <w:rFonts w:eastAsia="Times New Roman"/>
                <w:color w:val="000000"/>
                <w:szCs w:val="24"/>
                <w:lang w:eastAsia="en-GB"/>
              </w:rPr>
              <w:t>2</w:t>
            </w:r>
          </w:p>
        </w:tc>
        <w:tc>
          <w:tcPr>
            <w:tcW w:w="1632" w:type="dxa"/>
            <w:tcBorders>
              <w:right w:val="single" w:sz="6" w:space="0" w:color="A5A5A5"/>
            </w:tcBorders>
            <w:tcMar>
              <w:top w:w="0" w:type="dxa"/>
              <w:left w:w="0" w:type="dxa"/>
              <w:bottom w:w="0" w:type="dxa"/>
              <w:right w:w="0" w:type="dxa"/>
            </w:tcMar>
          </w:tcPr>
          <w:p w14:paraId="6866C5CF" w14:textId="01EBD41B" w:rsidR="00C532EA" w:rsidRDefault="00781624">
            <w:pPr>
              <w:spacing w:before="0" w:after="0"/>
              <w:jc w:val="right"/>
              <w:textAlignment w:val="baseline"/>
            </w:pPr>
            <w:r>
              <w:rPr>
                <w:rFonts w:eastAsia="Times New Roman"/>
                <w:color w:val="000000"/>
                <w:szCs w:val="24"/>
                <w:lang w:eastAsia="en-GB"/>
              </w:rPr>
              <w:t>2</w:t>
            </w:r>
            <w:r w:rsidR="00C532EA">
              <w:rPr>
                <w:rFonts w:eastAsia="Times New Roman"/>
                <w:color w:val="000000"/>
                <w:szCs w:val="24"/>
                <w:lang w:eastAsia="en-GB"/>
              </w:rPr>
              <w:t>.0 </w:t>
            </w:r>
          </w:p>
        </w:tc>
      </w:tr>
      <w:tr w:rsidR="00C532EA" w14:paraId="6866C5D6" w14:textId="3A62372F" w:rsidTr="008E7E72">
        <w:trPr>
          <w:trHeight w:val="304"/>
        </w:trPr>
        <w:tc>
          <w:tcPr>
            <w:tcW w:w="1840" w:type="dxa"/>
            <w:tcBorders>
              <w:left w:val="single" w:sz="6" w:space="0" w:color="A5A5A5"/>
            </w:tcBorders>
            <w:tcMar>
              <w:top w:w="0" w:type="dxa"/>
              <w:left w:w="0" w:type="dxa"/>
              <w:bottom w:w="0" w:type="dxa"/>
              <w:right w:w="0" w:type="dxa"/>
            </w:tcMar>
            <w:vAlign w:val="center"/>
          </w:tcPr>
          <w:p w14:paraId="6866C5D1" w14:textId="77777777" w:rsidR="00C532EA" w:rsidRDefault="00C532EA">
            <w:pPr>
              <w:spacing w:before="0" w:after="0"/>
              <w:textAlignment w:val="baseline"/>
            </w:pPr>
            <w:r>
              <w:rPr>
                <w:rFonts w:eastAsia="Times New Roman"/>
                <w:color w:val="000000"/>
                <w:szCs w:val="24"/>
                <w:lang w:val="en-US" w:eastAsia="en-GB"/>
              </w:rPr>
              <w:t>AO</w:t>
            </w:r>
            <w:r>
              <w:rPr>
                <w:rFonts w:eastAsia="Times New Roman"/>
                <w:color w:val="000000"/>
                <w:szCs w:val="24"/>
                <w:lang w:eastAsia="en-GB"/>
              </w:rPr>
              <w:t> </w:t>
            </w:r>
          </w:p>
        </w:tc>
        <w:tc>
          <w:tcPr>
            <w:tcW w:w="1829" w:type="dxa"/>
            <w:tcMar>
              <w:top w:w="0" w:type="dxa"/>
              <w:left w:w="0" w:type="dxa"/>
              <w:bottom w:w="0" w:type="dxa"/>
              <w:right w:w="0" w:type="dxa"/>
            </w:tcMar>
          </w:tcPr>
          <w:p w14:paraId="6866C5D2" w14:textId="247147D8" w:rsidR="00C532EA" w:rsidRDefault="008A1828">
            <w:pPr>
              <w:spacing w:before="0" w:after="0"/>
              <w:jc w:val="right"/>
              <w:textAlignment w:val="baseline"/>
            </w:pPr>
            <w:r>
              <w:rPr>
                <w:rFonts w:eastAsia="Times New Roman"/>
                <w:color w:val="000000"/>
                <w:szCs w:val="24"/>
                <w:lang w:eastAsia="en-GB"/>
              </w:rPr>
              <w:t>2</w:t>
            </w:r>
            <w:r w:rsidR="00C532EA">
              <w:rPr>
                <w:rFonts w:eastAsia="Times New Roman"/>
                <w:color w:val="000000"/>
                <w:szCs w:val="24"/>
                <w:lang w:eastAsia="en-GB"/>
              </w:rPr>
              <w:t> </w:t>
            </w:r>
          </w:p>
        </w:tc>
        <w:tc>
          <w:tcPr>
            <w:tcW w:w="1630" w:type="dxa"/>
            <w:tcMar>
              <w:top w:w="0" w:type="dxa"/>
              <w:left w:w="0" w:type="dxa"/>
              <w:bottom w:w="0" w:type="dxa"/>
              <w:right w:w="0" w:type="dxa"/>
            </w:tcMar>
          </w:tcPr>
          <w:p w14:paraId="6866C5D3" w14:textId="28DDFBBE" w:rsidR="00C532EA" w:rsidRDefault="008A1828">
            <w:pPr>
              <w:spacing w:before="0" w:after="0"/>
              <w:jc w:val="right"/>
              <w:textAlignment w:val="baseline"/>
            </w:pPr>
            <w:r>
              <w:rPr>
                <w:rFonts w:eastAsia="Times New Roman"/>
                <w:color w:val="000000"/>
                <w:szCs w:val="24"/>
                <w:lang w:eastAsia="en-GB"/>
              </w:rPr>
              <w:t>2</w:t>
            </w:r>
            <w:r w:rsidR="00C532EA">
              <w:rPr>
                <w:rFonts w:eastAsia="Times New Roman"/>
                <w:color w:val="000000"/>
                <w:szCs w:val="24"/>
                <w:lang w:eastAsia="en-GB"/>
              </w:rPr>
              <w:t>.0 </w:t>
            </w:r>
          </w:p>
        </w:tc>
        <w:tc>
          <w:tcPr>
            <w:tcW w:w="1829" w:type="dxa"/>
            <w:tcMar>
              <w:top w:w="0" w:type="dxa"/>
              <w:left w:w="0" w:type="dxa"/>
              <w:bottom w:w="0" w:type="dxa"/>
              <w:right w:w="0" w:type="dxa"/>
            </w:tcMar>
          </w:tcPr>
          <w:p w14:paraId="6866C5D4" w14:textId="4F34B9D8" w:rsidR="00C532EA" w:rsidRDefault="00D6016F">
            <w:pPr>
              <w:spacing w:before="0" w:after="0"/>
              <w:jc w:val="right"/>
              <w:textAlignment w:val="baseline"/>
            </w:pPr>
            <w:r>
              <w:rPr>
                <w:rFonts w:eastAsia="Times New Roman"/>
                <w:color w:val="000000"/>
                <w:szCs w:val="24"/>
                <w:lang w:eastAsia="en-GB"/>
              </w:rPr>
              <w:t>2</w:t>
            </w:r>
            <w:r w:rsidR="00C532EA">
              <w:rPr>
                <w:rFonts w:eastAsia="Times New Roman"/>
                <w:color w:val="000000"/>
                <w:szCs w:val="24"/>
                <w:lang w:eastAsia="en-GB"/>
              </w:rPr>
              <w:t> </w:t>
            </w:r>
          </w:p>
        </w:tc>
        <w:tc>
          <w:tcPr>
            <w:tcW w:w="1632" w:type="dxa"/>
            <w:tcBorders>
              <w:right w:val="single" w:sz="6" w:space="0" w:color="A5A5A5"/>
            </w:tcBorders>
            <w:tcMar>
              <w:top w:w="0" w:type="dxa"/>
              <w:left w:w="0" w:type="dxa"/>
              <w:bottom w:w="0" w:type="dxa"/>
              <w:right w:w="0" w:type="dxa"/>
            </w:tcMar>
          </w:tcPr>
          <w:p w14:paraId="6866C5D5" w14:textId="34CA697D" w:rsidR="00C532EA" w:rsidRDefault="00D6016F">
            <w:pPr>
              <w:spacing w:before="0" w:after="0"/>
              <w:jc w:val="right"/>
              <w:textAlignment w:val="baseline"/>
            </w:pPr>
            <w:r>
              <w:rPr>
                <w:rFonts w:eastAsia="Times New Roman"/>
                <w:color w:val="000000"/>
                <w:szCs w:val="24"/>
                <w:lang w:eastAsia="en-GB"/>
              </w:rPr>
              <w:t>2</w:t>
            </w:r>
            <w:r w:rsidR="00C532EA">
              <w:rPr>
                <w:rFonts w:eastAsia="Times New Roman"/>
                <w:color w:val="000000"/>
                <w:szCs w:val="24"/>
                <w:lang w:eastAsia="en-GB"/>
              </w:rPr>
              <w:t>.0 </w:t>
            </w:r>
          </w:p>
        </w:tc>
      </w:tr>
      <w:tr w:rsidR="00C532EA" w14:paraId="6866C5DC" w14:textId="66A95584" w:rsidTr="008E7E72">
        <w:trPr>
          <w:trHeight w:val="304"/>
        </w:trPr>
        <w:tc>
          <w:tcPr>
            <w:tcW w:w="1840" w:type="dxa"/>
            <w:tcBorders>
              <w:left w:val="single" w:sz="6" w:space="0" w:color="A5A5A5"/>
              <w:bottom w:val="single" w:sz="6" w:space="0" w:color="A5A5A5"/>
            </w:tcBorders>
            <w:tcMar>
              <w:top w:w="0" w:type="dxa"/>
              <w:left w:w="0" w:type="dxa"/>
              <w:bottom w:w="0" w:type="dxa"/>
              <w:right w:w="0" w:type="dxa"/>
            </w:tcMar>
            <w:vAlign w:val="center"/>
          </w:tcPr>
          <w:p w14:paraId="6866C5D7" w14:textId="77777777" w:rsidR="00C532EA" w:rsidRDefault="00C532EA">
            <w:pPr>
              <w:spacing w:before="0" w:after="0"/>
              <w:textAlignment w:val="baseline"/>
            </w:pPr>
            <w:r>
              <w:rPr>
                <w:rFonts w:eastAsia="Times New Roman"/>
                <w:b/>
                <w:bCs/>
                <w:color w:val="000000"/>
                <w:szCs w:val="24"/>
                <w:lang w:val="en-US" w:eastAsia="en-GB"/>
              </w:rPr>
              <w:t>Total</w:t>
            </w:r>
            <w:r>
              <w:rPr>
                <w:rFonts w:eastAsia="Times New Roman"/>
                <w:color w:val="000000"/>
                <w:szCs w:val="24"/>
                <w:lang w:eastAsia="en-GB"/>
              </w:rPr>
              <w:t> </w:t>
            </w:r>
          </w:p>
        </w:tc>
        <w:tc>
          <w:tcPr>
            <w:tcW w:w="1829" w:type="dxa"/>
            <w:tcBorders>
              <w:bottom w:val="single" w:sz="6" w:space="0" w:color="A5A5A5"/>
            </w:tcBorders>
            <w:tcMar>
              <w:top w:w="0" w:type="dxa"/>
              <w:left w:w="0" w:type="dxa"/>
              <w:bottom w:w="0" w:type="dxa"/>
              <w:right w:w="0" w:type="dxa"/>
            </w:tcMar>
            <w:vAlign w:val="center"/>
          </w:tcPr>
          <w:p w14:paraId="6866C5D8" w14:textId="670F6C6E" w:rsidR="00C532EA" w:rsidRDefault="00392425">
            <w:pPr>
              <w:spacing w:before="0" w:after="0"/>
              <w:jc w:val="right"/>
              <w:textAlignment w:val="baseline"/>
            </w:pPr>
            <w:r>
              <w:rPr>
                <w:rFonts w:eastAsia="Times New Roman"/>
                <w:b/>
                <w:bCs/>
                <w:color w:val="000000"/>
                <w:szCs w:val="24"/>
                <w:lang w:eastAsia="en-GB"/>
              </w:rPr>
              <w:t>30</w:t>
            </w:r>
            <w:r w:rsidR="00C532EA">
              <w:rPr>
                <w:rFonts w:eastAsia="Times New Roman"/>
                <w:color w:val="000000"/>
                <w:szCs w:val="24"/>
                <w:lang w:eastAsia="en-GB"/>
              </w:rPr>
              <w:t> </w:t>
            </w:r>
          </w:p>
        </w:tc>
        <w:tc>
          <w:tcPr>
            <w:tcW w:w="1630" w:type="dxa"/>
            <w:tcBorders>
              <w:bottom w:val="single" w:sz="6" w:space="0" w:color="A5A5A5"/>
            </w:tcBorders>
            <w:tcMar>
              <w:top w:w="0" w:type="dxa"/>
              <w:left w:w="0" w:type="dxa"/>
              <w:bottom w:w="0" w:type="dxa"/>
              <w:right w:w="0" w:type="dxa"/>
            </w:tcMar>
            <w:vAlign w:val="center"/>
          </w:tcPr>
          <w:p w14:paraId="6866C5D9" w14:textId="55BFB1F1" w:rsidR="00C532EA" w:rsidRDefault="00C532EA">
            <w:pPr>
              <w:spacing w:before="0" w:after="0"/>
              <w:jc w:val="right"/>
              <w:textAlignment w:val="baseline"/>
            </w:pPr>
            <w:r>
              <w:rPr>
                <w:rFonts w:eastAsia="Times New Roman"/>
                <w:b/>
                <w:bCs/>
                <w:color w:val="000000"/>
                <w:szCs w:val="24"/>
                <w:lang w:eastAsia="en-GB"/>
              </w:rPr>
              <w:t> 2</w:t>
            </w:r>
            <w:r w:rsidR="00C83D8A">
              <w:rPr>
                <w:rFonts w:eastAsia="Times New Roman"/>
                <w:b/>
                <w:bCs/>
                <w:color w:val="000000"/>
                <w:szCs w:val="24"/>
                <w:lang w:eastAsia="en-GB"/>
              </w:rPr>
              <w:t>8</w:t>
            </w:r>
            <w:r>
              <w:rPr>
                <w:rFonts w:eastAsia="Times New Roman"/>
                <w:b/>
                <w:bCs/>
                <w:color w:val="000000"/>
                <w:szCs w:val="24"/>
                <w:lang w:eastAsia="en-GB"/>
              </w:rPr>
              <w:t>.8</w:t>
            </w:r>
            <w:r>
              <w:rPr>
                <w:rFonts w:eastAsia="Times New Roman"/>
                <w:color w:val="000000"/>
                <w:szCs w:val="24"/>
                <w:lang w:eastAsia="en-GB"/>
              </w:rPr>
              <w:t> </w:t>
            </w:r>
          </w:p>
        </w:tc>
        <w:tc>
          <w:tcPr>
            <w:tcW w:w="1829" w:type="dxa"/>
            <w:tcBorders>
              <w:bottom w:val="single" w:sz="6" w:space="0" w:color="A5A5A5"/>
            </w:tcBorders>
            <w:tcMar>
              <w:top w:w="0" w:type="dxa"/>
              <w:left w:w="0" w:type="dxa"/>
              <w:bottom w:w="0" w:type="dxa"/>
              <w:right w:w="0" w:type="dxa"/>
            </w:tcMar>
          </w:tcPr>
          <w:p w14:paraId="6866C5DA" w14:textId="361A5FAA" w:rsidR="00C532EA" w:rsidRDefault="0068059C">
            <w:pPr>
              <w:spacing w:before="0" w:after="0"/>
              <w:jc w:val="right"/>
              <w:textAlignment w:val="baseline"/>
            </w:pPr>
            <w:r>
              <w:rPr>
                <w:rFonts w:eastAsia="Times New Roman"/>
                <w:b/>
                <w:bCs/>
                <w:color w:val="000000"/>
                <w:szCs w:val="24"/>
                <w:lang w:eastAsia="en-GB"/>
              </w:rPr>
              <w:t>38</w:t>
            </w:r>
            <w:r w:rsidR="00C532EA">
              <w:rPr>
                <w:rFonts w:eastAsia="Times New Roman"/>
                <w:color w:val="000000"/>
                <w:szCs w:val="24"/>
                <w:lang w:eastAsia="en-GB"/>
              </w:rPr>
              <w:t> </w:t>
            </w:r>
          </w:p>
        </w:tc>
        <w:tc>
          <w:tcPr>
            <w:tcW w:w="1632" w:type="dxa"/>
            <w:tcBorders>
              <w:bottom w:val="single" w:sz="6" w:space="0" w:color="A5A5A5"/>
              <w:right w:val="single" w:sz="6" w:space="0" w:color="A5A5A5"/>
            </w:tcBorders>
            <w:tcMar>
              <w:top w:w="0" w:type="dxa"/>
              <w:left w:w="0" w:type="dxa"/>
              <w:bottom w:w="0" w:type="dxa"/>
              <w:right w:w="0" w:type="dxa"/>
            </w:tcMar>
          </w:tcPr>
          <w:p w14:paraId="6866C5DB" w14:textId="7BACA396" w:rsidR="00C532EA" w:rsidRDefault="002F0956">
            <w:pPr>
              <w:spacing w:before="0" w:after="0"/>
              <w:jc w:val="right"/>
              <w:textAlignment w:val="baseline"/>
            </w:pPr>
            <w:r>
              <w:rPr>
                <w:rFonts w:eastAsia="Times New Roman"/>
                <w:b/>
                <w:bCs/>
                <w:color w:val="000000"/>
                <w:szCs w:val="24"/>
                <w:lang w:eastAsia="en-GB"/>
              </w:rPr>
              <w:t>36</w:t>
            </w:r>
            <w:r w:rsidR="00C532EA">
              <w:rPr>
                <w:rFonts w:eastAsia="Times New Roman"/>
                <w:color w:val="000000"/>
                <w:szCs w:val="24"/>
                <w:lang w:eastAsia="en-GB"/>
              </w:rPr>
              <w:t> </w:t>
            </w:r>
          </w:p>
        </w:tc>
      </w:tr>
    </w:tbl>
    <w:p w14:paraId="6866C5DD" w14:textId="77777777" w:rsidR="001C1DB8" w:rsidRDefault="001C1DB8">
      <w:pPr>
        <w:pageBreakBefore/>
        <w:spacing w:before="0" w:after="160"/>
      </w:pPr>
    </w:p>
    <w:p w14:paraId="6866C5DE" w14:textId="687C9AA7" w:rsidR="001C1DB8" w:rsidRDefault="00FB2C3B">
      <w:pPr>
        <w:pStyle w:val="Heading1"/>
      </w:pPr>
      <w:bookmarkStart w:id="31" w:name="_Toc188365126"/>
      <w:r>
        <w:t xml:space="preserve">Annex B: Review Body secretariat work volumes </w:t>
      </w:r>
      <w:r w:rsidR="00337D6E">
        <w:t>from</w:t>
      </w:r>
      <w:r w:rsidR="00E20AD9">
        <w:t xml:space="preserve"> September 1</w:t>
      </w:r>
      <w:r w:rsidR="00E20AD9" w:rsidRPr="00A93AB6">
        <w:rPr>
          <w:vertAlign w:val="superscript"/>
        </w:rPr>
        <w:t>st</w:t>
      </w:r>
      <w:proofErr w:type="gramStart"/>
      <w:r>
        <w:t xml:space="preserve"> 202</w:t>
      </w:r>
      <w:r w:rsidR="009A2A78">
        <w:t>4</w:t>
      </w:r>
      <w:proofErr w:type="gramEnd"/>
      <w:r w:rsidR="00E20AD9">
        <w:t xml:space="preserve"> to August 31</w:t>
      </w:r>
      <w:r w:rsidR="00E20AD9" w:rsidRPr="00A93AB6">
        <w:rPr>
          <w:vertAlign w:val="superscript"/>
        </w:rPr>
        <w:t>st</w:t>
      </w:r>
      <w:proofErr w:type="gramStart"/>
      <w:r w:rsidR="00E20AD9">
        <w:t xml:space="preserve"> </w:t>
      </w:r>
      <w:bookmarkEnd w:id="31"/>
      <w:r w:rsidR="00C60A10">
        <w:t>202</w:t>
      </w:r>
      <w:r w:rsidR="009A2A78">
        <w:t>5</w:t>
      </w:r>
      <w:proofErr w:type="gramEnd"/>
    </w:p>
    <w:p w14:paraId="6866C5DF" w14:textId="189B0B11" w:rsidR="001C1DB8" w:rsidRDefault="00FB2C3B">
      <w:pPr>
        <w:pStyle w:val="Caption"/>
        <w:keepNext/>
      </w:pPr>
      <w:r>
        <w:rPr>
          <w:sz w:val="24"/>
          <w:szCs w:val="24"/>
        </w:rPr>
        <w:t xml:space="preserve">Table 3: Review Body Secretariat Work Volumes </w:t>
      </w:r>
      <w:r w:rsidRPr="462C1645">
        <w:rPr>
          <w:sz w:val="24"/>
          <w:szCs w:val="24"/>
        </w:rPr>
        <w:t>202</w:t>
      </w:r>
      <w:r w:rsidR="009A2A78">
        <w:rPr>
          <w:sz w:val="24"/>
          <w:szCs w:val="24"/>
        </w:rPr>
        <w:t>4</w:t>
      </w:r>
      <w:r w:rsidRPr="462C1645">
        <w:rPr>
          <w:sz w:val="24"/>
          <w:szCs w:val="24"/>
        </w:rPr>
        <w:t>/2</w:t>
      </w:r>
      <w:r w:rsidR="009A2A78">
        <w:rPr>
          <w:sz w:val="24"/>
          <w:szCs w:val="24"/>
        </w:rPr>
        <w:t>5</w:t>
      </w:r>
      <w:r>
        <w:rPr>
          <w:sz w:val="24"/>
          <w:szCs w:val="24"/>
        </w:rPr>
        <w:t>.</w:t>
      </w:r>
    </w:p>
    <w:tbl>
      <w:tblPr>
        <w:tblW w:w="5000" w:type="pct"/>
        <w:tblCellMar>
          <w:left w:w="10" w:type="dxa"/>
          <w:right w:w="10" w:type="dxa"/>
        </w:tblCellMar>
        <w:tblLook w:val="0000" w:firstRow="0" w:lastRow="0" w:firstColumn="0" w:lastColumn="0" w:noHBand="0" w:noVBand="0"/>
      </w:tblPr>
      <w:tblGrid>
        <w:gridCol w:w="2254"/>
        <w:gridCol w:w="2254"/>
        <w:gridCol w:w="2254"/>
        <w:gridCol w:w="2254"/>
      </w:tblGrid>
      <w:tr w:rsidR="001C1DB8" w14:paraId="6866C5E4" w14:textId="77777777" w:rsidTr="08F1913D">
        <w:trPr>
          <w:trHeight w:val="436"/>
          <w:tblHeader/>
        </w:trPr>
        <w:tc>
          <w:tcPr>
            <w:tcW w:w="2254" w:type="dxa"/>
            <w:tcBorders>
              <w:top w:val="single" w:sz="4" w:space="0" w:color="A5A5A5" w:themeColor="accent3"/>
              <w:left w:val="single" w:sz="4" w:space="0" w:color="A5A5A5" w:themeColor="accent3"/>
            </w:tcBorders>
            <w:noWrap/>
            <w:tcMar>
              <w:top w:w="0" w:type="dxa"/>
              <w:left w:w="108" w:type="dxa"/>
              <w:bottom w:w="0" w:type="dxa"/>
              <w:right w:w="108" w:type="dxa"/>
            </w:tcMar>
          </w:tcPr>
          <w:p w14:paraId="6866C5E0" w14:textId="77777777" w:rsidR="001C1DB8" w:rsidRDefault="00FB2C3B">
            <w:pPr>
              <w:spacing w:before="0" w:after="0"/>
            </w:pPr>
            <w:r>
              <w:rPr>
                <w:rFonts w:eastAsia="Times New Roman"/>
                <w:b/>
                <w:bCs/>
                <w:szCs w:val="24"/>
                <w:lang w:val="en-US" w:eastAsia="en-GB"/>
              </w:rPr>
              <w:t>Secretariat</w:t>
            </w:r>
          </w:p>
        </w:tc>
        <w:tc>
          <w:tcPr>
            <w:tcW w:w="2254" w:type="dxa"/>
            <w:tcBorders>
              <w:top w:val="single" w:sz="4" w:space="0" w:color="A5A5A5" w:themeColor="accent3"/>
            </w:tcBorders>
            <w:noWrap/>
            <w:tcMar>
              <w:top w:w="0" w:type="dxa"/>
              <w:left w:w="108" w:type="dxa"/>
              <w:bottom w:w="0" w:type="dxa"/>
              <w:right w:w="108" w:type="dxa"/>
            </w:tcMar>
          </w:tcPr>
          <w:p w14:paraId="6866C5E1" w14:textId="0EED0BB3" w:rsidR="001C1DB8" w:rsidRDefault="00FB2C3B">
            <w:pPr>
              <w:spacing w:before="0" w:after="0"/>
              <w:jc w:val="right"/>
            </w:pPr>
            <w:r>
              <w:rPr>
                <w:rFonts w:eastAsia="Times New Roman"/>
                <w:b/>
                <w:bCs/>
                <w:lang w:val="en-US" w:eastAsia="en-GB"/>
              </w:rPr>
              <w:t>Visits</w:t>
            </w:r>
            <w:r>
              <w:rPr>
                <w:rStyle w:val="FootnoteReference"/>
                <w:rFonts w:eastAsia="Times New Roman"/>
                <w:b/>
                <w:bCs/>
                <w:lang w:val="en-US" w:eastAsia="en-GB"/>
              </w:rPr>
              <w:footnoteReference w:id="20"/>
            </w:r>
          </w:p>
        </w:tc>
        <w:tc>
          <w:tcPr>
            <w:tcW w:w="2254" w:type="dxa"/>
            <w:tcBorders>
              <w:top w:val="single" w:sz="4" w:space="0" w:color="A5A5A5" w:themeColor="accent3"/>
            </w:tcBorders>
            <w:noWrap/>
            <w:tcMar>
              <w:top w:w="0" w:type="dxa"/>
              <w:left w:w="108" w:type="dxa"/>
              <w:bottom w:w="0" w:type="dxa"/>
              <w:right w:w="108" w:type="dxa"/>
            </w:tcMar>
          </w:tcPr>
          <w:p w14:paraId="6866C5E2" w14:textId="77777777" w:rsidR="001C1DB8" w:rsidRDefault="00FB2C3B">
            <w:pPr>
              <w:spacing w:before="0" w:after="0"/>
              <w:jc w:val="right"/>
            </w:pPr>
            <w:r>
              <w:rPr>
                <w:rFonts w:eastAsia="Times New Roman"/>
                <w:b/>
                <w:bCs/>
                <w:szCs w:val="24"/>
                <w:lang w:val="en-US" w:eastAsia="en-GB"/>
              </w:rPr>
              <w:t>Meetings</w:t>
            </w:r>
          </w:p>
        </w:tc>
        <w:tc>
          <w:tcPr>
            <w:tcW w:w="2254" w:type="dxa"/>
            <w:tcBorders>
              <w:top w:val="single" w:sz="4" w:space="0" w:color="A5A5A5" w:themeColor="accent3"/>
              <w:right w:val="single" w:sz="4" w:space="0" w:color="A5A5A5" w:themeColor="accent3"/>
            </w:tcBorders>
            <w:noWrap/>
            <w:tcMar>
              <w:top w:w="0" w:type="dxa"/>
              <w:left w:w="108" w:type="dxa"/>
              <w:bottom w:w="0" w:type="dxa"/>
              <w:right w:w="108" w:type="dxa"/>
            </w:tcMar>
          </w:tcPr>
          <w:p w14:paraId="6866C5E3" w14:textId="77777777" w:rsidR="001C1DB8" w:rsidRDefault="00FB2C3B">
            <w:pPr>
              <w:spacing w:before="0" w:after="0"/>
              <w:jc w:val="right"/>
            </w:pPr>
            <w:r>
              <w:rPr>
                <w:rFonts w:eastAsia="Times New Roman"/>
                <w:b/>
                <w:bCs/>
                <w:szCs w:val="24"/>
                <w:lang w:val="en-US" w:eastAsia="en-GB"/>
              </w:rPr>
              <w:t>Reports</w:t>
            </w:r>
          </w:p>
        </w:tc>
      </w:tr>
      <w:tr w:rsidR="001C1DB8" w14:paraId="6866C5E9" w14:textId="77777777" w:rsidTr="08F1913D">
        <w:trPr>
          <w:trHeight w:hRule="exact" w:val="297"/>
        </w:trPr>
        <w:tc>
          <w:tcPr>
            <w:tcW w:w="2254" w:type="dxa"/>
            <w:tcBorders>
              <w:left w:val="single" w:sz="4" w:space="0" w:color="A5A5A5" w:themeColor="accent3"/>
            </w:tcBorders>
            <w:noWrap/>
            <w:tcMar>
              <w:top w:w="0" w:type="dxa"/>
              <w:left w:w="108" w:type="dxa"/>
              <w:bottom w:w="0" w:type="dxa"/>
              <w:right w:w="108" w:type="dxa"/>
            </w:tcMar>
            <w:vAlign w:val="center"/>
          </w:tcPr>
          <w:p w14:paraId="6866C5E5" w14:textId="6046A8F2" w:rsidR="001C1DB8" w:rsidRDefault="00FB2C3B">
            <w:pPr>
              <w:spacing w:before="0" w:after="0"/>
            </w:pPr>
            <w:r w:rsidRPr="05E6B98E">
              <w:rPr>
                <w:rFonts w:eastAsia="Times New Roman"/>
                <w:b/>
                <w:color w:val="000000"/>
                <w:lang w:val="en-US" w:eastAsia="en-GB"/>
              </w:rPr>
              <w:t>AFPRB</w:t>
            </w:r>
            <w:r w:rsidR="00551537">
              <w:rPr>
                <w:rStyle w:val="FootnoteReference"/>
                <w:rFonts w:eastAsia="Times New Roman"/>
                <w:b/>
                <w:bCs/>
                <w:color w:val="000000"/>
                <w:szCs w:val="24"/>
                <w:lang w:val="en-US" w:eastAsia="en-GB"/>
              </w:rPr>
              <w:footnoteReference w:id="21"/>
            </w:r>
          </w:p>
        </w:tc>
        <w:tc>
          <w:tcPr>
            <w:tcW w:w="2254" w:type="dxa"/>
            <w:noWrap/>
            <w:tcMar>
              <w:top w:w="0" w:type="dxa"/>
              <w:left w:w="108" w:type="dxa"/>
              <w:bottom w:w="0" w:type="dxa"/>
              <w:right w:w="108" w:type="dxa"/>
            </w:tcMar>
            <w:vAlign w:val="center"/>
          </w:tcPr>
          <w:p w14:paraId="6866C5E6" w14:textId="339EEA6B" w:rsidR="001C1DB8" w:rsidRDefault="00F12AA2">
            <w:pPr>
              <w:jc w:val="right"/>
            </w:pPr>
            <w:r>
              <w:t>16</w:t>
            </w:r>
          </w:p>
        </w:tc>
        <w:tc>
          <w:tcPr>
            <w:tcW w:w="2254" w:type="dxa"/>
            <w:noWrap/>
            <w:tcMar>
              <w:top w:w="0" w:type="dxa"/>
              <w:left w:w="108" w:type="dxa"/>
              <w:bottom w:w="0" w:type="dxa"/>
              <w:right w:w="108" w:type="dxa"/>
            </w:tcMar>
            <w:vAlign w:val="center"/>
          </w:tcPr>
          <w:p w14:paraId="6866C5E7" w14:textId="2A828C5A" w:rsidR="001C1DB8" w:rsidRDefault="00EE37D4">
            <w:pPr>
              <w:spacing w:before="0" w:after="0"/>
              <w:jc w:val="right"/>
            </w:pPr>
            <w:r>
              <w:t>18</w:t>
            </w:r>
          </w:p>
        </w:tc>
        <w:tc>
          <w:tcPr>
            <w:tcW w:w="2254" w:type="dxa"/>
            <w:tcBorders>
              <w:right w:val="single" w:sz="4" w:space="0" w:color="A5A5A5" w:themeColor="accent3"/>
            </w:tcBorders>
            <w:noWrap/>
            <w:tcMar>
              <w:top w:w="0" w:type="dxa"/>
              <w:left w:w="108" w:type="dxa"/>
              <w:bottom w:w="0" w:type="dxa"/>
              <w:right w:w="108" w:type="dxa"/>
            </w:tcMar>
            <w:vAlign w:val="center"/>
          </w:tcPr>
          <w:p w14:paraId="6866C5E8" w14:textId="77777777" w:rsidR="001C1DB8" w:rsidRDefault="00FB2C3B">
            <w:pPr>
              <w:spacing w:before="0" w:after="0"/>
              <w:jc w:val="right"/>
            </w:pPr>
            <w:r>
              <w:rPr>
                <w:rFonts w:eastAsia="Times New Roman"/>
                <w:color w:val="000000"/>
                <w:szCs w:val="24"/>
                <w:lang w:val="en-US" w:eastAsia="en-GB"/>
              </w:rPr>
              <w:t>1</w:t>
            </w:r>
          </w:p>
        </w:tc>
      </w:tr>
      <w:tr w:rsidR="001C1DB8" w14:paraId="6866C5EE" w14:textId="77777777" w:rsidTr="08F1913D">
        <w:trPr>
          <w:trHeight w:hRule="exact" w:val="297"/>
        </w:trPr>
        <w:tc>
          <w:tcPr>
            <w:tcW w:w="2254" w:type="dxa"/>
            <w:tcBorders>
              <w:left w:val="single" w:sz="4" w:space="0" w:color="A5A5A5" w:themeColor="accent3"/>
            </w:tcBorders>
            <w:noWrap/>
            <w:tcMar>
              <w:top w:w="0" w:type="dxa"/>
              <w:left w:w="108" w:type="dxa"/>
              <w:bottom w:w="0" w:type="dxa"/>
              <w:right w:w="108" w:type="dxa"/>
            </w:tcMar>
            <w:vAlign w:val="center"/>
          </w:tcPr>
          <w:p w14:paraId="6866C5EA" w14:textId="77777777" w:rsidR="001C1DB8" w:rsidRDefault="00FB2C3B">
            <w:pPr>
              <w:spacing w:before="0" w:after="0"/>
            </w:pPr>
            <w:r>
              <w:rPr>
                <w:rFonts w:eastAsia="Times New Roman"/>
                <w:b/>
                <w:bCs/>
                <w:color w:val="000000"/>
                <w:szCs w:val="24"/>
                <w:lang w:val="en-US" w:eastAsia="en-GB"/>
              </w:rPr>
              <w:t>DDRB</w:t>
            </w:r>
          </w:p>
        </w:tc>
        <w:tc>
          <w:tcPr>
            <w:tcW w:w="2254" w:type="dxa"/>
            <w:noWrap/>
            <w:tcMar>
              <w:top w:w="0" w:type="dxa"/>
              <w:left w:w="108" w:type="dxa"/>
              <w:bottom w:w="0" w:type="dxa"/>
              <w:right w:w="108" w:type="dxa"/>
            </w:tcMar>
            <w:vAlign w:val="center"/>
          </w:tcPr>
          <w:p w14:paraId="6866C5EB" w14:textId="6D4F2BF0" w:rsidR="001C1DB8" w:rsidRDefault="00745E38">
            <w:pPr>
              <w:spacing w:before="0" w:after="0"/>
              <w:jc w:val="right"/>
            </w:pPr>
            <w:r>
              <w:rPr>
                <w:rFonts w:eastAsia="Times New Roman"/>
                <w:color w:val="000000"/>
                <w:lang w:val="en-US" w:eastAsia="en-GB"/>
              </w:rPr>
              <w:t>6</w:t>
            </w:r>
          </w:p>
        </w:tc>
        <w:tc>
          <w:tcPr>
            <w:tcW w:w="2254" w:type="dxa"/>
            <w:noWrap/>
            <w:tcMar>
              <w:top w:w="0" w:type="dxa"/>
              <w:left w:w="108" w:type="dxa"/>
              <w:bottom w:w="0" w:type="dxa"/>
              <w:right w:w="108" w:type="dxa"/>
            </w:tcMar>
            <w:vAlign w:val="center"/>
          </w:tcPr>
          <w:p w14:paraId="6866C5EC" w14:textId="11558ED3" w:rsidR="001C1DB8" w:rsidRDefault="003D7CBF">
            <w:pPr>
              <w:spacing w:before="0" w:after="0"/>
              <w:jc w:val="right"/>
            </w:pPr>
            <w:r>
              <w:rPr>
                <w:rFonts w:eastAsia="Times New Roman"/>
                <w:color w:val="000000"/>
                <w:lang w:val="en-US" w:eastAsia="en-GB"/>
              </w:rPr>
              <w:t>1</w:t>
            </w:r>
            <w:r w:rsidR="0095665B">
              <w:rPr>
                <w:rFonts w:eastAsia="Times New Roman"/>
                <w:color w:val="000000"/>
                <w:lang w:val="en-US" w:eastAsia="en-GB"/>
              </w:rPr>
              <w:t>9</w:t>
            </w:r>
          </w:p>
        </w:tc>
        <w:tc>
          <w:tcPr>
            <w:tcW w:w="2254" w:type="dxa"/>
            <w:tcBorders>
              <w:right w:val="single" w:sz="4" w:space="0" w:color="A5A5A5" w:themeColor="accent3"/>
            </w:tcBorders>
            <w:noWrap/>
            <w:tcMar>
              <w:top w:w="0" w:type="dxa"/>
              <w:left w:w="108" w:type="dxa"/>
              <w:bottom w:w="0" w:type="dxa"/>
              <w:right w:w="108" w:type="dxa"/>
            </w:tcMar>
            <w:vAlign w:val="center"/>
          </w:tcPr>
          <w:p w14:paraId="6866C5ED" w14:textId="77777777" w:rsidR="001C1DB8" w:rsidRDefault="00FB2C3B">
            <w:pPr>
              <w:spacing w:before="0" w:after="0"/>
              <w:jc w:val="right"/>
            </w:pPr>
            <w:r>
              <w:rPr>
                <w:rFonts w:eastAsia="Times New Roman"/>
                <w:color w:val="000000"/>
                <w:szCs w:val="24"/>
                <w:lang w:val="en-US" w:eastAsia="en-GB"/>
              </w:rPr>
              <w:t>1</w:t>
            </w:r>
          </w:p>
        </w:tc>
      </w:tr>
      <w:tr w:rsidR="001C1DB8" w14:paraId="6866C5F3" w14:textId="77777777" w:rsidTr="08F1913D">
        <w:trPr>
          <w:trHeight w:hRule="exact" w:val="297"/>
        </w:trPr>
        <w:tc>
          <w:tcPr>
            <w:tcW w:w="2254" w:type="dxa"/>
            <w:tcBorders>
              <w:left w:val="single" w:sz="4" w:space="0" w:color="A5A5A5" w:themeColor="accent3"/>
            </w:tcBorders>
            <w:noWrap/>
            <w:tcMar>
              <w:top w:w="0" w:type="dxa"/>
              <w:left w:w="108" w:type="dxa"/>
              <w:bottom w:w="0" w:type="dxa"/>
              <w:right w:w="108" w:type="dxa"/>
            </w:tcMar>
            <w:vAlign w:val="center"/>
          </w:tcPr>
          <w:p w14:paraId="6866C5EF" w14:textId="77777777" w:rsidR="001C1DB8" w:rsidRDefault="00FB2C3B">
            <w:pPr>
              <w:spacing w:before="0" w:after="0"/>
            </w:pPr>
            <w:r>
              <w:rPr>
                <w:rFonts w:eastAsia="Times New Roman"/>
                <w:b/>
                <w:bCs/>
                <w:color w:val="000000"/>
                <w:szCs w:val="24"/>
                <w:lang w:val="en-US" w:eastAsia="en-GB"/>
              </w:rPr>
              <w:t>NCARRB</w:t>
            </w:r>
          </w:p>
        </w:tc>
        <w:tc>
          <w:tcPr>
            <w:tcW w:w="2254" w:type="dxa"/>
            <w:noWrap/>
            <w:tcMar>
              <w:top w:w="0" w:type="dxa"/>
              <w:left w:w="108" w:type="dxa"/>
              <w:bottom w:w="0" w:type="dxa"/>
              <w:right w:w="108" w:type="dxa"/>
            </w:tcMar>
            <w:vAlign w:val="center"/>
          </w:tcPr>
          <w:p w14:paraId="6866C5F0" w14:textId="61B73549" w:rsidR="001C1DB8" w:rsidRDefault="00FB2C3B">
            <w:pPr>
              <w:spacing w:before="0" w:after="0"/>
              <w:jc w:val="right"/>
              <w:rPr>
                <w:rFonts w:eastAsia="Times New Roman"/>
                <w:color w:val="000000"/>
                <w:szCs w:val="24"/>
                <w:lang w:eastAsia="en-GB"/>
              </w:rPr>
            </w:pPr>
            <w:r>
              <w:rPr>
                <w:rFonts w:eastAsia="Times New Roman"/>
                <w:color w:val="000000"/>
                <w:szCs w:val="24"/>
                <w:lang w:eastAsia="en-GB"/>
              </w:rPr>
              <w:t>2</w:t>
            </w:r>
          </w:p>
        </w:tc>
        <w:tc>
          <w:tcPr>
            <w:tcW w:w="2254" w:type="dxa"/>
            <w:noWrap/>
            <w:tcMar>
              <w:top w:w="0" w:type="dxa"/>
              <w:left w:w="108" w:type="dxa"/>
              <w:bottom w:w="0" w:type="dxa"/>
              <w:right w:w="108" w:type="dxa"/>
            </w:tcMar>
            <w:vAlign w:val="center"/>
          </w:tcPr>
          <w:p w14:paraId="6866C5F1" w14:textId="1A54F937" w:rsidR="001C1DB8" w:rsidRDefault="008820D3">
            <w:pPr>
              <w:spacing w:before="0" w:after="0"/>
              <w:jc w:val="right"/>
            </w:pPr>
            <w:r>
              <w:t>7</w:t>
            </w:r>
          </w:p>
        </w:tc>
        <w:tc>
          <w:tcPr>
            <w:tcW w:w="2254" w:type="dxa"/>
            <w:tcBorders>
              <w:right w:val="single" w:sz="4" w:space="0" w:color="A5A5A5" w:themeColor="accent3"/>
            </w:tcBorders>
            <w:noWrap/>
            <w:tcMar>
              <w:top w:w="0" w:type="dxa"/>
              <w:left w:w="108" w:type="dxa"/>
              <w:bottom w:w="0" w:type="dxa"/>
              <w:right w:w="108" w:type="dxa"/>
            </w:tcMar>
            <w:vAlign w:val="center"/>
          </w:tcPr>
          <w:p w14:paraId="6866C5F2" w14:textId="0554E4D1" w:rsidR="001C1DB8" w:rsidRDefault="00E82952">
            <w:pPr>
              <w:spacing w:before="0" w:after="0"/>
              <w:jc w:val="right"/>
            </w:pPr>
            <w:r>
              <w:t>2</w:t>
            </w:r>
          </w:p>
        </w:tc>
      </w:tr>
      <w:tr w:rsidR="001C1DB8" w14:paraId="6866C5F8" w14:textId="77777777" w:rsidTr="08F1913D">
        <w:trPr>
          <w:trHeight w:hRule="exact" w:val="297"/>
        </w:trPr>
        <w:tc>
          <w:tcPr>
            <w:tcW w:w="2254" w:type="dxa"/>
            <w:tcBorders>
              <w:left w:val="single" w:sz="4" w:space="0" w:color="A5A5A5" w:themeColor="accent3"/>
            </w:tcBorders>
            <w:noWrap/>
            <w:tcMar>
              <w:top w:w="0" w:type="dxa"/>
              <w:left w:w="108" w:type="dxa"/>
              <w:bottom w:w="0" w:type="dxa"/>
              <w:right w:w="108" w:type="dxa"/>
            </w:tcMar>
            <w:vAlign w:val="center"/>
          </w:tcPr>
          <w:p w14:paraId="6866C5F4" w14:textId="77777777" w:rsidR="001C1DB8" w:rsidRDefault="00FB2C3B">
            <w:pPr>
              <w:spacing w:before="0" w:after="0"/>
            </w:pPr>
            <w:r>
              <w:rPr>
                <w:rFonts w:eastAsia="Times New Roman"/>
                <w:b/>
                <w:bCs/>
                <w:color w:val="000000"/>
                <w:szCs w:val="24"/>
                <w:lang w:val="en-US" w:eastAsia="en-GB"/>
              </w:rPr>
              <w:t>NHSPRB</w:t>
            </w:r>
          </w:p>
        </w:tc>
        <w:tc>
          <w:tcPr>
            <w:tcW w:w="2254" w:type="dxa"/>
            <w:noWrap/>
            <w:tcMar>
              <w:top w:w="0" w:type="dxa"/>
              <w:left w:w="108" w:type="dxa"/>
              <w:bottom w:w="0" w:type="dxa"/>
              <w:right w:w="108" w:type="dxa"/>
            </w:tcMar>
            <w:vAlign w:val="center"/>
          </w:tcPr>
          <w:p w14:paraId="6866C5F5" w14:textId="18CBFD58" w:rsidR="001C1DB8" w:rsidRDefault="539D2225" w:rsidP="01BB529A">
            <w:pPr>
              <w:spacing w:before="0" w:after="0" w:line="259" w:lineRule="auto"/>
              <w:jc w:val="right"/>
            </w:pPr>
            <w:r w:rsidRPr="01BB529A">
              <w:rPr>
                <w:rFonts w:eastAsia="Times New Roman"/>
                <w:color w:val="000000" w:themeColor="text1"/>
                <w:lang w:eastAsia="en-GB"/>
              </w:rPr>
              <w:t>9</w:t>
            </w:r>
          </w:p>
        </w:tc>
        <w:tc>
          <w:tcPr>
            <w:tcW w:w="2254" w:type="dxa"/>
            <w:noWrap/>
            <w:tcMar>
              <w:top w:w="0" w:type="dxa"/>
              <w:left w:w="108" w:type="dxa"/>
              <w:bottom w:w="0" w:type="dxa"/>
              <w:right w:w="108" w:type="dxa"/>
            </w:tcMar>
            <w:vAlign w:val="center"/>
          </w:tcPr>
          <w:p w14:paraId="6866C5F6" w14:textId="4110BD1C" w:rsidR="001C1DB8" w:rsidRDefault="13049519">
            <w:pPr>
              <w:spacing w:before="0" w:after="0"/>
              <w:jc w:val="right"/>
            </w:pPr>
            <w:r w:rsidRPr="01BB529A">
              <w:rPr>
                <w:rFonts w:eastAsia="Times New Roman"/>
                <w:color w:val="000000" w:themeColor="text1"/>
                <w:lang w:val="en-US" w:eastAsia="en-GB"/>
              </w:rPr>
              <w:t>1</w:t>
            </w:r>
            <w:r w:rsidR="7173F024" w:rsidRPr="01BB529A">
              <w:rPr>
                <w:rFonts w:eastAsia="Times New Roman"/>
                <w:color w:val="000000" w:themeColor="text1"/>
                <w:lang w:val="en-US" w:eastAsia="en-GB"/>
              </w:rPr>
              <w:t>6</w:t>
            </w:r>
          </w:p>
        </w:tc>
        <w:tc>
          <w:tcPr>
            <w:tcW w:w="2254" w:type="dxa"/>
            <w:tcBorders>
              <w:right w:val="single" w:sz="4" w:space="0" w:color="A5A5A5" w:themeColor="accent3"/>
            </w:tcBorders>
            <w:noWrap/>
            <w:tcMar>
              <w:top w:w="0" w:type="dxa"/>
              <w:left w:w="108" w:type="dxa"/>
              <w:bottom w:w="0" w:type="dxa"/>
              <w:right w:w="108" w:type="dxa"/>
            </w:tcMar>
            <w:vAlign w:val="center"/>
          </w:tcPr>
          <w:p w14:paraId="6866C5F7" w14:textId="77777777" w:rsidR="001C1DB8" w:rsidRDefault="00FB2C3B">
            <w:pPr>
              <w:spacing w:before="0" w:after="0"/>
              <w:jc w:val="right"/>
            </w:pPr>
            <w:r>
              <w:rPr>
                <w:rFonts w:eastAsia="Times New Roman"/>
                <w:color w:val="000000"/>
                <w:szCs w:val="24"/>
                <w:lang w:val="en-US" w:eastAsia="en-GB"/>
              </w:rPr>
              <w:t>1</w:t>
            </w:r>
          </w:p>
        </w:tc>
      </w:tr>
      <w:tr w:rsidR="001C1DB8" w14:paraId="6866C5FD" w14:textId="77777777" w:rsidTr="08F1913D">
        <w:trPr>
          <w:trHeight w:hRule="exact" w:val="297"/>
        </w:trPr>
        <w:tc>
          <w:tcPr>
            <w:tcW w:w="2254" w:type="dxa"/>
            <w:tcBorders>
              <w:left w:val="single" w:sz="4" w:space="0" w:color="A5A5A5" w:themeColor="accent3"/>
            </w:tcBorders>
            <w:noWrap/>
            <w:tcMar>
              <w:top w:w="0" w:type="dxa"/>
              <w:left w:w="108" w:type="dxa"/>
              <w:bottom w:w="0" w:type="dxa"/>
              <w:right w:w="108" w:type="dxa"/>
            </w:tcMar>
            <w:vAlign w:val="center"/>
          </w:tcPr>
          <w:p w14:paraId="6866C5F9" w14:textId="77777777" w:rsidR="001C1DB8" w:rsidRDefault="00FB2C3B">
            <w:pPr>
              <w:spacing w:before="0" w:after="0"/>
            </w:pPr>
            <w:r>
              <w:rPr>
                <w:rFonts w:eastAsia="Times New Roman"/>
                <w:b/>
                <w:bCs/>
                <w:color w:val="000000"/>
                <w:szCs w:val="24"/>
                <w:lang w:val="en-US" w:eastAsia="en-GB"/>
              </w:rPr>
              <w:t>PRRB</w:t>
            </w:r>
          </w:p>
        </w:tc>
        <w:tc>
          <w:tcPr>
            <w:tcW w:w="2254" w:type="dxa"/>
            <w:noWrap/>
            <w:tcMar>
              <w:top w:w="0" w:type="dxa"/>
              <w:left w:w="108" w:type="dxa"/>
              <w:bottom w:w="0" w:type="dxa"/>
              <w:right w:w="108" w:type="dxa"/>
            </w:tcMar>
            <w:vAlign w:val="center"/>
          </w:tcPr>
          <w:p w14:paraId="6866C5FA" w14:textId="48E96E2C" w:rsidR="001C1DB8" w:rsidRDefault="00DC2D2B">
            <w:pPr>
              <w:spacing w:before="0" w:after="0"/>
              <w:jc w:val="right"/>
            </w:pPr>
            <w:r>
              <w:t>6</w:t>
            </w:r>
          </w:p>
        </w:tc>
        <w:tc>
          <w:tcPr>
            <w:tcW w:w="2254" w:type="dxa"/>
            <w:noWrap/>
            <w:tcMar>
              <w:top w:w="0" w:type="dxa"/>
              <w:left w:w="108" w:type="dxa"/>
              <w:bottom w:w="0" w:type="dxa"/>
              <w:right w:w="108" w:type="dxa"/>
            </w:tcMar>
            <w:vAlign w:val="center"/>
          </w:tcPr>
          <w:p w14:paraId="6866C5FB" w14:textId="3E347ADB" w:rsidR="001C1DB8" w:rsidRDefault="007B50DD">
            <w:pPr>
              <w:spacing w:before="0" w:after="0"/>
              <w:jc w:val="right"/>
            </w:pPr>
            <w:r>
              <w:rPr>
                <w:rFonts w:eastAsia="Times New Roman"/>
                <w:color w:val="000000" w:themeColor="text1"/>
                <w:lang w:val="en-US" w:eastAsia="en-GB"/>
              </w:rPr>
              <w:t>1</w:t>
            </w:r>
            <w:r w:rsidR="00E11287">
              <w:rPr>
                <w:rFonts w:eastAsia="Times New Roman"/>
                <w:color w:val="000000" w:themeColor="text1"/>
                <w:lang w:val="en-US" w:eastAsia="en-GB"/>
              </w:rPr>
              <w:t>6</w:t>
            </w:r>
          </w:p>
        </w:tc>
        <w:tc>
          <w:tcPr>
            <w:tcW w:w="2254" w:type="dxa"/>
            <w:tcBorders>
              <w:right w:val="single" w:sz="4" w:space="0" w:color="A5A5A5" w:themeColor="accent3"/>
            </w:tcBorders>
            <w:noWrap/>
            <w:tcMar>
              <w:top w:w="0" w:type="dxa"/>
              <w:left w:w="108" w:type="dxa"/>
              <w:bottom w:w="0" w:type="dxa"/>
              <w:right w:w="108" w:type="dxa"/>
            </w:tcMar>
            <w:vAlign w:val="center"/>
          </w:tcPr>
          <w:p w14:paraId="6866C5FC" w14:textId="3A2703BD" w:rsidR="001C1DB8" w:rsidRDefault="00FB2C3B">
            <w:pPr>
              <w:spacing w:before="0" w:after="0"/>
              <w:jc w:val="right"/>
            </w:pPr>
            <w:r>
              <w:rPr>
                <w:rFonts w:eastAsia="Times New Roman"/>
                <w:color w:val="000000"/>
                <w:szCs w:val="24"/>
                <w:lang w:val="en-US" w:eastAsia="en-GB"/>
              </w:rPr>
              <w:t>2</w:t>
            </w:r>
          </w:p>
        </w:tc>
      </w:tr>
      <w:tr w:rsidR="001C1DB8" w14:paraId="6866C602" w14:textId="77777777" w:rsidTr="08F1913D">
        <w:trPr>
          <w:trHeight w:hRule="exact" w:val="297"/>
        </w:trPr>
        <w:tc>
          <w:tcPr>
            <w:tcW w:w="2254" w:type="dxa"/>
            <w:tcBorders>
              <w:left w:val="single" w:sz="4" w:space="0" w:color="A5A5A5" w:themeColor="accent3"/>
            </w:tcBorders>
            <w:noWrap/>
            <w:tcMar>
              <w:top w:w="0" w:type="dxa"/>
              <w:left w:w="108" w:type="dxa"/>
              <w:bottom w:w="0" w:type="dxa"/>
              <w:right w:w="108" w:type="dxa"/>
            </w:tcMar>
            <w:vAlign w:val="center"/>
          </w:tcPr>
          <w:p w14:paraId="6866C5FE" w14:textId="77777777" w:rsidR="001C1DB8" w:rsidRDefault="00FB2C3B">
            <w:pPr>
              <w:spacing w:before="0" w:after="0"/>
            </w:pPr>
            <w:r>
              <w:rPr>
                <w:rFonts w:eastAsia="Times New Roman"/>
                <w:b/>
                <w:bCs/>
                <w:color w:val="000000"/>
                <w:szCs w:val="24"/>
                <w:lang w:val="en-US" w:eastAsia="en-GB"/>
              </w:rPr>
              <w:t>PSPRB</w:t>
            </w:r>
          </w:p>
        </w:tc>
        <w:tc>
          <w:tcPr>
            <w:tcW w:w="2254" w:type="dxa"/>
            <w:noWrap/>
            <w:tcMar>
              <w:top w:w="0" w:type="dxa"/>
              <w:left w:w="108" w:type="dxa"/>
              <w:bottom w:w="0" w:type="dxa"/>
              <w:right w:w="108" w:type="dxa"/>
            </w:tcMar>
            <w:vAlign w:val="center"/>
          </w:tcPr>
          <w:p w14:paraId="6866C5FF" w14:textId="7E59FA79" w:rsidR="001C1DB8" w:rsidRDefault="00382D66">
            <w:pPr>
              <w:spacing w:before="0" w:after="0"/>
              <w:jc w:val="right"/>
            </w:pPr>
            <w:r>
              <w:t>1</w:t>
            </w:r>
            <w:r w:rsidR="777D73D5">
              <w:t>9</w:t>
            </w:r>
          </w:p>
        </w:tc>
        <w:tc>
          <w:tcPr>
            <w:tcW w:w="2254" w:type="dxa"/>
            <w:noWrap/>
            <w:tcMar>
              <w:top w:w="0" w:type="dxa"/>
              <w:left w:w="108" w:type="dxa"/>
              <w:bottom w:w="0" w:type="dxa"/>
              <w:right w:w="108" w:type="dxa"/>
            </w:tcMar>
            <w:vAlign w:val="center"/>
          </w:tcPr>
          <w:p w14:paraId="6866C600" w14:textId="5CEAE8C5" w:rsidR="001C1DB8" w:rsidRDefault="008007AE">
            <w:pPr>
              <w:spacing w:before="0" w:after="0"/>
              <w:jc w:val="right"/>
              <w:rPr>
                <w:rFonts w:eastAsia="Times New Roman"/>
                <w:color w:val="000000"/>
                <w:lang w:eastAsia="en-GB"/>
              </w:rPr>
            </w:pPr>
            <w:r w:rsidRPr="5E48EBD5">
              <w:rPr>
                <w:rFonts w:eastAsia="Times New Roman"/>
                <w:color w:val="000000" w:themeColor="text1"/>
                <w:lang w:eastAsia="en-GB"/>
              </w:rPr>
              <w:t>1</w:t>
            </w:r>
            <w:r w:rsidR="696B6B17" w:rsidRPr="5E48EBD5">
              <w:rPr>
                <w:rFonts w:eastAsia="Times New Roman"/>
                <w:color w:val="000000" w:themeColor="text1"/>
                <w:lang w:eastAsia="en-GB"/>
              </w:rPr>
              <w:t>1</w:t>
            </w:r>
          </w:p>
        </w:tc>
        <w:tc>
          <w:tcPr>
            <w:tcW w:w="2254" w:type="dxa"/>
            <w:tcBorders>
              <w:right w:val="single" w:sz="4" w:space="0" w:color="A5A5A5" w:themeColor="accent3"/>
            </w:tcBorders>
            <w:noWrap/>
            <w:tcMar>
              <w:top w:w="0" w:type="dxa"/>
              <w:left w:w="108" w:type="dxa"/>
              <w:bottom w:w="0" w:type="dxa"/>
              <w:right w:w="108" w:type="dxa"/>
            </w:tcMar>
            <w:vAlign w:val="center"/>
          </w:tcPr>
          <w:p w14:paraId="6866C601" w14:textId="3E5B868E" w:rsidR="001C1DB8" w:rsidRDefault="001873E4">
            <w:pPr>
              <w:spacing w:before="0" w:after="0"/>
              <w:jc w:val="right"/>
            </w:pPr>
            <w:r>
              <w:rPr>
                <w:rFonts w:eastAsia="Times New Roman"/>
                <w:color w:val="000000" w:themeColor="text1"/>
                <w:lang w:eastAsia="en-GB"/>
              </w:rPr>
              <w:t>2</w:t>
            </w:r>
            <w:r>
              <w:rPr>
                <w:rStyle w:val="FootnoteReference"/>
                <w:rFonts w:eastAsia="Times New Roman"/>
                <w:color w:val="000000" w:themeColor="text1"/>
                <w:lang w:eastAsia="en-GB"/>
              </w:rPr>
              <w:footnoteReference w:id="22"/>
            </w:r>
          </w:p>
        </w:tc>
      </w:tr>
      <w:tr w:rsidR="001C1DB8" w14:paraId="6866C607" w14:textId="77777777" w:rsidTr="08F1913D">
        <w:trPr>
          <w:trHeight w:hRule="exact" w:val="297"/>
        </w:trPr>
        <w:tc>
          <w:tcPr>
            <w:tcW w:w="2254" w:type="dxa"/>
            <w:tcBorders>
              <w:left w:val="single" w:sz="4" w:space="0" w:color="A5A5A5" w:themeColor="accent3"/>
            </w:tcBorders>
            <w:noWrap/>
            <w:tcMar>
              <w:top w:w="0" w:type="dxa"/>
              <w:left w:w="108" w:type="dxa"/>
              <w:bottom w:w="0" w:type="dxa"/>
              <w:right w:w="108" w:type="dxa"/>
            </w:tcMar>
            <w:vAlign w:val="center"/>
          </w:tcPr>
          <w:p w14:paraId="6866C603" w14:textId="77777777" w:rsidR="001C1DB8" w:rsidRDefault="00FB2C3B">
            <w:pPr>
              <w:spacing w:before="0" w:after="0"/>
            </w:pPr>
            <w:r>
              <w:rPr>
                <w:rFonts w:eastAsia="Times New Roman"/>
                <w:b/>
                <w:bCs/>
                <w:color w:val="000000"/>
                <w:szCs w:val="24"/>
                <w:lang w:val="en-US" w:eastAsia="en-GB"/>
              </w:rPr>
              <w:t>SSRB</w:t>
            </w:r>
          </w:p>
        </w:tc>
        <w:tc>
          <w:tcPr>
            <w:tcW w:w="2254" w:type="dxa"/>
            <w:noWrap/>
            <w:tcMar>
              <w:top w:w="0" w:type="dxa"/>
              <w:left w:w="108" w:type="dxa"/>
              <w:bottom w:w="0" w:type="dxa"/>
              <w:right w:w="108" w:type="dxa"/>
            </w:tcMar>
            <w:vAlign w:val="center"/>
          </w:tcPr>
          <w:p w14:paraId="6866C604" w14:textId="5845D378" w:rsidR="001C1DB8" w:rsidRPr="0053034A" w:rsidRDefault="5C31293E">
            <w:pPr>
              <w:spacing w:before="0" w:after="0"/>
              <w:jc w:val="right"/>
              <w:rPr>
                <w:rStyle w:val="FootnoteReference"/>
                <w:highlight w:val="yellow"/>
              </w:rPr>
            </w:pPr>
            <w:r w:rsidRPr="003E121E">
              <w:t>8</w:t>
            </w:r>
            <w:r w:rsidR="0062140D" w:rsidRPr="00521867">
              <w:rPr>
                <w:rStyle w:val="FootnoteReference"/>
              </w:rPr>
              <w:footnoteReference w:id="23"/>
            </w:r>
          </w:p>
        </w:tc>
        <w:tc>
          <w:tcPr>
            <w:tcW w:w="2254" w:type="dxa"/>
            <w:noWrap/>
            <w:tcMar>
              <w:top w:w="0" w:type="dxa"/>
              <w:left w:w="108" w:type="dxa"/>
              <w:bottom w:w="0" w:type="dxa"/>
              <w:right w:w="108" w:type="dxa"/>
            </w:tcMar>
            <w:vAlign w:val="center"/>
          </w:tcPr>
          <w:p w14:paraId="6866C605" w14:textId="09CE934A" w:rsidR="001C1DB8" w:rsidRPr="0053034A" w:rsidRDefault="4A11D928">
            <w:pPr>
              <w:spacing w:before="0" w:after="0"/>
              <w:jc w:val="right"/>
              <w:rPr>
                <w:rFonts w:eastAsia="Times New Roman"/>
                <w:color w:val="000000"/>
                <w:highlight w:val="yellow"/>
                <w:lang w:eastAsia="en-GB"/>
              </w:rPr>
            </w:pPr>
            <w:r w:rsidRPr="008E258B">
              <w:rPr>
                <w:rFonts w:eastAsia="Times New Roman"/>
                <w:color w:val="000000" w:themeColor="text1"/>
                <w:lang w:eastAsia="en-GB"/>
              </w:rPr>
              <w:t>27</w:t>
            </w:r>
          </w:p>
        </w:tc>
        <w:tc>
          <w:tcPr>
            <w:tcW w:w="2254" w:type="dxa"/>
            <w:tcBorders>
              <w:right w:val="single" w:sz="4" w:space="0" w:color="A5A5A5" w:themeColor="accent3"/>
            </w:tcBorders>
            <w:noWrap/>
            <w:tcMar>
              <w:top w:w="0" w:type="dxa"/>
              <w:left w:w="108" w:type="dxa"/>
              <w:bottom w:w="0" w:type="dxa"/>
              <w:right w:w="108" w:type="dxa"/>
            </w:tcMar>
            <w:vAlign w:val="center"/>
          </w:tcPr>
          <w:p w14:paraId="6866C606" w14:textId="54F5388D" w:rsidR="001C1DB8" w:rsidRPr="0053034A" w:rsidRDefault="00364167">
            <w:pPr>
              <w:spacing w:before="0" w:after="0"/>
              <w:jc w:val="right"/>
              <w:rPr>
                <w:highlight w:val="yellow"/>
              </w:rPr>
            </w:pPr>
            <w:r w:rsidRPr="0053034A">
              <w:t>2</w:t>
            </w:r>
            <w:r w:rsidR="00CF59C7">
              <w:rPr>
                <w:rStyle w:val="FootnoteReference"/>
              </w:rPr>
              <w:footnoteReference w:id="24"/>
            </w:r>
          </w:p>
        </w:tc>
      </w:tr>
      <w:tr w:rsidR="001C1DB8" w14:paraId="6866C60C" w14:textId="77777777" w:rsidTr="08F1913D">
        <w:trPr>
          <w:trHeight w:hRule="exact" w:val="297"/>
        </w:trPr>
        <w:tc>
          <w:tcPr>
            <w:tcW w:w="2254" w:type="dxa"/>
            <w:tcBorders>
              <w:left w:val="single" w:sz="4" w:space="0" w:color="A5A5A5" w:themeColor="accent3"/>
            </w:tcBorders>
            <w:noWrap/>
            <w:tcMar>
              <w:top w:w="0" w:type="dxa"/>
              <w:left w:w="108" w:type="dxa"/>
              <w:bottom w:w="0" w:type="dxa"/>
              <w:right w:w="108" w:type="dxa"/>
            </w:tcMar>
            <w:vAlign w:val="center"/>
          </w:tcPr>
          <w:p w14:paraId="6866C608" w14:textId="77777777" w:rsidR="001C1DB8" w:rsidRDefault="00FB2C3B">
            <w:pPr>
              <w:spacing w:before="0" w:after="0"/>
            </w:pPr>
            <w:r>
              <w:rPr>
                <w:rFonts w:eastAsia="Times New Roman"/>
                <w:b/>
                <w:bCs/>
                <w:color w:val="000000"/>
                <w:szCs w:val="24"/>
                <w:lang w:val="en-US" w:eastAsia="en-GB"/>
              </w:rPr>
              <w:t>STRB</w:t>
            </w:r>
          </w:p>
        </w:tc>
        <w:tc>
          <w:tcPr>
            <w:tcW w:w="2254" w:type="dxa"/>
            <w:noWrap/>
            <w:tcMar>
              <w:top w:w="0" w:type="dxa"/>
              <w:left w:w="108" w:type="dxa"/>
              <w:bottom w:w="0" w:type="dxa"/>
              <w:right w:w="108" w:type="dxa"/>
            </w:tcMar>
            <w:vAlign w:val="center"/>
          </w:tcPr>
          <w:p w14:paraId="6866C609" w14:textId="5E875BAD" w:rsidR="001C1DB8" w:rsidRDefault="00C91D26">
            <w:pPr>
              <w:spacing w:before="0" w:after="0"/>
              <w:jc w:val="right"/>
            </w:pPr>
            <w:r>
              <w:t>8</w:t>
            </w:r>
          </w:p>
        </w:tc>
        <w:tc>
          <w:tcPr>
            <w:tcW w:w="2254" w:type="dxa"/>
            <w:noWrap/>
            <w:tcMar>
              <w:top w:w="0" w:type="dxa"/>
              <w:left w:w="108" w:type="dxa"/>
              <w:bottom w:w="0" w:type="dxa"/>
              <w:right w:w="108" w:type="dxa"/>
            </w:tcMar>
            <w:vAlign w:val="center"/>
          </w:tcPr>
          <w:p w14:paraId="6866C60A" w14:textId="09D4EF9E" w:rsidR="001C1DB8" w:rsidRDefault="00FB2C3B">
            <w:pPr>
              <w:spacing w:before="0" w:after="0"/>
              <w:jc w:val="right"/>
              <w:rPr>
                <w:rFonts w:eastAsia="Times New Roman"/>
                <w:color w:val="000000"/>
                <w:szCs w:val="24"/>
                <w:lang w:eastAsia="en-GB"/>
              </w:rPr>
            </w:pPr>
            <w:r>
              <w:rPr>
                <w:rFonts w:eastAsia="Times New Roman"/>
                <w:color w:val="000000"/>
                <w:szCs w:val="24"/>
                <w:lang w:eastAsia="en-GB"/>
              </w:rPr>
              <w:t>1</w:t>
            </w:r>
            <w:r w:rsidR="00CB1185">
              <w:rPr>
                <w:rFonts w:eastAsia="Times New Roman"/>
                <w:color w:val="000000"/>
                <w:szCs w:val="24"/>
                <w:lang w:eastAsia="en-GB"/>
              </w:rPr>
              <w:t>6</w:t>
            </w:r>
          </w:p>
        </w:tc>
        <w:tc>
          <w:tcPr>
            <w:tcW w:w="2254" w:type="dxa"/>
            <w:tcBorders>
              <w:right w:val="single" w:sz="4" w:space="0" w:color="A5A5A5" w:themeColor="accent3"/>
            </w:tcBorders>
            <w:noWrap/>
            <w:tcMar>
              <w:top w:w="0" w:type="dxa"/>
              <w:left w:w="108" w:type="dxa"/>
              <w:bottom w:w="0" w:type="dxa"/>
              <w:right w:w="108" w:type="dxa"/>
            </w:tcMar>
            <w:vAlign w:val="center"/>
          </w:tcPr>
          <w:p w14:paraId="6866C60B" w14:textId="77777777" w:rsidR="001C1DB8" w:rsidRDefault="00FB2C3B">
            <w:pPr>
              <w:spacing w:before="0" w:after="0"/>
              <w:jc w:val="right"/>
            </w:pPr>
            <w:r>
              <w:rPr>
                <w:rFonts w:eastAsia="Times New Roman"/>
                <w:color w:val="000000"/>
                <w:szCs w:val="24"/>
                <w:lang w:val="en-US" w:eastAsia="en-GB"/>
              </w:rPr>
              <w:t>1</w:t>
            </w:r>
          </w:p>
        </w:tc>
      </w:tr>
      <w:tr w:rsidR="001C1DB8" w14:paraId="6866C611" w14:textId="77777777" w:rsidTr="08F1913D">
        <w:trPr>
          <w:trHeight w:hRule="exact" w:val="297"/>
        </w:trPr>
        <w:tc>
          <w:tcPr>
            <w:tcW w:w="2254" w:type="dxa"/>
            <w:tcBorders>
              <w:left w:val="single" w:sz="4" w:space="0" w:color="A5A5A5" w:themeColor="accent3"/>
              <w:bottom w:val="single" w:sz="4" w:space="0" w:color="A5A5A5" w:themeColor="accent3"/>
            </w:tcBorders>
            <w:noWrap/>
            <w:tcMar>
              <w:top w:w="0" w:type="dxa"/>
              <w:left w:w="108" w:type="dxa"/>
              <w:bottom w:w="0" w:type="dxa"/>
              <w:right w:w="108" w:type="dxa"/>
            </w:tcMar>
            <w:vAlign w:val="center"/>
          </w:tcPr>
          <w:p w14:paraId="6866C60D" w14:textId="77777777" w:rsidR="001C1DB8" w:rsidRDefault="00FB2C3B">
            <w:pPr>
              <w:spacing w:before="0" w:after="0"/>
            </w:pPr>
            <w:r w:rsidRPr="339C6807">
              <w:rPr>
                <w:rFonts w:eastAsia="Times New Roman"/>
                <w:b/>
                <w:color w:val="000000" w:themeColor="text1"/>
                <w:lang w:val="en-US" w:eastAsia="en-GB"/>
              </w:rPr>
              <w:t>Total</w:t>
            </w:r>
          </w:p>
        </w:tc>
        <w:tc>
          <w:tcPr>
            <w:tcW w:w="2254" w:type="dxa"/>
            <w:tcBorders>
              <w:bottom w:val="single" w:sz="4" w:space="0" w:color="A5A5A5" w:themeColor="accent3"/>
            </w:tcBorders>
            <w:noWrap/>
            <w:tcMar>
              <w:top w:w="0" w:type="dxa"/>
              <w:left w:w="108" w:type="dxa"/>
              <w:bottom w:w="0" w:type="dxa"/>
              <w:right w:w="108" w:type="dxa"/>
            </w:tcMar>
            <w:vAlign w:val="center"/>
          </w:tcPr>
          <w:p w14:paraId="6866C60E" w14:textId="0C3779D5" w:rsidR="001C1DB8" w:rsidRDefault="00282543">
            <w:pPr>
              <w:spacing w:before="0" w:after="0"/>
              <w:jc w:val="right"/>
              <w:rPr>
                <w:b/>
                <w:bCs/>
              </w:rPr>
            </w:pPr>
            <w:r>
              <w:rPr>
                <w:b/>
                <w:bCs/>
              </w:rPr>
              <w:t>74</w:t>
            </w:r>
          </w:p>
        </w:tc>
        <w:tc>
          <w:tcPr>
            <w:tcW w:w="2254" w:type="dxa"/>
            <w:tcBorders>
              <w:bottom w:val="single" w:sz="4" w:space="0" w:color="A5A5A5" w:themeColor="accent3"/>
            </w:tcBorders>
            <w:noWrap/>
            <w:tcMar>
              <w:top w:w="0" w:type="dxa"/>
              <w:left w:w="108" w:type="dxa"/>
              <w:bottom w:w="0" w:type="dxa"/>
              <w:right w:w="108" w:type="dxa"/>
            </w:tcMar>
            <w:vAlign w:val="center"/>
          </w:tcPr>
          <w:p w14:paraId="6866C60F" w14:textId="2C5D176A" w:rsidR="001C1DB8" w:rsidRDefault="00FB2C3B">
            <w:pPr>
              <w:spacing w:before="0" w:after="0"/>
              <w:jc w:val="right"/>
            </w:pPr>
            <w:r>
              <w:rPr>
                <w:rFonts w:eastAsia="Times New Roman"/>
                <w:b/>
                <w:bCs/>
                <w:color w:val="000000"/>
                <w:szCs w:val="24"/>
                <w:lang w:val="en-US" w:eastAsia="en-GB"/>
              </w:rPr>
              <w:t>1</w:t>
            </w:r>
            <w:r w:rsidR="00324069">
              <w:rPr>
                <w:rFonts w:eastAsia="Times New Roman"/>
                <w:b/>
                <w:bCs/>
                <w:color w:val="000000"/>
                <w:szCs w:val="24"/>
                <w:lang w:val="en-US" w:eastAsia="en-GB"/>
              </w:rPr>
              <w:t>3</w:t>
            </w:r>
            <w:r w:rsidR="009E2961">
              <w:rPr>
                <w:rFonts w:eastAsia="Times New Roman"/>
                <w:b/>
                <w:bCs/>
                <w:color w:val="000000"/>
                <w:szCs w:val="24"/>
                <w:lang w:val="en-US" w:eastAsia="en-GB"/>
              </w:rPr>
              <w:t>0</w:t>
            </w:r>
          </w:p>
        </w:tc>
        <w:tc>
          <w:tcPr>
            <w:tcW w:w="2254" w:type="dxa"/>
            <w:tcBorders>
              <w:bottom w:val="single" w:sz="4" w:space="0" w:color="A5A5A5" w:themeColor="accent3"/>
              <w:right w:val="single" w:sz="4" w:space="0" w:color="A5A5A5" w:themeColor="accent3"/>
            </w:tcBorders>
            <w:noWrap/>
            <w:tcMar>
              <w:top w:w="0" w:type="dxa"/>
              <w:left w:w="108" w:type="dxa"/>
              <w:bottom w:w="0" w:type="dxa"/>
              <w:right w:w="108" w:type="dxa"/>
            </w:tcMar>
            <w:vAlign w:val="center"/>
          </w:tcPr>
          <w:p w14:paraId="6866C610" w14:textId="16D989FF" w:rsidR="001C1DB8" w:rsidRPr="00E355D6" w:rsidRDefault="00E355D6">
            <w:pPr>
              <w:spacing w:before="0" w:after="0"/>
              <w:jc w:val="right"/>
              <w:rPr>
                <w:b/>
              </w:rPr>
            </w:pPr>
            <w:r w:rsidRPr="00E355D6">
              <w:rPr>
                <w:b/>
                <w:bCs/>
              </w:rPr>
              <w:t>1</w:t>
            </w:r>
            <w:r w:rsidR="00F00BD9">
              <w:rPr>
                <w:b/>
                <w:bCs/>
              </w:rPr>
              <w:t>2</w:t>
            </w:r>
          </w:p>
        </w:tc>
      </w:tr>
    </w:tbl>
    <w:p w14:paraId="6866C612" w14:textId="77777777" w:rsidR="001C1DB8" w:rsidRDefault="001C1DB8"/>
    <w:sectPr w:rsidR="001C1DB8">
      <w:headerReference w:type="default" r:id="rId23"/>
      <w:footerReference w:type="default" r:id="rId24"/>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C4EA5" w14:textId="77777777" w:rsidR="00CB7DD3" w:rsidRDefault="00CB7DD3">
      <w:pPr>
        <w:spacing w:before="0" w:after="0"/>
      </w:pPr>
      <w:r>
        <w:separator/>
      </w:r>
    </w:p>
  </w:endnote>
  <w:endnote w:type="continuationSeparator" w:id="0">
    <w:p w14:paraId="4D1DA231" w14:textId="77777777" w:rsidR="00CB7DD3" w:rsidRDefault="00CB7DD3">
      <w:pPr>
        <w:spacing w:before="0" w:after="0"/>
      </w:pPr>
      <w:r>
        <w:continuationSeparator/>
      </w:r>
    </w:p>
  </w:endnote>
  <w:endnote w:type="continuationNotice" w:id="1">
    <w:p w14:paraId="3E7C6346" w14:textId="77777777" w:rsidR="00CB7DD3" w:rsidRDefault="00CB7DD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Stone Sans Std Medium">
    <w:altName w:val="Calibri"/>
    <w:panose1 w:val="00000000000000000000"/>
    <w:charset w:val="00"/>
    <w:family w:val="swiss"/>
    <w:notTrueType/>
    <w:pitch w:val="variable"/>
    <w:sig w:usb0="800000AF" w:usb1="4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9ADBA" w14:textId="1A87C736" w:rsidR="00FB2C3B" w:rsidRDefault="00FB2C3B">
    <w:r>
      <w:fldChar w:fldCharType="begin"/>
    </w:r>
    <w:r>
      <w:instrText xml:space="preserve"> PAGE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C397" w14:textId="63E1FFFA" w:rsidR="00FB2C3B" w:rsidRDefault="00AD4DE1">
    <w:pPr>
      <w:pStyle w:val="Footer"/>
    </w:pPr>
    <w:r>
      <w:t xml:space="preserve">November </w:t>
    </w:r>
    <w:r w:rsidR="000A6684">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C39B" w14:textId="76A86A88" w:rsidR="00FB2C3B" w:rsidRDefault="00FB2C3B">
    <w:pPr>
      <w:pStyle w:val="Footer"/>
      <w:jc w:val="right"/>
    </w:pPr>
    <w:r>
      <w:fldChar w:fldCharType="begin"/>
    </w:r>
    <w:r>
      <w:instrText xml:space="preserve"> PAGE </w:instrText>
    </w:r>
    <w:r>
      <w:fldChar w:fldCharType="separate"/>
    </w:r>
    <w: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C39F" w14:textId="21577616" w:rsidR="00FB2C3B" w:rsidRDefault="00FB2C3B">
    <w:pPr>
      <w:pStyle w:val="Footer"/>
      <w:jc w:val="right"/>
    </w:pPr>
    <w:r>
      <w:fldChar w:fldCharType="begin"/>
    </w:r>
    <w:r>
      <w:instrText xml:space="preserve"> PAGE </w:instrText>
    </w:r>
    <w:r>
      <w:fldChar w:fldCharType="separate"/>
    </w:r>
    <w:r w:rsidR="08F1913D">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A9860" w14:textId="77777777" w:rsidR="00CB7DD3" w:rsidRDefault="00CB7DD3">
      <w:pPr>
        <w:spacing w:before="0" w:after="0"/>
      </w:pPr>
      <w:r>
        <w:rPr>
          <w:color w:val="000000"/>
        </w:rPr>
        <w:separator/>
      </w:r>
    </w:p>
  </w:footnote>
  <w:footnote w:type="continuationSeparator" w:id="0">
    <w:p w14:paraId="68E804FF" w14:textId="77777777" w:rsidR="00CB7DD3" w:rsidRDefault="00CB7DD3">
      <w:pPr>
        <w:spacing w:before="0" w:after="0"/>
      </w:pPr>
      <w:r>
        <w:continuationSeparator/>
      </w:r>
    </w:p>
  </w:footnote>
  <w:footnote w:type="continuationNotice" w:id="1">
    <w:p w14:paraId="3B4CB2E4" w14:textId="77777777" w:rsidR="00CB7DD3" w:rsidRDefault="00CB7DD3">
      <w:pPr>
        <w:spacing w:before="0" w:after="0"/>
      </w:pPr>
    </w:p>
  </w:footnote>
  <w:footnote w:id="2">
    <w:p w14:paraId="6866C389" w14:textId="77777777" w:rsidR="001C1DB8" w:rsidRDefault="00FB2C3B">
      <w:pPr>
        <w:pStyle w:val="FootnoteText"/>
      </w:pPr>
      <w:r>
        <w:rPr>
          <w:rStyle w:val="FootnoteReference"/>
        </w:rPr>
        <w:footnoteRef/>
      </w:r>
      <w:r>
        <w:t xml:space="preserve"> </w:t>
      </w:r>
      <w:r>
        <w:rPr>
          <w:rStyle w:val="normaltextrun"/>
          <w:color w:val="000000"/>
        </w:rPr>
        <w:t>Estimates exclude academy schools which are not strictly part of the STRB remit group but in practice many use national pay and conditions. See Table 1 for more details.</w:t>
      </w:r>
    </w:p>
  </w:footnote>
  <w:footnote w:id="3">
    <w:p w14:paraId="52E7B45E" w14:textId="63515413" w:rsidR="006B49B2" w:rsidRDefault="006B49B2">
      <w:pPr>
        <w:pStyle w:val="FootnoteText"/>
      </w:pPr>
      <w:r>
        <w:rPr>
          <w:rStyle w:val="FootnoteReference"/>
        </w:rPr>
        <w:footnoteRef/>
      </w:r>
      <w:r>
        <w:t xml:space="preserve"> On 15 June 2025 the Chancellor of the Duchy of Lancaster approved the transfer of Senior Military Officers from the </w:t>
      </w:r>
      <w:r w:rsidR="00150AC9">
        <w:t xml:space="preserve">SSRB to the </w:t>
      </w:r>
      <w:r w:rsidR="00F27D55">
        <w:t>AFPRB</w:t>
      </w:r>
      <w:r w:rsidR="00150AC9">
        <w:t xml:space="preserve"> with this to take effect </w:t>
      </w:r>
      <w:r w:rsidR="00AE4C91">
        <w:t>in the pay round to deliver recommendations for pay from 1 April 2026</w:t>
      </w:r>
      <w:r w:rsidR="00150AC9">
        <w:t>.</w:t>
      </w:r>
      <w:r w:rsidR="00AE4C91">
        <w:t xml:space="preserve"> </w:t>
      </w:r>
      <w:r w:rsidR="00754D53">
        <w:t>This change will be reflected in next year’s OPRB Stewardship Report.</w:t>
      </w:r>
    </w:p>
  </w:footnote>
  <w:footnote w:id="4">
    <w:p w14:paraId="2AB3FBF1" w14:textId="3CE02DC1" w:rsidR="00A86FD5" w:rsidRDefault="00A86FD5">
      <w:pPr>
        <w:pStyle w:val="FootnoteText"/>
      </w:pPr>
      <w:r>
        <w:rPr>
          <w:rStyle w:val="FootnoteReference"/>
        </w:rPr>
        <w:footnoteRef/>
      </w:r>
      <w:r>
        <w:t xml:space="preserve"> </w:t>
      </w:r>
      <w:r w:rsidR="00CC6827">
        <w:t>The AFPRB</w:t>
      </w:r>
      <w:r w:rsidR="00845BA7">
        <w:t xml:space="preserve"> invites </w:t>
      </w:r>
      <w:r w:rsidR="00CC6827">
        <w:t xml:space="preserve">evidence from the </w:t>
      </w:r>
      <w:r w:rsidR="00845BA7">
        <w:t>BMA and BDA when considering the pay of medical and dental officers in the Armed Forces.</w:t>
      </w:r>
    </w:p>
  </w:footnote>
  <w:footnote w:id="5">
    <w:p w14:paraId="6866C38D" w14:textId="77777777" w:rsidR="001C1DB8" w:rsidRDefault="00FB2C3B">
      <w:pPr>
        <w:pStyle w:val="FootnoteText"/>
      </w:pPr>
      <w:r>
        <w:rPr>
          <w:rStyle w:val="FootnoteReference"/>
        </w:rPr>
        <w:footnoteRef/>
      </w:r>
      <w:r>
        <w:t xml:space="preserve"> </w:t>
      </w:r>
      <w:r>
        <w:rPr>
          <w:rStyle w:val="normaltextrun"/>
          <w:color w:val="000000"/>
          <w:shd w:val="clear" w:color="auto" w:fill="FFFFFF"/>
        </w:rPr>
        <w:t>The AFPRB annual paybill figure also takes account of pay, allowances, incentive payments and bounty payments.</w:t>
      </w:r>
      <w:r>
        <w:rPr>
          <w:rStyle w:val="eop"/>
          <w:color w:val="000000"/>
          <w:shd w:val="clear" w:color="auto" w:fill="FFFFFF"/>
        </w:rPr>
        <w:t> </w:t>
      </w:r>
    </w:p>
  </w:footnote>
  <w:footnote w:id="6">
    <w:p w14:paraId="36C00FC9" w14:textId="5C2F28EF" w:rsidR="00D3490D" w:rsidRDefault="00D3490D">
      <w:pPr>
        <w:pStyle w:val="FootnoteText"/>
      </w:pPr>
      <w:r>
        <w:rPr>
          <w:rStyle w:val="FootnoteReference"/>
        </w:rPr>
        <w:footnoteRef/>
      </w:r>
      <w:r>
        <w:t xml:space="preserve"> </w:t>
      </w:r>
      <w:r w:rsidR="00331AD9">
        <w:t>March 2024 figure</w:t>
      </w:r>
    </w:p>
  </w:footnote>
  <w:footnote w:id="7">
    <w:p w14:paraId="5EE695D1" w14:textId="304E3315" w:rsidR="007C3F3C" w:rsidRDefault="007C3F3C">
      <w:pPr>
        <w:pStyle w:val="FootnoteText"/>
      </w:pPr>
      <w:r>
        <w:rPr>
          <w:rStyle w:val="FootnoteReference"/>
        </w:rPr>
        <w:footnoteRef/>
      </w:r>
      <w:r>
        <w:t xml:space="preserve"> </w:t>
      </w:r>
      <w:r w:rsidR="00A75E60">
        <w:t>This figure is for 202</w:t>
      </w:r>
      <w:r w:rsidR="006D1979">
        <w:t>4</w:t>
      </w:r>
      <w:r w:rsidR="00A75E60">
        <w:t>-2</w:t>
      </w:r>
      <w:r w:rsidR="006D1979">
        <w:t>5</w:t>
      </w:r>
      <w:r w:rsidR="00A75E60">
        <w:t>.</w:t>
      </w:r>
    </w:p>
  </w:footnote>
  <w:footnote w:id="8">
    <w:p w14:paraId="239756B7" w14:textId="6AFA595F" w:rsidR="00E439CA" w:rsidRDefault="00E439CA" w:rsidP="00E439CA">
      <w:pPr>
        <w:pStyle w:val="FootnoteText"/>
      </w:pPr>
      <w:r>
        <w:rPr>
          <w:rStyle w:val="FootnoteReference"/>
        </w:rPr>
        <w:footnoteRef/>
      </w:r>
      <w:r>
        <w:t xml:space="preserve"> OPRB estimate of </w:t>
      </w:r>
      <w:r w:rsidR="00292CFA">
        <w:t xml:space="preserve">2024-25 </w:t>
      </w:r>
      <w:r>
        <w:t>paybill</w:t>
      </w:r>
    </w:p>
  </w:footnote>
  <w:footnote w:id="9">
    <w:p w14:paraId="5E0CB319" w14:textId="7915D856" w:rsidR="00AD646D" w:rsidRDefault="00AD646D">
      <w:pPr>
        <w:pStyle w:val="FootnoteText"/>
      </w:pPr>
      <w:r>
        <w:rPr>
          <w:rStyle w:val="FootnoteReference"/>
        </w:rPr>
        <w:footnoteRef/>
      </w:r>
      <w:r>
        <w:t xml:space="preserve"> OPRB estimate of paybill at 1</w:t>
      </w:r>
      <w:r w:rsidRPr="00B05827">
        <w:rPr>
          <w:vertAlign w:val="superscript"/>
        </w:rPr>
        <w:t>st</w:t>
      </w:r>
      <w:r>
        <w:t xml:space="preserve"> June 2025</w:t>
      </w:r>
    </w:p>
  </w:footnote>
  <w:footnote w:id="10">
    <w:p w14:paraId="6CC54400" w14:textId="5033C82B" w:rsidR="000519A3" w:rsidRDefault="000519A3" w:rsidP="00522FE3">
      <w:r>
        <w:rPr>
          <w:rStyle w:val="FootnoteReference"/>
        </w:rPr>
        <w:footnoteRef/>
      </w:r>
      <w:r>
        <w:t xml:space="preserve"> </w:t>
      </w:r>
      <w:r w:rsidRPr="007A6A79">
        <w:rPr>
          <w:sz w:val="20"/>
          <w:szCs w:val="18"/>
        </w:rPr>
        <w:t>Full details of the AFPRB’s recommendations can be found at</w:t>
      </w:r>
      <w:r w:rsidR="002D0583">
        <w:rPr>
          <w:sz w:val="20"/>
          <w:szCs w:val="18"/>
        </w:rPr>
        <w:t xml:space="preserve">: </w:t>
      </w:r>
      <w:hyperlink r:id="rId1" w:history="1">
        <w:r w:rsidR="003A21AC" w:rsidRPr="00AB1249">
          <w:rPr>
            <w:rStyle w:val="Hyperlink"/>
            <w:sz w:val="20"/>
            <w:szCs w:val="18"/>
          </w:rPr>
          <w:t>https://www.gov.uk/government/publications/armed-forces-pay-review-body-fifty-fourth-report-2025</w:t>
        </w:r>
      </w:hyperlink>
      <w:r w:rsidR="003A21AC">
        <w:rPr>
          <w:sz w:val="20"/>
          <w:szCs w:val="18"/>
        </w:rPr>
        <w:t xml:space="preserve"> </w:t>
      </w:r>
    </w:p>
  </w:footnote>
  <w:footnote w:id="11">
    <w:p w14:paraId="2257270D" w14:textId="49EBC16D" w:rsidR="000519A3" w:rsidRDefault="000519A3" w:rsidP="000519A3">
      <w:pPr>
        <w:pStyle w:val="NormalWeb"/>
      </w:pPr>
      <w:r>
        <w:rPr>
          <w:rStyle w:val="FootnoteReference"/>
        </w:rPr>
        <w:footnoteRef/>
      </w:r>
      <w:r>
        <w:t xml:space="preserve"> </w:t>
      </w:r>
      <w:r>
        <w:rPr>
          <w:rFonts w:ascii="Arial" w:hAnsi="Arial" w:cs="Arial"/>
          <w:sz w:val="20"/>
          <w:szCs w:val="20"/>
        </w:rPr>
        <w:t xml:space="preserve">The Government’s response to the recommendations is available here: </w:t>
      </w:r>
      <w:hyperlink r:id="rId2" w:history="1">
        <w:r w:rsidR="002F726A" w:rsidRPr="002F726A">
          <w:rPr>
            <w:rStyle w:val="Hyperlink"/>
            <w:rFonts w:ascii="Arial" w:hAnsi="Arial" w:cs="Arial"/>
            <w:sz w:val="20"/>
            <w:szCs w:val="20"/>
          </w:rPr>
          <w:t>Written statements - Written questions, answers and statements - UK Parliament</w:t>
        </w:r>
      </w:hyperlink>
      <w:r>
        <w:rPr>
          <w:rFonts w:ascii="Arial" w:hAnsi="Arial" w:cs="Arial"/>
          <w:sz w:val="20"/>
          <w:szCs w:val="20"/>
        </w:rPr>
        <w:t xml:space="preserve"> </w:t>
      </w:r>
    </w:p>
  </w:footnote>
  <w:footnote w:id="12">
    <w:p w14:paraId="19270C73" w14:textId="77777777" w:rsidR="00C514A8" w:rsidRDefault="00C514A8" w:rsidP="00C514A8">
      <w:pPr>
        <w:pStyle w:val="FootnoteText"/>
      </w:pPr>
      <w:r>
        <w:rPr>
          <w:rStyle w:val="FootnoteReference"/>
        </w:rPr>
        <w:footnoteRef/>
      </w:r>
      <w:r>
        <w:t xml:space="preserve"> </w:t>
      </w:r>
      <w:hyperlink r:id="rId3" w:history="1">
        <w:r w:rsidRPr="00294FAC">
          <w:rPr>
            <w:rStyle w:val="Hyperlink"/>
          </w:rPr>
          <w:t>https://questions-statements.parliament.uk/written-statements/detail/2025-05-22/hcws663</w:t>
        </w:r>
      </w:hyperlink>
    </w:p>
    <w:p w14:paraId="0A154689" w14:textId="77777777" w:rsidR="00C514A8" w:rsidRDefault="00C514A8" w:rsidP="00C514A8">
      <w:pPr>
        <w:pStyle w:val="FootnoteText"/>
      </w:pPr>
      <w:hyperlink r:id="rId4" w:history="1">
        <w:r w:rsidRPr="00294FAC">
          <w:rPr>
            <w:rStyle w:val="Hyperlink"/>
          </w:rPr>
          <w:t>https://www.gov.wales/written-statement-responding-38th-nhs-pay-review-body-and-53rd-doctors-and-dentists-review-body</w:t>
        </w:r>
      </w:hyperlink>
    </w:p>
    <w:p w14:paraId="6D3FB66E" w14:textId="77777777" w:rsidR="00C514A8" w:rsidRDefault="00C514A8" w:rsidP="00C514A8">
      <w:pPr>
        <w:pStyle w:val="FootnoteText"/>
      </w:pPr>
      <w:hyperlink r:id="rId5" w:history="1">
        <w:r w:rsidRPr="00294FAC">
          <w:rPr>
            <w:rStyle w:val="Hyperlink"/>
          </w:rPr>
          <w:t>https://www.niassembly.gov.uk/globalassets/documents/official-reports/written-ministerial-statements/2022---2027/bv177_doh_280525.pdf</w:t>
        </w:r>
      </w:hyperlink>
    </w:p>
    <w:p w14:paraId="404690CC" w14:textId="77777777" w:rsidR="00C514A8" w:rsidRDefault="00C514A8" w:rsidP="00C514A8">
      <w:pPr>
        <w:pStyle w:val="FootnoteText"/>
      </w:pPr>
    </w:p>
  </w:footnote>
  <w:footnote w:id="13">
    <w:p w14:paraId="37BCC1B9" w14:textId="77777777" w:rsidR="003629BA" w:rsidRDefault="003629BA" w:rsidP="003629BA">
      <w:pPr>
        <w:pStyle w:val="FootnoteText"/>
      </w:pPr>
      <w:r>
        <w:rPr>
          <w:rStyle w:val="FootnoteReference"/>
        </w:rPr>
        <w:footnoteRef/>
      </w:r>
      <w:r>
        <w:t xml:space="preserve"> </w:t>
      </w:r>
      <w:hyperlink r:id="rId6" w:history="1">
        <w:r w:rsidRPr="00360B08">
          <w:rPr>
            <w:rStyle w:val="Hyperlink"/>
          </w:rPr>
          <w:t>National Crime Agency Remuneration Review Body report: 2025 - GOV.UK</w:t>
        </w:r>
      </w:hyperlink>
    </w:p>
  </w:footnote>
  <w:footnote w:id="14">
    <w:p w14:paraId="1EF58DC0" w14:textId="77777777" w:rsidR="003E5DC2" w:rsidRDefault="003E5DC2" w:rsidP="003E5DC2">
      <w:pPr>
        <w:pStyle w:val="FootnoteText"/>
      </w:pPr>
      <w:r>
        <w:rPr>
          <w:rStyle w:val="FootnoteReference"/>
        </w:rPr>
        <w:footnoteRef/>
      </w:r>
      <w:hyperlink r:id="rId7" w:history="1">
        <w:r w:rsidRPr="007E0481">
          <w:rPr>
            <w:rStyle w:val="Hyperlink"/>
          </w:rPr>
          <w:t>Written Statement: Public Sector Pay: Response to Pay Review Bodies’ Recommendations 2024-25 (10 September 2024) | GOV.WALES</w:t>
        </w:r>
      </w:hyperlink>
    </w:p>
    <w:p w14:paraId="4D4BC88E" w14:textId="77777777" w:rsidR="003E5DC2" w:rsidRDefault="003E5DC2" w:rsidP="003E5DC2">
      <w:pPr>
        <w:pStyle w:val="FootnoteText"/>
      </w:pPr>
    </w:p>
  </w:footnote>
  <w:footnote w:id="15">
    <w:p w14:paraId="6F59C633" w14:textId="77777777" w:rsidR="003E5DC2" w:rsidRDefault="003E5DC2" w:rsidP="003E5DC2">
      <w:pPr>
        <w:pStyle w:val="FootnoteText"/>
      </w:pPr>
      <w:r>
        <w:rPr>
          <w:rStyle w:val="FootnoteReference"/>
        </w:rPr>
        <w:footnoteRef/>
      </w:r>
      <w:hyperlink r:id="rId8">
        <w:r w:rsidRPr="2EB5CC91">
          <w:rPr>
            <w:rStyle w:val="Hyperlink"/>
          </w:rPr>
          <w:t>NHS workers awarded real terms pay rises for second year in row - GOV.UK</w:t>
        </w:r>
      </w:hyperlink>
    </w:p>
    <w:p w14:paraId="621591D4" w14:textId="77777777" w:rsidR="003E5DC2" w:rsidRDefault="003E5DC2" w:rsidP="003E5DC2">
      <w:pPr>
        <w:pStyle w:val="FootnoteText"/>
      </w:pPr>
    </w:p>
  </w:footnote>
  <w:footnote w:id="16">
    <w:p w14:paraId="6ACE013C" w14:textId="7C76C57D" w:rsidR="009010ED" w:rsidRDefault="009010ED">
      <w:pPr>
        <w:pStyle w:val="FootnoteText"/>
      </w:pPr>
      <w:r>
        <w:rPr>
          <w:rStyle w:val="FootnoteReference"/>
        </w:rPr>
        <w:footnoteRef/>
      </w:r>
      <w:r>
        <w:t xml:space="preserve"> </w:t>
      </w:r>
      <w:hyperlink r:id="rId9" w:history="1">
        <w:r w:rsidRPr="009010ED">
          <w:rPr>
            <w:rStyle w:val="Hyperlink"/>
          </w:rPr>
          <w:t>Police Remuneration Review Body report: 2025 England and Wales - GOV.UK</w:t>
        </w:r>
      </w:hyperlink>
    </w:p>
  </w:footnote>
  <w:footnote w:id="17">
    <w:p w14:paraId="03E5978D" w14:textId="0290569C" w:rsidR="00D91B0B" w:rsidRDefault="00D91B0B" w:rsidP="00D91B0B">
      <w:pPr>
        <w:pStyle w:val="FootnoteText"/>
      </w:pPr>
      <w:r>
        <w:rPr>
          <w:rStyle w:val="FootnoteReference"/>
        </w:rPr>
        <w:footnoteRef/>
      </w:r>
      <w:r>
        <w:t xml:space="preserve"> </w:t>
      </w:r>
      <w:r>
        <w:rPr>
          <w:rStyle w:val="normaltextrun"/>
          <w:color w:val="000000"/>
          <w:shd w:val="clear" w:color="auto" w:fill="FFFFFF"/>
        </w:rPr>
        <w:t xml:space="preserve">The Government’s response to the report is available here: </w:t>
      </w:r>
      <w:hyperlink r:id="rId10" w:history="1">
        <w:r>
          <w:rPr>
            <w:rStyle w:val="Hyperlink"/>
            <w:shd w:val="clear" w:color="auto" w:fill="FFFFFF"/>
          </w:rPr>
          <w:t>https://questions-statements.parliament.uk/written-statements/detail/2024-07-29/hcws38</w:t>
        </w:r>
      </w:hyperlink>
      <w:r>
        <w:rPr>
          <w:color w:val="000000"/>
          <w:shd w:val="clear" w:color="auto" w:fill="FFFFFF"/>
        </w:rPr>
        <w:t xml:space="preserve"> </w:t>
      </w:r>
      <w:r>
        <w:rPr>
          <w:rStyle w:val="normaltextrun"/>
          <w:color w:val="000000"/>
          <w:shd w:val="clear" w:color="auto" w:fill="FFFFFF"/>
        </w:rPr>
        <w:t> </w:t>
      </w:r>
    </w:p>
  </w:footnote>
  <w:footnote w:id="18">
    <w:p w14:paraId="6866C398" w14:textId="1CFDA062" w:rsidR="001C1DB8" w:rsidRDefault="00FB2C3B">
      <w:pPr>
        <w:pStyle w:val="FootnoteText"/>
      </w:pPr>
      <w:r>
        <w:rPr>
          <w:rStyle w:val="FootnoteReference"/>
        </w:rPr>
        <w:footnoteRef/>
      </w:r>
      <w:r w:rsidR="767FE1A8">
        <w:t xml:space="preserve"> The Government’s response to the report is available here: </w:t>
      </w:r>
      <w:r w:rsidR="00AA205A">
        <w:t xml:space="preserve"> </w:t>
      </w:r>
      <w:hyperlink r:id="rId11" w:history="1">
        <w:r w:rsidR="003659F2" w:rsidRPr="00676BA4">
          <w:rPr>
            <w:rStyle w:val="Hyperlink"/>
          </w:rPr>
          <w:t>https://questions-statements.parliament.uk/written-statements/detail/2025-05-22/hcws664</w:t>
        </w:r>
      </w:hyperlink>
      <w:r w:rsidR="003659F2">
        <w:t xml:space="preserve"> </w:t>
      </w:r>
    </w:p>
    <w:p w14:paraId="5F3B88D6" w14:textId="5453FD0B" w:rsidR="00075537" w:rsidRDefault="00075537">
      <w:pPr>
        <w:pStyle w:val="FootnoteText"/>
      </w:pPr>
    </w:p>
    <w:p w14:paraId="6866C399" w14:textId="7F576BCF" w:rsidR="001C1DB8" w:rsidRDefault="001C1DB8">
      <w:pPr>
        <w:pStyle w:val="FootnoteText"/>
      </w:pPr>
    </w:p>
  </w:footnote>
  <w:footnote w:id="19">
    <w:p w14:paraId="74D28ACA" w14:textId="62C76BA5" w:rsidR="007C2B1F" w:rsidRDefault="007C2B1F">
      <w:pPr>
        <w:pStyle w:val="FootnoteText"/>
      </w:pPr>
      <w:r>
        <w:rPr>
          <w:rStyle w:val="FootnoteReference"/>
        </w:rPr>
        <w:footnoteRef/>
      </w:r>
      <w:r>
        <w:t xml:space="preserve"> </w:t>
      </w:r>
      <w:r w:rsidR="00F068F2" w:rsidRPr="00F068F2">
        <w:t>This includes additional staff to support the Major Review of the Judiciary and a maternity leave cover.</w:t>
      </w:r>
    </w:p>
  </w:footnote>
  <w:footnote w:id="20">
    <w:p w14:paraId="6866C39A" w14:textId="77777777" w:rsidR="001C1DB8" w:rsidRDefault="00FB2C3B">
      <w:pPr>
        <w:pStyle w:val="FootnoteText"/>
      </w:pPr>
      <w:r>
        <w:rPr>
          <w:rStyle w:val="FootnoteReference"/>
        </w:rPr>
        <w:footnoteRef/>
      </w:r>
      <w:r w:rsidR="08F1913D">
        <w:t xml:space="preserve"> This included both in-person and virtual visits.</w:t>
      </w:r>
    </w:p>
  </w:footnote>
  <w:footnote w:id="21">
    <w:p w14:paraId="11CC27C7" w14:textId="6635D190" w:rsidR="00551537" w:rsidRDefault="00551537">
      <w:pPr>
        <w:pStyle w:val="FootnoteText"/>
      </w:pPr>
      <w:r>
        <w:rPr>
          <w:rStyle w:val="FootnoteReference"/>
        </w:rPr>
        <w:footnoteRef/>
      </w:r>
      <w:r>
        <w:t xml:space="preserve"> </w:t>
      </w:r>
      <w:r w:rsidR="002F7EEE">
        <w:t>The data for the AFPRB includes all activity to deliver the 2025 Report, noting that some of this took place ahead of 1 September 202</w:t>
      </w:r>
      <w:r w:rsidR="009279E9">
        <w:t>4.</w:t>
      </w:r>
    </w:p>
  </w:footnote>
  <w:footnote w:id="22">
    <w:p w14:paraId="608D5C4F" w14:textId="2E4A81B7" w:rsidR="001873E4" w:rsidRDefault="001873E4">
      <w:pPr>
        <w:pStyle w:val="FootnoteText"/>
      </w:pPr>
      <w:r>
        <w:rPr>
          <w:rStyle w:val="FootnoteReference"/>
        </w:rPr>
        <w:footnoteRef/>
      </w:r>
      <w:r>
        <w:t xml:space="preserve"> This includes </w:t>
      </w:r>
      <w:r w:rsidR="001E500D">
        <w:t>our formal response by letter to the Northern Ireland 2025-26 joint agreement.</w:t>
      </w:r>
    </w:p>
  </w:footnote>
  <w:footnote w:id="23">
    <w:p w14:paraId="7A49C3C7" w14:textId="224EA7CA" w:rsidR="0062140D" w:rsidRDefault="0062140D">
      <w:pPr>
        <w:pStyle w:val="FootnoteText"/>
      </w:pPr>
      <w:r>
        <w:rPr>
          <w:rStyle w:val="FootnoteReference"/>
        </w:rPr>
        <w:footnoteRef/>
      </w:r>
      <w:r w:rsidR="00B750B1">
        <w:t xml:space="preserve"> </w:t>
      </w:r>
      <w:r w:rsidR="00F83DAD">
        <w:t xml:space="preserve">The number of SSRB meetings in which discussion groups were held. </w:t>
      </w:r>
    </w:p>
  </w:footnote>
  <w:footnote w:id="24">
    <w:p w14:paraId="226AFAEA" w14:textId="1D55391A" w:rsidR="00CF59C7" w:rsidRDefault="00CF59C7">
      <w:pPr>
        <w:pStyle w:val="FootnoteText"/>
      </w:pPr>
      <w:r>
        <w:rPr>
          <w:rStyle w:val="FootnoteReference"/>
        </w:rPr>
        <w:footnoteRef/>
      </w:r>
      <w:r>
        <w:t xml:space="preserve"> </w:t>
      </w:r>
      <w:r w:rsidR="0074437B">
        <w:t xml:space="preserve">The SSRB submitted two Reports to Government during the period, </w:t>
      </w:r>
      <w:r w:rsidR="00641E9F">
        <w:t xml:space="preserve">its main 2025 SSRB Report and its </w:t>
      </w:r>
      <w:r w:rsidR="00980DC9">
        <w:t xml:space="preserve">2025 SSRB </w:t>
      </w:r>
      <w:r w:rsidR="00641E9F">
        <w:t xml:space="preserve">Supplementary Report. To date only the main </w:t>
      </w:r>
      <w:r w:rsidR="00A2259D">
        <w:t xml:space="preserve">2025 </w:t>
      </w:r>
      <w:r w:rsidR="00641E9F">
        <w:t xml:space="preserve">SSRB Report has been published.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C399" w14:textId="4BC8D5BE" w:rsidR="00FB2C3B" w:rsidRDefault="00FB2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C39D" w14:textId="662A456A" w:rsidR="00FB2C3B" w:rsidRDefault="00FB2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39F8"/>
    <w:multiLevelType w:val="multilevel"/>
    <w:tmpl w:val="246E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E3228"/>
    <w:multiLevelType w:val="multilevel"/>
    <w:tmpl w:val="A6DA73B6"/>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045D0733"/>
    <w:multiLevelType w:val="multilevel"/>
    <w:tmpl w:val="A35EF17E"/>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7917E72"/>
    <w:multiLevelType w:val="hybridMultilevel"/>
    <w:tmpl w:val="3C68B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9014D"/>
    <w:multiLevelType w:val="hybridMultilevel"/>
    <w:tmpl w:val="2B248D90"/>
    <w:lvl w:ilvl="0" w:tplc="6AEE8C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9E6207"/>
    <w:multiLevelType w:val="multilevel"/>
    <w:tmpl w:val="043A7C6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6" w15:restartNumberingAfterBreak="0">
    <w:nsid w:val="18510647"/>
    <w:multiLevelType w:val="hybridMultilevel"/>
    <w:tmpl w:val="0450CDBE"/>
    <w:lvl w:ilvl="0" w:tplc="F56820DA">
      <w:start w:val="1"/>
      <w:numFmt w:val="decimal"/>
      <w:pStyle w:val="RecommendationNumbersPRRB"/>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E22A58"/>
    <w:multiLevelType w:val="multilevel"/>
    <w:tmpl w:val="40460F4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8" w15:restartNumberingAfterBreak="0">
    <w:nsid w:val="22816929"/>
    <w:multiLevelType w:val="multilevel"/>
    <w:tmpl w:val="33663F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4881F19"/>
    <w:multiLevelType w:val="hybridMultilevel"/>
    <w:tmpl w:val="409892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8F2A5F"/>
    <w:multiLevelType w:val="multilevel"/>
    <w:tmpl w:val="91060C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5AA23A9"/>
    <w:multiLevelType w:val="multilevel"/>
    <w:tmpl w:val="8DD827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6746351"/>
    <w:multiLevelType w:val="hybridMultilevel"/>
    <w:tmpl w:val="47DE904E"/>
    <w:lvl w:ilvl="0" w:tplc="0809000F">
      <w:start w:val="1"/>
      <w:numFmt w:val="decimal"/>
      <w:lvlText w:val="%1."/>
      <w:lvlJc w:val="left"/>
      <w:pPr>
        <w:ind w:left="1077" w:hanging="360"/>
      </w:pPr>
      <w:rPr>
        <w:rFonts w:hint="default"/>
      </w:rPr>
    </w:lvl>
    <w:lvl w:ilvl="1" w:tplc="FFFFFFFF">
      <w:start w:val="1"/>
      <w:numFmt w:val="bullet"/>
      <w:lvlText w:val="o"/>
      <w:lvlJc w:val="left"/>
      <w:pPr>
        <w:ind w:left="1797" w:hanging="360"/>
      </w:pPr>
      <w:rPr>
        <w:rFonts w:ascii="Courier New" w:hAnsi="Courier New" w:cs="Courier New" w:hint="default"/>
      </w:rPr>
    </w:lvl>
    <w:lvl w:ilvl="2" w:tplc="FFFFFFFF">
      <w:start w:val="1"/>
      <w:numFmt w:val="bullet"/>
      <w:lvlText w:val=""/>
      <w:lvlJc w:val="left"/>
      <w:pPr>
        <w:ind w:left="2517" w:hanging="360"/>
      </w:pPr>
      <w:rPr>
        <w:rFonts w:ascii="Wingdings" w:hAnsi="Wingdings" w:hint="default"/>
      </w:rPr>
    </w:lvl>
    <w:lvl w:ilvl="3" w:tplc="FFFFFFFF">
      <w:start w:val="1"/>
      <w:numFmt w:val="bullet"/>
      <w:lvlText w:val=""/>
      <w:lvlJc w:val="left"/>
      <w:pPr>
        <w:ind w:left="3237" w:hanging="360"/>
      </w:pPr>
      <w:rPr>
        <w:rFonts w:ascii="Symbol" w:hAnsi="Symbol" w:hint="default"/>
      </w:rPr>
    </w:lvl>
    <w:lvl w:ilvl="4" w:tplc="FFFFFFFF">
      <w:start w:val="1"/>
      <w:numFmt w:val="bullet"/>
      <w:lvlText w:val="o"/>
      <w:lvlJc w:val="left"/>
      <w:pPr>
        <w:ind w:left="3957" w:hanging="360"/>
      </w:pPr>
      <w:rPr>
        <w:rFonts w:ascii="Courier New" w:hAnsi="Courier New" w:cs="Courier New" w:hint="default"/>
      </w:rPr>
    </w:lvl>
    <w:lvl w:ilvl="5" w:tplc="FFFFFFFF">
      <w:start w:val="1"/>
      <w:numFmt w:val="bullet"/>
      <w:lvlText w:val=""/>
      <w:lvlJc w:val="left"/>
      <w:pPr>
        <w:ind w:left="4677" w:hanging="360"/>
      </w:pPr>
      <w:rPr>
        <w:rFonts w:ascii="Wingdings" w:hAnsi="Wingdings" w:hint="default"/>
      </w:rPr>
    </w:lvl>
    <w:lvl w:ilvl="6" w:tplc="FFFFFFFF">
      <w:start w:val="1"/>
      <w:numFmt w:val="bullet"/>
      <w:lvlText w:val=""/>
      <w:lvlJc w:val="left"/>
      <w:pPr>
        <w:ind w:left="5397" w:hanging="360"/>
      </w:pPr>
      <w:rPr>
        <w:rFonts w:ascii="Symbol" w:hAnsi="Symbol" w:hint="default"/>
      </w:rPr>
    </w:lvl>
    <w:lvl w:ilvl="7" w:tplc="FFFFFFFF">
      <w:start w:val="1"/>
      <w:numFmt w:val="bullet"/>
      <w:lvlText w:val="o"/>
      <w:lvlJc w:val="left"/>
      <w:pPr>
        <w:ind w:left="6117" w:hanging="360"/>
      </w:pPr>
      <w:rPr>
        <w:rFonts w:ascii="Courier New" w:hAnsi="Courier New" w:cs="Courier New" w:hint="default"/>
      </w:rPr>
    </w:lvl>
    <w:lvl w:ilvl="8" w:tplc="FFFFFFFF">
      <w:start w:val="1"/>
      <w:numFmt w:val="bullet"/>
      <w:lvlText w:val=""/>
      <w:lvlJc w:val="left"/>
      <w:pPr>
        <w:ind w:left="6837" w:hanging="360"/>
      </w:pPr>
      <w:rPr>
        <w:rFonts w:ascii="Wingdings" w:hAnsi="Wingdings" w:hint="default"/>
      </w:rPr>
    </w:lvl>
  </w:abstractNum>
  <w:abstractNum w:abstractNumId="13" w15:restartNumberingAfterBreak="0">
    <w:nsid w:val="28EB797B"/>
    <w:multiLevelType w:val="multilevel"/>
    <w:tmpl w:val="8F5AD1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93B6FE8"/>
    <w:multiLevelType w:val="multilevel"/>
    <w:tmpl w:val="A984D5B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5" w15:restartNumberingAfterBreak="0">
    <w:nsid w:val="2A8453E6"/>
    <w:multiLevelType w:val="hybridMultilevel"/>
    <w:tmpl w:val="B2A84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D72218"/>
    <w:multiLevelType w:val="multilevel"/>
    <w:tmpl w:val="4B4E6BC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7" w15:restartNumberingAfterBreak="0">
    <w:nsid w:val="2D6D174A"/>
    <w:multiLevelType w:val="multilevel"/>
    <w:tmpl w:val="24B470B0"/>
    <w:lvl w:ilvl="0">
      <w:start w:val="1"/>
      <w:numFmt w:val="decimal"/>
      <w:lvlText w:val="2.%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D6401C"/>
    <w:multiLevelType w:val="hybridMultilevel"/>
    <w:tmpl w:val="1DB29058"/>
    <w:lvl w:ilvl="0" w:tplc="7A00F3AE">
      <w:start w:val="25"/>
      <w:numFmt w:val="bullet"/>
      <w:lvlText w:val="-"/>
      <w:lvlJc w:val="left"/>
      <w:pPr>
        <w:ind w:left="1080" w:hanging="360"/>
      </w:pPr>
      <w:rPr>
        <w:rFonts w:ascii="Arial" w:eastAsia="Calibri" w:hAnsi="Arial" w:cs="Arial"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591359E"/>
    <w:multiLevelType w:val="hybridMultilevel"/>
    <w:tmpl w:val="7702FC56"/>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0" w15:restartNumberingAfterBreak="0">
    <w:nsid w:val="375A2752"/>
    <w:multiLevelType w:val="multilevel"/>
    <w:tmpl w:val="61B01AD0"/>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1" w15:restartNumberingAfterBreak="0">
    <w:nsid w:val="38BD8B08"/>
    <w:multiLevelType w:val="multilevel"/>
    <w:tmpl w:val="A6DE3F60"/>
    <w:lvl w:ilvl="0">
      <w:start w:val="1"/>
      <w:numFmt w:val="decimal"/>
      <w:lvlText w:val="2.%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B944F58"/>
    <w:multiLevelType w:val="multilevel"/>
    <w:tmpl w:val="6212D11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3" w15:restartNumberingAfterBreak="0">
    <w:nsid w:val="3D2204E1"/>
    <w:multiLevelType w:val="multilevel"/>
    <w:tmpl w:val="AD52AF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08D1C69"/>
    <w:multiLevelType w:val="hybridMultilevel"/>
    <w:tmpl w:val="3864A53E"/>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25" w15:restartNumberingAfterBreak="0">
    <w:nsid w:val="4162978B"/>
    <w:multiLevelType w:val="hybridMultilevel"/>
    <w:tmpl w:val="58A42178"/>
    <w:lvl w:ilvl="0" w:tplc="74BA8526">
      <w:start w:val="1"/>
      <w:numFmt w:val="bullet"/>
      <w:lvlText w:val=""/>
      <w:lvlJc w:val="left"/>
      <w:pPr>
        <w:ind w:left="720" w:hanging="360"/>
      </w:pPr>
      <w:rPr>
        <w:rFonts w:ascii="Symbol" w:hAnsi="Symbol" w:hint="default"/>
      </w:rPr>
    </w:lvl>
    <w:lvl w:ilvl="1" w:tplc="66648378">
      <w:start w:val="1"/>
      <w:numFmt w:val="bullet"/>
      <w:lvlText w:val="o"/>
      <w:lvlJc w:val="left"/>
      <w:pPr>
        <w:ind w:left="1440" w:hanging="360"/>
      </w:pPr>
      <w:rPr>
        <w:rFonts w:ascii="Courier New" w:hAnsi="Courier New" w:hint="default"/>
      </w:rPr>
    </w:lvl>
    <w:lvl w:ilvl="2" w:tplc="F77C0638">
      <w:start w:val="1"/>
      <w:numFmt w:val="bullet"/>
      <w:lvlText w:val=""/>
      <w:lvlJc w:val="left"/>
      <w:pPr>
        <w:ind w:left="2160" w:hanging="360"/>
      </w:pPr>
      <w:rPr>
        <w:rFonts w:ascii="Wingdings" w:hAnsi="Wingdings" w:hint="default"/>
      </w:rPr>
    </w:lvl>
    <w:lvl w:ilvl="3" w:tplc="01AA4354">
      <w:start w:val="1"/>
      <w:numFmt w:val="bullet"/>
      <w:lvlText w:val=""/>
      <w:lvlJc w:val="left"/>
      <w:pPr>
        <w:ind w:left="2880" w:hanging="360"/>
      </w:pPr>
      <w:rPr>
        <w:rFonts w:ascii="Symbol" w:hAnsi="Symbol" w:hint="default"/>
      </w:rPr>
    </w:lvl>
    <w:lvl w:ilvl="4" w:tplc="59268866">
      <w:start w:val="1"/>
      <w:numFmt w:val="bullet"/>
      <w:lvlText w:val="o"/>
      <w:lvlJc w:val="left"/>
      <w:pPr>
        <w:ind w:left="3600" w:hanging="360"/>
      </w:pPr>
      <w:rPr>
        <w:rFonts w:ascii="Courier New" w:hAnsi="Courier New" w:hint="default"/>
      </w:rPr>
    </w:lvl>
    <w:lvl w:ilvl="5" w:tplc="3752C418">
      <w:start w:val="1"/>
      <w:numFmt w:val="bullet"/>
      <w:lvlText w:val=""/>
      <w:lvlJc w:val="left"/>
      <w:pPr>
        <w:ind w:left="4320" w:hanging="360"/>
      </w:pPr>
      <w:rPr>
        <w:rFonts w:ascii="Wingdings" w:hAnsi="Wingdings" w:hint="default"/>
      </w:rPr>
    </w:lvl>
    <w:lvl w:ilvl="6" w:tplc="43520D6A">
      <w:start w:val="1"/>
      <w:numFmt w:val="bullet"/>
      <w:lvlText w:val=""/>
      <w:lvlJc w:val="left"/>
      <w:pPr>
        <w:ind w:left="5040" w:hanging="360"/>
      </w:pPr>
      <w:rPr>
        <w:rFonts w:ascii="Symbol" w:hAnsi="Symbol" w:hint="default"/>
      </w:rPr>
    </w:lvl>
    <w:lvl w:ilvl="7" w:tplc="1070E9E0">
      <w:start w:val="1"/>
      <w:numFmt w:val="bullet"/>
      <w:lvlText w:val="o"/>
      <w:lvlJc w:val="left"/>
      <w:pPr>
        <w:ind w:left="5760" w:hanging="360"/>
      </w:pPr>
      <w:rPr>
        <w:rFonts w:ascii="Courier New" w:hAnsi="Courier New" w:hint="default"/>
      </w:rPr>
    </w:lvl>
    <w:lvl w:ilvl="8" w:tplc="E3502036">
      <w:start w:val="1"/>
      <w:numFmt w:val="bullet"/>
      <w:lvlText w:val=""/>
      <w:lvlJc w:val="left"/>
      <w:pPr>
        <w:ind w:left="6480" w:hanging="360"/>
      </w:pPr>
      <w:rPr>
        <w:rFonts w:ascii="Wingdings" w:hAnsi="Wingdings" w:hint="default"/>
      </w:rPr>
    </w:lvl>
  </w:abstractNum>
  <w:abstractNum w:abstractNumId="26" w15:restartNumberingAfterBreak="0">
    <w:nsid w:val="425D3AE5"/>
    <w:multiLevelType w:val="hybridMultilevel"/>
    <w:tmpl w:val="414694E6"/>
    <w:lvl w:ilvl="0" w:tplc="E40898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3670A5"/>
    <w:multiLevelType w:val="multilevel"/>
    <w:tmpl w:val="588EB718"/>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8" w15:restartNumberingAfterBreak="0">
    <w:nsid w:val="49661B8A"/>
    <w:multiLevelType w:val="multilevel"/>
    <w:tmpl w:val="4200879A"/>
    <w:styleLink w:val="LFO23"/>
    <w:lvl w:ilvl="0">
      <w:start w:val="1"/>
      <w:numFmt w:val="decimal"/>
      <w:pStyle w:val="SSRBPaperbulletpoints"/>
      <w:lvlText w:val="%1."/>
      <w:lvlJc w:val="left"/>
      <w:pPr>
        <w:ind w:left="720" w:hanging="360"/>
      </w:pPr>
      <w:rPr>
        <w:b w:val="0"/>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ADF220A"/>
    <w:multiLevelType w:val="multilevel"/>
    <w:tmpl w:val="0C4AE0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4CF1011F"/>
    <w:multiLevelType w:val="hybridMultilevel"/>
    <w:tmpl w:val="713EEADE"/>
    <w:lvl w:ilvl="0" w:tplc="FFB208C8">
      <w:start w:val="1"/>
      <w:numFmt w:val="bullet"/>
      <w:lvlText w:val=""/>
      <w:lvlJc w:val="left"/>
      <w:pPr>
        <w:ind w:left="1020" w:hanging="360"/>
      </w:pPr>
      <w:rPr>
        <w:rFonts w:ascii="Symbol" w:hAnsi="Symbol"/>
      </w:rPr>
    </w:lvl>
    <w:lvl w:ilvl="1" w:tplc="3DC29B56">
      <w:start w:val="1"/>
      <w:numFmt w:val="bullet"/>
      <w:lvlText w:val=""/>
      <w:lvlJc w:val="left"/>
      <w:pPr>
        <w:ind w:left="1020" w:hanging="360"/>
      </w:pPr>
      <w:rPr>
        <w:rFonts w:ascii="Symbol" w:hAnsi="Symbol"/>
      </w:rPr>
    </w:lvl>
    <w:lvl w:ilvl="2" w:tplc="A240E022">
      <w:start w:val="1"/>
      <w:numFmt w:val="bullet"/>
      <w:lvlText w:val=""/>
      <w:lvlJc w:val="left"/>
      <w:pPr>
        <w:ind w:left="1020" w:hanging="360"/>
      </w:pPr>
      <w:rPr>
        <w:rFonts w:ascii="Symbol" w:hAnsi="Symbol"/>
      </w:rPr>
    </w:lvl>
    <w:lvl w:ilvl="3" w:tplc="0EFAEBC4">
      <w:start w:val="1"/>
      <w:numFmt w:val="bullet"/>
      <w:lvlText w:val=""/>
      <w:lvlJc w:val="left"/>
      <w:pPr>
        <w:ind w:left="1020" w:hanging="360"/>
      </w:pPr>
      <w:rPr>
        <w:rFonts w:ascii="Symbol" w:hAnsi="Symbol"/>
      </w:rPr>
    </w:lvl>
    <w:lvl w:ilvl="4" w:tplc="7C403D2A">
      <w:start w:val="1"/>
      <w:numFmt w:val="bullet"/>
      <w:lvlText w:val=""/>
      <w:lvlJc w:val="left"/>
      <w:pPr>
        <w:ind w:left="1020" w:hanging="360"/>
      </w:pPr>
      <w:rPr>
        <w:rFonts w:ascii="Symbol" w:hAnsi="Symbol"/>
      </w:rPr>
    </w:lvl>
    <w:lvl w:ilvl="5" w:tplc="0644A662">
      <w:start w:val="1"/>
      <w:numFmt w:val="bullet"/>
      <w:lvlText w:val=""/>
      <w:lvlJc w:val="left"/>
      <w:pPr>
        <w:ind w:left="1020" w:hanging="360"/>
      </w:pPr>
      <w:rPr>
        <w:rFonts w:ascii="Symbol" w:hAnsi="Symbol"/>
      </w:rPr>
    </w:lvl>
    <w:lvl w:ilvl="6" w:tplc="92540FC0">
      <w:start w:val="1"/>
      <w:numFmt w:val="bullet"/>
      <w:lvlText w:val=""/>
      <w:lvlJc w:val="left"/>
      <w:pPr>
        <w:ind w:left="1020" w:hanging="360"/>
      </w:pPr>
      <w:rPr>
        <w:rFonts w:ascii="Symbol" w:hAnsi="Symbol"/>
      </w:rPr>
    </w:lvl>
    <w:lvl w:ilvl="7" w:tplc="9810027C">
      <w:start w:val="1"/>
      <w:numFmt w:val="bullet"/>
      <w:lvlText w:val=""/>
      <w:lvlJc w:val="left"/>
      <w:pPr>
        <w:ind w:left="1020" w:hanging="360"/>
      </w:pPr>
      <w:rPr>
        <w:rFonts w:ascii="Symbol" w:hAnsi="Symbol"/>
      </w:rPr>
    </w:lvl>
    <w:lvl w:ilvl="8" w:tplc="93B65674">
      <w:start w:val="1"/>
      <w:numFmt w:val="bullet"/>
      <w:lvlText w:val=""/>
      <w:lvlJc w:val="left"/>
      <w:pPr>
        <w:ind w:left="1020" w:hanging="360"/>
      </w:pPr>
      <w:rPr>
        <w:rFonts w:ascii="Symbol" w:hAnsi="Symbol"/>
      </w:rPr>
    </w:lvl>
  </w:abstractNum>
  <w:abstractNum w:abstractNumId="31" w15:restartNumberingAfterBreak="0">
    <w:nsid w:val="4E2D5C78"/>
    <w:multiLevelType w:val="hybridMultilevel"/>
    <w:tmpl w:val="5FC8EE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E87508A"/>
    <w:multiLevelType w:val="multilevel"/>
    <w:tmpl w:val="11A2E7F8"/>
    <w:lvl w:ilvl="0">
      <w:start w:val="1"/>
      <w:numFmt w:val="decimal"/>
      <w:lvlText w:val="2.%1"/>
      <w:lvlJc w:val="left"/>
      <w:pPr>
        <w:ind w:left="720" w:hanging="720"/>
      </w:pPr>
      <w:rPr>
        <w:color w:val="auto"/>
        <w:sz w:val="24"/>
      </w:rPr>
    </w:lvl>
    <w:lvl w:ilvl="1">
      <w:numFmt w:val="bullet"/>
      <w:lvlText w:val=""/>
      <w:lvlJc w:val="left"/>
      <w:pPr>
        <w:ind w:left="1134" w:hanging="414"/>
      </w:pPr>
      <w:rPr>
        <w:rFonts w:ascii="Symbol" w:hAnsi="Symbol"/>
        <w:sz w:val="24"/>
      </w:rPr>
    </w:lvl>
    <w:lvl w:ilvl="2">
      <w:start w:val="1"/>
      <w:numFmt w:val="lowerRoman"/>
      <w:lvlText w:val="%3."/>
      <w:lvlJc w:val="right"/>
      <w:pPr>
        <w:ind w:left="2160" w:hanging="180"/>
      </w:pPr>
    </w:lvl>
    <w:lvl w:ilvl="3">
      <w:start w:val="1"/>
      <w:numFmt w:val="decimal"/>
      <w:lvlText w:val="%4."/>
      <w:lvlJc w:val="left"/>
      <w:pPr>
        <w:ind w:left="644"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F3B62F8"/>
    <w:multiLevelType w:val="multilevel"/>
    <w:tmpl w:val="150A8F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7AB02A0"/>
    <w:multiLevelType w:val="multilevel"/>
    <w:tmpl w:val="CEA4FB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5ADE434A"/>
    <w:multiLevelType w:val="multilevel"/>
    <w:tmpl w:val="269A6024"/>
    <w:lvl w:ilvl="0">
      <w:start w:val="1"/>
      <w:numFmt w:val="decimal"/>
      <w:lvlText w:val="%1."/>
      <w:lvlJc w:val="left"/>
      <w:pPr>
        <w:ind w:left="720" w:hanging="360"/>
      </w:pPr>
      <w:rPr>
        <w:rFonts w:hint="default"/>
      </w:rPr>
    </w:lvl>
    <w:lvl w:ilvl="1">
      <w:start w:val="15"/>
      <w:numFmt w:val="decimal"/>
      <w:isLgl/>
      <w:lvlText w:val="%1.%2"/>
      <w:lvlJc w:val="left"/>
      <w:pPr>
        <w:ind w:left="530" w:hanging="5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39526E5"/>
    <w:multiLevelType w:val="multilevel"/>
    <w:tmpl w:val="D0B8D3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9454612"/>
    <w:multiLevelType w:val="multilevel"/>
    <w:tmpl w:val="B19893F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6E446ABE"/>
    <w:multiLevelType w:val="hybridMultilevel"/>
    <w:tmpl w:val="46D60036"/>
    <w:lvl w:ilvl="0" w:tplc="AE7A2D6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7213B9"/>
    <w:multiLevelType w:val="multilevel"/>
    <w:tmpl w:val="D0B8D3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662358"/>
    <w:multiLevelType w:val="hybridMultilevel"/>
    <w:tmpl w:val="54886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393727"/>
    <w:multiLevelType w:val="multilevel"/>
    <w:tmpl w:val="0EC85C8E"/>
    <w:lvl w:ilvl="0">
      <w:start w:val="1"/>
      <w:numFmt w:val="decimal"/>
      <w:pStyle w:val="Numbered"/>
      <w:lvlText w:val="1.%1"/>
      <w:lvlJc w:val="left"/>
      <w:pPr>
        <w:ind w:left="720" w:hanging="720"/>
      </w:pPr>
      <w:rPr>
        <w:color w:val="auto"/>
        <w:sz w:val="24"/>
      </w:rPr>
    </w:lvl>
    <w:lvl w:ilvl="1">
      <w:numFmt w:val="bullet"/>
      <w:lvlText w:val=""/>
      <w:lvlJc w:val="left"/>
      <w:pPr>
        <w:ind w:left="1134" w:hanging="414"/>
      </w:pPr>
      <w:rPr>
        <w:rFonts w:ascii="Symbol" w:hAnsi="Symbol"/>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9016771"/>
    <w:multiLevelType w:val="multilevel"/>
    <w:tmpl w:val="2EE4284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3" w15:restartNumberingAfterBreak="0">
    <w:nsid w:val="79F62355"/>
    <w:multiLevelType w:val="hybridMultilevel"/>
    <w:tmpl w:val="550E7E5C"/>
    <w:lvl w:ilvl="0" w:tplc="0809000F">
      <w:start w:val="1"/>
      <w:numFmt w:val="decimal"/>
      <w:lvlText w:val="%1."/>
      <w:lvlJc w:val="left"/>
      <w:pPr>
        <w:ind w:left="1077" w:hanging="360"/>
      </w:pPr>
      <w:rPr>
        <w:rFonts w:hint="default"/>
      </w:rPr>
    </w:lvl>
    <w:lvl w:ilvl="1" w:tplc="FFFFFFFF">
      <w:start w:val="1"/>
      <w:numFmt w:val="bullet"/>
      <w:lvlText w:val="o"/>
      <w:lvlJc w:val="left"/>
      <w:pPr>
        <w:ind w:left="1797" w:hanging="360"/>
      </w:pPr>
      <w:rPr>
        <w:rFonts w:ascii="Courier New" w:hAnsi="Courier New" w:cs="Courier New" w:hint="default"/>
      </w:rPr>
    </w:lvl>
    <w:lvl w:ilvl="2" w:tplc="FFFFFFFF">
      <w:start w:val="1"/>
      <w:numFmt w:val="bullet"/>
      <w:lvlText w:val=""/>
      <w:lvlJc w:val="left"/>
      <w:pPr>
        <w:ind w:left="2517" w:hanging="360"/>
      </w:pPr>
      <w:rPr>
        <w:rFonts w:ascii="Wingdings" w:hAnsi="Wingdings" w:hint="default"/>
      </w:rPr>
    </w:lvl>
    <w:lvl w:ilvl="3" w:tplc="FFFFFFFF">
      <w:start w:val="1"/>
      <w:numFmt w:val="bullet"/>
      <w:lvlText w:val=""/>
      <w:lvlJc w:val="left"/>
      <w:pPr>
        <w:ind w:left="3237" w:hanging="360"/>
      </w:pPr>
      <w:rPr>
        <w:rFonts w:ascii="Symbol" w:hAnsi="Symbol" w:hint="default"/>
      </w:rPr>
    </w:lvl>
    <w:lvl w:ilvl="4" w:tplc="FFFFFFFF">
      <w:start w:val="1"/>
      <w:numFmt w:val="bullet"/>
      <w:lvlText w:val="o"/>
      <w:lvlJc w:val="left"/>
      <w:pPr>
        <w:ind w:left="3957" w:hanging="360"/>
      </w:pPr>
      <w:rPr>
        <w:rFonts w:ascii="Courier New" w:hAnsi="Courier New" w:cs="Courier New" w:hint="default"/>
      </w:rPr>
    </w:lvl>
    <w:lvl w:ilvl="5" w:tplc="FFFFFFFF">
      <w:start w:val="1"/>
      <w:numFmt w:val="bullet"/>
      <w:lvlText w:val=""/>
      <w:lvlJc w:val="left"/>
      <w:pPr>
        <w:ind w:left="4677" w:hanging="360"/>
      </w:pPr>
      <w:rPr>
        <w:rFonts w:ascii="Wingdings" w:hAnsi="Wingdings" w:hint="default"/>
      </w:rPr>
    </w:lvl>
    <w:lvl w:ilvl="6" w:tplc="FFFFFFFF">
      <w:start w:val="1"/>
      <w:numFmt w:val="bullet"/>
      <w:lvlText w:val=""/>
      <w:lvlJc w:val="left"/>
      <w:pPr>
        <w:ind w:left="5397" w:hanging="360"/>
      </w:pPr>
      <w:rPr>
        <w:rFonts w:ascii="Symbol" w:hAnsi="Symbol" w:hint="default"/>
      </w:rPr>
    </w:lvl>
    <w:lvl w:ilvl="7" w:tplc="FFFFFFFF">
      <w:start w:val="1"/>
      <w:numFmt w:val="bullet"/>
      <w:lvlText w:val="o"/>
      <w:lvlJc w:val="left"/>
      <w:pPr>
        <w:ind w:left="6117" w:hanging="360"/>
      </w:pPr>
      <w:rPr>
        <w:rFonts w:ascii="Courier New" w:hAnsi="Courier New" w:cs="Courier New" w:hint="default"/>
      </w:rPr>
    </w:lvl>
    <w:lvl w:ilvl="8" w:tplc="FFFFFFFF">
      <w:start w:val="1"/>
      <w:numFmt w:val="bullet"/>
      <w:lvlText w:val=""/>
      <w:lvlJc w:val="left"/>
      <w:pPr>
        <w:ind w:left="6837" w:hanging="360"/>
      </w:pPr>
      <w:rPr>
        <w:rFonts w:ascii="Wingdings" w:hAnsi="Wingdings" w:hint="default"/>
      </w:rPr>
    </w:lvl>
  </w:abstractNum>
  <w:abstractNum w:abstractNumId="44" w15:restartNumberingAfterBreak="0">
    <w:nsid w:val="7F430CD1"/>
    <w:multiLevelType w:val="hybridMultilevel"/>
    <w:tmpl w:val="9FB8E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3504979">
    <w:abstractNumId w:val="28"/>
  </w:num>
  <w:num w:numId="2" w16cid:durableId="311832849">
    <w:abstractNumId w:val="2"/>
  </w:num>
  <w:num w:numId="3" w16cid:durableId="465196877">
    <w:abstractNumId w:val="41"/>
  </w:num>
  <w:num w:numId="4" w16cid:durableId="1194270179">
    <w:abstractNumId w:val="41"/>
    <w:lvlOverride w:ilvl="0">
      <w:startOverride w:val="1"/>
    </w:lvlOverride>
    <w:lvlOverride w:ilvl="1">
      <w:startOverride w:val="1"/>
    </w:lvlOverride>
  </w:num>
  <w:num w:numId="5" w16cid:durableId="1551570202">
    <w:abstractNumId w:val="32"/>
  </w:num>
  <w:num w:numId="6" w16cid:durableId="762799875">
    <w:abstractNumId w:val="34"/>
  </w:num>
  <w:num w:numId="7" w16cid:durableId="415135993">
    <w:abstractNumId w:val="36"/>
  </w:num>
  <w:num w:numId="8" w16cid:durableId="407268615">
    <w:abstractNumId w:val="7"/>
  </w:num>
  <w:num w:numId="9" w16cid:durableId="1419130596">
    <w:abstractNumId w:val="14"/>
  </w:num>
  <w:num w:numId="10" w16cid:durableId="1473445938">
    <w:abstractNumId w:val="5"/>
  </w:num>
  <w:num w:numId="11" w16cid:durableId="127825492">
    <w:abstractNumId w:val="37"/>
  </w:num>
  <w:num w:numId="12" w16cid:durableId="431630176">
    <w:abstractNumId w:val="8"/>
  </w:num>
  <w:num w:numId="13" w16cid:durableId="1332678465">
    <w:abstractNumId w:val="25"/>
  </w:num>
  <w:num w:numId="14" w16cid:durableId="1967737098">
    <w:abstractNumId w:val="35"/>
  </w:num>
  <w:num w:numId="15" w16cid:durableId="1262565767">
    <w:abstractNumId w:val="39"/>
  </w:num>
  <w:num w:numId="16" w16cid:durableId="1809088314">
    <w:abstractNumId w:val="6"/>
  </w:num>
  <w:num w:numId="17" w16cid:durableId="142237628">
    <w:abstractNumId w:val="30"/>
  </w:num>
  <w:num w:numId="18" w16cid:durableId="1074936706">
    <w:abstractNumId w:val="9"/>
  </w:num>
  <w:num w:numId="19" w16cid:durableId="434325589">
    <w:abstractNumId w:val="15"/>
  </w:num>
  <w:num w:numId="20" w16cid:durableId="731542659">
    <w:abstractNumId w:val="4"/>
  </w:num>
  <w:num w:numId="21" w16cid:durableId="674308986">
    <w:abstractNumId w:val="42"/>
  </w:num>
  <w:num w:numId="22" w16cid:durableId="1872452228">
    <w:abstractNumId w:val="29"/>
  </w:num>
  <w:num w:numId="23" w16cid:durableId="1460224547">
    <w:abstractNumId w:val="27"/>
  </w:num>
  <w:num w:numId="24" w16cid:durableId="1475559520">
    <w:abstractNumId w:val="13"/>
  </w:num>
  <w:num w:numId="25" w16cid:durableId="360932982">
    <w:abstractNumId w:val="11"/>
  </w:num>
  <w:num w:numId="26" w16cid:durableId="983238374">
    <w:abstractNumId w:val="1"/>
  </w:num>
  <w:num w:numId="27" w16cid:durableId="151801233">
    <w:abstractNumId w:val="20"/>
  </w:num>
  <w:num w:numId="28" w16cid:durableId="1539970519">
    <w:abstractNumId w:val="23"/>
  </w:num>
  <w:num w:numId="29" w16cid:durableId="1961305216">
    <w:abstractNumId w:val="10"/>
  </w:num>
  <w:num w:numId="30" w16cid:durableId="1809205474">
    <w:abstractNumId w:val="16"/>
  </w:num>
  <w:num w:numId="31" w16cid:durableId="618031886">
    <w:abstractNumId w:val="22"/>
  </w:num>
  <w:num w:numId="32" w16cid:durableId="1186748742">
    <w:abstractNumId w:val="33"/>
  </w:num>
  <w:num w:numId="33" w16cid:durableId="1272737845">
    <w:abstractNumId w:val="17"/>
  </w:num>
  <w:num w:numId="34" w16cid:durableId="168912123">
    <w:abstractNumId w:val="21"/>
  </w:num>
  <w:num w:numId="35" w16cid:durableId="848982848">
    <w:abstractNumId w:val="18"/>
  </w:num>
  <w:num w:numId="36" w16cid:durableId="1471512437">
    <w:abstractNumId w:val="3"/>
  </w:num>
  <w:num w:numId="37" w16cid:durableId="795762229">
    <w:abstractNumId w:val="38"/>
  </w:num>
  <w:num w:numId="38" w16cid:durableId="347027341">
    <w:abstractNumId w:val="24"/>
  </w:num>
  <w:num w:numId="39" w16cid:durableId="893539871">
    <w:abstractNumId w:val="43"/>
  </w:num>
  <w:num w:numId="40" w16cid:durableId="1117064824">
    <w:abstractNumId w:val="26"/>
  </w:num>
  <w:num w:numId="41" w16cid:durableId="703333590">
    <w:abstractNumId w:val="0"/>
  </w:num>
  <w:num w:numId="42" w16cid:durableId="1995178935">
    <w:abstractNumId w:val="12"/>
  </w:num>
  <w:num w:numId="43" w16cid:durableId="990524387">
    <w:abstractNumId w:val="31"/>
  </w:num>
  <w:num w:numId="44" w16cid:durableId="340011633">
    <w:abstractNumId w:val="40"/>
  </w:num>
  <w:num w:numId="45" w16cid:durableId="451630420">
    <w:abstractNumId w:val="19"/>
  </w:num>
  <w:num w:numId="46" w16cid:durableId="1981036450">
    <w:abstractNumId w:val="4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A6D26D7-9733-4927-AEFA-58EEB50239E2}"/>
    <w:docVar w:name="dgnword-eventsink" w:val="2561653234976"/>
  </w:docVars>
  <w:rsids>
    <w:rsidRoot w:val="001C1DB8"/>
    <w:rsid w:val="000001AE"/>
    <w:rsid w:val="000006D4"/>
    <w:rsid w:val="000008FB"/>
    <w:rsid w:val="00000CEF"/>
    <w:rsid w:val="00000F8C"/>
    <w:rsid w:val="00000F94"/>
    <w:rsid w:val="00001C4F"/>
    <w:rsid w:val="00001CD2"/>
    <w:rsid w:val="0000243A"/>
    <w:rsid w:val="000024AA"/>
    <w:rsid w:val="00002C47"/>
    <w:rsid w:val="00002E9A"/>
    <w:rsid w:val="0000346A"/>
    <w:rsid w:val="000034C5"/>
    <w:rsid w:val="000037C9"/>
    <w:rsid w:val="00003FCA"/>
    <w:rsid w:val="000043D8"/>
    <w:rsid w:val="00004B62"/>
    <w:rsid w:val="00004C50"/>
    <w:rsid w:val="00004CE8"/>
    <w:rsid w:val="00004E0C"/>
    <w:rsid w:val="00004E74"/>
    <w:rsid w:val="00004E7C"/>
    <w:rsid w:val="00005251"/>
    <w:rsid w:val="0000582D"/>
    <w:rsid w:val="0000589F"/>
    <w:rsid w:val="00005A10"/>
    <w:rsid w:val="00006110"/>
    <w:rsid w:val="00006143"/>
    <w:rsid w:val="00006972"/>
    <w:rsid w:val="00006B74"/>
    <w:rsid w:val="00006B7F"/>
    <w:rsid w:val="00006E4D"/>
    <w:rsid w:val="000070C6"/>
    <w:rsid w:val="00007196"/>
    <w:rsid w:val="0000729F"/>
    <w:rsid w:val="00007368"/>
    <w:rsid w:val="0000753E"/>
    <w:rsid w:val="00007653"/>
    <w:rsid w:val="00007BD3"/>
    <w:rsid w:val="00007C68"/>
    <w:rsid w:val="00007C95"/>
    <w:rsid w:val="00007E9E"/>
    <w:rsid w:val="000101FB"/>
    <w:rsid w:val="00010891"/>
    <w:rsid w:val="00010B4A"/>
    <w:rsid w:val="000112D4"/>
    <w:rsid w:val="00011B3E"/>
    <w:rsid w:val="000121BD"/>
    <w:rsid w:val="00012506"/>
    <w:rsid w:val="0001295D"/>
    <w:rsid w:val="00012994"/>
    <w:rsid w:val="00012D2E"/>
    <w:rsid w:val="00013B1A"/>
    <w:rsid w:val="00013B32"/>
    <w:rsid w:val="00013B3F"/>
    <w:rsid w:val="00013C4E"/>
    <w:rsid w:val="00013CBE"/>
    <w:rsid w:val="00013EC2"/>
    <w:rsid w:val="00014084"/>
    <w:rsid w:val="0001438E"/>
    <w:rsid w:val="00015E4A"/>
    <w:rsid w:val="000160C0"/>
    <w:rsid w:val="000161D2"/>
    <w:rsid w:val="000165A4"/>
    <w:rsid w:val="0001719C"/>
    <w:rsid w:val="00017311"/>
    <w:rsid w:val="000173C3"/>
    <w:rsid w:val="00017621"/>
    <w:rsid w:val="00017DA6"/>
    <w:rsid w:val="00017E0A"/>
    <w:rsid w:val="000201C3"/>
    <w:rsid w:val="000204A8"/>
    <w:rsid w:val="00020991"/>
    <w:rsid w:val="00020E5C"/>
    <w:rsid w:val="00021742"/>
    <w:rsid w:val="00021996"/>
    <w:rsid w:val="00021A3B"/>
    <w:rsid w:val="00021D20"/>
    <w:rsid w:val="00021FCD"/>
    <w:rsid w:val="00022248"/>
    <w:rsid w:val="000227EF"/>
    <w:rsid w:val="00022E66"/>
    <w:rsid w:val="000237B0"/>
    <w:rsid w:val="00023841"/>
    <w:rsid w:val="000241AE"/>
    <w:rsid w:val="00024213"/>
    <w:rsid w:val="0002445C"/>
    <w:rsid w:val="0002473D"/>
    <w:rsid w:val="00024DB4"/>
    <w:rsid w:val="00026894"/>
    <w:rsid w:val="00026A09"/>
    <w:rsid w:val="00026BB3"/>
    <w:rsid w:val="000277B3"/>
    <w:rsid w:val="000279EE"/>
    <w:rsid w:val="00027B61"/>
    <w:rsid w:val="00027FDF"/>
    <w:rsid w:val="00027FEA"/>
    <w:rsid w:val="0003004E"/>
    <w:rsid w:val="00030AA6"/>
    <w:rsid w:val="00030FC4"/>
    <w:rsid w:val="000312BD"/>
    <w:rsid w:val="000320FE"/>
    <w:rsid w:val="000323DC"/>
    <w:rsid w:val="00032E34"/>
    <w:rsid w:val="0003307B"/>
    <w:rsid w:val="000332C2"/>
    <w:rsid w:val="000332C7"/>
    <w:rsid w:val="00033824"/>
    <w:rsid w:val="000338F6"/>
    <w:rsid w:val="00034368"/>
    <w:rsid w:val="000343C8"/>
    <w:rsid w:val="0003441D"/>
    <w:rsid w:val="00034633"/>
    <w:rsid w:val="00034832"/>
    <w:rsid w:val="000348E6"/>
    <w:rsid w:val="00034A52"/>
    <w:rsid w:val="00034B6D"/>
    <w:rsid w:val="000359B8"/>
    <w:rsid w:val="00035A2D"/>
    <w:rsid w:val="000360EE"/>
    <w:rsid w:val="000362C2"/>
    <w:rsid w:val="00036410"/>
    <w:rsid w:val="00036648"/>
    <w:rsid w:val="00036A85"/>
    <w:rsid w:val="00036EE6"/>
    <w:rsid w:val="00036FDC"/>
    <w:rsid w:val="00037166"/>
    <w:rsid w:val="000375B9"/>
    <w:rsid w:val="000376E4"/>
    <w:rsid w:val="00037BB8"/>
    <w:rsid w:val="00037E14"/>
    <w:rsid w:val="00037F8F"/>
    <w:rsid w:val="000400C4"/>
    <w:rsid w:val="000408AC"/>
    <w:rsid w:val="00040D2E"/>
    <w:rsid w:val="00040FFC"/>
    <w:rsid w:val="00041DBC"/>
    <w:rsid w:val="00042DF3"/>
    <w:rsid w:val="000432C1"/>
    <w:rsid w:val="00043643"/>
    <w:rsid w:val="000436C5"/>
    <w:rsid w:val="00043740"/>
    <w:rsid w:val="00044118"/>
    <w:rsid w:val="00044462"/>
    <w:rsid w:val="00044625"/>
    <w:rsid w:val="00045D2F"/>
    <w:rsid w:val="0004624F"/>
    <w:rsid w:val="00046394"/>
    <w:rsid w:val="0004657B"/>
    <w:rsid w:val="00046626"/>
    <w:rsid w:val="00047E1E"/>
    <w:rsid w:val="00047F41"/>
    <w:rsid w:val="00050FA2"/>
    <w:rsid w:val="00051074"/>
    <w:rsid w:val="000519A3"/>
    <w:rsid w:val="00051A5D"/>
    <w:rsid w:val="00051B7E"/>
    <w:rsid w:val="00051C2E"/>
    <w:rsid w:val="000524E0"/>
    <w:rsid w:val="00052745"/>
    <w:rsid w:val="000527F5"/>
    <w:rsid w:val="0005306E"/>
    <w:rsid w:val="0005344B"/>
    <w:rsid w:val="00053D20"/>
    <w:rsid w:val="00053D64"/>
    <w:rsid w:val="00054386"/>
    <w:rsid w:val="0005449F"/>
    <w:rsid w:val="000549EA"/>
    <w:rsid w:val="000553E0"/>
    <w:rsid w:val="000557C5"/>
    <w:rsid w:val="0005583A"/>
    <w:rsid w:val="00055E36"/>
    <w:rsid w:val="000563EC"/>
    <w:rsid w:val="00056495"/>
    <w:rsid w:val="00056643"/>
    <w:rsid w:val="0005725C"/>
    <w:rsid w:val="00057BD9"/>
    <w:rsid w:val="00057E53"/>
    <w:rsid w:val="000604D2"/>
    <w:rsid w:val="0006102D"/>
    <w:rsid w:val="00061562"/>
    <w:rsid w:val="000617C2"/>
    <w:rsid w:val="000618AA"/>
    <w:rsid w:val="00062164"/>
    <w:rsid w:val="00062200"/>
    <w:rsid w:val="00063607"/>
    <w:rsid w:val="000636DB"/>
    <w:rsid w:val="00063E76"/>
    <w:rsid w:val="000643FE"/>
    <w:rsid w:val="00064A7A"/>
    <w:rsid w:val="00065250"/>
    <w:rsid w:val="00065357"/>
    <w:rsid w:val="00065A09"/>
    <w:rsid w:val="00065EF3"/>
    <w:rsid w:val="0006613B"/>
    <w:rsid w:val="0006614F"/>
    <w:rsid w:val="00067365"/>
    <w:rsid w:val="000677A4"/>
    <w:rsid w:val="0006784B"/>
    <w:rsid w:val="00067BCA"/>
    <w:rsid w:val="0007022D"/>
    <w:rsid w:val="00070DE4"/>
    <w:rsid w:val="00071448"/>
    <w:rsid w:val="00071726"/>
    <w:rsid w:val="00071BA0"/>
    <w:rsid w:val="00071CDB"/>
    <w:rsid w:val="00072232"/>
    <w:rsid w:val="00072C83"/>
    <w:rsid w:val="000731C6"/>
    <w:rsid w:val="000736C8"/>
    <w:rsid w:val="0007400C"/>
    <w:rsid w:val="0007401A"/>
    <w:rsid w:val="00074FC1"/>
    <w:rsid w:val="0007511D"/>
    <w:rsid w:val="0007518D"/>
    <w:rsid w:val="000754AD"/>
    <w:rsid w:val="00075537"/>
    <w:rsid w:val="00075D79"/>
    <w:rsid w:val="0007604D"/>
    <w:rsid w:val="00076AEF"/>
    <w:rsid w:val="000772F6"/>
    <w:rsid w:val="000777CA"/>
    <w:rsid w:val="00077C90"/>
    <w:rsid w:val="00077CA7"/>
    <w:rsid w:val="0008016A"/>
    <w:rsid w:val="00080885"/>
    <w:rsid w:val="00080969"/>
    <w:rsid w:val="00081162"/>
    <w:rsid w:val="00081640"/>
    <w:rsid w:val="00081691"/>
    <w:rsid w:val="000817C9"/>
    <w:rsid w:val="00081868"/>
    <w:rsid w:val="00082404"/>
    <w:rsid w:val="00083906"/>
    <w:rsid w:val="0008392D"/>
    <w:rsid w:val="00083A85"/>
    <w:rsid w:val="000842AB"/>
    <w:rsid w:val="000842DA"/>
    <w:rsid w:val="0008494A"/>
    <w:rsid w:val="00084FB8"/>
    <w:rsid w:val="0008513E"/>
    <w:rsid w:val="00085F51"/>
    <w:rsid w:val="000861E2"/>
    <w:rsid w:val="000865F2"/>
    <w:rsid w:val="0008671B"/>
    <w:rsid w:val="00086803"/>
    <w:rsid w:val="00086D38"/>
    <w:rsid w:val="00086E3E"/>
    <w:rsid w:val="00086EFD"/>
    <w:rsid w:val="00087090"/>
    <w:rsid w:val="000874BB"/>
    <w:rsid w:val="00090807"/>
    <w:rsid w:val="000909CA"/>
    <w:rsid w:val="00090A1B"/>
    <w:rsid w:val="00090B5E"/>
    <w:rsid w:val="00090CA3"/>
    <w:rsid w:val="000915F7"/>
    <w:rsid w:val="00091910"/>
    <w:rsid w:val="000921D1"/>
    <w:rsid w:val="0009220A"/>
    <w:rsid w:val="00092210"/>
    <w:rsid w:val="00093058"/>
    <w:rsid w:val="0009316B"/>
    <w:rsid w:val="00093327"/>
    <w:rsid w:val="0009343B"/>
    <w:rsid w:val="000937C5"/>
    <w:rsid w:val="00093A7A"/>
    <w:rsid w:val="00093AAB"/>
    <w:rsid w:val="00093B51"/>
    <w:rsid w:val="00093BC7"/>
    <w:rsid w:val="00093C0D"/>
    <w:rsid w:val="00093F23"/>
    <w:rsid w:val="00093F32"/>
    <w:rsid w:val="00093FE6"/>
    <w:rsid w:val="00094325"/>
    <w:rsid w:val="00094449"/>
    <w:rsid w:val="00094B68"/>
    <w:rsid w:val="00094B9F"/>
    <w:rsid w:val="00094BC4"/>
    <w:rsid w:val="00094FB5"/>
    <w:rsid w:val="00095FCF"/>
    <w:rsid w:val="00095FD0"/>
    <w:rsid w:val="0009605F"/>
    <w:rsid w:val="00096771"/>
    <w:rsid w:val="000967BE"/>
    <w:rsid w:val="00096872"/>
    <w:rsid w:val="00096A6D"/>
    <w:rsid w:val="00097121"/>
    <w:rsid w:val="00097252"/>
    <w:rsid w:val="00097398"/>
    <w:rsid w:val="00097523"/>
    <w:rsid w:val="000A056F"/>
    <w:rsid w:val="000A0BF8"/>
    <w:rsid w:val="000A0D10"/>
    <w:rsid w:val="000A1349"/>
    <w:rsid w:val="000A14BB"/>
    <w:rsid w:val="000A1518"/>
    <w:rsid w:val="000A1B25"/>
    <w:rsid w:val="000A268D"/>
    <w:rsid w:val="000A2B44"/>
    <w:rsid w:val="000A3C85"/>
    <w:rsid w:val="000A3FB4"/>
    <w:rsid w:val="000A40CF"/>
    <w:rsid w:val="000A417E"/>
    <w:rsid w:val="000A4D6E"/>
    <w:rsid w:val="000A5062"/>
    <w:rsid w:val="000A516C"/>
    <w:rsid w:val="000A5226"/>
    <w:rsid w:val="000A54E6"/>
    <w:rsid w:val="000A560E"/>
    <w:rsid w:val="000A56DE"/>
    <w:rsid w:val="000A6311"/>
    <w:rsid w:val="000A64A3"/>
    <w:rsid w:val="000A6684"/>
    <w:rsid w:val="000A69AD"/>
    <w:rsid w:val="000A6B1B"/>
    <w:rsid w:val="000A7A1D"/>
    <w:rsid w:val="000A7A49"/>
    <w:rsid w:val="000A7B81"/>
    <w:rsid w:val="000B02F0"/>
    <w:rsid w:val="000B04AC"/>
    <w:rsid w:val="000B0A1E"/>
    <w:rsid w:val="000B0ABD"/>
    <w:rsid w:val="000B0AEE"/>
    <w:rsid w:val="000B0AFA"/>
    <w:rsid w:val="000B0B24"/>
    <w:rsid w:val="000B0B5E"/>
    <w:rsid w:val="000B0FB6"/>
    <w:rsid w:val="000B0FD1"/>
    <w:rsid w:val="000B19E4"/>
    <w:rsid w:val="000B1E78"/>
    <w:rsid w:val="000B237B"/>
    <w:rsid w:val="000B25C6"/>
    <w:rsid w:val="000B287F"/>
    <w:rsid w:val="000B28C0"/>
    <w:rsid w:val="000B2AB8"/>
    <w:rsid w:val="000B2D01"/>
    <w:rsid w:val="000B2F4F"/>
    <w:rsid w:val="000B333E"/>
    <w:rsid w:val="000B3E04"/>
    <w:rsid w:val="000B5790"/>
    <w:rsid w:val="000B589D"/>
    <w:rsid w:val="000B5B72"/>
    <w:rsid w:val="000B5BDD"/>
    <w:rsid w:val="000B5C3E"/>
    <w:rsid w:val="000B67A9"/>
    <w:rsid w:val="000B6845"/>
    <w:rsid w:val="000B6AE9"/>
    <w:rsid w:val="000B6DA8"/>
    <w:rsid w:val="000C0660"/>
    <w:rsid w:val="000C0DBA"/>
    <w:rsid w:val="000C0E91"/>
    <w:rsid w:val="000C0F09"/>
    <w:rsid w:val="000C17B1"/>
    <w:rsid w:val="000C1FE1"/>
    <w:rsid w:val="000C211E"/>
    <w:rsid w:val="000C26D0"/>
    <w:rsid w:val="000C31A0"/>
    <w:rsid w:val="000C32DC"/>
    <w:rsid w:val="000C3E6A"/>
    <w:rsid w:val="000C3FA3"/>
    <w:rsid w:val="000C445D"/>
    <w:rsid w:val="000C454B"/>
    <w:rsid w:val="000C4BAB"/>
    <w:rsid w:val="000C4CCF"/>
    <w:rsid w:val="000C4D6A"/>
    <w:rsid w:val="000C5739"/>
    <w:rsid w:val="000C5FC8"/>
    <w:rsid w:val="000C64A6"/>
    <w:rsid w:val="000C676C"/>
    <w:rsid w:val="000C68B3"/>
    <w:rsid w:val="000C6D93"/>
    <w:rsid w:val="000C6FB1"/>
    <w:rsid w:val="000C71E5"/>
    <w:rsid w:val="000C739D"/>
    <w:rsid w:val="000C75E3"/>
    <w:rsid w:val="000C7734"/>
    <w:rsid w:val="000C7D9E"/>
    <w:rsid w:val="000D03A7"/>
    <w:rsid w:val="000D050F"/>
    <w:rsid w:val="000D09A4"/>
    <w:rsid w:val="000D0D65"/>
    <w:rsid w:val="000D1450"/>
    <w:rsid w:val="000D25AF"/>
    <w:rsid w:val="000D2A0A"/>
    <w:rsid w:val="000D35C7"/>
    <w:rsid w:val="000D3657"/>
    <w:rsid w:val="000D3738"/>
    <w:rsid w:val="000D3C13"/>
    <w:rsid w:val="000D4BAF"/>
    <w:rsid w:val="000D4CF6"/>
    <w:rsid w:val="000D4F20"/>
    <w:rsid w:val="000D538C"/>
    <w:rsid w:val="000D56E9"/>
    <w:rsid w:val="000D5725"/>
    <w:rsid w:val="000D581C"/>
    <w:rsid w:val="000D5D00"/>
    <w:rsid w:val="000D5FBC"/>
    <w:rsid w:val="000D6176"/>
    <w:rsid w:val="000D61E3"/>
    <w:rsid w:val="000D639B"/>
    <w:rsid w:val="000D6667"/>
    <w:rsid w:val="000D670F"/>
    <w:rsid w:val="000D6D37"/>
    <w:rsid w:val="000D6E44"/>
    <w:rsid w:val="000D716A"/>
    <w:rsid w:val="000D743E"/>
    <w:rsid w:val="000D751B"/>
    <w:rsid w:val="000D77D0"/>
    <w:rsid w:val="000D7805"/>
    <w:rsid w:val="000D7B54"/>
    <w:rsid w:val="000E09C7"/>
    <w:rsid w:val="000E0BE2"/>
    <w:rsid w:val="000E0CA6"/>
    <w:rsid w:val="000E12F5"/>
    <w:rsid w:val="000E1413"/>
    <w:rsid w:val="000E17C1"/>
    <w:rsid w:val="000E1869"/>
    <w:rsid w:val="000E1B8A"/>
    <w:rsid w:val="000E23CA"/>
    <w:rsid w:val="000E3849"/>
    <w:rsid w:val="000E3AA3"/>
    <w:rsid w:val="000E3EA3"/>
    <w:rsid w:val="000E4161"/>
    <w:rsid w:val="000E426F"/>
    <w:rsid w:val="000E459B"/>
    <w:rsid w:val="000E47D5"/>
    <w:rsid w:val="000E495B"/>
    <w:rsid w:val="000E50C3"/>
    <w:rsid w:val="000E515B"/>
    <w:rsid w:val="000E5175"/>
    <w:rsid w:val="000E593B"/>
    <w:rsid w:val="000E5985"/>
    <w:rsid w:val="000E5DB0"/>
    <w:rsid w:val="000E6C35"/>
    <w:rsid w:val="000E6E8A"/>
    <w:rsid w:val="000E73BE"/>
    <w:rsid w:val="000F0406"/>
    <w:rsid w:val="000F0816"/>
    <w:rsid w:val="000F10BD"/>
    <w:rsid w:val="000F1722"/>
    <w:rsid w:val="000F2587"/>
    <w:rsid w:val="000F28A5"/>
    <w:rsid w:val="000F29F5"/>
    <w:rsid w:val="000F2B74"/>
    <w:rsid w:val="000F2C12"/>
    <w:rsid w:val="000F311B"/>
    <w:rsid w:val="000F34D2"/>
    <w:rsid w:val="000F3B0A"/>
    <w:rsid w:val="000F3C4E"/>
    <w:rsid w:val="000F3C56"/>
    <w:rsid w:val="000F427D"/>
    <w:rsid w:val="000F444D"/>
    <w:rsid w:val="000F49BE"/>
    <w:rsid w:val="000F4BE6"/>
    <w:rsid w:val="000F4CA4"/>
    <w:rsid w:val="000F5026"/>
    <w:rsid w:val="000F5B4B"/>
    <w:rsid w:val="000F60CB"/>
    <w:rsid w:val="000F6B2E"/>
    <w:rsid w:val="000F6BEA"/>
    <w:rsid w:val="000F6C8F"/>
    <w:rsid w:val="000F72BF"/>
    <w:rsid w:val="000F7398"/>
    <w:rsid w:val="001007F5"/>
    <w:rsid w:val="00102ABF"/>
    <w:rsid w:val="001030CE"/>
    <w:rsid w:val="0010370B"/>
    <w:rsid w:val="00104268"/>
    <w:rsid w:val="00104314"/>
    <w:rsid w:val="00104760"/>
    <w:rsid w:val="00105DD5"/>
    <w:rsid w:val="00105EAD"/>
    <w:rsid w:val="00106311"/>
    <w:rsid w:val="001064B0"/>
    <w:rsid w:val="00106C54"/>
    <w:rsid w:val="00106DAD"/>
    <w:rsid w:val="0010739C"/>
    <w:rsid w:val="00107BCA"/>
    <w:rsid w:val="00110065"/>
    <w:rsid w:val="001101FF"/>
    <w:rsid w:val="00110645"/>
    <w:rsid w:val="00110B6C"/>
    <w:rsid w:val="001112A8"/>
    <w:rsid w:val="00111972"/>
    <w:rsid w:val="001119D8"/>
    <w:rsid w:val="00111CC5"/>
    <w:rsid w:val="0011219F"/>
    <w:rsid w:val="0011254E"/>
    <w:rsid w:val="00112867"/>
    <w:rsid w:val="00113603"/>
    <w:rsid w:val="001139D3"/>
    <w:rsid w:val="00113A00"/>
    <w:rsid w:val="00113A0A"/>
    <w:rsid w:val="00113E0D"/>
    <w:rsid w:val="00114015"/>
    <w:rsid w:val="0011499F"/>
    <w:rsid w:val="00114A9E"/>
    <w:rsid w:val="00114E6D"/>
    <w:rsid w:val="00114F26"/>
    <w:rsid w:val="0011524B"/>
    <w:rsid w:val="00115280"/>
    <w:rsid w:val="001154AC"/>
    <w:rsid w:val="00115B79"/>
    <w:rsid w:val="00116673"/>
    <w:rsid w:val="00117367"/>
    <w:rsid w:val="001173D5"/>
    <w:rsid w:val="00117592"/>
    <w:rsid w:val="00117632"/>
    <w:rsid w:val="001177D7"/>
    <w:rsid w:val="001202D5"/>
    <w:rsid w:val="001204F7"/>
    <w:rsid w:val="0012066D"/>
    <w:rsid w:val="00120800"/>
    <w:rsid w:val="00120CD9"/>
    <w:rsid w:val="00121539"/>
    <w:rsid w:val="0012170A"/>
    <w:rsid w:val="0012175D"/>
    <w:rsid w:val="00121DE8"/>
    <w:rsid w:val="00122331"/>
    <w:rsid w:val="00122680"/>
    <w:rsid w:val="00122B51"/>
    <w:rsid w:val="00122DC0"/>
    <w:rsid w:val="0012300F"/>
    <w:rsid w:val="001231A6"/>
    <w:rsid w:val="001233CB"/>
    <w:rsid w:val="001237A5"/>
    <w:rsid w:val="00123955"/>
    <w:rsid w:val="00123CA3"/>
    <w:rsid w:val="00123FA9"/>
    <w:rsid w:val="0012404B"/>
    <w:rsid w:val="0012413A"/>
    <w:rsid w:val="001241BA"/>
    <w:rsid w:val="001241D6"/>
    <w:rsid w:val="00124460"/>
    <w:rsid w:val="001245D1"/>
    <w:rsid w:val="001245EC"/>
    <w:rsid w:val="00124E62"/>
    <w:rsid w:val="001250D4"/>
    <w:rsid w:val="00125609"/>
    <w:rsid w:val="00125779"/>
    <w:rsid w:val="00125A1C"/>
    <w:rsid w:val="00125C58"/>
    <w:rsid w:val="00125D82"/>
    <w:rsid w:val="00126005"/>
    <w:rsid w:val="00126633"/>
    <w:rsid w:val="001267AA"/>
    <w:rsid w:val="001268F7"/>
    <w:rsid w:val="00126E42"/>
    <w:rsid w:val="0012743A"/>
    <w:rsid w:val="00127655"/>
    <w:rsid w:val="00130113"/>
    <w:rsid w:val="00130269"/>
    <w:rsid w:val="0013028A"/>
    <w:rsid w:val="0013030A"/>
    <w:rsid w:val="00130A42"/>
    <w:rsid w:val="00130B90"/>
    <w:rsid w:val="0013135D"/>
    <w:rsid w:val="001314C4"/>
    <w:rsid w:val="0013156F"/>
    <w:rsid w:val="0013168C"/>
    <w:rsid w:val="00131DAC"/>
    <w:rsid w:val="00131EDA"/>
    <w:rsid w:val="001321D0"/>
    <w:rsid w:val="001324BC"/>
    <w:rsid w:val="001327B8"/>
    <w:rsid w:val="00132ED0"/>
    <w:rsid w:val="00133883"/>
    <w:rsid w:val="00134A83"/>
    <w:rsid w:val="00134EA1"/>
    <w:rsid w:val="0013547A"/>
    <w:rsid w:val="0013583B"/>
    <w:rsid w:val="00136717"/>
    <w:rsid w:val="00137008"/>
    <w:rsid w:val="00137019"/>
    <w:rsid w:val="001374D5"/>
    <w:rsid w:val="00137702"/>
    <w:rsid w:val="001378FA"/>
    <w:rsid w:val="00137A89"/>
    <w:rsid w:val="00137F5C"/>
    <w:rsid w:val="00140079"/>
    <w:rsid w:val="00140470"/>
    <w:rsid w:val="00140577"/>
    <w:rsid w:val="0014072D"/>
    <w:rsid w:val="0014074D"/>
    <w:rsid w:val="00140CD9"/>
    <w:rsid w:val="001413E8"/>
    <w:rsid w:val="00141829"/>
    <w:rsid w:val="00142094"/>
    <w:rsid w:val="00142A1C"/>
    <w:rsid w:val="00142CD9"/>
    <w:rsid w:val="00142D82"/>
    <w:rsid w:val="001430B1"/>
    <w:rsid w:val="001432A3"/>
    <w:rsid w:val="001433F5"/>
    <w:rsid w:val="0014348F"/>
    <w:rsid w:val="0014370C"/>
    <w:rsid w:val="00143FA6"/>
    <w:rsid w:val="001444EF"/>
    <w:rsid w:val="001447A9"/>
    <w:rsid w:val="0014491E"/>
    <w:rsid w:val="00144D37"/>
    <w:rsid w:val="00144E71"/>
    <w:rsid w:val="001454A6"/>
    <w:rsid w:val="001457A2"/>
    <w:rsid w:val="00145C61"/>
    <w:rsid w:val="00146920"/>
    <w:rsid w:val="001469C6"/>
    <w:rsid w:val="00146E4B"/>
    <w:rsid w:val="00147699"/>
    <w:rsid w:val="001477DC"/>
    <w:rsid w:val="001478BB"/>
    <w:rsid w:val="00147C0E"/>
    <w:rsid w:val="0015038F"/>
    <w:rsid w:val="00150AC9"/>
    <w:rsid w:val="001510A8"/>
    <w:rsid w:val="00151605"/>
    <w:rsid w:val="0015160E"/>
    <w:rsid w:val="0015173C"/>
    <w:rsid w:val="00151FD7"/>
    <w:rsid w:val="001523C1"/>
    <w:rsid w:val="0015290A"/>
    <w:rsid w:val="00152D8B"/>
    <w:rsid w:val="00153F4C"/>
    <w:rsid w:val="00154137"/>
    <w:rsid w:val="001541C6"/>
    <w:rsid w:val="00154513"/>
    <w:rsid w:val="00154570"/>
    <w:rsid w:val="00154FBB"/>
    <w:rsid w:val="00155A3C"/>
    <w:rsid w:val="00155F6D"/>
    <w:rsid w:val="00156564"/>
    <w:rsid w:val="00156592"/>
    <w:rsid w:val="00156609"/>
    <w:rsid w:val="00156C29"/>
    <w:rsid w:val="00157214"/>
    <w:rsid w:val="0015721C"/>
    <w:rsid w:val="00157317"/>
    <w:rsid w:val="001573BE"/>
    <w:rsid w:val="00157A2C"/>
    <w:rsid w:val="00157D76"/>
    <w:rsid w:val="00157DE6"/>
    <w:rsid w:val="001601D1"/>
    <w:rsid w:val="001602D2"/>
    <w:rsid w:val="00160AE3"/>
    <w:rsid w:val="00160F14"/>
    <w:rsid w:val="00161093"/>
    <w:rsid w:val="00161540"/>
    <w:rsid w:val="00161657"/>
    <w:rsid w:val="001618B0"/>
    <w:rsid w:val="001618B5"/>
    <w:rsid w:val="001620FD"/>
    <w:rsid w:val="00162471"/>
    <w:rsid w:val="001629C4"/>
    <w:rsid w:val="00162A94"/>
    <w:rsid w:val="00162C68"/>
    <w:rsid w:val="00162CE1"/>
    <w:rsid w:val="00163B44"/>
    <w:rsid w:val="00163C01"/>
    <w:rsid w:val="00163C89"/>
    <w:rsid w:val="00163DDF"/>
    <w:rsid w:val="00163DF8"/>
    <w:rsid w:val="00163F68"/>
    <w:rsid w:val="0016466F"/>
    <w:rsid w:val="00165969"/>
    <w:rsid w:val="00165D90"/>
    <w:rsid w:val="00166236"/>
    <w:rsid w:val="0016631C"/>
    <w:rsid w:val="00166E49"/>
    <w:rsid w:val="00167230"/>
    <w:rsid w:val="00170265"/>
    <w:rsid w:val="001703B3"/>
    <w:rsid w:val="001707C7"/>
    <w:rsid w:val="001708A6"/>
    <w:rsid w:val="00170908"/>
    <w:rsid w:val="00170B1A"/>
    <w:rsid w:val="00170B31"/>
    <w:rsid w:val="001714BF"/>
    <w:rsid w:val="00171770"/>
    <w:rsid w:val="001718DA"/>
    <w:rsid w:val="00171A01"/>
    <w:rsid w:val="00171B31"/>
    <w:rsid w:val="00171CB2"/>
    <w:rsid w:val="001721D0"/>
    <w:rsid w:val="001722A0"/>
    <w:rsid w:val="00172AF7"/>
    <w:rsid w:val="00172CBE"/>
    <w:rsid w:val="001735F2"/>
    <w:rsid w:val="00173616"/>
    <w:rsid w:val="00173C79"/>
    <w:rsid w:val="001740A0"/>
    <w:rsid w:val="0017446B"/>
    <w:rsid w:val="001745BD"/>
    <w:rsid w:val="00174626"/>
    <w:rsid w:val="00174861"/>
    <w:rsid w:val="00174D0E"/>
    <w:rsid w:val="00174D74"/>
    <w:rsid w:val="00174F67"/>
    <w:rsid w:val="001750E5"/>
    <w:rsid w:val="0017584B"/>
    <w:rsid w:val="00175B38"/>
    <w:rsid w:val="00175D51"/>
    <w:rsid w:val="00175DC8"/>
    <w:rsid w:val="001764CE"/>
    <w:rsid w:val="00176ACB"/>
    <w:rsid w:val="00176C03"/>
    <w:rsid w:val="00176FEF"/>
    <w:rsid w:val="001772DB"/>
    <w:rsid w:val="001774F9"/>
    <w:rsid w:val="00177524"/>
    <w:rsid w:val="00177A56"/>
    <w:rsid w:val="00180311"/>
    <w:rsid w:val="0018071B"/>
    <w:rsid w:val="00180A01"/>
    <w:rsid w:val="00180A12"/>
    <w:rsid w:val="00180E90"/>
    <w:rsid w:val="001816D0"/>
    <w:rsid w:val="00182189"/>
    <w:rsid w:val="00182221"/>
    <w:rsid w:val="00182381"/>
    <w:rsid w:val="001829C2"/>
    <w:rsid w:val="001829E2"/>
    <w:rsid w:val="00182A63"/>
    <w:rsid w:val="00182C86"/>
    <w:rsid w:val="00182DA5"/>
    <w:rsid w:val="00183037"/>
    <w:rsid w:val="00183B46"/>
    <w:rsid w:val="001846DE"/>
    <w:rsid w:val="0018599E"/>
    <w:rsid w:val="00185C9F"/>
    <w:rsid w:val="00185E12"/>
    <w:rsid w:val="0018657B"/>
    <w:rsid w:val="00186885"/>
    <w:rsid w:val="00186B64"/>
    <w:rsid w:val="00186D8C"/>
    <w:rsid w:val="001873E4"/>
    <w:rsid w:val="00187474"/>
    <w:rsid w:val="00187A4A"/>
    <w:rsid w:val="00187E9D"/>
    <w:rsid w:val="0019007E"/>
    <w:rsid w:val="001911E5"/>
    <w:rsid w:val="00192A9D"/>
    <w:rsid w:val="00192FC2"/>
    <w:rsid w:val="0019386B"/>
    <w:rsid w:val="00193EFA"/>
    <w:rsid w:val="00194192"/>
    <w:rsid w:val="00194252"/>
    <w:rsid w:val="00194727"/>
    <w:rsid w:val="001948E6"/>
    <w:rsid w:val="00194E6E"/>
    <w:rsid w:val="00195212"/>
    <w:rsid w:val="00195427"/>
    <w:rsid w:val="001955F9"/>
    <w:rsid w:val="00196864"/>
    <w:rsid w:val="001969AB"/>
    <w:rsid w:val="00196D5D"/>
    <w:rsid w:val="00196F10"/>
    <w:rsid w:val="00197C79"/>
    <w:rsid w:val="00197E0E"/>
    <w:rsid w:val="00197F75"/>
    <w:rsid w:val="001A0170"/>
    <w:rsid w:val="001A0846"/>
    <w:rsid w:val="001A08CB"/>
    <w:rsid w:val="001A0FDE"/>
    <w:rsid w:val="001A1223"/>
    <w:rsid w:val="001A12B0"/>
    <w:rsid w:val="001A19F1"/>
    <w:rsid w:val="001A1BBC"/>
    <w:rsid w:val="001A1E30"/>
    <w:rsid w:val="001A2473"/>
    <w:rsid w:val="001A2525"/>
    <w:rsid w:val="001A2C04"/>
    <w:rsid w:val="001A2E4C"/>
    <w:rsid w:val="001A30DE"/>
    <w:rsid w:val="001A3375"/>
    <w:rsid w:val="001A33A9"/>
    <w:rsid w:val="001A33FD"/>
    <w:rsid w:val="001A4651"/>
    <w:rsid w:val="001A4D9B"/>
    <w:rsid w:val="001A5178"/>
    <w:rsid w:val="001A53BF"/>
    <w:rsid w:val="001A554B"/>
    <w:rsid w:val="001A6141"/>
    <w:rsid w:val="001A6A80"/>
    <w:rsid w:val="001A6C4C"/>
    <w:rsid w:val="001A733E"/>
    <w:rsid w:val="001A744F"/>
    <w:rsid w:val="001A7472"/>
    <w:rsid w:val="001A74D1"/>
    <w:rsid w:val="001A76D8"/>
    <w:rsid w:val="001A77D4"/>
    <w:rsid w:val="001A7A2A"/>
    <w:rsid w:val="001A7D05"/>
    <w:rsid w:val="001B0131"/>
    <w:rsid w:val="001B063D"/>
    <w:rsid w:val="001B06FF"/>
    <w:rsid w:val="001B0E34"/>
    <w:rsid w:val="001B1895"/>
    <w:rsid w:val="001B1993"/>
    <w:rsid w:val="001B1A67"/>
    <w:rsid w:val="001B1E81"/>
    <w:rsid w:val="001B2414"/>
    <w:rsid w:val="001B2B2C"/>
    <w:rsid w:val="001B2F91"/>
    <w:rsid w:val="001B3373"/>
    <w:rsid w:val="001B33AF"/>
    <w:rsid w:val="001B3413"/>
    <w:rsid w:val="001B3465"/>
    <w:rsid w:val="001B389E"/>
    <w:rsid w:val="001B3B2E"/>
    <w:rsid w:val="001B3B69"/>
    <w:rsid w:val="001B439C"/>
    <w:rsid w:val="001B44F6"/>
    <w:rsid w:val="001B507B"/>
    <w:rsid w:val="001B5082"/>
    <w:rsid w:val="001B5CB5"/>
    <w:rsid w:val="001B63C8"/>
    <w:rsid w:val="001B64FE"/>
    <w:rsid w:val="001B688D"/>
    <w:rsid w:val="001B7376"/>
    <w:rsid w:val="001B763C"/>
    <w:rsid w:val="001B770C"/>
    <w:rsid w:val="001B789B"/>
    <w:rsid w:val="001B7C5B"/>
    <w:rsid w:val="001B7DF5"/>
    <w:rsid w:val="001C0197"/>
    <w:rsid w:val="001C1366"/>
    <w:rsid w:val="001C1D2C"/>
    <w:rsid w:val="001C1DB8"/>
    <w:rsid w:val="001C205D"/>
    <w:rsid w:val="001C2112"/>
    <w:rsid w:val="001C2336"/>
    <w:rsid w:val="001C3354"/>
    <w:rsid w:val="001C37C7"/>
    <w:rsid w:val="001C3F57"/>
    <w:rsid w:val="001C4055"/>
    <w:rsid w:val="001C4571"/>
    <w:rsid w:val="001C45B8"/>
    <w:rsid w:val="001C485A"/>
    <w:rsid w:val="001C5211"/>
    <w:rsid w:val="001C5219"/>
    <w:rsid w:val="001C5231"/>
    <w:rsid w:val="001C527E"/>
    <w:rsid w:val="001C54BD"/>
    <w:rsid w:val="001C653F"/>
    <w:rsid w:val="001C7507"/>
    <w:rsid w:val="001C76D9"/>
    <w:rsid w:val="001D0444"/>
    <w:rsid w:val="001D0510"/>
    <w:rsid w:val="001D05C6"/>
    <w:rsid w:val="001D09DA"/>
    <w:rsid w:val="001D0B8E"/>
    <w:rsid w:val="001D0D9A"/>
    <w:rsid w:val="001D0E70"/>
    <w:rsid w:val="001D0EAE"/>
    <w:rsid w:val="001D187E"/>
    <w:rsid w:val="001D200A"/>
    <w:rsid w:val="001D20AA"/>
    <w:rsid w:val="001D20D0"/>
    <w:rsid w:val="001D2127"/>
    <w:rsid w:val="001D26B7"/>
    <w:rsid w:val="001D278C"/>
    <w:rsid w:val="001D28AF"/>
    <w:rsid w:val="001D3464"/>
    <w:rsid w:val="001D369C"/>
    <w:rsid w:val="001D37B5"/>
    <w:rsid w:val="001D3C75"/>
    <w:rsid w:val="001D3FE5"/>
    <w:rsid w:val="001D4F04"/>
    <w:rsid w:val="001D54F4"/>
    <w:rsid w:val="001D5B7C"/>
    <w:rsid w:val="001D5D15"/>
    <w:rsid w:val="001D5F5B"/>
    <w:rsid w:val="001D6641"/>
    <w:rsid w:val="001D67DA"/>
    <w:rsid w:val="001D6A78"/>
    <w:rsid w:val="001D6D26"/>
    <w:rsid w:val="001D6F03"/>
    <w:rsid w:val="001D708D"/>
    <w:rsid w:val="001D73A4"/>
    <w:rsid w:val="001D76BA"/>
    <w:rsid w:val="001D7B6C"/>
    <w:rsid w:val="001D7B76"/>
    <w:rsid w:val="001D7C43"/>
    <w:rsid w:val="001E0753"/>
    <w:rsid w:val="001E09B5"/>
    <w:rsid w:val="001E12BC"/>
    <w:rsid w:val="001E17C5"/>
    <w:rsid w:val="001E19B0"/>
    <w:rsid w:val="001E1B3E"/>
    <w:rsid w:val="001E1E26"/>
    <w:rsid w:val="001E2212"/>
    <w:rsid w:val="001E2587"/>
    <w:rsid w:val="001E2D5B"/>
    <w:rsid w:val="001E375A"/>
    <w:rsid w:val="001E3C48"/>
    <w:rsid w:val="001E3F01"/>
    <w:rsid w:val="001E3F3A"/>
    <w:rsid w:val="001E427D"/>
    <w:rsid w:val="001E47E9"/>
    <w:rsid w:val="001E4EC6"/>
    <w:rsid w:val="001E4F2B"/>
    <w:rsid w:val="001E500D"/>
    <w:rsid w:val="001E58F2"/>
    <w:rsid w:val="001E5B7E"/>
    <w:rsid w:val="001E5BF6"/>
    <w:rsid w:val="001E5C27"/>
    <w:rsid w:val="001E6425"/>
    <w:rsid w:val="001E74D4"/>
    <w:rsid w:val="001E7899"/>
    <w:rsid w:val="001E7FBC"/>
    <w:rsid w:val="001F0169"/>
    <w:rsid w:val="001F033A"/>
    <w:rsid w:val="001F03D0"/>
    <w:rsid w:val="001F0DA8"/>
    <w:rsid w:val="001F1A32"/>
    <w:rsid w:val="001F1E01"/>
    <w:rsid w:val="001F2416"/>
    <w:rsid w:val="001F29DD"/>
    <w:rsid w:val="001F2F51"/>
    <w:rsid w:val="001F2F9A"/>
    <w:rsid w:val="001F3020"/>
    <w:rsid w:val="001F3808"/>
    <w:rsid w:val="001F39B9"/>
    <w:rsid w:val="001F3BF8"/>
    <w:rsid w:val="001F4085"/>
    <w:rsid w:val="001F44EE"/>
    <w:rsid w:val="001F49FD"/>
    <w:rsid w:val="001F580B"/>
    <w:rsid w:val="001F5AE5"/>
    <w:rsid w:val="001F66B7"/>
    <w:rsid w:val="001F6709"/>
    <w:rsid w:val="001F6E52"/>
    <w:rsid w:val="001F6E7E"/>
    <w:rsid w:val="001F707C"/>
    <w:rsid w:val="001F7177"/>
    <w:rsid w:val="001F7357"/>
    <w:rsid w:val="001F73DD"/>
    <w:rsid w:val="001F74B2"/>
    <w:rsid w:val="001F7841"/>
    <w:rsid w:val="001F7BC4"/>
    <w:rsid w:val="002001F0"/>
    <w:rsid w:val="00200707"/>
    <w:rsid w:val="00200A4E"/>
    <w:rsid w:val="0020101E"/>
    <w:rsid w:val="002011A2"/>
    <w:rsid w:val="0020140C"/>
    <w:rsid w:val="002015DD"/>
    <w:rsid w:val="002016CD"/>
    <w:rsid w:val="00201948"/>
    <w:rsid w:val="00201A0A"/>
    <w:rsid w:val="00202CB4"/>
    <w:rsid w:val="00202F0D"/>
    <w:rsid w:val="00203425"/>
    <w:rsid w:val="002036EF"/>
    <w:rsid w:val="0020422D"/>
    <w:rsid w:val="0020422F"/>
    <w:rsid w:val="00204D62"/>
    <w:rsid w:val="00204E54"/>
    <w:rsid w:val="00204F8E"/>
    <w:rsid w:val="002051CA"/>
    <w:rsid w:val="0020542A"/>
    <w:rsid w:val="00205716"/>
    <w:rsid w:val="00206255"/>
    <w:rsid w:val="0020641A"/>
    <w:rsid w:val="00206B6A"/>
    <w:rsid w:val="00207A9B"/>
    <w:rsid w:val="00207F22"/>
    <w:rsid w:val="00207FDA"/>
    <w:rsid w:val="00210077"/>
    <w:rsid w:val="00210D4D"/>
    <w:rsid w:val="0021114A"/>
    <w:rsid w:val="00211CAF"/>
    <w:rsid w:val="00211DA6"/>
    <w:rsid w:val="00211ECB"/>
    <w:rsid w:val="0021258F"/>
    <w:rsid w:val="00212735"/>
    <w:rsid w:val="00212751"/>
    <w:rsid w:val="002128AD"/>
    <w:rsid w:val="00212970"/>
    <w:rsid w:val="002131A7"/>
    <w:rsid w:val="002133CE"/>
    <w:rsid w:val="002138DD"/>
    <w:rsid w:val="002139A8"/>
    <w:rsid w:val="00213AE8"/>
    <w:rsid w:val="00213F0D"/>
    <w:rsid w:val="00214559"/>
    <w:rsid w:val="00214918"/>
    <w:rsid w:val="00214D87"/>
    <w:rsid w:val="00214FC1"/>
    <w:rsid w:val="0021509A"/>
    <w:rsid w:val="00215297"/>
    <w:rsid w:val="00215493"/>
    <w:rsid w:val="00215677"/>
    <w:rsid w:val="002156AD"/>
    <w:rsid w:val="0021579B"/>
    <w:rsid w:val="002157B6"/>
    <w:rsid w:val="00215945"/>
    <w:rsid w:val="00215EA8"/>
    <w:rsid w:val="00216018"/>
    <w:rsid w:val="00216450"/>
    <w:rsid w:val="002164A6"/>
    <w:rsid w:val="002168C0"/>
    <w:rsid w:val="00216F2E"/>
    <w:rsid w:val="00216F4B"/>
    <w:rsid w:val="002173DA"/>
    <w:rsid w:val="002177F5"/>
    <w:rsid w:val="0021790B"/>
    <w:rsid w:val="0022092F"/>
    <w:rsid w:val="00220BF5"/>
    <w:rsid w:val="00220C9E"/>
    <w:rsid w:val="00220D3C"/>
    <w:rsid w:val="00220FDB"/>
    <w:rsid w:val="00221277"/>
    <w:rsid w:val="00221411"/>
    <w:rsid w:val="002217DE"/>
    <w:rsid w:val="00221B81"/>
    <w:rsid w:val="002222A4"/>
    <w:rsid w:val="002224F0"/>
    <w:rsid w:val="00222513"/>
    <w:rsid w:val="0022252F"/>
    <w:rsid w:val="00222CB6"/>
    <w:rsid w:val="00222EF6"/>
    <w:rsid w:val="00223C7E"/>
    <w:rsid w:val="00223D0B"/>
    <w:rsid w:val="00224432"/>
    <w:rsid w:val="002244DD"/>
    <w:rsid w:val="00224615"/>
    <w:rsid w:val="002246E8"/>
    <w:rsid w:val="00224DE5"/>
    <w:rsid w:val="00224E46"/>
    <w:rsid w:val="00224E6E"/>
    <w:rsid w:val="00224F80"/>
    <w:rsid w:val="002252AB"/>
    <w:rsid w:val="00225366"/>
    <w:rsid w:val="00225DC3"/>
    <w:rsid w:val="002268B5"/>
    <w:rsid w:val="00226F36"/>
    <w:rsid w:val="002274CD"/>
    <w:rsid w:val="002279AD"/>
    <w:rsid w:val="00227A86"/>
    <w:rsid w:val="00227BD2"/>
    <w:rsid w:val="00227C19"/>
    <w:rsid w:val="00227D88"/>
    <w:rsid w:val="00230070"/>
    <w:rsid w:val="00230430"/>
    <w:rsid w:val="00230784"/>
    <w:rsid w:val="00230926"/>
    <w:rsid w:val="00230AEE"/>
    <w:rsid w:val="00230C65"/>
    <w:rsid w:val="00230C8E"/>
    <w:rsid w:val="00231240"/>
    <w:rsid w:val="00231805"/>
    <w:rsid w:val="00231B72"/>
    <w:rsid w:val="00231B95"/>
    <w:rsid w:val="00231BB1"/>
    <w:rsid w:val="00231BC9"/>
    <w:rsid w:val="00231FCF"/>
    <w:rsid w:val="0023203A"/>
    <w:rsid w:val="00232042"/>
    <w:rsid w:val="002322AD"/>
    <w:rsid w:val="0023234B"/>
    <w:rsid w:val="00232D36"/>
    <w:rsid w:val="0023319A"/>
    <w:rsid w:val="002331E4"/>
    <w:rsid w:val="00233302"/>
    <w:rsid w:val="00233344"/>
    <w:rsid w:val="002333A2"/>
    <w:rsid w:val="002334AD"/>
    <w:rsid w:val="002334F5"/>
    <w:rsid w:val="002339B8"/>
    <w:rsid w:val="00233AB6"/>
    <w:rsid w:val="00233FEB"/>
    <w:rsid w:val="00234012"/>
    <w:rsid w:val="002347F9"/>
    <w:rsid w:val="002354FA"/>
    <w:rsid w:val="00235F9C"/>
    <w:rsid w:val="00236294"/>
    <w:rsid w:val="002363DF"/>
    <w:rsid w:val="00236653"/>
    <w:rsid w:val="00236AD4"/>
    <w:rsid w:val="00236F7A"/>
    <w:rsid w:val="00237406"/>
    <w:rsid w:val="0023743F"/>
    <w:rsid w:val="002375F2"/>
    <w:rsid w:val="00237784"/>
    <w:rsid w:val="00237927"/>
    <w:rsid w:val="00237F74"/>
    <w:rsid w:val="00240251"/>
    <w:rsid w:val="002403D2"/>
    <w:rsid w:val="002404C1"/>
    <w:rsid w:val="002405A5"/>
    <w:rsid w:val="00241191"/>
    <w:rsid w:val="002412C0"/>
    <w:rsid w:val="00241346"/>
    <w:rsid w:val="00241C35"/>
    <w:rsid w:val="002421BC"/>
    <w:rsid w:val="0024248C"/>
    <w:rsid w:val="002429CC"/>
    <w:rsid w:val="00242ADD"/>
    <w:rsid w:val="00242B9F"/>
    <w:rsid w:val="00242D3F"/>
    <w:rsid w:val="00242D81"/>
    <w:rsid w:val="002431E0"/>
    <w:rsid w:val="00243DE9"/>
    <w:rsid w:val="0024481F"/>
    <w:rsid w:val="00244A15"/>
    <w:rsid w:val="00244DA6"/>
    <w:rsid w:val="0024506B"/>
    <w:rsid w:val="0024565B"/>
    <w:rsid w:val="00245D87"/>
    <w:rsid w:val="00245DB8"/>
    <w:rsid w:val="002466C6"/>
    <w:rsid w:val="00246BC4"/>
    <w:rsid w:val="00246C19"/>
    <w:rsid w:val="00247218"/>
    <w:rsid w:val="002474C2"/>
    <w:rsid w:val="002474EF"/>
    <w:rsid w:val="00247AA9"/>
    <w:rsid w:val="00247ECE"/>
    <w:rsid w:val="002507AA"/>
    <w:rsid w:val="0025087C"/>
    <w:rsid w:val="00250911"/>
    <w:rsid w:val="00250FCE"/>
    <w:rsid w:val="00251054"/>
    <w:rsid w:val="0025142D"/>
    <w:rsid w:val="00251981"/>
    <w:rsid w:val="002519B4"/>
    <w:rsid w:val="00251F66"/>
    <w:rsid w:val="00252122"/>
    <w:rsid w:val="0025253B"/>
    <w:rsid w:val="00252A8A"/>
    <w:rsid w:val="0025366D"/>
    <w:rsid w:val="00253ADE"/>
    <w:rsid w:val="00253F76"/>
    <w:rsid w:val="002545FF"/>
    <w:rsid w:val="00254984"/>
    <w:rsid w:val="00254A3F"/>
    <w:rsid w:val="00254B5E"/>
    <w:rsid w:val="00254E97"/>
    <w:rsid w:val="00255627"/>
    <w:rsid w:val="00255CD1"/>
    <w:rsid w:val="00256745"/>
    <w:rsid w:val="00256C06"/>
    <w:rsid w:val="00260184"/>
    <w:rsid w:val="00260263"/>
    <w:rsid w:val="0026063D"/>
    <w:rsid w:val="0026067C"/>
    <w:rsid w:val="00260700"/>
    <w:rsid w:val="002612C4"/>
    <w:rsid w:val="00261603"/>
    <w:rsid w:val="00261632"/>
    <w:rsid w:val="00261EBB"/>
    <w:rsid w:val="00262107"/>
    <w:rsid w:val="00262236"/>
    <w:rsid w:val="00262C5E"/>
    <w:rsid w:val="00263067"/>
    <w:rsid w:val="002632E9"/>
    <w:rsid w:val="002633FD"/>
    <w:rsid w:val="0026358E"/>
    <w:rsid w:val="00263CE7"/>
    <w:rsid w:val="00263DF8"/>
    <w:rsid w:val="00264587"/>
    <w:rsid w:val="00264D74"/>
    <w:rsid w:val="00265DBF"/>
    <w:rsid w:val="00265E0D"/>
    <w:rsid w:val="0026752E"/>
    <w:rsid w:val="002676F8"/>
    <w:rsid w:val="00270193"/>
    <w:rsid w:val="00270592"/>
    <w:rsid w:val="002707B5"/>
    <w:rsid w:val="00271412"/>
    <w:rsid w:val="00271473"/>
    <w:rsid w:val="00271AFF"/>
    <w:rsid w:val="002726B3"/>
    <w:rsid w:val="002728B3"/>
    <w:rsid w:val="00272C3B"/>
    <w:rsid w:val="00272C91"/>
    <w:rsid w:val="0027304D"/>
    <w:rsid w:val="002736C8"/>
    <w:rsid w:val="00273750"/>
    <w:rsid w:val="0027390B"/>
    <w:rsid w:val="002741FC"/>
    <w:rsid w:val="00274C24"/>
    <w:rsid w:val="0027555D"/>
    <w:rsid w:val="00275765"/>
    <w:rsid w:val="0027576F"/>
    <w:rsid w:val="002757BC"/>
    <w:rsid w:val="002758E2"/>
    <w:rsid w:val="0027613B"/>
    <w:rsid w:val="00276226"/>
    <w:rsid w:val="002768BA"/>
    <w:rsid w:val="00276C26"/>
    <w:rsid w:val="002803E5"/>
    <w:rsid w:val="002809C9"/>
    <w:rsid w:val="00280CFE"/>
    <w:rsid w:val="00280E2F"/>
    <w:rsid w:val="00280EE9"/>
    <w:rsid w:val="0028149A"/>
    <w:rsid w:val="002816B2"/>
    <w:rsid w:val="00281DC1"/>
    <w:rsid w:val="00281DFC"/>
    <w:rsid w:val="00281FC9"/>
    <w:rsid w:val="00282543"/>
    <w:rsid w:val="0028280C"/>
    <w:rsid w:val="00282859"/>
    <w:rsid w:val="00282D74"/>
    <w:rsid w:val="0028361A"/>
    <w:rsid w:val="00283CA5"/>
    <w:rsid w:val="00283E54"/>
    <w:rsid w:val="0028430C"/>
    <w:rsid w:val="0028469D"/>
    <w:rsid w:val="002846AE"/>
    <w:rsid w:val="002847EB"/>
    <w:rsid w:val="00285153"/>
    <w:rsid w:val="002855F0"/>
    <w:rsid w:val="00285647"/>
    <w:rsid w:val="002856C8"/>
    <w:rsid w:val="0028596E"/>
    <w:rsid w:val="00285CEF"/>
    <w:rsid w:val="0028635E"/>
    <w:rsid w:val="00286518"/>
    <w:rsid w:val="00286C6B"/>
    <w:rsid w:val="002878CE"/>
    <w:rsid w:val="00287905"/>
    <w:rsid w:val="002879F2"/>
    <w:rsid w:val="0029047E"/>
    <w:rsid w:val="00290511"/>
    <w:rsid w:val="002906B7"/>
    <w:rsid w:val="00290FEA"/>
    <w:rsid w:val="00291C0B"/>
    <w:rsid w:val="00291F6D"/>
    <w:rsid w:val="00292198"/>
    <w:rsid w:val="002928C5"/>
    <w:rsid w:val="00292CFA"/>
    <w:rsid w:val="0029371E"/>
    <w:rsid w:val="002937EA"/>
    <w:rsid w:val="00293881"/>
    <w:rsid w:val="00293B7E"/>
    <w:rsid w:val="00293D03"/>
    <w:rsid w:val="002944BB"/>
    <w:rsid w:val="00294527"/>
    <w:rsid w:val="00294B07"/>
    <w:rsid w:val="00294DC1"/>
    <w:rsid w:val="00295266"/>
    <w:rsid w:val="00295995"/>
    <w:rsid w:val="00295EA4"/>
    <w:rsid w:val="00295EAB"/>
    <w:rsid w:val="0029633F"/>
    <w:rsid w:val="00296365"/>
    <w:rsid w:val="00296CCD"/>
    <w:rsid w:val="00297406"/>
    <w:rsid w:val="00297559"/>
    <w:rsid w:val="00297CAE"/>
    <w:rsid w:val="00297DDF"/>
    <w:rsid w:val="002A01AF"/>
    <w:rsid w:val="002A01E5"/>
    <w:rsid w:val="002A0244"/>
    <w:rsid w:val="002A0982"/>
    <w:rsid w:val="002A0F69"/>
    <w:rsid w:val="002A184B"/>
    <w:rsid w:val="002A240D"/>
    <w:rsid w:val="002A242B"/>
    <w:rsid w:val="002A25C9"/>
    <w:rsid w:val="002A288D"/>
    <w:rsid w:val="002A3BFD"/>
    <w:rsid w:val="002A3CBC"/>
    <w:rsid w:val="002A4800"/>
    <w:rsid w:val="002A4CD4"/>
    <w:rsid w:val="002A6005"/>
    <w:rsid w:val="002A6083"/>
    <w:rsid w:val="002A627A"/>
    <w:rsid w:val="002A6604"/>
    <w:rsid w:val="002A660E"/>
    <w:rsid w:val="002A6A60"/>
    <w:rsid w:val="002A6DCF"/>
    <w:rsid w:val="002A7357"/>
    <w:rsid w:val="002A75A1"/>
    <w:rsid w:val="002A7891"/>
    <w:rsid w:val="002B017C"/>
    <w:rsid w:val="002B021A"/>
    <w:rsid w:val="002B0BBE"/>
    <w:rsid w:val="002B0D8E"/>
    <w:rsid w:val="002B10D3"/>
    <w:rsid w:val="002B1153"/>
    <w:rsid w:val="002B15A7"/>
    <w:rsid w:val="002B1C5B"/>
    <w:rsid w:val="002B1D23"/>
    <w:rsid w:val="002B1E51"/>
    <w:rsid w:val="002B261F"/>
    <w:rsid w:val="002B2876"/>
    <w:rsid w:val="002B33B5"/>
    <w:rsid w:val="002B3BCB"/>
    <w:rsid w:val="002B3FF3"/>
    <w:rsid w:val="002B4075"/>
    <w:rsid w:val="002B42B2"/>
    <w:rsid w:val="002B4E31"/>
    <w:rsid w:val="002B4FA7"/>
    <w:rsid w:val="002B53BA"/>
    <w:rsid w:val="002B56E5"/>
    <w:rsid w:val="002B59A8"/>
    <w:rsid w:val="002B5FCC"/>
    <w:rsid w:val="002B684F"/>
    <w:rsid w:val="002B6B29"/>
    <w:rsid w:val="002B74A7"/>
    <w:rsid w:val="002B78B5"/>
    <w:rsid w:val="002B7D09"/>
    <w:rsid w:val="002B7E55"/>
    <w:rsid w:val="002C0948"/>
    <w:rsid w:val="002C0C04"/>
    <w:rsid w:val="002C127F"/>
    <w:rsid w:val="002C1A09"/>
    <w:rsid w:val="002C1E27"/>
    <w:rsid w:val="002C1EFA"/>
    <w:rsid w:val="002C211D"/>
    <w:rsid w:val="002C2E6F"/>
    <w:rsid w:val="002C3868"/>
    <w:rsid w:val="002C3AFC"/>
    <w:rsid w:val="002C3BAD"/>
    <w:rsid w:val="002C3BBD"/>
    <w:rsid w:val="002C3BF6"/>
    <w:rsid w:val="002C400B"/>
    <w:rsid w:val="002C445F"/>
    <w:rsid w:val="002C4788"/>
    <w:rsid w:val="002C4FB1"/>
    <w:rsid w:val="002C5833"/>
    <w:rsid w:val="002C591A"/>
    <w:rsid w:val="002C62CA"/>
    <w:rsid w:val="002C6795"/>
    <w:rsid w:val="002C6A9B"/>
    <w:rsid w:val="002C6E96"/>
    <w:rsid w:val="002C7064"/>
    <w:rsid w:val="002C75D6"/>
    <w:rsid w:val="002C76A0"/>
    <w:rsid w:val="002D0003"/>
    <w:rsid w:val="002D02A1"/>
    <w:rsid w:val="002D038D"/>
    <w:rsid w:val="002D055F"/>
    <w:rsid w:val="002D0583"/>
    <w:rsid w:val="002D0646"/>
    <w:rsid w:val="002D0678"/>
    <w:rsid w:val="002D1615"/>
    <w:rsid w:val="002D18EB"/>
    <w:rsid w:val="002D19AD"/>
    <w:rsid w:val="002D1A7E"/>
    <w:rsid w:val="002D1E8E"/>
    <w:rsid w:val="002D2462"/>
    <w:rsid w:val="002D2957"/>
    <w:rsid w:val="002D2BE2"/>
    <w:rsid w:val="002D3001"/>
    <w:rsid w:val="002D36C3"/>
    <w:rsid w:val="002D3825"/>
    <w:rsid w:val="002D4E18"/>
    <w:rsid w:val="002D4F63"/>
    <w:rsid w:val="002D507A"/>
    <w:rsid w:val="002D50F8"/>
    <w:rsid w:val="002D54CC"/>
    <w:rsid w:val="002D554B"/>
    <w:rsid w:val="002D5F3C"/>
    <w:rsid w:val="002D68CD"/>
    <w:rsid w:val="002D698E"/>
    <w:rsid w:val="002D6C43"/>
    <w:rsid w:val="002D6E6F"/>
    <w:rsid w:val="002D6F4F"/>
    <w:rsid w:val="002D7952"/>
    <w:rsid w:val="002D7B38"/>
    <w:rsid w:val="002D7C24"/>
    <w:rsid w:val="002D7EB3"/>
    <w:rsid w:val="002E06BA"/>
    <w:rsid w:val="002E0820"/>
    <w:rsid w:val="002E0E18"/>
    <w:rsid w:val="002E126A"/>
    <w:rsid w:val="002E3079"/>
    <w:rsid w:val="002E3371"/>
    <w:rsid w:val="002E3384"/>
    <w:rsid w:val="002E35B0"/>
    <w:rsid w:val="002E3A5D"/>
    <w:rsid w:val="002E3D23"/>
    <w:rsid w:val="002E3D98"/>
    <w:rsid w:val="002E48DA"/>
    <w:rsid w:val="002E4FDE"/>
    <w:rsid w:val="002E5017"/>
    <w:rsid w:val="002E55D3"/>
    <w:rsid w:val="002E5669"/>
    <w:rsid w:val="002E57D9"/>
    <w:rsid w:val="002E5E3A"/>
    <w:rsid w:val="002E6084"/>
    <w:rsid w:val="002E60E5"/>
    <w:rsid w:val="002E611C"/>
    <w:rsid w:val="002E64BD"/>
    <w:rsid w:val="002E6561"/>
    <w:rsid w:val="002E65B1"/>
    <w:rsid w:val="002E67A9"/>
    <w:rsid w:val="002E6B3B"/>
    <w:rsid w:val="002E6CD1"/>
    <w:rsid w:val="002E6E34"/>
    <w:rsid w:val="002F0045"/>
    <w:rsid w:val="002F0424"/>
    <w:rsid w:val="002F0764"/>
    <w:rsid w:val="002F0956"/>
    <w:rsid w:val="002F0975"/>
    <w:rsid w:val="002F0A39"/>
    <w:rsid w:val="002F0AC6"/>
    <w:rsid w:val="002F0B0A"/>
    <w:rsid w:val="002F0F9B"/>
    <w:rsid w:val="002F1E37"/>
    <w:rsid w:val="002F202D"/>
    <w:rsid w:val="002F2559"/>
    <w:rsid w:val="002F2811"/>
    <w:rsid w:val="002F376F"/>
    <w:rsid w:val="002F3875"/>
    <w:rsid w:val="002F3DBF"/>
    <w:rsid w:val="002F3F7F"/>
    <w:rsid w:val="002F4740"/>
    <w:rsid w:val="002F4863"/>
    <w:rsid w:val="002F4939"/>
    <w:rsid w:val="002F4BDA"/>
    <w:rsid w:val="002F5121"/>
    <w:rsid w:val="002F52F9"/>
    <w:rsid w:val="002F53B9"/>
    <w:rsid w:val="002F5900"/>
    <w:rsid w:val="002F598E"/>
    <w:rsid w:val="002F5AD0"/>
    <w:rsid w:val="002F667A"/>
    <w:rsid w:val="002F6A76"/>
    <w:rsid w:val="002F6F8B"/>
    <w:rsid w:val="002F719D"/>
    <w:rsid w:val="002F71DA"/>
    <w:rsid w:val="002F726A"/>
    <w:rsid w:val="002F786F"/>
    <w:rsid w:val="002F793C"/>
    <w:rsid w:val="002F7B58"/>
    <w:rsid w:val="002F7EEE"/>
    <w:rsid w:val="002F7FEB"/>
    <w:rsid w:val="00300AEF"/>
    <w:rsid w:val="00300E8C"/>
    <w:rsid w:val="00301136"/>
    <w:rsid w:val="00301218"/>
    <w:rsid w:val="003019DC"/>
    <w:rsid w:val="00303A29"/>
    <w:rsid w:val="00303AF9"/>
    <w:rsid w:val="00303BBC"/>
    <w:rsid w:val="00304208"/>
    <w:rsid w:val="0030473F"/>
    <w:rsid w:val="00304963"/>
    <w:rsid w:val="00304F99"/>
    <w:rsid w:val="0030543F"/>
    <w:rsid w:val="00305940"/>
    <w:rsid w:val="00305C1E"/>
    <w:rsid w:val="00305F6D"/>
    <w:rsid w:val="00306520"/>
    <w:rsid w:val="00306A24"/>
    <w:rsid w:val="0030723F"/>
    <w:rsid w:val="00307515"/>
    <w:rsid w:val="00307A8C"/>
    <w:rsid w:val="003103FA"/>
    <w:rsid w:val="0031047A"/>
    <w:rsid w:val="0031081F"/>
    <w:rsid w:val="003109EC"/>
    <w:rsid w:val="00311186"/>
    <w:rsid w:val="00311584"/>
    <w:rsid w:val="0031251F"/>
    <w:rsid w:val="0031299C"/>
    <w:rsid w:val="00313108"/>
    <w:rsid w:val="00313335"/>
    <w:rsid w:val="00313512"/>
    <w:rsid w:val="00313E97"/>
    <w:rsid w:val="003143E5"/>
    <w:rsid w:val="00314402"/>
    <w:rsid w:val="00314A7D"/>
    <w:rsid w:val="00314AEF"/>
    <w:rsid w:val="00314C30"/>
    <w:rsid w:val="003151D3"/>
    <w:rsid w:val="003155AE"/>
    <w:rsid w:val="0031575A"/>
    <w:rsid w:val="00315CA7"/>
    <w:rsid w:val="003163A5"/>
    <w:rsid w:val="003165F3"/>
    <w:rsid w:val="00316642"/>
    <w:rsid w:val="0031665F"/>
    <w:rsid w:val="003168D1"/>
    <w:rsid w:val="003169A0"/>
    <w:rsid w:val="00316DE6"/>
    <w:rsid w:val="003171E1"/>
    <w:rsid w:val="003172FA"/>
    <w:rsid w:val="003173DB"/>
    <w:rsid w:val="00317405"/>
    <w:rsid w:val="00317531"/>
    <w:rsid w:val="003177D9"/>
    <w:rsid w:val="0031787E"/>
    <w:rsid w:val="00317A45"/>
    <w:rsid w:val="00317E58"/>
    <w:rsid w:val="003203A6"/>
    <w:rsid w:val="00322617"/>
    <w:rsid w:val="00322F70"/>
    <w:rsid w:val="0032352F"/>
    <w:rsid w:val="00324069"/>
    <w:rsid w:val="00324450"/>
    <w:rsid w:val="00324B94"/>
    <w:rsid w:val="00324E5B"/>
    <w:rsid w:val="00324F1E"/>
    <w:rsid w:val="00325150"/>
    <w:rsid w:val="00325278"/>
    <w:rsid w:val="003258A4"/>
    <w:rsid w:val="003259E1"/>
    <w:rsid w:val="00326DAB"/>
    <w:rsid w:val="00327191"/>
    <w:rsid w:val="00327B54"/>
    <w:rsid w:val="003308DE"/>
    <w:rsid w:val="00330E8D"/>
    <w:rsid w:val="00330F6A"/>
    <w:rsid w:val="00331260"/>
    <w:rsid w:val="00331AD9"/>
    <w:rsid w:val="003320D6"/>
    <w:rsid w:val="00332202"/>
    <w:rsid w:val="003325B7"/>
    <w:rsid w:val="00332628"/>
    <w:rsid w:val="00332982"/>
    <w:rsid w:val="00332FDF"/>
    <w:rsid w:val="0033376D"/>
    <w:rsid w:val="00333CC4"/>
    <w:rsid w:val="0033415D"/>
    <w:rsid w:val="003346E2"/>
    <w:rsid w:val="00334F6E"/>
    <w:rsid w:val="00335D7E"/>
    <w:rsid w:val="00335ED4"/>
    <w:rsid w:val="00336162"/>
    <w:rsid w:val="003366F5"/>
    <w:rsid w:val="0033685F"/>
    <w:rsid w:val="003369CE"/>
    <w:rsid w:val="00336CD2"/>
    <w:rsid w:val="00336F96"/>
    <w:rsid w:val="00337247"/>
    <w:rsid w:val="00337616"/>
    <w:rsid w:val="00337D6E"/>
    <w:rsid w:val="0034013B"/>
    <w:rsid w:val="00340397"/>
    <w:rsid w:val="00340697"/>
    <w:rsid w:val="00340E7E"/>
    <w:rsid w:val="00340FED"/>
    <w:rsid w:val="00341173"/>
    <w:rsid w:val="00341629"/>
    <w:rsid w:val="00341D81"/>
    <w:rsid w:val="00341F21"/>
    <w:rsid w:val="00342174"/>
    <w:rsid w:val="003424AB"/>
    <w:rsid w:val="00342687"/>
    <w:rsid w:val="0034277C"/>
    <w:rsid w:val="003428A9"/>
    <w:rsid w:val="00342C86"/>
    <w:rsid w:val="00343028"/>
    <w:rsid w:val="0034358D"/>
    <w:rsid w:val="00343D2B"/>
    <w:rsid w:val="00343E17"/>
    <w:rsid w:val="00343FDE"/>
    <w:rsid w:val="003442D5"/>
    <w:rsid w:val="0034468A"/>
    <w:rsid w:val="00344734"/>
    <w:rsid w:val="00344EB5"/>
    <w:rsid w:val="003458E5"/>
    <w:rsid w:val="00345E41"/>
    <w:rsid w:val="00345E67"/>
    <w:rsid w:val="00346963"/>
    <w:rsid w:val="00347193"/>
    <w:rsid w:val="00347403"/>
    <w:rsid w:val="0034756B"/>
    <w:rsid w:val="0034767E"/>
    <w:rsid w:val="00347B87"/>
    <w:rsid w:val="00347C54"/>
    <w:rsid w:val="00347DCD"/>
    <w:rsid w:val="00350063"/>
    <w:rsid w:val="003501F2"/>
    <w:rsid w:val="00350322"/>
    <w:rsid w:val="003505CD"/>
    <w:rsid w:val="0035076D"/>
    <w:rsid w:val="00350798"/>
    <w:rsid w:val="00350983"/>
    <w:rsid w:val="00350DAF"/>
    <w:rsid w:val="0035109E"/>
    <w:rsid w:val="0035156A"/>
    <w:rsid w:val="00351826"/>
    <w:rsid w:val="00351A1B"/>
    <w:rsid w:val="00352061"/>
    <w:rsid w:val="0035248B"/>
    <w:rsid w:val="00352609"/>
    <w:rsid w:val="003530CB"/>
    <w:rsid w:val="003532C3"/>
    <w:rsid w:val="00353911"/>
    <w:rsid w:val="00353CD5"/>
    <w:rsid w:val="00353DD6"/>
    <w:rsid w:val="00353E4E"/>
    <w:rsid w:val="00354631"/>
    <w:rsid w:val="0035485A"/>
    <w:rsid w:val="003549E8"/>
    <w:rsid w:val="003549FC"/>
    <w:rsid w:val="00354A62"/>
    <w:rsid w:val="00354CD0"/>
    <w:rsid w:val="00354D8D"/>
    <w:rsid w:val="003550F3"/>
    <w:rsid w:val="003551D4"/>
    <w:rsid w:val="0035551D"/>
    <w:rsid w:val="00355AF4"/>
    <w:rsid w:val="00355CD9"/>
    <w:rsid w:val="003562A1"/>
    <w:rsid w:val="003564B4"/>
    <w:rsid w:val="00356767"/>
    <w:rsid w:val="003567CF"/>
    <w:rsid w:val="00356BA5"/>
    <w:rsid w:val="00357559"/>
    <w:rsid w:val="0035794C"/>
    <w:rsid w:val="00357ABF"/>
    <w:rsid w:val="00357D51"/>
    <w:rsid w:val="00357ED7"/>
    <w:rsid w:val="0036005A"/>
    <w:rsid w:val="0036087E"/>
    <w:rsid w:val="00360B08"/>
    <w:rsid w:val="00360B4F"/>
    <w:rsid w:val="00360B51"/>
    <w:rsid w:val="00360B9D"/>
    <w:rsid w:val="00360BA2"/>
    <w:rsid w:val="00360BE1"/>
    <w:rsid w:val="00361239"/>
    <w:rsid w:val="00361A18"/>
    <w:rsid w:val="00361BB2"/>
    <w:rsid w:val="0036243D"/>
    <w:rsid w:val="003628F0"/>
    <w:rsid w:val="003629BA"/>
    <w:rsid w:val="00362C1F"/>
    <w:rsid w:val="00362C28"/>
    <w:rsid w:val="003630B0"/>
    <w:rsid w:val="00363666"/>
    <w:rsid w:val="0036369F"/>
    <w:rsid w:val="0036378D"/>
    <w:rsid w:val="00363DFD"/>
    <w:rsid w:val="00364167"/>
    <w:rsid w:val="00364C01"/>
    <w:rsid w:val="00365490"/>
    <w:rsid w:val="00365734"/>
    <w:rsid w:val="003657D9"/>
    <w:rsid w:val="00365828"/>
    <w:rsid w:val="003659F2"/>
    <w:rsid w:val="003662C3"/>
    <w:rsid w:val="00366B35"/>
    <w:rsid w:val="00366D04"/>
    <w:rsid w:val="003672DF"/>
    <w:rsid w:val="00367E0C"/>
    <w:rsid w:val="00367E39"/>
    <w:rsid w:val="003710DF"/>
    <w:rsid w:val="00371192"/>
    <w:rsid w:val="0037125D"/>
    <w:rsid w:val="003719BC"/>
    <w:rsid w:val="003728A5"/>
    <w:rsid w:val="00372E22"/>
    <w:rsid w:val="00372F50"/>
    <w:rsid w:val="00373B75"/>
    <w:rsid w:val="00374304"/>
    <w:rsid w:val="00374360"/>
    <w:rsid w:val="00374454"/>
    <w:rsid w:val="0037449C"/>
    <w:rsid w:val="003745B5"/>
    <w:rsid w:val="003747D0"/>
    <w:rsid w:val="003753DD"/>
    <w:rsid w:val="00375529"/>
    <w:rsid w:val="0037569D"/>
    <w:rsid w:val="0037597F"/>
    <w:rsid w:val="00375E2B"/>
    <w:rsid w:val="003764AC"/>
    <w:rsid w:val="00376783"/>
    <w:rsid w:val="00376F1D"/>
    <w:rsid w:val="00376FE0"/>
    <w:rsid w:val="00377275"/>
    <w:rsid w:val="00377AC2"/>
    <w:rsid w:val="00380127"/>
    <w:rsid w:val="003801B7"/>
    <w:rsid w:val="00380413"/>
    <w:rsid w:val="00380B9A"/>
    <w:rsid w:val="00380E07"/>
    <w:rsid w:val="00381A8A"/>
    <w:rsid w:val="00381B29"/>
    <w:rsid w:val="00381DA4"/>
    <w:rsid w:val="003821F4"/>
    <w:rsid w:val="0038225C"/>
    <w:rsid w:val="003822BC"/>
    <w:rsid w:val="00382344"/>
    <w:rsid w:val="00382428"/>
    <w:rsid w:val="003824AC"/>
    <w:rsid w:val="00382D66"/>
    <w:rsid w:val="00382FDE"/>
    <w:rsid w:val="003831E2"/>
    <w:rsid w:val="0038359D"/>
    <w:rsid w:val="003835CD"/>
    <w:rsid w:val="0038436F"/>
    <w:rsid w:val="003844CD"/>
    <w:rsid w:val="00384644"/>
    <w:rsid w:val="00384890"/>
    <w:rsid w:val="0038490C"/>
    <w:rsid w:val="00384A0B"/>
    <w:rsid w:val="00384B8C"/>
    <w:rsid w:val="00384CE1"/>
    <w:rsid w:val="00384D13"/>
    <w:rsid w:val="003854DD"/>
    <w:rsid w:val="00385B25"/>
    <w:rsid w:val="00385B4D"/>
    <w:rsid w:val="00386176"/>
    <w:rsid w:val="00386B7B"/>
    <w:rsid w:val="00386DA1"/>
    <w:rsid w:val="00387436"/>
    <w:rsid w:val="00387A18"/>
    <w:rsid w:val="00390447"/>
    <w:rsid w:val="0039070D"/>
    <w:rsid w:val="0039082A"/>
    <w:rsid w:val="00390B63"/>
    <w:rsid w:val="00390DC4"/>
    <w:rsid w:val="00391070"/>
    <w:rsid w:val="003912FE"/>
    <w:rsid w:val="00391318"/>
    <w:rsid w:val="0039137B"/>
    <w:rsid w:val="003913DB"/>
    <w:rsid w:val="00391400"/>
    <w:rsid w:val="00391996"/>
    <w:rsid w:val="00391AB6"/>
    <w:rsid w:val="00391EC3"/>
    <w:rsid w:val="00391F52"/>
    <w:rsid w:val="00392425"/>
    <w:rsid w:val="00392986"/>
    <w:rsid w:val="00392A9C"/>
    <w:rsid w:val="00392C30"/>
    <w:rsid w:val="003934B2"/>
    <w:rsid w:val="00393B65"/>
    <w:rsid w:val="00393DDF"/>
    <w:rsid w:val="00393E80"/>
    <w:rsid w:val="0039535A"/>
    <w:rsid w:val="00395802"/>
    <w:rsid w:val="003959F7"/>
    <w:rsid w:val="00395E57"/>
    <w:rsid w:val="00395F4A"/>
    <w:rsid w:val="003965F4"/>
    <w:rsid w:val="00396C47"/>
    <w:rsid w:val="00396DD2"/>
    <w:rsid w:val="00397427"/>
    <w:rsid w:val="0039756A"/>
    <w:rsid w:val="00397A1F"/>
    <w:rsid w:val="003A023B"/>
    <w:rsid w:val="003A02FB"/>
    <w:rsid w:val="003A072A"/>
    <w:rsid w:val="003A0D86"/>
    <w:rsid w:val="003A147D"/>
    <w:rsid w:val="003A1644"/>
    <w:rsid w:val="003A1768"/>
    <w:rsid w:val="003A1AA2"/>
    <w:rsid w:val="003A1ADB"/>
    <w:rsid w:val="003A1BD0"/>
    <w:rsid w:val="003A1BED"/>
    <w:rsid w:val="003A1F44"/>
    <w:rsid w:val="003A21AC"/>
    <w:rsid w:val="003A22F3"/>
    <w:rsid w:val="003A24E2"/>
    <w:rsid w:val="003A257D"/>
    <w:rsid w:val="003A2B59"/>
    <w:rsid w:val="003A31FC"/>
    <w:rsid w:val="003A35A2"/>
    <w:rsid w:val="003A3647"/>
    <w:rsid w:val="003A37FA"/>
    <w:rsid w:val="003A3BDD"/>
    <w:rsid w:val="003A3D6B"/>
    <w:rsid w:val="003A3DA2"/>
    <w:rsid w:val="003A3FCD"/>
    <w:rsid w:val="003A4285"/>
    <w:rsid w:val="003A4631"/>
    <w:rsid w:val="003A49A4"/>
    <w:rsid w:val="003A4F42"/>
    <w:rsid w:val="003A5356"/>
    <w:rsid w:val="003A57D2"/>
    <w:rsid w:val="003A5B73"/>
    <w:rsid w:val="003A5DA1"/>
    <w:rsid w:val="003A5F27"/>
    <w:rsid w:val="003A62B3"/>
    <w:rsid w:val="003A62FD"/>
    <w:rsid w:val="003A635C"/>
    <w:rsid w:val="003A6F8F"/>
    <w:rsid w:val="003A725C"/>
    <w:rsid w:val="003A7550"/>
    <w:rsid w:val="003A78AF"/>
    <w:rsid w:val="003B0246"/>
    <w:rsid w:val="003B1309"/>
    <w:rsid w:val="003B1368"/>
    <w:rsid w:val="003B159A"/>
    <w:rsid w:val="003B1E13"/>
    <w:rsid w:val="003B2546"/>
    <w:rsid w:val="003B25A2"/>
    <w:rsid w:val="003B25D9"/>
    <w:rsid w:val="003B2C5E"/>
    <w:rsid w:val="003B2F19"/>
    <w:rsid w:val="003B36E5"/>
    <w:rsid w:val="003B3742"/>
    <w:rsid w:val="003B3CE5"/>
    <w:rsid w:val="003B4246"/>
    <w:rsid w:val="003B442B"/>
    <w:rsid w:val="003B469D"/>
    <w:rsid w:val="003B479C"/>
    <w:rsid w:val="003B498F"/>
    <w:rsid w:val="003B4B23"/>
    <w:rsid w:val="003B4D5C"/>
    <w:rsid w:val="003B4EA7"/>
    <w:rsid w:val="003B4FCF"/>
    <w:rsid w:val="003B519B"/>
    <w:rsid w:val="003B548A"/>
    <w:rsid w:val="003B560B"/>
    <w:rsid w:val="003B583C"/>
    <w:rsid w:val="003B59F9"/>
    <w:rsid w:val="003B5BE7"/>
    <w:rsid w:val="003B5E09"/>
    <w:rsid w:val="003B69E9"/>
    <w:rsid w:val="003B6AC6"/>
    <w:rsid w:val="003B6D42"/>
    <w:rsid w:val="003B728B"/>
    <w:rsid w:val="003B7360"/>
    <w:rsid w:val="003B7793"/>
    <w:rsid w:val="003B7993"/>
    <w:rsid w:val="003B7C20"/>
    <w:rsid w:val="003B7D88"/>
    <w:rsid w:val="003C0714"/>
    <w:rsid w:val="003C0AB6"/>
    <w:rsid w:val="003C120E"/>
    <w:rsid w:val="003C1748"/>
    <w:rsid w:val="003C17A4"/>
    <w:rsid w:val="003C17B7"/>
    <w:rsid w:val="003C17D7"/>
    <w:rsid w:val="003C1C01"/>
    <w:rsid w:val="003C22ED"/>
    <w:rsid w:val="003C2300"/>
    <w:rsid w:val="003C2A42"/>
    <w:rsid w:val="003C2CBC"/>
    <w:rsid w:val="003C34BD"/>
    <w:rsid w:val="003C3E0A"/>
    <w:rsid w:val="003C3FF8"/>
    <w:rsid w:val="003C40CC"/>
    <w:rsid w:val="003C4574"/>
    <w:rsid w:val="003C4611"/>
    <w:rsid w:val="003C561B"/>
    <w:rsid w:val="003C56BE"/>
    <w:rsid w:val="003C5A5C"/>
    <w:rsid w:val="003C5CFB"/>
    <w:rsid w:val="003C7A7C"/>
    <w:rsid w:val="003C7B94"/>
    <w:rsid w:val="003D04DA"/>
    <w:rsid w:val="003D070A"/>
    <w:rsid w:val="003D0773"/>
    <w:rsid w:val="003D10FD"/>
    <w:rsid w:val="003D1111"/>
    <w:rsid w:val="003D131C"/>
    <w:rsid w:val="003D14AC"/>
    <w:rsid w:val="003D16BE"/>
    <w:rsid w:val="003D1F83"/>
    <w:rsid w:val="003D2FB9"/>
    <w:rsid w:val="003D3006"/>
    <w:rsid w:val="003D3DFF"/>
    <w:rsid w:val="003D3F25"/>
    <w:rsid w:val="003D41B3"/>
    <w:rsid w:val="003D4383"/>
    <w:rsid w:val="003D44A0"/>
    <w:rsid w:val="003D4AD5"/>
    <w:rsid w:val="003D4D04"/>
    <w:rsid w:val="003D5087"/>
    <w:rsid w:val="003D5233"/>
    <w:rsid w:val="003D5873"/>
    <w:rsid w:val="003D6AE2"/>
    <w:rsid w:val="003D72F9"/>
    <w:rsid w:val="003D7589"/>
    <w:rsid w:val="003D7B71"/>
    <w:rsid w:val="003D7CBF"/>
    <w:rsid w:val="003E007B"/>
    <w:rsid w:val="003E0199"/>
    <w:rsid w:val="003E03E2"/>
    <w:rsid w:val="003E0770"/>
    <w:rsid w:val="003E0891"/>
    <w:rsid w:val="003E096C"/>
    <w:rsid w:val="003E0A28"/>
    <w:rsid w:val="003E10EF"/>
    <w:rsid w:val="003E121E"/>
    <w:rsid w:val="003E1703"/>
    <w:rsid w:val="003E1A9B"/>
    <w:rsid w:val="003E1ED9"/>
    <w:rsid w:val="003E1F00"/>
    <w:rsid w:val="003E265A"/>
    <w:rsid w:val="003E476D"/>
    <w:rsid w:val="003E5128"/>
    <w:rsid w:val="003E577A"/>
    <w:rsid w:val="003E5D56"/>
    <w:rsid w:val="003E5DC2"/>
    <w:rsid w:val="003E6158"/>
    <w:rsid w:val="003E617A"/>
    <w:rsid w:val="003E6BD4"/>
    <w:rsid w:val="003E6DED"/>
    <w:rsid w:val="003E712C"/>
    <w:rsid w:val="003E7212"/>
    <w:rsid w:val="003E744F"/>
    <w:rsid w:val="003F010A"/>
    <w:rsid w:val="003F019F"/>
    <w:rsid w:val="003F0A4E"/>
    <w:rsid w:val="003F15AF"/>
    <w:rsid w:val="003F1CB2"/>
    <w:rsid w:val="003F1DA6"/>
    <w:rsid w:val="003F1E5A"/>
    <w:rsid w:val="003F27BD"/>
    <w:rsid w:val="003F3089"/>
    <w:rsid w:val="003F319F"/>
    <w:rsid w:val="003F3659"/>
    <w:rsid w:val="003F36FF"/>
    <w:rsid w:val="003F3917"/>
    <w:rsid w:val="003F3B99"/>
    <w:rsid w:val="003F3BD0"/>
    <w:rsid w:val="003F3F26"/>
    <w:rsid w:val="003F4280"/>
    <w:rsid w:val="003F499E"/>
    <w:rsid w:val="003F4AC1"/>
    <w:rsid w:val="003F4BC5"/>
    <w:rsid w:val="003F52C9"/>
    <w:rsid w:val="003F57C0"/>
    <w:rsid w:val="003F5B7A"/>
    <w:rsid w:val="003F5C9F"/>
    <w:rsid w:val="003F5CA7"/>
    <w:rsid w:val="003F5EE8"/>
    <w:rsid w:val="003F653C"/>
    <w:rsid w:val="003F668F"/>
    <w:rsid w:val="003F69D3"/>
    <w:rsid w:val="003F6BD1"/>
    <w:rsid w:val="003F6ED6"/>
    <w:rsid w:val="003F6F04"/>
    <w:rsid w:val="003F6F21"/>
    <w:rsid w:val="003F70B4"/>
    <w:rsid w:val="003F71E6"/>
    <w:rsid w:val="003F7460"/>
    <w:rsid w:val="003F7BB6"/>
    <w:rsid w:val="004000F4"/>
    <w:rsid w:val="004004E1"/>
    <w:rsid w:val="00400855"/>
    <w:rsid w:val="004009F8"/>
    <w:rsid w:val="00401A10"/>
    <w:rsid w:val="00402013"/>
    <w:rsid w:val="0040256B"/>
    <w:rsid w:val="00402A73"/>
    <w:rsid w:val="00402CDA"/>
    <w:rsid w:val="00402FAE"/>
    <w:rsid w:val="00403169"/>
    <w:rsid w:val="00403191"/>
    <w:rsid w:val="00403298"/>
    <w:rsid w:val="004034F7"/>
    <w:rsid w:val="00403727"/>
    <w:rsid w:val="0040377D"/>
    <w:rsid w:val="004039E6"/>
    <w:rsid w:val="00403E56"/>
    <w:rsid w:val="00404303"/>
    <w:rsid w:val="00404ABD"/>
    <w:rsid w:val="004050F9"/>
    <w:rsid w:val="00405745"/>
    <w:rsid w:val="0040586B"/>
    <w:rsid w:val="004059A2"/>
    <w:rsid w:val="00406EC9"/>
    <w:rsid w:val="00406F1D"/>
    <w:rsid w:val="004072B9"/>
    <w:rsid w:val="004073C4"/>
    <w:rsid w:val="00407587"/>
    <w:rsid w:val="00407765"/>
    <w:rsid w:val="00407A91"/>
    <w:rsid w:val="00407CED"/>
    <w:rsid w:val="0041056B"/>
    <w:rsid w:val="004107E0"/>
    <w:rsid w:val="00410808"/>
    <w:rsid w:val="00410B3B"/>
    <w:rsid w:val="004111A0"/>
    <w:rsid w:val="004114B8"/>
    <w:rsid w:val="0041190E"/>
    <w:rsid w:val="00412180"/>
    <w:rsid w:val="00412731"/>
    <w:rsid w:val="00412A2F"/>
    <w:rsid w:val="00412B23"/>
    <w:rsid w:val="0041353C"/>
    <w:rsid w:val="00415717"/>
    <w:rsid w:val="00415FF1"/>
    <w:rsid w:val="004162B6"/>
    <w:rsid w:val="004163D2"/>
    <w:rsid w:val="00416683"/>
    <w:rsid w:val="00416A28"/>
    <w:rsid w:val="00416BD6"/>
    <w:rsid w:val="00416D1F"/>
    <w:rsid w:val="004174C6"/>
    <w:rsid w:val="00417672"/>
    <w:rsid w:val="0041771C"/>
    <w:rsid w:val="00417780"/>
    <w:rsid w:val="0042008B"/>
    <w:rsid w:val="00420277"/>
    <w:rsid w:val="004209DC"/>
    <w:rsid w:val="00420A58"/>
    <w:rsid w:val="00420AEB"/>
    <w:rsid w:val="00421106"/>
    <w:rsid w:val="0042127D"/>
    <w:rsid w:val="00421374"/>
    <w:rsid w:val="00421825"/>
    <w:rsid w:val="00421935"/>
    <w:rsid w:val="00421A40"/>
    <w:rsid w:val="00421B99"/>
    <w:rsid w:val="00421D22"/>
    <w:rsid w:val="00421E27"/>
    <w:rsid w:val="00423029"/>
    <w:rsid w:val="00423203"/>
    <w:rsid w:val="00423284"/>
    <w:rsid w:val="0042368C"/>
    <w:rsid w:val="0042379C"/>
    <w:rsid w:val="004237F3"/>
    <w:rsid w:val="00423966"/>
    <w:rsid w:val="00424587"/>
    <w:rsid w:val="004251D1"/>
    <w:rsid w:val="004253B5"/>
    <w:rsid w:val="00425815"/>
    <w:rsid w:val="00425D85"/>
    <w:rsid w:val="00425D86"/>
    <w:rsid w:val="00425E1C"/>
    <w:rsid w:val="00425EF9"/>
    <w:rsid w:val="00426A4A"/>
    <w:rsid w:val="0042710F"/>
    <w:rsid w:val="004271CA"/>
    <w:rsid w:val="00427312"/>
    <w:rsid w:val="0042754A"/>
    <w:rsid w:val="00427A23"/>
    <w:rsid w:val="00427DEA"/>
    <w:rsid w:val="00427FDB"/>
    <w:rsid w:val="004300B7"/>
    <w:rsid w:val="004306AD"/>
    <w:rsid w:val="00430E70"/>
    <w:rsid w:val="004313A2"/>
    <w:rsid w:val="00431D09"/>
    <w:rsid w:val="00431D2A"/>
    <w:rsid w:val="00432442"/>
    <w:rsid w:val="00432474"/>
    <w:rsid w:val="00432AA3"/>
    <w:rsid w:val="00432C6D"/>
    <w:rsid w:val="00433105"/>
    <w:rsid w:val="00433296"/>
    <w:rsid w:val="00433893"/>
    <w:rsid w:val="00433E67"/>
    <w:rsid w:val="00434351"/>
    <w:rsid w:val="004344C5"/>
    <w:rsid w:val="00434981"/>
    <w:rsid w:val="00434C7F"/>
    <w:rsid w:val="00434F7F"/>
    <w:rsid w:val="004354B7"/>
    <w:rsid w:val="00435A3C"/>
    <w:rsid w:val="00435E25"/>
    <w:rsid w:val="00436190"/>
    <w:rsid w:val="00436535"/>
    <w:rsid w:val="004366E1"/>
    <w:rsid w:val="0043682A"/>
    <w:rsid w:val="004368A1"/>
    <w:rsid w:val="00436A5B"/>
    <w:rsid w:val="004408F6"/>
    <w:rsid w:val="00440905"/>
    <w:rsid w:val="004411AD"/>
    <w:rsid w:val="004416F6"/>
    <w:rsid w:val="00441C7A"/>
    <w:rsid w:val="00441EA4"/>
    <w:rsid w:val="00441ECC"/>
    <w:rsid w:val="00441FEE"/>
    <w:rsid w:val="004425D2"/>
    <w:rsid w:val="00442A11"/>
    <w:rsid w:val="004434B2"/>
    <w:rsid w:val="0044357C"/>
    <w:rsid w:val="00443672"/>
    <w:rsid w:val="00443820"/>
    <w:rsid w:val="00444173"/>
    <w:rsid w:val="00444283"/>
    <w:rsid w:val="00444423"/>
    <w:rsid w:val="00444BAF"/>
    <w:rsid w:val="004456C6"/>
    <w:rsid w:val="00445B40"/>
    <w:rsid w:val="0044630B"/>
    <w:rsid w:val="004467CB"/>
    <w:rsid w:val="00446AD7"/>
    <w:rsid w:val="00446B90"/>
    <w:rsid w:val="004474DD"/>
    <w:rsid w:val="00447751"/>
    <w:rsid w:val="004478F5"/>
    <w:rsid w:val="00447BFE"/>
    <w:rsid w:val="00447DAB"/>
    <w:rsid w:val="00447F86"/>
    <w:rsid w:val="00450235"/>
    <w:rsid w:val="004502D4"/>
    <w:rsid w:val="0045060A"/>
    <w:rsid w:val="004509AC"/>
    <w:rsid w:val="00450DE2"/>
    <w:rsid w:val="00451046"/>
    <w:rsid w:val="00451A70"/>
    <w:rsid w:val="00451D43"/>
    <w:rsid w:val="00451F0D"/>
    <w:rsid w:val="004522E9"/>
    <w:rsid w:val="00452638"/>
    <w:rsid w:val="00453B46"/>
    <w:rsid w:val="00453B78"/>
    <w:rsid w:val="00455347"/>
    <w:rsid w:val="00455497"/>
    <w:rsid w:val="00455828"/>
    <w:rsid w:val="004558FF"/>
    <w:rsid w:val="00455909"/>
    <w:rsid w:val="00455D53"/>
    <w:rsid w:val="00456363"/>
    <w:rsid w:val="004567C4"/>
    <w:rsid w:val="00456A88"/>
    <w:rsid w:val="00456BFE"/>
    <w:rsid w:val="00456D88"/>
    <w:rsid w:val="00456E26"/>
    <w:rsid w:val="00456E75"/>
    <w:rsid w:val="00456F48"/>
    <w:rsid w:val="0045719D"/>
    <w:rsid w:val="00457263"/>
    <w:rsid w:val="0045736B"/>
    <w:rsid w:val="00460649"/>
    <w:rsid w:val="0046170F"/>
    <w:rsid w:val="00461E62"/>
    <w:rsid w:val="00462572"/>
    <w:rsid w:val="00463223"/>
    <w:rsid w:val="0046332A"/>
    <w:rsid w:val="004634EC"/>
    <w:rsid w:val="00463B42"/>
    <w:rsid w:val="00463BBE"/>
    <w:rsid w:val="00464972"/>
    <w:rsid w:val="00464C26"/>
    <w:rsid w:val="00465004"/>
    <w:rsid w:val="00465B90"/>
    <w:rsid w:val="00465BFC"/>
    <w:rsid w:val="00466452"/>
    <w:rsid w:val="00466496"/>
    <w:rsid w:val="00466CBB"/>
    <w:rsid w:val="00466EC7"/>
    <w:rsid w:val="00467F93"/>
    <w:rsid w:val="00470308"/>
    <w:rsid w:val="004703D5"/>
    <w:rsid w:val="0047077D"/>
    <w:rsid w:val="004707C5"/>
    <w:rsid w:val="00470866"/>
    <w:rsid w:val="00470D1E"/>
    <w:rsid w:val="00470D81"/>
    <w:rsid w:val="00470FFB"/>
    <w:rsid w:val="00471668"/>
    <w:rsid w:val="0047198F"/>
    <w:rsid w:val="00471A9D"/>
    <w:rsid w:val="00472174"/>
    <w:rsid w:val="00472635"/>
    <w:rsid w:val="0047336E"/>
    <w:rsid w:val="004736F9"/>
    <w:rsid w:val="0047388B"/>
    <w:rsid w:val="00473A62"/>
    <w:rsid w:val="00473A8F"/>
    <w:rsid w:val="00473CE0"/>
    <w:rsid w:val="00473FDB"/>
    <w:rsid w:val="00474475"/>
    <w:rsid w:val="004744E9"/>
    <w:rsid w:val="00474799"/>
    <w:rsid w:val="00474A4A"/>
    <w:rsid w:val="00474B8E"/>
    <w:rsid w:val="00474BDD"/>
    <w:rsid w:val="00474C84"/>
    <w:rsid w:val="00475B13"/>
    <w:rsid w:val="00475B22"/>
    <w:rsid w:val="00475DAA"/>
    <w:rsid w:val="00475DB1"/>
    <w:rsid w:val="00476011"/>
    <w:rsid w:val="00476206"/>
    <w:rsid w:val="0047661F"/>
    <w:rsid w:val="004768CB"/>
    <w:rsid w:val="00476A52"/>
    <w:rsid w:val="00476EEC"/>
    <w:rsid w:val="004771F2"/>
    <w:rsid w:val="00477713"/>
    <w:rsid w:val="00477A89"/>
    <w:rsid w:val="00477F3A"/>
    <w:rsid w:val="004803C9"/>
    <w:rsid w:val="00480669"/>
    <w:rsid w:val="004807F3"/>
    <w:rsid w:val="00481BAF"/>
    <w:rsid w:val="00481D22"/>
    <w:rsid w:val="00481D98"/>
    <w:rsid w:val="00482197"/>
    <w:rsid w:val="00482427"/>
    <w:rsid w:val="00482DCC"/>
    <w:rsid w:val="004830CC"/>
    <w:rsid w:val="004837A3"/>
    <w:rsid w:val="00483D49"/>
    <w:rsid w:val="004842BB"/>
    <w:rsid w:val="0048450A"/>
    <w:rsid w:val="00484537"/>
    <w:rsid w:val="0048461C"/>
    <w:rsid w:val="0048568F"/>
    <w:rsid w:val="004858CA"/>
    <w:rsid w:val="00485AAA"/>
    <w:rsid w:val="00485BE2"/>
    <w:rsid w:val="004862A7"/>
    <w:rsid w:val="00486C58"/>
    <w:rsid w:val="00486E67"/>
    <w:rsid w:val="00487176"/>
    <w:rsid w:val="004873E7"/>
    <w:rsid w:val="0048751B"/>
    <w:rsid w:val="004903FC"/>
    <w:rsid w:val="0049097E"/>
    <w:rsid w:val="00490A98"/>
    <w:rsid w:val="00490C49"/>
    <w:rsid w:val="0049195C"/>
    <w:rsid w:val="00492048"/>
    <w:rsid w:val="00492564"/>
    <w:rsid w:val="004927F1"/>
    <w:rsid w:val="00492B7C"/>
    <w:rsid w:val="00492CD9"/>
    <w:rsid w:val="00492D56"/>
    <w:rsid w:val="00492FAF"/>
    <w:rsid w:val="00493B51"/>
    <w:rsid w:val="00493DF0"/>
    <w:rsid w:val="00493E3E"/>
    <w:rsid w:val="00493FA2"/>
    <w:rsid w:val="004942A7"/>
    <w:rsid w:val="00494A15"/>
    <w:rsid w:val="00494B86"/>
    <w:rsid w:val="0049506A"/>
    <w:rsid w:val="00495255"/>
    <w:rsid w:val="00495B08"/>
    <w:rsid w:val="004960D6"/>
    <w:rsid w:val="00496115"/>
    <w:rsid w:val="0049682D"/>
    <w:rsid w:val="00496A5E"/>
    <w:rsid w:val="00496CD7"/>
    <w:rsid w:val="00497171"/>
    <w:rsid w:val="00497524"/>
    <w:rsid w:val="00497781"/>
    <w:rsid w:val="004977F3"/>
    <w:rsid w:val="004A0102"/>
    <w:rsid w:val="004A092B"/>
    <w:rsid w:val="004A0F4A"/>
    <w:rsid w:val="004A13C3"/>
    <w:rsid w:val="004A1D37"/>
    <w:rsid w:val="004A1F5B"/>
    <w:rsid w:val="004A242E"/>
    <w:rsid w:val="004A2B62"/>
    <w:rsid w:val="004A2D3F"/>
    <w:rsid w:val="004A32B9"/>
    <w:rsid w:val="004A32F4"/>
    <w:rsid w:val="004A33D2"/>
    <w:rsid w:val="004A3413"/>
    <w:rsid w:val="004A355B"/>
    <w:rsid w:val="004A4B5D"/>
    <w:rsid w:val="004A4EFD"/>
    <w:rsid w:val="004A576C"/>
    <w:rsid w:val="004A5FE0"/>
    <w:rsid w:val="004A6029"/>
    <w:rsid w:val="004A650A"/>
    <w:rsid w:val="004A65D5"/>
    <w:rsid w:val="004A6BF6"/>
    <w:rsid w:val="004A7247"/>
    <w:rsid w:val="004A7795"/>
    <w:rsid w:val="004A7D86"/>
    <w:rsid w:val="004A7F5F"/>
    <w:rsid w:val="004B035C"/>
    <w:rsid w:val="004B0612"/>
    <w:rsid w:val="004B0657"/>
    <w:rsid w:val="004B07C5"/>
    <w:rsid w:val="004B09A1"/>
    <w:rsid w:val="004B11A9"/>
    <w:rsid w:val="004B11F5"/>
    <w:rsid w:val="004B1495"/>
    <w:rsid w:val="004B15BE"/>
    <w:rsid w:val="004B192E"/>
    <w:rsid w:val="004B1BF7"/>
    <w:rsid w:val="004B1CFA"/>
    <w:rsid w:val="004B1F5D"/>
    <w:rsid w:val="004B25E9"/>
    <w:rsid w:val="004B26AD"/>
    <w:rsid w:val="004B27EF"/>
    <w:rsid w:val="004B32D5"/>
    <w:rsid w:val="004B3ABE"/>
    <w:rsid w:val="004B3F00"/>
    <w:rsid w:val="004B449D"/>
    <w:rsid w:val="004B4C73"/>
    <w:rsid w:val="004B513E"/>
    <w:rsid w:val="004B541C"/>
    <w:rsid w:val="004B5598"/>
    <w:rsid w:val="004B6B80"/>
    <w:rsid w:val="004B7137"/>
    <w:rsid w:val="004B72F8"/>
    <w:rsid w:val="004B7BB8"/>
    <w:rsid w:val="004B7E68"/>
    <w:rsid w:val="004C1E57"/>
    <w:rsid w:val="004C2E49"/>
    <w:rsid w:val="004C35FF"/>
    <w:rsid w:val="004C3D68"/>
    <w:rsid w:val="004C3D6C"/>
    <w:rsid w:val="004C40EE"/>
    <w:rsid w:val="004C4535"/>
    <w:rsid w:val="004C486D"/>
    <w:rsid w:val="004C5045"/>
    <w:rsid w:val="004C52E7"/>
    <w:rsid w:val="004C6927"/>
    <w:rsid w:val="004C6EC7"/>
    <w:rsid w:val="004C721A"/>
    <w:rsid w:val="004C774E"/>
    <w:rsid w:val="004C77F7"/>
    <w:rsid w:val="004C7A98"/>
    <w:rsid w:val="004C7DE5"/>
    <w:rsid w:val="004D023B"/>
    <w:rsid w:val="004D0C94"/>
    <w:rsid w:val="004D1A61"/>
    <w:rsid w:val="004D1F4B"/>
    <w:rsid w:val="004D22BD"/>
    <w:rsid w:val="004D2571"/>
    <w:rsid w:val="004D29BD"/>
    <w:rsid w:val="004D2BB4"/>
    <w:rsid w:val="004D2C8C"/>
    <w:rsid w:val="004D2F8C"/>
    <w:rsid w:val="004D3020"/>
    <w:rsid w:val="004D336E"/>
    <w:rsid w:val="004D33CA"/>
    <w:rsid w:val="004D3430"/>
    <w:rsid w:val="004D3569"/>
    <w:rsid w:val="004D366F"/>
    <w:rsid w:val="004D3996"/>
    <w:rsid w:val="004D44B5"/>
    <w:rsid w:val="004D46B1"/>
    <w:rsid w:val="004D4E2F"/>
    <w:rsid w:val="004D525E"/>
    <w:rsid w:val="004D5873"/>
    <w:rsid w:val="004D59BF"/>
    <w:rsid w:val="004D5C31"/>
    <w:rsid w:val="004D5DF3"/>
    <w:rsid w:val="004D6566"/>
    <w:rsid w:val="004D658F"/>
    <w:rsid w:val="004D65C8"/>
    <w:rsid w:val="004D7066"/>
    <w:rsid w:val="004D72B2"/>
    <w:rsid w:val="004D7453"/>
    <w:rsid w:val="004D757E"/>
    <w:rsid w:val="004D7ACE"/>
    <w:rsid w:val="004D7AF3"/>
    <w:rsid w:val="004D7D4C"/>
    <w:rsid w:val="004E020D"/>
    <w:rsid w:val="004E06BD"/>
    <w:rsid w:val="004E06C0"/>
    <w:rsid w:val="004E07D0"/>
    <w:rsid w:val="004E0A46"/>
    <w:rsid w:val="004E0D45"/>
    <w:rsid w:val="004E1277"/>
    <w:rsid w:val="004E17B3"/>
    <w:rsid w:val="004E1881"/>
    <w:rsid w:val="004E1C93"/>
    <w:rsid w:val="004E1D5F"/>
    <w:rsid w:val="004E1ED0"/>
    <w:rsid w:val="004E1FA3"/>
    <w:rsid w:val="004E250E"/>
    <w:rsid w:val="004E26A1"/>
    <w:rsid w:val="004E2960"/>
    <w:rsid w:val="004E2FAD"/>
    <w:rsid w:val="004E30E7"/>
    <w:rsid w:val="004E3425"/>
    <w:rsid w:val="004E3C68"/>
    <w:rsid w:val="004E3E7C"/>
    <w:rsid w:val="004E44CA"/>
    <w:rsid w:val="004E4DDC"/>
    <w:rsid w:val="004E4EEB"/>
    <w:rsid w:val="004E523F"/>
    <w:rsid w:val="004E58FC"/>
    <w:rsid w:val="004E5A84"/>
    <w:rsid w:val="004E5B03"/>
    <w:rsid w:val="004E5C89"/>
    <w:rsid w:val="004E63AA"/>
    <w:rsid w:val="004E65AB"/>
    <w:rsid w:val="004E6C0D"/>
    <w:rsid w:val="004E7520"/>
    <w:rsid w:val="004E7559"/>
    <w:rsid w:val="004E7D9A"/>
    <w:rsid w:val="004E7E9D"/>
    <w:rsid w:val="004E7F5B"/>
    <w:rsid w:val="004E7FF7"/>
    <w:rsid w:val="004F0432"/>
    <w:rsid w:val="004F07B2"/>
    <w:rsid w:val="004F12F1"/>
    <w:rsid w:val="004F1A79"/>
    <w:rsid w:val="004F1AF8"/>
    <w:rsid w:val="004F1D00"/>
    <w:rsid w:val="004F20FD"/>
    <w:rsid w:val="004F210E"/>
    <w:rsid w:val="004F2325"/>
    <w:rsid w:val="004F2B72"/>
    <w:rsid w:val="004F35B1"/>
    <w:rsid w:val="004F376D"/>
    <w:rsid w:val="004F3824"/>
    <w:rsid w:val="004F4089"/>
    <w:rsid w:val="004F409D"/>
    <w:rsid w:val="004F46F3"/>
    <w:rsid w:val="004F4C1C"/>
    <w:rsid w:val="004F4C3C"/>
    <w:rsid w:val="004F4EBA"/>
    <w:rsid w:val="004F502E"/>
    <w:rsid w:val="004F510E"/>
    <w:rsid w:val="004F53B7"/>
    <w:rsid w:val="004F5495"/>
    <w:rsid w:val="004F5F66"/>
    <w:rsid w:val="004F6284"/>
    <w:rsid w:val="004F6458"/>
    <w:rsid w:val="004F6B0C"/>
    <w:rsid w:val="004F7207"/>
    <w:rsid w:val="004F78DD"/>
    <w:rsid w:val="005000EF"/>
    <w:rsid w:val="00500231"/>
    <w:rsid w:val="00500953"/>
    <w:rsid w:val="00500ABE"/>
    <w:rsid w:val="00501DCC"/>
    <w:rsid w:val="00503023"/>
    <w:rsid w:val="005030B1"/>
    <w:rsid w:val="00503165"/>
    <w:rsid w:val="00503964"/>
    <w:rsid w:val="00503A5F"/>
    <w:rsid w:val="00503D04"/>
    <w:rsid w:val="00503E8E"/>
    <w:rsid w:val="005049D1"/>
    <w:rsid w:val="005051AA"/>
    <w:rsid w:val="005053A0"/>
    <w:rsid w:val="0050577A"/>
    <w:rsid w:val="005059A8"/>
    <w:rsid w:val="00505FA4"/>
    <w:rsid w:val="00505FD3"/>
    <w:rsid w:val="00506437"/>
    <w:rsid w:val="00506576"/>
    <w:rsid w:val="005065FC"/>
    <w:rsid w:val="00506C65"/>
    <w:rsid w:val="00506E8E"/>
    <w:rsid w:val="00507953"/>
    <w:rsid w:val="00507D8C"/>
    <w:rsid w:val="005101CF"/>
    <w:rsid w:val="0051042C"/>
    <w:rsid w:val="00510547"/>
    <w:rsid w:val="005106C3"/>
    <w:rsid w:val="00510F05"/>
    <w:rsid w:val="005122D9"/>
    <w:rsid w:val="00512481"/>
    <w:rsid w:val="00512946"/>
    <w:rsid w:val="00512D8E"/>
    <w:rsid w:val="00512F8F"/>
    <w:rsid w:val="005134D7"/>
    <w:rsid w:val="005134E9"/>
    <w:rsid w:val="0051358C"/>
    <w:rsid w:val="0051380D"/>
    <w:rsid w:val="00513B4C"/>
    <w:rsid w:val="00513BEB"/>
    <w:rsid w:val="00513C2E"/>
    <w:rsid w:val="00513EDD"/>
    <w:rsid w:val="00514C28"/>
    <w:rsid w:val="00515048"/>
    <w:rsid w:val="00515555"/>
    <w:rsid w:val="00515C83"/>
    <w:rsid w:val="005163A9"/>
    <w:rsid w:val="00516DD5"/>
    <w:rsid w:val="00516E62"/>
    <w:rsid w:val="0051735B"/>
    <w:rsid w:val="005178AB"/>
    <w:rsid w:val="00517935"/>
    <w:rsid w:val="00520455"/>
    <w:rsid w:val="00520D4B"/>
    <w:rsid w:val="00520D66"/>
    <w:rsid w:val="00520D95"/>
    <w:rsid w:val="00520FBC"/>
    <w:rsid w:val="005210F9"/>
    <w:rsid w:val="005217D1"/>
    <w:rsid w:val="00521867"/>
    <w:rsid w:val="00521A38"/>
    <w:rsid w:val="00521DBB"/>
    <w:rsid w:val="0052231A"/>
    <w:rsid w:val="00522406"/>
    <w:rsid w:val="00522A1E"/>
    <w:rsid w:val="00522B62"/>
    <w:rsid w:val="00522F01"/>
    <w:rsid w:val="00522FE3"/>
    <w:rsid w:val="005231FB"/>
    <w:rsid w:val="00523245"/>
    <w:rsid w:val="00523299"/>
    <w:rsid w:val="00523684"/>
    <w:rsid w:val="005237F8"/>
    <w:rsid w:val="00523C14"/>
    <w:rsid w:val="00523E29"/>
    <w:rsid w:val="00523ECC"/>
    <w:rsid w:val="005249A0"/>
    <w:rsid w:val="0052567E"/>
    <w:rsid w:val="00525B76"/>
    <w:rsid w:val="00525D06"/>
    <w:rsid w:val="00525E0C"/>
    <w:rsid w:val="00526528"/>
    <w:rsid w:val="00526548"/>
    <w:rsid w:val="005265A2"/>
    <w:rsid w:val="005266E5"/>
    <w:rsid w:val="00526F4D"/>
    <w:rsid w:val="00527710"/>
    <w:rsid w:val="0052784E"/>
    <w:rsid w:val="00527B82"/>
    <w:rsid w:val="00527FCF"/>
    <w:rsid w:val="00530294"/>
    <w:rsid w:val="0053034A"/>
    <w:rsid w:val="00530832"/>
    <w:rsid w:val="005309CF"/>
    <w:rsid w:val="00530A8F"/>
    <w:rsid w:val="00530CB8"/>
    <w:rsid w:val="00530D5E"/>
    <w:rsid w:val="00530E7A"/>
    <w:rsid w:val="005315CD"/>
    <w:rsid w:val="0053190E"/>
    <w:rsid w:val="005327DF"/>
    <w:rsid w:val="0053287E"/>
    <w:rsid w:val="00532BC3"/>
    <w:rsid w:val="00532D3F"/>
    <w:rsid w:val="005330A8"/>
    <w:rsid w:val="0053311B"/>
    <w:rsid w:val="00533421"/>
    <w:rsid w:val="00533B28"/>
    <w:rsid w:val="00533EA6"/>
    <w:rsid w:val="0053430A"/>
    <w:rsid w:val="00534559"/>
    <w:rsid w:val="00534CBC"/>
    <w:rsid w:val="00534D62"/>
    <w:rsid w:val="0053510C"/>
    <w:rsid w:val="00535186"/>
    <w:rsid w:val="005352B2"/>
    <w:rsid w:val="00535B2F"/>
    <w:rsid w:val="00535D3A"/>
    <w:rsid w:val="00535FA2"/>
    <w:rsid w:val="0053661B"/>
    <w:rsid w:val="00536638"/>
    <w:rsid w:val="00537069"/>
    <w:rsid w:val="0053739E"/>
    <w:rsid w:val="00537464"/>
    <w:rsid w:val="0053773A"/>
    <w:rsid w:val="00537800"/>
    <w:rsid w:val="00537B46"/>
    <w:rsid w:val="00540051"/>
    <w:rsid w:val="00540253"/>
    <w:rsid w:val="0054040E"/>
    <w:rsid w:val="00540587"/>
    <w:rsid w:val="00540600"/>
    <w:rsid w:val="00540997"/>
    <w:rsid w:val="0054134D"/>
    <w:rsid w:val="005414D4"/>
    <w:rsid w:val="0054155D"/>
    <w:rsid w:val="00541BC8"/>
    <w:rsid w:val="00541DAF"/>
    <w:rsid w:val="005421FF"/>
    <w:rsid w:val="00542609"/>
    <w:rsid w:val="005433FF"/>
    <w:rsid w:val="005434DD"/>
    <w:rsid w:val="0054362D"/>
    <w:rsid w:val="00543792"/>
    <w:rsid w:val="00543F16"/>
    <w:rsid w:val="00544B82"/>
    <w:rsid w:val="00544BBB"/>
    <w:rsid w:val="00545BA6"/>
    <w:rsid w:val="00545F6B"/>
    <w:rsid w:val="00546014"/>
    <w:rsid w:val="00546286"/>
    <w:rsid w:val="00546710"/>
    <w:rsid w:val="0054695D"/>
    <w:rsid w:val="005472ED"/>
    <w:rsid w:val="00547525"/>
    <w:rsid w:val="00547D4C"/>
    <w:rsid w:val="00550228"/>
    <w:rsid w:val="00550293"/>
    <w:rsid w:val="00551400"/>
    <w:rsid w:val="00551537"/>
    <w:rsid w:val="00551547"/>
    <w:rsid w:val="00551921"/>
    <w:rsid w:val="00551EFA"/>
    <w:rsid w:val="00552C43"/>
    <w:rsid w:val="0055372C"/>
    <w:rsid w:val="005539C0"/>
    <w:rsid w:val="005540FE"/>
    <w:rsid w:val="00554730"/>
    <w:rsid w:val="00554966"/>
    <w:rsid w:val="00554D46"/>
    <w:rsid w:val="00554EAC"/>
    <w:rsid w:val="00555217"/>
    <w:rsid w:val="005555F8"/>
    <w:rsid w:val="00555673"/>
    <w:rsid w:val="0055584A"/>
    <w:rsid w:val="00555E82"/>
    <w:rsid w:val="0055656B"/>
    <w:rsid w:val="00557104"/>
    <w:rsid w:val="00557494"/>
    <w:rsid w:val="0055771B"/>
    <w:rsid w:val="00557D70"/>
    <w:rsid w:val="00557E98"/>
    <w:rsid w:val="00560207"/>
    <w:rsid w:val="0056044A"/>
    <w:rsid w:val="00560716"/>
    <w:rsid w:val="0056098E"/>
    <w:rsid w:val="0056106E"/>
    <w:rsid w:val="00561390"/>
    <w:rsid w:val="00561395"/>
    <w:rsid w:val="005616BB"/>
    <w:rsid w:val="005619A8"/>
    <w:rsid w:val="00561F0A"/>
    <w:rsid w:val="00562265"/>
    <w:rsid w:val="00562830"/>
    <w:rsid w:val="00562BEA"/>
    <w:rsid w:val="00563690"/>
    <w:rsid w:val="00564301"/>
    <w:rsid w:val="00565033"/>
    <w:rsid w:val="00565409"/>
    <w:rsid w:val="00565846"/>
    <w:rsid w:val="00565BC1"/>
    <w:rsid w:val="0056678B"/>
    <w:rsid w:val="00566FDD"/>
    <w:rsid w:val="00567903"/>
    <w:rsid w:val="00567F32"/>
    <w:rsid w:val="00570487"/>
    <w:rsid w:val="00571034"/>
    <w:rsid w:val="00571427"/>
    <w:rsid w:val="005722C5"/>
    <w:rsid w:val="00572A85"/>
    <w:rsid w:val="00572AB8"/>
    <w:rsid w:val="00573755"/>
    <w:rsid w:val="005740E1"/>
    <w:rsid w:val="0057429F"/>
    <w:rsid w:val="0057438D"/>
    <w:rsid w:val="005747AD"/>
    <w:rsid w:val="00574AC3"/>
    <w:rsid w:val="00575498"/>
    <w:rsid w:val="0057559E"/>
    <w:rsid w:val="00575CD5"/>
    <w:rsid w:val="00575F90"/>
    <w:rsid w:val="00576B13"/>
    <w:rsid w:val="00576EDE"/>
    <w:rsid w:val="00576F39"/>
    <w:rsid w:val="00577455"/>
    <w:rsid w:val="00577BE0"/>
    <w:rsid w:val="0058110D"/>
    <w:rsid w:val="00582134"/>
    <w:rsid w:val="00582AED"/>
    <w:rsid w:val="0058336E"/>
    <w:rsid w:val="00583883"/>
    <w:rsid w:val="00583D01"/>
    <w:rsid w:val="00583E2A"/>
    <w:rsid w:val="00583FE6"/>
    <w:rsid w:val="0058406D"/>
    <w:rsid w:val="00584153"/>
    <w:rsid w:val="00585089"/>
    <w:rsid w:val="005850BE"/>
    <w:rsid w:val="005857EE"/>
    <w:rsid w:val="005858ED"/>
    <w:rsid w:val="00586022"/>
    <w:rsid w:val="005863F5"/>
    <w:rsid w:val="00586AD9"/>
    <w:rsid w:val="00586B4E"/>
    <w:rsid w:val="00586D6E"/>
    <w:rsid w:val="00586E47"/>
    <w:rsid w:val="00587940"/>
    <w:rsid w:val="00587A05"/>
    <w:rsid w:val="00587B43"/>
    <w:rsid w:val="00587C6C"/>
    <w:rsid w:val="00590316"/>
    <w:rsid w:val="0059083A"/>
    <w:rsid w:val="005916BA"/>
    <w:rsid w:val="00591C88"/>
    <w:rsid w:val="00592507"/>
    <w:rsid w:val="0059317D"/>
    <w:rsid w:val="0059318E"/>
    <w:rsid w:val="005933EB"/>
    <w:rsid w:val="00593490"/>
    <w:rsid w:val="005937A0"/>
    <w:rsid w:val="00593A58"/>
    <w:rsid w:val="00593E11"/>
    <w:rsid w:val="00593F74"/>
    <w:rsid w:val="00594164"/>
    <w:rsid w:val="00594391"/>
    <w:rsid w:val="005943BF"/>
    <w:rsid w:val="0059442E"/>
    <w:rsid w:val="005948EB"/>
    <w:rsid w:val="00594C92"/>
    <w:rsid w:val="00595295"/>
    <w:rsid w:val="0059597B"/>
    <w:rsid w:val="005966A0"/>
    <w:rsid w:val="0059673C"/>
    <w:rsid w:val="00596D10"/>
    <w:rsid w:val="0059712E"/>
    <w:rsid w:val="00597977"/>
    <w:rsid w:val="00597AE5"/>
    <w:rsid w:val="00597D29"/>
    <w:rsid w:val="00597EC8"/>
    <w:rsid w:val="005A0119"/>
    <w:rsid w:val="005A0316"/>
    <w:rsid w:val="005A05A0"/>
    <w:rsid w:val="005A0F27"/>
    <w:rsid w:val="005A129E"/>
    <w:rsid w:val="005A139B"/>
    <w:rsid w:val="005A20C3"/>
    <w:rsid w:val="005A229E"/>
    <w:rsid w:val="005A22C3"/>
    <w:rsid w:val="005A28C8"/>
    <w:rsid w:val="005A29CC"/>
    <w:rsid w:val="005A3261"/>
    <w:rsid w:val="005A32C6"/>
    <w:rsid w:val="005A35C4"/>
    <w:rsid w:val="005A3BA0"/>
    <w:rsid w:val="005A3DC8"/>
    <w:rsid w:val="005A407A"/>
    <w:rsid w:val="005A4162"/>
    <w:rsid w:val="005A475B"/>
    <w:rsid w:val="005A4BDF"/>
    <w:rsid w:val="005A511C"/>
    <w:rsid w:val="005A51A4"/>
    <w:rsid w:val="005A567E"/>
    <w:rsid w:val="005A5CF3"/>
    <w:rsid w:val="005A6152"/>
    <w:rsid w:val="005A6AAA"/>
    <w:rsid w:val="005A6B24"/>
    <w:rsid w:val="005A6E66"/>
    <w:rsid w:val="005A7139"/>
    <w:rsid w:val="005A7494"/>
    <w:rsid w:val="005A7623"/>
    <w:rsid w:val="005A7796"/>
    <w:rsid w:val="005B0131"/>
    <w:rsid w:val="005B09C9"/>
    <w:rsid w:val="005B0EE1"/>
    <w:rsid w:val="005B12BD"/>
    <w:rsid w:val="005B1EBE"/>
    <w:rsid w:val="005B2317"/>
    <w:rsid w:val="005B23C8"/>
    <w:rsid w:val="005B2881"/>
    <w:rsid w:val="005B2D5C"/>
    <w:rsid w:val="005B2DAE"/>
    <w:rsid w:val="005B301D"/>
    <w:rsid w:val="005B326D"/>
    <w:rsid w:val="005B3863"/>
    <w:rsid w:val="005B3CF5"/>
    <w:rsid w:val="005B3F05"/>
    <w:rsid w:val="005B4211"/>
    <w:rsid w:val="005B4561"/>
    <w:rsid w:val="005B462D"/>
    <w:rsid w:val="005B47D3"/>
    <w:rsid w:val="005B49A7"/>
    <w:rsid w:val="005B4CBA"/>
    <w:rsid w:val="005B5366"/>
    <w:rsid w:val="005B5B79"/>
    <w:rsid w:val="005B5D1B"/>
    <w:rsid w:val="005B5D95"/>
    <w:rsid w:val="005B5DC1"/>
    <w:rsid w:val="005B5E9B"/>
    <w:rsid w:val="005B6365"/>
    <w:rsid w:val="005B6A86"/>
    <w:rsid w:val="005B6D63"/>
    <w:rsid w:val="005B6F5A"/>
    <w:rsid w:val="005B7071"/>
    <w:rsid w:val="005B755A"/>
    <w:rsid w:val="005B7A04"/>
    <w:rsid w:val="005C0081"/>
    <w:rsid w:val="005C00DC"/>
    <w:rsid w:val="005C086C"/>
    <w:rsid w:val="005C0E72"/>
    <w:rsid w:val="005C124D"/>
    <w:rsid w:val="005C151B"/>
    <w:rsid w:val="005C157E"/>
    <w:rsid w:val="005C1B9E"/>
    <w:rsid w:val="005C2B58"/>
    <w:rsid w:val="005C326F"/>
    <w:rsid w:val="005C32D2"/>
    <w:rsid w:val="005C4FFC"/>
    <w:rsid w:val="005C541B"/>
    <w:rsid w:val="005C576F"/>
    <w:rsid w:val="005C5F72"/>
    <w:rsid w:val="005C74F7"/>
    <w:rsid w:val="005C772B"/>
    <w:rsid w:val="005C7739"/>
    <w:rsid w:val="005C7EAF"/>
    <w:rsid w:val="005D0373"/>
    <w:rsid w:val="005D124C"/>
    <w:rsid w:val="005D12B3"/>
    <w:rsid w:val="005D1301"/>
    <w:rsid w:val="005D1C6B"/>
    <w:rsid w:val="005D21BA"/>
    <w:rsid w:val="005D235B"/>
    <w:rsid w:val="005D2368"/>
    <w:rsid w:val="005D2913"/>
    <w:rsid w:val="005D2926"/>
    <w:rsid w:val="005D2A2C"/>
    <w:rsid w:val="005D2F7A"/>
    <w:rsid w:val="005D327B"/>
    <w:rsid w:val="005D32EB"/>
    <w:rsid w:val="005D3666"/>
    <w:rsid w:val="005D3B9C"/>
    <w:rsid w:val="005D3F20"/>
    <w:rsid w:val="005D403F"/>
    <w:rsid w:val="005D42C0"/>
    <w:rsid w:val="005D4330"/>
    <w:rsid w:val="005D4580"/>
    <w:rsid w:val="005D4650"/>
    <w:rsid w:val="005D5551"/>
    <w:rsid w:val="005D59BE"/>
    <w:rsid w:val="005D63CD"/>
    <w:rsid w:val="005D65E2"/>
    <w:rsid w:val="005D67CD"/>
    <w:rsid w:val="005D6B23"/>
    <w:rsid w:val="005D723D"/>
    <w:rsid w:val="005D7425"/>
    <w:rsid w:val="005D7D82"/>
    <w:rsid w:val="005D7EDA"/>
    <w:rsid w:val="005E0153"/>
    <w:rsid w:val="005E0D01"/>
    <w:rsid w:val="005E0F93"/>
    <w:rsid w:val="005E1C5B"/>
    <w:rsid w:val="005E1FC5"/>
    <w:rsid w:val="005E2AAF"/>
    <w:rsid w:val="005E2C24"/>
    <w:rsid w:val="005E2C5B"/>
    <w:rsid w:val="005E3639"/>
    <w:rsid w:val="005E3796"/>
    <w:rsid w:val="005E3A1C"/>
    <w:rsid w:val="005E3EC0"/>
    <w:rsid w:val="005E4183"/>
    <w:rsid w:val="005E4F14"/>
    <w:rsid w:val="005E4FF0"/>
    <w:rsid w:val="005E528E"/>
    <w:rsid w:val="005E5409"/>
    <w:rsid w:val="005E5550"/>
    <w:rsid w:val="005E58BC"/>
    <w:rsid w:val="005E58D8"/>
    <w:rsid w:val="005E5986"/>
    <w:rsid w:val="005E5D84"/>
    <w:rsid w:val="005E63B2"/>
    <w:rsid w:val="005E6400"/>
    <w:rsid w:val="005E68D9"/>
    <w:rsid w:val="005E6983"/>
    <w:rsid w:val="005E71AB"/>
    <w:rsid w:val="005E734A"/>
    <w:rsid w:val="005E7A9E"/>
    <w:rsid w:val="005F02DF"/>
    <w:rsid w:val="005F0304"/>
    <w:rsid w:val="005F0874"/>
    <w:rsid w:val="005F095E"/>
    <w:rsid w:val="005F09A8"/>
    <w:rsid w:val="005F14E4"/>
    <w:rsid w:val="005F1D9A"/>
    <w:rsid w:val="005F2649"/>
    <w:rsid w:val="005F2815"/>
    <w:rsid w:val="005F2AC4"/>
    <w:rsid w:val="005F2CCD"/>
    <w:rsid w:val="005F34D8"/>
    <w:rsid w:val="005F3DF6"/>
    <w:rsid w:val="005F40D4"/>
    <w:rsid w:val="005F4447"/>
    <w:rsid w:val="005F46CA"/>
    <w:rsid w:val="005F4B73"/>
    <w:rsid w:val="005F5113"/>
    <w:rsid w:val="005F52C5"/>
    <w:rsid w:val="005F577E"/>
    <w:rsid w:val="005F5970"/>
    <w:rsid w:val="005F5E79"/>
    <w:rsid w:val="005F63C1"/>
    <w:rsid w:val="005F66C4"/>
    <w:rsid w:val="005F6792"/>
    <w:rsid w:val="005F6994"/>
    <w:rsid w:val="005F6F28"/>
    <w:rsid w:val="005F70A3"/>
    <w:rsid w:val="005F7ADD"/>
    <w:rsid w:val="006008A2"/>
    <w:rsid w:val="00600DF7"/>
    <w:rsid w:val="00600E88"/>
    <w:rsid w:val="00601510"/>
    <w:rsid w:val="00601B3C"/>
    <w:rsid w:val="00601CF7"/>
    <w:rsid w:val="00601F51"/>
    <w:rsid w:val="0060212D"/>
    <w:rsid w:val="00602279"/>
    <w:rsid w:val="00602376"/>
    <w:rsid w:val="00602711"/>
    <w:rsid w:val="00602808"/>
    <w:rsid w:val="00602DCA"/>
    <w:rsid w:val="006030F1"/>
    <w:rsid w:val="006036E2"/>
    <w:rsid w:val="00603C00"/>
    <w:rsid w:val="00603E9C"/>
    <w:rsid w:val="00603EDE"/>
    <w:rsid w:val="00604409"/>
    <w:rsid w:val="006046B2"/>
    <w:rsid w:val="00605031"/>
    <w:rsid w:val="006050DD"/>
    <w:rsid w:val="00605250"/>
    <w:rsid w:val="00605289"/>
    <w:rsid w:val="0060566D"/>
    <w:rsid w:val="00605D2C"/>
    <w:rsid w:val="0060640A"/>
    <w:rsid w:val="00607364"/>
    <w:rsid w:val="00607B34"/>
    <w:rsid w:val="00607C8C"/>
    <w:rsid w:val="00607CC3"/>
    <w:rsid w:val="00607E79"/>
    <w:rsid w:val="00610866"/>
    <w:rsid w:val="00610943"/>
    <w:rsid w:val="006110BA"/>
    <w:rsid w:val="00611124"/>
    <w:rsid w:val="0061133A"/>
    <w:rsid w:val="006115BA"/>
    <w:rsid w:val="006118AC"/>
    <w:rsid w:val="00611DFE"/>
    <w:rsid w:val="00611F22"/>
    <w:rsid w:val="00612B41"/>
    <w:rsid w:val="00613339"/>
    <w:rsid w:val="00613377"/>
    <w:rsid w:val="00613ED5"/>
    <w:rsid w:val="00614388"/>
    <w:rsid w:val="0061462E"/>
    <w:rsid w:val="006147F3"/>
    <w:rsid w:val="00614979"/>
    <w:rsid w:val="00614CB6"/>
    <w:rsid w:val="006151DB"/>
    <w:rsid w:val="00615BB3"/>
    <w:rsid w:val="00615E92"/>
    <w:rsid w:val="006169F0"/>
    <w:rsid w:val="00616D70"/>
    <w:rsid w:val="00616F21"/>
    <w:rsid w:val="00616F62"/>
    <w:rsid w:val="00616F9A"/>
    <w:rsid w:val="0061739C"/>
    <w:rsid w:val="00617591"/>
    <w:rsid w:val="00617731"/>
    <w:rsid w:val="00617FD9"/>
    <w:rsid w:val="006203D2"/>
    <w:rsid w:val="006204AC"/>
    <w:rsid w:val="006213ED"/>
    <w:rsid w:val="0062140D"/>
    <w:rsid w:val="00621562"/>
    <w:rsid w:val="00621B20"/>
    <w:rsid w:val="00621D91"/>
    <w:rsid w:val="006221ED"/>
    <w:rsid w:val="00622455"/>
    <w:rsid w:val="0062248D"/>
    <w:rsid w:val="00622D0D"/>
    <w:rsid w:val="00622F87"/>
    <w:rsid w:val="00623244"/>
    <w:rsid w:val="00623387"/>
    <w:rsid w:val="0062363D"/>
    <w:rsid w:val="006236CE"/>
    <w:rsid w:val="00623A38"/>
    <w:rsid w:val="0062447B"/>
    <w:rsid w:val="0062449A"/>
    <w:rsid w:val="0062452D"/>
    <w:rsid w:val="006246EE"/>
    <w:rsid w:val="00624943"/>
    <w:rsid w:val="00624EAE"/>
    <w:rsid w:val="00625630"/>
    <w:rsid w:val="00625F35"/>
    <w:rsid w:val="00626595"/>
    <w:rsid w:val="00626D66"/>
    <w:rsid w:val="00626DEF"/>
    <w:rsid w:val="00626F3F"/>
    <w:rsid w:val="00627DBA"/>
    <w:rsid w:val="006300D2"/>
    <w:rsid w:val="00630AE1"/>
    <w:rsid w:val="00630E75"/>
    <w:rsid w:val="0063117F"/>
    <w:rsid w:val="00631192"/>
    <w:rsid w:val="00631D6E"/>
    <w:rsid w:val="00631EE0"/>
    <w:rsid w:val="00631EF5"/>
    <w:rsid w:val="00631F5C"/>
    <w:rsid w:val="00632154"/>
    <w:rsid w:val="00632FF0"/>
    <w:rsid w:val="006338AF"/>
    <w:rsid w:val="0063394A"/>
    <w:rsid w:val="00633C89"/>
    <w:rsid w:val="00633D0D"/>
    <w:rsid w:val="00634411"/>
    <w:rsid w:val="0063460A"/>
    <w:rsid w:val="0063536B"/>
    <w:rsid w:val="006356F7"/>
    <w:rsid w:val="006365D7"/>
    <w:rsid w:val="0063669B"/>
    <w:rsid w:val="00636FA5"/>
    <w:rsid w:val="006371B9"/>
    <w:rsid w:val="006375B0"/>
    <w:rsid w:val="00637664"/>
    <w:rsid w:val="006400A3"/>
    <w:rsid w:val="006401E0"/>
    <w:rsid w:val="00640686"/>
    <w:rsid w:val="00640F79"/>
    <w:rsid w:val="0064158B"/>
    <w:rsid w:val="0064186B"/>
    <w:rsid w:val="00641955"/>
    <w:rsid w:val="00641CE9"/>
    <w:rsid w:val="00641E9F"/>
    <w:rsid w:val="00642A4F"/>
    <w:rsid w:val="00642B51"/>
    <w:rsid w:val="006430DA"/>
    <w:rsid w:val="00643964"/>
    <w:rsid w:val="00643FFD"/>
    <w:rsid w:val="00644396"/>
    <w:rsid w:val="00645530"/>
    <w:rsid w:val="006459D7"/>
    <w:rsid w:val="00645B7A"/>
    <w:rsid w:val="00645E09"/>
    <w:rsid w:val="00645E80"/>
    <w:rsid w:val="006462CC"/>
    <w:rsid w:val="00647325"/>
    <w:rsid w:val="006474A3"/>
    <w:rsid w:val="006478F1"/>
    <w:rsid w:val="00650005"/>
    <w:rsid w:val="006501B3"/>
    <w:rsid w:val="00650442"/>
    <w:rsid w:val="00650964"/>
    <w:rsid w:val="00650F29"/>
    <w:rsid w:val="00651037"/>
    <w:rsid w:val="0065103A"/>
    <w:rsid w:val="0065106C"/>
    <w:rsid w:val="00651499"/>
    <w:rsid w:val="00651A3D"/>
    <w:rsid w:val="00651EC4"/>
    <w:rsid w:val="00652126"/>
    <w:rsid w:val="006523D9"/>
    <w:rsid w:val="006525CB"/>
    <w:rsid w:val="0065308E"/>
    <w:rsid w:val="0065466D"/>
    <w:rsid w:val="00654753"/>
    <w:rsid w:val="00654867"/>
    <w:rsid w:val="00654B61"/>
    <w:rsid w:val="0065547A"/>
    <w:rsid w:val="006557B3"/>
    <w:rsid w:val="00655974"/>
    <w:rsid w:val="00655AB3"/>
    <w:rsid w:val="00655F28"/>
    <w:rsid w:val="006564B2"/>
    <w:rsid w:val="006565F9"/>
    <w:rsid w:val="006566BF"/>
    <w:rsid w:val="00656969"/>
    <w:rsid w:val="00656A66"/>
    <w:rsid w:val="00656A75"/>
    <w:rsid w:val="00656BBB"/>
    <w:rsid w:val="00656EDE"/>
    <w:rsid w:val="00656EF2"/>
    <w:rsid w:val="00657200"/>
    <w:rsid w:val="006578C5"/>
    <w:rsid w:val="00657A36"/>
    <w:rsid w:val="006607B0"/>
    <w:rsid w:val="00660DCA"/>
    <w:rsid w:val="006612BB"/>
    <w:rsid w:val="006612C2"/>
    <w:rsid w:val="00661630"/>
    <w:rsid w:val="00662015"/>
    <w:rsid w:val="0066225D"/>
    <w:rsid w:val="006627CA"/>
    <w:rsid w:val="006629D3"/>
    <w:rsid w:val="00662F6B"/>
    <w:rsid w:val="006637E3"/>
    <w:rsid w:val="00663DE3"/>
    <w:rsid w:val="00663E9D"/>
    <w:rsid w:val="00664322"/>
    <w:rsid w:val="00664695"/>
    <w:rsid w:val="00664B76"/>
    <w:rsid w:val="00664F9C"/>
    <w:rsid w:val="0066505F"/>
    <w:rsid w:val="006654AD"/>
    <w:rsid w:val="00665CC6"/>
    <w:rsid w:val="006667AB"/>
    <w:rsid w:val="00666E93"/>
    <w:rsid w:val="00667D71"/>
    <w:rsid w:val="00670062"/>
    <w:rsid w:val="006708A9"/>
    <w:rsid w:val="00670BF0"/>
    <w:rsid w:val="0067116F"/>
    <w:rsid w:val="00671570"/>
    <w:rsid w:val="00671A2A"/>
    <w:rsid w:val="00671F1A"/>
    <w:rsid w:val="006720CB"/>
    <w:rsid w:val="00672721"/>
    <w:rsid w:val="0067285F"/>
    <w:rsid w:val="00672A44"/>
    <w:rsid w:val="00673521"/>
    <w:rsid w:val="00673680"/>
    <w:rsid w:val="006736D6"/>
    <w:rsid w:val="00673B2E"/>
    <w:rsid w:val="00673D07"/>
    <w:rsid w:val="00673E08"/>
    <w:rsid w:val="00674425"/>
    <w:rsid w:val="006750D4"/>
    <w:rsid w:val="006752D7"/>
    <w:rsid w:val="00675C32"/>
    <w:rsid w:val="00675C65"/>
    <w:rsid w:val="0067617D"/>
    <w:rsid w:val="00676756"/>
    <w:rsid w:val="006770CF"/>
    <w:rsid w:val="00677B7B"/>
    <w:rsid w:val="0068059C"/>
    <w:rsid w:val="0068074C"/>
    <w:rsid w:val="00680F1F"/>
    <w:rsid w:val="00680FA4"/>
    <w:rsid w:val="0068150E"/>
    <w:rsid w:val="006819F9"/>
    <w:rsid w:val="00681E82"/>
    <w:rsid w:val="0068254E"/>
    <w:rsid w:val="006839B8"/>
    <w:rsid w:val="00683BB1"/>
    <w:rsid w:val="006840C1"/>
    <w:rsid w:val="00684403"/>
    <w:rsid w:val="00684891"/>
    <w:rsid w:val="00684B72"/>
    <w:rsid w:val="00685018"/>
    <w:rsid w:val="00685A27"/>
    <w:rsid w:val="00685A2F"/>
    <w:rsid w:val="00685B5A"/>
    <w:rsid w:val="00685E25"/>
    <w:rsid w:val="00686169"/>
    <w:rsid w:val="00686CC0"/>
    <w:rsid w:val="00687231"/>
    <w:rsid w:val="0068734B"/>
    <w:rsid w:val="00687648"/>
    <w:rsid w:val="0068768D"/>
    <w:rsid w:val="006877BC"/>
    <w:rsid w:val="006877D6"/>
    <w:rsid w:val="00687B5D"/>
    <w:rsid w:val="00687F9E"/>
    <w:rsid w:val="006904BE"/>
    <w:rsid w:val="006904EE"/>
    <w:rsid w:val="0069078B"/>
    <w:rsid w:val="00690A1C"/>
    <w:rsid w:val="00690ED9"/>
    <w:rsid w:val="00690F6A"/>
    <w:rsid w:val="006916F6"/>
    <w:rsid w:val="0069172F"/>
    <w:rsid w:val="006918AA"/>
    <w:rsid w:val="00692050"/>
    <w:rsid w:val="006921CA"/>
    <w:rsid w:val="00692297"/>
    <w:rsid w:val="00692A9E"/>
    <w:rsid w:val="0069356F"/>
    <w:rsid w:val="006935E5"/>
    <w:rsid w:val="0069401E"/>
    <w:rsid w:val="00694177"/>
    <w:rsid w:val="006944C6"/>
    <w:rsid w:val="00694703"/>
    <w:rsid w:val="006948AB"/>
    <w:rsid w:val="00694920"/>
    <w:rsid w:val="00694BFD"/>
    <w:rsid w:val="006953EF"/>
    <w:rsid w:val="006959DC"/>
    <w:rsid w:val="00696054"/>
    <w:rsid w:val="0069614F"/>
    <w:rsid w:val="00696970"/>
    <w:rsid w:val="00696980"/>
    <w:rsid w:val="00696ACA"/>
    <w:rsid w:val="00696C63"/>
    <w:rsid w:val="0069738D"/>
    <w:rsid w:val="006975BE"/>
    <w:rsid w:val="006978C5"/>
    <w:rsid w:val="00697CDA"/>
    <w:rsid w:val="00697E2B"/>
    <w:rsid w:val="00697EA6"/>
    <w:rsid w:val="00697EB8"/>
    <w:rsid w:val="006A04CB"/>
    <w:rsid w:val="006A0520"/>
    <w:rsid w:val="006A0640"/>
    <w:rsid w:val="006A084C"/>
    <w:rsid w:val="006A0B04"/>
    <w:rsid w:val="006A17D6"/>
    <w:rsid w:val="006A1860"/>
    <w:rsid w:val="006A1A8C"/>
    <w:rsid w:val="006A1B87"/>
    <w:rsid w:val="006A2223"/>
    <w:rsid w:val="006A2390"/>
    <w:rsid w:val="006A2E08"/>
    <w:rsid w:val="006A2F6E"/>
    <w:rsid w:val="006A3213"/>
    <w:rsid w:val="006A3602"/>
    <w:rsid w:val="006A3685"/>
    <w:rsid w:val="006A371E"/>
    <w:rsid w:val="006A3ED8"/>
    <w:rsid w:val="006A4045"/>
    <w:rsid w:val="006A48DA"/>
    <w:rsid w:val="006A496C"/>
    <w:rsid w:val="006A4A1A"/>
    <w:rsid w:val="006A4BBE"/>
    <w:rsid w:val="006A4EF6"/>
    <w:rsid w:val="006A6BB9"/>
    <w:rsid w:val="006A70B9"/>
    <w:rsid w:val="006A73FD"/>
    <w:rsid w:val="006A7590"/>
    <w:rsid w:val="006A7BF2"/>
    <w:rsid w:val="006B06DD"/>
    <w:rsid w:val="006B0CFE"/>
    <w:rsid w:val="006B0DDC"/>
    <w:rsid w:val="006B10D8"/>
    <w:rsid w:val="006B10FF"/>
    <w:rsid w:val="006B1840"/>
    <w:rsid w:val="006B1F0F"/>
    <w:rsid w:val="006B1F40"/>
    <w:rsid w:val="006B2389"/>
    <w:rsid w:val="006B272D"/>
    <w:rsid w:val="006B2803"/>
    <w:rsid w:val="006B28E1"/>
    <w:rsid w:val="006B3065"/>
    <w:rsid w:val="006B3153"/>
    <w:rsid w:val="006B38EE"/>
    <w:rsid w:val="006B396C"/>
    <w:rsid w:val="006B3B12"/>
    <w:rsid w:val="006B3B71"/>
    <w:rsid w:val="006B4482"/>
    <w:rsid w:val="006B45B2"/>
    <w:rsid w:val="006B49B2"/>
    <w:rsid w:val="006B4DED"/>
    <w:rsid w:val="006B4EB7"/>
    <w:rsid w:val="006B544A"/>
    <w:rsid w:val="006B57AD"/>
    <w:rsid w:val="006B607A"/>
    <w:rsid w:val="006B63EC"/>
    <w:rsid w:val="006B64A3"/>
    <w:rsid w:val="006B70DF"/>
    <w:rsid w:val="006B7161"/>
    <w:rsid w:val="006B71B6"/>
    <w:rsid w:val="006B7C65"/>
    <w:rsid w:val="006B7DE9"/>
    <w:rsid w:val="006C059F"/>
    <w:rsid w:val="006C0689"/>
    <w:rsid w:val="006C07A7"/>
    <w:rsid w:val="006C0AD2"/>
    <w:rsid w:val="006C17D8"/>
    <w:rsid w:val="006C19D8"/>
    <w:rsid w:val="006C2406"/>
    <w:rsid w:val="006C31D4"/>
    <w:rsid w:val="006C31EB"/>
    <w:rsid w:val="006C32CC"/>
    <w:rsid w:val="006C3C4E"/>
    <w:rsid w:val="006C425B"/>
    <w:rsid w:val="006C46AE"/>
    <w:rsid w:val="006C565A"/>
    <w:rsid w:val="006C5928"/>
    <w:rsid w:val="006C72A7"/>
    <w:rsid w:val="006C7662"/>
    <w:rsid w:val="006C7AF1"/>
    <w:rsid w:val="006C7D37"/>
    <w:rsid w:val="006D0274"/>
    <w:rsid w:val="006D03B8"/>
    <w:rsid w:val="006D0785"/>
    <w:rsid w:val="006D086A"/>
    <w:rsid w:val="006D0A3B"/>
    <w:rsid w:val="006D0A6B"/>
    <w:rsid w:val="006D1979"/>
    <w:rsid w:val="006D1D9D"/>
    <w:rsid w:val="006D2504"/>
    <w:rsid w:val="006D2D8D"/>
    <w:rsid w:val="006D31B9"/>
    <w:rsid w:val="006D31BC"/>
    <w:rsid w:val="006D32EF"/>
    <w:rsid w:val="006D36E6"/>
    <w:rsid w:val="006D3CD3"/>
    <w:rsid w:val="006D3F50"/>
    <w:rsid w:val="006D4E41"/>
    <w:rsid w:val="006D52DF"/>
    <w:rsid w:val="006D53E3"/>
    <w:rsid w:val="006D565F"/>
    <w:rsid w:val="006D5FFF"/>
    <w:rsid w:val="006D60C4"/>
    <w:rsid w:val="006D6229"/>
    <w:rsid w:val="006D630C"/>
    <w:rsid w:val="006D64ED"/>
    <w:rsid w:val="006D6573"/>
    <w:rsid w:val="006D6BDE"/>
    <w:rsid w:val="006D6C1F"/>
    <w:rsid w:val="006D6CCE"/>
    <w:rsid w:val="006D729C"/>
    <w:rsid w:val="006D743A"/>
    <w:rsid w:val="006D7AAD"/>
    <w:rsid w:val="006D7F4B"/>
    <w:rsid w:val="006E0109"/>
    <w:rsid w:val="006E0624"/>
    <w:rsid w:val="006E069E"/>
    <w:rsid w:val="006E0C1E"/>
    <w:rsid w:val="006E0D54"/>
    <w:rsid w:val="006E0F24"/>
    <w:rsid w:val="006E1353"/>
    <w:rsid w:val="006E139F"/>
    <w:rsid w:val="006E1D22"/>
    <w:rsid w:val="006E1D9E"/>
    <w:rsid w:val="006E262D"/>
    <w:rsid w:val="006E2654"/>
    <w:rsid w:val="006E2B18"/>
    <w:rsid w:val="006E30F7"/>
    <w:rsid w:val="006E37C0"/>
    <w:rsid w:val="006E4494"/>
    <w:rsid w:val="006E499B"/>
    <w:rsid w:val="006E49A6"/>
    <w:rsid w:val="006E52E6"/>
    <w:rsid w:val="006E5907"/>
    <w:rsid w:val="006E5F11"/>
    <w:rsid w:val="006E617E"/>
    <w:rsid w:val="006E6A01"/>
    <w:rsid w:val="006E6A38"/>
    <w:rsid w:val="006E6F30"/>
    <w:rsid w:val="006E7039"/>
    <w:rsid w:val="006E709B"/>
    <w:rsid w:val="006E7249"/>
    <w:rsid w:val="006E725F"/>
    <w:rsid w:val="006E7911"/>
    <w:rsid w:val="006E7B46"/>
    <w:rsid w:val="006E7F14"/>
    <w:rsid w:val="006F01DE"/>
    <w:rsid w:val="006F040F"/>
    <w:rsid w:val="006F1136"/>
    <w:rsid w:val="006F1311"/>
    <w:rsid w:val="006F16A3"/>
    <w:rsid w:val="006F1858"/>
    <w:rsid w:val="006F18BE"/>
    <w:rsid w:val="006F18E2"/>
    <w:rsid w:val="006F1E29"/>
    <w:rsid w:val="006F1ECE"/>
    <w:rsid w:val="006F213A"/>
    <w:rsid w:val="006F29C7"/>
    <w:rsid w:val="006F2BBC"/>
    <w:rsid w:val="006F2CA4"/>
    <w:rsid w:val="006F2E78"/>
    <w:rsid w:val="006F2F0F"/>
    <w:rsid w:val="006F30E8"/>
    <w:rsid w:val="006F433B"/>
    <w:rsid w:val="006F4DF0"/>
    <w:rsid w:val="006F535B"/>
    <w:rsid w:val="006F54C5"/>
    <w:rsid w:val="006F550A"/>
    <w:rsid w:val="006F58EC"/>
    <w:rsid w:val="006F5B44"/>
    <w:rsid w:val="006F61BB"/>
    <w:rsid w:val="006F641F"/>
    <w:rsid w:val="006F645B"/>
    <w:rsid w:val="006F6BCA"/>
    <w:rsid w:val="006F6D27"/>
    <w:rsid w:val="006F7746"/>
    <w:rsid w:val="006F7AA3"/>
    <w:rsid w:val="006F7C23"/>
    <w:rsid w:val="0070022A"/>
    <w:rsid w:val="00700745"/>
    <w:rsid w:val="00700E27"/>
    <w:rsid w:val="007010E9"/>
    <w:rsid w:val="007010FB"/>
    <w:rsid w:val="007021FC"/>
    <w:rsid w:val="00702428"/>
    <w:rsid w:val="007025ED"/>
    <w:rsid w:val="00702C1E"/>
    <w:rsid w:val="007032F5"/>
    <w:rsid w:val="007034AF"/>
    <w:rsid w:val="007037D7"/>
    <w:rsid w:val="007039E1"/>
    <w:rsid w:val="00703C86"/>
    <w:rsid w:val="00704286"/>
    <w:rsid w:val="00704311"/>
    <w:rsid w:val="007053D4"/>
    <w:rsid w:val="00705920"/>
    <w:rsid w:val="00705A92"/>
    <w:rsid w:val="00705CE2"/>
    <w:rsid w:val="00705D4A"/>
    <w:rsid w:val="00705EA2"/>
    <w:rsid w:val="00706408"/>
    <w:rsid w:val="00706529"/>
    <w:rsid w:val="007070A1"/>
    <w:rsid w:val="00707598"/>
    <w:rsid w:val="007078A4"/>
    <w:rsid w:val="00707A1C"/>
    <w:rsid w:val="00707B6E"/>
    <w:rsid w:val="00707CC0"/>
    <w:rsid w:val="00707ECD"/>
    <w:rsid w:val="007101BC"/>
    <w:rsid w:val="007101C8"/>
    <w:rsid w:val="007109CF"/>
    <w:rsid w:val="00710ADE"/>
    <w:rsid w:val="00710AF9"/>
    <w:rsid w:val="00710DE4"/>
    <w:rsid w:val="00710F8E"/>
    <w:rsid w:val="007114A9"/>
    <w:rsid w:val="0071164E"/>
    <w:rsid w:val="00711835"/>
    <w:rsid w:val="00711931"/>
    <w:rsid w:val="00711AAE"/>
    <w:rsid w:val="00711E61"/>
    <w:rsid w:val="00712B18"/>
    <w:rsid w:val="00712D3D"/>
    <w:rsid w:val="007132D1"/>
    <w:rsid w:val="00713A2E"/>
    <w:rsid w:val="00713BBC"/>
    <w:rsid w:val="0071422B"/>
    <w:rsid w:val="00714ACD"/>
    <w:rsid w:val="00715256"/>
    <w:rsid w:val="007153FF"/>
    <w:rsid w:val="0071554A"/>
    <w:rsid w:val="007156CD"/>
    <w:rsid w:val="007156D2"/>
    <w:rsid w:val="007168A4"/>
    <w:rsid w:val="00716982"/>
    <w:rsid w:val="00716B74"/>
    <w:rsid w:val="00716D21"/>
    <w:rsid w:val="0072046B"/>
    <w:rsid w:val="007213ED"/>
    <w:rsid w:val="0072183F"/>
    <w:rsid w:val="00721998"/>
    <w:rsid w:val="007219A2"/>
    <w:rsid w:val="00722180"/>
    <w:rsid w:val="007225D6"/>
    <w:rsid w:val="00722697"/>
    <w:rsid w:val="00722847"/>
    <w:rsid w:val="00722918"/>
    <w:rsid w:val="007230AE"/>
    <w:rsid w:val="00724206"/>
    <w:rsid w:val="007244C5"/>
    <w:rsid w:val="0072473C"/>
    <w:rsid w:val="00724AB6"/>
    <w:rsid w:val="00724EA2"/>
    <w:rsid w:val="0072500B"/>
    <w:rsid w:val="00725286"/>
    <w:rsid w:val="00725562"/>
    <w:rsid w:val="007255DA"/>
    <w:rsid w:val="00725C26"/>
    <w:rsid w:val="00725CE6"/>
    <w:rsid w:val="00725EB0"/>
    <w:rsid w:val="00726096"/>
    <w:rsid w:val="00726183"/>
    <w:rsid w:val="00726311"/>
    <w:rsid w:val="00726941"/>
    <w:rsid w:val="00726995"/>
    <w:rsid w:val="00726E20"/>
    <w:rsid w:val="007270B4"/>
    <w:rsid w:val="00727351"/>
    <w:rsid w:val="00727CA4"/>
    <w:rsid w:val="00727CD5"/>
    <w:rsid w:val="00730186"/>
    <w:rsid w:val="0073058E"/>
    <w:rsid w:val="00730744"/>
    <w:rsid w:val="00730A2B"/>
    <w:rsid w:val="00730CAB"/>
    <w:rsid w:val="00730E10"/>
    <w:rsid w:val="0073121A"/>
    <w:rsid w:val="007315B9"/>
    <w:rsid w:val="00731752"/>
    <w:rsid w:val="00731D07"/>
    <w:rsid w:val="00732A97"/>
    <w:rsid w:val="00732CE2"/>
    <w:rsid w:val="0073380E"/>
    <w:rsid w:val="007338DB"/>
    <w:rsid w:val="00734415"/>
    <w:rsid w:val="007346E8"/>
    <w:rsid w:val="00734816"/>
    <w:rsid w:val="00734A5F"/>
    <w:rsid w:val="0073520C"/>
    <w:rsid w:val="007365A6"/>
    <w:rsid w:val="00736F81"/>
    <w:rsid w:val="00736F9A"/>
    <w:rsid w:val="00737646"/>
    <w:rsid w:val="0073770A"/>
    <w:rsid w:val="00737DE6"/>
    <w:rsid w:val="00737E6C"/>
    <w:rsid w:val="00740DF9"/>
    <w:rsid w:val="007413A7"/>
    <w:rsid w:val="00741DC2"/>
    <w:rsid w:val="00741F88"/>
    <w:rsid w:val="007424B2"/>
    <w:rsid w:val="00742F82"/>
    <w:rsid w:val="0074343C"/>
    <w:rsid w:val="0074352A"/>
    <w:rsid w:val="007437A0"/>
    <w:rsid w:val="00743D15"/>
    <w:rsid w:val="0074437B"/>
    <w:rsid w:val="00744693"/>
    <w:rsid w:val="007458DD"/>
    <w:rsid w:val="00745AEE"/>
    <w:rsid w:val="00745E38"/>
    <w:rsid w:val="007461CF"/>
    <w:rsid w:val="007465D1"/>
    <w:rsid w:val="00746943"/>
    <w:rsid w:val="00746D62"/>
    <w:rsid w:val="0074710C"/>
    <w:rsid w:val="0074751E"/>
    <w:rsid w:val="00747590"/>
    <w:rsid w:val="0074773C"/>
    <w:rsid w:val="00747F4A"/>
    <w:rsid w:val="007504AA"/>
    <w:rsid w:val="00750BA4"/>
    <w:rsid w:val="00750FB2"/>
    <w:rsid w:val="00751870"/>
    <w:rsid w:val="00751A53"/>
    <w:rsid w:val="0075208C"/>
    <w:rsid w:val="007524B2"/>
    <w:rsid w:val="00753379"/>
    <w:rsid w:val="00753922"/>
    <w:rsid w:val="00753949"/>
    <w:rsid w:val="007539FC"/>
    <w:rsid w:val="00753AFD"/>
    <w:rsid w:val="00753FF6"/>
    <w:rsid w:val="007545A6"/>
    <w:rsid w:val="00754D53"/>
    <w:rsid w:val="00754F93"/>
    <w:rsid w:val="00755021"/>
    <w:rsid w:val="0075507B"/>
    <w:rsid w:val="007558F9"/>
    <w:rsid w:val="00755B00"/>
    <w:rsid w:val="00755B3C"/>
    <w:rsid w:val="007560A4"/>
    <w:rsid w:val="00756180"/>
    <w:rsid w:val="00756653"/>
    <w:rsid w:val="007569D9"/>
    <w:rsid w:val="00756B25"/>
    <w:rsid w:val="00757B17"/>
    <w:rsid w:val="00757B26"/>
    <w:rsid w:val="00757C24"/>
    <w:rsid w:val="00757F42"/>
    <w:rsid w:val="00760300"/>
    <w:rsid w:val="0076058F"/>
    <w:rsid w:val="007605AD"/>
    <w:rsid w:val="00760A4E"/>
    <w:rsid w:val="00760AD6"/>
    <w:rsid w:val="00760C5B"/>
    <w:rsid w:val="0076154B"/>
    <w:rsid w:val="00761754"/>
    <w:rsid w:val="00761A66"/>
    <w:rsid w:val="00761B0F"/>
    <w:rsid w:val="007620D4"/>
    <w:rsid w:val="007620FA"/>
    <w:rsid w:val="0076217F"/>
    <w:rsid w:val="00762370"/>
    <w:rsid w:val="00762707"/>
    <w:rsid w:val="00762EE9"/>
    <w:rsid w:val="0076313C"/>
    <w:rsid w:val="00763206"/>
    <w:rsid w:val="007634CB"/>
    <w:rsid w:val="007634DB"/>
    <w:rsid w:val="00763820"/>
    <w:rsid w:val="00763B23"/>
    <w:rsid w:val="00763E1E"/>
    <w:rsid w:val="00763EF8"/>
    <w:rsid w:val="00764854"/>
    <w:rsid w:val="007649B3"/>
    <w:rsid w:val="00764E59"/>
    <w:rsid w:val="00765685"/>
    <w:rsid w:val="00765A1C"/>
    <w:rsid w:val="0076602B"/>
    <w:rsid w:val="007661B5"/>
    <w:rsid w:val="007663A8"/>
    <w:rsid w:val="007665DB"/>
    <w:rsid w:val="00766A67"/>
    <w:rsid w:val="00766B5C"/>
    <w:rsid w:val="00766F9B"/>
    <w:rsid w:val="007676FD"/>
    <w:rsid w:val="0077015C"/>
    <w:rsid w:val="0077028B"/>
    <w:rsid w:val="0077034E"/>
    <w:rsid w:val="007706A3"/>
    <w:rsid w:val="00770AE7"/>
    <w:rsid w:val="00770C54"/>
    <w:rsid w:val="00770CB9"/>
    <w:rsid w:val="00770D91"/>
    <w:rsid w:val="00770E61"/>
    <w:rsid w:val="0077148D"/>
    <w:rsid w:val="0077173D"/>
    <w:rsid w:val="0077176E"/>
    <w:rsid w:val="00772830"/>
    <w:rsid w:val="00772E76"/>
    <w:rsid w:val="00772F04"/>
    <w:rsid w:val="007734F7"/>
    <w:rsid w:val="00773822"/>
    <w:rsid w:val="00773A84"/>
    <w:rsid w:val="00773E09"/>
    <w:rsid w:val="00774BBF"/>
    <w:rsid w:val="00775616"/>
    <w:rsid w:val="00775889"/>
    <w:rsid w:val="00775C13"/>
    <w:rsid w:val="00775CAB"/>
    <w:rsid w:val="00775ED9"/>
    <w:rsid w:val="0077600F"/>
    <w:rsid w:val="0077689C"/>
    <w:rsid w:val="00776E86"/>
    <w:rsid w:val="00777086"/>
    <w:rsid w:val="00777088"/>
    <w:rsid w:val="0077708F"/>
    <w:rsid w:val="007775E2"/>
    <w:rsid w:val="00777C1A"/>
    <w:rsid w:val="00777F87"/>
    <w:rsid w:val="0078026D"/>
    <w:rsid w:val="0078071C"/>
    <w:rsid w:val="00780D46"/>
    <w:rsid w:val="0078146A"/>
    <w:rsid w:val="00781624"/>
    <w:rsid w:val="00781999"/>
    <w:rsid w:val="00781EE4"/>
    <w:rsid w:val="00781F4E"/>
    <w:rsid w:val="00782206"/>
    <w:rsid w:val="00782315"/>
    <w:rsid w:val="00782500"/>
    <w:rsid w:val="00782DD1"/>
    <w:rsid w:val="007831ED"/>
    <w:rsid w:val="007836D8"/>
    <w:rsid w:val="00783F5E"/>
    <w:rsid w:val="007842C3"/>
    <w:rsid w:val="00785548"/>
    <w:rsid w:val="00785770"/>
    <w:rsid w:val="00785B9C"/>
    <w:rsid w:val="00785C1D"/>
    <w:rsid w:val="00785E4A"/>
    <w:rsid w:val="00785F0E"/>
    <w:rsid w:val="0078603F"/>
    <w:rsid w:val="007864F4"/>
    <w:rsid w:val="007866F8"/>
    <w:rsid w:val="00786A2E"/>
    <w:rsid w:val="00786D2C"/>
    <w:rsid w:val="00786F6D"/>
    <w:rsid w:val="007871A0"/>
    <w:rsid w:val="007871CB"/>
    <w:rsid w:val="007903A3"/>
    <w:rsid w:val="00790765"/>
    <w:rsid w:val="00790C3A"/>
    <w:rsid w:val="007916E7"/>
    <w:rsid w:val="007919E4"/>
    <w:rsid w:val="00791C0D"/>
    <w:rsid w:val="00791E54"/>
    <w:rsid w:val="007928F9"/>
    <w:rsid w:val="00792F51"/>
    <w:rsid w:val="0079331D"/>
    <w:rsid w:val="00794775"/>
    <w:rsid w:val="00794ADE"/>
    <w:rsid w:val="00794F0D"/>
    <w:rsid w:val="0079577C"/>
    <w:rsid w:val="007958DE"/>
    <w:rsid w:val="00796EA4"/>
    <w:rsid w:val="00797325"/>
    <w:rsid w:val="007979E0"/>
    <w:rsid w:val="00797A01"/>
    <w:rsid w:val="007A0498"/>
    <w:rsid w:val="007A0D93"/>
    <w:rsid w:val="007A1076"/>
    <w:rsid w:val="007A10FF"/>
    <w:rsid w:val="007A137E"/>
    <w:rsid w:val="007A1614"/>
    <w:rsid w:val="007A1A6A"/>
    <w:rsid w:val="007A1C09"/>
    <w:rsid w:val="007A25EA"/>
    <w:rsid w:val="007A2A47"/>
    <w:rsid w:val="007A335B"/>
    <w:rsid w:val="007A34B2"/>
    <w:rsid w:val="007A3544"/>
    <w:rsid w:val="007A362D"/>
    <w:rsid w:val="007A3B52"/>
    <w:rsid w:val="007A3D48"/>
    <w:rsid w:val="007A4119"/>
    <w:rsid w:val="007A4191"/>
    <w:rsid w:val="007A422F"/>
    <w:rsid w:val="007A49DF"/>
    <w:rsid w:val="007A4C2E"/>
    <w:rsid w:val="007A5552"/>
    <w:rsid w:val="007A56CB"/>
    <w:rsid w:val="007A5854"/>
    <w:rsid w:val="007A58D8"/>
    <w:rsid w:val="007A58F3"/>
    <w:rsid w:val="007A597D"/>
    <w:rsid w:val="007A5C83"/>
    <w:rsid w:val="007A6124"/>
    <w:rsid w:val="007A6714"/>
    <w:rsid w:val="007A6E54"/>
    <w:rsid w:val="007A717C"/>
    <w:rsid w:val="007A74A0"/>
    <w:rsid w:val="007A77F3"/>
    <w:rsid w:val="007B06E6"/>
    <w:rsid w:val="007B08AA"/>
    <w:rsid w:val="007B0C9E"/>
    <w:rsid w:val="007B0E19"/>
    <w:rsid w:val="007B0E9D"/>
    <w:rsid w:val="007B1463"/>
    <w:rsid w:val="007B14D0"/>
    <w:rsid w:val="007B2A9C"/>
    <w:rsid w:val="007B2C7D"/>
    <w:rsid w:val="007B33B1"/>
    <w:rsid w:val="007B3435"/>
    <w:rsid w:val="007B350A"/>
    <w:rsid w:val="007B36EC"/>
    <w:rsid w:val="007B38F9"/>
    <w:rsid w:val="007B4066"/>
    <w:rsid w:val="007B427A"/>
    <w:rsid w:val="007B4428"/>
    <w:rsid w:val="007B44A2"/>
    <w:rsid w:val="007B497E"/>
    <w:rsid w:val="007B4B2A"/>
    <w:rsid w:val="007B50DD"/>
    <w:rsid w:val="007B52AD"/>
    <w:rsid w:val="007B538B"/>
    <w:rsid w:val="007B5860"/>
    <w:rsid w:val="007B597A"/>
    <w:rsid w:val="007B5EEE"/>
    <w:rsid w:val="007B6123"/>
    <w:rsid w:val="007B61FC"/>
    <w:rsid w:val="007B65BD"/>
    <w:rsid w:val="007B6D81"/>
    <w:rsid w:val="007B6DC7"/>
    <w:rsid w:val="007B7264"/>
    <w:rsid w:val="007B75DE"/>
    <w:rsid w:val="007B75F9"/>
    <w:rsid w:val="007B782E"/>
    <w:rsid w:val="007B7E0B"/>
    <w:rsid w:val="007C0166"/>
    <w:rsid w:val="007C04A2"/>
    <w:rsid w:val="007C0600"/>
    <w:rsid w:val="007C0C52"/>
    <w:rsid w:val="007C0E43"/>
    <w:rsid w:val="007C1659"/>
    <w:rsid w:val="007C1DF9"/>
    <w:rsid w:val="007C1FDF"/>
    <w:rsid w:val="007C2B1F"/>
    <w:rsid w:val="007C2F69"/>
    <w:rsid w:val="007C30F8"/>
    <w:rsid w:val="007C3558"/>
    <w:rsid w:val="007C3D8E"/>
    <w:rsid w:val="007C3F3C"/>
    <w:rsid w:val="007C3F6D"/>
    <w:rsid w:val="007C3F7C"/>
    <w:rsid w:val="007C412A"/>
    <w:rsid w:val="007C4183"/>
    <w:rsid w:val="007C4786"/>
    <w:rsid w:val="007C492E"/>
    <w:rsid w:val="007C549D"/>
    <w:rsid w:val="007C5A3C"/>
    <w:rsid w:val="007C5FA3"/>
    <w:rsid w:val="007C60F6"/>
    <w:rsid w:val="007C6274"/>
    <w:rsid w:val="007C7172"/>
    <w:rsid w:val="007C734C"/>
    <w:rsid w:val="007C7888"/>
    <w:rsid w:val="007C7CE6"/>
    <w:rsid w:val="007C7D91"/>
    <w:rsid w:val="007D0023"/>
    <w:rsid w:val="007D0285"/>
    <w:rsid w:val="007D0AF6"/>
    <w:rsid w:val="007D1920"/>
    <w:rsid w:val="007D1D23"/>
    <w:rsid w:val="007D1D59"/>
    <w:rsid w:val="007D27DA"/>
    <w:rsid w:val="007D2B46"/>
    <w:rsid w:val="007D2DB1"/>
    <w:rsid w:val="007D2E13"/>
    <w:rsid w:val="007D2E29"/>
    <w:rsid w:val="007D2ED2"/>
    <w:rsid w:val="007D2F5F"/>
    <w:rsid w:val="007D3291"/>
    <w:rsid w:val="007D3425"/>
    <w:rsid w:val="007D3435"/>
    <w:rsid w:val="007D363C"/>
    <w:rsid w:val="007D3B76"/>
    <w:rsid w:val="007D3C09"/>
    <w:rsid w:val="007D3C92"/>
    <w:rsid w:val="007D3D74"/>
    <w:rsid w:val="007D47CE"/>
    <w:rsid w:val="007D495B"/>
    <w:rsid w:val="007D5145"/>
    <w:rsid w:val="007D51BD"/>
    <w:rsid w:val="007D56B4"/>
    <w:rsid w:val="007D5915"/>
    <w:rsid w:val="007D59DA"/>
    <w:rsid w:val="007D5C45"/>
    <w:rsid w:val="007D61D5"/>
    <w:rsid w:val="007D6232"/>
    <w:rsid w:val="007D6356"/>
    <w:rsid w:val="007D6BD3"/>
    <w:rsid w:val="007D6DF7"/>
    <w:rsid w:val="007D7030"/>
    <w:rsid w:val="007D7646"/>
    <w:rsid w:val="007D78A6"/>
    <w:rsid w:val="007D793D"/>
    <w:rsid w:val="007D7AD7"/>
    <w:rsid w:val="007D7CE5"/>
    <w:rsid w:val="007D7DC5"/>
    <w:rsid w:val="007D7F5F"/>
    <w:rsid w:val="007E0104"/>
    <w:rsid w:val="007E02A4"/>
    <w:rsid w:val="007E0481"/>
    <w:rsid w:val="007E1454"/>
    <w:rsid w:val="007E17DA"/>
    <w:rsid w:val="007E199F"/>
    <w:rsid w:val="007E19AF"/>
    <w:rsid w:val="007E1A62"/>
    <w:rsid w:val="007E256C"/>
    <w:rsid w:val="007E25B5"/>
    <w:rsid w:val="007E2736"/>
    <w:rsid w:val="007E29D9"/>
    <w:rsid w:val="007E2CCC"/>
    <w:rsid w:val="007E2D98"/>
    <w:rsid w:val="007E2FEF"/>
    <w:rsid w:val="007E3232"/>
    <w:rsid w:val="007E3372"/>
    <w:rsid w:val="007E34AC"/>
    <w:rsid w:val="007E3585"/>
    <w:rsid w:val="007E3797"/>
    <w:rsid w:val="007E382C"/>
    <w:rsid w:val="007E3890"/>
    <w:rsid w:val="007E3C16"/>
    <w:rsid w:val="007E4061"/>
    <w:rsid w:val="007E4822"/>
    <w:rsid w:val="007E4C05"/>
    <w:rsid w:val="007E4C96"/>
    <w:rsid w:val="007E57A0"/>
    <w:rsid w:val="007E59A1"/>
    <w:rsid w:val="007E5CB7"/>
    <w:rsid w:val="007E6025"/>
    <w:rsid w:val="007E7254"/>
    <w:rsid w:val="007E727F"/>
    <w:rsid w:val="007E76D4"/>
    <w:rsid w:val="007E7750"/>
    <w:rsid w:val="007E7A08"/>
    <w:rsid w:val="007E7A69"/>
    <w:rsid w:val="007E7B37"/>
    <w:rsid w:val="007E7C82"/>
    <w:rsid w:val="007E7DAA"/>
    <w:rsid w:val="007E7F5A"/>
    <w:rsid w:val="007E7FAF"/>
    <w:rsid w:val="007F0016"/>
    <w:rsid w:val="007F0364"/>
    <w:rsid w:val="007F13C4"/>
    <w:rsid w:val="007F17ED"/>
    <w:rsid w:val="007F22AF"/>
    <w:rsid w:val="007F24AA"/>
    <w:rsid w:val="007F2858"/>
    <w:rsid w:val="007F28DE"/>
    <w:rsid w:val="007F3A1B"/>
    <w:rsid w:val="007F3F06"/>
    <w:rsid w:val="007F44B3"/>
    <w:rsid w:val="007F47D8"/>
    <w:rsid w:val="007F48D6"/>
    <w:rsid w:val="007F4C25"/>
    <w:rsid w:val="007F4DBA"/>
    <w:rsid w:val="007F4EFE"/>
    <w:rsid w:val="007F5919"/>
    <w:rsid w:val="007F5BC6"/>
    <w:rsid w:val="007F6156"/>
    <w:rsid w:val="007F6565"/>
    <w:rsid w:val="007F6876"/>
    <w:rsid w:val="007F7AD5"/>
    <w:rsid w:val="008007AE"/>
    <w:rsid w:val="00800AC0"/>
    <w:rsid w:val="008011DC"/>
    <w:rsid w:val="008013A3"/>
    <w:rsid w:val="008016C2"/>
    <w:rsid w:val="00801DDB"/>
    <w:rsid w:val="0080206F"/>
    <w:rsid w:val="00802E76"/>
    <w:rsid w:val="00802FA3"/>
    <w:rsid w:val="00803A29"/>
    <w:rsid w:val="00803A98"/>
    <w:rsid w:val="00803C40"/>
    <w:rsid w:val="00803E2D"/>
    <w:rsid w:val="00804545"/>
    <w:rsid w:val="00804934"/>
    <w:rsid w:val="00804F75"/>
    <w:rsid w:val="00806F5A"/>
    <w:rsid w:val="0080792A"/>
    <w:rsid w:val="008079CF"/>
    <w:rsid w:val="00807AA9"/>
    <w:rsid w:val="00807B31"/>
    <w:rsid w:val="00807FCF"/>
    <w:rsid w:val="008104C5"/>
    <w:rsid w:val="008109AA"/>
    <w:rsid w:val="00810A3C"/>
    <w:rsid w:val="00811A00"/>
    <w:rsid w:val="00811C1C"/>
    <w:rsid w:val="00811FE9"/>
    <w:rsid w:val="00812269"/>
    <w:rsid w:val="008124B0"/>
    <w:rsid w:val="00812624"/>
    <w:rsid w:val="00812995"/>
    <w:rsid w:val="00812A63"/>
    <w:rsid w:val="00812C5C"/>
    <w:rsid w:val="008131FC"/>
    <w:rsid w:val="00813318"/>
    <w:rsid w:val="00813D84"/>
    <w:rsid w:val="008140BA"/>
    <w:rsid w:val="0081443F"/>
    <w:rsid w:val="00814525"/>
    <w:rsid w:val="00814885"/>
    <w:rsid w:val="008149F7"/>
    <w:rsid w:val="00815D7D"/>
    <w:rsid w:val="00815EB7"/>
    <w:rsid w:val="00816528"/>
    <w:rsid w:val="008168F5"/>
    <w:rsid w:val="00816DA7"/>
    <w:rsid w:val="00817D15"/>
    <w:rsid w:val="00820303"/>
    <w:rsid w:val="008206E5"/>
    <w:rsid w:val="00820728"/>
    <w:rsid w:val="00820C8A"/>
    <w:rsid w:val="008216DF"/>
    <w:rsid w:val="00821731"/>
    <w:rsid w:val="00821FEF"/>
    <w:rsid w:val="008220DE"/>
    <w:rsid w:val="00822490"/>
    <w:rsid w:val="008225B7"/>
    <w:rsid w:val="00822637"/>
    <w:rsid w:val="008226F5"/>
    <w:rsid w:val="00822C05"/>
    <w:rsid w:val="00822F32"/>
    <w:rsid w:val="008231F6"/>
    <w:rsid w:val="00823506"/>
    <w:rsid w:val="0082368E"/>
    <w:rsid w:val="00823AAC"/>
    <w:rsid w:val="0082410F"/>
    <w:rsid w:val="0082414B"/>
    <w:rsid w:val="008249C4"/>
    <w:rsid w:val="00824BBE"/>
    <w:rsid w:val="00824D8C"/>
    <w:rsid w:val="00825042"/>
    <w:rsid w:val="0082528B"/>
    <w:rsid w:val="008264CD"/>
    <w:rsid w:val="00826F0F"/>
    <w:rsid w:val="00826FEF"/>
    <w:rsid w:val="0082743F"/>
    <w:rsid w:val="0082788A"/>
    <w:rsid w:val="00827D7B"/>
    <w:rsid w:val="00827EAD"/>
    <w:rsid w:val="00827FFB"/>
    <w:rsid w:val="00830251"/>
    <w:rsid w:val="008308D2"/>
    <w:rsid w:val="00830BEB"/>
    <w:rsid w:val="00830CA0"/>
    <w:rsid w:val="00831560"/>
    <w:rsid w:val="008315FA"/>
    <w:rsid w:val="00831EB6"/>
    <w:rsid w:val="0083250B"/>
    <w:rsid w:val="008325EA"/>
    <w:rsid w:val="00832733"/>
    <w:rsid w:val="00832C07"/>
    <w:rsid w:val="00832C16"/>
    <w:rsid w:val="00832CBC"/>
    <w:rsid w:val="00832EE7"/>
    <w:rsid w:val="00833604"/>
    <w:rsid w:val="00833EC0"/>
    <w:rsid w:val="008341CE"/>
    <w:rsid w:val="008346DA"/>
    <w:rsid w:val="00834F33"/>
    <w:rsid w:val="008350BA"/>
    <w:rsid w:val="008352A1"/>
    <w:rsid w:val="00835696"/>
    <w:rsid w:val="008359FC"/>
    <w:rsid w:val="00835D76"/>
    <w:rsid w:val="0083612D"/>
    <w:rsid w:val="00836161"/>
    <w:rsid w:val="00836B3A"/>
    <w:rsid w:val="00837481"/>
    <w:rsid w:val="0083764A"/>
    <w:rsid w:val="008377F4"/>
    <w:rsid w:val="00840345"/>
    <w:rsid w:val="008404BD"/>
    <w:rsid w:val="0084099C"/>
    <w:rsid w:val="00840CCC"/>
    <w:rsid w:val="00841CAA"/>
    <w:rsid w:val="00841F34"/>
    <w:rsid w:val="008420A6"/>
    <w:rsid w:val="0084226B"/>
    <w:rsid w:val="008427D8"/>
    <w:rsid w:val="00842A8E"/>
    <w:rsid w:val="00842B35"/>
    <w:rsid w:val="00842BBA"/>
    <w:rsid w:val="00842C89"/>
    <w:rsid w:val="00842DDC"/>
    <w:rsid w:val="00843382"/>
    <w:rsid w:val="00843419"/>
    <w:rsid w:val="0084343B"/>
    <w:rsid w:val="00843561"/>
    <w:rsid w:val="008438F4"/>
    <w:rsid w:val="00843AD0"/>
    <w:rsid w:val="00843E68"/>
    <w:rsid w:val="00843F63"/>
    <w:rsid w:val="00844346"/>
    <w:rsid w:val="00844B04"/>
    <w:rsid w:val="00844B3B"/>
    <w:rsid w:val="008450E9"/>
    <w:rsid w:val="00845221"/>
    <w:rsid w:val="00845973"/>
    <w:rsid w:val="00845BA7"/>
    <w:rsid w:val="00845C6C"/>
    <w:rsid w:val="00846CCA"/>
    <w:rsid w:val="008478F5"/>
    <w:rsid w:val="008501CD"/>
    <w:rsid w:val="00850A07"/>
    <w:rsid w:val="00850D98"/>
    <w:rsid w:val="00850DA6"/>
    <w:rsid w:val="00851428"/>
    <w:rsid w:val="008518FA"/>
    <w:rsid w:val="00851A99"/>
    <w:rsid w:val="00851F24"/>
    <w:rsid w:val="0085249F"/>
    <w:rsid w:val="008525E0"/>
    <w:rsid w:val="0085317B"/>
    <w:rsid w:val="008531F7"/>
    <w:rsid w:val="00853214"/>
    <w:rsid w:val="008533FF"/>
    <w:rsid w:val="00853598"/>
    <w:rsid w:val="008538A8"/>
    <w:rsid w:val="008541D2"/>
    <w:rsid w:val="00854305"/>
    <w:rsid w:val="008549B2"/>
    <w:rsid w:val="00854E45"/>
    <w:rsid w:val="00855F48"/>
    <w:rsid w:val="0085617A"/>
    <w:rsid w:val="008565C4"/>
    <w:rsid w:val="008566C1"/>
    <w:rsid w:val="00856781"/>
    <w:rsid w:val="00856C2B"/>
    <w:rsid w:val="0085780A"/>
    <w:rsid w:val="00857E64"/>
    <w:rsid w:val="0086053B"/>
    <w:rsid w:val="00860C76"/>
    <w:rsid w:val="0086259D"/>
    <w:rsid w:val="00862D5D"/>
    <w:rsid w:val="00862E60"/>
    <w:rsid w:val="00862EEC"/>
    <w:rsid w:val="008633A0"/>
    <w:rsid w:val="008639C1"/>
    <w:rsid w:val="00863A76"/>
    <w:rsid w:val="00863FCF"/>
    <w:rsid w:val="00864ABA"/>
    <w:rsid w:val="00864BFB"/>
    <w:rsid w:val="00864C59"/>
    <w:rsid w:val="00865372"/>
    <w:rsid w:val="00865379"/>
    <w:rsid w:val="00865B90"/>
    <w:rsid w:val="00865C15"/>
    <w:rsid w:val="00865F01"/>
    <w:rsid w:val="00865FCD"/>
    <w:rsid w:val="008665AB"/>
    <w:rsid w:val="00866BB2"/>
    <w:rsid w:val="00866C17"/>
    <w:rsid w:val="00866C19"/>
    <w:rsid w:val="008673C1"/>
    <w:rsid w:val="00867A86"/>
    <w:rsid w:val="00867B7D"/>
    <w:rsid w:val="00867BAF"/>
    <w:rsid w:val="00867BD4"/>
    <w:rsid w:val="0087002E"/>
    <w:rsid w:val="008704BD"/>
    <w:rsid w:val="00870508"/>
    <w:rsid w:val="008710A9"/>
    <w:rsid w:val="008710E9"/>
    <w:rsid w:val="008718BE"/>
    <w:rsid w:val="008719A6"/>
    <w:rsid w:val="00871C1E"/>
    <w:rsid w:val="00872458"/>
    <w:rsid w:val="008728ED"/>
    <w:rsid w:val="008733AD"/>
    <w:rsid w:val="008735D6"/>
    <w:rsid w:val="008737D2"/>
    <w:rsid w:val="0087438C"/>
    <w:rsid w:val="00874839"/>
    <w:rsid w:val="00875306"/>
    <w:rsid w:val="00875410"/>
    <w:rsid w:val="0087550E"/>
    <w:rsid w:val="00875C5E"/>
    <w:rsid w:val="00875CED"/>
    <w:rsid w:val="008760D6"/>
    <w:rsid w:val="008764E0"/>
    <w:rsid w:val="00876BA1"/>
    <w:rsid w:val="00876DA2"/>
    <w:rsid w:val="00877DDF"/>
    <w:rsid w:val="00880060"/>
    <w:rsid w:val="00880273"/>
    <w:rsid w:val="008802DF"/>
    <w:rsid w:val="00880AF3"/>
    <w:rsid w:val="00880D7B"/>
    <w:rsid w:val="008814D6"/>
    <w:rsid w:val="00881685"/>
    <w:rsid w:val="0088198E"/>
    <w:rsid w:val="00881C70"/>
    <w:rsid w:val="00881F17"/>
    <w:rsid w:val="00881F2B"/>
    <w:rsid w:val="008820D3"/>
    <w:rsid w:val="008828B7"/>
    <w:rsid w:val="0088299A"/>
    <w:rsid w:val="008830E2"/>
    <w:rsid w:val="00883396"/>
    <w:rsid w:val="00883642"/>
    <w:rsid w:val="00883E73"/>
    <w:rsid w:val="00883F53"/>
    <w:rsid w:val="00884046"/>
    <w:rsid w:val="008840DD"/>
    <w:rsid w:val="008844EA"/>
    <w:rsid w:val="00884517"/>
    <w:rsid w:val="00884A98"/>
    <w:rsid w:val="00884E79"/>
    <w:rsid w:val="00884F14"/>
    <w:rsid w:val="00884FF8"/>
    <w:rsid w:val="00885CD4"/>
    <w:rsid w:val="008865C9"/>
    <w:rsid w:val="00887200"/>
    <w:rsid w:val="00887488"/>
    <w:rsid w:val="00887692"/>
    <w:rsid w:val="00887996"/>
    <w:rsid w:val="00887A07"/>
    <w:rsid w:val="00890587"/>
    <w:rsid w:val="008906E1"/>
    <w:rsid w:val="00890F2D"/>
    <w:rsid w:val="00890FDD"/>
    <w:rsid w:val="0089144E"/>
    <w:rsid w:val="008917B4"/>
    <w:rsid w:val="008918AF"/>
    <w:rsid w:val="008918EA"/>
    <w:rsid w:val="00891B70"/>
    <w:rsid w:val="0089248E"/>
    <w:rsid w:val="008926F9"/>
    <w:rsid w:val="00892745"/>
    <w:rsid w:val="00892C37"/>
    <w:rsid w:val="00892E9C"/>
    <w:rsid w:val="0089347D"/>
    <w:rsid w:val="008935F1"/>
    <w:rsid w:val="00893A92"/>
    <w:rsid w:val="00893B3A"/>
    <w:rsid w:val="00893E4C"/>
    <w:rsid w:val="00894427"/>
    <w:rsid w:val="00894678"/>
    <w:rsid w:val="00894D2A"/>
    <w:rsid w:val="00895A2B"/>
    <w:rsid w:val="00895C5A"/>
    <w:rsid w:val="008960A3"/>
    <w:rsid w:val="008960FA"/>
    <w:rsid w:val="00896131"/>
    <w:rsid w:val="008963D0"/>
    <w:rsid w:val="008966E9"/>
    <w:rsid w:val="0089682C"/>
    <w:rsid w:val="008969D7"/>
    <w:rsid w:val="00896FFC"/>
    <w:rsid w:val="008970FA"/>
    <w:rsid w:val="00897880"/>
    <w:rsid w:val="008978C9"/>
    <w:rsid w:val="00897924"/>
    <w:rsid w:val="00897BEC"/>
    <w:rsid w:val="00897EF3"/>
    <w:rsid w:val="008A0D6C"/>
    <w:rsid w:val="008A13FB"/>
    <w:rsid w:val="008A16D1"/>
    <w:rsid w:val="008A1828"/>
    <w:rsid w:val="008A1B4E"/>
    <w:rsid w:val="008A246C"/>
    <w:rsid w:val="008A2B40"/>
    <w:rsid w:val="008A2D2C"/>
    <w:rsid w:val="008A2D90"/>
    <w:rsid w:val="008A2EE9"/>
    <w:rsid w:val="008A3F6C"/>
    <w:rsid w:val="008A4203"/>
    <w:rsid w:val="008A485C"/>
    <w:rsid w:val="008A4A9E"/>
    <w:rsid w:val="008A4E67"/>
    <w:rsid w:val="008A5475"/>
    <w:rsid w:val="008A5752"/>
    <w:rsid w:val="008A592D"/>
    <w:rsid w:val="008A5AB2"/>
    <w:rsid w:val="008A6B87"/>
    <w:rsid w:val="008A7183"/>
    <w:rsid w:val="008A7589"/>
    <w:rsid w:val="008A7761"/>
    <w:rsid w:val="008A7B3A"/>
    <w:rsid w:val="008A7BF0"/>
    <w:rsid w:val="008A7FD7"/>
    <w:rsid w:val="008B0101"/>
    <w:rsid w:val="008B05E0"/>
    <w:rsid w:val="008B0683"/>
    <w:rsid w:val="008B0AC2"/>
    <w:rsid w:val="008B0B76"/>
    <w:rsid w:val="008B0C17"/>
    <w:rsid w:val="008B107B"/>
    <w:rsid w:val="008B129C"/>
    <w:rsid w:val="008B151C"/>
    <w:rsid w:val="008B15AB"/>
    <w:rsid w:val="008B1840"/>
    <w:rsid w:val="008B1A5C"/>
    <w:rsid w:val="008B1AA1"/>
    <w:rsid w:val="008B2296"/>
    <w:rsid w:val="008B2C01"/>
    <w:rsid w:val="008B2D35"/>
    <w:rsid w:val="008B3035"/>
    <w:rsid w:val="008B3147"/>
    <w:rsid w:val="008B347A"/>
    <w:rsid w:val="008B3756"/>
    <w:rsid w:val="008B3A7A"/>
    <w:rsid w:val="008B410D"/>
    <w:rsid w:val="008B4672"/>
    <w:rsid w:val="008B47BE"/>
    <w:rsid w:val="008B4B10"/>
    <w:rsid w:val="008B5352"/>
    <w:rsid w:val="008B5C42"/>
    <w:rsid w:val="008B6190"/>
    <w:rsid w:val="008B65A6"/>
    <w:rsid w:val="008B68C1"/>
    <w:rsid w:val="008B6E6B"/>
    <w:rsid w:val="008B6ECE"/>
    <w:rsid w:val="008B6F5E"/>
    <w:rsid w:val="008B739B"/>
    <w:rsid w:val="008B7DBB"/>
    <w:rsid w:val="008C117B"/>
    <w:rsid w:val="008C1884"/>
    <w:rsid w:val="008C1B77"/>
    <w:rsid w:val="008C1F65"/>
    <w:rsid w:val="008C2624"/>
    <w:rsid w:val="008C296B"/>
    <w:rsid w:val="008C2CDE"/>
    <w:rsid w:val="008C2E5A"/>
    <w:rsid w:val="008C34EB"/>
    <w:rsid w:val="008C363A"/>
    <w:rsid w:val="008C3AF3"/>
    <w:rsid w:val="008C41D8"/>
    <w:rsid w:val="008C4798"/>
    <w:rsid w:val="008C4977"/>
    <w:rsid w:val="008C4B2F"/>
    <w:rsid w:val="008C4DE2"/>
    <w:rsid w:val="008C6AA6"/>
    <w:rsid w:val="008C6B40"/>
    <w:rsid w:val="008C6CF7"/>
    <w:rsid w:val="008C76E9"/>
    <w:rsid w:val="008C7832"/>
    <w:rsid w:val="008C7A52"/>
    <w:rsid w:val="008C7D13"/>
    <w:rsid w:val="008C7E39"/>
    <w:rsid w:val="008D03BB"/>
    <w:rsid w:val="008D0458"/>
    <w:rsid w:val="008D04BA"/>
    <w:rsid w:val="008D0656"/>
    <w:rsid w:val="008D0B9E"/>
    <w:rsid w:val="008D0FCD"/>
    <w:rsid w:val="008D1100"/>
    <w:rsid w:val="008D16FB"/>
    <w:rsid w:val="008D213E"/>
    <w:rsid w:val="008D2764"/>
    <w:rsid w:val="008D288C"/>
    <w:rsid w:val="008D28D7"/>
    <w:rsid w:val="008D2953"/>
    <w:rsid w:val="008D29A8"/>
    <w:rsid w:val="008D2D7E"/>
    <w:rsid w:val="008D3196"/>
    <w:rsid w:val="008D3299"/>
    <w:rsid w:val="008D39A5"/>
    <w:rsid w:val="008D3CCE"/>
    <w:rsid w:val="008D411D"/>
    <w:rsid w:val="008D4566"/>
    <w:rsid w:val="008D471F"/>
    <w:rsid w:val="008D4F32"/>
    <w:rsid w:val="008D5003"/>
    <w:rsid w:val="008D5FCE"/>
    <w:rsid w:val="008D60B4"/>
    <w:rsid w:val="008D6399"/>
    <w:rsid w:val="008D67AA"/>
    <w:rsid w:val="008D6D5B"/>
    <w:rsid w:val="008D744E"/>
    <w:rsid w:val="008D77EF"/>
    <w:rsid w:val="008D7877"/>
    <w:rsid w:val="008D78A1"/>
    <w:rsid w:val="008E0675"/>
    <w:rsid w:val="008E0A86"/>
    <w:rsid w:val="008E0E52"/>
    <w:rsid w:val="008E0E83"/>
    <w:rsid w:val="008E0E95"/>
    <w:rsid w:val="008E0EFD"/>
    <w:rsid w:val="008E155B"/>
    <w:rsid w:val="008E16F8"/>
    <w:rsid w:val="008E1F6E"/>
    <w:rsid w:val="008E258B"/>
    <w:rsid w:val="008E28DA"/>
    <w:rsid w:val="008E2D12"/>
    <w:rsid w:val="008E2D8D"/>
    <w:rsid w:val="008E2FA6"/>
    <w:rsid w:val="008E396B"/>
    <w:rsid w:val="008E39AF"/>
    <w:rsid w:val="008E3E6C"/>
    <w:rsid w:val="008E4105"/>
    <w:rsid w:val="008E4758"/>
    <w:rsid w:val="008E4D1F"/>
    <w:rsid w:val="008E4EA2"/>
    <w:rsid w:val="008E53BE"/>
    <w:rsid w:val="008E57D3"/>
    <w:rsid w:val="008E5BA0"/>
    <w:rsid w:val="008E5BBE"/>
    <w:rsid w:val="008E63E5"/>
    <w:rsid w:val="008E64DC"/>
    <w:rsid w:val="008E6632"/>
    <w:rsid w:val="008E6812"/>
    <w:rsid w:val="008E6900"/>
    <w:rsid w:val="008E69E8"/>
    <w:rsid w:val="008E6D37"/>
    <w:rsid w:val="008E6FF6"/>
    <w:rsid w:val="008E71EC"/>
    <w:rsid w:val="008E7D3B"/>
    <w:rsid w:val="008E7DB8"/>
    <w:rsid w:val="008E7E72"/>
    <w:rsid w:val="008E7FC8"/>
    <w:rsid w:val="008F00C9"/>
    <w:rsid w:val="008F0332"/>
    <w:rsid w:val="008F0A55"/>
    <w:rsid w:val="008F1170"/>
    <w:rsid w:val="008F1A87"/>
    <w:rsid w:val="008F1D7D"/>
    <w:rsid w:val="008F253E"/>
    <w:rsid w:val="008F2681"/>
    <w:rsid w:val="008F28DA"/>
    <w:rsid w:val="008F28ED"/>
    <w:rsid w:val="008F2C45"/>
    <w:rsid w:val="008F33A9"/>
    <w:rsid w:val="008F33FF"/>
    <w:rsid w:val="008F3DCB"/>
    <w:rsid w:val="008F4051"/>
    <w:rsid w:val="008F42EF"/>
    <w:rsid w:val="008F43A6"/>
    <w:rsid w:val="008F44FA"/>
    <w:rsid w:val="008F45CF"/>
    <w:rsid w:val="008F505E"/>
    <w:rsid w:val="008F5716"/>
    <w:rsid w:val="008F5C53"/>
    <w:rsid w:val="008F6430"/>
    <w:rsid w:val="008F6C69"/>
    <w:rsid w:val="008F6ECA"/>
    <w:rsid w:val="008F7071"/>
    <w:rsid w:val="008F739B"/>
    <w:rsid w:val="008F7589"/>
    <w:rsid w:val="008F773D"/>
    <w:rsid w:val="008F7CEE"/>
    <w:rsid w:val="008F7D54"/>
    <w:rsid w:val="00900137"/>
    <w:rsid w:val="00900822"/>
    <w:rsid w:val="009009D6"/>
    <w:rsid w:val="00900FA5"/>
    <w:rsid w:val="009010E1"/>
    <w:rsid w:val="009010ED"/>
    <w:rsid w:val="009011C0"/>
    <w:rsid w:val="009017EC"/>
    <w:rsid w:val="00901BB4"/>
    <w:rsid w:val="009023A0"/>
    <w:rsid w:val="009023C1"/>
    <w:rsid w:val="0090258A"/>
    <w:rsid w:val="009031BF"/>
    <w:rsid w:val="009031CC"/>
    <w:rsid w:val="00903227"/>
    <w:rsid w:val="0090338E"/>
    <w:rsid w:val="009036E6"/>
    <w:rsid w:val="009043BA"/>
    <w:rsid w:val="00904B1B"/>
    <w:rsid w:val="00904BE4"/>
    <w:rsid w:val="00904C6B"/>
    <w:rsid w:val="00904F50"/>
    <w:rsid w:val="0090557B"/>
    <w:rsid w:val="00905938"/>
    <w:rsid w:val="009059AC"/>
    <w:rsid w:val="009064BA"/>
    <w:rsid w:val="00906699"/>
    <w:rsid w:val="009067E0"/>
    <w:rsid w:val="009069C1"/>
    <w:rsid w:val="00906A2E"/>
    <w:rsid w:val="00906A40"/>
    <w:rsid w:val="00906A6F"/>
    <w:rsid w:val="00906C5E"/>
    <w:rsid w:val="00906D31"/>
    <w:rsid w:val="00906DA2"/>
    <w:rsid w:val="00906DD0"/>
    <w:rsid w:val="00907147"/>
    <w:rsid w:val="00907773"/>
    <w:rsid w:val="00907790"/>
    <w:rsid w:val="00907C29"/>
    <w:rsid w:val="00910352"/>
    <w:rsid w:val="0091050B"/>
    <w:rsid w:val="00910710"/>
    <w:rsid w:val="00910E5A"/>
    <w:rsid w:val="00910EC5"/>
    <w:rsid w:val="00911194"/>
    <w:rsid w:val="00912436"/>
    <w:rsid w:val="0091269F"/>
    <w:rsid w:val="00912B83"/>
    <w:rsid w:val="00912C2A"/>
    <w:rsid w:val="00912D05"/>
    <w:rsid w:val="00912E27"/>
    <w:rsid w:val="00913344"/>
    <w:rsid w:val="00913472"/>
    <w:rsid w:val="0091349C"/>
    <w:rsid w:val="009137C3"/>
    <w:rsid w:val="00913A6F"/>
    <w:rsid w:val="00914063"/>
    <w:rsid w:val="009140C6"/>
    <w:rsid w:val="009141C6"/>
    <w:rsid w:val="009144F9"/>
    <w:rsid w:val="00914A1D"/>
    <w:rsid w:val="00914A77"/>
    <w:rsid w:val="00914A88"/>
    <w:rsid w:val="00914E9B"/>
    <w:rsid w:val="00915008"/>
    <w:rsid w:val="0091505F"/>
    <w:rsid w:val="00915719"/>
    <w:rsid w:val="0091575D"/>
    <w:rsid w:val="00915CEA"/>
    <w:rsid w:val="00916169"/>
    <w:rsid w:val="0091616A"/>
    <w:rsid w:val="00916460"/>
    <w:rsid w:val="00916835"/>
    <w:rsid w:val="0091687F"/>
    <w:rsid w:val="00916C0D"/>
    <w:rsid w:val="00916F78"/>
    <w:rsid w:val="00917495"/>
    <w:rsid w:val="00917BE4"/>
    <w:rsid w:val="00917F4C"/>
    <w:rsid w:val="0092031E"/>
    <w:rsid w:val="0092072D"/>
    <w:rsid w:val="00920EA0"/>
    <w:rsid w:val="00921113"/>
    <w:rsid w:val="009212BB"/>
    <w:rsid w:val="0092134B"/>
    <w:rsid w:val="009214DA"/>
    <w:rsid w:val="0092153F"/>
    <w:rsid w:val="00922539"/>
    <w:rsid w:val="0092277B"/>
    <w:rsid w:val="009228AA"/>
    <w:rsid w:val="00922C23"/>
    <w:rsid w:val="009233F4"/>
    <w:rsid w:val="009234DA"/>
    <w:rsid w:val="009235C3"/>
    <w:rsid w:val="009236D3"/>
    <w:rsid w:val="00923A96"/>
    <w:rsid w:val="00923C32"/>
    <w:rsid w:val="00923E4B"/>
    <w:rsid w:val="00924882"/>
    <w:rsid w:val="00924E1D"/>
    <w:rsid w:val="00924E3A"/>
    <w:rsid w:val="00925B7C"/>
    <w:rsid w:val="009261A9"/>
    <w:rsid w:val="009263FB"/>
    <w:rsid w:val="009264F7"/>
    <w:rsid w:val="00926594"/>
    <w:rsid w:val="00926AD5"/>
    <w:rsid w:val="00926DC4"/>
    <w:rsid w:val="009270D4"/>
    <w:rsid w:val="0092733C"/>
    <w:rsid w:val="009279E9"/>
    <w:rsid w:val="00927ECE"/>
    <w:rsid w:val="0093073A"/>
    <w:rsid w:val="009308A0"/>
    <w:rsid w:val="00930A48"/>
    <w:rsid w:val="00930B4D"/>
    <w:rsid w:val="009311B9"/>
    <w:rsid w:val="00931884"/>
    <w:rsid w:val="00931C8D"/>
    <w:rsid w:val="009326A4"/>
    <w:rsid w:val="00932AD1"/>
    <w:rsid w:val="00932E23"/>
    <w:rsid w:val="00933203"/>
    <w:rsid w:val="009334E6"/>
    <w:rsid w:val="0093395A"/>
    <w:rsid w:val="00933A80"/>
    <w:rsid w:val="00933DB9"/>
    <w:rsid w:val="00933EC9"/>
    <w:rsid w:val="0093418B"/>
    <w:rsid w:val="0093429A"/>
    <w:rsid w:val="0093478A"/>
    <w:rsid w:val="00935192"/>
    <w:rsid w:val="009355B4"/>
    <w:rsid w:val="00935952"/>
    <w:rsid w:val="00935B41"/>
    <w:rsid w:val="00935B90"/>
    <w:rsid w:val="009362DA"/>
    <w:rsid w:val="009363AB"/>
    <w:rsid w:val="00936A10"/>
    <w:rsid w:val="00936A6E"/>
    <w:rsid w:val="00936E4E"/>
    <w:rsid w:val="00936F49"/>
    <w:rsid w:val="00937167"/>
    <w:rsid w:val="00937646"/>
    <w:rsid w:val="00937FE2"/>
    <w:rsid w:val="009402D1"/>
    <w:rsid w:val="00940A97"/>
    <w:rsid w:val="00940DB7"/>
    <w:rsid w:val="009412C1"/>
    <w:rsid w:val="00941465"/>
    <w:rsid w:val="0094179B"/>
    <w:rsid w:val="00941835"/>
    <w:rsid w:val="00941A04"/>
    <w:rsid w:val="00941BEB"/>
    <w:rsid w:val="00941C2A"/>
    <w:rsid w:val="0094277E"/>
    <w:rsid w:val="00942B85"/>
    <w:rsid w:val="00942DFF"/>
    <w:rsid w:val="00942E16"/>
    <w:rsid w:val="00943381"/>
    <w:rsid w:val="00943ADE"/>
    <w:rsid w:val="00944714"/>
    <w:rsid w:val="00944D72"/>
    <w:rsid w:val="00945172"/>
    <w:rsid w:val="00945289"/>
    <w:rsid w:val="0094564C"/>
    <w:rsid w:val="00945DE7"/>
    <w:rsid w:val="00945E03"/>
    <w:rsid w:val="0094628A"/>
    <w:rsid w:val="0094629E"/>
    <w:rsid w:val="009468DD"/>
    <w:rsid w:val="00946B5F"/>
    <w:rsid w:val="00946B8C"/>
    <w:rsid w:val="00947712"/>
    <w:rsid w:val="0095030E"/>
    <w:rsid w:val="00950A04"/>
    <w:rsid w:val="00950A0A"/>
    <w:rsid w:val="00951034"/>
    <w:rsid w:val="009510E0"/>
    <w:rsid w:val="0095135F"/>
    <w:rsid w:val="0095159A"/>
    <w:rsid w:val="00951AF1"/>
    <w:rsid w:val="00952011"/>
    <w:rsid w:val="009523A8"/>
    <w:rsid w:val="00952432"/>
    <w:rsid w:val="00952B2B"/>
    <w:rsid w:val="00952E28"/>
    <w:rsid w:val="00952EE0"/>
    <w:rsid w:val="009531E0"/>
    <w:rsid w:val="009533F4"/>
    <w:rsid w:val="00953704"/>
    <w:rsid w:val="0095386A"/>
    <w:rsid w:val="009539FA"/>
    <w:rsid w:val="00953AB7"/>
    <w:rsid w:val="009543C6"/>
    <w:rsid w:val="009548A5"/>
    <w:rsid w:val="009548B9"/>
    <w:rsid w:val="009549E9"/>
    <w:rsid w:val="00954EDE"/>
    <w:rsid w:val="0095513F"/>
    <w:rsid w:val="0095535C"/>
    <w:rsid w:val="009555F8"/>
    <w:rsid w:val="00956563"/>
    <w:rsid w:val="0095665B"/>
    <w:rsid w:val="00956A46"/>
    <w:rsid w:val="00956D73"/>
    <w:rsid w:val="009577AE"/>
    <w:rsid w:val="00957D18"/>
    <w:rsid w:val="00957E68"/>
    <w:rsid w:val="00957F2E"/>
    <w:rsid w:val="00957F34"/>
    <w:rsid w:val="00960C34"/>
    <w:rsid w:val="00960FFD"/>
    <w:rsid w:val="009610F9"/>
    <w:rsid w:val="009610FC"/>
    <w:rsid w:val="00961100"/>
    <w:rsid w:val="009614F9"/>
    <w:rsid w:val="00961AC6"/>
    <w:rsid w:val="00961BB1"/>
    <w:rsid w:val="00961D32"/>
    <w:rsid w:val="00962194"/>
    <w:rsid w:val="00962309"/>
    <w:rsid w:val="00962687"/>
    <w:rsid w:val="009629CC"/>
    <w:rsid w:val="00962CA0"/>
    <w:rsid w:val="00962CFF"/>
    <w:rsid w:val="00962DF7"/>
    <w:rsid w:val="0096301E"/>
    <w:rsid w:val="00963724"/>
    <w:rsid w:val="0096382F"/>
    <w:rsid w:val="009639BF"/>
    <w:rsid w:val="00963EA4"/>
    <w:rsid w:val="00963EFD"/>
    <w:rsid w:val="00964631"/>
    <w:rsid w:val="009649B1"/>
    <w:rsid w:val="00964F42"/>
    <w:rsid w:val="0096515F"/>
    <w:rsid w:val="009652BD"/>
    <w:rsid w:val="009654FA"/>
    <w:rsid w:val="00965529"/>
    <w:rsid w:val="00965C00"/>
    <w:rsid w:val="00965CDE"/>
    <w:rsid w:val="009662AC"/>
    <w:rsid w:val="00966309"/>
    <w:rsid w:val="00966BE5"/>
    <w:rsid w:val="00967352"/>
    <w:rsid w:val="009673B2"/>
    <w:rsid w:val="00967697"/>
    <w:rsid w:val="0096783B"/>
    <w:rsid w:val="0097027D"/>
    <w:rsid w:val="00970AAD"/>
    <w:rsid w:val="00971183"/>
    <w:rsid w:val="00971503"/>
    <w:rsid w:val="0097191A"/>
    <w:rsid w:val="00971A5A"/>
    <w:rsid w:val="00971A5C"/>
    <w:rsid w:val="00971F0C"/>
    <w:rsid w:val="00972041"/>
    <w:rsid w:val="009727D7"/>
    <w:rsid w:val="00973E8D"/>
    <w:rsid w:val="00973FDF"/>
    <w:rsid w:val="009742A7"/>
    <w:rsid w:val="009749A0"/>
    <w:rsid w:val="0097528F"/>
    <w:rsid w:val="00975434"/>
    <w:rsid w:val="0097595B"/>
    <w:rsid w:val="00975A35"/>
    <w:rsid w:val="00977121"/>
    <w:rsid w:val="009773A0"/>
    <w:rsid w:val="00977609"/>
    <w:rsid w:val="0097767B"/>
    <w:rsid w:val="00977DDD"/>
    <w:rsid w:val="009801D2"/>
    <w:rsid w:val="009804EC"/>
    <w:rsid w:val="00980661"/>
    <w:rsid w:val="0098070E"/>
    <w:rsid w:val="00980846"/>
    <w:rsid w:val="00980DC9"/>
    <w:rsid w:val="009825B1"/>
    <w:rsid w:val="00982B8F"/>
    <w:rsid w:val="00983185"/>
    <w:rsid w:val="009835CD"/>
    <w:rsid w:val="009836EA"/>
    <w:rsid w:val="00983810"/>
    <w:rsid w:val="00983A9B"/>
    <w:rsid w:val="0098437F"/>
    <w:rsid w:val="00984ADA"/>
    <w:rsid w:val="00984E32"/>
    <w:rsid w:val="00984F72"/>
    <w:rsid w:val="00985486"/>
    <w:rsid w:val="00985C0E"/>
    <w:rsid w:val="00985E5B"/>
    <w:rsid w:val="00986455"/>
    <w:rsid w:val="0098691A"/>
    <w:rsid w:val="00986BA6"/>
    <w:rsid w:val="00986BEA"/>
    <w:rsid w:val="00986CC5"/>
    <w:rsid w:val="00987C92"/>
    <w:rsid w:val="00990064"/>
    <w:rsid w:val="0099021A"/>
    <w:rsid w:val="0099067A"/>
    <w:rsid w:val="009906A5"/>
    <w:rsid w:val="00990745"/>
    <w:rsid w:val="00990DE8"/>
    <w:rsid w:val="009915D7"/>
    <w:rsid w:val="00991732"/>
    <w:rsid w:val="00991C0E"/>
    <w:rsid w:val="00991C26"/>
    <w:rsid w:val="00991F82"/>
    <w:rsid w:val="009921F9"/>
    <w:rsid w:val="00992905"/>
    <w:rsid w:val="00992D59"/>
    <w:rsid w:val="0099337B"/>
    <w:rsid w:val="0099387D"/>
    <w:rsid w:val="00993D67"/>
    <w:rsid w:val="0099427B"/>
    <w:rsid w:val="00994342"/>
    <w:rsid w:val="00994366"/>
    <w:rsid w:val="00994EAB"/>
    <w:rsid w:val="0099549E"/>
    <w:rsid w:val="00995582"/>
    <w:rsid w:val="009956CC"/>
    <w:rsid w:val="00995BA5"/>
    <w:rsid w:val="00995C63"/>
    <w:rsid w:val="00995F0A"/>
    <w:rsid w:val="00996050"/>
    <w:rsid w:val="009966D9"/>
    <w:rsid w:val="00996894"/>
    <w:rsid w:val="00996F86"/>
    <w:rsid w:val="00997293"/>
    <w:rsid w:val="009979E1"/>
    <w:rsid w:val="009A084E"/>
    <w:rsid w:val="009A0C74"/>
    <w:rsid w:val="009A0DD3"/>
    <w:rsid w:val="009A1129"/>
    <w:rsid w:val="009A1251"/>
    <w:rsid w:val="009A168D"/>
    <w:rsid w:val="009A17CE"/>
    <w:rsid w:val="009A17F2"/>
    <w:rsid w:val="009A1AA6"/>
    <w:rsid w:val="009A294E"/>
    <w:rsid w:val="009A2968"/>
    <w:rsid w:val="009A2A78"/>
    <w:rsid w:val="009A3938"/>
    <w:rsid w:val="009A48D0"/>
    <w:rsid w:val="009A51BC"/>
    <w:rsid w:val="009A51BE"/>
    <w:rsid w:val="009A5578"/>
    <w:rsid w:val="009A5F31"/>
    <w:rsid w:val="009A6CCD"/>
    <w:rsid w:val="009A6F15"/>
    <w:rsid w:val="009A70DB"/>
    <w:rsid w:val="009B00E8"/>
    <w:rsid w:val="009B055D"/>
    <w:rsid w:val="009B07BF"/>
    <w:rsid w:val="009B080B"/>
    <w:rsid w:val="009B0B06"/>
    <w:rsid w:val="009B0D25"/>
    <w:rsid w:val="009B190D"/>
    <w:rsid w:val="009B21EC"/>
    <w:rsid w:val="009B22EB"/>
    <w:rsid w:val="009B2693"/>
    <w:rsid w:val="009B2A83"/>
    <w:rsid w:val="009B331D"/>
    <w:rsid w:val="009B3588"/>
    <w:rsid w:val="009B3EC5"/>
    <w:rsid w:val="009B4564"/>
    <w:rsid w:val="009B4610"/>
    <w:rsid w:val="009B4983"/>
    <w:rsid w:val="009B49BF"/>
    <w:rsid w:val="009B4AC8"/>
    <w:rsid w:val="009B4B93"/>
    <w:rsid w:val="009B51A2"/>
    <w:rsid w:val="009B5260"/>
    <w:rsid w:val="009B5587"/>
    <w:rsid w:val="009B56C0"/>
    <w:rsid w:val="009B56C3"/>
    <w:rsid w:val="009B58E7"/>
    <w:rsid w:val="009B5BCF"/>
    <w:rsid w:val="009B616F"/>
    <w:rsid w:val="009B61CE"/>
    <w:rsid w:val="009B65A4"/>
    <w:rsid w:val="009B6BC2"/>
    <w:rsid w:val="009B71B9"/>
    <w:rsid w:val="009B7436"/>
    <w:rsid w:val="009B75E5"/>
    <w:rsid w:val="009B770A"/>
    <w:rsid w:val="009B78C1"/>
    <w:rsid w:val="009B7A6D"/>
    <w:rsid w:val="009B7AFF"/>
    <w:rsid w:val="009BEC38"/>
    <w:rsid w:val="009C057E"/>
    <w:rsid w:val="009C122C"/>
    <w:rsid w:val="009C14E5"/>
    <w:rsid w:val="009C1883"/>
    <w:rsid w:val="009C19B2"/>
    <w:rsid w:val="009C1B42"/>
    <w:rsid w:val="009C1CBE"/>
    <w:rsid w:val="009C2025"/>
    <w:rsid w:val="009C2094"/>
    <w:rsid w:val="009C24FE"/>
    <w:rsid w:val="009C2AC3"/>
    <w:rsid w:val="009C2DA8"/>
    <w:rsid w:val="009C3B3D"/>
    <w:rsid w:val="009C3E02"/>
    <w:rsid w:val="009C3F9A"/>
    <w:rsid w:val="009C427D"/>
    <w:rsid w:val="009C4516"/>
    <w:rsid w:val="009C45A5"/>
    <w:rsid w:val="009C47B9"/>
    <w:rsid w:val="009C4A44"/>
    <w:rsid w:val="009C4AB6"/>
    <w:rsid w:val="009C4C3C"/>
    <w:rsid w:val="009C504A"/>
    <w:rsid w:val="009C5455"/>
    <w:rsid w:val="009C54F8"/>
    <w:rsid w:val="009C559D"/>
    <w:rsid w:val="009C5652"/>
    <w:rsid w:val="009C5656"/>
    <w:rsid w:val="009C5CB2"/>
    <w:rsid w:val="009C5EA3"/>
    <w:rsid w:val="009C5F85"/>
    <w:rsid w:val="009C6931"/>
    <w:rsid w:val="009C694F"/>
    <w:rsid w:val="009C6C5B"/>
    <w:rsid w:val="009C6DE5"/>
    <w:rsid w:val="009C73DD"/>
    <w:rsid w:val="009C759A"/>
    <w:rsid w:val="009C7920"/>
    <w:rsid w:val="009C7985"/>
    <w:rsid w:val="009C7A32"/>
    <w:rsid w:val="009C7C23"/>
    <w:rsid w:val="009C7D44"/>
    <w:rsid w:val="009C7F6A"/>
    <w:rsid w:val="009D0C32"/>
    <w:rsid w:val="009D0F52"/>
    <w:rsid w:val="009D0F5B"/>
    <w:rsid w:val="009D10B6"/>
    <w:rsid w:val="009D1177"/>
    <w:rsid w:val="009D14E9"/>
    <w:rsid w:val="009D18EC"/>
    <w:rsid w:val="009D1AF2"/>
    <w:rsid w:val="009D1BF0"/>
    <w:rsid w:val="009D1CE9"/>
    <w:rsid w:val="009D1F58"/>
    <w:rsid w:val="009D220C"/>
    <w:rsid w:val="009D2445"/>
    <w:rsid w:val="009D2E7A"/>
    <w:rsid w:val="009D39E0"/>
    <w:rsid w:val="009D3ABA"/>
    <w:rsid w:val="009D3BA9"/>
    <w:rsid w:val="009D408F"/>
    <w:rsid w:val="009D4213"/>
    <w:rsid w:val="009D4698"/>
    <w:rsid w:val="009D4FEA"/>
    <w:rsid w:val="009D555F"/>
    <w:rsid w:val="009D55A4"/>
    <w:rsid w:val="009D572D"/>
    <w:rsid w:val="009D5F28"/>
    <w:rsid w:val="009D61A9"/>
    <w:rsid w:val="009D6398"/>
    <w:rsid w:val="009D68C6"/>
    <w:rsid w:val="009D6965"/>
    <w:rsid w:val="009D72CA"/>
    <w:rsid w:val="009D7647"/>
    <w:rsid w:val="009D78CA"/>
    <w:rsid w:val="009D7AFC"/>
    <w:rsid w:val="009D7EFA"/>
    <w:rsid w:val="009D7F1D"/>
    <w:rsid w:val="009E0890"/>
    <w:rsid w:val="009E1258"/>
    <w:rsid w:val="009E12AC"/>
    <w:rsid w:val="009E1A3B"/>
    <w:rsid w:val="009E1C36"/>
    <w:rsid w:val="009E2152"/>
    <w:rsid w:val="009E2821"/>
    <w:rsid w:val="009E2898"/>
    <w:rsid w:val="009E2961"/>
    <w:rsid w:val="009E2AE7"/>
    <w:rsid w:val="009E2BB4"/>
    <w:rsid w:val="009E2CDA"/>
    <w:rsid w:val="009E3404"/>
    <w:rsid w:val="009E346C"/>
    <w:rsid w:val="009E35A3"/>
    <w:rsid w:val="009E3A20"/>
    <w:rsid w:val="009E4218"/>
    <w:rsid w:val="009E45F8"/>
    <w:rsid w:val="009E4BE1"/>
    <w:rsid w:val="009E4CA4"/>
    <w:rsid w:val="009E503F"/>
    <w:rsid w:val="009E551E"/>
    <w:rsid w:val="009E556D"/>
    <w:rsid w:val="009E55D3"/>
    <w:rsid w:val="009E5AA1"/>
    <w:rsid w:val="009E5DEC"/>
    <w:rsid w:val="009E5EE1"/>
    <w:rsid w:val="009E75C7"/>
    <w:rsid w:val="009E7809"/>
    <w:rsid w:val="009E7CFA"/>
    <w:rsid w:val="009F01DA"/>
    <w:rsid w:val="009F01E5"/>
    <w:rsid w:val="009F045D"/>
    <w:rsid w:val="009F0C99"/>
    <w:rsid w:val="009F114C"/>
    <w:rsid w:val="009F1392"/>
    <w:rsid w:val="009F164C"/>
    <w:rsid w:val="009F177A"/>
    <w:rsid w:val="009F1A59"/>
    <w:rsid w:val="009F1C32"/>
    <w:rsid w:val="009F2D3F"/>
    <w:rsid w:val="009F2FA5"/>
    <w:rsid w:val="009F3803"/>
    <w:rsid w:val="009F3CE4"/>
    <w:rsid w:val="009F3E08"/>
    <w:rsid w:val="009F489F"/>
    <w:rsid w:val="009F4CD6"/>
    <w:rsid w:val="009F53B9"/>
    <w:rsid w:val="009F541F"/>
    <w:rsid w:val="009F54DD"/>
    <w:rsid w:val="009F5908"/>
    <w:rsid w:val="009F60B0"/>
    <w:rsid w:val="009F62CA"/>
    <w:rsid w:val="009F664F"/>
    <w:rsid w:val="009F67CF"/>
    <w:rsid w:val="009F6E7D"/>
    <w:rsid w:val="009F7957"/>
    <w:rsid w:val="009F7A06"/>
    <w:rsid w:val="00A002D9"/>
    <w:rsid w:val="00A00EB7"/>
    <w:rsid w:val="00A01800"/>
    <w:rsid w:val="00A018FC"/>
    <w:rsid w:val="00A01CA8"/>
    <w:rsid w:val="00A01E8A"/>
    <w:rsid w:val="00A01EC7"/>
    <w:rsid w:val="00A023F0"/>
    <w:rsid w:val="00A027B8"/>
    <w:rsid w:val="00A02A8D"/>
    <w:rsid w:val="00A03630"/>
    <w:rsid w:val="00A0375E"/>
    <w:rsid w:val="00A03984"/>
    <w:rsid w:val="00A03EB3"/>
    <w:rsid w:val="00A04431"/>
    <w:rsid w:val="00A04BAE"/>
    <w:rsid w:val="00A056E3"/>
    <w:rsid w:val="00A05C65"/>
    <w:rsid w:val="00A06160"/>
    <w:rsid w:val="00A06213"/>
    <w:rsid w:val="00A062AA"/>
    <w:rsid w:val="00A06924"/>
    <w:rsid w:val="00A06EA5"/>
    <w:rsid w:val="00A07082"/>
    <w:rsid w:val="00A0744D"/>
    <w:rsid w:val="00A07601"/>
    <w:rsid w:val="00A0776D"/>
    <w:rsid w:val="00A078F8"/>
    <w:rsid w:val="00A07981"/>
    <w:rsid w:val="00A1019A"/>
    <w:rsid w:val="00A104D9"/>
    <w:rsid w:val="00A1063F"/>
    <w:rsid w:val="00A10A38"/>
    <w:rsid w:val="00A11403"/>
    <w:rsid w:val="00A11450"/>
    <w:rsid w:val="00A11A46"/>
    <w:rsid w:val="00A11B57"/>
    <w:rsid w:val="00A11C76"/>
    <w:rsid w:val="00A12262"/>
    <w:rsid w:val="00A12370"/>
    <w:rsid w:val="00A12AD8"/>
    <w:rsid w:val="00A12F8B"/>
    <w:rsid w:val="00A138DC"/>
    <w:rsid w:val="00A13932"/>
    <w:rsid w:val="00A13D23"/>
    <w:rsid w:val="00A14193"/>
    <w:rsid w:val="00A14290"/>
    <w:rsid w:val="00A14833"/>
    <w:rsid w:val="00A14914"/>
    <w:rsid w:val="00A14C7A"/>
    <w:rsid w:val="00A14E60"/>
    <w:rsid w:val="00A15BB9"/>
    <w:rsid w:val="00A15DFE"/>
    <w:rsid w:val="00A162FF"/>
    <w:rsid w:val="00A1651B"/>
    <w:rsid w:val="00A1685D"/>
    <w:rsid w:val="00A168D8"/>
    <w:rsid w:val="00A16EC3"/>
    <w:rsid w:val="00A17053"/>
    <w:rsid w:val="00A1752C"/>
    <w:rsid w:val="00A17AF0"/>
    <w:rsid w:val="00A17C28"/>
    <w:rsid w:val="00A208BE"/>
    <w:rsid w:val="00A20928"/>
    <w:rsid w:val="00A20A30"/>
    <w:rsid w:val="00A20ED8"/>
    <w:rsid w:val="00A2140D"/>
    <w:rsid w:val="00A2159C"/>
    <w:rsid w:val="00A21A99"/>
    <w:rsid w:val="00A21EEA"/>
    <w:rsid w:val="00A21EF1"/>
    <w:rsid w:val="00A22025"/>
    <w:rsid w:val="00A2241D"/>
    <w:rsid w:val="00A22541"/>
    <w:rsid w:val="00A2259D"/>
    <w:rsid w:val="00A22890"/>
    <w:rsid w:val="00A228C5"/>
    <w:rsid w:val="00A22DF2"/>
    <w:rsid w:val="00A23400"/>
    <w:rsid w:val="00A237D4"/>
    <w:rsid w:val="00A24AC0"/>
    <w:rsid w:val="00A24E27"/>
    <w:rsid w:val="00A257D9"/>
    <w:rsid w:val="00A26133"/>
    <w:rsid w:val="00A3021D"/>
    <w:rsid w:val="00A302B7"/>
    <w:rsid w:val="00A3033E"/>
    <w:rsid w:val="00A304E8"/>
    <w:rsid w:val="00A307A0"/>
    <w:rsid w:val="00A308E1"/>
    <w:rsid w:val="00A30EF7"/>
    <w:rsid w:val="00A30F13"/>
    <w:rsid w:val="00A310C1"/>
    <w:rsid w:val="00A31450"/>
    <w:rsid w:val="00A31802"/>
    <w:rsid w:val="00A318B1"/>
    <w:rsid w:val="00A31B5A"/>
    <w:rsid w:val="00A3214A"/>
    <w:rsid w:val="00A32833"/>
    <w:rsid w:val="00A32C38"/>
    <w:rsid w:val="00A32D43"/>
    <w:rsid w:val="00A332C5"/>
    <w:rsid w:val="00A33719"/>
    <w:rsid w:val="00A33F90"/>
    <w:rsid w:val="00A34190"/>
    <w:rsid w:val="00A34219"/>
    <w:rsid w:val="00A34370"/>
    <w:rsid w:val="00A34B4F"/>
    <w:rsid w:val="00A356A8"/>
    <w:rsid w:val="00A36252"/>
    <w:rsid w:val="00A3684D"/>
    <w:rsid w:val="00A368C0"/>
    <w:rsid w:val="00A36978"/>
    <w:rsid w:val="00A369E8"/>
    <w:rsid w:val="00A36A24"/>
    <w:rsid w:val="00A36EEE"/>
    <w:rsid w:val="00A36F57"/>
    <w:rsid w:val="00A37265"/>
    <w:rsid w:val="00A37F67"/>
    <w:rsid w:val="00A40364"/>
    <w:rsid w:val="00A40BB6"/>
    <w:rsid w:val="00A40FCB"/>
    <w:rsid w:val="00A40FF7"/>
    <w:rsid w:val="00A41127"/>
    <w:rsid w:val="00A411FB"/>
    <w:rsid w:val="00A42307"/>
    <w:rsid w:val="00A426F8"/>
    <w:rsid w:val="00A42A41"/>
    <w:rsid w:val="00A42A81"/>
    <w:rsid w:val="00A42C60"/>
    <w:rsid w:val="00A43772"/>
    <w:rsid w:val="00A43AE1"/>
    <w:rsid w:val="00A43E31"/>
    <w:rsid w:val="00A44973"/>
    <w:rsid w:val="00A44E8F"/>
    <w:rsid w:val="00A45192"/>
    <w:rsid w:val="00A45330"/>
    <w:rsid w:val="00A453F7"/>
    <w:rsid w:val="00A455EE"/>
    <w:rsid w:val="00A456E9"/>
    <w:rsid w:val="00A45AFE"/>
    <w:rsid w:val="00A46A32"/>
    <w:rsid w:val="00A46E7C"/>
    <w:rsid w:val="00A474E9"/>
    <w:rsid w:val="00A474FD"/>
    <w:rsid w:val="00A47D5B"/>
    <w:rsid w:val="00A50CCD"/>
    <w:rsid w:val="00A51711"/>
    <w:rsid w:val="00A517B3"/>
    <w:rsid w:val="00A5183C"/>
    <w:rsid w:val="00A5198E"/>
    <w:rsid w:val="00A51BA7"/>
    <w:rsid w:val="00A5211D"/>
    <w:rsid w:val="00A522A0"/>
    <w:rsid w:val="00A523EB"/>
    <w:rsid w:val="00A53426"/>
    <w:rsid w:val="00A537EE"/>
    <w:rsid w:val="00A53875"/>
    <w:rsid w:val="00A543C9"/>
    <w:rsid w:val="00A54909"/>
    <w:rsid w:val="00A54D62"/>
    <w:rsid w:val="00A54D7F"/>
    <w:rsid w:val="00A54F74"/>
    <w:rsid w:val="00A550BF"/>
    <w:rsid w:val="00A5541E"/>
    <w:rsid w:val="00A557C2"/>
    <w:rsid w:val="00A55E6E"/>
    <w:rsid w:val="00A55EEA"/>
    <w:rsid w:val="00A5655A"/>
    <w:rsid w:val="00A569F5"/>
    <w:rsid w:val="00A56A02"/>
    <w:rsid w:val="00A56E59"/>
    <w:rsid w:val="00A57149"/>
    <w:rsid w:val="00A57768"/>
    <w:rsid w:val="00A57950"/>
    <w:rsid w:val="00A57BE0"/>
    <w:rsid w:val="00A6037A"/>
    <w:rsid w:val="00A60405"/>
    <w:rsid w:val="00A60884"/>
    <w:rsid w:val="00A609B1"/>
    <w:rsid w:val="00A609F2"/>
    <w:rsid w:val="00A60F4F"/>
    <w:rsid w:val="00A60F89"/>
    <w:rsid w:val="00A61074"/>
    <w:rsid w:val="00A61358"/>
    <w:rsid w:val="00A619CB"/>
    <w:rsid w:val="00A61E2C"/>
    <w:rsid w:val="00A62032"/>
    <w:rsid w:val="00A62067"/>
    <w:rsid w:val="00A621A5"/>
    <w:rsid w:val="00A62593"/>
    <w:rsid w:val="00A62872"/>
    <w:rsid w:val="00A62D15"/>
    <w:rsid w:val="00A62F9C"/>
    <w:rsid w:val="00A63152"/>
    <w:rsid w:val="00A631A2"/>
    <w:rsid w:val="00A633A9"/>
    <w:rsid w:val="00A634A7"/>
    <w:rsid w:val="00A636FF"/>
    <w:rsid w:val="00A63870"/>
    <w:rsid w:val="00A63CFC"/>
    <w:rsid w:val="00A640FD"/>
    <w:rsid w:val="00A6480B"/>
    <w:rsid w:val="00A64CA9"/>
    <w:rsid w:val="00A64DBE"/>
    <w:rsid w:val="00A64F2A"/>
    <w:rsid w:val="00A656FD"/>
    <w:rsid w:val="00A65A93"/>
    <w:rsid w:val="00A65ABF"/>
    <w:rsid w:val="00A65B9F"/>
    <w:rsid w:val="00A65C69"/>
    <w:rsid w:val="00A66008"/>
    <w:rsid w:val="00A66205"/>
    <w:rsid w:val="00A664F4"/>
    <w:rsid w:val="00A668BA"/>
    <w:rsid w:val="00A66980"/>
    <w:rsid w:val="00A66A63"/>
    <w:rsid w:val="00A67232"/>
    <w:rsid w:val="00A6788E"/>
    <w:rsid w:val="00A70D27"/>
    <w:rsid w:val="00A70DD7"/>
    <w:rsid w:val="00A70F7A"/>
    <w:rsid w:val="00A71222"/>
    <w:rsid w:val="00A713E5"/>
    <w:rsid w:val="00A7156D"/>
    <w:rsid w:val="00A7191C"/>
    <w:rsid w:val="00A7195B"/>
    <w:rsid w:val="00A71AF5"/>
    <w:rsid w:val="00A71D80"/>
    <w:rsid w:val="00A71F42"/>
    <w:rsid w:val="00A72410"/>
    <w:rsid w:val="00A72978"/>
    <w:rsid w:val="00A72D7A"/>
    <w:rsid w:val="00A72D91"/>
    <w:rsid w:val="00A732BD"/>
    <w:rsid w:val="00A73A50"/>
    <w:rsid w:val="00A73AA2"/>
    <w:rsid w:val="00A73DDC"/>
    <w:rsid w:val="00A73DE5"/>
    <w:rsid w:val="00A73E4E"/>
    <w:rsid w:val="00A7408E"/>
    <w:rsid w:val="00A74664"/>
    <w:rsid w:val="00A74F27"/>
    <w:rsid w:val="00A75161"/>
    <w:rsid w:val="00A75545"/>
    <w:rsid w:val="00A75E60"/>
    <w:rsid w:val="00A7616D"/>
    <w:rsid w:val="00A76347"/>
    <w:rsid w:val="00A763D6"/>
    <w:rsid w:val="00A7655F"/>
    <w:rsid w:val="00A76A57"/>
    <w:rsid w:val="00A76A67"/>
    <w:rsid w:val="00A76D8D"/>
    <w:rsid w:val="00A771A2"/>
    <w:rsid w:val="00A772BE"/>
    <w:rsid w:val="00A772CB"/>
    <w:rsid w:val="00A77519"/>
    <w:rsid w:val="00A778D7"/>
    <w:rsid w:val="00A80908"/>
    <w:rsid w:val="00A809C5"/>
    <w:rsid w:val="00A80A8D"/>
    <w:rsid w:val="00A80D02"/>
    <w:rsid w:val="00A80E7E"/>
    <w:rsid w:val="00A80F1D"/>
    <w:rsid w:val="00A8175D"/>
    <w:rsid w:val="00A81A65"/>
    <w:rsid w:val="00A81FEF"/>
    <w:rsid w:val="00A82121"/>
    <w:rsid w:val="00A82588"/>
    <w:rsid w:val="00A826DA"/>
    <w:rsid w:val="00A82979"/>
    <w:rsid w:val="00A82D3F"/>
    <w:rsid w:val="00A8350F"/>
    <w:rsid w:val="00A8370E"/>
    <w:rsid w:val="00A8396E"/>
    <w:rsid w:val="00A83A32"/>
    <w:rsid w:val="00A83DAB"/>
    <w:rsid w:val="00A8435B"/>
    <w:rsid w:val="00A84A60"/>
    <w:rsid w:val="00A84CB2"/>
    <w:rsid w:val="00A84CF6"/>
    <w:rsid w:val="00A84CFE"/>
    <w:rsid w:val="00A8538A"/>
    <w:rsid w:val="00A85439"/>
    <w:rsid w:val="00A856E9"/>
    <w:rsid w:val="00A8598F"/>
    <w:rsid w:val="00A866A6"/>
    <w:rsid w:val="00A86EDB"/>
    <w:rsid w:val="00A86FD5"/>
    <w:rsid w:val="00A90948"/>
    <w:rsid w:val="00A90FA6"/>
    <w:rsid w:val="00A91196"/>
    <w:rsid w:val="00A91223"/>
    <w:rsid w:val="00A916AA"/>
    <w:rsid w:val="00A91D8D"/>
    <w:rsid w:val="00A92965"/>
    <w:rsid w:val="00A930BA"/>
    <w:rsid w:val="00A9330F"/>
    <w:rsid w:val="00A93742"/>
    <w:rsid w:val="00A93AB6"/>
    <w:rsid w:val="00A948F3"/>
    <w:rsid w:val="00A949F9"/>
    <w:rsid w:val="00A94BB8"/>
    <w:rsid w:val="00A94E8C"/>
    <w:rsid w:val="00A95025"/>
    <w:rsid w:val="00A95C85"/>
    <w:rsid w:val="00A95F71"/>
    <w:rsid w:val="00A961A1"/>
    <w:rsid w:val="00A96E31"/>
    <w:rsid w:val="00A96F0D"/>
    <w:rsid w:val="00A9721D"/>
    <w:rsid w:val="00A977B5"/>
    <w:rsid w:val="00A97BEC"/>
    <w:rsid w:val="00AA0642"/>
    <w:rsid w:val="00AA07F9"/>
    <w:rsid w:val="00AA082F"/>
    <w:rsid w:val="00AA0BC9"/>
    <w:rsid w:val="00AA1BC3"/>
    <w:rsid w:val="00AA205A"/>
    <w:rsid w:val="00AA2702"/>
    <w:rsid w:val="00AA2B94"/>
    <w:rsid w:val="00AA2DFB"/>
    <w:rsid w:val="00AA35FA"/>
    <w:rsid w:val="00AA3B12"/>
    <w:rsid w:val="00AA427F"/>
    <w:rsid w:val="00AA4718"/>
    <w:rsid w:val="00AA4EC7"/>
    <w:rsid w:val="00AA4F61"/>
    <w:rsid w:val="00AA51E8"/>
    <w:rsid w:val="00AA6653"/>
    <w:rsid w:val="00AA67A7"/>
    <w:rsid w:val="00AA6A1A"/>
    <w:rsid w:val="00AA6C7A"/>
    <w:rsid w:val="00AA6D45"/>
    <w:rsid w:val="00AA6FDE"/>
    <w:rsid w:val="00AA7236"/>
    <w:rsid w:val="00AA723A"/>
    <w:rsid w:val="00AA727E"/>
    <w:rsid w:val="00AA74A4"/>
    <w:rsid w:val="00AA787B"/>
    <w:rsid w:val="00AA7D30"/>
    <w:rsid w:val="00AA7EC8"/>
    <w:rsid w:val="00AA7F15"/>
    <w:rsid w:val="00AA7F31"/>
    <w:rsid w:val="00AB022C"/>
    <w:rsid w:val="00AB04AE"/>
    <w:rsid w:val="00AB0C0B"/>
    <w:rsid w:val="00AB0E3D"/>
    <w:rsid w:val="00AB1217"/>
    <w:rsid w:val="00AB1442"/>
    <w:rsid w:val="00AB1510"/>
    <w:rsid w:val="00AB1865"/>
    <w:rsid w:val="00AB1E64"/>
    <w:rsid w:val="00AB246A"/>
    <w:rsid w:val="00AB24A5"/>
    <w:rsid w:val="00AB2D17"/>
    <w:rsid w:val="00AB3034"/>
    <w:rsid w:val="00AB3839"/>
    <w:rsid w:val="00AB3A08"/>
    <w:rsid w:val="00AB3C2C"/>
    <w:rsid w:val="00AB3E8E"/>
    <w:rsid w:val="00AB49D8"/>
    <w:rsid w:val="00AB4E73"/>
    <w:rsid w:val="00AB5151"/>
    <w:rsid w:val="00AB5994"/>
    <w:rsid w:val="00AB66C3"/>
    <w:rsid w:val="00AB679A"/>
    <w:rsid w:val="00AB67D3"/>
    <w:rsid w:val="00AB736C"/>
    <w:rsid w:val="00AB7480"/>
    <w:rsid w:val="00AB757B"/>
    <w:rsid w:val="00AB7B75"/>
    <w:rsid w:val="00AB7D1E"/>
    <w:rsid w:val="00AC0279"/>
    <w:rsid w:val="00AC07CA"/>
    <w:rsid w:val="00AC154C"/>
    <w:rsid w:val="00AC1771"/>
    <w:rsid w:val="00AC17CF"/>
    <w:rsid w:val="00AC195F"/>
    <w:rsid w:val="00AC19ED"/>
    <w:rsid w:val="00AC2517"/>
    <w:rsid w:val="00AC2A69"/>
    <w:rsid w:val="00AC2C4E"/>
    <w:rsid w:val="00AC3A72"/>
    <w:rsid w:val="00AC3E45"/>
    <w:rsid w:val="00AC4636"/>
    <w:rsid w:val="00AC4794"/>
    <w:rsid w:val="00AC4C87"/>
    <w:rsid w:val="00AC4CA6"/>
    <w:rsid w:val="00AC4E68"/>
    <w:rsid w:val="00AC525A"/>
    <w:rsid w:val="00AC53FE"/>
    <w:rsid w:val="00AC54E0"/>
    <w:rsid w:val="00AC55AD"/>
    <w:rsid w:val="00AC5959"/>
    <w:rsid w:val="00AC595B"/>
    <w:rsid w:val="00AC59AF"/>
    <w:rsid w:val="00AC5B59"/>
    <w:rsid w:val="00AC5B80"/>
    <w:rsid w:val="00AC5CAF"/>
    <w:rsid w:val="00AC6207"/>
    <w:rsid w:val="00AC6432"/>
    <w:rsid w:val="00AC6AFC"/>
    <w:rsid w:val="00AC6CEA"/>
    <w:rsid w:val="00AC6D30"/>
    <w:rsid w:val="00AC704D"/>
    <w:rsid w:val="00AC731E"/>
    <w:rsid w:val="00AC7649"/>
    <w:rsid w:val="00AD0012"/>
    <w:rsid w:val="00AD01B8"/>
    <w:rsid w:val="00AD02F5"/>
    <w:rsid w:val="00AD0D8F"/>
    <w:rsid w:val="00AD1251"/>
    <w:rsid w:val="00AD16D0"/>
    <w:rsid w:val="00AD1938"/>
    <w:rsid w:val="00AD19C3"/>
    <w:rsid w:val="00AD2190"/>
    <w:rsid w:val="00AD263B"/>
    <w:rsid w:val="00AD2FD8"/>
    <w:rsid w:val="00AD3187"/>
    <w:rsid w:val="00AD33EA"/>
    <w:rsid w:val="00AD3C72"/>
    <w:rsid w:val="00AD4CE2"/>
    <w:rsid w:val="00AD4DE1"/>
    <w:rsid w:val="00AD4EB8"/>
    <w:rsid w:val="00AD51F3"/>
    <w:rsid w:val="00AD55D1"/>
    <w:rsid w:val="00AD5EE3"/>
    <w:rsid w:val="00AD61E3"/>
    <w:rsid w:val="00AD61FB"/>
    <w:rsid w:val="00AD62EC"/>
    <w:rsid w:val="00AD646D"/>
    <w:rsid w:val="00AD67D7"/>
    <w:rsid w:val="00AD693F"/>
    <w:rsid w:val="00AD71AC"/>
    <w:rsid w:val="00AD71EF"/>
    <w:rsid w:val="00AD745E"/>
    <w:rsid w:val="00AD7706"/>
    <w:rsid w:val="00AD7B66"/>
    <w:rsid w:val="00AD7D4A"/>
    <w:rsid w:val="00AE0A66"/>
    <w:rsid w:val="00AE0C45"/>
    <w:rsid w:val="00AE107C"/>
    <w:rsid w:val="00AE14CF"/>
    <w:rsid w:val="00AE14D8"/>
    <w:rsid w:val="00AE16B3"/>
    <w:rsid w:val="00AE1C33"/>
    <w:rsid w:val="00AE1C54"/>
    <w:rsid w:val="00AE2B17"/>
    <w:rsid w:val="00AE2B18"/>
    <w:rsid w:val="00AE2EB9"/>
    <w:rsid w:val="00AE3167"/>
    <w:rsid w:val="00AE3950"/>
    <w:rsid w:val="00AE3BE6"/>
    <w:rsid w:val="00AE3E39"/>
    <w:rsid w:val="00AE454F"/>
    <w:rsid w:val="00AE4970"/>
    <w:rsid w:val="00AE4C91"/>
    <w:rsid w:val="00AE57F9"/>
    <w:rsid w:val="00AE58E4"/>
    <w:rsid w:val="00AE59F5"/>
    <w:rsid w:val="00AE62F6"/>
    <w:rsid w:val="00AE69ED"/>
    <w:rsid w:val="00AE6C53"/>
    <w:rsid w:val="00AE6E53"/>
    <w:rsid w:val="00AE7735"/>
    <w:rsid w:val="00AE77AC"/>
    <w:rsid w:val="00AE7C6E"/>
    <w:rsid w:val="00AE7E07"/>
    <w:rsid w:val="00AF0188"/>
    <w:rsid w:val="00AF03A8"/>
    <w:rsid w:val="00AF10E5"/>
    <w:rsid w:val="00AF11A6"/>
    <w:rsid w:val="00AF17EE"/>
    <w:rsid w:val="00AF1930"/>
    <w:rsid w:val="00AF1D4D"/>
    <w:rsid w:val="00AF1D89"/>
    <w:rsid w:val="00AF2065"/>
    <w:rsid w:val="00AF2674"/>
    <w:rsid w:val="00AF2C5D"/>
    <w:rsid w:val="00AF2CDD"/>
    <w:rsid w:val="00AF3813"/>
    <w:rsid w:val="00AF39FC"/>
    <w:rsid w:val="00AF3A09"/>
    <w:rsid w:val="00AF3DC7"/>
    <w:rsid w:val="00AF3F8E"/>
    <w:rsid w:val="00AF4B70"/>
    <w:rsid w:val="00AF4FAA"/>
    <w:rsid w:val="00AF5072"/>
    <w:rsid w:val="00AF5983"/>
    <w:rsid w:val="00AF5C11"/>
    <w:rsid w:val="00AF5F2D"/>
    <w:rsid w:val="00AF60AF"/>
    <w:rsid w:val="00AF631C"/>
    <w:rsid w:val="00AF66CE"/>
    <w:rsid w:val="00AF68B6"/>
    <w:rsid w:val="00AF6D95"/>
    <w:rsid w:val="00AF710C"/>
    <w:rsid w:val="00AF74C7"/>
    <w:rsid w:val="00AF7605"/>
    <w:rsid w:val="00AF7750"/>
    <w:rsid w:val="00AF7DE8"/>
    <w:rsid w:val="00B000F8"/>
    <w:rsid w:val="00B00363"/>
    <w:rsid w:val="00B00722"/>
    <w:rsid w:val="00B008FD"/>
    <w:rsid w:val="00B00D17"/>
    <w:rsid w:val="00B011E2"/>
    <w:rsid w:val="00B015B6"/>
    <w:rsid w:val="00B016EF"/>
    <w:rsid w:val="00B01A04"/>
    <w:rsid w:val="00B01AAD"/>
    <w:rsid w:val="00B01AB9"/>
    <w:rsid w:val="00B01C5A"/>
    <w:rsid w:val="00B025D2"/>
    <w:rsid w:val="00B027FD"/>
    <w:rsid w:val="00B02916"/>
    <w:rsid w:val="00B02EAE"/>
    <w:rsid w:val="00B03074"/>
    <w:rsid w:val="00B03245"/>
    <w:rsid w:val="00B03CB1"/>
    <w:rsid w:val="00B03D56"/>
    <w:rsid w:val="00B03E23"/>
    <w:rsid w:val="00B03FD7"/>
    <w:rsid w:val="00B04005"/>
    <w:rsid w:val="00B044DA"/>
    <w:rsid w:val="00B04503"/>
    <w:rsid w:val="00B0486C"/>
    <w:rsid w:val="00B04945"/>
    <w:rsid w:val="00B04A11"/>
    <w:rsid w:val="00B04EDB"/>
    <w:rsid w:val="00B04EE2"/>
    <w:rsid w:val="00B05238"/>
    <w:rsid w:val="00B05827"/>
    <w:rsid w:val="00B0586A"/>
    <w:rsid w:val="00B058C3"/>
    <w:rsid w:val="00B05A80"/>
    <w:rsid w:val="00B05E2B"/>
    <w:rsid w:val="00B061B9"/>
    <w:rsid w:val="00B06855"/>
    <w:rsid w:val="00B06CB7"/>
    <w:rsid w:val="00B06E50"/>
    <w:rsid w:val="00B06E53"/>
    <w:rsid w:val="00B07057"/>
    <w:rsid w:val="00B073D7"/>
    <w:rsid w:val="00B0749E"/>
    <w:rsid w:val="00B07612"/>
    <w:rsid w:val="00B07CFE"/>
    <w:rsid w:val="00B07FA5"/>
    <w:rsid w:val="00B09285"/>
    <w:rsid w:val="00B1000F"/>
    <w:rsid w:val="00B1017C"/>
    <w:rsid w:val="00B104E3"/>
    <w:rsid w:val="00B106F3"/>
    <w:rsid w:val="00B1084B"/>
    <w:rsid w:val="00B1088C"/>
    <w:rsid w:val="00B109B2"/>
    <w:rsid w:val="00B10BCE"/>
    <w:rsid w:val="00B11488"/>
    <w:rsid w:val="00B114AF"/>
    <w:rsid w:val="00B11843"/>
    <w:rsid w:val="00B11844"/>
    <w:rsid w:val="00B11C62"/>
    <w:rsid w:val="00B11CA2"/>
    <w:rsid w:val="00B11FCC"/>
    <w:rsid w:val="00B11FEC"/>
    <w:rsid w:val="00B12312"/>
    <w:rsid w:val="00B1263A"/>
    <w:rsid w:val="00B12898"/>
    <w:rsid w:val="00B12CD4"/>
    <w:rsid w:val="00B12FFA"/>
    <w:rsid w:val="00B13BC6"/>
    <w:rsid w:val="00B13D24"/>
    <w:rsid w:val="00B14348"/>
    <w:rsid w:val="00B1437A"/>
    <w:rsid w:val="00B14A26"/>
    <w:rsid w:val="00B15B0E"/>
    <w:rsid w:val="00B15B54"/>
    <w:rsid w:val="00B15DEF"/>
    <w:rsid w:val="00B165C3"/>
    <w:rsid w:val="00B166C8"/>
    <w:rsid w:val="00B16F2E"/>
    <w:rsid w:val="00B17066"/>
    <w:rsid w:val="00B17515"/>
    <w:rsid w:val="00B17559"/>
    <w:rsid w:val="00B17BA8"/>
    <w:rsid w:val="00B17C6C"/>
    <w:rsid w:val="00B17D3B"/>
    <w:rsid w:val="00B2007C"/>
    <w:rsid w:val="00B20323"/>
    <w:rsid w:val="00B2041E"/>
    <w:rsid w:val="00B2041F"/>
    <w:rsid w:val="00B20B11"/>
    <w:rsid w:val="00B20E90"/>
    <w:rsid w:val="00B2107D"/>
    <w:rsid w:val="00B211C7"/>
    <w:rsid w:val="00B21701"/>
    <w:rsid w:val="00B21C29"/>
    <w:rsid w:val="00B21E4E"/>
    <w:rsid w:val="00B22356"/>
    <w:rsid w:val="00B22672"/>
    <w:rsid w:val="00B22B64"/>
    <w:rsid w:val="00B22BE7"/>
    <w:rsid w:val="00B230C0"/>
    <w:rsid w:val="00B23304"/>
    <w:rsid w:val="00B23C28"/>
    <w:rsid w:val="00B23CEC"/>
    <w:rsid w:val="00B23D22"/>
    <w:rsid w:val="00B24446"/>
    <w:rsid w:val="00B244BE"/>
    <w:rsid w:val="00B245EE"/>
    <w:rsid w:val="00B24926"/>
    <w:rsid w:val="00B24A80"/>
    <w:rsid w:val="00B24E2C"/>
    <w:rsid w:val="00B24EC1"/>
    <w:rsid w:val="00B2501B"/>
    <w:rsid w:val="00B250EA"/>
    <w:rsid w:val="00B25FAC"/>
    <w:rsid w:val="00B2611B"/>
    <w:rsid w:val="00B26604"/>
    <w:rsid w:val="00B267F7"/>
    <w:rsid w:val="00B26A81"/>
    <w:rsid w:val="00B26E8F"/>
    <w:rsid w:val="00B2707D"/>
    <w:rsid w:val="00B2708A"/>
    <w:rsid w:val="00B30296"/>
    <w:rsid w:val="00B30581"/>
    <w:rsid w:val="00B30783"/>
    <w:rsid w:val="00B3097B"/>
    <w:rsid w:val="00B309C2"/>
    <w:rsid w:val="00B30D42"/>
    <w:rsid w:val="00B30D44"/>
    <w:rsid w:val="00B30D50"/>
    <w:rsid w:val="00B31184"/>
    <w:rsid w:val="00B3167D"/>
    <w:rsid w:val="00B316B6"/>
    <w:rsid w:val="00B31AC6"/>
    <w:rsid w:val="00B32502"/>
    <w:rsid w:val="00B32817"/>
    <w:rsid w:val="00B3300C"/>
    <w:rsid w:val="00B33217"/>
    <w:rsid w:val="00B333CF"/>
    <w:rsid w:val="00B3399D"/>
    <w:rsid w:val="00B34257"/>
    <w:rsid w:val="00B347D6"/>
    <w:rsid w:val="00B3486F"/>
    <w:rsid w:val="00B348A7"/>
    <w:rsid w:val="00B34F82"/>
    <w:rsid w:val="00B34F94"/>
    <w:rsid w:val="00B34FAE"/>
    <w:rsid w:val="00B3554A"/>
    <w:rsid w:val="00B36D04"/>
    <w:rsid w:val="00B36F15"/>
    <w:rsid w:val="00B376F3"/>
    <w:rsid w:val="00B37D93"/>
    <w:rsid w:val="00B406DE"/>
    <w:rsid w:val="00B40765"/>
    <w:rsid w:val="00B40893"/>
    <w:rsid w:val="00B40A28"/>
    <w:rsid w:val="00B40DD1"/>
    <w:rsid w:val="00B41257"/>
    <w:rsid w:val="00B42FBE"/>
    <w:rsid w:val="00B432BA"/>
    <w:rsid w:val="00B4339B"/>
    <w:rsid w:val="00B435C6"/>
    <w:rsid w:val="00B4488D"/>
    <w:rsid w:val="00B448CA"/>
    <w:rsid w:val="00B45B08"/>
    <w:rsid w:val="00B46795"/>
    <w:rsid w:val="00B46DC7"/>
    <w:rsid w:val="00B4714E"/>
    <w:rsid w:val="00B475C6"/>
    <w:rsid w:val="00B47A4F"/>
    <w:rsid w:val="00B47B69"/>
    <w:rsid w:val="00B47C3B"/>
    <w:rsid w:val="00B50869"/>
    <w:rsid w:val="00B5118C"/>
    <w:rsid w:val="00B51C17"/>
    <w:rsid w:val="00B51DEA"/>
    <w:rsid w:val="00B52581"/>
    <w:rsid w:val="00B52A07"/>
    <w:rsid w:val="00B532D6"/>
    <w:rsid w:val="00B53568"/>
    <w:rsid w:val="00B53793"/>
    <w:rsid w:val="00B53DC0"/>
    <w:rsid w:val="00B5415B"/>
    <w:rsid w:val="00B54769"/>
    <w:rsid w:val="00B5516F"/>
    <w:rsid w:val="00B5540F"/>
    <w:rsid w:val="00B554F7"/>
    <w:rsid w:val="00B55A6D"/>
    <w:rsid w:val="00B56226"/>
    <w:rsid w:val="00B5663F"/>
    <w:rsid w:val="00B56A2C"/>
    <w:rsid w:val="00B56A3B"/>
    <w:rsid w:val="00B574FF"/>
    <w:rsid w:val="00B57905"/>
    <w:rsid w:val="00B601A7"/>
    <w:rsid w:val="00B60317"/>
    <w:rsid w:val="00B618FA"/>
    <w:rsid w:val="00B61E50"/>
    <w:rsid w:val="00B623E2"/>
    <w:rsid w:val="00B628FB"/>
    <w:rsid w:val="00B6296C"/>
    <w:rsid w:val="00B63481"/>
    <w:rsid w:val="00B636F4"/>
    <w:rsid w:val="00B637DC"/>
    <w:rsid w:val="00B63952"/>
    <w:rsid w:val="00B63CC9"/>
    <w:rsid w:val="00B63E63"/>
    <w:rsid w:val="00B64D6D"/>
    <w:rsid w:val="00B65261"/>
    <w:rsid w:val="00B654C3"/>
    <w:rsid w:val="00B6596C"/>
    <w:rsid w:val="00B65E96"/>
    <w:rsid w:val="00B65F5E"/>
    <w:rsid w:val="00B66270"/>
    <w:rsid w:val="00B668DE"/>
    <w:rsid w:val="00B66B6B"/>
    <w:rsid w:val="00B66ECD"/>
    <w:rsid w:val="00B67078"/>
    <w:rsid w:val="00B670D6"/>
    <w:rsid w:val="00B67259"/>
    <w:rsid w:val="00B67333"/>
    <w:rsid w:val="00B67680"/>
    <w:rsid w:val="00B6778E"/>
    <w:rsid w:val="00B67D1F"/>
    <w:rsid w:val="00B702FA"/>
    <w:rsid w:val="00B7040B"/>
    <w:rsid w:val="00B7053E"/>
    <w:rsid w:val="00B70622"/>
    <w:rsid w:val="00B70EEF"/>
    <w:rsid w:val="00B710E2"/>
    <w:rsid w:val="00B711BC"/>
    <w:rsid w:val="00B7143C"/>
    <w:rsid w:val="00B715F6"/>
    <w:rsid w:val="00B71772"/>
    <w:rsid w:val="00B71F9C"/>
    <w:rsid w:val="00B72274"/>
    <w:rsid w:val="00B7265B"/>
    <w:rsid w:val="00B73298"/>
    <w:rsid w:val="00B73E74"/>
    <w:rsid w:val="00B74112"/>
    <w:rsid w:val="00B743D7"/>
    <w:rsid w:val="00B746F8"/>
    <w:rsid w:val="00B74764"/>
    <w:rsid w:val="00B74964"/>
    <w:rsid w:val="00B74C5C"/>
    <w:rsid w:val="00B750B1"/>
    <w:rsid w:val="00B752D3"/>
    <w:rsid w:val="00B75492"/>
    <w:rsid w:val="00B754E7"/>
    <w:rsid w:val="00B756C0"/>
    <w:rsid w:val="00B75A25"/>
    <w:rsid w:val="00B75B5F"/>
    <w:rsid w:val="00B7604E"/>
    <w:rsid w:val="00B761E9"/>
    <w:rsid w:val="00B76394"/>
    <w:rsid w:val="00B76456"/>
    <w:rsid w:val="00B76C88"/>
    <w:rsid w:val="00B76F9A"/>
    <w:rsid w:val="00B77D56"/>
    <w:rsid w:val="00B77FEF"/>
    <w:rsid w:val="00B800CA"/>
    <w:rsid w:val="00B80AC5"/>
    <w:rsid w:val="00B80B11"/>
    <w:rsid w:val="00B80EDD"/>
    <w:rsid w:val="00B81122"/>
    <w:rsid w:val="00B8119B"/>
    <w:rsid w:val="00B811A0"/>
    <w:rsid w:val="00B81772"/>
    <w:rsid w:val="00B81B87"/>
    <w:rsid w:val="00B81CBD"/>
    <w:rsid w:val="00B821D5"/>
    <w:rsid w:val="00B823CB"/>
    <w:rsid w:val="00B8255B"/>
    <w:rsid w:val="00B82BCA"/>
    <w:rsid w:val="00B82FA1"/>
    <w:rsid w:val="00B833FA"/>
    <w:rsid w:val="00B83632"/>
    <w:rsid w:val="00B838F4"/>
    <w:rsid w:val="00B845EE"/>
    <w:rsid w:val="00B84896"/>
    <w:rsid w:val="00B8496E"/>
    <w:rsid w:val="00B84AC1"/>
    <w:rsid w:val="00B84FD5"/>
    <w:rsid w:val="00B86109"/>
    <w:rsid w:val="00B862A8"/>
    <w:rsid w:val="00B865D2"/>
    <w:rsid w:val="00B87679"/>
    <w:rsid w:val="00B87711"/>
    <w:rsid w:val="00B877FF"/>
    <w:rsid w:val="00B87BC4"/>
    <w:rsid w:val="00B90312"/>
    <w:rsid w:val="00B90864"/>
    <w:rsid w:val="00B90F3C"/>
    <w:rsid w:val="00B9171D"/>
    <w:rsid w:val="00B9175D"/>
    <w:rsid w:val="00B91A8A"/>
    <w:rsid w:val="00B91BDF"/>
    <w:rsid w:val="00B91E2C"/>
    <w:rsid w:val="00B91EB3"/>
    <w:rsid w:val="00B92012"/>
    <w:rsid w:val="00B92314"/>
    <w:rsid w:val="00B92827"/>
    <w:rsid w:val="00B929C4"/>
    <w:rsid w:val="00B9312B"/>
    <w:rsid w:val="00B93706"/>
    <w:rsid w:val="00B9399A"/>
    <w:rsid w:val="00B93AD3"/>
    <w:rsid w:val="00B93CBD"/>
    <w:rsid w:val="00B93E1F"/>
    <w:rsid w:val="00B93EE2"/>
    <w:rsid w:val="00B93F2F"/>
    <w:rsid w:val="00B9401C"/>
    <w:rsid w:val="00B947A1"/>
    <w:rsid w:val="00B94BA4"/>
    <w:rsid w:val="00B94DE3"/>
    <w:rsid w:val="00B94FF5"/>
    <w:rsid w:val="00B952B7"/>
    <w:rsid w:val="00B96061"/>
    <w:rsid w:val="00B9621A"/>
    <w:rsid w:val="00B968B6"/>
    <w:rsid w:val="00B970C7"/>
    <w:rsid w:val="00B97196"/>
    <w:rsid w:val="00B97C6A"/>
    <w:rsid w:val="00BA052E"/>
    <w:rsid w:val="00BA0D09"/>
    <w:rsid w:val="00BA1243"/>
    <w:rsid w:val="00BA1B41"/>
    <w:rsid w:val="00BA1C48"/>
    <w:rsid w:val="00BA2380"/>
    <w:rsid w:val="00BA23C3"/>
    <w:rsid w:val="00BA2B89"/>
    <w:rsid w:val="00BA2C22"/>
    <w:rsid w:val="00BA2E35"/>
    <w:rsid w:val="00BA3239"/>
    <w:rsid w:val="00BA45B0"/>
    <w:rsid w:val="00BA4A59"/>
    <w:rsid w:val="00BA4A82"/>
    <w:rsid w:val="00BA53C1"/>
    <w:rsid w:val="00BA5603"/>
    <w:rsid w:val="00BA596F"/>
    <w:rsid w:val="00BA5AE9"/>
    <w:rsid w:val="00BA5BDC"/>
    <w:rsid w:val="00BA6B75"/>
    <w:rsid w:val="00BA6D33"/>
    <w:rsid w:val="00BA6DEE"/>
    <w:rsid w:val="00BA7725"/>
    <w:rsid w:val="00BA78D9"/>
    <w:rsid w:val="00BA7CFF"/>
    <w:rsid w:val="00BB042F"/>
    <w:rsid w:val="00BB066D"/>
    <w:rsid w:val="00BB0763"/>
    <w:rsid w:val="00BB0E58"/>
    <w:rsid w:val="00BB0F21"/>
    <w:rsid w:val="00BB134D"/>
    <w:rsid w:val="00BB160A"/>
    <w:rsid w:val="00BB1974"/>
    <w:rsid w:val="00BB1B71"/>
    <w:rsid w:val="00BB1E4D"/>
    <w:rsid w:val="00BB2309"/>
    <w:rsid w:val="00BB283D"/>
    <w:rsid w:val="00BB3DDB"/>
    <w:rsid w:val="00BB43D8"/>
    <w:rsid w:val="00BB443C"/>
    <w:rsid w:val="00BB4F07"/>
    <w:rsid w:val="00BB5155"/>
    <w:rsid w:val="00BB5207"/>
    <w:rsid w:val="00BB5210"/>
    <w:rsid w:val="00BB59E4"/>
    <w:rsid w:val="00BB5D48"/>
    <w:rsid w:val="00BB65BE"/>
    <w:rsid w:val="00BB695E"/>
    <w:rsid w:val="00BB6E85"/>
    <w:rsid w:val="00BB6F9A"/>
    <w:rsid w:val="00BB6FC3"/>
    <w:rsid w:val="00BB7317"/>
    <w:rsid w:val="00BB7C79"/>
    <w:rsid w:val="00BC0284"/>
    <w:rsid w:val="00BC0728"/>
    <w:rsid w:val="00BC0A16"/>
    <w:rsid w:val="00BC13BB"/>
    <w:rsid w:val="00BC1AE8"/>
    <w:rsid w:val="00BC1BD1"/>
    <w:rsid w:val="00BC1DA5"/>
    <w:rsid w:val="00BC1FD0"/>
    <w:rsid w:val="00BC22AB"/>
    <w:rsid w:val="00BC25E4"/>
    <w:rsid w:val="00BC27B7"/>
    <w:rsid w:val="00BC2826"/>
    <w:rsid w:val="00BC2947"/>
    <w:rsid w:val="00BC2FA8"/>
    <w:rsid w:val="00BC368F"/>
    <w:rsid w:val="00BC3749"/>
    <w:rsid w:val="00BC3795"/>
    <w:rsid w:val="00BC380B"/>
    <w:rsid w:val="00BC4040"/>
    <w:rsid w:val="00BC4C4C"/>
    <w:rsid w:val="00BC52EC"/>
    <w:rsid w:val="00BC5E17"/>
    <w:rsid w:val="00BC6014"/>
    <w:rsid w:val="00BC60D4"/>
    <w:rsid w:val="00BC6738"/>
    <w:rsid w:val="00BC79D1"/>
    <w:rsid w:val="00BD022E"/>
    <w:rsid w:val="00BD0275"/>
    <w:rsid w:val="00BD05CD"/>
    <w:rsid w:val="00BD0702"/>
    <w:rsid w:val="00BD10C7"/>
    <w:rsid w:val="00BD132D"/>
    <w:rsid w:val="00BD17D6"/>
    <w:rsid w:val="00BD17E8"/>
    <w:rsid w:val="00BD1889"/>
    <w:rsid w:val="00BD1F96"/>
    <w:rsid w:val="00BD20BD"/>
    <w:rsid w:val="00BD2BF0"/>
    <w:rsid w:val="00BD3654"/>
    <w:rsid w:val="00BD37A5"/>
    <w:rsid w:val="00BD432D"/>
    <w:rsid w:val="00BD43BE"/>
    <w:rsid w:val="00BD4CC3"/>
    <w:rsid w:val="00BD4DC8"/>
    <w:rsid w:val="00BD539C"/>
    <w:rsid w:val="00BD544E"/>
    <w:rsid w:val="00BD54DE"/>
    <w:rsid w:val="00BD5980"/>
    <w:rsid w:val="00BD5B4F"/>
    <w:rsid w:val="00BD63B2"/>
    <w:rsid w:val="00BD6431"/>
    <w:rsid w:val="00BD6531"/>
    <w:rsid w:val="00BD691C"/>
    <w:rsid w:val="00BD6A29"/>
    <w:rsid w:val="00BD7B3C"/>
    <w:rsid w:val="00BD7CCF"/>
    <w:rsid w:val="00BD7D2D"/>
    <w:rsid w:val="00BD7DE9"/>
    <w:rsid w:val="00BE033C"/>
    <w:rsid w:val="00BE0538"/>
    <w:rsid w:val="00BE0BD3"/>
    <w:rsid w:val="00BE1314"/>
    <w:rsid w:val="00BE14F0"/>
    <w:rsid w:val="00BE191B"/>
    <w:rsid w:val="00BE19A0"/>
    <w:rsid w:val="00BE1EDE"/>
    <w:rsid w:val="00BE2289"/>
    <w:rsid w:val="00BE2E4A"/>
    <w:rsid w:val="00BE308C"/>
    <w:rsid w:val="00BE33A3"/>
    <w:rsid w:val="00BE3563"/>
    <w:rsid w:val="00BE4240"/>
    <w:rsid w:val="00BE45A7"/>
    <w:rsid w:val="00BE475B"/>
    <w:rsid w:val="00BE5E4F"/>
    <w:rsid w:val="00BE5E95"/>
    <w:rsid w:val="00BE5F42"/>
    <w:rsid w:val="00BE61B7"/>
    <w:rsid w:val="00BE7094"/>
    <w:rsid w:val="00BE7878"/>
    <w:rsid w:val="00BE7DBD"/>
    <w:rsid w:val="00BE7FCE"/>
    <w:rsid w:val="00BF0165"/>
    <w:rsid w:val="00BF07DE"/>
    <w:rsid w:val="00BF0B2A"/>
    <w:rsid w:val="00BF0D49"/>
    <w:rsid w:val="00BF21CA"/>
    <w:rsid w:val="00BF2CDB"/>
    <w:rsid w:val="00BF3065"/>
    <w:rsid w:val="00BF356E"/>
    <w:rsid w:val="00BF393D"/>
    <w:rsid w:val="00BF416F"/>
    <w:rsid w:val="00BF4255"/>
    <w:rsid w:val="00BF4801"/>
    <w:rsid w:val="00BF5624"/>
    <w:rsid w:val="00BF5F6B"/>
    <w:rsid w:val="00BF6207"/>
    <w:rsid w:val="00BF6497"/>
    <w:rsid w:val="00BF6C43"/>
    <w:rsid w:val="00BF6EEF"/>
    <w:rsid w:val="00BF7069"/>
    <w:rsid w:val="00BF73F9"/>
    <w:rsid w:val="00BF76BF"/>
    <w:rsid w:val="00BF7CE1"/>
    <w:rsid w:val="00C00187"/>
    <w:rsid w:val="00C00D5A"/>
    <w:rsid w:val="00C019CC"/>
    <w:rsid w:val="00C01BAF"/>
    <w:rsid w:val="00C01E41"/>
    <w:rsid w:val="00C01E56"/>
    <w:rsid w:val="00C02094"/>
    <w:rsid w:val="00C02931"/>
    <w:rsid w:val="00C02A70"/>
    <w:rsid w:val="00C02AA2"/>
    <w:rsid w:val="00C032D5"/>
    <w:rsid w:val="00C03614"/>
    <w:rsid w:val="00C03655"/>
    <w:rsid w:val="00C0370D"/>
    <w:rsid w:val="00C038CB"/>
    <w:rsid w:val="00C04240"/>
    <w:rsid w:val="00C042CD"/>
    <w:rsid w:val="00C04FB4"/>
    <w:rsid w:val="00C0529C"/>
    <w:rsid w:val="00C05327"/>
    <w:rsid w:val="00C056F1"/>
    <w:rsid w:val="00C0589D"/>
    <w:rsid w:val="00C0591F"/>
    <w:rsid w:val="00C05E90"/>
    <w:rsid w:val="00C0617B"/>
    <w:rsid w:val="00C06301"/>
    <w:rsid w:val="00C0673B"/>
    <w:rsid w:val="00C06A06"/>
    <w:rsid w:val="00C06A4B"/>
    <w:rsid w:val="00C070AF"/>
    <w:rsid w:val="00C071E9"/>
    <w:rsid w:val="00C0766C"/>
    <w:rsid w:val="00C07683"/>
    <w:rsid w:val="00C07C8A"/>
    <w:rsid w:val="00C100A6"/>
    <w:rsid w:val="00C10323"/>
    <w:rsid w:val="00C10515"/>
    <w:rsid w:val="00C10FFF"/>
    <w:rsid w:val="00C11271"/>
    <w:rsid w:val="00C11277"/>
    <w:rsid w:val="00C11467"/>
    <w:rsid w:val="00C11620"/>
    <w:rsid w:val="00C1171D"/>
    <w:rsid w:val="00C11AB0"/>
    <w:rsid w:val="00C12374"/>
    <w:rsid w:val="00C12664"/>
    <w:rsid w:val="00C12B17"/>
    <w:rsid w:val="00C12D36"/>
    <w:rsid w:val="00C13BB6"/>
    <w:rsid w:val="00C13FD8"/>
    <w:rsid w:val="00C14002"/>
    <w:rsid w:val="00C144AF"/>
    <w:rsid w:val="00C1454E"/>
    <w:rsid w:val="00C14983"/>
    <w:rsid w:val="00C14E95"/>
    <w:rsid w:val="00C15547"/>
    <w:rsid w:val="00C158D3"/>
    <w:rsid w:val="00C1596E"/>
    <w:rsid w:val="00C1675D"/>
    <w:rsid w:val="00C1686A"/>
    <w:rsid w:val="00C169C3"/>
    <w:rsid w:val="00C16B2B"/>
    <w:rsid w:val="00C16C7B"/>
    <w:rsid w:val="00C16EB0"/>
    <w:rsid w:val="00C17120"/>
    <w:rsid w:val="00C1773B"/>
    <w:rsid w:val="00C20044"/>
    <w:rsid w:val="00C203C8"/>
    <w:rsid w:val="00C20CC9"/>
    <w:rsid w:val="00C20FF4"/>
    <w:rsid w:val="00C219A6"/>
    <w:rsid w:val="00C22282"/>
    <w:rsid w:val="00C226B9"/>
    <w:rsid w:val="00C227B0"/>
    <w:rsid w:val="00C2286F"/>
    <w:rsid w:val="00C22DF2"/>
    <w:rsid w:val="00C236D9"/>
    <w:rsid w:val="00C23A1C"/>
    <w:rsid w:val="00C23B1D"/>
    <w:rsid w:val="00C23BBF"/>
    <w:rsid w:val="00C23CFA"/>
    <w:rsid w:val="00C24100"/>
    <w:rsid w:val="00C249F8"/>
    <w:rsid w:val="00C24D48"/>
    <w:rsid w:val="00C24D59"/>
    <w:rsid w:val="00C24DF4"/>
    <w:rsid w:val="00C24EA7"/>
    <w:rsid w:val="00C25720"/>
    <w:rsid w:val="00C257B1"/>
    <w:rsid w:val="00C25A91"/>
    <w:rsid w:val="00C25C29"/>
    <w:rsid w:val="00C25D1D"/>
    <w:rsid w:val="00C25F5B"/>
    <w:rsid w:val="00C260D6"/>
    <w:rsid w:val="00C26355"/>
    <w:rsid w:val="00C2642C"/>
    <w:rsid w:val="00C26784"/>
    <w:rsid w:val="00C2689C"/>
    <w:rsid w:val="00C2727F"/>
    <w:rsid w:val="00C2731F"/>
    <w:rsid w:val="00C274F6"/>
    <w:rsid w:val="00C27A12"/>
    <w:rsid w:val="00C27BBC"/>
    <w:rsid w:val="00C30289"/>
    <w:rsid w:val="00C302ED"/>
    <w:rsid w:val="00C3044E"/>
    <w:rsid w:val="00C30B1C"/>
    <w:rsid w:val="00C30EBE"/>
    <w:rsid w:val="00C31739"/>
    <w:rsid w:val="00C31868"/>
    <w:rsid w:val="00C31E5F"/>
    <w:rsid w:val="00C31F1F"/>
    <w:rsid w:val="00C32AF1"/>
    <w:rsid w:val="00C32BE9"/>
    <w:rsid w:val="00C331A3"/>
    <w:rsid w:val="00C340A7"/>
    <w:rsid w:val="00C347E2"/>
    <w:rsid w:val="00C34926"/>
    <w:rsid w:val="00C34ADD"/>
    <w:rsid w:val="00C34B03"/>
    <w:rsid w:val="00C34CC7"/>
    <w:rsid w:val="00C35121"/>
    <w:rsid w:val="00C35DA3"/>
    <w:rsid w:val="00C35F06"/>
    <w:rsid w:val="00C3639B"/>
    <w:rsid w:val="00C3676A"/>
    <w:rsid w:val="00C3678F"/>
    <w:rsid w:val="00C36E53"/>
    <w:rsid w:val="00C37121"/>
    <w:rsid w:val="00C373C3"/>
    <w:rsid w:val="00C3741C"/>
    <w:rsid w:val="00C37457"/>
    <w:rsid w:val="00C377C3"/>
    <w:rsid w:val="00C377D0"/>
    <w:rsid w:val="00C379E1"/>
    <w:rsid w:val="00C4045C"/>
    <w:rsid w:val="00C40BBC"/>
    <w:rsid w:val="00C40E1B"/>
    <w:rsid w:val="00C41073"/>
    <w:rsid w:val="00C4138A"/>
    <w:rsid w:val="00C41392"/>
    <w:rsid w:val="00C413DA"/>
    <w:rsid w:val="00C41CFD"/>
    <w:rsid w:val="00C4215C"/>
    <w:rsid w:val="00C4275C"/>
    <w:rsid w:val="00C427FA"/>
    <w:rsid w:val="00C435F7"/>
    <w:rsid w:val="00C4372D"/>
    <w:rsid w:val="00C43911"/>
    <w:rsid w:val="00C43D1E"/>
    <w:rsid w:val="00C43DDE"/>
    <w:rsid w:val="00C43E1F"/>
    <w:rsid w:val="00C44E6C"/>
    <w:rsid w:val="00C451B8"/>
    <w:rsid w:val="00C459E9"/>
    <w:rsid w:val="00C45D36"/>
    <w:rsid w:val="00C45EB6"/>
    <w:rsid w:val="00C462AC"/>
    <w:rsid w:val="00C46616"/>
    <w:rsid w:val="00C46F4D"/>
    <w:rsid w:val="00C4768C"/>
    <w:rsid w:val="00C47995"/>
    <w:rsid w:val="00C47A36"/>
    <w:rsid w:val="00C501F0"/>
    <w:rsid w:val="00C50447"/>
    <w:rsid w:val="00C504B3"/>
    <w:rsid w:val="00C50931"/>
    <w:rsid w:val="00C50C09"/>
    <w:rsid w:val="00C50E51"/>
    <w:rsid w:val="00C50F6D"/>
    <w:rsid w:val="00C514A8"/>
    <w:rsid w:val="00C525F6"/>
    <w:rsid w:val="00C525F9"/>
    <w:rsid w:val="00C52A6C"/>
    <w:rsid w:val="00C52DAD"/>
    <w:rsid w:val="00C52E74"/>
    <w:rsid w:val="00C53074"/>
    <w:rsid w:val="00C532EA"/>
    <w:rsid w:val="00C532FA"/>
    <w:rsid w:val="00C5364C"/>
    <w:rsid w:val="00C538CE"/>
    <w:rsid w:val="00C54962"/>
    <w:rsid w:val="00C54DDD"/>
    <w:rsid w:val="00C54FA1"/>
    <w:rsid w:val="00C55476"/>
    <w:rsid w:val="00C5547F"/>
    <w:rsid w:val="00C55523"/>
    <w:rsid w:val="00C558B3"/>
    <w:rsid w:val="00C55C50"/>
    <w:rsid w:val="00C56382"/>
    <w:rsid w:val="00C56639"/>
    <w:rsid w:val="00C56772"/>
    <w:rsid w:val="00C56B24"/>
    <w:rsid w:val="00C56D97"/>
    <w:rsid w:val="00C56DC1"/>
    <w:rsid w:val="00C5715D"/>
    <w:rsid w:val="00C576FE"/>
    <w:rsid w:val="00C57E8F"/>
    <w:rsid w:val="00C603ED"/>
    <w:rsid w:val="00C60A10"/>
    <w:rsid w:val="00C60D07"/>
    <w:rsid w:val="00C60D5B"/>
    <w:rsid w:val="00C60DE4"/>
    <w:rsid w:val="00C61075"/>
    <w:rsid w:val="00C61315"/>
    <w:rsid w:val="00C6163E"/>
    <w:rsid w:val="00C6186C"/>
    <w:rsid w:val="00C62752"/>
    <w:rsid w:val="00C62C1D"/>
    <w:rsid w:val="00C632C1"/>
    <w:rsid w:val="00C63630"/>
    <w:rsid w:val="00C63A98"/>
    <w:rsid w:val="00C63B24"/>
    <w:rsid w:val="00C63C36"/>
    <w:rsid w:val="00C63CB1"/>
    <w:rsid w:val="00C63F8D"/>
    <w:rsid w:val="00C640C5"/>
    <w:rsid w:val="00C6415B"/>
    <w:rsid w:val="00C64509"/>
    <w:rsid w:val="00C64659"/>
    <w:rsid w:val="00C64953"/>
    <w:rsid w:val="00C64C63"/>
    <w:rsid w:val="00C6569D"/>
    <w:rsid w:val="00C6674E"/>
    <w:rsid w:val="00C675CE"/>
    <w:rsid w:val="00C70372"/>
    <w:rsid w:val="00C706C6"/>
    <w:rsid w:val="00C7116E"/>
    <w:rsid w:val="00C71231"/>
    <w:rsid w:val="00C71302"/>
    <w:rsid w:val="00C7139A"/>
    <w:rsid w:val="00C715AB"/>
    <w:rsid w:val="00C71D32"/>
    <w:rsid w:val="00C71E15"/>
    <w:rsid w:val="00C71F5B"/>
    <w:rsid w:val="00C72287"/>
    <w:rsid w:val="00C722E2"/>
    <w:rsid w:val="00C728EC"/>
    <w:rsid w:val="00C72972"/>
    <w:rsid w:val="00C73111"/>
    <w:rsid w:val="00C732DE"/>
    <w:rsid w:val="00C73496"/>
    <w:rsid w:val="00C735D0"/>
    <w:rsid w:val="00C7398F"/>
    <w:rsid w:val="00C73F43"/>
    <w:rsid w:val="00C74029"/>
    <w:rsid w:val="00C741AE"/>
    <w:rsid w:val="00C7485E"/>
    <w:rsid w:val="00C748CD"/>
    <w:rsid w:val="00C748DE"/>
    <w:rsid w:val="00C74C2A"/>
    <w:rsid w:val="00C75020"/>
    <w:rsid w:val="00C752FD"/>
    <w:rsid w:val="00C75375"/>
    <w:rsid w:val="00C7553A"/>
    <w:rsid w:val="00C7586C"/>
    <w:rsid w:val="00C75CB3"/>
    <w:rsid w:val="00C7693A"/>
    <w:rsid w:val="00C7748C"/>
    <w:rsid w:val="00C775A1"/>
    <w:rsid w:val="00C77820"/>
    <w:rsid w:val="00C77BC3"/>
    <w:rsid w:val="00C77D26"/>
    <w:rsid w:val="00C800D8"/>
    <w:rsid w:val="00C8010D"/>
    <w:rsid w:val="00C8037F"/>
    <w:rsid w:val="00C80615"/>
    <w:rsid w:val="00C80BFB"/>
    <w:rsid w:val="00C81135"/>
    <w:rsid w:val="00C8124F"/>
    <w:rsid w:val="00C813D2"/>
    <w:rsid w:val="00C82138"/>
    <w:rsid w:val="00C824F2"/>
    <w:rsid w:val="00C825A7"/>
    <w:rsid w:val="00C826B9"/>
    <w:rsid w:val="00C8384C"/>
    <w:rsid w:val="00C83B8F"/>
    <w:rsid w:val="00C83D8A"/>
    <w:rsid w:val="00C840FE"/>
    <w:rsid w:val="00C847CB"/>
    <w:rsid w:val="00C848F7"/>
    <w:rsid w:val="00C8506D"/>
    <w:rsid w:val="00C85BBC"/>
    <w:rsid w:val="00C85DE1"/>
    <w:rsid w:val="00C85E70"/>
    <w:rsid w:val="00C860C8"/>
    <w:rsid w:val="00C861FF"/>
    <w:rsid w:val="00C86344"/>
    <w:rsid w:val="00C86C8F"/>
    <w:rsid w:val="00C86D7F"/>
    <w:rsid w:val="00C86E44"/>
    <w:rsid w:val="00C87383"/>
    <w:rsid w:val="00C87572"/>
    <w:rsid w:val="00C87733"/>
    <w:rsid w:val="00C87905"/>
    <w:rsid w:val="00C879C4"/>
    <w:rsid w:val="00C87A5E"/>
    <w:rsid w:val="00C87D50"/>
    <w:rsid w:val="00C87D5C"/>
    <w:rsid w:val="00C87DAF"/>
    <w:rsid w:val="00C904B5"/>
    <w:rsid w:val="00C907A9"/>
    <w:rsid w:val="00C90A35"/>
    <w:rsid w:val="00C917DA"/>
    <w:rsid w:val="00C9198F"/>
    <w:rsid w:val="00C91D26"/>
    <w:rsid w:val="00C91F29"/>
    <w:rsid w:val="00C9220B"/>
    <w:rsid w:val="00C923F2"/>
    <w:rsid w:val="00C9242C"/>
    <w:rsid w:val="00C92670"/>
    <w:rsid w:val="00C92776"/>
    <w:rsid w:val="00C92E05"/>
    <w:rsid w:val="00C9414F"/>
    <w:rsid w:val="00C9466F"/>
    <w:rsid w:val="00C95023"/>
    <w:rsid w:val="00C954AA"/>
    <w:rsid w:val="00C95977"/>
    <w:rsid w:val="00C95B1A"/>
    <w:rsid w:val="00C96022"/>
    <w:rsid w:val="00C96138"/>
    <w:rsid w:val="00C961AB"/>
    <w:rsid w:val="00C96278"/>
    <w:rsid w:val="00C96457"/>
    <w:rsid w:val="00C96629"/>
    <w:rsid w:val="00C96A40"/>
    <w:rsid w:val="00C96E09"/>
    <w:rsid w:val="00C974C5"/>
    <w:rsid w:val="00C974D4"/>
    <w:rsid w:val="00C975B8"/>
    <w:rsid w:val="00C97626"/>
    <w:rsid w:val="00C97896"/>
    <w:rsid w:val="00C978AB"/>
    <w:rsid w:val="00C97FAE"/>
    <w:rsid w:val="00CA02F1"/>
    <w:rsid w:val="00CA04B6"/>
    <w:rsid w:val="00CA0CF0"/>
    <w:rsid w:val="00CA0F49"/>
    <w:rsid w:val="00CA14AC"/>
    <w:rsid w:val="00CA20CD"/>
    <w:rsid w:val="00CA245D"/>
    <w:rsid w:val="00CA29BF"/>
    <w:rsid w:val="00CA3066"/>
    <w:rsid w:val="00CA319B"/>
    <w:rsid w:val="00CA346B"/>
    <w:rsid w:val="00CA3637"/>
    <w:rsid w:val="00CA375B"/>
    <w:rsid w:val="00CA3BF2"/>
    <w:rsid w:val="00CA421C"/>
    <w:rsid w:val="00CA4277"/>
    <w:rsid w:val="00CA44C7"/>
    <w:rsid w:val="00CA4A99"/>
    <w:rsid w:val="00CA4BD3"/>
    <w:rsid w:val="00CA4C1D"/>
    <w:rsid w:val="00CA4EC5"/>
    <w:rsid w:val="00CA5647"/>
    <w:rsid w:val="00CA5D19"/>
    <w:rsid w:val="00CA5D39"/>
    <w:rsid w:val="00CA5E2B"/>
    <w:rsid w:val="00CA60E2"/>
    <w:rsid w:val="00CA6170"/>
    <w:rsid w:val="00CA6752"/>
    <w:rsid w:val="00CA6EA3"/>
    <w:rsid w:val="00CA7114"/>
    <w:rsid w:val="00CA714D"/>
    <w:rsid w:val="00CA7BC5"/>
    <w:rsid w:val="00CA7D11"/>
    <w:rsid w:val="00CA7D20"/>
    <w:rsid w:val="00CA7E5A"/>
    <w:rsid w:val="00CB0025"/>
    <w:rsid w:val="00CB0749"/>
    <w:rsid w:val="00CB09A9"/>
    <w:rsid w:val="00CB0DC9"/>
    <w:rsid w:val="00CB0E90"/>
    <w:rsid w:val="00CB1185"/>
    <w:rsid w:val="00CB12D9"/>
    <w:rsid w:val="00CB12F7"/>
    <w:rsid w:val="00CB143C"/>
    <w:rsid w:val="00CB14DF"/>
    <w:rsid w:val="00CB1958"/>
    <w:rsid w:val="00CB1FA1"/>
    <w:rsid w:val="00CB21B3"/>
    <w:rsid w:val="00CB28EC"/>
    <w:rsid w:val="00CB2EB1"/>
    <w:rsid w:val="00CB2F07"/>
    <w:rsid w:val="00CB323E"/>
    <w:rsid w:val="00CB353C"/>
    <w:rsid w:val="00CB35AB"/>
    <w:rsid w:val="00CB3AE2"/>
    <w:rsid w:val="00CB3B22"/>
    <w:rsid w:val="00CB4003"/>
    <w:rsid w:val="00CB4558"/>
    <w:rsid w:val="00CB4854"/>
    <w:rsid w:val="00CB4C24"/>
    <w:rsid w:val="00CB4EB6"/>
    <w:rsid w:val="00CB4FDE"/>
    <w:rsid w:val="00CB6458"/>
    <w:rsid w:val="00CB6CB2"/>
    <w:rsid w:val="00CB7121"/>
    <w:rsid w:val="00CB75B5"/>
    <w:rsid w:val="00CB767C"/>
    <w:rsid w:val="00CB76B2"/>
    <w:rsid w:val="00CB7DD3"/>
    <w:rsid w:val="00CB7F22"/>
    <w:rsid w:val="00CC02AC"/>
    <w:rsid w:val="00CC09D8"/>
    <w:rsid w:val="00CC0AF7"/>
    <w:rsid w:val="00CC0E9B"/>
    <w:rsid w:val="00CC12ED"/>
    <w:rsid w:val="00CC22D1"/>
    <w:rsid w:val="00CC24AE"/>
    <w:rsid w:val="00CC2673"/>
    <w:rsid w:val="00CC2AC1"/>
    <w:rsid w:val="00CC2DD5"/>
    <w:rsid w:val="00CC31F2"/>
    <w:rsid w:val="00CC3A52"/>
    <w:rsid w:val="00CC4231"/>
    <w:rsid w:val="00CC466C"/>
    <w:rsid w:val="00CC474D"/>
    <w:rsid w:val="00CC4D19"/>
    <w:rsid w:val="00CC4DE2"/>
    <w:rsid w:val="00CC5072"/>
    <w:rsid w:val="00CC5515"/>
    <w:rsid w:val="00CC5D8A"/>
    <w:rsid w:val="00CC6083"/>
    <w:rsid w:val="00CC6259"/>
    <w:rsid w:val="00CC64C3"/>
    <w:rsid w:val="00CC6827"/>
    <w:rsid w:val="00CC6EA5"/>
    <w:rsid w:val="00CC74D1"/>
    <w:rsid w:val="00CC77AF"/>
    <w:rsid w:val="00CC7844"/>
    <w:rsid w:val="00CC7B53"/>
    <w:rsid w:val="00CC7F85"/>
    <w:rsid w:val="00CD056F"/>
    <w:rsid w:val="00CD0CA2"/>
    <w:rsid w:val="00CD0DAC"/>
    <w:rsid w:val="00CD13F9"/>
    <w:rsid w:val="00CD15FF"/>
    <w:rsid w:val="00CD1C6C"/>
    <w:rsid w:val="00CD1DAD"/>
    <w:rsid w:val="00CD21DF"/>
    <w:rsid w:val="00CD298C"/>
    <w:rsid w:val="00CD2A5A"/>
    <w:rsid w:val="00CD3178"/>
    <w:rsid w:val="00CD3397"/>
    <w:rsid w:val="00CD349E"/>
    <w:rsid w:val="00CD3671"/>
    <w:rsid w:val="00CD3B30"/>
    <w:rsid w:val="00CD3D34"/>
    <w:rsid w:val="00CD4373"/>
    <w:rsid w:val="00CD43B5"/>
    <w:rsid w:val="00CD43BA"/>
    <w:rsid w:val="00CD463C"/>
    <w:rsid w:val="00CD46BD"/>
    <w:rsid w:val="00CD478A"/>
    <w:rsid w:val="00CD48C9"/>
    <w:rsid w:val="00CD5F87"/>
    <w:rsid w:val="00CD627C"/>
    <w:rsid w:val="00CD6B30"/>
    <w:rsid w:val="00CE02D5"/>
    <w:rsid w:val="00CE0A47"/>
    <w:rsid w:val="00CE0A7F"/>
    <w:rsid w:val="00CE1B7B"/>
    <w:rsid w:val="00CE2555"/>
    <w:rsid w:val="00CE2938"/>
    <w:rsid w:val="00CE3329"/>
    <w:rsid w:val="00CE3454"/>
    <w:rsid w:val="00CE421D"/>
    <w:rsid w:val="00CE42FA"/>
    <w:rsid w:val="00CE44F4"/>
    <w:rsid w:val="00CE460B"/>
    <w:rsid w:val="00CE4714"/>
    <w:rsid w:val="00CE4792"/>
    <w:rsid w:val="00CE4969"/>
    <w:rsid w:val="00CE50E3"/>
    <w:rsid w:val="00CE577D"/>
    <w:rsid w:val="00CE6160"/>
    <w:rsid w:val="00CE61CA"/>
    <w:rsid w:val="00CE67D0"/>
    <w:rsid w:val="00CE6E33"/>
    <w:rsid w:val="00CE7183"/>
    <w:rsid w:val="00CE7586"/>
    <w:rsid w:val="00CE778B"/>
    <w:rsid w:val="00CF011B"/>
    <w:rsid w:val="00CF0455"/>
    <w:rsid w:val="00CF066E"/>
    <w:rsid w:val="00CF0D72"/>
    <w:rsid w:val="00CF0F37"/>
    <w:rsid w:val="00CF1008"/>
    <w:rsid w:val="00CF1082"/>
    <w:rsid w:val="00CF111F"/>
    <w:rsid w:val="00CF126F"/>
    <w:rsid w:val="00CF1861"/>
    <w:rsid w:val="00CF1DE1"/>
    <w:rsid w:val="00CF215E"/>
    <w:rsid w:val="00CF252E"/>
    <w:rsid w:val="00CF26EF"/>
    <w:rsid w:val="00CF26FA"/>
    <w:rsid w:val="00CF3472"/>
    <w:rsid w:val="00CF368C"/>
    <w:rsid w:val="00CF3A9F"/>
    <w:rsid w:val="00CF3B25"/>
    <w:rsid w:val="00CF3FD9"/>
    <w:rsid w:val="00CF48F6"/>
    <w:rsid w:val="00CF4A54"/>
    <w:rsid w:val="00CF4C50"/>
    <w:rsid w:val="00CF5110"/>
    <w:rsid w:val="00CF552B"/>
    <w:rsid w:val="00CF59C7"/>
    <w:rsid w:val="00CF5AA9"/>
    <w:rsid w:val="00CF5DC5"/>
    <w:rsid w:val="00CF65B2"/>
    <w:rsid w:val="00CF7708"/>
    <w:rsid w:val="00CF78DA"/>
    <w:rsid w:val="00CF7A02"/>
    <w:rsid w:val="00CF7B1C"/>
    <w:rsid w:val="00CF7E24"/>
    <w:rsid w:val="00D003B0"/>
    <w:rsid w:val="00D00449"/>
    <w:rsid w:val="00D00610"/>
    <w:rsid w:val="00D01220"/>
    <w:rsid w:val="00D0250E"/>
    <w:rsid w:val="00D02624"/>
    <w:rsid w:val="00D02CA8"/>
    <w:rsid w:val="00D03144"/>
    <w:rsid w:val="00D03915"/>
    <w:rsid w:val="00D0495C"/>
    <w:rsid w:val="00D05043"/>
    <w:rsid w:val="00D05127"/>
    <w:rsid w:val="00D05137"/>
    <w:rsid w:val="00D05418"/>
    <w:rsid w:val="00D0587F"/>
    <w:rsid w:val="00D05E5C"/>
    <w:rsid w:val="00D06DFE"/>
    <w:rsid w:val="00D07213"/>
    <w:rsid w:val="00D074EC"/>
    <w:rsid w:val="00D075DC"/>
    <w:rsid w:val="00D075E9"/>
    <w:rsid w:val="00D0763C"/>
    <w:rsid w:val="00D07D15"/>
    <w:rsid w:val="00D07FDA"/>
    <w:rsid w:val="00D1052F"/>
    <w:rsid w:val="00D10F23"/>
    <w:rsid w:val="00D10F66"/>
    <w:rsid w:val="00D10FF3"/>
    <w:rsid w:val="00D110A0"/>
    <w:rsid w:val="00D1128A"/>
    <w:rsid w:val="00D119DD"/>
    <w:rsid w:val="00D11D25"/>
    <w:rsid w:val="00D11FC7"/>
    <w:rsid w:val="00D12110"/>
    <w:rsid w:val="00D12502"/>
    <w:rsid w:val="00D131FF"/>
    <w:rsid w:val="00D1390B"/>
    <w:rsid w:val="00D13BDA"/>
    <w:rsid w:val="00D13E16"/>
    <w:rsid w:val="00D13FFE"/>
    <w:rsid w:val="00D14197"/>
    <w:rsid w:val="00D143B9"/>
    <w:rsid w:val="00D143BD"/>
    <w:rsid w:val="00D144D8"/>
    <w:rsid w:val="00D1453A"/>
    <w:rsid w:val="00D1458C"/>
    <w:rsid w:val="00D14766"/>
    <w:rsid w:val="00D147DD"/>
    <w:rsid w:val="00D14E2D"/>
    <w:rsid w:val="00D160D4"/>
    <w:rsid w:val="00D16D78"/>
    <w:rsid w:val="00D16E3D"/>
    <w:rsid w:val="00D17041"/>
    <w:rsid w:val="00D1787C"/>
    <w:rsid w:val="00D179B3"/>
    <w:rsid w:val="00D2065F"/>
    <w:rsid w:val="00D206F6"/>
    <w:rsid w:val="00D207BC"/>
    <w:rsid w:val="00D20932"/>
    <w:rsid w:val="00D20BAE"/>
    <w:rsid w:val="00D20D58"/>
    <w:rsid w:val="00D211FA"/>
    <w:rsid w:val="00D2177D"/>
    <w:rsid w:val="00D21FE4"/>
    <w:rsid w:val="00D2217E"/>
    <w:rsid w:val="00D2256D"/>
    <w:rsid w:val="00D22CB1"/>
    <w:rsid w:val="00D22E98"/>
    <w:rsid w:val="00D2408B"/>
    <w:rsid w:val="00D2440D"/>
    <w:rsid w:val="00D24B98"/>
    <w:rsid w:val="00D252DD"/>
    <w:rsid w:val="00D255EC"/>
    <w:rsid w:val="00D2563B"/>
    <w:rsid w:val="00D26286"/>
    <w:rsid w:val="00D26DD6"/>
    <w:rsid w:val="00D27412"/>
    <w:rsid w:val="00D27872"/>
    <w:rsid w:val="00D279E8"/>
    <w:rsid w:val="00D27A63"/>
    <w:rsid w:val="00D27CD0"/>
    <w:rsid w:val="00D27F9B"/>
    <w:rsid w:val="00D307C1"/>
    <w:rsid w:val="00D307C2"/>
    <w:rsid w:val="00D30974"/>
    <w:rsid w:val="00D30AC1"/>
    <w:rsid w:val="00D30D10"/>
    <w:rsid w:val="00D30DA7"/>
    <w:rsid w:val="00D30E2B"/>
    <w:rsid w:val="00D30F7C"/>
    <w:rsid w:val="00D30F7E"/>
    <w:rsid w:val="00D31243"/>
    <w:rsid w:val="00D31435"/>
    <w:rsid w:val="00D32115"/>
    <w:rsid w:val="00D32AE7"/>
    <w:rsid w:val="00D32B5C"/>
    <w:rsid w:val="00D32DA7"/>
    <w:rsid w:val="00D332DB"/>
    <w:rsid w:val="00D33498"/>
    <w:rsid w:val="00D33A96"/>
    <w:rsid w:val="00D33B6B"/>
    <w:rsid w:val="00D33F43"/>
    <w:rsid w:val="00D34557"/>
    <w:rsid w:val="00D3490D"/>
    <w:rsid w:val="00D34B24"/>
    <w:rsid w:val="00D34B63"/>
    <w:rsid w:val="00D34BB0"/>
    <w:rsid w:val="00D35264"/>
    <w:rsid w:val="00D355CD"/>
    <w:rsid w:val="00D3575B"/>
    <w:rsid w:val="00D3580C"/>
    <w:rsid w:val="00D36184"/>
    <w:rsid w:val="00D362C5"/>
    <w:rsid w:val="00D3699E"/>
    <w:rsid w:val="00D37012"/>
    <w:rsid w:val="00D3785A"/>
    <w:rsid w:val="00D37A78"/>
    <w:rsid w:val="00D37D8E"/>
    <w:rsid w:val="00D37E2F"/>
    <w:rsid w:val="00D40010"/>
    <w:rsid w:val="00D40131"/>
    <w:rsid w:val="00D40405"/>
    <w:rsid w:val="00D40A8E"/>
    <w:rsid w:val="00D40CC8"/>
    <w:rsid w:val="00D40F3C"/>
    <w:rsid w:val="00D4194C"/>
    <w:rsid w:val="00D41BC6"/>
    <w:rsid w:val="00D42125"/>
    <w:rsid w:val="00D4217D"/>
    <w:rsid w:val="00D4242A"/>
    <w:rsid w:val="00D42A46"/>
    <w:rsid w:val="00D43722"/>
    <w:rsid w:val="00D43A10"/>
    <w:rsid w:val="00D43BEB"/>
    <w:rsid w:val="00D43CE6"/>
    <w:rsid w:val="00D4424D"/>
    <w:rsid w:val="00D4492D"/>
    <w:rsid w:val="00D44A9E"/>
    <w:rsid w:val="00D4519B"/>
    <w:rsid w:val="00D451F1"/>
    <w:rsid w:val="00D46035"/>
    <w:rsid w:val="00D4606C"/>
    <w:rsid w:val="00D46503"/>
    <w:rsid w:val="00D4696D"/>
    <w:rsid w:val="00D46BC5"/>
    <w:rsid w:val="00D46D07"/>
    <w:rsid w:val="00D46F56"/>
    <w:rsid w:val="00D46F7F"/>
    <w:rsid w:val="00D471A9"/>
    <w:rsid w:val="00D473A3"/>
    <w:rsid w:val="00D47D61"/>
    <w:rsid w:val="00D47F92"/>
    <w:rsid w:val="00D47FE6"/>
    <w:rsid w:val="00D50547"/>
    <w:rsid w:val="00D5081F"/>
    <w:rsid w:val="00D50A51"/>
    <w:rsid w:val="00D50F29"/>
    <w:rsid w:val="00D51698"/>
    <w:rsid w:val="00D518CA"/>
    <w:rsid w:val="00D51AFD"/>
    <w:rsid w:val="00D52204"/>
    <w:rsid w:val="00D526B0"/>
    <w:rsid w:val="00D52E5C"/>
    <w:rsid w:val="00D52E5E"/>
    <w:rsid w:val="00D53224"/>
    <w:rsid w:val="00D5366C"/>
    <w:rsid w:val="00D53AC5"/>
    <w:rsid w:val="00D53AF6"/>
    <w:rsid w:val="00D541D2"/>
    <w:rsid w:val="00D54634"/>
    <w:rsid w:val="00D54DAF"/>
    <w:rsid w:val="00D54DBF"/>
    <w:rsid w:val="00D552D8"/>
    <w:rsid w:val="00D5595A"/>
    <w:rsid w:val="00D559BD"/>
    <w:rsid w:val="00D55A3D"/>
    <w:rsid w:val="00D55AFD"/>
    <w:rsid w:val="00D5688D"/>
    <w:rsid w:val="00D569C1"/>
    <w:rsid w:val="00D56B70"/>
    <w:rsid w:val="00D56C02"/>
    <w:rsid w:val="00D57C53"/>
    <w:rsid w:val="00D57DB9"/>
    <w:rsid w:val="00D57E71"/>
    <w:rsid w:val="00D6016F"/>
    <w:rsid w:val="00D6047E"/>
    <w:rsid w:val="00D60531"/>
    <w:rsid w:val="00D609E1"/>
    <w:rsid w:val="00D60BA6"/>
    <w:rsid w:val="00D61039"/>
    <w:rsid w:val="00D61296"/>
    <w:rsid w:val="00D612B1"/>
    <w:rsid w:val="00D61A54"/>
    <w:rsid w:val="00D623FE"/>
    <w:rsid w:val="00D628A9"/>
    <w:rsid w:val="00D62B5C"/>
    <w:rsid w:val="00D62CB3"/>
    <w:rsid w:val="00D62FB0"/>
    <w:rsid w:val="00D638BF"/>
    <w:rsid w:val="00D63AAC"/>
    <w:rsid w:val="00D63BA7"/>
    <w:rsid w:val="00D63E49"/>
    <w:rsid w:val="00D649B4"/>
    <w:rsid w:val="00D64A2C"/>
    <w:rsid w:val="00D64F11"/>
    <w:rsid w:val="00D65085"/>
    <w:rsid w:val="00D652EE"/>
    <w:rsid w:val="00D6548D"/>
    <w:rsid w:val="00D65836"/>
    <w:rsid w:val="00D658A5"/>
    <w:rsid w:val="00D6591F"/>
    <w:rsid w:val="00D65E59"/>
    <w:rsid w:val="00D66748"/>
    <w:rsid w:val="00D66F60"/>
    <w:rsid w:val="00D675EC"/>
    <w:rsid w:val="00D67786"/>
    <w:rsid w:val="00D702B1"/>
    <w:rsid w:val="00D706C0"/>
    <w:rsid w:val="00D70AC9"/>
    <w:rsid w:val="00D70C0C"/>
    <w:rsid w:val="00D70CDB"/>
    <w:rsid w:val="00D7100B"/>
    <w:rsid w:val="00D7104B"/>
    <w:rsid w:val="00D720A7"/>
    <w:rsid w:val="00D724E5"/>
    <w:rsid w:val="00D72751"/>
    <w:rsid w:val="00D72AF2"/>
    <w:rsid w:val="00D72BC2"/>
    <w:rsid w:val="00D7366F"/>
    <w:rsid w:val="00D73BDB"/>
    <w:rsid w:val="00D73F07"/>
    <w:rsid w:val="00D74075"/>
    <w:rsid w:val="00D746AE"/>
    <w:rsid w:val="00D7591F"/>
    <w:rsid w:val="00D800FB"/>
    <w:rsid w:val="00D802DE"/>
    <w:rsid w:val="00D803B0"/>
    <w:rsid w:val="00D8057F"/>
    <w:rsid w:val="00D805AD"/>
    <w:rsid w:val="00D80DD9"/>
    <w:rsid w:val="00D80F56"/>
    <w:rsid w:val="00D811A7"/>
    <w:rsid w:val="00D816AE"/>
    <w:rsid w:val="00D81828"/>
    <w:rsid w:val="00D81A77"/>
    <w:rsid w:val="00D8211F"/>
    <w:rsid w:val="00D82BDD"/>
    <w:rsid w:val="00D82CBF"/>
    <w:rsid w:val="00D82FEE"/>
    <w:rsid w:val="00D841E6"/>
    <w:rsid w:val="00D84A8D"/>
    <w:rsid w:val="00D84EC4"/>
    <w:rsid w:val="00D84FED"/>
    <w:rsid w:val="00D85139"/>
    <w:rsid w:val="00D853C6"/>
    <w:rsid w:val="00D85515"/>
    <w:rsid w:val="00D8572E"/>
    <w:rsid w:val="00D8588A"/>
    <w:rsid w:val="00D858B4"/>
    <w:rsid w:val="00D85963"/>
    <w:rsid w:val="00D860B1"/>
    <w:rsid w:val="00D8616D"/>
    <w:rsid w:val="00D8649C"/>
    <w:rsid w:val="00D86635"/>
    <w:rsid w:val="00D86B57"/>
    <w:rsid w:val="00D8715C"/>
    <w:rsid w:val="00D872C4"/>
    <w:rsid w:val="00D874A1"/>
    <w:rsid w:val="00D87503"/>
    <w:rsid w:val="00D8795A"/>
    <w:rsid w:val="00D87F48"/>
    <w:rsid w:val="00D900FB"/>
    <w:rsid w:val="00D90EF4"/>
    <w:rsid w:val="00D914C8"/>
    <w:rsid w:val="00D91B0B"/>
    <w:rsid w:val="00D92A41"/>
    <w:rsid w:val="00D92D81"/>
    <w:rsid w:val="00D92DEE"/>
    <w:rsid w:val="00D93099"/>
    <w:rsid w:val="00D93234"/>
    <w:rsid w:val="00D933C2"/>
    <w:rsid w:val="00D9360A"/>
    <w:rsid w:val="00D938AE"/>
    <w:rsid w:val="00D942BC"/>
    <w:rsid w:val="00D94359"/>
    <w:rsid w:val="00D9533B"/>
    <w:rsid w:val="00D9558B"/>
    <w:rsid w:val="00D95837"/>
    <w:rsid w:val="00D95F11"/>
    <w:rsid w:val="00D968B0"/>
    <w:rsid w:val="00D969B6"/>
    <w:rsid w:val="00D96AE8"/>
    <w:rsid w:val="00D96C62"/>
    <w:rsid w:val="00D971F5"/>
    <w:rsid w:val="00D972B5"/>
    <w:rsid w:val="00D97938"/>
    <w:rsid w:val="00D97B87"/>
    <w:rsid w:val="00D97C0A"/>
    <w:rsid w:val="00D97C5F"/>
    <w:rsid w:val="00D97F3F"/>
    <w:rsid w:val="00DA04C5"/>
    <w:rsid w:val="00DA0882"/>
    <w:rsid w:val="00DA0D58"/>
    <w:rsid w:val="00DA1632"/>
    <w:rsid w:val="00DA16AE"/>
    <w:rsid w:val="00DA19DC"/>
    <w:rsid w:val="00DA246E"/>
    <w:rsid w:val="00DA251E"/>
    <w:rsid w:val="00DA2C6D"/>
    <w:rsid w:val="00DA3239"/>
    <w:rsid w:val="00DA3845"/>
    <w:rsid w:val="00DA3D5E"/>
    <w:rsid w:val="00DA3DAC"/>
    <w:rsid w:val="00DA3DC8"/>
    <w:rsid w:val="00DA4073"/>
    <w:rsid w:val="00DA465D"/>
    <w:rsid w:val="00DA4B4D"/>
    <w:rsid w:val="00DA569D"/>
    <w:rsid w:val="00DA56EB"/>
    <w:rsid w:val="00DA5A1C"/>
    <w:rsid w:val="00DA5AE3"/>
    <w:rsid w:val="00DA65D6"/>
    <w:rsid w:val="00DA6832"/>
    <w:rsid w:val="00DA685F"/>
    <w:rsid w:val="00DA6BB8"/>
    <w:rsid w:val="00DA7385"/>
    <w:rsid w:val="00DA770F"/>
    <w:rsid w:val="00DA7869"/>
    <w:rsid w:val="00DB03B4"/>
    <w:rsid w:val="00DB05D2"/>
    <w:rsid w:val="00DB066E"/>
    <w:rsid w:val="00DB0832"/>
    <w:rsid w:val="00DB0970"/>
    <w:rsid w:val="00DB1ACE"/>
    <w:rsid w:val="00DB1E20"/>
    <w:rsid w:val="00DB1F4F"/>
    <w:rsid w:val="00DB2160"/>
    <w:rsid w:val="00DB258A"/>
    <w:rsid w:val="00DB2594"/>
    <w:rsid w:val="00DB2A18"/>
    <w:rsid w:val="00DB2CE9"/>
    <w:rsid w:val="00DB2E71"/>
    <w:rsid w:val="00DB314F"/>
    <w:rsid w:val="00DB33E1"/>
    <w:rsid w:val="00DB3566"/>
    <w:rsid w:val="00DB3958"/>
    <w:rsid w:val="00DB3D21"/>
    <w:rsid w:val="00DB405B"/>
    <w:rsid w:val="00DB4156"/>
    <w:rsid w:val="00DB435B"/>
    <w:rsid w:val="00DB49F0"/>
    <w:rsid w:val="00DB4B2F"/>
    <w:rsid w:val="00DB4E7F"/>
    <w:rsid w:val="00DB5464"/>
    <w:rsid w:val="00DB5815"/>
    <w:rsid w:val="00DB6005"/>
    <w:rsid w:val="00DB62AB"/>
    <w:rsid w:val="00DB6511"/>
    <w:rsid w:val="00DB654C"/>
    <w:rsid w:val="00DB6618"/>
    <w:rsid w:val="00DB66F2"/>
    <w:rsid w:val="00DB6790"/>
    <w:rsid w:val="00DB6E6D"/>
    <w:rsid w:val="00DB6F31"/>
    <w:rsid w:val="00DB71EE"/>
    <w:rsid w:val="00DB7A84"/>
    <w:rsid w:val="00DB7C49"/>
    <w:rsid w:val="00DB7E71"/>
    <w:rsid w:val="00DB7F1C"/>
    <w:rsid w:val="00DC04BB"/>
    <w:rsid w:val="00DC0500"/>
    <w:rsid w:val="00DC07AD"/>
    <w:rsid w:val="00DC0E34"/>
    <w:rsid w:val="00DC12D0"/>
    <w:rsid w:val="00DC2421"/>
    <w:rsid w:val="00DC2849"/>
    <w:rsid w:val="00DC2972"/>
    <w:rsid w:val="00DC2D2B"/>
    <w:rsid w:val="00DC2F7F"/>
    <w:rsid w:val="00DC3314"/>
    <w:rsid w:val="00DC3447"/>
    <w:rsid w:val="00DC3C36"/>
    <w:rsid w:val="00DC403D"/>
    <w:rsid w:val="00DC4772"/>
    <w:rsid w:val="00DC49BD"/>
    <w:rsid w:val="00DC5951"/>
    <w:rsid w:val="00DC59E8"/>
    <w:rsid w:val="00DC5ABB"/>
    <w:rsid w:val="00DC5FEB"/>
    <w:rsid w:val="00DC6052"/>
    <w:rsid w:val="00DC616A"/>
    <w:rsid w:val="00DC662A"/>
    <w:rsid w:val="00DC6AE9"/>
    <w:rsid w:val="00DC703E"/>
    <w:rsid w:val="00DC7E03"/>
    <w:rsid w:val="00DC7F46"/>
    <w:rsid w:val="00DD05B8"/>
    <w:rsid w:val="00DD05F5"/>
    <w:rsid w:val="00DD08B8"/>
    <w:rsid w:val="00DD08EC"/>
    <w:rsid w:val="00DD0AA0"/>
    <w:rsid w:val="00DD0E6B"/>
    <w:rsid w:val="00DD18CE"/>
    <w:rsid w:val="00DD1928"/>
    <w:rsid w:val="00DD1A6D"/>
    <w:rsid w:val="00DD1CF4"/>
    <w:rsid w:val="00DD1E3C"/>
    <w:rsid w:val="00DD2175"/>
    <w:rsid w:val="00DD224D"/>
    <w:rsid w:val="00DD2410"/>
    <w:rsid w:val="00DD2890"/>
    <w:rsid w:val="00DD295C"/>
    <w:rsid w:val="00DD3004"/>
    <w:rsid w:val="00DD32A1"/>
    <w:rsid w:val="00DD3440"/>
    <w:rsid w:val="00DD3599"/>
    <w:rsid w:val="00DD3ACD"/>
    <w:rsid w:val="00DD3B05"/>
    <w:rsid w:val="00DD3F58"/>
    <w:rsid w:val="00DD4056"/>
    <w:rsid w:val="00DD4354"/>
    <w:rsid w:val="00DD4BBE"/>
    <w:rsid w:val="00DD4C23"/>
    <w:rsid w:val="00DD4C90"/>
    <w:rsid w:val="00DD4FCC"/>
    <w:rsid w:val="00DD53F0"/>
    <w:rsid w:val="00DD6045"/>
    <w:rsid w:val="00DD62C9"/>
    <w:rsid w:val="00DD69A3"/>
    <w:rsid w:val="00DD70FD"/>
    <w:rsid w:val="00DD7899"/>
    <w:rsid w:val="00DD7AE0"/>
    <w:rsid w:val="00DE0547"/>
    <w:rsid w:val="00DE09EE"/>
    <w:rsid w:val="00DE0BB0"/>
    <w:rsid w:val="00DE0C74"/>
    <w:rsid w:val="00DE0D4A"/>
    <w:rsid w:val="00DE195B"/>
    <w:rsid w:val="00DE204D"/>
    <w:rsid w:val="00DE38D1"/>
    <w:rsid w:val="00DE3A4E"/>
    <w:rsid w:val="00DE3BBE"/>
    <w:rsid w:val="00DE3F14"/>
    <w:rsid w:val="00DE4145"/>
    <w:rsid w:val="00DE41D4"/>
    <w:rsid w:val="00DE4399"/>
    <w:rsid w:val="00DE46B9"/>
    <w:rsid w:val="00DE5548"/>
    <w:rsid w:val="00DE58D6"/>
    <w:rsid w:val="00DE5FF3"/>
    <w:rsid w:val="00DE60C6"/>
    <w:rsid w:val="00DE6DF7"/>
    <w:rsid w:val="00DE74C1"/>
    <w:rsid w:val="00DE7562"/>
    <w:rsid w:val="00DE7A72"/>
    <w:rsid w:val="00DE7AEB"/>
    <w:rsid w:val="00DE7D60"/>
    <w:rsid w:val="00DE7DDF"/>
    <w:rsid w:val="00DEC3A9"/>
    <w:rsid w:val="00DF018B"/>
    <w:rsid w:val="00DF01B8"/>
    <w:rsid w:val="00DF0FBF"/>
    <w:rsid w:val="00DF1138"/>
    <w:rsid w:val="00DF11E9"/>
    <w:rsid w:val="00DF139E"/>
    <w:rsid w:val="00DF1440"/>
    <w:rsid w:val="00DF19C0"/>
    <w:rsid w:val="00DF1CAB"/>
    <w:rsid w:val="00DF20B4"/>
    <w:rsid w:val="00DF25CC"/>
    <w:rsid w:val="00DF2666"/>
    <w:rsid w:val="00DF269A"/>
    <w:rsid w:val="00DF2789"/>
    <w:rsid w:val="00DF29F7"/>
    <w:rsid w:val="00DF2D61"/>
    <w:rsid w:val="00DF2E5B"/>
    <w:rsid w:val="00DF33E4"/>
    <w:rsid w:val="00DF3443"/>
    <w:rsid w:val="00DF3776"/>
    <w:rsid w:val="00DF3D10"/>
    <w:rsid w:val="00DF46C3"/>
    <w:rsid w:val="00DF48DC"/>
    <w:rsid w:val="00DF4929"/>
    <w:rsid w:val="00DF4E20"/>
    <w:rsid w:val="00DF4FE7"/>
    <w:rsid w:val="00DF581C"/>
    <w:rsid w:val="00DF5B3C"/>
    <w:rsid w:val="00DF6DE7"/>
    <w:rsid w:val="00DF7063"/>
    <w:rsid w:val="00DF730A"/>
    <w:rsid w:val="00DF7508"/>
    <w:rsid w:val="00DF7CCD"/>
    <w:rsid w:val="00E003E6"/>
    <w:rsid w:val="00E0064C"/>
    <w:rsid w:val="00E00ADC"/>
    <w:rsid w:val="00E01BDF"/>
    <w:rsid w:val="00E01F2F"/>
    <w:rsid w:val="00E022B2"/>
    <w:rsid w:val="00E02413"/>
    <w:rsid w:val="00E02841"/>
    <w:rsid w:val="00E02908"/>
    <w:rsid w:val="00E02D6C"/>
    <w:rsid w:val="00E02E39"/>
    <w:rsid w:val="00E0316A"/>
    <w:rsid w:val="00E038B1"/>
    <w:rsid w:val="00E03BA0"/>
    <w:rsid w:val="00E045B5"/>
    <w:rsid w:val="00E0482F"/>
    <w:rsid w:val="00E0520F"/>
    <w:rsid w:val="00E057F6"/>
    <w:rsid w:val="00E058FD"/>
    <w:rsid w:val="00E0676A"/>
    <w:rsid w:val="00E06BD7"/>
    <w:rsid w:val="00E06C00"/>
    <w:rsid w:val="00E06EFF"/>
    <w:rsid w:val="00E0746E"/>
    <w:rsid w:val="00E076EA"/>
    <w:rsid w:val="00E100B5"/>
    <w:rsid w:val="00E102CA"/>
    <w:rsid w:val="00E10E7F"/>
    <w:rsid w:val="00E11287"/>
    <w:rsid w:val="00E113D9"/>
    <w:rsid w:val="00E1299B"/>
    <w:rsid w:val="00E12D3D"/>
    <w:rsid w:val="00E12F74"/>
    <w:rsid w:val="00E13303"/>
    <w:rsid w:val="00E134D7"/>
    <w:rsid w:val="00E1356A"/>
    <w:rsid w:val="00E1356B"/>
    <w:rsid w:val="00E13BE5"/>
    <w:rsid w:val="00E13C57"/>
    <w:rsid w:val="00E141F7"/>
    <w:rsid w:val="00E14412"/>
    <w:rsid w:val="00E14628"/>
    <w:rsid w:val="00E14A46"/>
    <w:rsid w:val="00E14A9F"/>
    <w:rsid w:val="00E15090"/>
    <w:rsid w:val="00E1554A"/>
    <w:rsid w:val="00E157FC"/>
    <w:rsid w:val="00E15BE2"/>
    <w:rsid w:val="00E15CE2"/>
    <w:rsid w:val="00E15DE4"/>
    <w:rsid w:val="00E15F7E"/>
    <w:rsid w:val="00E161D2"/>
    <w:rsid w:val="00E162A9"/>
    <w:rsid w:val="00E17339"/>
    <w:rsid w:val="00E17566"/>
    <w:rsid w:val="00E2019D"/>
    <w:rsid w:val="00E2020E"/>
    <w:rsid w:val="00E20AD9"/>
    <w:rsid w:val="00E20BB7"/>
    <w:rsid w:val="00E214A3"/>
    <w:rsid w:val="00E21790"/>
    <w:rsid w:val="00E21905"/>
    <w:rsid w:val="00E2294A"/>
    <w:rsid w:val="00E236E6"/>
    <w:rsid w:val="00E238F6"/>
    <w:rsid w:val="00E23F74"/>
    <w:rsid w:val="00E24E3A"/>
    <w:rsid w:val="00E252FD"/>
    <w:rsid w:val="00E257B0"/>
    <w:rsid w:val="00E257FE"/>
    <w:rsid w:val="00E26451"/>
    <w:rsid w:val="00E26752"/>
    <w:rsid w:val="00E26772"/>
    <w:rsid w:val="00E269B3"/>
    <w:rsid w:val="00E26C43"/>
    <w:rsid w:val="00E27021"/>
    <w:rsid w:val="00E2708F"/>
    <w:rsid w:val="00E271EA"/>
    <w:rsid w:val="00E273FE"/>
    <w:rsid w:val="00E27486"/>
    <w:rsid w:val="00E27A4F"/>
    <w:rsid w:val="00E27C22"/>
    <w:rsid w:val="00E27CE0"/>
    <w:rsid w:val="00E27EA4"/>
    <w:rsid w:val="00E303B7"/>
    <w:rsid w:val="00E30BBE"/>
    <w:rsid w:val="00E3178F"/>
    <w:rsid w:val="00E318E4"/>
    <w:rsid w:val="00E31C6A"/>
    <w:rsid w:val="00E322FD"/>
    <w:rsid w:val="00E3239A"/>
    <w:rsid w:val="00E327C3"/>
    <w:rsid w:val="00E32B02"/>
    <w:rsid w:val="00E3376A"/>
    <w:rsid w:val="00E33C67"/>
    <w:rsid w:val="00E343EB"/>
    <w:rsid w:val="00E34655"/>
    <w:rsid w:val="00E34B68"/>
    <w:rsid w:val="00E34D32"/>
    <w:rsid w:val="00E35305"/>
    <w:rsid w:val="00E355D6"/>
    <w:rsid w:val="00E35A8E"/>
    <w:rsid w:val="00E35DA5"/>
    <w:rsid w:val="00E3630F"/>
    <w:rsid w:val="00E379A1"/>
    <w:rsid w:val="00E37C07"/>
    <w:rsid w:val="00E40168"/>
    <w:rsid w:val="00E401F9"/>
    <w:rsid w:val="00E40296"/>
    <w:rsid w:val="00E4037F"/>
    <w:rsid w:val="00E4039D"/>
    <w:rsid w:val="00E403F7"/>
    <w:rsid w:val="00E4054D"/>
    <w:rsid w:val="00E408E1"/>
    <w:rsid w:val="00E40B40"/>
    <w:rsid w:val="00E40F70"/>
    <w:rsid w:val="00E41348"/>
    <w:rsid w:val="00E41639"/>
    <w:rsid w:val="00E41BD8"/>
    <w:rsid w:val="00E41DD4"/>
    <w:rsid w:val="00E41E1B"/>
    <w:rsid w:val="00E42254"/>
    <w:rsid w:val="00E42517"/>
    <w:rsid w:val="00E42B0B"/>
    <w:rsid w:val="00E42F28"/>
    <w:rsid w:val="00E42FCC"/>
    <w:rsid w:val="00E432BE"/>
    <w:rsid w:val="00E433D5"/>
    <w:rsid w:val="00E4345B"/>
    <w:rsid w:val="00E434A8"/>
    <w:rsid w:val="00E439CA"/>
    <w:rsid w:val="00E43AE3"/>
    <w:rsid w:val="00E43D6B"/>
    <w:rsid w:val="00E43ECA"/>
    <w:rsid w:val="00E446FA"/>
    <w:rsid w:val="00E4497F"/>
    <w:rsid w:val="00E44B94"/>
    <w:rsid w:val="00E44C52"/>
    <w:rsid w:val="00E4502B"/>
    <w:rsid w:val="00E45590"/>
    <w:rsid w:val="00E46156"/>
    <w:rsid w:val="00E463BB"/>
    <w:rsid w:val="00E463BC"/>
    <w:rsid w:val="00E465AD"/>
    <w:rsid w:val="00E466E6"/>
    <w:rsid w:val="00E46738"/>
    <w:rsid w:val="00E4687B"/>
    <w:rsid w:val="00E46ED8"/>
    <w:rsid w:val="00E47144"/>
    <w:rsid w:val="00E4715D"/>
    <w:rsid w:val="00E47454"/>
    <w:rsid w:val="00E47540"/>
    <w:rsid w:val="00E4764D"/>
    <w:rsid w:val="00E47762"/>
    <w:rsid w:val="00E47D2C"/>
    <w:rsid w:val="00E50520"/>
    <w:rsid w:val="00E506BD"/>
    <w:rsid w:val="00E50D84"/>
    <w:rsid w:val="00E50FBA"/>
    <w:rsid w:val="00E5102C"/>
    <w:rsid w:val="00E517BA"/>
    <w:rsid w:val="00E518E7"/>
    <w:rsid w:val="00E519B5"/>
    <w:rsid w:val="00E52327"/>
    <w:rsid w:val="00E52502"/>
    <w:rsid w:val="00E5266F"/>
    <w:rsid w:val="00E538CE"/>
    <w:rsid w:val="00E53B0A"/>
    <w:rsid w:val="00E544F1"/>
    <w:rsid w:val="00E559FE"/>
    <w:rsid w:val="00E55C2A"/>
    <w:rsid w:val="00E56053"/>
    <w:rsid w:val="00E561D0"/>
    <w:rsid w:val="00E5622F"/>
    <w:rsid w:val="00E56462"/>
    <w:rsid w:val="00E5656C"/>
    <w:rsid w:val="00E56958"/>
    <w:rsid w:val="00E572D3"/>
    <w:rsid w:val="00E57453"/>
    <w:rsid w:val="00E575C9"/>
    <w:rsid w:val="00E57DF4"/>
    <w:rsid w:val="00E6035E"/>
    <w:rsid w:val="00E603AD"/>
    <w:rsid w:val="00E610D3"/>
    <w:rsid w:val="00E61290"/>
    <w:rsid w:val="00E612D0"/>
    <w:rsid w:val="00E615A5"/>
    <w:rsid w:val="00E61860"/>
    <w:rsid w:val="00E61ED7"/>
    <w:rsid w:val="00E624EF"/>
    <w:rsid w:val="00E626A0"/>
    <w:rsid w:val="00E626AB"/>
    <w:rsid w:val="00E6292A"/>
    <w:rsid w:val="00E62DB5"/>
    <w:rsid w:val="00E62DBC"/>
    <w:rsid w:val="00E630C3"/>
    <w:rsid w:val="00E6421E"/>
    <w:rsid w:val="00E6479A"/>
    <w:rsid w:val="00E64E9A"/>
    <w:rsid w:val="00E654DD"/>
    <w:rsid w:val="00E6558F"/>
    <w:rsid w:val="00E65A5F"/>
    <w:rsid w:val="00E65BD5"/>
    <w:rsid w:val="00E66043"/>
    <w:rsid w:val="00E66371"/>
    <w:rsid w:val="00E663CB"/>
    <w:rsid w:val="00E66C9F"/>
    <w:rsid w:val="00E67947"/>
    <w:rsid w:val="00E67D2D"/>
    <w:rsid w:val="00E700EC"/>
    <w:rsid w:val="00E701B5"/>
    <w:rsid w:val="00E7026F"/>
    <w:rsid w:val="00E71302"/>
    <w:rsid w:val="00E717B9"/>
    <w:rsid w:val="00E7188E"/>
    <w:rsid w:val="00E71D67"/>
    <w:rsid w:val="00E71F56"/>
    <w:rsid w:val="00E72165"/>
    <w:rsid w:val="00E721E8"/>
    <w:rsid w:val="00E7308D"/>
    <w:rsid w:val="00E7358C"/>
    <w:rsid w:val="00E736E0"/>
    <w:rsid w:val="00E746E6"/>
    <w:rsid w:val="00E74822"/>
    <w:rsid w:val="00E74940"/>
    <w:rsid w:val="00E74EFE"/>
    <w:rsid w:val="00E74F94"/>
    <w:rsid w:val="00E757FB"/>
    <w:rsid w:val="00E75A9C"/>
    <w:rsid w:val="00E76AB2"/>
    <w:rsid w:val="00E76D3C"/>
    <w:rsid w:val="00E7704A"/>
    <w:rsid w:val="00E77180"/>
    <w:rsid w:val="00E779C5"/>
    <w:rsid w:val="00E77ECC"/>
    <w:rsid w:val="00E77F79"/>
    <w:rsid w:val="00E801A7"/>
    <w:rsid w:val="00E806CB"/>
    <w:rsid w:val="00E80B1F"/>
    <w:rsid w:val="00E81608"/>
    <w:rsid w:val="00E81DAC"/>
    <w:rsid w:val="00E82156"/>
    <w:rsid w:val="00E823A9"/>
    <w:rsid w:val="00E826F6"/>
    <w:rsid w:val="00E827DF"/>
    <w:rsid w:val="00E82952"/>
    <w:rsid w:val="00E83014"/>
    <w:rsid w:val="00E8347E"/>
    <w:rsid w:val="00E83518"/>
    <w:rsid w:val="00E84851"/>
    <w:rsid w:val="00E848F0"/>
    <w:rsid w:val="00E84D61"/>
    <w:rsid w:val="00E84E54"/>
    <w:rsid w:val="00E85808"/>
    <w:rsid w:val="00E85847"/>
    <w:rsid w:val="00E85927"/>
    <w:rsid w:val="00E85F38"/>
    <w:rsid w:val="00E864C7"/>
    <w:rsid w:val="00E867B1"/>
    <w:rsid w:val="00E875CA"/>
    <w:rsid w:val="00E90095"/>
    <w:rsid w:val="00E90501"/>
    <w:rsid w:val="00E905B9"/>
    <w:rsid w:val="00E907D5"/>
    <w:rsid w:val="00E9117F"/>
    <w:rsid w:val="00E91439"/>
    <w:rsid w:val="00E91C1D"/>
    <w:rsid w:val="00E91D26"/>
    <w:rsid w:val="00E9298D"/>
    <w:rsid w:val="00E92C9A"/>
    <w:rsid w:val="00E92DDF"/>
    <w:rsid w:val="00E92E41"/>
    <w:rsid w:val="00E932B2"/>
    <w:rsid w:val="00E937C6"/>
    <w:rsid w:val="00E93884"/>
    <w:rsid w:val="00E93BB3"/>
    <w:rsid w:val="00E93E1B"/>
    <w:rsid w:val="00E93FF7"/>
    <w:rsid w:val="00E94DA5"/>
    <w:rsid w:val="00E94EAE"/>
    <w:rsid w:val="00E954A3"/>
    <w:rsid w:val="00E956DD"/>
    <w:rsid w:val="00E95899"/>
    <w:rsid w:val="00E963AE"/>
    <w:rsid w:val="00E9659F"/>
    <w:rsid w:val="00E96613"/>
    <w:rsid w:val="00E96B25"/>
    <w:rsid w:val="00E96E7F"/>
    <w:rsid w:val="00E97061"/>
    <w:rsid w:val="00E9708B"/>
    <w:rsid w:val="00E97101"/>
    <w:rsid w:val="00E97366"/>
    <w:rsid w:val="00E97B36"/>
    <w:rsid w:val="00E97FBE"/>
    <w:rsid w:val="00EA015D"/>
    <w:rsid w:val="00EA05F9"/>
    <w:rsid w:val="00EA09BD"/>
    <w:rsid w:val="00EA0B88"/>
    <w:rsid w:val="00EA10E6"/>
    <w:rsid w:val="00EA1385"/>
    <w:rsid w:val="00EA13F3"/>
    <w:rsid w:val="00EA168E"/>
    <w:rsid w:val="00EA184C"/>
    <w:rsid w:val="00EA1CA1"/>
    <w:rsid w:val="00EA1F8A"/>
    <w:rsid w:val="00EA2483"/>
    <w:rsid w:val="00EA2A2A"/>
    <w:rsid w:val="00EA2F04"/>
    <w:rsid w:val="00EA2FF3"/>
    <w:rsid w:val="00EA3006"/>
    <w:rsid w:val="00EA3290"/>
    <w:rsid w:val="00EA35A6"/>
    <w:rsid w:val="00EA374E"/>
    <w:rsid w:val="00EA3871"/>
    <w:rsid w:val="00EA3CFF"/>
    <w:rsid w:val="00EA47D8"/>
    <w:rsid w:val="00EA4831"/>
    <w:rsid w:val="00EA49E7"/>
    <w:rsid w:val="00EA4C38"/>
    <w:rsid w:val="00EA4D89"/>
    <w:rsid w:val="00EA4E0C"/>
    <w:rsid w:val="00EA54BF"/>
    <w:rsid w:val="00EA57F3"/>
    <w:rsid w:val="00EA60E1"/>
    <w:rsid w:val="00EA6123"/>
    <w:rsid w:val="00EA6288"/>
    <w:rsid w:val="00EA65A2"/>
    <w:rsid w:val="00EA6BE3"/>
    <w:rsid w:val="00EA6C59"/>
    <w:rsid w:val="00EA7137"/>
    <w:rsid w:val="00EA7908"/>
    <w:rsid w:val="00EA79F3"/>
    <w:rsid w:val="00EA79FF"/>
    <w:rsid w:val="00EA7C1C"/>
    <w:rsid w:val="00EB063F"/>
    <w:rsid w:val="00EB0916"/>
    <w:rsid w:val="00EB0FCF"/>
    <w:rsid w:val="00EB0FD9"/>
    <w:rsid w:val="00EB0FE0"/>
    <w:rsid w:val="00EB113D"/>
    <w:rsid w:val="00EB116D"/>
    <w:rsid w:val="00EB1F76"/>
    <w:rsid w:val="00EB23F8"/>
    <w:rsid w:val="00EB29D9"/>
    <w:rsid w:val="00EB2B07"/>
    <w:rsid w:val="00EB2FC1"/>
    <w:rsid w:val="00EB35A5"/>
    <w:rsid w:val="00EB3C17"/>
    <w:rsid w:val="00EB3D8C"/>
    <w:rsid w:val="00EB41DF"/>
    <w:rsid w:val="00EB44D0"/>
    <w:rsid w:val="00EB454E"/>
    <w:rsid w:val="00EB4A20"/>
    <w:rsid w:val="00EB4F02"/>
    <w:rsid w:val="00EB4F10"/>
    <w:rsid w:val="00EB5810"/>
    <w:rsid w:val="00EB6020"/>
    <w:rsid w:val="00EB6786"/>
    <w:rsid w:val="00EB68A7"/>
    <w:rsid w:val="00EB6DE6"/>
    <w:rsid w:val="00EB7273"/>
    <w:rsid w:val="00EB740E"/>
    <w:rsid w:val="00EB763E"/>
    <w:rsid w:val="00EB7B84"/>
    <w:rsid w:val="00EC01B7"/>
    <w:rsid w:val="00EC05FC"/>
    <w:rsid w:val="00EC097F"/>
    <w:rsid w:val="00EC0AFC"/>
    <w:rsid w:val="00EC0C4F"/>
    <w:rsid w:val="00EC0E22"/>
    <w:rsid w:val="00EC10EF"/>
    <w:rsid w:val="00EC135F"/>
    <w:rsid w:val="00EC1794"/>
    <w:rsid w:val="00EC180D"/>
    <w:rsid w:val="00EC1AF7"/>
    <w:rsid w:val="00EC1BEB"/>
    <w:rsid w:val="00EC1D3F"/>
    <w:rsid w:val="00EC26E2"/>
    <w:rsid w:val="00EC29E5"/>
    <w:rsid w:val="00EC2A28"/>
    <w:rsid w:val="00EC3060"/>
    <w:rsid w:val="00EC33CB"/>
    <w:rsid w:val="00EC395B"/>
    <w:rsid w:val="00EC43C3"/>
    <w:rsid w:val="00EC45AE"/>
    <w:rsid w:val="00EC4DD7"/>
    <w:rsid w:val="00EC5083"/>
    <w:rsid w:val="00EC5F64"/>
    <w:rsid w:val="00EC607A"/>
    <w:rsid w:val="00EC6102"/>
    <w:rsid w:val="00EC636A"/>
    <w:rsid w:val="00EC66F2"/>
    <w:rsid w:val="00EC6842"/>
    <w:rsid w:val="00EC6BF2"/>
    <w:rsid w:val="00EC6C23"/>
    <w:rsid w:val="00EC6D2D"/>
    <w:rsid w:val="00EC6E74"/>
    <w:rsid w:val="00EC711E"/>
    <w:rsid w:val="00EC732D"/>
    <w:rsid w:val="00EC7455"/>
    <w:rsid w:val="00EC77FE"/>
    <w:rsid w:val="00ED05A6"/>
    <w:rsid w:val="00ED07BF"/>
    <w:rsid w:val="00ED0FE8"/>
    <w:rsid w:val="00ED107C"/>
    <w:rsid w:val="00ED154C"/>
    <w:rsid w:val="00ED16DC"/>
    <w:rsid w:val="00ED1743"/>
    <w:rsid w:val="00ED1A87"/>
    <w:rsid w:val="00ED1D26"/>
    <w:rsid w:val="00ED1FFA"/>
    <w:rsid w:val="00ED23B4"/>
    <w:rsid w:val="00ED2785"/>
    <w:rsid w:val="00ED2F8F"/>
    <w:rsid w:val="00ED30EA"/>
    <w:rsid w:val="00ED335F"/>
    <w:rsid w:val="00ED37EF"/>
    <w:rsid w:val="00ED38C6"/>
    <w:rsid w:val="00ED39A0"/>
    <w:rsid w:val="00ED3E52"/>
    <w:rsid w:val="00ED3FCC"/>
    <w:rsid w:val="00ED4438"/>
    <w:rsid w:val="00ED454E"/>
    <w:rsid w:val="00ED473F"/>
    <w:rsid w:val="00ED4C09"/>
    <w:rsid w:val="00ED4C41"/>
    <w:rsid w:val="00ED4F6A"/>
    <w:rsid w:val="00ED5A4B"/>
    <w:rsid w:val="00ED6309"/>
    <w:rsid w:val="00ED6498"/>
    <w:rsid w:val="00ED66E9"/>
    <w:rsid w:val="00ED6848"/>
    <w:rsid w:val="00ED6AA7"/>
    <w:rsid w:val="00ED6C67"/>
    <w:rsid w:val="00ED7238"/>
    <w:rsid w:val="00ED7305"/>
    <w:rsid w:val="00ED75A3"/>
    <w:rsid w:val="00ED7890"/>
    <w:rsid w:val="00ED78C3"/>
    <w:rsid w:val="00ED78F3"/>
    <w:rsid w:val="00ED7CAF"/>
    <w:rsid w:val="00EE0307"/>
    <w:rsid w:val="00EE0372"/>
    <w:rsid w:val="00EE0A01"/>
    <w:rsid w:val="00EE0A20"/>
    <w:rsid w:val="00EE1DF9"/>
    <w:rsid w:val="00EE20C0"/>
    <w:rsid w:val="00EE2B47"/>
    <w:rsid w:val="00EE2CCE"/>
    <w:rsid w:val="00EE2DE3"/>
    <w:rsid w:val="00EE3157"/>
    <w:rsid w:val="00EE32AF"/>
    <w:rsid w:val="00EE334D"/>
    <w:rsid w:val="00EE34AF"/>
    <w:rsid w:val="00EE353F"/>
    <w:rsid w:val="00EE37D4"/>
    <w:rsid w:val="00EE4578"/>
    <w:rsid w:val="00EE5D92"/>
    <w:rsid w:val="00EE5F07"/>
    <w:rsid w:val="00EE6E8C"/>
    <w:rsid w:val="00EE73B5"/>
    <w:rsid w:val="00EE73D9"/>
    <w:rsid w:val="00EE7631"/>
    <w:rsid w:val="00EE79A6"/>
    <w:rsid w:val="00EE7C0F"/>
    <w:rsid w:val="00EE7E88"/>
    <w:rsid w:val="00EE7F31"/>
    <w:rsid w:val="00EF0D3A"/>
    <w:rsid w:val="00EF1C47"/>
    <w:rsid w:val="00EF1C4D"/>
    <w:rsid w:val="00EF1FD0"/>
    <w:rsid w:val="00EF2414"/>
    <w:rsid w:val="00EF271D"/>
    <w:rsid w:val="00EF28EB"/>
    <w:rsid w:val="00EF2B13"/>
    <w:rsid w:val="00EF2B50"/>
    <w:rsid w:val="00EF2F07"/>
    <w:rsid w:val="00EF3263"/>
    <w:rsid w:val="00EF3986"/>
    <w:rsid w:val="00EF39C7"/>
    <w:rsid w:val="00EF39F0"/>
    <w:rsid w:val="00EF3D74"/>
    <w:rsid w:val="00EF3EA1"/>
    <w:rsid w:val="00EF4996"/>
    <w:rsid w:val="00EF4BC1"/>
    <w:rsid w:val="00EF4D22"/>
    <w:rsid w:val="00EF51B1"/>
    <w:rsid w:val="00EF5201"/>
    <w:rsid w:val="00EF523C"/>
    <w:rsid w:val="00EF5500"/>
    <w:rsid w:val="00EF579C"/>
    <w:rsid w:val="00EF57A5"/>
    <w:rsid w:val="00EF58FF"/>
    <w:rsid w:val="00EF61B5"/>
    <w:rsid w:val="00EF622D"/>
    <w:rsid w:val="00EF649E"/>
    <w:rsid w:val="00EF657C"/>
    <w:rsid w:val="00EF659F"/>
    <w:rsid w:val="00EF6D45"/>
    <w:rsid w:val="00EF7412"/>
    <w:rsid w:val="00EF773B"/>
    <w:rsid w:val="00EF7F06"/>
    <w:rsid w:val="00F0074C"/>
    <w:rsid w:val="00F007B2"/>
    <w:rsid w:val="00F00862"/>
    <w:rsid w:val="00F00BD9"/>
    <w:rsid w:val="00F00C0C"/>
    <w:rsid w:val="00F01D04"/>
    <w:rsid w:val="00F01DD4"/>
    <w:rsid w:val="00F021A8"/>
    <w:rsid w:val="00F02510"/>
    <w:rsid w:val="00F02C83"/>
    <w:rsid w:val="00F02D7F"/>
    <w:rsid w:val="00F032FD"/>
    <w:rsid w:val="00F038E9"/>
    <w:rsid w:val="00F03A44"/>
    <w:rsid w:val="00F03C07"/>
    <w:rsid w:val="00F03CFE"/>
    <w:rsid w:val="00F04042"/>
    <w:rsid w:val="00F0434D"/>
    <w:rsid w:val="00F046D9"/>
    <w:rsid w:val="00F0481B"/>
    <w:rsid w:val="00F04848"/>
    <w:rsid w:val="00F04858"/>
    <w:rsid w:val="00F04926"/>
    <w:rsid w:val="00F04D0E"/>
    <w:rsid w:val="00F04D79"/>
    <w:rsid w:val="00F04F5C"/>
    <w:rsid w:val="00F05365"/>
    <w:rsid w:val="00F054D5"/>
    <w:rsid w:val="00F05B4A"/>
    <w:rsid w:val="00F06640"/>
    <w:rsid w:val="00F068F2"/>
    <w:rsid w:val="00F06F24"/>
    <w:rsid w:val="00F07503"/>
    <w:rsid w:val="00F07896"/>
    <w:rsid w:val="00F07A06"/>
    <w:rsid w:val="00F07A94"/>
    <w:rsid w:val="00F07CC1"/>
    <w:rsid w:val="00F07CE2"/>
    <w:rsid w:val="00F1022F"/>
    <w:rsid w:val="00F10513"/>
    <w:rsid w:val="00F1089B"/>
    <w:rsid w:val="00F108FA"/>
    <w:rsid w:val="00F10F81"/>
    <w:rsid w:val="00F1128E"/>
    <w:rsid w:val="00F11671"/>
    <w:rsid w:val="00F119CE"/>
    <w:rsid w:val="00F11F01"/>
    <w:rsid w:val="00F12164"/>
    <w:rsid w:val="00F12552"/>
    <w:rsid w:val="00F12565"/>
    <w:rsid w:val="00F12AA2"/>
    <w:rsid w:val="00F12AD0"/>
    <w:rsid w:val="00F13088"/>
    <w:rsid w:val="00F133A7"/>
    <w:rsid w:val="00F133C4"/>
    <w:rsid w:val="00F13628"/>
    <w:rsid w:val="00F13683"/>
    <w:rsid w:val="00F13A9F"/>
    <w:rsid w:val="00F13EB2"/>
    <w:rsid w:val="00F14256"/>
    <w:rsid w:val="00F14977"/>
    <w:rsid w:val="00F154C9"/>
    <w:rsid w:val="00F15B8F"/>
    <w:rsid w:val="00F1611D"/>
    <w:rsid w:val="00F161E4"/>
    <w:rsid w:val="00F16247"/>
    <w:rsid w:val="00F163F4"/>
    <w:rsid w:val="00F164E0"/>
    <w:rsid w:val="00F16703"/>
    <w:rsid w:val="00F16CE8"/>
    <w:rsid w:val="00F176C5"/>
    <w:rsid w:val="00F20192"/>
    <w:rsid w:val="00F204A4"/>
    <w:rsid w:val="00F20DD1"/>
    <w:rsid w:val="00F21463"/>
    <w:rsid w:val="00F218AB"/>
    <w:rsid w:val="00F21AE5"/>
    <w:rsid w:val="00F21E36"/>
    <w:rsid w:val="00F21EED"/>
    <w:rsid w:val="00F226A1"/>
    <w:rsid w:val="00F22827"/>
    <w:rsid w:val="00F23233"/>
    <w:rsid w:val="00F245F9"/>
    <w:rsid w:val="00F2547A"/>
    <w:rsid w:val="00F25665"/>
    <w:rsid w:val="00F25BF4"/>
    <w:rsid w:val="00F25E44"/>
    <w:rsid w:val="00F26445"/>
    <w:rsid w:val="00F2652C"/>
    <w:rsid w:val="00F2667E"/>
    <w:rsid w:val="00F271A2"/>
    <w:rsid w:val="00F27B29"/>
    <w:rsid w:val="00F27D55"/>
    <w:rsid w:val="00F27E33"/>
    <w:rsid w:val="00F30611"/>
    <w:rsid w:val="00F30729"/>
    <w:rsid w:val="00F309C7"/>
    <w:rsid w:val="00F309E6"/>
    <w:rsid w:val="00F30FBE"/>
    <w:rsid w:val="00F30FED"/>
    <w:rsid w:val="00F3109B"/>
    <w:rsid w:val="00F312CB"/>
    <w:rsid w:val="00F312F6"/>
    <w:rsid w:val="00F32910"/>
    <w:rsid w:val="00F32A08"/>
    <w:rsid w:val="00F32A62"/>
    <w:rsid w:val="00F32C64"/>
    <w:rsid w:val="00F32D10"/>
    <w:rsid w:val="00F330ED"/>
    <w:rsid w:val="00F332BA"/>
    <w:rsid w:val="00F33A44"/>
    <w:rsid w:val="00F33A5C"/>
    <w:rsid w:val="00F33F19"/>
    <w:rsid w:val="00F3401D"/>
    <w:rsid w:val="00F34033"/>
    <w:rsid w:val="00F3413C"/>
    <w:rsid w:val="00F34A72"/>
    <w:rsid w:val="00F34F2B"/>
    <w:rsid w:val="00F35509"/>
    <w:rsid w:val="00F35812"/>
    <w:rsid w:val="00F35BC4"/>
    <w:rsid w:val="00F36312"/>
    <w:rsid w:val="00F37500"/>
    <w:rsid w:val="00F378A2"/>
    <w:rsid w:val="00F37A36"/>
    <w:rsid w:val="00F37D7D"/>
    <w:rsid w:val="00F37F36"/>
    <w:rsid w:val="00F40304"/>
    <w:rsid w:val="00F40B16"/>
    <w:rsid w:val="00F40D0A"/>
    <w:rsid w:val="00F4100F"/>
    <w:rsid w:val="00F41B23"/>
    <w:rsid w:val="00F41B60"/>
    <w:rsid w:val="00F42010"/>
    <w:rsid w:val="00F4235A"/>
    <w:rsid w:val="00F423D8"/>
    <w:rsid w:val="00F42B7A"/>
    <w:rsid w:val="00F42D6C"/>
    <w:rsid w:val="00F432E4"/>
    <w:rsid w:val="00F43315"/>
    <w:rsid w:val="00F43734"/>
    <w:rsid w:val="00F437F0"/>
    <w:rsid w:val="00F439AB"/>
    <w:rsid w:val="00F439AF"/>
    <w:rsid w:val="00F43EA2"/>
    <w:rsid w:val="00F44893"/>
    <w:rsid w:val="00F450B9"/>
    <w:rsid w:val="00F45529"/>
    <w:rsid w:val="00F46886"/>
    <w:rsid w:val="00F4713B"/>
    <w:rsid w:val="00F472B8"/>
    <w:rsid w:val="00F47458"/>
    <w:rsid w:val="00F474CF"/>
    <w:rsid w:val="00F476A1"/>
    <w:rsid w:val="00F50845"/>
    <w:rsid w:val="00F51122"/>
    <w:rsid w:val="00F518AC"/>
    <w:rsid w:val="00F51AAD"/>
    <w:rsid w:val="00F51F69"/>
    <w:rsid w:val="00F52888"/>
    <w:rsid w:val="00F52E28"/>
    <w:rsid w:val="00F53233"/>
    <w:rsid w:val="00F53AFC"/>
    <w:rsid w:val="00F53DD7"/>
    <w:rsid w:val="00F5410B"/>
    <w:rsid w:val="00F5463D"/>
    <w:rsid w:val="00F547BF"/>
    <w:rsid w:val="00F54C41"/>
    <w:rsid w:val="00F5513B"/>
    <w:rsid w:val="00F55538"/>
    <w:rsid w:val="00F55BD6"/>
    <w:rsid w:val="00F5636A"/>
    <w:rsid w:val="00F56689"/>
    <w:rsid w:val="00F56848"/>
    <w:rsid w:val="00F56916"/>
    <w:rsid w:val="00F56DEE"/>
    <w:rsid w:val="00F56FC5"/>
    <w:rsid w:val="00F56FFF"/>
    <w:rsid w:val="00F570DE"/>
    <w:rsid w:val="00F57126"/>
    <w:rsid w:val="00F5746E"/>
    <w:rsid w:val="00F57481"/>
    <w:rsid w:val="00F574E1"/>
    <w:rsid w:val="00F57839"/>
    <w:rsid w:val="00F57BFD"/>
    <w:rsid w:val="00F57C0A"/>
    <w:rsid w:val="00F57DA5"/>
    <w:rsid w:val="00F57F15"/>
    <w:rsid w:val="00F605D9"/>
    <w:rsid w:val="00F60656"/>
    <w:rsid w:val="00F609A2"/>
    <w:rsid w:val="00F609A7"/>
    <w:rsid w:val="00F60BEC"/>
    <w:rsid w:val="00F61061"/>
    <w:rsid w:val="00F614DD"/>
    <w:rsid w:val="00F61589"/>
    <w:rsid w:val="00F620B3"/>
    <w:rsid w:val="00F6261B"/>
    <w:rsid w:val="00F6297B"/>
    <w:rsid w:val="00F62A39"/>
    <w:rsid w:val="00F62E2C"/>
    <w:rsid w:val="00F63787"/>
    <w:rsid w:val="00F63794"/>
    <w:rsid w:val="00F638B8"/>
    <w:rsid w:val="00F63E4C"/>
    <w:rsid w:val="00F641EA"/>
    <w:rsid w:val="00F64619"/>
    <w:rsid w:val="00F64740"/>
    <w:rsid w:val="00F64761"/>
    <w:rsid w:val="00F648C0"/>
    <w:rsid w:val="00F64AAB"/>
    <w:rsid w:val="00F64B20"/>
    <w:rsid w:val="00F64E97"/>
    <w:rsid w:val="00F65058"/>
    <w:rsid w:val="00F651C3"/>
    <w:rsid w:val="00F65284"/>
    <w:rsid w:val="00F655AA"/>
    <w:rsid w:val="00F656D7"/>
    <w:rsid w:val="00F66CAE"/>
    <w:rsid w:val="00F66DD6"/>
    <w:rsid w:val="00F66EAB"/>
    <w:rsid w:val="00F67023"/>
    <w:rsid w:val="00F676A9"/>
    <w:rsid w:val="00F67C4D"/>
    <w:rsid w:val="00F703B7"/>
    <w:rsid w:val="00F70639"/>
    <w:rsid w:val="00F70E12"/>
    <w:rsid w:val="00F716F7"/>
    <w:rsid w:val="00F71B26"/>
    <w:rsid w:val="00F71D6E"/>
    <w:rsid w:val="00F71E7C"/>
    <w:rsid w:val="00F721CA"/>
    <w:rsid w:val="00F72315"/>
    <w:rsid w:val="00F725FE"/>
    <w:rsid w:val="00F72CAF"/>
    <w:rsid w:val="00F73435"/>
    <w:rsid w:val="00F734AE"/>
    <w:rsid w:val="00F73E22"/>
    <w:rsid w:val="00F740EE"/>
    <w:rsid w:val="00F74644"/>
    <w:rsid w:val="00F7465B"/>
    <w:rsid w:val="00F74926"/>
    <w:rsid w:val="00F74AFA"/>
    <w:rsid w:val="00F74BB8"/>
    <w:rsid w:val="00F74C6B"/>
    <w:rsid w:val="00F74DB8"/>
    <w:rsid w:val="00F74DC9"/>
    <w:rsid w:val="00F74F9F"/>
    <w:rsid w:val="00F75A8E"/>
    <w:rsid w:val="00F75EF1"/>
    <w:rsid w:val="00F75F28"/>
    <w:rsid w:val="00F760DE"/>
    <w:rsid w:val="00F768AA"/>
    <w:rsid w:val="00F76FD4"/>
    <w:rsid w:val="00F77099"/>
    <w:rsid w:val="00F77124"/>
    <w:rsid w:val="00F772B6"/>
    <w:rsid w:val="00F772C0"/>
    <w:rsid w:val="00F77687"/>
    <w:rsid w:val="00F77BC0"/>
    <w:rsid w:val="00F80029"/>
    <w:rsid w:val="00F807F4"/>
    <w:rsid w:val="00F80C05"/>
    <w:rsid w:val="00F80D81"/>
    <w:rsid w:val="00F80DC3"/>
    <w:rsid w:val="00F815A6"/>
    <w:rsid w:val="00F82456"/>
    <w:rsid w:val="00F82A45"/>
    <w:rsid w:val="00F82BF3"/>
    <w:rsid w:val="00F830A3"/>
    <w:rsid w:val="00F838ED"/>
    <w:rsid w:val="00F83CA8"/>
    <w:rsid w:val="00F83DAD"/>
    <w:rsid w:val="00F84511"/>
    <w:rsid w:val="00F84813"/>
    <w:rsid w:val="00F84D94"/>
    <w:rsid w:val="00F84E28"/>
    <w:rsid w:val="00F84F57"/>
    <w:rsid w:val="00F853B5"/>
    <w:rsid w:val="00F854C1"/>
    <w:rsid w:val="00F85C64"/>
    <w:rsid w:val="00F85EE8"/>
    <w:rsid w:val="00F86320"/>
    <w:rsid w:val="00F86857"/>
    <w:rsid w:val="00F86860"/>
    <w:rsid w:val="00F86EC4"/>
    <w:rsid w:val="00F8761F"/>
    <w:rsid w:val="00F87B3C"/>
    <w:rsid w:val="00F87F11"/>
    <w:rsid w:val="00F9060A"/>
    <w:rsid w:val="00F90A7F"/>
    <w:rsid w:val="00F90D14"/>
    <w:rsid w:val="00F91415"/>
    <w:rsid w:val="00F917DE"/>
    <w:rsid w:val="00F920BF"/>
    <w:rsid w:val="00F921DD"/>
    <w:rsid w:val="00F92310"/>
    <w:rsid w:val="00F92317"/>
    <w:rsid w:val="00F92374"/>
    <w:rsid w:val="00F9298C"/>
    <w:rsid w:val="00F93523"/>
    <w:rsid w:val="00F93FDF"/>
    <w:rsid w:val="00F941CF"/>
    <w:rsid w:val="00F942B8"/>
    <w:rsid w:val="00F94B4E"/>
    <w:rsid w:val="00F94F68"/>
    <w:rsid w:val="00F95C3E"/>
    <w:rsid w:val="00F96059"/>
    <w:rsid w:val="00F968EA"/>
    <w:rsid w:val="00F96910"/>
    <w:rsid w:val="00F971B5"/>
    <w:rsid w:val="00F971FF"/>
    <w:rsid w:val="00F975F7"/>
    <w:rsid w:val="00F97631"/>
    <w:rsid w:val="00F97E66"/>
    <w:rsid w:val="00FA019F"/>
    <w:rsid w:val="00FA0317"/>
    <w:rsid w:val="00FA0833"/>
    <w:rsid w:val="00FA09B1"/>
    <w:rsid w:val="00FA0F6D"/>
    <w:rsid w:val="00FA19BC"/>
    <w:rsid w:val="00FA1E2A"/>
    <w:rsid w:val="00FA22E2"/>
    <w:rsid w:val="00FA2334"/>
    <w:rsid w:val="00FA23BB"/>
    <w:rsid w:val="00FA272E"/>
    <w:rsid w:val="00FA383E"/>
    <w:rsid w:val="00FA3AC6"/>
    <w:rsid w:val="00FA3DE3"/>
    <w:rsid w:val="00FA4169"/>
    <w:rsid w:val="00FA5650"/>
    <w:rsid w:val="00FA57DB"/>
    <w:rsid w:val="00FA5C56"/>
    <w:rsid w:val="00FA5E89"/>
    <w:rsid w:val="00FA6A72"/>
    <w:rsid w:val="00FA6A85"/>
    <w:rsid w:val="00FA70D5"/>
    <w:rsid w:val="00FA7670"/>
    <w:rsid w:val="00FA77D4"/>
    <w:rsid w:val="00FA7A55"/>
    <w:rsid w:val="00FB0040"/>
    <w:rsid w:val="00FB02BB"/>
    <w:rsid w:val="00FB042D"/>
    <w:rsid w:val="00FB0884"/>
    <w:rsid w:val="00FB1B7D"/>
    <w:rsid w:val="00FB1E6D"/>
    <w:rsid w:val="00FB2C3B"/>
    <w:rsid w:val="00FB32CF"/>
    <w:rsid w:val="00FB3727"/>
    <w:rsid w:val="00FB3B16"/>
    <w:rsid w:val="00FB3DB0"/>
    <w:rsid w:val="00FB3FC6"/>
    <w:rsid w:val="00FB4077"/>
    <w:rsid w:val="00FB42B0"/>
    <w:rsid w:val="00FB48B3"/>
    <w:rsid w:val="00FB511E"/>
    <w:rsid w:val="00FB58A4"/>
    <w:rsid w:val="00FB597D"/>
    <w:rsid w:val="00FB5FA8"/>
    <w:rsid w:val="00FB62D5"/>
    <w:rsid w:val="00FB6485"/>
    <w:rsid w:val="00FB6CD8"/>
    <w:rsid w:val="00FB7024"/>
    <w:rsid w:val="00FB7140"/>
    <w:rsid w:val="00FB7568"/>
    <w:rsid w:val="00FB75C0"/>
    <w:rsid w:val="00FC0594"/>
    <w:rsid w:val="00FC0834"/>
    <w:rsid w:val="00FC0957"/>
    <w:rsid w:val="00FC0BFB"/>
    <w:rsid w:val="00FC0DC6"/>
    <w:rsid w:val="00FC132D"/>
    <w:rsid w:val="00FC1809"/>
    <w:rsid w:val="00FC1858"/>
    <w:rsid w:val="00FC1A1D"/>
    <w:rsid w:val="00FC1AC0"/>
    <w:rsid w:val="00FC1BD4"/>
    <w:rsid w:val="00FC1BF0"/>
    <w:rsid w:val="00FC26A1"/>
    <w:rsid w:val="00FC294B"/>
    <w:rsid w:val="00FC2DAC"/>
    <w:rsid w:val="00FC3068"/>
    <w:rsid w:val="00FC3423"/>
    <w:rsid w:val="00FC38E6"/>
    <w:rsid w:val="00FC391D"/>
    <w:rsid w:val="00FC414C"/>
    <w:rsid w:val="00FC48A6"/>
    <w:rsid w:val="00FC4DEB"/>
    <w:rsid w:val="00FC5938"/>
    <w:rsid w:val="00FC5FE2"/>
    <w:rsid w:val="00FC613F"/>
    <w:rsid w:val="00FC6550"/>
    <w:rsid w:val="00FC65BC"/>
    <w:rsid w:val="00FC66F5"/>
    <w:rsid w:val="00FC69FF"/>
    <w:rsid w:val="00FC6AB0"/>
    <w:rsid w:val="00FC70F5"/>
    <w:rsid w:val="00FC71A8"/>
    <w:rsid w:val="00FC76AE"/>
    <w:rsid w:val="00FC79E1"/>
    <w:rsid w:val="00FC7BEC"/>
    <w:rsid w:val="00FD00AF"/>
    <w:rsid w:val="00FD0236"/>
    <w:rsid w:val="00FD04E9"/>
    <w:rsid w:val="00FD07FE"/>
    <w:rsid w:val="00FD0A76"/>
    <w:rsid w:val="00FD0BE2"/>
    <w:rsid w:val="00FD1042"/>
    <w:rsid w:val="00FD1EEB"/>
    <w:rsid w:val="00FD1F85"/>
    <w:rsid w:val="00FD2698"/>
    <w:rsid w:val="00FD2981"/>
    <w:rsid w:val="00FD2A7E"/>
    <w:rsid w:val="00FD2E5E"/>
    <w:rsid w:val="00FD34FD"/>
    <w:rsid w:val="00FD368F"/>
    <w:rsid w:val="00FD39DC"/>
    <w:rsid w:val="00FD4084"/>
    <w:rsid w:val="00FD41DF"/>
    <w:rsid w:val="00FD427B"/>
    <w:rsid w:val="00FD4C7E"/>
    <w:rsid w:val="00FD5690"/>
    <w:rsid w:val="00FD5916"/>
    <w:rsid w:val="00FD5A4F"/>
    <w:rsid w:val="00FD638C"/>
    <w:rsid w:val="00FD63A6"/>
    <w:rsid w:val="00FD6CC8"/>
    <w:rsid w:val="00FD7786"/>
    <w:rsid w:val="00FD7B01"/>
    <w:rsid w:val="00FD7BEC"/>
    <w:rsid w:val="00FE0112"/>
    <w:rsid w:val="00FE0636"/>
    <w:rsid w:val="00FE0866"/>
    <w:rsid w:val="00FE0ED1"/>
    <w:rsid w:val="00FE105F"/>
    <w:rsid w:val="00FE10B5"/>
    <w:rsid w:val="00FE1633"/>
    <w:rsid w:val="00FE1864"/>
    <w:rsid w:val="00FE1B1E"/>
    <w:rsid w:val="00FE1B83"/>
    <w:rsid w:val="00FE1BB6"/>
    <w:rsid w:val="00FE1FF0"/>
    <w:rsid w:val="00FE21D9"/>
    <w:rsid w:val="00FE25A9"/>
    <w:rsid w:val="00FE264C"/>
    <w:rsid w:val="00FE289E"/>
    <w:rsid w:val="00FE3462"/>
    <w:rsid w:val="00FE3529"/>
    <w:rsid w:val="00FE3CDF"/>
    <w:rsid w:val="00FE4131"/>
    <w:rsid w:val="00FE437F"/>
    <w:rsid w:val="00FE44AD"/>
    <w:rsid w:val="00FE44B6"/>
    <w:rsid w:val="00FE4898"/>
    <w:rsid w:val="00FE48F7"/>
    <w:rsid w:val="00FE4CC0"/>
    <w:rsid w:val="00FE4D93"/>
    <w:rsid w:val="00FE5CD6"/>
    <w:rsid w:val="00FE68E9"/>
    <w:rsid w:val="00FE6AF0"/>
    <w:rsid w:val="00FE6C6C"/>
    <w:rsid w:val="00FE6D2A"/>
    <w:rsid w:val="00FE70A3"/>
    <w:rsid w:val="00FE7777"/>
    <w:rsid w:val="00FE7784"/>
    <w:rsid w:val="00FE797D"/>
    <w:rsid w:val="00FE7BE0"/>
    <w:rsid w:val="00FE7C17"/>
    <w:rsid w:val="00FF063B"/>
    <w:rsid w:val="00FF0688"/>
    <w:rsid w:val="00FF075A"/>
    <w:rsid w:val="00FF095F"/>
    <w:rsid w:val="00FF12DA"/>
    <w:rsid w:val="00FF19D8"/>
    <w:rsid w:val="00FF1A85"/>
    <w:rsid w:val="00FF20E0"/>
    <w:rsid w:val="00FF2442"/>
    <w:rsid w:val="00FF33E0"/>
    <w:rsid w:val="00FF3986"/>
    <w:rsid w:val="00FF3C07"/>
    <w:rsid w:val="00FF3F3B"/>
    <w:rsid w:val="00FF4214"/>
    <w:rsid w:val="00FF431A"/>
    <w:rsid w:val="00FF4C13"/>
    <w:rsid w:val="00FF543C"/>
    <w:rsid w:val="00FF5781"/>
    <w:rsid w:val="00FF5865"/>
    <w:rsid w:val="00FF5E4D"/>
    <w:rsid w:val="00FF6054"/>
    <w:rsid w:val="00FF62B4"/>
    <w:rsid w:val="00FF737A"/>
    <w:rsid w:val="00FF7394"/>
    <w:rsid w:val="00FF7BD4"/>
    <w:rsid w:val="00FF7D4E"/>
    <w:rsid w:val="00FF7DAC"/>
    <w:rsid w:val="00FFF951"/>
    <w:rsid w:val="0169D209"/>
    <w:rsid w:val="01BB529A"/>
    <w:rsid w:val="01FDBFAD"/>
    <w:rsid w:val="0223D714"/>
    <w:rsid w:val="02682B79"/>
    <w:rsid w:val="02C750A5"/>
    <w:rsid w:val="02D429B4"/>
    <w:rsid w:val="02F3AB16"/>
    <w:rsid w:val="030B1231"/>
    <w:rsid w:val="0352B8EF"/>
    <w:rsid w:val="03565534"/>
    <w:rsid w:val="044C611B"/>
    <w:rsid w:val="0451C0D6"/>
    <w:rsid w:val="046909BA"/>
    <w:rsid w:val="04A44DCA"/>
    <w:rsid w:val="04A7DE4E"/>
    <w:rsid w:val="04F75D0C"/>
    <w:rsid w:val="04FF5B04"/>
    <w:rsid w:val="051BCF4A"/>
    <w:rsid w:val="05542C04"/>
    <w:rsid w:val="05E6B98E"/>
    <w:rsid w:val="062C2B51"/>
    <w:rsid w:val="063DB26B"/>
    <w:rsid w:val="064C66BD"/>
    <w:rsid w:val="066668C2"/>
    <w:rsid w:val="0701F6B9"/>
    <w:rsid w:val="070274BC"/>
    <w:rsid w:val="07055147"/>
    <w:rsid w:val="0716B4B9"/>
    <w:rsid w:val="071F3ED1"/>
    <w:rsid w:val="0727B1BC"/>
    <w:rsid w:val="073F4FF7"/>
    <w:rsid w:val="07741A3A"/>
    <w:rsid w:val="07D37EE5"/>
    <w:rsid w:val="087F7E8A"/>
    <w:rsid w:val="08F1913D"/>
    <w:rsid w:val="08FF6987"/>
    <w:rsid w:val="090D35EA"/>
    <w:rsid w:val="096267B2"/>
    <w:rsid w:val="097D374E"/>
    <w:rsid w:val="099C1EA6"/>
    <w:rsid w:val="09B00779"/>
    <w:rsid w:val="09F1E8D1"/>
    <w:rsid w:val="0A3389BE"/>
    <w:rsid w:val="0A402D11"/>
    <w:rsid w:val="0A49773A"/>
    <w:rsid w:val="0AE519E3"/>
    <w:rsid w:val="0B38294A"/>
    <w:rsid w:val="0B4579A2"/>
    <w:rsid w:val="0BA82E41"/>
    <w:rsid w:val="0BE73987"/>
    <w:rsid w:val="0C27B8D9"/>
    <w:rsid w:val="0C6ED19C"/>
    <w:rsid w:val="0CE072D8"/>
    <w:rsid w:val="0D2BC71B"/>
    <w:rsid w:val="0D35D3FE"/>
    <w:rsid w:val="0D6DBF02"/>
    <w:rsid w:val="0DA9208C"/>
    <w:rsid w:val="0E384769"/>
    <w:rsid w:val="0E3E45BF"/>
    <w:rsid w:val="0E3EFF38"/>
    <w:rsid w:val="0EA96B89"/>
    <w:rsid w:val="0ED3598D"/>
    <w:rsid w:val="0F23CE5F"/>
    <w:rsid w:val="0F7493BE"/>
    <w:rsid w:val="0FA43026"/>
    <w:rsid w:val="10355611"/>
    <w:rsid w:val="104C36AD"/>
    <w:rsid w:val="10863D2D"/>
    <w:rsid w:val="109EF0EF"/>
    <w:rsid w:val="10FD1C58"/>
    <w:rsid w:val="1103E9D7"/>
    <w:rsid w:val="118214C7"/>
    <w:rsid w:val="118C889E"/>
    <w:rsid w:val="11E799C2"/>
    <w:rsid w:val="12AF1FBE"/>
    <w:rsid w:val="12B274A3"/>
    <w:rsid w:val="12B4892C"/>
    <w:rsid w:val="12F99BFE"/>
    <w:rsid w:val="13049519"/>
    <w:rsid w:val="131188FE"/>
    <w:rsid w:val="136E0948"/>
    <w:rsid w:val="1373398D"/>
    <w:rsid w:val="138C358A"/>
    <w:rsid w:val="14076F8D"/>
    <w:rsid w:val="141BD1EB"/>
    <w:rsid w:val="1420A991"/>
    <w:rsid w:val="144DB803"/>
    <w:rsid w:val="14AA084A"/>
    <w:rsid w:val="14D25D15"/>
    <w:rsid w:val="14D3F096"/>
    <w:rsid w:val="14F0BE40"/>
    <w:rsid w:val="156C4956"/>
    <w:rsid w:val="15746768"/>
    <w:rsid w:val="15ACBB85"/>
    <w:rsid w:val="15B6D119"/>
    <w:rsid w:val="16541AF2"/>
    <w:rsid w:val="167C7B0B"/>
    <w:rsid w:val="16D2C8BE"/>
    <w:rsid w:val="16E077C0"/>
    <w:rsid w:val="16F0E8AF"/>
    <w:rsid w:val="17184C8D"/>
    <w:rsid w:val="172178E5"/>
    <w:rsid w:val="1745BA0A"/>
    <w:rsid w:val="1758BA1D"/>
    <w:rsid w:val="176587CE"/>
    <w:rsid w:val="176D85A1"/>
    <w:rsid w:val="17753E3B"/>
    <w:rsid w:val="17E0F085"/>
    <w:rsid w:val="1847A3E0"/>
    <w:rsid w:val="185FF935"/>
    <w:rsid w:val="18651BCD"/>
    <w:rsid w:val="187DA4C6"/>
    <w:rsid w:val="189621FC"/>
    <w:rsid w:val="18B0DC91"/>
    <w:rsid w:val="18D44558"/>
    <w:rsid w:val="18FD37D4"/>
    <w:rsid w:val="198D24B6"/>
    <w:rsid w:val="19949C02"/>
    <w:rsid w:val="19CA8C47"/>
    <w:rsid w:val="19F5F6C5"/>
    <w:rsid w:val="1A2CF5F8"/>
    <w:rsid w:val="1A792257"/>
    <w:rsid w:val="1AC18C49"/>
    <w:rsid w:val="1B006C4E"/>
    <w:rsid w:val="1B6E7A70"/>
    <w:rsid w:val="1B829656"/>
    <w:rsid w:val="1B9E969C"/>
    <w:rsid w:val="1BBA5347"/>
    <w:rsid w:val="1BE96A68"/>
    <w:rsid w:val="1BFD4918"/>
    <w:rsid w:val="1C43B4E3"/>
    <w:rsid w:val="1C6F8F77"/>
    <w:rsid w:val="1C7E8542"/>
    <w:rsid w:val="1C7EDC39"/>
    <w:rsid w:val="1CAB298A"/>
    <w:rsid w:val="1CBBA83C"/>
    <w:rsid w:val="1DCBB220"/>
    <w:rsid w:val="1DFF254C"/>
    <w:rsid w:val="1E0814BE"/>
    <w:rsid w:val="1E200416"/>
    <w:rsid w:val="1E369B50"/>
    <w:rsid w:val="1E4600C6"/>
    <w:rsid w:val="1EB41796"/>
    <w:rsid w:val="1F350EC0"/>
    <w:rsid w:val="1F978DE3"/>
    <w:rsid w:val="1FB9809D"/>
    <w:rsid w:val="2012160E"/>
    <w:rsid w:val="20526431"/>
    <w:rsid w:val="20893804"/>
    <w:rsid w:val="20A1F483"/>
    <w:rsid w:val="20BD025C"/>
    <w:rsid w:val="20FD3138"/>
    <w:rsid w:val="213AE234"/>
    <w:rsid w:val="217710FA"/>
    <w:rsid w:val="21C4ADAD"/>
    <w:rsid w:val="224DEF6F"/>
    <w:rsid w:val="22837A1B"/>
    <w:rsid w:val="2326B40E"/>
    <w:rsid w:val="234846B0"/>
    <w:rsid w:val="239BC4F4"/>
    <w:rsid w:val="239E672D"/>
    <w:rsid w:val="23FD3CD6"/>
    <w:rsid w:val="241D8414"/>
    <w:rsid w:val="248A6D00"/>
    <w:rsid w:val="248DE837"/>
    <w:rsid w:val="24FD3F11"/>
    <w:rsid w:val="2581D15F"/>
    <w:rsid w:val="25BBE119"/>
    <w:rsid w:val="25DC9363"/>
    <w:rsid w:val="2609A649"/>
    <w:rsid w:val="264B2B8D"/>
    <w:rsid w:val="26A403C0"/>
    <w:rsid w:val="26A6F40A"/>
    <w:rsid w:val="26A6F589"/>
    <w:rsid w:val="26AE1387"/>
    <w:rsid w:val="26FA6F17"/>
    <w:rsid w:val="27777000"/>
    <w:rsid w:val="283A0F16"/>
    <w:rsid w:val="2875185D"/>
    <w:rsid w:val="28F03E9C"/>
    <w:rsid w:val="2904AFD3"/>
    <w:rsid w:val="290BF390"/>
    <w:rsid w:val="293B43A2"/>
    <w:rsid w:val="2947AD89"/>
    <w:rsid w:val="296873F5"/>
    <w:rsid w:val="299B5CDE"/>
    <w:rsid w:val="29CE2D52"/>
    <w:rsid w:val="2A20122B"/>
    <w:rsid w:val="2A65A3D8"/>
    <w:rsid w:val="2AF5E1EF"/>
    <w:rsid w:val="2B6A1EAC"/>
    <w:rsid w:val="2BBC87FC"/>
    <w:rsid w:val="2C558AFC"/>
    <w:rsid w:val="2C5D9B88"/>
    <w:rsid w:val="2C63EBFC"/>
    <w:rsid w:val="2C9136C5"/>
    <w:rsid w:val="2CC9D69C"/>
    <w:rsid w:val="2CDFBFF2"/>
    <w:rsid w:val="2D1233BF"/>
    <w:rsid w:val="2E16E632"/>
    <w:rsid w:val="2E415A39"/>
    <w:rsid w:val="2E440C40"/>
    <w:rsid w:val="2E4CF290"/>
    <w:rsid w:val="2E5E2760"/>
    <w:rsid w:val="2E5EBFB0"/>
    <w:rsid w:val="2E7DC5D8"/>
    <w:rsid w:val="2E873A38"/>
    <w:rsid w:val="2E8B073B"/>
    <w:rsid w:val="2E95F3A7"/>
    <w:rsid w:val="2EA6A659"/>
    <w:rsid w:val="2EB5CC91"/>
    <w:rsid w:val="2EEA663E"/>
    <w:rsid w:val="2EEDCDCD"/>
    <w:rsid w:val="2EEFA84F"/>
    <w:rsid w:val="2F0F5C71"/>
    <w:rsid w:val="2F3C30A3"/>
    <w:rsid w:val="2F402CA3"/>
    <w:rsid w:val="2F4C33D3"/>
    <w:rsid w:val="2FA677BF"/>
    <w:rsid w:val="308063D4"/>
    <w:rsid w:val="30A556B0"/>
    <w:rsid w:val="30B4CCDA"/>
    <w:rsid w:val="30E070EE"/>
    <w:rsid w:val="31B69B26"/>
    <w:rsid w:val="31FB8FE7"/>
    <w:rsid w:val="320A7517"/>
    <w:rsid w:val="320AB92C"/>
    <w:rsid w:val="3216B02B"/>
    <w:rsid w:val="32183949"/>
    <w:rsid w:val="3247181B"/>
    <w:rsid w:val="327152C4"/>
    <w:rsid w:val="32BC1DBC"/>
    <w:rsid w:val="32E0B0F9"/>
    <w:rsid w:val="334C3324"/>
    <w:rsid w:val="339C6807"/>
    <w:rsid w:val="34285246"/>
    <w:rsid w:val="342BF307"/>
    <w:rsid w:val="34B2B39D"/>
    <w:rsid w:val="356BCA48"/>
    <w:rsid w:val="35DA7C07"/>
    <w:rsid w:val="36083F43"/>
    <w:rsid w:val="363EA4D0"/>
    <w:rsid w:val="36740616"/>
    <w:rsid w:val="36AFB9C8"/>
    <w:rsid w:val="36B13C87"/>
    <w:rsid w:val="3722E463"/>
    <w:rsid w:val="376E750D"/>
    <w:rsid w:val="382C397A"/>
    <w:rsid w:val="385D98AF"/>
    <w:rsid w:val="38766A01"/>
    <w:rsid w:val="38D00C12"/>
    <w:rsid w:val="39D6BBA1"/>
    <w:rsid w:val="39F5631B"/>
    <w:rsid w:val="39FFA081"/>
    <w:rsid w:val="3A3E442F"/>
    <w:rsid w:val="3B21ADB9"/>
    <w:rsid w:val="3BB7076A"/>
    <w:rsid w:val="3BE02A06"/>
    <w:rsid w:val="3C010230"/>
    <w:rsid w:val="3C0CF336"/>
    <w:rsid w:val="3C81BA12"/>
    <w:rsid w:val="3CA16E34"/>
    <w:rsid w:val="3CAE53F3"/>
    <w:rsid w:val="3CBD5F41"/>
    <w:rsid w:val="3CD25FD3"/>
    <w:rsid w:val="3D2869FF"/>
    <w:rsid w:val="3E561689"/>
    <w:rsid w:val="3E7056E0"/>
    <w:rsid w:val="3E9A1B6C"/>
    <w:rsid w:val="3ED746C5"/>
    <w:rsid w:val="3EFBDAFA"/>
    <w:rsid w:val="3F23D6AB"/>
    <w:rsid w:val="3F39BDD0"/>
    <w:rsid w:val="3F4CBE6B"/>
    <w:rsid w:val="3FBBEF66"/>
    <w:rsid w:val="3FDFE5C8"/>
    <w:rsid w:val="40394BAC"/>
    <w:rsid w:val="40AF770D"/>
    <w:rsid w:val="40BFEACA"/>
    <w:rsid w:val="40EBF512"/>
    <w:rsid w:val="41274C73"/>
    <w:rsid w:val="4173FB15"/>
    <w:rsid w:val="41A373DC"/>
    <w:rsid w:val="42407312"/>
    <w:rsid w:val="42651A31"/>
    <w:rsid w:val="4267315A"/>
    <w:rsid w:val="43644CD5"/>
    <w:rsid w:val="436B7C63"/>
    <w:rsid w:val="443114C0"/>
    <w:rsid w:val="447EB6B0"/>
    <w:rsid w:val="448CF993"/>
    <w:rsid w:val="4526CCF2"/>
    <w:rsid w:val="45880310"/>
    <w:rsid w:val="45F0A48A"/>
    <w:rsid w:val="46285ED4"/>
    <w:rsid w:val="462C1645"/>
    <w:rsid w:val="4699394D"/>
    <w:rsid w:val="46E5A6EB"/>
    <w:rsid w:val="46EB2B18"/>
    <w:rsid w:val="46FF13BB"/>
    <w:rsid w:val="485FC6B1"/>
    <w:rsid w:val="4881851F"/>
    <w:rsid w:val="4A11D928"/>
    <w:rsid w:val="4A7D417F"/>
    <w:rsid w:val="4AC131C7"/>
    <w:rsid w:val="4AEA58B6"/>
    <w:rsid w:val="4B1C7865"/>
    <w:rsid w:val="4B20AE73"/>
    <w:rsid w:val="4B90BA0D"/>
    <w:rsid w:val="4BC3E2B5"/>
    <w:rsid w:val="4C29F370"/>
    <w:rsid w:val="4C7AA4B5"/>
    <w:rsid w:val="4C931755"/>
    <w:rsid w:val="4CA04AB1"/>
    <w:rsid w:val="4CF4ACDC"/>
    <w:rsid w:val="4CF4D0DE"/>
    <w:rsid w:val="4CFF04D4"/>
    <w:rsid w:val="4D464E01"/>
    <w:rsid w:val="4D70EAFE"/>
    <w:rsid w:val="4D851C16"/>
    <w:rsid w:val="4E6DF44F"/>
    <w:rsid w:val="4E795BF0"/>
    <w:rsid w:val="4F5CF989"/>
    <w:rsid w:val="5004D4D6"/>
    <w:rsid w:val="5028A4F8"/>
    <w:rsid w:val="5038CB9B"/>
    <w:rsid w:val="50C33946"/>
    <w:rsid w:val="51406A02"/>
    <w:rsid w:val="51796DB5"/>
    <w:rsid w:val="518B9FF8"/>
    <w:rsid w:val="5194E5E4"/>
    <w:rsid w:val="51A64A04"/>
    <w:rsid w:val="51A9187A"/>
    <w:rsid w:val="51ADFFA0"/>
    <w:rsid w:val="52ABDDE7"/>
    <w:rsid w:val="531E400F"/>
    <w:rsid w:val="532C9387"/>
    <w:rsid w:val="539D2225"/>
    <w:rsid w:val="53B52BB1"/>
    <w:rsid w:val="54099579"/>
    <w:rsid w:val="5468F2D6"/>
    <w:rsid w:val="54DF9D86"/>
    <w:rsid w:val="54F50ACB"/>
    <w:rsid w:val="55254A9A"/>
    <w:rsid w:val="55284DB9"/>
    <w:rsid w:val="552B7A40"/>
    <w:rsid w:val="557ADE47"/>
    <w:rsid w:val="561CD9FA"/>
    <w:rsid w:val="565822FE"/>
    <w:rsid w:val="56B8FB43"/>
    <w:rsid w:val="57229B5B"/>
    <w:rsid w:val="573B85F8"/>
    <w:rsid w:val="5788B891"/>
    <w:rsid w:val="582445D8"/>
    <w:rsid w:val="58778039"/>
    <w:rsid w:val="58C8A43C"/>
    <w:rsid w:val="58D483A2"/>
    <w:rsid w:val="58F5AEC8"/>
    <w:rsid w:val="5923DB3A"/>
    <w:rsid w:val="593AC0B8"/>
    <w:rsid w:val="598E5DBF"/>
    <w:rsid w:val="5A19AC96"/>
    <w:rsid w:val="5A568AC2"/>
    <w:rsid w:val="5ABCCA56"/>
    <w:rsid w:val="5AF33718"/>
    <w:rsid w:val="5B529FA1"/>
    <w:rsid w:val="5B6488AB"/>
    <w:rsid w:val="5B7CA79C"/>
    <w:rsid w:val="5B84DC7A"/>
    <w:rsid w:val="5C197B60"/>
    <w:rsid w:val="5C31293E"/>
    <w:rsid w:val="5C3E68D8"/>
    <w:rsid w:val="5C4CF5D4"/>
    <w:rsid w:val="5D81CEFA"/>
    <w:rsid w:val="5DB38926"/>
    <w:rsid w:val="5DC237A7"/>
    <w:rsid w:val="5E46E791"/>
    <w:rsid w:val="5E48EBD5"/>
    <w:rsid w:val="5E611B35"/>
    <w:rsid w:val="5ED6E09B"/>
    <w:rsid w:val="5EF7A531"/>
    <w:rsid w:val="5F136CC5"/>
    <w:rsid w:val="5F165756"/>
    <w:rsid w:val="5FA27C05"/>
    <w:rsid w:val="5FF28371"/>
    <w:rsid w:val="600D308B"/>
    <w:rsid w:val="60F8312F"/>
    <w:rsid w:val="60F99C8B"/>
    <w:rsid w:val="60FCDBD5"/>
    <w:rsid w:val="6176C42F"/>
    <w:rsid w:val="61786C76"/>
    <w:rsid w:val="6196B47C"/>
    <w:rsid w:val="61B45D48"/>
    <w:rsid w:val="62222C4B"/>
    <w:rsid w:val="626BD1D2"/>
    <w:rsid w:val="6298E8E8"/>
    <w:rsid w:val="62C206AC"/>
    <w:rsid w:val="62C3CD14"/>
    <w:rsid w:val="62C501FF"/>
    <w:rsid w:val="62F59657"/>
    <w:rsid w:val="63C2A0CF"/>
    <w:rsid w:val="6431E49F"/>
    <w:rsid w:val="64575645"/>
    <w:rsid w:val="646CCE0D"/>
    <w:rsid w:val="647ECF4F"/>
    <w:rsid w:val="649A7BCF"/>
    <w:rsid w:val="64DF066F"/>
    <w:rsid w:val="65697AA3"/>
    <w:rsid w:val="65743B64"/>
    <w:rsid w:val="65FAE0F6"/>
    <w:rsid w:val="660097DA"/>
    <w:rsid w:val="661C0EA2"/>
    <w:rsid w:val="663B1171"/>
    <w:rsid w:val="669C8BFB"/>
    <w:rsid w:val="66A15035"/>
    <w:rsid w:val="66AA4F0A"/>
    <w:rsid w:val="670319ED"/>
    <w:rsid w:val="6719E696"/>
    <w:rsid w:val="6789A336"/>
    <w:rsid w:val="67E94858"/>
    <w:rsid w:val="682E43AA"/>
    <w:rsid w:val="6868D361"/>
    <w:rsid w:val="68778AA1"/>
    <w:rsid w:val="68980AFF"/>
    <w:rsid w:val="68B449E2"/>
    <w:rsid w:val="692A2154"/>
    <w:rsid w:val="692CB97F"/>
    <w:rsid w:val="696B6B17"/>
    <w:rsid w:val="6A77FB54"/>
    <w:rsid w:val="6ACC6473"/>
    <w:rsid w:val="6B4E9925"/>
    <w:rsid w:val="6B57A23D"/>
    <w:rsid w:val="6BB9B2B6"/>
    <w:rsid w:val="6C43D467"/>
    <w:rsid w:val="6C92DBD1"/>
    <w:rsid w:val="6C9D463A"/>
    <w:rsid w:val="6D27988D"/>
    <w:rsid w:val="6D282A1F"/>
    <w:rsid w:val="6D649DEA"/>
    <w:rsid w:val="6E488152"/>
    <w:rsid w:val="6E7F7AC3"/>
    <w:rsid w:val="6EBCBFC0"/>
    <w:rsid w:val="6EF2082E"/>
    <w:rsid w:val="6F112752"/>
    <w:rsid w:val="6F4067C7"/>
    <w:rsid w:val="6FFD06DC"/>
    <w:rsid w:val="707A2698"/>
    <w:rsid w:val="70E0CB7A"/>
    <w:rsid w:val="712CB2D5"/>
    <w:rsid w:val="7173F024"/>
    <w:rsid w:val="71B53383"/>
    <w:rsid w:val="71FF5987"/>
    <w:rsid w:val="721171E3"/>
    <w:rsid w:val="7251A4A0"/>
    <w:rsid w:val="72601A7A"/>
    <w:rsid w:val="728F7460"/>
    <w:rsid w:val="72BA753D"/>
    <w:rsid w:val="731F3307"/>
    <w:rsid w:val="735554FF"/>
    <w:rsid w:val="73B27F34"/>
    <w:rsid w:val="740FCFC8"/>
    <w:rsid w:val="74433715"/>
    <w:rsid w:val="74644AFE"/>
    <w:rsid w:val="7480758F"/>
    <w:rsid w:val="7490DE40"/>
    <w:rsid w:val="756F8DAF"/>
    <w:rsid w:val="75801179"/>
    <w:rsid w:val="75CD20BA"/>
    <w:rsid w:val="75CE16FB"/>
    <w:rsid w:val="7625A377"/>
    <w:rsid w:val="766164B9"/>
    <w:rsid w:val="767ED9C8"/>
    <w:rsid w:val="767FE1A8"/>
    <w:rsid w:val="76E16F7D"/>
    <w:rsid w:val="76E9A3BB"/>
    <w:rsid w:val="77497F12"/>
    <w:rsid w:val="774E915C"/>
    <w:rsid w:val="777D73D5"/>
    <w:rsid w:val="77E2E6E9"/>
    <w:rsid w:val="781D4768"/>
    <w:rsid w:val="784C2E49"/>
    <w:rsid w:val="785FCBE6"/>
    <w:rsid w:val="7866C5CA"/>
    <w:rsid w:val="7871D8A2"/>
    <w:rsid w:val="7875F487"/>
    <w:rsid w:val="78935624"/>
    <w:rsid w:val="78AD004B"/>
    <w:rsid w:val="790DFCA0"/>
    <w:rsid w:val="7922A3FF"/>
    <w:rsid w:val="793D6990"/>
    <w:rsid w:val="797945A3"/>
    <w:rsid w:val="79C2540F"/>
    <w:rsid w:val="79E4B07E"/>
    <w:rsid w:val="7A12C3F7"/>
    <w:rsid w:val="7A2B345F"/>
    <w:rsid w:val="7A2E2E35"/>
    <w:rsid w:val="7A4899AF"/>
    <w:rsid w:val="7AAD95B9"/>
    <w:rsid w:val="7AC98808"/>
    <w:rsid w:val="7ACA9AA2"/>
    <w:rsid w:val="7AD9EE0F"/>
    <w:rsid w:val="7B44F7A7"/>
    <w:rsid w:val="7B842D63"/>
    <w:rsid w:val="7B85471D"/>
    <w:rsid w:val="7BB3647A"/>
    <w:rsid w:val="7BDD5842"/>
    <w:rsid w:val="7C2C7A13"/>
    <w:rsid w:val="7CBFA01D"/>
    <w:rsid w:val="7CCE5DD0"/>
    <w:rsid w:val="7CCFF50D"/>
    <w:rsid w:val="7D3672EE"/>
    <w:rsid w:val="7D631739"/>
    <w:rsid w:val="7E016BAE"/>
    <w:rsid w:val="7E293C90"/>
    <w:rsid w:val="7E82EF2A"/>
    <w:rsid w:val="7EF6EEA4"/>
    <w:rsid w:val="7F57F623"/>
    <w:rsid w:val="7F6FF8D9"/>
    <w:rsid w:val="7FB08C7A"/>
    <w:rsid w:val="7FE29C70"/>
    <w:rsid w:val="7FF381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6C382"/>
  <w15:docId w15:val="{21C89007-AD91-47B3-9142-E22FE13A9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20" w:after="40"/>
    </w:pPr>
    <w:rPr>
      <w:rFonts w:ascii="Arial" w:hAnsi="Arial"/>
      <w:sz w:val="24"/>
    </w:rPr>
  </w:style>
  <w:style w:type="paragraph" w:styleId="Heading1">
    <w:name w:val="heading 1"/>
    <w:basedOn w:val="Normal"/>
    <w:next w:val="Normal"/>
    <w:uiPriority w:val="9"/>
    <w:qFormat/>
    <w:pPr>
      <w:keepNext/>
      <w:keepLines/>
      <w:spacing w:before="200" w:after="160"/>
      <w:outlineLvl w:val="0"/>
    </w:pPr>
    <w:rPr>
      <w:rFonts w:eastAsia="Yu Gothic Light" w:cs="Times New Roman"/>
      <w:b/>
      <w:color w:val="000000"/>
      <w:sz w:val="28"/>
      <w:szCs w:val="32"/>
    </w:rPr>
  </w:style>
  <w:style w:type="paragraph" w:styleId="Heading2">
    <w:name w:val="heading 2"/>
    <w:basedOn w:val="Normal"/>
    <w:next w:val="Normal"/>
    <w:uiPriority w:val="9"/>
    <w:unhideWhenUsed/>
    <w:qFormat/>
    <w:pPr>
      <w:keepNext/>
      <w:keepLines/>
      <w:spacing w:before="200" w:after="160"/>
      <w:outlineLvl w:val="1"/>
    </w:pPr>
    <w:rPr>
      <w:rFonts w:eastAsia="Yu Gothic Light" w:cs="Times New Roman"/>
      <w:b/>
      <w:szCs w:val="26"/>
    </w:rPr>
  </w:style>
  <w:style w:type="paragraph" w:styleId="Heading3">
    <w:name w:val="heading 3"/>
    <w:basedOn w:val="Normal"/>
    <w:next w:val="Normal"/>
    <w:uiPriority w:val="9"/>
    <w:semiHidden/>
    <w:unhideWhenUsed/>
    <w:qFormat/>
    <w:pPr>
      <w:keepNext/>
      <w:keepLines/>
      <w:spacing w:before="40" w:after="0"/>
      <w:outlineLvl w:val="2"/>
    </w:pPr>
    <w:rPr>
      <w:rFonts w:ascii="Calibri Light" w:eastAsia="Yu Gothic Light" w:hAnsi="Calibri Light" w:cs="Times New Roman"/>
      <w:color w:val="1F3763"/>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Yu Gothic Light" w:hAnsi="Arial" w:cs="Times New Roman"/>
      <w:b/>
      <w:color w:val="000000"/>
      <w:sz w:val="28"/>
      <w:szCs w:val="32"/>
    </w:rPr>
  </w:style>
  <w:style w:type="character" w:customStyle="1" w:styleId="Heading2Char">
    <w:name w:val="Heading 2 Char"/>
    <w:basedOn w:val="DefaultParagraphFont"/>
    <w:rPr>
      <w:rFonts w:ascii="Arial" w:eastAsia="Yu Gothic Light" w:hAnsi="Arial" w:cs="Times New Roman"/>
      <w:b/>
      <w:sz w:val="24"/>
      <w:szCs w:val="26"/>
    </w:rPr>
  </w:style>
  <w:style w:type="paragraph" w:styleId="ListParagraph">
    <w:name w:val="List Paragraph"/>
    <w:basedOn w:val="Normal"/>
    <w:qFormat/>
    <w:pPr>
      <w:ind w:left="720"/>
      <w:contextualSpacing/>
    </w:pPr>
  </w:style>
  <w:style w:type="paragraph" w:styleId="Header">
    <w:name w:val="header"/>
    <w:basedOn w:val="Normal"/>
    <w:pPr>
      <w:tabs>
        <w:tab w:val="center" w:pos="4513"/>
        <w:tab w:val="right" w:pos="9026"/>
      </w:tabs>
      <w:spacing w:before="0" w:after="0"/>
    </w:pPr>
  </w:style>
  <w:style w:type="character" w:customStyle="1" w:styleId="HeaderChar">
    <w:name w:val="Header Char"/>
    <w:basedOn w:val="DefaultParagraphFont"/>
    <w:rPr>
      <w:rFonts w:ascii="Arial" w:hAnsi="Arial"/>
      <w:sz w:val="24"/>
    </w:rPr>
  </w:style>
  <w:style w:type="paragraph" w:styleId="Footer">
    <w:name w:val="footer"/>
    <w:basedOn w:val="Normal"/>
    <w:pPr>
      <w:tabs>
        <w:tab w:val="center" w:pos="4513"/>
        <w:tab w:val="right" w:pos="9026"/>
      </w:tabs>
      <w:spacing w:before="0" w:after="0"/>
    </w:pPr>
  </w:style>
  <w:style w:type="character" w:customStyle="1" w:styleId="FooterChar">
    <w:name w:val="Footer Char"/>
    <w:basedOn w:val="DefaultParagraphFont"/>
    <w:rPr>
      <w:rFonts w:ascii="Arial" w:hAnsi="Arial"/>
      <w:sz w:val="24"/>
    </w:rPr>
  </w:style>
  <w:style w:type="character" w:styleId="Hyperlink">
    <w:name w:val="Hyperlink"/>
    <w:basedOn w:val="DefaultParagraphFont"/>
    <w:uiPriority w:val="99"/>
    <w:rPr>
      <w:color w:val="0563C1"/>
      <w:u w:val="single"/>
    </w:rPr>
  </w:style>
  <w:style w:type="paragraph" w:styleId="TOCHeading">
    <w:name w:val="TOC Heading"/>
    <w:basedOn w:val="Heading1"/>
    <w:next w:val="Normal"/>
    <w:pPr>
      <w:spacing w:before="240" w:after="0"/>
    </w:pPr>
    <w:rPr>
      <w:color w:val="auto"/>
      <w:lang w:val="en-US"/>
    </w:rPr>
  </w:style>
  <w:style w:type="paragraph" w:styleId="TOC1">
    <w:name w:val="toc 1"/>
    <w:basedOn w:val="Normal"/>
    <w:next w:val="Normal"/>
    <w:autoRedefine/>
    <w:uiPriority w:val="39"/>
    <w:pPr>
      <w:spacing w:after="100"/>
    </w:pPr>
  </w:style>
  <w:style w:type="paragraph" w:styleId="Quote">
    <w:name w:val="Quote"/>
    <w:basedOn w:val="Normal"/>
    <w:next w:val="Normal"/>
    <w:pPr>
      <w:spacing w:before="200" w:after="160"/>
      <w:ind w:left="864" w:right="864"/>
      <w:jc w:val="center"/>
    </w:pPr>
    <w:rPr>
      <w:i/>
      <w:iCs/>
      <w:color w:val="404040"/>
    </w:rPr>
  </w:style>
  <w:style w:type="character" w:customStyle="1" w:styleId="QuoteChar">
    <w:name w:val="Quote Char"/>
    <w:basedOn w:val="DefaultParagraphFont"/>
    <w:rPr>
      <w:rFonts w:ascii="Arial" w:hAnsi="Arial"/>
      <w:i/>
      <w:iCs/>
      <w:color w:val="404040"/>
      <w:sz w:val="24"/>
    </w:rPr>
  </w:style>
  <w:style w:type="paragraph" w:styleId="FootnoteText">
    <w:name w:val="footnote text"/>
    <w:basedOn w:val="Normal"/>
    <w:pPr>
      <w:spacing w:before="0" w:after="0"/>
    </w:pPr>
    <w:rPr>
      <w:sz w:val="20"/>
      <w:szCs w:val="20"/>
    </w:rPr>
  </w:style>
  <w:style w:type="character" w:customStyle="1" w:styleId="FootnoteTextChar">
    <w:name w:val="Footnote Text Char"/>
    <w:basedOn w:val="DefaultParagraphFont"/>
    <w:rPr>
      <w:rFonts w:ascii="Arial" w:hAnsi="Arial"/>
      <w:sz w:val="20"/>
      <w:szCs w:val="20"/>
    </w:rPr>
  </w:style>
  <w:style w:type="character" w:styleId="FootnoteReference">
    <w:name w:val="footnote reference"/>
    <w:basedOn w:val="DefaultParagraphFont"/>
    <w:rPr>
      <w:position w:val="0"/>
      <w:vertAlign w:val="superscript"/>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hAnsi="Arial"/>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b/>
      <w:bCs/>
      <w:sz w:val="20"/>
      <w:szCs w:val="20"/>
    </w:rPr>
  </w:style>
  <w:style w:type="paragraph" w:styleId="BalloonText">
    <w:name w:val="Balloon Text"/>
    <w:basedOn w:val="Normal"/>
    <w:pPr>
      <w:spacing w:before="0"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Caption">
    <w:name w:val="caption"/>
    <w:basedOn w:val="Normal"/>
    <w:next w:val="Normal"/>
    <w:pPr>
      <w:spacing w:before="0" w:after="200"/>
    </w:pPr>
    <w:rPr>
      <w:i/>
      <w:iCs/>
      <w:color w:val="44546A"/>
      <w:sz w:val="18"/>
      <w:szCs w:val="18"/>
    </w:rPr>
  </w:style>
  <w:style w:type="paragraph" w:styleId="TOC2">
    <w:name w:val="toc 2"/>
    <w:basedOn w:val="Normal"/>
    <w:next w:val="Normal"/>
    <w:autoRedefine/>
    <w:uiPriority w:val="39"/>
    <w:rsid w:val="00627DBA"/>
    <w:pPr>
      <w:tabs>
        <w:tab w:val="right" w:leader="dot" w:pos="9016"/>
      </w:tabs>
      <w:spacing w:after="100"/>
      <w:ind w:left="240"/>
    </w:p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customStyle="1" w:styleId="Heading3Char">
    <w:name w:val="Heading 3 Char"/>
    <w:basedOn w:val="DefaultParagraphFont"/>
    <w:rPr>
      <w:rFonts w:ascii="Calibri Light" w:eastAsia="Yu Gothic Light" w:hAnsi="Calibri Light" w:cs="Times New Roman"/>
      <w:color w:val="1F3763"/>
      <w:sz w:val="24"/>
      <w:szCs w:val="24"/>
    </w:rPr>
  </w:style>
  <w:style w:type="paragraph" w:styleId="NormalWeb">
    <w:name w:val="Normal (Web)"/>
    <w:basedOn w:val="Normal"/>
    <w:pPr>
      <w:spacing w:before="100" w:after="100"/>
    </w:pPr>
    <w:rPr>
      <w:rFonts w:ascii="Times New Roman" w:eastAsia="Times New Roman" w:hAnsi="Times New Roman" w:cs="Times New Roman"/>
      <w:szCs w:val="24"/>
      <w:lang w:eastAsia="en-GB"/>
    </w:rPr>
  </w:style>
  <w:style w:type="paragraph" w:customStyle="1" w:styleId="gem-c-image-cardcontext">
    <w:name w:val="gem-c-image-card__context"/>
    <w:basedOn w:val="Normal"/>
    <w:pPr>
      <w:spacing w:before="100" w:after="100"/>
    </w:pPr>
    <w:rPr>
      <w:rFonts w:ascii="Times New Roman" w:eastAsia="Times New Roman" w:hAnsi="Times New Roman" w:cs="Times New Roman"/>
      <w:szCs w:val="24"/>
      <w:lang w:eastAsia="en-GB"/>
    </w:rPr>
  </w:style>
  <w:style w:type="paragraph" w:styleId="BodyText">
    <w:name w:val="Body Text"/>
    <w:basedOn w:val="Normal"/>
    <w:pPr>
      <w:widowControl w:val="0"/>
      <w:spacing w:before="0" w:after="0"/>
      <w:ind w:left="838"/>
    </w:pPr>
    <w:rPr>
      <w:rFonts w:eastAsia="Arial"/>
      <w:szCs w:val="24"/>
      <w:lang w:val="en-US"/>
    </w:rPr>
  </w:style>
  <w:style w:type="character" w:customStyle="1" w:styleId="BodyTextChar">
    <w:name w:val="Body Text Char"/>
    <w:basedOn w:val="DefaultParagraphFont"/>
    <w:rPr>
      <w:rFonts w:ascii="Arial" w:eastAsia="Arial" w:hAnsi="Arial"/>
      <w:sz w:val="24"/>
      <w:szCs w:val="24"/>
      <w:lang w:val="en-US"/>
    </w:rPr>
  </w:style>
  <w:style w:type="paragraph" w:customStyle="1" w:styleId="Default">
    <w:name w:val="Default"/>
    <w:pPr>
      <w:suppressAutoHyphens/>
      <w:autoSpaceDE w:val="0"/>
      <w:spacing w:after="0"/>
    </w:pPr>
    <w:rPr>
      <w:rFonts w:ascii="ITC Stone Sans Std Medium" w:hAnsi="ITC Stone Sans Std Medium" w:cs="ITC Stone Sans Std Medium"/>
      <w:color w:val="000000"/>
      <w:sz w:val="24"/>
      <w:szCs w:val="24"/>
    </w:rPr>
  </w:style>
  <w:style w:type="paragraph" w:styleId="Revision">
    <w:name w:val="Revision"/>
    <w:pPr>
      <w:suppressAutoHyphens/>
      <w:spacing w:after="0"/>
    </w:pPr>
    <w:rPr>
      <w:rFonts w:ascii="Arial" w:hAnsi="Arial"/>
      <w:sz w:val="24"/>
    </w:rPr>
  </w:style>
  <w:style w:type="paragraph" w:customStyle="1" w:styleId="INDTitle">
    <w:name w:val="IND Title"/>
    <w:basedOn w:val="Normal"/>
    <w:next w:val="INDSub-title"/>
    <w:pPr>
      <w:spacing w:before="0" w:after="240" w:line="320" w:lineRule="atLeast"/>
    </w:pPr>
    <w:rPr>
      <w:sz w:val="76"/>
    </w:rPr>
  </w:style>
  <w:style w:type="paragraph" w:customStyle="1" w:styleId="INDSub-title">
    <w:name w:val="IND Sub-title"/>
    <w:basedOn w:val="Normal"/>
    <w:next w:val="INDDate"/>
    <w:pPr>
      <w:spacing w:before="0" w:after="480" w:line="320" w:lineRule="atLeast"/>
    </w:pPr>
    <w:rPr>
      <w:color w:val="868686"/>
      <w:sz w:val="48"/>
    </w:rPr>
  </w:style>
  <w:style w:type="paragraph" w:customStyle="1" w:styleId="INDDate">
    <w:name w:val="IND Date"/>
    <w:basedOn w:val="Normal"/>
    <w:pPr>
      <w:spacing w:before="0" w:after="0" w:line="320" w:lineRule="atLeast"/>
    </w:pPr>
    <w:rPr>
      <w:color w:val="868686"/>
      <w:sz w:val="28"/>
    </w:rPr>
  </w:style>
  <w:style w:type="paragraph" w:customStyle="1" w:styleId="Copyrightstatement">
    <w:name w:val="Copyright statement"/>
    <w:basedOn w:val="Normal"/>
    <w:pPr>
      <w:spacing w:before="0" w:after="200"/>
    </w:pPr>
    <w:rPr>
      <w:sz w:val="20"/>
    </w:rPr>
  </w:style>
  <w:style w:type="character" w:styleId="Mention">
    <w:name w:val="Mention"/>
    <w:basedOn w:val="DefaultParagraphFont"/>
    <w:rPr>
      <w:color w:val="2B579A"/>
      <w:shd w:val="clear" w:color="auto" w:fill="E6E6E6"/>
    </w:rPr>
  </w:style>
  <w:style w:type="paragraph" w:customStyle="1" w:styleId="paragraph">
    <w:name w:val="paragraph"/>
    <w:basedOn w:val="Normal"/>
    <w:pPr>
      <w:spacing w:before="100" w:after="100"/>
    </w:pPr>
    <w:rPr>
      <w:rFonts w:ascii="Times New Roman" w:eastAsia="Times New Roman" w:hAnsi="Times New Roman" w:cs="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superscript">
    <w:name w:val="superscript"/>
    <w:basedOn w:val="DefaultParagraphFont"/>
  </w:style>
  <w:style w:type="character" w:styleId="Emphasis">
    <w:name w:val="Emphasis"/>
    <w:basedOn w:val="DefaultParagraphFont"/>
    <w:rPr>
      <w:i/>
      <w:iCs/>
    </w:rPr>
  </w:style>
  <w:style w:type="character" w:customStyle="1" w:styleId="contentpasted0">
    <w:name w:val="contentpasted0"/>
    <w:basedOn w:val="DefaultParagraphFont"/>
  </w:style>
  <w:style w:type="paragraph" w:customStyle="1" w:styleId="SSRBPaperbulletpoints">
    <w:name w:val="SSRB Paper bullet points"/>
    <w:basedOn w:val="Normal"/>
    <w:pPr>
      <w:numPr>
        <w:numId w:val="1"/>
      </w:numPr>
      <w:suppressAutoHyphens w:val="0"/>
      <w:spacing w:before="120" w:after="120" w:line="360" w:lineRule="auto"/>
      <w:jc w:val="both"/>
    </w:pPr>
    <w:rPr>
      <w:rFonts w:ascii="Calibri" w:eastAsia="Georgia" w:hAnsi="Calibri" w:cs="Calibri"/>
      <w:color w:val="000000"/>
      <w:szCs w:val="24"/>
      <w:lang w:eastAsia="ja-JP"/>
    </w:rPr>
  </w:style>
  <w:style w:type="character" w:customStyle="1" w:styleId="SSRBPaperbulletpointsChar">
    <w:name w:val="SSRB Paper bullet points Char"/>
    <w:rPr>
      <w:rFonts w:ascii="Calibri" w:eastAsia="Georgia" w:hAnsi="Calibri" w:cs="Calibri"/>
      <w:color w:val="000000"/>
      <w:sz w:val="24"/>
      <w:szCs w:val="24"/>
      <w:lang w:eastAsia="ja-JP"/>
    </w:rPr>
  </w:style>
  <w:style w:type="numbering" w:customStyle="1" w:styleId="LFO23">
    <w:name w:val="LFO23"/>
    <w:basedOn w:val="NoList"/>
    <w:pPr>
      <w:numPr>
        <w:numId w:val="1"/>
      </w:numPr>
    </w:pPr>
  </w:style>
  <w:style w:type="character" w:customStyle="1" w:styleId="ui-provider">
    <w:name w:val="ui-provider"/>
    <w:basedOn w:val="DefaultParagraphFont"/>
    <w:rsid w:val="00BE19A0"/>
  </w:style>
  <w:style w:type="paragraph" w:styleId="EndnoteText">
    <w:name w:val="endnote text"/>
    <w:basedOn w:val="Normal"/>
    <w:link w:val="EndnoteTextChar"/>
    <w:uiPriority w:val="99"/>
    <w:semiHidden/>
    <w:unhideWhenUsed/>
    <w:rsid w:val="009402D1"/>
    <w:pPr>
      <w:spacing w:before="0" w:after="0"/>
    </w:pPr>
    <w:rPr>
      <w:sz w:val="20"/>
      <w:szCs w:val="20"/>
    </w:rPr>
  </w:style>
  <w:style w:type="character" w:customStyle="1" w:styleId="EndnoteTextChar">
    <w:name w:val="Endnote Text Char"/>
    <w:basedOn w:val="DefaultParagraphFont"/>
    <w:link w:val="EndnoteText"/>
    <w:uiPriority w:val="99"/>
    <w:semiHidden/>
    <w:rsid w:val="009402D1"/>
    <w:rPr>
      <w:rFonts w:ascii="Arial" w:hAnsi="Arial"/>
      <w:sz w:val="20"/>
      <w:szCs w:val="20"/>
    </w:rPr>
  </w:style>
  <w:style w:type="character" w:styleId="EndnoteReference">
    <w:name w:val="endnote reference"/>
    <w:basedOn w:val="DefaultParagraphFont"/>
    <w:uiPriority w:val="99"/>
    <w:semiHidden/>
    <w:unhideWhenUsed/>
    <w:rsid w:val="009402D1"/>
    <w:rPr>
      <w:vertAlign w:val="superscript"/>
    </w:rPr>
  </w:style>
  <w:style w:type="paragraph" w:customStyle="1" w:styleId="RecommendationNumbersPRRB">
    <w:name w:val="Recommendation Numbers_PRRB"/>
    <w:basedOn w:val="Normal"/>
    <w:rsid w:val="006118AC"/>
    <w:pPr>
      <w:numPr>
        <w:numId w:val="16"/>
      </w:numPr>
      <w:suppressAutoHyphens w:val="0"/>
      <w:autoSpaceDN/>
      <w:spacing w:before="120" w:after="120" w:line="288" w:lineRule="auto"/>
    </w:pPr>
    <w:rPr>
      <w:rFonts w:eastAsiaTheme="minorHAnsi" w:cstheme="minorBidi"/>
      <w:b/>
      <w:szCs w:val="24"/>
    </w:rPr>
  </w:style>
  <w:style w:type="paragraph" w:customStyle="1" w:styleId="Numbered">
    <w:name w:val="Numbered"/>
    <w:basedOn w:val="Normal"/>
    <w:link w:val="NumberedChar"/>
    <w:uiPriority w:val="1"/>
    <w:qFormat/>
    <w:rsid w:val="00DD62C9"/>
    <w:pPr>
      <w:numPr>
        <w:numId w:val="4"/>
      </w:numPr>
      <w:spacing w:after="120" w:line="360" w:lineRule="auto"/>
    </w:pPr>
    <w:rPr>
      <w:rFonts w:asciiTheme="minorHAnsi" w:eastAsiaTheme="minorEastAsia" w:hAnsiTheme="minorHAnsi" w:cstheme="minorBidi"/>
    </w:rPr>
  </w:style>
  <w:style w:type="character" w:customStyle="1" w:styleId="NumberedChar">
    <w:name w:val="Numbered Char"/>
    <w:basedOn w:val="DefaultParagraphFont"/>
    <w:link w:val="Numbered"/>
    <w:uiPriority w:val="1"/>
    <w:rsid w:val="00DD62C9"/>
    <w:rPr>
      <w:rFonts w:asciiTheme="minorHAnsi" w:eastAsiaTheme="minorEastAsia" w:hAnsiTheme="minorHAnsi"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006067">
      <w:bodyDiv w:val="1"/>
      <w:marLeft w:val="0"/>
      <w:marRight w:val="0"/>
      <w:marTop w:val="0"/>
      <w:marBottom w:val="0"/>
      <w:divBdr>
        <w:top w:val="none" w:sz="0" w:space="0" w:color="auto"/>
        <w:left w:val="none" w:sz="0" w:space="0" w:color="auto"/>
        <w:bottom w:val="none" w:sz="0" w:space="0" w:color="auto"/>
        <w:right w:val="none" w:sz="0" w:space="0" w:color="auto"/>
      </w:divBdr>
    </w:div>
    <w:div w:id="1357727941">
      <w:bodyDiv w:val="1"/>
      <w:marLeft w:val="0"/>
      <w:marRight w:val="0"/>
      <w:marTop w:val="0"/>
      <w:marBottom w:val="0"/>
      <w:divBdr>
        <w:top w:val="none" w:sz="0" w:space="0" w:color="auto"/>
        <w:left w:val="none" w:sz="0" w:space="0" w:color="auto"/>
        <w:bottom w:val="none" w:sz="0" w:space="0" w:color="auto"/>
        <w:right w:val="none" w:sz="0" w:space="0" w:color="auto"/>
      </w:divBdr>
    </w:div>
    <w:div w:id="1609390193">
      <w:bodyDiv w:val="1"/>
      <w:marLeft w:val="0"/>
      <w:marRight w:val="0"/>
      <w:marTop w:val="0"/>
      <w:marBottom w:val="0"/>
      <w:divBdr>
        <w:top w:val="none" w:sz="0" w:space="0" w:color="auto"/>
        <w:left w:val="none" w:sz="0" w:space="0" w:color="auto"/>
        <w:bottom w:val="none" w:sz="0" w:space="0" w:color="auto"/>
        <w:right w:val="none" w:sz="0" w:space="0" w:color="auto"/>
      </w:divBdr>
    </w:div>
    <w:div w:id="1686784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organisations/office-for-the-pay-review-bodi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OPRB.enquiries@businessandtrade.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mailto:psi@nationalarchives.gsi.gov.uk"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ired-gov.net/wg/news.nsf/articles/Pay+increase+for+medical+and+dental+staff+20072022101000"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news/nhs-workers-awarded-real-terms-pay-rises-for-second-year-in-row" TargetMode="External"/><Relationship Id="rId3" Type="http://schemas.openxmlformats.org/officeDocument/2006/relationships/hyperlink" Target="https://questions-statements.parliament.uk/written-statements/detail/2025-05-22/hcws663" TargetMode="External"/><Relationship Id="rId7" Type="http://schemas.openxmlformats.org/officeDocument/2006/relationships/hyperlink" Target="https://www.gov.wales/written-statement-public-sector-pay-response-pay-review-bodies-recommendations-2024-25" TargetMode="External"/><Relationship Id="rId2" Type="http://schemas.openxmlformats.org/officeDocument/2006/relationships/hyperlink" Target="https://questions-statements.parliament.uk/written-statements/detail/2025-05-22/hcws661" TargetMode="External"/><Relationship Id="rId1" Type="http://schemas.openxmlformats.org/officeDocument/2006/relationships/hyperlink" Target="https://www.gov.uk/government/publications/armed-forces-pay-review-body-fifty-fourth-report-2025" TargetMode="External"/><Relationship Id="rId6" Type="http://schemas.openxmlformats.org/officeDocument/2006/relationships/hyperlink" Target="https://www.gov.uk/government/publications/national-crime-agency-remuneration-review-body-report-2025" TargetMode="External"/><Relationship Id="rId11" Type="http://schemas.openxmlformats.org/officeDocument/2006/relationships/hyperlink" Target="https://questions-statements.parliament.uk/written-statements/detail/2025-05-22/hcws664" TargetMode="External"/><Relationship Id="rId5" Type="http://schemas.openxmlformats.org/officeDocument/2006/relationships/hyperlink" Target="https://www.niassembly.gov.uk/globalassets/documents/official-reports/written-ministerial-statements/2022---2027/bv177_doh_280525.pdf" TargetMode="External"/><Relationship Id="rId10" Type="http://schemas.openxmlformats.org/officeDocument/2006/relationships/hyperlink" Target="https://questions-statements.parliament.uk/written-statements/detail/2024-07-29/hcws38" TargetMode="External"/><Relationship Id="rId4" Type="http://schemas.openxmlformats.org/officeDocument/2006/relationships/hyperlink" Target="https://www.gov.wales/written-statement-responding-38th-nhs-pay-review-body-and-53rd-doctors-and-dentists-review-body" TargetMode="External"/><Relationship Id="rId9" Type="http://schemas.openxmlformats.org/officeDocument/2006/relationships/hyperlink" Target="https://www.gov.uk/government/publications/police-remuneration-review-body-report-2025-england-and-w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Office for Manpower Economics</Government_x0020_Body>
    <Date_x0020_Opened xmlns="b413c3fd-5a3b-4239-b985-69032e371c04">2023-11-07T14:38:13+00:00</Date_x0020_Opened>
    <LegacyData xmlns="aaacb922-5235-4a66-b188-303b9b46fbd7" xsi:nil="true"/>
    <Retention_x0020_Label xmlns="a8f60570-4bd3-4f2b-950b-a996de8ab151">Group Review</Retention_x0020_Label>
    <Date_x0020_Closed xmlns="b413c3fd-5a3b-4239-b985-69032e371c04" xsi:nil="true"/>
    <Descriptor xmlns="0063f72e-ace3-48fb-9c1f-5b513408b31f">COMMERCIAL</Descriptor>
    <m975189f4ba442ecbf67d4147307b177 xmlns="997cc84b-6e99-4756-a7ce-d962a7f0e54c">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594de1fb-2f2e-49e8-a305-5172f7f325d0</TermId>
        </TermInfo>
      </Terms>
    </m975189f4ba442ecbf67d4147307b177>
    <Security_x0020_Classification xmlns="0063f72e-ace3-48fb-9c1f-5b513408b31f">OFFICIAL</Security_x0020_Classification>
    <TaxCatchAll xmlns="997cc84b-6e99-4756-a7ce-d962a7f0e54c">
      <Value>28</Value>
    </TaxCatchAll>
    <lcf76f155ced4ddcb4097134ff3c332f xmlns="bf26c455-5f84-4db9-bff7-9e96cfbe2054">
      <Terms xmlns="http://schemas.microsoft.com/office/infopath/2007/PartnerControls"/>
    </lcf76f155ced4ddcb4097134ff3c332f>
    <_dlc_DocId xmlns="997cc84b-6e99-4756-a7ce-d962a7f0e54c">CCFC6VVUVMVS-60871494-9367</_dlc_DocId>
    <_dlc_DocIdUrl xmlns="997cc84b-6e99-4756-a7ce-d962a7f0e54c">
      <Url>https://dbis.sharepoint.com/sites/OME/_layouts/15/DocIdRedir.aspx?ID=CCFC6VVUVMVS-60871494-9367</Url>
      <Description>CCFC6VVUVMVS-60871494-9367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48E9F2CFF2BAE438D90117B24AAA79A" ma:contentTypeVersion="11" ma:contentTypeDescription="Create a new document." ma:contentTypeScope="" ma:versionID="12d81a41c55f317866e16d720a9121bc">
  <xsd:schema xmlns:xsd="http://www.w3.org/2001/XMLSchema" xmlns:xs="http://www.w3.org/2001/XMLSchema" xmlns:p="http://schemas.microsoft.com/office/2006/metadata/properties" xmlns:ns2="997cc84b-6e99-4756-a7ce-d962a7f0e54c" xmlns:ns3="0063f72e-ace3-48fb-9c1f-5b513408b31f" xmlns:ns4="b413c3fd-5a3b-4239-b985-69032e371c04" xmlns:ns5="a8f60570-4bd3-4f2b-950b-a996de8ab151" xmlns:ns6="aaacb922-5235-4a66-b188-303b9b46fbd7" xmlns:ns7="bf26c455-5f84-4db9-bff7-9e96cfbe2054" targetNamespace="http://schemas.microsoft.com/office/2006/metadata/properties" ma:root="true" ma:fieldsID="527345a9bb595a472ffcebd345d0c1f1" ns2:_="" ns3:_="" ns4:_="" ns5:_="" ns6:_="" ns7:_="">
    <xsd:import namespace="997cc84b-6e99-4756-a7ce-d962a7f0e54c"/>
    <xsd:import namespace="0063f72e-ace3-48fb-9c1f-5b513408b31f"/>
    <xsd:import namespace="b413c3fd-5a3b-4239-b985-69032e371c04"/>
    <xsd:import namespace="a8f60570-4bd3-4f2b-950b-a996de8ab151"/>
    <xsd:import namespace="aaacb922-5235-4a66-b188-303b9b46fbd7"/>
    <xsd:import namespace="bf26c455-5f84-4db9-bff7-9e96cfbe2054"/>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SearchProperties" minOccurs="0"/>
                <xsd:element ref="ns7:MediaServiceObjectDetectorVersions" minOccurs="0"/>
                <xsd:element ref="ns7:lcf76f155ced4ddcb4097134ff3c332f" minOccurs="0"/>
                <xsd:element ref="ns7:MediaServiceDateTaken" minOccurs="0"/>
                <xsd:element ref="ns7:MediaServiceGenerationTime" minOccurs="0"/>
                <xsd:element ref="ns7:MediaServiceEventHashCode" minOccurs="0"/>
                <xsd:element ref="ns7:MediaServiceOCR" minOccurs="0"/>
                <xsd:element ref="ns7: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cc84b-6e99-4756-a7ce-d962a7f0e5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Competition, Markets and Regulatory Reform|4dbefa87-be5a-4e86-bcdf-e2344973ef5c"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ec91a5d1-e392-4a11-a847-41ae3917559e}" ma:internalName="TaxCatchAll" ma:showField="CatchAllData" ma:web="997cc84b-6e99-4756-a7ce-d962a7f0e54c">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ec91a5d1-e392-4a11-a847-41ae3917559e}" ma:internalName="TaxCatchAllLabel" ma:readOnly="true" ma:showField="CatchAllDataLabel" ma:web="997cc84b-6e99-4756-a7ce-d962a7f0e5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union memberTypes="dms:Text">
          <xsd:simpleType>
            <xsd:restriction base="dms:Choice">
              <xsd:enumeration value="OFFICIAL"/>
              <xsd:enumeration value="OFFICIAL - SENSITIVE"/>
              <xsd:enumeration value="Official"/>
              <xsd:enumeration value="Official - Sensitive"/>
            </xsd:restriction>
          </xsd:simpleType>
        </xsd:un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26c455-5f84-4db9-bff7-9e96cfbe2054"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73A8475-F882-4E3C-82E1-741D6C6F4A13}">
  <ds:schemaRefs>
    <ds:schemaRef ds:uri="http://schemas.microsoft.com/sharepoint/v3/contenttype/forms"/>
  </ds:schemaRefs>
</ds:datastoreItem>
</file>

<file path=customXml/itemProps2.xml><?xml version="1.0" encoding="utf-8"?>
<ds:datastoreItem xmlns:ds="http://schemas.openxmlformats.org/officeDocument/2006/customXml" ds:itemID="{ACF7D58F-6D62-4A6F-BDCF-4D8A30CC89A8}">
  <ds:schemaRefs>
    <ds:schemaRef ds:uri="http://schemas.openxmlformats.org/officeDocument/2006/bibliography"/>
  </ds:schemaRefs>
</ds:datastoreItem>
</file>

<file path=customXml/itemProps3.xml><?xml version="1.0" encoding="utf-8"?>
<ds:datastoreItem xmlns:ds="http://schemas.openxmlformats.org/officeDocument/2006/customXml" ds:itemID="{59DA63A4-3F99-4FAE-9E0A-A57DA68E2E70}">
  <ds:schemaRefs>
    <ds:schemaRef ds:uri="http://schemas.microsoft.com/office/2006/metadata/properties"/>
    <ds:schemaRef ds:uri="http://schemas.microsoft.com/office/infopath/2007/PartnerControls"/>
    <ds:schemaRef ds:uri="b413c3fd-5a3b-4239-b985-69032e371c04"/>
    <ds:schemaRef ds:uri="aaacb922-5235-4a66-b188-303b9b46fbd7"/>
    <ds:schemaRef ds:uri="a8f60570-4bd3-4f2b-950b-a996de8ab151"/>
    <ds:schemaRef ds:uri="0063f72e-ace3-48fb-9c1f-5b513408b31f"/>
    <ds:schemaRef ds:uri="997cc84b-6e99-4756-a7ce-d962a7f0e54c"/>
    <ds:schemaRef ds:uri="bf26c455-5f84-4db9-bff7-9e96cfbe2054"/>
  </ds:schemaRefs>
</ds:datastoreItem>
</file>

<file path=customXml/itemProps4.xml><?xml version="1.0" encoding="utf-8"?>
<ds:datastoreItem xmlns:ds="http://schemas.openxmlformats.org/officeDocument/2006/customXml" ds:itemID="{393B68E7-8A31-4E26-8B20-A97296A5E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cc84b-6e99-4756-a7ce-d962a7f0e54c"/>
    <ds:schemaRef ds:uri="0063f72e-ace3-48fb-9c1f-5b513408b31f"/>
    <ds:schemaRef ds:uri="b413c3fd-5a3b-4239-b985-69032e371c04"/>
    <ds:schemaRef ds:uri="a8f60570-4bd3-4f2b-950b-a996de8ab151"/>
    <ds:schemaRef ds:uri="aaacb922-5235-4a66-b188-303b9b46fbd7"/>
    <ds:schemaRef ds:uri="bf26c455-5f84-4db9-bff7-9e96cfbe2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A67DE8-166E-48A3-915F-AEBC877B334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6899</Words>
  <Characters>36704</Characters>
  <Application>Microsoft Office Word</Application>
  <DocSecurity>0</DocSecurity>
  <Lines>1468</Lines>
  <Paragraphs>622</Paragraphs>
  <ScaleCrop>false</ScaleCrop>
  <Company/>
  <LinksUpToDate>false</LinksUpToDate>
  <CharactersWithSpaces>42981</CharactersWithSpaces>
  <SharedDoc>false</SharedDoc>
  <HLinks>
    <vt:vector size="228" baseType="variant">
      <vt:variant>
        <vt:i4>1769534</vt:i4>
      </vt:variant>
      <vt:variant>
        <vt:i4>134</vt:i4>
      </vt:variant>
      <vt:variant>
        <vt:i4>0</vt:i4>
      </vt:variant>
      <vt:variant>
        <vt:i4>5</vt:i4>
      </vt:variant>
      <vt:variant>
        <vt:lpwstr/>
      </vt:variant>
      <vt:variant>
        <vt:lpwstr>_Toc188365126</vt:lpwstr>
      </vt:variant>
      <vt:variant>
        <vt:i4>1769534</vt:i4>
      </vt:variant>
      <vt:variant>
        <vt:i4>131</vt:i4>
      </vt:variant>
      <vt:variant>
        <vt:i4>0</vt:i4>
      </vt:variant>
      <vt:variant>
        <vt:i4>5</vt:i4>
      </vt:variant>
      <vt:variant>
        <vt:lpwstr/>
      </vt:variant>
      <vt:variant>
        <vt:lpwstr>_Toc188365125</vt:lpwstr>
      </vt:variant>
      <vt:variant>
        <vt:i4>1769534</vt:i4>
      </vt:variant>
      <vt:variant>
        <vt:i4>128</vt:i4>
      </vt:variant>
      <vt:variant>
        <vt:i4>0</vt:i4>
      </vt:variant>
      <vt:variant>
        <vt:i4>5</vt:i4>
      </vt:variant>
      <vt:variant>
        <vt:lpwstr/>
      </vt:variant>
      <vt:variant>
        <vt:lpwstr>_Toc188365124</vt:lpwstr>
      </vt:variant>
      <vt:variant>
        <vt:i4>1769534</vt:i4>
      </vt:variant>
      <vt:variant>
        <vt:i4>125</vt:i4>
      </vt:variant>
      <vt:variant>
        <vt:i4>0</vt:i4>
      </vt:variant>
      <vt:variant>
        <vt:i4>5</vt:i4>
      </vt:variant>
      <vt:variant>
        <vt:lpwstr/>
      </vt:variant>
      <vt:variant>
        <vt:lpwstr>_Toc188365123</vt:lpwstr>
      </vt:variant>
      <vt:variant>
        <vt:i4>1769534</vt:i4>
      </vt:variant>
      <vt:variant>
        <vt:i4>119</vt:i4>
      </vt:variant>
      <vt:variant>
        <vt:i4>0</vt:i4>
      </vt:variant>
      <vt:variant>
        <vt:i4>5</vt:i4>
      </vt:variant>
      <vt:variant>
        <vt:lpwstr/>
      </vt:variant>
      <vt:variant>
        <vt:lpwstr>_Toc188365122</vt:lpwstr>
      </vt:variant>
      <vt:variant>
        <vt:i4>1769534</vt:i4>
      </vt:variant>
      <vt:variant>
        <vt:i4>113</vt:i4>
      </vt:variant>
      <vt:variant>
        <vt:i4>0</vt:i4>
      </vt:variant>
      <vt:variant>
        <vt:i4>5</vt:i4>
      </vt:variant>
      <vt:variant>
        <vt:lpwstr/>
      </vt:variant>
      <vt:variant>
        <vt:lpwstr>_Toc188365120</vt:lpwstr>
      </vt:variant>
      <vt:variant>
        <vt:i4>1572926</vt:i4>
      </vt:variant>
      <vt:variant>
        <vt:i4>107</vt:i4>
      </vt:variant>
      <vt:variant>
        <vt:i4>0</vt:i4>
      </vt:variant>
      <vt:variant>
        <vt:i4>5</vt:i4>
      </vt:variant>
      <vt:variant>
        <vt:lpwstr/>
      </vt:variant>
      <vt:variant>
        <vt:lpwstr>_Toc188365119</vt:lpwstr>
      </vt:variant>
      <vt:variant>
        <vt:i4>1572926</vt:i4>
      </vt:variant>
      <vt:variant>
        <vt:i4>101</vt:i4>
      </vt:variant>
      <vt:variant>
        <vt:i4>0</vt:i4>
      </vt:variant>
      <vt:variant>
        <vt:i4>5</vt:i4>
      </vt:variant>
      <vt:variant>
        <vt:lpwstr/>
      </vt:variant>
      <vt:variant>
        <vt:lpwstr>_Toc188365118</vt:lpwstr>
      </vt:variant>
      <vt:variant>
        <vt:i4>1572926</vt:i4>
      </vt:variant>
      <vt:variant>
        <vt:i4>98</vt:i4>
      </vt:variant>
      <vt:variant>
        <vt:i4>0</vt:i4>
      </vt:variant>
      <vt:variant>
        <vt:i4>5</vt:i4>
      </vt:variant>
      <vt:variant>
        <vt:lpwstr/>
      </vt:variant>
      <vt:variant>
        <vt:lpwstr>_Toc188365117</vt:lpwstr>
      </vt:variant>
      <vt:variant>
        <vt:i4>1572926</vt:i4>
      </vt:variant>
      <vt:variant>
        <vt:i4>92</vt:i4>
      </vt:variant>
      <vt:variant>
        <vt:i4>0</vt:i4>
      </vt:variant>
      <vt:variant>
        <vt:i4>5</vt:i4>
      </vt:variant>
      <vt:variant>
        <vt:lpwstr/>
      </vt:variant>
      <vt:variant>
        <vt:lpwstr>_Toc188365116</vt:lpwstr>
      </vt:variant>
      <vt:variant>
        <vt:i4>1572926</vt:i4>
      </vt:variant>
      <vt:variant>
        <vt:i4>86</vt:i4>
      </vt:variant>
      <vt:variant>
        <vt:i4>0</vt:i4>
      </vt:variant>
      <vt:variant>
        <vt:i4>5</vt:i4>
      </vt:variant>
      <vt:variant>
        <vt:lpwstr/>
      </vt:variant>
      <vt:variant>
        <vt:lpwstr>_Toc188365115</vt:lpwstr>
      </vt:variant>
      <vt:variant>
        <vt:i4>1572926</vt:i4>
      </vt:variant>
      <vt:variant>
        <vt:i4>80</vt:i4>
      </vt:variant>
      <vt:variant>
        <vt:i4>0</vt:i4>
      </vt:variant>
      <vt:variant>
        <vt:i4>5</vt:i4>
      </vt:variant>
      <vt:variant>
        <vt:lpwstr/>
      </vt:variant>
      <vt:variant>
        <vt:lpwstr>_Toc188365114</vt:lpwstr>
      </vt:variant>
      <vt:variant>
        <vt:i4>1572926</vt:i4>
      </vt:variant>
      <vt:variant>
        <vt:i4>74</vt:i4>
      </vt:variant>
      <vt:variant>
        <vt:i4>0</vt:i4>
      </vt:variant>
      <vt:variant>
        <vt:i4>5</vt:i4>
      </vt:variant>
      <vt:variant>
        <vt:lpwstr/>
      </vt:variant>
      <vt:variant>
        <vt:lpwstr>_Toc188365113</vt:lpwstr>
      </vt:variant>
      <vt:variant>
        <vt:i4>1572926</vt:i4>
      </vt:variant>
      <vt:variant>
        <vt:i4>68</vt:i4>
      </vt:variant>
      <vt:variant>
        <vt:i4>0</vt:i4>
      </vt:variant>
      <vt:variant>
        <vt:i4>5</vt:i4>
      </vt:variant>
      <vt:variant>
        <vt:lpwstr/>
      </vt:variant>
      <vt:variant>
        <vt:lpwstr>_Toc188365112</vt:lpwstr>
      </vt:variant>
      <vt:variant>
        <vt:i4>1572926</vt:i4>
      </vt:variant>
      <vt:variant>
        <vt:i4>62</vt:i4>
      </vt:variant>
      <vt:variant>
        <vt:i4>0</vt:i4>
      </vt:variant>
      <vt:variant>
        <vt:i4>5</vt:i4>
      </vt:variant>
      <vt:variant>
        <vt:lpwstr/>
      </vt:variant>
      <vt:variant>
        <vt:lpwstr>_Toc188365111</vt:lpwstr>
      </vt:variant>
      <vt:variant>
        <vt:i4>1572926</vt:i4>
      </vt:variant>
      <vt:variant>
        <vt:i4>56</vt:i4>
      </vt:variant>
      <vt:variant>
        <vt:i4>0</vt:i4>
      </vt:variant>
      <vt:variant>
        <vt:i4>5</vt:i4>
      </vt:variant>
      <vt:variant>
        <vt:lpwstr/>
      </vt:variant>
      <vt:variant>
        <vt:lpwstr>_Toc188365110</vt:lpwstr>
      </vt:variant>
      <vt:variant>
        <vt:i4>1638462</vt:i4>
      </vt:variant>
      <vt:variant>
        <vt:i4>50</vt:i4>
      </vt:variant>
      <vt:variant>
        <vt:i4>0</vt:i4>
      </vt:variant>
      <vt:variant>
        <vt:i4>5</vt:i4>
      </vt:variant>
      <vt:variant>
        <vt:lpwstr/>
      </vt:variant>
      <vt:variant>
        <vt:lpwstr>_Toc188365109</vt:lpwstr>
      </vt:variant>
      <vt:variant>
        <vt:i4>1638462</vt:i4>
      </vt:variant>
      <vt:variant>
        <vt:i4>44</vt:i4>
      </vt:variant>
      <vt:variant>
        <vt:i4>0</vt:i4>
      </vt:variant>
      <vt:variant>
        <vt:i4>5</vt:i4>
      </vt:variant>
      <vt:variant>
        <vt:lpwstr/>
      </vt:variant>
      <vt:variant>
        <vt:lpwstr>_Toc188365108</vt:lpwstr>
      </vt:variant>
      <vt:variant>
        <vt:i4>1638462</vt:i4>
      </vt:variant>
      <vt:variant>
        <vt:i4>38</vt:i4>
      </vt:variant>
      <vt:variant>
        <vt:i4>0</vt:i4>
      </vt:variant>
      <vt:variant>
        <vt:i4>5</vt:i4>
      </vt:variant>
      <vt:variant>
        <vt:lpwstr/>
      </vt:variant>
      <vt:variant>
        <vt:lpwstr>_Toc188365107</vt:lpwstr>
      </vt:variant>
      <vt:variant>
        <vt:i4>1638462</vt:i4>
      </vt:variant>
      <vt:variant>
        <vt:i4>32</vt:i4>
      </vt:variant>
      <vt:variant>
        <vt:i4>0</vt:i4>
      </vt:variant>
      <vt:variant>
        <vt:i4>5</vt:i4>
      </vt:variant>
      <vt:variant>
        <vt:lpwstr/>
      </vt:variant>
      <vt:variant>
        <vt:lpwstr>_Toc188365106</vt:lpwstr>
      </vt:variant>
      <vt:variant>
        <vt:i4>1638462</vt:i4>
      </vt:variant>
      <vt:variant>
        <vt:i4>26</vt:i4>
      </vt:variant>
      <vt:variant>
        <vt:i4>0</vt:i4>
      </vt:variant>
      <vt:variant>
        <vt:i4>5</vt:i4>
      </vt:variant>
      <vt:variant>
        <vt:lpwstr/>
      </vt:variant>
      <vt:variant>
        <vt:lpwstr>_Toc188365105</vt:lpwstr>
      </vt:variant>
      <vt:variant>
        <vt:i4>1638462</vt:i4>
      </vt:variant>
      <vt:variant>
        <vt:i4>20</vt:i4>
      </vt:variant>
      <vt:variant>
        <vt:i4>0</vt:i4>
      </vt:variant>
      <vt:variant>
        <vt:i4>5</vt:i4>
      </vt:variant>
      <vt:variant>
        <vt:lpwstr/>
      </vt:variant>
      <vt:variant>
        <vt:lpwstr>_Toc188365104</vt:lpwstr>
      </vt:variant>
      <vt:variant>
        <vt:i4>1638462</vt:i4>
      </vt:variant>
      <vt:variant>
        <vt:i4>14</vt:i4>
      </vt:variant>
      <vt:variant>
        <vt:i4>0</vt:i4>
      </vt:variant>
      <vt:variant>
        <vt:i4>5</vt:i4>
      </vt:variant>
      <vt:variant>
        <vt:lpwstr/>
      </vt:variant>
      <vt:variant>
        <vt:lpwstr>_Toc188365103</vt:lpwstr>
      </vt:variant>
      <vt:variant>
        <vt:i4>4259863</vt:i4>
      </vt:variant>
      <vt:variant>
        <vt:i4>9</vt:i4>
      </vt:variant>
      <vt:variant>
        <vt:i4>0</vt:i4>
      </vt:variant>
      <vt:variant>
        <vt:i4>5</vt:i4>
      </vt:variant>
      <vt:variant>
        <vt:lpwstr>https://www.gov.uk/government/organisations/office-for-the-pay-review-bodies</vt:lpwstr>
      </vt:variant>
      <vt:variant>
        <vt:lpwstr/>
      </vt:variant>
      <vt:variant>
        <vt:i4>7143503</vt:i4>
      </vt:variant>
      <vt:variant>
        <vt:i4>6</vt:i4>
      </vt:variant>
      <vt:variant>
        <vt:i4>0</vt:i4>
      </vt:variant>
      <vt:variant>
        <vt:i4>5</vt:i4>
      </vt:variant>
      <vt:variant>
        <vt:lpwstr>mailto:OPRB.enquiries@businessandtrade.gov.uk</vt:lpwstr>
      </vt:variant>
      <vt:variant>
        <vt:lpwstr/>
      </vt:variant>
      <vt:variant>
        <vt:i4>3670022</vt:i4>
      </vt:variant>
      <vt:variant>
        <vt:i4>3</vt:i4>
      </vt:variant>
      <vt:variant>
        <vt:i4>0</vt:i4>
      </vt:variant>
      <vt:variant>
        <vt:i4>5</vt:i4>
      </vt:variant>
      <vt:variant>
        <vt:lpwstr>mailto:psi@nationalarchives.gsi.gov.uk</vt:lpwstr>
      </vt:variant>
      <vt:variant>
        <vt:lpwstr/>
      </vt:variant>
      <vt:variant>
        <vt:i4>2621545</vt:i4>
      </vt:variant>
      <vt:variant>
        <vt:i4>0</vt:i4>
      </vt:variant>
      <vt:variant>
        <vt:i4>0</vt:i4>
      </vt:variant>
      <vt:variant>
        <vt:i4>5</vt:i4>
      </vt:variant>
      <vt:variant>
        <vt:lpwstr>https://www.wired-gov.net/wg/news.nsf/articles/Pay+increase+for+medical+and+dental+staff+20072022101000</vt:lpwstr>
      </vt:variant>
      <vt:variant>
        <vt:lpwstr/>
      </vt:variant>
      <vt:variant>
        <vt:i4>6684728</vt:i4>
      </vt:variant>
      <vt:variant>
        <vt:i4>30</vt:i4>
      </vt:variant>
      <vt:variant>
        <vt:i4>0</vt:i4>
      </vt:variant>
      <vt:variant>
        <vt:i4>5</vt:i4>
      </vt:variant>
      <vt:variant>
        <vt:lpwstr>https://questions-statements.parliament.uk/written-statements/detail/2025-05-22/hcws664</vt:lpwstr>
      </vt:variant>
      <vt:variant>
        <vt:lpwstr/>
      </vt:variant>
      <vt:variant>
        <vt:i4>6946871</vt:i4>
      </vt:variant>
      <vt:variant>
        <vt:i4>27</vt:i4>
      </vt:variant>
      <vt:variant>
        <vt:i4>0</vt:i4>
      </vt:variant>
      <vt:variant>
        <vt:i4>5</vt:i4>
      </vt:variant>
      <vt:variant>
        <vt:lpwstr>https://questions-statements.parliament.uk/written-statements/detail/2024-07-29/hcws38</vt:lpwstr>
      </vt:variant>
      <vt:variant>
        <vt:lpwstr/>
      </vt:variant>
      <vt:variant>
        <vt:i4>1441823</vt:i4>
      </vt:variant>
      <vt:variant>
        <vt:i4>24</vt:i4>
      </vt:variant>
      <vt:variant>
        <vt:i4>0</vt:i4>
      </vt:variant>
      <vt:variant>
        <vt:i4>5</vt:i4>
      </vt:variant>
      <vt:variant>
        <vt:lpwstr>https://www.gov.uk/government/publications/police-remuneration-review-body-report-2025-england-and-wales</vt:lpwstr>
      </vt:variant>
      <vt:variant>
        <vt:lpwstr/>
      </vt:variant>
      <vt:variant>
        <vt:i4>3211367</vt:i4>
      </vt:variant>
      <vt:variant>
        <vt:i4>21</vt:i4>
      </vt:variant>
      <vt:variant>
        <vt:i4>0</vt:i4>
      </vt:variant>
      <vt:variant>
        <vt:i4>5</vt:i4>
      </vt:variant>
      <vt:variant>
        <vt:lpwstr>https://www.gov.uk/government/news/nhs-workers-awarded-real-terms-pay-rises-for-second-year-in-row</vt:lpwstr>
      </vt:variant>
      <vt:variant>
        <vt:lpwstr/>
      </vt:variant>
      <vt:variant>
        <vt:i4>327770</vt:i4>
      </vt:variant>
      <vt:variant>
        <vt:i4>18</vt:i4>
      </vt:variant>
      <vt:variant>
        <vt:i4>0</vt:i4>
      </vt:variant>
      <vt:variant>
        <vt:i4>5</vt:i4>
      </vt:variant>
      <vt:variant>
        <vt:lpwstr>https://www.gov.wales/written-statement-public-sector-pay-response-pay-review-bodies-recommendations-2024-25</vt:lpwstr>
      </vt:variant>
      <vt:variant>
        <vt:lpwstr/>
      </vt:variant>
      <vt:variant>
        <vt:i4>6225991</vt:i4>
      </vt:variant>
      <vt:variant>
        <vt:i4>15</vt:i4>
      </vt:variant>
      <vt:variant>
        <vt:i4>0</vt:i4>
      </vt:variant>
      <vt:variant>
        <vt:i4>5</vt:i4>
      </vt:variant>
      <vt:variant>
        <vt:lpwstr>https://www.gov.uk/government/publications/national-crime-agency-remuneration-review-body-report-2025</vt:lpwstr>
      </vt:variant>
      <vt:variant>
        <vt:lpwstr/>
      </vt:variant>
      <vt:variant>
        <vt:i4>65551</vt:i4>
      </vt:variant>
      <vt:variant>
        <vt:i4>12</vt:i4>
      </vt:variant>
      <vt:variant>
        <vt:i4>0</vt:i4>
      </vt:variant>
      <vt:variant>
        <vt:i4>5</vt:i4>
      </vt:variant>
      <vt:variant>
        <vt:lpwstr>https://www.niassembly.gov.uk/globalassets/documents/official-reports/written-ministerial-statements/2022---2027/bv177_doh_280525.pdf</vt:lpwstr>
      </vt:variant>
      <vt:variant>
        <vt:lpwstr/>
      </vt:variant>
      <vt:variant>
        <vt:i4>4784214</vt:i4>
      </vt:variant>
      <vt:variant>
        <vt:i4>9</vt:i4>
      </vt:variant>
      <vt:variant>
        <vt:i4>0</vt:i4>
      </vt:variant>
      <vt:variant>
        <vt:i4>5</vt:i4>
      </vt:variant>
      <vt:variant>
        <vt:lpwstr>https://www.gov.wales/written-statement-responding-38th-nhs-pay-review-body-and-53rd-doctors-and-dentists-review-body</vt:lpwstr>
      </vt:variant>
      <vt:variant>
        <vt:lpwstr/>
      </vt:variant>
      <vt:variant>
        <vt:i4>6684728</vt:i4>
      </vt:variant>
      <vt:variant>
        <vt:i4>6</vt:i4>
      </vt:variant>
      <vt:variant>
        <vt:i4>0</vt:i4>
      </vt:variant>
      <vt:variant>
        <vt:i4>5</vt:i4>
      </vt:variant>
      <vt:variant>
        <vt:lpwstr>https://questions-statements.parliament.uk/written-statements/detail/2025-05-22/hcws663</vt:lpwstr>
      </vt:variant>
      <vt:variant>
        <vt:lpwstr/>
      </vt:variant>
      <vt:variant>
        <vt:i4>6684728</vt:i4>
      </vt:variant>
      <vt:variant>
        <vt:i4>3</vt:i4>
      </vt:variant>
      <vt:variant>
        <vt:i4>0</vt:i4>
      </vt:variant>
      <vt:variant>
        <vt:i4>5</vt:i4>
      </vt:variant>
      <vt:variant>
        <vt:lpwstr>https://questions-statements.parliament.uk/written-statements/detail/2025-05-22/hcws661</vt:lpwstr>
      </vt:variant>
      <vt:variant>
        <vt:lpwstr/>
      </vt:variant>
      <vt:variant>
        <vt:i4>655383</vt:i4>
      </vt:variant>
      <vt:variant>
        <vt:i4>0</vt:i4>
      </vt:variant>
      <vt:variant>
        <vt:i4>0</vt:i4>
      </vt:variant>
      <vt:variant>
        <vt:i4>5</vt:i4>
      </vt:variant>
      <vt:variant>
        <vt:lpwstr>https://www.gov.uk/government/publications/armed-forces-pay-review-body-fifty-fourth-report-2025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Serena (BEIS)</dc:creator>
  <cp:keywords/>
  <dc:description/>
  <cp:lastModifiedBy>Rashmi PANIGRAHI (DBT)</cp:lastModifiedBy>
  <cp:revision>3</cp:revision>
  <cp:lastPrinted>2020-08-28T06:01:00Z</cp:lastPrinted>
  <dcterms:created xsi:type="dcterms:W3CDTF">2025-11-27T12:07:00Z</dcterms:created>
  <dcterms:modified xsi:type="dcterms:W3CDTF">2025-11-27T12:08:00Z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0x010100148E9F2CFF2BAE438D90117B24AAA79A</vt:lpwstr>
  </property>
  <property fmtid="{D5CDD505-2E9C-101B-9397-08002B2CF9AE}" pid="3" name="Business Unit">
    <vt:lpwstr>28;#BEIS|594de1fb-2f2e-49e8-a305-5172f7f325d0</vt:lpwstr>
  </property>
  <property fmtid="{D5CDD505-2E9C-101B-9397-08002B2CF9AE}" pid="4" name="MSIP_Label_ba62f585-b40f-4ab9-bafe-39150f03d124_Enabled">
    <vt:lpwstr>true</vt:lpwstr>
  </property>
  <property fmtid="{D5CDD505-2E9C-101B-9397-08002B2CF9AE}" pid="5" name="MSIP_Label_ba62f585-b40f-4ab9-bafe-39150f03d124_SetDate">
    <vt:lpwstr>2020-07-28T10:07:03Z</vt:lpwstr>
  </property>
  <property fmtid="{D5CDD505-2E9C-101B-9397-08002B2CF9AE}" pid="6" name="MSIP_Label_ba62f585-b40f-4ab9-bafe-39150f03d124_Method">
    <vt:lpwstr>Standard</vt:lpwstr>
  </property>
  <property fmtid="{D5CDD505-2E9C-101B-9397-08002B2CF9AE}" pid="7" name="MSIP_Label_ba62f585-b40f-4ab9-bafe-39150f03d124_Name">
    <vt:lpwstr>OFFICIAL</vt:lpwstr>
  </property>
  <property fmtid="{D5CDD505-2E9C-101B-9397-08002B2CF9AE}" pid="8" name="MSIP_Label_ba62f585-b40f-4ab9-bafe-39150f03d124_SiteId">
    <vt:lpwstr>cbac7005-02c1-43eb-b497-e6492d1b2dd8</vt:lpwstr>
  </property>
  <property fmtid="{D5CDD505-2E9C-101B-9397-08002B2CF9AE}" pid="9" name="MSIP_Label_ba62f585-b40f-4ab9-bafe-39150f03d124_ActionId">
    <vt:lpwstr>5fdab3b4-fe81-434b-940c-0000b48ecca2</vt:lpwstr>
  </property>
  <property fmtid="{D5CDD505-2E9C-101B-9397-08002B2CF9AE}" pid="10" name="MSIP_Label_ba62f585-b40f-4ab9-bafe-39150f03d124_ContentBits">
    <vt:lpwstr>0</vt:lpwstr>
  </property>
  <property fmtid="{D5CDD505-2E9C-101B-9397-08002B2CF9AE}" pid="11" name="MediaServiceImageTags">
    <vt:lpwstr/>
  </property>
  <property fmtid="{D5CDD505-2E9C-101B-9397-08002B2CF9AE}" pid="12" name="MSIP_Label_c1c05e37-788c-4c59-b50e-5c98323c0a70_Enabled">
    <vt:lpwstr>true</vt:lpwstr>
  </property>
  <property fmtid="{D5CDD505-2E9C-101B-9397-08002B2CF9AE}" pid="13" name="MSIP_Label_c1c05e37-788c-4c59-b50e-5c98323c0a70_SetDate">
    <vt:lpwstr>2023-10-27T15:48:47Z</vt:lpwstr>
  </property>
  <property fmtid="{D5CDD505-2E9C-101B-9397-08002B2CF9AE}" pid="14" name="MSIP_Label_c1c05e37-788c-4c59-b50e-5c98323c0a70_Method">
    <vt:lpwstr>Standard</vt:lpwstr>
  </property>
  <property fmtid="{D5CDD505-2E9C-101B-9397-08002B2CF9AE}" pid="15" name="MSIP_Label_c1c05e37-788c-4c59-b50e-5c98323c0a70_Name">
    <vt:lpwstr>OFFICIAL</vt:lpwstr>
  </property>
  <property fmtid="{D5CDD505-2E9C-101B-9397-08002B2CF9AE}" pid="16" name="MSIP_Label_c1c05e37-788c-4c59-b50e-5c98323c0a70_SiteId">
    <vt:lpwstr>8fa217ec-33aa-46fb-ad96-dfe68006bb86</vt:lpwstr>
  </property>
  <property fmtid="{D5CDD505-2E9C-101B-9397-08002B2CF9AE}" pid="17" name="MSIP_Label_c1c05e37-788c-4c59-b50e-5c98323c0a70_ActionId">
    <vt:lpwstr>ebc658d4-4ef6-47ea-8868-0c5882b1dddc</vt:lpwstr>
  </property>
  <property fmtid="{D5CDD505-2E9C-101B-9397-08002B2CF9AE}" pid="18" name="MSIP_Label_c1c05e37-788c-4c59-b50e-5c98323c0a70_ContentBits">
    <vt:lpwstr>0</vt:lpwstr>
  </property>
  <property fmtid="{D5CDD505-2E9C-101B-9397-08002B2CF9AE}" pid="19" name="LegacyDescriptor">
    <vt:lpwstr/>
  </property>
  <property fmtid="{D5CDD505-2E9C-101B-9397-08002B2CF9AE}" pid="20" name="LegacyNumericClass">
    <vt:lpwstr/>
  </property>
  <property fmtid="{D5CDD505-2E9C-101B-9397-08002B2CF9AE}" pid="21" name="MailIn-Reply-To">
    <vt:lpwstr/>
  </property>
  <property fmtid="{D5CDD505-2E9C-101B-9397-08002B2CF9AE}" pid="22" name="LegacyProtectiveMarking">
    <vt:lpwstr/>
  </property>
  <property fmtid="{D5CDD505-2E9C-101B-9397-08002B2CF9AE}" pid="23" name="LegacyReferencesToOtherItems">
    <vt:lpwstr/>
  </property>
  <property fmtid="{D5CDD505-2E9C-101B-9397-08002B2CF9AE}" pid="24" name="Document_0x0020_Notes">
    <vt:lpwstr/>
  </property>
  <property fmtid="{D5CDD505-2E9C-101B-9397-08002B2CF9AE}" pid="25" name="MailTo">
    <vt:lpwstr/>
  </property>
  <property fmtid="{D5CDD505-2E9C-101B-9397-08002B2CF9AE}" pid="26" name="MailFrom">
    <vt:lpwstr/>
  </property>
  <property fmtid="{D5CDD505-2E9C-101B-9397-08002B2CF9AE}" pid="27" name="LegacyMP">
    <vt:lpwstr/>
  </property>
  <property fmtid="{D5CDD505-2E9C-101B-9397-08002B2CF9AE}" pid="28" name="LegacyAddresses">
    <vt:lpwstr/>
  </property>
  <property fmtid="{D5CDD505-2E9C-101B-9397-08002B2CF9AE}" pid="29" name="MailOriginalSubject">
    <vt:lpwstr/>
  </property>
  <property fmtid="{D5CDD505-2E9C-101B-9397-08002B2CF9AE}" pid="30" name="CIRRUSPreviousID">
    <vt:lpwstr/>
  </property>
  <property fmtid="{D5CDD505-2E9C-101B-9397-08002B2CF9AE}" pid="31" name="CIRRUSPreviousRetentionPolicy">
    <vt:lpwstr/>
  </property>
  <property fmtid="{D5CDD505-2E9C-101B-9397-08002B2CF9AE}" pid="32" name="LegacyCurrentLocation">
    <vt:lpwstr/>
  </property>
  <property fmtid="{D5CDD505-2E9C-101B-9397-08002B2CF9AE}" pid="33" name="_ExtendedDescription">
    <vt:lpwstr/>
  </property>
  <property fmtid="{D5CDD505-2E9C-101B-9397-08002B2CF9AE}" pid="34" name="LegacyRecordCategoryIdentifier">
    <vt:lpwstr/>
  </property>
  <property fmtid="{D5CDD505-2E9C-101B-9397-08002B2CF9AE}" pid="35" name="LegacyMinister">
    <vt:lpwstr/>
  </property>
  <property fmtid="{D5CDD505-2E9C-101B-9397-08002B2CF9AE}" pid="36" name="National Caveat">
    <vt:lpwstr/>
  </property>
  <property fmtid="{D5CDD505-2E9C-101B-9397-08002B2CF9AE}" pid="37" name="LegacyModifier">
    <vt:lpwstr/>
  </property>
  <property fmtid="{D5CDD505-2E9C-101B-9397-08002B2CF9AE}" pid="38" name="MailCc">
    <vt:lpwstr/>
  </property>
  <property fmtid="{D5CDD505-2E9C-101B-9397-08002B2CF9AE}" pid="39" name="LegacyStatusonTransfer">
    <vt:lpwstr/>
  </property>
  <property fmtid="{D5CDD505-2E9C-101B-9397-08002B2CF9AE}" pid="40" name="LegacyFolder">
    <vt:lpwstr/>
  </property>
  <property fmtid="{D5CDD505-2E9C-101B-9397-08002B2CF9AE}" pid="41" name="LegacyTags">
    <vt:lpwstr/>
  </property>
  <property fmtid="{D5CDD505-2E9C-101B-9397-08002B2CF9AE}" pid="42" name="Handling Instructions">
    <vt:lpwstr/>
  </property>
  <property fmtid="{D5CDD505-2E9C-101B-9397-08002B2CF9AE}" pid="43" name="LegacyAddressee">
    <vt:lpwstr/>
  </property>
  <property fmtid="{D5CDD505-2E9C-101B-9397-08002B2CF9AE}" pid="44" name="CIRRUSPreviousLocation">
    <vt:lpwstr/>
  </property>
  <property fmtid="{D5CDD505-2E9C-101B-9397-08002B2CF9AE}" pid="45" name="LegacyCaseReferenceNumber">
    <vt:lpwstr/>
  </property>
  <property fmtid="{D5CDD505-2E9C-101B-9397-08002B2CF9AE}" pid="46" name="LegacyRecordFolderIdentifier">
    <vt:lpwstr/>
  </property>
  <property fmtid="{D5CDD505-2E9C-101B-9397-08002B2CF9AE}" pid="47" name="LegacyContentType">
    <vt:lpwstr/>
  </property>
  <property fmtid="{D5CDD505-2E9C-101B-9397-08002B2CF9AE}" pid="48" name="LegacyFolderLink">
    <vt:lpwstr/>
  </property>
  <property fmtid="{D5CDD505-2E9C-101B-9397-08002B2CF9AE}" pid="49" name="LegacyCopyright">
    <vt:lpwstr/>
  </property>
  <property fmtid="{D5CDD505-2E9C-101B-9397-08002B2CF9AE}" pid="50" name="MailReferences">
    <vt:lpwstr/>
  </property>
  <property fmtid="{D5CDD505-2E9C-101B-9397-08002B2CF9AE}" pid="51" name="LegacyFolderType">
    <vt:lpwstr/>
  </property>
  <property fmtid="{D5CDD505-2E9C-101B-9397-08002B2CF9AE}" pid="52" name="LegacyHomeLocation">
    <vt:lpwstr/>
  </property>
  <property fmtid="{D5CDD505-2E9C-101B-9397-08002B2CF9AE}" pid="53" name="LegacyFileplanTarget">
    <vt:lpwstr/>
  </property>
  <property fmtid="{D5CDD505-2E9C-101B-9397-08002B2CF9AE}" pid="54" name="LegacyReferencesFromOtherItems">
    <vt:lpwstr/>
  </property>
  <property fmtid="{D5CDD505-2E9C-101B-9397-08002B2CF9AE}" pid="55" name="LegacyCustodian">
    <vt:lpwstr/>
  </property>
  <property fmtid="{D5CDD505-2E9C-101B-9397-08002B2CF9AE}" pid="56" name="LegacyPhysicalFormat">
    <vt:bool>false</vt:bool>
  </property>
  <property fmtid="{D5CDD505-2E9C-101B-9397-08002B2CF9AE}" pid="57" name="LegacySubject">
    <vt:lpwstr/>
  </property>
  <property fmtid="{D5CDD505-2E9C-101B-9397-08002B2CF9AE}" pid="58" name="MailReply-To">
    <vt:lpwstr/>
  </property>
  <property fmtid="{D5CDD505-2E9C-101B-9397-08002B2CF9AE}" pid="59" name="LegacyPhysicalItemLocation">
    <vt:lpwstr/>
  </property>
  <property fmtid="{D5CDD505-2E9C-101B-9397-08002B2CF9AE}" pid="60" name="LegacyOriginator">
    <vt:lpwstr/>
  </property>
  <property fmtid="{D5CDD505-2E9C-101B-9397-08002B2CF9AE}" pid="61" name="LegacyAdditionalAuthors">
    <vt:lpwstr/>
  </property>
  <property fmtid="{D5CDD505-2E9C-101B-9397-08002B2CF9AE}" pid="62" name="MailSubject">
    <vt:lpwstr/>
  </property>
  <property fmtid="{D5CDD505-2E9C-101B-9397-08002B2CF9AE}" pid="63" name="LegacyDocumentLink">
    <vt:lpwstr/>
  </property>
  <property fmtid="{D5CDD505-2E9C-101B-9397-08002B2CF9AE}" pid="64" name="LegacyDocumentType">
    <vt:lpwstr/>
  </property>
  <property fmtid="{D5CDD505-2E9C-101B-9397-08002B2CF9AE}" pid="65" name="LegacyFolderNotes">
    <vt:lpwstr/>
  </property>
  <property fmtid="{D5CDD505-2E9C-101B-9397-08002B2CF9AE}" pid="66" name="LegacyRequestType">
    <vt:lpwstr/>
  </property>
  <property fmtid="{D5CDD505-2E9C-101B-9397-08002B2CF9AE}" pid="67" name="MailPreviewData">
    <vt:lpwstr/>
  </property>
  <property fmtid="{D5CDD505-2E9C-101B-9397-08002B2CF9AE}" pid="68" name="MailAttachments">
    <vt:bool>false</vt:bool>
  </property>
  <property fmtid="{D5CDD505-2E9C-101B-9397-08002B2CF9AE}" pid="69" name="Business_x0020_Unit">
    <vt:lpwstr>28;#BEIS|594de1fb-2f2e-49e8-a305-5172f7f325d0</vt:lpwstr>
  </property>
  <property fmtid="{D5CDD505-2E9C-101B-9397-08002B2CF9AE}" pid="70" name="_dlc_DocIdItemGuid">
    <vt:lpwstr>57884cc7-ea28-41e7-a3f2-d7854dd3ede5</vt:lpwstr>
  </property>
  <property fmtid="{D5CDD505-2E9C-101B-9397-08002B2CF9AE}" pid="71" name="docLang">
    <vt:lpwstr>en</vt:lpwstr>
  </property>
</Properties>
</file>