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364" w:type="dxa"/>
        <w:tblLook w:val="01E0" w:firstRow="1" w:lastRow="1" w:firstColumn="1" w:lastColumn="1" w:noHBand="0" w:noVBand="0"/>
      </w:tblPr>
      <w:tblGrid>
        <w:gridCol w:w="2692"/>
        <w:gridCol w:w="463"/>
        <w:gridCol w:w="5209"/>
      </w:tblGrid>
      <w:tr w:rsidR="00724F05" w:rsidRPr="007F1C70" w14:paraId="10042309" w14:textId="77777777" w:rsidTr="254B5CD4">
        <w:trPr>
          <w:trHeight w:val="1008"/>
        </w:trPr>
        <w:tc>
          <w:tcPr>
            <w:tcW w:w="2692" w:type="dxa"/>
            <w:vAlign w:val="center"/>
          </w:tcPr>
          <w:p w14:paraId="41CD49F9" w14:textId="0963F8AB" w:rsidR="00724F05" w:rsidRPr="007F1C70" w:rsidRDefault="00A461BF" w:rsidP="007F1C70">
            <w:pPr>
              <w:tabs>
                <w:tab w:val="left" w:pos="2880"/>
              </w:tabs>
              <w:spacing w:before="240" w:after="240"/>
              <w:rPr>
                <w:rFonts w:ascii="Georgia" w:hAnsi="Georgia" w:cs="Arial"/>
                <w:b/>
                <w:bCs/>
              </w:rPr>
            </w:pPr>
            <w:r>
              <w:rPr>
                <w:noProof/>
              </w:rPr>
              <w:drawing>
                <wp:inline distT="0" distB="0" distL="0" distR="0" wp14:anchorId="5B47697F" wp14:editId="5C1C19B8">
                  <wp:extent cx="966923" cy="929819"/>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966923" cy="929819"/>
                          </a:xfrm>
                          <a:prstGeom prst="rect">
                            <a:avLst/>
                          </a:prstGeom>
                          <a:noFill/>
                          <a:ln>
                            <a:noFill/>
                          </a:ln>
                        </pic:spPr>
                      </pic:pic>
                    </a:graphicData>
                  </a:graphic>
                </wp:inline>
              </w:drawing>
            </w:r>
          </w:p>
        </w:tc>
        <w:tc>
          <w:tcPr>
            <w:tcW w:w="463" w:type="dxa"/>
            <w:vAlign w:val="center"/>
          </w:tcPr>
          <w:p w14:paraId="7B9B9BBD" w14:textId="77777777" w:rsidR="00724F05" w:rsidRPr="007F1C70" w:rsidRDefault="00724F05" w:rsidP="007F1C70">
            <w:pPr>
              <w:tabs>
                <w:tab w:val="left" w:pos="2880"/>
              </w:tabs>
              <w:spacing w:before="240" w:after="240"/>
              <w:rPr>
                <w:rFonts w:ascii="Georgia" w:hAnsi="Georgia" w:cs="Arial"/>
                <w:b/>
                <w:bCs/>
              </w:rPr>
            </w:pPr>
          </w:p>
        </w:tc>
        <w:tc>
          <w:tcPr>
            <w:tcW w:w="5209" w:type="dxa"/>
            <w:vAlign w:val="center"/>
          </w:tcPr>
          <w:p w14:paraId="1BB28A0A" w14:textId="77777777" w:rsidR="00724F05" w:rsidRPr="007F1C70" w:rsidRDefault="00724F05" w:rsidP="007F1C70">
            <w:pPr>
              <w:pStyle w:val="Title"/>
              <w:ind w:left="3600" w:hanging="3600"/>
              <w:jc w:val="left"/>
              <w:rPr>
                <w:rFonts w:ascii="Georgia" w:hAnsi="Georgia"/>
              </w:rPr>
            </w:pPr>
            <w:r w:rsidRPr="007F1C70">
              <w:rPr>
                <w:rFonts w:ascii="Georgia" w:hAnsi="Georgia"/>
                <w:sz w:val="24"/>
              </w:rPr>
              <w:t>FIRST-TIER TRIBUNAL</w:t>
            </w:r>
          </w:p>
          <w:p w14:paraId="2FA0430F" w14:textId="77777777" w:rsidR="0050502C" w:rsidRDefault="00724F05" w:rsidP="007F1C70">
            <w:pPr>
              <w:tabs>
                <w:tab w:val="left" w:pos="2880"/>
              </w:tabs>
              <w:rPr>
                <w:rFonts w:ascii="Georgia" w:hAnsi="Georgia"/>
                <w:b/>
              </w:rPr>
            </w:pPr>
            <w:r w:rsidRPr="007F1C70">
              <w:rPr>
                <w:rFonts w:ascii="Georgia" w:hAnsi="Georgia"/>
                <w:b/>
              </w:rPr>
              <w:t xml:space="preserve">PROPERTY CHAMBER </w:t>
            </w:r>
          </w:p>
          <w:p w14:paraId="2B665629" w14:textId="13DD660A" w:rsidR="00724F05" w:rsidRPr="007F1C70" w:rsidRDefault="00724F05" w:rsidP="007F1C70">
            <w:pPr>
              <w:tabs>
                <w:tab w:val="left" w:pos="2880"/>
              </w:tabs>
              <w:rPr>
                <w:rFonts w:ascii="Georgia" w:hAnsi="Georgia" w:cs="Arial"/>
                <w:b/>
                <w:bCs/>
              </w:rPr>
            </w:pPr>
            <w:r w:rsidRPr="007F1C70">
              <w:rPr>
                <w:rFonts w:ascii="Georgia" w:hAnsi="Georgia"/>
                <w:b/>
              </w:rPr>
              <w:t>(RESIDENTIAL PROPERTY)</w:t>
            </w:r>
          </w:p>
        </w:tc>
      </w:tr>
      <w:tr w:rsidR="00724F05" w:rsidRPr="007F1C70" w14:paraId="1C38F89F" w14:textId="77777777" w:rsidTr="254B5CD4">
        <w:tc>
          <w:tcPr>
            <w:tcW w:w="2692" w:type="dxa"/>
            <w:vAlign w:val="center"/>
          </w:tcPr>
          <w:p w14:paraId="09C0D655" w14:textId="77777777" w:rsidR="00724F05" w:rsidRPr="007F1C70" w:rsidRDefault="00724F05" w:rsidP="007F1C70">
            <w:pPr>
              <w:tabs>
                <w:tab w:val="left" w:pos="2880"/>
              </w:tabs>
              <w:rPr>
                <w:rFonts w:ascii="Georgia" w:hAnsi="Georgia" w:cs="Arial"/>
                <w:b/>
                <w:bCs/>
              </w:rPr>
            </w:pPr>
            <w:r w:rsidRPr="007F1C70">
              <w:rPr>
                <w:rFonts w:ascii="Georgia" w:hAnsi="Georgia" w:cs="Arial"/>
                <w:b/>
                <w:bCs/>
              </w:rPr>
              <w:t xml:space="preserve">Case </w:t>
            </w:r>
            <w:r w:rsidR="00DE413A" w:rsidRPr="007F1C70">
              <w:rPr>
                <w:rFonts w:ascii="Georgia" w:hAnsi="Georgia" w:cs="Arial"/>
                <w:b/>
                <w:bCs/>
              </w:rPr>
              <w:t>r</w:t>
            </w:r>
            <w:r w:rsidRPr="007F1C70">
              <w:rPr>
                <w:rFonts w:ascii="Georgia" w:hAnsi="Georgia" w:cs="Arial"/>
                <w:b/>
                <w:bCs/>
              </w:rPr>
              <w:t>eference</w:t>
            </w:r>
          </w:p>
        </w:tc>
        <w:tc>
          <w:tcPr>
            <w:tcW w:w="463" w:type="dxa"/>
            <w:vAlign w:val="center"/>
          </w:tcPr>
          <w:p w14:paraId="45EB27FC" w14:textId="77777777" w:rsidR="00724F05" w:rsidRPr="007F1C70" w:rsidRDefault="00724F05" w:rsidP="007F1C70">
            <w:pPr>
              <w:tabs>
                <w:tab w:val="left" w:pos="2880"/>
              </w:tabs>
              <w:spacing w:before="240" w:after="240"/>
              <w:rPr>
                <w:rFonts w:ascii="Georgia" w:hAnsi="Georgia" w:cs="Arial"/>
                <w:b/>
                <w:bCs/>
              </w:rPr>
            </w:pPr>
            <w:r w:rsidRPr="007F1C70">
              <w:rPr>
                <w:rFonts w:ascii="Georgia" w:hAnsi="Georgia" w:cs="Arial"/>
                <w:b/>
                <w:bCs/>
              </w:rPr>
              <w:t>:</w:t>
            </w:r>
          </w:p>
        </w:tc>
        <w:tc>
          <w:tcPr>
            <w:tcW w:w="5209" w:type="dxa"/>
            <w:vAlign w:val="center"/>
          </w:tcPr>
          <w:p w14:paraId="14C5842C" w14:textId="77777777" w:rsidR="00724F05" w:rsidRDefault="00FD2434" w:rsidP="76040189">
            <w:pPr>
              <w:tabs>
                <w:tab w:val="left" w:pos="2880"/>
              </w:tabs>
              <w:rPr>
                <w:rFonts w:ascii="Georgia" w:eastAsia="Georgia" w:hAnsi="Georgia" w:cs="Georgia"/>
                <w:b/>
                <w:bCs/>
              </w:rPr>
            </w:pPr>
            <w:r>
              <w:rPr>
                <w:rFonts w:ascii="Georgia" w:eastAsia="Georgia" w:hAnsi="Georgia" w:cs="Georgia"/>
                <w:b/>
                <w:bCs/>
              </w:rPr>
              <w:t>CAM/00JA/</w:t>
            </w:r>
            <w:r w:rsidR="00634EE4">
              <w:rPr>
                <w:rFonts w:ascii="Georgia" w:eastAsia="Georgia" w:hAnsi="Georgia" w:cs="Georgia"/>
                <w:b/>
                <w:bCs/>
              </w:rPr>
              <w:t>HMF/2024/0600</w:t>
            </w:r>
          </w:p>
          <w:p w14:paraId="6969D5B9" w14:textId="471F7474" w:rsidR="00634EE4" w:rsidRPr="007F1C70" w:rsidRDefault="00634EE4" w:rsidP="76040189">
            <w:pPr>
              <w:tabs>
                <w:tab w:val="left" w:pos="2880"/>
              </w:tabs>
              <w:rPr>
                <w:rFonts w:ascii="Georgia" w:eastAsia="Georgia" w:hAnsi="Georgia" w:cs="Georgia"/>
                <w:b/>
                <w:bCs/>
              </w:rPr>
            </w:pPr>
            <w:r>
              <w:rPr>
                <w:rFonts w:ascii="Georgia" w:eastAsia="Georgia" w:hAnsi="Georgia" w:cs="Georgia"/>
                <w:b/>
                <w:bCs/>
              </w:rPr>
              <w:t>CAM/00JA/HMF/2024/0601</w:t>
            </w:r>
          </w:p>
        </w:tc>
      </w:tr>
      <w:tr w:rsidR="00724F05" w:rsidRPr="007F1C70" w14:paraId="50D7B201" w14:textId="77777777" w:rsidTr="254B5CD4">
        <w:tc>
          <w:tcPr>
            <w:tcW w:w="2692" w:type="dxa"/>
            <w:vAlign w:val="center"/>
          </w:tcPr>
          <w:p w14:paraId="50A69A24" w14:textId="77777777" w:rsidR="00724F05" w:rsidRPr="007F1C70" w:rsidRDefault="00724F05" w:rsidP="007F1C70">
            <w:pPr>
              <w:tabs>
                <w:tab w:val="left" w:pos="2880"/>
              </w:tabs>
              <w:rPr>
                <w:rFonts w:ascii="Georgia" w:hAnsi="Georgia" w:cs="Arial"/>
                <w:b/>
                <w:bCs/>
              </w:rPr>
            </w:pPr>
            <w:r w:rsidRPr="007F1C70">
              <w:rPr>
                <w:rFonts w:ascii="Georgia" w:hAnsi="Georgia" w:cs="Arial"/>
                <w:b/>
                <w:bCs/>
              </w:rPr>
              <w:t>Property</w:t>
            </w:r>
          </w:p>
        </w:tc>
        <w:tc>
          <w:tcPr>
            <w:tcW w:w="463" w:type="dxa"/>
            <w:vAlign w:val="center"/>
          </w:tcPr>
          <w:p w14:paraId="227441A1" w14:textId="77777777" w:rsidR="00724F05" w:rsidRPr="007F1C70" w:rsidRDefault="00724F05" w:rsidP="007F1C70">
            <w:pPr>
              <w:tabs>
                <w:tab w:val="left" w:pos="2880"/>
              </w:tabs>
              <w:spacing w:before="240" w:after="240"/>
              <w:rPr>
                <w:rFonts w:ascii="Georgia" w:hAnsi="Georgia" w:cs="Arial"/>
                <w:b/>
                <w:bCs/>
              </w:rPr>
            </w:pPr>
            <w:r w:rsidRPr="007F1C70">
              <w:rPr>
                <w:rFonts w:ascii="Georgia" w:hAnsi="Georgia" w:cs="Arial"/>
                <w:b/>
                <w:bCs/>
              </w:rPr>
              <w:t>:</w:t>
            </w:r>
          </w:p>
        </w:tc>
        <w:tc>
          <w:tcPr>
            <w:tcW w:w="5209" w:type="dxa"/>
            <w:vAlign w:val="center"/>
          </w:tcPr>
          <w:p w14:paraId="61067C34" w14:textId="277E45ED" w:rsidR="00724F05" w:rsidRPr="007F1C70" w:rsidRDefault="00634EE4" w:rsidP="007F1C70">
            <w:pPr>
              <w:tabs>
                <w:tab w:val="left" w:pos="2880"/>
              </w:tabs>
              <w:rPr>
                <w:rFonts w:ascii="Georgia" w:hAnsi="Georgia" w:cs="Arial"/>
                <w:b/>
                <w:bCs/>
              </w:rPr>
            </w:pPr>
            <w:r>
              <w:rPr>
                <w:rFonts w:ascii="Georgia" w:hAnsi="Georgia" w:cs="Arial"/>
                <w:b/>
                <w:bCs/>
              </w:rPr>
              <w:t xml:space="preserve">147 Gladstone Street, </w:t>
            </w:r>
            <w:r w:rsidR="00DC3CD8">
              <w:rPr>
                <w:rFonts w:ascii="Georgia" w:hAnsi="Georgia" w:cs="Arial"/>
                <w:b/>
                <w:bCs/>
              </w:rPr>
              <w:t>Peterborough, PE1 2BN</w:t>
            </w:r>
          </w:p>
        </w:tc>
      </w:tr>
      <w:tr w:rsidR="00724F05" w:rsidRPr="007F1C70" w14:paraId="561AE161" w14:textId="77777777" w:rsidTr="254B5CD4">
        <w:tc>
          <w:tcPr>
            <w:tcW w:w="2692" w:type="dxa"/>
            <w:vAlign w:val="center"/>
          </w:tcPr>
          <w:p w14:paraId="7DD4A567" w14:textId="77777777" w:rsidR="00724F05" w:rsidRPr="007F1C70" w:rsidRDefault="00724F05" w:rsidP="007F1C70">
            <w:pPr>
              <w:tabs>
                <w:tab w:val="left" w:pos="2880"/>
              </w:tabs>
              <w:rPr>
                <w:rFonts w:ascii="Georgia" w:hAnsi="Georgia" w:cs="Arial"/>
                <w:b/>
                <w:bCs/>
              </w:rPr>
            </w:pPr>
            <w:r w:rsidRPr="007F1C70">
              <w:rPr>
                <w:rFonts w:ascii="Georgia" w:hAnsi="Georgia" w:cs="Arial"/>
                <w:b/>
                <w:bCs/>
              </w:rPr>
              <w:t>Applicant</w:t>
            </w:r>
          </w:p>
        </w:tc>
        <w:tc>
          <w:tcPr>
            <w:tcW w:w="463" w:type="dxa"/>
            <w:vAlign w:val="center"/>
          </w:tcPr>
          <w:p w14:paraId="61DA66D6" w14:textId="77777777" w:rsidR="00724F05" w:rsidRPr="007F1C70" w:rsidRDefault="00724F05" w:rsidP="007F1C70">
            <w:pPr>
              <w:tabs>
                <w:tab w:val="left" w:pos="2880"/>
              </w:tabs>
              <w:spacing w:before="240" w:after="240"/>
              <w:rPr>
                <w:rFonts w:ascii="Georgia" w:hAnsi="Georgia" w:cs="Arial"/>
                <w:b/>
                <w:bCs/>
              </w:rPr>
            </w:pPr>
            <w:r w:rsidRPr="007F1C70">
              <w:rPr>
                <w:rFonts w:ascii="Georgia" w:hAnsi="Georgia" w:cs="Arial"/>
                <w:b/>
                <w:bCs/>
              </w:rPr>
              <w:t>:</w:t>
            </w:r>
          </w:p>
        </w:tc>
        <w:tc>
          <w:tcPr>
            <w:tcW w:w="5209" w:type="dxa"/>
            <w:vAlign w:val="center"/>
          </w:tcPr>
          <w:p w14:paraId="2274D4A0" w14:textId="77777777" w:rsidR="00724F05" w:rsidRDefault="00DC3CD8" w:rsidP="00DC3CD8">
            <w:pPr>
              <w:pStyle w:val="ListParagraph"/>
              <w:numPr>
                <w:ilvl w:val="0"/>
                <w:numId w:val="14"/>
              </w:numPr>
              <w:tabs>
                <w:tab w:val="left" w:pos="2880"/>
              </w:tabs>
              <w:rPr>
                <w:rFonts w:ascii="Georgia" w:hAnsi="Georgia" w:cs="Arial"/>
                <w:b/>
                <w:bCs/>
              </w:rPr>
            </w:pPr>
            <w:r>
              <w:rPr>
                <w:rFonts w:ascii="Georgia" w:hAnsi="Georgia" w:cs="Arial"/>
                <w:b/>
                <w:bCs/>
              </w:rPr>
              <w:t xml:space="preserve">Marilou </w:t>
            </w:r>
            <w:r w:rsidR="009450E4">
              <w:rPr>
                <w:rFonts w:ascii="Georgia" w:hAnsi="Georgia" w:cs="Arial"/>
                <w:b/>
                <w:bCs/>
              </w:rPr>
              <w:t>Gamboa</w:t>
            </w:r>
          </w:p>
          <w:p w14:paraId="12A81ADA" w14:textId="69A5559F" w:rsidR="009450E4" w:rsidRPr="00DC3CD8" w:rsidRDefault="009450E4" w:rsidP="00DC3CD8">
            <w:pPr>
              <w:pStyle w:val="ListParagraph"/>
              <w:numPr>
                <w:ilvl w:val="0"/>
                <w:numId w:val="14"/>
              </w:numPr>
              <w:tabs>
                <w:tab w:val="left" w:pos="2880"/>
              </w:tabs>
              <w:rPr>
                <w:rFonts w:ascii="Georgia" w:hAnsi="Georgia" w:cs="Arial"/>
                <w:b/>
                <w:bCs/>
              </w:rPr>
            </w:pPr>
            <w:r>
              <w:rPr>
                <w:rFonts w:ascii="Georgia" w:hAnsi="Georgia" w:cs="Arial"/>
                <w:b/>
                <w:bCs/>
              </w:rPr>
              <w:t>Maeleen Joy Vieira</w:t>
            </w:r>
          </w:p>
        </w:tc>
      </w:tr>
      <w:tr w:rsidR="00724F05" w:rsidRPr="007F1C70" w14:paraId="07C97A69" w14:textId="77777777" w:rsidTr="254B5CD4">
        <w:tc>
          <w:tcPr>
            <w:tcW w:w="2692" w:type="dxa"/>
            <w:vAlign w:val="center"/>
          </w:tcPr>
          <w:p w14:paraId="60452B51" w14:textId="77777777" w:rsidR="00724F05" w:rsidRPr="007F1C70" w:rsidRDefault="00724F05" w:rsidP="007F1C70">
            <w:pPr>
              <w:tabs>
                <w:tab w:val="left" w:pos="2880"/>
              </w:tabs>
              <w:rPr>
                <w:rFonts w:ascii="Georgia" w:hAnsi="Georgia" w:cs="Arial"/>
                <w:b/>
                <w:bCs/>
              </w:rPr>
            </w:pPr>
            <w:r w:rsidRPr="007F1C70">
              <w:rPr>
                <w:rFonts w:ascii="Georgia" w:hAnsi="Georgia" w:cs="Arial"/>
                <w:b/>
                <w:bCs/>
              </w:rPr>
              <w:t>Representative</w:t>
            </w:r>
          </w:p>
        </w:tc>
        <w:tc>
          <w:tcPr>
            <w:tcW w:w="463" w:type="dxa"/>
            <w:vAlign w:val="center"/>
          </w:tcPr>
          <w:p w14:paraId="589B9D8A" w14:textId="77777777" w:rsidR="00724F05" w:rsidRPr="007F1C70" w:rsidRDefault="00724F05" w:rsidP="007F1C70">
            <w:pPr>
              <w:tabs>
                <w:tab w:val="left" w:pos="2880"/>
              </w:tabs>
              <w:spacing w:before="240" w:after="240"/>
              <w:rPr>
                <w:rFonts w:ascii="Georgia" w:hAnsi="Georgia" w:cs="Arial"/>
                <w:b/>
                <w:bCs/>
              </w:rPr>
            </w:pPr>
            <w:r w:rsidRPr="007F1C70">
              <w:rPr>
                <w:rFonts w:ascii="Georgia" w:hAnsi="Georgia" w:cs="Arial"/>
                <w:b/>
                <w:bCs/>
              </w:rPr>
              <w:t>:</w:t>
            </w:r>
          </w:p>
        </w:tc>
        <w:tc>
          <w:tcPr>
            <w:tcW w:w="5209" w:type="dxa"/>
            <w:vAlign w:val="center"/>
          </w:tcPr>
          <w:p w14:paraId="64F78C2D" w14:textId="19EC0659" w:rsidR="00724F05" w:rsidRPr="007F1C70" w:rsidRDefault="009450E4" w:rsidP="007F1C70">
            <w:pPr>
              <w:tabs>
                <w:tab w:val="left" w:pos="2880"/>
              </w:tabs>
              <w:rPr>
                <w:rFonts w:ascii="Georgia" w:hAnsi="Georgia" w:cs="Arial"/>
                <w:b/>
                <w:bCs/>
              </w:rPr>
            </w:pPr>
            <w:r>
              <w:rPr>
                <w:rFonts w:ascii="Georgia" w:hAnsi="Georgia" w:cs="Arial"/>
                <w:b/>
                <w:bCs/>
              </w:rPr>
              <w:t>In person</w:t>
            </w:r>
          </w:p>
        </w:tc>
      </w:tr>
      <w:tr w:rsidR="00724F05" w:rsidRPr="007F1C70" w14:paraId="4DB14D83" w14:textId="77777777" w:rsidTr="254B5CD4">
        <w:tc>
          <w:tcPr>
            <w:tcW w:w="2692" w:type="dxa"/>
            <w:vAlign w:val="center"/>
          </w:tcPr>
          <w:p w14:paraId="5769BC60" w14:textId="77777777" w:rsidR="00724F05" w:rsidRPr="007F1C70" w:rsidRDefault="00724F05" w:rsidP="007F1C70">
            <w:pPr>
              <w:tabs>
                <w:tab w:val="left" w:pos="2880"/>
              </w:tabs>
              <w:rPr>
                <w:rFonts w:ascii="Georgia" w:hAnsi="Georgia" w:cs="Arial"/>
                <w:b/>
                <w:bCs/>
              </w:rPr>
            </w:pPr>
            <w:r w:rsidRPr="007F1C70">
              <w:rPr>
                <w:rFonts w:ascii="Georgia" w:hAnsi="Georgia" w:cs="Arial"/>
                <w:b/>
                <w:bCs/>
              </w:rPr>
              <w:t>Respondent</w:t>
            </w:r>
          </w:p>
        </w:tc>
        <w:tc>
          <w:tcPr>
            <w:tcW w:w="463" w:type="dxa"/>
            <w:vAlign w:val="center"/>
          </w:tcPr>
          <w:p w14:paraId="0E6C8B7D" w14:textId="77777777" w:rsidR="00724F05" w:rsidRPr="007F1C70" w:rsidRDefault="00724F05" w:rsidP="007F1C70">
            <w:pPr>
              <w:tabs>
                <w:tab w:val="left" w:pos="2880"/>
              </w:tabs>
              <w:spacing w:before="240" w:after="240"/>
              <w:rPr>
                <w:rFonts w:ascii="Georgia" w:hAnsi="Georgia" w:cs="Arial"/>
                <w:b/>
                <w:bCs/>
              </w:rPr>
            </w:pPr>
            <w:r w:rsidRPr="007F1C70">
              <w:rPr>
                <w:rFonts w:ascii="Georgia" w:hAnsi="Georgia" w:cs="Arial"/>
                <w:b/>
                <w:bCs/>
              </w:rPr>
              <w:t>:</w:t>
            </w:r>
          </w:p>
        </w:tc>
        <w:tc>
          <w:tcPr>
            <w:tcW w:w="5209" w:type="dxa"/>
            <w:vAlign w:val="center"/>
          </w:tcPr>
          <w:p w14:paraId="7530015D" w14:textId="6420A38B" w:rsidR="00724F05" w:rsidRPr="007F1C70" w:rsidRDefault="00283F50" w:rsidP="007F1C70">
            <w:pPr>
              <w:tabs>
                <w:tab w:val="left" w:pos="2880"/>
              </w:tabs>
              <w:rPr>
                <w:rFonts w:ascii="Georgia" w:hAnsi="Georgia" w:cs="Arial"/>
                <w:b/>
                <w:bCs/>
              </w:rPr>
            </w:pPr>
            <w:r>
              <w:rPr>
                <w:rFonts w:ascii="Georgia" w:hAnsi="Georgia" w:cs="Arial"/>
                <w:b/>
                <w:bCs/>
              </w:rPr>
              <w:t>Jacquilyn Siapno</w:t>
            </w:r>
          </w:p>
        </w:tc>
      </w:tr>
      <w:tr w:rsidR="00724F05" w:rsidRPr="007F1C70" w14:paraId="6F2C783C" w14:textId="77777777" w:rsidTr="254B5CD4">
        <w:tc>
          <w:tcPr>
            <w:tcW w:w="2692" w:type="dxa"/>
            <w:vAlign w:val="center"/>
          </w:tcPr>
          <w:p w14:paraId="25F776D4" w14:textId="77777777" w:rsidR="00724F05" w:rsidRPr="007F1C70" w:rsidRDefault="00724F05" w:rsidP="007F1C70">
            <w:pPr>
              <w:tabs>
                <w:tab w:val="left" w:pos="2880"/>
              </w:tabs>
              <w:rPr>
                <w:rFonts w:ascii="Georgia" w:hAnsi="Georgia" w:cs="Arial"/>
                <w:b/>
                <w:bCs/>
              </w:rPr>
            </w:pPr>
            <w:r w:rsidRPr="007F1C70">
              <w:rPr>
                <w:rFonts w:ascii="Georgia" w:hAnsi="Georgia" w:cs="Arial"/>
                <w:b/>
                <w:bCs/>
              </w:rPr>
              <w:t>Representative</w:t>
            </w:r>
          </w:p>
        </w:tc>
        <w:tc>
          <w:tcPr>
            <w:tcW w:w="463" w:type="dxa"/>
            <w:vAlign w:val="center"/>
          </w:tcPr>
          <w:p w14:paraId="21966D7F" w14:textId="77777777" w:rsidR="00724F05" w:rsidRPr="007F1C70" w:rsidRDefault="00724F05" w:rsidP="007F1C70">
            <w:pPr>
              <w:tabs>
                <w:tab w:val="left" w:pos="2880"/>
              </w:tabs>
              <w:spacing w:before="240" w:after="240"/>
              <w:rPr>
                <w:rFonts w:ascii="Georgia" w:hAnsi="Georgia" w:cs="Arial"/>
                <w:b/>
                <w:bCs/>
              </w:rPr>
            </w:pPr>
            <w:r w:rsidRPr="007F1C70">
              <w:rPr>
                <w:rFonts w:ascii="Georgia" w:hAnsi="Georgia" w:cs="Arial"/>
                <w:b/>
                <w:bCs/>
              </w:rPr>
              <w:t>:</w:t>
            </w:r>
          </w:p>
        </w:tc>
        <w:tc>
          <w:tcPr>
            <w:tcW w:w="5209" w:type="dxa"/>
            <w:vAlign w:val="center"/>
          </w:tcPr>
          <w:p w14:paraId="22F369BF" w14:textId="2DE87329" w:rsidR="00724F05" w:rsidRPr="007F1C70" w:rsidRDefault="00283F50" w:rsidP="007F1C70">
            <w:pPr>
              <w:tabs>
                <w:tab w:val="left" w:pos="2880"/>
              </w:tabs>
              <w:rPr>
                <w:rFonts w:ascii="Georgia" w:hAnsi="Georgia" w:cs="Arial"/>
                <w:b/>
                <w:bCs/>
              </w:rPr>
            </w:pPr>
            <w:r>
              <w:rPr>
                <w:rFonts w:ascii="Georgia" w:hAnsi="Georgia" w:cs="Arial"/>
                <w:b/>
                <w:bCs/>
              </w:rPr>
              <w:t>Mr K Singh, solicitor of H</w:t>
            </w:r>
            <w:r w:rsidR="00756D92">
              <w:rPr>
                <w:rFonts w:ascii="Georgia" w:hAnsi="Georgia" w:cs="Arial"/>
                <w:b/>
                <w:bCs/>
              </w:rPr>
              <w:t>egarty LLP</w:t>
            </w:r>
          </w:p>
        </w:tc>
      </w:tr>
      <w:tr w:rsidR="00724F05" w:rsidRPr="007F1C70" w14:paraId="7966B3DB" w14:textId="77777777" w:rsidTr="254B5CD4">
        <w:tc>
          <w:tcPr>
            <w:tcW w:w="2692" w:type="dxa"/>
            <w:vAlign w:val="center"/>
          </w:tcPr>
          <w:p w14:paraId="180D8A50" w14:textId="77777777" w:rsidR="00724F05" w:rsidRPr="007F1C70" w:rsidRDefault="00724F05" w:rsidP="007F1C70">
            <w:pPr>
              <w:tabs>
                <w:tab w:val="left" w:pos="2880"/>
              </w:tabs>
              <w:rPr>
                <w:rFonts w:ascii="Georgia" w:hAnsi="Georgia" w:cs="Arial"/>
                <w:b/>
                <w:bCs/>
              </w:rPr>
            </w:pPr>
            <w:r w:rsidRPr="007F1C70">
              <w:rPr>
                <w:rFonts w:ascii="Georgia" w:hAnsi="Georgia" w:cs="Arial"/>
                <w:b/>
                <w:bCs/>
              </w:rPr>
              <w:t xml:space="preserve">Type of </w:t>
            </w:r>
            <w:r w:rsidR="00DE413A" w:rsidRPr="007F1C70">
              <w:rPr>
                <w:rFonts w:ascii="Georgia" w:hAnsi="Georgia" w:cs="Arial"/>
                <w:b/>
                <w:bCs/>
              </w:rPr>
              <w:t>a</w:t>
            </w:r>
            <w:r w:rsidRPr="007F1C70">
              <w:rPr>
                <w:rFonts w:ascii="Georgia" w:hAnsi="Georgia" w:cs="Arial"/>
                <w:b/>
                <w:bCs/>
              </w:rPr>
              <w:t>pplication</w:t>
            </w:r>
          </w:p>
        </w:tc>
        <w:tc>
          <w:tcPr>
            <w:tcW w:w="463" w:type="dxa"/>
            <w:vAlign w:val="center"/>
          </w:tcPr>
          <w:p w14:paraId="5A7FE3EC" w14:textId="77777777" w:rsidR="00724F05" w:rsidRPr="007F1C70" w:rsidRDefault="00724F05" w:rsidP="007F1C70">
            <w:pPr>
              <w:tabs>
                <w:tab w:val="left" w:pos="2880"/>
              </w:tabs>
              <w:spacing w:before="240" w:after="240"/>
              <w:rPr>
                <w:rFonts w:ascii="Georgia" w:hAnsi="Georgia" w:cs="Arial"/>
                <w:b/>
                <w:bCs/>
              </w:rPr>
            </w:pPr>
            <w:r w:rsidRPr="007F1C70">
              <w:rPr>
                <w:rFonts w:ascii="Georgia" w:hAnsi="Georgia" w:cs="Arial"/>
                <w:b/>
                <w:bCs/>
              </w:rPr>
              <w:t>:</w:t>
            </w:r>
          </w:p>
        </w:tc>
        <w:tc>
          <w:tcPr>
            <w:tcW w:w="5209" w:type="dxa"/>
            <w:vAlign w:val="center"/>
          </w:tcPr>
          <w:p w14:paraId="1173E752" w14:textId="3241FF44" w:rsidR="00C01951" w:rsidRDefault="00C01951" w:rsidP="00C01951">
            <w:pPr>
              <w:tabs>
                <w:tab w:val="left" w:pos="2880"/>
              </w:tabs>
              <w:spacing w:before="120" w:after="120"/>
              <w:rPr>
                <w:rFonts w:ascii="Georgia" w:hAnsi="Georgia" w:cs="Arial"/>
                <w:b/>
                <w:bCs/>
              </w:rPr>
            </w:pPr>
            <w:r w:rsidRPr="001578FF">
              <w:rPr>
                <w:rFonts w:ascii="Georgia" w:hAnsi="Georgia" w:cs="Arial"/>
                <w:b/>
                <w:bCs/>
              </w:rPr>
              <w:t>Application by tenant</w:t>
            </w:r>
            <w:r>
              <w:rPr>
                <w:rFonts w:ascii="Georgia" w:hAnsi="Georgia" w:cs="Arial"/>
                <w:b/>
                <w:bCs/>
              </w:rPr>
              <w:t>s</w:t>
            </w:r>
            <w:r w:rsidRPr="001578FF">
              <w:rPr>
                <w:rFonts w:ascii="Georgia" w:hAnsi="Georgia" w:cs="Arial"/>
                <w:b/>
                <w:bCs/>
              </w:rPr>
              <w:t xml:space="preserve"> for rent repayment order</w:t>
            </w:r>
            <w:r>
              <w:rPr>
                <w:rFonts w:ascii="Georgia" w:hAnsi="Georgia" w:cs="Arial"/>
                <w:b/>
                <w:bCs/>
              </w:rPr>
              <w:t>s</w:t>
            </w:r>
          </w:p>
          <w:p w14:paraId="7757ABCC" w14:textId="267DE6B1" w:rsidR="00724F05" w:rsidRPr="007F1C70" w:rsidRDefault="00C01951" w:rsidP="00C01951">
            <w:pPr>
              <w:tabs>
                <w:tab w:val="left" w:pos="2880"/>
              </w:tabs>
              <w:spacing w:before="120" w:after="120"/>
              <w:rPr>
                <w:rFonts w:ascii="Georgia" w:hAnsi="Georgia" w:cs="Arial"/>
                <w:b/>
                <w:bCs/>
              </w:rPr>
            </w:pPr>
            <w:r w:rsidRPr="001578FF">
              <w:rPr>
                <w:rFonts w:ascii="Georgia" w:hAnsi="Georgia" w:cs="Arial"/>
                <w:b/>
                <w:bCs/>
              </w:rPr>
              <w:t>Sections 40, 41, 43, &amp; 44 of the Housing and Planning Act 2016</w:t>
            </w:r>
          </w:p>
        </w:tc>
      </w:tr>
      <w:tr w:rsidR="00964F35" w:rsidRPr="007F1C70" w14:paraId="33747599" w14:textId="77777777" w:rsidTr="254B5CD4">
        <w:tc>
          <w:tcPr>
            <w:tcW w:w="2692" w:type="dxa"/>
            <w:vAlign w:val="center"/>
          </w:tcPr>
          <w:p w14:paraId="740ED769" w14:textId="77777777" w:rsidR="00964F35" w:rsidRPr="007F1C70" w:rsidRDefault="00964F35" w:rsidP="007F1C70">
            <w:pPr>
              <w:tabs>
                <w:tab w:val="left" w:pos="2880"/>
              </w:tabs>
              <w:rPr>
                <w:rFonts w:ascii="Georgia" w:hAnsi="Georgia" w:cs="Arial"/>
                <w:b/>
                <w:bCs/>
              </w:rPr>
            </w:pPr>
            <w:r w:rsidRPr="007F1C70">
              <w:rPr>
                <w:rFonts w:ascii="Georgia" w:hAnsi="Georgia" w:cs="Arial"/>
                <w:b/>
                <w:bCs/>
              </w:rPr>
              <w:t>Tribunal members</w:t>
            </w:r>
          </w:p>
        </w:tc>
        <w:tc>
          <w:tcPr>
            <w:tcW w:w="463" w:type="dxa"/>
            <w:vAlign w:val="center"/>
          </w:tcPr>
          <w:p w14:paraId="786AC4E9" w14:textId="77777777" w:rsidR="00964F35" w:rsidRPr="007F1C70" w:rsidRDefault="00964F35" w:rsidP="007F1C70">
            <w:pPr>
              <w:tabs>
                <w:tab w:val="left" w:pos="2880"/>
              </w:tabs>
              <w:spacing w:before="240" w:after="240"/>
              <w:rPr>
                <w:rFonts w:ascii="Georgia" w:hAnsi="Georgia" w:cs="Arial"/>
                <w:b/>
                <w:bCs/>
              </w:rPr>
            </w:pPr>
            <w:r w:rsidRPr="007F1C70">
              <w:rPr>
                <w:rFonts w:ascii="Georgia" w:hAnsi="Georgia" w:cs="Arial"/>
                <w:b/>
                <w:bCs/>
              </w:rPr>
              <w:t>:</w:t>
            </w:r>
          </w:p>
        </w:tc>
        <w:tc>
          <w:tcPr>
            <w:tcW w:w="5209" w:type="dxa"/>
            <w:vAlign w:val="center"/>
          </w:tcPr>
          <w:p w14:paraId="1C49CB82" w14:textId="77777777" w:rsidR="00964F35" w:rsidRDefault="00C01951" w:rsidP="007F1C70">
            <w:pPr>
              <w:tabs>
                <w:tab w:val="left" w:pos="2880"/>
              </w:tabs>
              <w:spacing w:before="120" w:after="120"/>
              <w:rPr>
                <w:rFonts w:ascii="Georgia" w:hAnsi="Georgia" w:cs="Arial"/>
                <w:b/>
                <w:bCs/>
              </w:rPr>
            </w:pPr>
            <w:r>
              <w:rPr>
                <w:rFonts w:ascii="Georgia" w:hAnsi="Georgia" w:cs="Arial"/>
                <w:b/>
                <w:bCs/>
              </w:rPr>
              <w:t>Judge K Neave</w:t>
            </w:r>
          </w:p>
          <w:p w14:paraId="331122E5" w14:textId="04C5A0FF" w:rsidR="00C01951" w:rsidRPr="007F1C70" w:rsidRDefault="00C01951" w:rsidP="007F1C70">
            <w:pPr>
              <w:tabs>
                <w:tab w:val="left" w:pos="2880"/>
              </w:tabs>
              <w:spacing w:before="120" w:after="120"/>
              <w:rPr>
                <w:rFonts w:ascii="Georgia" w:hAnsi="Georgia" w:cs="Arial"/>
                <w:b/>
                <w:bCs/>
              </w:rPr>
            </w:pPr>
            <w:r>
              <w:rPr>
                <w:rFonts w:ascii="Georgia" w:hAnsi="Georgia" w:cs="Arial"/>
                <w:b/>
                <w:bCs/>
              </w:rPr>
              <w:t xml:space="preserve">Mr </w:t>
            </w:r>
            <w:r w:rsidR="00B47DF8">
              <w:rPr>
                <w:rFonts w:ascii="Georgia" w:hAnsi="Georgia" w:cs="Arial"/>
                <w:b/>
                <w:bCs/>
              </w:rPr>
              <w:t>J Francis QPM</w:t>
            </w:r>
          </w:p>
        </w:tc>
      </w:tr>
      <w:tr w:rsidR="00724F05" w:rsidRPr="007F1C70" w14:paraId="138DD45E" w14:textId="77777777" w:rsidTr="254B5CD4">
        <w:tc>
          <w:tcPr>
            <w:tcW w:w="2692" w:type="dxa"/>
            <w:vAlign w:val="center"/>
          </w:tcPr>
          <w:p w14:paraId="15D03039" w14:textId="77777777" w:rsidR="00724F05" w:rsidRPr="007F1C70" w:rsidRDefault="00964F35" w:rsidP="007F1C70">
            <w:pPr>
              <w:tabs>
                <w:tab w:val="left" w:pos="2880"/>
              </w:tabs>
              <w:rPr>
                <w:rFonts w:ascii="Georgia" w:hAnsi="Georgia" w:cs="Arial"/>
                <w:b/>
                <w:bCs/>
              </w:rPr>
            </w:pPr>
            <w:r w:rsidRPr="007F1C70">
              <w:rPr>
                <w:rFonts w:ascii="Georgia" w:hAnsi="Georgia" w:cs="Arial"/>
                <w:b/>
                <w:bCs/>
              </w:rPr>
              <w:t>V</w:t>
            </w:r>
            <w:r w:rsidR="00724F05" w:rsidRPr="007F1C70">
              <w:rPr>
                <w:rFonts w:ascii="Georgia" w:hAnsi="Georgia" w:cs="Arial"/>
                <w:b/>
                <w:bCs/>
              </w:rPr>
              <w:t>enue</w:t>
            </w:r>
          </w:p>
        </w:tc>
        <w:tc>
          <w:tcPr>
            <w:tcW w:w="463" w:type="dxa"/>
            <w:vAlign w:val="center"/>
          </w:tcPr>
          <w:p w14:paraId="6ED6B2AD" w14:textId="77777777" w:rsidR="00724F05" w:rsidRPr="007F1C70" w:rsidRDefault="00724F05" w:rsidP="007F1C70">
            <w:pPr>
              <w:tabs>
                <w:tab w:val="left" w:pos="2880"/>
              </w:tabs>
              <w:spacing w:before="240" w:after="240"/>
              <w:rPr>
                <w:rFonts w:ascii="Georgia" w:hAnsi="Georgia" w:cs="Arial"/>
                <w:b/>
                <w:bCs/>
              </w:rPr>
            </w:pPr>
            <w:r w:rsidRPr="007F1C70">
              <w:rPr>
                <w:rFonts w:ascii="Georgia" w:hAnsi="Georgia" w:cs="Arial"/>
                <w:b/>
                <w:bCs/>
              </w:rPr>
              <w:t>:</w:t>
            </w:r>
          </w:p>
        </w:tc>
        <w:tc>
          <w:tcPr>
            <w:tcW w:w="5209" w:type="dxa"/>
            <w:vAlign w:val="center"/>
          </w:tcPr>
          <w:p w14:paraId="3D918AFD" w14:textId="2B1E6CAB" w:rsidR="00724F05" w:rsidRPr="007F1C70" w:rsidRDefault="00B47DF8" w:rsidP="007F1C70">
            <w:pPr>
              <w:tabs>
                <w:tab w:val="left" w:pos="2880"/>
              </w:tabs>
              <w:rPr>
                <w:rFonts w:ascii="Georgia" w:hAnsi="Georgia" w:cs="Arial"/>
                <w:b/>
                <w:bCs/>
              </w:rPr>
            </w:pPr>
            <w:r>
              <w:rPr>
                <w:rFonts w:ascii="Georgia" w:hAnsi="Georgia" w:cs="Arial"/>
                <w:b/>
                <w:bCs/>
              </w:rPr>
              <w:t>Remote hearing by CVP</w:t>
            </w:r>
          </w:p>
        </w:tc>
      </w:tr>
      <w:tr w:rsidR="00724F05" w:rsidRPr="007F1C70" w14:paraId="44D9F2D7" w14:textId="77777777" w:rsidTr="254B5CD4">
        <w:tc>
          <w:tcPr>
            <w:tcW w:w="2692" w:type="dxa"/>
            <w:vAlign w:val="center"/>
          </w:tcPr>
          <w:p w14:paraId="4318E66D" w14:textId="77777777" w:rsidR="00724F05" w:rsidRPr="007F1C70" w:rsidRDefault="00724F05" w:rsidP="007F1C70">
            <w:pPr>
              <w:tabs>
                <w:tab w:val="left" w:pos="2880"/>
              </w:tabs>
              <w:rPr>
                <w:rFonts w:ascii="Georgia" w:hAnsi="Georgia" w:cs="Arial"/>
                <w:b/>
                <w:bCs/>
              </w:rPr>
            </w:pPr>
            <w:r w:rsidRPr="007F1C70">
              <w:rPr>
                <w:rFonts w:ascii="Georgia" w:hAnsi="Georgia" w:cs="Arial"/>
                <w:b/>
                <w:bCs/>
              </w:rPr>
              <w:t xml:space="preserve">Date of </w:t>
            </w:r>
            <w:r w:rsidR="00DE413A" w:rsidRPr="007F1C70">
              <w:rPr>
                <w:rFonts w:ascii="Georgia" w:hAnsi="Georgia" w:cs="Arial"/>
                <w:b/>
                <w:bCs/>
              </w:rPr>
              <w:t>d</w:t>
            </w:r>
            <w:r w:rsidRPr="007F1C70">
              <w:rPr>
                <w:rFonts w:ascii="Georgia" w:hAnsi="Georgia" w:cs="Arial"/>
                <w:b/>
                <w:bCs/>
              </w:rPr>
              <w:t>ecision</w:t>
            </w:r>
          </w:p>
        </w:tc>
        <w:tc>
          <w:tcPr>
            <w:tcW w:w="463" w:type="dxa"/>
            <w:vAlign w:val="center"/>
          </w:tcPr>
          <w:p w14:paraId="2D4CB9FE" w14:textId="77777777" w:rsidR="00724F05" w:rsidRPr="007F1C70" w:rsidRDefault="00724F05" w:rsidP="007F1C70">
            <w:pPr>
              <w:tabs>
                <w:tab w:val="left" w:pos="2880"/>
              </w:tabs>
              <w:spacing w:before="240" w:after="240"/>
              <w:rPr>
                <w:rFonts w:ascii="Georgia" w:hAnsi="Georgia" w:cs="Arial"/>
                <w:b/>
                <w:bCs/>
              </w:rPr>
            </w:pPr>
            <w:r w:rsidRPr="007F1C70">
              <w:rPr>
                <w:rFonts w:ascii="Georgia" w:hAnsi="Georgia" w:cs="Arial"/>
                <w:b/>
                <w:bCs/>
              </w:rPr>
              <w:t>:</w:t>
            </w:r>
          </w:p>
        </w:tc>
        <w:tc>
          <w:tcPr>
            <w:tcW w:w="5209" w:type="dxa"/>
            <w:vAlign w:val="center"/>
          </w:tcPr>
          <w:p w14:paraId="7388094E" w14:textId="6E30E23D" w:rsidR="00724F05" w:rsidRPr="007F1C70" w:rsidRDefault="00B47DF8" w:rsidP="007F1C70">
            <w:pPr>
              <w:tabs>
                <w:tab w:val="left" w:pos="2880"/>
              </w:tabs>
              <w:rPr>
                <w:rFonts w:ascii="Georgia" w:hAnsi="Georgia" w:cs="Arial"/>
                <w:b/>
                <w:bCs/>
              </w:rPr>
            </w:pPr>
            <w:r>
              <w:rPr>
                <w:rFonts w:ascii="Georgia" w:hAnsi="Georgia" w:cs="Arial"/>
                <w:b/>
                <w:bCs/>
              </w:rPr>
              <w:t>28 October 2025</w:t>
            </w:r>
          </w:p>
        </w:tc>
      </w:tr>
    </w:tbl>
    <w:p w14:paraId="314F3409" w14:textId="77777777" w:rsidR="00C27ECE" w:rsidRDefault="00C27ECE" w:rsidP="00724F05">
      <w:pPr>
        <w:jc w:val="both"/>
        <w:rPr>
          <w:szCs w:val="20"/>
        </w:rPr>
      </w:pPr>
    </w:p>
    <w:tbl>
      <w:tblPr>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tblGrid>
      <w:tr w:rsidR="00C27ECE" w:rsidRPr="007F1C70" w14:paraId="03041107" w14:textId="77777777" w:rsidTr="00F109B2">
        <w:trPr>
          <w:trHeight w:val="811"/>
        </w:trPr>
        <w:tc>
          <w:tcPr>
            <w:tcW w:w="8364" w:type="dxa"/>
            <w:tcBorders>
              <w:left w:val="nil"/>
              <w:right w:val="nil"/>
            </w:tcBorders>
            <w:vAlign w:val="center"/>
          </w:tcPr>
          <w:p w14:paraId="468BFA09" w14:textId="77777777" w:rsidR="00C27ECE" w:rsidRPr="007F1C70" w:rsidRDefault="00C27ECE" w:rsidP="007F1C70">
            <w:pPr>
              <w:jc w:val="center"/>
              <w:rPr>
                <w:szCs w:val="20"/>
              </w:rPr>
            </w:pPr>
            <w:r w:rsidRPr="007F1C70">
              <w:rPr>
                <w:rFonts w:ascii="Georgia" w:hAnsi="Georgia" w:cs="Arial"/>
                <w:b/>
                <w:bCs/>
              </w:rPr>
              <w:t>DECISION</w:t>
            </w:r>
          </w:p>
        </w:tc>
      </w:tr>
    </w:tbl>
    <w:p w14:paraId="4E0DE048" w14:textId="77777777" w:rsidR="00C27ECE" w:rsidRPr="00092C14" w:rsidRDefault="00C27ECE" w:rsidP="00724F05">
      <w:pPr>
        <w:jc w:val="both"/>
        <w:rPr>
          <w:rFonts w:ascii="Georgia" w:hAnsi="Georgia"/>
          <w:szCs w:val="20"/>
        </w:rPr>
      </w:pPr>
    </w:p>
    <w:p w14:paraId="3C301FD1" w14:textId="77777777" w:rsidR="0046328F" w:rsidRDefault="0046328F">
      <w:pPr>
        <w:rPr>
          <w:rFonts w:ascii="Calibri" w:eastAsia="Calibri" w:hAnsi="Calibri" w:cs="Calibri"/>
          <w:color w:val="000000" w:themeColor="text1"/>
        </w:rPr>
      </w:pPr>
      <w:r w:rsidRPr="1E63E3C2">
        <w:rPr>
          <w:rFonts w:ascii="Calibri" w:eastAsia="Calibri" w:hAnsi="Calibri" w:cs="Calibri"/>
          <w:color w:val="000000" w:themeColor="text1"/>
        </w:rPr>
        <w:br w:type="page"/>
      </w:r>
    </w:p>
    <w:p w14:paraId="2782FA87" w14:textId="77777777" w:rsidR="000927B4" w:rsidRPr="007548FA" w:rsidRDefault="000927B4" w:rsidP="00C663E1">
      <w:pPr>
        <w:autoSpaceDE w:val="0"/>
        <w:autoSpaceDN w:val="0"/>
        <w:adjustRightInd w:val="0"/>
        <w:spacing w:after="360"/>
        <w:jc w:val="both"/>
        <w:rPr>
          <w:rFonts w:ascii="Georgia" w:hAnsi="Georgia" w:cs="Arial"/>
        </w:rPr>
      </w:pPr>
      <w:bookmarkStart w:id="0" w:name="_Hlk50729776"/>
      <w:r w:rsidRPr="007548FA">
        <w:rPr>
          <w:rFonts w:ascii="Georgia" w:hAnsi="Georgia" w:cs="Arial"/>
          <w:b/>
          <w:u w:val="single"/>
        </w:rPr>
        <w:lastRenderedPageBreak/>
        <w:t>Decisions of the tribunal</w:t>
      </w:r>
    </w:p>
    <w:bookmarkEnd w:id="0"/>
    <w:p w14:paraId="6C162B25" w14:textId="0F1D826D" w:rsidR="00766C4B" w:rsidRDefault="00766C4B" w:rsidP="00726518">
      <w:pPr>
        <w:numPr>
          <w:ilvl w:val="0"/>
          <w:numId w:val="9"/>
        </w:numPr>
        <w:tabs>
          <w:tab w:val="clear" w:pos="170"/>
          <w:tab w:val="num" w:pos="851"/>
        </w:tabs>
        <w:autoSpaceDE w:val="0"/>
        <w:autoSpaceDN w:val="0"/>
        <w:adjustRightInd w:val="0"/>
        <w:spacing w:after="360"/>
        <w:ind w:left="851" w:hanging="851"/>
        <w:jc w:val="both"/>
        <w:rPr>
          <w:rFonts w:ascii="Georgia" w:hAnsi="Georgia" w:cs="Arial"/>
        </w:rPr>
      </w:pPr>
      <w:r>
        <w:rPr>
          <w:rFonts w:ascii="Georgia" w:hAnsi="Georgia" w:cs="Arial"/>
        </w:rPr>
        <w:t>The tribunal is not satisfied that the matters raised by the Applicants and the facts as we have found them to be establish beyond reasonable doubt that the Respondent</w:t>
      </w:r>
      <w:r w:rsidR="00A302C0">
        <w:rPr>
          <w:rFonts w:ascii="Georgia" w:hAnsi="Georgia" w:cs="Arial"/>
        </w:rPr>
        <w:t xml:space="preserve"> is guilty of an offence under section 72(1) of the 2004 Act.</w:t>
      </w:r>
    </w:p>
    <w:p w14:paraId="7938A61B" w14:textId="679E7284" w:rsidR="00A302C0" w:rsidRPr="00A302C0" w:rsidRDefault="00A302C0" w:rsidP="00A302C0">
      <w:pPr>
        <w:numPr>
          <w:ilvl w:val="0"/>
          <w:numId w:val="9"/>
        </w:numPr>
        <w:tabs>
          <w:tab w:val="clear" w:pos="170"/>
          <w:tab w:val="num" w:pos="851"/>
        </w:tabs>
        <w:autoSpaceDE w:val="0"/>
        <w:autoSpaceDN w:val="0"/>
        <w:adjustRightInd w:val="0"/>
        <w:spacing w:after="360"/>
        <w:ind w:left="851" w:hanging="851"/>
        <w:jc w:val="both"/>
        <w:rPr>
          <w:rFonts w:ascii="Georgia" w:hAnsi="Georgia" w:cs="Arial"/>
        </w:rPr>
      </w:pPr>
      <w:r>
        <w:rPr>
          <w:rFonts w:ascii="Georgia" w:hAnsi="Georgia" w:cs="Arial"/>
        </w:rPr>
        <w:t xml:space="preserve">The tribunal is not satisfied that the matters raised by the Applicants and the facts as we have found them to be establish beyond reasonable doubt that the Respondent </w:t>
      </w:r>
      <w:r w:rsidRPr="00312F9E">
        <w:rPr>
          <w:rFonts w:ascii="Georgia" w:hAnsi="Georgia" w:cs="Arial"/>
        </w:rPr>
        <w:t>has committed an offence</w:t>
      </w:r>
      <w:r>
        <w:rPr>
          <w:rFonts w:ascii="Georgia" w:hAnsi="Georgia" w:cs="Arial"/>
        </w:rPr>
        <w:t xml:space="preserve"> under sections</w:t>
      </w:r>
      <w:r w:rsidRPr="003C52E2">
        <w:rPr>
          <w:rFonts w:ascii="Arial" w:hAnsi="Arial" w:cs="Arial"/>
          <w:color w:val="1E1E1E"/>
          <w:sz w:val="19"/>
          <w:szCs w:val="19"/>
          <w:shd w:val="clear" w:color="auto" w:fill="FFFFFF"/>
        </w:rPr>
        <w:t xml:space="preserve"> </w:t>
      </w:r>
      <w:r w:rsidRPr="003C52E2">
        <w:rPr>
          <w:rFonts w:ascii="Georgia" w:hAnsi="Georgia" w:cs="Arial"/>
        </w:rPr>
        <w:t>1(3)</w:t>
      </w:r>
      <w:r>
        <w:rPr>
          <w:rFonts w:ascii="Georgia" w:hAnsi="Georgia" w:cs="Arial"/>
        </w:rPr>
        <w:t xml:space="preserve"> and/or</w:t>
      </w:r>
      <w:r w:rsidRPr="003C52E2">
        <w:rPr>
          <w:rFonts w:ascii="Georgia" w:hAnsi="Georgia" w:cs="Arial"/>
        </w:rPr>
        <w:t xml:space="preserve"> (3A</w:t>
      </w:r>
      <w:r>
        <w:rPr>
          <w:rFonts w:ascii="Georgia" w:hAnsi="Georgia" w:cs="Arial"/>
        </w:rPr>
        <w:t>) of the Protection from Eviction Act 1977.</w:t>
      </w:r>
    </w:p>
    <w:p w14:paraId="6FC85357" w14:textId="77777777" w:rsidR="00726518" w:rsidRPr="007548FA" w:rsidRDefault="00726518" w:rsidP="00726518">
      <w:pPr>
        <w:numPr>
          <w:ilvl w:val="0"/>
          <w:numId w:val="9"/>
        </w:numPr>
        <w:tabs>
          <w:tab w:val="clear" w:pos="170"/>
          <w:tab w:val="num" w:pos="851"/>
        </w:tabs>
        <w:autoSpaceDE w:val="0"/>
        <w:autoSpaceDN w:val="0"/>
        <w:adjustRightInd w:val="0"/>
        <w:spacing w:after="360"/>
        <w:ind w:left="851" w:hanging="851"/>
        <w:jc w:val="both"/>
        <w:rPr>
          <w:rFonts w:ascii="Georgia" w:hAnsi="Georgia" w:cs="Arial"/>
        </w:rPr>
      </w:pPr>
      <w:r w:rsidRPr="00A02F3C">
        <w:rPr>
          <w:rFonts w:ascii="Georgia" w:hAnsi="Georgia" w:cs="Arial"/>
        </w:rPr>
        <w:t>The tribunal</w:t>
      </w:r>
      <w:r>
        <w:rPr>
          <w:rFonts w:ascii="Georgia" w:hAnsi="Georgia" w:cs="Arial"/>
        </w:rPr>
        <w:t xml:space="preserve"> accordingly dismisses the application for a rent repayment order.</w:t>
      </w:r>
    </w:p>
    <w:p w14:paraId="53767E8F" w14:textId="449C0E31" w:rsidR="000927B4" w:rsidRPr="007548FA" w:rsidRDefault="000927B4" w:rsidP="00C663E1">
      <w:pPr>
        <w:autoSpaceDE w:val="0"/>
        <w:autoSpaceDN w:val="0"/>
        <w:adjustRightInd w:val="0"/>
        <w:spacing w:after="360"/>
        <w:jc w:val="both"/>
        <w:rPr>
          <w:rFonts w:ascii="Georgia" w:hAnsi="Georgia" w:cs="Arial"/>
          <w:b/>
          <w:u w:val="single"/>
        </w:rPr>
      </w:pPr>
      <w:r w:rsidRPr="007548FA">
        <w:rPr>
          <w:rFonts w:ascii="Georgia" w:hAnsi="Georgia" w:cs="Arial"/>
          <w:b/>
          <w:u w:val="single"/>
        </w:rPr>
        <w:t>The application</w:t>
      </w:r>
      <w:r w:rsidR="006569D3">
        <w:rPr>
          <w:rFonts w:ascii="Georgia" w:hAnsi="Georgia" w:cs="Arial"/>
          <w:b/>
          <w:u w:val="single"/>
        </w:rPr>
        <w:t>s</w:t>
      </w:r>
    </w:p>
    <w:p w14:paraId="03E223AC" w14:textId="23CBD23E" w:rsidR="000927B4" w:rsidRPr="007548FA" w:rsidRDefault="000A4D6D" w:rsidP="00C663E1">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 xml:space="preserve">By applications dated </w:t>
      </w:r>
      <w:r w:rsidR="00842510">
        <w:rPr>
          <w:rFonts w:ascii="Georgia" w:hAnsi="Georgia" w:cs="Arial"/>
        </w:rPr>
        <w:t>22 May 2024</w:t>
      </w:r>
      <w:r w:rsidR="006569D3">
        <w:rPr>
          <w:rFonts w:ascii="Georgia" w:hAnsi="Georgia" w:cs="Arial"/>
        </w:rPr>
        <w:t xml:space="preserve"> made</w:t>
      </w:r>
      <w:r w:rsidR="00C85723">
        <w:rPr>
          <w:rFonts w:ascii="Georgia" w:hAnsi="Georgia" w:cs="Arial"/>
        </w:rPr>
        <w:t xml:space="preserve"> </w:t>
      </w:r>
      <w:r w:rsidR="00644B71" w:rsidRPr="002E7123">
        <w:rPr>
          <w:rFonts w:ascii="Georgia" w:hAnsi="Georgia" w:cs="Arial"/>
        </w:rPr>
        <w:t>under section 41 of the Housing and Planning Act 2016 (</w:t>
      </w:r>
      <w:r w:rsidR="00644B71">
        <w:rPr>
          <w:rFonts w:ascii="Georgia" w:hAnsi="Georgia" w:cs="Arial"/>
        </w:rPr>
        <w:t>“</w:t>
      </w:r>
      <w:r w:rsidR="00644B71" w:rsidRPr="002E7123">
        <w:rPr>
          <w:rFonts w:ascii="Georgia" w:hAnsi="Georgia" w:cs="Arial"/>
        </w:rPr>
        <w:t>the</w:t>
      </w:r>
      <w:r w:rsidR="00644B71">
        <w:rPr>
          <w:rFonts w:ascii="Georgia" w:hAnsi="Georgia" w:cs="Arial"/>
        </w:rPr>
        <w:t xml:space="preserve"> 2016</w:t>
      </w:r>
      <w:r w:rsidR="00644B71" w:rsidRPr="002E7123">
        <w:rPr>
          <w:rFonts w:ascii="Georgia" w:hAnsi="Georgia" w:cs="Arial"/>
        </w:rPr>
        <w:t xml:space="preserve"> Act”) the </w:t>
      </w:r>
      <w:r w:rsidR="00644B71">
        <w:rPr>
          <w:rFonts w:ascii="Georgia" w:hAnsi="Georgia" w:cs="Arial"/>
        </w:rPr>
        <w:t>A</w:t>
      </w:r>
      <w:r w:rsidR="00644B71" w:rsidRPr="002E7123">
        <w:rPr>
          <w:rFonts w:ascii="Georgia" w:hAnsi="Georgia" w:cs="Arial"/>
        </w:rPr>
        <w:t>pplicant</w:t>
      </w:r>
      <w:r w:rsidR="00644B71">
        <w:rPr>
          <w:rFonts w:ascii="Georgia" w:hAnsi="Georgia" w:cs="Arial"/>
        </w:rPr>
        <w:t xml:space="preserve"> tenants </w:t>
      </w:r>
      <w:r w:rsidR="009F1537">
        <w:rPr>
          <w:rFonts w:ascii="Georgia" w:hAnsi="Georgia" w:cs="Arial"/>
        </w:rPr>
        <w:t xml:space="preserve">seek </w:t>
      </w:r>
      <w:r w:rsidR="00644B71" w:rsidRPr="002E7123">
        <w:rPr>
          <w:rFonts w:ascii="Georgia" w:hAnsi="Georgia" w:cs="Arial"/>
        </w:rPr>
        <w:t xml:space="preserve">a rent repayment order (“RRO”) against the </w:t>
      </w:r>
      <w:r w:rsidR="00644B71">
        <w:rPr>
          <w:rFonts w:ascii="Georgia" w:hAnsi="Georgia" w:cs="Arial"/>
        </w:rPr>
        <w:t>R</w:t>
      </w:r>
      <w:r w:rsidR="00644B71" w:rsidRPr="002E7123">
        <w:rPr>
          <w:rFonts w:ascii="Georgia" w:hAnsi="Georgia" w:cs="Arial"/>
        </w:rPr>
        <w:t>espondent</w:t>
      </w:r>
      <w:r w:rsidR="00644B71">
        <w:rPr>
          <w:rFonts w:ascii="Georgia" w:hAnsi="Georgia" w:cs="Arial"/>
        </w:rPr>
        <w:t>.</w:t>
      </w:r>
    </w:p>
    <w:p w14:paraId="1CE6CBC1" w14:textId="77777777" w:rsidR="000927B4" w:rsidRPr="007548FA" w:rsidRDefault="000927B4" w:rsidP="00C663E1">
      <w:pPr>
        <w:autoSpaceDE w:val="0"/>
        <w:autoSpaceDN w:val="0"/>
        <w:adjustRightInd w:val="0"/>
        <w:spacing w:after="360"/>
        <w:jc w:val="both"/>
        <w:rPr>
          <w:rFonts w:ascii="Georgia" w:hAnsi="Georgia" w:cs="Arial"/>
          <w:b/>
          <w:u w:val="single"/>
        </w:rPr>
      </w:pPr>
      <w:r w:rsidRPr="007548FA">
        <w:rPr>
          <w:rFonts w:ascii="Georgia" w:hAnsi="Georgia" w:cs="Arial"/>
          <w:b/>
          <w:u w:val="single"/>
        </w:rPr>
        <w:t>The hearing</w:t>
      </w:r>
    </w:p>
    <w:p w14:paraId="5D237E5B" w14:textId="383031DB" w:rsidR="000927B4" w:rsidRPr="007548FA" w:rsidRDefault="000927B4" w:rsidP="00C663E1">
      <w:pPr>
        <w:numPr>
          <w:ilvl w:val="0"/>
          <w:numId w:val="8"/>
        </w:numPr>
        <w:tabs>
          <w:tab w:val="num" w:pos="709"/>
        </w:tabs>
        <w:autoSpaceDE w:val="0"/>
        <w:autoSpaceDN w:val="0"/>
        <w:adjustRightInd w:val="0"/>
        <w:spacing w:after="360"/>
        <w:ind w:left="709" w:hanging="709"/>
        <w:jc w:val="both"/>
        <w:rPr>
          <w:rFonts w:ascii="Georgia" w:hAnsi="Georgia" w:cs="Arial"/>
        </w:rPr>
      </w:pPr>
      <w:r w:rsidRPr="007548FA">
        <w:rPr>
          <w:rFonts w:ascii="Georgia" w:hAnsi="Georgia" w:cs="Arial"/>
        </w:rPr>
        <w:t>The Applicant</w:t>
      </w:r>
      <w:r w:rsidR="00B82D4C">
        <w:rPr>
          <w:rFonts w:ascii="Georgia" w:hAnsi="Georgia" w:cs="Arial"/>
        </w:rPr>
        <w:t>s</w:t>
      </w:r>
      <w:r w:rsidRPr="007548FA">
        <w:rPr>
          <w:rFonts w:ascii="Georgia" w:hAnsi="Georgia" w:cs="Arial"/>
        </w:rPr>
        <w:t xml:space="preserve"> a</w:t>
      </w:r>
      <w:r w:rsidR="009F1537">
        <w:rPr>
          <w:rFonts w:ascii="Georgia" w:hAnsi="Georgia" w:cs="Arial"/>
        </w:rPr>
        <w:t>ttended the hearing</w:t>
      </w:r>
      <w:r w:rsidRPr="007548FA">
        <w:rPr>
          <w:rFonts w:ascii="Georgia" w:hAnsi="Georgia" w:cs="Arial"/>
        </w:rPr>
        <w:t xml:space="preserve"> in person</w:t>
      </w:r>
      <w:r w:rsidR="00B82D4C">
        <w:rPr>
          <w:rFonts w:ascii="Georgia" w:hAnsi="Georgia" w:cs="Arial"/>
        </w:rPr>
        <w:t xml:space="preserve">. The Respondent </w:t>
      </w:r>
      <w:r w:rsidR="006569D3">
        <w:rPr>
          <w:rFonts w:ascii="Georgia" w:hAnsi="Georgia" w:cs="Arial"/>
        </w:rPr>
        <w:t xml:space="preserve">also attended and </w:t>
      </w:r>
      <w:r w:rsidR="00B82D4C">
        <w:rPr>
          <w:rFonts w:ascii="Georgia" w:hAnsi="Georgia" w:cs="Arial"/>
        </w:rPr>
        <w:t xml:space="preserve">was represented by Mr Singh, a solicitor of </w:t>
      </w:r>
      <w:r w:rsidR="00B82D4C" w:rsidRPr="00B82D4C">
        <w:rPr>
          <w:rFonts w:ascii="Georgia" w:hAnsi="Georgia" w:cs="Arial"/>
        </w:rPr>
        <w:t>Hegarty LLP</w:t>
      </w:r>
      <w:r w:rsidR="00B82D4C">
        <w:rPr>
          <w:rFonts w:ascii="Georgia" w:hAnsi="Georgia" w:cs="Arial"/>
        </w:rPr>
        <w:t xml:space="preserve">. The Applicants </w:t>
      </w:r>
      <w:r w:rsidR="00E80B97">
        <w:rPr>
          <w:rFonts w:ascii="Georgia" w:hAnsi="Georgia" w:cs="Arial"/>
        </w:rPr>
        <w:t xml:space="preserve">did not file or serve any witness statements. They </w:t>
      </w:r>
      <w:r w:rsidR="00B82D4C">
        <w:rPr>
          <w:rFonts w:ascii="Georgia" w:hAnsi="Georgia" w:cs="Arial"/>
        </w:rPr>
        <w:t xml:space="preserve">adopted the </w:t>
      </w:r>
      <w:r w:rsidR="006A0BC2">
        <w:rPr>
          <w:rFonts w:ascii="Georgia" w:hAnsi="Georgia" w:cs="Arial"/>
        </w:rPr>
        <w:t>documents in their hearing bundle as their evidence in chief and were cross-examined by Mr Singh</w:t>
      </w:r>
      <w:r w:rsidR="0002765B">
        <w:rPr>
          <w:rFonts w:ascii="Georgia" w:hAnsi="Georgia" w:cs="Arial"/>
        </w:rPr>
        <w:t xml:space="preserve">. The Respondent adopted the content of her witness statement dated 19 August 2025 and the Applicants asked questions of her in cross-examination. </w:t>
      </w:r>
      <w:r w:rsidR="00A81A29">
        <w:rPr>
          <w:rFonts w:ascii="Georgia" w:hAnsi="Georgia" w:cs="Arial"/>
        </w:rPr>
        <w:t>All the parties made closing submissions. We reserved our decision.</w:t>
      </w:r>
    </w:p>
    <w:p w14:paraId="3DB7AE13" w14:textId="77777777" w:rsidR="000927B4" w:rsidRPr="007548FA" w:rsidRDefault="000927B4" w:rsidP="00C663E1">
      <w:pPr>
        <w:autoSpaceDE w:val="0"/>
        <w:autoSpaceDN w:val="0"/>
        <w:adjustRightInd w:val="0"/>
        <w:spacing w:after="360"/>
        <w:jc w:val="both"/>
        <w:rPr>
          <w:rFonts w:ascii="Georgia" w:hAnsi="Georgia" w:cs="Arial"/>
          <w:b/>
          <w:u w:val="single"/>
        </w:rPr>
      </w:pPr>
      <w:r w:rsidRPr="007548FA">
        <w:rPr>
          <w:rFonts w:ascii="Georgia" w:hAnsi="Georgia" w:cs="Arial"/>
          <w:b/>
          <w:u w:val="single"/>
        </w:rPr>
        <w:t>The background</w:t>
      </w:r>
    </w:p>
    <w:p w14:paraId="7A962D08" w14:textId="574D7614" w:rsidR="00931AC9" w:rsidRPr="00931AC9" w:rsidRDefault="00931AC9" w:rsidP="00931AC9">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The background to th</w:t>
      </w:r>
      <w:r w:rsidR="006569D3">
        <w:rPr>
          <w:rFonts w:ascii="Georgia" w:hAnsi="Georgia" w:cs="Arial"/>
        </w:rPr>
        <w:t>ese</w:t>
      </w:r>
      <w:r>
        <w:rPr>
          <w:rFonts w:ascii="Georgia" w:hAnsi="Georgia" w:cs="Arial"/>
        </w:rPr>
        <w:t xml:space="preserve"> application</w:t>
      </w:r>
      <w:r w:rsidR="006569D3">
        <w:rPr>
          <w:rFonts w:ascii="Georgia" w:hAnsi="Georgia" w:cs="Arial"/>
        </w:rPr>
        <w:t>s</w:t>
      </w:r>
      <w:r>
        <w:rPr>
          <w:rFonts w:ascii="Georgia" w:hAnsi="Georgia" w:cs="Arial"/>
        </w:rPr>
        <w:t xml:space="preserve"> is set out in the Applicants’ hearing bundle and the Respondent’s witness statement dated 19 August 2025, which the parties confirmed contained the relevant documents and evidence upon which they wished to rely and which we have considered in detail.</w:t>
      </w:r>
    </w:p>
    <w:p w14:paraId="4A9DE286" w14:textId="7FD3C76A" w:rsidR="000927B4" w:rsidRDefault="000927B4" w:rsidP="00C663E1">
      <w:pPr>
        <w:numPr>
          <w:ilvl w:val="0"/>
          <w:numId w:val="8"/>
        </w:numPr>
        <w:tabs>
          <w:tab w:val="num" w:pos="709"/>
        </w:tabs>
        <w:autoSpaceDE w:val="0"/>
        <w:autoSpaceDN w:val="0"/>
        <w:adjustRightInd w:val="0"/>
        <w:spacing w:after="360"/>
        <w:ind w:left="709" w:hanging="709"/>
        <w:jc w:val="both"/>
        <w:rPr>
          <w:rFonts w:ascii="Georgia" w:hAnsi="Georgia" w:cs="Arial"/>
        </w:rPr>
      </w:pPr>
      <w:r w:rsidRPr="007548FA">
        <w:rPr>
          <w:rFonts w:ascii="Georgia" w:hAnsi="Georgia" w:cs="Arial"/>
        </w:rPr>
        <w:t xml:space="preserve">The </w:t>
      </w:r>
      <w:r w:rsidR="00A81A29">
        <w:rPr>
          <w:rFonts w:ascii="Georgia" w:hAnsi="Georgia" w:cs="Arial"/>
        </w:rPr>
        <w:t xml:space="preserve">subject </w:t>
      </w:r>
      <w:r w:rsidRPr="007548FA">
        <w:rPr>
          <w:rFonts w:ascii="Georgia" w:hAnsi="Georgia" w:cs="Arial"/>
        </w:rPr>
        <w:t xml:space="preserve">property </w:t>
      </w:r>
      <w:r w:rsidR="00F070AA">
        <w:rPr>
          <w:rFonts w:ascii="Georgia" w:hAnsi="Georgia" w:cs="Arial"/>
        </w:rPr>
        <w:t xml:space="preserve">is a three-bedroom terraced house located in Peterborough. </w:t>
      </w:r>
      <w:r w:rsidR="00A82A48">
        <w:rPr>
          <w:rFonts w:ascii="Georgia" w:hAnsi="Georgia" w:cs="Arial"/>
        </w:rPr>
        <w:t xml:space="preserve">None of the parties </w:t>
      </w:r>
      <w:r w:rsidR="00A82A48" w:rsidRPr="009E35FC">
        <w:rPr>
          <w:rFonts w:ascii="Georgia" w:hAnsi="Georgia" w:cs="Arial"/>
        </w:rPr>
        <w:t>requested an inspection</w:t>
      </w:r>
      <w:r w:rsidR="00A82A48">
        <w:rPr>
          <w:rFonts w:ascii="Georgia" w:hAnsi="Georgia" w:cs="Arial"/>
        </w:rPr>
        <w:t xml:space="preserve"> of the property,</w:t>
      </w:r>
      <w:r w:rsidR="00A82A48" w:rsidRPr="009E35FC">
        <w:rPr>
          <w:rFonts w:ascii="Georgia" w:hAnsi="Georgia" w:cs="Arial"/>
        </w:rPr>
        <w:t xml:space="preserve"> and the tribunal did not consider that </w:t>
      </w:r>
      <w:r w:rsidR="00A82A48">
        <w:rPr>
          <w:rFonts w:ascii="Georgia" w:hAnsi="Georgia" w:cs="Arial"/>
        </w:rPr>
        <w:t>an inspection</w:t>
      </w:r>
      <w:r w:rsidR="00A82A48" w:rsidRPr="009E35FC">
        <w:rPr>
          <w:rFonts w:ascii="Georgia" w:hAnsi="Georgia" w:cs="Arial"/>
        </w:rPr>
        <w:t xml:space="preserve"> was necessary, nor would it have been proportionate to the issues in dispute.</w:t>
      </w:r>
    </w:p>
    <w:p w14:paraId="34DB4680" w14:textId="620F13F0" w:rsidR="00A82A48" w:rsidRDefault="00A82A48" w:rsidP="00C663E1">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 xml:space="preserve">The </w:t>
      </w:r>
      <w:r w:rsidR="00F52077">
        <w:rPr>
          <w:rFonts w:ascii="Georgia" w:hAnsi="Georgia" w:cs="Arial"/>
        </w:rPr>
        <w:t xml:space="preserve">First Applicant occupied the property between 29 July 2023 and early June 2024. The Second Applicant </w:t>
      </w:r>
      <w:r w:rsidR="00C46406">
        <w:rPr>
          <w:rFonts w:ascii="Georgia" w:hAnsi="Georgia" w:cs="Arial"/>
        </w:rPr>
        <w:t xml:space="preserve">occupied the property between </w:t>
      </w:r>
      <w:r w:rsidR="007F79AD">
        <w:rPr>
          <w:rFonts w:ascii="Georgia" w:hAnsi="Georgia" w:cs="Arial"/>
        </w:rPr>
        <w:lastRenderedPageBreak/>
        <w:t xml:space="preserve">10 September 2023 and early June 2024. </w:t>
      </w:r>
      <w:r w:rsidR="00630529">
        <w:rPr>
          <w:rFonts w:ascii="Georgia" w:hAnsi="Georgia" w:cs="Arial"/>
        </w:rPr>
        <w:t xml:space="preserve">There is no dispute that </w:t>
      </w:r>
      <w:r w:rsidR="000F2DE8">
        <w:rPr>
          <w:rFonts w:ascii="Georgia" w:hAnsi="Georgia" w:cs="Arial"/>
        </w:rPr>
        <w:t xml:space="preserve">their occupation of the property was linked to their work as carers and that they both moved to the United Kingdom </w:t>
      </w:r>
      <w:r w:rsidR="0081260D">
        <w:rPr>
          <w:rFonts w:ascii="Georgia" w:hAnsi="Georgia" w:cs="Arial"/>
        </w:rPr>
        <w:t>in 2023 in order to take up jobs in care work, having both wor</w:t>
      </w:r>
      <w:r w:rsidR="000A1D2A">
        <w:rPr>
          <w:rFonts w:ascii="Georgia" w:hAnsi="Georgia" w:cs="Arial"/>
        </w:rPr>
        <w:t xml:space="preserve">ked in similar positions abroad beforehand. </w:t>
      </w:r>
    </w:p>
    <w:p w14:paraId="3D5D4D0C" w14:textId="087978F7" w:rsidR="004362D1" w:rsidRDefault="004362D1" w:rsidP="00C663E1">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Th</w:t>
      </w:r>
      <w:r w:rsidR="00C13C3C">
        <w:rPr>
          <w:rFonts w:ascii="Georgia" w:hAnsi="Georgia" w:cs="Arial"/>
        </w:rPr>
        <w:t xml:space="preserve">ough they </w:t>
      </w:r>
      <w:r w:rsidR="00E82C6E">
        <w:rPr>
          <w:rFonts w:ascii="Georgia" w:hAnsi="Georgia" w:cs="Arial"/>
        </w:rPr>
        <w:t>suggested in their application forms that the</w:t>
      </w:r>
      <w:r w:rsidR="00EA78FD">
        <w:rPr>
          <w:rFonts w:ascii="Georgia" w:hAnsi="Georgia" w:cs="Arial"/>
        </w:rPr>
        <w:t xml:space="preserve"> Respondent had </w:t>
      </w:r>
      <w:r w:rsidR="0016217C">
        <w:rPr>
          <w:rFonts w:ascii="Georgia" w:hAnsi="Georgia" w:cs="Arial"/>
        </w:rPr>
        <w:t>committed an offence under section 30 of the Housing Act 2004</w:t>
      </w:r>
      <w:r w:rsidR="00325EF5">
        <w:rPr>
          <w:rFonts w:ascii="Georgia" w:hAnsi="Georgia" w:cs="Arial"/>
        </w:rPr>
        <w:t xml:space="preserve"> (“the 2004 Act”)</w:t>
      </w:r>
      <w:r w:rsidR="0016217C">
        <w:rPr>
          <w:rFonts w:ascii="Georgia" w:hAnsi="Georgia" w:cs="Arial"/>
        </w:rPr>
        <w:t xml:space="preserve"> of failing to comply with an improvement notice, they agreed at the</w:t>
      </w:r>
      <w:r w:rsidR="00015F9E">
        <w:rPr>
          <w:rFonts w:ascii="Georgia" w:hAnsi="Georgia" w:cs="Arial"/>
        </w:rPr>
        <w:t xml:space="preserve"> outset of the</w:t>
      </w:r>
      <w:r w:rsidR="0016217C">
        <w:rPr>
          <w:rFonts w:ascii="Georgia" w:hAnsi="Georgia" w:cs="Arial"/>
        </w:rPr>
        <w:t xml:space="preserve"> hearing that no improvement notice had been served by the local authority in this case. </w:t>
      </w:r>
      <w:r>
        <w:rPr>
          <w:rFonts w:ascii="Georgia" w:hAnsi="Georgia" w:cs="Arial"/>
        </w:rPr>
        <w:t xml:space="preserve"> </w:t>
      </w:r>
    </w:p>
    <w:p w14:paraId="0A5E5610" w14:textId="77777777" w:rsidR="00766C4B" w:rsidRDefault="00015F9E" w:rsidP="00C663E1">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Their case</w:t>
      </w:r>
      <w:r w:rsidR="009D5B69">
        <w:rPr>
          <w:rFonts w:ascii="Georgia" w:hAnsi="Georgia" w:cs="Arial"/>
        </w:rPr>
        <w:t>, as it was clarified at the outset of the hearing, is that</w:t>
      </w:r>
      <w:r w:rsidR="00766C4B">
        <w:rPr>
          <w:rFonts w:ascii="Georgia" w:hAnsi="Georgia" w:cs="Arial"/>
        </w:rPr>
        <w:t>:</w:t>
      </w:r>
    </w:p>
    <w:p w14:paraId="113E33C7" w14:textId="353AF69F" w:rsidR="00015F9E" w:rsidRDefault="009D5B69" w:rsidP="00766C4B">
      <w:pPr>
        <w:numPr>
          <w:ilvl w:val="1"/>
          <w:numId w:val="8"/>
        </w:numPr>
        <w:autoSpaceDE w:val="0"/>
        <w:autoSpaceDN w:val="0"/>
        <w:adjustRightInd w:val="0"/>
        <w:spacing w:after="360"/>
        <w:jc w:val="both"/>
        <w:rPr>
          <w:rFonts w:ascii="Georgia" w:hAnsi="Georgia" w:cs="Arial"/>
        </w:rPr>
      </w:pPr>
      <w:r>
        <w:rPr>
          <w:rFonts w:ascii="Georgia" w:hAnsi="Georgia" w:cs="Arial"/>
        </w:rPr>
        <w:t>the Respondent is guilty of offence</w:t>
      </w:r>
      <w:r w:rsidR="00420D7E">
        <w:rPr>
          <w:rFonts w:ascii="Georgia" w:hAnsi="Georgia" w:cs="Arial"/>
        </w:rPr>
        <w:t>s</w:t>
      </w:r>
      <w:r>
        <w:rPr>
          <w:rFonts w:ascii="Georgia" w:hAnsi="Georgia" w:cs="Arial"/>
        </w:rPr>
        <w:t xml:space="preserve"> under </w:t>
      </w:r>
      <w:r w:rsidR="00420D7E">
        <w:rPr>
          <w:rFonts w:ascii="Georgia" w:hAnsi="Georgia" w:cs="Arial"/>
        </w:rPr>
        <w:t>section</w:t>
      </w:r>
      <w:r w:rsidR="006569D3">
        <w:rPr>
          <w:rFonts w:ascii="Georgia" w:hAnsi="Georgia" w:cs="Arial"/>
        </w:rPr>
        <w:t>s</w:t>
      </w:r>
      <w:r w:rsidR="00420D7E">
        <w:rPr>
          <w:rFonts w:ascii="Georgia" w:hAnsi="Georgia" w:cs="Arial"/>
        </w:rPr>
        <w:t xml:space="preserve"> </w:t>
      </w:r>
      <w:r w:rsidR="009F54D2">
        <w:rPr>
          <w:rFonts w:ascii="Georgia" w:hAnsi="Georgia" w:cs="Arial"/>
        </w:rPr>
        <w:t xml:space="preserve">1(3) and (3A) of the </w:t>
      </w:r>
      <w:r w:rsidR="00766C4B">
        <w:rPr>
          <w:rFonts w:ascii="Georgia" w:hAnsi="Georgia" w:cs="Arial"/>
        </w:rPr>
        <w:t>Protection from Eviction Act 1977 (“the 1977 Act”)</w:t>
      </w:r>
      <w:r w:rsidR="00C52608">
        <w:rPr>
          <w:rFonts w:ascii="Georgia" w:hAnsi="Georgia" w:cs="Arial"/>
        </w:rPr>
        <w:t xml:space="preserve"> arising out of an incident </w:t>
      </w:r>
      <w:r w:rsidR="006569D3">
        <w:rPr>
          <w:rFonts w:ascii="Georgia" w:hAnsi="Georgia" w:cs="Arial"/>
        </w:rPr>
        <w:t xml:space="preserve">at the property </w:t>
      </w:r>
      <w:r w:rsidR="00C52608">
        <w:rPr>
          <w:rFonts w:ascii="Georgia" w:hAnsi="Georgia" w:cs="Arial"/>
        </w:rPr>
        <w:t>on 2</w:t>
      </w:r>
      <w:r w:rsidR="00BD7ECD">
        <w:rPr>
          <w:rFonts w:ascii="Georgia" w:hAnsi="Georgia" w:cs="Arial"/>
        </w:rPr>
        <w:t>0</w:t>
      </w:r>
      <w:r w:rsidR="00C52608">
        <w:rPr>
          <w:rFonts w:ascii="Georgia" w:hAnsi="Georgia" w:cs="Arial"/>
        </w:rPr>
        <w:t xml:space="preserve"> May 2024. </w:t>
      </w:r>
    </w:p>
    <w:p w14:paraId="1118E88F" w14:textId="72E3C285" w:rsidR="00C52608" w:rsidRDefault="000816B0" w:rsidP="00766C4B">
      <w:pPr>
        <w:numPr>
          <w:ilvl w:val="1"/>
          <w:numId w:val="8"/>
        </w:numPr>
        <w:autoSpaceDE w:val="0"/>
        <w:autoSpaceDN w:val="0"/>
        <w:adjustRightInd w:val="0"/>
        <w:spacing w:after="360"/>
        <w:jc w:val="both"/>
        <w:rPr>
          <w:rFonts w:ascii="Georgia" w:hAnsi="Georgia" w:cs="Arial"/>
        </w:rPr>
      </w:pPr>
      <w:r>
        <w:rPr>
          <w:rFonts w:ascii="Georgia" w:hAnsi="Georgia" w:cs="Arial"/>
        </w:rPr>
        <w:t xml:space="preserve">the Respondent had control of or was managing a house in multiple occupation (“a HMO”) </w:t>
      </w:r>
      <w:r w:rsidRPr="0073265B">
        <w:rPr>
          <w:rFonts w:ascii="Georgia" w:hAnsi="Georgia" w:cs="Arial"/>
        </w:rPr>
        <w:t xml:space="preserve">which was required </w:t>
      </w:r>
      <w:r>
        <w:rPr>
          <w:rFonts w:ascii="Georgia" w:hAnsi="Georgia" w:cs="Arial"/>
        </w:rPr>
        <w:t>to</w:t>
      </w:r>
      <w:r w:rsidRPr="0073265B">
        <w:rPr>
          <w:rFonts w:ascii="Georgia" w:hAnsi="Georgia" w:cs="Arial"/>
        </w:rPr>
        <w:t xml:space="preserve"> be licenced under the 2004 Act but which was not so licenced</w:t>
      </w:r>
      <w:r w:rsidR="00325EF5">
        <w:rPr>
          <w:rFonts w:ascii="Georgia" w:hAnsi="Georgia" w:cs="Arial"/>
        </w:rPr>
        <w:t xml:space="preserve">, and is guilty of an offence under </w:t>
      </w:r>
      <w:r w:rsidR="00496F64">
        <w:rPr>
          <w:rFonts w:ascii="Georgia" w:hAnsi="Georgia" w:cs="Arial"/>
        </w:rPr>
        <w:t xml:space="preserve">section 72(1) of the 2004 Act. </w:t>
      </w:r>
    </w:p>
    <w:p w14:paraId="50A77CFB" w14:textId="18405D27" w:rsidR="003864F3" w:rsidRDefault="003864F3" w:rsidP="003864F3">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 xml:space="preserve">The Respondent denies that she is guilty of any </w:t>
      </w:r>
      <w:r w:rsidR="006569D3">
        <w:rPr>
          <w:rFonts w:ascii="Georgia" w:hAnsi="Georgia" w:cs="Arial"/>
        </w:rPr>
        <w:t xml:space="preserve">of these </w:t>
      </w:r>
      <w:r>
        <w:rPr>
          <w:rFonts w:ascii="Georgia" w:hAnsi="Georgia" w:cs="Arial"/>
        </w:rPr>
        <w:t xml:space="preserve">offences. She points out that she was not present </w:t>
      </w:r>
      <w:r w:rsidR="00EF6230">
        <w:rPr>
          <w:rFonts w:ascii="Georgia" w:hAnsi="Georgia" w:cs="Arial"/>
        </w:rPr>
        <w:t>at the property on 2</w:t>
      </w:r>
      <w:r w:rsidR="00D63124">
        <w:rPr>
          <w:rFonts w:ascii="Georgia" w:hAnsi="Georgia" w:cs="Arial"/>
        </w:rPr>
        <w:t>0</w:t>
      </w:r>
      <w:r w:rsidR="00EF6230">
        <w:rPr>
          <w:rFonts w:ascii="Georgia" w:hAnsi="Georgia" w:cs="Arial"/>
        </w:rPr>
        <w:t xml:space="preserve"> May 2024. She asserts that she </w:t>
      </w:r>
      <w:r w:rsidR="00CC5694">
        <w:rPr>
          <w:rFonts w:ascii="Georgia" w:hAnsi="Georgia" w:cs="Arial"/>
        </w:rPr>
        <w:t xml:space="preserve">is an employee of Harvest Life </w:t>
      </w:r>
      <w:r w:rsidR="00BA69FE">
        <w:rPr>
          <w:rFonts w:ascii="Georgia" w:hAnsi="Georgia" w:cs="Arial"/>
        </w:rPr>
        <w:t>Care Limited</w:t>
      </w:r>
      <w:r w:rsidR="001125DB">
        <w:rPr>
          <w:rFonts w:ascii="Georgia" w:hAnsi="Georgia" w:cs="Arial"/>
        </w:rPr>
        <w:t xml:space="preserve">. Harvest Life Care Limited is </w:t>
      </w:r>
      <w:r w:rsidR="00BA69FE">
        <w:rPr>
          <w:rFonts w:ascii="Georgia" w:hAnsi="Georgia" w:cs="Arial"/>
        </w:rPr>
        <w:t xml:space="preserve">the company that arranged for the Applicants to move into the property and take up work in the United Kingdom. She denies that she </w:t>
      </w:r>
      <w:r w:rsidR="00BC4678">
        <w:rPr>
          <w:rFonts w:ascii="Georgia" w:hAnsi="Georgia" w:cs="Arial"/>
        </w:rPr>
        <w:t xml:space="preserve">had control of or managed the property. </w:t>
      </w:r>
    </w:p>
    <w:p w14:paraId="46B6DCBF" w14:textId="76C4CE85" w:rsidR="00B36E30" w:rsidRPr="007548FA" w:rsidRDefault="00B36E30" w:rsidP="003864F3">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 xml:space="preserve">The freehold owner of the property is </w:t>
      </w:r>
      <w:r w:rsidR="00FC66B3">
        <w:rPr>
          <w:rFonts w:ascii="Georgia" w:hAnsi="Georgia" w:cs="Arial"/>
        </w:rPr>
        <w:t>Aur</w:t>
      </w:r>
      <w:r w:rsidR="007F7EFE">
        <w:rPr>
          <w:rFonts w:ascii="Georgia" w:hAnsi="Georgia" w:cs="Arial"/>
        </w:rPr>
        <w:t>ang</w:t>
      </w:r>
      <w:r w:rsidR="003276DB">
        <w:rPr>
          <w:rFonts w:ascii="Georgia" w:hAnsi="Georgia" w:cs="Arial"/>
        </w:rPr>
        <w:t xml:space="preserve">zeb Hamid, registered under title number CB37140. The Applicants </w:t>
      </w:r>
      <w:r w:rsidR="006C6509">
        <w:rPr>
          <w:rFonts w:ascii="Georgia" w:hAnsi="Georgia" w:cs="Arial"/>
        </w:rPr>
        <w:t>have not sought to join Mr Hamid to these proceedings despite the point being raised by the tribunal in earlier directions</w:t>
      </w:r>
      <w:r w:rsidR="006569D3">
        <w:rPr>
          <w:rFonts w:ascii="Georgia" w:hAnsi="Georgia" w:cs="Arial"/>
        </w:rPr>
        <w:t xml:space="preserve"> and the Applicants having been given an opportunity to join Mr Hamid</w:t>
      </w:r>
      <w:r w:rsidR="00B95672">
        <w:rPr>
          <w:rFonts w:ascii="Georgia" w:hAnsi="Georgia" w:cs="Arial"/>
        </w:rPr>
        <w:t xml:space="preserve"> if they wished to do so</w:t>
      </w:r>
      <w:r w:rsidR="006C6509">
        <w:rPr>
          <w:rFonts w:ascii="Georgia" w:hAnsi="Georgia" w:cs="Arial"/>
        </w:rPr>
        <w:t xml:space="preserve">. </w:t>
      </w:r>
    </w:p>
    <w:p w14:paraId="53F3367B" w14:textId="77777777" w:rsidR="000927B4" w:rsidRPr="007548FA" w:rsidRDefault="000927B4" w:rsidP="00C663E1">
      <w:pPr>
        <w:autoSpaceDE w:val="0"/>
        <w:autoSpaceDN w:val="0"/>
        <w:adjustRightInd w:val="0"/>
        <w:spacing w:after="360"/>
        <w:jc w:val="both"/>
        <w:rPr>
          <w:rFonts w:ascii="Georgia" w:hAnsi="Georgia" w:cs="Arial"/>
          <w:b/>
          <w:u w:val="single"/>
        </w:rPr>
      </w:pPr>
      <w:r w:rsidRPr="007548FA">
        <w:rPr>
          <w:rFonts w:ascii="Georgia" w:hAnsi="Georgia" w:cs="Arial"/>
          <w:b/>
          <w:u w:val="single"/>
        </w:rPr>
        <w:t>The issues</w:t>
      </w:r>
    </w:p>
    <w:p w14:paraId="15BF7A58" w14:textId="77777777" w:rsidR="006509AF" w:rsidRDefault="006509AF" w:rsidP="006509AF">
      <w:pPr>
        <w:numPr>
          <w:ilvl w:val="0"/>
          <w:numId w:val="8"/>
        </w:numPr>
        <w:tabs>
          <w:tab w:val="num" w:pos="709"/>
        </w:tabs>
        <w:autoSpaceDE w:val="0"/>
        <w:autoSpaceDN w:val="0"/>
        <w:adjustRightInd w:val="0"/>
        <w:spacing w:after="360"/>
        <w:ind w:left="709" w:hanging="709"/>
        <w:jc w:val="both"/>
        <w:rPr>
          <w:rFonts w:ascii="Georgia" w:hAnsi="Georgia" w:cs="Arial"/>
        </w:rPr>
      </w:pPr>
      <w:r w:rsidRPr="0010713B">
        <w:rPr>
          <w:rFonts w:ascii="Georgia" w:hAnsi="Georgia" w:cs="Arial"/>
        </w:rPr>
        <w:t>At the start of the hearing the parties agreed that the following issues remain in dispute and require determination:</w:t>
      </w:r>
    </w:p>
    <w:p w14:paraId="6DC52C27" w14:textId="77777777" w:rsidR="006509AF" w:rsidRPr="00312F9E" w:rsidRDefault="006509AF" w:rsidP="006509AF">
      <w:pPr>
        <w:numPr>
          <w:ilvl w:val="1"/>
          <w:numId w:val="8"/>
        </w:numPr>
        <w:autoSpaceDE w:val="0"/>
        <w:autoSpaceDN w:val="0"/>
        <w:adjustRightInd w:val="0"/>
        <w:spacing w:after="360"/>
        <w:jc w:val="both"/>
        <w:rPr>
          <w:rFonts w:ascii="Georgia" w:hAnsi="Georgia" w:cs="Arial"/>
        </w:rPr>
      </w:pPr>
      <w:r w:rsidRPr="00312F9E">
        <w:rPr>
          <w:rFonts w:ascii="Georgia" w:hAnsi="Georgia" w:cs="Arial"/>
        </w:rPr>
        <w:t>Whether the tribunal is satisfied beyond reasonable doubt that the Respondent has committed an offence or offences to which Chapter 4 of the 2016 Act applies.</w:t>
      </w:r>
    </w:p>
    <w:p w14:paraId="403BB81F" w14:textId="77777777" w:rsidR="006509AF" w:rsidRDefault="006509AF" w:rsidP="006509AF">
      <w:pPr>
        <w:numPr>
          <w:ilvl w:val="1"/>
          <w:numId w:val="8"/>
        </w:numPr>
        <w:autoSpaceDE w:val="0"/>
        <w:autoSpaceDN w:val="0"/>
        <w:adjustRightInd w:val="0"/>
        <w:spacing w:after="360"/>
        <w:jc w:val="both"/>
        <w:rPr>
          <w:rFonts w:ascii="Georgia" w:hAnsi="Georgia" w:cs="Arial"/>
        </w:rPr>
      </w:pPr>
      <w:r>
        <w:rPr>
          <w:rFonts w:ascii="Georgia" w:hAnsi="Georgia" w:cs="Arial"/>
        </w:rPr>
        <w:lastRenderedPageBreak/>
        <w:t>whether the Applicants are entitled to a RRO under sections 41 and 43 of the 2016 Act; and if so</w:t>
      </w:r>
    </w:p>
    <w:p w14:paraId="4E136317" w14:textId="77777777" w:rsidR="006509AF" w:rsidRPr="00312F9E" w:rsidRDefault="006509AF" w:rsidP="006509AF">
      <w:pPr>
        <w:numPr>
          <w:ilvl w:val="1"/>
          <w:numId w:val="8"/>
        </w:numPr>
        <w:autoSpaceDE w:val="0"/>
        <w:autoSpaceDN w:val="0"/>
        <w:adjustRightInd w:val="0"/>
        <w:spacing w:after="360"/>
        <w:jc w:val="both"/>
        <w:rPr>
          <w:rFonts w:ascii="Georgia" w:hAnsi="Georgia" w:cs="Arial"/>
        </w:rPr>
      </w:pPr>
      <w:r>
        <w:rPr>
          <w:rFonts w:ascii="Georgia" w:hAnsi="Georgia" w:cs="Arial"/>
        </w:rPr>
        <w:t xml:space="preserve">the amount of the RRO, to be determined in accordance with section 44 of the 2016 Act. </w:t>
      </w:r>
    </w:p>
    <w:p w14:paraId="58CD3D6C" w14:textId="77777777" w:rsidR="006509AF" w:rsidRDefault="006509AF" w:rsidP="006509AF">
      <w:pPr>
        <w:numPr>
          <w:ilvl w:val="0"/>
          <w:numId w:val="8"/>
        </w:numPr>
        <w:tabs>
          <w:tab w:val="num" w:pos="709"/>
        </w:tabs>
        <w:autoSpaceDE w:val="0"/>
        <w:autoSpaceDN w:val="0"/>
        <w:adjustRightInd w:val="0"/>
        <w:spacing w:after="360"/>
        <w:ind w:left="709" w:hanging="709"/>
        <w:jc w:val="both"/>
        <w:rPr>
          <w:rFonts w:ascii="Georgia" w:hAnsi="Georgia" w:cs="Arial"/>
        </w:rPr>
      </w:pPr>
      <w:r w:rsidRPr="007548FA">
        <w:rPr>
          <w:rFonts w:ascii="Georgia" w:hAnsi="Georgia" w:cs="Arial"/>
        </w:rPr>
        <w:t>Having heard evidence and submissions from the parties and considered all the documents provided, the tribunal</w:t>
      </w:r>
      <w:r>
        <w:rPr>
          <w:rFonts w:ascii="Georgia" w:hAnsi="Georgia" w:cs="Arial"/>
        </w:rPr>
        <w:t xml:space="preserve"> mak</w:t>
      </w:r>
      <w:r w:rsidRPr="007548FA">
        <w:rPr>
          <w:rFonts w:ascii="Georgia" w:hAnsi="Georgia" w:cs="Arial"/>
        </w:rPr>
        <w:t>e</w:t>
      </w:r>
      <w:r>
        <w:rPr>
          <w:rFonts w:ascii="Georgia" w:hAnsi="Georgia" w:cs="Arial"/>
        </w:rPr>
        <w:t>s</w:t>
      </w:r>
      <w:r w:rsidRPr="007548FA">
        <w:rPr>
          <w:rFonts w:ascii="Georgia" w:hAnsi="Georgia" w:cs="Arial"/>
        </w:rPr>
        <w:t xml:space="preserve"> determinations on the</w:t>
      </w:r>
      <w:r>
        <w:rPr>
          <w:rFonts w:ascii="Georgia" w:hAnsi="Georgia" w:cs="Arial"/>
        </w:rPr>
        <w:t>se</w:t>
      </w:r>
      <w:r w:rsidRPr="007548FA">
        <w:rPr>
          <w:rFonts w:ascii="Georgia" w:hAnsi="Georgia" w:cs="Arial"/>
        </w:rPr>
        <w:t xml:space="preserve"> issues </w:t>
      </w:r>
      <w:r>
        <w:rPr>
          <w:rFonts w:ascii="Georgia" w:hAnsi="Georgia" w:cs="Arial"/>
        </w:rPr>
        <w:t xml:space="preserve">below. We focus in our judgment on the </w:t>
      </w:r>
      <w:r w:rsidRPr="003E6E20">
        <w:rPr>
          <w:rFonts w:ascii="Georgia" w:hAnsi="Georgia" w:cs="Arial"/>
        </w:rPr>
        <w:t>main</w:t>
      </w:r>
      <w:r>
        <w:rPr>
          <w:rFonts w:ascii="Georgia" w:hAnsi="Georgia" w:cs="Arial"/>
        </w:rPr>
        <w:t xml:space="preserve"> points</w:t>
      </w:r>
      <w:r w:rsidRPr="003E6E20">
        <w:rPr>
          <w:rFonts w:ascii="Georgia" w:hAnsi="Georgia" w:cs="Arial"/>
        </w:rPr>
        <w:t xml:space="preserve"> that have been identified by the parties, though </w:t>
      </w:r>
      <w:r>
        <w:rPr>
          <w:rFonts w:ascii="Georgia" w:hAnsi="Georgia" w:cs="Arial"/>
        </w:rPr>
        <w:t>we</w:t>
      </w:r>
      <w:r w:rsidRPr="003E6E20">
        <w:rPr>
          <w:rFonts w:ascii="Georgia" w:hAnsi="Georgia" w:cs="Arial"/>
        </w:rPr>
        <w:t xml:space="preserve"> have considered all the documents and the evidence and the issues raised and taken these into account</w:t>
      </w:r>
      <w:r>
        <w:rPr>
          <w:rFonts w:ascii="Georgia" w:hAnsi="Georgia" w:cs="Arial"/>
        </w:rPr>
        <w:t>.</w:t>
      </w:r>
    </w:p>
    <w:p w14:paraId="76D0AF3B" w14:textId="77777777" w:rsidR="00CD2DB9" w:rsidRPr="00203BC3" w:rsidRDefault="00CD2DB9" w:rsidP="00CD2DB9">
      <w:pPr>
        <w:autoSpaceDE w:val="0"/>
        <w:autoSpaceDN w:val="0"/>
        <w:adjustRightInd w:val="0"/>
        <w:spacing w:after="360"/>
        <w:jc w:val="both"/>
        <w:rPr>
          <w:rFonts w:ascii="Georgia" w:hAnsi="Georgia" w:cs="Arial"/>
        </w:rPr>
      </w:pPr>
      <w:r w:rsidRPr="00203BC3">
        <w:rPr>
          <w:rFonts w:ascii="Georgia" w:hAnsi="Georgia" w:cs="Arial"/>
          <w:b/>
          <w:u w:val="single"/>
        </w:rPr>
        <w:t>Legal framework</w:t>
      </w:r>
    </w:p>
    <w:p w14:paraId="3EDF4FF6" w14:textId="77777777" w:rsidR="00CD2DB9" w:rsidRDefault="00CD2DB9" w:rsidP="00CD2DB9">
      <w:pPr>
        <w:numPr>
          <w:ilvl w:val="0"/>
          <w:numId w:val="8"/>
        </w:numPr>
        <w:tabs>
          <w:tab w:val="num" w:pos="709"/>
        </w:tabs>
        <w:autoSpaceDE w:val="0"/>
        <w:autoSpaceDN w:val="0"/>
        <w:adjustRightInd w:val="0"/>
        <w:spacing w:after="360"/>
        <w:ind w:left="709" w:hanging="709"/>
        <w:jc w:val="both"/>
        <w:rPr>
          <w:rFonts w:ascii="Georgia" w:hAnsi="Georgia" w:cs="Arial"/>
        </w:rPr>
      </w:pPr>
      <w:r w:rsidRPr="00BA5578">
        <w:rPr>
          <w:rFonts w:ascii="Georgia" w:hAnsi="Georgia" w:cs="Arial"/>
        </w:rPr>
        <w:t>Section 40 of the 2016 Act provides that a RRO is an order requiring the landlord under a tenancy of housing in England to repay an amount of rent which has been paid by a tenant.</w:t>
      </w:r>
    </w:p>
    <w:p w14:paraId="446DD76C" w14:textId="77777777" w:rsidR="00584CF1" w:rsidRPr="00C12B84" w:rsidRDefault="00584CF1" w:rsidP="00584CF1">
      <w:pPr>
        <w:numPr>
          <w:ilvl w:val="0"/>
          <w:numId w:val="8"/>
        </w:numPr>
        <w:tabs>
          <w:tab w:val="num" w:pos="709"/>
        </w:tabs>
        <w:autoSpaceDE w:val="0"/>
        <w:autoSpaceDN w:val="0"/>
        <w:adjustRightInd w:val="0"/>
        <w:spacing w:after="360"/>
        <w:ind w:left="709" w:hanging="709"/>
        <w:jc w:val="both"/>
        <w:rPr>
          <w:rFonts w:ascii="Georgia" w:hAnsi="Georgia" w:cs="Arial"/>
        </w:rPr>
      </w:pPr>
      <w:r w:rsidRPr="00C12B84">
        <w:rPr>
          <w:rFonts w:ascii="Georgia" w:hAnsi="Georgia" w:cs="Arial"/>
        </w:rPr>
        <w:t xml:space="preserve">Section 41 of the 2016 Act provides: </w:t>
      </w:r>
    </w:p>
    <w:p w14:paraId="44EE33A9" w14:textId="77777777" w:rsidR="00584CF1" w:rsidRDefault="00584CF1" w:rsidP="00584CF1">
      <w:pPr>
        <w:pStyle w:val="Default"/>
        <w:ind w:left="709"/>
        <w:rPr>
          <w:sz w:val="23"/>
          <w:szCs w:val="23"/>
        </w:rPr>
      </w:pPr>
      <w:r>
        <w:rPr>
          <w:i/>
          <w:iCs/>
          <w:sz w:val="23"/>
          <w:szCs w:val="23"/>
        </w:rPr>
        <w:t xml:space="preserve">(1) A tenant … may apply to the First-tier Tribunal for a rent repayment order against a person who has committed an offence to which this Chapter applies. </w:t>
      </w:r>
    </w:p>
    <w:p w14:paraId="0140A3AE" w14:textId="77777777" w:rsidR="00584CF1" w:rsidRDefault="00584CF1" w:rsidP="00584CF1">
      <w:pPr>
        <w:pStyle w:val="Default"/>
        <w:ind w:firstLine="709"/>
        <w:rPr>
          <w:sz w:val="23"/>
          <w:szCs w:val="23"/>
        </w:rPr>
      </w:pPr>
      <w:r>
        <w:rPr>
          <w:i/>
          <w:iCs/>
          <w:sz w:val="23"/>
          <w:szCs w:val="23"/>
        </w:rPr>
        <w:t xml:space="preserve">(2) A tenant may apply for a rent repayment order only if — </w:t>
      </w:r>
    </w:p>
    <w:p w14:paraId="27D3F00D" w14:textId="77777777" w:rsidR="00584CF1" w:rsidRDefault="00584CF1" w:rsidP="00584CF1">
      <w:pPr>
        <w:pStyle w:val="Default"/>
        <w:ind w:left="709"/>
        <w:rPr>
          <w:sz w:val="23"/>
          <w:szCs w:val="23"/>
        </w:rPr>
      </w:pPr>
      <w:r>
        <w:rPr>
          <w:i/>
          <w:iCs/>
          <w:sz w:val="23"/>
          <w:szCs w:val="23"/>
        </w:rPr>
        <w:t xml:space="preserve">(a) the offence relates to housing that, at the time of the offence, was let to the tenant, and </w:t>
      </w:r>
    </w:p>
    <w:p w14:paraId="08ACF227" w14:textId="77777777" w:rsidR="00584CF1" w:rsidRDefault="00584CF1" w:rsidP="00584CF1">
      <w:pPr>
        <w:pStyle w:val="Default"/>
        <w:ind w:left="709"/>
        <w:rPr>
          <w:i/>
          <w:iCs/>
          <w:sz w:val="23"/>
          <w:szCs w:val="23"/>
        </w:rPr>
      </w:pPr>
      <w:r>
        <w:rPr>
          <w:i/>
          <w:iCs/>
          <w:sz w:val="23"/>
          <w:szCs w:val="23"/>
        </w:rPr>
        <w:t>(b) the offence was committed in the period of 12 months ending with the day on which the application is made.”</w:t>
      </w:r>
    </w:p>
    <w:p w14:paraId="6DD26F76" w14:textId="77777777" w:rsidR="00584CF1" w:rsidRDefault="00584CF1" w:rsidP="00584CF1">
      <w:pPr>
        <w:pStyle w:val="Default"/>
        <w:ind w:left="709"/>
        <w:rPr>
          <w:i/>
          <w:iCs/>
          <w:sz w:val="23"/>
          <w:szCs w:val="23"/>
        </w:rPr>
      </w:pPr>
    </w:p>
    <w:p w14:paraId="1F03FC98" w14:textId="31A95767" w:rsidR="00BB1835" w:rsidRDefault="00BB1835" w:rsidP="00BB1835">
      <w:pPr>
        <w:numPr>
          <w:ilvl w:val="0"/>
          <w:numId w:val="8"/>
        </w:numPr>
        <w:tabs>
          <w:tab w:val="num" w:pos="709"/>
        </w:tabs>
        <w:autoSpaceDE w:val="0"/>
        <w:autoSpaceDN w:val="0"/>
        <w:adjustRightInd w:val="0"/>
        <w:spacing w:after="360"/>
        <w:ind w:left="709" w:hanging="709"/>
        <w:jc w:val="both"/>
        <w:rPr>
          <w:rFonts w:ascii="Georgia" w:hAnsi="Georgia" w:cs="Arial"/>
        </w:rPr>
      </w:pPr>
      <w:r w:rsidRPr="00786207">
        <w:rPr>
          <w:rFonts w:ascii="Georgia" w:hAnsi="Georgia" w:cs="Arial"/>
        </w:rPr>
        <w:t>The relevant offences</w:t>
      </w:r>
      <w:r>
        <w:rPr>
          <w:rFonts w:ascii="Georgia" w:hAnsi="Georgia" w:cs="Arial"/>
        </w:rPr>
        <w:t xml:space="preserve"> to which Chapter 4 of the 2016 Act applies</w:t>
      </w:r>
      <w:r w:rsidRPr="00786207">
        <w:rPr>
          <w:rFonts w:ascii="Georgia" w:hAnsi="Georgia" w:cs="Arial"/>
        </w:rPr>
        <w:t xml:space="preserve"> are set out at section 40. They include</w:t>
      </w:r>
      <w:r>
        <w:rPr>
          <w:rFonts w:ascii="Georgia" w:hAnsi="Georgia" w:cs="Arial"/>
        </w:rPr>
        <w:t xml:space="preserve"> the offences under section</w:t>
      </w:r>
      <w:r w:rsidRPr="00BF318A">
        <w:rPr>
          <w:rFonts w:ascii="Georgia" w:hAnsi="Georgia" w:cs="Arial"/>
        </w:rPr>
        <w:t xml:space="preserve"> 1((3) or (3A)</w:t>
      </w:r>
      <w:r>
        <w:rPr>
          <w:rFonts w:ascii="Georgia" w:hAnsi="Georgia" w:cs="Arial"/>
        </w:rPr>
        <w:t xml:space="preserve"> of the </w:t>
      </w:r>
      <w:r w:rsidRPr="00B6152D">
        <w:rPr>
          <w:rFonts w:ascii="Georgia" w:hAnsi="Georgia" w:cs="Arial"/>
        </w:rPr>
        <w:t>1977</w:t>
      </w:r>
      <w:r>
        <w:rPr>
          <w:rFonts w:ascii="Georgia" w:hAnsi="Georgia" w:cs="Arial"/>
        </w:rPr>
        <w:t xml:space="preserve"> Act of evicting or harassing occupiers and the offence under </w:t>
      </w:r>
      <w:r w:rsidR="00BC2C57">
        <w:rPr>
          <w:rFonts w:ascii="Georgia" w:hAnsi="Georgia" w:cs="Arial"/>
        </w:rPr>
        <w:t>section 72(1) of the 2004 Act of having control or management of an unlicensed HMO</w:t>
      </w:r>
      <w:r>
        <w:rPr>
          <w:rFonts w:ascii="Georgia" w:hAnsi="Georgia" w:cs="Arial"/>
        </w:rPr>
        <w:t xml:space="preserve">. </w:t>
      </w:r>
    </w:p>
    <w:p w14:paraId="76FE2483" w14:textId="77777777" w:rsidR="00BB1835" w:rsidRPr="006A1F32" w:rsidRDefault="00BB1835" w:rsidP="00BB1835">
      <w:pPr>
        <w:numPr>
          <w:ilvl w:val="0"/>
          <w:numId w:val="8"/>
        </w:numPr>
        <w:tabs>
          <w:tab w:val="num" w:pos="709"/>
        </w:tabs>
        <w:autoSpaceDE w:val="0"/>
        <w:autoSpaceDN w:val="0"/>
        <w:adjustRightInd w:val="0"/>
        <w:spacing w:after="360"/>
        <w:ind w:left="709" w:hanging="709"/>
        <w:jc w:val="both"/>
        <w:rPr>
          <w:rFonts w:ascii="Georgia" w:hAnsi="Georgia" w:cs="Arial"/>
          <w:i/>
          <w:iCs/>
        </w:rPr>
      </w:pPr>
      <w:r>
        <w:rPr>
          <w:rFonts w:ascii="Georgia" w:hAnsi="Georgia" w:cs="Arial"/>
        </w:rPr>
        <w:t>By section 1(3) of the 1977 Act:</w:t>
      </w:r>
    </w:p>
    <w:p w14:paraId="0ECBB8DE" w14:textId="77777777" w:rsidR="00BB1835" w:rsidRPr="00F04C74" w:rsidRDefault="00BB1835" w:rsidP="00BB1835">
      <w:pPr>
        <w:autoSpaceDE w:val="0"/>
        <w:autoSpaceDN w:val="0"/>
        <w:adjustRightInd w:val="0"/>
        <w:spacing w:after="360"/>
        <w:ind w:left="709"/>
        <w:jc w:val="both"/>
        <w:rPr>
          <w:rFonts w:ascii="Georgia" w:hAnsi="Georgia" w:cs="Arial"/>
          <w:i/>
          <w:iCs/>
          <w:sz w:val="23"/>
          <w:szCs w:val="23"/>
        </w:rPr>
      </w:pPr>
      <w:r w:rsidRPr="00F04C74">
        <w:rPr>
          <w:rFonts w:ascii="Georgia" w:hAnsi="Georgia" w:cs="Arial"/>
          <w:sz w:val="23"/>
          <w:szCs w:val="23"/>
        </w:rPr>
        <w:t>“</w:t>
      </w:r>
      <w:r w:rsidRPr="00F04C74">
        <w:rPr>
          <w:rFonts w:ascii="Georgia" w:hAnsi="Georgia" w:cs="Arial"/>
          <w:i/>
          <w:iCs/>
          <w:sz w:val="23"/>
          <w:szCs w:val="23"/>
        </w:rPr>
        <w:t>If any person with intent to cause the residential occupier of any premises—</w:t>
      </w:r>
    </w:p>
    <w:p w14:paraId="387FD91E" w14:textId="77777777" w:rsidR="00BB1835" w:rsidRPr="00F04C74" w:rsidRDefault="00BB1835" w:rsidP="00BB1835">
      <w:pPr>
        <w:autoSpaceDE w:val="0"/>
        <w:autoSpaceDN w:val="0"/>
        <w:adjustRightInd w:val="0"/>
        <w:spacing w:after="360"/>
        <w:ind w:left="709"/>
        <w:jc w:val="both"/>
        <w:rPr>
          <w:rFonts w:ascii="Georgia" w:hAnsi="Georgia" w:cs="Arial"/>
          <w:i/>
          <w:iCs/>
          <w:sz w:val="23"/>
          <w:szCs w:val="23"/>
        </w:rPr>
      </w:pPr>
      <w:r w:rsidRPr="00F04C74">
        <w:rPr>
          <w:rFonts w:ascii="Georgia" w:hAnsi="Georgia" w:cs="Arial"/>
          <w:i/>
          <w:iCs/>
          <w:sz w:val="23"/>
          <w:szCs w:val="23"/>
        </w:rPr>
        <w:t>(a)  to give up the occupation of the premises or any part thereof; or</w:t>
      </w:r>
    </w:p>
    <w:p w14:paraId="1BB91DC8" w14:textId="77777777" w:rsidR="00BB1835" w:rsidRPr="00F04C74" w:rsidRDefault="00BB1835" w:rsidP="00BB1835">
      <w:pPr>
        <w:autoSpaceDE w:val="0"/>
        <w:autoSpaceDN w:val="0"/>
        <w:adjustRightInd w:val="0"/>
        <w:spacing w:after="360"/>
        <w:ind w:left="709"/>
        <w:jc w:val="both"/>
        <w:rPr>
          <w:rFonts w:ascii="Georgia" w:hAnsi="Georgia" w:cs="Arial"/>
          <w:i/>
          <w:iCs/>
          <w:sz w:val="23"/>
          <w:szCs w:val="23"/>
        </w:rPr>
      </w:pPr>
      <w:r w:rsidRPr="00F04C74">
        <w:rPr>
          <w:rFonts w:ascii="Georgia" w:hAnsi="Georgia" w:cs="Arial"/>
          <w:i/>
          <w:iCs/>
          <w:sz w:val="23"/>
          <w:szCs w:val="23"/>
        </w:rPr>
        <w:t>(b)  to refrain from exercising any right or pursuing any remedy in respect of the premises or part thereof;</w:t>
      </w:r>
    </w:p>
    <w:p w14:paraId="27B838E1" w14:textId="77777777" w:rsidR="00BB1835" w:rsidRPr="003E72E0" w:rsidRDefault="00BB1835" w:rsidP="00BB1835">
      <w:pPr>
        <w:autoSpaceDE w:val="0"/>
        <w:autoSpaceDN w:val="0"/>
        <w:adjustRightInd w:val="0"/>
        <w:spacing w:after="360"/>
        <w:ind w:left="709"/>
        <w:jc w:val="both"/>
        <w:rPr>
          <w:rFonts w:ascii="Georgia" w:hAnsi="Georgia" w:cs="Arial"/>
        </w:rPr>
      </w:pPr>
      <w:r w:rsidRPr="00F04C74">
        <w:rPr>
          <w:rFonts w:ascii="Georgia" w:hAnsi="Georgia" w:cs="Arial"/>
          <w:i/>
          <w:iCs/>
          <w:sz w:val="23"/>
          <w:szCs w:val="23"/>
        </w:rPr>
        <w:t xml:space="preserve">does acts likely to interfere with the peace or comfort of the residential occupier or members of his household, or persistently withdraws or </w:t>
      </w:r>
      <w:r w:rsidRPr="00F04C74">
        <w:rPr>
          <w:rFonts w:ascii="Georgia" w:hAnsi="Georgia" w:cs="Arial"/>
          <w:i/>
          <w:iCs/>
          <w:sz w:val="23"/>
          <w:szCs w:val="23"/>
        </w:rPr>
        <w:lastRenderedPageBreak/>
        <w:t>withholds services reasonably required for the occupation of the premises as a residence, he shall be guilty of an offence</w:t>
      </w:r>
      <w:r w:rsidRPr="00F04C74">
        <w:rPr>
          <w:rFonts w:ascii="Georgia" w:hAnsi="Georgia" w:cs="Arial"/>
          <w:sz w:val="23"/>
          <w:szCs w:val="23"/>
        </w:rPr>
        <w:t>”</w:t>
      </w:r>
      <w:r>
        <w:rPr>
          <w:rFonts w:ascii="Georgia" w:hAnsi="Georgia" w:cs="Arial"/>
        </w:rPr>
        <w:t xml:space="preserve">. </w:t>
      </w:r>
    </w:p>
    <w:p w14:paraId="616AE48E" w14:textId="77777777" w:rsidR="00BB1835" w:rsidRPr="006B5B79" w:rsidRDefault="00BB1835" w:rsidP="00BB1835">
      <w:pPr>
        <w:numPr>
          <w:ilvl w:val="0"/>
          <w:numId w:val="8"/>
        </w:numPr>
        <w:tabs>
          <w:tab w:val="num" w:pos="709"/>
        </w:tabs>
        <w:autoSpaceDE w:val="0"/>
        <w:autoSpaceDN w:val="0"/>
        <w:adjustRightInd w:val="0"/>
        <w:spacing w:after="360"/>
        <w:ind w:left="709" w:hanging="709"/>
        <w:jc w:val="both"/>
        <w:rPr>
          <w:rFonts w:ascii="Georgia" w:hAnsi="Georgia" w:cs="Arial"/>
          <w:i/>
          <w:iCs/>
        </w:rPr>
      </w:pPr>
      <w:r>
        <w:rPr>
          <w:rFonts w:ascii="Georgia" w:hAnsi="Georgia" w:cs="Arial"/>
        </w:rPr>
        <w:t>By section 1(3A) of the 1977 Act:</w:t>
      </w:r>
    </w:p>
    <w:p w14:paraId="5CCF0D1A" w14:textId="77777777" w:rsidR="00BB1835" w:rsidRPr="00CF4F85" w:rsidRDefault="00BB1835" w:rsidP="00BB1835">
      <w:pPr>
        <w:autoSpaceDE w:val="0"/>
        <w:autoSpaceDN w:val="0"/>
        <w:adjustRightInd w:val="0"/>
        <w:spacing w:after="360"/>
        <w:ind w:left="709"/>
        <w:jc w:val="both"/>
        <w:rPr>
          <w:rFonts w:ascii="Georgia" w:hAnsi="Georgia" w:cs="Arial"/>
          <w:i/>
          <w:iCs/>
          <w:sz w:val="23"/>
          <w:szCs w:val="23"/>
        </w:rPr>
      </w:pPr>
      <w:r>
        <w:rPr>
          <w:rFonts w:ascii="Georgia" w:hAnsi="Georgia" w:cs="Arial"/>
        </w:rPr>
        <w:t>“</w:t>
      </w:r>
      <w:r w:rsidRPr="00CF4F85">
        <w:rPr>
          <w:rFonts w:ascii="Georgia" w:hAnsi="Georgia" w:cs="Arial"/>
          <w:i/>
          <w:iCs/>
          <w:sz w:val="23"/>
          <w:szCs w:val="23"/>
        </w:rPr>
        <w:t>(3A)  Subject to subsection (3B) below, the landlord of a residential occupier or an agent of the landlord shall be guilty of an offence if—</w:t>
      </w:r>
    </w:p>
    <w:p w14:paraId="0E367F68" w14:textId="77777777" w:rsidR="00BB1835" w:rsidRPr="00CF4F85" w:rsidRDefault="00BB1835" w:rsidP="00BB1835">
      <w:pPr>
        <w:autoSpaceDE w:val="0"/>
        <w:autoSpaceDN w:val="0"/>
        <w:adjustRightInd w:val="0"/>
        <w:spacing w:after="360"/>
        <w:ind w:left="709"/>
        <w:jc w:val="both"/>
        <w:rPr>
          <w:rFonts w:ascii="Georgia" w:hAnsi="Georgia" w:cs="Arial"/>
          <w:i/>
          <w:iCs/>
          <w:sz w:val="23"/>
          <w:szCs w:val="23"/>
        </w:rPr>
      </w:pPr>
      <w:r w:rsidRPr="00CF4F85">
        <w:rPr>
          <w:rFonts w:ascii="Georgia" w:hAnsi="Georgia" w:cs="Arial"/>
          <w:i/>
          <w:iCs/>
          <w:sz w:val="23"/>
          <w:szCs w:val="23"/>
        </w:rPr>
        <w:t>(a)  he does acts likely to interfere with the peace or comfort of the residential occupier or members of his household, or</w:t>
      </w:r>
    </w:p>
    <w:p w14:paraId="5BC26DE7" w14:textId="77777777" w:rsidR="00BB1835" w:rsidRPr="00CF4F85" w:rsidRDefault="00BB1835" w:rsidP="00BB1835">
      <w:pPr>
        <w:autoSpaceDE w:val="0"/>
        <w:autoSpaceDN w:val="0"/>
        <w:adjustRightInd w:val="0"/>
        <w:spacing w:after="360"/>
        <w:ind w:left="709"/>
        <w:jc w:val="both"/>
        <w:rPr>
          <w:rFonts w:ascii="Georgia" w:hAnsi="Georgia" w:cs="Arial"/>
          <w:i/>
          <w:iCs/>
          <w:sz w:val="23"/>
          <w:szCs w:val="23"/>
        </w:rPr>
      </w:pPr>
      <w:r w:rsidRPr="00CF4F85">
        <w:rPr>
          <w:rFonts w:ascii="Georgia" w:hAnsi="Georgia" w:cs="Arial"/>
          <w:i/>
          <w:iCs/>
          <w:sz w:val="23"/>
          <w:szCs w:val="23"/>
        </w:rPr>
        <w:t>(b)  he persistently withdraws or withholds services reasonably required for the occupation of the premises in question as a residence,</w:t>
      </w:r>
    </w:p>
    <w:p w14:paraId="4CFF2ECE" w14:textId="77777777" w:rsidR="00BB1835" w:rsidRPr="00CF4F85" w:rsidRDefault="00BB1835" w:rsidP="00BB1835">
      <w:pPr>
        <w:autoSpaceDE w:val="0"/>
        <w:autoSpaceDN w:val="0"/>
        <w:adjustRightInd w:val="0"/>
        <w:spacing w:after="360"/>
        <w:ind w:left="709"/>
        <w:jc w:val="both"/>
        <w:rPr>
          <w:rFonts w:ascii="Georgia" w:hAnsi="Georgia" w:cs="Arial"/>
        </w:rPr>
      </w:pPr>
      <w:r w:rsidRPr="00CF4F85">
        <w:rPr>
          <w:rFonts w:ascii="Georgia" w:hAnsi="Georgia" w:cs="Arial"/>
          <w:i/>
          <w:iCs/>
          <w:sz w:val="23"/>
          <w:szCs w:val="23"/>
        </w:rPr>
        <w:t xml:space="preserve"> and (in either case) he knows, or has reasonable cause to believe, that that conduct is likely to cause the residential occupier to give up the occupation of the whole or part of the premises or to refrain from exercising any right or pursuing any remedy in respect of the whole or part of the premises</w:t>
      </w:r>
      <w:r w:rsidRPr="00CF4F85">
        <w:rPr>
          <w:rFonts w:ascii="Georgia" w:hAnsi="Georgia" w:cs="Arial"/>
          <w:sz w:val="23"/>
          <w:szCs w:val="23"/>
        </w:rPr>
        <w:t>.</w:t>
      </w:r>
      <w:r>
        <w:rPr>
          <w:rFonts w:ascii="Georgia" w:hAnsi="Georgia" w:cs="Arial"/>
        </w:rPr>
        <w:t>”</w:t>
      </w:r>
    </w:p>
    <w:p w14:paraId="29561653" w14:textId="77777777" w:rsidR="00D60543" w:rsidRPr="007E08B2" w:rsidRDefault="00D60543" w:rsidP="00D60543">
      <w:pPr>
        <w:numPr>
          <w:ilvl w:val="0"/>
          <w:numId w:val="8"/>
        </w:numPr>
        <w:tabs>
          <w:tab w:val="num" w:pos="709"/>
        </w:tabs>
        <w:autoSpaceDE w:val="0"/>
        <w:autoSpaceDN w:val="0"/>
        <w:adjustRightInd w:val="0"/>
        <w:spacing w:after="360"/>
        <w:ind w:left="709" w:hanging="709"/>
        <w:jc w:val="both"/>
        <w:rPr>
          <w:rFonts w:ascii="Georgia" w:hAnsi="Georgia" w:cs="Arial"/>
        </w:rPr>
      </w:pPr>
      <w:r w:rsidRPr="007E08B2">
        <w:rPr>
          <w:rFonts w:ascii="Georgia" w:hAnsi="Georgia" w:cs="Arial"/>
        </w:rPr>
        <w:t>Section 72 of the 2004 Act provides, so far as is material:</w:t>
      </w:r>
    </w:p>
    <w:p w14:paraId="66A338B4" w14:textId="77777777" w:rsidR="00D60543" w:rsidRDefault="00D60543" w:rsidP="00D60543">
      <w:pPr>
        <w:pStyle w:val="Default"/>
        <w:ind w:left="709"/>
        <w:rPr>
          <w:i/>
          <w:iCs/>
          <w:sz w:val="23"/>
          <w:szCs w:val="23"/>
        </w:rPr>
      </w:pPr>
      <w:r w:rsidRPr="00466B5F">
        <w:rPr>
          <w:i/>
          <w:iCs/>
          <w:sz w:val="23"/>
          <w:szCs w:val="23"/>
        </w:rPr>
        <w:t>(1</w:t>
      </w:r>
      <w:r>
        <w:rPr>
          <w:i/>
          <w:iCs/>
          <w:sz w:val="23"/>
          <w:szCs w:val="23"/>
        </w:rPr>
        <w:t xml:space="preserve">) </w:t>
      </w:r>
      <w:r w:rsidRPr="007E08B2">
        <w:rPr>
          <w:i/>
          <w:iCs/>
          <w:sz w:val="23"/>
          <w:szCs w:val="23"/>
        </w:rPr>
        <w:t>A person commits an offence if he is a person having control of or managing an HMO which is required to be licensed under this Part (see section 61(1)) but is not so licensed.</w:t>
      </w:r>
    </w:p>
    <w:p w14:paraId="4607874F" w14:textId="77777777" w:rsidR="001D5E0E" w:rsidRDefault="001D5E0E" w:rsidP="00D60543">
      <w:pPr>
        <w:pStyle w:val="Default"/>
        <w:ind w:left="709"/>
        <w:rPr>
          <w:i/>
          <w:iCs/>
          <w:sz w:val="23"/>
          <w:szCs w:val="23"/>
        </w:rPr>
      </w:pPr>
    </w:p>
    <w:p w14:paraId="5FD57F4C" w14:textId="77777777" w:rsidR="001D5E0E" w:rsidRPr="00C123AB" w:rsidRDefault="001D5E0E" w:rsidP="001D5E0E">
      <w:pPr>
        <w:numPr>
          <w:ilvl w:val="0"/>
          <w:numId w:val="8"/>
        </w:numPr>
        <w:autoSpaceDE w:val="0"/>
        <w:autoSpaceDN w:val="0"/>
        <w:adjustRightInd w:val="0"/>
        <w:spacing w:after="360"/>
        <w:ind w:left="709" w:hanging="709"/>
        <w:jc w:val="both"/>
        <w:rPr>
          <w:rFonts w:ascii="Georgia" w:hAnsi="Georgia" w:cs="Arial"/>
          <w:i/>
          <w:iCs/>
        </w:rPr>
      </w:pPr>
      <w:r>
        <w:rPr>
          <w:rFonts w:ascii="Georgia" w:hAnsi="Georgia" w:cs="Arial"/>
        </w:rPr>
        <w:t>The definition of a HMO is found in section 254 of the 2004 Act, which sets out various tests by which a building may fall within the definition of a HMO. By section 254(2) of the 2004 Act:</w:t>
      </w:r>
    </w:p>
    <w:p w14:paraId="1C8172A9" w14:textId="77777777" w:rsidR="001D5E0E" w:rsidRPr="00C123AB" w:rsidRDefault="001D5E0E" w:rsidP="001D5E0E">
      <w:pPr>
        <w:autoSpaceDE w:val="0"/>
        <w:autoSpaceDN w:val="0"/>
        <w:adjustRightInd w:val="0"/>
        <w:spacing w:after="360"/>
        <w:ind w:left="709"/>
        <w:jc w:val="both"/>
        <w:rPr>
          <w:rFonts w:ascii="Georgia" w:hAnsi="Georgia" w:cs="Arial"/>
          <w:i/>
          <w:iCs/>
          <w:sz w:val="23"/>
          <w:szCs w:val="23"/>
        </w:rPr>
      </w:pPr>
      <w:r w:rsidRPr="00C123AB">
        <w:rPr>
          <w:rFonts w:ascii="Georgia" w:hAnsi="Georgia" w:cs="Arial"/>
          <w:sz w:val="23"/>
          <w:szCs w:val="23"/>
        </w:rPr>
        <w:t>“</w:t>
      </w:r>
      <w:r w:rsidRPr="00C123AB">
        <w:rPr>
          <w:rFonts w:ascii="Georgia" w:hAnsi="Georgia" w:cs="Arial"/>
          <w:i/>
          <w:iCs/>
          <w:sz w:val="23"/>
          <w:szCs w:val="23"/>
        </w:rPr>
        <w:t>a building or a part of a building meets the standard test if</w:t>
      </w:r>
    </w:p>
    <w:p w14:paraId="2D186E06" w14:textId="77777777" w:rsidR="001D5E0E" w:rsidRPr="00C123AB" w:rsidRDefault="001D5E0E" w:rsidP="001D5E0E">
      <w:pPr>
        <w:autoSpaceDE w:val="0"/>
        <w:autoSpaceDN w:val="0"/>
        <w:adjustRightInd w:val="0"/>
        <w:spacing w:after="360"/>
        <w:ind w:left="709"/>
        <w:jc w:val="both"/>
        <w:rPr>
          <w:rFonts w:ascii="Georgia" w:hAnsi="Georgia" w:cs="Arial"/>
          <w:i/>
          <w:iCs/>
          <w:sz w:val="23"/>
          <w:szCs w:val="23"/>
        </w:rPr>
      </w:pPr>
      <w:r w:rsidRPr="00C123AB">
        <w:rPr>
          <w:rFonts w:ascii="Georgia" w:hAnsi="Georgia" w:cs="Arial"/>
          <w:i/>
          <w:iCs/>
          <w:sz w:val="23"/>
          <w:szCs w:val="23"/>
        </w:rPr>
        <w:t>(a) it consists of one or more units of living accommodation not consisting of a self-contained flat or flats;</w:t>
      </w:r>
    </w:p>
    <w:p w14:paraId="1D41B19A" w14:textId="77777777" w:rsidR="001D5E0E" w:rsidRPr="00896CF4" w:rsidRDefault="001D5E0E" w:rsidP="001D5E0E">
      <w:pPr>
        <w:autoSpaceDE w:val="0"/>
        <w:autoSpaceDN w:val="0"/>
        <w:adjustRightInd w:val="0"/>
        <w:spacing w:after="360"/>
        <w:ind w:left="709"/>
        <w:jc w:val="both"/>
        <w:rPr>
          <w:rFonts w:ascii="Georgia" w:hAnsi="Georgia" w:cs="Arial"/>
          <w:i/>
          <w:iCs/>
          <w:sz w:val="23"/>
          <w:szCs w:val="23"/>
        </w:rPr>
      </w:pPr>
      <w:r w:rsidRPr="00896CF4">
        <w:rPr>
          <w:rFonts w:ascii="Georgia" w:hAnsi="Georgia" w:cs="Arial"/>
          <w:i/>
          <w:iCs/>
          <w:sz w:val="23"/>
          <w:szCs w:val="23"/>
        </w:rPr>
        <w:t>(b)</w:t>
      </w:r>
      <w:r w:rsidRPr="00C123AB">
        <w:rPr>
          <w:rFonts w:ascii="Georgia" w:hAnsi="Georgia" w:cs="Arial"/>
          <w:i/>
          <w:iCs/>
          <w:sz w:val="23"/>
          <w:szCs w:val="23"/>
        </w:rPr>
        <w:t xml:space="preserve"> </w:t>
      </w:r>
      <w:r w:rsidRPr="00896CF4">
        <w:rPr>
          <w:rFonts w:ascii="Georgia" w:hAnsi="Georgia" w:cs="Arial"/>
          <w:i/>
          <w:iCs/>
          <w:sz w:val="23"/>
          <w:szCs w:val="23"/>
        </w:rPr>
        <w:t>the living accommodation is occupied by persons who do not form a single household (see section 258);</w:t>
      </w:r>
    </w:p>
    <w:p w14:paraId="7C47171D" w14:textId="77777777" w:rsidR="001D5E0E" w:rsidRPr="00896CF4" w:rsidRDefault="001D5E0E" w:rsidP="001D5E0E">
      <w:pPr>
        <w:autoSpaceDE w:val="0"/>
        <w:autoSpaceDN w:val="0"/>
        <w:adjustRightInd w:val="0"/>
        <w:spacing w:after="360"/>
        <w:ind w:left="709"/>
        <w:jc w:val="both"/>
        <w:rPr>
          <w:rFonts w:ascii="Georgia" w:hAnsi="Georgia" w:cs="Arial"/>
          <w:i/>
          <w:iCs/>
          <w:sz w:val="23"/>
          <w:szCs w:val="23"/>
        </w:rPr>
      </w:pPr>
      <w:r w:rsidRPr="00896CF4">
        <w:rPr>
          <w:rFonts w:ascii="Georgia" w:hAnsi="Georgia" w:cs="Arial"/>
          <w:i/>
          <w:iCs/>
          <w:sz w:val="23"/>
          <w:szCs w:val="23"/>
        </w:rPr>
        <w:t>(c)</w:t>
      </w:r>
      <w:r w:rsidRPr="00C123AB">
        <w:rPr>
          <w:rFonts w:ascii="Georgia" w:hAnsi="Georgia" w:cs="Arial"/>
          <w:i/>
          <w:iCs/>
          <w:sz w:val="23"/>
          <w:szCs w:val="23"/>
        </w:rPr>
        <w:t xml:space="preserve"> </w:t>
      </w:r>
      <w:r w:rsidRPr="00896CF4">
        <w:rPr>
          <w:rFonts w:ascii="Georgia" w:hAnsi="Georgia" w:cs="Arial"/>
          <w:i/>
          <w:iCs/>
          <w:sz w:val="23"/>
          <w:szCs w:val="23"/>
        </w:rPr>
        <w:t>the living accommodation is occupied by those persons as their only or main residence or they are to be treated as so occupying it (see section 259);</w:t>
      </w:r>
    </w:p>
    <w:p w14:paraId="4E4EC040" w14:textId="77777777" w:rsidR="001D5E0E" w:rsidRPr="00896CF4" w:rsidRDefault="001D5E0E" w:rsidP="001D5E0E">
      <w:pPr>
        <w:autoSpaceDE w:val="0"/>
        <w:autoSpaceDN w:val="0"/>
        <w:adjustRightInd w:val="0"/>
        <w:spacing w:after="360"/>
        <w:ind w:left="709"/>
        <w:jc w:val="both"/>
        <w:rPr>
          <w:rFonts w:ascii="Georgia" w:hAnsi="Georgia" w:cs="Arial"/>
          <w:i/>
          <w:iCs/>
          <w:sz w:val="23"/>
          <w:szCs w:val="23"/>
        </w:rPr>
      </w:pPr>
      <w:r w:rsidRPr="00896CF4">
        <w:rPr>
          <w:rFonts w:ascii="Georgia" w:hAnsi="Georgia" w:cs="Arial"/>
          <w:i/>
          <w:iCs/>
          <w:sz w:val="23"/>
          <w:szCs w:val="23"/>
        </w:rPr>
        <w:t>(d)</w:t>
      </w:r>
      <w:r w:rsidRPr="00C123AB">
        <w:rPr>
          <w:rFonts w:ascii="Georgia" w:hAnsi="Georgia" w:cs="Arial"/>
          <w:i/>
          <w:iCs/>
          <w:sz w:val="23"/>
          <w:szCs w:val="23"/>
        </w:rPr>
        <w:t xml:space="preserve"> </w:t>
      </w:r>
      <w:r w:rsidRPr="00896CF4">
        <w:rPr>
          <w:rFonts w:ascii="Georgia" w:hAnsi="Georgia" w:cs="Arial"/>
          <w:i/>
          <w:iCs/>
          <w:sz w:val="23"/>
          <w:szCs w:val="23"/>
        </w:rPr>
        <w:t>their occupation of the living accommodation constitutes the only use of that accommodation;</w:t>
      </w:r>
    </w:p>
    <w:p w14:paraId="3E3235E3" w14:textId="77777777" w:rsidR="001D5E0E" w:rsidRPr="00896CF4" w:rsidRDefault="001D5E0E" w:rsidP="001D5E0E">
      <w:pPr>
        <w:autoSpaceDE w:val="0"/>
        <w:autoSpaceDN w:val="0"/>
        <w:adjustRightInd w:val="0"/>
        <w:spacing w:after="360"/>
        <w:ind w:left="709"/>
        <w:jc w:val="both"/>
        <w:rPr>
          <w:rFonts w:ascii="Georgia" w:hAnsi="Georgia" w:cs="Arial"/>
          <w:i/>
          <w:iCs/>
          <w:sz w:val="23"/>
          <w:szCs w:val="23"/>
        </w:rPr>
      </w:pPr>
      <w:r w:rsidRPr="00896CF4">
        <w:rPr>
          <w:rFonts w:ascii="Georgia" w:hAnsi="Georgia" w:cs="Arial"/>
          <w:i/>
          <w:iCs/>
          <w:sz w:val="23"/>
          <w:szCs w:val="23"/>
        </w:rPr>
        <w:t>(e)</w:t>
      </w:r>
      <w:r w:rsidRPr="00C123AB">
        <w:rPr>
          <w:rFonts w:ascii="Georgia" w:hAnsi="Georgia" w:cs="Arial"/>
          <w:i/>
          <w:iCs/>
          <w:sz w:val="23"/>
          <w:szCs w:val="23"/>
        </w:rPr>
        <w:t xml:space="preserve"> </w:t>
      </w:r>
      <w:r w:rsidRPr="00896CF4">
        <w:rPr>
          <w:rFonts w:ascii="Georgia" w:hAnsi="Georgia" w:cs="Arial"/>
          <w:i/>
          <w:iCs/>
          <w:sz w:val="23"/>
          <w:szCs w:val="23"/>
        </w:rPr>
        <w:t>rents are payable or other consideration is to be provided in respect of at least one of those persons' occupation of the living accommodation; and</w:t>
      </w:r>
    </w:p>
    <w:p w14:paraId="274A08C1" w14:textId="77777777" w:rsidR="001D5E0E" w:rsidRPr="00C123AB" w:rsidRDefault="001D5E0E" w:rsidP="001D5E0E">
      <w:pPr>
        <w:autoSpaceDE w:val="0"/>
        <w:autoSpaceDN w:val="0"/>
        <w:adjustRightInd w:val="0"/>
        <w:spacing w:after="360"/>
        <w:ind w:left="709"/>
        <w:jc w:val="both"/>
        <w:rPr>
          <w:rFonts w:ascii="Georgia" w:hAnsi="Georgia" w:cs="Arial"/>
          <w:i/>
          <w:iCs/>
          <w:sz w:val="23"/>
          <w:szCs w:val="23"/>
        </w:rPr>
      </w:pPr>
      <w:r w:rsidRPr="00896CF4">
        <w:rPr>
          <w:rFonts w:ascii="Georgia" w:hAnsi="Georgia" w:cs="Arial"/>
          <w:i/>
          <w:iCs/>
          <w:sz w:val="23"/>
          <w:szCs w:val="23"/>
        </w:rPr>
        <w:lastRenderedPageBreak/>
        <w:t>(f)</w:t>
      </w:r>
      <w:r w:rsidRPr="00C123AB">
        <w:rPr>
          <w:rFonts w:ascii="Georgia" w:hAnsi="Georgia" w:cs="Arial"/>
          <w:i/>
          <w:iCs/>
          <w:sz w:val="23"/>
          <w:szCs w:val="23"/>
        </w:rPr>
        <w:t xml:space="preserve"> </w:t>
      </w:r>
      <w:r w:rsidRPr="00896CF4">
        <w:rPr>
          <w:rFonts w:ascii="Georgia" w:hAnsi="Georgia" w:cs="Arial"/>
          <w:i/>
          <w:iCs/>
          <w:sz w:val="23"/>
          <w:szCs w:val="23"/>
        </w:rPr>
        <w:t>two or more of the households who occupy the living accommodation</w:t>
      </w:r>
      <w:r w:rsidRPr="00C123AB">
        <w:rPr>
          <w:rFonts w:ascii="Georgia" w:hAnsi="Georgia" w:cs="Arial"/>
          <w:i/>
          <w:iCs/>
          <w:sz w:val="23"/>
          <w:szCs w:val="23"/>
        </w:rPr>
        <w:t xml:space="preserve"> </w:t>
      </w:r>
      <w:r w:rsidRPr="00896CF4">
        <w:rPr>
          <w:rFonts w:ascii="Georgia" w:hAnsi="Georgia" w:cs="Arial"/>
          <w:i/>
          <w:iCs/>
          <w:sz w:val="23"/>
          <w:szCs w:val="23"/>
        </w:rPr>
        <w:t>share one or more basic amenities or the living accommodation is lacking in one or more basic amenities.</w:t>
      </w:r>
    </w:p>
    <w:p w14:paraId="27EEC873" w14:textId="77777777" w:rsidR="000230C7" w:rsidRDefault="000230C7" w:rsidP="000230C7">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A person “having control” of premises means</w:t>
      </w:r>
    </w:p>
    <w:p w14:paraId="0E8CB620" w14:textId="77777777" w:rsidR="000230C7" w:rsidRPr="0048781B" w:rsidRDefault="000230C7" w:rsidP="000230C7">
      <w:pPr>
        <w:autoSpaceDE w:val="0"/>
        <w:autoSpaceDN w:val="0"/>
        <w:adjustRightInd w:val="0"/>
        <w:spacing w:after="360"/>
        <w:ind w:left="709"/>
        <w:jc w:val="both"/>
        <w:rPr>
          <w:rFonts w:ascii="Georgia" w:hAnsi="Georgia" w:cs="Arial"/>
        </w:rPr>
      </w:pPr>
      <w:r>
        <w:rPr>
          <w:rFonts w:ascii="Georgia" w:hAnsi="Georgia" w:cs="Arial"/>
        </w:rPr>
        <w:t>“</w:t>
      </w:r>
      <w:r w:rsidRPr="00C123AB">
        <w:rPr>
          <w:rFonts w:ascii="Georgia" w:hAnsi="Georgia" w:cs="Arial"/>
          <w:i/>
          <w:iCs/>
          <w:sz w:val="23"/>
          <w:szCs w:val="23"/>
        </w:rPr>
        <w:t>the person who receives the rack-rent of the premises (whether on his own account or as agent or trustee of another person), or who would so receive it if the premises were let at a rack-rent</w:t>
      </w:r>
      <w:r>
        <w:rPr>
          <w:rFonts w:ascii="Georgia" w:hAnsi="Georgia" w:cs="Arial"/>
        </w:rPr>
        <w:t>”.</w:t>
      </w:r>
    </w:p>
    <w:p w14:paraId="24C21E33" w14:textId="77777777" w:rsidR="00E83ABD" w:rsidRPr="006B4203" w:rsidRDefault="00E83ABD" w:rsidP="00E83ABD">
      <w:pPr>
        <w:numPr>
          <w:ilvl w:val="0"/>
          <w:numId w:val="8"/>
        </w:numPr>
        <w:tabs>
          <w:tab w:val="num" w:pos="709"/>
        </w:tabs>
        <w:autoSpaceDE w:val="0"/>
        <w:autoSpaceDN w:val="0"/>
        <w:adjustRightInd w:val="0"/>
        <w:spacing w:after="360"/>
        <w:ind w:left="709" w:hanging="709"/>
        <w:jc w:val="both"/>
        <w:rPr>
          <w:rFonts w:ascii="Georgia" w:hAnsi="Georgia" w:cs="Arial"/>
          <w:i/>
          <w:iCs/>
        </w:rPr>
      </w:pPr>
      <w:r>
        <w:rPr>
          <w:rFonts w:ascii="Georgia" w:hAnsi="Georgia" w:cs="Arial"/>
        </w:rPr>
        <w:t>A person “managing” premises means:</w:t>
      </w:r>
    </w:p>
    <w:p w14:paraId="460D51DC" w14:textId="77777777" w:rsidR="00E83ABD" w:rsidRPr="00CC02F7" w:rsidRDefault="00E83ABD" w:rsidP="00E83ABD">
      <w:pPr>
        <w:autoSpaceDE w:val="0"/>
        <w:autoSpaceDN w:val="0"/>
        <w:adjustRightInd w:val="0"/>
        <w:spacing w:after="360"/>
        <w:ind w:left="720"/>
        <w:jc w:val="both"/>
        <w:rPr>
          <w:rFonts w:ascii="Georgia" w:hAnsi="Georgia" w:cs="Arial"/>
          <w:i/>
          <w:iCs/>
          <w:sz w:val="23"/>
          <w:szCs w:val="23"/>
        </w:rPr>
      </w:pPr>
      <w:r w:rsidRPr="00CC02F7">
        <w:rPr>
          <w:rFonts w:ascii="Georgia" w:hAnsi="Georgia" w:cs="Arial"/>
          <w:i/>
          <w:iCs/>
          <w:sz w:val="23"/>
          <w:szCs w:val="23"/>
        </w:rPr>
        <w:t>the person who, being an owner or lessee of the premises—</w:t>
      </w:r>
    </w:p>
    <w:p w14:paraId="080A3BC4" w14:textId="77777777" w:rsidR="00E83ABD" w:rsidRPr="00CC02F7" w:rsidRDefault="00E83ABD" w:rsidP="00E83ABD">
      <w:pPr>
        <w:autoSpaceDE w:val="0"/>
        <w:autoSpaceDN w:val="0"/>
        <w:adjustRightInd w:val="0"/>
        <w:spacing w:after="360"/>
        <w:ind w:left="720"/>
        <w:jc w:val="both"/>
        <w:rPr>
          <w:rFonts w:ascii="Georgia" w:hAnsi="Georgia" w:cs="Arial"/>
          <w:i/>
          <w:iCs/>
          <w:sz w:val="23"/>
          <w:szCs w:val="23"/>
        </w:rPr>
      </w:pPr>
      <w:r w:rsidRPr="00CC02F7">
        <w:rPr>
          <w:rFonts w:ascii="Georgia" w:hAnsi="Georgia" w:cs="Arial"/>
          <w:i/>
          <w:iCs/>
          <w:sz w:val="23"/>
          <w:szCs w:val="23"/>
        </w:rPr>
        <w:t>(a) receives (whether directly or through an agent or trustee) rents or other payments from—</w:t>
      </w:r>
    </w:p>
    <w:p w14:paraId="0BA395B0" w14:textId="77777777" w:rsidR="00E83ABD" w:rsidRPr="00CC02F7" w:rsidRDefault="00E83ABD" w:rsidP="00E83ABD">
      <w:pPr>
        <w:autoSpaceDE w:val="0"/>
        <w:autoSpaceDN w:val="0"/>
        <w:adjustRightInd w:val="0"/>
        <w:spacing w:after="360"/>
        <w:ind w:left="720"/>
        <w:jc w:val="both"/>
        <w:rPr>
          <w:rFonts w:ascii="Georgia" w:hAnsi="Georgia" w:cs="Arial"/>
          <w:i/>
          <w:iCs/>
          <w:sz w:val="23"/>
          <w:szCs w:val="23"/>
        </w:rPr>
      </w:pPr>
      <w:r w:rsidRPr="00CC02F7">
        <w:rPr>
          <w:rFonts w:ascii="Georgia" w:hAnsi="Georgia" w:cs="Arial"/>
          <w:i/>
          <w:iCs/>
          <w:sz w:val="23"/>
          <w:szCs w:val="23"/>
        </w:rPr>
        <w:t>(i) in the case of a house in multiple occupation, persons who are in occupation as tenants or licensees of parts of the premises; and</w:t>
      </w:r>
    </w:p>
    <w:p w14:paraId="1DB23F5B" w14:textId="77777777" w:rsidR="00E83ABD" w:rsidRPr="00CC02F7" w:rsidRDefault="00E83ABD" w:rsidP="00E83ABD">
      <w:pPr>
        <w:autoSpaceDE w:val="0"/>
        <w:autoSpaceDN w:val="0"/>
        <w:adjustRightInd w:val="0"/>
        <w:spacing w:after="360"/>
        <w:ind w:left="720"/>
        <w:jc w:val="both"/>
        <w:rPr>
          <w:rFonts w:ascii="Georgia" w:hAnsi="Georgia" w:cs="Arial"/>
          <w:sz w:val="23"/>
          <w:szCs w:val="23"/>
        </w:rPr>
      </w:pPr>
      <w:r w:rsidRPr="00CC02F7">
        <w:rPr>
          <w:rFonts w:ascii="Georgia" w:hAnsi="Georgia" w:cs="Arial"/>
          <w:i/>
          <w:iCs/>
          <w:sz w:val="23"/>
          <w:szCs w:val="23"/>
        </w:rPr>
        <w:t>(ii) in the case of a house to which Part 3 applies (see section 79(2)), persons who are in occupation as tenants or licensees of parts of the premises, or of the whole of the premises….</w:t>
      </w:r>
      <w:r w:rsidRPr="00CC02F7">
        <w:rPr>
          <w:rFonts w:ascii="Georgia" w:hAnsi="Georgia" w:cs="Arial"/>
          <w:sz w:val="23"/>
          <w:szCs w:val="23"/>
        </w:rPr>
        <w:t>”</w:t>
      </w:r>
    </w:p>
    <w:p w14:paraId="15D8B776" w14:textId="77777777" w:rsidR="000E0D29" w:rsidRPr="00E23261" w:rsidRDefault="000E0D29" w:rsidP="000E0D29">
      <w:pPr>
        <w:numPr>
          <w:ilvl w:val="0"/>
          <w:numId w:val="8"/>
        </w:numPr>
        <w:tabs>
          <w:tab w:val="num" w:pos="709"/>
        </w:tabs>
        <w:autoSpaceDE w:val="0"/>
        <w:autoSpaceDN w:val="0"/>
        <w:adjustRightInd w:val="0"/>
        <w:spacing w:after="360"/>
        <w:ind w:left="709" w:hanging="709"/>
        <w:jc w:val="both"/>
        <w:rPr>
          <w:rFonts w:ascii="Georgia" w:hAnsi="Georgia" w:cs="Arial"/>
          <w:i/>
          <w:iCs/>
        </w:rPr>
      </w:pPr>
      <w:r>
        <w:rPr>
          <w:rFonts w:ascii="Georgia" w:hAnsi="Georgia" w:cs="Arial"/>
        </w:rPr>
        <w:t>The amount of a RRO is to be determined under section 44 of the 2016 Act as follows:</w:t>
      </w:r>
    </w:p>
    <w:p w14:paraId="3602F240" w14:textId="77777777" w:rsidR="000E0D29" w:rsidRPr="00C123AB" w:rsidRDefault="000E0D29" w:rsidP="000E0D29">
      <w:pPr>
        <w:autoSpaceDE w:val="0"/>
        <w:autoSpaceDN w:val="0"/>
        <w:adjustRightInd w:val="0"/>
        <w:spacing w:after="360"/>
        <w:ind w:left="709"/>
        <w:jc w:val="both"/>
        <w:rPr>
          <w:rFonts w:ascii="Georgia" w:hAnsi="Georgia" w:cs="Arial"/>
          <w:i/>
          <w:iCs/>
          <w:sz w:val="23"/>
          <w:szCs w:val="23"/>
        </w:rPr>
      </w:pPr>
      <w:r w:rsidRPr="00C123AB">
        <w:rPr>
          <w:rFonts w:ascii="Georgia" w:hAnsi="Georgia" w:cs="Arial"/>
          <w:sz w:val="23"/>
          <w:szCs w:val="23"/>
        </w:rPr>
        <w:t>“…</w:t>
      </w:r>
      <w:r w:rsidRPr="00C123AB">
        <w:rPr>
          <w:rFonts w:ascii="Georgia" w:hAnsi="Georgia" w:cs="Arial"/>
          <w:i/>
          <w:iCs/>
          <w:sz w:val="23"/>
          <w:szCs w:val="23"/>
        </w:rPr>
        <w:t>The amount that the landlord may be required to repay in respect of a period must not exceed—</w:t>
      </w:r>
    </w:p>
    <w:p w14:paraId="2A14468F" w14:textId="77777777" w:rsidR="000E0D29" w:rsidRPr="00CB0BA9" w:rsidRDefault="000E0D29" w:rsidP="000E0D29">
      <w:pPr>
        <w:autoSpaceDE w:val="0"/>
        <w:autoSpaceDN w:val="0"/>
        <w:adjustRightInd w:val="0"/>
        <w:spacing w:after="360"/>
        <w:ind w:left="1440"/>
        <w:jc w:val="both"/>
        <w:rPr>
          <w:rFonts w:ascii="Georgia" w:hAnsi="Georgia" w:cs="Arial"/>
          <w:i/>
          <w:iCs/>
          <w:sz w:val="23"/>
          <w:szCs w:val="23"/>
        </w:rPr>
      </w:pPr>
      <w:r w:rsidRPr="00CB0BA9">
        <w:rPr>
          <w:rFonts w:ascii="Georgia" w:hAnsi="Georgia" w:cs="Arial"/>
          <w:i/>
          <w:iCs/>
          <w:sz w:val="23"/>
          <w:szCs w:val="23"/>
        </w:rPr>
        <w:t>(a)</w:t>
      </w:r>
      <w:r w:rsidRPr="00C123AB">
        <w:rPr>
          <w:rFonts w:ascii="Georgia" w:hAnsi="Georgia" w:cs="Arial"/>
          <w:i/>
          <w:iCs/>
          <w:sz w:val="23"/>
          <w:szCs w:val="23"/>
        </w:rPr>
        <w:t xml:space="preserve"> </w:t>
      </w:r>
      <w:r w:rsidRPr="00CB0BA9">
        <w:rPr>
          <w:rFonts w:ascii="Georgia" w:hAnsi="Georgia" w:cs="Arial"/>
          <w:i/>
          <w:iCs/>
          <w:sz w:val="23"/>
          <w:szCs w:val="23"/>
        </w:rPr>
        <w:t xml:space="preserve">the rent paid in respect of </w:t>
      </w:r>
      <w:r w:rsidRPr="00C123AB">
        <w:rPr>
          <w:rFonts w:ascii="Georgia" w:hAnsi="Georgia" w:cs="Arial"/>
          <w:i/>
          <w:iCs/>
          <w:sz w:val="23"/>
          <w:szCs w:val="23"/>
        </w:rPr>
        <w:t>[</w:t>
      </w:r>
      <w:r w:rsidRPr="00F04C74">
        <w:rPr>
          <w:rFonts w:ascii="Georgia" w:hAnsi="Georgia" w:cs="Arial"/>
          <w:sz w:val="23"/>
          <w:szCs w:val="23"/>
        </w:rPr>
        <w:t xml:space="preserve">the period of 12 months ending with the date of the offence </w:t>
      </w:r>
      <w:r>
        <w:rPr>
          <w:rFonts w:ascii="Georgia" w:hAnsi="Georgia" w:cs="Arial"/>
          <w:i/>
          <w:iCs/>
          <w:sz w:val="23"/>
          <w:szCs w:val="23"/>
        </w:rPr>
        <w:t xml:space="preserve">/ </w:t>
      </w:r>
      <w:r w:rsidRPr="00C123AB">
        <w:rPr>
          <w:rFonts w:ascii="Georgia" w:hAnsi="Georgia" w:cs="Arial"/>
          <w:sz w:val="23"/>
          <w:szCs w:val="23"/>
        </w:rPr>
        <w:t>a period, not exceeding 12 months, during which the landlord was committing the offence</w:t>
      </w:r>
      <w:r w:rsidRPr="00C123AB">
        <w:rPr>
          <w:rFonts w:ascii="Georgia" w:hAnsi="Georgia" w:cs="Arial"/>
          <w:i/>
          <w:iCs/>
          <w:sz w:val="23"/>
          <w:szCs w:val="23"/>
        </w:rPr>
        <w:t>]</w:t>
      </w:r>
      <w:r w:rsidRPr="00CB0BA9">
        <w:rPr>
          <w:rFonts w:ascii="Georgia" w:hAnsi="Georgia" w:cs="Arial"/>
          <w:i/>
          <w:iCs/>
          <w:sz w:val="23"/>
          <w:szCs w:val="23"/>
        </w:rPr>
        <w:t>, less</w:t>
      </w:r>
    </w:p>
    <w:p w14:paraId="66E3B676" w14:textId="77777777" w:rsidR="000E0D29" w:rsidRPr="00CB0BA9" w:rsidRDefault="000E0D29" w:rsidP="000E0D29">
      <w:pPr>
        <w:autoSpaceDE w:val="0"/>
        <w:autoSpaceDN w:val="0"/>
        <w:adjustRightInd w:val="0"/>
        <w:spacing w:after="360"/>
        <w:ind w:left="1440"/>
        <w:jc w:val="both"/>
        <w:rPr>
          <w:rFonts w:ascii="Georgia" w:hAnsi="Georgia" w:cs="Arial"/>
          <w:i/>
          <w:iCs/>
          <w:sz w:val="23"/>
          <w:szCs w:val="23"/>
        </w:rPr>
      </w:pPr>
      <w:r w:rsidRPr="00CB0BA9">
        <w:rPr>
          <w:rFonts w:ascii="Georgia" w:hAnsi="Georgia" w:cs="Arial"/>
          <w:i/>
          <w:iCs/>
          <w:sz w:val="23"/>
          <w:szCs w:val="23"/>
        </w:rPr>
        <w:t>(b)</w:t>
      </w:r>
      <w:r w:rsidRPr="00C123AB">
        <w:rPr>
          <w:rFonts w:ascii="Georgia" w:hAnsi="Georgia" w:cs="Arial"/>
          <w:i/>
          <w:iCs/>
          <w:sz w:val="23"/>
          <w:szCs w:val="23"/>
        </w:rPr>
        <w:t xml:space="preserve"> </w:t>
      </w:r>
      <w:r w:rsidRPr="00CB0BA9">
        <w:rPr>
          <w:rFonts w:ascii="Georgia" w:hAnsi="Georgia" w:cs="Arial"/>
          <w:i/>
          <w:iCs/>
          <w:sz w:val="23"/>
          <w:szCs w:val="23"/>
        </w:rPr>
        <w:t>any relevant award of universal credit paid (to any person) in respect of rent under the tenancy during that period.</w:t>
      </w:r>
    </w:p>
    <w:p w14:paraId="48DBB6E4" w14:textId="77777777" w:rsidR="000E0D29" w:rsidRPr="00CB0BA9" w:rsidRDefault="000E0D29" w:rsidP="000E0D29">
      <w:pPr>
        <w:autoSpaceDE w:val="0"/>
        <w:autoSpaceDN w:val="0"/>
        <w:adjustRightInd w:val="0"/>
        <w:spacing w:after="360"/>
        <w:ind w:left="709"/>
        <w:jc w:val="both"/>
        <w:rPr>
          <w:rFonts w:ascii="Georgia" w:hAnsi="Georgia" w:cs="Arial"/>
          <w:i/>
          <w:iCs/>
          <w:sz w:val="23"/>
          <w:szCs w:val="23"/>
        </w:rPr>
      </w:pPr>
      <w:r w:rsidRPr="00CB0BA9">
        <w:rPr>
          <w:rFonts w:ascii="Georgia" w:hAnsi="Georgia" w:cs="Arial"/>
          <w:i/>
          <w:iCs/>
          <w:sz w:val="23"/>
          <w:szCs w:val="23"/>
        </w:rPr>
        <w:t>(4)</w:t>
      </w:r>
      <w:r w:rsidRPr="00C123AB">
        <w:rPr>
          <w:rFonts w:ascii="Georgia" w:hAnsi="Georgia" w:cs="Arial"/>
          <w:i/>
          <w:iCs/>
          <w:sz w:val="23"/>
          <w:szCs w:val="23"/>
        </w:rPr>
        <w:t xml:space="preserve"> </w:t>
      </w:r>
      <w:r w:rsidRPr="00CB0BA9">
        <w:rPr>
          <w:rFonts w:ascii="Georgia" w:hAnsi="Georgia" w:cs="Arial"/>
          <w:i/>
          <w:iCs/>
          <w:sz w:val="23"/>
          <w:szCs w:val="23"/>
        </w:rPr>
        <w:t>In determining the amount the tribunal must, in particular, take into</w:t>
      </w:r>
      <w:r w:rsidRPr="00C123AB">
        <w:rPr>
          <w:rFonts w:ascii="Georgia" w:hAnsi="Georgia" w:cs="Arial"/>
          <w:i/>
          <w:iCs/>
          <w:sz w:val="23"/>
          <w:szCs w:val="23"/>
        </w:rPr>
        <w:t xml:space="preserve"> </w:t>
      </w:r>
      <w:r w:rsidRPr="00CB0BA9">
        <w:rPr>
          <w:rFonts w:ascii="Georgia" w:hAnsi="Georgia" w:cs="Arial"/>
          <w:i/>
          <w:iCs/>
          <w:sz w:val="23"/>
          <w:szCs w:val="23"/>
        </w:rPr>
        <w:t>account—</w:t>
      </w:r>
    </w:p>
    <w:p w14:paraId="3004237E" w14:textId="77777777" w:rsidR="000E0D29" w:rsidRPr="00CB0BA9" w:rsidRDefault="000E0D29" w:rsidP="000E0D29">
      <w:pPr>
        <w:autoSpaceDE w:val="0"/>
        <w:autoSpaceDN w:val="0"/>
        <w:adjustRightInd w:val="0"/>
        <w:spacing w:after="360"/>
        <w:ind w:left="1429" w:firstLine="11"/>
        <w:jc w:val="both"/>
        <w:rPr>
          <w:rFonts w:ascii="Georgia" w:hAnsi="Georgia" w:cs="Arial"/>
          <w:i/>
          <w:iCs/>
          <w:sz w:val="23"/>
          <w:szCs w:val="23"/>
        </w:rPr>
      </w:pPr>
      <w:r w:rsidRPr="00CB0BA9">
        <w:rPr>
          <w:rFonts w:ascii="Georgia" w:hAnsi="Georgia" w:cs="Arial"/>
          <w:i/>
          <w:iCs/>
          <w:sz w:val="23"/>
          <w:szCs w:val="23"/>
        </w:rPr>
        <w:t>(a)</w:t>
      </w:r>
      <w:r w:rsidRPr="00C123AB">
        <w:rPr>
          <w:rFonts w:ascii="Georgia" w:hAnsi="Georgia" w:cs="Arial"/>
          <w:i/>
          <w:iCs/>
          <w:sz w:val="23"/>
          <w:szCs w:val="23"/>
        </w:rPr>
        <w:t xml:space="preserve"> </w:t>
      </w:r>
      <w:r w:rsidRPr="00CB0BA9">
        <w:rPr>
          <w:rFonts w:ascii="Georgia" w:hAnsi="Georgia" w:cs="Arial"/>
          <w:i/>
          <w:iCs/>
          <w:sz w:val="23"/>
          <w:szCs w:val="23"/>
        </w:rPr>
        <w:t>the conduct of the landlord and the tenant,</w:t>
      </w:r>
    </w:p>
    <w:p w14:paraId="29D26A5F" w14:textId="77777777" w:rsidR="000E0D29" w:rsidRPr="00CB0BA9" w:rsidRDefault="000E0D29" w:rsidP="000E0D29">
      <w:pPr>
        <w:autoSpaceDE w:val="0"/>
        <w:autoSpaceDN w:val="0"/>
        <w:adjustRightInd w:val="0"/>
        <w:spacing w:after="360"/>
        <w:ind w:left="1418" w:firstLine="11"/>
        <w:jc w:val="both"/>
        <w:rPr>
          <w:rFonts w:ascii="Georgia" w:hAnsi="Georgia" w:cs="Arial"/>
          <w:i/>
          <w:iCs/>
          <w:sz w:val="23"/>
          <w:szCs w:val="23"/>
        </w:rPr>
      </w:pPr>
      <w:r w:rsidRPr="00CB0BA9">
        <w:rPr>
          <w:rFonts w:ascii="Georgia" w:hAnsi="Georgia" w:cs="Arial"/>
          <w:i/>
          <w:iCs/>
          <w:sz w:val="23"/>
          <w:szCs w:val="23"/>
        </w:rPr>
        <w:t>(b)the financial circumstances of the landlord, and</w:t>
      </w:r>
    </w:p>
    <w:p w14:paraId="0E4D937B" w14:textId="65735CC8" w:rsidR="000927B4" w:rsidRPr="0098794C" w:rsidRDefault="000E0D29" w:rsidP="0098794C">
      <w:pPr>
        <w:autoSpaceDE w:val="0"/>
        <w:autoSpaceDN w:val="0"/>
        <w:adjustRightInd w:val="0"/>
        <w:spacing w:after="360"/>
        <w:ind w:left="1418"/>
        <w:jc w:val="both"/>
        <w:rPr>
          <w:rFonts w:ascii="Georgia" w:hAnsi="Georgia" w:cs="Arial"/>
          <w:sz w:val="23"/>
          <w:szCs w:val="23"/>
        </w:rPr>
      </w:pPr>
      <w:r w:rsidRPr="00CB0BA9">
        <w:rPr>
          <w:rFonts w:ascii="Georgia" w:hAnsi="Georgia" w:cs="Arial"/>
          <w:i/>
          <w:iCs/>
          <w:sz w:val="23"/>
          <w:szCs w:val="23"/>
        </w:rPr>
        <w:t>(c)</w:t>
      </w:r>
      <w:r w:rsidRPr="00C123AB">
        <w:rPr>
          <w:rFonts w:ascii="Georgia" w:hAnsi="Georgia" w:cs="Arial"/>
          <w:i/>
          <w:iCs/>
          <w:sz w:val="23"/>
          <w:szCs w:val="23"/>
        </w:rPr>
        <w:t xml:space="preserve"> </w:t>
      </w:r>
      <w:r w:rsidRPr="00CB0BA9">
        <w:rPr>
          <w:rFonts w:ascii="Georgia" w:hAnsi="Georgia" w:cs="Arial"/>
          <w:i/>
          <w:iCs/>
          <w:sz w:val="23"/>
          <w:szCs w:val="23"/>
        </w:rPr>
        <w:t>whether the landlord has at any time been convicted of an offence to which this Chapter applies.</w:t>
      </w:r>
      <w:r w:rsidRPr="00C123AB">
        <w:rPr>
          <w:rFonts w:ascii="Georgia" w:hAnsi="Georgia" w:cs="Arial"/>
          <w:sz w:val="23"/>
          <w:szCs w:val="23"/>
        </w:rPr>
        <w:t>”</w:t>
      </w:r>
      <w:r w:rsidR="000927B4" w:rsidRPr="007548FA">
        <w:rPr>
          <w:rFonts w:ascii="Georgia" w:hAnsi="Georgia" w:cs="Arial"/>
        </w:rPr>
        <w:tab/>
        <w:t>.</w:t>
      </w:r>
    </w:p>
    <w:p w14:paraId="7C1A339E" w14:textId="77777777" w:rsidR="0098794C" w:rsidRPr="007548FA" w:rsidRDefault="0098794C" w:rsidP="0098794C">
      <w:pPr>
        <w:autoSpaceDE w:val="0"/>
        <w:autoSpaceDN w:val="0"/>
        <w:adjustRightInd w:val="0"/>
        <w:spacing w:after="360"/>
        <w:jc w:val="both"/>
        <w:rPr>
          <w:rFonts w:ascii="Georgia" w:hAnsi="Georgia" w:cs="Arial"/>
          <w:b/>
          <w:u w:val="single"/>
        </w:rPr>
      </w:pPr>
      <w:r>
        <w:rPr>
          <w:rFonts w:ascii="Georgia" w:hAnsi="Georgia" w:cs="Arial"/>
          <w:b/>
          <w:u w:val="single"/>
        </w:rPr>
        <w:lastRenderedPageBreak/>
        <w:t>Findings</w:t>
      </w:r>
    </w:p>
    <w:p w14:paraId="143B2F5C" w14:textId="77777777" w:rsidR="0098794C" w:rsidRDefault="0098794C" w:rsidP="0098794C">
      <w:pPr>
        <w:autoSpaceDE w:val="0"/>
        <w:autoSpaceDN w:val="0"/>
        <w:adjustRightInd w:val="0"/>
        <w:spacing w:after="360"/>
        <w:jc w:val="both"/>
        <w:rPr>
          <w:rFonts w:ascii="Georgia" w:hAnsi="Georgia" w:cs="Arial"/>
          <w:u w:val="single"/>
        </w:rPr>
      </w:pPr>
      <w:r>
        <w:rPr>
          <w:rFonts w:ascii="Georgia" w:hAnsi="Georgia" w:cs="Arial"/>
          <w:u w:val="single"/>
        </w:rPr>
        <w:t>Has the Respondent committed a relevant offence?</w:t>
      </w:r>
    </w:p>
    <w:p w14:paraId="339E77DA" w14:textId="7F57C49A" w:rsidR="000927B4" w:rsidRDefault="003B0B99" w:rsidP="003B0B99">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 xml:space="preserve">We consider first whether the Respondent has committed an offence under section 72(1) of the 2004 Act, namely being a </w:t>
      </w:r>
      <w:r w:rsidRPr="00D957E6">
        <w:rPr>
          <w:rFonts w:ascii="Georgia" w:hAnsi="Georgia" w:cs="Arial"/>
        </w:rPr>
        <w:t>person having control of or managing an HMO which is required to be licensed</w:t>
      </w:r>
      <w:r w:rsidR="008F083F">
        <w:rPr>
          <w:rFonts w:ascii="Georgia" w:hAnsi="Georgia" w:cs="Arial"/>
        </w:rPr>
        <w:t xml:space="preserve"> under the 2004 Act</w:t>
      </w:r>
      <w:r w:rsidRPr="00D957E6">
        <w:rPr>
          <w:rFonts w:ascii="Georgia" w:hAnsi="Georgia" w:cs="Arial"/>
        </w:rPr>
        <w:t xml:space="preserve"> but is not so licensed</w:t>
      </w:r>
      <w:r>
        <w:rPr>
          <w:rFonts w:ascii="Georgia" w:hAnsi="Georgia" w:cs="Arial"/>
        </w:rPr>
        <w:t>.</w:t>
      </w:r>
    </w:p>
    <w:p w14:paraId="47ECE878" w14:textId="47052D1D" w:rsidR="00206D4C" w:rsidRDefault="00715D30" w:rsidP="003B0B99">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 xml:space="preserve">Limited information about the nature of the subject property nor of its occupants was provided </w:t>
      </w:r>
      <w:r w:rsidR="00E25A38">
        <w:rPr>
          <w:rFonts w:ascii="Georgia" w:hAnsi="Georgia" w:cs="Arial"/>
        </w:rPr>
        <w:t>in the Applicants’ application forms</w:t>
      </w:r>
      <w:r w:rsidR="00C72446">
        <w:rPr>
          <w:rFonts w:ascii="Georgia" w:hAnsi="Georgia" w:cs="Arial"/>
        </w:rPr>
        <w:t>. The First Applicant described the property as a “</w:t>
      </w:r>
      <w:r w:rsidR="003D5DD4">
        <w:rPr>
          <w:rFonts w:ascii="Georgia" w:hAnsi="Georgia" w:cs="Arial"/>
        </w:rPr>
        <w:t>”three bedroom terrace with parking”. The Second Applicant described the property as a</w:t>
      </w:r>
      <w:r w:rsidR="00F16C9D">
        <w:rPr>
          <w:rFonts w:ascii="Georgia" w:hAnsi="Georgia" w:cs="Arial"/>
        </w:rPr>
        <w:t xml:space="preserve"> “three bedroom villa with parking. Four tenants”. </w:t>
      </w:r>
      <w:r w:rsidR="00DD5CB3">
        <w:rPr>
          <w:rFonts w:ascii="Georgia" w:hAnsi="Georgia" w:cs="Arial"/>
        </w:rPr>
        <w:t>No further details were provided before the hearing, despite the directions of Judge W</w:t>
      </w:r>
      <w:r w:rsidR="00DF1517">
        <w:rPr>
          <w:rFonts w:ascii="Georgia" w:hAnsi="Georgia" w:cs="Arial"/>
        </w:rPr>
        <w:t>yatt dated 21 February 2025 by which the Applica</w:t>
      </w:r>
      <w:r w:rsidR="008676C7">
        <w:rPr>
          <w:rFonts w:ascii="Georgia" w:hAnsi="Georgia" w:cs="Arial"/>
        </w:rPr>
        <w:t>nts were ordered to give full details of the alleged offences</w:t>
      </w:r>
      <w:r w:rsidR="00B923F2">
        <w:rPr>
          <w:rFonts w:ascii="Georgia" w:hAnsi="Georgia" w:cs="Arial"/>
        </w:rPr>
        <w:t>, including a schedule of occupancy</w:t>
      </w:r>
      <w:r w:rsidR="003D0328">
        <w:rPr>
          <w:rFonts w:ascii="Georgia" w:hAnsi="Georgia" w:cs="Arial"/>
        </w:rPr>
        <w:t xml:space="preserve"> during the relevant period,</w:t>
      </w:r>
      <w:r w:rsidR="008676C7">
        <w:rPr>
          <w:rFonts w:ascii="Georgia" w:hAnsi="Georgia" w:cs="Arial"/>
        </w:rPr>
        <w:t xml:space="preserve"> and were reminded that the tribunal would need to be satisfied </w:t>
      </w:r>
      <w:r w:rsidR="00B923F2">
        <w:rPr>
          <w:rFonts w:ascii="Georgia" w:hAnsi="Georgia" w:cs="Arial"/>
        </w:rPr>
        <w:t xml:space="preserve">beyond reasonable doubt that an offence had been committed. </w:t>
      </w:r>
    </w:p>
    <w:p w14:paraId="2F55AB57" w14:textId="58A241C7" w:rsidR="00063FC0" w:rsidRDefault="00063FC0" w:rsidP="003B0B99">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Little further information was provided during the course of the Applicants</w:t>
      </w:r>
      <w:r w:rsidR="00A1402B">
        <w:rPr>
          <w:rFonts w:ascii="Georgia" w:hAnsi="Georgia" w:cs="Arial"/>
        </w:rPr>
        <w:t xml:space="preserve">’ oral evidence to the tribunal. </w:t>
      </w:r>
      <w:r w:rsidR="000D42FB">
        <w:rPr>
          <w:rFonts w:ascii="Georgia" w:hAnsi="Georgia" w:cs="Arial"/>
        </w:rPr>
        <w:t xml:space="preserve">Though the First Applicant said that </w:t>
      </w:r>
      <w:r w:rsidR="00883152">
        <w:rPr>
          <w:rFonts w:ascii="Georgia" w:hAnsi="Georgia" w:cs="Arial"/>
        </w:rPr>
        <w:t>two other individuals</w:t>
      </w:r>
      <w:r w:rsidR="00D648A0">
        <w:rPr>
          <w:rFonts w:ascii="Georgia" w:hAnsi="Georgia" w:cs="Arial"/>
        </w:rPr>
        <w:t xml:space="preserve"> (named Ma</w:t>
      </w:r>
      <w:r w:rsidR="00C00675">
        <w:rPr>
          <w:rFonts w:ascii="Georgia" w:hAnsi="Georgia" w:cs="Arial"/>
        </w:rPr>
        <w:t>r</w:t>
      </w:r>
      <w:r w:rsidR="009664FD">
        <w:rPr>
          <w:rFonts w:ascii="Georgia" w:hAnsi="Georgia" w:cs="Arial"/>
        </w:rPr>
        <w:t>vic Arboleda and Amy Benular)</w:t>
      </w:r>
      <w:r w:rsidR="00883152">
        <w:rPr>
          <w:rFonts w:ascii="Georgia" w:hAnsi="Georgia" w:cs="Arial"/>
        </w:rPr>
        <w:t xml:space="preserve"> were living at the property when she moved in in July 2023, she also confirmed that</w:t>
      </w:r>
      <w:r w:rsidR="00B31DE7">
        <w:rPr>
          <w:rFonts w:ascii="Georgia" w:hAnsi="Georgia" w:cs="Arial"/>
        </w:rPr>
        <w:t xml:space="preserve">, at other times, including in May 2024, the Applicants were the only occupiers of the property. </w:t>
      </w:r>
      <w:r w:rsidR="00AB5F35">
        <w:rPr>
          <w:rFonts w:ascii="Georgia" w:hAnsi="Georgia" w:cs="Arial"/>
        </w:rPr>
        <w:t xml:space="preserve">They could not tell the tribunal when Marvic Arboleda and Amy Benular stopped living at the property. </w:t>
      </w:r>
      <w:r w:rsidR="00A41D90">
        <w:rPr>
          <w:rFonts w:ascii="Georgia" w:hAnsi="Georgia" w:cs="Arial"/>
        </w:rPr>
        <w:t xml:space="preserve">Beyond being told that the property had three </w:t>
      </w:r>
      <w:r w:rsidR="00EF5478">
        <w:rPr>
          <w:rFonts w:ascii="Georgia" w:hAnsi="Georgia" w:cs="Arial"/>
        </w:rPr>
        <w:t xml:space="preserve">bedrooms, no other details about </w:t>
      </w:r>
      <w:r w:rsidR="00225A79">
        <w:rPr>
          <w:rFonts w:ascii="Georgia" w:hAnsi="Georgia" w:cs="Arial"/>
        </w:rPr>
        <w:t>its</w:t>
      </w:r>
      <w:r w:rsidR="00EF5478">
        <w:rPr>
          <w:rFonts w:ascii="Georgia" w:hAnsi="Georgia" w:cs="Arial"/>
        </w:rPr>
        <w:t xml:space="preserve"> other facilities (i.e. the number of kitchens, bathrooms or toilets) was provided to the tribunal. </w:t>
      </w:r>
    </w:p>
    <w:p w14:paraId="217DF7DE" w14:textId="61BB592A" w:rsidR="000156B2" w:rsidRDefault="000156B2" w:rsidP="003B0B99">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Accordingly, the tribunal does not know, because it has not been told:</w:t>
      </w:r>
    </w:p>
    <w:p w14:paraId="4167082B" w14:textId="09A3F793" w:rsidR="000156B2" w:rsidRDefault="00A16605" w:rsidP="000156B2">
      <w:pPr>
        <w:numPr>
          <w:ilvl w:val="1"/>
          <w:numId w:val="8"/>
        </w:numPr>
        <w:autoSpaceDE w:val="0"/>
        <w:autoSpaceDN w:val="0"/>
        <w:adjustRightInd w:val="0"/>
        <w:spacing w:after="360"/>
        <w:jc w:val="both"/>
        <w:rPr>
          <w:rFonts w:ascii="Georgia" w:hAnsi="Georgia" w:cs="Arial"/>
        </w:rPr>
      </w:pPr>
      <w:r>
        <w:rPr>
          <w:rFonts w:ascii="Georgia" w:hAnsi="Georgia" w:cs="Arial"/>
        </w:rPr>
        <w:t xml:space="preserve">The periods </w:t>
      </w:r>
      <w:r w:rsidR="00E65BEF">
        <w:rPr>
          <w:rFonts w:ascii="Georgia" w:hAnsi="Georgia" w:cs="Arial"/>
        </w:rPr>
        <w:t>of time during</w:t>
      </w:r>
      <w:r>
        <w:rPr>
          <w:rFonts w:ascii="Georgia" w:hAnsi="Georgia" w:cs="Arial"/>
        </w:rPr>
        <w:t xml:space="preserve"> which </w:t>
      </w:r>
      <w:r w:rsidR="0075019E">
        <w:rPr>
          <w:rFonts w:ascii="Georgia" w:hAnsi="Georgia" w:cs="Arial"/>
        </w:rPr>
        <w:t xml:space="preserve">the property was occupied </w:t>
      </w:r>
      <w:r w:rsidR="00A41D90">
        <w:rPr>
          <w:rFonts w:ascii="Georgia" w:hAnsi="Georgia" w:cs="Arial"/>
        </w:rPr>
        <w:t>by the Applicants and Marvic Arboleda and Amy Benular.</w:t>
      </w:r>
    </w:p>
    <w:p w14:paraId="225FD93D" w14:textId="190268D6" w:rsidR="00A41D90" w:rsidRDefault="009D081F" w:rsidP="000156B2">
      <w:pPr>
        <w:numPr>
          <w:ilvl w:val="1"/>
          <w:numId w:val="8"/>
        </w:numPr>
        <w:autoSpaceDE w:val="0"/>
        <w:autoSpaceDN w:val="0"/>
        <w:adjustRightInd w:val="0"/>
        <w:spacing w:after="360"/>
        <w:jc w:val="both"/>
        <w:rPr>
          <w:rFonts w:ascii="Georgia" w:hAnsi="Georgia" w:cs="Arial"/>
        </w:rPr>
      </w:pPr>
      <w:r>
        <w:rPr>
          <w:rFonts w:ascii="Georgia" w:hAnsi="Georgia" w:cs="Arial"/>
        </w:rPr>
        <w:t xml:space="preserve">Whether, during those periods, Peterborough </w:t>
      </w:r>
      <w:r w:rsidR="009C503F">
        <w:rPr>
          <w:rFonts w:ascii="Georgia" w:hAnsi="Georgia" w:cs="Arial"/>
        </w:rPr>
        <w:t xml:space="preserve">City Council </w:t>
      </w:r>
      <w:r w:rsidR="00EF5478">
        <w:rPr>
          <w:rFonts w:ascii="Georgia" w:hAnsi="Georgia" w:cs="Arial"/>
        </w:rPr>
        <w:t xml:space="preserve">operated an additional licencing scheme </w:t>
      </w:r>
      <w:r w:rsidR="005F4F78">
        <w:rPr>
          <w:rFonts w:ascii="Georgia" w:hAnsi="Georgia" w:cs="Arial"/>
        </w:rPr>
        <w:t xml:space="preserve">which required those in control of or managing properties occupied by three or four unrelated persons to hold a HMO licence. </w:t>
      </w:r>
    </w:p>
    <w:p w14:paraId="234BC8B7" w14:textId="17505FA4" w:rsidR="00EF5478" w:rsidRDefault="00EF5478" w:rsidP="000156B2">
      <w:pPr>
        <w:numPr>
          <w:ilvl w:val="1"/>
          <w:numId w:val="8"/>
        </w:numPr>
        <w:autoSpaceDE w:val="0"/>
        <w:autoSpaceDN w:val="0"/>
        <w:adjustRightInd w:val="0"/>
        <w:spacing w:after="360"/>
        <w:jc w:val="both"/>
        <w:rPr>
          <w:rFonts w:ascii="Georgia" w:hAnsi="Georgia" w:cs="Arial"/>
        </w:rPr>
      </w:pPr>
      <w:r>
        <w:rPr>
          <w:rFonts w:ascii="Georgia" w:hAnsi="Georgia" w:cs="Arial"/>
        </w:rPr>
        <w:t xml:space="preserve">Whether </w:t>
      </w:r>
      <w:r w:rsidR="005F4F78">
        <w:rPr>
          <w:rFonts w:ascii="Georgia" w:hAnsi="Georgia" w:cs="Arial"/>
        </w:rPr>
        <w:t>the Applicants or either</w:t>
      </w:r>
      <w:r w:rsidR="00FE45CB">
        <w:rPr>
          <w:rFonts w:ascii="Georgia" w:hAnsi="Georgia" w:cs="Arial"/>
        </w:rPr>
        <w:t xml:space="preserve"> of</w:t>
      </w:r>
      <w:r w:rsidR="005F4F78">
        <w:rPr>
          <w:rFonts w:ascii="Georgia" w:hAnsi="Georgia" w:cs="Arial"/>
        </w:rPr>
        <w:t xml:space="preserve"> them were required to share </w:t>
      </w:r>
      <w:r w:rsidR="004745F4" w:rsidRPr="004745F4">
        <w:rPr>
          <w:rFonts w:ascii="Georgia" w:hAnsi="Georgia" w:cs="Arial"/>
        </w:rPr>
        <w:t xml:space="preserve">one or more basic amenities or the </w:t>
      </w:r>
      <w:r w:rsidR="004745F4">
        <w:rPr>
          <w:rFonts w:ascii="Georgia" w:hAnsi="Georgia" w:cs="Arial"/>
        </w:rPr>
        <w:t>property was</w:t>
      </w:r>
      <w:r w:rsidR="004745F4" w:rsidRPr="004745F4">
        <w:rPr>
          <w:rFonts w:ascii="Georgia" w:hAnsi="Georgia" w:cs="Arial"/>
        </w:rPr>
        <w:t xml:space="preserve"> lacking in one or mor</w:t>
      </w:r>
      <w:r w:rsidR="00701DB5">
        <w:rPr>
          <w:rFonts w:ascii="Georgia" w:hAnsi="Georgia" w:cs="Arial"/>
        </w:rPr>
        <w:t>e of these</w:t>
      </w:r>
      <w:r w:rsidR="004745F4" w:rsidRPr="004745F4">
        <w:rPr>
          <w:rFonts w:ascii="Georgia" w:hAnsi="Georgia" w:cs="Arial"/>
        </w:rPr>
        <w:t xml:space="preserve"> amenities</w:t>
      </w:r>
      <w:r w:rsidR="004745F4">
        <w:rPr>
          <w:rFonts w:ascii="Georgia" w:hAnsi="Georgia" w:cs="Arial"/>
        </w:rPr>
        <w:t>.</w:t>
      </w:r>
    </w:p>
    <w:p w14:paraId="5529B862" w14:textId="74CEF48A" w:rsidR="004745F4" w:rsidRDefault="004745F4" w:rsidP="004745F4">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lastRenderedPageBreak/>
        <w:t xml:space="preserve">For these reasons, we are not satisfied that, during the period in which the Applicants occupied the property, </w:t>
      </w:r>
      <w:r w:rsidR="00074CFA">
        <w:rPr>
          <w:rFonts w:ascii="Georgia" w:hAnsi="Georgia" w:cs="Arial"/>
        </w:rPr>
        <w:t xml:space="preserve">the property was required to be licenced under part </w:t>
      </w:r>
      <w:r w:rsidR="00616928">
        <w:rPr>
          <w:rFonts w:ascii="Georgia" w:hAnsi="Georgia" w:cs="Arial"/>
        </w:rPr>
        <w:t xml:space="preserve">2 of the 2004 Act. We are accordingly not satisfied that the </w:t>
      </w:r>
      <w:r w:rsidR="00A302C0">
        <w:rPr>
          <w:rFonts w:ascii="Georgia" w:hAnsi="Georgia" w:cs="Arial"/>
        </w:rPr>
        <w:t xml:space="preserve">Respondent is guilty of an offence under section 72(1) of the 2004 Act. </w:t>
      </w:r>
    </w:p>
    <w:p w14:paraId="48EB2538" w14:textId="1F7010B4" w:rsidR="0033121B" w:rsidRDefault="00A302C0" w:rsidP="0033121B">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 xml:space="preserve">We now turn to the alleged offending under sections </w:t>
      </w:r>
      <w:r w:rsidR="00612921">
        <w:rPr>
          <w:rFonts w:ascii="Georgia" w:hAnsi="Georgia" w:cs="Arial"/>
        </w:rPr>
        <w:t>1(3) and (3A) of the 1977 Act</w:t>
      </w:r>
      <w:r w:rsidR="0033121B">
        <w:rPr>
          <w:rFonts w:ascii="Georgia" w:hAnsi="Georgia" w:cs="Arial"/>
        </w:rPr>
        <w:t xml:space="preserve">. </w:t>
      </w:r>
    </w:p>
    <w:p w14:paraId="314070D3" w14:textId="6A8B65F4" w:rsidR="00596F07" w:rsidRDefault="0033121B" w:rsidP="0033121B">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 xml:space="preserve">The </w:t>
      </w:r>
      <w:r w:rsidR="00FD5B2F">
        <w:rPr>
          <w:rFonts w:ascii="Georgia" w:hAnsi="Georgia" w:cs="Arial"/>
        </w:rPr>
        <w:t>Applicants describe</w:t>
      </w:r>
      <w:r w:rsidR="00980CBC">
        <w:rPr>
          <w:rFonts w:ascii="Georgia" w:hAnsi="Georgia" w:cs="Arial"/>
        </w:rPr>
        <w:t>d</w:t>
      </w:r>
      <w:r w:rsidR="00FD5B2F">
        <w:rPr>
          <w:rFonts w:ascii="Georgia" w:hAnsi="Georgia" w:cs="Arial"/>
        </w:rPr>
        <w:t xml:space="preserve"> in their application forms </w:t>
      </w:r>
      <w:r w:rsidR="00980CBC">
        <w:rPr>
          <w:rFonts w:ascii="Georgia" w:hAnsi="Georgia" w:cs="Arial"/>
        </w:rPr>
        <w:t xml:space="preserve">and in their oral evidence an incident which took place on 20 May </w:t>
      </w:r>
      <w:r w:rsidR="00D63124">
        <w:rPr>
          <w:rFonts w:ascii="Georgia" w:hAnsi="Georgia" w:cs="Arial"/>
        </w:rPr>
        <w:t xml:space="preserve">2024 in which </w:t>
      </w:r>
      <w:r w:rsidR="00097F0F">
        <w:rPr>
          <w:rFonts w:ascii="Georgia" w:hAnsi="Georgia" w:cs="Arial"/>
        </w:rPr>
        <w:t>an individual they identify as Mr Akram</w:t>
      </w:r>
      <w:r w:rsidR="00156BF4">
        <w:rPr>
          <w:rFonts w:ascii="Georgia" w:hAnsi="Georgia" w:cs="Arial"/>
        </w:rPr>
        <w:t xml:space="preserve"> Ayub</w:t>
      </w:r>
      <w:r w:rsidR="00097F0F">
        <w:rPr>
          <w:rFonts w:ascii="Georgia" w:hAnsi="Georgia" w:cs="Arial"/>
        </w:rPr>
        <w:t xml:space="preserve"> attended the property with Ms Arboleda</w:t>
      </w:r>
      <w:r w:rsidR="00970AF9">
        <w:rPr>
          <w:rFonts w:ascii="Georgia" w:hAnsi="Georgia" w:cs="Arial"/>
        </w:rPr>
        <w:t xml:space="preserve"> in the morning when the Applicants were still asleep</w:t>
      </w:r>
      <w:r w:rsidR="00C057EA">
        <w:rPr>
          <w:rFonts w:ascii="Georgia" w:hAnsi="Georgia" w:cs="Arial"/>
        </w:rPr>
        <w:t>.</w:t>
      </w:r>
      <w:r w:rsidR="006E3121">
        <w:rPr>
          <w:rFonts w:ascii="Georgia" w:hAnsi="Georgia" w:cs="Arial"/>
        </w:rPr>
        <w:t xml:space="preserve"> </w:t>
      </w:r>
      <w:r w:rsidR="00C669CE">
        <w:rPr>
          <w:rFonts w:ascii="Georgia" w:hAnsi="Georgia" w:cs="Arial"/>
        </w:rPr>
        <w:t xml:space="preserve">This followed notification from the local authority that they intended to </w:t>
      </w:r>
      <w:r w:rsidR="00D32D4A">
        <w:rPr>
          <w:rFonts w:ascii="Georgia" w:hAnsi="Georgia" w:cs="Arial"/>
        </w:rPr>
        <w:t xml:space="preserve">inspect the property on 22 May 2024 in order to identify whether any category 1 or 2 hazards existed at the property. Mr Ayub </w:t>
      </w:r>
      <w:r w:rsidR="006E3121">
        <w:rPr>
          <w:rFonts w:ascii="Georgia" w:hAnsi="Georgia" w:cs="Arial"/>
        </w:rPr>
        <w:t>had not told the</w:t>
      </w:r>
      <w:r w:rsidR="00116B29">
        <w:rPr>
          <w:rFonts w:ascii="Georgia" w:hAnsi="Georgia" w:cs="Arial"/>
        </w:rPr>
        <w:t xml:space="preserve"> Applicants </w:t>
      </w:r>
      <w:r w:rsidR="006E3121">
        <w:rPr>
          <w:rFonts w:ascii="Georgia" w:hAnsi="Georgia" w:cs="Arial"/>
        </w:rPr>
        <w:t>that he would be attending the property.</w:t>
      </w:r>
      <w:r w:rsidR="00C057EA">
        <w:rPr>
          <w:rFonts w:ascii="Georgia" w:hAnsi="Georgia" w:cs="Arial"/>
        </w:rPr>
        <w:t xml:space="preserve"> The </w:t>
      </w:r>
      <w:r w:rsidR="00FD5C7B">
        <w:rPr>
          <w:rFonts w:ascii="Georgia" w:hAnsi="Georgia" w:cs="Arial"/>
        </w:rPr>
        <w:t>Second Applicant said that the front door to the property opened into the living room, which she used as her bedroom and was where she was sleeping at the time.</w:t>
      </w:r>
      <w:r w:rsidR="00444D39">
        <w:rPr>
          <w:rFonts w:ascii="Georgia" w:hAnsi="Georgia" w:cs="Arial"/>
        </w:rPr>
        <w:t xml:space="preserve"> The Second Applicant said that she felt humiliated</w:t>
      </w:r>
      <w:r w:rsidR="00825195">
        <w:rPr>
          <w:rFonts w:ascii="Georgia" w:hAnsi="Georgia" w:cs="Arial"/>
        </w:rPr>
        <w:t xml:space="preserve"> by </w:t>
      </w:r>
      <w:r w:rsidR="00116B29">
        <w:rPr>
          <w:rFonts w:ascii="Georgia" w:hAnsi="Georgia" w:cs="Arial"/>
        </w:rPr>
        <w:t>Mr Ayub’s entry into her room</w:t>
      </w:r>
      <w:r w:rsidR="0065000F">
        <w:rPr>
          <w:rFonts w:ascii="Georgia" w:hAnsi="Georgia" w:cs="Arial"/>
        </w:rPr>
        <w:t>, and that she blocked the door at night afterwards because she feared that the same thing might happen again</w:t>
      </w:r>
      <w:r w:rsidR="00825195">
        <w:rPr>
          <w:rFonts w:ascii="Georgia" w:hAnsi="Georgia" w:cs="Arial"/>
        </w:rPr>
        <w:t>.</w:t>
      </w:r>
      <w:r w:rsidR="00D0416F">
        <w:rPr>
          <w:rFonts w:ascii="Georgia" w:hAnsi="Georgia" w:cs="Arial"/>
        </w:rPr>
        <w:t xml:space="preserve"> The</w:t>
      </w:r>
      <w:r w:rsidR="0065000F">
        <w:rPr>
          <w:rFonts w:ascii="Georgia" w:hAnsi="Georgia" w:cs="Arial"/>
        </w:rPr>
        <w:t xml:space="preserve"> Applicants</w:t>
      </w:r>
      <w:r w:rsidR="00745496">
        <w:rPr>
          <w:rFonts w:ascii="Georgia" w:hAnsi="Georgia" w:cs="Arial"/>
        </w:rPr>
        <w:t xml:space="preserve"> said that Mr </w:t>
      </w:r>
      <w:r w:rsidR="00376633">
        <w:rPr>
          <w:rFonts w:ascii="Georgia" w:hAnsi="Georgia" w:cs="Arial"/>
        </w:rPr>
        <w:t>Ayub</w:t>
      </w:r>
      <w:r w:rsidR="00745496">
        <w:rPr>
          <w:rFonts w:ascii="Georgia" w:hAnsi="Georgia" w:cs="Arial"/>
        </w:rPr>
        <w:t xml:space="preserve"> began shouting at </w:t>
      </w:r>
      <w:r w:rsidR="00D0416F">
        <w:rPr>
          <w:rFonts w:ascii="Georgia" w:hAnsi="Georgia" w:cs="Arial"/>
        </w:rPr>
        <w:t>them and they called the police, who attended</w:t>
      </w:r>
      <w:r w:rsidR="00825195">
        <w:rPr>
          <w:rFonts w:ascii="Georgia" w:hAnsi="Georgia" w:cs="Arial"/>
        </w:rPr>
        <w:t xml:space="preserve">, though they have not taken any further action against Mr Ayub. </w:t>
      </w:r>
    </w:p>
    <w:p w14:paraId="3BCE8A10" w14:textId="422BE1A2" w:rsidR="0033121B" w:rsidRDefault="0065000F" w:rsidP="0033121B">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I have seen a</w:t>
      </w:r>
      <w:r w:rsidR="00596F07">
        <w:rPr>
          <w:rFonts w:ascii="Georgia" w:hAnsi="Georgia" w:cs="Arial"/>
        </w:rPr>
        <w:t xml:space="preserve"> short</w:t>
      </w:r>
      <w:r>
        <w:rPr>
          <w:rFonts w:ascii="Georgia" w:hAnsi="Georgia" w:cs="Arial"/>
        </w:rPr>
        <w:t xml:space="preserve"> video</w:t>
      </w:r>
      <w:r w:rsidR="00596F07">
        <w:rPr>
          <w:rFonts w:ascii="Georgia" w:hAnsi="Georgia" w:cs="Arial"/>
        </w:rPr>
        <w:t xml:space="preserve"> of a confrontation between the Applicants and Mr Ayub on </w:t>
      </w:r>
      <w:r w:rsidR="00987361">
        <w:rPr>
          <w:rFonts w:ascii="Georgia" w:hAnsi="Georgia" w:cs="Arial"/>
        </w:rPr>
        <w:t xml:space="preserve">20 May 2024, in which both </w:t>
      </w:r>
      <w:r w:rsidR="00A23B5E">
        <w:rPr>
          <w:rFonts w:ascii="Georgia" w:hAnsi="Georgia" w:cs="Arial"/>
        </w:rPr>
        <w:t xml:space="preserve">the Applicants and Mr Ayub </w:t>
      </w:r>
      <w:r w:rsidR="009568B0">
        <w:rPr>
          <w:rFonts w:ascii="Georgia" w:hAnsi="Georgia" w:cs="Arial"/>
        </w:rPr>
        <w:t xml:space="preserve">are engaged in a heated discussion about </w:t>
      </w:r>
      <w:r w:rsidR="00BE1957">
        <w:rPr>
          <w:rFonts w:ascii="Georgia" w:hAnsi="Georgia" w:cs="Arial"/>
        </w:rPr>
        <w:t>Mr Ayub’s attendance at the property that day</w:t>
      </w:r>
      <w:r w:rsidR="00116B29">
        <w:rPr>
          <w:rFonts w:ascii="Georgia" w:hAnsi="Georgia" w:cs="Arial"/>
        </w:rPr>
        <w:t>,</w:t>
      </w:r>
      <w:r w:rsidR="00BE1957">
        <w:rPr>
          <w:rFonts w:ascii="Georgia" w:hAnsi="Georgia" w:cs="Arial"/>
        </w:rPr>
        <w:t xml:space="preserve"> the basis upon which the Applicants occupy the property</w:t>
      </w:r>
      <w:r w:rsidR="00C707EA">
        <w:rPr>
          <w:rFonts w:ascii="Georgia" w:hAnsi="Georgia" w:cs="Arial"/>
        </w:rPr>
        <w:t>,</w:t>
      </w:r>
      <w:r w:rsidR="00BE1957">
        <w:rPr>
          <w:rFonts w:ascii="Georgia" w:hAnsi="Georgia" w:cs="Arial"/>
        </w:rPr>
        <w:t xml:space="preserve"> and in whi</w:t>
      </w:r>
      <w:r w:rsidR="00C50B36">
        <w:rPr>
          <w:rFonts w:ascii="Georgia" w:hAnsi="Georgia" w:cs="Arial"/>
        </w:rPr>
        <w:t xml:space="preserve">ch each side tells the other to “shut up”. The video ends with the Applicants resolving to call the police and the council. </w:t>
      </w:r>
      <w:r>
        <w:rPr>
          <w:rFonts w:ascii="Georgia" w:hAnsi="Georgia" w:cs="Arial"/>
        </w:rPr>
        <w:t xml:space="preserve"> </w:t>
      </w:r>
    </w:p>
    <w:p w14:paraId="517E342A" w14:textId="385EE97F" w:rsidR="00970AF9" w:rsidRDefault="004609B7" w:rsidP="0033121B">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There was little clear evidence before us as to who Mr A</w:t>
      </w:r>
      <w:r w:rsidR="00376633">
        <w:rPr>
          <w:rFonts w:ascii="Georgia" w:hAnsi="Georgia" w:cs="Arial"/>
        </w:rPr>
        <w:t>yub</w:t>
      </w:r>
      <w:r>
        <w:rPr>
          <w:rFonts w:ascii="Georgia" w:hAnsi="Georgia" w:cs="Arial"/>
        </w:rPr>
        <w:t xml:space="preserve"> is and </w:t>
      </w:r>
      <w:r w:rsidR="00BA7FDD">
        <w:rPr>
          <w:rFonts w:ascii="Georgia" w:hAnsi="Georgia" w:cs="Arial"/>
        </w:rPr>
        <w:t xml:space="preserve">the nature of </w:t>
      </w:r>
      <w:r>
        <w:rPr>
          <w:rFonts w:ascii="Georgia" w:hAnsi="Georgia" w:cs="Arial"/>
        </w:rPr>
        <w:t xml:space="preserve">his connection to the property. </w:t>
      </w:r>
      <w:r w:rsidR="00320413">
        <w:rPr>
          <w:rFonts w:ascii="Georgia" w:hAnsi="Georgia" w:cs="Arial"/>
        </w:rPr>
        <w:t xml:space="preserve">The First Applicant said that she thought that he </w:t>
      </w:r>
      <w:r w:rsidR="00F82040">
        <w:rPr>
          <w:rFonts w:ascii="Georgia" w:hAnsi="Georgia" w:cs="Arial"/>
        </w:rPr>
        <w:t>lives next</w:t>
      </w:r>
      <w:r w:rsidR="00376633">
        <w:rPr>
          <w:rFonts w:ascii="Georgia" w:hAnsi="Georgia" w:cs="Arial"/>
        </w:rPr>
        <w:t xml:space="preserve"> </w:t>
      </w:r>
      <w:r w:rsidR="00F82040">
        <w:rPr>
          <w:rFonts w:ascii="Georgia" w:hAnsi="Georgia" w:cs="Arial"/>
        </w:rPr>
        <w:t>door to the Respondent</w:t>
      </w:r>
      <w:r w:rsidR="00376633">
        <w:rPr>
          <w:rFonts w:ascii="Georgia" w:hAnsi="Georgia" w:cs="Arial"/>
        </w:rPr>
        <w:t xml:space="preserve">. The Respondent’s unchallenged evidence was that Mr Ayub </w:t>
      </w:r>
      <w:r w:rsidR="00B370E8">
        <w:rPr>
          <w:rFonts w:ascii="Georgia" w:hAnsi="Georgia" w:cs="Arial"/>
        </w:rPr>
        <w:t xml:space="preserve">represents the freehold owner of the property, Mr </w:t>
      </w:r>
      <w:r w:rsidR="00F15097">
        <w:rPr>
          <w:rFonts w:ascii="Georgia" w:hAnsi="Georgia" w:cs="Arial"/>
        </w:rPr>
        <w:t>Aurangzed Hamid</w:t>
      </w:r>
      <w:r w:rsidR="008D7925">
        <w:rPr>
          <w:rFonts w:ascii="Georgia" w:hAnsi="Georgia" w:cs="Arial"/>
        </w:rPr>
        <w:t>. We accept her clear, straightforward and unchallenged evidence and find that Mr Ayub is a representative of the freeholder, not of the Respondent</w:t>
      </w:r>
      <w:r w:rsidR="00BF186F">
        <w:rPr>
          <w:rFonts w:ascii="Georgia" w:hAnsi="Georgia" w:cs="Arial"/>
        </w:rPr>
        <w:t>,</w:t>
      </w:r>
      <w:r w:rsidR="00771203">
        <w:rPr>
          <w:rFonts w:ascii="Georgia" w:hAnsi="Georgia" w:cs="Arial"/>
        </w:rPr>
        <w:t xml:space="preserve"> and that </w:t>
      </w:r>
      <w:r w:rsidR="00BF186F">
        <w:rPr>
          <w:rFonts w:ascii="Georgia" w:hAnsi="Georgia" w:cs="Arial"/>
        </w:rPr>
        <w:t>Mr Ayub</w:t>
      </w:r>
      <w:r w:rsidR="00771203">
        <w:rPr>
          <w:rFonts w:ascii="Georgia" w:hAnsi="Georgia" w:cs="Arial"/>
        </w:rPr>
        <w:t xml:space="preserve"> has no relationship with her in relation to the property. </w:t>
      </w:r>
    </w:p>
    <w:p w14:paraId="6D44F17B" w14:textId="597A3CF2" w:rsidR="003B3E61" w:rsidRDefault="003B3E61" w:rsidP="0033121B">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 xml:space="preserve">The Second Applicant said in her oral evidence that Mr Ayub had told her that </w:t>
      </w:r>
      <w:r w:rsidR="005A14E5">
        <w:rPr>
          <w:rFonts w:ascii="Georgia" w:hAnsi="Georgia" w:cs="Arial"/>
        </w:rPr>
        <w:t xml:space="preserve">he had been sent to the property that day by the Respondent. She also said that Ms </w:t>
      </w:r>
      <w:r w:rsidR="002F78C0">
        <w:rPr>
          <w:rFonts w:ascii="Georgia" w:hAnsi="Georgia" w:cs="Arial"/>
        </w:rPr>
        <w:t xml:space="preserve">Arboleda had told her the same thing and </w:t>
      </w:r>
      <w:r w:rsidR="00F942A4">
        <w:rPr>
          <w:rFonts w:ascii="Georgia" w:hAnsi="Georgia" w:cs="Arial"/>
        </w:rPr>
        <w:t xml:space="preserve">also </w:t>
      </w:r>
      <w:r w:rsidR="003A3757">
        <w:rPr>
          <w:rFonts w:ascii="Georgia" w:hAnsi="Georgia" w:cs="Arial"/>
        </w:rPr>
        <w:t xml:space="preserve">that the Respondent had dropped her off to the property that day. </w:t>
      </w:r>
    </w:p>
    <w:p w14:paraId="19A2BD2A" w14:textId="744BD078" w:rsidR="00A36443" w:rsidRDefault="00A36443" w:rsidP="0033121B">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However, none of this was put to the Respondent in cross-examination</w:t>
      </w:r>
      <w:r w:rsidR="00B516CC">
        <w:rPr>
          <w:rFonts w:ascii="Georgia" w:hAnsi="Georgia" w:cs="Arial"/>
        </w:rPr>
        <w:t xml:space="preserve"> and she ha</w:t>
      </w:r>
      <w:r w:rsidR="00BF186F">
        <w:rPr>
          <w:rFonts w:ascii="Georgia" w:hAnsi="Georgia" w:cs="Arial"/>
        </w:rPr>
        <w:t xml:space="preserve">s </w:t>
      </w:r>
      <w:r w:rsidR="00B516CC">
        <w:rPr>
          <w:rFonts w:ascii="Georgia" w:hAnsi="Georgia" w:cs="Arial"/>
        </w:rPr>
        <w:t xml:space="preserve">not been given any opportunity to answer the allegations </w:t>
      </w:r>
      <w:r w:rsidR="00B516CC">
        <w:rPr>
          <w:rFonts w:ascii="Georgia" w:hAnsi="Georgia" w:cs="Arial"/>
        </w:rPr>
        <w:lastRenderedPageBreak/>
        <w:t xml:space="preserve">levelled at her. </w:t>
      </w:r>
      <w:r>
        <w:rPr>
          <w:rFonts w:ascii="Georgia" w:hAnsi="Georgia" w:cs="Arial"/>
        </w:rPr>
        <w:t>The</w:t>
      </w:r>
      <w:r w:rsidR="002F78C0">
        <w:rPr>
          <w:rFonts w:ascii="Georgia" w:hAnsi="Georgia" w:cs="Arial"/>
        </w:rPr>
        <w:t xml:space="preserve"> Applicants did not call Mr Ayub or Ms </w:t>
      </w:r>
      <w:r>
        <w:rPr>
          <w:rFonts w:ascii="Georgia" w:hAnsi="Georgia" w:cs="Arial"/>
        </w:rPr>
        <w:t xml:space="preserve"> </w:t>
      </w:r>
      <w:r w:rsidR="002F78C0">
        <w:rPr>
          <w:rFonts w:ascii="Georgia" w:hAnsi="Georgia" w:cs="Arial"/>
        </w:rPr>
        <w:t>Arboleda to give any oral evidence to support their assertions.</w:t>
      </w:r>
      <w:r w:rsidR="003C51A1">
        <w:rPr>
          <w:rFonts w:ascii="Georgia" w:hAnsi="Georgia" w:cs="Arial"/>
        </w:rPr>
        <w:t xml:space="preserve"> </w:t>
      </w:r>
      <w:r w:rsidR="00824FFA">
        <w:rPr>
          <w:rFonts w:ascii="Georgia" w:hAnsi="Georgia" w:cs="Arial"/>
        </w:rPr>
        <w:t xml:space="preserve">They agreed that they had not seen the Respondent at the property that day. </w:t>
      </w:r>
      <w:r w:rsidR="003C51A1">
        <w:rPr>
          <w:rFonts w:ascii="Georgia" w:hAnsi="Georgia" w:cs="Arial"/>
        </w:rPr>
        <w:t xml:space="preserve">It was entirely unclear to the tribunal, from the evidence available to us, why the Respondent </w:t>
      </w:r>
      <w:r w:rsidR="00824FFA">
        <w:rPr>
          <w:rFonts w:ascii="Georgia" w:hAnsi="Georgia" w:cs="Arial"/>
        </w:rPr>
        <w:t xml:space="preserve">would have </w:t>
      </w:r>
      <w:r w:rsidR="00EB1D17">
        <w:rPr>
          <w:rFonts w:ascii="Georgia" w:hAnsi="Georgia" w:cs="Arial"/>
        </w:rPr>
        <w:t>sent Mr Ayub and Ms Arboleda to the property in circumstances</w:t>
      </w:r>
      <w:r w:rsidR="0080219C">
        <w:rPr>
          <w:rFonts w:ascii="Georgia" w:hAnsi="Georgia" w:cs="Arial"/>
        </w:rPr>
        <w:t xml:space="preserve"> where Mr Ayub </w:t>
      </w:r>
      <w:r w:rsidR="000F17D3">
        <w:rPr>
          <w:rFonts w:ascii="Georgia" w:hAnsi="Georgia" w:cs="Arial"/>
        </w:rPr>
        <w:t xml:space="preserve">is the freeholder’s representative. </w:t>
      </w:r>
      <w:r w:rsidR="00DE4EE1">
        <w:rPr>
          <w:rFonts w:ascii="Georgia" w:hAnsi="Georgia" w:cs="Arial"/>
        </w:rPr>
        <w:t xml:space="preserve">The Respondent’s unchallenged evidence, which was clearly and straightforwardly given, and which we accept, was that </w:t>
      </w:r>
      <w:r w:rsidR="006F7CB6">
        <w:rPr>
          <w:rFonts w:ascii="Georgia" w:hAnsi="Georgia" w:cs="Arial"/>
        </w:rPr>
        <w:t xml:space="preserve">she had no reason to be involved directly with </w:t>
      </w:r>
      <w:r w:rsidR="001C5C9E">
        <w:rPr>
          <w:rFonts w:ascii="Georgia" w:hAnsi="Georgia" w:cs="Arial"/>
        </w:rPr>
        <w:t>the matters between the local authority an</w:t>
      </w:r>
      <w:r w:rsidR="0066405F">
        <w:rPr>
          <w:rFonts w:ascii="Georgia" w:hAnsi="Georgia" w:cs="Arial"/>
        </w:rPr>
        <w:t>d</w:t>
      </w:r>
      <w:r w:rsidR="001C5C9E">
        <w:rPr>
          <w:rFonts w:ascii="Georgia" w:hAnsi="Georgia" w:cs="Arial"/>
        </w:rPr>
        <w:t xml:space="preserve"> the tenants because </w:t>
      </w:r>
      <w:r w:rsidR="0066405F">
        <w:rPr>
          <w:rFonts w:ascii="Georgia" w:hAnsi="Georgia" w:cs="Arial"/>
        </w:rPr>
        <w:t>these issues were being dealt with directly by Mr Ayub</w:t>
      </w:r>
      <w:r w:rsidR="005C77DC">
        <w:rPr>
          <w:rFonts w:ascii="Georgia" w:hAnsi="Georgia" w:cs="Arial"/>
        </w:rPr>
        <w:t>, the tenants and the freeholder.</w:t>
      </w:r>
      <w:r w:rsidR="0066405F">
        <w:rPr>
          <w:rFonts w:ascii="Georgia" w:hAnsi="Georgia" w:cs="Arial"/>
        </w:rPr>
        <w:t xml:space="preserve"> </w:t>
      </w:r>
      <w:r w:rsidR="007F61EF">
        <w:rPr>
          <w:rFonts w:ascii="Georgia" w:hAnsi="Georgia" w:cs="Arial"/>
        </w:rPr>
        <w:t xml:space="preserve">We are accordingly not satisfied that Mr Ayub or Ms Arboleda attended the property on 20 May 2024 on the Respondent’s instructions or as her agent. </w:t>
      </w:r>
      <w:r w:rsidR="00D62DA9">
        <w:rPr>
          <w:rFonts w:ascii="Georgia" w:hAnsi="Georgia" w:cs="Arial"/>
        </w:rPr>
        <w:t xml:space="preserve">We accept her evidence and find that she did not </w:t>
      </w:r>
      <w:r w:rsidR="00F942A4">
        <w:rPr>
          <w:rFonts w:ascii="Georgia" w:hAnsi="Georgia" w:cs="Arial"/>
        </w:rPr>
        <w:t>instruct Mr Ayub or Ms Arboleda</w:t>
      </w:r>
      <w:r w:rsidR="00D62DA9">
        <w:rPr>
          <w:rFonts w:ascii="Georgia" w:hAnsi="Georgia" w:cs="Arial"/>
        </w:rPr>
        <w:t xml:space="preserve"> </w:t>
      </w:r>
      <w:r w:rsidR="00F942A4">
        <w:rPr>
          <w:rFonts w:ascii="Georgia" w:hAnsi="Georgia" w:cs="Arial"/>
        </w:rPr>
        <w:t>to attend the property.</w:t>
      </w:r>
    </w:p>
    <w:p w14:paraId="4F473268" w14:textId="2A0018D1" w:rsidR="00C057EA" w:rsidRDefault="00EB1D17" w:rsidP="0033121B">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Further</w:t>
      </w:r>
      <w:r w:rsidR="00BA7AD1">
        <w:rPr>
          <w:rFonts w:ascii="Georgia" w:hAnsi="Georgia" w:cs="Arial"/>
        </w:rPr>
        <w:t>more</w:t>
      </w:r>
      <w:r>
        <w:rPr>
          <w:rFonts w:ascii="Georgia" w:hAnsi="Georgia" w:cs="Arial"/>
        </w:rPr>
        <w:t>, i</w:t>
      </w:r>
      <w:r w:rsidR="00370FF4">
        <w:rPr>
          <w:rFonts w:ascii="Georgia" w:hAnsi="Georgia" w:cs="Arial"/>
        </w:rPr>
        <w:t xml:space="preserve">t is the Applicants’ case that Ms Arboleda was a tenant and occupier of the property alongside them. She would presumably therefore </w:t>
      </w:r>
      <w:r w:rsidR="004609B7">
        <w:rPr>
          <w:rFonts w:ascii="Georgia" w:hAnsi="Georgia" w:cs="Arial"/>
        </w:rPr>
        <w:t>have been entitled to</w:t>
      </w:r>
      <w:r>
        <w:rPr>
          <w:rFonts w:ascii="Georgia" w:hAnsi="Georgia" w:cs="Arial"/>
        </w:rPr>
        <w:t xml:space="preserve"> enter the property</w:t>
      </w:r>
      <w:r w:rsidR="0080219C">
        <w:rPr>
          <w:rFonts w:ascii="Georgia" w:hAnsi="Georgia" w:cs="Arial"/>
        </w:rPr>
        <w:t xml:space="preserve"> as a tenant of it</w:t>
      </w:r>
      <w:r>
        <w:rPr>
          <w:rFonts w:ascii="Georgia" w:hAnsi="Georgia" w:cs="Arial"/>
        </w:rPr>
        <w:t xml:space="preserve"> and to</w:t>
      </w:r>
      <w:r w:rsidR="004609B7">
        <w:rPr>
          <w:rFonts w:ascii="Georgia" w:hAnsi="Georgia" w:cs="Arial"/>
        </w:rPr>
        <w:t xml:space="preserve"> allow </w:t>
      </w:r>
      <w:r w:rsidR="00320413">
        <w:rPr>
          <w:rFonts w:ascii="Georgia" w:hAnsi="Georgia" w:cs="Arial"/>
        </w:rPr>
        <w:t>Mr A</w:t>
      </w:r>
      <w:r w:rsidR="00273D43">
        <w:rPr>
          <w:rFonts w:ascii="Georgia" w:hAnsi="Georgia" w:cs="Arial"/>
        </w:rPr>
        <w:t>yub i</w:t>
      </w:r>
      <w:r w:rsidR="0080219C">
        <w:rPr>
          <w:rFonts w:ascii="Georgia" w:hAnsi="Georgia" w:cs="Arial"/>
        </w:rPr>
        <w:t xml:space="preserve">nside. </w:t>
      </w:r>
    </w:p>
    <w:p w14:paraId="6C8CB221" w14:textId="437AADBF" w:rsidR="00316157" w:rsidRDefault="00BA7AD1" w:rsidP="00316157">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In any event</w:t>
      </w:r>
      <w:r w:rsidR="00143486">
        <w:rPr>
          <w:rFonts w:ascii="Georgia" w:hAnsi="Georgia" w:cs="Arial"/>
        </w:rPr>
        <w:t>, it is a key elemen</w:t>
      </w:r>
      <w:r w:rsidR="007F61EF">
        <w:rPr>
          <w:rFonts w:ascii="Georgia" w:hAnsi="Georgia" w:cs="Arial"/>
        </w:rPr>
        <w:t xml:space="preserve">t of the offences under sections 1(3) and 1(3A) of the </w:t>
      </w:r>
      <w:r w:rsidR="004B7D86">
        <w:rPr>
          <w:rFonts w:ascii="Georgia" w:hAnsi="Georgia" w:cs="Arial"/>
        </w:rPr>
        <w:t>1977</w:t>
      </w:r>
      <w:r w:rsidR="007F61EF">
        <w:rPr>
          <w:rFonts w:ascii="Georgia" w:hAnsi="Georgia" w:cs="Arial"/>
        </w:rPr>
        <w:t xml:space="preserve"> Act that </w:t>
      </w:r>
      <w:r w:rsidR="007D2E8D">
        <w:rPr>
          <w:rFonts w:ascii="Georgia" w:hAnsi="Georgia" w:cs="Arial"/>
        </w:rPr>
        <w:t xml:space="preserve">the offender either has the intent to cause the occupiers of the premises to give </w:t>
      </w:r>
      <w:r w:rsidR="00725010">
        <w:rPr>
          <w:rFonts w:ascii="Georgia" w:hAnsi="Georgia" w:cs="Arial"/>
        </w:rPr>
        <w:t>up their occupation or refrain from exercising rights or remedies (section 1(3</w:t>
      </w:r>
      <w:r w:rsidR="004B7D86">
        <w:rPr>
          <w:rFonts w:ascii="Georgia" w:hAnsi="Georgia" w:cs="Arial"/>
        </w:rPr>
        <w:t xml:space="preserve">) of the 1977 Act) or that the offender </w:t>
      </w:r>
      <w:r w:rsidR="0085638F">
        <w:rPr>
          <w:rFonts w:ascii="Georgia" w:hAnsi="Georgia" w:cs="Arial"/>
        </w:rPr>
        <w:t xml:space="preserve">knows or has reasonable cause to believe that their conduct is likely to </w:t>
      </w:r>
      <w:r w:rsidR="00316157">
        <w:rPr>
          <w:rFonts w:ascii="Georgia" w:hAnsi="Georgia" w:cs="Arial"/>
        </w:rPr>
        <w:t xml:space="preserve">cause the occupiers of the premises to give up their occupation or refrain from exercising rights or remedies (section 1(3A) of the 1977 Act). </w:t>
      </w:r>
    </w:p>
    <w:p w14:paraId="2FD864A1" w14:textId="42314965" w:rsidR="000927B4" w:rsidRDefault="00316157" w:rsidP="008D616D">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Th</w:t>
      </w:r>
      <w:r w:rsidR="00F60A14">
        <w:rPr>
          <w:rFonts w:ascii="Georgia" w:hAnsi="Georgia" w:cs="Arial"/>
        </w:rPr>
        <w:t xml:space="preserve">at this was the Respondent’s intention or </w:t>
      </w:r>
      <w:r w:rsidR="00DF3E9D">
        <w:rPr>
          <w:rFonts w:ascii="Georgia" w:hAnsi="Georgia" w:cs="Arial"/>
        </w:rPr>
        <w:t xml:space="preserve">within her knowledge or </w:t>
      </w:r>
      <w:r w:rsidR="00273D43">
        <w:rPr>
          <w:rFonts w:ascii="Georgia" w:hAnsi="Georgia" w:cs="Arial"/>
        </w:rPr>
        <w:t xml:space="preserve">reasonable </w:t>
      </w:r>
      <w:r w:rsidR="00DF3E9D">
        <w:rPr>
          <w:rFonts w:ascii="Georgia" w:hAnsi="Georgia" w:cs="Arial"/>
        </w:rPr>
        <w:t>belief was</w:t>
      </w:r>
      <w:r w:rsidR="006354F9">
        <w:rPr>
          <w:rFonts w:ascii="Georgia" w:hAnsi="Georgia" w:cs="Arial"/>
        </w:rPr>
        <w:t xml:space="preserve"> not explored with her in cross-examination at all. </w:t>
      </w:r>
      <w:r w:rsidR="00243C5A">
        <w:rPr>
          <w:rFonts w:ascii="Georgia" w:hAnsi="Georgia" w:cs="Arial"/>
        </w:rPr>
        <w:t>Even if the Respondent did instruct</w:t>
      </w:r>
      <w:r w:rsidR="00F91D5C" w:rsidRPr="00F91D5C">
        <w:rPr>
          <w:rFonts w:ascii="Georgia" w:hAnsi="Georgia" w:cs="Arial"/>
        </w:rPr>
        <w:t xml:space="preserve"> </w:t>
      </w:r>
      <w:r w:rsidR="00F91D5C">
        <w:rPr>
          <w:rFonts w:ascii="Georgia" w:hAnsi="Georgia" w:cs="Arial"/>
        </w:rPr>
        <w:t xml:space="preserve">Mr Ayub or Ms Arboleda </w:t>
      </w:r>
      <w:r w:rsidR="001427D0">
        <w:rPr>
          <w:rFonts w:ascii="Georgia" w:hAnsi="Georgia" w:cs="Arial"/>
        </w:rPr>
        <w:t>to atten</w:t>
      </w:r>
      <w:r w:rsidR="00F91D5C">
        <w:rPr>
          <w:rFonts w:ascii="Georgia" w:hAnsi="Georgia" w:cs="Arial"/>
        </w:rPr>
        <w:t>d the property on 20 May 2024</w:t>
      </w:r>
      <w:r w:rsidR="001427D0">
        <w:rPr>
          <w:rFonts w:ascii="Georgia" w:hAnsi="Georgia" w:cs="Arial"/>
        </w:rPr>
        <w:t>, there</w:t>
      </w:r>
      <w:r w:rsidR="00243C5A">
        <w:rPr>
          <w:rFonts w:ascii="Georgia" w:hAnsi="Georgia" w:cs="Arial"/>
        </w:rPr>
        <w:t xml:space="preserve"> is in our judgment no </w:t>
      </w:r>
      <w:r w:rsidR="001427D0">
        <w:rPr>
          <w:rFonts w:ascii="Georgia" w:hAnsi="Georgia" w:cs="Arial"/>
        </w:rPr>
        <w:t>basis upon which we could find that she did so in</w:t>
      </w:r>
      <w:r w:rsidR="00002899">
        <w:rPr>
          <w:rFonts w:ascii="Georgia" w:hAnsi="Georgia" w:cs="Arial"/>
        </w:rPr>
        <w:t>tending or knowing or having reasonable cause to believe that these actions would likely cause the Applicants to give up their occupation</w:t>
      </w:r>
      <w:r w:rsidR="00273D43">
        <w:rPr>
          <w:rFonts w:ascii="Georgia" w:hAnsi="Georgia" w:cs="Arial"/>
        </w:rPr>
        <w:t xml:space="preserve"> of the property</w:t>
      </w:r>
      <w:r w:rsidR="00002899">
        <w:rPr>
          <w:rFonts w:ascii="Georgia" w:hAnsi="Georgia" w:cs="Arial"/>
        </w:rPr>
        <w:t xml:space="preserve"> or refrain from exercising rights or remedies</w:t>
      </w:r>
      <w:r w:rsidR="00273D43">
        <w:rPr>
          <w:rFonts w:ascii="Georgia" w:hAnsi="Georgia" w:cs="Arial"/>
        </w:rPr>
        <w:t xml:space="preserve"> in relation to it</w:t>
      </w:r>
      <w:r w:rsidR="00002899">
        <w:rPr>
          <w:rFonts w:ascii="Georgia" w:hAnsi="Georgia" w:cs="Arial"/>
        </w:rPr>
        <w:t xml:space="preserve">. It is not enough to say that Mr Ayub or Ms Arboleda entered the property without </w:t>
      </w:r>
      <w:r w:rsidR="00283472">
        <w:rPr>
          <w:rFonts w:ascii="Georgia" w:hAnsi="Georgia" w:cs="Arial"/>
        </w:rPr>
        <w:t>the Applicants’ permission – such actions may found a claim in trespass but do not in our judgment</w:t>
      </w:r>
      <w:r w:rsidR="00154BE7">
        <w:rPr>
          <w:rFonts w:ascii="Georgia" w:hAnsi="Georgia" w:cs="Arial"/>
        </w:rPr>
        <w:t>,</w:t>
      </w:r>
      <w:r w:rsidR="00283472">
        <w:rPr>
          <w:rFonts w:ascii="Georgia" w:hAnsi="Georgia" w:cs="Arial"/>
        </w:rPr>
        <w:t xml:space="preserve"> without more</w:t>
      </w:r>
      <w:r w:rsidR="00154BE7">
        <w:rPr>
          <w:rFonts w:ascii="Georgia" w:hAnsi="Georgia" w:cs="Arial"/>
        </w:rPr>
        <w:t>,</w:t>
      </w:r>
      <w:r w:rsidR="00283472">
        <w:rPr>
          <w:rFonts w:ascii="Georgia" w:hAnsi="Georgia" w:cs="Arial"/>
        </w:rPr>
        <w:t xml:space="preserve"> amount to an</w:t>
      </w:r>
      <w:r w:rsidR="0055700F">
        <w:rPr>
          <w:rFonts w:ascii="Georgia" w:hAnsi="Georgia" w:cs="Arial"/>
        </w:rPr>
        <w:t xml:space="preserve"> offence under sections</w:t>
      </w:r>
      <w:r w:rsidR="0055700F" w:rsidRPr="003C52E2">
        <w:rPr>
          <w:rFonts w:ascii="Arial" w:hAnsi="Arial" w:cs="Arial"/>
          <w:color w:val="1E1E1E"/>
          <w:sz w:val="19"/>
          <w:szCs w:val="19"/>
          <w:shd w:val="clear" w:color="auto" w:fill="FFFFFF"/>
        </w:rPr>
        <w:t xml:space="preserve"> </w:t>
      </w:r>
      <w:r w:rsidR="0055700F" w:rsidRPr="003C52E2">
        <w:rPr>
          <w:rFonts w:ascii="Georgia" w:hAnsi="Georgia" w:cs="Arial"/>
        </w:rPr>
        <w:t>1(3)</w:t>
      </w:r>
      <w:r w:rsidR="0055700F">
        <w:rPr>
          <w:rFonts w:ascii="Georgia" w:hAnsi="Georgia" w:cs="Arial"/>
        </w:rPr>
        <w:t xml:space="preserve"> and/or</w:t>
      </w:r>
      <w:r w:rsidR="0055700F" w:rsidRPr="003C52E2">
        <w:rPr>
          <w:rFonts w:ascii="Georgia" w:hAnsi="Georgia" w:cs="Arial"/>
        </w:rPr>
        <w:t xml:space="preserve"> (3A</w:t>
      </w:r>
      <w:r w:rsidR="0055700F">
        <w:rPr>
          <w:rFonts w:ascii="Georgia" w:hAnsi="Georgia" w:cs="Arial"/>
        </w:rPr>
        <w:t xml:space="preserve">) of the 1977 Act. </w:t>
      </w:r>
    </w:p>
    <w:p w14:paraId="44C4EA25" w14:textId="2F2879BF" w:rsidR="008D616D" w:rsidRPr="008D616D" w:rsidRDefault="008D616D" w:rsidP="008D616D">
      <w:pPr>
        <w:autoSpaceDE w:val="0"/>
        <w:autoSpaceDN w:val="0"/>
        <w:adjustRightInd w:val="0"/>
        <w:spacing w:after="360"/>
        <w:jc w:val="both"/>
        <w:rPr>
          <w:rFonts w:ascii="Georgia" w:hAnsi="Georgia" w:cs="Arial"/>
          <w:b/>
          <w:bCs/>
          <w:u w:val="single"/>
        </w:rPr>
      </w:pPr>
      <w:r>
        <w:rPr>
          <w:rFonts w:ascii="Georgia" w:hAnsi="Georgia" w:cs="Arial"/>
          <w:b/>
          <w:bCs/>
          <w:u w:val="single"/>
        </w:rPr>
        <w:t>Conclusions</w:t>
      </w:r>
    </w:p>
    <w:p w14:paraId="3ED35AE5" w14:textId="6ECC6A42" w:rsidR="008D616D" w:rsidRDefault="008D616D" w:rsidP="008D616D">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Having carefully considered the evidence, for the reasons set out above, we are not satisfied on the facts as we have found them to be that the matters raised by the Applicants</w:t>
      </w:r>
      <w:r w:rsidR="00154BE7">
        <w:rPr>
          <w:rFonts w:ascii="Georgia" w:hAnsi="Georgia" w:cs="Arial"/>
        </w:rPr>
        <w:t xml:space="preserve"> </w:t>
      </w:r>
      <w:r>
        <w:rPr>
          <w:rFonts w:ascii="Georgia" w:hAnsi="Georgia" w:cs="Arial"/>
        </w:rPr>
        <w:t xml:space="preserve">establish beyond reasonable doubt that </w:t>
      </w:r>
      <w:r>
        <w:rPr>
          <w:rFonts w:ascii="Georgia" w:hAnsi="Georgia" w:cs="Arial"/>
        </w:rPr>
        <w:lastRenderedPageBreak/>
        <w:t xml:space="preserve">the Respondent </w:t>
      </w:r>
      <w:r w:rsidRPr="00312F9E">
        <w:rPr>
          <w:rFonts w:ascii="Georgia" w:hAnsi="Georgia" w:cs="Arial"/>
        </w:rPr>
        <w:t>has committed an</w:t>
      </w:r>
      <w:r>
        <w:rPr>
          <w:rFonts w:ascii="Georgia" w:hAnsi="Georgia" w:cs="Arial"/>
        </w:rPr>
        <w:t>y</w:t>
      </w:r>
      <w:r w:rsidRPr="00312F9E">
        <w:rPr>
          <w:rFonts w:ascii="Georgia" w:hAnsi="Georgia" w:cs="Arial"/>
        </w:rPr>
        <w:t xml:space="preserve"> offence</w:t>
      </w:r>
      <w:r>
        <w:rPr>
          <w:rFonts w:ascii="Georgia" w:hAnsi="Georgia" w:cs="Arial"/>
        </w:rPr>
        <w:t xml:space="preserve"> under sections</w:t>
      </w:r>
      <w:r w:rsidRPr="003C52E2">
        <w:rPr>
          <w:rFonts w:ascii="Arial" w:hAnsi="Arial" w:cs="Arial"/>
          <w:color w:val="1E1E1E"/>
          <w:sz w:val="19"/>
          <w:szCs w:val="19"/>
          <w:shd w:val="clear" w:color="auto" w:fill="FFFFFF"/>
        </w:rPr>
        <w:t xml:space="preserve"> </w:t>
      </w:r>
      <w:r w:rsidRPr="003C52E2">
        <w:rPr>
          <w:rFonts w:ascii="Georgia" w:hAnsi="Georgia" w:cs="Arial"/>
        </w:rPr>
        <w:t>1(3)</w:t>
      </w:r>
      <w:r>
        <w:rPr>
          <w:rFonts w:ascii="Georgia" w:hAnsi="Georgia" w:cs="Arial"/>
        </w:rPr>
        <w:t xml:space="preserve"> and/or</w:t>
      </w:r>
      <w:r w:rsidRPr="003C52E2">
        <w:rPr>
          <w:rFonts w:ascii="Georgia" w:hAnsi="Georgia" w:cs="Arial"/>
        </w:rPr>
        <w:t xml:space="preserve"> (3A</w:t>
      </w:r>
      <w:r>
        <w:rPr>
          <w:rFonts w:ascii="Georgia" w:hAnsi="Georgia" w:cs="Arial"/>
        </w:rPr>
        <w:t xml:space="preserve">) of the 1977 Act nor under section 72(1) of the 2004 Act. </w:t>
      </w:r>
    </w:p>
    <w:p w14:paraId="11C37155" w14:textId="20D5E5F7" w:rsidR="008D616D" w:rsidRPr="008D616D" w:rsidRDefault="008D616D" w:rsidP="008D616D">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 xml:space="preserve">We </w:t>
      </w:r>
      <w:r w:rsidRPr="00FF2BEF">
        <w:rPr>
          <w:rFonts w:ascii="Georgia" w:hAnsi="Georgia" w:cs="Arial"/>
        </w:rPr>
        <w:t>accordingly d</w:t>
      </w:r>
      <w:r>
        <w:rPr>
          <w:rFonts w:ascii="Georgia" w:hAnsi="Georgia" w:cs="Arial"/>
        </w:rPr>
        <w:t>ismiss the application.</w:t>
      </w:r>
    </w:p>
    <w:tbl>
      <w:tblPr>
        <w:tblW w:w="8595" w:type="dxa"/>
        <w:tblLook w:val="01E0" w:firstRow="1" w:lastRow="1" w:firstColumn="1" w:lastColumn="1" w:noHBand="0" w:noVBand="0"/>
      </w:tblPr>
      <w:tblGrid>
        <w:gridCol w:w="1134"/>
        <w:gridCol w:w="3402"/>
        <w:gridCol w:w="1111"/>
        <w:gridCol w:w="2948"/>
      </w:tblGrid>
      <w:tr w:rsidR="000927B4" w:rsidRPr="007F1C70" w14:paraId="158E832F" w14:textId="77777777" w:rsidTr="00B756E3">
        <w:trPr>
          <w:trHeight w:val="587"/>
        </w:trPr>
        <w:tc>
          <w:tcPr>
            <w:tcW w:w="1134" w:type="dxa"/>
            <w:vAlign w:val="center"/>
          </w:tcPr>
          <w:p w14:paraId="1B994F87" w14:textId="77777777" w:rsidR="000927B4" w:rsidRPr="007F1C70" w:rsidRDefault="000927B4" w:rsidP="00C663E1">
            <w:pPr>
              <w:rPr>
                <w:rFonts w:ascii="Georgia" w:hAnsi="Georgia" w:cs="Arial"/>
                <w:b/>
              </w:rPr>
            </w:pPr>
            <w:r w:rsidRPr="007F1C70">
              <w:rPr>
                <w:rFonts w:ascii="Georgia" w:hAnsi="Georgia" w:cs="Arial"/>
                <w:b/>
              </w:rPr>
              <w:t>Name:</w:t>
            </w:r>
          </w:p>
        </w:tc>
        <w:tc>
          <w:tcPr>
            <w:tcW w:w="3402" w:type="dxa"/>
            <w:vAlign w:val="center"/>
          </w:tcPr>
          <w:p w14:paraId="638CBC1E" w14:textId="1E2EC57B" w:rsidR="000927B4" w:rsidRPr="007F1C70" w:rsidRDefault="008D616D" w:rsidP="00C663E1">
            <w:pPr>
              <w:rPr>
                <w:rFonts w:ascii="Georgia" w:hAnsi="Georgia" w:cs="Arial"/>
              </w:rPr>
            </w:pPr>
            <w:r>
              <w:rPr>
                <w:rFonts w:ascii="Georgia" w:hAnsi="Georgia" w:cs="Arial"/>
              </w:rPr>
              <w:t>Judge K Neave</w:t>
            </w:r>
          </w:p>
        </w:tc>
        <w:tc>
          <w:tcPr>
            <w:tcW w:w="1111" w:type="dxa"/>
            <w:vAlign w:val="center"/>
          </w:tcPr>
          <w:p w14:paraId="2919AF14" w14:textId="77777777" w:rsidR="000927B4" w:rsidRPr="007F1C70" w:rsidRDefault="000927B4" w:rsidP="00C663E1">
            <w:pPr>
              <w:rPr>
                <w:rFonts w:ascii="Georgia" w:hAnsi="Georgia" w:cs="Arial"/>
                <w:b/>
              </w:rPr>
            </w:pPr>
            <w:r w:rsidRPr="007F1C70">
              <w:rPr>
                <w:rFonts w:ascii="Georgia" w:hAnsi="Georgia" w:cs="Arial"/>
                <w:b/>
              </w:rPr>
              <w:t>Date:</w:t>
            </w:r>
          </w:p>
        </w:tc>
        <w:tc>
          <w:tcPr>
            <w:tcW w:w="2948" w:type="dxa"/>
            <w:vAlign w:val="center"/>
          </w:tcPr>
          <w:p w14:paraId="595E667C" w14:textId="0F820537" w:rsidR="000927B4" w:rsidRPr="007F1C70" w:rsidRDefault="008D616D" w:rsidP="00C663E1">
            <w:pPr>
              <w:rPr>
                <w:rFonts w:ascii="Georgia" w:hAnsi="Georgia" w:cs="Arial"/>
              </w:rPr>
            </w:pPr>
            <w:r>
              <w:rPr>
                <w:rFonts w:ascii="Georgia" w:hAnsi="Georgia" w:cs="Arial"/>
              </w:rPr>
              <w:t>28 October 2025</w:t>
            </w:r>
          </w:p>
        </w:tc>
      </w:tr>
    </w:tbl>
    <w:p w14:paraId="174B5747" w14:textId="77777777" w:rsidR="000927B4" w:rsidRPr="00D274B6" w:rsidRDefault="000927B4" w:rsidP="0046328F">
      <w:pPr>
        <w:spacing w:after="240"/>
        <w:rPr>
          <w:rFonts w:ascii="Georgia" w:hAnsi="Georgia"/>
        </w:rPr>
      </w:pPr>
    </w:p>
    <w:p w14:paraId="3BAA5511" w14:textId="77777777" w:rsidR="00624111" w:rsidRPr="005710A8" w:rsidRDefault="00624111" w:rsidP="0046328F">
      <w:pPr>
        <w:spacing w:after="240"/>
        <w:jc w:val="center"/>
        <w:rPr>
          <w:rFonts w:ascii="Georgia" w:hAnsi="Georgia"/>
          <w:b/>
          <w:u w:val="single"/>
        </w:rPr>
      </w:pPr>
      <w:r w:rsidRPr="005710A8">
        <w:rPr>
          <w:rFonts w:ascii="Georgia" w:hAnsi="Georgia"/>
          <w:b/>
          <w:u w:val="single"/>
        </w:rPr>
        <w:t xml:space="preserve">Rights </w:t>
      </w:r>
      <w:r>
        <w:rPr>
          <w:rFonts w:ascii="Georgia" w:hAnsi="Georgia"/>
          <w:b/>
          <w:u w:val="single"/>
        </w:rPr>
        <w:t>o</w:t>
      </w:r>
      <w:r w:rsidRPr="005710A8">
        <w:rPr>
          <w:rFonts w:ascii="Georgia" w:hAnsi="Georgia"/>
          <w:b/>
          <w:u w:val="single"/>
        </w:rPr>
        <w:t xml:space="preserve">f </w:t>
      </w:r>
      <w:r>
        <w:rPr>
          <w:rFonts w:ascii="Georgia" w:hAnsi="Georgia"/>
          <w:b/>
          <w:u w:val="single"/>
        </w:rPr>
        <w:t>a</w:t>
      </w:r>
      <w:r w:rsidRPr="005710A8">
        <w:rPr>
          <w:rFonts w:ascii="Georgia" w:hAnsi="Georgia"/>
          <w:b/>
          <w:u w:val="single"/>
        </w:rPr>
        <w:t>ppeal</w:t>
      </w:r>
    </w:p>
    <w:p w14:paraId="3CD43B4C" w14:textId="77777777" w:rsidR="00624111" w:rsidRPr="009150F9" w:rsidRDefault="00624111" w:rsidP="0046328F">
      <w:pPr>
        <w:tabs>
          <w:tab w:val="left" w:pos="720"/>
        </w:tabs>
        <w:spacing w:after="240"/>
        <w:jc w:val="both"/>
        <w:rPr>
          <w:rFonts w:ascii="Georgia" w:hAnsi="Georgia"/>
        </w:rPr>
      </w:pPr>
      <w:r w:rsidRPr="009150F9">
        <w:rPr>
          <w:rFonts w:ascii="Georgia" w:hAnsi="Georgia"/>
        </w:rPr>
        <w:t>By rule 36(2) of the Tribunal Procedure (First-tier Tribunal) (Property Chamber) Rules 2013, the tribunal is required to notify the parties about any right of appeal</w:t>
      </w:r>
      <w:r>
        <w:rPr>
          <w:rFonts w:ascii="Georgia" w:hAnsi="Georgia"/>
        </w:rPr>
        <w:t xml:space="preserve"> they may have</w:t>
      </w:r>
      <w:r w:rsidRPr="009150F9">
        <w:rPr>
          <w:rFonts w:ascii="Georgia" w:hAnsi="Georgia"/>
        </w:rPr>
        <w:t>.</w:t>
      </w:r>
    </w:p>
    <w:p w14:paraId="34F3B764" w14:textId="77777777" w:rsidR="00624111" w:rsidRPr="005710A8" w:rsidRDefault="00624111" w:rsidP="0046328F">
      <w:pPr>
        <w:tabs>
          <w:tab w:val="left" w:pos="720"/>
        </w:tabs>
        <w:spacing w:after="240"/>
        <w:jc w:val="both"/>
        <w:rPr>
          <w:rFonts w:ascii="Georgia" w:hAnsi="Georgia"/>
        </w:rPr>
      </w:pPr>
      <w:r>
        <w:rPr>
          <w:rFonts w:ascii="Georgia" w:hAnsi="Georgia"/>
        </w:rPr>
        <w:t>If a party wishes</w:t>
      </w:r>
      <w:r w:rsidRPr="005710A8">
        <w:rPr>
          <w:rFonts w:ascii="Georgia" w:hAnsi="Georgia"/>
        </w:rPr>
        <w:t xml:space="preserve"> to appeal this decision to the Upper Tribunal (Lands Chamber)</w:t>
      </w:r>
      <w:r>
        <w:rPr>
          <w:rFonts w:ascii="Georgia" w:hAnsi="Georgia"/>
        </w:rPr>
        <w:t>,</w:t>
      </w:r>
      <w:r w:rsidRPr="005710A8">
        <w:rPr>
          <w:rFonts w:ascii="Georgia" w:hAnsi="Georgia"/>
        </w:rPr>
        <w:t xml:space="preserve"> </w:t>
      </w:r>
      <w:r>
        <w:rPr>
          <w:rFonts w:ascii="Georgia" w:hAnsi="Georgia"/>
        </w:rPr>
        <w:t>then a written application for permission must be made</w:t>
      </w:r>
      <w:r w:rsidRPr="005710A8">
        <w:rPr>
          <w:rFonts w:ascii="Georgia" w:hAnsi="Georgia"/>
        </w:rPr>
        <w:t xml:space="preserve"> to the First-tier Tribunal at the </w:t>
      </w:r>
      <w:r>
        <w:rPr>
          <w:rFonts w:ascii="Georgia" w:hAnsi="Georgia"/>
        </w:rPr>
        <w:t>r</w:t>
      </w:r>
      <w:r w:rsidRPr="005710A8">
        <w:rPr>
          <w:rFonts w:ascii="Georgia" w:hAnsi="Georgia"/>
        </w:rPr>
        <w:t>egional office which</w:t>
      </w:r>
      <w:r>
        <w:rPr>
          <w:rFonts w:ascii="Georgia" w:hAnsi="Georgia"/>
        </w:rPr>
        <w:t xml:space="preserve"> has been dealing with the case.</w:t>
      </w:r>
    </w:p>
    <w:p w14:paraId="04CF3692" w14:textId="77777777" w:rsidR="00624111" w:rsidRPr="005710A8" w:rsidRDefault="00624111" w:rsidP="0046328F">
      <w:pPr>
        <w:tabs>
          <w:tab w:val="left" w:pos="720"/>
        </w:tabs>
        <w:spacing w:after="240"/>
        <w:jc w:val="both"/>
        <w:rPr>
          <w:rFonts w:ascii="Georgia" w:hAnsi="Georgia"/>
        </w:rPr>
      </w:pPr>
      <w:r w:rsidRPr="005710A8">
        <w:rPr>
          <w:rFonts w:ascii="Georgia" w:hAnsi="Georgia"/>
        </w:rPr>
        <w:t>The applica</w:t>
      </w:r>
      <w:r>
        <w:rPr>
          <w:rFonts w:ascii="Georgia" w:hAnsi="Georgia"/>
        </w:rPr>
        <w:t>tion for permission to appeal must arrive at the regional office</w:t>
      </w:r>
      <w:r w:rsidRPr="005710A8">
        <w:rPr>
          <w:rFonts w:ascii="Georgia" w:hAnsi="Georgia"/>
        </w:rPr>
        <w:t xml:space="preserve"> within 28 days after the </w:t>
      </w:r>
      <w:r>
        <w:rPr>
          <w:rFonts w:ascii="Georgia" w:hAnsi="Georgia"/>
        </w:rPr>
        <w:t>t</w:t>
      </w:r>
      <w:r w:rsidRPr="005710A8">
        <w:rPr>
          <w:rFonts w:ascii="Georgia" w:hAnsi="Georgia"/>
        </w:rPr>
        <w:t xml:space="preserve">ribunal sends </w:t>
      </w:r>
      <w:r>
        <w:rPr>
          <w:rFonts w:ascii="Georgia" w:hAnsi="Georgia"/>
        </w:rPr>
        <w:t xml:space="preserve">written reasons for the decision </w:t>
      </w:r>
      <w:r w:rsidRPr="005710A8">
        <w:rPr>
          <w:rFonts w:ascii="Georgia" w:hAnsi="Georgia"/>
        </w:rPr>
        <w:t>to th</w:t>
      </w:r>
      <w:r>
        <w:rPr>
          <w:rFonts w:ascii="Georgia" w:hAnsi="Georgia"/>
        </w:rPr>
        <w:t>e person making the application</w:t>
      </w:r>
      <w:r w:rsidRPr="005710A8">
        <w:rPr>
          <w:rFonts w:ascii="Georgia" w:hAnsi="Georgia"/>
        </w:rPr>
        <w:t>.</w:t>
      </w:r>
    </w:p>
    <w:p w14:paraId="1C6D3E35" w14:textId="77777777" w:rsidR="00624111" w:rsidRPr="005710A8" w:rsidRDefault="00624111" w:rsidP="0046328F">
      <w:pPr>
        <w:tabs>
          <w:tab w:val="left" w:pos="720"/>
        </w:tabs>
        <w:spacing w:after="240"/>
        <w:jc w:val="both"/>
        <w:rPr>
          <w:rFonts w:ascii="Georgia" w:hAnsi="Georgia"/>
        </w:rPr>
      </w:pPr>
      <w:r w:rsidRPr="005710A8">
        <w:rPr>
          <w:rFonts w:ascii="Georgia" w:hAnsi="Georgia"/>
        </w:rPr>
        <w:t xml:space="preserve">If the </w:t>
      </w:r>
      <w:r>
        <w:rPr>
          <w:rFonts w:ascii="Georgia" w:hAnsi="Georgia"/>
        </w:rPr>
        <w:t>application is not made within</w:t>
      </w:r>
      <w:r w:rsidRPr="005710A8">
        <w:rPr>
          <w:rFonts w:ascii="Georgia" w:hAnsi="Georgia"/>
        </w:rPr>
        <w:t xml:space="preserve"> the 28</w:t>
      </w:r>
      <w:r w:rsidR="00C213DB">
        <w:rPr>
          <w:rFonts w:ascii="Georgia" w:hAnsi="Georgia"/>
        </w:rPr>
        <w:t>-</w:t>
      </w:r>
      <w:r>
        <w:rPr>
          <w:rFonts w:ascii="Georgia" w:hAnsi="Georgia"/>
        </w:rPr>
        <w:t>day time limit, such application must include</w:t>
      </w:r>
      <w:r w:rsidRPr="005710A8">
        <w:rPr>
          <w:rFonts w:ascii="Georgia" w:hAnsi="Georgia"/>
        </w:rPr>
        <w:t xml:space="preserve"> a request for an extension of time and the reason for not complying with the 28</w:t>
      </w:r>
      <w:r w:rsidR="00C213DB">
        <w:rPr>
          <w:rFonts w:ascii="Georgia" w:hAnsi="Georgia"/>
        </w:rPr>
        <w:t>-</w:t>
      </w:r>
      <w:r w:rsidRPr="005710A8">
        <w:rPr>
          <w:rFonts w:ascii="Georgia" w:hAnsi="Georgia"/>
        </w:rPr>
        <w:t xml:space="preserve">day time limit; the </w:t>
      </w:r>
      <w:r>
        <w:rPr>
          <w:rFonts w:ascii="Georgia" w:hAnsi="Georgia"/>
        </w:rPr>
        <w:t>t</w:t>
      </w:r>
      <w:r w:rsidRPr="005710A8">
        <w:rPr>
          <w:rFonts w:ascii="Georgia" w:hAnsi="Georgia"/>
        </w:rPr>
        <w:t>ribunal will then</w:t>
      </w:r>
      <w:r>
        <w:rPr>
          <w:rFonts w:ascii="Georgia" w:hAnsi="Georgia"/>
        </w:rPr>
        <w:t xml:space="preserve"> look at such reason(s) and</w:t>
      </w:r>
      <w:r w:rsidRPr="005710A8">
        <w:rPr>
          <w:rFonts w:ascii="Georgia" w:hAnsi="Georgia"/>
        </w:rPr>
        <w:t xml:space="preserve"> deci</w:t>
      </w:r>
      <w:r>
        <w:rPr>
          <w:rFonts w:ascii="Georgia" w:hAnsi="Georgia"/>
        </w:rPr>
        <w:t>de whether</w:t>
      </w:r>
      <w:r w:rsidRPr="005710A8">
        <w:rPr>
          <w:rFonts w:ascii="Georgia" w:hAnsi="Georgia"/>
        </w:rPr>
        <w:t xml:space="preserve"> to allow the application for permission to appeal to proceed</w:t>
      </w:r>
      <w:r>
        <w:rPr>
          <w:rFonts w:ascii="Georgia" w:hAnsi="Georgia"/>
        </w:rPr>
        <w:t>, despite not being within the time limit</w:t>
      </w:r>
      <w:r w:rsidRPr="005710A8">
        <w:rPr>
          <w:rFonts w:ascii="Georgia" w:hAnsi="Georgia"/>
        </w:rPr>
        <w:t>.</w:t>
      </w:r>
    </w:p>
    <w:p w14:paraId="25F82F74" w14:textId="77777777" w:rsidR="00624111" w:rsidRDefault="00624111" w:rsidP="0046328F">
      <w:pPr>
        <w:tabs>
          <w:tab w:val="left" w:pos="720"/>
        </w:tabs>
        <w:spacing w:after="240"/>
        <w:jc w:val="both"/>
        <w:rPr>
          <w:rFonts w:ascii="Georgia" w:hAnsi="Georgia"/>
        </w:rPr>
      </w:pPr>
      <w:r w:rsidRPr="005710A8">
        <w:rPr>
          <w:rFonts w:ascii="Georgia" w:hAnsi="Georgia"/>
        </w:rPr>
        <w:t xml:space="preserve">The application for permission to appeal must identify the decision of the </w:t>
      </w:r>
      <w:r>
        <w:rPr>
          <w:rFonts w:ascii="Georgia" w:hAnsi="Georgia"/>
        </w:rPr>
        <w:t>t</w:t>
      </w:r>
      <w:r w:rsidRPr="005710A8">
        <w:rPr>
          <w:rFonts w:ascii="Georgia" w:hAnsi="Georgia"/>
        </w:rPr>
        <w:t>ribunal to which it relates</w:t>
      </w:r>
      <w:r>
        <w:rPr>
          <w:rFonts w:ascii="Georgia" w:hAnsi="Georgia"/>
        </w:rPr>
        <w:t xml:space="preserve"> (i.e. give the date, the property and the case number), state the grounds of appeal</w:t>
      </w:r>
      <w:r w:rsidRPr="005710A8">
        <w:rPr>
          <w:rFonts w:ascii="Georgia" w:hAnsi="Georgia"/>
        </w:rPr>
        <w:t xml:space="preserve"> and state the result the party making the application is seeking</w:t>
      </w:r>
      <w:r>
        <w:rPr>
          <w:rFonts w:ascii="Georgia" w:hAnsi="Georgia"/>
        </w:rPr>
        <w:t>.</w:t>
      </w:r>
    </w:p>
    <w:p w14:paraId="3D413175" w14:textId="77777777" w:rsidR="006B47DA" w:rsidRDefault="006B47DA" w:rsidP="0046328F">
      <w:pPr>
        <w:tabs>
          <w:tab w:val="left" w:pos="720"/>
        </w:tabs>
        <w:spacing w:after="240"/>
        <w:jc w:val="both"/>
        <w:rPr>
          <w:rFonts w:ascii="Georgia" w:hAnsi="Georgia"/>
        </w:rPr>
      </w:pPr>
      <w:r>
        <w:rPr>
          <w:rFonts w:ascii="Georgia" w:hAnsi="Georgia"/>
        </w:rPr>
        <w:t xml:space="preserve">If the tribunal refuses to grant permission to appeal, </w:t>
      </w:r>
      <w:r w:rsidRPr="00FE0873">
        <w:rPr>
          <w:rFonts w:ascii="Georgia" w:hAnsi="Georgia"/>
        </w:rPr>
        <w:t xml:space="preserve">a further application for permission may be made </w:t>
      </w:r>
      <w:r>
        <w:rPr>
          <w:rFonts w:ascii="Georgia" w:hAnsi="Georgia"/>
        </w:rPr>
        <w:t>to the Upper Tribunal (Lands Chamber).</w:t>
      </w:r>
    </w:p>
    <w:sectPr w:rsidR="006B47DA" w:rsidSect="005A327A">
      <w:headerReference w:type="even" r:id="rId12"/>
      <w:footerReference w:type="even" r:id="rId13"/>
      <w:footerReference w:type="default" r:id="rId14"/>
      <w:footerReference w:type="first" r:id="rId15"/>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092C9" w14:textId="77777777" w:rsidR="00A009CC" w:rsidRDefault="00A009CC">
      <w:r>
        <w:separator/>
      </w:r>
    </w:p>
  </w:endnote>
  <w:endnote w:type="continuationSeparator" w:id="0">
    <w:p w14:paraId="69E06CD5" w14:textId="77777777" w:rsidR="00A009CC" w:rsidRDefault="00A00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ZapfHumnst BT">
    <w:altName w:val="Lucida Sans Unicode"/>
    <w:charset w:val="00"/>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99B0D" w14:textId="77777777" w:rsidR="00BD1D27" w:rsidRDefault="00BD1D27" w:rsidP="00A500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CE0E72" w14:textId="77777777" w:rsidR="00BD1D27" w:rsidRDefault="00BD1D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F1E25" w14:textId="7CAE8781" w:rsidR="00BD1D27" w:rsidRPr="005A327A" w:rsidRDefault="00BD1D27" w:rsidP="00C27ECE">
    <w:pPr>
      <w:pStyle w:val="Footer"/>
      <w:jc w:val="center"/>
      <w:rPr>
        <w:rFonts w:ascii="Georgia" w:hAnsi="Georgia"/>
      </w:rPr>
    </w:pPr>
    <w:r w:rsidRPr="005A327A">
      <w:rPr>
        <w:rStyle w:val="PageNumber"/>
        <w:rFonts w:ascii="Georgia" w:hAnsi="Georgia"/>
      </w:rPr>
      <w:fldChar w:fldCharType="begin"/>
    </w:r>
    <w:r w:rsidRPr="005A327A">
      <w:rPr>
        <w:rStyle w:val="PageNumber"/>
        <w:rFonts w:ascii="Georgia" w:hAnsi="Georgia"/>
      </w:rPr>
      <w:instrText xml:space="preserve"> PAGE </w:instrText>
    </w:r>
    <w:r w:rsidRPr="005A327A">
      <w:rPr>
        <w:rStyle w:val="PageNumber"/>
        <w:rFonts w:ascii="Georgia" w:hAnsi="Georgia"/>
      </w:rPr>
      <w:fldChar w:fldCharType="separate"/>
    </w:r>
    <w:r w:rsidR="00360047">
      <w:rPr>
        <w:rStyle w:val="PageNumber"/>
        <w:rFonts w:ascii="Georgia" w:hAnsi="Georgia"/>
        <w:noProof/>
      </w:rPr>
      <w:t>5</w:t>
    </w:r>
    <w:r w:rsidRPr="005A327A">
      <w:rPr>
        <w:rStyle w:val="PageNumber"/>
        <w:rFonts w:ascii="Georgia" w:hAnsi="Georg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EF93" w14:textId="77777777" w:rsidR="00BD1D27" w:rsidRPr="005620EA" w:rsidRDefault="00BD1D27" w:rsidP="005A327A">
    <w:pPr>
      <w:jc w:val="center"/>
      <w:rPr>
        <w:rFonts w:ascii="Georgia" w:hAnsi="Georgia"/>
        <w:sz w:val="20"/>
        <w:szCs w:val="20"/>
      </w:rPr>
    </w:pPr>
    <w:r w:rsidRPr="005620EA">
      <w:rPr>
        <w:rFonts w:ascii="Georgia" w:hAnsi="Georgia"/>
        <w:sz w:val="20"/>
        <w:szCs w:val="20"/>
      </w:rPr>
      <w:t>© CROWN COPYRIGHT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94780" w14:textId="77777777" w:rsidR="00A009CC" w:rsidRDefault="00A009CC">
      <w:r>
        <w:separator/>
      </w:r>
    </w:p>
  </w:footnote>
  <w:footnote w:type="continuationSeparator" w:id="0">
    <w:p w14:paraId="1BB37F02" w14:textId="77777777" w:rsidR="00A009CC" w:rsidRDefault="00A00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72696" w14:textId="77777777" w:rsidR="00BD1D27" w:rsidRDefault="00BD1D27" w:rsidP="00A5005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2209" w14:textId="77777777" w:rsidR="00BD1D27" w:rsidRDefault="00BD1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42ED"/>
    <w:multiLevelType w:val="hybridMultilevel"/>
    <w:tmpl w:val="3070910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FB543BB"/>
    <w:multiLevelType w:val="hybridMultilevel"/>
    <w:tmpl w:val="4F782DCA"/>
    <w:lvl w:ilvl="0" w:tplc="EF82FF2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59394A"/>
    <w:multiLevelType w:val="hybridMultilevel"/>
    <w:tmpl w:val="839457A8"/>
    <w:lvl w:ilvl="0" w:tplc="761800B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4767167"/>
    <w:multiLevelType w:val="hybridMultilevel"/>
    <w:tmpl w:val="781EA456"/>
    <w:lvl w:ilvl="0" w:tplc="CED8B392">
      <w:start w:val="1"/>
      <w:numFmt w:val="lowerRoman"/>
      <w:lvlText w:val="(%1)"/>
      <w:lvlJc w:val="left"/>
      <w:pPr>
        <w:tabs>
          <w:tab w:val="num" w:pos="1140"/>
        </w:tabs>
        <w:ind w:left="1140" w:hanging="720"/>
      </w:pPr>
      <w:rPr>
        <w:rFonts w:hint="default"/>
      </w:r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4" w15:restartNumberingAfterBreak="0">
    <w:nsid w:val="2B6C1BD8"/>
    <w:multiLevelType w:val="multilevel"/>
    <w:tmpl w:val="8D72EFA6"/>
    <w:lvl w:ilvl="0">
      <w:start w:val="1"/>
      <w:numFmt w:val="decimal"/>
      <w:lvlText w:val="%1."/>
      <w:lvlJc w:val="left"/>
      <w:pPr>
        <w:tabs>
          <w:tab w:val="num" w:pos="1778"/>
        </w:tabs>
        <w:ind w:left="1778" w:hanging="360"/>
      </w:pPr>
    </w:lvl>
    <w:lvl w:ilvl="1">
      <w:start w:val="1"/>
      <w:numFmt w:val="lowerRoman"/>
      <w:lvlText w:val="(%2)"/>
      <w:lvlJc w:val="left"/>
      <w:pPr>
        <w:tabs>
          <w:tab w:val="num" w:pos="2722"/>
        </w:tabs>
        <w:ind w:left="2722" w:hanging="944"/>
      </w:pPr>
    </w:lvl>
    <w:lvl w:ilvl="2">
      <w:start w:val="1"/>
      <w:numFmt w:val="lowerLetter"/>
      <w:lvlText w:val="(%3)"/>
      <w:lvlJc w:val="left"/>
      <w:pPr>
        <w:tabs>
          <w:tab w:val="num" w:pos="3403"/>
        </w:tabs>
        <w:ind w:left="3403" w:hanging="1265"/>
      </w:pPr>
    </w:lvl>
    <w:lvl w:ilvl="3">
      <w:start w:val="1"/>
      <w:numFmt w:val="decimal"/>
      <w:lvlText w:val="(%4)"/>
      <w:lvlJc w:val="left"/>
      <w:pPr>
        <w:tabs>
          <w:tab w:val="num" w:pos="2858"/>
        </w:tabs>
        <w:ind w:left="2858" w:hanging="360"/>
      </w:pPr>
    </w:lvl>
    <w:lvl w:ilvl="4">
      <w:start w:val="1"/>
      <w:numFmt w:val="lowerLetter"/>
      <w:lvlText w:val="(%5)"/>
      <w:lvlJc w:val="left"/>
      <w:pPr>
        <w:tabs>
          <w:tab w:val="num" w:pos="3218"/>
        </w:tabs>
        <w:ind w:left="3218" w:hanging="360"/>
      </w:pPr>
    </w:lvl>
    <w:lvl w:ilvl="5">
      <w:start w:val="1"/>
      <w:numFmt w:val="lowerRoman"/>
      <w:lvlText w:val="(%6)"/>
      <w:lvlJc w:val="left"/>
      <w:pPr>
        <w:tabs>
          <w:tab w:val="num" w:pos="3578"/>
        </w:tabs>
        <w:ind w:left="3578" w:hanging="360"/>
      </w:pPr>
    </w:lvl>
    <w:lvl w:ilvl="6">
      <w:start w:val="1"/>
      <w:numFmt w:val="decimal"/>
      <w:lvlText w:val="%7."/>
      <w:lvlJc w:val="left"/>
      <w:pPr>
        <w:tabs>
          <w:tab w:val="num" w:pos="3938"/>
        </w:tabs>
        <w:ind w:left="3938" w:hanging="360"/>
      </w:pPr>
    </w:lvl>
    <w:lvl w:ilvl="7">
      <w:start w:val="1"/>
      <w:numFmt w:val="lowerLetter"/>
      <w:lvlText w:val="%8."/>
      <w:lvlJc w:val="left"/>
      <w:pPr>
        <w:tabs>
          <w:tab w:val="num" w:pos="4298"/>
        </w:tabs>
        <w:ind w:left="4298" w:hanging="360"/>
      </w:pPr>
    </w:lvl>
    <w:lvl w:ilvl="8">
      <w:start w:val="1"/>
      <w:numFmt w:val="lowerRoman"/>
      <w:lvlText w:val="%9."/>
      <w:lvlJc w:val="left"/>
      <w:pPr>
        <w:tabs>
          <w:tab w:val="num" w:pos="4658"/>
        </w:tabs>
        <w:ind w:left="4658" w:hanging="360"/>
      </w:pPr>
    </w:lvl>
  </w:abstractNum>
  <w:abstractNum w:abstractNumId="5" w15:restartNumberingAfterBreak="0">
    <w:nsid w:val="2C6A26A1"/>
    <w:multiLevelType w:val="hybridMultilevel"/>
    <w:tmpl w:val="B936E626"/>
    <w:lvl w:ilvl="0" w:tplc="C01ECE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6C63B2"/>
    <w:multiLevelType w:val="hybridMultilevel"/>
    <w:tmpl w:val="A8066726"/>
    <w:lvl w:ilvl="0" w:tplc="41CEEEB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BA86A08"/>
    <w:multiLevelType w:val="hybridMultilevel"/>
    <w:tmpl w:val="13867364"/>
    <w:lvl w:ilvl="0" w:tplc="FFFFFFFF">
      <w:start w:val="1"/>
      <w:numFmt w:val="decimal"/>
      <w:lvlText w:val="(%1)"/>
      <w:lvlJc w:val="left"/>
      <w:pPr>
        <w:tabs>
          <w:tab w:val="num" w:pos="170"/>
        </w:tabs>
        <w:ind w:left="170" w:hanging="17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4539665A"/>
    <w:multiLevelType w:val="hybridMultilevel"/>
    <w:tmpl w:val="BF56F776"/>
    <w:lvl w:ilvl="0" w:tplc="6C66DF76">
      <w:start w:val="1"/>
      <w:numFmt w:val="upperLetter"/>
      <w:lvlText w:val="(%1)"/>
      <w:lvlJc w:val="left"/>
      <w:pPr>
        <w:tabs>
          <w:tab w:val="num" w:pos="4034"/>
        </w:tabs>
        <w:ind w:left="4034" w:hanging="794"/>
      </w:pPr>
      <w:rPr>
        <w:rFonts w:ascii="Georgia" w:hAnsi="Georgia"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86C0C33"/>
    <w:multiLevelType w:val="hybridMultilevel"/>
    <w:tmpl w:val="F386EEF8"/>
    <w:lvl w:ilvl="0" w:tplc="00C27690">
      <w:start w:val="1"/>
      <w:numFmt w:val="lowerLetter"/>
      <w:lvlText w:val="(%1)"/>
      <w:lvlJc w:val="left"/>
      <w:pPr>
        <w:tabs>
          <w:tab w:val="num" w:pos="735"/>
        </w:tabs>
        <w:ind w:left="73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DA2150"/>
    <w:multiLevelType w:val="hybridMultilevel"/>
    <w:tmpl w:val="B42CA35A"/>
    <w:lvl w:ilvl="0" w:tplc="333499BE">
      <w:start w:val="1"/>
      <w:numFmt w:val="decimal"/>
      <w:lvlText w:val="%1."/>
      <w:lvlJc w:val="left"/>
      <w:pPr>
        <w:tabs>
          <w:tab w:val="num" w:pos="720"/>
        </w:tabs>
        <w:ind w:left="720" w:hanging="360"/>
      </w:pPr>
      <w:rPr>
        <w:rFonts w:cs="Times New Roman"/>
        <w:b w:val="0"/>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1" w15:restartNumberingAfterBreak="0">
    <w:nsid w:val="50F228C7"/>
    <w:multiLevelType w:val="hybridMultilevel"/>
    <w:tmpl w:val="2A4E6E72"/>
    <w:lvl w:ilvl="0" w:tplc="79DC4D1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1583DEC"/>
    <w:multiLevelType w:val="hybridMultilevel"/>
    <w:tmpl w:val="AACE42CE"/>
    <w:lvl w:ilvl="0" w:tplc="048822FA">
      <w:start w:val="1"/>
      <w:numFmt w:val="lowerRoman"/>
      <w:lvlText w:val="(%1)"/>
      <w:lvlJc w:val="left"/>
      <w:pPr>
        <w:tabs>
          <w:tab w:val="num" w:pos="1493"/>
        </w:tabs>
        <w:ind w:left="1493" w:hanging="360"/>
      </w:pPr>
      <w:rPr>
        <w:rFonts w:hint="default"/>
      </w:rPr>
    </w:lvl>
    <w:lvl w:ilvl="1" w:tplc="08090019" w:tentative="1">
      <w:start w:val="1"/>
      <w:numFmt w:val="lowerLetter"/>
      <w:lvlText w:val="%2."/>
      <w:lvlJc w:val="left"/>
      <w:pPr>
        <w:tabs>
          <w:tab w:val="num" w:pos="2149"/>
        </w:tabs>
        <w:ind w:left="2149" w:hanging="360"/>
      </w:pPr>
    </w:lvl>
    <w:lvl w:ilvl="2" w:tplc="0809001B" w:tentative="1">
      <w:start w:val="1"/>
      <w:numFmt w:val="lowerRoman"/>
      <w:lvlText w:val="%3."/>
      <w:lvlJc w:val="right"/>
      <w:pPr>
        <w:tabs>
          <w:tab w:val="num" w:pos="2869"/>
        </w:tabs>
        <w:ind w:left="2869" w:hanging="180"/>
      </w:pPr>
    </w:lvl>
    <w:lvl w:ilvl="3" w:tplc="0809000F" w:tentative="1">
      <w:start w:val="1"/>
      <w:numFmt w:val="decimal"/>
      <w:lvlText w:val="%4."/>
      <w:lvlJc w:val="left"/>
      <w:pPr>
        <w:tabs>
          <w:tab w:val="num" w:pos="3589"/>
        </w:tabs>
        <w:ind w:left="3589" w:hanging="360"/>
      </w:pPr>
    </w:lvl>
    <w:lvl w:ilvl="4" w:tplc="08090019" w:tentative="1">
      <w:start w:val="1"/>
      <w:numFmt w:val="lowerLetter"/>
      <w:lvlText w:val="%5."/>
      <w:lvlJc w:val="left"/>
      <w:pPr>
        <w:tabs>
          <w:tab w:val="num" w:pos="4309"/>
        </w:tabs>
        <w:ind w:left="4309" w:hanging="360"/>
      </w:pPr>
    </w:lvl>
    <w:lvl w:ilvl="5" w:tplc="0809001B" w:tentative="1">
      <w:start w:val="1"/>
      <w:numFmt w:val="lowerRoman"/>
      <w:lvlText w:val="%6."/>
      <w:lvlJc w:val="right"/>
      <w:pPr>
        <w:tabs>
          <w:tab w:val="num" w:pos="5029"/>
        </w:tabs>
        <w:ind w:left="5029" w:hanging="180"/>
      </w:pPr>
    </w:lvl>
    <w:lvl w:ilvl="6" w:tplc="0809000F" w:tentative="1">
      <w:start w:val="1"/>
      <w:numFmt w:val="decimal"/>
      <w:lvlText w:val="%7."/>
      <w:lvlJc w:val="left"/>
      <w:pPr>
        <w:tabs>
          <w:tab w:val="num" w:pos="5749"/>
        </w:tabs>
        <w:ind w:left="5749" w:hanging="360"/>
      </w:pPr>
    </w:lvl>
    <w:lvl w:ilvl="7" w:tplc="08090019" w:tentative="1">
      <w:start w:val="1"/>
      <w:numFmt w:val="lowerLetter"/>
      <w:lvlText w:val="%8."/>
      <w:lvlJc w:val="left"/>
      <w:pPr>
        <w:tabs>
          <w:tab w:val="num" w:pos="6469"/>
        </w:tabs>
        <w:ind w:left="6469" w:hanging="360"/>
      </w:pPr>
    </w:lvl>
    <w:lvl w:ilvl="8" w:tplc="0809001B" w:tentative="1">
      <w:start w:val="1"/>
      <w:numFmt w:val="lowerRoman"/>
      <w:lvlText w:val="%9."/>
      <w:lvlJc w:val="right"/>
      <w:pPr>
        <w:tabs>
          <w:tab w:val="num" w:pos="7189"/>
        </w:tabs>
        <w:ind w:left="7189" w:hanging="180"/>
      </w:pPr>
    </w:lvl>
  </w:abstractNum>
  <w:abstractNum w:abstractNumId="13" w15:restartNumberingAfterBreak="0">
    <w:nsid w:val="694E2D6E"/>
    <w:multiLevelType w:val="hybridMultilevel"/>
    <w:tmpl w:val="963874B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514421515">
    <w:abstractNumId w:val="0"/>
  </w:num>
  <w:num w:numId="2" w16cid:durableId="1953324503">
    <w:abstractNumId w:val="13"/>
  </w:num>
  <w:num w:numId="3" w16cid:durableId="990791068">
    <w:abstractNumId w:val="6"/>
  </w:num>
  <w:num w:numId="4" w16cid:durableId="2097901143">
    <w:abstractNumId w:val="9"/>
  </w:num>
  <w:num w:numId="5" w16cid:durableId="1690327789">
    <w:abstractNumId w:val="3"/>
  </w:num>
  <w:num w:numId="6" w16cid:durableId="518740548">
    <w:abstractNumId w:val="11"/>
  </w:num>
  <w:num w:numId="7" w16cid:durableId="1125545484">
    <w:abstractNumId w:val="2"/>
  </w:num>
  <w:num w:numId="8" w16cid:durableId="1731725752">
    <w:abstractNumId w:val="4"/>
  </w:num>
  <w:num w:numId="9" w16cid:durableId="1472207184">
    <w:abstractNumId w:val="7"/>
  </w:num>
  <w:num w:numId="10" w16cid:durableId="1916236684">
    <w:abstractNumId w:val="12"/>
  </w:num>
  <w:num w:numId="11" w16cid:durableId="20478756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3102806">
    <w:abstractNumId w:val="1"/>
  </w:num>
  <w:num w:numId="13" w16cid:durableId="2002149654">
    <w:abstractNumId w:val="8"/>
  </w:num>
  <w:num w:numId="14" w16cid:durableId="4264639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2652A41-363A-4442-BC8C-A9F891F6876A}"/>
    <w:docVar w:name="dgnword-eventsink" w:val="501871712"/>
  </w:docVars>
  <w:rsids>
    <w:rsidRoot w:val="00CD3CD2"/>
    <w:rsid w:val="00002899"/>
    <w:rsid w:val="000156B2"/>
    <w:rsid w:val="00015F9E"/>
    <w:rsid w:val="000230C7"/>
    <w:rsid w:val="0002765B"/>
    <w:rsid w:val="00044925"/>
    <w:rsid w:val="00063FC0"/>
    <w:rsid w:val="00074CFA"/>
    <w:rsid w:val="000816B0"/>
    <w:rsid w:val="000927B4"/>
    <w:rsid w:val="00092C14"/>
    <w:rsid w:val="00097F0F"/>
    <w:rsid w:val="000A1D2A"/>
    <w:rsid w:val="000A4D6D"/>
    <w:rsid w:val="000C2BA6"/>
    <w:rsid w:val="000D42FB"/>
    <w:rsid w:val="000D46FF"/>
    <w:rsid w:val="000E0D29"/>
    <w:rsid w:val="000F17D3"/>
    <w:rsid w:val="000F2DE8"/>
    <w:rsid w:val="00111AE3"/>
    <w:rsid w:val="001125DB"/>
    <w:rsid w:val="00116B29"/>
    <w:rsid w:val="001427D0"/>
    <w:rsid w:val="00143486"/>
    <w:rsid w:val="00147C62"/>
    <w:rsid w:val="00154BE7"/>
    <w:rsid w:val="00156BF4"/>
    <w:rsid w:val="0016217C"/>
    <w:rsid w:val="001A7546"/>
    <w:rsid w:val="001C5C9E"/>
    <w:rsid w:val="001D5E0E"/>
    <w:rsid w:val="001F0332"/>
    <w:rsid w:val="001F4BF7"/>
    <w:rsid w:val="002034A5"/>
    <w:rsid w:val="00206405"/>
    <w:rsid w:val="00206D4C"/>
    <w:rsid w:val="00225A79"/>
    <w:rsid w:val="0023233D"/>
    <w:rsid w:val="00243C5A"/>
    <w:rsid w:val="00271239"/>
    <w:rsid w:val="00273D43"/>
    <w:rsid w:val="00274B6A"/>
    <w:rsid w:val="00283472"/>
    <w:rsid w:val="00283F50"/>
    <w:rsid w:val="002A4653"/>
    <w:rsid w:val="002E2780"/>
    <w:rsid w:val="002F0F0C"/>
    <w:rsid w:val="002F78C0"/>
    <w:rsid w:val="002F7957"/>
    <w:rsid w:val="00313A34"/>
    <w:rsid w:val="00316157"/>
    <w:rsid w:val="00320413"/>
    <w:rsid w:val="00325EF5"/>
    <w:rsid w:val="003276DB"/>
    <w:rsid w:val="0033121B"/>
    <w:rsid w:val="00333D78"/>
    <w:rsid w:val="00341B93"/>
    <w:rsid w:val="00360047"/>
    <w:rsid w:val="00361FC4"/>
    <w:rsid w:val="00370FF4"/>
    <w:rsid w:val="00376633"/>
    <w:rsid w:val="003864F3"/>
    <w:rsid w:val="003A3757"/>
    <w:rsid w:val="003A6BD1"/>
    <w:rsid w:val="003B0B99"/>
    <w:rsid w:val="003B3E61"/>
    <w:rsid w:val="003C51A1"/>
    <w:rsid w:val="003D0328"/>
    <w:rsid w:val="003D12B8"/>
    <w:rsid w:val="003D5DD4"/>
    <w:rsid w:val="00402C86"/>
    <w:rsid w:val="00417092"/>
    <w:rsid w:val="00420D7E"/>
    <w:rsid w:val="004362D1"/>
    <w:rsid w:val="00444D39"/>
    <w:rsid w:val="004457BA"/>
    <w:rsid w:val="004609B7"/>
    <w:rsid w:val="0046328F"/>
    <w:rsid w:val="004676A7"/>
    <w:rsid w:val="004745F4"/>
    <w:rsid w:val="00496F64"/>
    <w:rsid w:val="004A0FB6"/>
    <w:rsid w:val="004B7D86"/>
    <w:rsid w:val="0050502C"/>
    <w:rsid w:val="00523E33"/>
    <w:rsid w:val="00545A41"/>
    <w:rsid w:val="0055637B"/>
    <w:rsid w:val="0055700F"/>
    <w:rsid w:val="005620EA"/>
    <w:rsid w:val="00584CF1"/>
    <w:rsid w:val="00596F07"/>
    <w:rsid w:val="005A14E5"/>
    <w:rsid w:val="005A327A"/>
    <w:rsid w:val="005C4AE6"/>
    <w:rsid w:val="005C77DC"/>
    <w:rsid w:val="005E3FFB"/>
    <w:rsid w:val="005E7874"/>
    <w:rsid w:val="005F4F78"/>
    <w:rsid w:val="00612921"/>
    <w:rsid w:val="00616928"/>
    <w:rsid w:val="00617940"/>
    <w:rsid w:val="00623989"/>
    <w:rsid w:val="006240B7"/>
    <w:rsid w:val="00624111"/>
    <w:rsid w:val="00630529"/>
    <w:rsid w:val="00631885"/>
    <w:rsid w:val="00634EE4"/>
    <w:rsid w:val="006354F9"/>
    <w:rsid w:val="00636135"/>
    <w:rsid w:val="00644B71"/>
    <w:rsid w:val="0065000F"/>
    <w:rsid w:val="006509AF"/>
    <w:rsid w:val="006569D3"/>
    <w:rsid w:val="00657238"/>
    <w:rsid w:val="006604A4"/>
    <w:rsid w:val="0066405F"/>
    <w:rsid w:val="006715D2"/>
    <w:rsid w:val="00694C56"/>
    <w:rsid w:val="006A0BC2"/>
    <w:rsid w:val="006A7F90"/>
    <w:rsid w:val="006B47DA"/>
    <w:rsid w:val="006C6509"/>
    <w:rsid w:val="006E3121"/>
    <w:rsid w:val="006F7CB6"/>
    <w:rsid w:val="00701DB5"/>
    <w:rsid w:val="00715D30"/>
    <w:rsid w:val="00724F05"/>
    <w:rsid w:val="00725010"/>
    <w:rsid w:val="00726518"/>
    <w:rsid w:val="00745496"/>
    <w:rsid w:val="0075019E"/>
    <w:rsid w:val="00756D92"/>
    <w:rsid w:val="00766C4B"/>
    <w:rsid w:val="00771203"/>
    <w:rsid w:val="00785CA6"/>
    <w:rsid w:val="0079391F"/>
    <w:rsid w:val="007D2E8D"/>
    <w:rsid w:val="007F1C70"/>
    <w:rsid w:val="007F2484"/>
    <w:rsid w:val="007F43CA"/>
    <w:rsid w:val="007F43D6"/>
    <w:rsid w:val="007F61EF"/>
    <w:rsid w:val="007F79AD"/>
    <w:rsid w:val="007F7EFE"/>
    <w:rsid w:val="0080219C"/>
    <w:rsid w:val="0081260D"/>
    <w:rsid w:val="00824FFA"/>
    <w:rsid w:val="00825195"/>
    <w:rsid w:val="00842510"/>
    <w:rsid w:val="0085638F"/>
    <w:rsid w:val="008676C7"/>
    <w:rsid w:val="00867960"/>
    <w:rsid w:val="00883152"/>
    <w:rsid w:val="00891C79"/>
    <w:rsid w:val="008928D6"/>
    <w:rsid w:val="008931C3"/>
    <w:rsid w:val="008C46CC"/>
    <w:rsid w:val="008D616D"/>
    <w:rsid w:val="008D6D42"/>
    <w:rsid w:val="008D7925"/>
    <w:rsid w:val="008F083F"/>
    <w:rsid w:val="009012FD"/>
    <w:rsid w:val="00931AC9"/>
    <w:rsid w:val="00936ACA"/>
    <w:rsid w:val="009450E4"/>
    <w:rsid w:val="009568B0"/>
    <w:rsid w:val="00964F35"/>
    <w:rsid w:val="009664FD"/>
    <w:rsid w:val="00970AF9"/>
    <w:rsid w:val="00980CBC"/>
    <w:rsid w:val="00985B5B"/>
    <w:rsid w:val="00987361"/>
    <w:rsid w:val="0098794C"/>
    <w:rsid w:val="009C503F"/>
    <w:rsid w:val="009D081F"/>
    <w:rsid w:val="009D5B69"/>
    <w:rsid w:val="009F1537"/>
    <w:rsid w:val="009F54D2"/>
    <w:rsid w:val="00A009CC"/>
    <w:rsid w:val="00A1402B"/>
    <w:rsid w:val="00A16605"/>
    <w:rsid w:val="00A17C77"/>
    <w:rsid w:val="00A23B5E"/>
    <w:rsid w:val="00A2450A"/>
    <w:rsid w:val="00A302C0"/>
    <w:rsid w:val="00A36443"/>
    <w:rsid w:val="00A411E1"/>
    <w:rsid w:val="00A41D90"/>
    <w:rsid w:val="00A4530C"/>
    <w:rsid w:val="00A45E2D"/>
    <w:rsid w:val="00A461BF"/>
    <w:rsid w:val="00A464C2"/>
    <w:rsid w:val="00A50057"/>
    <w:rsid w:val="00A81A29"/>
    <w:rsid w:val="00A82A48"/>
    <w:rsid w:val="00A97958"/>
    <w:rsid w:val="00AA3914"/>
    <w:rsid w:val="00AA52AB"/>
    <w:rsid w:val="00AB38FF"/>
    <w:rsid w:val="00AB5F35"/>
    <w:rsid w:val="00AE1557"/>
    <w:rsid w:val="00B31DE7"/>
    <w:rsid w:val="00B36E30"/>
    <w:rsid w:val="00B370E8"/>
    <w:rsid w:val="00B47DF8"/>
    <w:rsid w:val="00B516CC"/>
    <w:rsid w:val="00B5468C"/>
    <w:rsid w:val="00B72684"/>
    <w:rsid w:val="00B756E3"/>
    <w:rsid w:val="00B82D4C"/>
    <w:rsid w:val="00B86575"/>
    <w:rsid w:val="00B923F2"/>
    <w:rsid w:val="00B95672"/>
    <w:rsid w:val="00BA69FE"/>
    <w:rsid w:val="00BA7AD1"/>
    <w:rsid w:val="00BA7FDD"/>
    <w:rsid w:val="00BB1835"/>
    <w:rsid w:val="00BC2C57"/>
    <w:rsid w:val="00BC4678"/>
    <w:rsid w:val="00BD1D27"/>
    <w:rsid w:val="00BD7ECD"/>
    <w:rsid w:val="00BE1957"/>
    <w:rsid w:val="00BF186F"/>
    <w:rsid w:val="00C00675"/>
    <w:rsid w:val="00C01951"/>
    <w:rsid w:val="00C057EA"/>
    <w:rsid w:val="00C13C3C"/>
    <w:rsid w:val="00C213DB"/>
    <w:rsid w:val="00C27ECE"/>
    <w:rsid w:val="00C41E1A"/>
    <w:rsid w:val="00C46406"/>
    <w:rsid w:val="00C50B36"/>
    <w:rsid w:val="00C52608"/>
    <w:rsid w:val="00C663E1"/>
    <w:rsid w:val="00C669CE"/>
    <w:rsid w:val="00C67A4B"/>
    <w:rsid w:val="00C707EA"/>
    <w:rsid w:val="00C72446"/>
    <w:rsid w:val="00C80CE7"/>
    <w:rsid w:val="00C85723"/>
    <w:rsid w:val="00CB59CE"/>
    <w:rsid w:val="00CC5694"/>
    <w:rsid w:val="00CD2DB9"/>
    <w:rsid w:val="00CD3CD2"/>
    <w:rsid w:val="00D0416F"/>
    <w:rsid w:val="00D16EC5"/>
    <w:rsid w:val="00D32D4A"/>
    <w:rsid w:val="00D43EAA"/>
    <w:rsid w:val="00D60543"/>
    <w:rsid w:val="00D62DA9"/>
    <w:rsid w:val="00D63124"/>
    <w:rsid w:val="00D648A0"/>
    <w:rsid w:val="00D64A93"/>
    <w:rsid w:val="00D84341"/>
    <w:rsid w:val="00DC3CD8"/>
    <w:rsid w:val="00DC71AC"/>
    <w:rsid w:val="00DD5CB3"/>
    <w:rsid w:val="00DE413A"/>
    <w:rsid w:val="00DE4EE1"/>
    <w:rsid w:val="00DF1517"/>
    <w:rsid w:val="00DF3E9D"/>
    <w:rsid w:val="00E016A5"/>
    <w:rsid w:val="00E25A38"/>
    <w:rsid w:val="00E62212"/>
    <w:rsid w:val="00E65BEF"/>
    <w:rsid w:val="00E80B97"/>
    <w:rsid w:val="00E82C6E"/>
    <w:rsid w:val="00E83ABD"/>
    <w:rsid w:val="00EA23BA"/>
    <w:rsid w:val="00EA6111"/>
    <w:rsid w:val="00EA6812"/>
    <w:rsid w:val="00EA78FD"/>
    <w:rsid w:val="00EB1D17"/>
    <w:rsid w:val="00EF5478"/>
    <w:rsid w:val="00EF6230"/>
    <w:rsid w:val="00F070AA"/>
    <w:rsid w:val="00F109B2"/>
    <w:rsid w:val="00F15097"/>
    <w:rsid w:val="00F16C9D"/>
    <w:rsid w:val="00F52077"/>
    <w:rsid w:val="00F60A14"/>
    <w:rsid w:val="00F82040"/>
    <w:rsid w:val="00F82ABB"/>
    <w:rsid w:val="00F91D5C"/>
    <w:rsid w:val="00F9235B"/>
    <w:rsid w:val="00F9399B"/>
    <w:rsid w:val="00F942A4"/>
    <w:rsid w:val="00FC66B3"/>
    <w:rsid w:val="00FD2434"/>
    <w:rsid w:val="00FD5B2F"/>
    <w:rsid w:val="00FD5C7B"/>
    <w:rsid w:val="00FE45CB"/>
    <w:rsid w:val="0609D2D5"/>
    <w:rsid w:val="0EA31633"/>
    <w:rsid w:val="15D45BAF"/>
    <w:rsid w:val="1AE3C1FB"/>
    <w:rsid w:val="1D9CC396"/>
    <w:rsid w:val="1E2DB07D"/>
    <w:rsid w:val="1E63E3C2"/>
    <w:rsid w:val="1E8E2336"/>
    <w:rsid w:val="2092C19E"/>
    <w:rsid w:val="2314EECE"/>
    <w:rsid w:val="254B5CD4"/>
    <w:rsid w:val="27ACC2E4"/>
    <w:rsid w:val="300E8D72"/>
    <w:rsid w:val="38426684"/>
    <w:rsid w:val="39A2A0F7"/>
    <w:rsid w:val="3A55B558"/>
    <w:rsid w:val="471E983C"/>
    <w:rsid w:val="49F8D74A"/>
    <w:rsid w:val="4E8245C2"/>
    <w:rsid w:val="4E99AD10"/>
    <w:rsid w:val="5B3511C6"/>
    <w:rsid w:val="66561C03"/>
    <w:rsid w:val="6B1F290F"/>
    <w:rsid w:val="6BE202CB"/>
    <w:rsid w:val="724C7D02"/>
    <w:rsid w:val="76040189"/>
    <w:rsid w:val="7AC0777C"/>
    <w:rsid w:val="7CF4E399"/>
    <w:rsid w:val="7D4ED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1956A0"/>
  <w15:chartTrackingRefBased/>
  <w15:docId w15:val="{72A5727C-E003-4D3C-AA51-411E1226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43EAA"/>
    <w:pPr>
      <w:keepNext/>
      <w:jc w:val="center"/>
      <w:outlineLvl w:val="0"/>
    </w:pPr>
    <w:rPr>
      <w:rFonts w:ascii="Arial" w:hAnsi="Arial"/>
      <w:b/>
      <w:bCs/>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43EAA"/>
    <w:pPr>
      <w:jc w:val="center"/>
    </w:pPr>
    <w:rPr>
      <w:rFonts w:ascii="Arial" w:hAnsi="Arial"/>
      <w:b/>
      <w:bCs/>
      <w:sz w:val="32"/>
      <w:lang w:eastAsia="en-US"/>
    </w:rPr>
  </w:style>
  <w:style w:type="paragraph" w:styleId="Footer">
    <w:name w:val="footer"/>
    <w:basedOn w:val="Normal"/>
    <w:rsid w:val="00D43EAA"/>
    <w:pPr>
      <w:tabs>
        <w:tab w:val="center" w:pos="4153"/>
        <w:tab w:val="right" w:pos="8306"/>
      </w:tabs>
    </w:pPr>
    <w:rPr>
      <w:spacing w:val="-3"/>
      <w:szCs w:val="20"/>
      <w:lang w:eastAsia="en-US"/>
    </w:rPr>
  </w:style>
  <w:style w:type="paragraph" w:styleId="Header">
    <w:name w:val="header"/>
    <w:basedOn w:val="Normal"/>
    <w:rsid w:val="00D43EAA"/>
    <w:pPr>
      <w:tabs>
        <w:tab w:val="center" w:pos="4153"/>
        <w:tab w:val="right" w:pos="8306"/>
      </w:tabs>
    </w:pPr>
  </w:style>
  <w:style w:type="character" w:styleId="PageNumber">
    <w:name w:val="page number"/>
    <w:basedOn w:val="DefaultParagraphFont"/>
    <w:rsid w:val="00D43EAA"/>
  </w:style>
  <w:style w:type="table" w:styleId="TableGrid">
    <w:name w:val="Table Grid"/>
    <w:basedOn w:val="TableNormal"/>
    <w:rsid w:val="00724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next w:val="Normal"/>
    <w:rsid w:val="000927B4"/>
    <w:pPr>
      <w:autoSpaceDE w:val="0"/>
      <w:autoSpaceDN w:val="0"/>
      <w:adjustRightInd w:val="0"/>
    </w:pPr>
    <w:rPr>
      <w:rFonts w:ascii="Verdana" w:hAnsi="Verdana"/>
      <w:lang w:val="en-US" w:eastAsia="en-US"/>
    </w:rPr>
  </w:style>
  <w:style w:type="paragraph" w:styleId="FootnoteText">
    <w:name w:val="footnote text"/>
    <w:basedOn w:val="Normal"/>
    <w:semiHidden/>
    <w:rsid w:val="000927B4"/>
    <w:rPr>
      <w:rFonts w:ascii="ZapfHumnst BT" w:hAnsi="ZapfHumnst BT"/>
      <w:sz w:val="20"/>
      <w:szCs w:val="20"/>
      <w:lang w:eastAsia="en-US"/>
    </w:rPr>
  </w:style>
  <w:style w:type="character" w:styleId="FootnoteReference">
    <w:name w:val="footnote reference"/>
    <w:semiHidden/>
    <w:rsid w:val="000927B4"/>
    <w:rPr>
      <w:vertAlign w:val="superscript"/>
    </w:rPr>
  </w:style>
  <w:style w:type="paragraph" w:styleId="ListParagraph">
    <w:name w:val="List Paragraph"/>
    <w:basedOn w:val="Normal"/>
    <w:uiPriority w:val="34"/>
    <w:qFormat/>
    <w:rsid w:val="00DC3CD8"/>
    <w:pPr>
      <w:ind w:left="720"/>
      <w:contextualSpacing/>
    </w:pPr>
  </w:style>
  <w:style w:type="paragraph" w:customStyle="1" w:styleId="Default">
    <w:name w:val="Default"/>
    <w:rsid w:val="00584CF1"/>
    <w:pPr>
      <w:autoSpaceDE w:val="0"/>
      <w:autoSpaceDN w:val="0"/>
      <w:adjustRightInd w:val="0"/>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ation xmlns="872a79b5-d9d6-4593-a8a7-149981f7045e" xsi:nil="true"/>
    <_ip_UnifiedCompliancePolicyUIAction xmlns="http://schemas.microsoft.com/sharepoint/v3" xsi:nil="true"/>
    <_ip_UnifiedCompliancePolicyProperties xmlns="http://schemas.microsoft.com/sharepoint/v3" xsi:nil="true"/>
    <lcf76f155ced4ddcb4097134ff3c332f xmlns="872a79b5-d9d6-4593-a8a7-149981f7045e">
      <Terms xmlns="http://schemas.microsoft.com/office/infopath/2007/PartnerControls"/>
    </lcf76f155ced4ddcb4097134ff3c332f>
    <TaxCatchAll xmlns="2520a3a8-e6dc-4611-b3d5-a302db2a6b56"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799E0FD73D3E4D84862663A4D33FCE" ma:contentTypeVersion="29" ma:contentTypeDescription="Create a new document." ma:contentTypeScope="" ma:versionID="d9dd58a057d6e814570292f7c6d6c1b0">
  <xsd:schema xmlns:xsd="http://www.w3.org/2001/XMLSchema" xmlns:xs="http://www.w3.org/2001/XMLSchema" xmlns:p="http://schemas.microsoft.com/office/2006/metadata/properties" xmlns:ns1="http://schemas.microsoft.com/sharepoint/v3" xmlns:ns2="872a79b5-d9d6-4593-a8a7-149981f7045e" xmlns:ns3="2520a3a8-e6dc-4611-b3d5-a302db2a6b56" targetNamespace="http://schemas.microsoft.com/office/2006/metadata/properties" ma:root="true" ma:fieldsID="4fa4635c886127c87632040a53baaf74" ns1:_="" ns2:_="" ns3:_="">
    <xsd:import namespace="http://schemas.microsoft.com/sharepoint/v3"/>
    <xsd:import namespace="872a79b5-d9d6-4593-a8a7-149981f7045e"/>
    <xsd:import namespace="2520a3a8-e6dc-4611-b3d5-a302db2a6b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ocation" minOccurs="0"/>
                <xsd:element ref="ns2:e2cc5988-1fd5-414a-8d74-38cbf33f3316CountryOrRegion" minOccurs="0"/>
                <xsd:element ref="ns2:e2cc5988-1fd5-414a-8d74-38cbf33f3316State" minOccurs="0"/>
                <xsd:element ref="ns2:e2cc5988-1fd5-414a-8d74-38cbf33f3316City" minOccurs="0"/>
                <xsd:element ref="ns2:e2cc5988-1fd5-414a-8d74-38cbf33f3316PostalCode" minOccurs="0"/>
                <xsd:element ref="ns2:e2cc5988-1fd5-414a-8d74-38cbf33f3316Street" minOccurs="0"/>
                <xsd:element ref="ns2:e2cc5988-1fd5-414a-8d74-38cbf33f3316GeoLoc" minOccurs="0"/>
                <xsd:element ref="ns2:e2cc5988-1fd5-414a-8d74-38cbf33f3316DispName"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2a79b5-d9d6-4593-a8a7-149981f704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ocation" ma:index="12" nillable="true" ma:displayName="location" ma:format="Dropdown" ma:internalName="location">
      <xsd:simpleType>
        <xsd:restriction base="dms:Unknown"/>
      </xsd:simpleType>
    </xsd:element>
    <xsd:element name="e2cc5988-1fd5-414a-8d74-38cbf33f3316CountryOrRegion" ma:index="13" nillable="true" ma:displayName="location: Country/Region" ma:internalName="CountryOrRegion" ma:readOnly="true">
      <xsd:simpleType>
        <xsd:restriction base="dms:Text"/>
      </xsd:simpleType>
    </xsd:element>
    <xsd:element name="e2cc5988-1fd5-414a-8d74-38cbf33f3316State" ma:index="14" nillable="true" ma:displayName="location: State" ma:internalName="State" ma:readOnly="true">
      <xsd:simpleType>
        <xsd:restriction base="dms:Text"/>
      </xsd:simpleType>
    </xsd:element>
    <xsd:element name="e2cc5988-1fd5-414a-8d74-38cbf33f3316City" ma:index="15" nillable="true" ma:displayName="location: City" ma:internalName="City" ma:readOnly="true">
      <xsd:simpleType>
        <xsd:restriction base="dms:Text"/>
      </xsd:simpleType>
    </xsd:element>
    <xsd:element name="e2cc5988-1fd5-414a-8d74-38cbf33f3316PostalCode" ma:index="16" nillable="true" ma:displayName="location: Postal Code" ma:internalName="PostalCode" ma:readOnly="true">
      <xsd:simpleType>
        <xsd:restriction base="dms:Text"/>
      </xsd:simpleType>
    </xsd:element>
    <xsd:element name="e2cc5988-1fd5-414a-8d74-38cbf33f3316Street" ma:index="17" nillable="true" ma:displayName="location: Street" ma:internalName="Street" ma:readOnly="true">
      <xsd:simpleType>
        <xsd:restriction base="dms:Text"/>
      </xsd:simpleType>
    </xsd:element>
    <xsd:element name="e2cc5988-1fd5-414a-8d74-38cbf33f3316GeoLoc" ma:index="18" nillable="true" ma:displayName="location: Coordinates" ma:internalName="GeoLoc" ma:readOnly="true">
      <xsd:simpleType>
        <xsd:restriction base="dms:Unknown"/>
      </xsd:simpleType>
    </xsd:element>
    <xsd:element name="e2cc5988-1fd5-414a-8d74-38cbf33f3316DispName" ma:index="19" nillable="true" ma:displayName="location: Name" ma:internalName="DispNa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18ba0e65-2c90-4787-ac70-332a6a7478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BillingMetadata" ma:index="3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0a3a8-e6dc-4611-b3d5-a302db2a6b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33" nillable="true" ma:displayName="Taxonomy Catch All Column" ma:hidden="true" ma:list="{8afd9c5f-7bbf-49bb-b74a-6c96a817ca0a}" ma:internalName="TaxCatchAll" ma:showField="CatchAllData" ma:web="2520a3a8-e6dc-4611-b3d5-a302db2a6b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241C5D-6BC2-4A8C-A245-A19FC1C2369E}">
  <ds:schemaRefs>
    <ds:schemaRef ds:uri="http://schemas.microsoft.com/office/2006/metadata/properties"/>
    <ds:schemaRef ds:uri="http://schemas.microsoft.com/office/infopath/2007/PartnerControls"/>
    <ds:schemaRef ds:uri="872a79b5-d9d6-4593-a8a7-149981f7045e"/>
    <ds:schemaRef ds:uri="http://schemas.microsoft.com/sharepoint/v3"/>
    <ds:schemaRef ds:uri="2520a3a8-e6dc-4611-b3d5-a302db2a6b56"/>
  </ds:schemaRefs>
</ds:datastoreItem>
</file>

<file path=customXml/itemProps2.xml><?xml version="1.0" encoding="utf-8"?>
<ds:datastoreItem xmlns:ds="http://schemas.openxmlformats.org/officeDocument/2006/customXml" ds:itemID="{626C200E-C538-4670-86B2-79DE54CB9EC8}">
  <ds:schemaRefs>
    <ds:schemaRef ds:uri="http://schemas.microsoft.com/office/2006/metadata/longProperties"/>
  </ds:schemaRefs>
</ds:datastoreItem>
</file>

<file path=customXml/itemProps3.xml><?xml version="1.0" encoding="utf-8"?>
<ds:datastoreItem xmlns:ds="http://schemas.openxmlformats.org/officeDocument/2006/customXml" ds:itemID="{2032BB59-A640-407C-9375-147D63275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2a79b5-d9d6-4593-a8a7-149981f7045e"/>
    <ds:schemaRef ds:uri="2520a3a8-e6dc-4611-b3d5-a302db2a6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88116-08E7-4660-A4F4-BBCFFBC773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3458</Words>
  <Characters>16352</Characters>
  <Application>Microsoft Office Word</Application>
  <DocSecurity>0</DocSecurity>
  <Lines>1635</Lines>
  <Paragraphs>639</Paragraphs>
  <ScaleCrop>false</ScaleCrop>
  <Company>Ministry of Justice</Company>
  <LinksUpToDate>false</LinksUpToDate>
  <CharactersWithSpaces>19171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phu95p</dc:creator>
  <cp:keywords/>
  <dc:description/>
  <cp:lastModifiedBy>Katie Gray</cp:lastModifiedBy>
  <cp:revision>199</cp:revision>
  <cp:lastPrinted>2013-05-16T14:48:00Z</cp:lastPrinted>
  <dcterms:created xsi:type="dcterms:W3CDTF">2025-10-28T09:25:00Z</dcterms:created>
  <dcterms:modified xsi:type="dcterms:W3CDTF">2025-10-28T15:42:00Z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Vance, Deputy Regional Tribunal Judge Amran</vt:lpwstr>
  </property>
  <property fmtid="{D5CDD505-2E9C-101B-9397-08002B2CF9AE}" pid="3" name="display_urn:schemas-microsoft-com:office:office#Author">
    <vt:lpwstr>Vance, Deputy Regional Tribunal Judge Amran</vt:lpwstr>
  </property>
  <property fmtid="{D5CDD505-2E9C-101B-9397-08002B2CF9AE}" pid="4" name="Order">
    <vt:lpwstr>173900.000000000</vt:lpwstr>
  </property>
  <property fmtid="{D5CDD505-2E9C-101B-9397-08002B2CF9AE}" pid="5" name="ComplianceAssetId">
    <vt:lpwstr/>
  </property>
  <property fmtid="{D5CDD505-2E9C-101B-9397-08002B2CF9AE}" pid="6" name="ContentTypeId">
    <vt:lpwstr>0x010100A4799E0FD73D3E4D84862663A4D33FCE</vt:lpwstr>
  </property>
  <property fmtid="{D5CDD505-2E9C-101B-9397-08002B2CF9AE}" pid="7" name="xd_Signature">
    <vt:lpwstr/>
  </property>
  <property fmtid="{D5CDD505-2E9C-101B-9397-08002B2CF9AE}" pid="8" name="TemplateUrl">
    <vt:lpwstr/>
  </property>
  <property fmtid="{D5CDD505-2E9C-101B-9397-08002B2CF9AE}" pid="9" name="xd_ProgID">
    <vt:lpwstr/>
  </property>
  <property fmtid="{D5CDD505-2E9C-101B-9397-08002B2CF9AE}" pid="10" name="MediaServiceImageTags">
    <vt:lpwstr/>
  </property>
</Properties>
</file>