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3261"/>
        <w:gridCol w:w="3402"/>
      </w:tblGrid>
      <w:tr w:rsidR="00960680" w:rsidRPr="00D25D5D" w14:paraId="5ADCDFA0" w14:textId="77777777" w:rsidTr="00DE0EC9">
        <w:tc>
          <w:tcPr>
            <w:tcW w:w="9924" w:type="dxa"/>
            <w:gridSpan w:val="3"/>
            <w:shd w:val="clear" w:color="auto" w:fill="00958F"/>
          </w:tcPr>
          <w:p w14:paraId="2DE23A21" w14:textId="005D7A14" w:rsidR="00960680" w:rsidRPr="00D25D5D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FFFFFF" w:themeColor="background1"/>
                <w:szCs w:val="26"/>
              </w:rPr>
            </w:pPr>
            <w:r w:rsidRPr="00D77953">
              <w:rPr>
                <w:rFonts w:ascii="Arial" w:eastAsiaTheme="majorEastAsia" w:hAnsi="Arial" w:cstheme="majorBidi"/>
                <w:b/>
                <w:bCs/>
                <w:color w:val="FFFFFF" w:themeColor="background1"/>
                <w:sz w:val="24"/>
                <w:szCs w:val="28"/>
              </w:rPr>
              <w:t xml:space="preserve">The Planning Inspectorate’s </w:t>
            </w:r>
            <w:r w:rsidR="0083154E">
              <w:rPr>
                <w:rFonts w:ascii="Arial" w:eastAsiaTheme="majorEastAsia" w:hAnsi="Arial" w:cstheme="majorBidi"/>
                <w:b/>
                <w:bCs/>
                <w:color w:val="FFFFFF" w:themeColor="background1"/>
                <w:sz w:val="24"/>
                <w:szCs w:val="28"/>
              </w:rPr>
              <w:t>p</w:t>
            </w:r>
            <w:r w:rsidRPr="00D77953">
              <w:rPr>
                <w:rFonts w:ascii="Arial" w:eastAsiaTheme="majorEastAsia" w:hAnsi="Arial" w:cstheme="majorBidi"/>
                <w:b/>
                <w:bCs/>
                <w:color w:val="FFFFFF" w:themeColor="background1"/>
                <w:sz w:val="24"/>
                <w:szCs w:val="28"/>
              </w:rPr>
              <w:t xml:space="preserve">re-application </w:t>
            </w:r>
            <w:r w:rsidR="0083154E">
              <w:rPr>
                <w:rFonts w:ascii="Arial" w:eastAsiaTheme="majorEastAsia" w:hAnsi="Arial" w:cstheme="majorBidi"/>
                <w:b/>
                <w:bCs/>
                <w:color w:val="FFFFFF" w:themeColor="background1"/>
                <w:sz w:val="24"/>
                <w:szCs w:val="28"/>
              </w:rPr>
              <w:t>s</w:t>
            </w:r>
            <w:r w:rsidRPr="00D77953">
              <w:rPr>
                <w:rFonts w:ascii="Arial" w:eastAsiaTheme="majorEastAsia" w:hAnsi="Arial" w:cstheme="majorBidi"/>
                <w:b/>
                <w:bCs/>
                <w:color w:val="FFFFFF" w:themeColor="background1"/>
                <w:sz w:val="24"/>
                <w:szCs w:val="28"/>
              </w:rPr>
              <w:t xml:space="preserve">ervice </w:t>
            </w:r>
            <w:r w:rsidR="0083154E">
              <w:rPr>
                <w:rFonts w:ascii="Arial" w:eastAsiaTheme="majorEastAsia" w:hAnsi="Arial" w:cstheme="majorBidi"/>
                <w:b/>
                <w:bCs/>
                <w:color w:val="FFFFFF" w:themeColor="background1"/>
                <w:sz w:val="24"/>
                <w:szCs w:val="28"/>
              </w:rPr>
              <w:t>t</w:t>
            </w:r>
            <w:r w:rsidRPr="00D77953">
              <w:rPr>
                <w:rFonts w:ascii="Arial" w:eastAsiaTheme="majorEastAsia" w:hAnsi="Arial" w:cstheme="majorBidi"/>
                <w:b/>
                <w:bCs/>
                <w:color w:val="FFFFFF" w:themeColor="background1"/>
                <w:sz w:val="24"/>
                <w:szCs w:val="28"/>
              </w:rPr>
              <w:t>iers</w:t>
            </w:r>
          </w:p>
        </w:tc>
      </w:tr>
      <w:tr w:rsidR="00960680" w:rsidRPr="00D25D5D" w14:paraId="4F79E5A2" w14:textId="77777777" w:rsidTr="00DE0EC9">
        <w:tc>
          <w:tcPr>
            <w:tcW w:w="3261" w:type="dxa"/>
            <w:shd w:val="clear" w:color="auto" w:fill="F4B083" w:themeFill="accent2" w:themeFillTint="99"/>
          </w:tcPr>
          <w:p w14:paraId="667BDC95" w14:textId="77777777" w:rsidR="00960680" w:rsidRPr="00D25D5D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 xml:space="preserve">TIER 1: </w:t>
            </w:r>
            <w:r w:rsidRPr="00D25D5D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BASIC</w:t>
            </w:r>
          </w:p>
        </w:tc>
        <w:tc>
          <w:tcPr>
            <w:tcW w:w="3261" w:type="dxa"/>
            <w:shd w:val="clear" w:color="auto" w:fill="BDD6EE" w:themeFill="accent5" w:themeFillTint="66"/>
          </w:tcPr>
          <w:p w14:paraId="38CA29B4" w14:textId="77777777" w:rsidR="00960680" w:rsidRPr="00D25D5D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TIER 2: STANDARD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3EAEB59C" w14:textId="77777777" w:rsidR="00960680" w:rsidRPr="00D25D5D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TIER 3: ENHANCED</w:t>
            </w:r>
          </w:p>
        </w:tc>
      </w:tr>
      <w:tr w:rsidR="00960680" w14:paraId="38B6F5A8" w14:textId="77777777" w:rsidTr="00DE0EC9">
        <w:tc>
          <w:tcPr>
            <w:tcW w:w="9924" w:type="dxa"/>
            <w:gridSpan w:val="3"/>
            <w:shd w:val="clear" w:color="auto" w:fill="D9D9D9" w:themeFill="background1" w:themeFillShade="D9"/>
          </w:tcPr>
          <w:p w14:paraId="126B4807" w14:textId="25BECB85" w:rsidR="00960680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Cost to the applicant</w:t>
            </w:r>
          </w:p>
        </w:tc>
      </w:tr>
      <w:tr w:rsidR="00960680" w:rsidRPr="008F3ECA" w14:paraId="367ADAF0" w14:textId="77777777" w:rsidTr="00DE0EC9">
        <w:tc>
          <w:tcPr>
            <w:tcW w:w="3261" w:type="dxa"/>
            <w:shd w:val="clear" w:color="auto" w:fill="FFE599" w:themeFill="accent4" w:themeFillTint="66"/>
          </w:tcPr>
          <w:p w14:paraId="5DFB01F3" w14:textId="3F42C823" w:rsidR="00960680" w:rsidRPr="008F3ECA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000000" w:themeColor="text1"/>
                <w:szCs w:val="26"/>
              </w:rPr>
            </w:pPr>
            <w:r w:rsidRPr="00DD6E69">
              <w:rPr>
                <w:rFonts w:ascii="Arial" w:hAnsi="Arial" w:cs="Arial"/>
                <w:b/>
                <w:bCs/>
              </w:rPr>
              <w:t>£6</w:t>
            </w:r>
            <w:r w:rsidR="00635182">
              <w:rPr>
                <w:rFonts w:ascii="Arial" w:hAnsi="Arial" w:cs="Arial"/>
                <w:b/>
                <w:bCs/>
              </w:rPr>
              <w:t>3</w:t>
            </w:r>
            <w:r w:rsidRPr="00DD6E69">
              <w:rPr>
                <w:rFonts w:ascii="Arial" w:hAnsi="Arial" w:cs="Arial"/>
                <w:b/>
                <w:bCs/>
              </w:rPr>
              <w:t>,</w:t>
            </w:r>
            <w:r w:rsidR="00635182">
              <w:rPr>
                <w:rFonts w:ascii="Arial" w:hAnsi="Arial" w:cs="Arial"/>
                <w:b/>
                <w:bCs/>
              </w:rPr>
              <w:t>410</w:t>
            </w:r>
            <w:r w:rsidRPr="008F3ECA">
              <w:rPr>
                <w:rFonts w:ascii="Arial" w:hAnsi="Arial" w:cs="Arial"/>
              </w:rPr>
              <w:t> per year of service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0186B1E8" w14:textId="2208F287" w:rsidR="00960680" w:rsidRPr="008F3ECA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000000" w:themeColor="text1"/>
                <w:szCs w:val="26"/>
              </w:rPr>
            </w:pPr>
            <w:r w:rsidRPr="00DD6E69">
              <w:rPr>
                <w:rFonts w:ascii="Arial" w:hAnsi="Arial" w:cs="Arial"/>
                <w:b/>
                <w:bCs/>
              </w:rPr>
              <w:t>£12</w:t>
            </w:r>
            <w:r w:rsidR="00C51255">
              <w:rPr>
                <w:rFonts w:ascii="Arial" w:hAnsi="Arial" w:cs="Arial"/>
                <w:b/>
                <w:bCs/>
              </w:rPr>
              <w:t>8</w:t>
            </w:r>
            <w:r w:rsidRPr="00DD6E69">
              <w:rPr>
                <w:rFonts w:ascii="Arial" w:hAnsi="Arial" w:cs="Arial"/>
                <w:b/>
                <w:bCs/>
              </w:rPr>
              <w:t>,</w:t>
            </w:r>
            <w:r w:rsidR="00C51255">
              <w:rPr>
                <w:rFonts w:ascii="Arial" w:hAnsi="Arial" w:cs="Arial"/>
                <w:b/>
                <w:bCs/>
              </w:rPr>
              <w:t>193</w:t>
            </w:r>
            <w:r w:rsidRPr="008F3ECA">
              <w:rPr>
                <w:rFonts w:ascii="Arial" w:hAnsi="Arial" w:cs="Arial"/>
              </w:rPr>
              <w:t xml:space="preserve"> per year of service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2763B09A" w14:textId="337E2EF0" w:rsidR="00960680" w:rsidRPr="008F3ECA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000000" w:themeColor="text1"/>
                <w:szCs w:val="26"/>
              </w:rPr>
            </w:pPr>
            <w:r w:rsidRPr="00DD6E69">
              <w:rPr>
                <w:rFonts w:ascii="Arial" w:hAnsi="Arial" w:cs="Arial"/>
                <w:b/>
                <w:bCs/>
              </w:rPr>
              <w:t>£2</w:t>
            </w:r>
            <w:r w:rsidR="001A205A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1A205A">
              <w:rPr>
                <w:rFonts w:ascii="Arial" w:hAnsi="Arial" w:cs="Arial"/>
                <w:b/>
                <w:bCs/>
              </w:rPr>
              <w:t>400</w:t>
            </w:r>
            <w:r w:rsidRPr="008F3ECA">
              <w:rPr>
                <w:rFonts w:ascii="Arial" w:hAnsi="Arial" w:cs="Arial"/>
              </w:rPr>
              <w:t xml:space="preserve"> per year of service </w:t>
            </w:r>
          </w:p>
        </w:tc>
      </w:tr>
      <w:tr w:rsidR="00960680" w:rsidRPr="00D25D5D" w14:paraId="5B4698F4" w14:textId="77777777" w:rsidTr="00DE0EC9">
        <w:tc>
          <w:tcPr>
            <w:tcW w:w="9924" w:type="dxa"/>
            <w:gridSpan w:val="3"/>
            <w:shd w:val="clear" w:color="auto" w:fill="D9D9D9" w:themeFill="background1" w:themeFillShade="D9"/>
          </w:tcPr>
          <w:p w14:paraId="222E0A1C" w14:textId="77777777" w:rsidR="00960680" w:rsidRPr="00D25D5D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Suitable projects</w:t>
            </w:r>
          </w:p>
        </w:tc>
      </w:tr>
      <w:tr w:rsidR="00960680" w:rsidRPr="00D25D5D" w14:paraId="34E48B23" w14:textId="77777777" w:rsidTr="00DE0EC9">
        <w:tc>
          <w:tcPr>
            <w:tcW w:w="3261" w:type="dxa"/>
          </w:tcPr>
          <w:p w14:paraId="3E66BF1A" w14:textId="0FCDFBF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Very experienced applicants, l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ow-complexity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projects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,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with an up-to-date relevant </w:t>
            </w:r>
            <w:r w:rsidR="0083154E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n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ational </w:t>
            </w:r>
            <w:r w:rsidR="0083154E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olicy </w:t>
            </w:r>
            <w:r w:rsidR="0083154E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tatement(s) in place,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no or limited compulsory acquisition, and where the likely examination issues are few and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commonly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considered by Examining Authorities.</w:t>
            </w:r>
          </w:p>
        </w:tc>
        <w:tc>
          <w:tcPr>
            <w:tcW w:w="3261" w:type="dxa"/>
          </w:tcPr>
          <w:p w14:paraId="06BE28F5" w14:textId="5AD45755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Potentially any project,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apart from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projects seeking qualification for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a </w:t>
            </w:r>
            <w:r w:rsidR="00495CA1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f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ast</w:t>
            </w:r>
            <w:r w:rsidR="00495CA1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-t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rack procedure for which an enhanced tier service is prerequisite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</w:tc>
        <w:tc>
          <w:tcPr>
            <w:tcW w:w="3402" w:type="dxa"/>
          </w:tcPr>
          <w:p w14:paraId="4835F0AE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Projects seeking qualification for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a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 w:rsidRPr="0089028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Fast Track procedure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  <w:p w14:paraId="585F2D75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OR</w:t>
            </w:r>
          </w:p>
          <w:p w14:paraId="565FD112" w14:textId="7FEB9735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Novel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or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very complex/ cross-sector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interests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where likely examination issues are numerous and less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commonly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considered by Examining Authorities, </w:t>
            </w:r>
            <w:r w:rsidRPr="00D25D5D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 xml:space="preserve">not seeking </w:t>
            </w:r>
            <w:r w:rsidR="008E6329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a fast-track procedure</w:t>
            </w:r>
            <w:r w:rsidR="008E6329" w:rsidRPr="008E6329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,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but requiring or benefitting from system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-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wide coordination and support.</w:t>
            </w:r>
          </w:p>
        </w:tc>
      </w:tr>
      <w:tr w:rsidR="00960680" w:rsidRPr="00ED02FF" w14:paraId="16637F20" w14:textId="77777777" w:rsidTr="00DE0EC9">
        <w:tc>
          <w:tcPr>
            <w:tcW w:w="9924" w:type="dxa"/>
            <w:gridSpan w:val="3"/>
            <w:shd w:val="clear" w:color="auto" w:fill="D9D9D9" w:themeFill="background1" w:themeFillShade="D9"/>
          </w:tcPr>
          <w:p w14:paraId="3EBA9143" w14:textId="77777777" w:rsidR="00960680" w:rsidRPr="00ED02FF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 w:rsidRPr="00ED02FF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Planning Inspectorate role</w:t>
            </w:r>
          </w:p>
        </w:tc>
      </w:tr>
      <w:tr w:rsidR="00960680" w:rsidRPr="00D25D5D" w14:paraId="5650D0A8" w14:textId="77777777" w:rsidTr="00DE0EC9">
        <w:tc>
          <w:tcPr>
            <w:tcW w:w="3261" w:type="dxa"/>
          </w:tcPr>
          <w:p w14:paraId="0210A28E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</w:rPr>
            </w:pPr>
            <w:r w:rsidRPr="36CE16F1">
              <w:rPr>
                <w:rFonts w:ascii="Arial" w:eastAsiaTheme="majorEastAsia" w:hAnsi="Arial" w:cstheme="majorBidi"/>
                <w:color w:val="000000" w:themeColor="text1"/>
              </w:rPr>
              <w:t>Planning Inspectorate discharging statutory duties only including s</w:t>
            </w:r>
            <w:r>
              <w:rPr>
                <w:rFonts w:ascii="Arial" w:eastAsiaTheme="majorEastAsia" w:hAnsi="Arial" w:cstheme="majorBidi"/>
                <w:color w:val="000000" w:themeColor="text1"/>
              </w:rPr>
              <w:t xml:space="preserve">ection </w:t>
            </w:r>
            <w:r w:rsidRPr="36CE16F1">
              <w:rPr>
                <w:rFonts w:ascii="Arial" w:eastAsiaTheme="majorEastAsia" w:hAnsi="Arial" w:cstheme="majorBidi"/>
                <w:color w:val="000000" w:themeColor="text1"/>
              </w:rPr>
              <w:t>51 advice and EIA screening/ scoping.</w:t>
            </w:r>
          </w:p>
        </w:tc>
        <w:tc>
          <w:tcPr>
            <w:tcW w:w="3261" w:type="dxa"/>
          </w:tcPr>
          <w:p w14:paraId="5338D057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Planning Inspectorate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discharging statutory duties and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supporting the preparation of applications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which are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: </w:t>
            </w:r>
          </w:p>
          <w:p w14:paraId="459D80A2" w14:textId="3D57D544" w:rsidR="00960680" w:rsidRPr="00D25D5D" w:rsidRDefault="00BC0833" w:rsidP="00960680">
            <w:pPr>
              <w:numPr>
                <w:ilvl w:val="0"/>
                <w:numId w:val="5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apable of being accepted for examination </w:t>
            </w:r>
          </w:p>
          <w:p w14:paraId="465CAE54" w14:textId="3AEED367" w:rsidR="00960680" w:rsidRPr="00D25D5D" w:rsidRDefault="00960680" w:rsidP="00960680">
            <w:pPr>
              <w:numPr>
                <w:ilvl w:val="0"/>
                <w:numId w:val="5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capable of being examined within the statutory six-month maximum</w:t>
            </w:r>
          </w:p>
          <w:p w14:paraId="6C98A06F" w14:textId="77777777" w:rsidR="00960680" w:rsidRPr="00D25D5D" w:rsidRDefault="00960680" w:rsidP="00DE0EC9">
            <w:pPr>
              <w:spacing w:before="120" w:after="120"/>
              <w:ind w:left="45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Applicants may choose to develop one or more of the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supplementary pre-application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components listed in the enhanced tier offer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proofErr w:type="gramStart"/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in order to</w:t>
            </w:r>
            <w:proofErr w:type="gramEnd"/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optimise their </w:t>
            </w:r>
            <w:proofErr w:type="gramStart"/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application,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but</w:t>
            </w:r>
            <w:proofErr w:type="gramEnd"/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will not receive focused support from the Inspectorate.</w:t>
            </w:r>
          </w:p>
        </w:tc>
        <w:tc>
          <w:tcPr>
            <w:tcW w:w="3402" w:type="dxa"/>
          </w:tcPr>
          <w:p w14:paraId="364FACF3" w14:textId="671C884A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Planning Inspectorate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discharging statutory duties and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performing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an enhanced role supporting the preparation of applications which are optimised to facilitate an efficient and effective route to decision, with potential for certain projects to qualify for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a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 w:rsidR="00E10962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f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ast</w:t>
            </w:r>
            <w:r w:rsidR="00E10962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-t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rack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procedure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.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Supplementary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pre-application components supportable by the Planning Inspectorate to optimise applications include:</w:t>
            </w:r>
          </w:p>
          <w:p w14:paraId="29AAAC0A" w14:textId="009108A1" w:rsidR="00960680" w:rsidRPr="00D25D5D" w:rsidRDefault="009E35CA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vidence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lan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ning </w:t>
            </w:r>
          </w:p>
          <w:p w14:paraId="1396B33C" w14:textId="6CB71860" w:rsidR="00960680" w:rsidRPr="00D25D5D" w:rsidRDefault="009E35CA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re-application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principal areas of disagreement summary s</w:t>
            </w:r>
            <w:r w:rsidR="00671BD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tat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ement</w:t>
            </w:r>
            <w:r w:rsidR="00AF7D43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(PADSS)</w:t>
            </w:r>
          </w:p>
          <w:p w14:paraId="1766AFBC" w14:textId="05B88AD0" w:rsidR="00960680" w:rsidRPr="00D25D5D" w:rsidRDefault="00AF7D43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olicy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ompliance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ocument</w:t>
            </w:r>
          </w:p>
          <w:p w14:paraId="597075D8" w14:textId="6AD24B5A" w:rsidR="00960680" w:rsidRPr="00D25D5D" w:rsidRDefault="00AF7D43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esign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pproach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ocument</w:t>
            </w:r>
          </w:p>
          <w:p w14:paraId="4A65C24D" w14:textId="7EFFEB32" w:rsidR="00960680" w:rsidRPr="00D25D5D" w:rsidRDefault="00AF7D43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utline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ontrol documents</w:t>
            </w:r>
          </w:p>
          <w:p w14:paraId="3CDBCDDA" w14:textId="737ED102" w:rsidR="00960680" w:rsidRPr="00D25D5D" w:rsidRDefault="00192B94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lastRenderedPageBreak/>
              <w:t>m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ultiparty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m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eetings (non-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vidence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lan)</w:t>
            </w:r>
          </w:p>
          <w:p w14:paraId="577501C8" w14:textId="25D01855" w:rsidR="00960680" w:rsidRDefault="00192B94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1F7553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reparation of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</w:t>
            </w:r>
            <w:r w:rsidR="00960680" w:rsidRPr="001F7553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ompulsory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</w:t>
            </w:r>
            <w:r w:rsidR="00960680" w:rsidRPr="001F7553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cquisition and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t</w:t>
            </w:r>
            <w:r w:rsidR="00960680" w:rsidRPr="001F7553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emporary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1F7553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ossession evidence </w:t>
            </w:r>
          </w:p>
          <w:p w14:paraId="3ED22A7A" w14:textId="2EF65E20" w:rsidR="00960680" w:rsidRDefault="00192B94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reparation of evidence to support the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ublic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ector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quality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uty</w:t>
            </w:r>
          </w:p>
          <w:p w14:paraId="1FB4557A" w14:textId="3C85BC7B" w:rsidR="00960680" w:rsidRDefault="00192B94" w:rsidP="00960680">
            <w:pPr>
              <w:numPr>
                <w:ilvl w:val="0"/>
                <w:numId w:val="1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m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ultiparty application readiness gate-check (trial)</w:t>
            </w:r>
          </w:p>
          <w:p w14:paraId="643FE3EA" w14:textId="3F358472" w:rsidR="00960680" w:rsidRPr="00526144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Some supplementary pre-application components are </w:t>
            </w:r>
            <w:r w:rsidRPr="00743675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required</w:t>
            </w:r>
            <w:r w:rsidRPr="0052614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for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applications seeking a </w:t>
            </w:r>
            <w:r w:rsidR="00671BD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f</w:t>
            </w:r>
            <w:r w:rsidRPr="0052614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ast</w:t>
            </w:r>
            <w:r w:rsidR="00671BD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-t</w:t>
            </w:r>
            <w:r w:rsidRPr="0052614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rack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procedure</w:t>
            </w:r>
            <w:r w:rsidRPr="0052614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  <w:p w14:paraId="02176380" w14:textId="4A7FF9ED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89028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The </w:t>
            </w:r>
            <w:r w:rsidR="00671BD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</w:t>
            </w:r>
            <w:r w:rsidRPr="0089028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nnex to this </w:t>
            </w:r>
            <w:r w:rsidR="00671BD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89028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rospectus gives details in relation to the development of supplementary pre-application components, including the value they are expected to add, and identifies those which are required for applications seeking a </w:t>
            </w:r>
            <w:r w:rsidR="00671BD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f</w:t>
            </w:r>
            <w:r w:rsidRPr="0089028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ast</w:t>
            </w:r>
            <w:r w:rsidR="00671BD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-t</w:t>
            </w:r>
            <w:r w:rsidRPr="0089028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rack procedure.</w:t>
            </w:r>
          </w:p>
        </w:tc>
      </w:tr>
      <w:tr w:rsidR="00960680" w:rsidRPr="004F16A1" w14:paraId="3F7DA84D" w14:textId="77777777" w:rsidTr="00DE0EC9">
        <w:tc>
          <w:tcPr>
            <w:tcW w:w="9924" w:type="dxa"/>
            <w:gridSpan w:val="3"/>
            <w:shd w:val="clear" w:color="auto" w:fill="D9D9D9" w:themeFill="background1" w:themeFillShade="D9"/>
          </w:tcPr>
          <w:p w14:paraId="7561AED9" w14:textId="77777777" w:rsidR="00960680" w:rsidRPr="004F16A1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lastRenderedPageBreak/>
              <w:t>Section 51 a</w:t>
            </w:r>
            <w:r w:rsidRPr="004F16A1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dvice</w:t>
            </w:r>
          </w:p>
        </w:tc>
      </w:tr>
      <w:tr w:rsidR="00960680" w:rsidRPr="00D25D5D" w14:paraId="54149E00" w14:textId="77777777" w:rsidTr="00DE0EC9">
        <w:tc>
          <w:tcPr>
            <w:tcW w:w="3261" w:type="dxa"/>
          </w:tcPr>
          <w:p w14:paraId="52AE7A59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</w:rPr>
            </w:pPr>
            <w:r w:rsidRPr="1DD0E031">
              <w:rPr>
                <w:rFonts w:ascii="Arial" w:eastAsiaTheme="majorEastAsia" w:hAnsi="Arial" w:cstheme="majorBidi"/>
                <w:color w:val="000000" w:themeColor="text1"/>
              </w:rPr>
              <w:t>Advice normally limited to signposting to existing written resources including published advice, guidance and precedents established in other cases.</w:t>
            </w:r>
          </w:p>
        </w:tc>
        <w:tc>
          <w:tcPr>
            <w:tcW w:w="3261" w:type="dxa"/>
          </w:tcPr>
          <w:p w14:paraId="0A988326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Issuing of procedural advice to support programme and advice to assist progression and/ or resolution of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likely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examination issues prior to submission.</w:t>
            </w:r>
          </w:p>
        </w:tc>
        <w:tc>
          <w:tcPr>
            <w:tcW w:w="3402" w:type="dxa"/>
          </w:tcPr>
          <w:p w14:paraId="17EC01FA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Issuing of procedural advice to support programme and advice to assist progression and/ or resolution of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likely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examination issues prior to submission, including on a pre-emptive basis in accordance with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increased Planning Inspectorate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exposure to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pre-application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evidence.</w:t>
            </w:r>
          </w:p>
        </w:tc>
      </w:tr>
      <w:tr w:rsidR="00960680" w:rsidRPr="004F16A1" w14:paraId="74E1386A" w14:textId="77777777" w:rsidTr="00DE0EC9">
        <w:tc>
          <w:tcPr>
            <w:tcW w:w="9924" w:type="dxa"/>
            <w:gridSpan w:val="3"/>
            <w:shd w:val="clear" w:color="auto" w:fill="D9D9D9" w:themeFill="background1" w:themeFillShade="D9"/>
          </w:tcPr>
          <w:p w14:paraId="35FE3919" w14:textId="77777777" w:rsidR="00960680" w:rsidRPr="004F16A1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 w:rsidRPr="004F16A1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Meetings and interactions</w:t>
            </w:r>
          </w:p>
        </w:tc>
      </w:tr>
      <w:tr w:rsidR="00960680" w:rsidRPr="00D25D5D" w14:paraId="3F675DB0" w14:textId="77777777" w:rsidTr="00DE0EC9">
        <w:tc>
          <w:tcPr>
            <w:tcW w:w="3261" w:type="dxa"/>
          </w:tcPr>
          <w:p w14:paraId="7F3E2D85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Meetings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with the Planning Inspectorate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available to applicants at essential milestones only (max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imum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three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meetings p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er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nnum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) comprising: </w:t>
            </w:r>
          </w:p>
          <w:p w14:paraId="0F6540A1" w14:textId="50C48C7A" w:rsidR="00960680" w:rsidRPr="00D25D5D" w:rsidRDefault="00532028" w:rsidP="00960680">
            <w:pPr>
              <w:numPr>
                <w:ilvl w:val="0"/>
                <w:numId w:val="3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nception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m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eeting</w:t>
            </w:r>
          </w:p>
          <w:p w14:paraId="3A6D16F6" w14:textId="1F4DF505" w:rsidR="00960680" w:rsidRPr="00D25D5D" w:rsidRDefault="00B13919" w:rsidP="00960680">
            <w:pPr>
              <w:numPr>
                <w:ilvl w:val="0"/>
                <w:numId w:val="3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ost-s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ection 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42 consultation meeting</w:t>
            </w:r>
          </w:p>
          <w:p w14:paraId="0616B73C" w14:textId="5CCC4526" w:rsidR="00960680" w:rsidRPr="00D25D5D" w:rsidRDefault="0094580A" w:rsidP="00960680">
            <w:pPr>
              <w:numPr>
                <w:ilvl w:val="0"/>
                <w:numId w:val="3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lastRenderedPageBreak/>
              <w:t>p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re-submission meeting</w:t>
            </w:r>
          </w:p>
          <w:p w14:paraId="3080206F" w14:textId="5ADF54B2" w:rsidR="00960680" w:rsidRPr="00D25D5D" w:rsidRDefault="00960680" w:rsidP="00DE0EC9">
            <w:pPr>
              <w:spacing w:before="120" w:after="120"/>
              <w:ind w:left="19" w:firstLine="1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Planning Inspectorate not available for involvement in multiparty forums, including </w:t>
            </w:r>
            <w:r w:rsidR="0094580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vidence </w:t>
            </w:r>
            <w:r w:rsidR="0094580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lan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rocess.</w:t>
            </w:r>
          </w:p>
          <w:p w14:paraId="3E691F89" w14:textId="77777777" w:rsidR="00960680" w:rsidRPr="00D25D5D" w:rsidRDefault="00960680" w:rsidP="00DE0EC9">
            <w:pPr>
              <w:spacing w:before="120" w:after="120"/>
              <w:ind w:left="19" w:firstLine="1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No Examining Inspector involvement in pre-application advice.</w:t>
            </w:r>
          </w:p>
        </w:tc>
        <w:tc>
          <w:tcPr>
            <w:tcW w:w="3261" w:type="dxa"/>
          </w:tcPr>
          <w:p w14:paraId="61EBA31C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lastRenderedPageBreak/>
              <w:t xml:space="preserve">Meetings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with the Planning Inspectorate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available to applicants at key milestones, as requested/ required by applicant (max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imum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six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meetings p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er annum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), including:</w:t>
            </w:r>
          </w:p>
          <w:p w14:paraId="27DD48EF" w14:textId="59C792B3" w:rsidR="00960680" w:rsidRPr="00D25D5D" w:rsidRDefault="0094580A" w:rsidP="00960680">
            <w:pPr>
              <w:numPr>
                <w:ilvl w:val="0"/>
                <w:numId w:val="4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nception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m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eeting</w:t>
            </w:r>
          </w:p>
          <w:p w14:paraId="6F43B18B" w14:textId="52DA087C" w:rsidR="00960680" w:rsidRPr="00D25D5D" w:rsidRDefault="00B13919" w:rsidP="00960680">
            <w:pPr>
              <w:numPr>
                <w:ilvl w:val="0"/>
                <w:numId w:val="4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lastRenderedPageBreak/>
              <w:t>p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ost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-</w:t>
            </w:r>
            <w:r w:rsidR="000B241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coping, pre-s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ection 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42 consultation meeting </w:t>
            </w:r>
          </w:p>
          <w:p w14:paraId="12FF0E98" w14:textId="1817B680" w:rsidR="00960680" w:rsidRDefault="00BD5A9E" w:rsidP="00960680">
            <w:pPr>
              <w:numPr>
                <w:ilvl w:val="0"/>
                <w:numId w:val="4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ost-s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ection 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42 consultation/ post-P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reliminary 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nvironmental 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nformation 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eport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meeting</w:t>
            </w:r>
          </w:p>
          <w:p w14:paraId="5DDFA2AD" w14:textId="60C10E10" w:rsidR="00960680" w:rsidRPr="00D25D5D" w:rsidRDefault="008C72AB" w:rsidP="00960680">
            <w:pPr>
              <w:numPr>
                <w:ilvl w:val="0"/>
                <w:numId w:val="4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raft documents feedback meeting</w:t>
            </w:r>
          </w:p>
          <w:p w14:paraId="6770AF4C" w14:textId="6945532D" w:rsidR="00960680" w:rsidRPr="00D25D5D" w:rsidRDefault="008C72AB" w:rsidP="00960680">
            <w:pPr>
              <w:numPr>
                <w:ilvl w:val="0"/>
                <w:numId w:val="4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re-submission meeting</w:t>
            </w:r>
          </w:p>
          <w:p w14:paraId="6901D863" w14:textId="2106719B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Offer of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Planning Inspectorate involvement in non-</w:t>
            </w:r>
            <w:r w:rsidR="008C72AB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vidence </w:t>
            </w:r>
            <w:proofErr w:type="gramStart"/>
            <w:r w:rsidR="008C72AB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lan</w:t>
            </w:r>
            <w:proofErr w:type="gramEnd"/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multiparty forums, where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agreed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, in observer/ advisory role.</w:t>
            </w:r>
          </w:p>
          <w:p w14:paraId="06D74FBF" w14:textId="4D09A9DC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Offer of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Planning Inspectorate involvement in </w:t>
            </w:r>
            <w:r w:rsidR="00FB4088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vidence </w:t>
            </w:r>
            <w:r w:rsidR="00FB4088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lan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rocess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, where agreed,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in observer/ advisory role.</w:t>
            </w:r>
          </w:p>
          <w:p w14:paraId="0D1AF695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Examining Inspector involvement in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some elements of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pre-application advice.</w:t>
            </w:r>
          </w:p>
        </w:tc>
        <w:tc>
          <w:tcPr>
            <w:tcW w:w="3402" w:type="dxa"/>
          </w:tcPr>
          <w:p w14:paraId="5E725B57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lastRenderedPageBreak/>
              <w:t>Where requested by the applicant, and agreed by the Planning Inspectorate, topic-based meetings with the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Planning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Inspectorate in addition to meetings at key milestones identified in standard tier offer (max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imum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nine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meetings p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er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nnum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). </w:t>
            </w:r>
          </w:p>
          <w:p w14:paraId="6426EEB2" w14:textId="3CA5C992" w:rsidR="00960680" w:rsidRPr="00D25D5D" w:rsidRDefault="00960680" w:rsidP="00DE0EC9">
            <w:pPr>
              <w:numPr>
                <w:ilvl w:val="1"/>
                <w:numId w:val="0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Offer of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Planning Inspectorate involvement in non-</w:t>
            </w:r>
            <w:r w:rsidR="00D268CC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vidence </w:t>
            </w:r>
            <w:proofErr w:type="gramStart"/>
            <w:r w:rsidR="00D268CC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lan</w:t>
            </w:r>
            <w:proofErr w:type="gramEnd"/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multiparty forums, where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lastRenderedPageBreak/>
              <w:t>agreed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, including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at the </w:t>
            </w:r>
            <w:r w:rsidRPr="0089028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Adequacy of Consultation Milestone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 This may be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in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a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chairperson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or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facilitator role.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</w:p>
          <w:p w14:paraId="44A0178D" w14:textId="7F465074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Offer of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Planning Inspectorate involvement in </w:t>
            </w:r>
            <w:r w:rsidR="008D3F2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vidence </w:t>
            </w:r>
            <w:r w:rsidR="008D3F27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lan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rocess, where engaged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as agreed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, as facilitator.</w:t>
            </w:r>
          </w:p>
          <w:p w14:paraId="4CB463D9" w14:textId="77777777" w:rsidR="00960680" w:rsidRPr="00D25D5D" w:rsidRDefault="00960680" w:rsidP="00DE0EC9">
            <w:pPr>
              <w:numPr>
                <w:ilvl w:val="1"/>
                <w:numId w:val="0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Enhanced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Examining Inspector involvement in pre-application advice, including potential deployment as facilitator in multiparty forums. </w:t>
            </w:r>
          </w:p>
        </w:tc>
      </w:tr>
      <w:tr w:rsidR="00960680" w:rsidRPr="00937E70" w14:paraId="46F90F39" w14:textId="77777777" w:rsidTr="00DE0EC9">
        <w:tc>
          <w:tcPr>
            <w:tcW w:w="9924" w:type="dxa"/>
            <w:gridSpan w:val="3"/>
            <w:shd w:val="clear" w:color="auto" w:fill="FFFFFF" w:themeFill="background1"/>
          </w:tcPr>
          <w:p w14:paraId="7B820B51" w14:textId="77777777" w:rsidR="00960680" w:rsidRPr="00937E70" w:rsidRDefault="00960680" w:rsidP="00DE0EC9">
            <w:pPr>
              <w:spacing w:before="120" w:after="120"/>
              <w:ind w:left="19" w:firstLine="10"/>
              <w:jc w:val="center"/>
              <w:outlineLvl w:val="1"/>
              <w:rPr>
                <w:rFonts w:ascii="Arial" w:eastAsiaTheme="majorEastAsia" w:hAnsi="Arial" w:cstheme="majorBidi"/>
                <w:color w:val="000000" w:themeColor="text1"/>
              </w:rPr>
            </w:pPr>
            <w:r w:rsidRPr="3F47FE7F">
              <w:rPr>
                <w:rFonts w:ascii="Arial" w:eastAsiaTheme="majorEastAsia" w:hAnsi="Arial" w:cstheme="majorBidi"/>
                <w:color w:val="000000" w:themeColor="text1"/>
              </w:rPr>
              <w:lastRenderedPageBreak/>
              <w:t xml:space="preserve">In all service tiers, the occurrence of additional meetings (ie over the maximum occurrences per annum stated) may be agreed </w:t>
            </w:r>
            <w:r>
              <w:rPr>
                <w:rFonts w:ascii="Arial" w:eastAsiaTheme="majorEastAsia" w:hAnsi="Arial" w:cstheme="majorBidi"/>
                <w:color w:val="000000" w:themeColor="text1"/>
              </w:rPr>
              <w:t>on a needs basis</w:t>
            </w:r>
            <w:r w:rsidRPr="3F47FE7F">
              <w:rPr>
                <w:rFonts w:ascii="Arial" w:eastAsiaTheme="majorEastAsia" w:hAnsi="Arial" w:cstheme="majorBidi"/>
                <w:color w:val="000000" w:themeColor="text1"/>
              </w:rPr>
              <w:t>.</w:t>
            </w:r>
          </w:p>
        </w:tc>
      </w:tr>
      <w:tr w:rsidR="00960680" w:rsidRPr="00BE58C4" w14:paraId="67E3789A" w14:textId="77777777" w:rsidTr="00DE0EC9">
        <w:trPr>
          <w:trHeight w:val="20"/>
        </w:trPr>
        <w:tc>
          <w:tcPr>
            <w:tcW w:w="9924" w:type="dxa"/>
            <w:gridSpan w:val="3"/>
            <w:shd w:val="clear" w:color="auto" w:fill="D9D9D9" w:themeFill="background1" w:themeFillShade="D9"/>
          </w:tcPr>
          <w:p w14:paraId="5BC9CDA7" w14:textId="7A108FDD" w:rsidR="00960680" w:rsidRPr="00BE58C4" w:rsidRDefault="00960680" w:rsidP="00DE0EC9">
            <w:pPr>
              <w:numPr>
                <w:ilvl w:val="1"/>
                <w:numId w:val="0"/>
              </w:num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 w:rsidRPr="00BE58C4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 xml:space="preserve">Draft </w:t>
            </w:r>
            <w:r w:rsidR="008D3F27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d</w:t>
            </w:r>
            <w:r w:rsidRPr="00BE58C4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ocuments</w:t>
            </w:r>
          </w:p>
        </w:tc>
      </w:tr>
      <w:tr w:rsidR="00960680" w:rsidRPr="00D25D5D" w14:paraId="6646B0C7" w14:textId="77777777" w:rsidTr="00DE0EC9">
        <w:trPr>
          <w:trHeight w:val="20"/>
        </w:trPr>
        <w:tc>
          <w:tcPr>
            <w:tcW w:w="3261" w:type="dxa"/>
          </w:tcPr>
          <w:p w14:paraId="1C968C3B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No access to Planning Inspectorate draft documents review service.</w:t>
            </w:r>
          </w:p>
        </w:tc>
        <w:tc>
          <w:tcPr>
            <w:tcW w:w="3261" w:type="dxa"/>
          </w:tcPr>
          <w:p w14:paraId="568E7691" w14:textId="77777777" w:rsidR="00960680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F16DDE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Standard draft documents review service available to applicants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  <w:p w14:paraId="32678F4A" w14:textId="699E8767" w:rsidR="00960680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2E61D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Documents included in</w:t>
            </w:r>
            <w:r w:rsidR="006707EA" w:rsidRPr="002E61D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the</w:t>
            </w:r>
            <w:r w:rsidRPr="002E61D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standard tier review service</w:t>
            </w:r>
            <w:r w:rsidR="002E61D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are set out </w:t>
            </w:r>
            <w:r w:rsidR="00261FA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under the ‘Review of draft documents’ heading</w:t>
            </w:r>
            <w:r w:rsidR="002E61D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 w:rsidR="00261FA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in</w:t>
            </w:r>
            <w:r w:rsidR="002E61D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this </w:t>
            </w:r>
            <w:r w:rsidR="00A761D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2E61D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rospectus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  <w:p w14:paraId="49F0D1F7" w14:textId="39CC3D6C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Examining Inspectors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support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review of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raft DCO</w:t>
            </w:r>
            <w:r w:rsidR="00C7259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,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 w:rsidR="00C7259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xplanatory </w:t>
            </w:r>
            <w:r w:rsidR="00C7259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m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emorandum</w:t>
            </w:r>
            <w:r w:rsidR="00C7259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and </w:t>
            </w:r>
            <w:r w:rsidR="000324C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draft </w:t>
            </w:r>
            <w:r w:rsidR="00C7259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planning statement</w:t>
            </w:r>
            <w:r w:rsidR="000324C4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</w:tc>
        <w:tc>
          <w:tcPr>
            <w:tcW w:w="3402" w:type="dxa"/>
          </w:tcPr>
          <w:p w14:paraId="36B3C088" w14:textId="724569D6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</w:rPr>
            </w:pPr>
            <w:r w:rsidRPr="00F16DDE">
              <w:rPr>
                <w:rFonts w:ascii="Arial" w:eastAsiaTheme="majorEastAsia" w:hAnsi="Arial" w:cstheme="majorBidi"/>
                <w:color w:val="000000" w:themeColor="text1"/>
              </w:rPr>
              <w:t>Enhanced draft documents review service available to applicants</w:t>
            </w:r>
            <w:r w:rsidRPr="189AFA9F">
              <w:rPr>
                <w:rFonts w:ascii="Arial" w:eastAsiaTheme="majorEastAsia" w:hAnsi="Arial" w:cstheme="majorBidi"/>
                <w:color w:val="000000" w:themeColor="text1"/>
              </w:rPr>
              <w:t xml:space="preserve">, which may consider </w:t>
            </w:r>
            <w:r>
              <w:rPr>
                <w:rFonts w:ascii="Arial" w:eastAsiaTheme="majorEastAsia" w:hAnsi="Arial" w:cstheme="majorBidi"/>
                <w:color w:val="000000" w:themeColor="text1"/>
              </w:rPr>
              <w:t>more than one</w:t>
            </w:r>
            <w:r w:rsidRPr="189AFA9F">
              <w:rPr>
                <w:rFonts w:ascii="Arial" w:eastAsiaTheme="majorEastAsia" w:hAnsi="Arial" w:cstheme="majorBidi"/>
                <w:color w:val="000000" w:themeColor="text1"/>
              </w:rPr>
              <w:t xml:space="preserve"> draft iteration of documents over time, as agreed in</w:t>
            </w:r>
            <w:r>
              <w:rPr>
                <w:rFonts w:ascii="Arial" w:eastAsiaTheme="majorEastAsia" w:hAnsi="Arial" w:cstheme="majorBidi"/>
                <w:color w:val="000000" w:themeColor="text1"/>
              </w:rPr>
              <w:t xml:space="preserve"> the pre-application</w:t>
            </w:r>
            <w:r w:rsidRPr="189AFA9F">
              <w:rPr>
                <w:rFonts w:ascii="Arial" w:eastAsiaTheme="majorEastAsia" w:hAnsi="Arial" w:cstheme="majorBidi"/>
                <w:color w:val="000000" w:themeColor="text1"/>
              </w:rPr>
              <w:t xml:space="preserve"> </w:t>
            </w:r>
            <w:r w:rsidR="000324C4">
              <w:rPr>
                <w:rFonts w:ascii="Arial" w:eastAsiaTheme="majorEastAsia" w:hAnsi="Arial" w:cstheme="majorBidi"/>
                <w:color w:val="000000" w:themeColor="text1"/>
              </w:rPr>
              <w:t>p</w:t>
            </w:r>
            <w:r w:rsidRPr="189AFA9F">
              <w:rPr>
                <w:rFonts w:ascii="Arial" w:eastAsiaTheme="majorEastAsia" w:hAnsi="Arial" w:cstheme="majorBidi"/>
                <w:color w:val="000000" w:themeColor="text1"/>
              </w:rPr>
              <w:t xml:space="preserve">rogramme </w:t>
            </w:r>
            <w:r w:rsidR="000324C4">
              <w:rPr>
                <w:rFonts w:ascii="Arial" w:eastAsiaTheme="majorEastAsia" w:hAnsi="Arial" w:cstheme="majorBidi"/>
                <w:color w:val="000000" w:themeColor="text1"/>
              </w:rPr>
              <w:t>d</w:t>
            </w:r>
            <w:r>
              <w:rPr>
                <w:rFonts w:ascii="Arial" w:eastAsiaTheme="majorEastAsia" w:hAnsi="Arial" w:cstheme="majorBidi"/>
                <w:color w:val="000000" w:themeColor="text1"/>
              </w:rPr>
              <w:t>ocument</w:t>
            </w:r>
            <w:r w:rsidRPr="189AFA9F">
              <w:rPr>
                <w:rFonts w:ascii="Arial" w:eastAsiaTheme="majorEastAsia" w:hAnsi="Arial" w:cstheme="majorBidi"/>
                <w:color w:val="000000" w:themeColor="text1"/>
              </w:rPr>
              <w:t>, including:</w:t>
            </w:r>
          </w:p>
          <w:p w14:paraId="28EDE60B" w14:textId="6BFA39CA" w:rsidR="00960680" w:rsidRPr="00D25D5D" w:rsidRDefault="000324C4" w:rsidP="00960680">
            <w:pPr>
              <w:numPr>
                <w:ilvl w:val="0"/>
                <w:numId w:val="2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ocuments reviewable under standard </w:t>
            </w:r>
            <w:r w:rsidR="00960680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tier</w:t>
            </w:r>
          </w:p>
          <w:p w14:paraId="499EF628" w14:textId="7987EEBE" w:rsidR="00960680" w:rsidRPr="00D25D5D" w:rsidRDefault="000324C4" w:rsidP="00960680">
            <w:pPr>
              <w:numPr>
                <w:ilvl w:val="0"/>
                <w:numId w:val="2"/>
              </w:num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</w:t>
            </w:r>
            <w:r w:rsidR="00960680"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ocuments associated with supportable components listed above</w:t>
            </w:r>
          </w:p>
          <w:p w14:paraId="72564547" w14:textId="6EDEF2AB" w:rsidR="00960680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FD023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Documents included in enhanced tier review service</w:t>
            </w:r>
            <w:r w:rsidR="00FD023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</w:t>
            </w:r>
            <w:r w:rsidR="00261FA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are set out under the ‘Review of draft documents’ heading in this </w:t>
            </w:r>
            <w:r w:rsidR="003058A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p</w:t>
            </w:r>
            <w:r w:rsidR="00261FA6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rospectus.</w:t>
            </w:r>
          </w:p>
          <w:p w14:paraId="72ACB272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lastRenderedPageBreak/>
              <w:t xml:space="preserve">Examining Inspectors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available to support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review of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all 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draft documents.</w:t>
            </w:r>
          </w:p>
        </w:tc>
      </w:tr>
      <w:tr w:rsidR="00960680" w:rsidRPr="006A04DE" w14:paraId="21479F73" w14:textId="77777777" w:rsidTr="00DE0EC9">
        <w:tc>
          <w:tcPr>
            <w:tcW w:w="9924" w:type="dxa"/>
            <w:gridSpan w:val="3"/>
            <w:shd w:val="clear" w:color="auto" w:fill="D9D9D9" w:themeFill="background1" w:themeFillShade="D9"/>
          </w:tcPr>
          <w:p w14:paraId="40F8BBC1" w14:textId="77777777" w:rsidR="00960680" w:rsidRPr="006A04DE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 w:rsidRPr="006A04DE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lastRenderedPageBreak/>
              <w:t>Acceptance</w:t>
            </w:r>
            <w:r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 xml:space="preserve"> and post-submission</w:t>
            </w:r>
            <w:r w:rsidRPr="006A04DE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 xml:space="preserve"> risk</w:t>
            </w:r>
          </w:p>
        </w:tc>
      </w:tr>
      <w:tr w:rsidR="00960680" w:rsidRPr="00D25D5D" w14:paraId="2FDBC300" w14:textId="77777777" w:rsidTr="00DE0EC9">
        <w:tc>
          <w:tcPr>
            <w:tcW w:w="3261" w:type="dxa"/>
          </w:tcPr>
          <w:p w14:paraId="53BCCB6E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isk review at outset, in conjunction with decision to proceed with basic tier offer.</w:t>
            </w:r>
          </w:p>
        </w:tc>
        <w:tc>
          <w:tcPr>
            <w:tcW w:w="3261" w:type="dxa"/>
          </w:tcPr>
          <w:p w14:paraId="0CD50DD6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Iterative risk review at key milestones.</w:t>
            </w:r>
          </w:p>
        </w:tc>
        <w:tc>
          <w:tcPr>
            <w:tcW w:w="3402" w:type="dxa"/>
          </w:tcPr>
          <w:p w14:paraId="64807A2B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Iterative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risk review, including affected statutory 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bodies and local authorities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</w:tc>
      </w:tr>
      <w:tr w:rsidR="00960680" w:rsidRPr="007C0CD0" w14:paraId="255A87BF" w14:textId="77777777" w:rsidTr="00DE0EC9">
        <w:tc>
          <w:tcPr>
            <w:tcW w:w="9924" w:type="dxa"/>
            <w:gridSpan w:val="3"/>
            <w:shd w:val="clear" w:color="auto" w:fill="D9D9D9" w:themeFill="background1" w:themeFillShade="D9"/>
          </w:tcPr>
          <w:p w14:paraId="1CD4A8C0" w14:textId="77777777" w:rsidR="00960680" w:rsidRPr="007C0CD0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 w:rsidRPr="007C0CD0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Additional features</w:t>
            </w:r>
          </w:p>
        </w:tc>
      </w:tr>
      <w:tr w:rsidR="00960680" w:rsidRPr="00D25D5D" w14:paraId="1FA45360" w14:textId="77777777" w:rsidTr="00DE0EC9">
        <w:tc>
          <w:tcPr>
            <w:tcW w:w="6522" w:type="dxa"/>
            <w:gridSpan w:val="2"/>
            <w:shd w:val="clear" w:color="auto" w:fill="F2F2F2" w:themeFill="background1" w:themeFillShade="F2"/>
          </w:tcPr>
          <w:p w14:paraId="1D16747E" w14:textId="77777777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</w:p>
        </w:tc>
        <w:tc>
          <w:tcPr>
            <w:tcW w:w="3402" w:type="dxa"/>
          </w:tcPr>
          <w:p w14:paraId="017FD1E8" w14:textId="13277692" w:rsidR="00960680" w:rsidRPr="00D25D5D" w:rsidRDefault="00960680" w:rsidP="00DE0EC9">
            <w:pPr>
              <w:spacing w:before="120" w:after="120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For applications seeking a </w:t>
            </w:r>
            <w:r w:rsidR="003058A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f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ast</w:t>
            </w:r>
            <w:r w:rsidR="003058A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-t</w:t>
            </w: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rack procedure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, </w:t>
            </w:r>
            <w:r w:rsidRPr="00726F88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support from the Planning Inspectorate to prepare an application that </w:t>
            </w:r>
            <w:proofErr w:type="gramStart"/>
            <w:r w:rsidRPr="00726F88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is capable of satisfying</w:t>
            </w:r>
            <w:proofErr w:type="gramEnd"/>
            <w:r w:rsidRPr="00726F88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 the </w:t>
            </w:r>
            <w:r w:rsidR="003058A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q</w:t>
            </w:r>
            <w:r w:rsidRPr="00726F88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uality </w:t>
            </w:r>
            <w:r w:rsidR="003058AA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s</w:t>
            </w:r>
            <w:r w:rsidRPr="00726F88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tandard established in government guidance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</w:tc>
      </w:tr>
      <w:tr w:rsidR="00960680" w:rsidRPr="00D25D5D" w14:paraId="1338F811" w14:textId="77777777" w:rsidTr="00DE0EC9">
        <w:tc>
          <w:tcPr>
            <w:tcW w:w="9924" w:type="dxa"/>
            <w:gridSpan w:val="3"/>
            <w:shd w:val="clear" w:color="auto" w:fill="D9D9D9" w:themeFill="background1" w:themeFillShade="D9"/>
          </w:tcPr>
          <w:p w14:paraId="7E1F5626" w14:textId="77777777" w:rsidR="00960680" w:rsidRPr="00D25D5D" w:rsidRDefault="00960680" w:rsidP="00DE0EC9">
            <w:pPr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</w:pPr>
            <w:r w:rsidRPr="00D25D5D"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 xml:space="preserve">Applicant </w:t>
            </w:r>
            <w:r>
              <w:rPr>
                <w:rFonts w:ascii="Arial" w:eastAsiaTheme="majorEastAsia" w:hAnsi="Arial" w:cstheme="majorBidi"/>
                <w:b/>
                <w:bCs/>
                <w:color w:val="000000" w:themeColor="text1"/>
                <w:szCs w:val="26"/>
              </w:rPr>
              <w:t>requirements</w:t>
            </w:r>
          </w:p>
        </w:tc>
      </w:tr>
      <w:tr w:rsidR="00960680" w:rsidRPr="00D25D5D" w14:paraId="60CE3F7F" w14:textId="77777777" w:rsidTr="00DE0EC9">
        <w:tc>
          <w:tcPr>
            <w:tcW w:w="9924" w:type="dxa"/>
            <w:gridSpan w:val="3"/>
          </w:tcPr>
          <w:p w14:paraId="0B91509D" w14:textId="77777777" w:rsidR="00960680" w:rsidRPr="00D25D5D" w:rsidRDefault="00960680" w:rsidP="00DE0EC9">
            <w:pPr>
              <w:tabs>
                <w:tab w:val="left" w:pos="1800"/>
              </w:tabs>
              <w:spacing w:before="120" w:after="120"/>
              <w:jc w:val="center"/>
              <w:outlineLvl w:val="1"/>
              <w:rPr>
                <w:rFonts w:ascii="Arial" w:eastAsiaTheme="majorEastAsia" w:hAnsi="Arial" w:cstheme="majorBidi"/>
                <w:color w:val="000000" w:themeColor="text1"/>
                <w:szCs w:val="26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6"/>
              </w:rPr>
              <w:t xml:space="preserve">Proactive and thorough engagement in </w:t>
            </w:r>
            <w:r w:rsidRPr="006F03C3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five primary service features</w:t>
            </w:r>
            <w:r w:rsidRPr="00D25D5D">
              <w:rPr>
                <w:rFonts w:ascii="Arial" w:eastAsiaTheme="majorEastAsia" w:hAnsi="Arial" w:cstheme="majorBidi"/>
                <w:color w:val="000000" w:themeColor="text1"/>
                <w:szCs w:val="26"/>
              </w:rPr>
              <w:t>.</w:t>
            </w:r>
          </w:p>
        </w:tc>
      </w:tr>
    </w:tbl>
    <w:p w14:paraId="35AEE4DC" w14:textId="5864C276" w:rsidR="00050B2E" w:rsidRDefault="00050B2E" w:rsidP="0063336F"/>
    <w:sectPr w:rsidR="00050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A31"/>
    <w:multiLevelType w:val="hybridMultilevel"/>
    <w:tmpl w:val="D38896BA"/>
    <w:lvl w:ilvl="0" w:tplc="E1946734">
      <w:start w:val="51"/>
      <w:numFmt w:val="bullet"/>
      <w:lvlText w:val="-"/>
      <w:lvlJc w:val="left"/>
      <w:pPr>
        <w:ind w:left="780" w:hanging="360"/>
      </w:pPr>
      <w:rPr>
        <w:rFonts w:ascii="Arial" w:eastAsiaTheme="maj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746F06"/>
    <w:multiLevelType w:val="hybridMultilevel"/>
    <w:tmpl w:val="8612D2FC"/>
    <w:lvl w:ilvl="0" w:tplc="E1946734">
      <w:start w:val="5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3954"/>
    <w:multiLevelType w:val="hybridMultilevel"/>
    <w:tmpl w:val="0D082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5ECB"/>
    <w:multiLevelType w:val="hybridMultilevel"/>
    <w:tmpl w:val="B27248C6"/>
    <w:lvl w:ilvl="0" w:tplc="E1946734">
      <w:start w:val="51"/>
      <w:numFmt w:val="bullet"/>
      <w:lvlText w:val="-"/>
      <w:lvlJc w:val="left"/>
      <w:pPr>
        <w:ind w:left="180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E77F82"/>
    <w:multiLevelType w:val="hybridMultilevel"/>
    <w:tmpl w:val="D57C7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D1DFC"/>
    <w:multiLevelType w:val="hybridMultilevel"/>
    <w:tmpl w:val="931E7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C5C27"/>
    <w:multiLevelType w:val="hybridMultilevel"/>
    <w:tmpl w:val="2C60C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61D9D"/>
    <w:multiLevelType w:val="hybridMultilevel"/>
    <w:tmpl w:val="C732847A"/>
    <w:lvl w:ilvl="0" w:tplc="E1946734">
      <w:start w:val="5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A3965"/>
    <w:multiLevelType w:val="hybridMultilevel"/>
    <w:tmpl w:val="2C4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2646F"/>
    <w:multiLevelType w:val="hybridMultilevel"/>
    <w:tmpl w:val="9598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244BB"/>
    <w:multiLevelType w:val="hybridMultilevel"/>
    <w:tmpl w:val="F3080B90"/>
    <w:lvl w:ilvl="0" w:tplc="E1946734">
      <w:start w:val="5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37FBA"/>
    <w:multiLevelType w:val="hybridMultilevel"/>
    <w:tmpl w:val="AF4A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33B82"/>
    <w:multiLevelType w:val="hybridMultilevel"/>
    <w:tmpl w:val="5C6E7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4433B"/>
    <w:multiLevelType w:val="hybridMultilevel"/>
    <w:tmpl w:val="074C5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D5894"/>
    <w:multiLevelType w:val="hybridMultilevel"/>
    <w:tmpl w:val="2FC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D5A2F"/>
    <w:multiLevelType w:val="hybridMultilevel"/>
    <w:tmpl w:val="C8FE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F6525"/>
    <w:multiLevelType w:val="hybridMultilevel"/>
    <w:tmpl w:val="88E2B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71077"/>
    <w:multiLevelType w:val="hybridMultilevel"/>
    <w:tmpl w:val="ACA6CD5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6B026B5B"/>
    <w:multiLevelType w:val="hybridMultilevel"/>
    <w:tmpl w:val="C51A343C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6CAC58AD"/>
    <w:multiLevelType w:val="hybridMultilevel"/>
    <w:tmpl w:val="7362084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38746B3"/>
    <w:multiLevelType w:val="hybridMultilevel"/>
    <w:tmpl w:val="E01E7560"/>
    <w:lvl w:ilvl="0" w:tplc="E1946734">
      <w:start w:val="5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E322C"/>
    <w:multiLevelType w:val="hybridMultilevel"/>
    <w:tmpl w:val="DC1E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8564C"/>
    <w:multiLevelType w:val="hybridMultilevel"/>
    <w:tmpl w:val="CDFE07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7660061">
    <w:abstractNumId w:val="6"/>
  </w:num>
  <w:num w:numId="2" w16cid:durableId="227619901">
    <w:abstractNumId w:val="13"/>
  </w:num>
  <w:num w:numId="3" w16cid:durableId="1348605933">
    <w:abstractNumId w:val="9"/>
  </w:num>
  <w:num w:numId="4" w16cid:durableId="430320761">
    <w:abstractNumId w:val="19"/>
  </w:num>
  <w:num w:numId="5" w16cid:durableId="1629896026">
    <w:abstractNumId w:val="11"/>
  </w:num>
  <w:num w:numId="6" w16cid:durableId="664356857">
    <w:abstractNumId w:val="18"/>
  </w:num>
  <w:num w:numId="7" w16cid:durableId="238372536">
    <w:abstractNumId w:val="17"/>
  </w:num>
  <w:num w:numId="8" w16cid:durableId="900946148">
    <w:abstractNumId w:val="16"/>
  </w:num>
  <w:num w:numId="9" w16cid:durableId="1770083119">
    <w:abstractNumId w:val="3"/>
  </w:num>
  <w:num w:numId="10" w16cid:durableId="1432582329">
    <w:abstractNumId w:val="5"/>
  </w:num>
  <w:num w:numId="11" w16cid:durableId="410155507">
    <w:abstractNumId w:val="1"/>
  </w:num>
  <w:num w:numId="12" w16cid:durableId="1559778127">
    <w:abstractNumId w:val="10"/>
  </w:num>
  <w:num w:numId="13" w16cid:durableId="63531272">
    <w:abstractNumId w:val="0"/>
  </w:num>
  <w:num w:numId="14" w16cid:durableId="1407530131">
    <w:abstractNumId w:val="4"/>
  </w:num>
  <w:num w:numId="15" w16cid:durableId="1307466009">
    <w:abstractNumId w:val="12"/>
  </w:num>
  <w:num w:numId="16" w16cid:durableId="820928547">
    <w:abstractNumId w:val="21"/>
  </w:num>
  <w:num w:numId="17" w16cid:durableId="1961718981">
    <w:abstractNumId w:val="20"/>
  </w:num>
  <w:num w:numId="18" w16cid:durableId="1796673509">
    <w:abstractNumId w:val="22"/>
  </w:num>
  <w:num w:numId="19" w16cid:durableId="1747337278">
    <w:abstractNumId w:val="14"/>
  </w:num>
  <w:num w:numId="20" w16cid:durableId="1942519590">
    <w:abstractNumId w:val="8"/>
  </w:num>
  <w:num w:numId="21" w16cid:durableId="1495873011">
    <w:abstractNumId w:val="7"/>
  </w:num>
  <w:num w:numId="22" w16cid:durableId="706413995">
    <w:abstractNumId w:val="2"/>
  </w:num>
  <w:num w:numId="23" w16cid:durableId="1418166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80"/>
    <w:rsid w:val="00010198"/>
    <w:rsid w:val="00027DE9"/>
    <w:rsid w:val="000324C4"/>
    <w:rsid w:val="00040BBF"/>
    <w:rsid w:val="00050B2E"/>
    <w:rsid w:val="00071856"/>
    <w:rsid w:val="000B18E3"/>
    <w:rsid w:val="000B2417"/>
    <w:rsid w:val="00111926"/>
    <w:rsid w:val="00112F9C"/>
    <w:rsid w:val="00124F88"/>
    <w:rsid w:val="0015465B"/>
    <w:rsid w:val="00192B94"/>
    <w:rsid w:val="00197A55"/>
    <w:rsid w:val="001A205A"/>
    <w:rsid w:val="001A574C"/>
    <w:rsid w:val="001A5A28"/>
    <w:rsid w:val="001C7EB8"/>
    <w:rsid w:val="0024686E"/>
    <w:rsid w:val="00261FA6"/>
    <w:rsid w:val="002620DE"/>
    <w:rsid w:val="00285F58"/>
    <w:rsid w:val="00294FE0"/>
    <w:rsid w:val="002B0A97"/>
    <w:rsid w:val="002D0305"/>
    <w:rsid w:val="002E61DA"/>
    <w:rsid w:val="003058AA"/>
    <w:rsid w:val="00346132"/>
    <w:rsid w:val="0037190B"/>
    <w:rsid w:val="00386F32"/>
    <w:rsid w:val="003A36F1"/>
    <w:rsid w:val="003D5F20"/>
    <w:rsid w:val="003E0D7B"/>
    <w:rsid w:val="003E5739"/>
    <w:rsid w:val="003E6D49"/>
    <w:rsid w:val="00427844"/>
    <w:rsid w:val="00441C05"/>
    <w:rsid w:val="004456A4"/>
    <w:rsid w:val="00453D5D"/>
    <w:rsid w:val="0047206D"/>
    <w:rsid w:val="00476B89"/>
    <w:rsid w:val="00495CA1"/>
    <w:rsid w:val="004C5A59"/>
    <w:rsid w:val="004D0F71"/>
    <w:rsid w:val="004D518F"/>
    <w:rsid w:val="00505AE3"/>
    <w:rsid w:val="00532028"/>
    <w:rsid w:val="00532221"/>
    <w:rsid w:val="00532FD0"/>
    <w:rsid w:val="005A0C2E"/>
    <w:rsid w:val="005B1B4A"/>
    <w:rsid w:val="005F1068"/>
    <w:rsid w:val="00613E35"/>
    <w:rsid w:val="00623DC6"/>
    <w:rsid w:val="0063336F"/>
    <w:rsid w:val="00635182"/>
    <w:rsid w:val="00644081"/>
    <w:rsid w:val="0065598B"/>
    <w:rsid w:val="00660C31"/>
    <w:rsid w:val="00670796"/>
    <w:rsid w:val="006707EA"/>
    <w:rsid w:val="00671BD7"/>
    <w:rsid w:val="00687579"/>
    <w:rsid w:val="006C2056"/>
    <w:rsid w:val="006F03C3"/>
    <w:rsid w:val="007103E1"/>
    <w:rsid w:val="0078285D"/>
    <w:rsid w:val="007A1217"/>
    <w:rsid w:val="007A27CC"/>
    <w:rsid w:val="007C5338"/>
    <w:rsid w:val="007E1EB3"/>
    <w:rsid w:val="007F6993"/>
    <w:rsid w:val="00802EBB"/>
    <w:rsid w:val="0083154E"/>
    <w:rsid w:val="00890284"/>
    <w:rsid w:val="008A6105"/>
    <w:rsid w:val="008C72AB"/>
    <w:rsid w:val="008D3F27"/>
    <w:rsid w:val="008E6329"/>
    <w:rsid w:val="009438D7"/>
    <w:rsid w:val="0094580A"/>
    <w:rsid w:val="00955945"/>
    <w:rsid w:val="00960680"/>
    <w:rsid w:val="009746F6"/>
    <w:rsid w:val="009D1354"/>
    <w:rsid w:val="009E3031"/>
    <w:rsid w:val="009E35CA"/>
    <w:rsid w:val="00A3298C"/>
    <w:rsid w:val="00A62E11"/>
    <w:rsid w:val="00A67B07"/>
    <w:rsid w:val="00A705F1"/>
    <w:rsid w:val="00A761DA"/>
    <w:rsid w:val="00A815D8"/>
    <w:rsid w:val="00AE17FE"/>
    <w:rsid w:val="00AF617D"/>
    <w:rsid w:val="00AF7D43"/>
    <w:rsid w:val="00B13919"/>
    <w:rsid w:val="00B5694F"/>
    <w:rsid w:val="00B6196A"/>
    <w:rsid w:val="00B650F0"/>
    <w:rsid w:val="00B6630C"/>
    <w:rsid w:val="00B7334A"/>
    <w:rsid w:val="00BB3DB1"/>
    <w:rsid w:val="00BC0833"/>
    <w:rsid w:val="00BD5A9E"/>
    <w:rsid w:val="00C47718"/>
    <w:rsid w:val="00C51255"/>
    <w:rsid w:val="00C567D0"/>
    <w:rsid w:val="00C72596"/>
    <w:rsid w:val="00D13DF1"/>
    <w:rsid w:val="00D268CC"/>
    <w:rsid w:val="00D60288"/>
    <w:rsid w:val="00D71893"/>
    <w:rsid w:val="00E10962"/>
    <w:rsid w:val="00E4086B"/>
    <w:rsid w:val="00E56260"/>
    <w:rsid w:val="00EF34D0"/>
    <w:rsid w:val="00F1418E"/>
    <w:rsid w:val="00F33244"/>
    <w:rsid w:val="00F608FC"/>
    <w:rsid w:val="00FB4088"/>
    <w:rsid w:val="00FD0236"/>
    <w:rsid w:val="00F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6998"/>
  <w15:chartTrackingRefBased/>
  <w15:docId w15:val="{C0E99171-E578-459C-8FA4-877D7A42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7D"/>
  </w:style>
  <w:style w:type="paragraph" w:styleId="Heading2">
    <w:name w:val="heading 2"/>
    <w:basedOn w:val="Normal"/>
    <w:link w:val="Heading2Char"/>
    <w:uiPriority w:val="9"/>
    <w:unhideWhenUsed/>
    <w:qFormat/>
    <w:rsid w:val="00960680"/>
    <w:pPr>
      <w:tabs>
        <w:tab w:val="num" w:pos="360"/>
      </w:tabs>
      <w:spacing w:before="120" w:after="120" w:line="240" w:lineRule="auto"/>
      <w:outlineLvl w:val="1"/>
    </w:pPr>
    <w:rPr>
      <w:rFonts w:ascii="Arial" w:eastAsiaTheme="majorEastAsia" w:hAnsi="Arial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60680"/>
    <w:rPr>
      <w:rFonts w:ascii="Arial" w:eastAsiaTheme="majorEastAsia" w:hAnsi="Arial" w:cstheme="majorBidi"/>
      <w:color w:val="000000" w:themeColor="text1"/>
      <w:szCs w:val="26"/>
    </w:rPr>
  </w:style>
  <w:style w:type="paragraph" w:styleId="Revision">
    <w:name w:val="Revision"/>
    <w:hidden/>
    <w:uiPriority w:val="99"/>
    <w:semiHidden/>
    <w:rsid w:val="00505A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4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6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8D98048EFD64CBC45B31154C264D6" ma:contentTypeVersion="16" ma:contentTypeDescription="Create a new document." ma:contentTypeScope="" ma:versionID="0fd87dabb2e4046f445042ffcdc5f2c4">
  <xsd:schema xmlns:xsd="http://www.w3.org/2001/XMLSchema" xmlns:xs="http://www.w3.org/2001/XMLSchema" xmlns:p="http://schemas.microsoft.com/office/2006/metadata/properties" xmlns:ns2="fd38cacb-3859-4d96-9ab8-18305f20caef" xmlns:ns3="5a4fe22f-4d5c-4e56-84b9-7cd8e747e192" targetNamespace="http://schemas.microsoft.com/office/2006/metadata/properties" ma:root="true" ma:fieldsID="ecea9c02e1c37a5b272315a918658e38" ns2:_="" ns3:_="">
    <xsd:import namespace="fd38cacb-3859-4d96-9ab8-18305f20caef"/>
    <xsd:import namespace="5a4fe22f-4d5c-4e56-84b9-7cd8e747e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8cacb-3859-4d96-9ab8-18305f20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e22f-4d5c-4e56-84b9-7cd8e747e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7034ab-35d7-43ed-822b-f550d09dc355}" ma:internalName="TaxCatchAll" ma:showField="CatchAllData" ma:web="5a4fe22f-4d5c-4e56-84b9-7cd8e747e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fe22f-4d5c-4e56-84b9-7cd8e747e192" xsi:nil="true"/>
    <lcf76f155ced4ddcb4097134ff3c332f xmlns="fd38cacb-3859-4d96-9ab8-18305f20c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3A8BF8-491A-42A9-AEDF-EAAC6EBAC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DA939-A927-4A87-A463-E8C50B843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8cacb-3859-4d96-9ab8-18305f20caef"/>
    <ds:schemaRef ds:uri="5a4fe22f-4d5c-4e56-84b9-7cd8e747e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510AC-AB06-4B64-9119-FD5B74828C4D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a4fe22f-4d5c-4e56-84b9-7cd8e747e192"/>
    <ds:schemaRef ds:uri="fd38cacb-3859-4d96-9ab8-18305f20ca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Richard</dc:creator>
  <cp:keywords/>
  <dc:description/>
  <cp:lastModifiedBy>Price, Richard</cp:lastModifiedBy>
  <cp:revision>2</cp:revision>
  <dcterms:created xsi:type="dcterms:W3CDTF">2025-10-21T11:10:00Z</dcterms:created>
  <dcterms:modified xsi:type="dcterms:W3CDTF">2025-10-21T11:10:00Z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0x010100E998D98048EFD64CBC45B31154C264D6</vt:lpwstr>
  </property>
  <property fmtid="{D5CDD505-2E9C-101B-9397-08002B2CF9AE}" pid="3" name="MediaServiceImageTags">
    <vt:lpwstr/>
  </property>
</Properties>
</file>