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1E58" w14:textId="77777777" w:rsidR="00CD2AE8" w:rsidRDefault="00CD2AE8" w:rsidP="00CD2AE8">
      <w:pPr>
        <w:spacing w:before="100" w:beforeAutospacing="1" w:after="100" w:afterAutospacing="1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6"/>
          <w:sz w:val="36"/>
          <w:szCs w:val="36"/>
          <w:lang w:val="en" w:eastAsia="en-GB"/>
        </w:rPr>
      </w:pPr>
    </w:p>
    <w:p w14:paraId="43DF9D83" w14:textId="77777777" w:rsidR="00CD2AE8" w:rsidRDefault="00CD2AE8" w:rsidP="00CD2AE8">
      <w:pPr>
        <w:spacing w:before="100" w:beforeAutospacing="1" w:after="100" w:afterAutospacing="1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6"/>
          <w:sz w:val="36"/>
          <w:szCs w:val="36"/>
          <w:lang w:val="en" w:eastAsia="en-GB"/>
        </w:rPr>
      </w:pPr>
    </w:p>
    <w:p w14:paraId="4D791831" w14:textId="77777777" w:rsidR="00CD2AE8" w:rsidRDefault="00CD2AE8" w:rsidP="00CD2AE8">
      <w:pPr>
        <w:spacing w:before="100" w:beforeAutospacing="1" w:after="100" w:afterAutospacing="1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6"/>
          <w:sz w:val="36"/>
          <w:szCs w:val="36"/>
          <w:lang w:val="en" w:eastAsia="en-GB"/>
        </w:rPr>
      </w:pPr>
    </w:p>
    <w:p w14:paraId="1467806D" w14:textId="77777777" w:rsidR="00CD2AE8" w:rsidRDefault="00CD2AE8" w:rsidP="00CD2AE8">
      <w:pPr>
        <w:spacing w:before="100" w:beforeAutospacing="1" w:after="100" w:afterAutospacing="1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6"/>
          <w:sz w:val="36"/>
          <w:szCs w:val="36"/>
          <w:lang w:val="en" w:eastAsia="en-GB"/>
        </w:rPr>
      </w:pPr>
    </w:p>
    <w:p w14:paraId="3D4AFE18" w14:textId="39A1EF56" w:rsidR="006C5BF1" w:rsidRPr="00484611" w:rsidRDefault="00CD2AE8" w:rsidP="00CD2AE8">
      <w:pPr>
        <w:spacing w:before="100" w:beforeAutospacing="1" w:after="100" w:afterAutospacing="1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09123A"/>
          <w:kern w:val="36"/>
          <w:sz w:val="44"/>
          <w:szCs w:val="44"/>
          <w:lang w:val="en" w:eastAsia="en-GB"/>
        </w:rPr>
      </w:pPr>
      <w:r w:rsidRPr="00484611">
        <w:rPr>
          <w:rFonts w:ascii="Open Sans" w:eastAsia="Times New Roman" w:hAnsi="Open Sans" w:cs="Open Sans"/>
          <w:b/>
          <w:bCs/>
          <w:noProof/>
          <w:color w:val="09123A"/>
          <w:kern w:val="36"/>
          <w:sz w:val="32"/>
          <w:szCs w:val="32"/>
          <w:lang w:val="en" w:eastAsia="en-GB"/>
        </w:rPr>
        <w:drawing>
          <wp:anchor distT="0" distB="0" distL="114300" distR="114300" simplePos="0" relativeHeight="251658240" behindDoc="0" locked="0" layoutInCell="1" allowOverlap="1" wp14:anchorId="61029870" wp14:editId="61B68254">
            <wp:simplePos x="1121134" y="914400"/>
            <wp:positionH relativeFrom="margin">
              <wp:align>left</wp:align>
            </wp:positionH>
            <wp:positionV relativeFrom="margin">
              <wp:align>top</wp:align>
            </wp:positionV>
            <wp:extent cx="1628648" cy="1439186"/>
            <wp:effectExtent l="0" t="0" r="0" b="8890"/>
            <wp:wrapSquare wrapText="bothSides"/>
            <wp:docPr id="1944296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96255" name="Picture 19442962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648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B92" w:rsidRPr="00484611">
        <w:rPr>
          <w:rFonts w:ascii="Open Sans" w:eastAsia="Times New Roman" w:hAnsi="Open Sans" w:cs="Open Sans"/>
          <w:b/>
          <w:bCs/>
          <w:color w:val="09123A"/>
          <w:kern w:val="36"/>
          <w:sz w:val="32"/>
          <w:szCs w:val="32"/>
          <w:lang w:val="en" w:eastAsia="en-GB"/>
        </w:rPr>
        <w:t>IAA</w:t>
      </w:r>
      <w:r w:rsidR="006C5BF1" w:rsidRPr="00484611">
        <w:rPr>
          <w:rFonts w:ascii="Open Sans" w:eastAsia="Times New Roman" w:hAnsi="Open Sans" w:cs="Open Sans"/>
          <w:b/>
          <w:bCs/>
          <w:color w:val="09123A"/>
          <w:kern w:val="36"/>
          <w:sz w:val="32"/>
          <w:szCs w:val="32"/>
          <w:lang w:val="en" w:eastAsia="en-GB"/>
        </w:rPr>
        <w:t xml:space="preserve"> </w:t>
      </w:r>
      <w:r w:rsidR="008044DD" w:rsidRPr="00484611">
        <w:rPr>
          <w:rFonts w:ascii="Open Sans" w:eastAsia="Times New Roman" w:hAnsi="Open Sans" w:cs="Open Sans"/>
          <w:b/>
          <w:bCs/>
          <w:color w:val="09123A"/>
          <w:kern w:val="36"/>
          <w:sz w:val="32"/>
          <w:szCs w:val="32"/>
          <w:lang w:val="en" w:eastAsia="en-GB"/>
        </w:rPr>
        <w:t>r</w:t>
      </w:r>
      <w:r w:rsidR="006C5BF1" w:rsidRPr="00484611">
        <w:rPr>
          <w:rFonts w:ascii="Open Sans" w:eastAsia="Times New Roman" w:hAnsi="Open Sans" w:cs="Open Sans"/>
          <w:b/>
          <w:bCs/>
          <w:color w:val="09123A"/>
          <w:kern w:val="36"/>
          <w:sz w:val="32"/>
          <w:szCs w:val="32"/>
          <w:lang w:val="en" w:eastAsia="en-GB"/>
        </w:rPr>
        <w:t xml:space="preserve">egulation </w:t>
      </w:r>
      <w:r w:rsidR="003B6B92" w:rsidRPr="00484611">
        <w:rPr>
          <w:rFonts w:ascii="Open Sans" w:eastAsia="Times New Roman" w:hAnsi="Open Sans" w:cs="Open Sans"/>
          <w:b/>
          <w:bCs/>
          <w:color w:val="09123A"/>
          <w:kern w:val="36"/>
          <w:sz w:val="32"/>
          <w:szCs w:val="32"/>
          <w:lang w:val="en" w:eastAsia="en-GB"/>
        </w:rPr>
        <w:t>of University Law Clinics</w:t>
      </w:r>
    </w:p>
    <w:p w14:paraId="47F45BA2" w14:textId="64E1749C" w:rsidR="00CE50E4" w:rsidRPr="006D3C81" w:rsidRDefault="00CD2AE8" w:rsidP="005D0E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lang w:val="en" w:eastAsia="en-GB"/>
        </w:rPr>
      </w:pPr>
      <w:r>
        <w:rPr>
          <w:rFonts w:ascii="Open Sans" w:eastAsia="Times New Roman" w:hAnsi="Open Sans" w:cs="Open Sans"/>
          <w:b/>
          <w:bCs/>
          <w:lang w:val="en" w:eastAsia="en-GB"/>
        </w:rPr>
        <w:br/>
      </w:r>
      <w:r w:rsidR="00CE50E4" w:rsidRPr="00484611">
        <w:rPr>
          <w:rFonts w:ascii="Open Sans" w:eastAsia="Times New Roman" w:hAnsi="Open Sans" w:cs="Open Sans"/>
          <w:b/>
          <w:bCs/>
          <w:color w:val="09123A"/>
          <w:lang w:val="en" w:eastAsia="en-GB"/>
        </w:rPr>
        <w:t>Introduction</w:t>
      </w:r>
      <w:r w:rsidR="00CE50E4" w:rsidRPr="006D3C81">
        <w:rPr>
          <w:rFonts w:ascii="Open Sans" w:eastAsia="Times New Roman" w:hAnsi="Open Sans" w:cs="Open Sans"/>
          <w:b/>
          <w:bCs/>
          <w:lang w:val="en" w:eastAsia="en-GB"/>
        </w:rPr>
        <w:t xml:space="preserve"> </w:t>
      </w:r>
    </w:p>
    <w:p w14:paraId="027FDB5D" w14:textId="4473535B" w:rsidR="005121F8" w:rsidRDefault="00CE50E4" w:rsidP="005D0E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lang w:val="en" w:eastAsia="en-GB"/>
        </w:rPr>
      </w:pPr>
      <w:r>
        <w:rPr>
          <w:rFonts w:ascii="Open Sans" w:eastAsia="Times New Roman" w:hAnsi="Open Sans" w:cs="Open Sans"/>
          <w:lang w:val="en" w:eastAsia="en-GB"/>
        </w:rPr>
        <w:t xml:space="preserve">The Immigration Advice Authority (IAA) </w:t>
      </w:r>
      <w:r w:rsidR="00EC49E1">
        <w:rPr>
          <w:rFonts w:ascii="Open Sans" w:eastAsia="Times New Roman" w:hAnsi="Open Sans" w:cs="Open Sans"/>
          <w:lang w:val="en" w:eastAsia="en-GB"/>
        </w:rPr>
        <w:t xml:space="preserve">remains keen to support the work of University Law Clinics in providing high quality immigration advice </w:t>
      </w:r>
      <w:r w:rsidR="009C0907">
        <w:rPr>
          <w:rFonts w:ascii="Open Sans" w:eastAsia="Times New Roman" w:hAnsi="Open Sans" w:cs="Open Sans"/>
          <w:lang w:val="en" w:eastAsia="en-GB"/>
        </w:rPr>
        <w:t xml:space="preserve">while supporting </w:t>
      </w:r>
      <w:r w:rsidR="00944A35">
        <w:rPr>
          <w:rFonts w:ascii="Open Sans" w:eastAsia="Times New Roman" w:hAnsi="Open Sans" w:cs="Open Sans"/>
          <w:lang w:val="en" w:eastAsia="en-GB"/>
        </w:rPr>
        <w:t xml:space="preserve">law </w:t>
      </w:r>
      <w:r w:rsidR="009C0907">
        <w:rPr>
          <w:rFonts w:ascii="Open Sans" w:eastAsia="Times New Roman" w:hAnsi="Open Sans" w:cs="Open Sans"/>
          <w:lang w:val="en" w:eastAsia="en-GB"/>
        </w:rPr>
        <w:t xml:space="preserve">students </w:t>
      </w:r>
      <w:r w:rsidR="00905B1E">
        <w:rPr>
          <w:rFonts w:ascii="Open Sans" w:eastAsia="Times New Roman" w:hAnsi="Open Sans" w:cs="Open Sans"/>
          <w:lang w:val="en" w:eastAsia="en-GB"/>
        </w:rPr>
        <w:t xml:space="preserve">to gain valuable experience </w:t>
      </w:r>
      <w:r w:rsidR="009C0907">
        <w:rPr>
          <w:rFonts w:ascii="Open Sans" w:eastAsia="Times New Roman" w:hAnsi="Open Sans" w:cs="Open Sans"/>
          <w:lang w:val="en" w:eastAsia="en-GB"/>
        </w:rPr>
        <w:t xml:space="preserve">under close supervision. </w:t>
      </w:r>
      <w:r>
        <w:rPr>
          <w:rFonts w:ascii="Open Sans" w:eastAsia="Times New Roman" w:hAnsi="Open Sans" w:cs="Open Sans"/>
          <w:lang w:val="en" w:eastAsia="en-GB"/>
        </w:rPr>
        <w:t xml:space="preserve"> </w:t>
      </w:r>
    </w:p>
    <w:p w14:paraId="7685ABF6" w14:textId="25A4BBE3" w:rsidR="00CE50E4" w:rsidRPr="006D3C81" w:rsidRDefault="00586584" w:rsidP="005D0EF6">
      <w:pPr>
        <w:spacing w:before="100" w:beforeAutospacing="1" w:after="100" w:afterAutospacing="1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This guidance note sets out the IAA’s </w:t>
      </w:r>
      <w:r w:rsidR="007347C1">
        <w:rPr>
          <w:rFonts w:ascii="Open Sans" w:hAnsi="Open Sans" w:cs="Open Sans"/>
        </w:rPr>
        <w:t>approach</w:t>
      </w:r>
      <w:r>
        <w:rPr>
          <w:rFonts w:ascii="Open Sans" w:hAnsi="Open Sans" w:cs="Open Sans"/>
        </w:rPr>
        <w:t xml:space="preserve"> </w:t>
      </w:r>
      <w:r w:rsidR="007347C1" w:rsidRPr="007347C1">
        <w:rPr>
          <w:rFonts w:ascii="Open Sans" w:hAnsi="Open Sans" w:cs="Open Sans"/>
        </w:rPr>
        <w:t>to the regulation of immigration advice within University Law Clinics</w:t>
      </w:r>
      <w:r>
        <w:rPr>
          <w:rFonts w:ascii="Open Sans" w:hAnsi="Open Sans" w:cs="Open Sans"/>
        </w:rPr>
        <w:t xml:space="preserve">, including </w:t>
      </w:r>
      <w:r w:rsidR="00D34A44">
        <w:rPr>
          <w:rFonts w:ascii="Open Sans" w:hAnsi="Open Sans" w:cs="Open Sans"/>
        </w:rPr>
        <w:t xml:space="preserve">advice provided and supervised </w:t>
      </w:r>
      <w:r>
        <w:rPr>
          <w:rFonts w:ascii="Open Sans" w:hAnsi="Open Sans" w:cs="Open Sans"/>
        </w:rPr>
        <w:t xml:space="preserve">by solicitors and barristers employed directly by </w:t>
      </w:r>
      <w:r w:rsidR="00D34A44">
        <w:rPr>
          <w:rFonts w:ascii="Open Sans" w:hAnsi="Open Sans" w:cs="Open Sans"/>
        </w:rPr>
        <w:t xml:space="preserve">University Law Clinics. </w:t>
      </w:r>
      <w:r w:rsidR="00D34A44">
        <w:rPr>
          <w:rFonts w:ascii="Open Sans" w:eastAsia="Times New Roman" w:hAnsi="Open Sans" w:cs="Open Sans"/>
          <w:lang w:val="en" w:eastAsia="en-GB"/>
        </w:rPr>
        <w:t>I</w:t>
      </w:r>
      <w:r w:rsidR="003836FF">
        <w:rPr>
          <w:rFonts w:ascii="Open Sans" w:eastAsia="Times New Roman" w:hAnsi="Open Sans" w:cs="Open Sans"/>
          <w:lang w:val="en" w:eastAsia="en-GB"/>
        </w:rPr>
        <w:t xml:space="preserve">n particular </w:t>
      </w:r>
      <w:r w:rsidR="00D34A44">
        <w:rPr>
          <w:rFonts w:ascii="Open Sans" w:eastAsia="Times New Roman" w:hAnsi="Open Sans" w:cs="Open Sans"/>
          <w:lang w:val="en" w:eastAsia="en-GB"/>
        </w:rPr>
        <w:t xml:space="preserve">this guidance note </w:t>
      </w:r>
      <w:r w:rsidR="00992A7B">
        <w:rPr>
          <w:rFonts w:ascii="Open Sans" w:eastAsia="Times New Roman" w:hAnsi="Open Sans" w:cs="Open Sans"/>
          <w:lang w:val="en" w:eastAsia="en-GB"/>
        </w:rPr>
        <w:t>sets out</w:t>
      </w:r>
      <w:r w:rsidR="003836FF">
        <w:rPr>
          <w:rFonts w:ascii="Open Sans" w:eastAsia="Times New Roman" w:hAnsi="Open Sans" w:cs="Open Sans"/>
          <w:lang w:val="en" w:eastAsia="en-GB"/>
        </w:rPr>
        <w:t xml:space="preserve"> the option of simplifying IAA requirements for </w:t>
      </w:r>
      <w:r w:rsidR="00D34A44">
        <w:rPr>
          <w:rFonts w:ascii="Open Sans" w:eastAsia="Times New Roman" w:hAnsi="Open Sans" w:cs="Open Sans"/>
          <w:lang w:val="en" w:eastAsia="en-GB"/>
        </w:rPr>
        <w:t xml:space="preserve">University Law Clinics </w:t>
      </w:r>
      <w:r w:rsidR="00353822">
        <w:rPr>
          <w:rFonts w:ascii="Open Sans" w:eastAsia="Times New Roman" w:hAnsi="Open Sans" w:cs="Open Sans"/>
          <w:lang w:val="en" w:eastAsia="en-GB"/>
        </w:rPr>
        <w:t xml:space="preserve">whose </w:t>
      </w:r>
      <w:r w:rsidR="003836FF">
        <w:rPr>
          <w:rFonts w:ascii="Open Sans" w:eastAsia="Times New Roman" w:hAnsi="Open Sans" w:cs="Open Sans"/>
          <w:lang w:val="en" w:eastAsia="en-GB"/>
        </w:rPr>
        <w:t xml:space="preserve">students provide </w:t>
      </w:r>
      <w:r w:rsidR="00F02F72">
        <w:rPr>
          <w:rFonts w:ascii="Open Sans" w:eastAsia="Times New Roman" w:hAnsi="Open Sans" w:cs="Open Sans"/>
          <w:lang w:val="en" w:eastAsia="en-GB"/>
        </w:rPr>
        <w:t xml:space="preserve">limited </w:t>
      </w:r>
      <w:r w:rsidR="003836FF">
        <w:rPr>
          <w:rFonts w:ascii="Open Sans" w:eastAsia="Times New Roman" w:hAnsi="Open Sans" w:cs="Open Sans"/>
          <w:lang w:val="en" w:eastAsia="en-GB"/>
        </w:rPr>
        <w:t xml:space="preserve">advice </w:t>
      </w:r>
      <w:r w:rsidR="003836FF" w:rsidRPr="003836FF">
        <w:rPr>
          <w:rFonts w:ascii="Open Sans" w:eastAsia="Times New Roman" w:hAnsi="Open Sans" w:cs="Open Sans"/>
          <w:lang w:val="en" w:eastAsia="en-GB"/>
        </w:rPr>
        <w:t>under close supervision</w:t>
      </w:r>
      <w:r w:rsidR="00353822">
        <w:rPr>
          <w:rFonts w:ascii="Open Sans" w:eastAsia="Times New Roman" w:hAnsi="Open Sans" w:cs="Open Sans"/>
          <w:lang w:val="en" w:eastAsia="en-GB"/>
        </w:rPr>
        <w:t xml:space="preserve"> for </w:t>
      </w:r>
      <w:r w:rsidR="00FC6604">
        <w:rPr>
          <w:rFonts w:ascii="Open Sans" w:eastAsia="Times New Roman" w:hAnsi="Open Sans" w:cs="Open Sans"/>
          <w:lang w:val="en" w:eastAsia="en-GB"/>
        </w:rPr>
        <w:t xml:space="preserve">relatively </w:t>
      </w:r>
      <w:r w:rsidR="00353822">
        <w:rPr>
          <w:rFonts w:ascii="Open Sans" w:eastAsia="Times New Roman" w:hAnsi="Open Sans" w:cs="Open Sans"/>
          <w:lang w:val="en" w:eastAsia="en-GB"/>
        </w:rPr>
        <w:t>short periods</w:t>
      </w:r>
      <w:r w:rsidR="00EF4E82">
        <w:rPr>
          <w:rFonts w:ascii="Open Sans" w:eastAsia="Times New Roman" w:hAnsi="Open Sans" w:cs="Open Sans"/>
          <w:lang w:val="en" w:eastAsia="en-GB"/>
        </w:rPr>
        <w:t xml:space="preserve"> of time</w:t>
      </w:r>
      <w:r w:rsidR="00D34A44">
        <w:rPr>
          <w:rFonts w:ascii="Open Sans" w:eastAsia="Times New Roman" w:hAnsi="Open Sans" w:cs="Open Sans"/>
          <w:lang w:val="en" w:eastAsia="en-GB"/>
        </w:rPr>
        <w:t xml:space="preserve"> (typically under 12 months)</w:t>
      </w:r>
      <w:r w:rsidR="00FC6604">
        <w:rPr>
          <w:rFonts w:ascii="Open Sans" w:eastAsia="Times New Roman" w:hAnsi="Open Sans" w:cs="Open Sans"/>
          <w:lang w:val="en" w:eastAsia="en-GB"/>
        </w:rPr>
        <w:t xml:space="preserve"> in line with the</w:t>
      </w:r>
      <w:r w:rsidR="00353822">
        <w:rPr>
          <w:rFonts w:ascii="Open Sans" w:eastAsia="Times New Roman" w:hAnsi="Open Sans" w:cs="Open Sans"/>
          <w:lang w:val="en" w:eastAsia="en-GB"/>
        </w:rPr>
        <w:t xml:space="preserve"> academic year</w:t>
      </w:r>
      <w:r w:rsidR="00265770">
        <w:rPr>
          <w:rFonts w:ascii="Open Sans" w:eastAsia="Times New Roman" w:hAnsi="Open Sans" w:cs="Open Sans"/>
          <w:lang w:val="en" w:eastAsia="en-GB"/>
        </w:rPr>
        <w:t xml:space="preserve">. </w:t>
      </w:r>
      <w:r w:rsidR="00FB32C5">
        <w:rPr>
          <w:rFonts w:ascii="Open Sans" w:eastAsia="Times New Roman" w:hAnsi="Open Sans" w:cs="Open Sans"/>
          <w:lang w:val="en" w:eastAsia="en-GB"/>
        </w:rPr>
        <w:t xml:space="preserve"> </w:t>
      </w:r>
      <w:r w:rsidR="00C110FF">
        <w:rPr>
          <w:rFonts w:ascii="Open Sans" w:eastAsia="Times New Roman" w:hAnsi="Open Sans" w:cs="Open Sans"/>
          <w:lang w:val="en" w:eastAsia="en-GB"/>
        </w:rPr>
        <w:t xml:space="preserve"> </w:t>
      </w:r>
    </w:p>
    <w:p w14:paraId="5909DF84" w14:textId="7B15A989" w:rsidR="00CE50E4" w:rsidRPr="00484611" w:rsidRDefault="00EC49E1" w:rsidP="005D0E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9123A"/>
          <w:lang w:val="en" w:eastAsia="en-GB"/>
        </w:rPr>
      </w:pPr>
      <w:r w:rsidRPr="00484611">
        <w:rPr>
          <w:rFonts w:ascii="Open Sans" w:eastAsia="Times New Roman" w:hAnsi="Open Sans" w:cs="Open Sans"/>
          <w:b/>
          <w:bCs/>
          <w:color w:val="09123A"/>
          <w:lang w:val="en" w:eastAsia="en-GB"/>
        </w:rPr>
        <w:t>University Law Clinics and regulated immigration advice</w:t>
      </w:r>
    </w:p>
    <w:p w14:paraId="13B7777B" w14:textId="2DF4F625" w:rsidR="002C5288" w:rsidRDefault="005D0EF6" w:rsidP="005D0EF6">
      <w:pPr>
        <w:spacing w:before="100" w:beforeAutospacing="1" w:after="100" w:afterAutospacing="1" w:line="240" w:lineRule="auto"/>
        <w:rPr>
          <w:rFonts w:ascii="Open Sans" w:hAnsi="Open Sans" w:cs="Open Sans"/>
        </w:rPr>
      </w:pPr>
      <w:r w:rsidRPr="001D08B0">
        <w:rPr>
          <w:rFonts w:ascii="Open Sans" w:eastAsia="Times New Roman" w:hAnsi="Open Sans" w:cs="Open Sans"/>
          <w:lang w:val="en" w:eastAsia="en-GB"/>
        </w:rPr>
        <w:t>University Law</w:t>
      </w:r>
      <w:r w:rsidRPr="00DB052D">
        <w:rPr>
          <w:rFonts w:ascii="Open Sans" w:eastAsia="Times New Roman" w:hAnsi="Open Sans" w:cs="Open Sans"/>
          <w:lang w:val="en" w:eastAsia="en-GB"/>
        </w:rPr>
        <w:t xml:space="preserve"> </w:t>
      </w:r>
      <w:r w:rsidR="009D6C2B">
        <w:rPr>
          <w:rFonts w:ascii="Open Sans" w:eastAsia="Times New Roman" w:hAnsi="Open Sans" w:cs="Open Sans"/>
          <w:lang w:val="en" w:eastAsia="en-GB"/>
        </w:rPr>
        <w:t>C</w:t>
      </w:r>
      <w:r w:rsidR="009D6C2B" w:rsidRPr="00DB052D">
        <w:rPr>
          <w:rFonts w:ascii="Open Sans" w:eastAsia="Times New Roman" w:hAnsi="Open Sans" w:cs="Open Sans"/>
          <w:lang w:val="en" w:eastAsia="en-GB"/>
        </w:rPr>
        <w:t>linics,</w:t>
      </w:r>
      <w:r w:rsidRPr="00DB052D">
        <w:rPr>
          <w:rFonts w:ascii="Open Sans" w:eastAsia="Times New Roman" w:hAnsi="Open Sans" w:cs="Open Sans"/>
          <w:lang w:val="en" w:eastAsia="en-GB"/>
        </w:rPr>
        <w:t xml:space="preserve"> which provide immigration advice and services </w:t>
      </w:r>
      <w:r w:rsidR="00C623FA" w:rsidRPr="00DB052D">
        <w:rPr>
          <w:rFonts w:ascii="Open Sans" w:eastAsia="Times New Roman" w:hAnsi="Open Sans" w:cs="Open Sans"/>
          <w:lang w:val="en" w:eastAsia="en-GB"/>
        </w:rPr>
        <w:t>to the public m</w:t>
      </w:r>
      <w:r w:rsidR="00B16A82" w:rsidRPr="00DB052D">
        <w:rPr>
          <w:rFonts w:ascii="Open Sans" w:eastAsia="Times New Roman" w:hAnsi="Open Sans" w:cs="Open Sans"/>
          <w:lang w:val="en" w:eastAsia="en-GB"/>
        </w:rPr>
        <w:t xml:space="preserve">ay need to </w:t>
      </w:r>
      <w:r w:rsidR="00C623FA" w:rsidRPr="00DB052D">
        <w:rPr>
          <w:rFonts w:ascii="Open Sans" w:eastAsia="Times New Roman" w:hAnsi="Open Sans" w:cs="Open Sans"/>
          <w:lang w:val="en" w:eastAsia="en-GB"/>
        </w:rPr>
        <w:t>be registered with the</w:t>
      </w:r>
      <w:r w:rsidR="00C623FA" w:rsidRPr="00DB052D">
        <w:rPr>
          <w:rFonts w:ascii="Open Sans" w:hAnsi="Open Sans" w:cs="Open Sans"/>
          <w:color w:val="000000"/>
        </w:rPr>
        <w:t xml:space="preserve"> IAA where the advice given relates to a relevant matter as defined by </w:t>
      </w:r>
      <w:r w:rsidR="00D7519B" w:rsidRPr="00DB052D">
        <w:rPr>
          <w:rFonts w:ascii="Open Sans" w:hAnsi="Open Sans" w:cs="Open Sans"/>
          <w:color w:val="000000"/>
        </w:rPr>
        <w:t>t</w:t>
      </w:r>
      <w:r w:rsidR="00C623FA" w:rsidRPr="00DB052D">
        <w:rPr>
          <w:rFonts w:ascii="Open Sans" w:hAnsi="Open Sans" w:cs="Open Sans"/>
        </w:rPr>
        <w:t xml:space="preserve">he </w:t>
      </w:r>
      <w:r w:rsidR="00D7519B" w:rsidRPr="00DB052D">
        <w:rPr>
          <w:rFonts w:ascii="Open Sans" w:hAnsi="Open Sans" w:cs="Open Sans"/>
        </w:rPr>
        <w:t xml:space="preserve">Immigration and Asylum </w:t>
      </w:r>
      <w:r w:rsidR="00C623FA" w:rsidRPr="00DB052D">
        <w:rPr>
          <w:rFonts w:ascii="Open Sans" w:hAnsi="Open Sans" w:cs="Open Sans"/>
        </w:rPr>
        <w:t xml:space="preserve">Act </w:t>
      </w:r>
      <w:r w:rsidR="00D40CF3">
        <w:rPr>
          <w:rFonts w:ascii="Open Sans" w:hAnsi="Open Sans" w:cs="Open Sans"/>
        </w:rPr>
        <w:t>1999</w:t>
      </w:r>
      <w:r w:rsidR="00D65714">
        <w:rPr>
          <w:rFonts w:ascii="Open Sans" w:hAnsi="Open Sans" w:cs="Open Sans"/>
        </w:rPr>
        <w:t xml:space="preserve"> as amended</w:t>
      </w:r>
      <w:r w:rsidR="00D40CF3">
        <w:rPr>
          <w:rFonts w:ascii="Open Sans" w:hAnsi="Open Sans" w:cs="Open Sans"/>
        </w:rPr>
        <w:t xml:space="preserve"> </w:t>
      </w:r>
      <w:r w:rsidR="00D7519B" w:rsidRPr="00DB052D">
        <w:rPr>
          <w:rFonts w:ascii="Open Sans" w:hAnsi="Open Sans" w:cs="Open Sans"/>
        </w:rPr>
        <w:t>(</w:t>
      </w:r>
      <w:r w:rsidR="00D65714">
        <w:rPr>
          <w:rFonts w:ascii="Open Sans" w:hAnsi="Open Sans" w:cs="Open Sans"/>
        </w:rPr>
        <w:t>’the Act’</w:t>
      </w:r>
      <w:r w:rsidR="00D7519B" w:rsidRPr="00DB052D">
        <w:rPr>
          <w:rFonts w:ascii="Open Sans" w:hAnsi="Open Sans" w:cs="Open Sans"/>
        </w:rPr>
        <w:t xml:space="preserve">). </w:t>
      </w:r>
      <w:r w:rsidR="001D08B0">
        <w:rPr>
          <w:rFonts w:ascii="Open Sans" w:hAnsi="Open Sans" w:cs="Open Sans"/>
        </w:rPr>
        <w:t xml:space="preserve"> T</w:t>
      </w:r>
      <w:r w:rsidR="00D7519B" w:rsidRPr="00DB052D">
        <w:rPr>
          <w:rFonts w:ascii="Open Sans" w:hAnsi="Open Sans" w:cs="Open Sans"/>
        </w:rPr>
        <w:t>he IAA</w:t>
      </w:r>
      <w:r w:rsidR="004D2FD3">
        <w:rPr>
          <w:rFonts w:ascii="Open Sans" w:hAnsi="Open Sans" w:cs="Open Sans"/>
        </w:rPr>
        <w:t>’s</w:t>
      </w:r>
      <w:r w:rsidR="00D7519B" w:rsidRPr="00DB052D">
        <w:rPr>
          <w:rFonts w:ascii="Open Sans" w:hAnsi="Open Sans" w:cs="Open Sans"/>
        </w:rPr>
        <w:t xml:space="preserve"> </w:t>
      </w:r>
      <w:hyperlink r:id="rId12" w:history="1">
        <w:r w:rsidR="00D7519B" w:rsidRPr="00D40CF3">
          <w:rPr>
            <w:rStyle w:val="Hyperlink"/>
            <w:rFonts w:ascii="Open Sans" w:hAnsi="Open Sans" w:cs="Open Sans"/>
          </w:rPr>
          <w:t xml:space="preserve">Immigration Assistance </w:t>
        </w:r>
        <w:r w:rsidR="00D40CF3" w:rsidRPr="00D40CF3">
          <w:rPr>
            <w:rStyle w:val="Hyperlink"/>
            <w:rFonts w:ascii="Open Sans" w:hAnsi="Open Sans" w:cs="Open Sans"/>
          </w:rPr>
          <w:t>Practice Note</w:t>
        </w:r>
      </w:hyperlink>
      <w:r w:rsidR="00D40CF3">
        <w:rPr>
          <w:rFonts w:ascii="Open Sans" w:hAnsi="Open Sans" w:cs="Open Sans"/>
        </w:rPr>
        <w:t xml:space="preserve"> </w:t>
      </w:r>
      <w:r w:rsidR="00D7519B" w:rsidRPr="00DB052D">
        <w:rPr>
          <w:rFonts w:ascii="Open Sans" w:hAnsi="Open Sans" w:cs="Open Sans"/>
        </w:rPr>
        <w:t xml:space="preserve">provides further details on the relevant matters and what assistance can be provided without the requirement to be regulated. </w:t>
      </w:r>
    </w:p>
    <w:p w14:paraId="63241F4F" w14:textId="657FA74B" w:rsidR="002227D0" w:rsidRPr="00484611" w:rsidRDefault="00AC3609" w:rsidP="005D0EF6">
      <w:pPr>
        <w:spacing w:before="100" w:beforeAutospacing="1" w:after="100" w:afterAutospacing="1" w:line="240" w:lineRule="auto"/>
        <w:rPr>
          <w:rFonts w:ascii="Open Sans" w:hAnsi="Open Sans" w:cs="Open Sans"/>
          <w:color w:val="09123A"/>
        </w:rPr>
      </w:pPr>
      <w:r w:rsidRPr="00484611">
        <w:rPr>
          <w:rFonts w:ascii="Open Sans" w:hAnsi="Open Sans" w:cs="Open Sans"/>
          <w:b/>
          <w:bCs/>
          <w:color w:val="09123A"/>
        </w:rPr>
        <w:t xml:space="preserve">Direct provision of </w:t>
      </w:r>
      <w:r w:rsidR="009E63A1" w:rsidRPr="00484611">
        <w:rPr>
          <w:rFonts w:ascii="Open Sans" w:hAnsi="Open Sans" w:cs="Open Sans"/>
          <w:b/>
          <w:bCs/>
          <w:color w:val="09123A"/>
        </w:rPr>
        <w:t xml:space="preserve">immigration </w:t>
      </w:r>
      <w:r w:rsidRPr="00484611">
        <w:rPr>
          <w:rFonts w:ascii="Open Sans" w:hAnsi="Open Sans" w:cs="Open Sans"/>
          <w:b/>
          <w:bCs/>
          <w:color w:val="09123A"/>
        </w:rPr>
        <w:t xml:space="preserve">advice by solicitors </w:t>
      </w:r>
      <w:r w:rsidR="009E63A1" w:rsidRPr="00484611">
        <w:rPr>
          <w:rFonts w:ascii="Open Sans" w:hAnsi="Open Sans" w:cs="Open Sans"/>
          <w:b/>
          <w:bCs/>
          <w:color w:val="09123A"/>
        </w:rPr>
        <w:t xml:space="preserve">and barristers </w:t>
      </w:r>
      <w:r w:rsidRPr="00484611">
        <w:rPr>
          <w:rFonts w:ascii="Open Sans" w:hAnsi="Open Sans" w:cs="Open Sans"/>
          <w:b/>
          <w:bCs/>
          <w:color w:val="09123A"/>
        </w:rPr>
        <w:t>employed in University Law Clinics</w:t>
      </w:r>
    </w:p>
    <w:p w14:paraId="0BF2D782" w14:textId="085C9746" w:rsidR="009E5687" w:rsidRDefault="00D7519B" w:rsidP="005D0EF6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B052D">
        <w:rPr>
          <w:rFonts w:ascii="Open Sans" w:hAnsi="Open Sans" w:cs="Open Sans"/>
        </w:rPr>
        <w:t>University Law Clinics can structure their advice services in a variety of ways</w:t>
      </w:r>
      <w:r w:rsidR="00B16A82" w:rsidRPr="00DB052D">
        <w:rPr>
          <w:rFonts w:ascii="Open Sans" w:hAnsi="Open Sans" w:cs="Open Sans"/>
        </w:rPr>
        <w:t xml:space="preserve"> but n</w:t>
      </w:r>
      <w:r w:rsidRPr="00DB052D">
        <w:rPr>
          <w:rFonts w:ascii="Open Sans" w:hAnsi="Open Sans" w:cs="Open Sans"/>
        </w:rPr>
        <w:t xml:space="preserve">ormally the clinic is overseen by an adviser who </w:t>
      </w:r>
      <w:r w:rsidR="00984EC5">
        <w:rPr>
          <w:rFonts w:ascii="Open Sans" w:hAnsi="Open Sans" w:cs="Open Sans"/>
        </w:rPr>
        <w:t>is</w:t>
      </w:r>
      <w:r w:rsidR="00984EC5" w:rsidRPr="00DB052D">
        <w:rPr>
          <w:rFonts w:ascii="Open Sans" w:hAnsi="Open Sans" w:cs="Open Sans"/>
        </w:rPr>
        <w:t xml:space="preserve"> </w:t>
      </w:r>
      <w:r w:rsidRPr="00DB052D">
        <w:rPr>
          <w:rFonts w:ascii="Open Sans" w:hAnsi="Open Sans" w:cs="Open Sans"/>
        </w:rPr>
        <w:t xml:space="preserve">themselves </w:t>
      </w:r>
      <w:r w:rsidR="002D2703">
        <w:rPr>
          <w:rFonts w:ascii="Open Sans" w:hAnsi="Open Sans" w:cs="Open Sans"/>
        </w:rPr>
        <w:t xml:space="preserve">individually </w:t>
      </w:r>
      <w:r w:rsidRPr="00DB052D">
        <w:rPr>
          <w:rFonts w:ascii="Open Sans" w:hAnsi="Open Sans" w:cs="Open Sans"/>
        </w:rPr>
        <w:t xml:space="preserve">regulated as a solicitor or barrister by a </w:t>
      </w:r>
      <w:r w:rsidRPr="00DB052D">
        <w:rPr>
          <w:rFonts w:ascii="Open Sans" w:hAnsi="Open Sans" w:cs="Open Sans"/>
          <w:color w:val="000000"/>
        </w:rPr>
        <w:t>Designated Qualifying Regulator (DQ</w:t>
      </w:r>
      <w:r w:rsidR="00B16A82" w:rsidRPr="00DB052D">
        <w:rPr>
          <w:rFonts w:ascii="Open Sans" w:hAnsi="Open Sans" w:cs="Open Sans"/>
          <w:color w:val="000000"/>
        </w:rPr>
        <w:t>R</w:t>
      </w:r>
      <w:r w:rsidRPr="00DB052D">
        <w:rPr>
          <w:rFonts w:ascii="Open Sans" w:hAnsi="Open Sans" w:cs="Open Sans"/>
          <w:color w:val="000000"/>
        </w:rPr>
        <w:t>) in England and Wales</w:t>
      </w:r>
      <w:r w:rsidR="009D4004">
        <w:rPr>
          <w:rStyle w:val="FootnoteReference"/>
          <w:rFonts w:ascii="Open Sans" w:hAnsi="Open Sans" w:cs="Open Sans"/>
          <w:color w:val="000000"/>
        </w:rPr>
        <w:footnoteReference w:id="1"/>
      </w:r>
      <w:r w:rsidR="00DB052D">
        <w:rPr>
          <w:rFonts w:ascii="Open Sans" w:hAnsi="Open Sans" w:cs="Open Sans"/>
          <w:color w:val="000000"/>
        </w:rPr>
        <w:t>,</w:t>
      </w:r>
      <w:r w:rsidRPr="00DB052D">
        <w:rPr>
          <w:rFonts w:ascii="Open Sans" w:hAnsi="Open Sans" w:cs="Open Sans"/>
          <w:color w:val="000000"/>
        </w:rPr>
        <w:t xml:space="preserve"> or </w:t>
      </w:r>
      <w:r w:rsidR="00D40CF3">
        <w:rPr>
          <w:rFonts w:ascii="Open Sans" w:hAnsi="Open Sans" w:cs="Open Sans"/>
          <w:color w:val="000000"/>
        </w:rPr>
        <w:t xml:space="preserve">by </w:t>
      </w:r>
      <w:r w:rsidRPr="00DB052D">
        <w:rPr>
          <w:rFonts w:ascii="Open Sans" w:hAnsi="Open Sans" w:cs="Open Sans"/>
          <w:color w:val="000000"/>
        </w:rPr>
        <w:t xml:space="preserve">a Designated Professional Body </w:t>
      </w:r>
      <w:r w:rsidR="00E20279">
        <w:rPr>
          <w:rFonts w:ascii="Open Sans" w:hAnsi="Open Sans" w:cs="Open Sans"/>
          <w:color w:val="000000"/>
        </w:rPr>
        <w:t xml:space="preserve">(DPB) </w:t>
      </w:r>
      <w:r w:rsidRPr="00DB052D">
        <w:rPr>
          <w:rFonts w:ascii="Open Sans" w:hAnsi="Open Sans" w:cs="Open Sans"/>
          <w:color w:val="000000"/>
        </w:rPr>
        <w:t xml:space="preserve">in Scotland and N. Ireland. </w:t>
      </w:r>
    </w:p>
    <w:p w14:paraId="6ADAC8DA" w14:textId="029B145F" w:rsidR="002E2074" w:rsidRPr="00484611" w:rsidRDefault="002E2074" w:rsidP="005D0EF6">
      <w:pPr>
        <w:spacing w:before="100" w:beforeAutospacing="1" w:after="100" w:afterAutospacing="1" w:line="240" w:lineRule="auto"/>
        <w:rPr>
          <w:rFonts w:ascii="Open Sans" w:hAnsi="Open Sans" w:cs="Open Sans"/>
          <w:b/>
          <w:bCs/>
          <w:color w:val="09123A"/>
        </w:rPr>
      </w:pPr>
      <w:r w:rsidRPr="00484611">
        <w:rPr>
          <w:rFonts w:ascii="Open Sans" w:hAnsi="Open Sans" w:cs="Open Sans"/>
          <w:b/>
          <w:bCs/>
          <w:color w:val="09123A"/>
        </w:rPr>
        <w:lastRenderedPageBreak/>
        <w:t>England and Wales</w:t>
      </w:r>
    </w:p>
    <w:p w14:paraId="44C2536B" w14:textId="1DAD3460" w:rsidR="00B16A82" w:rsidRDefault="00D7519B" w:rsidP="005D0EF6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B052D">
        <w:rPr>
          <w:rFonts w:ascii="Open Sans" w:hAnsi="Open Sans" w:cs="Open Sans"/>
          <w:color w:val="000000"/>
        </w:rPr>
        <w:t>Where such regulation is in place</w:t>
      </w:r>
      <w:r w:rsidR="004168C1">
        <w:rPr>
          <w:rFonts w:ascii="Open Sans" w:hAnsi="Open Sans" w:cs="Open Sans"/>
          <w:color w:val="000000"/>
        </w:rPr>
        <w:t>,</w:t>
      </w:r>
      <w:r w:rsidRPr="00DB052D">
        <w:rPr>
          <w:rFonts w:ascii="Open Sans" w:hAnsi="Open Sans" w:cs="Open Sans"/>
          <w:color w:val="000000"/>
        </w:rPr>
        <w:t xml:space="preserve"> </w:t>
      </w:r>
      <w:r w:rsidR="00D40CF3">
        <w:rPr>
          <w:rFonts w:ascii="Open Sans" w:hAnsi="Open Sans" w:cs="Open Sans"/>
          <w:color w:val="000000"/>
        </w:rPr>
        <w:t>an advis</w:t>
      </w:r>
      <w:r w:rsidR="00C83540">
        <w:rPr>
          <w:rFonts w:ascii="Open Sans" w:hAnsi="Open Sans" w:cs="Open Sans"/>
          <w:color w:val="000000"/>
        </w:rPr>
        <w:t>e</w:t>
      </w:r>
      <w:r w:rsidR="00D40CF3">
        <w:rPr>
          <w:rFonts w:ascii="Open Sans" w:hAnsi="Open Sans" w:cs="Open Sans"/>
          <w:color w:val="000000"/>
        </w:rPr>
        <w:t xml:space="preserve">r </w:t>
      </w:r>
      <w:r w:rsidR="00DD1259">
        <w:rPr>
          <w:rFonts w:ascii="Open Sans" w:hAnsi="Open Sans" w:cs="Open Sans"/>
          <w:color w:val="000000"/>
        </w:rPr>
        <w:t xml:space="preserve">employed in </w:t>
      </w:r>
      <w:r w:rsidR="0059314F">
        <w:rPr>
          <w:rFonts w:ascii="Open Sans" w:hAnsi="Open Sans" w:cs="Open Sans"/>
          <w:color w:val="000000"/>
        </w:rPr>
        <w:t>a University Law Clinic</w:t>
      </w:r>
      <w:r w:rsidR="00FE4AE9">
        <w:rPr>
          <w:rFonts w:ascii="Open Sans" w:hAnsi="Open Sans" w:cs="Open Sans"/>
          <w:color w:val="000000"/>
        </w:rPr>
        <w:t xml:space="preserve"> in England or Wales</w:t>
      </w:r>
      <w:r w:rsidR="0059314F">
        <w:rPr>
          <w:rFonts w:ascii="Open Sans" w:hAnsi="Open Sans" w:cs="Open Sans"/>
          <w:color w:val="000000"/>
        </w:rPr>
        <w:t xml:space="preserve"> </w:t>
      </w:r>
      <w:r w:rsidR="00D40CF3" w:rsidRPr="005569C7">
        <w:rPr>
          <w:rFonts w:ascii="Open Sans" w:hAnsi="Open Sans" w:cs="Open Sans"/>
          <w:color w:val="000000"/>
        </w:rPr>
        <w:t>is</w:t>
      </w:r>
      <w:r w:rsidRPr="005569C7">
        <w:rPr>
          <w:rFonts w:ascii="Open Sans" w:hAnsi="Open Sans" w:cs="Open Sans"/>
          <w:color w:val="000000"/>
        </w:rPr>
        <w:t xml:space="preserve"> deemed to be</w:t>
      </w:r>
      <w:r w:rsidR="00D40CF3" w:rsidRPr="005569C7">
        <w:rPr>
          <w:rFonts w:ascii="Open Sans" w:hAnsi="Open Sans" w:cs="Open Sans"/>
          <w:color w:val="000000"/>
        </w:rPr>
        <w:t xml:space="preserve"> a </w:t>
      </w:r>
      <w:r w:rsidRPr="005569C7">
        <w:rPr>
          <w:rFonts w:ascii="Open Sans" w:hAnsi="Open Sans" w:cs="Open Sans"/>
          <w:color w:val="000000"/>
        </w:rPr>
        <w:t xml:space="preserve">‘qualified person’ under </w:t>
      </w:r>
      <w:r w:rsidR="003730CC" w:rsidRPr="005569C7">
        <w:rPr>
          <w:rFonts w:ascii="Open Sans" w:hAnsi="Open Sans" w:cs="Open Sans"/>
          <w:color w:val="000000"/>
        </w:rPr>
        <w:t>Section 84</w:t>
      </w:r>
      <w:r w:rsidR="00334C32">
        <w:rPr>
          <w:rFonts w:ascii="Open Sans" w:hAnsi="Open Sans" w:cs="Open Sans"/>
          <w:color w:val="000000"/>
        </w:rPr>
        <w:t>(2)</w:t>
      </w:r>
      <w:r w:rsidR="004168C1">
        <w:rPr>
          <w:rFonts w:ascii="Open Sans" w:hAnsi="Open Sans" w:cs="Open Sans"/>
          <w:color w:val="000000"/>
        </w:rPr>
        <w:t>(</w:t>
      </w:r>
      <w:r w:rsidR="00334C32">
        <w:rPr>
          <w:rFonts w:ascii="Open Sans" w:hAnsi="Open Sans" w:cs="Open Sans"/>
          <w:color w:val="000000"/>
        </w:rPr>
        <w:t>ba</w:t>
      </w:r>
      <w:r w:rsidR="004168C1">
        <w:rPr>
          <w:rFonts w:ascii="Open Sans" w:hAnsi="Open Sans" w:cs="Open Sans"/>
          <w:color w:val="000000"/>
        </w:rPr>
        <w:t>)</w:t>
      </w:r>
      <w:r w:rsidR="003730CC" w:rsidRPr="005569C7">
        <w:rPr>
          <w:rFonts w:ascii="Open Sans" w:hAnsi="Open Sans" w:cs="Open Sans"/>
          <w:color w:val="000000"/>
        </w:rPr>
        <w:t xml:space="preserve"> of </w:t>
      </w:r>
      <w:r w:rsidRPr="005569C7">
        <w:rPr>
          <w:rFonts w:ascii="Open Sans" w:hAnsi="Open Sans" w:cs="Open Sans"/>
          <w:color w:val="000000"/>
        </w:rPr>
        <w:t>the</w:t>
      </w:r>
      <w:r w:rsidRPr="00DB052D">
        <w:rPr>
          <w:rFonts w:ascii="Open Sans" w:hAnsi="Open Sans" w:cs="Open Sans"/>
          <w:color w:val="000000"/>
        </w:rPr>
        <w:t xml:space="preserve"> Act</w:t>
      </w:r>
      <w:r w:rsidR="001D08B0">
        <w:rPr>
          <w:rFonts w:ascii="Open Sans" w:hAnsi="Open Sans" w:cs="Open Sans"/>
          <w:color w:val="000000"/>
        </w:rPr>
        <w:t xml:space="preserve"> </w:t>
      </w:r>
      <w:r w:rsidR="004168C1">
        <w:rPr>
          <w:rFonts w:ascii="Open Sans" w:hAnsi="Open Sans" w:cs="Open Sans"/>
          <w:color w:val="000000"/>
        </w:rPr>
        <w:t xml:space="preserve"> </w:t>
      </w:r>
      <w:r w:rsidR="001D08B0">
        <w:rPr>
          <w:rFonts w:ascii="Open Sans" w:hAnsi="Open Sans" w:cs="Open Sans"/>
          <w:color w:val="000000"/>
        </w:rPr>
        <w:t xml:space="preserve">and can themselves provide </w:t>
      </w:r>
      <w:r w:rsidR="00F547C3">
        <w:rPr>
          <w:rFonts w:ascii="Open Sans" w:hAnsi="Open Sans" w:cs="Open Sans"/>
          <w:color w:val="000000"/>
        </w:rPr>
        <w:t xml:space="preserve">direct </w:t>
      </w:r>
      <w:r w:rsidR="001D08B0">
        <w:rPr>
          <w:rFonts w:ascii="Open Sans" w:hAnsi="Open Sans" w:cs="Open Sans"/>
          <w:color w:val="000000"/>
        </w:rPr>
        <w:t xml:space="preserve">advice to </w:t>
      </w:r>
      <w:r w:rsidR="00FA0AA8">
        <w:rPr>
          <w:rFonts w:ascii="Open Sans" w:hAnsi="Open Sans" w:cs="Open Sans"/>
          <w:color w:val="000000"/>
        </w:rPr>
        <w:t xml:space="preserve">members of the public </w:t>
      </w:r>
      <w:r w:rsidR="001D08B0">
        <w:rPr>
          <w:rFonts w:ascii="Open Sans" w:hAnsi="Open Sans" w:cs="Open Sans"/>
          <w:color w:val="000000"/>
        </w:rPr>
        <w:t xml:space="preserve">without the </w:t>
      </w:r>
      <w:r w:rsidR="00D65714">
        <w:rPr>
          <w:rFonts w:ascii="Open Sans" w:hAnsi="Open Sans" w:cs="Open Sans"/>
          <w:color w:val="000000"/>
        </w:rPr>
        <w:t xml:space="preserve">additional </w:t>
      </w:r>
      <w:r w:rsidR="001D08B0">
        <w:rPr>
          <w:rFonts w:ascii="Open Sans" w:hAnsi="Open Sans" w:cs="Open Sans"/>
          <w:color w:val="000000"/>
        </w:rPr>
        <w:t>need to be individually registered with the IAA</w:t>
      </w:r>
      <w:r w:rsidR="00F547C3">
        <w:rPr>
          <w:rFonts w:ascii="Open Sans" w:hAnsi="Open Sans" w:cs="Open Sans"/>
          <w:color w:val="000000"/>
        </w:rPr>
        <w:t>,</w:t>
      </w:r>
      <w:r w:rsidR="00F547C3" w:rsidRPr="00F547C3">
        <w:t xml:space="preserve"> </w:t>
      </w:r>
      <w:r w:rsidR="00F547C3" w:rsidRPr="00F547C3">
        <w:rPr>
          <w:rFonts w:ascii="Open Sans" w:hAnsi="Open Sans" w:cs="Open Sans"/>
          <w:color w:val="000000"/>
        </w:rPr>
        <w:t>provided th</w:t>
      </w:r>
      <w:r w:rsidR="00CC4D5E">
        <w:rPr>
          <w:rFonts w:ascii="Open Sans" w:hAnsi="Open Sans" w:cs="Open Sans"/>
          <w:color w:val="000000"/>
        </w:rPr>
        <w:t>e University Law Clinic in which they are employed is IAA registered, the</w:t>
      </w:r>
      <w:r w:rsidR="00F547C3" w:rsidRPr="00F547C3">
        <w:rPr>
          <w:rFonts w:ascii="Open Sans" w:hAnsi="Open Sans" w:cs="Open Sans"/>
          <w:color w:val="000000"/>
        </w:rPr>
        <w:t xml:space="preserve"> nature of the advice is within their professional competence,</w:t>
      </w:r>
      <w:r w:rsidR="00F547C3">
        <w:rPr>
          <w:rFonts w:ascii="Open Sans" w:hAnsi="Open Sans" w:cs="Open Sans"/>
          <w:color w:val="000000"/>
        </w:rPr>
        <w:t xml:space="preserve"> they have adequate insurance and </w:t>
      </w:r>
      <w:r w:rsidR="00D65714">
        <w:rPr>
          <w:rFonts w:ascii="Open Sans" w:hAnsi="Open Sans" w:cs="Open Sans"/>
          <w:color w:val="000000"/>
        </w:rPr>
        <w:t xml:space="preserve">they </w:t>
      </w:r>
      <w:r w:rsidR="00F547C3">
        <w:rPr>
          <w:rFonts w:ascii="Open Sans" w:hAnsi="Open Sans" w:cs="Open Sans"/>
          <w:color w:val="000000"/>
        </w:rPr>
        <w:t>otherwise meet the requirements of their DQR</w:t>
      </w:r>
      <w:r w:rsidR="00C92283">
        <w:rPr>
          <w:rStyle w:val="FootnoteReference"/>
          <w:rFonts w:ascii="Open Sans" w:hAnsi="Open Sans" w:cs="Open Sans"/>
          <w:color w:val="000000"/>
        </w:rPr>
        <w:footnoteReference w:id="2"/>
      </w:r>
      <w:r w:rsidRPr="00DB052D">
        <w:rPr>
          <w:rFonts w:ascii="Open Sans" w:hAnsi="Open Sans" w:cs="Open Sans"/>
          <w:color w:val="000000"/>
        </w:rPr>
        <w:t>.</w:t>
      </w:r>
    </w:p>
    <w:p w14:paraId="52B50206" w14:textId="5F6E29FF" w:rsidR="00997E1F" w:rsidRDefault="009E63A1" w:rsidP="004C04EA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43776B">
        <w:rPr>
          <w:rFonts w:ascii="Open Sans" w:hAnsi="Open Sans" w:cs="Open Sans"/>
          <w:b/>
          <w:bCs/>
          <w:color w:val="000000"/>
        </w:rPr>
        <w:t xml:space="preserve">Supervision of immigration </w:t>
      </w:r>
      <w:r w:rsidR="009C65FF" w:rsidRPr="0043776B">
        <w:rPr>
          <w:rFonts w:ascii="Open Sans" w:hAnsi="Open Sans" w:cs="Open Sans"/>
          <w:b/>
          <w:bCs/>
          <w:color w:val="000000"/>
        </w:rPr>
        <w:t xml:space="preserve">advice by solicitors and </w:t>
      </w:r>
      <w:r w:rsidR="00876E21" w:rsidRPr="0043776B">
        <w:rPr>
          <w:rFonts w:ascii="Open Sans" w:hAnsi="Open Sans" w:cs="Open Sans"/>
          <w:b/>
          <w:bCs/>
          <w:color w:val="000000"/>
        </w:rPr>
        <w:t>barristers employed in University Law Clinics</w:t>
      </w:r>
      <w:r w:rsidR="00997E1F">
        <w:rPr>
          <w:rFonts w:ascii="Open Sans" w:hAnsi="Open Sans" w:cs="Open Sans"/>
          <w:b/>
          <w:bCs/>
          <w:color w:val="000000"/>
        </w:rPr>
        <w:t xml:space="preserve"> </w:t>
      </w:r>
    </w:p>
    <w:p w14:paraId="160568F1" w14:textId="0C346FE3" w:rsidR="004C04EA" w:rsidRPr="00A963F2" w:rsidRDefault="004C04EA" w:rsidP="004C04EA">
      <w:pPr>
        <w:spacing w:before="100" w:beforeAutospacing="1" w:after="100" w:afterAutospacing="1" w:line="240" w:lineRule="auto"/>
        <w:rPr>
          <w:rFonts w:ascii="Open Sans" w:hAnsi="Open Sans" w:cs="Open Sans"/>
          <w:i/>
          <w:iCs/>
          <w:color w:val="0070C0"/>
          <w:u w:val="single"/>
        </w:rPr>
      </w:pPr>
      <w:r w:rsidRPr="00A963F2">
        <w:rPr>
          <w:rFonts w:ascii="Open Sans" w:hAnsi="Open Sans" w:cs="Open Sans"/>
          <w:i/>
          <w:iCs/>
          <w:color w:val="0070C0"/>
          <w:u w:val="single"/>
        </w:rPr>
        <w:t>Internal supervision by practising solicitors employed in a University Law Clinic</w:t>
      </w:r>
    </w:p>
    <w:p w14:paraId="6897B379" w14:textId="627A2DD1" w:rsidR="004C04EA" w:rsidRDefault="004C04EA" w:rsidP="004C04EA">
      <w:pPr>
        <w:spacing w:before="100" w:beforeAutospacing="1" w:after="100" w:afterAutospacing="1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</w:rPr>
        <w:t>P</w:t>
      </w:r>
      <w:r w:rsidRPr="001B203D">
        <w:rPr>
          <w:rFonts w:ascii="Open Sans" w:hAnsi="Open Sans" w:cs="Open Sans"/>
          <w:color w:val="000000"/>
        </w:rPr>
        <w:t>ractising solicito</w:t>
      </w:r>
      <w:r w:rsidRPr="00FE581A">
        <w:rPr>
          <w:rFonts w:ascii="Open Sans" w:hAnsi="Open Sans" w:cs="Open Sans"/>
          <w:color w:val="000000"/>
        </w:rPr>
        <w:t>rs employed directly by University Law Clinics in England and Wales</w:t>
      </w:r>
      <w:r w:rsidRPr="00007EA8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who</w:t>
      </w:r>
      <w:r w:rsidRPr="00007EA8">
        <w:rPr>
          <w:rFonts w:ascii="Open Sans" w:hAnsi="Open Sans" w:cs="Open Sans"/>
          <w:color w:val="000000"/>
        </w:rPr>
        <w:t xml:space="preserve"> provid</w:t>
      </w:r>
      <w:r>
        <w:rPr>
          <w:rFonts w:ascii="Open Sans" w:hAnsi="Open Sans" w:cs="Open Sans"/>
          <w:color w:val="000000"/>
        </w:rPr>
        <w:t>e</w:t>
      </w:r>
      <w:r w:rsidRPr="00007EA8">
        <w:rPr>
          <w:rFonts w:ascii="Open Sans" w:hAnsi="Open Sans" w:cs="Open Sans"/>
          <w:color w:val="000000"/>
        </w:rPr>
        <w:t xml:space="preserve"> immigration advice to members of </w:t>
      </w:r>
      <w:r>
        <w:rPr>
          <w:rFonts w:ascii="Open Sans" w:hAnsi="Open Sans" w:cs="Open Sans"/>
          <w:color w:val="000000"/>
        </w:rPr>
        <w:t xml:space="preserve">the </w:t>
      </w:r>
      <w:r w:rsidRPr="00007EA8">
        <w:rPr>
          <w:rFonts w:ascii="Open Sans" w:hAnsi="Open Sans" w:cs="Open Sans"/>
          <w:color w:val="000000"/>
        </w:rPr>
        <w:t>public on behalf of the University Law Clinic (which is not a law firm or ABS)</w:t>
      </w:r>
      <w:r w:rsidRPr="00FE581A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 xml:space="preserve">cannot supervise </w:t>
      </w:r>
      <w:r w:rsidRPr="00FE581A">
        <w:rPr>
          <w:rFonts w:ascii="Open Sans" w:hAnsi="Open Sans" w:cs="Open Sans"/>
          <w:color w:val="000000"/>
        </w:rPr>
        <w:t xml:space="preserve">others, </w:t>
      </w:r>
      <w:r>
        <w:rPr>
          <w:rFonts w:ascii="Open Sans" w:hAnsi="Open Sans" w:cs="Open Sans"/>
          <w:color w:val="000000"/>
        </w:rPr>
        <w:t>so as to make them a ‘qualified person’ under Section 84</w:t>
      </w:r>
      <w:r w:rsidR="00EE5948">
        <w:rPr>
          <w:rFonts w:ascii="Open Sans" w:hAnsi="Open Sans" w:cs="Open Sans"/>
          <w:color w:val="000000"/>
        </w:rPr>
        <w:t>(2)</w:t>
      </w:r>
      <w:r w:rsidR="00D65714">
        <w:rPr>
          <w:rFonts w:ascii="Open Sans" w:hAnsi="Open Sans" w:cs="Open Sans"/>
          <w:color w:val="000000"/>
        </w:rPr>
        <w:t>(</w:t>
      </w:r>
      <w:r w:rsidR="00882F72">
        <w:rPr>
          <w:rFonts w:ascii="Open Sans" w:hAnsi="Open Sans" w:cs="Open Sans"/>
          <w:color w:val="000000"/>
        </w:rPr>
        <w:t>e</w:t>
      </w:r>
      <w:r w:rsidR="00D65714">
        <w:rPr>
          <w:rFonts w:ascii="Open Sans" w:hAnsi="Open Sans" w:cs="Open Sans"/>
          <w:color w:val="000000"/>
        </w:rPr>
        <w:t>)</w:t>
      </w:r>
      <w:r>
        <w:rPr>
          <w:rFonts w:ascii="Open Sans" w:hAnsi="Open Sans" w:cs="Open Sans"/>
          <w:color w:val="000000"/>
        </w:rPr>
        <w:t xml:space="preserve"> of the </w:t>
      </w:r>
      <w:r w:rsidRPr="00DB052D">
        <w:rPr>
          <w:rFonts w:ascii="Open Sans" w:hAnsi="Open Sans" w:cs="Open Sans"/>
        </w:rPr>
        <w:t>Act</w:t>
      </w:r>
      <w:r w:rsidR="00882F72">
        <w:rPr>
          <w:rFonts w:ascii="Open Sans" w:hAnsi="Open Sans" w:cs="Open Sans"/>
        </w:rPr>
        <w:t xml:space="preserve">, unless the Law Clinic </w:t>
      </w:r>
      <w:r w:rsidR="002A6C49">
        <w:rPr>
          <w:rFonts w:ascii="Open Sans" w:hAnsi="Open Sans" w:cs="Open Sans"/>
        </w:rPr>
        <w:t>is regulated as an entity by the IAA</w:t>
      </w:r>
      <w:r w:rsidR="00D65714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the supervisor meets the </w:t>
      </w:r>
      <w:hyperlink r:id="rId13" w:history="1">
        <w:r w:rsidRPr="001D2DB0">
          <w:rPr>
            <w:rStyle w:val="Hyperlink"/>
            <w:rFonts w:ascii="Open Sans" w:hAnsi="Open Sans" w:cs="Open Sans"/>
          </w:rPr>
          <w:t>IAA’s supervision requirements</w:t>
        </w:r>
      </w:hyperlink>
      <w:r>
        <w:rPr>
          <w:rStyle w:val="FootnoteReference"/>
          <w:rFonts w:ascii="Open Sans" w:hAnsi="Open Sans" w:cs="Open Sans"/>
          <w:color w:val="0563C1" w:themeColor="hyperlink"/>
          <w:u w:val="single"/>
        </w:rPr>
        <w:footnoteReference w:id="3"/>
      </w:r>
      <w:r>
        <w:rPr>
          <w:rFonts w:ascii="Open Sans" w:hAnsi="Open Sans" w:cs="Open Sans"/>
        </w:rPr>
        <w:t xml:space="preserve"> and an application to supervise has been made to and agreed in advance by the IAA</w:t>
      </w:r>
      <w:r w:rsidR="005E4C51">
        <w:rPr>
          <w:rFonts w:ascii="Open Sans" w:hAnsi="Open Sans" w:cs="Open Sans"/>
        </w:rPr>
        <w:t xml:space="preserve">. Where the IAA have authorised </w:t>
      </w:r>
      <w:r w:rsidR="00FF7EAA">
        <w:rPr>
          <w:rFonts w:ascii="Open Sans" w:hAnsi="Open Sans" w:cs="Open Sans"/>
        </w:rPr>
        <w:t>such supervision</w:t>
      </w:r>
      <w:r w:rsidR="00BB03A8">
        <w:rPr>
          <w:rFonts w:ascii="Open Sans" w:hAnsi="Open Sans" w:cs="Open Sans"/>
        </w:rPr>
        <w:t>,</w:t>
      </w:r>
      <w:r w:rsidR="00913F77">
        <w:rPr>
          <w:rFonts w:ascii="Open Sans" w:hAnsi="Open Sans" w:cs="Open Sans"/>
        </w:rPr>
        <w:t xml:space="preserve"> </w:t>
      </w:r>
      <w:r w:rsidR="00C06B6A">
        <w:rPr>
          <w:rFonts w:ascii="Open Sans" w:hAnsi="Open Sans" w:cs="Open Sans"/>
        </w:rPr>
        <w:t>non-qualified persons and students may provide immigration advice and services to the public</w:t>
      </w:r>
      <w:r w:rsidR="00FF7EAA">
        <w:rPr>
          <w:rFonts w:ascii="Open Sans" w:hAnsi="Open Sans" w:cs="Open Sans"/>
        </w:rPr>
        <w:t xml:space="preserve"> by virtue of </w:t>
      </w:r>
      <w:r w:rsidR="00FF7EAA">
        <w:rPr>
          <w:rFonts w:ascii="Open Sans" w:hAnsi="Open Sans" w:cs="Open Sans"/>
          <w:color w:val="000000"/>
        </w:rPr>
        <w:t xml:space="preserve">Section 84 (2)e of the </w:t>
      </w:r>
      <w:r w:rsidR="00FF7EAA" w:rsidRPr="00DB052D">
        <w:rPr>
          <w:rFonts w:ascii="Open Sans" w:hAnsi="Open Sans" w:cs="Open Sans"/>
        </w:rPr>
        <w:t>Act</w:t>
      </w:r>
      <w:r w:rsidR="000879ED">
        <w:rPr>
          <w:rFonts w:ascii="Open Sans" w:hAnsi="Open Sans" w:cs="Open Sans"/>
        </w:rPr>
        <w:t>.</w:t>
      </w:r>
    </w:p>
    <w:p w14:paraId="3C3ADCEF" w14:textId="46E6DBB9" w:rsidR="00B16A82" w:rsidRPr="001E73C5" w:rsidRDefault="00245617" w:rsidP="00B16A82">
      <w:pPr>
        <w:spacing w:before="100" w:beforeAutospacing="1" w:after="100" w:afterAutospacing="1" w:line="240" w:lineRule="auto"/>
        <w:rPr>
          <w:rFonts w:ascii="Open Sans" w:hAnsi="Open Sans" w:cs="Open Sans"/>
          <w:i/>
          <w:iCs/>
          <w:color w:val="0070C0"/>
          <w:u w:val="single"/>
        </w:rPr>
      </w:pPr>
      <w:r w:rsidRPr="001E73C5">
        <w:rPr>
          <w:rFonts w:ascii="Open Sans" w:hAnsi="Open Sans" w:cs="Open Sans"/>
          <w:i/>
          <w:iCs/>
          <w:color w:val="0070C0"/>
          <w:u w:val="single"/>
        </w:rPr>
        <w:t>External supervision by practising solicitors employed in a</w:t>
      </w:r>
      <w:r w:rsidR="007D76A5" w:rsidRPr="001E73C5">
        <w:rPr>
          <w:rFonts w:ascii="Open Sans" w:hAnsi="Open Sans" w:cs="Open Sans"/>
          <w:i/>
          <w:iCs/>
          <w:color w:val="0070C0"/>
          <w:u w:val="single"/>
        </w:rPr>
        <w:t>n</w:t>
      </w:r>
      <w:r w:rsidRPr="001E73C5">
        <w:rPr>
          <w:rFonts w:ascii="Open Sans" w:hAnsi="Open Sans" w:cs="Open Sans"/>
          <w:i/>
          <w:iCs/>
          <w:color w:val="0070C0"/>
          <w:u w:val="single"/>
        </w:rPr>
        <w:t xml:space="preserve"> </w:t>
      </w:r>
      <w:r w:rsidR="007D76A5" w:rsidRPr="001E73C5">
        <w:rPr>
          <w:rFonts w:ascii="Open Sans" w:hAnsi="Open Sans" w:cs="Open Sans"/>
          <w:i/>
          <w:iCs/>
          <w:color w:val="0070C0"/>
          <w:u w:val="single"/>
        </w:rPr>
        <w:t xml:space="preserve">SRA-regulated </w:t>
      </w:r>
      <w:r w:rsidRPr="001E73C5">
        <w:rPr>
          <w:rFonts w:ascii="Open Sans" w:hAnsi="Open Sans" w:cs="Open Sans"/>
          <w:i/>
          <w:iCs/>
          <w:color w:val="0070C0"/>
          <w:u w:val="single"/>
        </w:rPr>
        <w:t xml:space="preserve">firm </w:t>
      </w:r>
    </w:p>
    <w:p w14:paraId="3F5D928F" w14:textId="16C10275" w:rsidR="00AF15EF" w:rsidRDefault="001B203D" w:rsidP="00B16A82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I</w:t>
      </w:r>
      <w:r w:rsidR="00B13627" w:rsidRPr="00DB052D">
        <w:rPr>
          <w:rFonts w:ascii="Open Sans" w:hAnsi="Open Sans" w:cs="Open Sans"/>
          <w:color w:val="000000"/>
        </w:rPr>
        <w:t>n England and Wales</w:t>
      </w:r>
      <w:r w:rsidR="00990540">
        <w:rPr>
          <w:rFonts w:ascii="Open Sans" w:hAnsi="Open Sans" w:cs="Open Sans"/>
          <w:color w:val="000000"/>
        </w:rPr>
        <w:t xml:space="preserve">, </w:t>
      </w:r>
      <w:r w:rsidR="007A0B3F" w:rsidRPr="00DB052D">
        <w:rPr>
          <w:rFonts w:ascii="Open Sans" w:hAnsi="Open Sans" w:cs="Open Sans"/>
          <w:color w:val="000000"/>
        </w:rPr>
        <w:t xml:space="preserve">a practising </w:t>
      </w:r>
      <w:r w:rsidR="007A0B3F" w:rsidRPr="00FE581A">
        <w:rPr>
          <w:rFonts w:ascii="Open Sans" w:hAnsi="Open Sans" w:cs="Open Sans"/>
          <w:color w:val="000000"/>
        </w:rPr>
        <w:t xml:space="preserve">solicitor </w:t>
      </w:r>
      <w:r w:rsidR="002D2703" w:rsidRPr="00FE581A">
        <w:rPr>
          <w:rFonts w:ascii="Open Sans" w:hAnsi="Open Sans" w:cs="Open Sans"/>
          <w:color w:val="000000"/>
        </w:rPr>
        <w:t>employed</w:t>
      </w:r>
      <w:r w:rsidR="007A0B3F" w:rsidRPr="00FE581A">
        <w:rPr>
          <w:rFonts w:ascii="Open Sans" w:hAnsi="Open Sans" w:cs="Open Sans"/>
          <w:color w:val="000000"/>
        </w:rPr>
        <w:t xml:space="preserve"> in a</w:t>
      </w:r>
      <w:r w:rsidR="002D2703" w:rsidRPr="00FE581A">
        <w:rPr>
          <w:rFonts w:ascii="Open Sans" w:hAnsi="Open Sans" w:cs="Open Sans"/>
          <w:color w:val="000000"/>
        </w:rPr>
        <w:t xml:space="preserve"> firm of solicitors regulated by the Solicitors’ Regulation Authority (SRA),</w:t>
      </w:r>
      <w:r w:rsidR="007A0B3F" w:rsidRPr="00FE581A">
        <w:rPr>
          <w:rFonts w:ascii="Open Sans" w:hAnsi="Open Sans" w:cs="Open Sans"/>
          <w:color w:val="000000"/>
        </w:rPr>
        <w:t xml:space="preserve"> </w:t>
      </w:r>
      <w:r w:rsidR="00D40CF3" w:rsidRPr="00FE581A">
        <w:rPr>
          <w:rFonts w:ascii="Open Sans" w:hAnsi="Open Sans" w:cs="Open Sans"/>
          <w:color w:val="000000"/>
        </w:rPr>
        <w:t>is</w:t>
      </w:r>
      <w:r w:rsidR="007A0B3F">
        <w:rPr>
          <w:rFonts w:ascii="Open Sans" w:hAnsi="Open Sans" w:cs="Open Sans"/>
          <w:color w:val="000000"/>
        </w:rPr>
        <w:t xml:space="preserve"> </w:t>
      </w:r>
      <w:r w:rsidR="007A0B3F" w:rsidRPr="00DB052D">
        <w:rPr>
          <w:rFonts w:ascii="Open Sans" w:hAnsi="Open Sans" w:cs="Open Sans"/>
          <w:color w:val="000000"/>
        </w:rPr>
        <w:t xml:space="preserve">permitted to supervise non-legally qualified </w:t>
      </w:r>
      <w:r w:rsidR="002D2703">
        <w:rPr>
          <w:rFonts w:ascii="Open Sans" w:hAnsi="Open Sans" w:cs="Open Sans"/>
          <w:color w:val="000000"/>
        </w:rPr>
        <w:t xml:space="preserve">individuals </w:t>
      </w:r>
      <w:proofErr w:type="gramStart"/>
      <w:r w:rsidR="00585411">
        <w:rPr>
          <w:rFonts w:ascii="Open Sans" w:hAnsi="Open Sans" w:cs="Open Sans"/>
          <w:color w:val="000000"/>
        </w:rPr>
        <w:t>so as to</w:t>
      </w:r>
      <w:proofErr w:type="gramEnd"/>
      <w:r w:rsidR="00585411">
        <w:rPr>
          <w:rFonts w:ascii="Open Sans" w:hAnsi="Open Sans" w:cs="Open Sans"/>
          <w:color w:val="000000"/>
        </w:rPr>
        <w:t xml:space="preserve"> make them a ‘qualified person’ </w:t>
      </w:r>
      <w:r w:rsidR="00BB03A8">
        <w:rPr>
          <w:rFonts w:ascii="Open Sans" w:hAnsi="Open Sans" w:cs="Open Sans"/>
          <w:color w:val="000000"/>
        </w:rPr>
        <w:t>under</w:t>
      </w:r>
      <w:r w:rsidR="00236134" w:rsidRPr="00236134">
        <w:rPr>
          <w:rFonts w:ascii="Open Sans" w:hAnsi="Open Sans" w:cs="Open Sans"/>
          <w:color w:val="000000"/>
        </w:rPr>
        <w:t xml:space="preserve"> </w:t>
      </w:r>
      <w:r w:rsidR="00236134">
        <w:rPr>
          <w:rFonts w:ascii="Open Sans" w:hAnsi="Open Sans" w:cs="Open Sans"/>
          <w:color w:val="000000"/>
        </w:rPr>
        <w:t>Section 84(2)</w:t>
      </w:r>
      <w:r w:rsidR="00F67F86">
        <w:rPr>
          <w:rFonts w:ascii="Open Sans" w:hAnsi="Open Sans" w:cs="Open Sans"/>
          <w:color w:val="000000"/>
        </w:rPr>
        <w:t>(</w:t>
      </w:r>
      <w:r w:rsidR="00236134">
        <w:rPr>
          <w:rFonts w:ascii="Open Sans" w:hAnsi="Open Sans" w:cs="Open Sans"/>
          <w:color w:val="000000"/>
        </w:rPr>
        <w:t>e</w:t>
      </w:r>
      <w:r w:rsidR="00F67F86">
        <w:rPr>
          <w:rFonts w:ascii="Open Sans" w:hAnsi="Open Sans" w:cs="Open Sans"/>
          <w:color w:val="000000"/>
        </w:rPr>
        <w:t>)</w:t>
      </w:r>
      <w:r w:rsidR="00236134">
        <w:rPr>
          <w:rFonts w:ascii="Open Sans" w:hAnsi="Open Sans" w:cs="Open Sans"/>
          <w:color w:val="000000"/>
        </w:rPr>
        <w:t xml:space="preserve"> of the </w:t>
      </w:r>
      <w:r w:rsidR="00236134" w:rsidRPr="00DB052D">
        <w:rPr>
          <w:rFonts w:ascii="Open Sans" w:hAnsi="Open Sans" w:cs="Open Sans"/>
        </w:rPr>
        <w:t>Act</w:t>
      </w:r>
      <w:r w:rsidR="007C0FD2">
        <w:rPr>
          <w:rFonts w:ascii="Open Sans" w:hAnsi="Open Sans" w:cs="Open Sans"/>
          <w:color w:val="000000"/>
        </w:rPr>
        <w:t xml:space="preserve">, </w:t>
      </w:r>
      <w:r w:rsidR="007A0B3F" w:rsidRPr="00DB052D">
        <w:rPr>
          <w:rFonts w:ascii="Open Sans" w:hAnsi="Open Sans" w:cs="Open Sans"/>
          <w:color w:val="000000"/>
        </w:rPr>
        <w:t>to provide immigration advice and services</w:t>
      </w:r>
      <w:r w:rsidR="00467839">
        <w:rPr>
          <w:rFonts w:ascii="Open Sans" w:hAnsi="Open Sans" w:cs="Open Sans"/>
          <w:color w:val="000000"/>
        </w:rPr>
        <w:t xml:space="preserve"> to the public</w:t>
      </w:r>
      <w:r w:rsidR="00F52AE1">
        <w:rPr>
          <w:rFonts w:ascii="Open Sans" w:hAnsi="Open Sans" w:cs="Open Sans"/>
          <w:color w:val="000000"/>
        </w:rPr>
        <w:t>, provided the SRA’s supervision requirements are met</w:t>
      </w:r>
      <w:r w:rsidR="00F52AE1">
        <w:rPr>
          <w:rStyle w:val="FootnoteReference"/>
          <w:rFonts w:ascii="Open Sans" w:hAnsi="Open Sans" w:cs="Open Sans"/>
          <w:color w:val="000000"/>
        </w:rPr>
        <w:footnoteReference w:id="4"/>
      </w:r>
      <w:r w:rsidR="007A0B3F">
        <w:rPr>
          <w:rFonts w:ascii="Open Sans" w:hAnsi="Open Sans" w:cs="Open Sans"/>
          <w:color w:val="000000"/>
        </w:rPr>
        <w:t xml:space="preserve">. </w:t>
      </w:r>
    </w:p>
    <w:p w14:paraId="622B17FD" w14:textId="59EF4ECE" w:rsidR="00345285" w:rsidRDefault="00B835D4" w:rsidP="00B16A82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For University Law Clinics, t</w:t>
      </w:r>
      <w:r w:rsidR="00BD7D26">
        <w:rPr>
          <w:rFonts w:ascii="Open Sans" w:hAnsi="Open Sans" w:cs="Open Sans"/>
          <w:color w:val="000000"/>
        </w:rPr>
        <w:t xml:space="preserve">his </w:t>
      </w:r>
      <w:r w:rsidR="00F3222A">
        <w:rPr>
          <w:rFonts w:ascii="Open Sans" w:hAnsi="Open Sans" w:cs="Open Sans"/>
          <w:color w:val="000000"/>
        </w:rPr>
        <w:t xml:space="preserve">means that practising solicitors employed in </w:t>
      </w:r>
      <w:r>
        <w:rPr>
          <w:rFonts w:ascii="Open Sans" w:hAnsi="Open Sans" w:cs="Open Sans"/>
          <w:color w:val="000000"/>
        </w:rPr>
        <w:t xml:space="preserve">external </w:t>
      </w:r>
      <w:r w:rsidR="00F72A19">
        <w:rPr>
          <w:rFonts w:ascii="Open Sans" w:hAnsi="Open Sans" w:cs="Open Sans"/>
          <w:color w:val="000000"/>
        </w:rPr>
        <w:t>SRA-</w:t>
      </w:r>
      <w:r w:rsidR="00F3222A">
        <w:rPr>
          <w:rFonts w:ascii="Open Sans" w:hAnsi="Open Sans" w:cs="Open Sans"/>
          <w:color w:val="000000"/>
        </w:rPr>
        <w:t>regulated solicitors</w:t>
      </w:r>
      <w:r w:rsidR="002C7C20">
        <w:rPr>
          <w:rFonts w:ascii="Open Sans" w:hAnsi="Open Sans" w:cs="Open Sans"/>
          <w:color w:val="000000"/>
        </w:rPr>
        <w:t>’ firms</w:t>
      </w:r>
      <w:r w:rsidR="00F3222A">
        <w:rPr>
          <w:rFonts w:ascii="Open Sans" w:hAnsi="Open Sans" w:cs="Open Sans"/>
          <w:color w:val="000000"/>
        </w:rPr>
        <w:t xml:space="preserve"> </w:t>
      </w:r>
      <w:r w:rsidR="00464F26">
        <w:rPr>
          <w:rFonts w:ascii="Open Sans" w:hAnsi="Open Sans" w:cs="Open Sans"/>
          <w:color w:val="000000"/>
        </w:rPr>
        <w:t xml:space="preserve">are permitted to supervise immigration work </w:t>
      </w:r>
      <w:r w:rsidR="00F72A19">
        <w:rPr>
          <w:rFonts w:ascii="Open Sans" w:hAnsi="Open Sans" w:cs="Open Sans"/>
          <w:color w:val="000000"/>
        </w:rPr>
        <w:t xml:space="preserve">within the clinic </w:t>
      </w:r>
      <w:r w:rsidR="00154107">
        <w:rPr>
          <w:rFonts w:ascii="Open Sans" w:hAnsi="Open Sans" w:cs="Open Sans"/>
          <w:color w:val="000000"/>
        </w:rPr>
        <w:t>in the following ways</w:t>
      </w:r>
      <w:r w:rsidR="00345285">
        <w:rPr>
          <w:rFonts w:ascii="Open Sans" w:hAnsi="Open Sans" w:cs="Open Sans"/>
          <w:color w:val="000000"/>
        </w:rPr>
        <w:t>:</w:t>
      </w:r>
    </w:p>
    <w:p w14:paraId="530554EE" w14:textId="321B461D" w:rsidR="0032233B" w:rsidRDefault="0032233B" w:rsidP="0034528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P</w:t>
      </w:r>
      <w:r w:rsidR="00CA0509" w:rsidRPr="00007EA8">
        <w:rPr>
          <w:rFonts w:ascii="Open Sans" w:hAnsi="Open Sans" w:cs="Open Sans"/>
          <w:color w:val="000000"/>
        </w:rPr>
        <w:t xml:space="preserve">ractising </w:t>
      </w:r>
      <w:r w:rsidR="00133847" w:rsidRPr="00007EA8">
        <w:rPr>
          <w:rFonts w:ascii="Open Sans" w:hAnsi="Open Sans" w:cs="Open Sans"/>
          <w:color w:val="000000"/>
        </w:rPr>
        <w:t>solicitors employed</w:t>
      </w:r>
      <w:r w:rsidR="00CA0509" w:rsidRPr="00007EA8">
        <w:rPr>
          <w:rFonts w:ascii="Open Sans" w:hAnsi="Open Sans" w:cs="Open Sans"/>
          <w:color w:val="000000"/>
        </w:rPr>
        <w:t xml:space="preserve"> in regulated </w:t>
      </w:r>
      <w:r w:rsidR="00E709BE" w:rsidRPr="00007EA8">
        <w:rPr>
          <w:rFonts w:ascii="Open Sans" w:hAnsi="Open Sans" w:cs="Open Sans"/>
          <w:color w:val="000000"/>
        </w:rPr>
        <w:t xml:space="preserve">external </w:t>
      </w:r>
      <w:r w:rsidR="00CA0509" w:rsidRPr="00007EA8">
        <w:rPr>
          <w:rFonts w:ascii="Open Sans" w:hAnsi="Open Sans" w:cs="Open Sans"/>
          <w:color w:val="000000"/>
        </w:rPr>
        <w:t>firms</w:t>
      </w:r>
      <w:r w:rsidR="00B11F16" w:rsidRPr="00007EA8">
        <w:rPr>
          <w:rFonts w:ascii="Open Sans" w:hAnsi="Open Sans" w:cs="Open Sans"/>
          <w:color w:val="000000"/>
        </w:rPr>
        <w:t xml:space="preserve"> provid</w:t>
      </w:r>
      <w:r w:rsidR="00B940A3">
        <w:rPr>
          <w:rFonts w:ascii="Open Sans" w:hAnsi="Open Sans" w:cs="Open Sans"/>
          <w:color w:val="000000"/>
        </w:rPr>
        <w:t>e</w:t>
      </w:r>
      <w:r w:rsidR="00B11F16" w:rsidRPr="00007EA8">
        <w:rPr>
          <w:rFonts w:ascii="Open Sans" w:hAnsi="Open Sans" w:cs="Open Sans"/>
          <w:color w:val="000000"/>
        </w:rPr>
        <w:t xml:space="preserve"> advice in the firm</w:t>
      </w:r>
      <w:r w:rsidR="001D3522" w:rsidRPr="00007EA8">
        <w:rPr>
          <w:rFonts w:ascii="Open Sans" w:hAnsi="Open Sans" w:cs="Open Sans"/>
          <w:color w:val="000000"/>
        </w:rPr>
        <w:t>’</w:t>
      </w:r>
      <w:r w:rsidR="00B11F16" w:rsidRPr="00007EA8">
        <w:rPr>
          <w:rFonts w:ascii="Open Sans" w:hAnsi="Open Sans" w:cs="Open Sans"/>
          <w:color w:val="000000"/>
        </w:rPr>
        <w:t xml:space="preserve">s name, with students assisting </w:t>
      </w:r>
      <w:r w:rsidR="00B62F04">
        <w:rPr>
          <w:rFonts w:ascii="Open Sans" w:hAnsi="Open Sans" w:cs="Open Sans"/>
          <w:color w:val="000000"/>
        </w:rPr>
        <w:t xml:space="preserve">or shadowing </w:t>
      </w:r>
      <w:r w:rsidR="00B11F16" w:rsidRPr="00007EA8">
        <w:rPr>
          <w:rFonts w:ascii="Open Sans" w:hAnsi="Open Sans" w:cs="Open Sans"/>
          <w:color w:val="000000"/>
        </w:rPr>
        <w:t xml:space="preserve">under </w:t>
      </w:r>
      <w:r w:rsidR="00B62F04">
        <w:rPr>
          <w:rFonts w:ascii="Open Sans" w:hAnsi="Open Sans" w:cs="Open Sans"/>
          <w:color w:val="000000"/>
        </w:rPr>
        <w:t>the</w:t>
      </w:r>
      <w:r w:rsidR="00B11F16" w:rsidRPr="00007EA8">
        <w:rPr>
          <w:rFonts w:ascii="Open Sans" w:hAnsi="Open Sans" w:cs="Open Sans"/>
          <w:color w:val="000000"/>
        </w:rPr>
        <w:t xml:space="preserve"> solicitor</w:t>
      </w:r>
      <w:r w:rsidR="00B11F16" w:rsidRPr="006D3C81">
        <w:rPr>
          <w:rFonts w:ascii="Open Sans" w:hAnsi="Open Sans" w:cs="Open Sans"/>
          <w:color w:val="000000"/>
        </w:rPr>
        <w:t>s</w:t>
      </w:r>
      <w:r w:rsidR="00B62F04">
        <w:rPr>
          <w:rFonts w:ascii="Open Sans" w:hAnsi="Open Sans" w:cs="Open Sans"/>
          <w:color w:val="000000"/>
        </w:rPr>
        <w:t>’</w:t>
      </w:r>
      <w:r w:rsidR="00B11F16" w:rsidRPr="006D3C81">
        <w:rPr>
          <w:rFonts w:ascii="Open Sans" w:hAnsi="Open Sans" w:cs="Open Sans"/>
          <w:color w:val="000000"/>
        </w:rPr>
        <w:t xml:space="preserve"> </w:t>
      </w:r>
      <w:r w:rsidR="00B11F16" w:rsidRPr="006D3C81">
        <w:rPr>
          <w:rFonts w:ascii="Open Sans" w:hAnsi="Open Sans" w:cs="Open Sans"/>
          <w:color w:val="000000"/>
        </w:rPr>
        <w:lastRenderedPageBreak/>
        <w:t>supervision.</w:t>
      </w:r>
      <w:r w:rsidR="00C474AE">
        <w:rPr>
          <w:rFonts w:ascii="Open Sans" w:hAnsi="Open Sans" w:cs="Open Sans"/>
          <w:color w:val="000000"/>
        </w:rPr>
        <w:t xml:space="preserve"> This does not ordinarily require the </w:t>
      </w:r>
      <w:r w:rsidR="00560F39">
        <w:rPr>
          <w:rFonts w:ascii="Open Sans" w:hAnsi="Open Sans" w:cs="Open Sans"/>
          <w:color w:val="000000"/>
        </w:rPr>
        <w:t xml:space="preserve">University Law Clinic </w:t>
      </w:r>
      <w:r w:rsidR="00796A92">
        <w:rPr>
          <w:rFonts w:ascii="Open Sans" w:hAnsi="Open Sans" w:cs="Open Sans"/>
          <w:color w:val="000000"/>
        </w:rPr>
        <w:t xml:space="preserve">or the students </w:t>
      </w:r>
      <w:r w:rsidR="00560F39">
        <w:rPr>
          <w:rFonts w:ascii="Open Sans" w:hAnsi="Open Sans" w:cs="Open Sans"/>
          <w:color w:val="000000"/>
        </w:rPr>
        <w:t xml:space="preserve">to be IAA registered as the advice is provided directly by the external firm. </w:t>
      </w:r>
    </w:p>
    <w:p w14:paraId="173AE93E" w14:textId="2BC29BBB" w:rsidR="007C5339" w:rsidRPr="008044DD" w:rsidRDefault="0032233B" w:rsidP="00B16A8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P</w:t>
      </w:r>
      <w:r w:rsidR="00957B92" w:rsidRPr="00007EA8">
        <w:rPr>
          <w:rFonts w:ascii="Open Sans" w:hAnsi="Open Sans" w:cs="Open Sans"/>
          <w:color w:val="000000"/>
        </w:rPr>
        <w:t>racti</w:t>
      </w:r>
      <w:r w:rsidR="004349FF" w:rsidRPr="00007EA8">
        <w:rPr>
          <w:rFonts w:ascii="Open Sans" w:hAnsi="Open Sans" w:cs="Open Sans"/>
          <w:color w:val="000000"/>
        </w:rPr>
        <w:t xml:space="preserve">sing solicitors employed in regulated external firms, </w:t>
      </w:r>
      <w:r w:rsidR="004F4778">
        <w:rPr>
          <w:rFonts w:ascii="Open Sans" w:hAnsi="Open Sans" w:cs="Open Sans"/>
          <w:color w:val="000000"/>
        </w:rPr>
        <w:t xml:space="preserve">can </w:t>
      </w:r>
      <w:r w:rsidR="00FD1541">
        <w:rPr>
          <w:rFonts w:ascii="Open Sans" w:hAnsi="Open Sans" w:cs="Open Sans"/>
          <w:color w:val="000000"/>
        </w:rPr>
        <w:t>supervise</w:t>
      </w:r>
      <w:r w:rsidR="002A672C">
        <w:rPr>
          <w:rFonts w:ascii="Open Sans" w:hAnsi="Open Sans" w:cs="Open Sans"/>
          <w:color w:val="000000"/>
        </w:rPr>
        <w:t xml:space="preserve"> students providing advice in the </w:t>
      </w:r>
      <w:r w:rsidR="00C5029B">
        <w:rPr>
          <w:rFonts w:ascii="Open Sans" w:hAnsi="Open Sans" w:cs="Open Sans"/>
          <w:color w:val="000000"/>
        </w:rPr>
        <w:t>University Law Clinic’s name</w:t>
      </w:r>
      <w:r w:rsidR="005D4255">
        <w:rPr>
          <w:rFonts w:ascii="Open Sans" w:hAnsi="Open Sans" w:cs="Open Sans"/>
          <w:color w:val="000000"/>
        </w:rPr>
        <w:t xml:space="preserve">, </w:t>
      </w:r>
      <w:r w:rsidR="00594749">
        <w:rPr>
          <w:rFonts w:ascii="Open Sans" w:hAnsi="Open Sans" w:cs="Open Sans"/>
          <w:color w:val="000000"/>
        </w:rPr>
        <w:t xml:space="preserve">where the Law Clinic is regulated by the IAA and the IAA have </w:t>
      </w:r>
      <w:r w:rsidR="00582598">
        <w:rPr>
          <w:rFonts w:ascii="Open Sans" w:hAnsi="Open Sans" w:cs="Open Sans"/>
          <w:color w:val="000000"/>
        </w:rPr>
        <w:t xml:space="preserve">authorised the supervision arrangement. </w:t>
      </w:r>
      <w:r w:rsidR="00251D90">
        <w:rPr>
          <w:rFonts w:ascii="Open Sans" w:hAnsi="Open Sans" w:cs="Open Sans"/>
          <w:color w:val="000000"/>
        </w:rPr>
        <w:t>Ordinar</w:t>
      </w:r>
      <w:r w:rsidR="00892E16">
        <w:rPr>
          <w:rFonts w:ascii="Open Sans" w:hAnsi="Open Sans" w:cs="Open Sans"/>
          <w:color w:val="000000"/>
        </w:rPr>
        <w:t>il</w:t>
      </w:r>
      <w:r w:rsidR="00251D90">
        <w:rPr>
          <w:rFonts w:ascii="Open Sans" w:hAnsi="Open Sans" w:cs="Open Sans"/>
          <w:color w:val="000000"/>
        </w:rPr>
        <w:t>y external persons cannot supervise in this fashion within the IAA scheme</w:t>
      </w:r>
      <w:r w:rsidR="0021032C">
        <w:rPr>
          <w:rFonts w:ascii="Open Sans" w:hAnsi="Open Sans" w:cs="Open Sans"/>
          <w:color w:val="000000"/>
        </w:rPr>
        <w:t xml:space="preserve"> without IAA approval</w:t>
      </w:r>
      <w:r w:rsidR="00251D90">
        <w:rPr>
          <w:rFonts w:ascii="Open Sans" w:hAnsi="Open Sans" w:cs="Open Sans"/>
          <w:color w:val="000000"/>
        </w:rPr>
        <w:t xml:space="preserve">. </w:t>
      </w:r>
    </w:p>
    <w:p w14:paraId="47BF363D" w14:textId="1DA41E5D" w:rsidR="00997E1F" w:rsidRPr="00484611" w:rsidRDefault="00997E1F" w:rsidP="00B16A82">
      <w:pPr>
        <w:spacing w:before="100" w:beforeAutospacing="1" w:after="100" w:afterAutospacing="1" w:line="240" w:lineRule="auto"/>
        <w:rPr>
          <w:rFonts w:ascii="Open Sans" w:hAnsi="Open Sans" w:cs="Open Sans"/>
          <w:b/>
          <w:bCs/>
          <w:color w:val="09123A"/>
        </w:rPr>
      </w:pPr>
      <w:r w:rsidRPr="00484611">
        <w:rPr>
          <w:rFonts w:ascii="Open Sans" w:hAnsi="Open Sans" w:cs="Open Sans"/>
          <w:b/>
          <w:bCs/>
          <w:color w:val="09123A"/>
        </w:rPr>
        <w:t xml:space="preserve">Scotland and N. Ireland </w:t>
      </w:r>
    </w:p>
    <w:p w14:paraId="0183A3C8" w14:textId="6AB1BA05" w:rsidR="00997E1F" w:rsidRPr="00D1611E" w:rsidRDefault="00997E1F" w:rsidP="00B16A82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B052D">
        <w:rPr>
          <w:rFonts w:ascii="Open Sans" w:hAnsi="Open Sans" w:cs="Open Sans"/>
          <w:color w:val="000000"/>
        </w:rPr>
        <w:t>In Scotland and N. Ireland a practising solicitor or barrister is normally permitted to supervise non-legally qualified staff</w:t>
      </w:r>
      <w:r w:rsidR="007C5339">
        <w:rPr>
          <w:rFonts w:ascii="Open Sans" w:hAnsi="Open Sans" w:cs="Open Sans"/>
          <w:color w:val="000000"/>
        </w:rPr>
        <w:t xml:space="preserve"> </w:t>
      </w:r>
      <w:proofErr w:type="gramStart"/>
      <w:r w:rsidR="007C5339">
        <w:rPr>
          <w:rFonts w:ascii="Open Sans" w:hAnsi="Open Sans" w:cs="Open Sans"/>
          <w:color w:val="000000"/>
        </w:rPr>
        <w:t>so as to</w:t>
      </w:r>
      <w:proofErr w:type="gramEnd"/>
      <w:r w:rsidR="007C5339">
        <w:rPr>
          <w:rFonts w:ascii="Open Sans" w:hAnsi="Open Sans" w:cs="Open Sans"/>
          <w:color w:val="000000"/>
        </w:rPr>
        <w:t xml:space="preserve"> make them a ‘qualified person’ </w:t>
      </w:r>
      <w:r w:rsidR="00582598">
        <w:rPr>
          <w:rFonts w:ascii="Open Sans" w:hAnsi="Open Sans" w:cs="Open Sans"/>
          <w:color w:val="000000"/>
        </w:rPr>
        <w:t xml:space="preserve">permitted </w:t>
      </w:r>
      <w:r w:rsidR="00582598" w:rsidRPr="00DB052D">
        <w:rPr>
          <w:rFonts w:ascii="Open Sans" w:hAnsi="Open Sans" w:cs="Open Sans"/>
          <w:color w:val="000000"/>
        </w:rPr>
        <w:t>to</w:t>
      </w:r>
      <w:r w:rsidRPr="00DB052D">
        <w:rPr>
          <w:rFonts w:ascii="Open Sans" w:hAnsi="Open Sans" w:cs="Open Sans"/>
          <w:color w:val="000000"/>
        </w:rPr>
        <w:t xml:space="preserve"> provide immigration advice and services</w:t>
      </w:r>
      <w:r w:rsidR="00F2725D">
        <w:rPr>
          <w:rFonts w:ascii="Open Sans" w:hAnsi="Open Sans" w:cs="Open Sans"/>
          <w:color w:val="000000"/>
        </w:rPr>
        <w:t xml:space="preserve">, by virtue of </w:t>
      </w:r>
      <w:r w:rsidR="00F2725D" w:rsidRPr="005569C7">
        <w:rPr>
          <w:rFonts w:ascii="Open Sans" w:hAnsi="Open Sans" w:cs="Open Sans"/>
          <w:color w:val="000000"/>
        </w:rPr>
        <w:t>Section 84</w:t>
      </w:r>
      <w:r w:rsidR="00F2725D">
        <w:rPr>
          <w:rFonts w:ascii="Open Sans" w:hAnsi="Open Sans" w:cs="Open Sans"/>
          <w:color w:val="000000"/>
        </w:rPr>
        <w:t>(2)</w:t>
      </w:r>
      <w:r w:rsidR="00CF7229">
        <w:rPr>
          <w:rFonts w:ascii="Open Sans" w:hAnsi="Open Sans" w:cs="Open Sans"/>
          <w:color w:val="000000"/>
        </w:rPr>
        <w:t>(</w:t>
      </w:r>
      <w:r w:rsidR="00F2725D">
        <w:rPr>
          <w:rFonts w:ascii="Open Sans" w:hAnsi="Open Sans" w:cs="Open Sans"/>
          <w:color w:val="000000"/>
        </w:rPr>
        <w:t>b</w:t>
      </w:r>
      <w:r w:rsidR="00CF7229">
        <w:rPr>
          <w:rFonts w:ascii="Open Sans" w:hAnsi="Open Sans" w:cs="Open Sans"/>
          <w:color w:val="000000"/>
        </w:rPr>
        <w:t>)</w:t>
      </w:r>
      <w:r>
        <w:rPr>
          <w:rFonts w:ascii="Open Sans" w:hAnsi="Open Sans" w:cs="Open Sans"/>
          <w:color w:val="000000"/>
        </w:rPr>
        <w:t xml:space="preserve"> </w:t>
      </w:r>
      <w:r w:rsidR="006B1B53">
        <w:rPr>
          <w:rFonts w:ascii="Open Sans" w:hAnsi="Open Sans" w:cs="Open Sans"/>
          <w:color w:val="000000"/>
        </w:rPr>
        <w:t xml:space="preserve">of the Act </w:t>
      </w:r>
      <w:r w:rsidRPr="00DB052D">
        <w:rPr>
          <w:rFonts w:ascii="Open Sans" w:hAnsi="Open Sans" w:cs="Open Sans"/>
          <w:color w:val="000000"/>
        </w:rPr>
        <w:t>while acting on behalf of their business or organisation</w:t>
      </w:r>
      <w:r>
        <w:rPr>
          <w:rFonts w:ascii="Open Sans" w:hAnsi="Open Sans" w:cs="Open Sans"/>
          <w:color w:val="000000"/>
        </w:rPr>
        <w:t>, regardless of the business or organisation’s legal structure</w:t>
      </w:r>
      <w:r w:rsidR="006B1B53">
        <w:rPr>
          <w:rFonts w:ascii="Open Sans" w:hAnsi="Open Sans" w:cs="Open Sans"/>
          <w:color w:val="000000"/>
        </w:rPr>
        <w:t>.</w:t>
      </w:r>
    </w:p>
    <w:p w14:paraId="28D0A7E3" w14:textId="0DBB29C0" w:rsidR="00B37FDD" w:rsidRPr="00484611" w:rsidRDefault="00B37FDD" w:rsidP="00B16A82">
      <w:pPr>
        <w:spacing w:before="100" w:beforeAutospacing="1" w:after="100" w:afterAutospacing="1" w:line="240" w:lineRule="auto"/>
        <w:rPr>
          <w:rFonts w:ascii="Open Sans" w:hAnsi="Open Sans" w:cs="Open Sans"/>
          <w:b/>
          <w:bCs/>
          <w:color w:val="09123A"/>
        </w:rPr>
      </w:pPr>
      <w:r w:rsidRPr="00484611">
        <w:rPr>
          <w:rFonts w:ascii="Open Sans" w:hAnsi="Open Sans" w:cs="Open Sans"/>
          <w:b/>
          <w:bCs/>
          <w:color w:val="09123A"/>
        </w:rPr>
        <w:t>Registration of students with</w:t>
      </w:r>
      <w:r w:rsidR="00497D0C" w:rsidRPr="00484611">
        <w:rPr>
          <w:rFonts w:ascii="Open Sans" w:hAnsi="Open Sans" w:cs="Open Sans"/>
          <w:b/>
          <w:bCs/>
          <w:color w:val="09123A"/>
        </w:rPr>
        <w:t xml:space="preserve"> the</w:t>
      </w:r>
      <w:r w:rsidRPr="00484611">
        <w:rPr>
          <w:rFonts w:ascii="Open Sans" w:hAnsi="Open Sans" w:cs="Open Sans"/>
          <w:b/>
          <w:bCs/>
          <w:color w:val="09123A"/>
        </w:rPr>
        <w:t xml:space="preserve"> IAA </w:t>
      </w:r>
    </w:p>
    <w:p w14:paraId="0BFAC0EF" w14:textId="1B57C821" w:rsidR="00596E1D" w:rsidRPr="00DB052D" w:rsidRDefault="00D90DFA" w:rsidP="005D0EF6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DB052D">
        <w:rPr>
          <w:rFonts w:ascii="Open Sans" w:hAnsi="Open Sans" w:cs="Open Sans"/>
          <w:color w:val="000000"/>
        </w:rPr>
        <w:t xml:space="preserve">University Law Clinics </w:t>
      </w:r>
      <w:r w:rsidR="00596E1D" w:rsidRPr="00DB052D">
        <w:rPr>
          <w:rFonts w:ascii="Open Sans" w:hAnsi="Open Sans" w:cs="Open Sans"/>
          <w:color w:val="000000"/>
        </w:rPr>
        <w:t xml:space="preserve">in England and Wales </w:t>
      </w:r>
      <w:r w:rsidRPr="00DB052D">
        <w:rPr>
          <w:rFonts w:ascii="Open Sans" w:hAnsi="Open Sans" w:cs="Open Sans"/>
          <w:color w:val="000000"/>
        </w:rPr>
        <w:t xml:space="preserve">who wish to give students direct </w:t>
      </w:r>
      <w:r w:rsidR="0048526C">
        <w:rPr>
          <w:rFonts w:ascii="Open Sans" w:hAnsi="Open Sans" w:cs="Open Sans"/>
          <w:color w:val="000000"/>
        </w:rPr>
        <w:t>(</w:t>
      </w:r>
      <w:r w:rsidR="0032131B">
        <w:rPr>
          <w:rFonts w:ascii="Open Sans" w:hAnsi="Open Sans" w:cs="Open Sans"/>
          <w:color w:val="000000"/>
        </w:rPr>
        <w:t xml:space="preserve">but still </w:t>
      </w:r>
      <w:r w:rsidR="0048526C">
        <w:rPr>
          <w:rFonts w:ascii="Open Sans" w:hAnsi="Open Sans" w:cs="Open Sans"/>
          <w:color w:val="000000"/>
        </w:rPr>
        <w:t xml:space="preserve">supervised) </w:t>
      </w:r>
      <w:r w:rsidR="00596E1D" w:rsidRPr="00DB052D">
        <w:rPr>
          <w:rFonts w:ascii="Open Sans" w:hAnsi="Open Sans" w:cs="Open Sans"/>
          <w:color w:val="000000"/>
        </w:rPr>
        <w:t>experience</w:t>
      </w:r>
      <w:r w:rsidRPr="00DB052D">
        <w:rPr>
          <w:rFonts w:ascii="Open Sans" w:hAnsi="Open Sans" w:cs="Open Sans"/>
          <w:color w:val="000000"/>
        </w:rPr>
        <w:t xml:space="preserve"> of providing immigration advice and services to the public </w:t>
      </w:r>
      <w:r w:rsidR="001D08B0">
        <w:rPr>
          <w:rFonts w:ascii="Open Sans" w:hAnsi="Open Sans" w:cs="Open Sans"/>
          <w:color w:val="000000"/>
        </w:rPr>
        <w:t>must</w:t>
      </w:r>
      <w:r w:rsidR="001D08B0" w:rsidRPr="00DB052D">
        <w:rPr>
          <w:rFonts w:ascii="Open Sans" w:hAnsi="Open Sans" w:cs="Open Sans"/>
          <w:color w:val="000000"/>
        </w:rPr>
        <w:t xml:space="preserve"> </w:t>
      </w:r>
      <w:r w:rsidR="00596E1D" w:rsidRPr="00DB052D">
        <w:rPr>
          <w:rFonts w:ascii="Open Sans" w:hAnsi="Open Sans" w:cs="Open Sans"/>
          <w:color w:val="000000"/>
        </w:rPr>
        <w:t>apply to the IAA for registration of the clinic as an entity with the Commissioner</w:t>
      </w:r>
      <w:r w:rsidR="0048526C">
        <w:rPr>
          <w:rFonts w:ascii="Open Sans" w:hAnsi="Open Sans" w:cs="Open Sans"/>
          <w:color w:val="000000"/>
        </w:rPr>
        <w:t>.</w:t>
      </w:r>
      <w:r w:rsidR="00596E1D" w:rsidRPr="00DB052D">
        <w:rPr>
          <w:rFonts w:ascii="Open Sans" w:hAnsi="Open Sans" w:cs="Open Sans"/>
          <w:color w:val="000000"/>
        </w:rPr>
        <w:t xml:space="preserve"> </w:t>
      </w:r>
      <w:r w:rsidR="00B13627" w:rsidRPr="00DB052D">
        <w:rPr>
          <w:rFonts w:ascii="Open Sans" w:hAnsi="Open Sans" w:cs="Open Sans"/>
          <w:color w:val="000000"/>
        </w:rPr>
        <w:t>The</w:t>
      </w:r>
      <w:r w:rsidR="00DB052D">
        <w:rPr>
          <w:rFonts w:ascii="Open Sans" w:hAnsi="Open Sans" w:cs="Open Sans"/>
          <w:color w:val="000000"/>
        </w:rPr>
        <w:t xml:space="preserve"> clinic</w:t>
      </w:r>
      <w:r w:rsidR="00B13627" w:rsidRPr="00DB052D">
        <w:rPr>
          <w:rFonts w:ascii="Open Sans" w:hAnsi="Open Sans" w:cs="Open Sans"/>
          <w:color w:val="000000"/>
        </w:rPr>
        <w:t xml:space="preserve"> can seek registration at any of the three </w:t>
      </w:r>
      <w:r w:rsidR="00984EC5">
        <w:rPr>
          <w:rFonts w:ascii="Open Sans" w:hAnsi="Open Sans" w:cs="Open Sans"/>
          <w:color w:val="000000"/>
        </w:rPr>
        <w:t>IAA</w:t>
      </w:r>
      <w:r w:rsidR="00984EC5" w:rsidRPr="00DB052D">
        <w:rPr>
          <w:rFonts w:ascii="Open Sans" w:hAnsi="Open Sans" w:cs="Open Sans"/>
          <w:color w:val="000000"/>
        </w:rPr>
        <w:t xml:space="preserve"> </w:t>
      </w:r>
      <w:r w:rsidR="00B13627" w:rsidRPr="00DB052D">
        <w:rPr>
          <w:rFonts w:ascii="Open Sans" w:hAnsi="Open Sans" w:cs="Open Sans"/>
          <w:color w:val="000000"/>
        </w:rPr>
        <w:t xml:space="preserve">levels </w:t>
      </w:r>
      <w:r w:rsidR="00984EC5">
        <w:rPr>
          <w:rFonts w:ascii="Open Sans" w:hAnsi="Open Sans" w:cs="Open Sans"/>
          <w:color w:val="000000"/>
        </w:rPr>
        <w:t xml:space="preserve">and in either or </w:t>
      </w:r>
      <w:proofErr w:type="gramStart"/>
      <w:r w:rsidR="00984EC5">
        <w:rPr>
          <w:rFonts w:ascii="Open Sans" w:hAnsi="Open Sans" w:cs="Open Sans"/>
          <w:color w:val="000000"/>
        </w:rPr>
        <w:t>both of the categories</w:t>
      </w:r>
      <w:proofErr w:type="gramEnd"/>
      <w:r w:rsidR="00984EC5">
        <w:rPr>
          <w:rFonts w:ascii="Open Sans" w:hAnsi="Open Sans" w:cs="Open Sans"/>
          <w:color w:val="000000"/>
        </w:rPr>
        <w:t xml:space="preserve"> (Immigration and/or Asylum) </w:t>
      </w:r>
      <w:r w:rsidR="0048526C">
        <w:rPr>
          <w:rFonts w:ascii="Open Sans" w:hAnsi="Open Sans" w:cs="Open Sans"/>
          <w:color w:val="000000"/>
        </w:rPr>
        <w:t>in which they</w:t>
      </w:r>
      <w:r w:rsidR="00B13627" w:rsidRPr="00DB052D">
        <w:rPr>
          <w:rFonts w:ascii="Open Sans" w:hAnsi="Open Sans" w:cs="Open Sans"/>
          <w:color w:val="000000"/>
        </w:rPr>
        <w:t xml:space="preserve"> wish to provide advice and services.</w:t>
      </w:r>
    </w:p>
    <w:p w14:paraId="348183F7" w14:textId="3D1F4A4F" w:rsidR="00596E1D" w:rsidRDefault="00596E1D" w:rsidP="005D0EF6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0C0FAD">
        <w:rPr>
          <w:rFonts w:ascii="Open Sans" w:hAnsi="Open Sans" w:cs="Open Sans"/>
          <w:color w:val="000000"/>
        </w:rPr>
        <w:t xml:space="preserve">The clinic can </w:t>
      </w:r>
      <w:r w:rsidR="001D08B0" w:rsidRPr="000C0FAD">
        <w:rPr>
          <w:rFonts w:ascii="Open Sans" w:hAnsi="Open Sans" w:cs="Open Sans"/>
          <w:color w:val="000000"/>
        </w:rPr>
        <w:t xml:space="preserve">additionally </w:t>
      </w:r>
      <w:r w:rsidRPr="000C0FAD">
        <w:rPr>
          <w:rFonts w:ascii="Open Sans" w:hAnsi="Open Sans" w:cs="Open Sans"/>
          <w:color w:val="000000"/>
        </w:rPr>
        <w:t xml:space="preserve">make individual adviser applications for any </w:t>
      </w:r>
      <w:r w:rsidR="00984EC5" w:rsidRPr="000C0FAD">
        <w:rPr>
          <w:rFonts w:ascii="Open Sans" w:hAnsi="Open Sans" w:cs="Open Sans"/>
          <w:color w:val="000000"/>
        </w:rPr>
        <w:t>non</w:t>
      </w:r>
      <w:r w:rsidR="007F7010" w:rsidRPr="000C0FAD">
        <w:rPr>
          <w:rFonts w:ascii="Open Sans" w:hAnsi="Open Sans" w:cs="Open Sans"/>
          <w:color w:val="000000"/>
        </w:rPr>
        <w:t>-</w:t>
      </w:r>
      <w:r w:rsidR="00984EC5" w:rsidRPr="000C0FAD">
        <w:rPr>
          <w:rFonts w:ascii="Open Sans" w:hAnsi="Open Sans" w:cs="Open Sans"/>
          <w:color w:val="000000"/>
        </w:rPr>
        <w:t>DQR</w:t>
      </w:r>
      <w:r w:rsidR="00E20279" w:rsidRPr="000C0FAD">
        <w:rPr>
          <w:rFonts w:ascii="Open Sans" w:hAnsi="Open Sans" w:cs="Open Sans"/>
          <w:color w:val="000000"/>
        </w:rPr>
        <w:t xml:space="preserve"> or non-DPB</w:t>
      </w:r>
      <w:r w:rsidR="0032131B" w:rsidRPr="000C0FAD">
        <w:rPr>
          <w:rFonts w:ascii="Open Sans" w:hAnsi="Open Sans" w:cs="Open Sans"/>
          <w:color w:val="000000"/>
        </w:rPr>
        <w:t xml:space="preserve"> </w:t>
      </w:r>
      <w:r w:rsidR="00984EC5" w:rsidRPr="000C0FAD">
        <w:rPr>
          <w:rFonts w:ascii="Open Sans" w:hAnsi="Open Sans" w:cs="Open Sans"/>
          <w:color w:val="000000"/>
        </w:rPr>
        <w:t>regulated</w:t>
      </w:r>
      <w:r w:rsidR="00B13627" w:rsidRPr="000C0FAD">
        <w:rPr>
          <w:rFonts w:ascii="Open Sans" w:hAnsi="Open Sans" w:cs="Open Sans"/>
          <w:color w:val="000000"/>
        </w:rPr>
        <w:t xml:space="preserve"> advisers </w:t>
      </w:r>
      <w:r w:rsidRPr="000C0FAD">
        <w:rPr>
          <w:rFonts w:ascii="Open Sans" w:hAnsi="Open Sans" w:cs="Open Sans"/>
          <w:color w:val="000000"/>
        </w:rPr>
        <w:t>who they wish to add to their organisation</w:t>
      </w:r>
      <w:r w:rsidR="00B13627" w:rsidRPr="000C0FAD">
        <w:rPr>
          <w:rFonts w:ascii="Open Sans" w:hAnsi="Open Sans" w:cs="Open Sans"/>
          <w:color w:val="000000"/>
        </w:rPr>
        <w:t>’</w:t>
      </w:r>
      <w:r w:rsidRPr="000C0FAD">
        <w:rPr>
          <w:rFonts w:ascii="Open Sans" w:hAnsi="Open Sans" w:cs="Open Sans"/>
          <w:color w:val="000000"/>
        </w:rPr>
        <w:t>s registration.</w:t>
      </w:r>
      <w:r w:rsidR="00B13627" w:rsidRPr="000C0FAD">
        <w:rPr>
          <w:rFonts w:ascii="Open Sans" w:hAnsi="Open Sans" w:cs="Open Sans"/>
          <w:color w:val="000000"/>
        </w:rPr>
        <w:t xml:space="preserve"> These applicants will </w:t>
      </w:r>
      <w:r w:rsidR="007F7010" w:rsidRPr="000C0FAD">
        <w:rPr>
          <w:rFonts w:ascii="Open Sans" w:hAnsi="Open Sans" w:cs="Open Sans"/>
          <w:color w:val="000000"/>
        </w:rPr>
        <w:t xml:space="preserve">ordinarily </w:t>
      </w:r>
      <w:r w:rsidR="00B13627" w:rsidRPr="000C0FAD">
        <w:rPr>
          <w:rFonts w:ascii="Open Sans" w:hAnsi="Open Sans" w:cs="Open Sans"/>
          <w:color w:val="000000"/>
        </w:rPr>
        <w:t>be subject to the IAA individual adviser application process</w:t>
      </w:r>
      <w:r w:rsidR="00DB052D" w:rsidRPr="000C0FAD">
        <w:rPr>
          <w:rFonts w:ascii="Open Sans" w:hAnsi="Open Sans" w:cs="Open Sans"/>
          <w:color w:val="000000"/>
        </w:rPr>
        <w:t>,</w:t>
      </w:r>
      <w:r w:rsidR="00B13627" w:rsidRPr="000C0FAD">
        <w:rPr>
          <w:rFonts w:ascii="Open Sans" w:hAnsi="Open Sans" w:cs="Open Sans"/>
          <w:color w:val="000000"/>
        </w:rPr>
        <w:t xml:space="preserve"> which includes an online competence assessment</w:t>
      </w:r>
      <w:r w:rsidR="00D81A93" w:rsidRPr="000C0FAD">
        <w:rPr>
          <w:rFonts w:ascii="Open Sans" w:hAnsi="Open Sans" w:cs="Open Sans"/>
          <w:color w:val="000000"/>
        </w:rPr>
        <w:t xml:space="preserve"> and DBS checks</w:t>
      </w:r>
      <w:r w:rsidR="00B13627" w:rsidRPr="000C0FAD">
        <w:rPr>
          <w:rFonts w:ascii="Open Sans" w:hAnsi="Open Sans" w:cs="Open Sans"/>
          <w:color w:val="000000"/>
        </w:rPr>
        <w:t>. If successful they will be granted registration at IAA level 1, 2 or 3</w:t>
      </w:r>
      <w:r w:rsidR="00984EC5" w:rsidRPr="000C0FAD">
        <w:rPr>
          <w:rFonts w:ascii="Open Sans" w:hAnsi="Open Sans" w:cs="Open Sans"/>
          <w:color w:val="000000"/>
        </w:rPr>
        <w:t xml:space="preserve"> in Immigration and/or Asylum</w:t>
      </w:r>
      <w:r w:rsidR="00B13627" w:rsidRPr="000C0FAD">
        <w:rPr>
          <w:rFonts w:ascii="Open Sans" w:hAnsi="Open Sans" w:cs="Open Sans"/>
          <w:color w:val="000000"/>
        </w:rPr>
        <w:t>.</w:t>
      </w:r>
      <w:r w:rsidR="00B13627" w:rsidRPr="00DB052D">
        <w:rPr>
          <w:rFonts w:ascii="Open Sans" w:hAnsi="Open Sans" w:cs="Open Sans"/>
          <w:color w:val="000000"/>
        </w:rPr>
        <w:t xml:space="preserve"> </w:t>
      </w:r>
    </w:p>
    <w:p w14:paraId="7783B53A" w14:textId="07F7218C" w:rsidR="00A928BB" w:rsidRDefault="00373EC7" w:rsidP="00596E1D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1F0865">
        <w:rPr>
          <w:rFonts w:ascii="Open Sans" w:hAnsi="Open Sans" w:cs="Open Sans"/>
          <w:b/>
          <w:bCs/>
          <w:color w:val="000000"/>
        </w:rPr>
        <w:t>However, w</w:t>
      </w:r>
      <w:r w:rsidR="00596E1D" w:rsidRPr="001F0865">
        <w:rPr>
          <w:rFonts w:ascii="Open Sans" w:hAnsi="Open Sans" w:cs="Open Sans"/>
          <w:b/>
          <w:bCs/>
          <w:color w:val="000000"/>
        </w:rPr>
        <w:t xml:space="preserve">here the clinic wishes students to be supervised to provide immigration advice and services to the public and the expectation will be that this supervision will last for a period of under 12 months, they can submit to the Commissioner a detailed plan of the supervision arrangements </w:t>
      </w:r>
      <w:r w:rsidR="00DB052D" w:rsidRPr="001F0865">
        <w:rPr>
          <w:rFonts w:ascii="Open Sans" w:hAnsi="Open Sans" w:cs="Open Sans"/>
          <w:b/>
          <w:bCs/>
          <w:color w:val="000000"/>
        </w:rPr>
        <w:t xml:space="preserve">proposed </w:t>
      </w:r>
      <w:r w:rsidR="00596E1D" w:rsidRPr="001F0865">
        <w:rPr>
          <w:rFonts w:ascii="Open Sans" w:hAnsi="Open Sans" w:cs="Open Sans"/>
          <w:b/>
          <w:bCs/>
          <w:color w:val="000000"/>
        </w:rPr>
        <w:t>for the individual student</w:t>
      </w:r>
      <w:r w:rsidR="00DB052D" w:rsidRPr="001F0865">
        <w:rPr>
          <w:rFonts w:ascii="Open Sans" w:hAnsi="Open Sans" w:cs="Open Sans"/>
          <w:b/>
          <w:bCs/>
          <w:color w:val="000000"/>
        </w:rPr>
        <w:t>,</w:t>
      </w:r>
      <w:r w:rsidR="00596E1D" w:rsidRPr="001F0865">
        <w:rPr>
          <w:rFonts w:ascii="Open Sans" w:hAnsi="Open Sans" w:cs="Open Sans"/>
          <w:b/>
          <w:bCs/>
          <w:color w:val="000000"/>
        </w:rPr>
        <w:t xml:space="preserve"> or a cohort of students.</w:t>
      </w:r>
      <w:r w:rsidR="00B13627" w:rsidRPr="00DB052D">
        <w:rPr>
          <w:rFonts w:ascii="Open Sans" w:hAnsi="Open Sans" w:cs="Open Sans"/>
          <w:color w:val="000000"/>
        </w:rPr>
        <w:t xml:space="preserve"> </w:t>
      </w:r>
    </w:p>
    <w:p w14:paraId="63CD7DE3" w14:textId="618225C7" w:rsidR="00A928BB" w:rsidRPr="00825C97" w:rsidRDefault="00A928BB" w:rsidP="00596E1D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825C97">
        <w:rPr>
          <w:rFonts w:ascii="Open Sans" w:hAnsi="Open Sans" w:cs="Open Sans"/>
          <w:color w:val="000000"/>
        </w:rPr>
        <w:t>The supervision plan should include:</w:t>
      </w:r>
    </w:p>
    <w:p w14:paraId="02FAB8D1" w14:textId="77777777" w:rsidR="00A928BB" w:rsidRPr="00825C97" w:rsidRDefault="00A928BB" w:rsidP="00A928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20"/>
        <w:rPr>
          <w:rFonts w:ascii="Open Sans" w:hAnsi="Open Sans" w:cs="Open Sans"/>
          <w:color w:val="0B0C0C"/>
          <w:sz w:val="22"/>
          <w:szCs w:val="22"/>
        </w:rPr>
      </w:pPr>
      <w:r w:rsidRPr="00825C97">
        <w:rPr>
          <w:rFonts w:ascii="Open Sans" w:hAnsi="Open Sans" w:cs="Open Sans"/>
          <w:color w:val="0B0C0C"/>
          <w:sz w:val="22"/>
          <w:szCs w:val="22"/>
        </w:rPr>
        <w:t xml:space="preserve">the name or names of the student supervisor(s) </w:t>
      </w:r>
    </w:p>
    <w:p w14:paraId="742C9470" w14:textId="177E5709" w:rsidR="007206F8" w:rsidRPr="00825C97" w:rsidRDefault="00A928BB" w:rsidP="00A928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20"/>
        <w:rPr>
          <w:rFonts w:ascii="Open Sans" w:hAnsi="Open Sans" w:cs="Open Sans"/>
          <w:color w:val="0B0C0C"/>
          <w:sz w:val="22"/>
          <w:szCs w:val="22"/>
        </w:rPr>
      </w:pPr>
      <w:r w:rsidRPr="00825C97">
        <w:rPr>
          <w:rFonts w:ascii="Open Sans" w:hAnsi="Open Sans" w:cs="Open Sans"/>
          <w:color w:val="0B0C0C"/>
          <w:sz w:val="22"/>
          <w:szCs w:val="22"/>
        </w:rPr>
        <w:t>details of the supervisor</w:t>
      </w:r>
      <w:r w:rsidR="00FB1541" w:rsidRPr="00825C97">
        <w:rPr>
          <w:rFonts w:ascii="Open Sans" w:hAnsi="Open Sans" w:cs="Open Sans"/>
          <w:color w:val="0B0C0C"/>
          <w:sz w:val="22"/>
          <w:szCs w:val="22"/>
        </w:rPr>
        <w:t>’</w:t>
      </w:r>
      <w:r w:rsidRPr="00825C97">
        <w:rPr>
          <w:rFonts w:ascii="Open Sans" w:hAnsi="Open Sans" w:cs="Open Sans"/>
          <w:color w:val="0B0C0C"/>
          <w:sz w:val="22"/>
          <w:szCs w:val="22"/>
        </w:rPr>
        <w:t xml:space="preserve">s </w:t>
      </w:r>
      <w:r w:rsidR="007206F8" w:rsidRPr="00825C97">
        <w:rPr>
          <w:rFonts w:ascii="Open Sans" w:hAnsi="Open Sans" w:cs="Open Sans"/>
          <w:color w:val="0B0C0C"/>
          <w:sz w:val="22"/>
          <w:szCs w:val="22"/>
        </w:rPr>
        <w:t xml:space="preserve">qualifications, training </w:t>
      </w:r>
      <w:r w:rsidR="00831CA7" w:rsidRPr="00825C97">
        <w:rPr>
          <w:rFonts w:ascii="Open Sans" w:hAnsi="Open Sans" w:cs="Open Sans"/>
          <w:color w:val="0B0C0C"/>
          <w:sz w:val="22"/>
          <w:szCs w:val="22"/>
        </w:rPr>
        <w:t xml:space="preserve">and experience in immigration </w:t>
      </w:r>
      <w:r w:rsidR="007206F8" w:rsidRPr="00825C97">
        <w:rPr>
          <w:rFonts w:ascii="Open Sans" w:hAnsi="Open Sans" w:cs="Open Sans"/>
          <w:color w:val="0B0C0C"/>
          <w:sz w:val="22"/>
          <w:szCs w:val="22"/>
        </w:rPr>
        <w:t>law and practice</w:t>
      </w:r>
    </w:p>
    <w:p w14:paraId="7C61D080" w14:textId="73AD7A4C" w:rsidR="008A3120" w:rsidRPr="00825C97" w:rsidRDefault="008A3120" w:rsidP="00A928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20"/>
        <w:rPr>
          <w:rFonts w:ascii="Open Sans" w:hAnsi="Open Sans" w:cs="Open Sans"/>
          <w:color w:val="0B0C0C"/>
          <w:sz w:val="22"/>
          <w:szCs w:val="22"/>
        </w:rPr>
      </w:pPr>
      <w:r w:rsidRPr="00825C97">
        <w:rPr>
          <w:rFonts w:ascii="Open Sans" w:hAnsi="Open Sans" w:cs="Open Sans"/>
          <w:color w:val="0B0C0C"/>
          <w:sz w:val="22"/>
          <w:szCs w:val="22"/>
        </w:rPr>
        <w:t>details of how the student or cohort of student</w:t>
      </w:r>
      <w:r w:rsidR="00411669" w:rsidRPr="00825C97">
        <w:rPr>
          <w:rFonts w:ascii="Open Sans" w:hAnsi="Open Sans" w:cs="Open Sans"/>
          <w:color w:val="0B0C0C"/>
          <w:sz w:val="22"/>
          <w:szCs w:val="22"/>
        </w:rPr>
        <w:t>s</w:t>
      </w:r>
      <w:r w:rsidRPr="00825C97">
        <w:rPr>
          <w:rFonts w:ascii="Open Sans" w:hAnsi="Open Sans" w:cs="Open Sans"/>
          <w:color w:val="0B0C0C"/>
          <w:sz w:val="22"/>
          <w:szCs w:val="22"/>
        </w:rPr>
        <w:t xml:space="preserve"> will be managed </w:t>
      </w:r>
      <w:r w:rsidR="00D33F7D" w:rsidRPr="00825C97">
        <w:rPr>
          <w:rFonts w:ascii="Open Sans" w:hAnsi="Open Sans" w:cs="Open Sans"/>
          <w:color w:val="0B0C0C"/>
          <w:sz w:val="22"/>
          <w:szCs w:val="22"/>
        </w:rPr>
        <w:t xml:space="preserve">in line with the services the clinic expects them to provide </w:t>
      </w:r>
    </w:p>
    <w:p w14:paraId="79A85048" w14:textId="549CC7AE" w:rsidR="00411669" w:rsidRPr="00825C97" w:rsidRDefault="00411669" w:rsidP="00A928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20"/>
        <w:rPr>
          <w:rFonts w:ascii="Open Sans" w:hAnsi="Open Sans" w:cs="Open Sans"/>
          <w:color w:val="0B0C0C"/>
          <w:sz w:val="22"/>
          <w:szCs w:val="22"/>
        </w:rPr>
      </w:pPr>
      <w:r w:rsidRPr="00825C97">
        <w:rPr>
          <w:rFonts w:ascii="Open Sans" w:hAnsi="Open Sans" w:cs="Open Sans"/>
          <w:color w:val="0B0C0C"/>
          <w:sz w:val="22"/>
          <w:szCs w:val="22"/>
        </w:rPr>
        <w:t xml:space="preserve">details of induction training for new student advisers </w:t>
      </w:r>
    </w:p>
    <w:p w14:paraId="7868B95F" w14:textId="54DCFB72" w:rsidR="00DE34F1" w:rsidRPr="00825C97" w:rsidRDefault="00924F82" w:rsidP="00A928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20"/>
        <w:rPr>
          <w:rFonts w:ascii="Open Sans" w:hAnsi="Open Sans" w:cs="Open Sans"/>
          <w:color w:val="0B0C0C"/>
          <w:sz w:val="22"/>
          <w:szCs w:val="22"/>
        </w:rPr>
      </w:pPr>
      <w:r w:rsidRPr="00825C97">
        <w:rPr>
          <w:rFonts w:ascii="Open Sans" w:hAnsi="Open Sans" w:cs="Open Sans"/>
          <w:color w:val="0B0C0C"/>
          <w:sz w:val="22"/>
          <w:szCs w:val="22"/>
        </w:rPr>
        <w:lastRenderedPageBreak/>
        <w:t xml:space="preserve">details of how work undertaken will be reviewed and feedback </w:t>
      </w:r>
      <w:r w:rsidR="00C130A3" w:rsidRPr="00825C97">
        <w:rPr>
          <w:rFonts w:ascii="Open Sans" w:hAnsi="Open Sans" w:cs="Open Sans"/>
          <w:color w:val="0B0C0C"/>
          <w:sz w:val="22"/>
          <w:szCs w:val="22"/>
        </w:rPr>
        <w:t>given and recorded</w:t>
      </w:r>
    </w:p>
    <w:p w14:paraId="0EB731BC" w14:textId="3D53346F" w:rsidR="00A928BB" w:rsidRPr="00825C97" w:rsidRDefault="00284A46" w:rsidP="00C130A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20"/>
        <w:rPr>
          <w:rFonts w:ascii="Open Sans" w:hAnsi="Open Sans" w:cs="Open Sans"/>
          <w:color w:val="0B0C0C"/>
          <w:sz w:val="22"/>
          <w:szCs w:val="22"/>
        </w:rPr>
      </w:pPr>
      <w:r w:rsidRPr="00825C97">
        <w:rPr>
          <w:rFonts w:ascii="Open Sans" w:hAnsi="Open Sans" w:cs="Open Sans"/>
          <w:color w:val="0B0C0C"/>
          <w:sz w:val="22"/>
          <w:szCs w:val="22"/>
        </w:rPr>
        <w:t xml:space="preserve">copies of relevant policies </w:t>
      </w:r>
      <w:r w:rsidR="00F227FC" w:rsidRPr="00825C97">
        <w:rPr>
          <w:rFonts w:ascii="Open Sans" w:hAnsi="Open Sans" w:cs="Open Sans"/>
          <w:color w:val="0B0C0C"/>
          <w:sz w:val="22"/>
          <w:szCs w:val="22"/>
        </w:rPr>
        <w:t xml:space="preserve">or procedures </w:t>
      </w:r>
      <w:r w:rsidRPr="00825C97">
        <w:rPr>
          <w:rFonts w:ascii="Open Sans" w:hAnsi="Open Sans" w:cs="Open Sans"/>
          <w:color w:val="0B0C0C"/>
          <w:sz w:val="22"/>
          <w:szCs w:val="22"/>
        </w:rPr>
        <w:t xml:space="preserve">that apply to the students working </w:t>
      </w:r>
      <w:r w:rsidR="00F227FC" w:rsidRPr="00825C97">
        <w:rPr>
          <w:rFonts w:ascii="Open Sans" w:hAnsi="Open Sans" w:cs="Open Sans"/>
          <w:color w:val="0B0C0C"/>
          <w:sz w:val="22"/>
          <w:szCs w:val="22"/>
        </w:rPr>
        <w:t xml:space="preserve">in the clinic </w:t>
      </w:r>
    </w:p>
    <w:p w14:paraId="67FE4488" w14:textId="71592453" w:rsidR="00D90DFA" w:rsidRPr="0043776B" w:rsidRDefault="006B1B53" w:rsidP="00596E1D">
      <w:pPr>
        <w:spacing w:before="100" w:beforeAutospacing="1" w:after="100" w:afterAutospacing="1" w:line="240" w:lineRule="auto"/>
        <w:rPr>
          <w:rFonts w:ascii="Open Sans" w:hAnsi="Open Sans" w:cs="Open Sans"/>
          <w:b/>
          <w:bCs/>
          <w:color w:val="000000"/>
        </w:rPr>
      </w:pPr>
      <w:r w:rsidRPr="002D4C60">
        <w:rPr>
          <w:rFonts w:ascii="Open Sans" w:hAnsi="Open Sans" w:cs="Open Sans"/>
          <w:color w:val="000000"/>
        </w:rPr>
        <w:t xml:space="preserve">The IAA will also need basic details of the students (names and date of birth). </w:t>
      </w:r>
      <w:r w:rsidR="00596E1D" w:rsidRPr="00825C97">
        <w:rPr>
          <w:rFonts w:ascii="Open Sans" w:hAnsi="Open Sans" w:cs="Open Sans"/>
          <w:color w:val="000000"/>
        </w:rPr>
        <w:t>If the supervision plan provides sufficient assurance that work undertaken will be adequately reviewed and monitored by a suitabl</w:t>
      </w:r>
      <w:r w:rsidR="00DB052D" w:rsidRPr="00825C97">
        <w:rPr>
          <w:rFonts w:ascii="Open Sans" w:hAnsi="Open Sans" w:cs="Open Sans"/>
          <w:color w:val="000000"/>
        </w:rPr>
        <w:t>y qualified</w:t>
      </w:r>
      <w:r w:rsidR="00596E1D" w:rsidRPr="00825C97">
        <w:rPr>
          <w:rFonts w:ascii="Open Sans" w:hAnsi="Open Sans" w:cs="Open Sans"/>
          <w:color w:val="000000"/>
        </w:rPr>
        <w:t xml:space="preserve"> supervisor</w:t>
      </w:r>
      <w:r w:rsidR="00DB052D" w:rsidRPr="00825C97">
        <w:rPr>
          <w:rFonts w:ascii="Open Sans" w:hAnsi="Open Sans" w:cs="Open Sans"/>
          <w:color w:val="000000"/>
        </w:rPr>
        <w:t xml:space="preserve">, </w:t>
      </w:r>
      <w:r w:rsidR="00596E1D" w:rsidRPr="0043776B">
        <w:rPr>
          <w:rFonts w:ascii="Open Sans" w:hAnsi="Open Sans" w:cs="Open Sans"/>
          <w:b/>
          <w:bCs/>
          <w:color w:val="000000"/>
        </w:rPr>
        <w:t xml:space="preserve">the </w:t>
      </w:r>
      <w:r w:rsidR="00DB052D" w:rsidRPr="0043776B">
        <w:rPr>
          <w:rFonts w:ascii="Open Sans" w:hAnsi="Open Sans" w:cs="Open Sans"/>
          <w:b/>
          <w:bCs/>
          <w:color w:val="000000"/>
        </w:rPr>
        <w:t>IAA</w:t>
      </w:r>
      <w:r w:rsidR="00596E1D" w:rsidRPr="0043776B">
        <w:rPr>
          <w:rFonts w:ascii="Open Sans" w:hAnsi="Open Sans" w:cs="Open Sans"/>
          <w:b/>
          <w:bCs/>
          <w:color w:val="000000"/>
        </w:rPr>
        <w:t xml:space="preserve"> will gra</w:t>
      </w:r>
      <w:r w:rsidR="00B13627" w:rsidRPr="0043776B">
        <w:rPr>
          <w:rFonts w:ascii="Open Sans" w:hAnsi="Open Sans" w:cs="Open Sans"/>
          <w:b/>
          <w:bCs/>
          <w:color w:val="000000"/>
        </w:rPr>
        <w:t xml:space="preserve">nt permission </w:t>
      </w:r>
      <w:r w:rsidR="00DB052D" w:rsidRPr="0043776B">
        <w:rPr>
          <w:rFonts w:ascii="Open Sans" w:hAnsi="Open Sans" w:cs="Open Sans"/>
          <w:b/>
          <w:bCs/>
          <w:color w:val="000000"/>
        </w:rPr>
        <w:t xml:space="preserve">for students to work under supervision within the law clinic, </w:t>
      </w:r>
      <w:r w:rsidR="00B13627" w:rsidRPr="0043776B">
        <w:rPr>
          <w:rFonts w:ascii="Open Sans" w:hAnsi="Open Sans" w:cs="Open Sans"/>
          <w:b/>
          <w:bCs/>
          <w:color w:val="000000"/>
        </w:rPr>
        <w:t xml:space="preserve">normally </w:t>
      </w:r>
      <w:r w:rsidR="00DB052D" w:rsidRPr="0043776B">
        <w:rPr>
          <w:rFonts w:ascii="Open Sans" w:hAnsi="Open Sans" w:cs="Open Sans"/>
          <w:b/>
          <w:bCs/>
          <w:color w:val="000000"/>
        </w:rPr>
        <w:t xml:space="preserve">for </w:t>
      </w:r>
      <w:r w:rsidR="00B13627" w:rsidRPr="0043776B">
        <w:rPr>
          <w:rFonts w:ascii="Open Sans" w:hAnsi="Open Sans" w:cs="Open Sans"/>
          <w:b/>
          <w:bCs/>
          <w:color w:val="000000"/>
        </w:rPr>
        <w:t xml:space="preserve">a </w:t>
      </w:r>
      <w:r w:rsidR="00825C97" w:rsidRPr="0043776B">
        <w:rPr>
          <w:rFonts w:ascii="Open Sans" w:hAnsi="Open Sans" w:cs="Open Sans"/>
          <w:b/>
          <w:bCs/>
          <w:color w:val="000000"/>
        </w:rPr>
        <w:t>12-month</w:t>
      </w:r>
      <w:r w:rsidR="00B13627" w:rsidRPr="0043776B">
        <w:rPr>
          <w:rFonts w:ascii="Open Sans" w:hAnsi="Open Sans" w:cs="Open Sans"/>
          <w:b/>
          <w:bCs/>
          <w:color w:val="000000"/>
        </w:rPr>
        <w:t xml:space="preserve"> period</w:t>
      </w:r>
      <w:r w:rsidR="001D08B0" w:rsidRPr="0043776B">
        <w:rPr>
          <w:rFonts w:ascii="Open Sans" w:hAnsi="Open Sans" w:cs="Open Sans"/>
          <w:b/>
          <w:bCs/>
          <w:color w:val="000000"/>
        </w:rPr>
        <w:t>, without the ordinary requirement for the students to seek individual registration</w:t>
      </w:r>
      <w:r w:rsidR="00082993">
        <w:rPr>
          <w:rFonts w:ascii="Open Sans" w:hAnsi="Open Sans" w:cs="Open Sans"/>
          <w:b/>
          <w:bCs/>
          <w:color w:val="000000"/>
        </w:rPr>
        <w:t>.</w:t>
      </w:r>
    </w:p>
    <w:p w14:paraId="6C933856" w14:textId="0933B4AE" w:rsidR="00B13627" w:rsidRPr="00825C97" w:rsidRDefault="00EF43BA" w:rsidP="00596E1D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If successful, s</w:t>
      </w:r>
      <w:r w:rsidR="00B13627" w:rsidRPr="00825C97">
        <w:rPr>
          <w:rFonts w:ascii="Open Sans" w:hAnsi="Open Sans" w:cs="Open Sans"/>
          <w:color w:val="000000"/>
        </w:rPr>
        <w:t xml:space="preserve">tudents will be allowed to work under </w:t>
      </w:r>
      <w:r w:rsidR="00AF2ADF">
        <w:rPr>
          <w:rFonts w:ascii="Open Sans" w:hAnsi="Open Sans" w:cs="Open Sans"/>
          <w:color w:val="000000"/>
        </w:rPr>
        <w:t>the agreed</w:t>
      </w:r>
      <w:r w:rsidR="00050BF4">
        <w:rPr>
          <w:rFonts w:ascii="Open Sans" w:hAnsi="Open Sans" w:cs="Open Sans"/>
          <w:color w:val="000000"/>
        </w:rPr>
        <w:t xml:space="preserve"> </w:t>
      </w:r>
      <w:r w:rsidR="00B13627" w:rsidRPr="00825C97">
        <w:rPr>
          <w:rFonts w:ascii="Open Sans" w:hAnsi="Open Sans" w:cs="Open Sans"/>
          <w:color w:val="000000"/>
        </w:rPr>
        <w:t>supervision</w:t>
      </w:r>
      <w:r w:rsidR="00050BF4">
        <w:rPr>
          <w:rFonts w:ascii="Open Sans" w:hAnsi="Open Sans" w:cs="Open Sans"/>
          <w:color w:val="000000"/>
        </w:rPr>
        <w:t xml:space="preserve"> </w:t>
      </w:r>
      <w:r w:rsidR="00AF2ADF">
        <w:rPr>
          <w:rFonts w:ascii="Open Sans" w:hAnsi="Open Sans" w:cs="Open Sans"/>
          <w:color w:val="000000"/>
        </w:rPr>
        <w:t>arrangements</w:t>
      </w:r>
      <w:r w:rsidR="00582598">
        <w:rPr>
          <w:rFonts w:ascii="Open Sans" w:hAnsi="Open Sans" w:cs="Open Sans"/>
          <w:color w:val="000000"/>
        </w:rPr>
        <w:t xml:space="preserve">, </w:t>
      </w:r>
      <w:r w:rsidR="00B13627" w:rsidRPr="00825C97">
        <w:rPr>
          <w:rFonts w:ascii="Open Sans" w:hAnsi="Open Sans" w:cs="Open Sans"/>
          <w:color w:val="000000"/>
        </w:rPr>
        <w:t>to any IAA level</w:t>
      </w:r>
      <w:r w:rsidR="00984EC5">
        <w:rPr>
          <w:rFonts w:ascii="Open Sans" w:hAnsi="Open Sans" w:cs="Open Sans"/>
          <w:color w:val="000000"/>
        </w:rPr>
        <w:t xml:space="preserve"> and in any category of advice</w:t>
      </w:r>
      <w:r w:rsidR="00B13627" w:rsidRPr="00825C97">
        <w:rPr>
          <w:rFonts w:ascii="Open Sans" w:hAnsi="Open Sans" w:cs="Open Sans"/>
          <w:color w:val="000000"/>
        </w:rPr>
        <w:t xml:space="preserve"> that has been granted to the clinic as an entity.</w:t>
      </w:r>
    </w:p>
    <w:p w14:paraId="214D7D49" w14:textId="3F291CF2" w:rsidR="00EF43BA" w:rsidRPr="00484611" w:rsidRDefault="00EF43BA" w:rsidP="00596E1D">
      <w:pPr>
        <w:spacing w:before="100" w:beforeAutospacing="1" w:after="100" w:afterAutospacing="1" w:line="240" w:lineRule="auto"/>
        <w:rPr>
          <w:rFonts w:ascii="Open Sans" w:hAnsi="Open Sans" w:cs="Open Sans"/>
          <w:b/>
          <w:bCs/>
          <w:color w:val="09123A"/>
        </w:rPr>
      </w:pPr>
      <w:r w:rsidRPr="00484611">
        <w:rPr>
          <w:rFonts w:ascii="Open Sans" w:hAnsi="Open Sans" w:cs="Open Sans"/>
          <w:b/>
          <w:bCs/>
          <w:color w:val="09123A"/>
        </w:rPr>
        <w:t xml:space="preserve">Review of registration and supervision arrangements </w:t>
      </w:r>
    </w:p>
    <w:p w14:paraId="50BB3B6C" w14:textId="65A415B9" w:rsidR="00B13627" w:rsidRPr="00825C97" w:rsidRDefault="00B13627" w:rsidP="00596E1D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825C97">
        <w:rPr>
          <w:rFonts w:ascii="Open Sans" w:hAnsi="Open Sans" w:cs="Open Sans"/>
          <w:color w:val="000000"/>
        </w:rPr>
        <w:t>The IAA will review the arrangements at the point of continued registration of the law clinic each year. Assuming supervision continues to be effective</w:t>
      </w:r>
      <w:r w:rsidR="00DB052D" w:rsidRPr="00825C97">
        <w:rPr>
          <w:rFonts w:ascii="Open Sans" w:hAnsi="Open Sans" w:cs="Open Sans"/>
          <w:color w:val="000000"/>
        </w:rPr>
        <w:t>,</w:t>
      </w:r>
      <w:r w:rsidRPr="00825C97">
        <w:rPr>
          <w:rFonts w:ascii="Open Sans" w:hAnsi="Open Sans" w:cs="Open Sans"/>
          <w:color w:val="000000"/>
        </w:rPr>
        <w:t xml:space="preserve"> and no issues of concern are raised with the Commissioner</w:t>
      </w:r>
      <w:r w:rsidR="00DB052D" w:rsidRPr="00825C97">
        <w:rPr>
          <w:rFonts w:ascii="Open Sans" w:hAnsi="Open Sans" w:cs="Open Sans"/>
          <w:color w:val="000000"/>
        </w:rPr>
        <w:t>,</w:t>
      </w:r>
      <w:r w:rsidRPr="00825C97">
        <w:rPr>
          <w:rFonts w:ascii="Open Sans" w:hAnsi="Open Sans" w:cs="Open Sans"/>
          <w:color w:val="000000"/>
        </w:rPr>
        <w:t xml:space="preserve"> the </w:t>
      </w:r>
      <w:r w:rsidR="00C70065">
        <w:rPr>
          <w:rFonts w:ascii="Open Sans" w:hAnsi="Open Sans" w:cs="Open Sans"/>
          <w:color w:val="000000"/>
        </w:rPr>
        <w:t>l</w:t>
      </w:r>
      <w:r w:rsidRPr="00825C97">
        <w:rPr>
          <w:rFonts w:ascii="Open Sans" w:hAnsi="Open Sans" w:cs="Open Sans"/>
          <w:color w:val="000000"/>
        </w:rPr>
        <w:t xml:space="preserve">aw </w:t>
      </w:r>
      <w:r w:rsidR="00C70065">
        <w:rPr>
          <w:rFonts w:ascii="Open Sans" w:hAnsi="Open Sans" w:cs="Open Sans"/>
          <w:color w:val="000000"/>
        </w:rPr>
        <w:t>c</w:t>
      </w:r>
      <w:r w:rsidRPr="00825C97">
        <w:rPr>
          <w:rFonts w:ascii="Open Sans" w:hAnsi="Open Sans" w:cs="Open Sans"/>
          <w:color w:val="000000"/>
        </w:rPr>
        <w:t>linic is likely to be allowed to continue to allow the students or a new cohort of students</w:t>
      </w:r>
      <w:r w:rsidR="00DB052D" w:rsidRPr="00825C97">
        <w:rPr>
          <w:rFonts w:ascii="Open Sans" w:hAnsi="Open Sans" w:cs="Open Sans"/>
          <w:color w:val="000000"/>
        </w:rPr>
        <w:t>,</w:t>
      </w:r>
      <w:r w:rsidRPr="00825C97">
        <w:rPr>
          <w:rFonts w:ascii="Open Sans" w:hAnsi="Open Sans" w:cs="Open Sans"/>
          <w:color w:val="000000"/>
        </w:rPr>
        <w:t xml:space="preserve"> to work under supervision. </w:t>
      </w:r>
    </w:p>
    <w:p w14:paraId="5BA4A725" w14:textId="69D8F290" w:rsidR="00DB052D" w:rsidRPr="00825C97" w:rsidRDefault="00B13627" w:rsidP="00596E1D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0C0FAD">
        <w:rPr>
          <w:rFonts w:ascii="Open Sans" w:hAnsi="Open Sans" w:cs="Open Sans"/>
          <w:color w:val="000000"/>
        </w:rPr>
        <w:t xml:space="preserve">Should students wish to apply for authorisation on completion of their </w:t>
      </w:r>
      <w:r w:rsidR="008E61D7" w:rsidRPr="000C0FAD">
        <w:rPr>
          <w:rFonts w:ascii="Open Sans" w:hAnsi="Open Sans" w:cs="Open Sans"/>
          <w:color w:val="000000"/>
        </w:rPr>
        <w:t xml:space="preserve">12-month </w:t>
      </w:r>
      <w:r w:rsidR="00DB052D" w:rsidRPr="000C0FAD">
        <w:rPr>
          <w:rFonts w:ascii="Open Sans" w:hAnsi="Open Sans" w:cs="Open Sans"/>
          <w:color w:val="000000"/>
        </w:rPr>
        <w:t xml:space="preserve">supervision period, they may </w:t>
      </w:r>
      <w:r w:rsidR="00825C97" w:rsidRPr="000C0FAD">
        <w:rPr>
          <w:rFonts w:ascii="Open Sans" w:hAnsi="Open Sans" w:cs="Open Sans"/>
          <w:color w:val="000000"/>
        </w:rPr>
        <w:t>apply</w:t>
      </w:r>
      <w:r w:rsidR="00DB052D" w:rsidRPr="000C0FAD">
        <w:rPr>
          <w:rFonts w:ascii="Open Sans" w:hAnsi="Open Sans" w:cs="Open Sans"/>
          <w:color w:val="000000"/>
        </w:rPr>
        <w:t xml:space="preserve"> to the IAA for </w:t>
      </w:r>
      <w:r w:rsidR="005A4295" w:rsidRPr="000C0FAD">
        <w:rPr>
          <w:rFonts w:ascii="Open Sans" w:hAnsi="Open Sans" w:cs="Open Sans"/>
          <w:color w:val="000000"/>
        </w:rPr>
        <w:t xml:space="preserve">an extension of the supervision period for the existing arrangements to continue for an additional 12-month period, enabling them to </w:t>
      </w:r>
      <w:r w:rsidR="00DB052D" w:rsidRPr="000C0FAD">
        <w:rPr>
          <w:rFonts w:ascii="Open Sans" w:hAnsi="Open Sans" w:cs="Open Sans"/>
          <w:color w:val="000000"/>
        </w:rPr>
        <w:t>continue to work at the clinic</w:t>
      </w:r>
      <w:r w:rsidR="005A4295" w:rsidRPr="000C0FAD">
        <w:rPr>
          <w:rFonts w:ascii="Open Sans" w:hAnsi="Open Sans" w:cs="Open Sans"/>
          <w:color w:val="000000"/>
        </w:rPr>
        <w:t xml:space="preserve"> under the same </w:t>
      </w:r>
      <w:r w:rsidR="00FC4611" w:rsidRPr="000C0FAD">
        <w:rPr>
          <w:rFonts w:ascii="Open Sans" w:hAnsi="Open Sans" w:cs="Open Sans"/>
          <w:color w:val="000000"/>
        </w:rPr>
        <w:t>conditions</w:t>
      </w:r>
      <w:r w:rsidR="004954EE" w:rsidRPr="000C0FAD">
        <w:rPr>
          <w:rFonts w:ascii="Open Sans" w:hAnsi="Open Sans" w:cs="Open Sans"/>
          <w:color w:val="000000"/>
        </w:rPr>
        <w:t>,</w:t>
      </w:r>
      <w:r w:rsidR="00DB052D" w:rsidRPr="000C0FAD">
        <w:rPr>
          <w:rFonts w:ascii="Open Sans" w:hAnsi="Open Sans" w:cs="Open Sans"/>
          <w:color w:val="000000"/>
        </w:rPr>
        <w:t xml:space="preserve"> if such an application is supported by the law clinic. </w:t>
      </w:r>
      <w:r w:rsidR="00FC4611" w:rsidRPr="000C0FAD">
        <w:rPr>
          <w:rFonts w:ascii="Open Sans" w:hAnsi="Open Sans" w:cs="Open Sans"/>
          <w:color w:val="000000"/>
        </w:rPr>
        <w:t xml:space="preserve">Students may </w:t>
      </w:r>
      <w:r w:rsidR="00393684" w:rsidRPr="000C0FAD">
        <w:rPr>
          <w:rFonts w:ascii="Open Sans" w:hAnsi="Open Sans" w:cs="Open Sans"/>
          <w:color w:val="000000"/>
        </w:rPr>
        <w:t xml:space="preserve">alternatively </w:t>
      </w:r>
      <w:r w:rsidR="00FC4611" w:rsidRPr="000C0FAD">
        <w:rPr>
          <w:rFonts w:ascii="Open Sans" w:hAnsi="Open Sans" w:cs="Open Sans"/>
          <w:color w:val="000000"/>
        </w:rPr>
        <w:t>apply for registration</w:t>
      </w:r>
      <w:r w:rsidR="001A1796" w:rsidRPr="000C0FAD">
        <w:rPr>
          <w:rFonts w:ascii="Open Sans" w:hAnsi="Open Sans" w:cs="Open Sans"/>
          <w:color w:val="000000"/>
        </w:rPr>
        <w:t xml:space="preserve"> as an individual adviser within the law clinic, </w:t>
      </w:r>
      <w:proofErr w:type="gramStart"/>
      <w:r w:rsidR="001A1796" w:rsidRPr="000C0FAD">
        <w:rPr>
          <w:rFonts w:ascii="Open Sans" w:hAnsi="Open Sans" w:cs="Open Sans"/>
          <w:color w:val="000000"/>
        </w:rPr>
        <w:t>provided that</w:t>
      </w:r>
      <w:proofErr w:type="gramEnd"/>
      <w:r w:rsidR="001A1796" w:rsidRPr="000C0FAD">
        <w:rPr>
          <w:rFonts w:ascii="Open Sans" w:hAnsi="Open Sans" w:cs="Open Sans"/>
          <w:color w:val="000000"/>
        </w:rPr>
        <w:t xml:space="preserve"> application is </w:t>
      </w:r>
      <w:r w:rsidR="00393684" w:rsidRPr="000C0FAD">
        <w:rPr>
          <w:rFonts w:ascii="Open Sans" w:hAnsi="Open Sans" w:cs="Open Sans"/>
          <w:color w:val="000000"/>
        </w:rPr>
        <w:t xml:space="preserve">also </w:t>
      </w:r>
      <w:r w:rsidR="001A1796" w:rsidRPr="000C0FAD">
        <w:rPr>
          <w:rFonts w:ascii="Open Sans" w:hAnsi="Open Sans" w:cs="Open Sans"/>
          <w:color w:val="000000"/>
        </w:rPr>
        <w:t xml:space="preserve">supported by the </w:t>
      </w:r>
      <w:r w:rsidR="00393684" w:rsidRPr="000C0FAD">
        <w:rPr>
          <w:rFonts w:ascii="Open Sans" w:hAnsi="Open Sans" w:cs="Open Sans"/>
          <w:color w:val="000000"/>
        </w:rPr>
        <w:t>law clinic.</w:t>
      </w:r>
      <w:r w:rsidR="00393684">
        <w:rPr>
          <w:rFonts w:ascii="Open Sans" w:hAnsi="Open Sans" w:cs="Open Sans"/>
          <w:color w:val="000000"/>
        </w:rPr>
        <w:t xml:space="preserve"> </w:t>
      </w:r>
      <w:r w:rsidR="001A1796">
        <w:rPr>
          <w:rFonts w:ascii="Open Sans" w:hAnsi="Open Sans" w:cs="Open Sans"/>
          <w:color w:val="000000"/>
        </w:rPr>
        <w:t xml:space="preserve"> </w:t>
      </w:r>
    </w:p>
    <w:p w14:paraId="190722B5" w14:textId="1A2E01CD" w:rsidR="00C96480" w:rsidRPr="00825C97" w:rsidRDefault="00C96480" w:rsidP="00596E1D">
      <w:pPr>
        <w:spacing w:before="100" w:beforeAutospacing="1" w:after="100" w:afterAutospacing="1" w:line="240" w:lineRule="auto"/>
        <w:rPr>
          <w:rFonts w:ascii="Open Sans" w:hAnsi="Open Sans" w:cs="Open Sans"/>
          <w:color w:val="000000"/>
        </w:rPr>
      </w:pPr>
      <w:r w:rsidRPr="00825C97">
        <w:rPr>
          <w:rFonts w:ascii="Open Sans" w:hAnsi="Open Sans" w:cs="Open Sans"/>
          <w:color w:val="000000"/>
        </w:rPr>
        <w:t xml:space="preserve">Details of how to apply to the IAA for regulation can be found </w:t>
      </w:r>
      <w:r w:rsidR="00C25A77" w:rsidRPr="00825C97">
        <w:rPr>
          <w:rFonts w:ascii="Open Sans" w:hAnsi="Open Sans" w:cs="Open Sans"/>
          <w:color w:val="000000"/>
        </w:rPr>
        <w:t xml:space="preserve">within our application </w:t>
      </w:r>
      <w:r w:rsidR="00F511BE" w:rsidRPr="00825C97">
        <w:rPr>
          <w:rFonts w:ascii="Open Sans" w:hAnsi="Open Sans" w:cs="Open Sans"/>
          <w:color w:val="000000"/>
        </w:rPr>
        <w:t xml:space="preserve"> </w:t>
      </w:r>
      <w:hyperlink r:id="rId14" w:history="1">
        <w:r w:rsidR="00C25A77" w:rsidRPr="00825C97">
          <w:rPr>
            <w:rFonts w:ascii="Open Sans" w:hAnsi="Open Sans" w:cs="Open Sans"/>
            <w:color w:val="0000FF"/>
            <w:u w:val="single"/>
          </w:rPr>
          <w:t>Guidance</w:t>
        </w:r>
      </w:hyperlink>
      <w:r w:rsidR="00C25A77" w:rsidRPr="00825C97">
        <w:rPr>
          <w:rFonts w:ascii="Open Sans" w:hAnsi="Open Sans" w:cs="Open Sans"/>
        </w:rPr>
        <w:t xml:space="preserve"> document</w:t>
      </w:r>
      <w:r w:rsidR="00A56576" w:rsidRPr="00825C97">
        <w:rPr>
          <w:rFonts w:ascii="Open Sans" w:hAnsi="Open Sans" w:cs="Open Sans"/>
        </w:rPr>
        <w:t xml:space="preserve"> or law clinics who would like to discuss further the application process </w:t>
      </w:r>
      <w:r w:rsidR="00052CE9" w:rsidRPr="00825C97">
        <w:rPr>
          <w:rFonts w:ascii="Open Sans" w:hAnsi="Open Sans" w:cs="Open Sans"/>
        </w:rPr>
        <w:t xml:space="preserve">can e-mail </w:t>
      </w:r>
      <w:hyperlink r:id="rId15" w:history="1">
        <w:r w:rsidR="003B33A5" w:rsidRPr="00641CF9">
          <w:rPr>
            <w:rStyle w:val="Hyperlink"/>
            <w:rFonts w:ascii="Open Sans" w:hAnsi="Open Sans" w:cs="Open Sans"/>
          </w:rPr>
          <w:t>info@immigrationadviceauthority@gov.uk</w:t>
        </w:r>
      </w:hyperlink>
      <w:r w:rsidR="003B33A5">
        <w:rPr>
          <w:rFonts w:ascii="Open Sans" w:hAnsi="Open Sans" w:cs="Open Sans"/>
        </w:rPr>
        <w:t xml:space="preserve"> </w:t>
      </w:r>
      <w:r w:rsidR="00325147" w:rsidRPr="00825C97">
        <w:rPr>
          <w:rFonts w:ascii="Open Sans" w:hAnsi="Open Sans" w:cs="Open Sans"/>
        </w:rPr>
        <w:t xml:space="preserve">to discuss </w:t>
      </w:r>
      <w:r w:rsidR="00825C97" w:rsidRPr="00825C97">
        <w:rPr>
          <w:rFonts w:ascii="Open Sans" w:hAnsi="Open Sans" w:cs="Open Sans"/>
        </w:rPr>
        <w:t xml:space="preserve">their clinic prior to making an application. </w:t>
      </w:r>
    </w:p>
    <w:p w14:paraId="3CAD0658" w14:textId="383486E3" w:rsidR="00B13627" w:rsidRDefault="00B13627" w:rsidP="00596E1D">
      <w:p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</w:p>
    <w:p w14:paraId="327C4804" w14:textId="77777777" w:rsidR="00897A8A" w:rsidRDefault="00897A8A"/>
    <w:sectPr w:rsidR="00897A8A" w:rsidSect="0085418B"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308E" w14:textId="77777777" w:rsidR="00180A15" w:rsidRDefault="00180A15" w:rsidP="000F373A">
      <w:pPr>
        <w:spacing w:after="0" w:line="240" w:lineRule="auto"/>
      </w:pPr>
      <w:r>
        <w:separator/>
      </w:r>
    </w:p>
  </w:endnote>
  <w:endnote w:type="continuationSeparator" w:id="0">
    <w:p w14:paraId="1AD57D27" w14:textId="77777777" w:rsidR="00180A15" w:rsidRDefault="00180A15" w:rsidP="000F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D69D" w14:textId="0F702C85" w:rsidR="000F373A" w:rsidRPr="00CD2AE8" w:rsidRDefault="00CD2AE8" w:rsidP="00CD2AE8">
    <w:pPr>
      <w:spacing w:before="100" w:beforeAutospacing="1" w:after="100" w:afterAutospacing="1" w:line="240" w:lineRule="auto"/>
      <w:jc w:val="right"/>
      <w:rPr>
        <w:rFonts w:ascii="Open Sans" w:eastAsia="Times New Roman" w:hAnsi="Open Sans" w:cs="Open Sans"/>
        <w:color w:val="002060"/>
        <w:sz w:val="18"/>
        <w:szCs w:val="18"/>
        <w:lang w:val="en" w:eastAsia="en-GB"/>
      </w:rPr>
    </w:pPr>
    <w:r w:rsidRPr="00CD2AE8">
      <w:rPr>
        <w:rFonts w:ascii="Open Sans" w:eastAsia="Times New Roman" w:hAnsi="Open Sans" w:cs="Open Sans"/>
        <w:color w:val="002060"/>
        <w:sz w:val="18"/>
        <w:szCs w:val="18"/>
        <w:lang w:val="en" w:eastAsia="en-GB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8C47" w14:textId="77777777" w:rsidR="00180A15" w:rsidRDefault="00180A15" w:rsidP="000F373A">
      <w:pPr>
        <w:spacing w:after="0" w:line="240" w:lineRule="auto"/>
      </w:pPr>
      <w:r>
        <w:separator/>
      </w:r>
    </w:p>
  </w:footnote>
  <w:footnote w:type="continuationSeparator" w:id="0">
    <w:p w14:paraId="0DC2ABC6" w14:textId="77777777" w:rsidR="00180A15" w:rsidRDefault="00180A15" w:rsidP="000F373A">
      <w:pPr>
        <w:spacing w:after="0" w:line="240" w:lineRule="auto"/>
      </w:pPr>
      <w:r>
        <w:continuationSeparator/>
      </w:r>
    </w:p>
  </w:footnote>
  <w:footnote w:id="1">
    <w:p w14:paraId="1C40FCCB" w14:textId="3D161C13" w:rsidR="009D4004" w:rsidRPr="00A823FB" w:rsidRDefault="009D4004">
      <w:pPr>
        <w:pStyle w:val="FootnoteText"/>
        <w:rPr>
          <w:rFonts w:ascii="Open Sans" w:hAnsi="Open Sans" w:cs="Open Sans"/>
        </w:rPr>
      </w:pPr>
      <w:r>
        <w:rPr>
          <w:rStyle w:val="FootnoteReference"/>
        </w:rPr>
        <w:footnoteRef/>
      </w:r>
      <w:r w:rsidRPr="00A823FB">
        <w:rPr>
          <w:rFonts w:ascii="Open Sans" w:hAnsi="Open Sans" w:cs="Open Sans"/>
        </w:rPr>
        <w:t xml:space="preserve"> </w:t>
      </w:r>
      <w:r w:rsidR="001B56EB" w:rsidRPr="00A823FB">
        <w:rPr>
          <w:rFonts w:ascii="Open Sans" w:hAnsi="Open Sans" w:cs="Open Sans"/>
        </w:rPr>
        <w:t xml:space="preserve">In England and Wales, </w:t>
      </w:r>
      <w:r w:rsidRPr="00A823FB">
        <w:rPr>
          <w:rFonts w:ascii="Open Sans" w:hAnsi="Open Sans" w:cs="Open Sans"/>
        </w:rPr>
        <w:t xml:space="preserve">the Solicitors’ Regulation Authority (SRA) regulates </w:t>
      </w:r>
      <w:proofErr w:type="gramStart"/>
      <w:r w:rsidRPr="00A823FB">
        <w:rPr>
          <w:rFonts w:ascii="Open Sans" w:hAnsi="Open Sans" w:cs="Open Sans"/>
        </w:rPr>
        <w:t>solicitors</w:t>
      </w:r>
      <w:proofErr w:type="gramEnd"/>
      <w:r w:rsidRPr="00A823FB">
        <w:rPr>
          <w:rFonts w:ascii="Open Sans" w:hAnsi="Open Sans" w:cs="Open Sans"/>
        </w:rPr>
        <w:t xml:space="preserve"> and the Bar Standards Board </w:t>
      </w:r>
      <w:r w:rsidR="001B56EB" w:rsidRPr="00A823FB">
        <w:rPr>
          <w:rFonts w:ascii="Open Sans" w:hAnsi="Open Sans" w:cs="Open Sans"/>
        </w:rPr>
        <w:t>regulates</w:t>
      </w:r>
      <w:r w:rsidRPr="00A823FB">
        <w:rPr>
          <w:rFonts w:ascii="Open Sans" w:hAnsi="Open Sans" w:cs="Open Sans"/>
        </w:rPr>
        <w:t xml:space="preserve"> barristers</w:t>
      </w:r>
      <w:r w:rsidR="009E5687" w:rsidRPr="00A823FB">
        <w:rPr>
          <w:rFonts w:ascii="Open Sans" w:hAnsi="Open Sans" w:cs="Open Sans"/>
        </w:rPr>
        <w:t>.</w:t>
      </w:r>
    </w:p>
  </w:footnote>
  <w:footnote w:id="2">
    <w:p w14:paraId="22EEED21" w14:textId="6C81AC3E" w:rsidR="00C92283" w:rsidRDefault="00A81A1D" w:rsidP="00811FAF">
      <w:pPr>
        <w:pStyle w:val="FootnoteText"/>
      </w:pPr>
      <w:r w:rsidRPr="00A823FB">
        <w:rPr>
          <w:rStyle w:val="FootnoteReference"/>
          <w:rFonts w:ascii="Open Sans" w:hAnsi="Open Sans" w:cs="Open Sans"/>
        </w:rPr>
        <w:t>2</w:t>
      </w:r>
      <w:r w:rsidRPr="00A823FB">
        <w:rPr>
          <w:rFonts w:ascii="Open Sans" w:hAnsi="Open Sans" w:cs="Open Sans"/>
        </w:rPr>
        <w:t xml:space="preserve"> </w:t>
      </w:r>
      <w:r w:rsidR="00C92283" w:rsidRPr="00A823FB">
        <w:rPr>
          <w:rFonts w:ascii="Open Sans" w:hAnsi="Open Sans" w:cs="Open Sans"/>
        </w:rPr>
        <w:t xml:space="preserve">See the </w:t>
      </w:r>
      <w:hyperlink r:id="rId1" w:history="1">
        <w:r w:rsidR="00C92283" w:rsidRPr="0010659F">
          <w:rPr>
            <w:rStyle w:val="Hyperlink"/>
            <w:rFonts w:ascii="Open Sans" w:hAnsi="Open Sans" w:cs="Open Sans"/>
          </w:rPr>
          <w:t xml:space="preserve">SRA’s </w:t>
        </w:r>
        <w:r w:rsidR="00323E7C">
          <w:rPr>
            <w:rStyle w:val="Hyperlink"/>
            <w:rFonts w:ascii="Open Sans" w:hAnsi="Open Sans" w:cs="Open Sans"/>
          </w:rPr>
          <w:t>‘</w:t>
        </w:r>
        <w:r w:rsidR="00C92283" w:rsidRPr="0010659F">
          <w:rPr>
            <w:rStyle w:val="Hyperlink"/>
            <w:rFonts w:ascii="Open Sans" w:hAnsi="Open Sans" w:cs="Open Sans"/>
          </w:rPr>
          <w:t xml:space="preserve">Guidance on Immigration </w:t>
        </w:r>
        <w:r w:rsidR="00323E7C">
          <w:rPr>
            <w:rStyle w:val="Hyperlink"/>
            <w:rFonts w:ascii="Open Sans" w:hAnsi="Open Sans" w:cs="Open Sans"/>
          </w:rPr>
          <w:t>W</w:t>
        </w:r>
        <w:r w:rsidR="00C92283" w:rsidRPr="0010659F">
          <w:rPr>
            <w:rStyle w:val="Hyperlink"/>
            <w:rFonts w:ascii="Open Sans" w:hAnsi="Open Sans" w:cs="Open Sans"/>
          </w:rPr>
          <w:t>ork</w:t>
        </w:r>
        <w:r w:rsidR="00323E7C">
          <w:rPr>
            <w:rStyle w:val="Hyperlink"/>
            <w:rFonts w:ascii="Open Sans" w:hAnsi="Open Sans" w:cs="Open Sans"/>
          </w:rPr>
          <w:t>’</w:t>
        </w:r>
        <w:r w:rsidR="00C92283" w:rsidRPr="0010659F">
          <w:rPr>
            <w:rStyle w:val="Hyperlink"/>
            <w:rFonts w:ascii="Open Sans" w:hAnsi="Open Sans" w:cs="Open Sans"/>
          </w:rPr>
          <w:t>, 23 November 2022</w:t>
        </w:r>
      </w:hyperlink>
      <w:r w:rsidR="0010659F">
        <w:rPr>
          <w:rFonts w:ascii="Open Sans" w:hAnsi="Open Sans" w:cs="Open Sans"/>
        </w:rPr>
        <w:t xml:space="preserve">; </w:t>
      </w:r>
      <w:r w:rsidR="00323E7C">
        <w:rPr>
          <w:rFonts w:ascii="Open Sans" w:hAnsi="Open Sans" w:cs="Open Sans"/>
        </w:rPr>
        <w:t xml:space="preserve">the SRA’s </w:t>
      </w:r>
      <w:r w:rsidR="007645B6">
        <w:rPr>
          <w:rFonts w:ascii="Open Sans" w:hAnsi="Open Sans" w:cs="Open Sans"/>
        </w:rPr>
        <w:t>‘</w:t>
      </w:r>
      <w:hyperlink r:id="rId2" w:anchor="reg-9-5" w:history="1">
        <w:r w:rsidR="00D23489" w:rsidRPr="007645B6">
          <w:rPr>
            <w:rStyle w:val="Hyperlink"/>
            <w:rFonts w:ascii="Open Sans" w:hAnsi="Open Sans" w:cs="Open Sans"/>
          </w:rPr>
          <w:t xml:space="preserve">Authorisation of Individuals Regulations </w:t>
        </w:r>
        <w:r w:rsidR="00123A1D" w:rsidRPr="007645B6">
          <w:rPr>
            <w:rStyle w:val="Hyperlink"/>
            <w:rFonts w:ascii="Open Sans" w:hAnsi="Open Sans" w:cs="Open Sans"/>
          </w:rPr>
          <w:t>9.5-9.7C</w:t>
        </w:r>
        <w:r w:rsidR="007645B6" w:rsidRPr="007645B6">
          <w:rPr>
            <w:rStyle w:val="Hyperlink"/>
            <w:rFonts w:ascii="Open Sans" w:hAnsi="Open Sans" w:cs="Open Sans"/>
          </w:rPr>
          <w:t>: Immigration Work</w:t>
        </w:r>
      </w:hyperlink>
      <w:r w:rsidR="00323E7C">
        <w:rPr>
          <w:rFonts w:ascii="Open Sans" w:hAnsi="Open Sans" w:cs="Open Sans"/>
        </w:rPr>
        <w:t>’</w:t>
      </w:r>
      <w:r w:rsidR="007645B6">
        <w:rPr>
          <w:rFonts w:ascii="Open Sans" w:hAnsi="Open Sans" w:cs="Open Sans"/>
        </w:rPr>
        <w:t xml:space="preserve"> and the IAA</w:t>
      </w:r>
      <w:r w:rsidR="0067453B">
        <w:rPr>
          <w:rFonts w:ascii="Open Sans" w:hAnsi="Open Sans" w:cs="Open Sans"/>
        </w:rPr>
        <w:t xml:space="preserve"> guidance ‘</w:t>
      </w:r>
      <w:hyperlink r:id="rId3" w:history="1">
        <w:r w:rsidR="0067453B" w:rsidRPr="0067453B">
          <w:rPr>
            <w:rStyle w:val="Hyperlink"/>
            <w:rFonts w:ascii="Open Sans" w:hAnsi="Open Sans" w:cs="Open Sans"/>
          </w:rPr>
          <w:t>IAA Regulation and Solicitors’, 15 December 2021</w:t>
        </w:r>
      </w:hyperlink>
      <w:r w:rsidR="0067453B">
        <w:rPr>
          <w:rFonts w:ascii="Open Sans" w:hAnsi="Open Sans" w:cs="Open Sans"/>
        </w:rPr>
        <w:t xml:space="preserve">. </w:t>
      </w:r>
    </w:p>
  </w:footnote>
  <w:footnote w:id="3">
    <w:p w14:paraId="1ECD2591" w14:textId="05E105EE" w:rsidR="004C04EA" w:rsidRDefault="004C04EA" w:rsidP="004C04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7EA8">
        <w:rPr>
          <w:rFonts w:ascii="Open Sans" w:hAnsi="Open Sans" w:cs="Open Sans"/>
        </w:rPr>
        <w:t xml:space="preserve">In addition to meeting the SRA’s supervision requirements as above and set </w:t>
      </w:r>
      <w:r w:rsidR="0005008A">
        <w:rPr>
          <w:rFonts w:ascii="Open Sans" w:hAnsi="Open Sans" w:cs="Open Sans"/>
        </w:rPr>
        <w:t xml:space="preserve">out in the SRA’s </w:t>
      </w:r>
      <w:r w:rsidR="002B6C95">
        <w:rPr>
          <w:rFonts w:ascii="Open Sans" w:hAnsi="Open Sans" w:cs="Open Sans"/>
        </w:rPr>
        <w:t>‘</w:t>
      </w:r>
      <w:hyperlink r:id="rId4" w:history="1">
        <w:r w:rsidR="0005008A" w:rsidRPr="0084156E">
          <w:rPr>
            <w:rStyle w:val="Hyperlink"/>
            <w:rFonts w:ascii="Open Sans" w:hAnsi="Open Sans" w:cs="Open Sans"/>
          </w:rPr>
          <w:t>Guidance on Immigration Work</w:t>
        </w:r>
        <w:r w:rsidR="002B6C95" w:rsidRPr="0084156E">
          <w:rPr>
            <w:rStyle w:val="Hyperlink"/>
            <w:rFonts w:ascii="Open Sans" w:hAnsi="Open Sans" w:cs="Open Sans"/>
          </w:rPr>
          <w:t>’, 23 November 2022</w:t>
        </w:r>
      </w:hyperlink>
    </w:p>
  </w:footnote>
  <w:footnote w:id="4">
    <w:p w14:paraId="24CDC6B1" w14:textId="0745486C" w:rsidR="00F52AE1" w:rsidRDefault="00F52A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193884149"/>
      <w:r w:rsidRPr="00B94109">
        <w:rPr>
          <w:rFonts w:ascii="Open Sans" w:hAnsi="Open Sans" w:cs="Open Sans"/>
        </w:rPr>
        <w:t xml:space="preserve">See the SRA’s </w:t>
      </w:r>
      <w:hyperlink r:id="rId5" w:history="1">
        <w:r w:rsidRPr="00A2484C">
          <w:rPr>
            <w:rStyle w:val="Hyperlink"/>
            <w:rFonts w:ascii="Open Sans" w:hAnsi="Open Sans" w:cs="Open Sans"/>
          </w:rPr>
          <w:t>Guidance on Immigration work, 23 November 2022</w:t>
        </w:r>
      </w:hyperlink>
      <w:bookmarkEnd w:id="0"/>
      <w:r w:rsidR="00DF44CE">
        <w:rPr>
          <w:rFonts w:ascii="Open Sans" w:hAnsi="Open Sans" w:cs="Open Sans"/>
        </w:rPr>
        <w:t xml:space="preserve">. For barristers, see the Bar Standards Board’s </w:t>
      </w:r>
      <w:hyperlink r:id="rId6" w:history="1">
        <w:r w:rsidR="00DF44CE" w:rsidRPr="00C80052">
          <w:rPr>
            <w:rStyle w:val="Hyperlink"/>
            <w:rFonts w:ascii="Open Sans" w:hAnsi="Open Sans" w:cs="Open Sans"/>
          </w:rPr>
          <w:t>Guidance on Barristers Supervising Immigrati</w:t>
        </w:r>
        <w:r w:rsidR="00C80052" w:rsidRPr="00C80052">
          <w:rPr>
            <w:rStyle w:val="Hyperlink"/>
            <w:rFonts w:ascii="Open Sans" w:hAnsi="Open Sans" w:cs="Open Sans"/>
          </w:rPr>
          <w:t>on</w:t>
        </w:r>
        <w:r w:rsidR="00DF44CE" w:rsidRPr="00C80052">
          <w:rPr>
            <w:rStyle w:val="Hyperlink"/>
            <w:rFonts w:ascii="Open Sans" w:hAnsi="Open Sans" w:cs="Open Sans"/>
          </w:rPr>
          <w:t xml:space="preserve"> Advisers, </w:t>
        </w:r>
        <w:r w:rsidR="00C80052" w:rsidRPr="00C80052">
          <w:rPr>
            <w:rStyle w:val="Hyperlink"/>
            <w:rFonts w:ascii="Open Sans" w:hAnsi="Open Sans" w:cs="Open Sans"/>
          </w:rPr>
          <w:t>February 2020</w:t>
        </w:r>
      </w:hyperlink>
      <w:r w:rsidR="006D63E3">
        <w:rPr>
          <w:rStyle w:val="Hyperlink"/>
          <w:rFonts w:ascii="Open Sans" w:hAnsi="Open Sans" w:cs="Open Sans"/>
        </w:rPr>
        <w:t xml:space="preserve"> </w:t>
      </w:r>
      <w:r w:rsidR="006D63E3" w:rsidRPr="006D63E3">
        <w:rPr>
          <w:rStyle w:val="Hyperlink"/>
          <w:rFonts w:ascii="Open Sans" w:hAnsi="Open Sans" w:cs="Open Sans"/>
          <w:color w:val="000000" w:themeColor="text1"/>
          <w:u w:val="none"/>
        </w:rPr>
        <w:t>(t</w:t>
      </w:r>
      <w:r w:rsidR="00000EB7" w:rsidRPr="006D63E3">
        <w:rPr>
          <w:rStyle w:val="Hyperlink"/>
          <w:rFonts w:ascii="Open Sans" w:hAnsi="Open Sans" w:cs="Open Sans"/>
          <w:color w:val="000000" w:themeColor="text1"/>
          <w:u w:val="none"/>
        </w:rPr>
        <w:t xml:space="preserve">here are additional </w:t>
      </w:r>
      <w:hyperlink r:id="rId7" w:history="1">
        <w:r w:rsidR="002E3719" w:rsidRPr="006D63E3">
          <w:rPr>
            <w:rStyle w:val="Hyperlink"/>
            <w:rFonts w:ascii="Open Sans" w:hAnsi="Open Sans" w:cs="Open Sans"/>
          </w:rPr>
          <w:t xml:space="preserve">Legal Aid Agency </w:t>
        </w:r>
        <w:r w:rsidR="00000EB7" w:rsidRPr="006D63E3">
          <w:rPr>
            <w:rStyle w:val="Hyperlink"/>
            <w:rFonts w:ascii="Open Sans" w:hAnsi="Open Sans" w:cs="Open Sans"/>
          </w:rPr>
          <w:t>requirements</w:t>
        </w:r>
      </w:hyperlink>
      <w:r w:rsidR="00000EB7" w:rsidRPr="006D63E3">
        <w:rPr>
          <w:rStyle w:val="Hyperlink"/>
          <w:rFonts w:ascii="Open Sans" w:hAnsi="Open Sans" w:cs="Open Sans"/>
          <w:color w:val="000000" w:themeColor="text1"/>
          <w:u w:val="none"/>
        </w:rPr>
        <w:t xml:space="preserve"> for </w:t>
      </w:r>
      <w:r w:rsidR="002E3719" w:rsidRPr="006D63E3">
        <w:rPr>
          <w:rStyle w:val="Hyperlink"/>
          <w:rFonts w:ascii="Open Sans" w:hAnsi="Open Sans" w:cs="Open Sans"/>
          <w:color w:val="000000" w:themeColor="text1"/>
          <w:u w:val="none"/>
        </w:rPr>
        <w:t>work</w:t>
      </w:r>
      <w:r w:rsidR="00000EB7" w:rsidRPr="006D63E3">
        <w:rPr>
          <w:rStyle w:val="Hyperlink"/>
          <w:rFonts w:ascii="Open Sans" w:hAnsi="Open Sans" w:cs="Open Sans"/>
          <w:color w:val="000000" w:themeColor="text1"/>
          <w:u w:val="none"/>
        </w:rPr>
        <w:t xml:space="preserve"> carried out </w:t>
      </w:r>
      <w:r w:rsidR="002E3719" w:rsidRPr="006D63E3">
        <w:rPr>
          <w:rStyle w:val="Hyperlink"/>
          <w:rFonts w:ascii="Open Sans" w:hAnsi="Open Sans" w:cs="Open Sans"/>
          <w:color w:val="000000" w:themeColor="text1"/>
          <w:u w:val="none"/>
        </w:rPr>
        <w:t xml:space="preserve">and supervised </w:t>
      </w:r>
      <w:r w:rsidR="00000EB7" w:rsidRPr="006D63E3">
        <w:rPr>
          <w:rStyle w:val="Hyperlink"/>
          <w:rFonts w:ascii="Open Sans" w:hAnsi="Open Sans" w:cs="Open Sans"/>
          <w:color w:val="000000" w:themeColor="text1"/>
          <w:u w:val="none"/>
        </w:rPr>
        <w:t xml:space="preserve">under a legal aid </w:t>
      </w:r>
      <w:r w:rsidR="006D63E3">
        <w:rPr>
          <w:rStyle w:val="Hyperlink"/>
          <w:rFonts w:ascii="Open Sans" w:hAnsi="Open Sans" w:cs="Open Sans"/>
          <w:color w:val="000000" w:themeColor="text1"/>
          <w:u w:val="none"/>
        </w:rPr>
        <w:t xml:space="preserve">immigration </w:t>
      </w:r>
      <w:r w:rsidR="00000EB7" w:rsidRPr="006D63E3">
        <w:rPr>
          <w:rStyle w:val="Hyperlink"/>
          <w:rFonts w:ascii="Open Sans" w:hAnsi="Open Sans" w:cs="Open Sans"/>
          <w:color w:val="000000" w:themeColor="text1"/>
          <w:u w:val="none"/>
        </w:rPr>
        <w:t>contract</w:t>
      </w:r>
      <w:r w:rsidR="006D63E3">
        <w:rPr>
          <w:rStyle w:val="Hyperlink"/>
          <w:rFonts w:ascii="Open Sans" w:hAnsi="Open Sans" w:cs="Open Sans"/>
          <w:color w:val="000000" w:themeColor="text1"/>
          <w:u w:val="none"/>
        </w:rPr>
        <w:t>)</w:t>
      </w:r>
      <w:r w:rsidR="006D63E3" w:rsidRPr="006D63E3">
        <w:rPr>
          <w:rStyle w:val="Hyperlink"/>
          <w:rFonts w:ascii="Open Sans" w:hAnsi="Open Sans" w:cs="Open Sans"/>
          <w:color w:val="000000" w:themeColor="text1"/>
          <w:u w:val="none"/>
        </w:rPr>
        <w:t>.</w:t>
      </w:r>
      <w:r w:rsidR="006D63E3">
        <w:rPr>
          <w:rStyle w:val="Hyperlink"/>
          <w:rFonts w:ascii="Open Sans" w:hAnsi="Open Sans" w:cs="Open Sans"/>
          <w:color w:val="000000" w:themeColor="text1"/>
        </w:rPr>
        <w:t xml:space="preserve"> </w:t>
      </w:r>
      <w:r w:rsidR="00000EB7" w:rsidRPr="00715EAB">
        <w:rPr>
          <w:rStyle w:val="Hyperlink"/>
          <w:rFonts w:ascii="Open Sans" w:hAnsi="Open Sans" w:cs="Open Sans"/>
          <w:color w:val="000000" w:themeColor="text1"/>
        </w:rPr>
        <w:t xml:space="preserve"> </w:t>
      </w:r>
      <w:r w:rsidR="00C80052" w:rsidRPr="00715EAB">
        <w:rPr>
          <w:rFonts w:ascii="Open Sans" w:hAnsi="Open Sans" w:cs="Open Sans"/>
          <w:color w:val="000000" w:themeColor="text1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793F"/>
    <w:multiLevelType w:val="hybridMultilevel"/>
    <w:tmpl w:val="58787A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2754"/>
    <w:multiLevelType w:val="hybridMultilevel"/>
    <w:tmpl w:val="F3C09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26207"/>
    <w:multiLevelType w:val="hybridMultilevel"/>
    <w:tmpl w:val="01B6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B46E8"/>
    <w:multiLevelType w:val="hybridMultilevel"/>
    <w:tmpl w:val="638A0F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F9C4C25"/>
    <w:multiLevelType w:val="multilevel"/>
    <w:tmpl w:val="F8D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1489">
    <w:abstractNumId w:val="1"/>
  </w:num>
  <w:num w:numId="2" w16cid:durableId="1342587181">
    <w:abstractNumId w:val="2"/>
  </w:num>
  <w:num w:numId="3" w16cid:durableId="164516695">
    <w:abstractNumId w:val="0"/>
  </w:num>
  <w:num w:numId="4" w16cid:durableId="672415545">
    <w:abstractNumId w:val="4"/>
  </w:num>
  <w:num w:numId="5" w16cid:durableId="21909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F1"/>
    <w:rsid w:val="00000EB7"/>
    <w:rsid w:val="00007EA8"/>
    <w:rsid w:val="00015184"/>
    <w:rsid w:val="000229E5"/>
    <w:rsid w:val="00022C7F"/>
    <w:rsid w:val="0003153D"/>
    <w:rsid w:val="00034A01"/>
    <w:rsid w:val="00036122"/>
    <w:rsid w:val="00042600"/>
    <w:rsid w:val="000479FB"/>
    <w:rsid w:val="0005008A"/>
    <w:rsid w:val="00050BF4"/>
    <w:rsid w:val="00051CCE"/>
    <w:rsid w:val="00052CE9"/>
    <w:rsid w:val="000558DC"/>
    <w:rsid w:val="000700AD"/>
    <w:rsid w:val="00082993"/>
    <w:rsid w:val="000879ED"/>
    <w:rsid w:val="00094804"/>
    <w:rsid w:val="0009530B"/>
    <w:rsid w:val="000960AA"/>
    <w:rsid w:val="000C0312"/>
    <w:rsid w:val="000C0FAD"/>
    <w:rsid w:val="000C55E8"/>
    <w:rsid w:val="000C5EE6"/>
    <w:rsid w:val="000D1148"/>
    <w:rsid w:val="000F373A"/>
    <w:rsid w:val="0010659F"/>
    <w:rsid w:val="001176AC"/>
    <w:rsid w:val="00117DFE"/>
    <w:rsid w:val="00120556"/>
    <w:rsid w:val="00122D9A"/>
    <w:rsid w:val="00123A1D"/>
    <w:rsid w:val="001329E2"/>
    <w:rsid w:val="00133847"/>
    <w:rsid w:val="00140125"/>
    <w:rsid w:val="00152F53"/>
    <w:rsid w:val="00154107"/>
    <w:rsid w:val="00165EB5"/>
    <w:rsid w:val="00180A15"/>
    <w:rsid w:val="001848F5"/>
    <w:rsid w:val="001A1796"/>
    <w:rsid w:val="001A5957"/>
    <w:rsid w:val="001A7A92"/>
    <w:rsid w:val="001B203D"/>
    <w:rsid w:val="001B56EB"/>
    <w:rsid w:val="001C3804"/>
    <w:rsid w:val="001C4848"/>
    <w:rsid w:val="001D08B0"/>
    <w:rsid w:val="001D2DB0"/>
    <w:rsid w:val="001D319B"/>
    <w:rsid w:val="001D3522"/>
    <w:rsid w:val="001D58B5"/>
    <w:rsid w:val="001E6BBF"/>
    <w:rsid w:val="001E73C5"/>
    <w:rsid w:val="001F0865"/>
    <w:rsid w:val="001F1428"/>
    <w:rsid w:val="00205D2E"/>
    <w:rsid w:val="00207920"/>
    <w:rsid w:val="0021032C"/>
    <w:rsid w:val="0021434C"/>
    <w:rsid w:val="00220FEF"/>
    <w:rsid w:val="002227D0"/>
    <w:rsid w:val="002315C9"/>
    <w:rsid w:val="002322DA"/>
    <w:rsid w:val="00236134"/>
    <w:rsid w:val="002407B4"/>
    <w:rsid w:val="00245617"/>
    <w:rsid w:val="00251D90"/>
    <w:rsid w:val="00251D95"/>
    <w:rsid w:val="002548B9"/>
    <w:rsid w:val="00265770"/>
    <w:rsid w:val="00266150"/>
    <w:rsid w:val="00266F9B"/>
    <w:rsid w:val="002751DF"/>
    <w:rsid w:val="002816DB"/>
    <w:rsid w:val="00284A46"/>
    <w:rsid w:val="0029312F"/>
    <w:rsid w:val="00296C42"/>
    <w:rsid w:val="002A672C"/>
    <w:rsid w:val="002A6C49"/>
    <w:rsid w:val="002B2E0C"/>
    <w:rsid w:val="002B2E42"/>
    <w:rsid w:val="002B4BD2"/>
    <w:rsid w:val="002B6469"/>
    <w:rsid w:val="002B6C95"/>
    <w:rsid w:val="002B794A"/>
    <w:rsid w:val="002C5288"/>
    <w:rsid w:val="002C7B31"/>
    <w:rsid w:val="002C7C20"/>
    <w:rsid w:val="002D2703"/>
    <w:rsid w:val="002D4C60"/>
    <w:rsid w:val="002E2074"/>
    <w:rsid w:val="002E2B4D"/>
    <w:rsid w:val="002E3719"/>
    <w:rsid w:val="002F5919"/>
    <w:rsid w:val="0031554B"/>
    <w:rsid w:val="003155E0"/>
    <w:rsid w:val="0032131B"/>
    <w:rsid w:val="0032233B"/>
    <w:rsid w:val="00323E7C"/>
    <w:rsid w:val="00325147"/>
    <w:rsid w:val="00332C99"/>
    <w:rsid w:val="00334C32"/>
    <w:rsid w:val="00340FAF"/>
    <w:rsid w:val="00345285"/>
    <w:rsid w:val="00353822"/>
    <w:rsid w:val="00353CE8"/>
    <w:rsid w:val="00356128"/>
    <w:rsid w:val="003608CF"/>
    <w:rsid w:val="003624F6"/>
    <w:rsid w:val="003730CC"/>
    <w:rsid w:val="00373A70"/>
    <w:rsid w:val="00373EC7"/>
    <w:rsid w:val="003836FF"/>
    <w:rsid w:val="0039227A"/>
    <w:rsid w:val="00393684"/>
    <w:rsid w:val="003A7D5A"/>
    <w:rsid w:val="003B33A5"/>
    <w:rsid w:val="003B6B92"/>
    <w:rsid w:val="003C2AFC"/>
    <w:rsid w:val="003D09CF"/>
    <w:rsid w:val="003D7D96"/>
    <w:rsid w:val="003E4E61"/>
    <w:rsid w:val="004028E0"/>
    <w:rsid w:val="00405489"/>
    <w:rsid w:val="00411669"/>
    <w:rsid w:val="004168C1"/>
    <w:rsid w:val="00417C54"/>
    <w:rsid w:val="0042048C"/>
    <w:rsid w:val="00431126"/>
    <w:rsid w:val="004349FF"/>
    <w:rsid w:val="0043776B"/>
    <w:rsid w:val="0044780B"/>
    <w:rsid w:val="00455302"/>
    <w:rsid w:val="004557A4"/>
    <w:rsid w:val="00464F26"/>
    <w:rsid w:val="00467625"/>
    <w:rsid w:val="00467839"/>
    <w:rsid w:val="00475A9F"/>
    <w:rsid w:val="00484611"/>
    <w:rsid w:val="0048486C"/>
    <w:rsid w:val="0048526C"/>
    <w:rsid w:val="004946E8"/>
    <w:rsid w:val="004954EE"/>
    <w:rsid w:val="00497160"/>
    <w:rsid w:val="00497D0C"/>
    <w:rsid w:val="004A0D7D"/>
    <w:rsid w:val="004C04EA"/>
    <w:rsid w:val="004C4E02"/>
    <w:rsid w:val="004D2FD3"/>
    <w:rsid w:val="004D4F60"/>
    <w:rsid w:val="004D6F84"/>
    <w:rsid w:val="004E1E33"/>
    <w:rsid w:val="004F4778"/>
    <w:rsid w:val="00505FFC"/>
    <w:rsid w:val="0050603A"/>
    <w:rsid w:val="005121F8"/>
    <w:rsid w:val="005177F9"/>
    <w:rsid w:val="00534FEB"/>
    <w:rsid w:val="005414A4"/>
    <w:rsid w:val="005424F9"/>
    <w:rsid w:val="005569C7"/>
    <w:rsid w:val="00560F39"/>
    <w:rsid w:val="00582598"/>
    <w:rsid w:val="00582E5F"/>
    <w:rsid w:val="00585411"/>
    <w:rsid w:val="00586584"/>
    <w:rsid w:val="00591A54"/>
    <w:rsid w:val="0059314F"/>
    <w:rsid w:val="00594749"/>
    <w:rsid w:val="00596E1D"/>
    <w:rsid w:val="00597CAF"/>
    <w:rsid w:val="005A10C2"/>
    <w:rsid w:val="005A4295"/>
    <w:rsid w:val="005A6C5E"/>
    <w:rsid w:val="005D0EF6"/>
    <w:rsid w:val="005D4255"/>
    <w:rsid w:val="005D4944"/>
    <w:rsid w:val="005D6A58"/>
    <w:rsid w:val="005E4C51"/>
    <w:rsid w:val="005F0150"/>
    <w:rsid w:val="005F0977"/>
    <w:rsid w:val="005F38CF"/>
    <w:rsid w:val="00601EE1"/>
    <w:rsid w:val="0060217B"/>
    <w:rsid w:val="0060724C"/>
    <w:rsid w:val="00630FBC"/>
    <w:rsid w:val="0063669B"/>
    <w:rsid w:val="00636FCB"/>
    <w:rsid w:val="00666D18"/>
    <w:rsid w:val="00666FA1"/>
    <w:rsid w:val="00673DF0"/>
    <w:rsid w:val="0067453B"/>
    <w:rsid w:val="00682023"/>
    <w:rsid w:val="00687D8D"/>
    <w:rsid w:val="00695226"/>
    <w:rsid w:val="006B141D"/>
    <w:rsid w:val="006B1B53"/>
    <w:rsid w:val="006B52C8"/>
    <w:rsid w:val="006C5BF1"/>
    <w:rsid w:val="006C61D8"/>
    <w:rsid w:val="006D3C81"/>
    <w:rsid w:val="006D63E3"/>
    <w:rsid w:val="006D7013"/>
    <w:rsid w:val="006E182F"/>
    <w:rsid w:val="006E26C8"/>
    <w:rsid w:val="007118E9"/>
    <w:rsid w:val="00715EAB"/>
    <w:rsid w:val="007206F8"/>
    <w:rsid w:val="00725C47"/>
    <w:rsid w:val="00727A94"/>
    <w:rsid w:val="00732E0F"/>
    <w:rsid w:val="007347C1"/>
    <w:rsid w:val="00752701"/>
    <w:rsid w:val="007645B6"/>
    <w:rsid w:val="00780357"/>
    <w:rsid w:val="00785886"/>
    <w:rsid w:val="00786F67"/>
    <w:rsid w:val="00793F91"/>
    <w:rsid w:val="00796A92"/>
    <w:rsid w:val="007A09BE"/>
    <w:rsid w:val="007A0B3F"/>
    <w:rsid w:val="007B2129"/>
    <w:rsid w:val="007B4535"/>
    <w:rsid w:val="007B746A"/>
    <w:rsid w:val="007C0FD2"/>
    <w:rsid w:val="007C5339"/>
    <w:rsid w:val="007C6897"/>
    <w:rsid w:val="007D76A5"/>
    <w:rsid w:val="007E410D"/>
    <w:rsid w:val="007F2895"/>
    <w:rsid w:val="007F462C"/>
    <w:rsid w:val="007F7010"/>
    <w:rsid w:val="008044DD"/>
    <w:rsid w:val="00806EB0"/>
    <w:rsid w:val="00811FAF"/>
    <w:rsid w:val="008201BB"/>
    <w:rsid w:val="00825C97"/>
    <w:rsid w:val="00831CA7"/>
    <w:rsid w:val="0084156E"/>
    <w:rsid w:val="008512B9"/>
    <w:rsid w:val="0085418B"/>
    <w:rsid w:val="00861AAD"/>
    <w:rsid w:val="00876E21"/>
    <w:rsid w:val="00882B2A"/>
    <w:rsid w:val="00882F72"/>
    <w:rsid w:val="00891CE5"/>
    <w:rsid w:val="00892E16"/>
    <w:rsid w:val="00897A8A"/>
    <w:rsid w:val="008A2116"/>
    <w:rsid w:val="008A3120"/>
    <w:rsid w:val="008B7D44"/>
    <w:rsid w:val="008C1F62"/>
    <w:rsid w:val="008C5597"/>
    <w:rsid w:val="008E2BE0"/>
    <w:rsid w:val="008E61D7"/>
    <w:rsid w:val="008F3FA5"/>
    <w:rsid w:val="008F73B1"/>
    <w:rsid w:val="0090328F"/>
    <w:rsid w:val="00905B1E"/>
    <w:rsid w:val="00913C3D"/>
    <w:rsid w:val="00913F77"/>
    <w:rsid w:val="009156A2"/>
    <w:rsid w:val="00924F82"/>
    <w:rsid w:val="00933FF4"/>
    <w:rsid w:val="00937582"/>
    <w:rsid w:val="00941218"/>
    <w:rsid w:val="00942CDD"/>
    <w:rsid w:val="00944A35"/>
    <w:rsid w:val="00956F1B"/>
    <w:rsid w:val="00957B92"/>
    <w:rsid w:val="0096069A"/>
    <w:rsid w:val="00962486"/>
    <w:rsid w:val="00976749"/>
    <w:rsid w:val="00984EC5"/>
    <w:rsid w:val="00990540"/>
    <w:rsid w:val="0099199B"/>
    <w:rsid w:val="00992A7B"/>
    <w:rsid w:val="00997E1F"/>
    <w:rsid w:val="009A0C96"/>
    <w:rsid w:val="009A6A9F"/>
    <w:rsid w:val="009C0907"/>
    <w:rsid w:val="009C09F0"/>
    <w:rsid w:val="009C0CF4"/>
    <w:rsid w:val="009C1C53"/>
    <w:rsid w:val="009C3BA5"/>
    <w:rsid w:val="009C65FF"/>
    <w:rsid w:val="009D12A0"/>
    <w:rsid w:val="009D2E0B"/>
    <w:rsid w:val="009D4004"/>
    <w:rsid w:val="009D54D5"/>
    <w:rsid w:val="009D657D"/>
    <w:rsid w:val="009D6C2B"/>
    <w:rsid w:val="009E1F4A"/>
    <w:rsid w:val="009E47F2"/>
    <w:rsid w:val="009E4A89"/>
    <w:rsid w:val="009E5687"/>
    <w:rsid w:val="009E63A1"/>
    <w:rsid w:val="009F06DF"/>
    <w:rsid w:val="009F0FA4"/>
    <w:rsid w:val="00A03049"/>
    <w:rsid w:val="00A208C1"/>
    <w:rsid w:val="00A2484C"/>
    <w:rsid w:val="00A26D76"/>
    <w:rsid w:val="00A36EC5"/>
    <w:rsid w:val="00A40D5C"/>
    <w:rsid w:val="00A44A4D"/>
    <w:rsid w:val="00A56576"/>
    <w:rsid w:val="00A6261A"/>
    <w:rsid w:val="00A81A1D"/>
    <w:rsid w:val="00A823FB"/>
    <w:rsid w:val="00A928BB"/>
    <w:rsid w:val="00A93828"/>
    <w:rsid w:val="00A96179"/>
    <w:rsid w:val="00A963F2"/>
    <w:rsid w:val="00AA0FEE"/>
    <w:rsid w:val="00AA21AF"/>
    <w:rsid w:val="00AA5E7A"/>
    <w:rsid w:val="00AA71DA"/>
    <w:rsid w:val="00AA7772"/>
    <w:rsid w:val="00AB1123"/>
    <w:rsid w:val="00AB17E1"/>
    <w:rsid w:val="00AC3609"/>
    <w:rsid w:val="00AC381D"/>
    <w:rsid w:val="00AC7223"/>
    <w:rsid w:val="00AD54F3"/>
    <w:rsid w:val="00AD7C44"/>
    <w:rsid w:val="00AE1847"/>
    <w:rsid w:val="00AE27EA"/>
    <w:rsid w:val="00AE33E9"/>
    <w:rsid w:val="00AE4493"/>
    <w:rsid w:val="00AF15EF"/>
    <w:rsid w:val="00AF2ADF"/>
    <w:rsid w:val="00AF5597"/>
    <w:rsid w:val="00B009F9"/>
    <w:rsid w:val="00B04B8C"/>
    <w:rsid w:val="00B10DDA"/>
    <w:rsid w:val="00B11F16"/>
    <w:rsid w:val="00B13551"/>
    <w:rsid w:val="00B13627"/>
    <w:rsid w:val="00B13A5E"/>
    <w:rsid w:val="00B16A82"/>
    <w:rsid w:val="00B36938"/>
    <w:rsid w:val="00B37FDD"/>
    <w:rsid w:val="00B4023E"/>
    <w:rsid w:val="00B43BA8"/>
    <w:rsid w:val="00B47586"/>
    <w:rsid w:val="00B47DB6"/>
    <w:rsid w:val="00B62F04"/>
    <w:rsid w:val="00B73746"/>
    <w:rsid w:val="00B74C44"/>
    <w:rsid w:val="00B835D4"/>
    <w:rsid w:val="00B83CB1"/>
    <w:rsid w:val="00B940A3"/>
    <w:rsid w:val="00BA25C6"/>
    <w:rsid w:val="00BB03A8"/>
    <w:rsid w:val="00BB42F5"/>
    <w:rsid w:val="00BC2CC0"/>
    <w:rsid w:val="00BD6182"/>
    <w:rsid w:val="00BD7D26"/>
    <w:rsid w:val="00BE053D"/>
    <w:rsid w:val="00BE317C"/>
    <w:rsid w:val="00BE7CD9"/>
    <w:rsid w:val="00BF52A5"/>
    <w:rsid w:val="00BF7214"/>
    <w:rsid w:val="00BF72E2"/>
    <w:rsid w:val="00C06B6A"/>
    <w:rsid w:val="00C0795E"/>
    <w:rsid w:val="00C110FF"/>
    <w:rsid w:val="00C130A3"/>
    <w:rsid w:val="00C17ECD"/>
    <w:rsid w:val="00C24B00"/>
    <w:rsid w:val="00C25A77"/>
    <w:rsid w:val="00C34448"/>
    <w:rsid w:val="00C36D3B"/>
    <w:rsid w:val="00C41A81"/>
    <w:rsid w:val="00C474AE"/>
    <w:rsid w:val="00C5029B"/>
    <w:rsid w:val="00C531DB"/>
    <w:rsid w:val="00C55088"/>
    <w:rsid w:val="00C5771F"/>
    <w:rsid w:val="00C6171E"/>
    <w:rsid w:val="00C623FA"/>
    <w:rsid w:val="00C6278D"/>
    <w:rsid w:val="00C70065"/>
    <w:rsid w:val="00C80052"/>
    <w:rsid w:val="00C83540"/>
    <w:rsid w:val="00C86E12"/>
    <w:rsid w:val="00C92283"/>
    <w:rsid w:val="00C928A9"/>
    <w:rsid w:val="00C96480"/>
    <w:rsid w:val="00CA0509"/>
    <w:rsid w:val="00CA2958"/>
    <w:rsid w:val="00CA3322"/>
    <w:rsid w:val="00CA7929"/>
    <w:rsid w:val="00CA7A1B"/>
    <w:rsid w:val="00CC2080"/>
    <w:rsid w:val="00CC21AB"/>
    <w:rsid w:val="00CC4D5E"/>
    <w:rsid w:val="00CC628D"/>
    <w:rsid w:val="00CD2773"/>
    <w:rsid w:val="00CD2AE8"/>
    <w:rsid w:val="00CE0CA9"/>
    <w:rsid w:val="00CE3D20"/>
    <w:rsid w:val="00CE50E4"/>
    <w:rsid w:val="00CF7229"/>
    <w:rsid w:val="00D01BC5"/>
    <w:rsid w:val="00D03A53"/>
    <w:rsid w:val="00D065B6"/>
    <w:rsid w:val="00D1611E"/>
    <w:rsid w:val="00D17D0A"/>
    <w:rsid w:val="00D2342A"/>
    <w:rsid w:val="00D23489"/>
    <w:rsid w:val="00D27B30"/>
    <w:rsid w:val="00D33F7D"/>
    <w:rsid w:val="00D34A44"/>
    <w:rsid w:val="00D40CF3"/>
    <w:rsid w:val="00D65714"/>
    <w:rsid w:val="00D66261"/>
    <w:rsid w:val="00D74F5E"/>
    <w:rsid w:val="00D7519B"/>
    <w:rsid w:val="00D77A30"/>
    <w:rsid w:val="00D81A93"/>
    <w:rsid w:val="00D84353"/>
    <w:rsid w:val="00D90DFA"/>
    <w:rsid w:val="00D95A93"/>
    <w:rsid w:val="00DB052D"/>
    <w:rsid w:val="00DB57F5"/>
    <w:rsid w:val="00DC38AA"/>
    <w:rsid w:val="00DD1259"/>
    <w:rsid w:val="00DD2000"/>
    <w:rsid w:val="00DE02C9"/>
    <w:rsid w:val="00DE337B"/>
    <w:rsid w:val="00DE34F1"/>
    <w:rsid w:val="00DE4606"/>
    <w:rsid w:val="00DF18B3"/>
    <w:rsid w:val="00DF44CE"/>
    <w:rsid w:val="00E102AC"/>
    <w:rsid w:val="00E11E52"/>
    <w:rsid w:val="00E12D91"/>
    <w:rsid w:val="00E1507A"/>
    <w:rsid w:val="00E16D5D"/>
    <w:rsid w:val="00E20279"/>
    <w:rsid w:val="00E23035"/>
    <w:rsid w:val="00E32515"/>
    <w:rsid w:val="00E4386D"/>
    <w:rsid w:val="00E51261"/>
    <w:rsid w:val="00E54B67"/>
    <w:rsid w:val="00E709BE"/>
    <w:rsid w:val="00E77638"/>
    <w:rsid w:val="00EB03FB"/>
    <w:rsid w:val="00EB37CB"/>
    <w:rsid w:val="00EC2D33"/>
    <w:rsid w:val="00EC49E1"/>
    <w:rsid w:val="00EC760C"/>
    <w:rsid w:val="00ED6F53"/>
    <w:rsid w:val="00EE32E7"/>
    <w:rsid w:val="00EE5948"/>
    <w:rsid w:val="00EE7391"/>
    <w:rsid w:val="00EF43BA"/>
    <w:rsid w:val="00EF4E82"/>
    <w:rsid w:val="00EF5597"/>
    <w:rsid w:val="00F02E0F"/>
    <w:rsid w:val="00F02F72"/>
    <w:rsid w:val="00F17FD9"/>
    <w:rsid w:val="00F20169"/>
    <w:rsid w:val="00F227FC"/>
    <w:rsid w:val="00F259E3"/>
    <w:rsid w:val="00F2712C"/>
    <w:rsid w:val="00F2725D"/>
    <w:rsid w:val="00F3222A"/>
    <w:rsid w:val="00F32F92"/>
    <w:rsid w:val="00F33265"/>
    <w:rsid w:val="00F36051"/>
    <w:rsid w:val="00F40FE5"/>
    <w:rsid w:val="00F41050"/>
    <w:rsid w:val="00F511BE"/>
    <w:rsid w:val="00F52AE1"/>
    <w:rsid w:val="00F547C3"/>
    <w:rsid w:val="00F67F86"/>
    <w:rsid w:val="00F72A19"/>
    <w:rsid w:val="00F86FF8"/>
    <w:rsid w:val="00F91C5A"/>
    <w:rsid w:val="00F9533C"/>
    <w:rsid w:val="00FA0AA8"/>
    <w:rsid w:val="00FA4D66"/>
    <w:rsid w:val="00FA6CDD"/>
    <w:rsid w:val="00FB1541"/>
    <w:rsid w:val="00FB32C5"/>
    <w:rsid w:val="00FC4611"/>
    <w:rsid w:val="00FC6604"/>
    <w:rsid w:val="00FD1541"/>
    <w:rsid w:val="00FD16CC"/>
    <w:rsid w:val="00FE24E2"/>
    <w:rsid w:val="00FE4AE9"/>
    <w:rsid w:val="00FE581A"/>
    <w:rsid w:val="00FF06D4"/>
    <w:rsid w:val="00FF092D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DC788"/>
  <w15:chartTrackingRefBased/>
  <w15:docId w15:val="{3A0440EC-C134-4B2E-842B-F0F378A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A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F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6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E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F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73A"/>
  </w:style>
  <w:style w:type="paragraph" w:styleId="Footer">
    <w:name w:val="footer"/>
    <w:basedOn w:val="Normal"/>
    <w:link w:val="FooterChar"/>
    <w:uiPriority w:val="99"/>
    <w:unhideWhenUsed/>
    <w:rsid w:val="000F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73A"/>
  </w:style>
  <w:style w:type="paragraph" w:styleId="Revision">
    <w:name w:val="Revision"/>
    <w:hidden/>
    <w:uiPriority w:val="99"/>
    <w:semiHidden/>
    <w:rsid w:val="00A208C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547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47C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47C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40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0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4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3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oisc-supervision-guidance-not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54cdfa5c0e06800101b2cc3/Immigration_Assistance_-_Practice_Note_amended_copy_26.04.22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immigrationadviceauthority@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immigrationadviceauthority.gov.uk/s/guidanc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government/publications/oisc-regulation-and-solicitors/oisc-regulation-and-solicitors--2" TargetMode="External"/><Relationship Id="rId7" Type="http://schemas.openxmlformats.org/officeDocument/2006/relationships/hyperlink" Target="https://assets.publishing.service.gov.uk/media/66a9ff2d0808eaf43b50da63/4_8_2024_Immigration_and_Asylum_Category_Specific_Rules.pdf" TargetMode="External"/><Relationship Id="rId2" Type="http://schemas.openxmlformats.org/officeDocument/2006/relationships/hyperlink" Target="https://www.sra.org.uk/solicitors/standards-regulations/authorisation-individuals-regulations/" TargetMode="External"/><Relationship Id="rId1" Type="http://schemas.openxmlformats.org/officeDocument/2006/relationships/hyperlink" Target="https://www.sra.org.uk/solicitors/guidance/immigration-work-guidance/" TargetMode="External"/><Relationship Id="rId6" Type="http://schemas.openxmlformats.org/officeDocument/2006/relationships/hyperlink" Target="https://www.barstandardsboard.org.uk/static/1434f7d0-4a0a-4c84-8a750c0f611475b6/6fe2894e-85a7-475f-b106e6f2f9fa4688/Supervising-Immigration-Advisers.pdf" TargetMode="External"/><Relationship Id="rId5" Type="http://schemas.openxmlformats.org/officeDocument/2006/relationships/hyperlink" Target="https://www.sra.org.uk/solicitors/guidance/immigration-work-guidance/" TargetMode="External"/><Relationship Id="rId4" Type="http://schemas.openxmlformats.org/officeDocument/2006/relationships/hyperlink" Target="https://www.sra.org.uk/solicitors/guidance/immigration-work-guid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35777e70-c86d-4a0c-946d-3e728d1afd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AA9495912F94E9276350D1CD40F7F" ma:contentTypeVersion="18" ma:contentTypeDescription="Create a new document." ma:contentTypeScope="" ma:versionID="0c904c1941b8e3ce8526090e4df77e6a">
  <xsd:schema xmlns:xsd="http://www.w3.org/2001/XMLSchema" xmlns:xs="http://www.w3.org/2001/XMLSchema" xmlns:p="http://schemas.microsoft.com/office/2006/metadata/properties" xmlns:ns2="35777e70-c86d-4a0c-946d-3e728d1afd0a" xmlns:ns3="ddc2aa69-e24e-4e76-b454-901b7f6c40e1" xmlns:ns4="d5efd484-15aa-41a0-83f6-0646502cb6d6" targetNamespace="http://schemas.microsoft.com/office/2006/metadata/properties" ma:root="true" ma:fieldsID="d3b455ab9493985f7a1ec00d298686ee" ns2:_="" ns3:_="" ns4:_="">
    <xsd:import namespace="35777e70-c86d-4a0c-946d-3e728d1afd0a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77e70-c86d-4a0c-946d-3e728d1af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fa24c92-8910-455b-85c0-598022b3243f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7366A-4CBE-4F35-B087-C55C0E002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603DE-789A-4938-B0C7-48D20D199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F9DFC-D533-4299-91DF-99F99C457062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35777e70-c86d-4a0c-946d-3e728d1afd0a"/>
  </ds:schemaRefs>
</ds:datastoreItem>
</file>

<file path=customXml/itemProps4.xml><?xml version="1.0" encoding="utf-8"?>
<ds:datastoreItem xmlns:ds="http://schemas.openxmlformats.org/officeDocument/2006/customXml" ds:itemID="{3A028AA3-866C-43F1-BEB7-F59376254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77e70-c86d-4a0c-946d-3e728d1afd0a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1324</Words>
  <Characters>7202</Characters>
  <Application>Microsoft Office Word</Application>
  <DocSecurity>0</DocSecurity>
  <Lines>126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Gilchrist</dc:creator>
  <cp:keywords/>
  <dc:description/>
  <cp:lastModifiedBy>Georgia Scriven</cp:lastModifiedBy>
  <cp:revision>2</cp:revision>
  <dcterms:created xsi:type="dcterms:W3CDTF">2025-10-16T13:28:00Z</dcterms:created>
  <dcterms:modified xsi:type="dcterms:W3CDTF">2025-10-16T13:28:00Z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0x010100BB8AA9495912F94E9276350D1CD40F7F</vt:lpwstr>
  </property>
</Properties>
</file>