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4B81" w14:textId="77777777" w:rsidR="00F154BC" w:rsidRDefault="00000000">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SAF revenue certainty mechanism: levy design</w:t>
      </w:r>
    </w:p>
    <w:p w14:paraId="47C34876"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t>Introduction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5C5A7B48" w14:textId="77777777">
        <w:trPr>
          <w:divId w:val="1426993053"/>
          <w:tblCellSpacing w:w="12" w:type="dxa"/>
        </w:trPr>
        <w:tc>
          <w:tcPr>
            <w:tcW w:w="0" w:type="auto"/>
            <w:vAlign w:val="center"/>
            <w:hideMark/>
          </w:tcPr>
          <w:p w14:paraId="29BFC457" w14:textId="77777777" w:rsidR="00F154BC" w:rsidRDefault="00000000">
            <w:pPr>
              <w:pStyle w:val="NormalWeb"/>
              <w:divId w:val="148249003"/>
              <w:rPr>
                <w:rFonts w:ascii="Arial" w:hAnsi="Arial" w:cs="Arial"/>
                <w:color w:val="000000"/>
              </w:rPr>
            </w:pPr>
            <w:r>
              <w:rPr>
                <w:rFonts w:ascii="Arial" w:hAnsi="Arial" w:cs="Arial"/>
                <w:color w:val="000000"/>
              </w:rPr>
              <w:t>Thank you for responding to this consultation on specific design features of the aviation fuel supplier levy, which will fund the sustainable aviation fuel revenue certainty mechanism.</w:t>
            </w:r>
          </w:p>
          <w:p w14:paraId="3CDBFF8B" w14:textId="77777777" w:rsidR="00F154BC" w:rsidRDefault="00000000">
            <w:pPr>
              <w:pStyle w:val="NormalWeb"/>
              <w:divId w:val="148249003"/>
              <w:rPr>
                <w:rFonts w:ascii="Arial" w:hAnsi="Arial" w:cs="Arial"/>
                <w:color w:val="000000"/>
              </w:rPr>
            </w:pPr>
            <w:r>
              <w:rPr>
                <w:rFonts w:ascii="Arial" w:hAnsi="Arial" w:cs="Arial"/>
                <w:color w:val="000000"/>
              </w:rPr>
              <w:t>Closing date is 8 January 2026.</w:t>
            </w:r>
          </w:p>
          <w:p w14:paraId="35B4AD29" w14:textId="77777777" w:rsidR="00F154BC" w:rsidRDefault="00000000">
            <w:pPr>
              <w:pStyle w:val="Heading3"/>
              <w:divId w:val="148249003"/>
              <w:rPr>
                <w:rFonts w:ascii="Arial" w:eastAsia="Times New Roman" w:hAnsi="Arial" w:cs="Arial"/>
                <w:color w:val="000000"/>
              </w:rPr>
            </w:pPr>
            <w:r>
              <w:rPr>
                <w:rFonts w:ascii="Arial" w:eastAsia="Times New Roman" w:hAnsi="Arial" w:cs="Arial"/>
                <w:color w:val="000000"/>
              </w:rPr>
              <w:t>Accessibility statement</w:t>
            </w:r>
          </w:p>
          <w:p w14:paraId="6F63D1DE" w14:textId="77777777" w:rsidR="00F154BC" w:rsidRDefault="00000000">
            <w:pPr>
              <w:pStyle w:val="NormalWeb"/>
              <w:divId w:val="148249003"/>
              <w:rPr>
                <w:rFonts w:ascii="Arial" w:hAnsi="Arial" w:cs="Arial"/>
                <w:color w:val="000000"/>
              </w:rPr>
            </w:pPr>
            <w:r>
              <w:rPr>
                <w:rFonts w:ascii="Arial" w:hAnsi="Arial" w:cs="Arial"/>
                <w:color w:val="000000"/>
              </w:rPr>
              <w:t xml:space="preserve">Read our </w:t>
            </w:r>
            <w:hyperlink r:id="rId5" w:tgtFrame="_blank" w:history="1">
              <w:r w:rsidR="00F154BC">
                <w:rPr>
                  <w:rStyle w:val="Hyperlink"/>
                  <w:rFonts w:ascii="Arial" w:hAnsi="Arial" w:cs="Arial"/>
                </w:rPr>
                <w:t xml:space="preserve">accessibility statement for </w:t>
              </w:r>
              <w:proofErr w:type="spellStart"/>
              <w:r w:rsidR="00F154BC">
                <w:rPr>
                  <w:rStyle w:val="Hyperlink"/>
                  <w:rFonts w:ascii="Arial" w:hAnsi="Arial" w:cs="Arial"/>
                </w:rPr>
                <w:t>SmartSurvey</w:t>
              </w:r>
              <w:proofErr w:type="spellEnd"/>
              <w:r w:rsidR="00F154BC">
                <w:rPr>
                  <w:rStyle w:val="Hyperlink"/>
                  <w:rFonts w:ascii="Arial" w:hAnsi="Arial" w:cs="Arial"/>
                </w:rPr>
                <w:t xml:space="preserve"> forms [opens in a new window]</w:t>
              </w:r>
            </w:hyperlink>
            <w:r>
              <w:rPr>
                <w:rFonts w:ascii="Arial" w:hAnsi="Arial" w:cs="Arial"/>
                <w:color w:val="000000"/>
              </w:rPr>
              <w:t>.</w:t>
            </w:r>
          </w:p>
          <w:p w14:paraId="63772B1B" w14:textId="77777777" w:rsidR="00F154BC" w:rsidRDefault="00000000">
            <w:pPr>
              <w:pStyle w:val="Heading3"/>
              <w:divId w:val="148249003"/>
              <w:rPr>
                <w:rFonts w:ascii="Arial" w:eastAsia="Times New Roman" w:hAnsi="Arial" w:cs="Arial"/>
                <w:color w:val="000000"/>
              </w:rPr>
            </w:pPr>
            <w:r>
              <w:rPr>
                <w:rFonts w:ascii="Arial" w:eastAsia="Times New Roman" w:hAnsi="Arial" w:cs="Arial"/>
                <w:color w:val="000000"/>
              </w:rPr>
              <w:t>Data protection regulations</w:t>
            </w:r>
          </w:p>
          <w:p w14:paraId="6DBD9594" w14:textId="77777777" w:rsidR="00F154BC" w:rsidRDefault="00000000">
            <w:pPr>
              <w:pStyle w:val="NormalWeb"/>
              <w:divId w:val="148249003"/>
              <w:rPr>
                <w:rFonts w:ascii="Arial" w:hAnsi="Arial" w:cs="Arial"/>
                <w:color w:val="000000"/>
              </w:rPr>
            </w:pPr>
            <w:r>
              <w:rPr>
                <w:rFonts w:ascii="Arial" w:hAnsi="Arial" w:cs="Arial"/>
                <w:color w:val="000000"/>
              </w:rPr>
              <w:t>The Department for Transport (DfT) is running this consultation on specific design features of the aviation fuel supplier levy, which will fund the sustainable aviation fuel revenue certainty mechanism.</w:t>
            </w:r>
          </w:p>
          <w:p w14:paraId="1D2048C0" w14:textId="77777777" w:rsidR="00F154BC" w:rsidRDefault="00000000">
            <w:pPr>
              <w:pStyle w:val="NormalWeb"/>
              <w:divId w:val="148249003"/>
              <w:rPr>
                <w:rFonts w:ascii="Arial" w:hAnsi="Arial" w:cs="Arial"/>
                <w:color w:val="000000"/>
              </w:rPr>
            </w:pPr>
            <w:r>
              <w:rPr>
                <w:rFonts w:ascii="Arial" w:hAnsi="Arial" w:cs="Arial"/>
                <w:color w:val="000000"/>
              </w:rPr>
              <w:t xml:space="preserve">View our </w:t>
            </w:r>
            <w:hyperlink r:id="rId6" w:tgtFrame="_blank" w:history="1">
              <w:r w:rsidR="00F154BC">
                <w:rPr>
                  <w:rStyle w:val="Hyperlink"/>
                  <w:rFonts w:ascii="Arial" w:hAnsi="Arial" w:cs="Arial"/>
                </w:rPr>
                <w:t>DfT online form and survey privacy notice [opens in a new window]</w:t>
              </w:r>
            </w:hyperlink>
            <w:r>
              <w:rPr>
                <w:rFonts w:ascii="Arial" w:hAnsi="Arial" w:cs="Arial"/>
                <w:color w:val="000000"/>
              </w:rPr>
              <w:t xml:space="preserve"> for more information on how your personal data is processed in relation to this survey.</w:t>
            </w:r>
          </w:p>
          <w:p w14:paraId="7A93BC7F" w14:textId="77777777" w:rsidR="00F154BC" w:rsidRDefault="00000000">
            <w:pPr>
              <w:pStyle w:val="NormalWeb"/>
              <w:divId w:val="148249003"/>
              <w:rPr>
                <w:rFonts w:ascii="Arial" w:hAnsi="Arial" w:cs="Arial"/>
                <w:color w:val="000000"/>
              </w:rPr>
            </w:pPr>
            <w:r>
              <w:rPr>
                <w:rFonts w:ascii="Arial" w:hAnsi="Arial" w:cs="Arial"/>
                <w:color w:val="000000"/>
              </w:rPr>
              <w:t>Although we are not asking for sensitive personal data, any that is provided in response to this consultation will be processed under article 9.2.g, substantial public interest, with reference to the Data Protection Act Schedule 1 Part 2 Section 8 for the purpose of equality of opportunity or treatment.</w:t>
            </w:r>
          </w:p>
          <w:p w14:paraId="10B350AC" w14:textId="77777777" w:rsidR="00F154BC" w:rsidRDefault="00000000">
            <w:pPr>
              <w:pStyle w:val="NormalWeb"/>
              <w:divId w:val="148249003"/>
              <w:rPr>
                <w:rFonts w:ascii="Arial" w:hAnsi="Arial" w:cs="Arial"/>
                <w:color w:val="000000"/>
              </w:rPr>
            </w:pPr>
            <w:r>
              <w:rPr>
                <w:rFonts w:ascii="Arial" w:hAnsi="Arial" w:cs="Arial"/>
                <w:color w:val="000000"/>
              </w:rPr>
              <w:t>Do not include personal information in your responses unless specifically requested.</w:t>
            </w:r>
          </w:p>
          <w:p w14:paraId="4A2A85C4" w14:textId="77777777" w:rsidR="00F154BC" w:rsidRDefault="00F154BC">
            <w:pPr>
              <w:rPr>
                <w:rFonts w:ascii="Arial" w:hAnsi="Arial" w:cs="Arial"/>
                <w:color w:val="000000"/>
              </w:rPr>
            </w:pPr>
          </w:p>
        </w:tc>
      </w:tr>
    </w:tbl>
    <w:p w14:paraId="16385326"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9DA920E"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Your information</w:t>
      </w:r>
    </w:p>
    <w:p w14:paraId="2121CDDF" w14:textId="77777777" w:rsidR="00F154BC" w:rsidRDefault="00000000">
      <w:pPr>
        <w:pStyle w:val="Heading3"/>
        <w:divId w:val="1577200414"/>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What is your name?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F154BC" w14:paraId="6366D374" w14:textId="77777777">
        <w:trPr>
          <w:divId w:val="1577200414"/>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F154BC" w14:paraId="4256589F" w14:textId="77777777">
              <w:trPr>
                <w:trHeight w:val="375"/>
                <w:tblCellSpacing w:w="15" w:type="dxa"/>
              </w:trPr>
              <w:tc>
                <w:tcPr>
                  <w:tcW w:w="6000" w:type="dxa"/>
                  <w:vAlign w:val="center"/>
                  <w:hideMark/>
                </w:tcPr>
                <w:p w14:paraId="28E3B2FD" w14:textId="77777777" w:rsidR="00F154BC" w:rsidRDefault="00F154BC">
                  <w:pPr>
                    <w:rPr>
                      <w:rFonts w:ascii="Arial" w:eastAsia="Times New Roman" w:hAnsi="Arial" w:cs="Arial"/>
                      <w:color w:val="000000"/>
                    </w:rPr>
                  </w:pPr>
                </w:p>
              </w:tc>
            </w:tr>
          </w:tbl>
          <w:p w14:paraId="059294E5" w14:textId="77777777" w:rsidR="00F154BC" w:rsidRDefault="00F154BC">
            <w:pPr>
              <w:rPr>
                <w:rFonts w:ascii="Arial" w:eastAsia="Times New Roman" w:hAnsi="Arial" w:cs="Arial"/>
                <w:color w:val="000000"/>
              </w:rPr>
            </w:pPr>
          </w:p>
        </w:tc>
      </w:tr>
    </w:tbl>
    <w:p w14:paraId="7ACB072B" w14:textId="77777777" w:rsidR="00F154BC" w:rsidRDefault="00000000">
      <w:pPr>
        <w:pStyle w:val="Heading3"/>
        <w:divId w:val="1392465119"/>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What is your email address?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F154BC" w14:paraId="55E75BBB" w14:textId="77777777">
        <w:trPr>
          <w:divId w:val="1392465119"/>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F154BC" w14:paraId="57D2DC36" w14:textId="77777777">
              <w:trPr>
                <w:trHeight w:val="375"/>
                <w:tblCellSpacing w:w="15" w:type="dxa"/>
              </w:trPr>
              <w:tc>
                <w:tcPr>
                  <w:tcW w:w="6000" w:type="dxa"/>
                  <w:vAlign w:val="center"/>
                  <w:hideMark/>
                </w:tcPr>
                <w:p w14:paraId="59DEEA64" w14:textId="77777777" w:rsidR="00F154BC" w:rsidRDefault="00F154BC">
                  <w:pPr>
                    <w:rPr>
                      <w:rFonts w:ascii="Arial" w:eastAsia="Times New Roman" w:hAnsi="Arial" w:cs="Arial"/>
                      <w:color w:val="000000"/>
                    </w:rPr>
                  </w:pPr>
                </w:p>
              </w:tc>
            </w:tr>
          </w:tbl>
          <w:p w14:paraId="4F56F44F" w14:textId="77777777" w:rsidR="00F154BC" w:rsidRDefault="00F154BC">
            <w:pPr>
              <w:rPr>
                <w:rFonts w:ascii="Arial" w:eastAsia="Times New Roman" w:hAnsi="Arial" w:cs="Arial"/>
                <w:color w:val="000000"/>
              </w:rPr>
            </w:pPr>
          </w:p>
        </w:tc>
      </w:tr>
    </w:tbl>
    <w:p w14:paraId="27B6F764" w14:textId="77777777" w:rsidR="00F154BC" w:rsidRDefault="00000000">
      <w:pPr>
        <w:pStyle w:val="Heading3"/>
        <w:divId w:val="232088928"/>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Are you responding on behalf of an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380"/>
      </w:tblGrid>
      <w:tr w:rsidR="00F154BC" w14:paraId="17C49CCA" w14:textId="77777777">
        <w:trPr>
          <w:divId w:val="232088928"/>
          <w:trHeight w:val="225"/>
          <w:tblCellSpacing w:w="12" w:type="dxa"/>
        </w:trPr>
        <w:tc>
          <w:tcPr>
            <w:tcW w:w="225" w:type="dxa"/>
            <w:tcMar>
              <w:top w:w="75" w:type="dxa"/>
              <w:left w:w="75" w:type="dxa"/>
              <w:bottom w:w="75" w:type="dxa"/>
              <w:right w:w="75" w:type="dxa"/>
            </w:tcMar>
            <w:hideMark/>
          </w:tcPr>
          <w:p w14:paraId="313D84BB"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019C5C3" w14:textId="77777777" w:rsidR="00F154BC" w:rsidRDefault="00000000">
            <w:pPr>
              <w:rPr>
                <w:rFonts w:ascii="Arial" w:eastAsia="Times New Roman" w:hAnsi="Arial" w:cs="Arial"/>
                <w:color w:val="000000"/>
              </w:rPr>
            </w:pPr>
            <w:r>
              <w:rPr>
                <w:rFonts w:ascii="Arial" w:eastAsia="Times New Roman" w:hAnsi="Arial" w:cs="Arial"/>
                <w:color w:val="000000"/>
              </w:rPr>
              <w:t>Yes</w:t>
            </w:r>
          </w:p>
        </w:tc>
      </w:tr>
      <w:tr w:rsidR="00F154BC" w14:paraId="4DE18B6B" w14:textId="77777777">
        <w:trPr>
          <w:divId w:val="232088928"/>
          <w:trHeight w:val="225"/>
          <w:tblCellSpacing w:w="12" w:type="dxa"/>
        </w:trPr>
        <w:tc>
          <w:tcPr>
            <w:tcW w:w="225" w:type="dxa"/>
            <w:tcMar>
              <w:top w:w="75" w:type="dxa"/>
              <w:left w:w="75" w:type="dxa"/>
              <w:bottom w:w="75" w:type="dxa"/>
              <w:right w:w="75" w:type="dxa"/>
            </w:tcMar>
            <w:hideMark/>
          </w:tcPr>
          <w:p w14:paraId="6CBFA7C7"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F94788E" w14:textId="6159624E" w:rsidR="00F154BC" w:rsidRDefault="00000000">
            <w:pPr>
              <w:rPr>
                <w:rFonts w:ascii="Arial" w:eastAsia="Times New Roman" w:hAnsi="Arial" w:cs="Arial"/>
                <w:color w:val="000000"/>
              </w:rPr>
            </w:pPr>
            <w:r>
              <w:rPr>
                <w:rFonts w:ascii="Arial" w:eastAsia="Times New Roman" w:hAnsi="Arial" w:cs="Arial"/>
                <w:color w:val="000000"/>
              </w:rPr>
              <w:t>N</w:t>
            </w:r>
            <w:r w:rsidR="00725029">
              <w:rPr>
                <w:rFonts w:ascii="Arial" w:eastAsia="Times New Roman" w:hAnsi="Arial" w:cs="Arial"/>
                <w:color w:val="000000"/>
              </w:rPr>
              <w:t>o (Go to ‘</w:t>
            </w:r>
            <w:r w:rsidR="00725029" w:rsidRPr="00725029">
              <w:rPr>
                <w:rFonts w:ascii="Arial" w:eastAsia="Times New Roman" w:hAnsi="Arial" w:cs="Arial"/>
                <w:color w:val="000000"/>
              </w:rPr>
              <w:t>SAF revenue certainty mechanism: levy design</w:t>
            </w:r>
            <w:r w:rsidR="00725029">
              <w:rPr>
                <w:rFonts w:ascii="Arial" w:eastAsia="Times New Roman" w:hAnsi="Arial" w:cs="Arial"/>
                <w:color w:val="000000"/>
              </w:rPr>
              <w:t>’)</w:t>
            </w:r>
          </w:p>
        </w:tc>
      </w:tr>
    </w:tbl>
    <w:p w14:paraId="60AE6BAD"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E65A397"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Organisation details</w:t>
      </w:r>
    </w:p>
    <w:p w14:paraId="3C41A63B" w14:textId="77777777" w:rsidR="00F154BC" w:rsidRDefault="00000000">
      <w:pPr>
        <w:pStyle w:val="Heading3"/>
        <w:divId w:val="1938827887"/>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What is the name of your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09944791" w14:textId="77777777" w:rsidTr="00725029">
        <w:trPr>
          <w:divId w:val="1938827887"/>
          <w:tblCellSpacing w:w="12" w:type="dxa"/>
        </w:trPr>
        <w:tc>
          <w:tcPr>
            <w:tcW w:w="8883" w:type="dxa"/>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4B52325C" w14:textId="77777777" w:rsidTr="00725029">
              <w:trPr>
                <w:trHeight w:val="375"/>
                <w:tblCellSpacing w:w="15" w:type="dxa"/>
              </w:trPr>
              <w:tc>
                <w:tcPr>
                  <w:tcW w:w="8815" w:type="dxa"/>
                  <w:vAlign w:val="center"/>
                  <w:hideMark/>
                </w:tcPr>
                <w:p w14:paraId="3D92FF20" w14:textId="77777777" w:rsidR="00F154BC" w:rsidRDefault="00F154BC">
                  <w:pPr>
                    <w:rPr>
                      <w:rFonts w:ascii="Arial" w:eastAsia="Times New Roman" w:hAnsi="Arial" w:cs="Arial"/>
                      <w:color w:val="000000"/>
                    </w:rPr>
                  </w:pPr>
                </w:p>
              </w:tc>
            </w:tr>
          </w:tbl>
          <w:p w14:paraId="2B62D50E" w14:textId="77777777" w:rsidR="00F154BC" w:rsidRDefault="00F154BC">
            <w:pPr>
              <w:rPr>
                <w:rFonts w:ascii="Arial" w:eastAsia="Times New Roman" w:hAnsi="Arial" w:cs="Arial"/>
                <w:color w:val="000000"/>
              </w:rPr>
            </w:pPr>
          </w:p>
        </w:tc>
      </w:tr>
    </w:tbl>
    <w:p w14:paraId="188A321C"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8B12B00"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SAF revenue certainty mechanism: levy design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4ED6E7E2" w14:textId="77777777">
        <w:trPr>
          <w:divId w:val="1137605357"/>
          <w:tblCellSpacing w:w="12" w:type="dxa"/>
        </w:trPr>
        <w:tc>
          <w:tcPr>
            <w:tcW w:w="0" w:type="auto"/>
            <w:vAlign w:val="center"/>
            <w:hideMark/>
          </w:tcPr>
          <w:p w14:paraId="0FCB55C7" w14:textId="77777777" w:rsidR="00F154BC" w:rsidRDefault="00000000">
            <w:pPr>
              <w:pStyle w:val="NormalWeb"/>
              <w:divId w:val="1210655218"/>
              <w:rPr>
                <w:rFonts w:ascii="Arial" w:hAnsi="Arial" w:cs="Arial"/>
                <w:color w:val="000000"/>
              </w:rPr>
            </w:pPr>
            <w:r>
              <w:rPr>
                <w:rFonts w:ascii="Arial" w:hAnsi="Arial" w:cs="Arial"/>
                <w:color w:val="000000"/>
              </w:rPr>
              <w:t>This consultation seeks views on specific design features of the aviation fuel supplier levy, which will fund the sustainable aviation fuel revenue certainty mechanism.</w:t>
            </w:r>
          </w:p>
          <w:p w14:paraId="06A65E4E" w14:textId="77777777" w:rsidR="00F154BC" w:rsidRDefault="00000000">
            <w:pPr>
              <w:pStyle w:val="NormalWeb"/>
              <w:divId w:val="1210655218"/>
              <w:rPr>
                <w:rFonts w:ascii="Arial" w:hAnsi="Arial" w:cs="Arial"/>
                <w:color w:val="000000"/>
              </w:rPr>
            </w:pPr>
            <w:r>
              <w:rPr>
                <w:rFonts w:ascii="Arial" w:hAnsi="Arial" w:cs="Arial"/>
                <w:color w:val="000000"/>
              </w:rPr>
              <w:t xml:space="preserve">We have </w:t>
            </w:r>
            <w:hyperlink r:id="rId7" w:tgtFrame="_blank" w:history="1">
              <w:r w:rsidR="00F154BC">
                <w:rPr>
                  <w:rStyle w:val="Hyperlink"/>
                  <w:rFonts w:ascii="Arial" w:hAnsi="Arial" w:cs="Arial"/>
                </w:rPr>
                <w:t>previously confirmed that industry should fund the revenue certainty mechanism through a variable levy on aviation fuel suppliers [opens in a new window]</w:t>
              </w:r>
            </w:hyperlink>
            <w:r>
              <w:rPr>
                <w:rFonts w:ascii="Arial" w:hAnsi="Arial" w:cs="Arial"/>
                <w:color w:val="000000"/>
              </w:rPr>
              <w:t>. </w:t>
            </w:r>
          </w:p>
          <w:p w14:paraId="377C93DA" w14:textId="77777777" w:rsidR="00F154BC" w:rsidRDefault="00000000">
            <w:pPr>
              <w:pStyle w:val="NormalWeb"/>
              <w:divId w:val="1210655218"/>
              <w:rPr>
                <w:rFonts w:ascii="Arial" w:hAnsi="Arial" w:cs="Arial"/>
                <w:color w:val="000000"/>
              </w:rPr>
            </w:pPr>
            <w:r>
              <w:rPr>
                <w:rFonts w:ascii="Arial" w:hAnsi="Arial" w:cs="Arial"/>
                <w:color w:val="000000"/>
              </w:rPr>
              <w:t>The consultation sets out specific design features of the levy, including:</w:t>
            </w:r>
          </w:p>
          <w:p w14:paraId="4140F0E8" w14:textId="77777777" w:rsidR="00F154BC" w:rsidRDefault="00000000">
            <w:pPr>
              <w:numPr>
                <w:ilvl w:val="0"/>
                <w:numId w:val="1"/>
              </w:numPr>
              <w:spacing w:before="100" w:beforeAutospacing="1" w:after="100" w:afterAutospacing="1"/>
              <w:divId w:val="1210655218"/>
              <w:rPr>
                <w:rFonts w:ascii="Arial" w:eastAsia="Times New Roman" w:hAnsi="Arial" w:cs="Arial"/>
                <w:color w:val="000000"/>
              </w:rPr>
            </w:pPr>
            <w:r>
              <w:rPr>
                <w:rFonts w:ascii="Arial" w:eastAsia="Times New Roman" w:hAnsi="Arial" w:cs="Arial"/>
                <w:color w:val="000000"/>
              </w:rPr>
              <w:t>how it could be calculated</w:t>
            </w:r>
          </w:p>
          <w:p w14:paraId="7366BE88" w14:textId="77777777" w:rsidR="00F154BC" w:rsidRDefault="00000000">
            <w:pPr>
              <w:numPr>
                <w:ilvl w:val="0"/>
                <w:numId w:val="1"/>
              </w:numPr>
              <w:spacing w:before="100" w:beforeAutospacing="1" w:after="100" w:afterAutospacing="1"/>
              <w:divId w:val="1210655218"/>
              <w:rPr>
                <w:rFonts w:ascii="Arial" w:eastAsia="Times New Roman" w:hAnsi="Arial" w:cs="Arial"/>
                <w:color w:val="000000"/>
              </w:rPr>
            </w:pPr>
            <w:r>
              <w:rPr>
                <w:rFonts w:ascii="Arial" w:eastAsia="Times New Roman" w:hAnsi="Arial" w:cs="Arial"/>
                <w:color w:val="000000"/>
              </w:rPr>
              <w:t>length, frequency and sequencing of when the levy is calculated, collected, and paid</w:t>
            </w:r>
          </w:p>
          <w:p w14:paraId="47A867D5" w14:textId="77777777" w:rsidR="00F154BC" w:rsidRDefault="00000000">
            <w:pPr>
              <w:numPr>
                <w:ilvl w:val="0"/>
                <w:numId w:val="1"/>
              </w:numPr>
              <w:spacing w:before="100" w:beforeAutospacing="1" w:after="100" w:afterAutospacing="1"/>
              <w:divId w:val="1210655218"/>
              <w:rPr>
                <w:rFonts w:ascii="Arial" w:eastAsia="Times New Roman" w:hAnsi="Arial" w:cs="Arial"/>
                <w:color w:val="000000"/>
              </w:rPr>
            </w:pPr>
            <w:r>
              <w:rPr>
                <w:rFonts w:ascii="Arial" w:eastAsia="Times New Roman" w:hAnsi="Arial" w:cs="Arial"/>
                <w:color w:val="000000"/>
              </w:rPr>
              <w:t>use of forecasts to provide certainty for industry</w:t>
            </w:r>
          </w:p>
          <w:p w14:paraId="22A43D1C" w14:textId="77777777" w:rsidR="00F154BC" w:rsidRDefault="00000000">
            <w:pPr>
              <w:numPr>
                <w:ilvl w:val="0"/>
                <w:numId w:val="1"/>
              </w:numPr>
              <w:spacing w:before="100" w:beforeAutospacing="1" w:after="100" w:afterAutospacing="1"/>
              <w:divId w:val="1210655218"/>
              <w:rPr>
                <w:rFonts w:ascii="Arial" w:eastAsia="Times New Roman" w:hAnsi="Arial" w:cs="Arial"/>
                <w:color w:val="000000"/>
              </w:rPr>
            </w:pPr>
            <w:r>
              <w:rPr>
                <w:rFonts w:ascii="Arial" w:eastAsia="Times New Roman" w:hAnsi="Arial" w:cs="Arial"/>
                <w:color w:val="000000"/>
              </w:rPr>
              <w:t>actions to address over-collection, surpluses, and under-collection of the levy</w:t>
            </w:r>
          </w:p>
          <w:p w14:paraId="11C90FC6" w14:textId="77777777" w:rsidR="00F154BC" w:rsidRDefault="00000000">
            <w:pPr>
              <w:numPr>
                <w:ilvl w:val="0"/>
                <w:numId w:val="1"/>
              </w:numPr>
              <w:spacing w:before="100" w:beforeAutospacing="1" w:after="100" w:afterAutospacing="1"/>
              <w:divId w:val="1210655218"/>
              <w:rPr>
                <w:rFonts w:ascii="Arial" w:eastAsia="Times New Roman" w:hAnsi="Arial" w:cs="Arial"/>
                <w:color w:val="000000"/>
              </w:rPr>
            </w:pPr>
            <w:r>
              <w:rPr>
                <w:rFonts w:ascii="Arial" w:eastAsia="Times New Roman" w:hAnsi="Arial" w:cs="Arial"/>
                <w:color w:val="000000"/>
              </w:rPr>
              <w:t>the administrative responsibilities of the counterparty</w:t>
            </w:r>
          </w:p>
          <w:p w14:paraId="696EE609" w14:textId="77777777" w:rsidR="00F154BC" w:rsidRDefault="00F154BC">
            <w:pPr>
              <w:pStyle w:val="NormalWeb"/>
              <w:divId w:val="1210655218"/>
              <w:rPr>
                <w:rFonts w:ascii="Arial" w:hAnsi="Arial" w:cs="Arial"/>
                <w:color w:val="000000"/>
              </w:rPr>
            </w:pPr>
            <w:hyperlink r:id="rId8" w:tgtFrame="_blank" w:history="1">
              <w:r>
                <w:rPr>
                  <w:rStyle w:val="Hyperlink"/>
                  <w:rFonts w:ascii="Arial" w:hAnsi="Arial" w:cs="Arial"/>
                </w:rPr>
                <w:t>Full information of our proposals is given in our consultation information [opens in a new window]</w:t>
              </w:r>
            </w:hyperlink>
            <w:r w:rsidR="00000000">
              <w:rPr>
                <w:rFonts w:ascii="Arial" w:hAnsi="Arial" w:cs="Arial"/>
                <w:color w:val="000000"/>
              </w:rPr>
              <w:t>.</w:t>
            </w:r>
          </w:p>
          <w:p w14:paraId="5E7BCF91" w14:textId="77777777" w:rsidR="00F154BC" w:rsidRDefault="00F154BC">
            <w:pPr>
              <w:rPr>
                <w:rFonts w:ascii="Arial" w:hAnsi="Arial" w:cs="Arial"/>
                <w:color w:val="000000"/>
              </w:rPr>
            </w:pPr>
          </w:p>
        </w:tc>
      </w:tr>
    </w:tbl>
    <w:p w14:paraId="258AACC2"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4125848"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Use of SAF Mandate reporting data</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610081CA" w14:textId="77777777">
        <w:trPr>
          <w:divId w:val="263806407"/>
          <w:tblCellSpacing w:w="12" w:type="dxa"/>
        </w:trPr>
        <w:tc>
          <w:tcPr>
            <w:tcW w:w="0" w:type="auto"/>
            <w:vAlign w:val="center"/>
            <w:hideMark/>
          </w:tcPr>
          <w:p w14:paraId="5ED198C6" w14:textId="3E70D78C" w:rsidR="00F154BC" w:rsidRDefault="00000000">
            <w:pPr>
              <w:pStyle w:val="NormalWeb"/>
              <w:divId w:val="1960337917"/>
              <w:rPr>
                <w:rFonts w:ascii="Arial" w:hAnsi="Arial" w:cs="Arial"/>
                <w:color w:val="000000"/>
              </w:rPr>
            </w:pPr>
            <w:r>
              <w:rPr>
                <w:rFonts w:ascii="Arial" w:hAnsi="Arial" w:cs="Arial"/>
                <w:color w:val="000000"/>
              </w:rPr>
              <w:t xml:space="preserve">We propose that the counterparty will be responsible for determining individual levy contributions using data that suppliers </w:t>
            </w:r>
            <w:r w:rsidR="00A9768E">
              <w:rPr>
                <w:rFonts w:ascii="Arial" w:hAnsi="Arial" w:cs="Arial"/>
                <w:color w:val="000000"/>
              </w:rPr>
              <w:t>s</w:t>
            </w:r>
            <w:r>
              <w:rPr>
                <w:rFonts w:ascii="Arial" w:hAnsi="Arial" w:cs="Arial"/>
                <w:color w:val="000000"/>
              </w:rPr>
              <w:t>ubmit to the SAF Mandate reporting system (ROS).</w:t>
            </w:r>
          </w:p>
          <w:p w14:paraId="29DEBCDF" w14:textId="77777777" w:rsidR="00F154BC" w:rsidRDefault="00F154BC">
            <w:pPr>
              <w:rPr>
                <w:rFonts w:ascii="Arial" w:hAnsi="Arial" w:cs="Arial"/>
                <w:color w:val="000000"/>
              </w:rPr>
            </w:pPr>
          </w:p>
        </w:tc>
      </w:tr>
    </w:tbl>
    <w:p w14:paraId="6B8006DC" w14:textId="7F50DA13" w:rsidR="00F154BC" w:rsidRDefault="00000000">
      <w:pPr>
        <w:pStyle w:val="Heading3"/>
        <w:divId w:val="1756509497"/>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w:t>
      </w:r>
      <w:r w:rsidR="00A9768E" w:rsidRPr="00A9768E">
        <w:rPr>
          <w:rFonts w:ascii="Arial" w:eastAsia="Times New Roman" w:hAnsi="Arial" w:cs="Arial"/>
          <w:color w:val="000000"/>
        </w:rPr>
        <w:t>For the purposes of the levy, do you agree or disagree with suppliers submitting data to the SAF Mandate reporting system for determining relevant aviation fuel volumes?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933"/>
      </w:tblGrid>
      <w:tr w:rsidR="00F154BC" w14:paraId="50092D81" w14:textId="77777777">
        <w:trPr>
          <w:divId w:val="1756509497"/>
          <w:trHeight w:val="225"/>
          <w:tblCellSpacing w:w="12" w:type="dxa"/>
        </w:trPr>
        <w:tc>
          <w:tcPr>
            <w:tcW w:w="225" w:type="dxa"/>
            <w:tcMar>
              <w:top w:w="75" w:type="dxa"/>
              <w:left w:w="75" w:type="dxa"/>
              <w:bottom w:w="75" w:type="dxa"/>
              <w:right w:w="75" w:type="dxa"/>
            </w:tcMar>
            <w:hideMark/>
          </w:tcPr>
          <w:p w14:paraId="29941604"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11D671A" w14:textId="77777777" w:rsidR="00F154BC" w:rsidRDefault="00000000">
            <w:pPr>
              <w:rPr>
                <w:rFonts w:ascii="Arial" w:eastAsia="Times New Roman" w:hAnsi="Arial" w:cs="Arial"/>
                <w:color w:val="000000"/>
              </w:rPr>
            </w:pPr>
            <w:r>
              <w:rPr>
                <w:rFonts w:ascii="Arial" w:eastAsia="Times New Roman" w:hAnsi="Arial" w:cs="Arial"/>
                <w:color w:val="000000"/>
              </w:rPr>
              <w:t>Agree</w:t>
            </w:r>
          </w:p>
        </w:tc>
      </w:tr>
      <w:tr w:rsidR="00F154BC" w14:paraId="63608FBE" w14:textId="77777777">
        <w:trPr>
          <w:divId w:val="1756509497"/>
          <w:trHeight w:val="225"/>
          <w:tblCellSpacing w:w="12" w:type="dxa"/>
        </w:trPr>
        <w:tc>
          <w:tcPr>
            <w:tcW w:w="225" w:type="dxa"/>
            <w:tcMar>
              <w:top w:w="75" w:type="dxa"/>
              <w:left w:w="75" w:type="dxa"/>
              <w:bottom w:w="75" w:type="dxa"/>
              <w:right w:w="75" w:type="dxa"/>
            </w:tcMar>
            <w:hideMark/>
          </w:tcPr>
          <w:p w14:paraId="0B239EA2"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0896E7C" w14:textId="77777777" w:rsidR="00F154BC" w:rsidRDefault="00000000">
            <w:pPr>
              <w:rPr>
                <w:rFonts w:ascii="Arial" w:eastAsia="Times New Roman" w:hAnsi="Arial" w:cs="Arial"/>
                <w:color w:val="000000"/>
              </w:rPr>
            </w:pPr>
            <w:r>
              <w:rPr>
                <w:rFonts w:ascii="Arial" w:eastAsia="Times New Roman" w:hAnsi="Arial" w:cs="Arial"/>
                <w:color w:val="000000"/>
              </w:rPr>
              <w:t>Disagree</w:t>
            </w:r>
          </w:p>
        </w:tc>
      </w:tr>
      <w:tr w:rsidR="00F154BC" w14:paraId="2DC329E9" w14:textId="77777777">
        <w:trPr>
          <w:divId w:val="1756509497"/>
          <w:trHeight w:val="225"/>
          <w:tblCellSpacing w:w="12" w:type="dxa"/>
        </w:trPr>
        <w:tc>
          <w:tcPr>
            <w:tcW w:w="225" w:type="dxa"/>
            <w:tcMar>
              <w:top w:w="75" w:type="dxa"/>
              <w:left w:w="75" w:type="dxa"/>
              <w:bottom w:w="75" w:type="dxa"/>
              <w:right w:w="75" w:type="dxa"/>
            </w:tcMar>
            <w:hideMark/>
          </w:tcPr>
          <w:p w14:paraId="0A77603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0B3D370" w14:textId="203E1F31" w:rsidR="00F154BC" w:rsidRDefault="00000000">
            <w:pPr>
              <w:rPr>
                <w:rFonts w:ascii="Arial" w:eastAsia="Times New Roman" w:hAnsi="Arial" w:cs="Arial"/>
                <w:color w:val="000000"/>
              </w:rPr>
            </w:pPr>
            <w:r>
              <w:rPr>
                <w:rFonts w:ascii="Arial" w:eastAsia="Times New Roman" w:hAnsi="Arial" w:cs="Arial"/>
                <w:color w:val="000000"/>
              </w:rPr>
              <w:t>Don't kno</w:t>
            </w:r>
            <w:r w:rsidR="00725029">
              <w:rPr>
                <w:rFonts w:ascii="Arial" w:eastAsia="Times New Roman" w:hAnsi="Arial" w:cs="Arial"/>
                <w:color w:val="000000"/>
              </w:rPr>
              <w:t>w (Go to ‘</w:t>
            </w:r>
            <w:r w:rsidR="00725029" w:rsidRPr="00725029">
              <w:rPr>
                <w:rFonts w:ascii="Arial" w:eastAsia="Times New Roman" w:hAnsi="Arial" w:cs="Arial"/>
                <w:color w:val="000000"/>
              </w:rPr>
              <w:t>Calculating individual contributions</w:t>
            </w:r>
            <w:r w:rsidR="00725029">
              <w:rPr>
                <w:rFonts w:ascii="Arial" w:eastAsia="Times New Roman" w:hAnsi="Arial" w:cs="Arial"/>
                <w:color w:val="000000"/>
              </w:rPr>
              <w:t>’)</w:t>
            </w:r>
          </w:p>
        </w:tc>
      </w:tr>
    </w:tbl>
    <w:p w14:paraId="332B884B"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8186503"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SAF Mandate reporting data reasoning</w:t>
      </w:r>
    </w:p>
    <w:p w14:paraId="4AE7EDAB" w14:textId="77777777" w:rsidR="00F154BC" w:rsidRDefault="00000000">
      <w:pPr>
        <w:pStyle w:val="Heading3"/>
        <w:divId w:val="2082748883"/>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054ED0EF" w14:textId="77777777">
        <w:trPr>
          <w:divId w:val="2082748883"/>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0D55E078" w14:textId="77777777" w:rsidTr="00725029">
              <w:trPr>
                <w:trHeight w:val="1875"/>
                <w:tblCellSpacing w:w="15" w:type="dxa"/>
              </w:trPr>
              <w:tc>
                <w:tcPr>
                  <w:tcW w:w="8815" w:type="dxa"/>
                  <w:vAlign w:val="center"/>
                  <w:hideMark/>
                </w:tcPr>
                <w:p w14:paraId="3E95A132"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2912540" w14:textId="77777777" w:rsidR="00F154BC" w:rsidRDefault="00F154BC">
            <w:pPr>
              <w:rPr>
                <w:rFonts w:ascii="Arial" w:eastAsia="Times New Roman" w:hAnsi="Arial" w:cs="Arial"/>
                <w:color w:val="000000"/>
              </w:rPr>
            </w:pPr>
          </w:p>
        </w:tc>
      </w:tr>
    </w:tbl>
    <w:p w14:paraId="3BB21BA5"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ADB52F9"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Calculating individual contributions</w:t>
      </w:r>
    </w:p>
    <w:p w14:paraId="0B0ADF9F" w14:textId="77777777" w:rsidR="00F154BC" w:rsidRDefault="00000000">
      <w:pPr>
        <w:pStyle w:val="Heading3"/>
        <w:divId w:val="1525288973"/>
        <w:rPr>
          <w:rFonts w:ascii="Arial" w:eastAsia="Times New Roman" w:hAnsi="Arial" w:cs="Arial"/>
          <w:color w:val="000000"/>
        </w:rPr>
      </w:pPr>
      <w:r>
        <w:rPr>
          <w:rStyle w:val="question-number"/>
          <w:rFonts w:ascii="Arial" w:eastAsia="Times New Roman" w:hAnsi="Arial" w:cs="Arial"/>
          <w:color w:val="000000"/>
        </w:rPr>
        <w:t>7.</w:t>
      </w:r>
      <w:r>
        <w:rPr>
          <w:rFonts w:ascii="Arial" w:eastAsia="Times New Roman" w:hAnsi="Arial" w:cs="Arial"/>
          <w:color w:val="000000"/>
        </w:rPr>
        <w:t xml:space="preserve"> In your view is the current level of assurance on SAF Mandate reporting data sufficient for accurately determining individual levy contributions?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278"/>
      </w:tblGrid>
      <w:tr w:rsidR="00F154BC" w14:paraId="789CE91E" w14:textId="77777777">
        <w:trPr>
          <w:divId w:val="1525288973"/>
          <w:trHeight w:val="225"/>
          <w:tblCellSpacing w:w="12" w:type="dxa"/>
        </w:trPr>
        <w:tc>
          <w:tcPr>
            <w:tcW w:w="225" w:type="dxa"/>
            <w:tcMar>
              <w:top w:w="75" w:type="dxa"/>
              <w:left w:w="75" w:type="dxa"/>
              <w:bottom w:w="75" w:type="dxa"/>
              <w:right w:w="75" w:type="dxa"/>
            </w:tcMar>
            <w:hideMark/>
          </w:tcPr>
          <w:p w14:paraId="3B317CF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4944EB8" w14:textId="77777777" w:rsidR="00F154BC" w:rsidRDefault="00000000">
            <w:pPr>
              <w:rPr>
                <w:rFonts w:ascii="Arial" w:eastAsia="Times New Roman" w:hAnsi="Arial" w:cs="Arial"/>
                <w:color w:val="000000"/>
              </w:rPr>
            </w:pPr>
            <w:r>
              <w:rPr>
                <w:rFonts w:ascii="Arial" w:eastAsia="Times New Roman" w:hAnsi="Arial" w:cs="Arial"/>
                <w:color w:val="000000"/>
              </w:rPr>
              <w:t>Yes</w:t>
            </w:r>
          </w:p>
        </w:tc>
      </w:tr>
      <w:tr w:rsidR="00F154BC" w14:paraId="6F8258E8" w14:textId="77777777">
        <w:trPr>
          <w:divId w:val="1525288973"/>
          <w:trHeight w:val="225"/>
          <w:tblCellSpacing w:w="12" w:type="dxa"/>
        </w:trPr>
        <w:tc>
          <w:tcPr>
            <w:tcW w:w="225" w:type="dxa"/>
            <w:tcMar>
              <w:top w:w="75" w:type="dxa"/>
              <w:left w:w="75" w:type="dxa"/>
              <w:bottom w:w="75" w:type="dxa"/>
              <w:right w:w="75" w:type="dxa"/>
            </w:tcMar>
            <w:hideMark/>
          </w:tcPr>
          <w:p w14:paraId="36A822E7"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B4FCD42" w14:textId="77777777" w:rsidR="00F154BC" w:rsidRDefault="00000000">
            <w:pPr>
              <w:rPr>
                <w:rFonts w:ascii="Arial" w:eastAsia="Times New Roman" w:hAnsi="Arial" w:cs="Arial"/>
                <w:color w:val="000000"/>
              </w:rPr>
            </w:pPr>
            <w:r>
              <w:rPr>
                <w:rFonts w:ascii="Arial" w:eastAsia="Times New Roman" w:hAnsi="Arial" w:cs="Arial"/>
                <w:color w:val="000000"/>
              </w:rPr>
              <w:t>No</w:t>
            </w:r>
          </w:p>
        </w:tc>
      </w:tr>
      <w:tr w:rsidR="00F154BC" w14:paraId="7200D5AA" w14:textId="77777777">
        <w:trPr>
          <w:divId w:val="1525288973"/>
          <w:trHeight w:val="225"/>
          <w:tblCellSpacing w:w="12" w:type="dxa"/>
        </w:trPr>
        <w:tc>
          <w:tcPr>
            <w:tcW w:w="225" w:type="dxa"/>
            <w:tcMar>
              <w:top w:w="75" w:type="dxa"/>
              <w:left w:w="75" w:type="dxa"/>
              <w:bottom w:w="75" w:type="dxa"/>
              <w:right w:w="75" w:type="dxa"/>
            </w:tcMar>
            <w:hideMark/>
          </w:tcPr>
          <w:p w14:paraId="7699A6E7"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FA4D809" w14:textId="2CB4D9B9" w:rsidR="00F154BC" w:rsidRDefault="00000000">
            <w:pPr>
              <w:rPr>
                <w:rFonts w:ascii="Arial" w:eastAsia="Times New Roman" w:hAnsi="Arial" w:cs="Arial"/>
                <w:color w:val="000000"/>
              </w:rPr>
            </w:pPr>
            <w:r>
              <w:rPr>
                <w:rFonts w:ascii="Arial" w:eastAsia="Times New Roman" w:hAnsi="Arial" w:cs="Arial"/>
                <w:color w:val="000000"/>
              </w:rPr>
              <w:t>Don't kno</w:t>
            </w:r>
            <w:r w:rsidR="00725029">
              <w:rPr>
                <w:rFonts w:ascii="Arial" w:eastAsia="Times New Roman" w:hAnsi="Arial" w:cs="Arial"/>
                <w:color w:val="000000"/>
              </w:rPr>
              <w:t>w (Go to ‘Minimum threshold’)</w:t>
            </w:r>
          </w:p>
        </w:tc>
      </w:tr>
    </w:tbl>
    <w:p w14:paraId="2511D977"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8D063B4"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Reporting data is insufficient</w:t>
      </w:r>
    </w:p>
    <w:p w14:paraId="2D8DB015" w14:textId="77777777" w:rsidR="00F154BC" w:rsidRDefault="00000000">
      <w:pPr>
        <w:pStyle w:val="Heading3"/>
        <w:divId w:val="1049374694"/>
        <w:rPr>
          <w:rFonts w:ascii="Arial" w:eastAsia="Times New Roman" w:hAnsi="Arial" w:cs="Arial"/>
          <w:color w:val="000000"/>
        </w:rPr>
      </w:pPr>
      <w:r>
        <w:rPr>
          <w:rStyle w:val="question-number"/>
          <w:rFonts w:ascii="Arial" w:eastAsia="Times New Roman" w:hAnsi="Arial" w:cs="Arial"/>
          <w:color w:val="000000"/>
        </w:rPr>
        <w:t>8.</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410E8A29" w14:textId="77777777">
        <w:trPr>
          <w:divId w:val="1049374694"/>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7B7C885A" w14:textId="77777777" w:rsidTr="00725029">
              <w:trPr>
                <w:trHeight w:val="1875"/>
                <w:tblCellSpacing w:w="15" w:type="dxa"/>
              </w:trPr>
              <w:tc>
                <w:tcPr>
                  <w:tcW w:w="8815" w:type="dxa"/>
                  <w:vAlign w:val="center"/>
                  <w:hideMark/>
                </w:tcPr>
                <w:p w14:paraId="2FA8D83E"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387EFFC" w14:textId="77777777" w:rsidR="00F154BC" w:rsidRDefault="00F154BC">
            <w:pPr>
              <w:rPr>
                <w:rFonts w:ascii="Arial" w:eastAsia="Times New Roman" w:hAnsi="Arial" w:cs="Arial"/>
                <w:color w:val="000000"/>
              </w:rPr>
            </w:pPr>
          </w:p>
        </w:tc>
      </w:tr>
    </w:tbl>
    <w:p w14:paraId="65D72B39"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AA20BDE"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Minimum threshold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089773D8" w14:textId="77777777">
        <w:trPr>
          <w:divId w:val="1528134155"/>
          <w:tblCellSpacing w:w="12" w:type="dxa"/>
        </w:trPr>
        <w:tc>
          <w:tcPr>
            <w:tcW w:w="0" w:type="auto"/>
            <w:vAlign w:val="center"/>
            <w:hideMark/>
          </w:tcPr>
          <w:p w14:paraId="05ADF52E" w14:textId="77777777" w:rsidR="00F154BC" w:rsidRDefault="00000000">
            <w:pPr>
              <w:pStyle w:val="NormalWeb"/>
              <w:divId w:val="864054066"/>
              <w:rPr>
                <w:rFonts w:ascii="Arial" w:hAnsi="Arial" w:cs="Arial"/>
                <w:color w:val="000000"/>
              </w:rPr>
            </w:pPr>
            <w:r>
              <w:rPr>
                <w:rFonts w:ascii="Arial" w:hAnsi="Arial" w:cs="Arial"/>
                <w:color w:val="000000"/>
              </w:rPr>
              <w:t xml:space="preserve">This consultation proposes that the minimum threshold for the aviation fuel supplier levy is aligned with the SAF Mandate, which is any parties supplying fossil aviation fuel totalling 15.9 Terra Joules (equivalent to approximately 468,000 litres of fossil </w:t>
            </w:r>
            <w:proofErr w:type="spellStart"/>
            <w:r>
              <w:rPr>
                <w:rFonts w:ascii="Arial" w:hAnsi="Arial" w:cs="Arial"/>
                <w:color w:val="000000"/>
              </w:rPr>
              <w:t>avtur</w:t>
            </w:r>
            <w:proofErr w:type="spellEnd"/>
            <w:r>
              <w:rPr>
                <w:rFonts w:ascii="Arial" w:hAnsi="Arial" w:cs="Arial"/>
                <w:color w:val="000000"/>
              </w:rPr>
              <w:t>) or more per year.</w:t>
            </w:r>
          </w:p>
          <w:p w14:paraId="7DA39BA8" w14:textId="77777777" w:rsidR="00F154BC" w:rsidRDefault="00F154BC">
            <w:pPr>
              <w:rPr>
                <w:rFonts w:ascii="Arial" w:hAnsi="Arial" w:cs="Arial"/>
                <w:color w:val="000000"/>
              </w:rPr>
            </w:pPr>
          </w:p>
        </w:tc>
      </w:tr>
    </w:tbl>
    <w:p w14:paraId="3543EA07" w14:textId="77777777" w:rsidR="00F154BC" w:rsidRDefault="00000000">
      <w:pPr>
        <w:pStyle w:val="Heading3"/>
        <w:divId w:val="946500233"/>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Do you agree or disagree with the minimum threshold for the levy?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505"/>
      </w:tblGrid>
      <w:tr w:rsidR="00F154BC" w14:paraId="796AF68E" w14:textId="77777777">
        <w:trPr>
          <w:divId w:val="946500233"/>
          <w:trHeight w:val="225"/>
          <w:tblCellSpacing w:w="12" w:type="dxa"/>
        </w:trPr>
        <w:tc>
          <w:tcPr>
            <w:tcW w:w="225" w:type="dxa"/>
            <w:tcMar>
              <w:top w:w="75" w:type="dxa"/>
              <w:left w:w="75" w:type="dxa"/>
              <w:bottom w:w="75" w:type="dxa"/>
              <w:right w:w="75" w:type="dxa"/>
            </w:tcMar>
            <w:hideMark/>
          </w:tcPr>
          <w:p w14:paraId="0975F01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C88DBF5" w14:textId="23705C11" w:rsidR="00F154BC" w:rsidRDefault="00000000">
            <w:pPr>
              <w:rPr>
                <w:rFonts w:ascii="Arial" w:eastAsia="Times New Roman" w:hAnsi="Arial" w:cs="Arial"/>
                <w:color w:val="000000"/>
              </w:rPr>
            </w:pPr>
            <w:r>
              <w:rPr>
                <w:rFonts w:ascii="Arial" w:eastAsia="Times New Roman" w:hAnsi="Arial" w:cs="Arial"/>
                <w:color w:val="000000"/>
              </w:rPr>
              <w:t>Agre</w:t>
            </w:r>
            <w:r w:rsidR="00725029">
              <w:rPr>
                <w:rFonts w:ascii="Arial" w:eastAsia="Times New Roman" w:hAnsi="Arial" w:cs="Arial"/>
                <w:color w:val="000000"/>
              </w:rPr>
              <w:t>e (Go to ‘Exemptions’)</w:t>
            </w:r>
          </w:p>
        </w:tc>
      </w:tr>
      <w:tr w:rsidR="00F154BC" w14:paraId="2BEFDAF8" w14:textId="77777777">
        <w:trPr>
          <w:divId w:val="946500233"/>
          <w:trHeight w:val="225"/>
          <w:tblCellSpacing w:w="12" w:type="dxa"/>
        </w:trPr>
        <w:tc>
          <w:tcPr>
            <w:tcW w:w="225" w:type="dxa"/>
            <w:tcMar>
              <w:top w:w="75" w:type="dxa"/>
              <w:left w:w="75" w:type="dxa"/>
              <w:bottom w:w="75" w:type="dxa"/>
              <w:right w:w="75" w:type="dxa"/>
            </w:tcMar>
            <w:hideMark/>
          </w:tcPr>
          <w:p w14:paraId="17819A67"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20D1BC9" w14:textId="77777777" w:rsidR="00F154BC" w:rsidRDefault="00000000">
            <w:pPr>
              <w:rPr>
                <w:rFonts w:ascii="Arial" w:eastAsia="Times New Roman" w:hAnsi="Arial" w:cs="Arial"/>
                <w:color w:val="000000"/>
              </w:rPr>
            </w:pPr>
            <w:r>
              <w:rPr>
                <w:rFonts w:ascii="Arial" w:eastAsia="Times New Roman" w:hAnsi="Arial" w:cs="Arial"/>
                <w:color w:val="000000"/>
              </w:rPr>
              <w:t>Disagree</w:t>
            </w:r>
          </w:p>
        </w:tc>
      </w:tr>
      <w:tr w:rsidR="00F154BC" w14:paraId="5957E69A" w14:textId="77777777">
        <w:trPr>
          <w:divId w:val="946500233"/>
          <w:trHeight w:val="225"/>
          <w:tblCellSpacing w:w="12" w:type="dxa"/>
        </w:trPr>
        <w:tc>
          <w:tcPr>
            <w:tcW w:w="225" w:type="dxa"/>
            <w:tcMar>
              <w:top w:w="75" w:type="dxa"/>
              <w:left w:w="75" w:type="dxa"/>
              <w:bottom w:w="75" w:type="dxa"/>
              <w:right w:w="75" w:type="dxa"/>
            </w:tcMar>
            <w:hideMark/>
          </w:tcPr>
          <w:p w14:paraId="2BB0139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CED5EBB" w14:textId="3C9A181D" w:rsidR="00F154BC" w:rsidRDefault="00000000">
            <w:pPr>
              <w:rPr>
                <w:rFonts w:ascii="Arial" w:eastAsia="Times New Roman" w:hAnsi="Arial" w:cs="Arial"/>
                <w:color w:val="000000"/>
              </w:rPr>
            </w:pPr>
            <w:r>
              <w:rPr>
                <w:rFonts w:ascii="Arial" w:eastAsia="Times New Roman" w:hAnsi="Arial" w:cs="Arial"/>
                <w:color w:val="000000"/>
              </w:rPr>
              <w:t>Don't know</w:t>
            </w:r>
            <w:r w:rsidR="00725029">
              <w:rPr>
                <w:rFonts w:ascii="Arial" w:eastAsia="Times New Roman" w:hAnsi="Arial" w:cs="Arial"/>
                <w:color w:val="000000"/>
              </w:rPr>
              <w:t xml:space="preserve"> (Go to ‘Exemptions’)</w:t>
            </w:r>
          </w:p>
        </w:tc>
      </w:tr>
    </w:tbl>
    <w:p w14:paraId="1C368467"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28230D1"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minimum threshold</w:t>
      </w:r>
    </w:p>
    <w:p w14:paraId="0797B41F" w14:textId="77777777" w:rsidR="00F154BC" w:rsidRDefault="00000000">
      <w:pPr>
        <w:pStyle w:val="Heading3"/>
        <w:divId w:val="1999528821"/>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7777C0A2" w14:textId="77777777">
        <w:trPr>
          <w:divId w:val="1999528821"/>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447DFC3B" w14:textId="77777777" w:rsidTr="00725029">
              <w:trPr>
                <w:trHeight w:val="1875"/>
                <w:tblCellSpacing w:w="15" w:type="dxa"/>
              </w:trPr>
              <w:tc>
                <w:tcPr>
                  <w:tcW w:w="8815" w:type="dxa"/>
                  <w:vAlign w:val="center"/>
                  <w:hideMark/>
                </w:tcPr>
                <w:p w14:paraId="61E5B5D8"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0423854" w14:textId="77777777" w:rsidR="00F154BC" w:rsidRDefault="00F154BC">
            <w:pPr>
              <w:rPr>
                <w:rFonts w:ascii="Arial" w:eastAsia="Times New Roman" w:hAnsi="Arial" w:cs="Arial"/>
                <w:color w:val="000000"/>
              </w:rPr>
            </w:pPr>
          </w:p>
        </w:tc>
      </w:tr>
    </w:tbl>
    <w:p w14:paraId="48260A0D"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65C70A8"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Exemptions</w:t>
      </w:r>
    </w:p>
    <w:p w14:paraId="535AD85D" w14:textId="77777777" w:rsidR="00F154BC" w:rsidRDefault="00000000">
      <w:pPr>
        <w:pStyle w:val="Heading3"/>
        <w:divId w:val="1265459724"/>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In your view, should any other exemptions apply?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F154BC" w14:paraId="226AE460" w14:textId="77777777">
        <w:trPr>
          <w:divId w:val="1265459724"/>
          <w:trHeight w:val="225"/>
          <w:tblCellSpacing w:w="12" w:type="dxa"/>
        </w:trPr>
        <w:tc>
          <w:tcPr>
            <w:tcW w:w="225" w:type="dxa"/>
            <w:tcMar>
              <w:top w:w="75" w:type="dxa"/>
              <w:left w:w="75" w:type="dxa"/>
              <w:bottom w:w="75" w:type="dxa"/>
              <w:right w:w="75" w:type="dxa"/>
            </w:tcMar>
            <w:hideMark/>
          </w:tcPr>
          <w:p w14:paraId="5F2B4106"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96A69D6" w14:textId="77777777" w:rsidR="00F154BC" w:rsidRDefault="00000000">
            <w:pPr>
              <w:rPr>
                <w:rFonts w:ascii="Arial" w:eastAsia="Times New Roman" w:hAnsi="Arial" w:cs="Arial"/>
                <w:color w:val="000000"/>
              </w:rPr>
            </w:pPr>
            <w:r>
              <w:rPr>
                <w:rFonts w:ascii="Arial" w:eastAsia="Times New Roman" w:hAnsi="Arial" w:cs="Arial"/>
                <w:color w:val="000000"/>
              </w:rPr>
              <w:t>Yes</w:t>
            </w:r>
          </w:p>
        </w:tc>
      </w:tr>
      <w:tr w:rsidR="00F154BC" w14:paraId="34271EF4" w14:textId="77777777">
        <w:trPr>
          <w:divId w:val="1265459724"/>
          <w:trHeight w:val="225"/>
          <w:tblCellSpacing w:w="12" w:type="dxa"/>
        </w:trPr>
        <w:tc>
          <w:tcPr>
            <w:tcW w:w="225" w:type="dxa"/>
            <w:tcMar>
              <w:top w:w="75" w:type="dxa"/>
              <w:left w:w="75" w:type="dxa"/>
              <w:bottom w:w="75" w:type="dxa"/>
              <w:right w:w="75" w:type="dxa"/>
            </w:tcMar>
            <w:hideMark/>
          </w:tcPr>
          <w:p w14:paraId="79C8021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9058760" w14:textId="2392B2B3" w:rsidR="00F154BC" w:rsidRDefault="00000000">
            <w:pPr>
              <w:rPr>
                <w:rFonts w:ascii="Arial" w:eastAsia="Times New Roman" w:hAnsi="Arial" w:cs="Arial"/>
                <w:color w:val="000000"/>
              </w:rPr>
            </w:pPr>
            <w:r>
              <w:rPr>
                <w:rFonts w:ascii="Arial" w:eastAsia="Times New Roman" w:hAnsi="Arial" w:cs="Arial"/>
                <w:color w:val="000000"/>
              </w:rPr>
              <w:t>No</w:t>
            </w:r>
            <w:r w:rsidR="00725029">
              <w:rPr>
                <w:rFonts w:ascii="Arial" w:eastAsia="Times New Roman" w:hAnsi="Arial" w:cs="Arial"/>
                <w:color w:val="000000"/>
              </w:rPr>
              <w:t xml:space="preserve"> (Go to ‘</w:t>
            </w:r>
            <w:r w:rsidR="00725029" w:rsidRPr="00725029">
              <w:rPr>
                <w:rFonts w:ascii="Arial" w:eastAsia="Times New Roman" w:hAnsi="Arial" w:cs="Arial"/>
                <w:color w:val="000000"/>
              </w:rPr>
              <w:t>Length and frequency of the assessment period and collection period</w:t>
            </w:r>
            <w:r w:rsidR="00725029">
              <w:rPr>
                <w:rFonts w:ascii="Arial" w:eastAsia="Times New Roman" w:hAnsi="Arial" w:cs="Arial"/>
                <w:color w:val="000000"/>
              </w:rPr>
              <w:t>’)</w:t>
            </w:r>
          </w:p>
        </w:tc>
      </w:tr>
      <w:tr w:rsidR="00F154BC" w14:paraId="38A32BDF" w14:textId="77777777">
        <w:trPr>
          <w:divId w:val="1265459724"/>
          <w:trHeight w:val="225"/>
          <w:tblCellSpacing w:w="12" w:type="dxa"/>
        </w:trPr>
        <w:tc>
          <w:tcPr>
            <w:tcW w:w="225" w:type="dxa"/>
            <w:tcMar>
              <w:top w:w="75" w:type="dxa"/>
              <w:left w:w="75" w:type="dxa"/>
              <w:bottom w:w="75" w:type="dxa"/>
              <w:right w:w="75" w:type="dxa"/>
            </w:tcMar>
            <w:hideMark/>
          </w:tcPr>
          <w:p w14:paraId="5BDB4F81"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785F20A" w14:textId="0EA802E8" w:rsidR="00F154BC" w:rsidRDefault="00000000">
            <w:pPr>
              <w:rPr>
                <w:rFonts w:ascii="Arial" w:eastAsia="Times New Roman" w:hAnsi="Arial" w:cs="Arial"/>
                <w:color w:val="000000"/>
              </w:rPr>
            </w:pPr>
            <w:r>
              <w:rPr>
                <w:rFonts w:ascii="Arial" w:eastAsia="Times New Roman" w:hAnsi="Arial" w:cs="Arial"/>
                <w:color w:val="000000"/>
              </w:rPr>
              <w:t>Don't know</w:t>
            </w:r>
            <w:r w:rsidR="00725029">
              <w:rPr>
                <w:rFonts w:ascii="Arial" w:eastAsia="Times New Roman" w:hAnsi="Arial" w:cs="Arial"/>
                <w:color w:val="000000"/>
              </w:rPr>
              <w:t xml:space="preserve"> (Go to ‘</w:t>
            </w:r>
            <w:r w:rsidR="00725029" w:rsidRPr="00725029">
              <w:rPr>
                <w:rFonts w:ascii="Arial" w:eastAsia="Times New Roman" w:hAnsi="Arial" w:cs="Arial"/>
                <w:color w:val="000000"/>
              </w:rPr>
              <w:t>Length and frequency of the assessment period and collection period</w:t>
            </w:r>
            <w:r w:rsidR="00725029">
              <w:rPr>
                <w:rFonts w:ascii="Arial" w:eastAsia="Times New Roman" w:hAnsi="Arial" w:cs="Arial"/>
                <w:color w:val="000000"/>
              </w:rPr>
              <w:t>’)</w:t>
            </w:r>
          </w:p>
        </w:tc>
      </w:tr>
    </w:tbl>
    <w:p w14:paraId="66D6D35D"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A779051"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Additional exemptions</w:t>
      </w:r>
    </w:p>
    <w:p w14:paraId="37E86518" w14:textId="77777777" w:rsidR="00F154BC" w:rsidRDefault="00000000">
      <w:pPr>
        <w:pStyle w:val="Heading3"/>
        <w:divId w:val="1735591351"/>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In your view, what other exemptions should apply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225D468E" w14:textId="77777777">
        <w:trPr>
          <w:divId w:val="1735591351"/>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3177F47F" w14:textId="77777777" w:rsidTr="00725029">
              <w:trPr>
                <w:trHeight w:val="1875"/>
                <w:tblCellSpacing w:w="15" w:type="dxa"/>
              </w:trPr>
              <w:tc>
                <w:tcPr>
                  <w:tcW w:w="8815" w:type="dxa"/>
                  <w:vAlign w:val="center"/>
                  <w:hideMark/>
                </w:tcPr>
                <w:p w14:paraId="697B123F"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1EB7E68" w14:textId="77777777" w:rsidR="00F154BC" w:rsidRDefault="00F154BC">
            <w:pPr>
              <w:rPr>
                <w:rFonts w:ascii="Arial" w:eastAsia="Times New Roman" w:hAnsi="Arial" w:cs="Arial"/>
                <w:color w:val="000000"/>
              </w:rPr>
            </w:pPr>
          </w:p>
        </w:tc>
      </w:tr>
    </w:tbl>
    <w:p w14:paraId="6F688934"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8648502"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Length and frequency of the assessment period and collection period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78A92D4D" w14:textId="77777777">
        <w:trPr>
          <w:divId w:val="1185024160"/>
          <w:tblCellSpacing w:w="12" w:type="dxa"/>
        </w:trPr>
        <w:tc>
          <w:tcPr>
            <w:tcW w:w="0" w:type="auto"/>
            <w:vAlign w:val="center"/>
            <w:hideMark/>
          </w:tcPr>
          <w:p w14:paraId="634F4D9B" w14:textId="77777777" w:rsidR="00F154BC" w:rsidRDefault="00000000">
            <w:pPr>
              <w:pStyle w:val="NormalWeb"/>
              <w:divId w:val="400443450"/>
              <w:rPr>
                <w:rFonts w:ascii="Arial" w:hAnsi="Arial" w:cs="Arial"/>
                <w:color w:val="000000"/>
              </w:rPr>
            </w:pPr>
            <w:r>
              <w:rPr>
                <w:rFonts w:ascii="Arial" w:hAnsi="Arial" w:cs="Arial"/>
                <w:color w:val="000000"/>
              </w:rPr>
              <w:t>This consultation provides 4 options for the frequency of the assessment and collection periods (collection cycles) of:</w:t>
            </w:r>
          </w:p>
          <w:p w14:paraId="74610FC4" w14:textId="77777777" w:rsidR="00F154BC" w:rsidRDefault="00000000">
            <w:pPr>
              <w:numPr>
                <w:ilvl w:val="0"/>
                <w:numId w:val="2"/>
              </w:numPr>
              <w:spacing w:before="100" w:beforeAutospacing="1" w:after="100" w:afterAutospacing="1"/>
              <w:divId w:val="400443450"/>
              <w:rPr>
                <w:rFonts w:ascii="Arial" w:eastAsia="Times New Roman" w:hAnsi="Arial" w:cs="Arial"/>
                <w:color w:val="000000"/>
              </w:rPr>
            </w:pPr>
            <w:r>
              <w:rPr>
                <w:rFonts w:ascii="Arial" w:eastAsia="Times New Roman" w:hAnsi="Arial" w:cs="Arial"/>
                <w:color w:val="000000"/>
              </w:rPr>
              <w:t>daily</w:t>
            </w:r>
          </w:p>
          <w:p w14:paraId="4AA6D7F3" w14:textId="77777777" w:rsidR="00F154BC" w:rsidRDefault="00000000">
            <w:pPr>
              <w:numPr>
                <w:ilvl w:val="0"/>
                <w:numId w:val="2"/>
              </w:numPr>
              <w:spacing w:before="100" w:beforeAutospacing="1" w:after="100" w:afterAutospacing="1"/>
              <w:divId w:val="400443450"/>
              <w:rPr>
                <w:rFonts w:ascii="Arial" w:eastAsia="Times New Roman" w:hAnsi="Arial" w:cs="Arial"/>
                <w:color w:val="000000"/>
              </w:rPr>
            </w:pPr>
            <w:r>
              <w:rPr>
                <w:rFonts w:ascii="Arial" w:eastAsia="Times New Roman" w:hAnsi="Arial" w:cs="Arial"/>
                <w:color w:val="000000"/>
              </w:rPr>
              <w:t>monthly</w:t>
            </w:r>
          </w:p>
          <w:p w14:paraId="7DB767F4" w14:textId="77777777" w:rsidR="00F154BC" w:rsidRDefault="00000000">
            <w:pPr>
              <w:numPr>
                <w:ilvl w:val="0"/>
                <w:numId w:val="2"/>
              </w:numPr>
              <w:spacing w:before="100" w:beforeAutospacing="1" w:after="100" w:afterAutospacing="1"/>
              <w:divId w:val="400443450"/>
              <w:rPr>
                <w:rFonts w:ascii="Arial" w:eastAsia="Times New Roman" w:hAnsi="Arial" w:cs="Arial"/>
                <w:color w:val="000000"/>
              </w:rPr>
            </w:pPr>
            <w:r>
              <w:rPr>
                <w:rFonts w:ascii="Arial" w:eastAsia="Times New Roman" w:hAnsi="Arial" w:cs="Arial"/>
                <w:color w:val="000000"/>
              </w:rPr>
              <w:t>quarterly</w:t>
            </w:r>
          </w:p>
          <w:p w14:paraId="001C0450" w14:textId="77777777" w:rsidR="00F154BC" w:rsidRDefault="00000000">
            <w:pPr>
              <w:numPr>
                <w:ilvl w:val="0"/>
                <w:numId w:val="2"/>
              </w:numPr>
              <w:spacing w:before="100" w:beforeAutospacing="1" w:after="100" w:afterAutospacing="1"/>
              <w:divId w:val="400443450"/>
              <w:rPr>
                <w:rFonts w:ascii="Arial" w:eastAsia="Times New Roman" w:hAnsi="Arial" w:cs="Arial"/>
                <w:color w:val="000000"/>
              </w:rPr>
            </w:pPr>
            <w:r>
              <w:rPr>
                <w:rFonts w:ascii="Arial" w:eastAsia="Times New Roman" w:hAnsi="Arial" w:cs="Arial"/>
                <w:color w:val="000000"/>
              </w:rPr>
              <w:t>annually</w:t>
            </w:r>
          </w:p>
          <w:p w14:paraId="4DDE3087" w14:textId="5D760863" w:rsidR="00F154BC" w:rsidRDefault="00000000">
            <w:pPr>
              <w:pStyle w:val="NormalWeb"/>
              <w:divId w:val="400443450"/>
              <w:rPr>
                <w:rFonts w:ascii="Arial" w:hAnsi="Arial" w:cs="Arial"/>
                <w:color w:val="000000"/>
              </w:rPr>
            </w:pPr>
            <w:r>
              <w:rPr>
                <w:rFonts w:ascii="Arial" w:hAnsi="Arial" w:cs="Arial"/>
                <w:color w:val="000000"/>
              </w:rPr>
              <w:t xml:space="preserve">The table below shows </w:t>
            </w:r>
            <w:r w:rsidR="00A9768E">
              <w:rPr>
                <w:rFonts w:ascii="Arial" w:hAnsi="Arial" w:cs="Arial"/>
                <w:color w:val="000000"/>
              </w:rPr>
              <w:t>an</w:t>
            </w:r>
            <w:r>
              <w:rPr>
                <w:rFonts w:ascii="Arial" w:hAnsi="Arial" w:cs="Arial"/>
                <w:color w:val="000000"/>
              </w:rPr>
              <w:t xml:space="preserve"> assessment of each option against the 4 criteria of forecast accuracy, cashflow management, default impact, and administrative burden.</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3"/>
              <w:gridCol w:w="1902"/>
              <w:gridCol w:w="1960"/>
              <w:gridCol w:w="1682"/>
              <w:gridCol w:w="1757"/>
            </w:tblGrid>
            <w:tr w:rsidR="00F154BC" w14:paraId="1D805949" w14:textId="77777777">
              <w:trPr>
                <w:divId w:val="400443450"/>
                <w:trHeight w:val="630"/>
                <w:tblHeader/>
                <w:tblCellSpacing w:w="15" w:type="dxa"/>
              </w:trPr>
              <w:tc>
                <w:tcPr>
                  <w:tcW w:w="695" w:type="pct"/>
                  <w:tcBorders>
                    <w:top w:val="outset" w:sz="6" w:space="0" w:color="auto"/>
                    <w:left w:val="outset" w:sz="6" w:space="0" w:color="auto"/>
                    <w:bottom w:val="outset" w:sz="6" w:space="0" w:color="auto"/>
                    <w:right w:val="outset" w:sz="6" w:space="0" w:color="auto"/>
                  </w:tcBorders>
                  <w:vAlign w:val="center"/>
                  <w:hideMark/>
                </w:tcPr>
                <w:p w14:paraId="5FF87F1D" w14:textId="77777777" w:rsidR="00F154BC" w:rsidRDefault="00000000">
                  <w:pPr>
                    <w:jc w:val="center"/>
                    <w:rPr>
                      <w:rFonts w:ascii="Arial" w:eastAsia="Times New Roman" w:hAnsi="Arial" w:cs="Arial"/>
                      <w:b/>
                      <w:bCs/>
                      <w:color w:val="000000"/>
                    </w:rPr>
                  </w:pPr>
                  <w:r>
                    <w:rPr>
                      <w:rStyle w:val="Strong"/>
                      <w:rFonts w:ascii="Arial" w:eastAsia="Times New Roman" w:hAnsi="Arial" w:cs="Arial"/>
                      <w:color w:val="000000"/>
                    </w:rPr>
                    <w:t>Assessment criteria</w:t>
                  </w:r>
                </w:p>
              </w:tc>
              <w:tc>
                <w:tcPr>
                  <w:tcW w:w="1076" w:type="pct"/>
                  <w:tcBorders>
                    <w:top w:val="outset" w:sz="6" w:space="0" w:color="auto"/>
                    <w:left w:val="outset" w:sz="6" w:space="0" w:color="auto"/>
                    <w:bottom w:val="outset" w:sz="6" w:space="0" w:color="auto"/>
                    <w:right w:val="outset" w:sz="6" w:space="0" w:color="auto"/>
                  </w:tcBorders>
                  <w:vAlign w:val="center"/>
                  <w:hideMark/>
                </w:tcPr>
                <w:p w14:paraId="5B315C1E" w14:textId="77777777" w:rsidR="00F154BC" w:rsidRDefault="00000000">
                  <w:pPr>
                    <w:jc w:val="center"/>
                    <w:rPr>
                      <w:rFonts w:ascii="Arial" w:eastAsia="Times New Roman" w:hAnsi="Arial" w:cs="Arial"/>
                      <w:b/>
                      <w:bCs/>
                      <w:color w:val="000000"/>
                    </w:rPr>
                  </w:pPr>
                  <w:r>
                    <w:rPr>
                      <w:rStyle w:val="Strong"/>
                      <w:rFonts w:ascii="Arial" w:eastAsia="Times New Roman" w:hAnsi="Arial" w:cs="Arial"/>
                      <w:color w:val="000000"/>
                    </w:rPr>
                    <w:t>Option A: Annual</w:t>
                  </w:r>
                </w:p>
              </w:tc>
              <w:tc>
                <w:tcPr>
                  <w:tcW w:w="1108" w:type="pct"/>
                  <w:tcBorders>
                    <w:top w:val="outset" w:sz="6" w:space="0" w:color="auto"/>
                    <w:left w:val="outset" w:sz="6" w:space="0" w:color="auto"/>
                    <w:bottom w:val="outset" w:sz="6" w:space="0" w:color="auto"/>
                    <w:right w:val="outset" w:sz="6" w:space="0" w:color="auto"/>
                  </w:tcBorders>
                  <w:vAlign w:val="center"/>
                  <w:hideMark/>
                </w:tcPr>
                <w:p w14:paraId="0FA7C9E9" w14:textId="77777777" w:rsidR="00F154BC" w:rsidRDefault="00000000">
                  <w:pPr>
                    <w:jc w:val="center"/>
                    <w:rPr>
                      <w:rFonts w:ascii="Arial" w:eastAsia="Times New Roman" w:hAnsi="Arial" w:cs="Arial"/>
                      <w:b/>
                      <w:bCs/>
                      <w:color w:val="000000"/>
                    </w:rPr>
                  </w:pPr>
                  <w:r>
                    <w:rPr>
                      <w:rStyle w:val="Strong"/>
                      <w:rFonts w:ascii="Arial" w:eastAsia="Times New Roman" w:hAnsi="Arial" w:cs="Arial"/>
                      <w:color w:val="000000"/>
                    </w:rPr>
                    <w:t>Option B: Quarterly</w:t>
                  </w:r>
                </w:p>
              </w:tc>
              <w:tc>
                <w:tcPr>
                  <w:tcW w:w="955" w:type="pct"/>
                  <w:tcBorders>
                    <w:top w:val="outset" w:sz="6" w:space="0" w:color="auto"/>
                    <w:left w:val="outset" w:sz="6" w:space="0" w:color="auto"/>
                    <w:bottom w:val="outset" w:sz="6" w:space="0" w:color="auto"/>
                    <w:right w:val="outset" w:sz="6" w:space="0" w:color="auto"/>
                  </w:tcBorders>
                  <w:vAlign w:val="center"/>
                  <w:hideMark/>
                </w:tcPr>
                <w:p w14:paraId="32F9AF69" w14:textId="77777777" w:rsidR="00F154BC" w:rsidRDefault="00000000">
                  <w:pPr>
                    <w:jc w:val="center"/>
                    <w:rPr>
                      <w:rFonts w:ascii="Arial" w:eastAsia="Times New Roman" w:hAnsi="Arial" w:cs="Arial"/>
                      <w:b/>
                      <w:bCs/>
                      <w:color w:val="000000"/>
                    </w:rPr>
                  </w:pPr>
                  <w:r>
                    <w:rPr>
                      <w:rStyle w:val="Strong"/>
                      <w:rFonts w:ascii="Arial" w:eastAsia="Times New Roman" w:hAnsi="Arial" w:cs="Arial"/>
                      <w:color w:val="000000"/>
                    </w:rPr>
                    <w:t>Option C: Monthly</w:t>
                  </w:r>
                </w:p>
              </w:tc>
              <w:tc>
                <w:tcPr>
                  <w:tcW w:w="988" w:type="pct"/>
                  <w:tcBorders>
                    <w:top w:val="outset" w:sz="6" w:space="0" w:color="auto"/>
                    <w:left w:val="outset" w:sz="6" w:space="0" w:color="auto"/>
                    <w:bottom w:val="outset" w:sz="6" w:space="0" w:color="auto"/>
                    <w:right w:val="outset" w:sz="6" w:space="0" w:color="auto"/>
                  </w:tcBorders>
                  <w:vAlign w:val="center"/>
                  <w:hideMark/>
                </w:tcPr>
                <w:p w14:paraId="2FCB18BA" w14:textId="77777777" w:rsidR="00F154BC" w:rsidRDefault="00000000">
                  <w:pPr>
                    <w:jc w:val="center"/>
                    <w:rPr>
                      <w:rFonts w:ascii="Arial" w:eastAsia="Times New Roman" w:hAnsi="Arial" w:cs="Arial"/>
                      <w:b/>
                      <w:bCs/>
                      <w:color w:val="000000"/>
                    </w:rPr>
                  </w:pPr>
                  <w:r>
                    <w:rPr>
                      <w:rStyle w:val="Strong"/>
                      <w:rFonts w:ascii="Arial" w:eastAsia="Times New Roman" w:hAnsi="Arial" w:cs="Arial"/>
                      <w:color w:val="000000"/>
                    </w:rPr>
                    <w:t>Option D: Daily</w:t>
                  </w:r>
                </w:p>
              </w:tc>
            </w:tr>
            <w:tr w:rsidR="00F154BC" w14:paraId="30F6D0C5" w14:textId="77777777">
              <w:trPr>
                <w:divId w:val="400443450"/>
                <w:trHeight w:val="315"/>
                <w:tblCellSpacing w:w="15" w:type="dxa"/>
              </w:trPr>
              <w:tc>
                <w:tcPr>
                  <w:tcW w:w="695" w:type="pct"/>
                  <w:tcBorders>
                    <w:top w:val="outset" w:sz="6" w:space="0" w:color="auto"/>
                    <w:left w:val="outset" w:sz="6" w:space="0" w:color="auto"/>
                    <w:bottom w:val="outset" w:sz="6" w:space="0" w:color="auto"/>
                    <w:right w:val="outset" w:sz="6" w:space="0" w:color="auto"/>
                  </w:tcBorders>
                  <w:vAlign w:val="center"/>
                  <w:hideMark/>
                </w:tcPr>
                <w:p w14:paraId="5FEE0475" w14:textId="77777777" w:rsidR="00F154BC" w:rsidRDefault="00000000">
                  <w:pPr>
                    <w:rPr>
                      <w:rFonts w:ascii="Arial" w:eastAsia="Times New Roman" w:hAnsi="Arial" w:cs="Arial"/>
                      <w:color w:val="000000"/>
                    </w:rPr>
                  </w:pPr>
                  <w:r>
                    <w:rPr>
                      <w:rFonts w:ascii="Arial" w:eastAsia="Times New Roman" w:hAnsi="Arial" w:cs="Arial"/>
                      <w:color w:val="000000"/>
                    </w:rPr>
                    <w:t>Forecast accuracy</w:t>
                  </w:r>
                </w:p>
              </w:tc>
              <w:tc>
                <w:tcPr>
                  <w:tcW w:w="1076" w:type="pct"/>
                  <w:tcBorders>
                    <w:top w:val="outset" w:sz="6" w:space="0" w:color="auto"/>
                    <w:left w:val="outset" w:sz="6" w:space="0" w:color="auto"/>
                    <w:bottom w:val="outset" w:sz="6" w:space="0" w:color="auto"/>
                    <w:right w:val="outset" w:sz="6" w:space="0" w:color="auto"/>
                  </w:tcBorders>
                  <w:vAlign w:val="center"/>
                  <w:hideMark/>
                </w:tcPr>
                <w:p w14:paraId="492DEC85" w14:textId="77777777" w:rsidR="00F154BC" w:rsidRDefault="00000000">
                  <w:pPr>
                    <w:rPr>
                      <w:rFonts w:ascii="Arial" w:eastAsia="Times New Roman" w:hAnsi="Arial" w:cs="Arial"/>
                      <w:color w:val="000000"/>
                    </w:rPr>
                  </w:pPr>
                  <w:r>
                    <w:rPr>
                      <w:rFonts w:ascii="Arial" w:eastAsia="Times New Roman" w:hAnsi="Arial" w:cs="Arial"/>
                      <w:color w:val="000000"/>
                    </w:rPr>
                    <w:t>High risk (forecast dependent)</w:t>
                  </w:r>
                </w:p>
              </w:tc>
              <w:tc>
                <w:tcPr>
                  <w:tcW w:w="1108" w:type="pct"/>
                  <w:tcBorders>
                    <w:top w:val="outset" w:sz="6" w:space="0" w:color="auto"/>
                    <w:left w:val="outset" w:sz="6" w:space="0" w:color="auto"/>
                    <w:bottom w:val="outset" w:sz="6" w:space="0" w:color="auto"/>
                    <w:right w:val="outset" w:sz="6" w:space="0" w:color="auto"/>
                  </w:tcBorders>
                  <w:vAlign w:val="center"/>
                  <w:hideMark/>
                </w:tcPr>
                <w:p w14:paraId="01D7995D" w14:textId="77777777" w:rsidR="00F154BC" w:rsidRDefault="00000000">
                  <w:pPr>
                    <w:rPr>
                      <w:rFonts w:ascii="Arial" w:eastAsia="Times New Roman" w:hAnsi="Arial" w:cs="Arial"/>
                      <w:color w:val="000000"/>
                    </w:rPr>
                  </w:pPr>
                  <w:r>
                    <w:rPr>
                      <w:rFonts w:ascii="Arial" w:eastAsia="Times New Roman" w:hAnsi="Arial" w:cs="Arial"/>
                      <w:color w:val="000000"/>
                    </w:rPr>
                    <w:t>Moderate (shorter forecasts)</w:t>
                  </w:r>
                </w:p>
              </w:tc>
              <w:tc>
                <w:tcPr>
                  <w:tcW w:w="955" w:type="pct"/>
                  <w:tcBorders>
                    <w:top w:val="outset" w:sz="6" w:space="0" w:color="auto"/>
                    <w:left w:val="outset" w:sz="6" w:space="0" w:color="auto"/>
                    <w:bottom w:val="outset" w:sz="6" w:space="0" w:color="auto"/>
                    <w:right w:val="outset" w:sz="6" w:space="0" w:color="auto"/>
                  </w:tcBorders>
                  <w:vAlign w:val="center"/>
                  <w:hideMark/>
                </w:tcPr>
                <w:p w14:paraId="47233F9B" w14:textId="77777777" w:rsidR="00F154BC" w:rsidRDefault="00000000">
                  <w:pPr>
                    <w:rPr>
                      <w:rFonts w:ascii="Arial" w:eastAsia="Times New Roman" w:hAnsi="Arial" w:cs="Arial"/>
                      <w:color w:val="000000"/>
                    </w:rPr>
                  </w:pPr>
                  <w:r>
                    <w:rPr>
                      <w:rFonts w:ascii="Arial" w:eastAsia="Times New Roman" w:hAnsi="Arial" w:cs="Arial"/>
                      <w:color w:val="000000"/>
                    </w:rPr>
                    <w:t>Low (close to actuals)</w:t>
                  </w:r>
                </w:p>
              </w:tc>
              <w:tc>
                <w:tcPr>
                  <w:tcW w:w="988" w:type="pct"/>
                  <w:tcBorders>
                    <w:top w:val="outset" w:sz="6" w:space="0" w:color="auto"/>
                    <w:left w:val="outset" w:sz="6" w:space="0" w:color="auto"/>
                    <w:bottom w:val="outset" w:sz="6" w:space="0" w:color="auto"/>
                    <w:right w:val="outset" w:sz="6" w:space="0" w:color="auto"/>
                  </w:tcBorders>
                  <w:vAlign w:val="center"/>
                  <w:hideMark/>
                </w:tcPr>
                <w:p w14:paraId="2E4BE757" w14:textId="77777777" w:rsidR="00F154BC" w:rsidRDefault="00000000">
                  <w:pPr>
                    <w:rPr>
                      <w:rFonts w:ascii="Arial" w:eastAsia="Times New Roman" w:hAnsi="Arial" w:cs="Arial"/>
                      <w:color w:val="000000"/>
                    </w:rPr>
                  </w:pPr>
                  <w:r>
                    <w:rPr>
                      <w:rFonts w:ascii="Arial" w:eastAsia="Times New Roman" w:hAnsi="Arial" w:cs="Arial"/>
                      <w:color w:val="000000"/>
                    </w:rPr>
                    <w:t>Very low (real-time)</w:t>
                  </w:r>
                </w:p>
              </w:tc>
            </w:tr>
            <w:tr w:rsidR="00F154BC" w14:paraId="7C672D2B" w14:textId="77777777">
              <w:trPr>
                <w:divId w:val="400443450"/>
                <w:trHeight w:val="630"/>
                <w:tblCellSpacing w:w="15" w:type="dxa"/>
              </w:trPr>
              <w:tc>
                <w:tcPr>
                  <w:tcW w:w="695" w:type="pct"/>
                  <w:tcBorders>
                    <w:top w:val="outset" w:sz="6" w:space="0" w:color="auto"/>
                    <w:left w:val="outset" w:sz="6" w:space="0" w:color="auto"/>
                    <w:bottom w:val="outset" w:sz="6" w:space="0" w:color="auto"/>
                    <w:right w:val="outset" w:sz="6" w:space="0" w:color="auto"/>
                  </w:tcBorders>
                  <w:vAlign w:val="center"/>
                  <w:hideMark/>
                </w:tcPr>
                <w:p w14:paraId="07B3D915" w14:textId="77777777" w:rsidR="00F154BC" w:rsidRDefault="00000000">
                  <w:pPr>
                    <w:rPr>
                      <w:rFonts w:ascii="Arial" w:eastAsia="Times New Roman" w:hAnsi="Arial" w:cs="Arial"/>
                      <w:color w:val="000000"/>
                    </w:rPr>
                  </w:pPr>
                  <w:r>
                    <w:rPr>
                      <w:rFonts w:ascii="Arial" w:eastAsia="Times New Roman" w:hAnsi="Arial" w:cs="Arial"/>
                      <w:color w:val="000000"/>
                    </w:rPr>
                    <w:t>Cashflow management</w:t>
                  </w:r>
                </w:p>
              </w:tc>
              <w:tc>
                <w:tcPr>
                  <w:tcW w:w="1076" w:type="pct"/>
                  <w:tcBorders>
                    <w:top w:val="outset" w:sz="6" w:space="0" w:color="auto"/>
                    <w:left w:val="outset" w:sz="6" w:space="0" w:color="auto"/>
                    <w:bottom w:val="outset" w:sz="6" w:space="0" w:color="auto"/>
                    <w:right w:val="outset" w:sz="6" w:space="0" w:color="auto"/>
                  </w:tcBorders>
                  <w:vAlign w:val="center"/>
                  <w:hideMark/>
                </w:tcPr>
                <w:p w14:paraId="199BA0FF" w14:textId="77777777" w:rsidR="00F154BC" w:rsidRDefault="00000000">
                  <w:pPr>
                    <w:rPr>
                      <w:rFonts w:ascii="Arial" w:eastAsia="Times New Roman" w:hAnsi="Arial" w:cs="Arial"/>
                      <w:color w:val="000000"/>
                    </w:rPr>
                  </w:pPr>
                  <w:r>
                    <w:rPr>
                      <w:rFonts w:ascii="Arial" w:eastAsia="Times New Roman" w:hAnsi="Arial" w:cs="Arial"/>
                      <w:color w:val="000000"/>
                    </w:rPr>
                    <w:t>Larger lump-sum payments</w:t>
                  </w:r>
                </w:p>
              </w:tc>
              <w:tc>
                <w:tcPr>
                  <w:tcW w:w="1108" w:type="pct"/>
                  <w:tcBorders>
                    <w:top w:val="outset" w:sz="6" w:space="0" w:color="auto"/>
                    <w:left w:val="outset" w:sz="6" w:space="0" w:color="auto"/>
                    <w:bottom w:val="outset" w:sz="6" w:space="0" w:color="auto"/>
                    <w:right w:val="outset" w:sz="6" w:space="0" w:color="auto"/>
                  </w:tcBorders>
                  <w:vAlign w:val="center"/>
                  <w:hideMark/>
                </w:tcPr>
                <w:p w14:paraId="027C0A1E" w14:textId="77777777" w:rsidR="00F154BC" w:rsidRDefault="00000000">
                  <w:pPr>
                    <w:rPr>
                      <w:rFonts w:ascii="Arial" w:eastAsia="Times New Roman" w:hAnsi="Arial" w:cs="Arial"/>
                      <w:color w:val="000000"/>
                    </w:rPr>
                  </w:pPr>
                  <w:r>
                    <w:rPr>
                      <w:rFonts w:ascii="Arial" w:eastAsia="Times New Roman" w:hAnsi="Arial" w:cs="Arial"/>
                      <w:color w:val="000000"/>
                    </w:rPr>
                    <w:t>Spreads costs over the year</w:t>
                  </w:r>
                </w:p>
              </w:tc>
              <w:tc>
                <w:tcPr>
                  <w:tcW w:w="955" w:type="pct"/>
                  <w:tcBorders>
                    <w:top w:val="outset" w:sz="6" w:space="0" w:color="auto"/>
                    <w:left w:val="outset" w:sz="6" w:space="0" w:color="auto"/>
                    <w:bottom w:val="outset" w:sz="6" w:space="0" w:color="auto"/>
                    <w:right w:val="outset" w:sz="6" w:space="0" w:color="auto"/>
                  </w:tcBorders>
                  <w:vAlign w:val="center"/>
                  <w:hideMark/>
                </w:tcPr>
                <w:p w14:paraId="6B9CCC34" w14:textId="77777777" w:rsidR="00F154BC" w:rsidRDefault="00000000">
                  <w:pPr>
                    <w:rPr>
                      <w:rFonts w:ascii="Arial" w:eastAsia="Times New Roman" w:hAnsi="Arial" w:cs="Arial"/>
                      <w:color w:val="000000"/>
                    </w:rPr>
                  </w:pPr>
                  <w:r>
                    <w:rPr>
                      <w:rFonts w:ascii="Arial" w:eastAsia="Times New Roman" w:hAnsi="Arial" w:cs="Arial"/>
                      <w:color w:val="000000"/>
                    </w:rPr>
                    <w:t>Easiest to manage</w:t>
                  </w:r>
                </w:p>
              </w:tc>
              <w:tc>
                <w:tcPr>
                  <w:tcW w:w="988" w:type="pct"/>
                  <w:tcBorders>
                    <w:top w:val="outset" w:sz="6" w:space="0" w:color="auto"/>
                    <w:left w:val="outset" w:sz="6" w:space="0" w:color="auto"/>
                    <w:bottom w:val="outset" w:sz="6" w:space="0" w:color="auto"/>
                    <w:right w:val="outset" w:sz="6" w:space="0" w:color="auto"/>
                  </w:tcBorders>
                  <w:vAlign w:val="center"/>
                  <w:hideMark/>
                </w:tcPr>
                <w:p w14:paraId="7952E6A4" w14:textId="77777777" w:rsidR="00F154BC" w:rsidRDefault="00000000">
                  <w:pPr>
                    <w:rPr>
                      <w:rFonts w:ascii="Arial" w:eastAsia="Times New Roman" w:hAnsi="Arial" w:cs="Arial"/>
                      <w:color w:val="000000"/>
                    </w:rPr>
                  </w:pPr>
                  <w:r>
                    <w:rPr>
                      <w:rFonts w:ascii="Arial" w:eastAsia="Times New Roman" w:hAnsi="Arial" w:cs="Arial"/>
                      <w:color w:val="000000"/>
                    </w:rPr>
                    <w:t>Strains process despite small amounts</w:t>
                  </w:r>
                </w:p>
              </w:tc>
            </w:tr>
            <w:tr w:rsidR="00F154BC" w14:paraId="6D9BE679" w14:textId="77777777">
              <w:trPr>
                <w:divId w:val="400443450"/>
                <w:trHeight w:val="315"/>
                <w:tblCellSpacing w:w="15" w:type="dxa"/>
              </w:trPr>
              <w:tc>
                <w:tcPr>
                  <w:tcW w:w="695" w:type="pct"/>
                  <w:tcBorders>
                    <w:top w:val="outset" w:sz="6" w:space="0" w:color="auto"/>
                    <w:left w:val="outset" w:sz="6" w:space="0" w:color="auto"/>
                    <w:bottom w:val="outset" w:sz="6" w:space="0" w:color="auto"/>
                    <w:right w:val="outset" w:sz="6" w:space="0" w:color="auto"/>
                  </w:tcBorders>
                  <w:vAlign w:val="center"/>
                  <w:hideMark/>
                </w:tcPr>
                <w:p w14:paraId="1D3CB3BF" w14:textId="77777777" w:rsidR="00F154BC" w:rsidRDefault="00000000">
                  <w:pPr>
                    <w:rPr>
                      <w:rFonts w:ascii="Arial" w:eastAsia="Times New Roman" w:hAnsi="Arial" w:cs="Arial"/>
                      <w:color w:val="000000"/>
                    </w:rPr>
                  </w:pPr>
                  <w:r>
                    <w:rPr>
                      <w:rFonts w:ascii="Arial" w:eastAsia="Times New Roman" w:hAnsi="Arial" w:cs="Arial"/>
                      <w:color w:val="000000"/>
                    </w:rPr>
                    <w:t>Default impact</w:t>
                  </w:r>
                </w:p>
              </w:tc>
              <w:tc>
                <w:tcPr>
                  <w:tcW w:w="1076" w:type="pct"/>
                  <w:tcBorders>
                    <w:top w:val="outset" w:sz="6" w:space="0" w:color="auto"/>
                    <w:left w:val="outset" w:sz="6" w:space="0" w:color="auto"/>
                    <w:bottom w:val="outset" w:sz="6" w:space="0" w:color="auto"/>
                    <w:right w:val="outset" w:sz="6" w:space="0" w:color="auto"/>
                  </w:tcBorders>
                  <w:vAlign w:val="center"/>
                  <w:hideMark/>
                </w:tcPr>
                <w:p w14:paraId="3CC87A3B" w14:textId="77777777" w:rsidR="00F154BC" w:rsidRDefault="00000000">
                  <w:pPr>
                    <w:rPr>
                      <w:rFonts w:ascii="Arial" w:eastAsia="Times New Roman" w:hAnsi="Arial" w:cs="Arial"/>
                      <w:color w:val="000000"/>
                    </w:rPr>
                  </w:pPr>
                  <w:r>
                    <w:rPr>
                      <w:rFonts w:ascii="Arial" w:eastAsia="Times New Roman" w:hAnsi="Arial" w:cs="Arial"/>
                      <w:color w:val="000000"/>
                    </w:rPr>
                    <w:t>High (longer exposure)</w:t>
                  </w:r>
                </w:p>
              </w:tc>
              <w:tc>
                <w:tcPr>
                  <w:tcW w:w="1108" w:type="pct"/>
                  <w:tcBorders>
                    <w:top w:val="outset" w:sz="6" w:space="0" w:color="auto"/>
                    <w:left w:val="outset" w:sz="6" w:space="0" w:color="auto"/>
                    <w:bottom w:val="outset" w:sz="6" w:space="0" w:color="auto"/>
                    <w:right w:val="outset" w:sz="6" w:space="0" w:color="auto"/>
                  </w:tcBorders>
                  <w:vAlign w:val="center"/>
                  <w:hideMark/>
                </w:tcPr>
                <w:p w14:paraId="72060D16" w14:textId="77777777" w:rsidR="00F154BC" w:rsidRDefault="00000000">
                  <w:pPr>
                    <w:rPr>
                      <w:rFonts w:ascii="Arial" w:eastAsia="Times New Roman" w:hAnsi="Arial" w:cs="Arial"/>
                      <w:color w:val="000000"/>
                    </w:rPr>
                  </w:pPr>
                  <w:r>
                    <w:rPr>
                      <w:rFonts w:ascii="Arial" w:eastAsia="Times New Roman" w:hAnsi="Arial" w:cs="Arial"/>
                      <w:color w:val="000000"/>
                    </w:rPr>
                    <w:t>Reduced exposure</w:t>
                  </w:r>
                </w:p>
              </w:tc>
              <w:tc>
                <w:tcPr>
                  <w:tcW w:w="955" w:type="pct"/>
                  <w:tcBorders>
                    <w:top w:val="outset" w:sz="6" w:space="0" w:color="auto"/>
                    <w:left w:val="outset" w:sz="6" w:space="0" w:color="auto"/>
                    <w:bottom w:val="outset" w:sz="6" w:space="0" w:color="auto"/>
                    <w:right w:val="outset" w:sz="6" w:space="0" w:color="auto"/>
                  </w:tcBorders>
                  <w:vAlign w:val="center"/>
                  <w:hideMark/>
                </w:tcPr>
                <w:p w14:paraId="6D30F528" w14:textId="77777777" w:rsidR="00F154BC" w:rsidRDefault="00000000">
                  <w:pPr>
                    <w:rPr>
                      <w:rFonts w:ascii="Arial" w:eastAsia="Times New Roman" w:hAnsi="Arial" w:cs="Arial"/>
                      <w:color w:val="000000"/>
                    </w:rPr>
                  </w:pPr>
                  <w:r>
                    <w:rPr>
                      <w:rFonts w:ascii="Arial" w:eastAsia="Times New Roman" w:hAnsi="Arial" w:cs="Arial"/>
                      <w:color w:val="000000"/>
                    </w:rPr>
                    <w:t>Low impact</w:t>
                  </w:r>
                </w:p>
              </w:tc>
              <w:tc>
                <w:tcPr>
                  <w:tcW w:w="988" w:type="pct"/>
                  <w:tcBorders>
                    <w:top w:val="outset" w:sz="6" w:space="0" w:color="auto"/>
                    <w:left w:val="outset" w:sz="6" w:space="0" w:color="auto"/>
                    <w:bottom w:val="outset" w:sz="6" w:space="0" w:color="auto"/>
                    <w:right w:val="outset" w:sz="6" w:space="0" w:color="auto"/>
                  </w:tcBorders>
                  <w:vAlign w:val="center"/>
                  <w:hideMark/>
                </w:tcPr>
                <w:p w14:paraId="0A39FC97" w14:textId="77777777" w:rsidR="00F154BC" w:rsidRDefault="00000000">
                  <w:pPr>
                    <w:rPr>
                      <w:rFonts w:ascii="Arial" w:eastAsia="Times New Roman" w:hAnsi="Arial" w:cs="Arial"/>
                      <w:color w:val="000000"/>
                    </w:rPr>
                  </w:pPr>
                  <w:r>
                    <w:rPr>
                      <w:rFonts w:ascii="Arial" w:eastAsia="Times New Roman" w:hAnsi="Arial" w:cs="Arial"/>
                      <w:color w:val="000000"/>
                    </w:rPr>
                    <w:t>Very low impact</w:t>
                  </w:r>
                </w:p>
              </w:tc>
            </w:tr>
            <w:tr w:rsidR="00F154BC" w14:paraId="3B1F8D36" w14:textId="77777777">
              <w:trPr>
                <w:divId w:val="400443450"/>
                <w:trHeight w:val="630"/>
                <w:tblCellSpacing w:w="15" w:type="dxa"/>
              </w:trPr>
              <w:tc>
                <w:tcPr>
                  <w:tcW w:w="695" w:type="pct"/>
                  <w:tcBorders>
                    <w:top w:val="outset" w:sz="6" w:space="0" w:color="auto"/>
                    <w:left w:val="outset" w:sz="6" w:space="0" w:color="auto"/>
                    <w:bottom w:val="outset" w:sz="6" w:space="0" w:color="auto"/>
                    <w:right w:val="outset" w:sz="6" w:space="0" w:color="auto"/>
                  </w:tcBorders>
                  <w:vAlign w:val="center"/>
                  <w:hideMark/>
                </w:tcPr>
                <w:p w14:paraId="10E5A3F3" w14:textId="77777777" w:rsidR="00F154BC" w:rsidRDefault="00000000">
                  <w:pPr>
                    <w:rPr>
                      <w:rFonts w:ascii="Arial" w:eastAsia="Times New Roman" w:hAnsi="Arial" w:cs="Arial"/>
                      <w:color w:val="000000"/>
                    </w:rPr>
                  </w:pPr>
                  <w:r>
                    <w:rPr>
                      <w:rFonts w:ascii="Arial" w:eastAsia="Times New Roman" w:hAnsi="Arial" w:cs="Arial"/>
                      <w:color w:val="000000"/>
                    </w:rPr>
                    <w:t>Administrative burden</w:t>
                  </w:r>
                </w:p>
              </w:tc>
              <w:tc>
                <w:tcPr>
                  <w:tcW w:w="1076" w:type="pct"/>
                  <w:tcBorders>
                    <w:top w:val="outset" w:sz="6" w:space="0" w:color="auto"/>
                    <w:left w:val="outset" w:sz="6" w:space="0" w:color="auto"/>
                    <w:bottom w:val="outset" w:sz="6" w:space="0" w:color="auto"/>
                    <w:right w:val="outset" w:sz="6" w:space="0" w:color="auto"/>
                  </w:tcBorders>
                  <w:vAlign w:val="center"/>
                  <w:hideMark/>
                </w:tcPr>
                <w:p w14:paraId="54CF5BA5" w14:textId="77777777" w:rsidR="00F154BC" w:rsidRDefault="00000000">
                  <w:pPr>
                    <w:rPr>
                      <w:rFonts w:ascii="Arial" w:eastAsia="Times New Roman" w:hAnsi="Arial" w:cs="Arial"/>
                      <w:color w:val="000000"/>
                    </w:rPr>
                  </w:pPr>
                  <w:r>
                    <w:rPr>
                      <w:rFonts w:ascii="Arial" w:eastAsia="Times New Roman" w:hAnsi="Arial" w:cs="Arial"/>
                      <w:color w:val="000000"/>
                    </w:rPr>
                    <w:t>Fewer payments and misaligned reporting</w:t>
                  </w:r>
                </w:p>
              </w:tc>
              <w:tc>
                <w:tcPr>
                  <w:tcW w:w="1108" w:type="pct"/>
                  <w:tcBorders>
                    <w:top w:val="outset" w:sz="6" w:space="0" w:color="auto"/>
                    <w:left w:val="outset" w:sz="6" w:space="0" w:color="auto"/>
                    <w:bottom w:val="outset" w:sz="6" w:space="0" w:color="auto"/>
                    <w:right w:val="outset" w:sz="6" w:space="0" w:color="auto"/>
                  </w:tcBorders>
                  <w:vAlign w:val="center"/>
                  <w:hideMark/>
                </w:tcPr>
                <w:p w14:paraId="31FBB5E3" w14:textId="77777777" w:rsidR="00F154BC" w:rsidRDefault="00000000">
                  <w:pPr>
                    <w:rPr>
                      <w:rFonts w:ascii="Arial" w:eastAsia="Times New Roman" w:hAnsi="Arial" w:cs="Arial"/>
                      <w:color w:val="000000"/>
                    </w:rPr>
                  </w:pPr>
                  <w:r>
                    <w:rPr>
                      <w:rFonts w:ascii="Arial" w:eastAsia="Times New Roman" w:hAnsi="Arial" w:cs="Arial"/>
                      <w:color w:val="000000"/>
                    </w:rPr>
                    <w:t>Fewer payments and reporting more aligned</w:t>
                  </w:r>
                </w:p>
              </w:tc>
              <w:tc>
                <w:tcPr>
                  <w:tcW w:w="955" w:type="pct"/>
                  <w:tcBorders>
                    <w:top w:val="outset" w:sz="6" w:space="0" w:color="auto"/>
                    <w:left w:val="outset" w:sz="6" w:space="0" w:color="auto"/>
                    <w:bottom w:val="outset" w:sz="6" w:space="0" w:color="auto"/>
                    <w:right w:val="outset" w:sz="6" w:space="0" w:color="auto"/>
                  </w:tcBorders>
                  <w:vAlign w:val="center"/>
                  <w:hideMark/>
                </w:tcPr>
                <w:p w14:paraId="207DA35A" w14:textId="77777777" w:rsidR="00F154BC" w:rsidRDefault="00000000">
                  <w:pPr>
                    <w:rPr>
                      <w:rFonts w:ascii="Arial" w:eastAsia="Times New Roman" w:hAnsi="Arial" w:cs="Arial"/>
                      <w:color w:val="000000"/>
                    </w:rPr>
                  </w:pPr>
                  <w:r>
                    <w:rPr>
                      <w:rFonts w:ascii="Arial" w:eastAsia="Times New Roman" w:hAnsi="Arial" w:cs="Arial"/>
                      <w:color w:val="000000"/>
                    </w:rPr>
                    <w:t>More payments and reporting aligned</w:t>
                  </w:r>
                </w:p>
              </w:tc>
              <w:tc>
                <w:tcPr>
                  <w:tcW w:w="988" w:type="pct"/>
                  <w:tcBorders>
                    <w:top w:val="outset" w:sz="6" w:space="0" w:color="auto"/>
                    <w:left w:val="outset" w:sz="6" w:space="0" w:color="auto"/>
                    <w:bottom w:val="outset" w:sz="6" w:space="0" w:color="auto"/>
                    <w:right w:val="outset" w:sz="6" w:space="0" w:color="auto"/>
                  </w:tcBorders>
                  <w:vAlign w:val="center"/>
                  <w:hideMark/>
                </w:tcPr>
                <w:p w14:paraId="0EF07E07" w14:textId="77777777" w:rsidR="00F154BC" w:rsidRDefault="00000000">
                  <w:pPr>
                    <w:rPr>
                      <w:rFonts w:ascii="Arial" w:eastAsia="Times New Roman" w:hAnsi="Arial" w:cs="Arial"/>
                      <w:color w:val="000000"/>
                    </w:rPr>
                  </w:pPr>
                  <w:r>
                    <w:rPr>
                      <w:rFonts w:ascii="Arial" w:eastAsia="Times New Roman" w:hAnsi="Arial" w:cs="Arial"/>
                      <w:color w:val="000000"/>
                    </w:rPr>
                    <w:t>More payments and reporting</w:t>
                  </w:r>
                </w:p>
              </w:tc>
            </w:tr>
          </w:tbl>
          <w:p w14:paraId="44793313" w14:textId="77777777" w:rsidR="00F154BC" w:rsidRDefault="00F154BC">
            <w:pPr>
              <w:rPr>
                <w:rFonts w:ascii="Arial" w:eastAsia="Times New Roman" w:hAnsi="Arial" w:cs="Arial"/>
                <w:color w:val="000000"/>
              </w:rPr>
            </w:pPr>
          </w:p>
        </w:tc>
      </w:tr>
    </w:tbl>
    <w:p w14:paraId="0D3BD52B" w14:textId="77777777" w:rsidR="00F154BC" w:rsidRDefault="00000000">
      <w:pPr>
        <w:pStyle w:val="Heading3"/>
        <w:divId w:val="218710385"/>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Do you agree or disagree with the options assessment?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226"/>
      </w:tblGrid>
      <w:tr w:rsidR="00F154BC" w14:paraId="532C3D90" w14:textId="77777777">
        <w:trPr>
          <w:divId w:val="218710385"/>
          <w:trHeight w:val="225"/>
          <w:tblCellSpacing w:w="12" w:type="dxa"/>
        </w:trPr>
        <w:tc>
          <w:tcPr>
            <w:tcW w:w="225" w:type="dxa"/>
            <w:tcMar>
              <w:top w:w="75" w:type="dxa"/>
              <w:left w:w="75" w:type="dxa"/>
              <w:bottom w:w="75" w:type="dxa"/>
              <w:right w:w="75" w:type="dxa"/>
            </w:tcMar>
            <w:hideMark/>
          </w:tcPr>
          <w:p w14:paraId="4B6D7F34"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2B5CAA7" w14:textId="1321B219" w:rsidR="00F154BC" w:rsidRDefault="00000000">
            <w:pPr>
              <w:rPr>
                <w:rFonts w:ascii="Arial" w:eastAsia="Times New Roman" w:hAnsi="Arial" w:cs="Arial"/>
                <w:color w:val="000000"/>
              </w:rPr>
            </w:pPr>
            <w:r>
              <w:rPr>
                <w:rFonts w:ascii="Arial" w:eastAsia="Times New Roman" w:hAnsi="Arial" w:cs="Arial"/>
                <w:color w:val="000000"/>
              </w:rPr>
              <w:t>Agre</w:t>
            </w:r>
            <w:r w:rsidR="00725029">
              <w:rPr>
                <w:rFonts w:ascii="Arial" w:eastAsia="Times New Roman" w:hAnsi="Arial" w:cs="Arial"/>
                <w:color w:val="000000"/>
              </w:rPr>
              <w:t>e (Go to ‘Aligning frequency’)</w:t>
            </w:r>
          </w:p>
        </w:tc>
      </w:tr>
      <w:tr w:rsidR="00F154BC" w14:paraId="19796AC2" w14:textId="77777777">
        <w:trPr>
          <w:divId w:val="218710385"/>
          <w:trHeight w:val="225"/>
          <w:tblCellSpacing w:w="12" w:type="dxa"/>
        </w:trPr>
        <w:tc>
          <w:tcPr>
            <w:tcW w:w="225" w:type="dxa"/>
            <w:tcMar>
              <w:top w:w="75" w:type="dxa"/>
              <w:left w:w="75" w:type="dxa"/>
              <w:bottom w:w="75" w:type="dxa"/>
              <w:right w:w="75" w:type="dxa"/>
            </w:tcMar>
            <w:hideMark/>
          </w:tcPr>
          <w:p w14:paraId="63428F6F"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B85722A" w14:textId="77777777" w:rsidR="00F154BC" w:rsidRDefault="00000000">
            <w:pPr>
              <w:rPr>
                <w:rFonts w:ascii="Arial" w:eastAsia="Times New Roman" w:hAnsi="Arial" w:cs="Arial"/>
                <w:color w:val="000000"/>
              </w:rPr>
            </w:pPr>
            <w:r>
              <w:rPr>
                <w:rFonts w:ascii="Arial" w:eastAsia="Times New Roman" w:hAnsi="Arial" w:cs="Arial"/>
                <w:color w:val="000000"/>
              </w:rPr>
              <w:t>Disagree</w:t>
            </w:r>
          </w:p>
        </w:tc>
      </w:tr>
      <w:tr w:rsidR="00F154BC" w14:paraId="2B5F9CC0" w14:textId="77777777">
        <w:trPr>
          <w:divId w:val="218710385"/>
          <w:trHeight w:val="225"/>
          <w:tblCellSpacing w:w="12" w:type="dxa"/>
        </w:trPr>
        <w:tc>
          <w:tcPr>
            <w:tcW w:w="225" w:type="dxa"/>
            <w:tcMar>
              <w:top w:w="75" w:type="dxa"/>
              <w:left w:w="75" w:type="dxa"/>
              <w:bottom w:w="75" w:type="dxa"/>
              <w:right w:w="75" w:type="dxa"/>
            </w:tcMar>
            <w:hideMark/>
          </w:tcPr>
          <w:p w14:paraId="6201627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A2BBF87" w14:textId="1DEE4FA7" w:rsidR="00F154BC" w:rsidRDefault="00000000">
            <w:pPr>
              <w:rPr>
                <w:rFonts w:ascii="Arial" w:eastAsia="Times New Roman" w:hAnsi="Arial" w:cs="Arial"/>
                <w:color w:val="000000"/>
              </w:rPr>
            </w:pPr>
            <w:r>
              <w:rPr>
                <w:rFonts w:ascii="Arial" w:eastAsia="Times New Roman" w:hAnsi="Arial" w:cs="Arial"/>
                <w:color w:val="000000"/>
              </w:rPr>
              <w:t>Don't know</w:t>
            </w:r>
            <w:r w:rsidR="00725029">
              <w:rPr>
                <w:rFonts w:ascii="Arial" w:eastAsia="Times New Roman" w:hAnsi="Arial" w:cs="Arial"/>
                <w:color w:val="000000"/>
              </w:rPr>
              <w:t xml:space="preserve"> (Go to ‘Aligning frequency’)</w:t>
            </w:r>
          </w:p>
        </w:tc>
      </w:tr>
    </w:tbl>
    <w:p w14:paraId="0E0D2B26"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A3D0987"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options assessment</w:t>
      </w:r>
    </w:p>
    <w:p w14:paraId="02A346C8" w14:textId="77777777" w:rsidR="00F154BC" w:rsidRDefault="00000000">
      <w:pPr>
        <w:pStyle w:val="Heading3"/>
        <w:divId w:val="1427188713"/>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What are your objections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47568F69" w14:textId="77777777" w:rsidTr="00725029">
        <w:trPr>
          <w:divId w:val="1427188713"/>
          <w:tblCellSpacing w:w="12" w:type="dxa"/>
        </w:trPr>
        <w:tc>
          <w:tcPr>
            <w:tcW w:w="8883" w:type="dxa"/>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22EC7F34" w14:textId="77777777" w:rsidTr="00725029">
              <w:trPr>
                <w:trHeight w:val="1875"/>
                <w:tblCellSpacing w:w="15" w:type="dxa"/>
              </w:trPr>
              <w:tc>
                <w:tcPr>
                  <w:tcW w:w="8815" w:type="dxa"/>
                  <w:vAlign w:val="center"/>
                  <w:hideMark/>
                </w:tcPr>
                <w:p w14:paraId="4CDF05C0"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5D8C04F" w14:textId="77777777" w:rsidR="00F154BC" w:rsidRDefault="00F154BC">
            <w:pPr>
              <w:rPr>
                <w:rFonts w:ascii="Arial" w:eastAsia="Times New Roman" w:hAnsi="Arial" w:cs="Arial"/>
                <w:color w:val="000000"/>
              </w:rPr>
            </w:pPr>
          </w:p>
        </w:tc>
      </w:tr>
    </w:tbl>
    <w:p w14:paraId="5EC87A85"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C11362E"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Aligning frequency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6F672A37" w14:textId="77777777">
        <w:trPr>
          <w:divId w:val="1737127132"/>
          <w:tblCellSpacing w:w="12" w:type="dxa"/>
        </w:trPr>
        <w:tc>
          <w:tcPr>
            <w:tcW w:w="0" w:type="auto"/>
            <w:vAlign w:val="center"/>
            <w:hideMark/>
          </w:tcPr>
          <w:p w14:paraId="4B5851D6" w14:textId="77777777" w:rsidR="00F154BC" w:rsidRDefault="00000000">
            <w:pPr>
              <w:pStyle w:val="NormalWeb"/>
              <w:divId w:val="461391355"/>
              <w:rPr>
                <w:rFonts w:ascii="Arial" w:hAnsi="Arial" w:cs="Arial"/>
                <w:color w:val="000000"/>
              </w:rPr>
            </w:pPr>
            <w:r>
              <w:rPr>
                <w:rFonts w:ascii="Arial" w:hAnsi="Arial" w:cs="Arial"/>
                <w:color w:val="000000"/>
              </w:rPr>
              <w:t>We propose that the most administratively simple approach would be to align the frequency of assessment periods and collection cycles.</w:t>
            </w:r>
          </w:p>
          <w:p w14:paraId="16485164" w14:textId="77777777" w:rsidR="00F154BC" w:rsidRDefault="00F154BC">
            <w:pPr>
              <w:rPr>
                <w:rFonts w:ascii="Arial" w:hAnsi="Arial" w:cs="Arial"/>
                <w:color w:val="000000"/>
              </w:rPr>
            </w:pPr>
          </w:p>
        </w:tc>
      </w:tr>
    </w:tbl>
    <w:p w14:paraId="63CB655B" w14:textId="77777777" w:rsidR="00F154BC" w:rsidRDefault="00000000">
      <w:pPr>
        <w:pStyle w:val="Heading3"/>
        <w:divId w:val="1361973067"/>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Do you agree or disagree with aligning the frequency of assessment periods and collection cycles?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F154BC" w14:paraId="7196B5D1" w14:textId="77777777">
        <w:trPr>
          <w:divId w:val="1361973067"/>
          <w:trHeight w:val="225"/>
          <w:tblCellSpacing w:w="12" w:type="dxa"/>
        </w:trPr>
        <w:tc>
          <w:tcPr>
            <w:tcW w:w="225" w:type="dxa"/>
            <w:tcMar>
              <w:top w:w="75" w:type="dxa"/>
              <w:left w:w="75" w:type="dxa"/>
              <w:bottom w:w="75" w:type="dxa"/>
              <w:right w:w="75" w:type="dxa"/>
            </w:tcMar>
            <w:hideMark/>
          </w:tcPr>
          <w:p w14:paraId="0CFC4B20"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5DAAFCA" w14:textId="77777777" w:rsidR="00F154BC" w:rsidRDefault="00000000">
            <w:pPr>
              <w:rPr>
                <w:rFonts w:ascii="Arial" w:eastAsia="Times New Roman" w:hAnsi="Arial" w:cs="Arial"/>
                <w:color w:val="000000"/>
              </w:rPr>
            </w:pPr>
            <w:r>
              <w:rPr>
                <w:rFonts w:ascii="Arial" w:eastAsia="Times New Roman" w:hAnsi="Arial" w:cs="Arial"/>
                <w:color w:val="000000"/>
              </w:rPr>
              <w:t>Agree</w:t>
            </w:r>
          </w:p>
        </w:tc>
      </w:tr>
      <w:tr w:rsidR="00F154BC" w14:paraId="78AB082F" w14:textId="77777777">
        <w:trPr>
          <w:divId w:val="1361973067"/>
          <w:trHeight w:val="225"/>
          <w:tblCellSpacing w:w="12" w:type="dxa"/>
        </w:trPr>
        <w:tc>
          <w:tcPr>
            <w:tcW w:w="225" w:type="dxa"/>
            <w:tcMar>
              <w:top w:w="75" w:type="dxa"/>
              <w:left w:w="75" w:type="dxa"/>
              <w:bottom w:w="75" w:type="dxa"/>
              <w:right w:w="75" w:type="dxa"/>
            </w:tcMar>
            <w:hideMark/>
          </w:tcPr>
          <w:p w14:paraId="3DCA002C"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9756B88" w14:textId="0D66FA2C" w:rsidR="00F154BC" w:rsidRDefault="00000000">
            <w:pPr>
              <w:rPr>
                <w:rFonts w:ascii="Arial" w:eastAsia="Times New Roman" w:hAnsi="Arial" w:cs="Arial"/>
                <w:color w:val="000000"/>
              </w:rPr>
            </w:pPr>
            <w:r>
              <w:rPr>
                <w:rFonts w:ascii="Arial" w:eastAsia="Times New Roman" w:hAnsi="Arial" w:cs="Arial"/>
                <w:color w:val="000000"/>
              </w:rPr>
              <w:t>Disagree</w:t>
            </w:r>
            <w:r w:rsidR="00725029">
              <w:rPr>
                <w:rFonts w:ascii="Arial" w:eastAsia="Times New Roman" w:hAnsi="Arial" w:cs="Arial"/>
                <w:color w:val="000000"/>
              </w:rPr>
              <w:t xml:space="preserve"> (Go to ‘</w:t>
            </w:r>
            <w:r w:rsidR="00725029" w:rsidRPr="00725029">
              <w:rPr>
                <w:rFonts w:ascii="Arial" w:eastAsia="Times New Roman" w:hAnsi="Arial" w:cs="Arial"/>
                <w:color w:val="000000"/>
              </w:rPr>
              <w:t>Disagree with alignment of assessment and collection period frequencies</w:t>
            </w:r>
            <w:r w:rsidR="00725029">
              <w:rPr>
                <w:rFonts w:ascii="Arial" w:eastAsia="Times New Roman" w:hAnsi="Arial" w:cs="Arial"/>
                <w:color w:val="000000"/>
              </w:rPr>
              <w:t>’)</w:t>
            </w:r>
          </w:p>
        </w:tc>
      </w:tr>
      <w:tr w:rsidR="00F154BC" w14:paraId="591E55D5" w14:textId="77777777">
        <w:trPr>
          <w:divId w:val="1361973067"/>
          <w:trHeight w:val="225"/>
          <w:tblCellSpacing w:w="12" w:type="dxa"/>
        </w:trPr>
        <w:tc>
          <w:tcPr>
            <w:tcW w:w="225" w:type="dxa"/>
            <w:tcMar>
              <w:top w:w="75" w:type="dxa"/>
              <w:left w:w="75" w:type="dxa"/>
              <w:bottom w:w="75" w:type="dxa"/>
              <w:right w:w="75" w:type="dxa"/>
            </w:tcMar>
            <w:hideMark/>
          </w:tcPr>
          <w:p w14:paraId="5465F3B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643FBC3" w14:textId="3963BB9C" w:rsidR="00F154BC" w:rsidRDefault="00000000">
            <w:pPr>
              <w:rPr>
                <w:rFonts w:ascii="Arial" w:eastAsia="Times New Roman" w:hAnsi="Arial" w:cs="Arial"/>
                <w:color w:val="000000"/>
              </w:rPr>
            </w:pPr>
            <w:r>
              <w:rPr>
                <w:rFonts w:ascii="Arial" w:eastAsia="Times New Roman" w:hAnsi="Arial" w:cs="Arial"/>
                <w:color w:val="000000"/>
              </w:rPr>
              <w:t>Don't know</w:t>
            </w:r>
            <w:r w:rsidR="00725029">
              <w:rPr>
                <w:rFonts w:ascii="Arial" w:eastAsia="Times New Roman" w:hAnsi="Arial" w:cs="Arial"/>
                <w:color w:val="000000"/>
              </w:rPr>
              <w:t xml:space="preserve"> (Go to ‘</w:t>
            </w:r>
            <w:r w:rsidR="00725029" w:rsidRPr="00725029">
              <w:rPr>
                <w:rFonts w:ascii="Arial" w:eastAsia="Times New Roman" w:hAnsi="Arial" w:cs="Arial"/>
                <w:color w:val="000000"/>
              </w:rPr>
              <w:t>Frequency options</w:t>
            </w:r>
            <w:r w:rsidR="00725029">
              <w:rPr>
                <w:rFonts w:ascii="Arial" w:eastAsia="Times New Roman" w:hAnsi="Arial" w:cs="Arial"/>
                <w:color w:val="000000"/>
              </w:rPr>
              <w:t>’)</w:t>
            </w:r>
          </w:p>
        </w:tc>
      </w:tr>
    </w:tbl>
    <w:p w14:paraId="7BCFBF17"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BE2D914"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Agree with alignment of assessment and collection period frequencies</w:t>
      </w:r>
    </w:p>
    <w:p w14:paraId="78AEBAB1" w14:textId="77777777" w:rsidR="00F154BC" w:rsidRDefault="00000000">
      <w:pPr>
        <w:pStyle w:val="Heading3"/>
        <w:divId w:val="1844052902"/>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12FD5FD4" w14:textId="77777777">
        <w:trPr>
          <w:divId w:val="1844052902"/>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58E28CA6" w14:textId="77777777" w:rsidTr="00725029">
              <w:trPr>
                <w:trHeight w:val="1875"/>
                <w:tblCellSpacing w:w="15" w:type="dxa"/>
              </w:trPr>
              <w:tc>
                <w:tcPr>
                  <w:tcW w:w="8815" w:type="dxa"/>
                  <w:vAlign w:val="center"/>
                  <w:hideMark/>
                </w:tcPr>
                <w:p w14:paraId="623CFDD4"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63AA5F5" w14:textId="77777777" w:rsidR="00F154BC" w:rsidRDefault="00F154BC">
            <w:pPr>
              <w:rPr>
                <w:rFonts w:ascii="Arial" w:eastAsia="Times New Roman" w:hAnsi="Arial" w:cs="Arial"/>
                <w:color w:val="000000"/>
              </w:rPr>
            </w:pPr>
          </w:p>
        </w:tc>
      </w:tr>
    </w:tbl>
    <w:p w14:paraId="1D5207DB" w14:textId="06F061CA" w:rsidR="00F154BC" w:rsidRDefault="00000000">
      <w:pPr>
        <w:rPr>
          <w:rFonts w:ascii="Arial" w:eastAsia="Times New Roman" w:hAnsi="Arial" w:cs="Arial"/>
          <w:color w:val="000000"/>
        </w:rPr>
      </w:pPr>
      <w:r>
        <w:rPr>
          <w:rFonts w:ascii="Arial" w:eastAsia="Times New Roman" w:hAnsi="Arial" w:cs="Arial"/>
          <w:color w:val="000000"/>
        </w:rPr>
        <w:br/>
      </w:r>
      <w:r w:rsidR="00725029">
        <w:rPr>
          <w:rFonts w:ascii="Arial" w:eastAsia="Times New Roman" w:hAnsi="Arial" w:cs="Arial"/>
          <w:color w:val="000000"/>
        </w:rPr>
        <w:t>[Now go to ‘</w:t>
      </w:r>
      <w:r w:rsidR="00725029" w:rsidRPr="00725029">
        <w:rPr>
          <w:rFonts w:ascii="Arial" w:eastAsia="Times New Roman" w:hAnsi="Arial" w:cs="Arial"/>
          <w:color w:val="000000"/>
        </w:rPr>
        <w:t>Frequency options</w:t>
      </w:r>
      <w:r w:rsidR="00725029">
        <w:rPr>
          <w:rFonts w:ascii="Arial" w:eastAsia="Times New Roman" w:hAnsi="Arial" w:cs="Arial"/>
          <w:color w:val="000000"/>
        </w:rPr>
        <w:t>’]</w:t>
      </w:r>
      <w:r>
        <w:rPr>
          <w:rFonts w:ascii="Arial" w:eastAsia="Times New Roman" w:hAnsi="Arial" w:cs="Arial"/>
          <w:color w:val="000000"/>
        </w:rPr>
        <w:br w:type="page"/>
      </w:r>
    </w:p>
    <w:p w14:paraId="6F042D1B"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alignment of assessment and collection period frequencies</w:t>
      </w:r>
    </w:p>
    <w:p w14:paraId="0E4348C4" w14:textId="77777777" w:rsidR="00F154BC" w:rsidRDefault="00000000">
      <w:pPr>
        <w:pStyle w:val="Heading3"/>
        <w:divId w:val="387073692"/>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10997172" w14:textId="77777777">
        <w:trPr>
          <w:divId w:val="387073692"/>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50E2E231" w14:textId="77777777" w:rsidTr="00725029">
              <w:trPr>
                <w:trHeight w:val="1875"/>
                <w:tblCellSpacing w:w="15" w:type="dxa"/>
              </w:trPr>
              <w:tc>
                <w:tcPr>
                  <w:tcW w:w="8673" w:type="dxa"/>
                  <w:vAlign w:val="center"/>
                  <w:hideMark/>
                </w:tcPr>
                <w:p w14:paraId="464B46AB"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B0C4400" w14:textId="77777777" w:rsidR="00F154BC" w:rsidRDefault="00F154BC">
            <w:pPr>
              <w:rPr>
                <w:rFonts w:ascii="Arial" w:eastAsia="Times New Roman" w:hAnsi="Arial" w:cs="Arial"/>
                <w:color w:val="000000"/>
              </w:rPr>
            </w:pPr>
          </w:p>
        </w:tc>
      </w:tr>
    </w:tbl>
    <w:p w14:paraId="69A1D3CA" w14:textId="77777777" w:rsidR="00F154BC" w:rsidRDefault="00000000">
      <w:pPr>
        <w:pStyle w:val="Heading3"/>
        <w:divId w:val="460999282"/>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In your view what do you think is the most appropriate frequency for the:</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04"/>
        <w:gridCol w:w="1402"/>
        <w:gridCol w:w="1402"/>
        <w:gridCol w:w="1402"/>
        <w:gridCol w:w="1402"/>
        <w:gridCol w:w="1414"/>
      </w:tblGrid>
      <w:tr w:rsidR="00F154BC" w14:paraId="1D03BC16" w14:textId="77777777">
        <w:trPr>
          <w:divId w:val="460999282"/>
          <w:tblHeader/>
          <w:tblCellSpacing w:w="12" w:type="dxa"/>
        </w:trPr>
        <w:tc>
          <w:tcPr>
            <w:tcW w:w="1000" w:type="pct"/>
            <w:vAlign w:val="center"/>
            <w:hideMark/>
          </w:tcPr>
          <w:p w14:paraId="0046E120" w14:textId="77777777" w:rsidR="00F154BC" w:rsidRDefault="00F154BC">
            <w:pPr>
              <w:rPr>
                <w:rFonts w:ascii="Arial" w:eastAsia="Times New Roman" w:hAnsi="Arial" w:cs="Arial"/>
                <w:color w:val="000000"/>
              </w:rPr>
            </w:pPr>
          </w:p>
        </w:tc>
        <w:tc>
          <w:tcPr>
            <w:tcW w:w="700" w:type="pct"/>
            <w:vAlign w:val="bottom"/>
            <w:hideMark/>
          </w:tcPr>
          <w:p w14:paraId="3A373BF4" w14:textId="77777777" w:rsidR="00F154BC" w:rsidRDefault="00000000" w:rsidP="00725029">
            <w:pPr>
              <w:rPr>
                <w:rFonts w:ascii="Arial" w:eastAsia="Times New Roman" w:hAnsi="Arial" w:cs="Arial"/>
                <w:color w:val="000000"/>
              </w:rPr>
            </w:pPr>
            <w:r>
              <w:rPr>
                <w:rFonts w:ascii="Arial" w:eastAsia="Times New Roman" w:hAnsi="Arial" w:cs="Arial"/>
                <w:color w:val="000000"/>
              </w:rPr>
              <w:t>Daily</w:t>
            </w:r>
          </w:p>
        </w:tc>
        <w:tc>
          <w:tcPr>
            <w:tcW w:w="700" w:type="pct"/>
            <w:vAlign w:val="bottom"/>
            <w:hideMark/>
          </w:tcPr>
          <w:p w14:paraId="7403C360" w14:textId="77777777" w:rsidR="00F154BC" w:rsidRDefault="00000000" w:rsidP="00725029">
            <w:pPr>
              <w:rPr>
                <w:rFonts w:ascii="Arial" w:eastAsia="Times New Roman" w:hAnsi="Arial" w:cs="Arial"/>
                <w:color w:val="000000"/>
              </w:rPr>
            </w:pPr>
            <w:r>
              <w:rPr>
                <w:rFonts w:ascii="Arial" w:eastAsia="Times New Roman" w:hAnsi="Arial" w:cs="Arial"/>
                <w:color w:val="000000"/>
              </w:rPr>
              <w:t>Monthly</w:t>
            </w:r>
          </w:p>
        </w:tc>
        <w:tc>
          <w:tcPr>
            <w:tcW w:w="700" w:type="pct"/>
            <w:vAlign w:val="bottom"/>
            <w:hideMark/>
          </w:tcPr>
          <w:p w14:paraId="4F6B29E4" w14:textId="77777777" w:rsidR="00F154BC" w:rsidRDefault="00000000" w:rsidP="00725029">
            <w:pPr>
              <w:rPr>
                <w:rFonts w:ascii="Arial" w:eastAsia="Times New Roman" w:hAnsi="Arial" w:cs="Arial"/>
                <w:color w:val="000000"/>
              </w:rPr>
            </w:pPr>
            <w:r>
              <w:rPr>
                <w:rFonts w:ascii="Arial" w:eastAsia="Times New Roman" w:hAnsi="Arial" w:cs="Arial"/>
                <w:color w:val="000000"/>
              </w:rPr>
              <w:t>Quarterly</w:t>
            </w:r>
          </w:p>
        </w:tc>
        <w:tc>
          <w:tcPr>
            <w:tcW w:w="700" w:type="pct"/>
            <w:vAlign w:val="bottom"/>
            <w:hideMark/>
          </w:tcPr>
          <w:p w14:paraId="5D32FEF2" w14:textId="77777777" w:rsidR="00F154BC" w:rsidRDefault="00000000" w:rsidP="00725029">
            <w:pPr>
              <w:rPr>
                <w:rFonts w:ascii="Arial" w:eastAsia="Times New Roman" w:hAnsi="Arial" w:cs="Arial"/>
                <w:color w:val="000000"/>
              </w:rPr>
            </w:pPr>
            <w:r>
              <w:rPr>
                <w:rFonts w:ascii="Arial" w:eastAsia="Times New Roman" w:hAnsi="Arial" w:cs="Arial"/>
                <w:color w:val="000000"/>
              </w:rPr>
              <w:t>Yearly</w:t>
            </w:r>
          </w:p>
        </w:tc>
        <w:tc>
          <w:tcPr>
            <w:tcW w:w="700" w:type="pct"/>
            <w:vAlign w:val="bottom"/>
            <w:hideMark/>
          </w:tcPr>
          <w:p w14:paraId="086B7211" w14:textId="7BA816A6" w:rsidR="00F154BC" w:rsidRDefault="00000000" w:rsidP="00725029">
            <w:pPr>
              <w:rPr>
                <w:rFonts w:ascii="Arial" w:eastAsia="Times New Roman" w:hAnsi="Arial" w:cs="Arial"/>
                <w:color w:val="000000"/>
              </w:rPr>
            </w:pPr>
            <w:r>
              <w:rPr>
                <w:rFonts w:ascii="Arial" w:eastAsia="Times New Roman" w:hAnsi="Arial" w:cs="Arial"/>
                <w:color w:val="000000"/>
              </w:rPr>
              <w:t xml:space="preserve">Another </w:t>
            </w:r>
            <w:proofErr w:type="gramStart"/>
            <w:r>
              <w:rPr>
                <w:rFonts w:ascii="Arial" w:eastAsia="Times New Roman" w:hAnsi="Arial" w:cs="Arial"/>
                <w:color w:val="000000"/>
              </w:rPr>
              <w:t>time period</w:t>
            </w:r>
            <w:proofErr w:type="gramEnd"/>
          </w:p>
        </w:tc>
      </w:tr>
      <w:tr w:rsidR="00F154BC" w14:paraId="1027CC31" w14:textId="77777777">
        <w:trPr>
          <w:divId w:val="460999282"/>
          <w:trHeight w:val="225"/>
          <w:tblCellSpacing w:w="12" w:type="dxa"/>
        </w:trPr>
        <w:tc>
          <w:tcPr>
            <w:tcW w:w="0" w:type="auto"/>
            <w:vAlign w:val="center"/>
            <w:hideMark/>
          </w:tcPr>
          <w:p w14:paraId="33535D87" w14:textId="142CB0AF" w:rsidR="00F154BC" w:rsidRDefault="00000000">
            <w:pPr>
              <w:rPr>
                <w:rFonts w:ascii="Arial" w:eastAsia="Times New Roman" w:hAnsi="Arial" w:cs="Arial"/>
                <w:color w:val="000000"/>
              </w:rPr>
            </w:pPr>
            <w:r>
              <w:rPr>
                <w:rFonts w:ascii="Arial" w:eastAsia="Times New Roman" w:hAnsi="Arial" w:cs="Arial"/>
                <w:color w:val="000000"/>
              </w:rPr>
              <w:t>assessment period</w:t>
            </w:r>
          </w:p>
        </w:tc>
        <w:tc>
          <w:tcPr>
            <w:tcW w:w="225" w:type="dxa"/>
            <w:tcMar>
              <w:top w:w="75" w:type="dxa"/>
              <w:left w:w="75" w:type="dxa"/>
              <w:bottom w:w="75" w:type="dxa"/>
              <w:right w:w="75" w:type="dxa"/>
            </w:tcMar>
            <w:hideMark/>
          </w:tcPr>
          <w:p w14:paraId="2037CD1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7C415BF"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882F5CF"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31CF398"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8B9EF8C"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r>
      <w:tr w:rsidR="00F154BC" w14:paraId="2F6F81D2" w14:textId="77777777">
        <w:trPr>
          <w:divId w:val="460999282"/>
          <w:trHeight w:val="225"/>
          <w:tblCellSpacing w:w="12" w:type="dxa"/>
        </w:trPr>
        <w:tc>
          <w:tcPr>
            <w:tcW w:w="0" w:type="auto"/>
            <w:vAlign w:val="center"/>
            <w:hideMark/>
          </w:tcPr>
          <w:p w14:paraId="61D130DE" w14:textId="0D7749B4" w:rsidR="00F154BC" w:rsidRDefault="00000000">
            <w:pPr>
              <w:rPr>
                <w:rFonts w:ascii="Arial" w:eastAsia="Times New Roman" w:hAnsi="Arial" w:cs="Arial"/>
                <w:color w:val="000000"/>
              </w:rPr>
            </w:pPr>
            <w:r>
              <w:rPr>
                <w:rFonts w:ascii="Arial" w:eastAsia="Times New Roman" w:hAnsi="Arial" w:cs="Arial"/>
                <w:color w:val="000000"/>
              </w:rPr>
              <w:t xml:space="preserve">collection cycle </w:t>
            </w:r>
          </w:p>
        </w:tc>
        <w:tc>
          <w:tcPr>
            <w:tcW w:w="225" w:type="dxa"/>
            <w:tcMar>
              <w:top w:w="75" w:type="dxa"/>
              <w:left w:w="75" w:type="dxa"/>
              <w:bottom w:w="75" w:type="dxa"/>
              <w:right w:w="75" w:type="dxa"/>
            </w:tcMar>
            <w:hideMark/>
          </w:tcPr>
          <w:p w14:paraId="314C8FE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139C0A0"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F9F91F0"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7AE9FE5"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138E9D5"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63D42F6D" w14:textId="77777777" w:rsidR="00F154BC" w:rsidRDefault="00000000">
      <w:pPr>
        <w:textAlignment w:val="top"/>
        <w:divId w:val="843013983"/>
        <w:rPr>
          <w:rFonts w:ascii="Arial" w:eastAsia="Times New Roman" w:hAnsi="Arial" w:cs="Arial"/>
          <w:color w:val="000000"/>
        </w:rPr>
      </w:pPr>
      <w:r>
        <w:rPr>
          <w:rFonts w:ascii="Arial" w:eastAsia="Times New Roman" w:hAnsi="Arial" w:cs="Arial"/>
          <w:color w:val="000000"/>
        </w:rPr>
        <w:t>If another time what add what time amount:</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F154BC" w14:paraId="65F19258" w14:textId="77777777">
        <w:trPr>
          <w:divId w:val="460999282"/>
          <w:trHeight w:val="1875"/>
          <w:tblCellSpacing w:w="15" w:type="dxa"/>
        </w:trPr>
        <w:tc>
          <w:tcPr>
            <w:tcW w:w="5000" w:type="pct"/>
            <w:vAlign w:val="center"/>
            <w:hideMark/>
          </w:tcPr>
          <w:p w14:paraId="5E2C5624"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F88300D" w14:textId="1BA578A1" w:rsidR="00F154BC" w:rsidRDefault="00000000">
      <w:pPr>
        <w:rPr>
          <w:rFonts w:ascii="Arial" w:eastAsia="Times New Roman" w:hAnsi="Arial" w:cs="Arial"/>
          <w:color w:val="000000"/>
        </w:rPr>
      </w:pPr>
      <w:r>
        <w:rPr>
          <w:rFonts w:ascii="Arial" w:eastAsia="Times New Roman" w:hAnsi="Arial" w:cs="Arial"/>
          <w:color w:val="000000"/>
        </w:rPr>
        <w:br/>
      </w:r>
      <w:r w:rsidR="00725029">
        <w:rPr>
          <w:rFonts w:ascii="Arial" w:eastAsia="Times New Roman" w:hAnsi="Arial" w:cs="Arial"/>
          <w:color w:val="000000"/>
        </w:rPr>
        <w:t>[No go to ‘</w:t>
      </w:r>
      <w:r w:rsidR="00725029" w:rsidRPr="00725029">
        <w:rPr>
          <w:rFonts w:ascii="Arial" w:eastAsia="Times New Roman" w:hAnsi="Arial" w:cs="Arial"/>
          <w:color w:val="000000"/>
        </w:rPr>
        <w:t>Sequencing of assessment, collection and billing periods</w:t>
      </w:r>
      <w:r w:rsidR="00725029">
        <w:rPr>
          <w:rFonts w:ascii="Arial" w:eastAsia="Times New Roman" w:hAnsi="Arial" w:cs="Arial"/>
          <w:color w:val="000000"/>
        </w:rPr>
        <w:t>’]</w:t>
      </w:r>
      <w:r>
        <w:rPr>
          <w:rFonts w:ascii="Arial" w:eastAsia="Times New Roman" w:hAnsi="Arial" w:cs="Arial"/>
          <w:color w:val="000000"/>
        </w:rPr>
        <w:br w:type="page"/>
      </w:r>
    </w:p>
    <w:p w14:paraId="26A86D1E"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Frequency options</w:t>
      </w:r>
    </w:p>
    <w:p w14:paraId="266EDE42" w14:textId="77777777" w:rsidR="00F154BC" w:rsidRDefault="00000000">
      <w:pPr>
        <w:pStyle w:val="Heading3"/>
        <w:divId w:val="553156497"/>
        <w:rPr>
          <w:rFonts w:ascii="Arial" w:eastAsia="Times New Roman" w:hAnsi="Arial" w:cs="Arial"/>
          <w:color w:val="000000"/>
        </w:rPr>
      </w:pPr>
      <w:r>
        <w:rPr>
          <w:rStyle w:val="question-number"/>
          <w:rFonts w:ascii="Arial" w:eastAsia="Times New Roman" w:hAnsi="Arial" w:cs="Arial"/>
          <w:color w:val="000000"/>
        </w:rPr>
        <w:t>19.</w:t>
      </w:r>
      <w:r>
        <w:rPr>
          <w:rFonts w:ascii="Arial" w:eastAsia="Times New Roman" w:hAnsi="Arial" w:cs="Arial"/>
          <w:color w:val="000000"/>
        </w:rPr>
        <w:t xml:space="preserve"> In your view which assessment period and collection cycle frequency do you think is the most appropriate for the aviation fuel supplier levy?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600"/>
      </w:tblGrid>
      <w:tr w:rsidR="00F154BC" w14:paraId="04792794" w14:textId="77777777">
        <w:trPr>
          <w:divId w:val="553156497"/>
          <w:trHeight w:val="225"/>
          <w:tblCellSpacing w:w="12" w:type="dxa"/>
        </w:trPr>
        <w:tc>
          <w:tcPr>
            <w:tcW w:w="225" w:type="dxa"/>
            <w:tcMar>
              <w:top w:w="75" w:type="dxa"/>
              <w:left w:w="75" w:type="dxa"/>
              <w:bottom w:w="75" w:type="dxa"/>
              <w:right w:w="75" w:type="dxa"/>
            </w:tcMar>
            <w:hideMark/>
          </w:tcPr>
          <w:p w14:paraId="065152F6"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8E857B1" w14:textId="77777777" w:rsidR="00F154BC" w:rsidRDefault="00000000">
            <w:pPr>
              <w:rPr>
                <w:rFonts w:ascii="Arial" w:eastAsia="Times New Roman" w:hAnsi="Arial" w:cs="Arial"/>
                <w:color w:val="000000"/>
              </w:rPr>
            </w:pPr>
            <w:r>
              <w:rPr>
                <w:rFonts w:ascii="Arial" w:eastAsia="Times New Roman" w:hAnsi="Arial" w:cs="Arial"/>
                <w:color w:val="000000"/>
              </w:rPr>
              <w:t>Daily</w:t>
            </w:r>
          </w:p>
        </w:tc>
      </w:tr>
      <w:tr w:rsidR="00F154BC" w14:paraId="43300B8B" w14:textId="77777777">
        <w:trPr>
          <w:divId w:val="553156497"/>
          <w:trHeight w:val="225"/>
          <w:tblCellSpacing w:w="12" w:type="dxa"/>
        </w:trPr>
        <w:tc>
          <w:tcPr>
            <w:tcW w:w="225" w:type="dxa"/>
            <w:tcMar>
              <w:top w:w="75" w:type="dxa"/>
              <w:left w:w="75" w:type="dxa"/>
              <w:bottom w:w="75" w:type="dxa"/>
              <w:right w:w="75" w:type="dxa"/>
            </w:tcMar>
            <w:hideMark/>
          </w:tcPr>
          <w:p w14:paraId="36EFF910"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F32994E" w14:textId="77777777" w:rsidR="00F154BC" w:rsidRDefault="00000000">
            <w:pPr>
              <w:rPr>
                <w:rFonts w:ascii="Arial" w:eastAsia="Times New Roman" w:hAnsi="Arial" w:cs="Arial"/>
                <w:color w:val="000000"/>
              </w:rPr>
            </w:pPr>
            <w:r>
              <w:rPr>
                <w:rFonts w:ascii="Arial" w:eastAsia="Times New Roman" w:hAnsi="Arial" w:cs="Arial"/>
                <w:color w:val="000000"/>
              </w:rPr>
              <w:t>Monthly</w:t>
            </w:r>
          </w:p>
        </w:tc>
      </w:tr>
      <w:tr w:rsidR="00F154BC" w14:paraId="2C75EA5B" w14:textId="77777777">
        <w:trPr>
          <w:divId w:val="553156497"/>
          <w:trHeight w:val="225"/>
          <w:tblCellSpacing w:w="12" w:type="dxa"/>
        </w:trPr>
        <w:tc>
          <w:tcPr>
            <w:tcW w:w="225" w:type="dxa"/>
            <w:tcMar>
              <w:top w:w="75" w:type="dxa"/>
              <w:left w:w="75" w:type="dxa"/>
              <w:bottom w:w="75" w:type="dxa"/>
              <w:right w:w="75" w:type="dxa"/>
            </w:tcMar>
            <w:hideMark/>
          </w:tcPr>
          <w:p w14:paraId="2537B4E8"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523E0DA" w14:textId="77777777" w:rsidR="00F154BC" w:rsidRDefault="00000000">
            <w:pPr>
              <w:rPr>
                <w:rFonts w:ascii="Arial" w:eastAsia="Times New Roman" w:hAnsi="Arial" w:cs="Arial"/>
                <w:color w:val="000000"/>
              </w:rPr>
            </w:pPr>
            <w:r>
              <w:rPr>
                <w:rFonts w:ascii="Arial" w:eastAsia="Times New Roman" w:hAnsi="Arial" w:cs="Arial"/>
                <w:color w:val="000000"/>
              </w:rPr>
              <w:t>Quarterly</w:t>
            </w:r>
          </w:p>
        </w:tc>
      </w:tr>
      <w:tr w:rsidR="00F154BC" w14:paraId="6BFEFB2C" w14:textId="77777777">
        <w:trPr>
          <w:divId w:val="553156497"/>
          <w:trHeight w:val="225"/>
          <w:tblCellSpacing w:w="12" w:type="dxa"/>
        </w:trPr>
        <w:tc>
          <w:tcPr>
            <w:tcW w:w="225" w:type="dxa"/>
            <w:tcMar>
              <w:top w:w="75" w:type="dxa"/>
              <w:left w:w="75" w:type="dxa"/>
              <w:bottom w:w="75" w:type="dxa"/>
              <w:right w:w="75" w:type="dxa"/>
            </w:tcMar>
            <w:hideMark/>
          </w:tcPr>
          <w:p w14:paraId="42AC72C2"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CBB642D" w14:textId="77777777" w:rsidR="00F154BC" w:rsidRDefault="00000000">
            <w:pPr>
              <w:rPr>
                <w:rFonts w:ascii="Arial" w:eastAsia="Times New Roman" w:hAnsi="Arial" w:cs="Arial"/>
                <w:color w:val="000000"/>
              </w:rPr>
            </w:pPr>
            <w:r>
              <w:rPr>
                <w:rFonts w:ascii="Arial" w:eastAsia="Times New Roman" w:hAnsi="Arial" w:cs="Arial"/>
                <w:color w:val="000000"/>
              </w:rPr>
              <w:t>Yearly</w:t>
            </w:r>
          </w:p>
        </w:tc>
      </w:tr>
      <w:tr w:rsidR="00F154BC" w14:paraId="43CC521A" w14:textId="77777777">
        <w:trPr>
          <w:divId w:val="553156497"/>
          <w:trHeight w:val="225"/>
          <w:tblCellSpacing w:w="12" w:type="dxa"/>
        </w:trPr>
        <w:tc>
          <w:tcPr>
            <w:tcW w:w="225" w:type="dxa"/>
            <w:tcMar>
              <w:top w:w="75" w:type="dxa"/>
              <w:left w:w="75" w:type="dxa"/>
              <w:bottom w:w="75" w:type="dxa"/>
              <w:right w:w="75" w:type="dxa"/>
            </w:tcMar>
            <w:hideMark/>
          </w:tcPr>
          <w:p w14:paraId="2FF6A552"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243108A4" w14:textId="77777777" w:rsidR="00F154BC" w:rsidRDefault="00000000">
            <w:pPr>
              <w:textAlignment w:val="top"/>
              <w:divId w:val="471139457"/>
              <w:rPr>
                <w:rFonts w:ascii="Arial" w:eastAsia="Times New Roman" w:hAnsi="Arial" w:cs="Arial"/>
                <w:color w:val="000000"/>
              </w:rPr>
            </w:pPr>
            <w:r>
              <w:rPr>
                <w:rFonts w:ascii="Arial" w:eastAsia="Times New Roman" w:hAnsi="Arial" w:cs="Arial"/>
                <w:color w:val="000000"/>
              </w:rPr>
              <w:t xml:space="preserve">Another </w:t>
            </w:r>
            <w:proofErr w:type="gramStart"/>
            <w:r>
              <w:rPr>
                <w:rFonts w:ascii="Arial" w:eastAsia="Times New Roman" w:hAnsi="Arial" w:cs="Arial"/>
                <w:color w:val="000000"/>
              </w:rPr>
              <w:t>time period</w:t>
            </w:r>
            <w:proofErr w:type="gramEnd"/>
            <w:r>
              <w:rPr>
                <w:rFonts w:ascii="Arial" w:eastAsia="Times New Roman" w:hAnsi="Arial" w:cs="Arial"/>
                <w:color w:val="000000"/>
              </w:rPr>
              <w:t>:</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F154BC" w14:paraId="19B56DC8" w14:textId="77777777">
              <w:trPr>
                <w:tblCellSpacing w:w="15" w:type="dxa"/>
              </w:trPr>
              <w:tc>
                <w:tcPr>
                  <w:tcW w:w="0" w:type="auto"/>
                  <w:vAlign w:val="center"/>
                  <w:hideMark/>
                </w:tcPr>
                <w:p w14:paraId="08254ADB" w14:textId="77777777" w:rsidR="00F154BC" w:rsidRDefault="00000000">
                  <w:pPr>
                    <w:rPr>
                      <w:rFonts w:ascii="Arial" w:eastAsia="Times New Roman" w:hAnsi="Arial" w:cs="Arial"/>
                      <w:color w:val="000000"/>
                    </w:rPr>
                  </w:pPr>
                  <w:r>
                    <w:rPr>
                      <w:rFonts w:ascii="Arial" w:eastAsia="Times New Roman" w:hAnsi="Arial" w:cs="Arial"/>
                      <w:color w:val="000000"/>
                    </w:rPr>
                    <w:t> </w:t>
                  </w:r>
                </w:p>
              </w:tc>
            </w:tr>
          </w:tbl>
          <w:p w14:paraId="60414A4D" w14:textId="77777777" w:rsidR="00F154BC" w:rsidRDefault="00F154BC">
            <w:pPr>
              <w:rPr>
                <w:rFonts w:ascii="Arial" w:eastAsia="Times New Roman" w:hAnsi="Arial" w:cs="Arial"/>
                <w:color w:val="000000"/>
              </w:rPr>
            </w:pPr>
          </w:p>
        </w:tc>
      </w:tr>
    </w:tbl>
    <w:p w14:paraId="10767907"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C0DC342"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Frequency reasoning</w:t>
      </w:r>
    </w:p>
    <w:p w14:paraId="270879EB" w14:textId="77777777" w:rsidR="00F154BC" w:rsidRDefault="00000000">
      <w:pPr>
        <w:pStyle w:val="Heading3"/>
        <w:divId w:val="1296718008"/>
        <w:rPr>
          <w:rFonts w:ascii="Arial" w:eastAsia="Times New Roman" w:hAnsi="Arial" w:cs="Arial"/>
          <w:color w:val="000000"/>
        </w:rPr>
      </w:pPr>
      <w:r>
        <w:rPr>
          <w:rStyle w:val="question-number"/>
          <w:rFonts w:ascii="Arial" w:eastAsia="Times New Roman" w:hAnsi="Arial" w:cs="Arial"/>
          <w:color w:val="000000"/>
        </w:rPr>
        <w:t>20.</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4147DEDC" w14:textId="77777777">
        <w:trPr>
          <w:divId w:val="1296718008"/>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49A03339" w14:textId="77777777" w:rsidTr="00725029">
              <w:trPr>
                <w:trHeight w:val="1875"/>
                <w:tblCellSpacing w:w="15" w:type="dxa"/>
              </w:trPr>
              <w:tc>
                <w:tcPr>
                  <w:tcW w:w="8673" w:type="dxa"/>
                  <w:vAlign w:val="center"/>
                  <w:hideMark/>
                </w:tcPr>
                <w:p w14:paraId="0B39F607"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1D9F2E4" w14:textId="77777777" w:rsidR="00F154BC" w:rsidRDefault="00F154BC">
            <w:pPr>
              <w:rPr>
                <w:rFonts w:ascii="Arial" w:eastAsia="Times New Roman" w:hAnsi="Arial" w:cs="Arial"/>
                <w:color w:val="000000"/>
              </w:rPr>
            </w:pPr>
          </w:p>
        </w:tc>
      </w:tr>
    </w:tbl>
    <w:p w14:paraId="7D3D6314"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70EE935"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Sequencing of assessment, collection and billing periods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4F53AE65" w14:textId="77777777">
        <w:trPr>
          <w:divId w:val="340662432"/>
          <w:tblCellSpacing w:w="12" w:type="dxa"/>
        </w:trPr>
        <w:tc>
          <w:tcPr>
            <w:tcW w:w="0" w:type="auto"/>
            <w:vAlign w:val="center"/>
            <w:hideMark/>
          </w:tcPr>
          <w:p w14:paraId="5215624E" w14:textId="77777777" w:rsidR="00F154BC" w:rsidRDefault="00000000">
            <w:pPr>
              <w:pStyle w:val="NormalWeb"/>
              <w:divId w:val="1985115132"/>
              <w:rPr>
                <w:rFonts w:ascii="Arial" w:hAnsi="Arial" w:cs="Arial"/>
                <w:color w:val="000000"/>
              </w:rPr>
            </w:pPr>
            <w:r>
              <w:rPr>
                <w:rFonts w:ascii="Arial" w:hAnsi="Arial" w:cs="Arial"/>
                <w:color w:val="000000"/>
              </w:rPr>
              <w:t>This consultation provides 2 options for the sequencing of assessment, collection and billing periods. These are: </w:t>
            </w:r>
          </w:p>
          <w:p w14:paraId="19693230" w14:textId="77777777" w:rsidR="00F154BC" w:rsidRDefault="00000000">
            <w:pPr>
              <w:numPr>
                <w:ilvl w:val="0"/>
                <w:numId w:val="3"/>
              </w:numPr>
              <w:spacing w:before="100" w:beforeAutospacing="1" w:after="100" w:afterAutospacing="1"/>
              <w:divId w:val="1985115132"/>
              <w:rPr>
                <w:rFonts w:ascii="Arial" w:eastAsia="Times New Roman" w:hAnsi="Arial" w:cs="Arial"/>
                <w:color w:val="000000"/>
              </w:rPr>
            </w:pPr>
            <w:r>
              <w:rPr>
                <w:rFonts w:ascii="Arial" w:eastAsia="Times New Roman" w:hAnsi="Arial" w:cs="Arial"/>
                <w:color w:val="000000"/>
              </w:rPr>
              <w:t>aligned approach, where the assessment period matches the billing period</w:t>
            </w:r>
          </w:p>
          <w:p w14:paraId="73B72BD5" w14:textId="77777777" w:rsidR="00F154BC" w:rsidRDefault="00000000">
            <w:pPr>
              <w:numPr>
                <w:ilvl w:val="0"/>
                <w:numId w:val="3"/>
              </w:numPr>
              <w:spacing w:before="100" w:beforeAutospacing="1" w:after="100" w:afterAutospacing="1"/>
              <w:divId w:val="1985115132"/>
              <w:rPr>
                <w:rFonts w:ascii="Arial" w:eastAsia="Times New Roman" w:hAnsi="Arial" w:cs="Arial"/>
                <w:color w:val="000000"/>
              </w:rPr>
            </w:pPr>
            <w:r>
              <w:rPr>
                <w:rFonts w:ascii="Arial" w:eastAsia="Times New Roman" w:hAnsi="Arial" w:cs="Arial"/>
                <w:color w:val="000000"/>
              </w:rPr>
              <w:t>lagged approach, where the assessment period precedes the billing period</w:t>
            </w:r>
          </w:p>
          <w:p w14:paraId="551986C2" w14:textId="77777777" w:rsidR="00F154BC" w:rsidRDefault="00F154BC" w:rsidP="00725029">
            <w:pPr>
              <w:spacing w:before="100" w:beforeAutospacing="1" w:after="100" w:afterAutospacing="1"/>
              <w:ind w:left="720"/>
              <w:rPr>
                <w:rFonts w:ascii="Arial" w:eastAsia="Times New Roman" w:hAnsi="Arial" w:cs="Arial"/>
                <w:color w:val="000000"/>
              </w:rPr>
            </w:pPr>
          </w:p>
        </w:tc>
      </w:tr>
    </w:tbl>
    <w:p w14:paraId="58564470" w14:textId="77777777" w:rsidR="00F154BC" w:rsidRDefault="00000000">
      <w:pPr>
        <w:pStyle w:val="Heading3"/>
        <w:divId w:val="1516767205"/>
        <w:rPr>
          <w:rFonts w:ascii="Arial" w:eastAsia="Times New Roman" w:hAnsi="Arial" w:cs="Arial"/>
          <w:color w:val="000000"/>
        </w:rPr>
      </w:pPr>
      <w:r>
        <w:rPr>
          <w:rStyle w:val="question-number"/>
          <w:rFonts w:ascii="Arial" w:eastAsia="Times New Roman" w:hAnsi="Arial" w:cs="Arial"/>
          <w:color w:val="000000"/>
        </w:rPr>
        <w:t>21.</w:t>
      </w:r>
      <w:r>
        <w:rPr>
          <w:rFonts w:ascii="Arial" w:eastAsia="Times New Roman" w:hAnsi="Arial" w:cs="Arial"/>
          <w:color w:val="000000"/>
        </w:rPr>
        <w:t xml:space="preserve"> Which approach would you prefer for the sequencing of the assessment, collection and billing periods?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600"/>
      </w:tblGrid>
      <w:tr w:rsidR="00F154BC" w14:paraId="01AD58B9" w14:textId="77777777">
        <w:trPr>
          <w:divId w:val="1516767205"/>
          <w:trHeight w:val="225"/>
          <w:tblCellSpacing w:w="12" w:type="dxa"/>
        </w:trPr>
        <w:tc>
          <w:tcPr>
            <w:tcW w:w="225" w:type="dxa"/>
            <w:tcMar>
              <w:top w:w="75" w:type="dxa"/>
              <w:left w:w="75" w:type="dxa"/>
              <w:bottom w:w="75" w:type="dxa"/>
              <w:right w:w="75" w:type="dxa"/>
            </w:tcMar>
            <w:hideMark/>
          </w:tcPr>
          <w:p w14:paraId="008C5E2C"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4057D87" w14:textId="77777777" w:rsidR="00F154BC" w:rsidRDefault="00000000">
            <w:pPr>
              <w:rPr>
                <w:rFonts w:ascii="Arial" w:eastAsia="Times New Roman" w:hAnsi="Arial" w:cs="Arial"/>
                <w:color w:val="000000"/>
              </w:rPr>
            </w:pPr>
            <w:r>
              <w:rPr>
                <w:rFonts w:ascii="Arial" w:eastAsia="Times New Roman" w:hAnsi="Arial" w:cs="Arial"/>
                <w:color w:val="000000"/>
              </w:rPr>
              <w:t>Aligned approach</w:t>
            </w:r>
          </w:p>
        </w:tc>
      </w:tr>
      <w:tr w:rsidR="00F154BC" w14:paraId="7D8C71B2" w14:textId="77777777">
        <w:trPr>
          <w:divId w:val="1516767205"/>
          <w:trHeight w:val="225"/>
          <w:tblCellSpacing w:w="12" w:type="dxa"/>
        </w:trPr>
        <w:tc>
          <w:tcPr>
            <w:tcW w:w="225" w:type="dxa"/>
            <w:tcMar>
              <w:top w:w="75" w:type="dxa"/>
              <w:left w:w="75" w:type="dxa"/>
              <w:bottom w:w="75" w:type="dxa"/>
              <w:right w:w="75" w:type="dxa"/>
            </w:tcMar>
            <w:hideMark/>
          </w:tcPr>
          <w:p w14:paraId="7231646B"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BE64FB3" w14:textId="77777777" w:rsidR="00F154BC" w:rsidRDefault="00000000">
            <w:pPr>
              <w:rPr>
                <w:rFonts w:ascii="Arial" w:eastAsia="Times New Roman" w:hAnsi="Arial" w:cs="Arial"/>
                <w:color w:val="000000"/>
              </w:rPr>
            </w:pPr>
            <w:r>
              <w:rPr>
                <w:rFonts w:ascii="Arial" w:eastAsia="Times New Roman" w:hAnsi="Arial" w:cs="Arial"/>
                <w:color w:val="000000"/>
              </w:rPr>
              <w:t>Lagged approach</w:t>
            </w:r>
          </w:p>
        </w:tc>
      </w:tr>
      <w:tr w:rsidR="00F154BC" w14:paraId="6F14841C" w14:textId="77777777">
        <w:trPr>
          <w:divId w:val="1516767205"/>
          <w:trHeight w:val="225"/>
          <w:tblCellSpacing w:w="12" w:type="dxa"/>
        </w:trPr>
        <w:tc>
          <w:tcPr>
            <w:tcW w:w="225" w:type="dxa"/>
            <w:tcMar>
              <w:top w:w="75" w:type="dxa"/>
              <w:left w:w="75" w:type="dxa"/>
              <w:bottom w:w="75" w:type="dxa"/>
              <w:right w:w="75" w:type="dxa"/>
            </w:tcMar>
            <w:hideMark/>
          </w:tcPr>
          <w:p w14:paraId="0FF2BA9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6DEE0A19" w14:textId="77777777" w:rsidR="00F154BC" w:rsidRDefault="00000000">
            <w:pPr>
              <w:textAlignment w:val="top"/>
              <w:divId w:val="1108935773"/>
              <w:rPr>
                <w:rFonts w:ascii="Arial" w:eastAsia="Times New Roman" w:hAnsi="Arial" w:cs="Arial"/>
                <w:color w:val="000000"/>
              </w:rPr>
            </w:pPr>
            <w:r>
              <w:rPr>
                <w:rFonts w:ascii="Arial" w:eastAsia="Times New Roman" w:hAnsi="Arial" w:cs="Arial"/>
                <w:color w:val="000000"/>
              </w:rPr>
              <w:t>Another approach:</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F154BC" w14:paraId="705BD8DA" w14:textId="77777777">
              <w:trPr>
                <w:tblCellSpacing w:w="15" w:type="dxa"/>
              </w:trPr>
              <w:tc>
                <w:tcPr>
                  <w:tcW w:w="0" w:type="auto"/>
                  <w:vAlign w:val="center"/>
                  <w:hideMark/>
                </w:tcPr>
                <w:p w14:paraId="600664F4" w14:textId="77777777" w:rsidR="00F154BC" w:rsidRDefault="00000000">
                  <w:pPr>
                    <w:rPr>
                      <w:rFonts w:ascii="Arial" w:eastAsia="Times New Roman" w:hAnsi="Arial" w:cs="Arial"/>
                      <w:color w:val="000000"/>
                    </w:rPr>
                  </w:pPr>
                  <w:r>
                    <w:rPr>
                      <w:rFonts w:ascii="Arial" w:eastAsia="Times New Roman" w:hAnsi="Arial" w:cs="Arial"/>
                      <w:color w:val="000000"/>
                    </w:rPr>
                    <w:t> </w:t>
                  </w:r>
                </w:p>
              </w:tc>
            </w:tr>
          </w:tbl>
          <w:p w14:paraId="0E9B18D6" w14:textId="77777777" w:rsidR="00F154BC" w:rsidRDefault="00F154BC">
            <w:pPr>
              <w:rPr>
                <w:rFonts w:ascii="Arial" w:eastAsia="Times New Roman" w:hAnsi="Arial" w:cs="Arial"/>
                <w:color w:val="000000"/>
              </w:rPr>
            </w:pPr>
          </w:p>
        </w:tc>
      </w:tr>
    </w:tbl>
    <w:p w14:paraId="011D131F"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37343EF"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Sequencing approach reasoning</w:t>
      </w:r>
    </w:p>
    <w:p w14:paraId="08020018" w14:textId="77777777" w:rsidR="00F154BC" w:rsidRDefault="00000000">
      <w:pPr>
        <w:pStyle w:val="Heading3"/>
        <w:divId w:val="1449078854"/>
        <w:rPr>
          <w:rFonts w:ascii="Arial" w:eastAsia="Times New Roman" w:hAnsi="Arial" w:cs="Arial"/>
          <w:color w:val="000000"/>
        </w:rPr>
      </w:pPr>
      <w:r>
        <w:rPr>
          <w:rStyle w:val="question-number"/>
          <w:rFonts w:ascii="Arial" w:eastAsia="Times New Roman" w:hAnsi="Arial" w:cs="Arial"/>
          <w:color w:val="000000"/>
        </w:rPr>
        <w:t>22.</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604D54C2" w14:textId="77777777">
        <w:trPr>
          <w:divId w:val="1449078854"/>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206979DD" w14:textId="77777777" w:rsidTr="00725029">
              <w:trPr>
                <w:trHeight w:val="1875"/>
                <w:tblCellSpacing w:w="15" w:type="dxa"/>
              </w:trPr>
              <w:tc>
                <w:tcPr>
                  <w:tcW w:w="8815" w:type="dxa"/>
                  <w:vAlign w:val="center"/>
                  <w:hideMark/>
                </w:tcPr>
                <w:p w14:paraId="4FCA569C"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974C8F0" w14:textId="77777777" w:rsidR="00F154BC" w:rsidRDefault="00F154BC">
            <w:pPr>
              <w:rPr>
                <w:rFonts w:ascii="Arial" w:eastAsia="Times New Roman" w:hAnsi="Arial" w:cs="Arial"/>
                <w:color w:val="000000"/>
              </w:rPr>
            </w:pPr>
          </w:p>
        </w:tc>
      </w:tr>
    </w:tbl>
    <w:p w14:paraId="11B991D0"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71B8B4B"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Settlement period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47213F2C" w14:textId="77777777">
        <w:trPr>
          <w:divId w:val="1179544704"/>
          <w:tblCellSpacing w:w="12" w:type="dxa"/>
        </w:trPr>
        <w:tc>
          <w:tcPr>
            <w:tcW w:w="0" w:type="auto"/>
            <w:vAlign w:val="center"/>
            <w:hideMark/>
          </w:tcPr>
          <w:p w14:paraId="16BB6E9A" w14:textId="77777777" w:rsidR="00F154BC" w:rsidRDefault="00000000">
            <w:pPr>
              <w:pStyle w:val="NormalWeb"/>
              <w:divId w:val="1997221269"/>
              <w:rPr>
                <w:rFonts w:ascii="Arial" w:hAnsi="Arial" w:cs="Arial"/>
                <w:color w:val="000000"/>
              </w:rPr>
            </w:pPr>
            <w:r>
              <w:rPr>
                <w:rFonts w:ascii="Arial" w:hAnsi="Arial" w:cs="Arial"/>
                <w:color w:val="000000"/>
              </w:rPr>
              <w:t>In both the aligned and lagged approach options a reconciliation exercise would start at the end of the billing period, to ensure that any over or under-collection is corrected and that individual levy contributions are accurate and fair. This is the stage where actuals are compared against forecasts used to calculate the interim levy contributions. The counterparty will reconcile a single billing period on a set frequency until the final settlement date. Similar schemes have final settlement dates of 18 to 36 months after the relevant billing period.</w:t>
            </w:r>
          </w:p>
          <w:p w14:paraId="2F8EBFD2" w14:textId="77777777" w:rsidR="00F154BC" w:rsidRDefault="00000000">
            <w:pPr>
              <w:pStyle w:val="NormalWeb"/>
              <w:divId w:val="1997221269"/>
              <w:rPr>
                <w:rFonts w:ascii="Arial" w:hAnsi="Arial" w:cs="Arial"/>
                <w:color w:val="000000"/>
              </w:rPr>
            </w:pPr>
            <w:r>
              <w:rPr>
                <w:rFonts w:ascii="Arial" w:hAnsi="Arial" w:cs="Arial"/>
                <w:color w:val="000000"/>
              </w:rPr>
              <w:t>We are proposing that the final settlement date for this scheme should be set within this range and longer than the maximum timeframe for amending reported aviation fuel volumes under the SAF Mandate.</w:t>
            </w:r>
          </w:p>
          <w:p w14:paraId="1261A5C5" w14:textId="77777777" w:rsidR="00F154BC" w:rsidRDefault="00F154BC">
            <w:pPr>
              <w:rPr>
                <w:rFonts w:ascii="Arial" w:hAnsi="Arial" w:cs="Arial"/>
                <w:color w:val="000000"/>
              </w:rPr>
            </w:pPr>
          </w:p>
        </w:tc>
      </w:tr>
    </w:tbl>
    <w:p w14:paraId="61815532" w14:textId="77777777" w:rsidR="00F154BC" w:rsidRDefault="00000000">
      <w:pPr>
        <w:pStyle w:val="Heading3"/>
        <w:divId w:val="1188256874"/>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What is your preferred position on the timeframe for the final settlement of a billing period reconciliation exercise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20"/>
      </w:tblGrid>
      <w:tr w:rsidR="00F154BC" w14:paraId="310FA8E1" w14:textId="77777777">
        <w:trPr>
          <w:divId w:val="1188256874"/>
          <w:tblCellSpacing w:w="12" w:type="dxa"/>
        </w:trPr>
        <w:tc>
          <w:tcPr>
            <w:tcW w:w="0" w:type="auto"/>
            <w:vAlign w:val="center"/>
            <w:hideMark/>
          </w:tcPr>
          <w:tbl>
            <w:tblPr>
              <w:tblW w:w="8308"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308"/>
            </w:tblGrid>
            <w:tr w:rsidR="00F154BC" w14:paraId="6FCCFEFE" w14:textId="77777777" w:rsidTr="00725029">
              <w:trPr>
                <w:trHeight w:val="1875"/>
                <w:tblCellSpacing w:w="15" w:type="dxa"/>
              </w:trPr>
              <w:tc>
                <w:tcPr>
                  <w:tcW w:w="8248" w:type="dxa"/>
                  <w:vAlign w:val="center"/>
                  <w:hideMark/>
                </w:tcPr>
                <w:p w14:paraId="39AE53AE"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65F4CBD" w14:textId="77777777" w:rsidR="00F154BC" w:rsidRDefault="00F154BC">
            <w:pPr>
              <w:rPr>
                <w:rFonts w:ascii="Arial" w:eastAsia="Times New Roman" w:hAnsi="Arial" w:cs="Arial"/>
                <w:color w:val="000000"/>
              </w:rPr>
            </w:pPr>
          </w:p>
        </w:tc>
      </w:tr>
    </w:tbl>
    <w:p w14:paraId="40CE9EBF"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1ACEB83"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Forecasting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4EA44910" w14:textId="77777777">
        <w:trPr>
          <w:divId w:val="543953724"/>
          <w:tblCellSpacing w:w="12" w:type="dxa"/>
        </w:trPr>
        <w:tc>
          <w:tcPr>
            <w:tcW w:w="0" w:type="auto"/>
            <w:vAlign w:val="center"/>
            <w:hideMark/>
          </w:tcPr>
          <w:p w14:paraId="71D3F088" w14:textId="77777777" w:rsidR="00F154BC" w:rsidRDefault="00000000">
            <w:pPr>
              <w:pStyle w:val="NormalWeb"/>
              <w:divId w:val="1894805573"/>
              <w:rPr>
                <w:rFonts w:ascii="Arial" w:hAnsi="Arial" w:cs="Arial"/>
                <w:color w:val="000000"/>
              </w:rPr>
            </w:pPr>
            <w:r>
              <w:rPr>
                <w:rFonts w:ascii="Arial" w:hAnsi="Arial" w:cs="Arial"/>
                <w:color w:val="000000"/>
              </w:rPr>
              <w:t>We are seeking views on the proposed publication of a rolling 12-month forecast, including publication of a “forecast levy rate” (expressed as pounds per litre), total scheme cost, total volume supplied, and total reserve amount.</w:t>
            </w:r>
          </w:p>
          <w:p w14:paraId="6ABF797B" w14:textId="77777777" w:rsidR="00F154BC" w:rsidRDefault="00F154BC">
            <w:pPr>
              <w:rPr>
                <w:rFonts w:ascii="Arial" w:hAnsi="Arial" w:cs="Arial"/>
                <w:color w:val="000000"/>
              </w:rPr>
            </w:pPr>
          </w:p>
        </w:tc>
      </w:tr>
    </w:tbl>
    <w:p w14:paraId="0F93BB70" w14:textId="77777777" w:rsidR="00F154BC" w:rsidRDefault="00000000">
      <w:pPr>
        <w:pStyle w:val="Heading3"/>
        <w:divId w:val="1604261628"/>
        <w:rPr>
          <w:rFonts w:ascii="Arial" w:eastAsia="Times New Roman" w:hAnsi="Arial" w:cs="Arial"/>
          <w:color w:val="000000"/>
        </w:rPr>
      </w:pPr>
      <w:r>
        <w:rPr>
          <w:rStyle w:val="question-number"/>
          <w:rFonts w:ascii="Arial" w:eastAsia="Times New Roman" w:hAnsi="Arial" w:cs="Arial"/>
          <w:color w:val="000000"/>
        </w:rPr>
        <w:t>24.</w:t>
      </w:r>
      <w:r>
        <w:rPr>
          <w:rFonts w:ascii="Arial" w:eastAsia="Times New Roman" w:hAnsi="Arial" w:cs="Arial"/>
          <w:color w:val="000000"/>
        </w:rPr>
        <w:t xml:space="preserve"> What types of decisions would your organisation use the forecast to support?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2D2F91A7" w14:textId="77777777">
        <w:trPr>
          <w:divId w:val="1604261628"/>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28CD5E72" w14:textId="77777777" w:rsidTr="00725029">
              <w:trPr>
                <w:trHeight w:val="1875"/>
                <w:tblCellSpacing w:w="15" w:type="dxa"/>
              </w:trPr>
              <w:tc>
                <w:tcPr>
                  <w:tcW w:w="8673" w:type="dxa"/>
                  <w:vAlign w:val="center"/>
                  <w:hideMark/>
                </w:tcPr>
                <w:p w14:paraId="318A7C40"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9AD01EB" w14:textId="77777777" w:rsidR="00F154BC" w:rsidRDefault="00F154BC">
            <w:pPr>
              <w:rPr>
                <w:rFonts w:ascii="Arial" w:eastAsia="Times New Roman" w:hAnsi="Arial" w:cs="Arial"/>
                <w:color w:val="000000"/>
              </w:rPr>
            </w:pPr>
          </w:p>
        </w:tc>
      </w:tr>
    </w:tbl>
    <w:p w14:paraId="14F3821F" w14:textId="77777777" w:rsidR="00F154BC" w:rsidRDefault="00000000">
      <w:pPr>
        <w:pStyle w:val="Heading3"/>
        <w:divId w:val="150603858"/>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Do you agree or disagree with the proposal to publish a rolling 12-month forecast?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599"/>
      </w:tblGrid>
      <w:tr w:rsidR="00F154BC" w14:paraId="4A52F052" w14:textId="77777777">
        <w:trPr>
          <w:divId w:val="150603858"/>
          <w:trHeight w:val="225"/>
          <w:tblCellSpacing w:w="12" w:type="dxa"/>
        </w:trPr>
        <w:tc>
          <w:tcPr>
            <w:tcW w:w="225" w:type="dxa"/>
            <w:tcMar>
              <w:top w:w="75" w:type="dxa"/>
              <w:left w:w="75" w:type="dxa"/>
              <w:bottom w:w="75" w:type="dxa"/>
              <w:right w:w="75" w:type="dxa"/>
            </w:tcMar>
            <w:hideMark/>
          </w:tcPr>
          <w:p w14:paraId="5CD3998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CB6C290" w14:textId="1BC6A02B" w:rsidR="00F154BC" w:rsidRDefault="00000000">
            <w:pPr>
              <w:rPr>
                <w:rFonts w:ascii="Arial" w:eastAsia="Times New Roman" w:hAnsi="Arial" w:cs="Arial"/>
                <w:color w:val="000000"/>
              </w:rPr>
            </w:pPr>
            <w:r>
              <w:rPr>
                <w:rFonts w:ascii="Arial" w:eastAsia="Times New Roman" w:hAnsi="Arial" w:cs="Arial"/>
                <w:color w:val="000000"/>
              </w:rPr>
              <w:t>Agree</w:t>
            </w:r>
            <w:r w:rsidR="00725029">
              <w:rPr>
                <w:rFonts w:ascii="Arial" w:eastAsia="Times New Roman" w:hAnsi="Arial" w:cs="Arial"/>
                <w:color w:val="000000"/>
              </w:rPr>
              <w:t xml:space="preserve"> (Go to ‘Content of forecasting’)</w:t>
            </w:r>
          </w:p>
        </w:tc>
      </w:tr>
      <w:tr w:rsidR="00F154BC" w14:paraId="22CD629E" w14:textId="77777777">
        <w:trPr>
          <w:divId w:val="150603858"/>
          <w:trHeight w:val="225"/>
          <w:tblCellSpacing w:w="12" w:type="dxa"/>
        </w:trPr>
        <w:tc>
          <w:tcPr>
            <w:tcW w:w="225" w:type="dxa"/>
            <w:tcMar>
              <w:top w:w="75" w:type="dxa"/>
              <w:left w:w="75" w:type="dxa"/>
              <w:bottom w:w="75" w:type="dxa"/>
              <w:right w:w="75" w:type="dxa"/>
            </w:tcMar>
            <w:hideMark/>
          </w:tcPr>
          <w:p w14:paraId="6ADA43B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265B494" w14:textId="77777777" w:rsidR="00F154BC" w:rsidRDefault="00000000">
            <w:pPr>
              <w:rPr>
                <w:rFonts w:ascii="Arial" w:eastAsia="Times New Roman" w:hAnsi="Arial" w:cs="Arial"/>
                <w:color w:val="000000"/>
              </w:rPr>
            </w:pPr>
            <w:r>
              <w:rPr>
                <w:rFonts w:ascii="Arial" w:eastAsia="Times New Roman" w:hAnsi="Arial" w:cs="Arial"/>
                <w:color w:val="000000"/>
              </w:rPr>
              <w:t>Disagree</w:t>
            </w:r>
          </w:p>
        </w:tc>
      </w:tr>
      <w:tr w:rsidR="00F154BC" w14:paraId="693CD54B" w14:textId="77777777">
        <w:trPr>
          <w:divId w:val="150603858"/>
          <w:trHeight w:val="225"/>
          <w:tblCellSpacing w:w="12" w:type="dxa"/>
        </w:trPr>
        <w:tc>
          <w:tcPr>
            <w:tcW w:w="225" w:type="dxa"/>
            <w:tcMar>
              <w:top w:w="75" w:type="dxa"/>
              <w:left w:w="75" w:type="dxa"/>
              <w:bottom w:w="75" w:type="dxa"/>
              <w:right w:w="75" w:type="dxa"/>
            </w:tcMar>
            <w:hideMark/>
          </w:tcPr>
          <w:p w14:paraId="3C4CFA80"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032D5B1" w14:textId="086FD51A" w:rsidR="00F154BC" w:rsidRDefault="00000000">
            <w:pPr>
              <w:rPr>
                <w:rFonts w:ascii="Arial" w:eastAsia="Times New Roman" w:hAnsi="Arial" w:cs="Arial"/>
                <w:color w:val="000000"/>
              </w:rPr>
            </w:pPr>
            <w:r>
              <w:rPr>
                <w:rFonts w:ascii="Arial" w:eastAsia="Times New Roman" w:hAnsi="Arial" w:cs="Arial"/>
                <w:color w:val="000000"/>
              </w:rPr>
              <w:t>Don't know</w:t>
            </w:r>
            <w:r w:rsidR="00725029">
              <w:rPr>
                <w:rFonts w:ascii="Arial" w:eastAsia="Times New Roman" w:hAnsi="Arial" w:cs="Arial"/>
                <w:color w:val="000000"/>
              </w:rPr>
              <w:t xml:space="preserve"> (Go to ‘Content of forecasting’)</w:t>
            </w:r>
          </w:p>
        </w:tc>
      </w:tr>
    </w:tbl>
    <w:p w14:paraId="5DCF90F6"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EF90AB9"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Against publication of rolling </w:t>
      </w:r>
      <w:proofErr w:type="gramStart"/>
      <w:r>
        <w:rPr>
          <w:rFonts w:ascii="Arial" w:eastAsia="Times New Roman" w:hAnsi="Arial" w:cs="Arial"/>
          <w:color w:val="FFFFFF"/>
        </w:rPr>
        <w:t>12 month</w:t>
      </w:r>
      <w:proofErr w:type="gramEnd"/>
      <w:r>
        <w:rPr>
          <w:rFonts w:ascii="Arial" w:eastAsia="Times New Roman" w:hAnsi="Arial" w:cs="Arial"/>
          <w:color w:val="FFFFFF"/>
        </w:rPr>
        <w:t xml:space="preserve"> forecast</w:t>
      </w:r>
    </w:p>
    <w:p w14:paraId="331D67D9" w14:textId="77777777" w:rsidR="00F154BC" w:rsidRDefault="00000000">
      <w:pPr>
        <w:pStyle w:val="Heading3"/>
        <w:divId w:val="402527174"/>
        <w:rPr>
          <w:rFonts w:ascii="Arial" w:eastAsia="Times New Roman" w:hAnsi="Arial" w:cs="Arial"/>
          <w:color w:val="000000"/>
        </w:rPr>
      </w:pPr>
      <w:r>
        <w:rPr>
          <w:rStyle w:val="question-number"/>
          <w:rFonts w:ascii="Arial" w:eastAsia="Times New Roman" w:hAnsi="Arial" w:cs="Arial"/>
          <w:color w:val="000000"/>
        </w:rPr>
        <w:t>26.</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744B25E0" w14:textId="77777777">
        <w:trPr>
          <w:divId w:val="402527174"/>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66606109" w14:textId="77777777" w:rsidTr="004A39E0">
              <w:trPr>
                <w:trHeight w:val="1875"/>
                <w:tblCellSpacing w:w="15" w:type="dxa"/>
              </w:trPr>
              <w:tc>
                <w:tcPr>
                  <w:tcW w:w="8815" w:type="dxa"/>
                  <w:vAlign w:val="center"/>
                  <w:hideMark/>
                </w:tcPr>
                <w:p w14:paraId="0A25C76D"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A777834" w14:textId="77777777" w:rsidR="00F154BC" w:rsidRDefault="00F154BC">
            <w:pPr>
              <w:rPr>
                <w:rFonts w:ascii="Arial" w:eastAsia="Times New Roman" w:hAnsi="Arial" w:cs="Arial"/>
                <w:color w:val="000000"/>
              </w:rPr>
            </w:pPr>
          </w:p>
        </w:tc>
      </w:tr>
    </w:tbl>
    <w:p w14:paraId="01F8EB0E"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55E221F"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Content of forecasting</w:t>
      </w:r>
    </w:p>
    <w:p w14:paraId="474FD548" w14:textId="77777777" w:rsidR="00F154BC" w:rsidRDefault="00000000">
      <w:pPr>
        <w:pStyle w:val="Heading3"/>
        <w:divId w:val="2100904045"/>
        <w:rPr>
          <w:rFonts w:ascii="Arial" w:eastAsia="Times New Roman" w:hAnsi="Arial" w:cs="Arial"/>
          <w:color w:val="000000"/>
        </w:rPr>
      </w:pPr>
      <w:r>
        <w:rPr>
          <w:rStyle w:val="question-number"/>
          <w:rFonts w:ascii="Arial" w:eastAsia="Times New Roman" w:hAnsi="Arial" w:cs="Arial"/>
          <w:color w:val="000000"/>
        </w:rPr>
        <w:t>27.</w:t>
      </w:r>
      <w:r>
        <w:rPr>
          <w:rFonts w:ascii="Arial" w:eastAsia="Times New Roman" w:hAnsi="Arial" w:cs="Arial"/>
          <w:color w:val="000000"/>
        </w:rPr>
        <w:t xml:space="preserve"> In your view how frequently should the forecast be updated to ensure it remains useful for your business planning needs?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3B97495B" w14:textId="77777777">
        <w:trPr>
          <w:divId w:val="2100904045"/>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4E9F9429" w14:textId="77777777" w:rsidTr="004A39E0">
              <w:trPr>
                <w:trHeight w:val="1875"/>
                <w:tblCellSpacing w:w="15" w:type="dxa"/>
              </w:trPr>
              <w:tc>
                <w:tcPr>
                  <w:tcW w:w="8673" w:type="dxa"/>
                  <w:vAlign w:val="center"/>
                  <w:hideMark/>
                </w:tcPr>
                <w:p w14:paraId="5CB609B7"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B03CB33" w14:textId="77777777" w:rsidR="00F154BC" w:rsidRDefault="00F154BC">
            <w:pPr>
              <w:rPr>
                <w:rFonts w:ascii="Arial" w:eastAsia="Times New Roman" w:hAnsi="Arial" w:cs="Arial"/>
                <w:color w:val="000000"/>
              </w:rPr>
            </w:pPr>
          </w:p>
        </w:tc>
      </w:tr>
    </w:tbl>
    <w:p w14:paraId="35E5FC21" w14:textId="77777777" w:rsidR="00F154BC" w:rsidRDefault="00000000">
      <w:pPr>
        <w:pStyle w:val="Heading3"/>
        <w:divId w:val="1256133081"/>
        <w:rPr>
          <w:rFonts w:ascii="Arial" w:eastAsia="Times New Roman" w:hAnsi="Arial" w:cs="Arial"/>
          <w:color w:val="000000"/>
        </w:rPr>
      </w:pPr>
      <w:r>
        <w:rPr>
          <w:rStyle w:val="question-number"/>
          <w:rFonts w:ascii="Arial" w:eastAsia="Times New Roman" w:hAnsi="Arial" w:cs="Arial"/>
          <w:color w:val="000000"/>
        </w:rPr>
        <w:t>28.</w:t>
      </w:r>
      <w:r>
        <w:rPr>
          <w:rFonts w:ascii="Arial" w:eastAsia="Times New Roman" w:hAnsi="Arial" w:cs="Arial"/>
          <w:color w:val="000000"/>
        </w:rPr>
        <w:t xml:space="preserve"> What vital information, if any, would you want to see in the forecast?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6D3E9E0E" w14:textId="77777777">
        <w:trPr>
          <w:divId w:val="1256133081"/>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343EFEE1" w14:textId="77777777" w:rsidTr="004A39E0">
              <w:trPr>
                <w:trHeight w:val="1875"/>
                <w:tblCellSpacing w:w="15" w:type="dxa"/>
              </w:trPr>
              <w:tc>
                <w:tcPr>
                  <w:tcW w:w="8673" w:type="dxa"/>
                  <w:vAlign w:val="center"/>
                  <w:hideMark/>
                </w:tcPr>
                <w:p w14:paraId="5306502F"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FC4D57A" w14:textId="77777777" w:rsidR="00F154BC" w:rsidRDefault="00F154BC">
            <w:pPr>
              <w:rPr>
                <w:rFonts w:ascii="Arial" w:eastAsia="Times New Roman" w:hAnsi="Arial" w:cs="Arial"/>
                <w:color w:val="000000"/>
              </w:rPr>
            </w:pPr>
          </w:p>
        </w:tc>
      </w:tr>
    </w:tbl>
    <w:p w14:paraId="16427F4B"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01A0BA2"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Managing uncertainty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0B0CEEE4" w14:textId="77777777">
        <w:trPr>
          <w:divId w:val="664090810"/>
          <w:tblCellSpacing w:w="12" w:type="dxa"/>
        </w:trPr>
        <w:tc>
          <w:tcPr>
            <w:tcW w:w="0" w:type="auto"/>
            <w:vAlign w:val="center"/>
            <w:hideMark/>
          </w:tcPr>
          <w:p w14:paraId="523CFFD8" w14:textId="77777777" w:rsidR="00F154BC" w:rsidRDefault="00000000">
            <w:pPr>
              <w:pStyle w:val="NormalWeb"/>
              <w:divId w:val="1591537"/>
              <w:rPr>
                <w:rFonts w:ascii="Arial" w:hAnsi="Arial" w:cs="Arial"/>
                <w:color w:val="000000"/>
              </w:rPr>
            </w:pPr>
            <w:r>
              <w:rPr>
                <w:rFonts w:ascii="Arial" w:hAnsi="Arial" w:cs="Arial"/>
                <w:color w:val="000000"/>
              </w:rPr>
              <w:t>This section of the consultation presents further design options to mitigate and manage risks of under-collection, over-collection and surpluses to provide a consistent source of funding for the scheme.</w:t>
            </w:r>
          </w:p>
          <w:p w14:paraId="092FF1F1" w14:textId="77777777" w:rsidR="00F154BC" w:rsidRDefault="00000000">
            <w:pPr>
              <w:pStyle w:val="NormalWeb"/>
              <w:divId w:val="1591537"/>
              <w:rPr>
                <w:rFonts w:ascii="Arial" w:hAnsi="Arial" w:cs="Arial"/>
                <w:color w:val="000000"/>
              </w:rPr>
            </w:pPr>
            <w:r>
              <w:rPr>
                <w:rFonts w:ascii="Arial" w:hAnsi="Arial" w:cs="Arial"/>
                <w:color w:val="000000"/>
              </w:rPr>
              <w:t>To mitigate the risk of under-collection, an additional contingency amount will be collected with the levy. This would compensate for uncertainty in the scheme cost forecasts and help to cover any unforeseen costs. The calculation of individual supplier contributions will follow the same approach to the main levy, proportionate to their share of the volume fossil aviation fuel supplied in the UK over a period.</w:t>
            </w:r>
          </w:p>
          <w:p w14:paraId="0F615051" w14:textId="05BD976D" w:rsidR="00F154BC" w:rsidRDefault="00000000">
            <w:pPr>
              <w:pStyle w:val="NormalWeb"/>
              <w:divId w:val="1591537"/>
              <w:rPr>
                <w:rFonts w:ascii="Arial" w:hAnsi="Arial" w:cs="Arial"/>
                <w:color w:val="000000"/>
              </w:rPr>
            </w:pPr>
            <w:r>
              <w:rPr>
                <w:rFonts w:ascii="Arial" w:hAnsi="Arial" w:cs="Arial"/>
                <w:color w:val="000000"/>
              </w:rPr>
              <w:t>There are 2 options for collecting this contingency amount (“reserve”)</w:t>
            </w:r>
            <w:r w:rsidR="00A9768E">
              <w:rPr>
                <w:rFonts w:ascii="Arial" w:hAnsi="Arial" w:cs="Arial"/>
                <w:color w:val="000000"/>
              </w:rPr>
              <w:t>. Threse are</w:t>
            </w:r>
            <w:r>
              <w:rPr>
                <w:rFonts w:ascii="Arial" w:hAnsi="Arial" w:cs="Arial"/>
                <w:color w:val="000000"/>
              </w:rPr>
              <w:t xml:space="preserve"> a:</w:t>
            </w:r>
          </w:p>
          <w:p w14:paraId="2352FBE2" w14:textId="77777777" w:rsidR="00F154BC" w:rsidRDefault="00000000">
            <w:pPr>
              <w:numPr>
                <w:ilvl w:val="0"/>
                <w:numId w:val="4"/>
              </w:numPr>
              <w:spacing w:before="100" w:beforeAutospacing="1" w:after="100" w:afterAutospacing="1"/>
              <w:divId w:val="1591537"/>
              <w:rPr>
                <w:rFonts w:ascii="Arial" w:eastAsia="Times New Roman" w:hAnsi="Arial" w:cs="Arial"/>
                <w:color w:val="000000"/>
              </w:rPr>
            </w:pPr>
            <w:r>
              <w:rPr>
                <w:rFonts w:ascii="Arial" w:eastAsia="Times New Roman" w:hAnsi="Arial" w:cs="Arial"/>
                <w:color w:val="000000"/>
              </w:rPr>
              <w:t>single-period reserve, covering shortfalls within single assessment periods</w:t>
            </w:r>
          </w:p>
          <w:p w14:paraId="4195D961" w14:textId="77777777" w:rsidR="00F154BC" w:rsidRDefault="00000000">
            <w:pPr>
              <w:numPr>
                <w:ilvl w:val="0"/>
                <w:numId w:val="4"/>
              </w:numPr>
              <w:spacing w:before="100" w:beforeAutospacing="1" w:after="100" w:afterAutospacing="1"/>
              <w:divId w:val="1591537"/>
              <w:rPr>
                <w:rFonts w:ascii="Arial" w:eastAsia="Times New Roman" w:hAnsi="Arial" w:cs="Arial"/>
                <w:color w:val="000000"/>
              </w:rPr>
            </w:pPr>
            <w:r>
              <w:rPr>
                <w:rFonts w:ascii="Arial" w:eastAsia="Times New Roman" w:hAnsi="Arial" w:cs="Arial"/>
                <w:color w:val="000000"/>
              </w:rPr>
              <w:t>multi-period reserve, covering shortfalls across multiple assessment periods</w:t>
            </w:r>
          </w:p>
          <w:p w14:paraId="2CC134A2" w14:textId="77777777" w:rsidR="00F154BC" w:rsidRDefault="00F154BC" w:rsidP="004A39E0">
            <w:pPr>
              <w:spacing w:before="100" w:beforeAutospacing="1" w:after="100" w:afterAutospacing="1"/>
              <w:ind w:left="720"/>
              <w:rPr>
                <w:rFonts w:ascii="Arial" w:eastAsia="Times New Roman" w:hAnsi="Arial" w:cs="Arial"/>
                <w:color w:val="000000"/>
              </w:rPr>
            </w:pPr>
          </w:p>
        </w:tc>
      </w:tr>
    </w:tbl>
    <w:p w14:paraId="0A35519C" w14:textId="77777777" w:rsidR="00F154BC" w:rsidRDefault="00000000">
      <w:pPr>
        <w:pStyle w:val="Heading3"/>
        <w:divId w:val="1101802284"/>
        <w:rPr>
          <w:rFonts w:ascii="Arial" w:eastAsia="Times New Roman" w:hAnsi="Arial" w:cs="Arial"/>
          <w:color w:val="000000"/>
        </w:rPr>
      </w:pPr>
      <w:r>
        <w:rPr>
          <w:rStyle w:val="question-number"/>
          <w:rFonts w:ascii="Arial" w:eastAsia="Times New Roman" w:hAnsi="Arial" w:cs="Arial"/>
          <w:color w:val="000000"/>
        </w:rPr>
        <w:t>29.</w:t>
      </w:r>
      <w:r>
        <w:rPr>
          <w:rFonts w:ascii="Arial" w:eastAsia="Times New Roman" w:hAnsi="Arial" w:cs="Arial"/>
          <w:color w:val="000000"/>
        </w:rPr>
        <w:t xml:space="preserve"> What is your preferred option as a means of mitigating under-collection risk?</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600"/>
      </w:tblGrid>
      <w:tr w:rsidR="00F154BC" w14:paraId="60A389D3" w14:textId="77777777">
        <w:trPr>
          <w:divId w:val="1101802284"/>
          <w:trHeight w:val="225"/>
          <w:tblCellSpacing w:w="12" w:type="dxa"/>
        </w:trPr>
        <w:tc>
          <w:tcPr>
            <w:tcW w:w="225" w:type="dxa"/>
            <w:tcMar>
              <w:top w:w="75" w:type="dxa"/>
              <w:left w:w="75" w:type="dxa"/>
              <w:bottom w:w="75" w:type="dxa"/>
              <w:right w:w="75" w:type="dxa"/>
            </w:tcMar>
            <w:hideMark/>
          </w:tcPr>
          <w:p w14:paraId="3A888AA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33C700E" w14:textId="651DB788" w:rsidR="00F154BC" w:rsidRDefault="00000000">
            <w:pPr>
              <w:rPr>
                <w:rFonts w:ascii="Arial" w:eastAsia="Times New Roman" w:hAnsi="Arial" w:cs="Arial"/>
                <w:color w:val="000000"/>
              </w:rPr>
            </w:pPr>
            <w:r>
              <w:rPr>
                <w:rFonts w:ascii="Arial" w:eastAsia="Times New Roman" w:hAnsi="Arial" w:cs="Arial"/>
                <w:color w:val="000000"/>
              </w:rPr>
              <w:t>Single</w:t>
            </w:r>
            <w:r w:rsidR="00A9768E">
              <w:rPr>
                <w:rFonts w:ascii="Arial" w:eastAsia="Times New Roman" w:hAnsi="Arial" w:cs="Arial"/>
                <w:color w:val="000000"/>
              </w:rPr>
              <w:t>-</w:t>
            </w:r>
            <w:r>
              <w:rPr>
                <w:rFonts w:ascii="Arial" w:eastAsia="Times New Roman" w:hAnsi="Arial" w:cs="Arial"/>
                <w:color w:val="000000"/>
              </w:rPr>
              <w:t>period reserve</w:t>
            </w:r>
          </w:p>
        </w:tc>
      </w:tr>
      <w:tr w:rsidR="00F154BC" w14:paraId="25229E74" w14:textId="77777777">
        <w:trPr>
          <w:divId w:val="1101802284"/>
          <w:trHeight w:val="225"/>
          <w:tblCellSpacing w:w="12" w:type="dxa"/>
        </w:trPr>
        <w:tc>
          <w:tcPr>
            <w:tcW w:w="225" w:type="dxa"/>
            <w:tcMar>
              <w:top w:w="75" w:type="dxa"/>
              <w:left w:w="75" w:type="dxa"/>
              <w:bottom w:w="75" w:type="dxa"/>
              <w:right w:w="75" w:type="dxa"/>
            </w:tcMar>
            <w:hideMark/>
          </w:tcPr>
          <w:p w14:paraId="7CEB3B17"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746E095" w14:textId="467F10D6" w:rsidR="00F154BC" w:rsidRDefault="00000000">
            <w:pPr>
              <w:rPr>
                <w:rFonts w:ascii="Arial" w:eastAsia="Times New Roman" w:hAnsi="Arial" w:cs="Arial"/>
                <w:color w:val="000000"/>
              </w:rPr>
            </w:pPr>
            <w:r>
              <w:rPr>
                <w:rFonts w:ascii="Arial" w:eastAsia="Times New Roman" w:hAnsi="Arial" w:cs="Arial"/>
                <w:color w:val="000000"/>
              </w:rPr>
              <w:t>Multiple</w:t>
            </w:r>
            <w:r w:rsidR="00A9768E">
              <w:rPr>
                <w:rFonts w:ascii="Arial" w:eastAsia="Times New Roman" w:hAnsi="Arial" w:cs="Arial"/>
                <w:color w:val="000000"/>
              </w:rPr>
              <w:t>-</w:t>
            </w:r>
            <w:r>
              <w:rPr>
                <w:rFonts w:ascii="Arial" w:eastAsia="Times New Roman" w:hAnsi="Arial" w:cs="Arial"/>
                <w:color w:val="000000"/>
              </w:rPr>
              <w:t>period reserve</w:t>
            </w:r>
          </w:p>
        </w:tc>
      </w:tr>
      <w:tr w:rsidR="00F154BC" w14:paraId="07C0AE0E" w14:textId="77777777">
        <w:trPr>
          <w:divId w:val="1101802284"/>
          <w:trHeight w:val="225"/>
          <w:tblCellSpacing w:w="12" w:type="dxa"/>
        </w:trPr>
        <w:tc>
          <w:tcPr>
            <w:tcW w:w="225" w:type="dxa"/>
            <w:tcMar>
              <w:top w:w="75" w:type="dxa"/>
              <w:left w:w="75" w:type="dxa"/>
              <w:bottom w:w="75" w:type="dxa"/>
              <w:right w:w="75" w:type="dxa"/>
            </w:tcMar>
            <w:hideMark/>
          </w:tcPr>
          <w:p w14:paraId="3C259851"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9511C8B" w14:textId="71591791" w:rsidR="00F154BC" w:rsidRDefault="00000000">
            <w:pPr>
              <w:rPr>
                <w:rFonts w:ascii="Arial" w:eastAsia="Times New Roman" w:hAnsi="Arial" w:cs="Arial"/>
                <w:color w:val="000000"/>
              </w:rPr>
            </w:pPr>
            <w:r>
              <w:rPr>
                <w:rFonts w:ascii="Arial" w:eastAsia="Times New Roman" w:hAnsi="Arial" w:cs="Arial"/>
                <w:color w:val="000000"/>
              </w:rPr>
              <w:t>Don't know</w:t>
            </w:r>
            <w:r w:rsidR="004A39E0">
              <w:rPr>
                <w:rFonts w:ascii="Arial" w:eastAsia="Times New Roman" w:hAnsi="Arial" w:cs="Arial"/>
                <w:color w:val="000000"/>
              </w:rPr>
              <w:t xml:space="preserve"> (Go to ‘Over collection options’)</w:t>
            </w:r>
          </w:p>
        </w:tc>
      </w:tr>
      <w:tr w:rsidR="00F154BC" w14:paraId="70D49F5B" w14:textId="77777777">
        <w:trPr>
          <w:divId w:val="1101802284"/>
          <w:trHeight w:val="225"/>
          <w:tblCellSpacing w:w="12" w:type="dxa"/>
        </w:trPr>
        <w:tc>
          <w:tcPr>
            <w:tcW w:w="225" w:type="dxa"/>
            <w:tcMar>
              <w:top w:w="75" w:type="dxa"/>
              <w:left w:w="75" w:type="dxa"/>
              <w:bottom w:w="75" w:type="dxa"/>
              <w:right w:w="75" w:type="dxa"/>
            </w:tcMar>
            <w:hideMark/>
          </w:tcPr>
          <w:p w14:paraId="05E21359"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4D0D0304" w14:textId="77777777" w:rsidR="00F154BC" w:rsidRDefault="00000000">
            <w:pPr>
              <w:textAlignment w:val="top"/>
              <w:divId w:val="1091468311"/>
              <w:rPr>
                <w:rFonts w:ascii="Arial" w:eastAsia="Times New Roman" w:hAnsi="Arial" w:cs="Arial"/>
                <w:color w:val="000000"/>
              </w:rPr>
            </w:pPr>
            <w:r>
              <w:rPr>
                <w:rFonts w:ascii="Arial" w:eastAsia="Times New Roman" w:hAnsi="Arial" w:cs="Arial"/>
                <w:color w:val="000000"/>
              </w:rPr>
              <w:t>Another option</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F154BC" w14:paraId="450DF5D5" w14:textId="77777777">
              <w:trPr>
                <w:tblCellSpacing w:w="15" w:type="dxa"/>
              </w:trPr>
              <w:tc>
                <w:tcPr>
                  <w:tcW w:w="0" w:type="auto"/>
                  <w:vAlign w:val="center"/>
                  <w:hideMark/>
                </w:tcPr>
                <w:p w14:paraId="07398773" w14:textId="77777777" w:rsidR="00F154BC" w:rsidRDefault="00000000">
                  <w:pPr>
                    <w:rPr>
                      <w:rFonts w:ascii="Arial" w:eastAsia="Times New Roman" w:hAnsi="Arial" w:cs="Arial"/>
                      <w:color w:val="000000"/>
                    </w:rPr>
                  </w:pPr>
                  <w:r>
                    <w:rPr>
                      <w:rFonts w:ascii="Arial" w:eastAsia="Times New Roman" w:hAnsi="Arial" w:cs="Arial"/>
                      <w:color w:val="000000"/>
                    </w:rPr>
                    <w:t> </w:t>
                  </w:r>
                </w:p>
              </w:tc>
            </w:tr>
          </w:tbl>
          <w:p w14:paraId="439CC8EA" w14:textId="77777777" w:rsidR="00F154BC" w:rsidRDefault="00F154BC">
            <w:pPr>
              <w:rPr>
                <w:rFonts w:ascii="Arial" w:eastAsia="Times New Roman" w:hAnsi="Arial" w:cs="Arial"/>
                <w:color w:val="000000"/>
              </w:rPr>
            </w:pPr>
          </w:p>
        </w:tc>
      </w:tr>
    </w:tbl>
    <w:p w14:paraId="27F26AE9"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9FC2212"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Mitigating under-collection risk option</w:t>
      </w:r>
    </w:p>
    <w:p w14:paraId="78B3D391" w14:textId="77777777" w:rsidR="00F154BC" w:rsidRDefault="00000000">
      <w:pPr>
        <w:pStyle w:val="Heading3"/>
        <w:divId w:val="310134298"/>
        <w:rPr>
          <w:rFonts w:ascii="Arial" w:eastAsia="Times New Roman" w:hAnsi="Arial" w:cs="Arial"/>
          <w:color w:val="000000"/>
        </w:rPr>
      </w:pPr>
      <w:r>
        <w:rPr>
          <w:rStyle w:val="question-number"/>
          <w:rFonts w:ascii="Arial" w:eastAsia="Times New Roman" w:hAnsi="Arial" w:cs="Arial"/>
          <w:color w:val="000000"/>
        </w:rPr>
        <w:t>30.</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1017AB2A" w14:textId="77777777">
        <w:trPr>
          <w:divId w:val="310134298"/>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147F398E" w14:textId="77777777" w:rsidTr="004A39E0">
              <w:trPr>
                <w:trHeight w:val="1875"/>
                <w:tblCellSpacing w:w="15" w:type="dxa"/>
              </w:trPr>
              <w:tc>
                <w:tcPr>
                  <w:tcW w:w="8815" w:type="dxa"/>
                  <w:vAlign w:val="center"/>
                  <w:hideMark/>
                </w:tcPr>
                <w:p w14:paraId="25C8695F"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FCFC078" w14:textId="77777777" w:rsidR="00F154BC" w:rsidRDefault="00F154BC">
            <w:pPr>
              <w:rPr>
                <w:rFonts w:ascii="Arial" w:eastAsia="Times New Roman" w:hAnsi="Arial" w:cs="Arial"/>
                <w:color w:val="000000"/>
              </w:rPr>
            </w:pPr>
          </w:p>
        </w:tc>
      </w:tr>
    </w:tbl>
    <w:p w14:paraId="770E2F90"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643A830" w14:textId="3FEC9DA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Over</w:t>
      </w:r>
      <w:r w:rsidR="00A9768E">
        <w:rPr>
          <w:rFonts w:ascii="Arial" w:eastAsia="Times New Roman" w:hAnsi="Arial" w:cs="Arial"/>
          <w:color w:val="FFFFFF"/>
        </w:rPr>
        <w:t>-</w:t>
      </w:r>
      <w:r>
        <w:rPr>
          <w:rFonts w:ascii="Arial" w:eastAsia="Times New Roman" w:hAnsi="Arial" w:cs="Arial"/>
          <w:color w:val="FFFFFF"/>
        </w:rPr>
        <w:t>collection options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42793CE5" w14:textId="77777777">
        <w:trPr>
          <w:divId w:val="556551005"/>
          <w:tblCellSpacing w:w="12" w:type="dxa"/>
        </w:trPr>
        <w:tc>
          <w:tcPr>
            <w:tcW w:w="0" w:type="auto"/>
            <w:vAlign w:val="center"/>
            <w:hideMark/>
          </w:tcPr>
          <w:p w14:paraId="1C982377" w14:textId="7368E04A" w:rsidR="00F154BC" w:rsidRDefault="00000000">
            <w:pPr>
              <w:pStyle w:val="NormalWeb"/>
              <w:divId w:val="313605962"/>
              <w:rPr>
                <w:rFonts w:ascii="Arial" w:hAnsi="Arial" w:cs="Arial"/>
                <w:color w:val="000000"/>
              </w:rPr>
            </w:pPr>
            <w:r>
              <w:rPr>
                <w:rFonts w:ascii="Arial" w:hAnsi="Arial" w:cs="Arial"/>
                <w:color w:val="000000"/>
              </w:rPr>
              <w:t>Over-collection occurs when the counterparty levies a greater amount from a supplier than required to cover their proportion of the total scheme costs. There are 3 options for managing instances of over</w:t>
            </w:r>
            <w:r w:rsidR="00A9768E">
              <w:rPr>
                <w:rFonts w:ascii="Arial" w:hAnsi="Arial" w:cs="Arial"/>
                <w:color w:val="000000"/>
              </w:rPr>
              <w:t>-</w:t>
            </w:r>
            <w:r>
              <w:rPr>
                <w:rFonts w:ascii="Arial" w:hAnsi="Arial" w:cs="Arial"/>
                <w:color w:val="000000"/>
              </w:rPr>
              <w:t>collection:</w:t>
            </w:r>
          </w:p>
          <w:p w14:paraId="1395409C" w14:textId="77777777" w:rsidR="00F154BC" w:rsidRDefault="00000000">
            <w:pPr>
              <w:numPr>
                <w:ilvl w:val="0"/>
                <w:numId w:val="5"/>
              </w:numPr>
              <w:spacing w:before="100" w:beforeAutospacing="1" w:after="100" w:afterAutospacing="1"/>
              <w:divId w:val="313605962"/>
              <w:rPr>
                <w:rFonts w:ascii="Arial" w:eastAsia="Times New Roman" w:hAnsi="Arial" w:cs="Arial"/>
                <w:color w:val="000000"/>
              </w:rPr>
            </w:pPr>
            <w:r>
              <w:rPr>
                <w:rFonts w:ascii="Arial" w:eastAsia="Times New Roman" w:hAnsi="Arial" w:cs="Arial"/>
                <w:color w:val="000000"/>
              </w:rPr>
              <w:t>rolling over and netting off: rolling over funds is the process of carrying over unspent funds from one period to the next. Netting off would involve calculating the difference between the rolled over funds and the amount payable in the following period</w:t>
            </w:r>
          </w:p>
          <w:p w14:paraId="5FDC52DF" w14:textId="77777777" w:rsidR="00F154BC" w:rsidRDefault="00000000">
            <w:pPr>
              <w:numPr>
                <w:ilvl w:val="0"/>
                <w:numId w:val="5"/>
              </w:numPr>
              <w:spacing w:before="100" w:beforeAutospacing="1" w:after="100" w:afterAutospacing="1"/>
              <w:divId w:val="313605962"/>
              <w:rPr>
                <w:rFonts w:ascii="Arial" w:eastAsia="Times New Roman" w:hAnsi="Arial" w:cs="Arial"/>
                <w:color w:val="000000"/>
              </w:rPr>
            </w:pPr>
            <w:r>
              <w:rPr>
                <w:rFonts w:ascii="Arial" w:eastAsia="Times New Roman" w:hAnsi="Arial" w:cs="Arial"/>
                <w:color w:val="000000"/>
              </w:rPr>
              <w:t>returning over-collected sums: counterparty returns over-collected sums to the respective aviation fuel suppliers as a reimbursement. There are several options for the frequency which over-collected sums could be returned</w:t>
            </w:r>
          </w:p>
          <w:p w14:paraId="226429AD" w14:textId="77777777" w:rsidR="00F154BC" w:rsidRDefault="00000000">
            <w:pPr>
              <w:numPr>
                <w:ilvl w:val="0"/>
                <w:numId w:val="5"/>
              </w:numPr>
              <w:spacing w:before="100" w:beforeAutospacing="1" w:after="100" w:afterAutospacing="1"/>
              <w:divId w:val="313605962"/>
              <w:rPr>
                <w:rFonts w:ascii="Arial" w:eastAsia="Times New Roman" w:hAnsi="Arial" w:cs="Arial"/>
                <w:color w:val="000000"/>
              </w:rPr>
            </w:pPr>
            <w:r>
              <w:rPr>
                <w:rFonts w:ascii="Arial" w:eastAsia="Times New Roman" w:hAnsi="Arial" w:cs="Arial"/>
                <w:color w:val="000000"/>
              </w:rPr>
              <w:t>hybrid approach: any surpluses are rolled over and offset against a supplier’s next levy payment by default, with reimbursements used in specific cases where there is a prolonged surplus or the amount is large enough to materially impact a supplier’s cashflow, or when a supplier is exiting the market and would not have a future levy payment</w:t>
            </w:r>
          </w:p>
          <w:p w14:paraId="779FA491" w14:textId="77777777" w:rsidR="00F154BC" w:rsidRDefault="00F154BC" w:rsidP="004A39E0">
            <w:pPr>
              <w:spacing w:before="100" w:beforeAutospacing="1" w:after="100" w:afterAutospacing="1"/>
              <w:ind w:left="720"/>
              <w:rPr>
                <w:rFonts w:ascii="Arial" w:eastAsia="Times New Roman" w:hAnsi="Arial" w:cs="Arial"/>
                <w:color w:val="000000"/>
              </w:rPr>
            </w:pPr>
          </w:p>
        </w:tc>
      </w:tr>
    </w:tbl>
    <w:p w14:paraId="4021FE86" w14:textId="197161CF" w:rsidR="00F154BC" w:rsidRDefault="00000000">
      <w:pPr>
        <w:pStyle w:val="Heading3"/>
        <w:divId w:val="1048722845"/>
        <w:rPr>
          <w:rFonts w:ascii="Arial" w:eastAsia="Times New Roman" w:hAnsi="Arial" w:cs="Arial"/>
          <w:color w:val="000000"/>
        </w:rPr>
      </w:pPr>
      <w:r>
        <w:rPr>
          <w:rStyle w:val="question-number"/>
          <w:rFonts w:ascii="Arial" w:eastAsia="Times New Roman" w:hAnsi="Arial" w:cs="Arial"/>
          <w:color w:val="000000"/>
        </w:rPr>
        <w:t>31.</w:t>
      </w:r>
      <w:r>
        <w:rPr>
          <w:rFonts w:ascii="Arial" w:eastAsia="Times New Roman" w:hAnsi="Arial" w:cs="Arial"/>
          <w:color w:val="000000"/>
        </w:rPr>
        <w:t xml:space="preserve"> In your view, which option do you prefer as a means of managing instances of over</w:t>
      </w:r>
      <w:r w:rsidR="00A9768E">
        <w:rPr>
          <w:rFonts w:ascii="Arial" w:eastAsia="Times New Roman" w:hAnsi="Arial" w:cs="Arial"/>
          <w:color w:val="000000"/>
        </w:rPr>
        <w:t>-</w:t>
      </w:r>
      <w:r>
        <w:rPr>
          <w:rFonts w:ascii="Arial" w:eastAsia="Times New Roman" w:hAnsi="Arial" w:cs="Arial"/>
          <w:color w:val="000000"/>
        </w:rPr>
        <w:t>collection?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F154BC" w14:paraId="653CA31B" w14:textId="77777777">
        <w:trPr>
          <w:divId w:val="1048722845"/>
          <w:trHeight w:val="225"/>
          <w:tblCellSpacing w:w="12" w:type="dxa"/>
        </w:trPr>
        <w:tc>
          <w:tcPr>
            <w:tcW w:w="225" w:type="dxa"/>
            <w:tcMar>
              <w:top w:w="75" w:type="dxa"/>
              <w:left w:w="75" w:type="dxa"/>
              <w:bottom w:w="75" w:type="dxa"/>
              <w:right w:w="75" w:type="dxa"/>
            </w:tcMar>
            <w:hideMark/>
          </w:tcPr>
          <w:p w14:paraId="732E32A5"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E59C739" w14:textId="77777777" w:rsidR="00F154BC" w:rsidRDefault="00000000">
            <w:pPr>
              <w:rPr>
                <w:rFonts w:ascii="Arial" w:eastAsia="Times New Roman" w:hAnsi="Arial" w:cs="Arial"/>
                <w:color w:val="000000"/>
              </w:rPr>
            </w:pPr>
            <w:r>
              <w:rPr>
                <w:rFonts w:ascii="Arial" w:eastAsia="Times New Roman" w:hAnsi="Arial" w:cs="Arial"/>
                <w:color w:val="000000"/>
              </w:rPr>
              <w:t>Rolling over and netting off</w:t>
            </w:r>
          </w:p>
        </w:tc>
      </w:tr>
      <w:tr w:rsidR="00F154BC" w14:paraId="566A07AD" w14:textId="77777777">
        <w:trPr>
          <w:divId w:val="1048722845"/>
          <w:trHeight w:val="225"/>
          <w:tblCellSpacing w:w="12" w:type="dxa"/>
        </w:trPr>
        <w:tc>
          <w:tcPr>
            <w:tcW w:w="225" w:type="dxa"/>
            <w:tcMar>
              <w:top w:w="75" w:type="dxa"/>
              <w:left w:w="75" w:type="dxa"/>
              <w:bottom w:w="75" w:type="dxa"/>
              <w:right w:w="75" w:type="dxa"/>
            </w:tcMar>
            <w:hideMark/>
          </w:tcPr>
          <w:p w14:paraId="624A34FF"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3E013F2" w14:textId="77777777" w:rsidR="00F154BC" w:rsidRDefault="00000000">
            <w:pPr>
              <w:rPr>
                <w:rFonts w:ascii="Arial" w:eastAsia="Times New Roman" w:hAnsi="Arial" w:cs="Arial"/>
                <w:color w:val="000000"/>
              </w:rPr>
            </w:pPr>
            <w:r>
              <w:rPr>
                <w:rFonts w:ascii="Arial" w:eastAsia="Times New Roman" w:hAnsi="Arial" w:cs="Arial"/>
                <w:color w:val="000000"/>
              </w:rPr>
              <w:t>Returning over-collected sums</w:t>
            </w:r>
          </w:p>
        </w:tc>
      </w:tr>
      <w:tr w:rsidR="00F154BC" w14:paraId="51A95347" w14:textId="77777777">
        <w:trPr>
          <w:divId w:val="1048722845"/>
          <w:trHeight w:val="225"/>
          <w:tblCellSpacing w:w="12" w:type="dxa"/>
        </w:trPr>
        <w:tc>
          <w:tcPr>
            <w:tcW w:w="225" w:type="dxa"/>
            <w:tcMar>
              <w:top w:w="75" w:type="dxa"/>
              <w:left w:w="75" w:type="dxa"/>
              <w:bottom w:w="75" w:type="dxa"/>
              <w:right w:w="75" w:type="dxa"/>
            </w:tcMar>
            <w:hideMark/>
          </w:tcPr>
          <w:p w14:paraId="3CB54CB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24DE726" w14:textId="77777777" w:rsidR="00F154BC" w:rsidRDefault="00000000">
            <w:pPr>
              <w:rPr>
                <w:rFonts w:ascii="Arial" w:eastAsia="Times New Roman" w:hAnsi="Arial" w:cs="Arial"/>
                <w:color w:val="000000"/>
              </w:rPr>
            </w:pPr>
            <w:r>
              <w:rPr>
                <w:rFonts w:ascii="Arial" w:eastAsia="Times New Roman" w:hAnsi="Arial" w:cs="Arial"/>
                <w:color w:val="000000"/>
              </w:rPr>
              <w:t>A hybrid approach of rolling over and netting off plus returning over-collected sums</w:t>
            </w:r>
          </w:p>
        </w:tc>
      </w:tr>
      <w:tr w:rsidR="00F154BC" w14:paraId="4478951E" w14:textId="77777777">
        <w:trPr>
          <w:divId w:val="1048722845"/>
          <w:trHeight w:val="225"/>
          <w:tblCellSpacing w:w="12" w:type="dxa"/>
        </w:trPr>
        <w:tc>
          <w:tcPr>
            <w:tcW w:w="225" w:type="dxa"/>
            <w:tcMar>
              <w:top w:w="75" w:type="dxa"/>
              <w:left w:w="75" w:type="dxa"/>
              <w:bottom w:w="75" w:type="dxa"/>
              <w:right w:w="75" w:type="dxa"/>
            </w:tcMar>
            <w:hideMark/>
          </w:tcPr>
          <w:p w14:paraId="67ECA6A7"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CC24907" w14:textId="0625B213" w:rsidR="00F154BC" w:rsidRDefault="00000000">
            <w:pPr>
              <w:rPr>
                <w:rFonts w:ascii="Arial" w:eastAsia="Times New Roman" w:hAnsi="Arial" w:cs="Arial"/>
                <w:color w:val="000000"/>
              </w:rPr>
            </w:pPr>
            <w:r>
              <w:rPr>
                <w:rFonts w:ascii="Arial" w:eastAsia="Times New Roman" w:hAnsi="Arial" w:cs="Arial"/>
                <w:color w:val="000000"/>
              </w:rPr>
              <w:t>Don't know</w:t>
            </w:r>
            <w:r w:rsidR="004A39E0">
              <w:rPr>
                <w:rFonts w:ascii="Arial" w:eastAsia="Times New Roman" w:hAnsi="Arial" w:cs="Arial"/>
                <w:color w:val="000000"/>
              </w:rPr>
              <w:t xml:space="preserve"> (Go to ‘Over</w:t>
            </w:r>
            <w:r w:rsidR="00A9768E">
              <w:rPr>
                <w:rFonts w:ascii="Arial" w:eastAsia="Times New Roman" w:hAnsi="Arial" w:cs="Arial"/>
                <w:color w:val="000000"/>
              </w:rPr>
              <w:t>-</w:t>
            </w:r>
            <w:r w:rsidR="004A39E0">
              <w:rPr>
                <w:rFonts w:ascii="Arial" w:eastAsia="Times New Roman" w:hAnsi="Arial" w:cs="Arial"/>
                <w:color w:val="000000"/>
              </w:rPr>
              <w:t>collection and surpluses’)</w:t>
            </w:r>
          </w:p>
        </w:tc>
      </w:tr>
      <w:tr w:rsidR="00F154BC" w14:paraId="4F2BA4BD" w14:textId="77777777">
        <w:trPr>
          <w:divId w:val="1048722845"/>
          <w:trHeight w:val="225"/>
          <w:tblCellSpacing w:w="12" w:type="dxa"/>
        </w:trPr>
        <w:tc>
          <w:tcPr>
            <w:tcW w:w="225" w:type="dxa"/>
            <w:tcMar>
              <w:top w:w="75" w:type="dxa"/>
              <w:left w:w="75" w:type="dxa"/>
              <w:bottom w:w="75" w:type="dxa"/>
              <w:right w:w="75" w:type="dxa"/>
            </w:tcMar>
            <w:hideMark/>
          </w:tcPr>
          <w:p w14:paraId="60FD783D"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6FA9BEA" w14:textId="77777777" w:rsidR="00F154BC" w:rsidRDefault="00000000">
            <w:pPr>
              <w:textAlignment w:val="top"/>
              <w:divId w:val="1021660962"/>
              <w:rPr>
                <w:rFonts w:ascii="Arial" w:eastAsia="Times New Roman" w:hAnsi="Arial" w:cs="Arial"/>
                <w:color w:val="000000"/>
              </w:rPr>
            </w:pPr>
            <w:r>
              <w:rPr>
                <w:rFonts w:ascii="Arial" w:eastAsia="Times New Roman" w:hAnsi="Arial" w:cs="Arial"/>
                <w:color w:val="000000"/>
              </w:rPr>
              <w:t>Another option:</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F154BC" w14:paraId="330D0050" w14:textId="77777777">
              <w:trPr>
                <w:tblCellSpacing w:w="15" w:type="dxa"/>
              </w:trPr>
              <w:tc>
                <w:tcPr>
                  <w:tcW w:w="0" w:type="auto"/>
                  <w:vAlign w:val="center"/>
                  <w:hideMark/>
                </w:tcPr>
                <w:p w14:paraId="073C6575" w14:textId="77777777" w:rsidR="00F154BC" w:rsidRDefault="00000000">
                  <w:pPr>
                    <w:rPr>
                      <w:rFonts w:ascii="Arial" w:eastAsia="Times New Roman" w:hAnsi="Arial" w:cs="Arial"/>
                      <w:color w:val="000000"/>
                    </w:rPr>
                  </w:pPr>
                  <w:r>
                    <w:rPr>
                      <w:rFonts w:ascii="Arial" w:eastAsia="Times New Roman" w:hAnsi="Arial" w:cs="Arial"/>
                      <w:color w:val="000000"/>
                    </w:rPr>
                    <w:t> </w:t>
                  </w:r>
                </w:p>
              </w:tc>
            </w:tr>
          </w:tbl>
          <w:p w14:paraId="14D1C97E" w14:textId="77777777" w:rsidR="00F154BC" w:rsidRDefault="00F154BC">
            <w:pPr>
              <w:rPr>
                <w:rFonts w:ascii="Arial" w:eastAsia="Times New Roman" w:hAnsi="Arial" w:cs="Arial"/>
                <w:color w:val="000000"/>
              </w:rPr>
            </w:pPr>
          </w:p>
        </w:tc>
      </w:tr>
    </w:tbl>
    <w:p w14:paraId="585BC8D1"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433D1D1" w14:textId="337DC511"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Over</w:t>
      </w:r>
      <w:r w:rsidR="00A9768E">
        <w:rPr>
          <w:rFonts w:ascii="Arial" w:eastAsia="Times New Roman" w:hAnsi="Arial" w:cs="Arial"/>
          <w:color w:val="FFFFFF"/>
        </w:rPr>
        <w:t>-</w:t>
      </w:r>
      <w:r>
        <w:rPr>
          <w:rFonts w:ascii="Arial" w:eastAsia="Times New Roman" w:hAnsi="Arial" w:cs="Arial"/>
          <w:color w:val="FFFFFF"/>
        </w:rPr>
        <w:t>collection reasoning</w:t>
      </w:r>
    </w:p>
    <w:p w14:paraId="63051B3C" w14:textId="77777777" w:rsidR="00F154BC" w:rsidRDefault="00000000">
      <w:pPr>
        <w:pStyle w:val="Heading3"/>
        <w:divId w:val="1906643417"/>
        <w:rPr>
          <w:rFonts w:ascii="Arial" w:eastAsia="Times New Roman" w:hAnsi="Arial" w:cs="Arial"/>
          <w:color w:val="000000"/>
        </w:rPr>
      </w:pPr>
      <w:r>
        <w:rPr>
          <w:rStyle w:val="question-number"/>
          <w:rFonts w:ascii="Arial" w:eastAsia="Times New Roman" w:hAnsi="Arial" w:cs="Arial"/>
          <w:color w:val="000000"/>
        </w:rPr>
        <w:t>32.</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39B025E4" w14:textId="77777777">
        <w:trPr>
          <w:divId w:val="1906643417"/>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5D6D5928" w14:textId="77777777" w:rsidTr="004A39E0">
              <w:trPr>
                <w:trHeight w:val="1875"/>
                <w:tblCellSpacing w:w="15" w:type="dxa"/>
              </w:trPr>
              <w:tc>
                <w:tcPr>
                  <w:tcW w:w="8815" w:type="dxa"/>
                  <w:vAlign w:val="center"/>
                  <w:hideMark/>
                </w:tcPr>
                <w:p w14:paraId="55F2C49B"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7022E1F" w14:textId="77777777" w:rsidR="00F154BC" w:rsidRDefault="00F154BC">
            <w:pPr>
              <w:rPr>
                <w:rFonts w:ascii="Arial" w:eastAsia="Times New Roman" w:hAnsi="Arial" w:cs="Arial"/>
                <w:color w:val="000000"/>
              </w:rPr>
            </w:pPr>
          </w:p>
        </w:tc>
      </w:tr>
    </w:tbl>
    <w:p w14:paraId="35AA725F"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6F2787B" w14:textId="7C78A06E"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Over</w:t>
      </w:r>
      <w:r w:rsidR="00A9768E">
        <w:rPr>
          <w:rFonts w:ascii="Arial" w:eastAsia="Times New Roman" w:hAnsi="Arial" w:cs="Arial"/>
          <w:color w:val="FFFFFF"/>
        </w:rPr>
        <w:t>-</w:t>
      </w:r>
      <w:r>
        <w:rPr>
          <w:rFonts w:ascii="Arial" w:eastAsia="Times New Roman" w:hAnsi="Arial" w:cs="Arial"/>
          <w:color w:val="FFFFFF"/>
        </w:rPr>
        <w:t>collection and surpluses</w:t>
      </w:r>
    </w:p>
    <w:p w14:paraId="7F04FBF1" w14:textId="77777777" w:rsidR="00F154BC" w:rsidRDefault="00000000">
      <w:pPr>
        <w:pStyle w:val="Heading3"/>
        <w:divId w:val="1054506970"/>
        <w:rPr>
          <w:rFonts w:ascii="Arial" w:eastAsia="Times New Roman" w:hAnsi="Arial" w:cs="Arial"/>
          <w:color w:val="000000"/>
        </w:rPr>
      </w:pPr>
      <w:r>
        <w:rPr>
          <w:rStyle w:val="question-number"/>
          <w:rFonts w:ascii="Arial" w:eastAsia="Times New Roman" w:hAnsi="Arial" w:cs="Arial"/>
          <w:color w:val="000000"/>
        </w:rPr>
        <w:t>33.</w:t>
      </w:r>
      <w:r>
        <w:rPr>
          <w:rFonts w:ascii="Arial" w:eastAsia="Times New Roman" w:hAnsi="Arial" w:cs="Arial"/>
          <w:color w:val="000000"/>
        </w:rPr>
        <w:t xml:space="preserve"> What, in your view, is the most efficient way to ensure that over-collected amounts and surpluses are passed through to end users?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275C4F19" w14:textId="77777777">
        <w:trPr>
          <w:divId w:val="1054506970"/>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75112811" w14:textId="77777777" w:rsidTr="004A39E0">
              <w:trPr>
                <w:trHeight w:val="1875"/>
                <w:tblCellSpacing w:w="15" w:type="dxa"/>
              </w:trPr>
              <w:tc>
                <w:tcPr>
                  <w:tcW w:w="8673" w:type="dxa"/>
                  <w:vAlign w:val="center"/>
                  <w:hideMark/>
                </w:tcPr>
                <w:p w14:paraId="7D425704"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E3AF882" w14:textId="77777777" w:rsidR="00F154BC" w:rsidRDefault="00F154BC">
            <w:pPr>
              <w:rPr>
                <w:rFonts w:ascii="Arial" w:eastAsia="Times New Roman" w:hAnsi="Arial" w:cs="Arial"/>
                <w:color w:val="000000"/>
              </w:rPr>
            </w:pPr>
          </w:p>
        </w:tc>
      </w:tr>
    </w:tbl>
    <w:p w14:paraId="1B532A95" w14:textId="77777777" w:rsidR="00F154BC" w:rsidRDefault="00000000">
      <w:pPr>
        <w:pStyle w:val="Heading3"/>
        <w:divId w:val="651522088"/>
        <w:rPr>
          <w:rFonts w:ascii="Arial" w:eastAsia="Times New Roman" w:hAnsi="Arial" w:cs="Arial"/>
          <w:color w:val="000000"/>
        </w:rPr>
      </w:pPr>
      <w:r>
        <w:rPr>
          <w:rStyle w:val="question-number"/>
          <w:rFonts w:ascii="Arial" w:eastAsia="Times New Roman" w:hAnsi="Arial" w:cs="Arial"/>
          <w:color w:val="000000"/>
        </w:rPr>
        <w:t>34.</w:t>
      </w:r>
      <w:r>
        <w:rPr>
          <w:rFonts w:ascii="Arial" w:eastAsia="Times New Roman" w:hAnsi="Arial" w:cs="Arial"/>
          <w:color w:val="000000"/>
        </w:rPr>
        <w:t xml:space="preserve"> What, if any, other comments do you have on how over-collection and counterparty surpluses should be managed?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00CADF2C" w14:textId="77777777">
        <w:trPr>
          <w:divId w:val="651522088"/>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59F653D3" w14:textId="77777777" w:rsidTr="004A39E0">
              <w:trPr>
                <w:trHeight w:val="1875"/>
                <w:tblCellSpacing w:w="15" w:type="dxa"/>
              </w:trPr>
              <w:tc>
                <w:tcPr>
                  <w:tcW w:w="8673" w:type="dxa"/>
                  <w:vAlign w:val="center"/>
                  <w:hideMark/>
                </w:tcPr>
                <w:p w14:paraId="609547F4"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9FAACFA" w14:textId="77777777" w:rsidR="00F154BC" w:rsidRDefault="00F154BC">
            <w:pPr>
              <w:rPr>
                <w:rFonts w:ascii="Arial" w:eastAsia="Times New Roman" w:hAnsi="Arial" w:cs="Arial"/>
                <w:color w:val="000000"/>
              </w:rPr>
            </w:pPr>
          </w:p>
        </w:tc>
      </w:tr>
    </w:tbl>
    <w:p w14:paraId="01E04121"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32F2D90"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Credit cover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5647EB2B" w14:textId="77777777">
        <w:trPr>
          <w:divId w:val="528377714"/>
          <w:tblCellSpacing w:w="12" w:type="dxa"/>
        </w:trPr>
        <w:tc>
          <w:tcPr>
            <w:tcW w:w="0" w:type="auto"/>
            <w:vAlign w:val="center"/>
            <w:hideMark/>
          </w:tcPr>
          <w:p w14:paraId="13F3B07D" w14:textId="77777777" w:rsidR="00F154BC" w:rsidRDefault="00000000">
            <w:pPr>
              <w:pStyle w:val="NormalWeb"/>
              <w:divId w:val="1532916465"/>
              <w:rPr>
                <w:rFonts w:ascii="Arial" w:hAnsi="Arial" w:cs="Arial"/>
                <w:color w:val="000000"/>
              </w:rPr>
            </w:pPr>
            <w:r>
              <w:rPr>
                <w:rFonts w:ascii="Arial" w:hAnsi="Arial" w:cs="Arial"/>
                <w:color w:val="000000"/>
              </w:rPr>
              <w:t xml:space="preserve">Credit cover refers to collateral, guarantees or insurance that are required to ensure that a supplier’s financial obligation will be met, even if they fail to pay. Collateral can take different forms including cash collateral and deposits, letters of credit, bank and parent company </w:t>
            </w:r>
            <w:proofErr w:type="gramStart"/>
            <w:r>
              <w:rPr>
                <w:rFonts w:ascii="Arial" w:hAnsi="Arial" w:cs="Arial"/>
                <w:color w:val="000000"/>
              </w:rPr>
              <w:t>guarantees</w:t>
            </w:r>
            <w:proofErr w:type="gramEnd"/>
            <w:r>
              <w:rPr>
                <w:rFonts w:ascii="Arial" w:hAnsi="Arial" w:cs="Arial"/>
                <w:color w:val="000000"/>
              </w:rPr>
              <w:t>, surety bonds and insurance products. This consultation proposes that acceptable forms of credit cover to the counterparty would be cash, standby letters of credit or a mix of both.</w:t>
            </w:r>
          </w:p>
          <w:p w14:paraId="06C654F6" w14:textId="77777777" w:rsidR="00F154BC" w:rsidRDefault="00000000">
            <w:pPr>
              <w:pStyle w:val="NormalWeb"/>
              <w:divId w:val="1532916465"/>
              <w:rPr>
                <w:rFonts w:ascii="Arial" w:hAnsi="Arial" w:cs="Arial"/>
                <w:color w:val="000000"/>
              </w:rPr>
            </w:pPr>
            <w:r>
              <w:rPr>
                <w:rFonts w:ascii="Arial" w:hAnsi="Arial" w:cs="Arial"/>
                <w:color w:val="000000"/>
              </w:rPr>
              <w:t>If an obligated party defaults on their payments, the credit cover is drawn down on by a levy administrator (“the counterparty” for this scheme) and the funds are used to offset the non-payment. This helps to reduce or eliminate shortfalls that would otherwise be redistributed to other obligated parties and maintain financial stability.</w:t>
            </w:r>
          </w:p>
          <w:p w14:paraId="01B61D47" w14:textId="77777777" w:rsidR="00F154BC" w:rsidRDefault="00000000">
            <w:pPr>
              <w:pStyle w:val="NormalWeb"/>
              <w:divId w:val="1532916465"/>
              <w:rPr>
                <w:rFonts w:ascii="Arial" w:hAnsi="Arial" w:cs="Arial"/>
                <w:color w:val="000000"/>
              </w:rPr>
            </w:pPr>
            <w:r>
              <w:rPr>
                <w:rFonts w:ascii="Arial" w:hAnsi="Arial" w:cs="Arial"/>
                <w:color w:val="000000"/>
              </w:rPr>
              <w:t>We are proposing that the non-payment of credit cover would be managed by the counterparty similarly to that of non-payment of levy.</w:t>
            </w:r>
          </w:p>
          <w:p w14:paraId="428DD597" w14:textId="77777777" w:rsidR="00F154BC" w:rsidRDefault="00F154BC">
            <w:pPr>
              <w:rPr>
                <w:rFonts w:ascii="Arial" w:hAnsi="Arial" w:cs="Arial"/>
                <w:color w:val="000000"/>
              </w:rPr>
            </w:pPr>
          </w:p>
        </w:tc>
      </w:tr>
    </w:tbl>
    <w:p w14:paraId="2015B999" w14:textId="77777777" w:rsidR="00F154BC" w:rsidRDefault="00000000">
      <w:pPr>
        <w:pStyle w:val="Heading3"/>
        <w:divId w:val="1431896355"/>
        <w:rPr>
          <w:rFonts w:ascii="Arial" w:eastAsia="Times New Roman" w:hAnsi="Arial" w:cs="Arial"/>
          <w:color w:val="000000"/>
        </w:rPr>
      </w:pPr>
      <w:r>
        <w:rPr>
          <w:rStyle w:val="question-number"/>
          <w:rFonts w:ascii="Arial" w:eastAsia="Times New Roman" w:hAnsi="Arial" w:cs="Arial"/>
          <w:color w:val="000000"/>
        </w:rPr>
        <w:t>35.</w:t>
      </w:r>
      <w:r>
        <w:rPr>
          <w:rFonts w:ascii="Arial" w:eastAsia="Times New Roman" w:hAnsi="Arial" w:cs="Arial"/>
          <w:color w:val="000000"/>
        </w:rPr>
        <w:t xml:space="preserve"> Do you agree or disagree that credit cover should be the primary tool used to manage the risk of supplier default under the levy?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679"/>
      </w:tblGrid>
      <w:tr w:rsidR="00F154BC" w14:paraId="053F08F1" w14:textId="77777777">
        <w:trPr>
          <w:divId w:val="1431896355"/>
          <w:trHeight w:val="225"/>
          <w:tblCellSpacing w:w="12" w:type="dxa"/>
        </w:trPr>
        <w:tc>
          <w:tcPr>
            <w:tcW w:w="225" w:type="dxa"/>
            <w:tcMar>
              <w:top w:w="75" w:type="dxa"/>
              <w:left w:w="75" w:type="dxa"/>
              <w:bottom w:w="75" w:type="dxa"/>
              <w:right w:w="75" w:type="dxa"/>
            </w:tcMar>
            <w:hideMark/>
          </w:tcPr>
          <w:p w14:paraId="7C7DE869"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54A0F71" w14:textId="22AE7AD0" w:rsidR="00F154BC" w:rsidRDefault="00000000">
            <w:pPr>
              <w:rPr>
                <w:rFonts w:ascii="Arial" w:eastAsia="Times New Roman" w:hAnsi="Arial" w:cs="Arial"/>
                <w:color w:val="000000"/>
              </w:rPr>
            </w:pPr>
            <w:r>
              <w:rPr>
                <w:rFonts w:ascii="Arial" w:eastAsia="Times New Roman" w:hAnsi="Arial" w:cs="Arial"/>
                <w:color w:val="000000"/>
              </w:rPr>
              <w:t>Agree</w:t>
            </w:r>
            <w:r w:rsidR="004A39E0">
              <w:rPr>
                <w:rFonts w:ascii="Arial" w:eastAsia="Times New Roman" w:hAnsi="Arial" w:cs="Arial"/>
                <w:color w:val="000000"/>
              </w:rPr>
              <w:t xml:space="preserve"> (Go to ‘</w:t>
            </w:r>
            <w:r w:rsidR="004A39E0" w:rsidRPr="004A39E0">
              <w:rPr>
                <w:rFonts w:ascii="Arial" w:eastAsia="Times New Roman" w:hAnsi="Arial" w:cs="Arial"/>
                <w:color w:val="000000"/>
              </w:rPr>
              <w:t>Acceptable forms of credit cover</w:t>
            </w:r>
            <w:r w:rsidR="004A39E0">
              <w:rPr>
                <w:rFonts w:ascii="Arial" w:eastAsia="Times New Roman" w:hAnsi="Arial" w:cs="Arial"/>
                <w:color w:val="000000"/>
              </w:rPr>
              <w:t>’)</w:t>
            </w:r>
          </w:p>
        </w:tc>
      </w:tr>
      <w:tr w:rsidR="00F154BC" w14:paraId="216A7D2D" w14:textId="77777777">
        <w:trPr>
          <w:divId w:val="1431896355"/>
          <w:trHeight w:val="225"/>
          <w:tblCellSpacing w:w="12" w:type="dxa"/>
        </w:trPr>
        <w:tc>
          <w:tcPr>
            <w:tcW w:w="225" w:type="dxa"/>
            <w:tcMar>
              <w:top w:w="75" w:type="dxa"/>
              <w:left w:w="75" w:type="dxa"/>
              <w:bottom w:w="75" w:type="dxa"/>
              <w:right w:w="75" w:type="dxa"/>
            </w:tcMar>
            <w:hideMark/>
          </w:tcPr>
          <w:p w14:paraId="5E46C371"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BC4A13D" w14:textId="77777777" w:rsidR="00F154BC" w:rsidRDefault="00000000">
            <w:pPr>
              <w:rPr>
                <w:rFonts w:ascii="Arial" w:eastAsia="Times New Roman" w:hAnsi="Arial" w:cs="Arial"/>
                <w:color w:val="000000"/>
              </w:rPr>
            </w:pPr>
            <w:r>
              <w:rPr>
                <w:rFonts w:ascii="Arial" w:eastAsia="Times New Roman" w:hAnsi="Arial" w:cs="Arial"/>
                <w:color w:val="000000"/>
              </w:rPr>
              <w:t>Disagree</w:t>
            </w:r>
          </w:p>
        </w:tc>
      </w:tr>
      <w:tr w:rsidR="00F154BC" w14:paraId="6DFEB87A" w14:textId="77777777">
        <w:trPr>
          <w:divId w:val="1431896355"/>
          <w:trHeight w:val="225"/>
          <w:tblCellSpacing w:w="12" w:type="dxa"/>
        </w:trPr>
        <w:tc>
          <w:tcPr>
            <w:tcW w:w="225" w:type="dxa"/>
            <w:tcMar>
              <w:top w:w="75" w:type="dxa"/>
              <w:left w:w="75" w:type="dxa"/>
              <w:bottom w:w="75" w:type="dxa"/>
              <w:right w:w="75" w:type="dxa"/>
            </w:tcMar>
            <w:hideMark/>
          </w:tcPr>
          <w:p w14:paraId="0D50DCED"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2381EB3" w14:textId="49C5EB12" w:rsidR="00F154BC" w:rsidRDefault="00000000">
            <w:pPr>
              <w:rPr>
                <w:rFonts w:ascii="Arial" w:eastAsia="Times New Roman" w:hAnsi="Arial" w:cs="Arial"/>
                <w:color w:val="000000"/>
              </w:rPr>
            </w:pPr>
            <w:r>
              <w:rPr>
                <w:rFonts w:ascii="Arial" w:eastAsia="Times New Roman" w:hAnsi="Arial" w:cs="Arial"/>
                <w:color w:val="000000"/>
              </w:rPr>
              <w:t>Don't know</w:t>
            </w:r>
            <w:r w:rsidR="004A39E0">
              <w:rPr>
                <w:rFonts w:ascii="Arial" w:eastAsia="Times New Roman" w:hAnsi="Arial" w:cs="Arial"/>
                <w:color w:val="000000"/>
              </w:rPr>
              <w:t xml:space="preserve"> (Go to ‘</w:t>
            </w:r>
            <w:r w:rsidR="004A39E0" w:rsidRPr="004A39E0">
              <w:rPr>
                <w:rFonts w:ascii="Arial" w:eastAsia="Times New Roman" w:hAnsi="Arial" w:cs="Arial"/>
                <w:color w:val="000000"/>
              </w:rPr>
              <w:t>Acceptable forms of credit cover</w:t>
            </w:r>
            <w:r w:rsidR="004A39E0">
              <w:rPr>
                <w:rFonts w:ascii="Arial" w:eastAsia="Times New Roman" w:hAnsi="Arial" w:cs="Arial"/>
                <w:color w:val="000000"/>
              </w:rPr>
              <w:t>’)</w:t>
            </w:r>
          </w:p>
        </w:tc>
      </w:tr>
    </w:tbl>
    <w:p w14:paraId="5FF81F79"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CDC483D" w14:textId="5F52C0DA"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Against credit cover </w:t>
      </w:r>
      <w:r w:rsidR="00B02D95">
        <w:rPr>
          <w:rFonts w:ascii="Arial" w:eastAsia="Times New Roman" w:hAnsi="Arial" w:cs="Arial"/>
          <w:color w:val="FFFFFF"/>
        </w:rPr>
        <w:t xml:space="preserve">as </w:t>
      </w:r>
      <w:r>
        <w:rPr>
          <w:rFonts w:ascii="Arial" w:eastAsia="Times New Roman" w:hAnsi="Arial" w:cs="Arial"/>
          <w:color w:val="FFFFFF"/>
        </w:rPr>
        <w:t>primary tool to manage supplier default</w:t>
      </w:r>
    </w:p>
    <w:p w14:paraId="39CC197D" w14:textId="77777777" w:rsidR="00F154BC" w:rsidRDefault="00000000">
      <w:pPr>
        <w:pStyle w:val="Heading3"/>
        <w:divId w:val="738751371"/>
        <w:rPr>
          <w:rFonts w:ascii="Arial" w:eastAsia="Times New Roman" w:hAnsi="Arial" w:cs="Arial"/>
          <w:color w:val="000000"/>
        </w:rPr>
      </w:pPr>
      <w:r>
        <w:rPr>
          <w:rStyle w:val="question-number"/>
          <w:rFonts w:ascii="Arial" w:eastAsia="Times New Roman" w:hAnsi="Arial" w:cs="Arial"/>
          <w:color w:val="000000"/>
        </w:rPr>
        <w:t>36.</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605CD613" w14:textId="77777777">
        <w:trPr>
          <w:divId w:val="738751371"/>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593D4F22" w14:textId="77777777" w:rsidTr="004A39E0">
              <w:trPr>
                <w:trHeight w:val="1875"/>
                <w:tblCellSpacing w:w="15" w:type="dxa"/>
              </w:trPr>
              <w:tc>
                <w:tcPr>
                  <w:tcW w:w="8673" w:type="dxa"/>
                  <w:vAlign w:val="center"/>
                  <w:hideMark/>
                </w:tcPr>
                <w:p w14:paraId="65FA9544"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011A7BE" w14:textId="77777777" w:rsidR="00F154BC" w:rsidRDefault="00F154BC">
            <w:pPr>
              <w:rPr>
                <w:rFonts w:ascii="Arial" w:eastAsia="Times New Roman" w:hAnsi="Arial" w:cs="Arial"/>
                <w:color w:val="000000"/>
              </w:rPr>
            </w:pPr>
          </w:p>
        </w:tc>
      </w:tr>
    </w:tbl>
    <w:p w14:paraId="648D7DA1"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3196474"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Acceptable forms of credit cover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5AFA7F48" w14:textId="77777777">
        <w:trPr>
          <w:divId w:val="639110464"/>
          <w:tblCellSpacing w:w="12" w:type="dxa"/>
        </w:trPr>
        <w:tc>
          <w:tcPr>
            <w:tcW w:w="0" w:type="auto"/>
            <w:vAlign w:val="center"/>
            <w:hideMark/>
          </w:tcPr>
          <w:p w14:paraId="202F7D40" w14:textId="77777777" w:rsidR="00F154BC" w:rsidRDefault="00000000">
            <w:pPr>
              <w:pStyle w:val="NormalWeb"/>
              <w:divId w:val="1469856963"/>
              <w:rPr>
                <w:rFonts w:ascii="Arial" w:hAnsi="Arial" w:cs="Arial"/>
                <w:color w:val="000000"/>
              </w:rPr>
            </w:pPr>
            <w:r>
              <w:rPr>
                <w:rFonts w:ascii="Arial" w:hAnsi="Arial" w:cs="Arial"/>
                <w:color w:val="000000"/>
              </w:rPr>
              <w:t>We are now asking you about your view towards the assumption that acceptable forms of credit cover should include cash and standby letters of credit or a mixture of both cash and standby letters.</w:t>
            </w:r>
          </w:p>
          <w:p w14:paraId="58E4C230" w14:textId="77777777" w:rsidR="00F154BC" w:rsidRDefault="00F154BC">
            <w:pPr>
              <w:rPr>
                <w:rFonts w:ascii="Arial" w:hAnsi="Arial" w:cs="Arial"/>
                <w:color w:val="000000"/>
              </w:rPr>
            </w:pPr>
          </w:p>
        </w:tc>
      </w:tr>
    </w:tbl>
    <w:p w14:paraId="56F1D0CF" w14:textId="77777777" w:rsidR="00F154BC" w:rsidRDefault="00000000">
      <w:pPr>
        <w:pStyle w:val="Heading3"/>
        <w:divId w:val="1004746049"/>
        <w:rPr>
          <w:rFonts w:ascii="Arial" w:eastAsia="Times New Roman" w:hAnsi="Arial" w:cs="Arial"/>
          <w:color w:val="000000"/>
        </w:rPr>
      </w:pPr>
      <w:r>
        <w:rPr>
          <w:rStyle w:val="question-number"/>
          <w:rFonts w:ascii="Arial" w:eastAsia="Times New Roman" w:hAnsi="Arial" w:cs="Arial"/>
          <w:color w:val="000000"/>
        </w:rPr>
        <w:t>37.</w:t>
      </w:r>
      <w:r>
        <w:rPr>
          <w:rFonts w:ascii="Arial" w:eastAsia="Times New Roman" w:hAnsi="Arial" w:cs="Arial"/>
          <w:color w:val="000000"/>
        </w:rPr>
        <w:t xml:space="preserve"> Do you agree or disagree with the stated assumption regarding acceptable forms of credit cover?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665"/>
      </w:tblGrid>
      <w:tr w:rsidR="00F154BC" w14:paraId="14976125" w14:textId="77777777">
        <w:trPr>
          <w:divId w:val="1004746049"/>
          <w:trHeight w:val="225"/>
          <w:tblCellSpacing w:w="12" w:type="dxa"/>
        </w:trPr>
        <w:tc>
          <w:tcPr>
            <w:tcW w:w="225" w:type="dxa"/>
            <w:tcMar>
              <w:top w:w="75" w:type="dxa"/>
              <w:left w:w="75" w:type="dxa"/>
              <w:bottom w:w="75" w:type="dxa"/>
              <w:right w:w="75" w:type="dxa"/>
            </w:tcMar>
            <w:hideMark/>
          </w:tcPr>
          <w:p w14:paraId="15E4855F"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ADD3DC3" w14:textId="2D1B7343" w:rsidR="00F154BC" w:rsidRDefault="00000000">
            <w:pPr>
              <w:rPr>
                <w:rFonts w:ascii="Arial" w:eastAsia="Times New Roman" w:hAnsi="Arial" w:cs="Arial"/>
                <w:color w:val="000000"/>
              </w:rPr>
            </w:pPr>
            <w:r>
              <w:rPr>
                <w:rFonts w:ascii="Arial" w:eastAsia="Times New Roman" w:hAnsi="Arial" w:cs="Arial"/>
                <w:color w:val="000000"/>
              </w:rPr>
              <w:t>Agree</w:t>
            </w:r>
            <w:r w:rsidR="004A39E0">
              <w:rPr>
                <w:rFonts w:ascii="Arial" w:eastAsia="Times New Roman" w:hAnsi="Arial" w:cs="Arial"/>
                <w:color w:val="000000"/>
              </w:rPr>
              <w:t xml:space="preserve"> (Go to ‘Credit cover frequency’)</w:t>
            </w:r>
          </w:p>
        </w:tc>
      </w:tr>
      <w:tr w:rsidR="00F154BC" w14:paraId="1B7E6546" w14:textId="77777777">
        <w:trPr>
          <w:divId w:val="1004746049"/>
          <w:trHeight w:val="225"/>
          <w:tblCellSpacing w:w="12" w:type="dxa"/>
        </w:trPr>
        <w:tc>
          <w:tcPr>
            <w:tcW w:w="225" w:type="dxa"/>
            <w:tcMar>
              <w:top w:w="75" w:type="dxa"/>
              <w:left w:w="75" w:type="dxa"/>
              <w:bottom w:w="75" w:type="dxa"/>
              <w:right w:w="75" w:type="dxa"/>
            </w:tcMar>
            <w:hideMark/>
          </w:tcPr>
          <w:p w14:paraId="0E76934C"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5FD8FB1" w14:textId="77777777" w:rsidR="00F154BC" w:rsidRDefault="00000000">
            <w:pPr>
              <w:rPr>
                <w:rFonts w:ascii="Arial" w:eastAsia="Times New Roman" w:hAnsi="Arial" w:cs="Arial"/>
                <w:color w:val="000000"/>
              </w:rPr>
            </w:pPr>
            <w:r>
              <w:rPr>
                <w:rFonts w:ascii="Arial" w:eastAsia="Times New Roman" w:hAnsi="Arial" w:cs="Arial"/>
                <w:color w:val="000000"/>
              </w:rPr>
              <w:t>Disagree</w:t>
            </w:r>
          </w:p>
        </w:tc>
      </w:tr>
      <w:tr w:rsidR="00F154BC" w14:paraId="53AF3643" w14:textId="77777777">
        <w:trPr>
          <w:divId w:val="1004746049"/>
          <w:trHeight w:val="225"/>
          <w:tblCellSpacing w:w="12" w:type="dxa"/>
        </w:trPr>
        <w:tc>
          <w:tcPr>
            <w:tcW w:w="225" w:type="dxa"/>
            <w:tcMar>
              <w:top w:w="75" w:type="dxa"/>
              <w:left w:w="75" w:type="dxa"/>
              <w:bottom w:w="75" w:type="dxa"/>
              <w:right w:w="75" w:type="dxa"/>
            </w:tcMar>
            <w:hideMark/>
          </w:tcPr>
          <w:p w14:paraId="5AFFFE87"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9D4618D" w14:textId="017FEC64" w:rsidR="00F154BC" w:rsidRDefault="00000000">
            <w:pPr>
              <w:rPr>
                <w:rFonts w:ascii="Arial" w:eastAsia="Times New Roman" w:hAnsi="Arial" w:cs="Arial"/>
                <w:color w:val="000000"/>
              </w:rPr>
            </w:pPr>
            <w:r>
              <w:rPr>
                <w:rFonts w:ascii="Arial" w:eastAsia="Times New Roman" w:hAnsi="Arial" w:cs="Arial"/>
                <w:color w:val="000000"/>
              </w:rPr>
              <w:t>Don't know</w:t>
            </w:r>
            <w:r w:rsidR="004A39E0">
              <w:rPr>
                <w:rFonts w:ascii="Arial" w:eastAsia="Times New Roman" w:hAnsi="Arial" w:cs="Arial"/>
                <w:color w:val="000000"/>
              </w:rPr>
              <w:t xml:space="preserve"> (Go to ‘Credit cover frequency’)</w:t>
            </w:r>
          </w:p>
        </w:tc>
      </w:tr>
    </w:tbl>
    <w:p w14:paraId="03C19298"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4217410"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Against assumption </w:t>
      </w:r>
    </w:p>
    <w:p w14:paraId="026E4F0D" w14:textId="77777777" w:rsidR="00F154BC" w:rsidRDefault="00000000">
      <w:pPr>
        <w:pStyle w:val="Heading3"/>
        <w:divId w:val="304165176"/>
        <w:rPr>
          <w:rFonts w:ascii="Arial" w:eastAsia="Times New Roman" w:hAnsi="Arial" w:cs="Arial"/>
          <w:color w:val="000000"/>
        </w:rPr>
      </w:pPr>
      <w:r>
        <w:rPr>
          <w:rStyle w:val="question-number"/>
          <w:rFonts w:ascii="Arial" w:eastAsia="Times New Roman" w:hAnsi="Arial" w:cs="Arial"/>
          <w:color w:val="000000"/>
        </w:rPr>
        <w:t>38.</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31"/>
      </w:tblGrid>
      <w:tr w:rsidR="00F154BC" w14:paraId="5B96F8DC" w14:textId="77777777" w:rsidTr="004A39E0">
        <w:trPr>
          <w:divId w:val="304165176"/>
          <w:tblCellSpacing w:w="12" w:type="dxa"/>
        </w:trPr>
        <w:tc>
          <w:tcPr>
            <w:tcW w:w="8883" w:type="dxa"/>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65085610" w14:textId="77777777" w:rsidTr="004A39E0">
              <w:trPr>
                <w:trHeight w:val="1875"/>
                <w:tblCellSpacing w:w="15" w:type="dxa"/>
              </w:trPr>
              <w:tc>
                <w:tcPr>
                  <w:tcW w:w="8673" w:type="dxa"/>
                  <w:vAlign w:val="center"/>
                  <w:hideMark/>
                </w:tcPr>
                <w:p w14:paraId="5CDB52E7"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BDA951C" w14:textId="77777777" w:rsidR="00F154BC" w:rsidRDefault="00F154BC">
            <w:pPr>
              <w:rPr>
                <w:rFonts w:ascii="Arial" w:eastAsia="Times New Roman" w:hAnsi="Arial" w:cs="Arial"/>
                <w:color w:val="000000"/>
              </w:rPr>
            </w:pPr>
          </w:p>
        </w:tc>
      </w:tr>
    </w:tbl>
    <w:p w14:paraId="49D5F7C6"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08F3754"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Credit cover frequency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7BCB563C" w14:textId="77777777">
        <w:trPr>
          <w:divId w:val="2090226221"/>
          <w:tblCellSpacing w:w="12" w:type="dxa"/>
        </w:trPr>
        <w:tc>
          <w:tcPr>
            <w:tcW w:w="0" w:type="auto"/>
            <w:vAlign w:val="center"/>
            <w:hideMark/>
          </w:tcPr>
          <w:p w14:paraId="014A678A" w14:textId="77777777" w:rsidR="00F154BC" w:rsidRDefault="00000000">
            <w:pPr>
              <w:pStyle w:val="NormalWeb"/>
              <w:divId w:val="249851735"/>
              <w:rPr>
                <w:rFonts w:ascii="Arial" w:hAnsi="Arial" w:cs="Arial"/>
                <w:color w:val="000000"/>
              </w:rPr>
            </w:pPr>
            <w:r>
              <w:rPr>
                <w:rFonts w:ascii="Arial" w:hAnsi="Arial" w:cs="Arial"/>
                <w:color w:val="000000"/>
              </w:rPr>
              <w:t>We are now seeking views on how frequently credit cover is calculated by the counterparty and provided by suppliers. The consultation proposes 2 options:</w:t>
            </w:r>
          </w:p>
          <w:p w14:paraId="1E72BA54" w14:textId="77777777" w:rsidR="00F154BC" w:rsidRDefault="00000000">
            <w:pPr>
              <w:numPr>
                <w:ilvl w:val="0"/>
                <w:numId w:val="6"/>
              </w:numPr>
              <w:spacing w:before="100" w:beforeAutospacing="1" w:after="100" w:afterAutospacing="1"/>
              <w:divId w:val="249851735"/>
              <w:rPr>
                <w:rFonts w:ascii="Arial" w:eastAsia="Times New Roman" w:hAnsi="Arial" w:cs="Arial"/>
                <w:color w:val="000000"/>
              </w:rPr>
            </w:pPr>
            <w:r>
              <w:rPr>
                <w:rFonts w:ascii="Arial" w:eastAsia="Times New Roman" w:hAnsi="Arial" w:cs="Arial"/>
                <w:color w:val="000000"/>
              </w:rPr>
              <w:t>monthly</w:t>
            </w:r>
          </w:p>
          <w:p w14:paraId="3262EDE7" w14:textId="77777777" w:rsidR="00F154BC" w:rsidRDefault="00000000">
            <w:pPr>
              <w:numPr>
                <w:ilvl w:val="0"/>
                <w:numId w:val="6"/>
              </w:numPr>
              <w:spacing w:before="100" w:beforeAutospacing="1" w:after="100" w:afterAutospacing="1"/>
              <w:divId w:val="249851735"/>
              <w:rPr>
                <w:rFonts w:ascii="Arial" w:eastAsia="Times New Roman" w:hAnsi="Arial" w:cs="Arial"/>
                <w:color w:val="000000"/>
              </w:rPr>
            </w:pPr>
            <w:r>
              <w:rPr>
                <w:rFonts w:ascii="Arial" w:eastAsia="Times New Roman" w:hAnsi="Arial" w:cs="Arial"/>
                <w:color w:val="000000"/>
              </w:rPr>
              <w:t>quarterly</w:t>
            </w:r>
          </w:p>
          <w:p w14:paraId="184D7D8A" w14:textId="77777777" w:rsidR="00F154BC" w:rsidRDefault="00000000">
            <w:pPr>
              <w:pStyle w:val="NormalWeb"/>
              <w:divId w:val="249851735"/>
              <w:rPr>
                <w:rFonts w:ascii="Arial" w:hAnsi="Arial" w:cs="Arial"/>
                <w:color w:val="000000"/>
              </w:rPr>
            </w:pPr>
            <w:r>
              <w:rPr>
                <w:rFonts w:ascii="Arial" w:hAnsi="Arial" w:cs="Arial"/>
                <w:color w:val="000000"/>
              </w:rPr>
              <w:t xml:space="preserve">This consultation does not consider longer credit cover periods appropriate because there is greater risk of significant changes to costs and market share over these periods. The counterparty must </w:t>
            </w:r>
            <w:proofErr w:type="gramStart"/>
            <w:r>
              <w:rPr>
                <w:rFonts w:ascii="Arial" w:hAnsi="Arial" w:cs="Arial"/>
                <w:color w:val="000000"/>
              </w:rPr>
              <w:t>hold sufficient credit cover from a supplier at all times</w:t>
            </w:r>
            <w:proofErr w:type="gramEnd"/>
            <w:r>
              <w:rPr>
                <w:rFonts w:ascii="Arial" w:hAnsi="Arial" w:cs="Arial"/>
                <w:color w:val="000000"/>
              </w:rPr>
              <w:t>.</w:t>
            </w:r>
          </w:p>
          <w:p w14:paraId="6FD5E551" w14:textId="77777777" w:rsidR="00F154BC" w:rsidRDefault="00F154BC">
            <w:pPr>
              <w:rPr>
                <w:rFonts w:ascii="Arial" w:hAnsi="Arial" w:cs="Arial"/>
                <w:color w:val="000000"/>
              </w:rPr>
            </w:pPr>
          </w:p>
        </w:tc>
      </w:tr>
    </w:tbl>
    <w:p w14:paraId="42B8437E" w14:textId="77777777" w:rsidR="00F154BC" w:rsidRDefault="00000000">
      <w:pPr>
        <w:pStyle w:val="Heading3"/>
        <w:divId w:val="67121076"/>
        <w:rPr>
          <w:rFonts w:ascii="Arial" w:eastAsia="Times New Roman" w:hAnsi="Arial" w:cs="Arial"/>
          <w:color w:val="000000"/>
        </w:rPr>
      </w:pPr>
      <w:r>
        <w:rPr>
          <w:rStyle w:val="question-number"/>
          <w:rFonts w:ascii="Arial" w:eastAsia="Times New Roman" w:hAnsi="Arial" w:cs="Arial"/>
          <w:color w:val="000000"/>
        </w:rPr>
        <w:t>39.</w:t>
      </w:r>
      <w:r>
        <w:rPr>
          <w:rFonts w:ascii="Arial" w:eastAsia="Times New Roman" w:hAnsi="Arial" w:cs="Arial"/>
          <w:color w:val="000000"/>
        </w:rPr>
        <w:t xml:space="preserve"> How frequently should credit cover be updated?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600"/>
      </w:tblGrid>
      <w:tr w:rsidR="00F154BC" w14:paraId="3EBC25C5" w14:textId="77777777">
        <w:trPr>
          <w:divId w:val="67121076"/>
          <w:trHeight w:val="225"/>
          <w:tblCellSpacing w:w="12" w:type="dxa"/>
        </w:trPr>
        <w:tc>
          <w:tcPr>
            <w:tcW w:w="225" w:type="dxa"/>
            <w:tcMar>
              <w:top w:w="75" w:type="dxa"/>
              <w:left w:w="75" w:type="dxa"/>
              <w:bottom w:w="75" w:type="dxa"/>
              <w:right w:w="75" w:type="dxa"/>
            </w:tcMar>
            <w:hideMark/>
          </w:tcPr>
          <w:p w14:paraId="320210D1"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44BE5D0" w14:textId="367AE52B" w:rsidR="00F154BC" w:rsidRDefault="00B02D95">
            <w:pPr>
              <w:rPr>
                <w:rFonts w:ascii="Arial" w:eastAsia="Times New Roman" w:hAnsi="Arial" w:cs="Arial"/>
                <w:color w:val="000000"/>
              </w:rPr>
            </w:pPr>
            <w:r>
              <w:rPr>
                <w:rFonts w:ascii="Arial" w:eastAsia="Times New Roman" w:hAnsi="Arial" w:cs="Arial"/>
                <w:color w:val="000000"/>
              </w:rPr>
              <w:t>Monthly</w:t>
            </w:r>
          </w:p>
        </w:tc>
      </w:tr>
      <w:tr w:rsidR="00F154BC" w14:paraId="69123698" w14:textId="77777777">
        <w:trPr>
          <w:divId w:val="67121076"/>
          <w:trHeight w:val="225"/>
          <w:tblCellSpacing w:w="12" w:type="dxa"/>
        </w:trPr>
        <w:tc>
          <w:tcPr>
            <w:tcW w:w="225" w:type="dxa"/>
            <w:tcMar>
              <w:top w:w="75" w:type="dxa"/>
              <w:left w:w="75" w:type="dxa"/>
              <w:bottom w:w="75" w:type="dxa"/>
              <w:right w:w="75" w:type="dxa"/>
            </w:tcMar>
            <w:hideMark/>
          </w:tcPr>
          <w:p w14:paraId="5301BBCD"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48E7B06" w14:textId="72DC3AF6" w:rsidR="00F154BC" w:rsidRDefault="00B02D95">
            <w:pPr>
              <w:rPr>
                <w:rFonts w:ascii="Arial" w:eastAsia="Times New Roman" w:hAnsi="Arial" w:cs="Arial"/>
                <w:color w:val="000000"/>
              </w:rPr>
            </w:pPr>
            <w:r>
              <w:rPr>
                <w:rFonts w:ascii="Arial" w:eastAsia="Times New Roman" w:hAnsi="Arial" w:cs="Arial"/>
                <w:color w:val="000000"/>
              </w:rPr>
              <w:t>Quarterly</w:t>
            </w:r>
          </w:p>
        </w:tc>
      </w:tr>
      <w:tr w:rsidR="00F154BC" w14:paraId="53EC6604" w14:textId="77777777">
        <w:trPr>
          <w:divId w:val="67121076"/>
          <w:trHeight w:val="225"/>
          <w:tblCellSpacing w:w="12" w:type="dxa"/>
        </w:trPr>
        <w:tc>
          <w:tcPr>
            <w:tcW w:w="225" w:type="dxa"/>
            <w:tcMar>
              <w:top w:w="75" w:type="dxa"/>
              <w:left w:w="75" w:type="dxa"/>
              <w:bottom w:w="75" w:type="dxa"/>
              <w:right w:w="75" w:type="dxa"/>
            </w:tcMar>
            <w:hideMark/>
          </w:tcPr>
          <w:p w14:paraId="7AC565D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1E1F122" w14:textId="499D5995" w:rsidR="00F154BC" w:rsidRDefault="00000000">
            <w:pPr>
              <w:rPr>
                <w:rFonts w:ascii="Arial" w:eastAsia="Times New Roman" w:hAnsi="Arial" w:cs="Arial"/>
                <w:color w:val="000000"/>
              </w:rPr>
            </w:pPr>
            <w:r>
              <w:rPr>
                <w:rFonts w:ascii="Arial" w:eastAsia="Times New Roman" w:hAnsi="Arial" w:cs="Arial"/>
                <w:color w:val="000000"/>
              </w:rPr>
              <w:t>Don't know</w:t>
            </w:r>
            <w:r w:rsidR="004A39E0">
              <w:rPr>
                <w:rFonts w:ascii="Arial" w:eastAsia="Times New Roman" w:hAnsi="Arial" w:cs="Arial"/>
                <w:color w:val="000000"/>
              </w:rPr>
              <w:t xml:space="preserve"> (Go to ‘Return of excess credit cover’)</w:t>
            </w:r>
          </w:p>
        </w:tc>
      </w:tr>
      <w:tr w:rsidR="00F154BC" w14:paraId="7BA4C074" w14:textId="77777777">
        <w:trPr>
          <w:divId w:val="67121076"/>
          <w:trHeight w:val="225"/>
          <w:tblCellSpacing w:w="12" w:type="dxa"/>
        </w:trPr>
        <w:tc>
          <w:tcPr>
            <w:tcW w:w="225" w:type="dxa"/>
            <w:tcMar>
              <w:top w:w="75" w:type="dxa"/>
              <w:left w:w="75" w:type="dxa"/>
              <w:bottom w:w="75" w:type="dxa"/>
              <w:right w:w="75" w:type="dxa"/>
            </w:tcMar>
            <w:hideMark/>
          </w:tcPr>
          <w:p w14:paraId="2F1277E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28FB315" w14:textId="77777777" w:rsidR="00F154BC" w:rsidRDefault="00000000">
            <w:pPr>
              <w:textAlignment w:val="top"/>
              <w:divId w:val="669866298"/>
              <w:rPr>
                <w:rFonts w:ascii="Arial" w:eastAsia="Times New Roman" w:hAnsi="Arial" w:cs="Arial"/>
                <w:color w:val="000000"/>
              </w:rPr>
            </w:pPr>
            <w:r>
              <w:rPr>
                <w:rFonts w:ascii="Arial" w:eastAsia="Times New Roman" w:hAnsi="Arial" w:cs="Arial"/>
                <w:color w:val="000000"/>
              </w:rPr>
              <w:t>Another frequency amount</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F154BC" w14:paraId="6D8B2D3A" w14:textId="77777777">
              <w:trPr>
                <w:tblCellSpacing w:w="15" w:type="dxa"/>
              </w:trPr>
              <w:tc>
                <w:tcPr>
                  <w:tcW w:w="0" w:type="auto"/>
                  <w:vAlign w:val="center"/>
                  <w:hideMark/>
                </w:tcPr>
                <w:p w14:paraId="0DD633BA" w14:textId="77777777" w:rsidR="00F154BC" w:rsidRDefault="00000000">
                  <w:pPr>
                    <w:rPr>
                      <w:rFonts w:ascii="Arial" w:eastAsia="Times New Roman" w:hAnsi="Arial" w:cs="Arial"/>
                      <w:color w:val="000000"/>
                    </w:rPr>
                  </w:pPr>
                  <w:r>
                    <w:rPr>
                      <w:rFonts w:ascii="Arial" w:eastAsia="Times New Roman" w:hAnsi="Arial" w:cs="Arial"/>
                      <w:color w:val="000000"/>
                    </w:rPr>
                    <w:t> </w:t>
                  </w:r>
                </w:p>
              </w:tc>
            </w:tr>
          </w:tbl>
          <w:p w14:paraId="0F52EEED" w14:textId="77777777" w:rsidR="00F154BC" w:rsidRDefault="00F154BC">
            <w:pPr>
              <w:rPr>
                <w:rFonts w:ascii="Arial" w:eastAsia="Times New Roman" w:hAnsi="Arial" w:cs="Arial"/>
                <w:color w:val="000000"/>
              </w:rPr>
            </w:pPr>
          </w:p>
        </w:tc>
      </w:tr>
    </w:tbl>
    <w:p w14:paraId="7A78117B"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B4398E3"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Credit cover frequency reasoning</w:t>
      </w:r>
    </w:p>
    <w:p w14:paraId="1B4D2A63" w14:textId="77777777" w:rsidR="00F154BC" w:rsidRDefault="00000000">
      <w:pPr>
        <w:pStyle w:val="Heading3"/>
        <w:divId w:val="826475135"/>
        <w:rPr>
          <w:rFonts w:ascii="Arial" w:eastAsia="Times New Roman" w:hAnsi="Arial" w:cs="Arial"/>
          <w:color w:val="000000"/>
        </w:rPr>
      </w:pPr>
      <w:r>
        <w:rPr>
          <w:rStyle w:val="question-number"/>
          <w:rFonts w:ascii="Arial" w:eastAsia="Times New Roman" w:hAnsi="Arial" w:cs="Arial"/>
          <w:color w:val="000000"/>
        </w:rPr>
        <w:t>40.</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22B06D37" w14:textId="77777777">
        <w:trPr>
          <w:divId w:val="826475135"/>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4ABE60AF" w14:textId="77777777" w:rsidTr="004A39E0">
              <w:trPr>
                <w:trHeight w:val="1875"/>
                <w:tblCellSpacing w:w="15" w:type="dxa"/>
              </w:trPr>
              <w:tc>
                <w:tcPr>
                  <w:tcW w:w="8815" w:type="dxa"/>
                  <w:vAlign w:val="center"/>
                  <w:hideMark/>
                </w:tcPr>
                <w:p w14:paraId="7A5FDD6C"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48FFB82" w14:textId="77777777" w:rsidR="00F154BC" w:rsidRDefault="00F154BC">
            <w:pPr>
              <w:rPr>
                <w:rFonts w:ascii="Arial" w:eastAsia="Times New Roman" w:hAnsi="Arial" w:cs="Arial"/>
                <w:color w:val="000000"/>
              </w:rPr>
            </w:pPr>
          </w:p>
        </w:tc>
      </w:tr>
    </w:tbl>
    <w:p w14:paraId="655A994A"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FB7A291"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Return of excess credit cover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6E7AFE47" w14:textId="77777777">
        <w:trPr>
          <w:divId w:val="483159503"/>
          <w:tblCellSpacing w:w="12" w:type="dxa"/>
        </w:trPr>
        <w:tc>
          <w:tcPr>
            <w:tcW w:w="0" w:type="auto"/>
            <w:vAlign w:val="center"/>
            <w:hideMark/>
          </w:tcPr>
          <w:p w14:paraId="22E48A17" w14:textId="6B682B51" w:rsidR="00F154BC" w:rsidRDefault="00000000">
            <w:pPr>
              <w:pStyle w:val="NormalWeb"/>
              <w:divId w:val="1178932349"/>
              <w:rPr>
                <w:rFonts w:ascii="Arial" w:hAnsi="Arial" w:cs="Arial"/>
                <w:color w:val="000000"/>
              </w:rPr>
            </w:pPr>
            <w:r>
              <w:rPr>
                <w:rFonts w:ascii="Arial" w:hAnsi="Arial" w:cs="Arial"/>
                <w:color w:val="000000"/>
              </w:rPr>
              <w:t xml:space="preserve">We are now seeking views on the return of excess credit cover. The </w:t>
            </w:r>
            <w:hyperlink r:id="rId9" w:history="1">
              <w:r w:rsidR="00F154BC">
                <w:rPr>
                  <w:rStyle w:val="Hyperlink"/>
                  <w:rFonts w:ascii="Arial" w:hAnsi="Arial" w:cs="Arial"/>
                </w:rPr>
                <w:t xml:space="preserve">levy for the Green Gas </w:t>
              </w:r>
              <w:r w:rsidR="00B02D95">
                <w:rPr>
                  <w:rStyle w:val="Hyperlink"/>
                  <w:rFonts w:ascii="Arial" w:hAnsi="Arial" w:cs="Arial"/>
                </w:rPr>
                <w:t>S</w:t>
              </w:r>
              <w:r w:rsidR="00F154BC">
                <w:rPr>
                  <w:rStyle w:val="Hyperlink"/>
                  <w:rFonts w:ascii="Arial" w:hAnsi="Arial" w:cs="Arial"/>
                </w:rPr>
                <w:t xml:space="preserve">upport </w:t>
              </w:r>
              <w:r w:rsidR="00B02D95">
                <w:rPr>
                  <w:rStyle w:val="Hyperlink"/>
                  <w:rFonts w:ascii="Arial" w:hAnsi="Arial" w:cs="Arial"/>
                </w:rPr>
                <w:t>S</w:t>
              </w:r>
              <w:r w:rsidR="00F154BC">
                <w:rPr>
                  <w:rStyle w:val="Hyperlink"/>
                  <w:rFonts w:ascii="Arial" w:hAnsi="Arial" w:cs="Arial"/>
                </w:rPr>
                <w:t>cheme [opens in a new window]</w:t>
              </w:r>
            </w:hyperlink>
            <w:r>
              <w:rPr>
                <w:rFonts w:ascii="Arial" w:hAnsi="Arial" w:cs="Arial"/>
                <w:color w:val="000000"/>
              </w:rPr>
              <w:t xml:space="preserve"> returns excess credit cover to suppliers annually or</w:t>
            </w:r>
            <w:r w:rsidR="00B02D95">
              <w:rPr>
                <w:rFonts w:ascii="Arial" w:hAnsi="Arial" w:cs="Arial"/>
                <w:color w:val="000000"/>
              </w:rPr>
              <w:t>,</w:t>
            </w:r>
            <w:r>
              <w:rPr>
                <w:rFonts w:ascii="Arial" w:hAnsi="Arial" w:cs="Arial"/>
                <w:color w:val="000000"/>
              </w:rPr>
              <w:t xml:space="preserve"> by request</w:t>
            </w:r>
            <w:r w:rsidR="00B02D95">
              <w:rPr>
                <w:rFonts w:ascii="Arial" w:hAnsi="Arial" w:cs="Arial"/>
                <w:color w:val="000000"/>
              </w:rPr>
              <w:t>,</w:t>
            </w:r>
            <w:r>
              <w:rPr>
                <w:rFonts w:ascii="Arial" w:hAnsi="Arial" w:cs="Arial"/>
                <w:color w:val="000000"/>
              </w:rPr>
              <w:t xml:space="preserve"> quarterly, with returns taking up to three weeks. Suppliers can request returns at any time under the </w:t>
            </w:r>
            <w:hyperlink r:id="rId10" w:tgtFrame="_blank" w:history="1">
              <w:r w:rsidR="00F154BC">
                <w:rPr>
                  <w:rStyle w:val="Hyperlink"/>
                  <w:rFonts w:ascii="Arial" w:hAnsi="Arial" w:cs="Arial"/>
                </w:rPr>
                <w:t>supplier obligation for Contracts for Difference [opens in a new window]</w:t>
              </w:r>
            </w:hyperlink>
            <w:r>
              <w:rPr>
                <w:rFonts w:ascii="Arial" w:hAnsi="Arial" w:cs="Arial"/>
                <w:color w:val="000000"/>
              </w:rPr>
              <w:t xml:space="preserve"> that then take up to two business days. The levy for the Green Gas </w:t>
            </w:r>
            <w:r w:rsidR="00B02D95">
              <w:rPr>
                <w:rFonts w:ascii="Arial" w:hAnsi="Arial" w:cs="Arial"/>
                <w:color w:val="000000"/>
              </w:rPr>
              <w:t>S</w:t>
            </w:r>
            <w:r>
              <w:rPr>
                <w:rFonts w:ascii="Arial" w:hAnsi="Arial" w:cs="Arial"/>
                <w:color w:val="000000"/>
              </w:rPr>
              <w:t xml:space="preserve">upport </w:t>
            </w:r>
            <w:r w:rsidR="00B02D95">
              <w:rPr>
                <w:rFonts w:ascii="Arial" w:hAnsi="Arial" w:cs="Arial"/>
                <w:color w:val="000000"/>
              </w:rPr>
              <w:t>S</w:t>
            </w:r>
            <w:r>
              <w:rPr>
                <w:rFonts w:ascii="Arial" w:hAnsi="Arial" w:cs="Arial"/>
                <w:color w:val="000000"/>
              </w:rPr>
              <w:t>cheme pays interest back annually whilst the supplier obligation pays within 15 days of the administrator receiving the interest.</w:t>
            </w:r>
          </w:p>
          <w:p w14:paraId="34926009" w14:textId="77777777" w:rsidR="00F154BC" w:rsidRDefault="00F154BC">
            <w:pPr>
              <w:rPr>
                <w:rFonts w:ascii="Arial" w:hAnsi="Arial" w:cs="Arial"/>
                <w:color w:val="000000"/>
              </w:rPr>
            </w:pPr>
          </w:p>
        </w:tc>
      </w:tr>
    </w:tbl>
    <w:p w14:paraId="7F79CECB" w14:textId="77777777" w:rsidR="00F154BC" w:rsidRDefault="00000000">
      <w:pPr>
        <w:pStyle w:val="Heading3"/>
        <w:divId w:val="922379447"/>
        <w:rPr>
          <w:rFonts w:ascii="Arial" w:eastAsia="Times New Roman" w:hAnsi="Arial" w:cs="Arial"/>
          <w:color w:val="000000"/>
        </w:rPr>
      </w:pPr>
      <w:r>
        <w:rPr>
          <w:rStyle w:val="question-number"/>
          <w:rFonts w:ascii="Arial" w:eastAsia="Times New Roman" w:hAnsi="Arial" w:cs="Arial"/>
          <w:color w:val="000000"/>
        </w:rPr>
        <w:t>41.</w:t>
      </w:r>
      <w:r>
        <w:rPr>
          <w:rFonts w:ascii="Arial" w:eastAsia="Times New Roman" w:hAnsi="Arial" w:cs="Arial"/>
          <w:color w:val="000000"/>
        </w:rPr>
        <w:t xml:space="preserve"> In your view what approach, for the purposes of the aviation fuel supplier levy, should be taken to the return of:</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26"/>
        <w:gridCol w:w="6100"/>
      </w:tblGrid>
      <w:tr w:rsidR="00F154BC" w14:paraId="7BF4B522" w14:textId="77777777">
        <w:trPr>
          <w:divId w:val="922379447"/>
          <w:tblCellSpacing w:w="12" w:type="dxa"/>
        </w:trPr>
        <w:tc>
          <w:tcPr>
            <w:tcW w:w="0" w:type="auto"/>
            <w:tcMar>
              <w:top w:w="105" w:type="dxa"/>
              <w:left w:w="24" w:type="dxa"/>
              <w:bottom w:w="24" w:type="dxa"/>
              <w:right w:w="24" w:type="dxa"/>
            </w:tcMar>
            <w:hideMark/>
          </w:tcPr>
          <w:p w14:paraId="7EFF3C40" w14:textId="77777777" w:rsidR="00F154BC" w:rsidRDefault="00000000">
            <w:pPr>
              <w:rPr>
                <w:rFonts w:ascii="Arial" w:eastAsia="Times New Roman" w:hAnsi="Arial" w:cs="Arial"/>
                <w:color w:val="000000"/>
              </w:rPr>
            </w:pPr>
            <w:r>
              <w:rPr>
                <w:rFonts w:ascii="Arial" w:eastAsia="Times New Roman" w:hAnsi="Arial" w:cs="Arial"/>
                <w:color w:val="000000"/>
              </w:rPr>
              <w:t>excess credit cover to suppliers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F154BC" w14:paraId="36582BEC" w14:textId="77777777">
              <w:trPr>
                <w:trHeight w:val="375"/>
                <w:tblCellSpacing w:w="15" w:type="dxa"/>
              </w:trPr>
              <w:tc>
                <w:tcPr>
                  <w:tcW w:w="6000" w:type="dxa"/>
                  <w:vAlign w:val="center"/>
                  <w:hideMark/>
                </w:tcPr>
                <w:p w14:paraId="20B762DB" w14:textId="77777777" w:rsidR="00F154BC" w:rsidRDefault="00F154BC">
                  <w:pPr>
                    <w:rPr>
                      <w:rFonts w:ascii="Arial" w:eastAsia="Times New Roman" w:hAnsi="Arial" w:cs="Arial"/>
                      <w:color w:val="000000"/>
                    </w:rPr>
                  </w:pPr>
                </w:p>
              </w:tc>
            </w:tr>
          </w:tbl>
          <w:p w14:paraId="6F99D7B2" w14:textId="77777777" w:rsidR="00F154BC" w:rsidRDefault="00F154BC">
            <w:pPr>
              <w:rPr>
                <w:rFonts w:ascii="Arial" w:eastAsia="Times New Roman" w:hAnsi="Arial" w:cs="Arial"/>
                <w:color w:val="000000"/>
              </w:rPr>
            </w:pPr>
          </w:p>
        </w:tc>
      </w:tr>
      <w:tr w:rsidR="00F154BC" w14:paraId="5CFA4061" w14:textId="77777777">
        <w:trPr>
          <w:divId w:val="922379447"/>
          <w:tblCellSpacing w:w="12" w:type="dxa"/>
        </w:trPr>
        <w:tc>
          <w:tcPr>
            <w:tcW w:w="0" w:type="auto"/>
            <w:tcMar>
              <w:top w:w="105" w:type="dxa"/>
              <w:left w:w="24" w:type="dxa"/>
              <w:bottom w:w="24" w:type="dxa"/>
              <w:right w:w="24" w:type="dxa"/>
            </w:tcMar>
            <w:hideMark/>
          </w:tcPr>
          <w:p w14:paraId="75D5C1B9" w14:textId="77777777" w:rsidR="00F154BC" w:rsidRDefault="00000000">
            <w:pPr>
              <w:rPr>
                <w:rFonts w:ascii="Arial" w:eastAsia="Times New Roman" w:hAnsi="Arial" w:cs="Arial"/>
                <w:color w:val="000000"/>
              </w:rPr>
            </w:pPr>
            <w:r>
              <w:rPr>
                <w:rFonts w:ascii="Arial" w:eastAsia="Times New Roman" w:hAnsi="Arial" w:cs="Arial"/>
                <w:color w:val="000000"/>
              </w:rPr>
              <w:t>earned interest on cash credit cover to suppliers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F154BC" w14:paraId="57D78A14" w14:textId="77777777">
              <w:trPr>
                <w:trHeight w:val="375"/>
                <w:tblCellSpacing w:w="15" w:type="dxa"/>
              </w:trPr>
              <w:tc>
                <w:tcPr>
                  <w:tcW w:w="6000" w:type="dxa"/>
                  <w:vAlign w:val="center"/>
                  <w:hideMark/>
                </w:tcPr>
                <w:p w14:paraId="2475D776" w14:textId="77777777" w:rsidR="00F154BC" w:rsidRDefault="00F154BC">
                  <w:pPr>
                    <w:rPr>
                      <w:rFonts w:ascii="Arial" w:eastAsia="Times New Roman" w:hAnsi="Arial" w:cs="Arial"/>
                      <w:color w:val="000000"/>
                    </w:rPr>
                  </w:pPr>
                </w:p>
              </w:tc>
            </w:tr>
          </w:tbl>
          <w:p w14:paraId="02D914A9" w14:textId="77777777" w:rsidR="00F154BC" w:rsidRDefault="00F154BC">
            <w:pPr>
              <w:rPr>
                <w:rFonts w:ascii="Arial" w:eastAsia="Times New Roman" w:hAnsi="Arial" w:cs="Arial"/>
                <w:color w:val="000000"/>
              </w:rPr>
            </w:pPr>
          </w:p>
        </w:tc>
      </w:tr>
    </w:tbl>
    <w:p w14:paraId="0784B0CC"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87F2747"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Mutualisation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1F38A0CE" w14:textId="77777777">
        <w:trPr>
          <w:divId w:val="316348905"/>
          <w:tblCellSpacing w:w="12" w:type="dxa"/>
        </w:trPr>
        <w:tc>
          <w:tcPr>
            <w:tcW w:w="0" w:type="auto"/>
            <w:vAlign w:val="center"/>
            <w:hideMark/>
          </w:tcPr>
          <w:p w14:paraId="2182FAEC" w14:textId="30F45FEC" w:rsidR="002C108B" w:rsidRDefault="002C108B">
            <w:pPr>
              <w:pStyle w:val="NormalWeb"/>
              <w:divId w:val="1635989047"/>
              <w:rPr>
                <w:rFonts w:ascii="Arial" w:hAnsi="Arial" w:cs="Arial"/>
                <w:color w:val="000000"/>
              </w:rPr>
            </w:pPr>
            <w:r w:rsidRPr="002C108B">
              <w:rPr>
                <w:rFonts w:ascii="Arial" w:hAnsi="Arial" w:cs="Arial"/>
                <w:color w:val="000000"/>
              </w:rPr>
              <w:t>Mutualisation in a levy scheme refers to the process of spreading the cost of a supplier default across the remaining participants of the scheme.</w:t>
            </w:r>
          </w:p>
          <w:p w14:paraId="111285DE" w14:textId="44C054D3" w:rsidR="00F154BC" w:rsidRDefault="00000000">
            <w:pPr>
              <w:pStyle w:val="NormalWeb"/>
              <w:divId w:val="1635989047"/>
              <w:rPr>
                <w:rFonts w:ascii="Arial" w:hAnsi="Arial" w:cs="Arial"/>
                <w:color w:val="000000"/>
              </w:rPr>
            </w:pPr>
            <w:r>
              <w:rPr>
                <w:rFonts w:ascii="Arial" w:hAnsi="Arial" w:cs="Arial"/>
                <w:color w:val="000000"/>
              </w:rPr>
              <w:t>We are proposing the use of mutualisation as a financial backstop for the counterparty to be used when credit cover held is insufficient to fully cover the outstanding liabilities of a supplier that fails to meet its levy obligations.</w:t>
            </w:r>
          </w:p>
          <w:p w14:paraId="0EA65C89" w14:textId="77777777" w:rsidR="00F154BC" w:rsidRDefault="00F154BC">
            <w:pPr>
              <w:rPr>
                <w:rFonts w:ascii="Arial" w:hAnsi="Arial" w:cs="Arial"/>
                <w:color w:val="000000"/>
              </w:rPr>
            </w:pPr>
          </w:p>
        </w:tc>
      </w:tr>
    </w:tbl>
    <w:p w14:paraId="5A7DB8AE" w14:textId="77777777" w:rsidR="00F154BC" w:rsidRDefault="00000000">
      <w:pPr>
        <w:pStyle w:val="Heading3"/>
        <w:divId w:val="1596133008"/>
        <w:rPr>
          <w:rFonts w:ascii="Arial" w:eastAsia="Times New Roman" w:hAnsi="Arial" w:cs="Arial"/>
          <w:color w:val="000000"/>
        </w:rPr>
      </w:pPr>
      <w:r>
        <w:rPr>
          <w:rStyle w:val="question-number"/>
          <w:rFonts w:ascii="Arial" w:eastAsia="Times New Roman" w:hAnsi="Arial" w:cs="Arial"/>
          <w:color w:val="000000"/>
        </w:rPr>
        <w:t>42.</w:t>
      </w:r>
      <w:r>
        <w:rPr>
          <w:rFonts w:ascii="Arial" w:eastAsia="Times New Roman" w:hAnsi="Arial" w:cs="Arial"/>
          <w:color w:val="000000"/>
        </w:rPr>
        <w:t xml:space="preserve"> Do you agree or disagree that mutualisation should be used as a backstop measure, to cover unpaid amounts, when a supplier defaults and their credit cover is insufficient?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180"/>
      </w:tblGrid>
      <w:tr w:rsidR="00F154BC" w14:paraId="1E36D866" w14:textId="77777777">
        <w:trPr>
          <w:divId w:val="1596133008"/>
          <w:trHeight w:val="225"/>
          <w:tblCellSpacing w:w="12" w:type="dxa"/>
        </w:trPr>
        <w:tc>
          <w:tcPr>
            <w:tcW w:w="225" w:type="dxa"/>
            <w:tcMar>
              <w:top w:w="75" w:type="dxa"/>
              <w:left w:w="75" w:type="dxa"/>
              <w:bottom w:w="75" w:type="dxa"/>
              <w:right w:w="75" w:type="dxa"/>
            </w:tcMar>
            <w:hideMark/>
          </w:tcPr>
          <w:p w14:paraId="2422CDB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63BC664" w14:textId="6CAC3412" w:rsidR="00F154BC" w:rsidRDefault="00000000">
            <w:pPr>
              <w:rPr>
                <w:rFonts w:ascii="Arial" w:eastAsia="Times New Roman" w:hAnsi="Arial" w:cs="Arial"/>
                <w:color w:val="000000"/>
              </w:rPr>
            </w:pPr>
            <w:r>
              <w:rPr>
                <w:rFonts w:ascii="Arial" w:eastAsia="Times New Roman" w:hAnsi="Arial" w:cs="Arial"/>
                <w:color w:val="000000"/>
              </w:rPr>
              <w:t>Agree</w:t>
            </w:r>
          </w:p>
        </w:tc>
      </w:tr>
      <w:tr w:rsidR="00F154BC" w14:paraId="646E3F2F" w14:textId="77777777">
        <w:trPr>
          <w:divId w:val="1596133008"/>
          <w:trHeight w:val="225"/>
          <w:tblCellSpacing w:w="12" w:type="dxa"/>
        </w:trPr>
        <w:tc>
          <w:tcPr>
            <w:tcW w:w="225" w:type="dxa"/>
            <w:tcMar>
              <w:top w:w="75" w:type="dxa"/>
              <w:left w:w="75" w:type="dxa"/>
              <w:bottom w:w="75" w:type="dxa"/>
              <w:right w:w="75" w:type="dxa"/>
            </w:tcMar>
            <w:hideMark/>
          </w:tcPr>
          <w:p w14:paraId="39189460"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F01001C" w14:textId="3A70B0D0" w:rsidR="00F154BC" w:rsidRDefault="00000000">
            <w:pPr>
              <w:rPr>
                <w:rFonts w:ascii="Arial" w:eastAsia="Times New Roman" w:hAnsi="Arial" w:cs="Arial"/>
                <w:color w:val="000000"/>
              </w:rPr>
            </w:pPr>
            <w:r>
              <w:rPr>
                <w:rFonts w:ascii="Arial" w:eastAsia="Times New Roman" w:hAnsi="Arial" w:cs="Arial"/>
                <w:color w:val="000000"/>
              </w:rPr>
              <w:t>Disagree</w:t>
            </w:r>
            <w:r w:rsidR="00583B8A">
              <w:rPr>
                <w:rFonts w:ascii="Arial" w:eastAsia="Times New Roman" w:hAnsi="Arial" w:cs="Arial"/>
                <w:color w:val="000000"/>
              </w:rPr>
              <w:t xml:space="preserve"> (Go to ‘Against </w:t>
            </w:r>
            <w:proofErr w:type="spellStart"/>
            <w:r w:rsidR="00583B8A">
              <w:rPr>
                <w:rFonts w:ascii="Arial" w:eastAsia="Times New Roman" w:hAnsi="Arial" w:cs="Arial"/>
                <w:color w:val="000000"/>
              </w:rPr>
              <w:t>mutalisation</w:t>
            </w:r>
            <w:proofErr w:type="spellEnd"/>
            <w:r w:rsidR="00583B8A">
              <w:rPr>
                <w:rFonts w:ascii="Arial" w:eastAsia="Times New Roman" w:hAnsi="Arial" w:cs="Arial"/>
                <w:color w:val="000000"/>
              </w:rPr>
              <w:t>’)</w:t>
            </w:r>
          </w:p>
        </w:tc>
      </w:tr>
      <w:tr w:rsidR="00F154BC" w14:paraId="79559E14" w14:textId="77777777">
        <w:trPr>
          <w:divId w:val="1596133008"/>
          <w:trHeight w:val="225"/>
          <w:tblCellSpacing w:w="12" w:type="dxa"/>
        </w:trPr>
        <w:tc>
          <w:tcPr>
            <w:tcW w:w="225" w:type="dxa"/>
            <w:tcMar>
              <w:top w:w="75" w:type="dxa"/>
              <w:left w:w="75" w:type="dxa"/>
              <w:bottom w:w="75" w:type="dxa"/>
              <w:right w:w="75" w:type="dxa"/>
            </w:tcMar>
            <w:hideMark/>
          </w:tcPr>
          <w:p w14:paraId="747AE894"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A39754C" w14:textId="216C541B" w:rsidR="00F154BC" w:rsidRDefault="00000000">
            <w:pPr>
              <w:rPr>
                <w:rFonts w:ascii="Arial" w:eastAsia="Times New Roman" w:hAnsi="Arial" w:cs="Arial"/>
                <w:color w:val="000000"/>
              </w:rPr>
            </w:pPr>
            <w:r>
              <w:rPr>
                <w:rFonts w:ascii="Arial" w:eastAsia="Times New Roman" w:hAnsi="Arial" w:cs="Arial"/>
                <w:color w:val="000000"/>
              </w:rPr>
              <w:t>Don't know</w:t>
            </w:r>
            <w:r w:rsidR="004A39E0">
              <w:rPr>
                <w:rFonts w:ascii="Arial" w:eastAsia="Times New Roman" w:hAnsi="Arial" w:cs="Arial"/>
                <w:color w:val="000000"/>
              </w:rPr>
              <w:t xml:space="preserve"> </w:t>
            </w:r>
          </w:p>
        </w:tc>
      </w:tr>
    </w:tbl>
    <w:p w14:paraId="649E4B51"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7BC4B8D" w14:textId="436622C7" w:rsidR="00F154BC" w:rsidRDefault="002C108B">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Additional proposals</w:t>
      </w:r>
    </w:p>
    <w:p w14:paraId="7DAB33FD" w14:textId="77777777" w:rsidR="00F154BC" w:rsidRDefault="00000000">
      <w:pPr>
        <w:pStyle w:val="Heading3"/>
        <w:divId w:val="823206587"/>
        <w:rPr>
          <w:rFonts w:ascii="Arial" w:eastAsia="Times New Roman" w:hAnsi="Arial" w:cs="Arial"/>
          <w:color w:val="000000"/>
        </w:rPr>
      </w:pPr>
      <w:r>
        <w:rPr>
          <w:rStyle w:val="question-number"/>
          <w:rFonts w:ascii="Arial" w:eastAsia="Times New Roman" w:hAnsi="Arial" w:cs="Arial"/>
          <w:color w:val="000000"/>
        </w:rPr>
        <w:t>43.</w:t>
      </w:r>
      <w:r>
        <w:rPr>
          <w:rFonts w:ascii="Arial" w:eastAsia="Times New Roman" w:hAnsi="Arial" w:cs="Arial"/>
          <w:color w:val="000000"/>
        </w:rPr>
        <w:t xml:space="preserve"> What, if any, additional proposals do you have to manage supplier default risk under the scheme?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3CDD6AC3" w14:textId="77777777">
        <w:trPr>
          <w:divId w:val="823206587"/>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28CB725F" w14:textId="77777777" w:rsidTr="004A39E0">
              <w:trPr>
                <w:trHeight w:val="1875"/>
                <w:tblCellSpacing w:w="15" w:type="dxa"/>
              </w:trPr>
              <w:tc>
                <w:tcPr>
                  <w:tcW w:w="8673" w:type="dxa"/>
                  <w:vAlign w:val="center"/>
                  <w:hideMark/>
                </w:tcPr>
                <w:p w14:paraId="2BF673F6"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FEF5D5D" w14:textId="77777777" w:rsidR="00F154BC" w:rsidRDefault="00F154BC">
            <w:pPr>
              <w:rPr>
                <w:rFonts w:ascii="Arial" w:eastAsia="Times New Roman" w:hAnsi="Arial" w:cs="Arial"/>
                <w:color w:val="000000"/>
              </w:rPr>
            </w:pPr>
          </w:p>
        </w:tc>
      </w:tr>
    </w:tbl>
    <w:p w14:paraId="15559A9A" w14:textId="53495A78" w:rsidR="00F154BC" w:rsidRDefault="00000000">
      <w:pPr>
        <w:rPr>
          <w:rFonts w:ascii="Arial" w:eastAsia="Times New Roman" w:hAnsi="Arial" w:cs="Arial"/>
          <w:color w:val="000000"/>
        </w:rPr>
      </w:pPr>
      <w:r>
        <w:rPr>
          <w:rFonts w:ascii="Arial" w:eastAsia="Times New Roman" w:hAnsi="Arial" w:cs="Arial"/>
          <w:color w:val="000000"/>
        </w:rPr>
        <w:br/>
      </w:r>
      <w:r w:rsidR="004A39E0">
        <w:rPr>
          <w:rFonts w:ascii="Arial" w:eastAsia="Times New Roman" w:hAnsi="Arial" w:cs="Arial"/>
          <w:color w:val="000000"/>
        </w:rPr>
        <w:t>[Go to ‘</w:t>
      </w:r>
      <w:r w:rsidR="004A39E0" w:rsidRPr="004A39E0">
        <w:rPr>
          <w:rFonts w:ascii="Arial" w:eastAsia="Times New Roman" w:hAnsi="Arial" w:cs="Arial"/>
          <w:color w:val="000000"/>
        </w:rPr>
        <w:t>Implementation of mutualisation</w:t>
      </w:r>
      <w:r w:rsidR="004A39E0">
        <w:rPr>
          <w:rFonts w:ascii="Arial" w:eastAsia="Times New Roman" w:hAnsi="Arial" w:cs="Arial"/>
          <w:color w:val="000000"/>
        </w:rPr>
        <w:t>’]</w:t>
      </w:r>
      <w:r>
        <w:rPr>
          <w:rFonts w:ascii="Arial" w:eastAsia="Times New Roman" w:hAnsi="Arial" w:cs="Arial"/>
          <w:color w:val="000000"/>
        </w:rPr>
        <w:br w:type="page"/>
      </w:r>
    </w:p>
    <w:p w14:paraId="1018BEAB"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Against mutualisation</w:t>
      </w:r>
    </w:p>
    <w:p w14:paraId="20576CDB" w14:textId="77777777" w:rsidR="00F154BC" w:rsidRDefault="00000000">
      <w:pPr>
        <w:pStyle w:val="Heading3"/>
        <w:divId w:val="1714622241"/>
        <w:rPr>
          <w:rFonts w:ascii="Arial" w:eastAsia="Times New Roman" w:hAnsi="Arial" w:cs="Arial"/>
          <w:color w:val="000000"/>
        </w:rPr>
      </w:pPr>
      <w:r>
        <w:rPr>
          <w:rStyle w:val="question-number"/>
          <w:rFonts w:ascii="Arial" w:eastAsia="Times New Roman" w:hAnsi="Arial" w:cs="Arial"/>
          <w:color w:val="000000"/>
        </w:rPr>
        <w:t>44.</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2BC93971" w14:textId="77777777">
        <w:trPr>
          <w:divId w:val="1714622241"/>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426728E7" w14:textId="77777777" w:rsidTr="004A39E0">
              <w:trPr>
                <w:trHeight w:val="1875"/>
                <w:tblCellSpacing w:w="15" w:type="dxa"/>
              </w:trPr>
              <w:tc>
                <w:tcPr>
                  <w:tcW w:w="8673" w:type="dxa"/>
                  <w:vAlign w:val="center"/>
                  <w:hideMark/>
                </w:tcPr>
                <w:p w14:paraId="54F7D304"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A9907B4" w14:textId="77777777" w:rsidR="00F154BC" w:rsidRDefault="00F154BC">
            <w:pPr>
              <w:rPr>
                <w:rFonts w:ascii="Arial" w:eastAsia="Times New Roman" w:hAnsi="Arial" w:cs="Arial"/>
                <w:color w:val="000000"/>
              </w:rPr>
            </w:pPr>
          </w:p>
        </w:tc>
      </w:tr>
    </w:tbl>
    <w:p w14:paraId="61AD6E9A" w14:textId="77777777" w:rsidR="00F154BC" w:rsidRDefault="00000000">
      <w:pPr>
        <w:pStyle w:val="Heading3"/>
        <w:divId w:val="1001198408"/>
        <w:rPr>
          <w:rFonts w:ascii="Arial" w:eastAsia="Times New Roman" w:hAnsi="Arial" w:cs="Arial"/>
          <w:color w:val="000000"/>
        </w:rPr>
      </w:pPr>
      <w:r>
        <w:rPr>
          <w:rStyle w:val="question-number"/>
          <w:rFonts w:ascii="Arial" w:eastAsia="Times New Roman" w:hAnsi="Arial" w:cs="Arial"/>
          <w:color w:val="000000"/>
        </w:rPr>
        <w:t>45.</w:t>
      </w:r>
      <w:r>
        <w:rPr>
          <w:rFonts w:ascii="Arial" w:eastAsia="Times New Roman" w:hAnsi="Arial" w:cs="Arial"/>
          <w:color w:val="000000"/>
        </w:rPr>
        <w:t xml:space="preserve"> What alternative proposals do you have to manage supplier default risk under the scheme?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45"/>
      </w:tblGrid>
      <w:tr w:rsidR="00F154BC" w14:paraId="72F3328F" w14:textId="77777777">
        <w:trPr>
          <w:divId w:val="1001198408"/>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33"/>
            </w:tblGrid>
            <w:tr w:rsidR="00F154BC" w14:paraId="1DFD5732" w14:textId="77777777" w:rsidTr="004A39E0">
              <w:trPr>
                <w:trHeight w:val="1875"/>
                <w:tblCellSpacing w:w="15" w:type="dxa"/>
              </w:trPr>
              <w:tc>
                <w:tcPr>
                  <w:tcW w:w="8673" w:type="dxa"/>
                  <w:vAlign w:val="center"/>
                  <w:hideMark/>
                </w:tcPr>
                <w:p w14:paraId="5578FFE2"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B06E7B1" w14:textId="77777777" w:rsidR="00F154BC" w:rsidRDefault="00F154BC">
            <w:pPr>
              <w:rPr>
                <w:rFonts w:ascii="Arial" w:eastAsia="Times New Roman" w:hAnsi="Arial" w:cs="Arial"/>
                <w:color w:val="000000"/>
              </w:rPr>
            </w:pPr>
          </w:p>
        </w:tc>
      </w:tr>
    </w:tbl>
    <w:p w14:paraId="76E7A02A"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EF87427"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Implementation of mutualisation</w:t>
      </w:r>
    </w:p>
    <w:p w14:paraId="0C8CD09E" w14:textId="77777777" w:rsidR="00F154BC" w:rsidRDefault="00000000">
      <w:pPr>
        <w:pStyle w:val="Heading3"/>
        <w:divId w:val="2048485008"/>
        <w:rPr>
          <w:rFonts w:ascii="Arial" w:eastAsia="Times New Roman" w:hAnsi="Arial" w:cs="Arial"/>
          <w:color w:val="000000"/>
        </w:rPr>
      </w:pPr>
      <w:r>
        <w:rPr>
          <w:rStyle w:val="question-number"/>
          <w:rFonts w:ascii="Arial" w:eastAsia="Times New Roman" w:hAnsi="Arial" w:cs="Arial"/>
          <w:color w:val="000000"/>
        </w:rPr>
        <w:t>46.</w:t>
      </w:r>
      <w:r>
        <w:rPr>
          <w:rFonts w:ascii="Arial" w:eastAsia="Times New Roman" w:hAnsi="Arial" w:cs="Arial"/>
          <w:color w:val="000000"/>
        </w:rPr>
        <w:t xml:space="preserve"> What, if any, suggestions do you have on how to ensure that mutualisation is implemented fairly and proportionately?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1D6D41C4" w14:textId="77777777">
        <w:trPr>
          <w:divId w:val="2048485008"/>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5C184651" w14:textId="77777777" w:rsidTr="004A39E0">
              <w:trPr>
                <w:trHeight w:val="1875"/>
                <w:tblCellSpacing w:w="15" w:type="dxa"/>
              </w:trPr>
              <w:tc>
                <w:tcPr>
                  <w:tcW w:w="8815" w:type="dxa"/>
                  <w:vAlign w:val="center"/>
                  <w:hideMark/>
                </w:tcPr>
                <w:p w14:paraId="112BE5B7"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A4E6B0B" w14:textId="77777777" w:rsidR="00F154BC" w:rsidRDefault="00F154BC">
            <w:pPr>
              <w:rPr>
                <w:rFonts w:ascii="Arial" w:eastAsia="Times New Roman" w:hAnsi="Arial" w:cs="Arial"/>
                <w:color w:val="000000"/>
              </w:rPr>
            </w:pPr>
          </w:p>
        </w:tc>
      </w:tr>
    </w:tbl>
    <w:p w14:paraId="0380BB99"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CA98351"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Compliance and notices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F154BC" w14:paraId="74FAEF40" w14:textId="77777777">
        <w:trPr>
          <w:divId w:val="472791280"/>
          <w:tblCellSpacing w:w="12" w:type="dxa"/>
        </w:trPr>
        <w:tc>
          <w:tcPr>
            <w:tcW w:w="0" w:type="auto"/>
            <w:vAlign w:val="center"/>
            <w:hideMark/>
          </w:tcPr>
          <w:p w14:paraId="0E1FB71C" w14:textId="77777777" w:rsidR="00F154BC" w:rsidRDefault="00000000">
            <w:pPr>
              <w:pStyle w:val="NormalWeb"/>
              <w:divId w:val="2143843557"/>
              <w:rPr>
                <w:rFonts w:ascii="Arial" w:hAnsi="Arial" w:cs="Arial"/>
                <w:color w:val="000000"/>
              </w:rPr>
            </w:pPr>
            <w:r>
              <w:rPr>
                <w:rFonts w:ascii="Arial" w:hAnsi="Arial" w:cs="Arial"/>
                <w:color w:val="000000"/>
              </w:rPr>
              <w:t xml:space="preserve">The counterparty is responsible for monitoring and </w:t>
            </w:r>
            <w:proofErr w:type="gramStart"/>
            <w:r>
              <w:rPr>
                <w:rFonts w:ascii="Arial" w:hAnsi="Arial" w:cs="Arial"/>
                <w:color w:val="000000"/>
              </w:rPr>
              <w:t>taking action</w:t>
            </w:r>
            <w:proofErr w:type="gramEnd"/>
            <w:r>
              <w:rPr>
                <w:rFonts w:ascii="Arial" w:hAnsi="Arial" w:cs="Arial"/>
                <w:color w:val="000000"/>
              </w:rPr>
              <w:t xml:space="preserve"> against non-compliance in its role as the levy administrator.</w:t>
            </w:r>
          </w:p>
          <w:p w14:paraId="71C06A3C" w14:textId="77777777" w:rsidR="00F154BC" w:rsidRDefault="00000000">
            <w:pPr>
              <w:pStyle w:val="NormalWeb"/>
              <w:divId w:val="2143843557"/>
              <w:rPr>
                <w:rFonts w:ascii="Arial" w:hAnsi="Arial" w:cs="Arial"/>
                <w:color w:val="000000"/>
              </w:rPr>
            </w:pPr>
            <w:r>
              <w:rPr>
                <w:rFonts w:ascii="Arial" w:hAnsi="Arial" w:cs="Arial"/>
                <w:color w:val="000000"/>
              </w:rPr>
              <w:t>We are proposing that, to assist with compliance, the counterparty has the power to take the following action of: </w:t>
            </w:r>
          </w:p>
          <w:p w14:paraId="7DB8816B" w14:textId="77777777" w:rsidR="00F154BC" w:rsidRDefault="00000000">
            <w:pPr>
              <w:numPr>
                <w:ilvl w:val="0"/>
                <w:numId w:val="7"/>
              </w:numPr>
              <w:spacing w:before="100" w:beforeAutospacing="1" w:after="100" w:afterAutospacing="1"/>
              <w:divId w:val="2143843557"/>
              <w:rPr>
                <w:rFonts w:ascii="Arial" w:eastAsia="Times New Roman" w:hAnsi="Arial" w:cs="Arial"/>
                <w:color w:val="000000"/>
              </w:rPr>
            </w:pPr>
            <w:r>
              <w:rPr>
                <w:rFonts w:ascii="Arial" w:eastAsia="Times New Roman" w:hAnsi="Arial" w:cs="Arial"/>
                <w:color w:val="000000"/>
              </w:rPr>
              <w:t>requesting relevant information</w:t>
            </w:r>
          </w:p>
          <w:p w14:paraId="2A49EF5E" w14:textId="4050F50C" w:rsidR="00F154BC" w:rsidRDefault="00000000">
            <w:pPr>
              <w:numPr>
                <w:ilvl w:val="0"/>
                <w:numId w:val="7"/>
              </w:numPr>
              <w:spacing w:before="100" w:beforeAutospacing="1" w:after="100" w:afterAutospacing="1"/>
              <w:divId w:val="2143843557"/>
              <w:rPr>
                <w:rFonts w:ascii="Arial" w:eastAsia="Times New Roman" w:hAnsi="Arial" w:cs="Arial"/>
                <w:color w:val="000000"/>
              </w:rPr>
            </w:pPr>
            <w:r>
              <w:rPr>
                <w:rFonts w:ascii="Arial" w:eastAsia="Times New Roman" w:hAnsi="Arial" w:cs="Arial"/>
                <w:color w:val="000000"/>
              </w:rPr>
              <w:t>issuing notices of non-compliance</w:t>
            </w:r>
          </w:p>
          <w:p w14:paraId="7170A89C" w14:textId="77777777" w:rsidR="00F154BC" w:rsidRDefault="00000000">
            <w:pPr>
              <w:numPr>
                <w:ilvl w:val="0"/>
                <w:numId w:val="7"/>
              </w:numPr>
              <w:spacing w:before="100" w:beforeAutospacing="1" w:after="100" w:afterAutospacing="1"/>
              <w:divId w:val="2143843557"/>
              <w:rPr>
                <w:rFonts w:ascii="Arial" w:eastAsia="Times New Roman" w:hAnsi="Arial" w:cs="Arial"/>
                <w:color w:val="000000"/>
              </w:rPr>
            </w:pPr>
            <w:r>
              <w:rPr>
                <w:rFonts w:ascii="Arial" w:eastAsia="Times New Roman" w:hAnsi="Arial" w:cs="Arial"/>
                <w:color w:val="000000"/>
              </w:rPr>
              <w:t>reporting on compliance and enforcement</w:t>
            </w:r>
          </w:p>
          <w:p w14:paraId="0A01631C" w14:textId="77777777" w:rsidR="00F154BC" w:rsidRDefault="00000000">
            <w:pPr>
              <w:numPr>
                <w:ilvl w:val="0"/>
                <w:numId w:val="7"/>
              </w:numPr>
              <w:spacing w:before="100" w:beforeAutospacing="1" w:after="100" w:afterAutospacing="1"/>
              <w:divId w:val="2143843557"/>
              <w:rPr>
                <w:rFonts w:ascii="Arial" w:eastAsia="Times New Roman" w:hAnsi="Arial" w:cs="Arial"/>
                <w:color w:val="000000"/>
              </w:rPr>
            </w:pPr>
            <w:r>
              <w:rPr>
                <w:rFonts w:ascii="Arial" w:eastAsia="Times New Roman" w:hAnsi="Arial" w:cs="Arial"/>
                <w:color w:val="000000"/>
              </w:rPr>
              <w:t>adding interest on late payments</w:t>
            </w:r>
          </w:p>
          <w:p w14:paraId="7243D527" w14:textId="77777777" w:rsidR="00F154BC" w:rsidRDefault="00000000">
            <w:pPr>
              <w:numPr>
                <w:ilvl w:val="0"/>
                <w:numId w:val="7"/>
              </w:numPr>
              <w:spacing w:before="100" w:beforeAutospacing="1" w:after="100" w:afterAutospacing="1"/>
              <w:divId w:val="2143843557"/>
              <w:rPr>
                <w:rFonts w:ascii="Arial" w:eastAsia="Times New Roman" w:hAnsi="Arial" w:cs="Arial"/>
                <w:color w:val="000000"/>
              </w:rPr>
            </w:pPr>
            <w:r>
              <w:rPr>
                <w:rFonts w:ascii="Arial" w:eastAsia="Times New Roman" w:hAnsi="Arial" w:cs="Arial"/>
                <w:color w:val="000000"/>
              </w:rPr>
              <w:t>pursuing civil debts</w:t>
            </w:r>
          </w:p>
          <w:p w14:paraId="2F552AE9" w14:textId="77777777" w:rsidR="00F154BC" w:rsidRDefault="00000000">
            <w:pPr>
              <w:numPr>
                <w:ilvl w:val="0"/>
                <w:numId w:val="7"/>
              </w:numPr>
              <w:spacing w:before="100" w:beforeAutospacing="1" w:after="100" w:afterAutospacing="1"/>
              <w:divId w:val="2143843557"/>
              <w:rPr>
                <w:rFonts w:ascii="Arial" w:eastAsia="Times New Roman" w:hAnsi="Arial" w:cs="Arial"/>
                <w:color w:val="000000"/>
              </w:rPr>
            </w:pPr>
            <w:r>
              <w:rPr>
                <w:rFonts w:ascii="Arial" w:eastAsia="Times New Roman" w:hAnsi="Arial" w:cs="Arial"/>
                <w:color w:val="000000"/>
              </w:rPr>
              <w:t>referring cases of non-compliance to the Secretary of State</w:t>
            </w:r>
          </w:p>
          <w:p w14:paraId="715BFC4A" w14:textId="77777777" w:rsidR="00F154BC" w:rsidRDefault="00000000">
            <w:pPr>
              <w:pStyle w:val="NormalWeb"/>
              <w:divId w:val="2143843557"/>
              <w:rPr>
                <w:rFonts w:ascii="Arial" w:hAnsi="Arial" w:cs="Arial"/>
                <w:color w:val="000000"/>
              </w:rPr>
            </w:pPr>
            <w:r>
              <w:rPr>
                <w:rFonts w:ascii="Arial" w:hAnsi="Arial" w:cs="Arial"/>
                <w:color w:val="000000"/>
              </w:rPr>
              <w:t xml:space="preserve">The process for appealing financial penalties issued by the Secretary of State is already set out under the </w:t>
            </w:r>
            <w:hyperlink r:id="rId11" w:anchor="page=11" w:tgtFrame="_blank" w:history="1">
              <w:r w:rsidR="00F154BC">
                <w:rPr>
                  <w:rStyle w:val="Hyperlink"/>
                  <w:rFonts w:ascii="Arial" w:hAnsi="Arial" w:cs="Arial"/>
                </w:rPr>
                <w:t>Schedule of the Sustainable Aviation Fuel Bill [opens in a new window]</w:t>
              </w:r>
            </w:hyperlink>
            <w:r>
              <w:rPr>
                <w:rFonts w:ascii="Arial" w:hAnsi="Arial" w:cs="Arial"/>
                <w:color w:val="000000"/>
              </w:rPr>
              <w:t>. Similar appeals processes will be detailed in regulations for any compliance decisions made by the counterparty.</w:t>
            </w:r>
          </w:p>
          <w:p w14:paraId="70EAA64E" w14:textId="77777777" w:rsidR="00F154BC" w:rsidRDefault="00F154BC">
            <w:pPr>
              <w:rPr>
                <w:rFonts w:ascii="Arial" w:hAnsi="Arial" w:cs="Arial"/>
                <w:color w:val="000000"/>
              </w:rPr>
            </w:pPr>
          </w:p>
        </w:tc>
      </w:tr>
    </w:tbl>
    <w:p w14:paraId="59B96043" w14:textId="77777777" w:rsidR="00F154BC" w:rsidRDefault="00000000">
      <w:pPr>
        <w:pStyle w:val="Heading3"/>
        <w:divId w:val="1167479473"/>
        <w:rPr>
          <w:rFonts w:ascii="Arial" w:eastAsia="Times New Roman" w:hAnsi="Arial" w:cs="Arial"/>
          <w:color w:val="000000"/>
        </w:rPr>
      </w:pPr>
      <w:r>
        <w:rPr>
          <w:rStyle w:val="question-number"/>
          <w:rFonts w:ascii="Arial" w:eastAsia="Times New Roman" w:hAnsi="Arial" w:cs="Arial"/>
          <w:color w:val="000000"/>
        </w:rPr>
        <w:t>47.</w:t>
      </w:r>
      <w:r>
        <w:rPr>
          <w:rFonts w:ascii="Arial" w:eastAsia="Times New Roman" w:hAnsi="Arial" w:cs="Arial"/>
          <w:color w:val="000000"/>
        </w:rPr>
        <w:t xml:space="preserve"> Do you support or oppose the use of compliance notices as a formal mechanism to address supplier non-compliance?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386"/>
      </w:tblGrid>
      <w:tr w:rsidR="00F154BC" w14:paraId="4D4EBE2E" w14:textId="77777777">
        <w:trPr>
          <w:divId w:val="1167479473"/>
          <w:trHeight w:val="225"/>
          <w:tblCellSpacing w:w="12" w:type="dxa"/>
        </w:trPr>
        <w:tc>
          <w:tcPr>
            <w:tcW w:w="225" w:type="dxa"/>
            <w:tcMar>
              <w:top w:w="75" w:type="dxa"/>
              <w:left w:w="75" w:type="dxa"/>
              <w:bottom w:w="75" w:type="dxa"/>
              <w:right w:w="75" w:type="dxa"/>
            </w:tcMar>
            <w:hideMark/>
          </w:tcPr>
          <w:p w14:paraId="37AEC77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72764B1" w14:textId="4BDC614D" w:rsidR="00F154BC" w:rsidRDefault="00000000">
            <w:pPr>
              <w:rPr>
                <w:rFonts w:ascii="Arial" w:eastAsia="Times New Roman" w:hAnsi="Arial" w:cs="Arial"/>
                <w:color w:val="000000"/>
              </w:rPr>
            </w:pPr>
            <w:r>
              <w:rPr>
                <w:rFonts w:ascii="Arial" w:eastAsia="Times New Roman" w:hAnsi="Arial" w:cs="Arial"/>
                <w:color w:val="000000"/>
              </w:rPr>
              <w:t>Support</w:t>
            </w:r>
            <w:r w:rsidR="004A39E0">
              <w:rPr>
                <w:rFonts w:ascii="Arial" w:eastAsia="Times New Roman" w:hAnsi="Arial" w:cs="Arial"/>
                <w:color w:val="000000"/>
              </w:rPr>
              <w:t xml:space="preserve"> (Go to ‘Compliance and enforcement’)</w:t>
            </w:r>
          </w:p>
        </w:tc>
      </w:tr>
      <w:tr w:rsidR="00F154BC" w14:paraId="3910DB7A" w14:textId="77777777">
        <w:trPr>
          <w:divId w:val="1167479473"/>
          <w:trHeight w:val="225"/>
          <w:tblCellSpacing w:w="12" w:type="dxa"/>
        </w:trPr>
        <w:tc>
          <w:tcPr>
            <w:tcW w:w="225" w:type="dxa"/>
            <w:tcMar>
              <w:top w:w="75" w:type="dxa"/>
              <w:left w:w="75" w:type="dxa"/>
              <w:bottom w:w="75" w:type="dxa"/>
              <w:right w:w="75" w:type="dxa"/>
            </w:tcMar>
            <w:hideMark/>
          </w:tcPr>
          <w:p w14:paraId="60E2C96B"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755FE7C" w14:textId="77777777" w:rsidR="00F154BC" w:rsidRDefault="00000000">
            <w:pPr>
              <w:rPr>
                <w:rFonts w:ascii="Arial" w:eastAsia="Times New Roman" w:hAnsi="Arial" w:cs="Arial"/>
                <w:color w:val="000000"/>
              </w:rPr>
            </w:pPr>
            <w:r>
              <w:rPr>
                <w:rFonts w:ascii="Arial" w:eastAsia="Times New Roman" w:hAnsi="Arial" w:cs="Arial"/>
                <w:color w:val="000000"/>
              </w:rPr>
              <w:t>Oppose</w:t>
            </w:r>
          </w:p>
        </w:tc>
      </w:tr>
      <w:tr w:rsidR="00F154BC" w14:paraId="3AFD483E" w14:textId="77777777">
        <w:trPr>
          <w:divId w:val="1167479473"/>
          <w:trHeight w:val="225"/>
          <w:tblCellSpacing w:w="12" w:type="dxa"/>
        </w:trPr>
        <w:tc>
          <w:tcPr>
            <w:tcW w:w="225" w:type="dxa"/>
            <w:tcMar>
              <w:top w:w="75" w:type="dxa"/>
              <w:left w:w="75" w:type="dxa"/>
              <w:bottom w:w="75" w:type="dxa"/>
              <w:right w:w="75" w:type="dxa"/>
            </w:tcMar>
            <w:hideMark/>
          </w:tcPr>
          <w:p w14:paraId="56C097AF"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587EF8A" w14:textId="2C12ABCD" w:rsidR="00F154BC" w:rsidRDefault="00000000">
            <w:pPr>
              <w:rPr>
                <w:rFonts w:ascii="Arial" w:eastAsia="Times New Roman" w:hAnsi="Arial" w:cs="Arial"/>
                <w:color w:val="000000"/>
              </w:rPr>
            </w:pPr>
            <w:r>
              <w:rPr>
                <w:rFonts w:ascii="Arial" w:eastAsia="Times New Roman" w:hAnsi="Arial" w:cs="Arial"/>
                <w:color w:val="000000"/>
              </w:rPr>
              <w:t>Don't know</w:t>
            </w:r>
            <w:r w:rsidR="004A39E0">
              <w:rPr>
                <w:rFonts w:ascii="Arial" w:eastAsia="Times New Roman" w:hAnsi="Arial" w:cs="Arial"/>
                <w:color w:val="000000"/>
              </w:rPr>
              <w:t xml:space="preserve"> (Go to ‘Compliance and enforcement’)</w:t>
            </w:r>
          </w:p>
        </w:tc>
      </w:tr>
    </w:tbl>
    <w:p w14:paraId="21C93476"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EEE66B6"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Compliance notices reasoning</w:t>
      </w:r>
    </w:p>
    <w:p w14:paraId="5AE737C5" w14:textId="77777777" w:rsidR="00F154BC" w:rsidRDefault="00000000">
      <w:pPr>
        <w:pStyle w:val="Heading3"/>
        <w:divId w:val="1707102585"/>
        <w:rPr>
          <w:rFonts w:ascii="Arial" w:eastAsia="Times New Roman" w:hAnsi="Arial" w:cs="Arial"/>
          <w:color w:val="000000"/>
        </w:rPr>
      </w:pPr>
      <w:r>
        <w:rPr>
          <w:rStyle w:val="question-number"/>
          <w:rFonts w:ascii="Arial" w:eastAsia="Times New Roman" w:hAnsi="Arial" w:cs="Arial"/>
          <w:color w:val="000000"/>
        </w:rPr>
        <w:t>48.</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6FFC9C0E" w14:textId="77777777">
        <w:trPr>
          <w:divId w:val="1707102585"/>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6318B2EA" w14:textId="77777777" w:rsidTr="004A39E0">
              <w:trPr>
                <w:trHeight w:val="1875"/>
                <w:tblCellSpacing w:w="15" w:type="dxa"/>
              </w:trPr>
              <w:tc>
                <w:tcPr>
                  <w:tcW w:w="8815" w:type="dxa"/>
                  <w:vAlign w:val="center"/>
                  <w:hideMark/>
                </w:tcPr>
                <w:p w14:paraId="735370BB"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59493F3" w14:textId="77777777" w:rsidR="00F154BC" w:rsidRDefault="00F154BC">
            <w:pPr>
              <w:rPr>
                <w:rFonts w:ascii="Arial" w:eastAsia="Times New Roman" w:hAnsi="Arial" w:cs="Arial"/>
                <w:color w:val="000000"/>
              </w:rPr>
            </w:pPr>
          </w:p>
        </w:tc>
      </w:tr>
    </w:tbl>
    <w:p w14:paraId="48FBA991"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9A4E97A"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Compliance and enforcement</w:t>
      </w:r>
    </w:p>
    <w:p w14:paraId="469DEA4D" w14:textId="77777777" w:rsidR="00F154BC" w:rsidRDefault="00000000">
      <w:pPr>
        <w:pStyle w:val="Heading3"/>
        <w:divId w:val="1434323106"/>
        <w:rPr>
          <w:rFonts w:ascii="Arial" w:eastAsia="Times New Roman" w:hAnsi="Arial" w:cs="Arial"/>
          <w:color w:val="000000"/>
        </w:rPr>
      </w:pPr>
      <w:r>
        <w:rPr>
          <w:rStyle w:val="question-number"/>
          <w:rFonts w:ascii="Arial" w:eastAsia="Times New Roman" w:hAnsi="Arial" w:cs="Arial"/>
          <w:color w:val="000000"/>
        </w:rPr>
        <w:t>49.</w:t>
      </w:r>
      <w:r>
        <w:rPr>
          <w:rFonts w:ascii="Arial" w:eastAsia="Times New Roman" w:hAnsi="Arial" w:cs="Arial"/>
          <w:color w:val="000000"/>
        </w:rPr>
        <w:t xml:space="preserve"> Do you agree or disagree that the counterparty should report regularly on:</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F154BC" w14:paraId="05E60516" w14:textId="77777777">
        <w:trPr>
          <w:divId w:val="1434323106"/>
          <w:tblHeader/>
          <w:tblCellSpacing w:w="12" w:type="dxa"/>
        </w:trPr>
        <w:tc>
          <w:tcPr>
            <w:tcW w:w="1000" w:type="pct"/>
            <w:vAlign w:val="center"/>
            <w:hideMark/>
          </w:tcPr>
          <w:p w14:paraId="333264EA" w14:textId="77777777" w:rsidR="00F154BC" w:rsidRDefault="00F154BC">
            <w:pPr>
              <w:rPr>
                <w:rFonts w:ascii="Arial" w:eastAsia="Times New Roman" w:hAnsi="Arial" w:cs="Arial"/>
                <w:color w:val="000000"/>
              </w:rPr>
            </w:pPr>
          </w:p>
        </w:tc>
        <w:tc>
          <w:tcPr>
            <w:tcW w:w="1150" w:type="pct"/>
            <w:vAlign w:val="bottom"/>
            <w:hideMark/>
          </w:tcPr>
          <w:p w14:paraId="2F562FCA" w14:textId="77777777" w:rsidR="00F154BC" w:rsidRDefault="00000000" w:rsidP="004A39E0">
            <w:pPr>
              <w:rPr>
                <w:rFonts w:ascii="Arial" w:eastAsia="Times New Roman" w:hAnsi="Arial" w:cs="Arial"/>
                <w:color w:val="000000"/>
              </w:rPr>
            </w:pPr>
            <w:r>
              <w:rPr>
                <w:rFonts w:ascii="Arial" w:eastAsia="Times New Roman" w:hAnsi="Arial" w:cs="Arial"/>
                <w:color w:val="000000"/>
              </w:rPr>
              <w:t>Agree</w:t>
            </w:r>
          </w:p>
        </w:tc>
        <w:tc>
          <w:tcPr>
            <w:tcW w:w="1150" w:type="pct"/>
            <w:vAlign w:val="bottom"/>
            <w:hideMark/>
          </w:tcPr>
          <w:p w14:paraId="18741680" w14:textId="77777777" w:rsidR="00F154BC" w:rsidRDefault="00000000" w:rsidP="004A39E0">
            <w:pPr>
              <w:rPr>
                <w:rFonts w:ascii="Arial" w:eastAsia="Times New Roman" w:hAnsi="Arial" w:cs="Arial"/>
                <w:color w:val="000000"/>
              </w:rPr>
            </w:pPr>
            <w:r>
              <w:rPr>
                <w:rFonts w:ascii="Arial" w:eastAsia="Times New Roman" w:hAnsi="Arial" w:cs="Arial"/>
                <w:color w:val="000000"/>
              </w:rPr>
              <w:t>Disagree</w:t>
            </w:r>
          </w:p>
        </w:tc>
        <w:tc>
          <w:tcPr>
            <w:tcW w:w="1150" w:type="pct"/>
            <w:vAlign w:val="bottom"/>
            <w:hideMark/>
          </w:tcPr>
          <w:p w14:paraId="388FF63B" w14:textId="77777777" w:rsidR="00F154BC" w:rsidRDefault="00000000" w:rsidP="004A39E0">
            <w:pPr>
              <w:rPr>
                <w:rFonts w:ascii="Arial" w:eastAsia="Times New Roman" w:hAnsi="Arial" w:cs="Arial"/>
                <w:color w:val="000000"/>
              </w:rPr>
            </w:pPr>
            <w:r>
              <w:rPr>
                <w:rFonts w:ascii="Arial" w:eastAsia="Times New Roman" w:hAnsi="Arial" w:cs="Arial"/>
                <w:color w:val="000000"/>
              </w:rPr>
              <w:t>Don't know</w:t>
            </w:r>
          </w:p>
        </w:tc>
      </w:tr>
      <w:tr w:rsidR="00F154BC" w14:paraId="77CFF588" w14:textId="77777777">
        <w:trPr>
          <w:divId w:val="1434323106"/>
          <w:trHeight w:val="225"/>
          <w:tblCellSpacing w:w="12" w:type="dxa"/>
        </w:trPr>
        <w:tc>
          <w:tcPr>
            <w:tcW w:w="0" w:type="auto"/>
            <w:vAlign w:val="center"/>
            <w:hideMark/>
          </w:tcPr>
          <w:p w14:paraId="645DD3B0" w14:textId="77777777" w:rsidR="00F154BC" w:rsidRDefault="00000000">
            <w:pPr>
              <w:rPr>
                <w:rFonts w:ascii="Arial" w:eastAsia="Times New Roman" w:hAnsi="Arial" w:cs="Arial"/>
                <w:color w:val="000000"/>
              </w:rPr>
            </w:pPr>
            <w:r>
              <w:rPr>
                <w:rFonts w:ascii="Arial" w:eastAsia="Times New Roman" w:hAnsi="Arial" w:cs="Arial"/>
                <w:color w:val="000000"/>
              </w:rPr>
              <w:t>compliance</w:t>
            </w:r>
          </w:p>
        </w:tc>
        <w:tc>
          <w:tcPr>
            <w:tcW w:w="225" w:type="dxa"/>
            <w:tcMar>
              <w:top w:w="75" w:type="dxa"/>
              <w:left w:w="75" w:type="dxa"/>
              <w:bottom w:w="75" w:type="dxa"/>
              <w:right w:w="75" w:type="dxa"/>
            </w:tcMar>
            <w:hideMark/>
          </w:tcPr>
          <w:p w14:paraId="7E8EF7B3"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DC19C64"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79986A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r>
      <w:tr w:rsidR="00F154BC" w14:paraId="761F3060" w14:textId="77777777">
        <w:trPr>
          <w:divId w:val="1434323106"/>
          <w:trHeight w:val="225"/>
          <w:tblCellSpacing w:w="12" w:type="dxa"/>
        </w:trPr>
        <w:tc>
          <w:tcPr>
            <w:tcW w:w="0" w:type="auto"/>
            <w:vAlign w:val="center"/>
            <w:hideMark/>
          </w:tcPr>
          <w:p w14:paraId="000B5114" w14:textId="77777777" w:rsidR="00F154BC" w:rsidRDefault="00000000">
            <w:pPr>
              <w:rPr>
                <w:rFonts w:ascii="Arial" w:eastAsia="Times New Roman" w:hAnsi="Arial" w:cs="Arial"/>
                <w:color w:val="000000"/>
              </w:rPr>
            </w:pPr>
            <w:r>
              <w:rPr>
                <w:rFonts w:ascii="Arial" w:eastAsia="Times New Roman" w:hAnsi="Arial" w:cs="Arial"/>
                <w:color w:val="000000"/>
              </w:rPr>
              <w:t>enforcement actions</w:t>
            </w:r>
          </w:p>
        </w:tc>
        <w:tc>
          <w:tcPr>
            <w:tcW w:w="225" w:type="dxa"/>
            <w:tcMar>
              <w:top w:w="75" w:type="dxa"/>
              <w:left w:w="75" w:type="dxa"/>
              <w:bottom w:w="75" w:type="dxa"/>
              <w:right w:w="75" w:type="dxa"/>
            </w:tcMar>
            <w:hideMark/>
          </w:tcPr>
          <w:p w14:paraId="4D322AAE"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89C3AD1"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C8930BA" w14:textId="77777777" w:rsidR="00F154BC"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258FC6CA" w14:textId="77777777" w:rsidR="00F154BC" w:rsidRDefault="00000000">
      <w:pPr>
        <w:textAlignment w:val="top"/>
        <w:divId w:val="212884714"/>
        <w:rPr>
          <w:rFonts w:ascii="Arial" w:eastAsia="Times New Roman" w:hAnsi="Arial" w:cs="Arial"/>
          <w:color w:val="000000"/>
        </w:rPr>
      </w:pPr>
      <w:r>
        <w:rPr>
          <w:rFonts w:ascii="Arial" w:eastAsia="Times New Roman" w:hAnsi="Arial" w:cs="Arial"/>
          <w:color w:val="000000"/>
        </w:rPr>
        <w:t>If disagreeing, why?</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F154BC" w14:paraId="3D6A1561" w14:textId="77777777">
        <w:trPr>
          <w:divId w:val="1434323106"/>
          <w:trHeight w:val="1875"/>
          <w:tblCellSpacing w:w="15" w:type="dxa"/>
        </w:trPr>
        <w:tc>
          <w:tcPr>
            <w:tcW w:w="5000" w:type="pct"/>
            <w:vAlign w:val="center"/>
            <w:hideMark/>
          </w:tcPr>
          <w:p w14:paraId="17CA0D3A"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9C303A1" w14:textId="77777777" w:rsidR="00F154BC" w:rsidRDefault="00000000">
      <w:pPr>
        <w:pStyle w:val="Heading3"/>
        <w:divId w:val="1335643056"/>
        <w:rPr>
          <w:rFonts w:ascii="Arial" w:eastAsia="Times New Roman" w:hAnsi="Arial" w:cs="Arial"/>
          <w:color w:val="000000"/>
        </w:rPr>
      </w:pPr>
      <w:r>
        <w:rPr>
          <w:rStyle w:val="question-number"/>
          <w:rFonts w:ascii="Arial" w:eastAsia="Times New Roman" w:hAnsi="Arial" w:cs="Arial"/>
          <w:color w:val="000000"/>
        </w:rPr>
        <w:t>50.</w:t>
      </w:r>
      <w:r>
        <w:rPr>
          <w:rFonts w:ascii="Arial" w:eastAsia="Times New Roman" w:hAnsi="Arial" w:cs="Arial"/>
          <w:color w:val="000000"/>
        </w:rPr>
        <w:t xml:space="preserve"> What, if any, further comments do you have on the proposed arrangements for: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233"/>
        <w:gridCol w:w="6100"/>
      </w:tblGrid>
      <w:tr w:rsidR="00F154BC" w14:paraId="651D99D2" w14:textId="77777777">
        <w:trPr>
          <w:divId w:val="1335643056"/>
          <w:tblCellSpacing w:w="12" w:type="dxa"/>
        </w:trPr>
        <w:tc>
          <w:tcPr>
            <w:tcW w:w="0" w:type="auto"/>
            <w:tcMar>
              <w:top w:w="105" w:type="dxa"/>
              <w:left w:w="24" w:type="dxa"/>
              <w:bottom w:w="24" w:type="dxa"/>
              <w:right w:w="24" w:type="dxa"/>
            </w:tcMar>
            <w:hideMark/>
          </w:tcPr>
          <w:p w14:paraId="396F05B7" w14:textId="77777777" w:rsidR="00F154BC" w:rsidRDefault="00000000">
            <w:pPr>
              <w:rPr>
                <w:rFonts w:ascii="Arial" w:eastAsia="Times New Roman" w:hAnsi="Arial" w:cs="Arial"/>
                <w:color w:val="000000"/>
              </w:rPr>
            </w:pPr>
            <w:r>
              <w:rPr>
                <w:rFonts w:ascii="Arial" w:eastAsia="Times New Roman" w:hAnsi="Arial" w:cs="Arial"/>
                <w:color w:val="000000"/>
              </w:rPr>
              <w:t>administration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F154BC" w14:paraId="3ADE0EC6" w14:textId="77777777">
              <w:trPr>
                <w:trHeight w:val="375"/>
                <w:tblCellSpacing w:w="15" w:type="dxa"/>
              </w:trPr>
              <w:tc>
                <w:tcPr>
                  <w:tcW w:w="6000" w:type="dxa"/>
                  <w:vAlign w:val="center"/>
                  <w:hideMark/>
                </w:tcPr>
                <w:p w14:paraId="733B093B" w14:textId="77777777" w:rsidR="00F154BC" w:rsidRDefault="00F154BC">
                  <w:pPr>
                    <w:rPr>
                      <w:rFonts w:ascii="Arial" w:eastAsia="Times New Roman" w:hAnsi="Arial" w:cs="Arial"/>
                      <w:color w:val="000000"/>
                    </w:rPr>
                  </w:pPr>
                </w:p>
              </w:tc>
            </w:tr>
          </w:tbl>
          <w:p w14:paraId="73E9A2F5" w14:textId="77777777" w:rsidR="00F154BC" w:rsidRDefault="00F154BC">
            <w:pPr>
              <w:rPr>
                <w:rFonts w:ascii="Arial" w:eastAsia="Times New Roman" w:hAnsi="Arial" w:cs="Arial"/>
                <w:color w:val="000000"/>
              </w:rPr>
            </w:pPr>
          </w:p>
        </w:tc>
      </w:tr>
      <w:tr w:rsidR="00F154BC" w14:paraId="6A98EBFE" w14:textId="77777777">
        <w:trPr>
          <w:divId w:val="1335643056"/>
          <w:tblCellSpacing w:w="12" w:type="dxa"/>
        </w:trPr>
        <w:tc>
          <w:tcPr>
            <w:tcW w:w="0" w:type="auto"/>
            <w:tcMar>
              <w:top w:w="105" w:type="dxa"/>
              <w:left w:w="24" w:type="dxa"/>
              <w:bottom w:w="24" w:type="dxa"/>
              <w:right w:w="24" w:type="dxa"/>
            </w:tcMar>
            <w:hideMark/>
          </w:tcPr>
          <w:p w14:paraId="3BA30134" w14:textId="77777777" w:rsidR="00F154BC" w:rsidRDefault="00000000">
            <w:pPr>
              <w:rPr>
                <w:rFonts w:ascii="Arial" w:eastAsia="Times New Roman" w:hAnsi="Arial" w:cs="Arial"/>
                <w:color w:val="000000"/>
              </w:rPr>
            </w:pPr>
            <w:r>
              <w:rPr>
                <w:rFonts w:ascii="Arial" w:eastAsia="Times New Roman" w:hAnsi="Arial" w:cs="Arial"/>
                <w:color w:val="000000"/>
              </w:rPr>
              <w:t>compliance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F154BC" w14:paraId="6BB654BC" w14:textId="77777777">
              <w:trPr>
                <w:trHeight w:val="375"/>
                <w:tblCellSpacing w:w="15" w:type="dxa"/>
              </w:trPr>
              <w:tc>
                <w:tcPr>
                  <w:tcW w:w="6000" w:type="dxa"/>
                  <w:vAlign w:val="center"/>
                  <w:hideMark/>
                </w:tcPr>
                <w:p w14:paraId="777201A7" w14:textId="77777777" w:rsidR="00F154BC" w:rsidRDefault="00F154BC">
                  <w:pPr>
                    <w:rPr>
                      <w:rFonts w:ascii="Arial" w:eastAsia="Times New Roman" w:hAnsi="Arial" w:cs="Arial"/>
                      <w:color w:val="000000"/>
                    </w:rPr>
                  </w:pPr>
                </w:p>
              </w:tc>
            </w:tr>
          </w:tbl>
          <w:p w14:paraId="4CDD8DE2" w14:textId="77777777" w:rsidR="00F154BC" w:rsidRDefault="00F154BC">
            <w:pPr>
              <w:rPr>
                <w:rFonts w:ascii="Arial" w:eastAsia="Times New Roman" w:hAnsi="Arial" w:cs="Arial"/>
                <w:color w:val="000000"/>
              </w:rPr>
            </w:pPr>
          </w:p>
        </w:tc>
      </w:tr>
      <w:tr w:rsidR="00F154BC" w14:paraId="285A801C" w14:textId="77777777">
        <w:trPr>
          <w:divId w:val="1335643056"/>
          <w:tblCellSpacing w:w="12" w:type="dxa"/>
        </w:trPr>
        <w:tc>
          <w:tcPr>
            <w:tcW w:w="0" w:type="auto"/>
            <w:tcMar>
              <w:top w:w="105" w:type="dxa"/>
              <w:left w:w="24" w:type="dxa"/>
              <w:bottom w:w="24" w:type="dxa"/>
              <w:right w:w="24" w:type="dxa"/>
            </w:tcMar>
            <w:hideMark/>
          </w:tcPr>
          <w:p w14:paraId="07A267C3" w14:textId="77777777" w:rsidR="00F154BC" w:rsidRDefault="00000000">
            <w:pPr>
              <w:rPr>
                <w:rFonts w:ascii="Arial" w:eastAsia="Times New Roman" w:hAnsi="Arial" w:cs="Arial"/>
                <w:color w:val="000000"/>
              </w:rPr>
            </w:pPr>
            <w:r>
              <w:rPr>
                <w:rFonts w:ascii="Arial" w:eastAsia="Times New Roman" w:hAnsi="Arial" w:cs="Arial"/>
                <w:color w:val="000000"/>
              </w:rPr>
              <w:t>enforcement</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F154BC" w14:paraId="705C8AEC" w14:textId="77777777">
              <w:trPr>
                <w:trHeight w:val="375"/>
                <w:tblCellSpacing w:w="15" w:type="dxa"/>
              </w:trPr>
              <w:tc>
                <w:tcPr>
                  <w:tcW w:w="6000" w:type="dxa"/>
                  <w:vAlign w:val="center"/>
                  <w:hideMark/>
                </w:tcPr>
                <w:p w14:paraId="7C735A4F" w14:textId="77777777" w:rsidR="00F154BC" w:rsidRDefault="00F154BC">
                  <w:pPr>
                    <w:rPr>
                      <w:rFonts w:ascii="Arial" w:eastAsia="Times New Roman" w:hAnsi="Arial" w:cs="Arial"/>
                      <w:color w:val="000000"/>
                    </w:rPr>
                  </w:pPr>
                </w:p>
              </w:tc>
            </w:tr>
          </w:tbl>
          <w:p w14:paraId="294A7440" w14:textId="77777777" w:rsidR="00F154BC" w:rsidRDefault="00F154BC">
            <w:pPr>
              <w:rPr>
                <w:rFonts w:ascii="Arial" w:eastAsia="Times New Roman" w:hAnsi="Arial" w:cs="Arial"/>
                <w:color w:val="000000"/>
              </w:rPr>
            </w:pPr>
          </w:p>
        </w:tc>
      </w:tr>
      <w:tr w:rsidR="00F154BC" w14:paraId="3B7DB17F" w14:textId="77777777">
        <w:trPr>
          <w:divId w:val="1335643056"/>
          <w:tblCellSpacing w:w="12" w:type="dxa"/>
        </w:trPr>
        <w:tc>
          <w:tcPr>
            <w:tcW w:w="0" w:type="auto"/>
            <w:tcMar>
              <w:top w:w="105" w:type="dxa"/>
              <w:left w:w="24" w:type="dxa"/>
              <w:bottom w:w="24" w:type="dxa"/>
              <w:right w:w="24" w:type="dxa"/>
            </w:tcMar>
            <w:hideMark/>
          </w:tcPr>
          <w:p w14:paraId="32F1893D" w14:textId="77777777" w:rsidR="00F154BC" w:rsidRDefault="00000000">
            <w:pPr>
              <w:rPr>
                <w:rFonts w:ascii="Arial" w:eastAsia="Times New Roman" w:hAnsi="Arial" w:cs="Arial"/>
                <w:color w:val="000000"/>
              </w:rPr>
            </w:pPr>
            <w:r>
              <w:rPr>
                <w:rFonts w:ascii="Arial" w:eastAsia="Times New Roman" w:hAnsi="Arial" w:cs="Arial"/>
                <w:color w:val="000000"/>
              </w:rPr>
              <w:t>the appeals process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F154BC" w14:paraId="3EE96446" w14:textId="77777777">
              <w:trPr>
                <w:trHeight w:val="375"/>
                <w:tblCellSpacing w:w="15" w:type="dxa"/>
              </w:trPr>
              <w:tc>
                <w:tcPr>
                  <w:tcW w:w="6000" w:type="dxa"/>
                  <w:vAlign w:val="center"/>
                  <w:hideMark/>
                </w:tcPr>
                <w:p w14:paraId="772AC58B" w14:textId="77777777" w:rsidR="00F154BC" w:rsidRDefault="00F154BC">
                  <w:pPr>
                    <w:rPr>
                      <w:rFonts w:ascii="Arial" w:eastAsia="Times New Roman" w:hAnsi="Arial" w:cs="Arial"/>
                      <w:color w:val="000000"/>
                    </w:rPr>
                  </w:pPr>
                </w:p>
              </w:tc>
            </w:tr>
          </w:tbl>
          <w:p w14:paraId="1AB8B829" w14:textId="77777777" w:rsidR="00F154BC" w:rsidRDefault="00F154BC">
            <w:pPr>
              <w:rPr>
                <w:rFonts w:ascii="Arial" w:eastAsia="Times New Roman" w:hAnsi="Arial" w:cs="Arial"/>
                <w:color w:val="000000"/>
              </w:rPr>
            </w:pPr>
          </w:p>
        </w:tc>
      </w:tr>
    </w:tbl>
    <w:p w14:paraId="600F1C3E" w14:textId="77777777" w:rsidR="00F154BC"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EBB5ED3" w14:textId="77777777" w:rsidR="00F154BC"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Final comments</w:t>
      </w:r>
    </w:p>
    <w:p w14:paraId="35319880" w14:textId="77777777" w:rsidR="00F154BC" w:rsidRDefault="00000000">
      <w:pPr>
        <w:pStyle w:val="Heading3"/>
        <w:divId w:val="1279143903"/>
        <w:rPr>
          <w:rFonts w:ascii="Arial" w:eastAsia="Times New Roman" w:hAnsi="Arial" w:cs="Arial"/>
          <w:color w:val="000000"/>
        </w:rPr>
      </w:pPr>
      <w:r>
        <w:rPr>
          <w:rStyle w:val="question-number"/>
          <w:rFonts w:ascii="Arial" w:eastAsia="Times New Roman" w:hAnsi="Arial" w:cs="Arial"/>
          <w:color w:val="000000"/>
        </w:rPr>
        <w:t>51.</w:t>
      </w:r>
      <w:r>
        <w:rPr>
          <w:rFonts w:ascii="Arial" w:eastAsia="Times New Roman" w:hAnsi="Arial" w:cs="Arial"/>
          <w:color w:val="000000"/>
        </w:rPr>
        <w:t xml:space="preserve"> What, if any, further comments do you have regarding the design of the levy?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7"/>
      </w:tblGrid>
      <w:tr w:rsidR="00F154BC" w14:paraId="5118180B" w14:textId="77777777">
        <w:trPr>
          <w:divId w:val="1279143903"/>
          <w:tblCellSpacing w:w="12" w:type="dxa"/>
        </w:trPr>
        <w:tc>
          <w:tcPr>
            <w:tcW w:w="0" w:type="auto"/>
            <w:vAlign w:val="center"/>
            <w:hideMark/>
          </w:tcPr>
          <w:tbl>
            <w:tblPr>
              <w:tblW w:w="887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5"/>
            </w:tblGrid>
            <w:tr w:rsidR="00F154BC" w14:paraId="7BCDEC8C" w14:textId="77777777" w:rsidTr="004A39E0">
              <w:trPr>
                <w:trHeight w:val="1875"/>
                <w:tblCellSpacing w:w="15" w:type="dxa"/>
              </w:trPr>
              <w:tc>
                <w:tcPr>
                  <w:tcW w:w="8815" w:type="dxa"/>
                  <w:vAlign w:val="center"/>
                  <w:hideMark/>
                </w:tcPr>
                <w:p w14:paraId="4AB423CB" w14:textId="77777777" w:rsidR="00F154BC"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5F8B3D7" w14:textId="77777777" w:rsidR="00F154BC" w:rsidRDefault="00F154BC">
            <w:pPr>
              <w:rPr>
                <w:rFonts w:ascii="Arial" w:eastAsia="Times New Roman" w:hAnsi="Arial" w:cs="Arial"/>
                <w:color w:val="000000"/>
              </w:rPr>
            </w:pPr>
          </w:p>
        </w:tc>
      </w:tr>
    </w:tbl>
    <w:p w14:paraId="245F4F24" w14:textId="77777777" w:rsidR="00802D36" w:rsidRDefault="00802D36">
      <w:pPr>
        <w:divId w:val="1279143903"/>
        <w:rPr>
          <w:rFonts w:eastAsia="Times New Roman"/>
        </w:rPr>
      </w:pPr>
    </w:p>
    <w:sectPr w:rsidR="00802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C6922"/>
    <w:multiLevelType w:val="multilevel"/>
    <w:tmpl w:val="3178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E3F8B"/>
    <w:multiLevelType w:val="multilevel"/>
    <w:tmpl w:val="E3C2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E3404"/>
    <w:multiLevelType w:val="multilevel"/>
    <w:tmpl w:val="61A2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048E5"/>
    <w:multiLevelType w:val="multilevel"/>
    <w:tmpl w:val="7AF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A771E"/>
    <w:multiLevelType w:val="multilevel"/>
    <w:tmpl w:val="3358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25F64"/>
    <w:multiLevelType w:val="multilevel"/>
    <w:tmpl w:val="906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87106"/>
    <w:multiLevelType w:val="multilevel"/>
    <w:tmpl w:val="67AE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792822">
    <w:abstractNumId w:val="5"/>
  </w:num>
  <w:num w:numId="2" w16cid:durableId="1246113234">
    <w:abstractNumId w:val="3"/>
  </w:num>
  <w:num w:numId="3" w16cid:durableId="127433979">
    <w:abstractNumId w:val="1"/>
  </w:num>
  <w:num w:numId="4" w16cid:durableId="327639876">
    <w:abstractNumId w:val="0"/>
  </w:num>
  <w:num w:numId="5" w16cid:durableId="1144350960">
    <w:abstractNumId w:val="6"/>
  </w:num>
  <w:num w:numId="6" w16cid:durableId="1809856709">
    <w:abstractNumId w:val="4"/>
  </w:num>
  <w:num w:numId="7" w16cid:durableId="1971788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29"/>
    <w:rsid w:val="001207F5"/>
    <w:rsid w:val="00251372"/>
    <w:rsid w:val="002C108B"/>
    <w:rsid w:val="004A1E46"/>
    <w:rsid w:val="004A39E0"/>
    <w:rsid w:val="005432DD"/>
    <w:rsid w:val="00583B8A"/>
    <w:rsid w:val="0063244A"/>
    <w:rsid w:val="00725029"/>
    <w:rsid w:val="00802D36"/>
    <w:rsid w:val="00A9768E"/>
    <w:rsid w:val="00B02D95"/>
    <w:rsid w:val="00F15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DA23E"/>
  <w15:chartTrackingRefBased/>
  <w15:docId w15:val="{E80389E6-4565-4E15-9F8C-0285B22A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question-number">
    <w:name w:val="question-number"/>
    <w:basedOn w:val="DefaultParagraphFont"/>
  </w:style>
  <w:style w:type="character" w:customStyle="1" w:styleId="checkbox1">
    <w:name w:val="checkbox1"/>
    <w:basedOn w:val="DefaultParagraphFont"/>
    <w:rPr>
      <w:bdr w:val="single" w:sz="6" w:space="0" w:color="97C9EB" w:frame="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1076">
      <w:marLeft w:val="0"/>
      <w:marRight w:val="0"/>
      <w:marTop w:val="0"/>
      <w:marBottom w:val="0"/>
      <w:divBdr>
        <w:top w:val="none" w:sz="0" w:space="0" w:color="auto"/>
        <w:left w:val="none" w:sz="0" w:space="0" w:color="auto"/>
        <w:bottom w:val="none" w:sz="0" w:space="0" w:color="auto"/>
        <w:right w:val="none" w:sz="0" w:space="0" w:color="auto"/>
      </w:divBdr>
      <w:divsChild>
        <w:div w:id="669866298">
          <w:marLeft w:val="0"/>
          <w:marRight w:val="0"/>
          <w:marTop w:val="0"/>
          <w:marBottom w:val="0"/>
          <w:divBdr>
            <w:top w:val="none" w:sz="0" w:space="0" w:color="auto"/>
            <w:left w:val="none" w:sz="0" w:space="0" w:color="auto"/>
            <w:bottom w:val="none" w:sz="0" w:space="0" w:color="auto"/>
            <w:right w:val="none" w:sz="0" w:space="0" w:color="auto"/>
          </w:divBdr>
        </w:div>
      </w:divsChild>
    </w:div>
    <w:div w:id="150603858">
      <w:marLeft w:val="0"/>
      <w:marRight w:val="0"/>
      <w:marTop w:val="0"/>
      <w:marBottom w:val="0"/>
      <w:divBdr>
        <w:top w:val="none" w:sz="0" w:space="0" w:color="auto"/>
        <w:left w:val="none" w:sz="0" w:space="0" w:color="auto"/>
        <w:bottom w:val="none" w:sz="0" w:space="0" w:color="auto"/>
        <w:right w:val="none" w:sz="0" w:space="0" w:color="auto"/>
      </w:divBdr>
    </w:div>
    <w:div w:id="218710385">
      <w:marLeft w:val="0"/>
      <w:marRight w:val="0"/>
      <w:marTop w:val="0"/>
      <w:marBottom w:val="0"/>
      <w:divBdr>
        <w:top w:val="none" w:sz="0" w:space="0" w:color="auto"/>
        <w:left w:val="none" w:sz="0" w:space="0" w:color="auto"/>
        <w:bottom w:val="none" w:sz="0" w:space="0" w:color="auto"/>
        <w:right w:val="none" w:sz="0" w:space="0" w:color="auto"/>
      </w:divBdr>
    </w:div>
    <w:div w:id="232088928">
      <w:marLeft w:val="0"/>
      <w:marRight w:val="0"/>
      <w:marTop w:val="0"/>
      <w:marBottom w:val="0"/>
      <w:divBdr>
        <w:top w:val="none" w:sz="0" w:space="0" w:color="auto"/>
        <w:left w:val="none" w:sz="0" w:space="0" w:color="auto"/>
        <w:bottom w:val="none" w:sz="0" w:space="0" w:color="auto"/>
        <w:right w:val="none" w:sz="0" w:space="0" w:color="auto"/>
      </w:divBdr>
    </w:div>
    <w:div w:id="263806407">
      <w:marLeft w:val="0"/>
      <w:marRight w:val="0"/>
      <w:marTop w:val="0"/>
      <w:marBottom w:val="0"/>
      <w:divBdr>
        <w:top w:val="none" w:sz="0" w:space="0" w:color="auto"/>
        <w:left w:val="none" w:sz="0" w:space="0" w:color="auto"/>
        <w:bottom w:val="none" w:sz="0" w:space="0" w:color="auto"/>
        <w:right w:val="none" w:sz="0" w:space="0" w:color="auto"/>
      </w:divBdr>
      <w:divsChild>
        <w:div w:id="1960337917">
          <w:marLeft w:val="0"/>
          <w:marRight w:val="0"/>
          <w:marTop w:val="0"/>
          <w:marBottom w:val="0"/>
          <w:divBdr>
            <w:top w:val="none" w:sz="0" w:space="0" w:color="auto"/>
            <w:left w:val="none" w:sz="0" w:space="0" w:color="auto"/>
            <w:bottom w:val="none" w:sz="0" w:space="0" w:color="auto"/>
            <w:right w:val="none" w:sz="0" w:space="0" w:color="auto"/>
          </w:divBdr>
        </w:div>
      </w:divsChild>
    </w:div>
    <w:div w:id="304165176">
      <w:marLeft w:val="0"/>
      <w:marRight w:val="0"/>
      <w:marTop w:val="0"/>
      <w:marBottom w:val="0"/>
      <w:divBdr>
        <w:top w:val="none" w:sz="0" w:space="0" w:color="auto"/>
        <w:left w:val="none" w:sz="0" w:space="0" w:color="auto"/>
        <w:bottom w:val="none" w:sz="0" w:space="0" w:color="auto"/>
        <w:right w:val="none" w:sz="0" w:space="0" w:color="auto"/>
      </w:divBdr>
    </w:div>
    <w:div w:id="310134298">
      <w:marLeft w:val="0"/>
      <w:marRight w:val="0"/>
      <w:marTop w:val="0"/>
      <w:marBottom w:val="0"/>
      <w:divBdr>
        <w:top w:val="none" w:sz="0" w:space="0" w:color="auto"/>
        <w:left w:val="none" w:sz="0" w:space="0" w:color="auto"/>
        <w:bottom w:val="none" w:sz="0" w:space="0" w:color="auto"/>
        <w:right w:val="none" w:sz="0" w:space="0" w:color="auto"/>
      </w:divBdr>
    </w:div>
    <w:div w:id="316348905">
      <w:marLeft w:val="0"/>
      <w:marRight w:val="0"/>
      <w:marTop w:val="0"/>
      <w:marBottom w:val="0"/>
      <w:divBdr>
        <w:top w:val="none" w:sz="0" w:space="0" w:color="auto"/>
        <w:left w:val="none" w:sz="0" w:space="0" w:color="auto"/>
        <w:bottom w:val="none" w:sz="0" w:space="0" w:color="auto"/>
        <w:right w:val="none" w:sz="0" w:space="0" w:color="auto"/>
      </w:divBdr>
      <w:divsChild>
        <w:div w:id="1635989047">
          <w:marLeft w:val="0"/>
          <w:marRight w:val="0"/>
          <w:marTop w:val="0"/>
          <w:marBottom w:val="0"/>
          <w:divBdr>
            <w:top w:val="none" w:sz="0" w:space="0" w:color="auto"/>
            <w:left w:val="none" w:sz="0" w:space="0" w:color="auto"/>
            <w:bottom w:val="none" w:sz="0" w:space="0" w:color="auto"/>
            <w:right w:val="none" w:sz="0" w:space="0" w:color="auto"/>
          </w:divBdr>
        </w:div>
      </w:divsChild>
    </w:div>
    <w:div w:id="340662432">
      <w:marLeft w:val="0"/>
      <w:marRight w:val="0"/>
      <w:marTop w:val="0"/>
      <w:marBottom w:val="0"/>
      <w:divBdr>
        <w:top w:val="none" w:sz="0" w:space="0" w:color="auto"/>
        <w:left w:val="none" w:sz="0" w:space="0" w:color="auto"/>
        <w:bottom w:val="none" w:sz="0" w:space="0" w:color="auto"/>
        <w:right w:val="none" w:sz="0" w:space="0" w:color="auto"/>
      </w:divBdr>
      <w:divsChild>
        <w:div w:id="1985115132">
          <w:marLeft w:val="0"/>
          <w:marRight w:val="0"/>
          <w:marTop w:val="0"/>
          <w:marBottom w:val="0"/>
          <w:divBdr>
            <w:top w:val="none" w:sz="0" w:space="0" w:color="auto"/>
            <w:left w:val="none" w:sz="0" w:space="0" w:color="auto"/>
            <w:bottom w:val="none" w:sz="0" w:space="0" w:color="auto"/>
            <w:right w:val="none" w:sz="0" w:space="0" w:color="auto"/>
          </w:divBdr>
        </w:div>
      </w:divsChild>
    </w:div>
    <w:div w:id="387073692">
      <w:marLeft w:val="0"/>
      <w:marRight w:val="0"/>
      <w:marTop w:val="0"/>
      <w:marBottom w:val="0"/>
      <w:divBdr>
        <w:top w:val="none" w:sz="0" w:space="0" w:color="auto"/>
        <w:left w:val="none" w:sz="0" w:space="0" w:color="auto"/>
        <w:bottom w:val="none" w:sz="0" w:space="0" w:color="auto"/>
        <w:right w:val="none" w:sz="0" w:space="0" w:color="auto"/>
      </w:divBdr>
    </w:div>
    <w:div w:id="402527174">
      <w:marLeft w:val="0"/>
      <w:marRight w:val="0"/>
      <w:marTop w:val="0"/>
      <w:marBottom w:val="0"/>
      <w:divBdr>
        <w:top w:val="none" w:sz="0" w:space="0" w:color="auto"/>
        <w:left w:val="none" w:sz="0" w:space="0" w:color="auto"/>
        <w:bottom w:val="none" w:sz="0" w:space="0" w:color="auto"/>
        <w:right w:val="none" w:sz="0" w:space="0" w:color="auto"/>
      </w:divBdr>
    </w:div>
    <w:div w:id="460999282">
      <w:marLeft w:val="0"/>
      <w:marRight w:val="0"/>
      <w:marTop w:val="0"/>
      <w:marBottom w:val="0"/>
      <w:divBdr>
        <w:top w:val="none" w:sz="0" w:space="0" w:color="auto"/>
        <w:left w:val="none" w:sz="0" w:space="0" w:color="auto"/>
        <w:bottom w:val="none" w:sz="0" w:space="0" w:color="auto"/>
        <w:right w:val="none" w:sz="0" w:space="0" w:color="auto"/>
      </w:divBdr>
      <w:divsChild>
        <w:div w:id="843013983">
          <w:marLeft w:val="0"/>
          <w:marRight w:val="0"/>
          <w:marTop w:val="0"/>
          <w:marBottom w:val="0"/>
          <w:divBdr>
            <w:top w:val="none" w:sz="0" w:space="0" w:color="auto"/>
            <w:left w:val="none" w:sz="0" w:space="0" w:color="auto"/>
            <w:bottom w:val="none" w:sz="0" w:space="0" w:color="auto"/>
            <w:right w:val="none" w:sz="0" w:space="0" w:color="auto"/>
          </w:divBdr>
        </w:div>
      </w:divsChild>
    </w:div>
    <w:div w:id="472791280">
      <w:marLeft w:val="0"/>
      <w:marRight w:val="0"/>
      <w:marTop w:val="0"/>
      <w:marBottom w:val="0"/>
      <w:divBdr>
        <w:top w:val="none" w:sz="0" w:space="0" w:color="auto"/>
        <w:left w:val="none" w:sz="0" w:space="0" w:color="auto"/>
        <w:bottom w:val="none" w:sz="0" w:space="0" w:color="auto"/>
        <w:right w:val="none" w:sz="0" w:space="0" w:color="auto"/>
      </w:divBdr>
      <w:divsChild>
        <w:div w:id="2143843557">
          <w:marLeft w:val="0"/>
          <w:marRight w:val="0"/>
          <w:marTop w:val="0"/>
          <w:marBottom w:val="0"/>
          <w:divBdr>
            <w:top w:val="none" w:sz="0" w:space="0" w:color="auto"/>
            <w:left w:val="none" w:sz="0" w:space="0" w:color="auto"/>
            <w:bottom w:val="none" w:sz="0" w:space="0" w:color="auto"/>
            <w:right w:val="none" w:sz="0" w:space="0" w:color="auto"/>
          </w:divBdr>
        </w:div>
      </w:divsChild>
    </w:div>
    <w:div w:id="483159503">
      <w:marLeft w:val="0"/>
      <w:marRight w:val="0"/>
      <w:marTop w:val="0"/>
      <w:marBottom w:val="0"/>
      <w:divBdr>
        <w:top w:val="none" w:sz="0" w:space="0" w:color="auto"/>
        <w:left w:val="none" w:sz="0" w:space="0" w:color="auto"/>
        <w:bottom w:val="none" w:sz="0" w:space="0" w:color="auto"/>
        <w:right w:val="none" w:sz="0" w:space="0" w:color="auto"/>
      </w:divBdr>
      <w:divsChild>
        <w:div w:id="1178932349">
          <w:marLeft w:val="0"/>
          <w:marRight w:val="0"/>
          <w:marTop w:val="0"/>
          <w:marBottom w:val="0"/>
          <w:divBdr>
            <w:top w:val="none" w:sz="0" w:space="0" w:color="auto"/>
            <w:left w:val="none" w:sz="0" w:space="0" w:color="auto"/>
            <w:bottom w:val="none" w:sz="0" w:space="0" w:color="auto"/>
            <w:right w:val="none" w:sz="0" w:space="0" w:color="auto"/>
          </w:divBdr>
        </w:div>
      </w:divsChild>
    </w:div>
    <w:div w:id="528377714">
      <w:marLeft w:val="0"/>
      <w:marRight w:val="0"/>
      <w:marTop w:val="0"/>
      <w:marBottom w:val="0"/>
      <w:divBdr>
        <w:top w:val="none" w:sz="0" w:space="0" w:color="auto"/>
        <w:left w:val="none" w:sz="0" w:space="0" w:color="auto"/>
        <w:bottom w:val="none" w:sz="0" w:space="0" w:color="auto"/>
        <w:right w:val="none" w:sz="0" w:space="0" w:color="auto"/>
      </w:divBdr>
      <w:divsChild>
        <w:div w:id="1532916465">
          <w:marLeft w:val="0"/>
          <w:marRight w:val="0"/>
          <w:marTop w:val="0"/>
          <w:marBottom w:val="0"/>
          <w:divBdr>
            <w:top w:val="none" w:sz="0" w:space="0" w:color="auto"/>
            <w:left w:val="none" w:sz="0" w:space="0" w:color="auto"/>
            <w:bottom w:val="none" w:sz="0" w:space="0" w:color="auto"/>
            <w:right w:val="none" w:sz="0" w:space="0" w:color="auto"/>
          </w:divBdr>
        </w:div>
      </w:divsChild>
    </w:div>
    <w:div w:id="543953724">
      <w:marLeft w:val="0"/>
      <w:marRight w:val="0"/>
      <w:marTop w:val="0"/>
      <w:marBottom w:val="0"/>
      <w:divBdr>
        <w:top w:val="none" w:sz="0" w:space="0" w:color="auto"/>
        <w:left w:val="none" w:sz="0" w:space="0" w:color="auto"/>
        <w:bottom w:val="none" w:sz="0" w:space="0" w:color="auto"/>
        <w:right w:val="none" w:sz="0" w:space="0" w:color="auto"/>
      </w:divBdr>
      <w:divsChild>
        <w:div w:id="1894805573">
          <w:marLeft w:val="0"/>
          <w:marRight w:val="0"/>
          <w:marTop w:val="0"/>
          <w:marBottom w:val="0"/>
          <w:divBdr>
            <w:top w:val="none" w:sz="0" w:space="0" w:color="auto"/>
            <w:left w:val="none" w:sz="0" w:space="0" w:color="auto"/>
            <w:bottom w:val="none" w:sz="0" w:space="0" w:color="auto"/>
            <w:right w:val="none" w:sz="0" w:space="0" w:color="auto"/>
          </w:divBdr>
        </w:div>
      </w:divsChild>
    </w:div>
    <w:div w:id="553156497">
      <w:marLeft w:val="0"/>
      <w:marRight w:val="0"/>
      <w:marTop w:val="0"/>
      <w:marBottom w:val="0"/>
      <w:divBdr>
        <w:top w:val="none" w:sz="0" w:space="0" w:color="auto"/>
        <w:left w:val="none" w:sz="0" w:space="0" w:color="auto"/>
        <w:bottom w:val="none" w:sz="0" w:space="0" w:color="auto"/>
        <w:right w:val="none" w:sz="0" w:space="0" w:color="auto"/>
      </w:divBdr>
      <w:divsChild>
        <w:div w:id="471139457">
          <w:marLeft w:val="0"/>
          <w:marRight w:val="0"/>
          <w:marTop w:val="0"/>
          <w:marBottom w:val="0"/>
          <w:divBdr>
            <w:top w:val="none" w:sz="0" w:space="0" w:color="auto"/>
            <w:left w:val="none" w:sz="0" w:space="0" w:color="auto"/>
            <w:bottom w:val="none" w:sz="0" w:space="0" w:color="auto"/>
            <w:right w:val="none" w:sz="0" w:space="0" w:color="auto"/>
          </w:divBdr>
        </w:div>
      </w:divsChild>
    </w:div>
    <w:div w:id="556551005">
      <w:marLeft w:val="0"/>
      <w:marRight w:val="0"/>
      <w:marTop w:val="0"/>
      <w:marBottom w:val="0"/>
      <w:divBdr>
        <w:top w:val="none" w:sz="0" w:space="0" w:color="auto"/>
        <w:left w:val="none" w:sz="0" w:space="0" w:color="auto"/>
        <w:bottom w:val="none" w:sz="0" w:space="0" w:color="auto"/>
        <w:right w:val="none" w:sz="0" w:space="0" w:color="auto"/>
      </w:divBdr>
      <w:divsChild>
        <w:div w:id="313605962">
          <w:marLeft w:val="0"/>
          <w:marRight w:val="0"/>
          <w:marTop w:val="0"/>
          <w:marBottom w:val="0"/>
          <w:divBdr>
            <w:top w:val="none" w:sz="0" w:space="0" w:color="auto"/>
            <w:left w:val="none" w:sz="0" w:space="0" w:color="auto"/>
            <w:bottom w:val="none" w:sz="0" w:space="0" w:color="auto"/>
            <w:right w:val="none" w:sz="0" w:space="0" w:color="auto"/>
          </w:divBdr>
        </w:div>
      </w:divsChild>
    </w:div>
    <w:div w:id="639110464">
      <w:marLeft w:val="0"/>
      <w:marRight w:val="0"/>
      <w:marTop w:val="0"/>
      <w:marBottom w:val="0"/>
      <w:divBdr>
        <w:top w:val="none" w:sz="0" w:space="0" w:color="auto"/>
        <w:left w:val="none" w:sz="0" w:space="0" w:color="auto"/>
        <w:bottom w:val="none" w:sz="0" w:space="0" w:color="auto"/>
        <w:right w:val="none" w:sz="0" w:space="0" w:color="auto"/>
      </w:divBdr>
      <w:divsChild>
        <w:div w:id="1469856963">
          <w:marLeft w:val="0"/>
          <w:marRight w:val="0"/>
          <w:marTop w:val="0"/>
          <w:marBottom w:val="0"/>
          <w:divBdr>
            <w:top w:val="none" w:sz="0" w:space="0" w:color="auto"/>
            <w:left w:val="none" w:sz="0" w:space="0" w:color="auto"/>
            <w:bottom w:val="none" w:sz="0" w:space="0" w:color="auto"/>
            <w:right w:val="none" w:sz="0" w:space="0" w:color="auto"/>
          </w:divBdr>
        </w:div>
      </w:divsChild>
    </w:div>
    <w:div w:id="651522088">
      <w:marLeft w:val="0"/>
      <w:marRight w:val="0"/>
      <w:marTop w:val="0"/>
      <w:marBottom w:val="0"/>
      <w:divBdr>
        <w:top w:val="none" w:sz="0" w:space="0" w:color="auto"/>
        <w:left w:val="none" w:sz="0" w:space="0" w:color="auto"/>
        <w:bottom w:val="none" w:sz="0" w:space="0" w:color="auto"/>
        <w:right w:val="none" w:sz="0" w:space="0" w:color="auto"/>
      </w:divBdr>
    </w:div>
    <w:div w:id="664090810">
      <w:marLeft w:val="0"/>
      <w:marRight w:val="0"/>
      <w:marTop w:val="0"/>
      <w:marBottom w:val="0"/>
      <w:divBdr>
        <w:top w:val="none" w:sz="0" w:space="0" w:color="auto"/>
        <w:left w:val="none" w:sz="0" w:space="0" w:color="auto"/>
        <w:bottom w:val="none" w:sz="0" w:space="0" w:color="auto"/>
        <w:right w:val="none" w:sz="0" w:space="0" w:color="auto"/>
      </w:divBdr>
      <w:divsChild>
        <w:div w:id="1591537">
          <w:marLeft w:val="0"/>
          <w:marRight w:val="0"/>
          <w:marTop w:val="0"/>
          <w:marBottom w:val="0"/>
          <w:divBdr>
            <w:top w:val="none" w:sz="0" w:space="0" w:color="auto"/>
            <w:left w:val="none" w:sz="0" w:space="0" w:color="auto"/>
            <w:bottom w:val="none" w:sz="0" w:space="0" w:color="auto"/>
            <w:right w:val="none" w:sz="0" w:space="0" w:color="auto"/>
          </w:divBdr>
        </w:div>
      </w:divsChild>
    </w:div>
    <w:div w:id="738751371">
      <w:marLeft w:val="0"/>
      <w:marRight w:val="0"/>
      <w:marTop w:val="0"/>
      <w:marBottom w:val="0"/>
      <w:divBdr>
        <w:top w:val="none" w:sz="0" w:space="0" w:color="auto"/>
        <w:left w:val="none" w:sz="0" w:space="0" w:color="auto"/>
        <w:bottom w:val="none" w:sz="0" w:space="0" w:color="auto"/>
        <w:right w:val="none" w:sz="0" w:space="0" w:color="auto"/>
      </w:divBdr>
    </w:div>
    <w:div w:id="823206587">
      <w:marLeft w:val="0"/>
      <w:marRight w:val="0"/>
      <w:marTop w:val="0"/>
      <w:marBottom w:val="0"/>
      <w:divBdr>
        <w:top w:val="none" w:sz="0" w:space="0" w:color="auto"/>
        <w:left w:val="none" w:sz="0" w:space="0" w:color="auto"/>
        <w:bottom w:val="none" w:sz="0" w:space="0" w:color="auto"/>
        <w:right w:val="none" w:sz="0" w:space="0" w:color="auto"/>
      </w:divBdr>
    </w:div>
    <w:div w:id="826475135">
      <w:marLeft w:val="0"/>
      <w:marRight w:val="0"/>
      <w:marTop w:val="0"/>
      <w:marBottom w:val="0"/>
      <w:divBdr>
        <w:top w:val="none" w:sz="0" w:space="0" w:color="auto"/>
        <w:left w:val="none" w:sz="0" w:space="0" w:color="auto"/>
        <w:bottom w:val="none" w:sz="0" w:space="0" w:color="auto"/>
        <w:right w:val="none" w:sz="0" w:space="0" w:color="auto"/>
      </w:divBdr>
    </w:div>
    <w:div w:id="922379447">
      <w:marLeft w:val="0"/>
      <w:marRight w:val="0"/>
      <w:marTop w:val="0"/>
      <w:marBottom w:val="0"/>
      <w:divBdr>
        <w:top w:val="none" w:sz="0" w:space="0" w:color="auto"/>
        <w:left w:val="none" w:sz="0" w:space="0" w:color="auto"/>
        <w:bottom w:val="none" w:sz="0" w:space="0" w:color="auto"/>
        <w:right w:val="none" w:sz="0" w:space="0" w:color="auto"/>
      </w:divBdr>
    </w:div>
    <w:div w:id="946500233">
      <w:marLeft w:val="0"/>
      <w:marRight w:val="0"/>
      <w:marTop w:val="0"/>
      <w:marBottom w:val="0"/>
      <w:divBdr>
        <w:top w:val="none" w:sz="0" w:space="0" w:color="auto"/>
        <w:left w:val="none" w:sz="0" w:space="0" w:color="auto"/>
        <w:bottom w:val="none" w:sz="0" w:space="0" w:color="auto"/>
        <w:right w:val="none" w:sz="0" w:space="0" w:color="auto"/>
      </w:divBdr>
    </w:div>
    <w:div w:id="1001198408">
      <w:marLeft w:val="0"/>
      <w:marRight w:val="0"/>
      <w:marTop w:val="0"/>
      <w:marBottom w:val="0"/>
      <w:divBdr>
        <w:top w:val="none" w:sz="0" w:space="0" w:color="auto"/>
        <w:left w:val="none" w:sz="0" w:space="0" w:color="auto"/>
        <w:bottom w:val="none" w:sz="0" w:space="0" w:color="auto"/>
        <w:right w:val="none" w:sz="0" w:space="0" w:color="auto"/>
      </w:divBdr>
    </w:div>
    <w:div w:id="1004746049">
      <w:marLeft w:val="0"/>
      <w:marRight w:val="0"/>
      <w:marTop w:val="0"/>
      <w:marBottom w:val="0"/>
      <w:divBdr>
        <w:top w:val="none" w:sz="0" w:space="0" w:color="auto"/>
        <w:left w:val="none" w:sz="0" w:space="0" w:color="auto"/>
        <w:bottom w:val="none" w:sz="0" w:space="0" w:color="auto"/>
        <w:right w:val="none" w:sz="0" w:space="0" w:color="auto"/>
      </w:divBdr>
    </w:div>
    <w:div w:id="1048722845">
      <w:marLeft w:val="0"/>
      <w:marRight w:val="0"/>
      <w:marTop w:val="0"/>
      <w:marBottom w:val="0"/>
      <w:divBdr>
        <w:top w:val="none" w:sz="0" w:space="0" w:color="auto"/>
        <w:left w:val="none" w:sz="0" w:space="0" w:color="auto"/>
        <w:bottom w:val="none" w:sz="0" w:space="0" w:color="auto"/>
        <w:right w:val="none" w:sz="0" w:space="0" w:color="auto"/>
      </w:divBdr>
      <w:divsChild>
        <w:div w:id="1021660962">
          <w:marLeft w:val="0"/>
          <w:marRight w:val="0"/>
          <w:marTop w:val="0"/>
          <w:marBottom w:val="0"/>
          <w:divBdr>
            <w:top w:val="none" w:sz="0" w:space="0" w:color="auto"/>
            <w:left w:val="none" w:sz="0" w:space="0" w:color="auto"/>
            <w:bottom w:val="none" w:sz="0" w:space="0" w:color="auto"/>
            <w:right w:val="none" w:sz="0" w:space="0" w:color="auto"/>
          </w:divBdr>
        </w:div>
      </w:divsChild>
    </w:div>
    <w:div w:id="1049374694">
      <w:marLeft w:val="0"/>
      <w:marRight w:val="0"/>
      <w:marTop w:val="0"/>
      <w:marBottom w:val="0"/>
      <w:divBdr>
        <w:top w:val="none" w:sz="0" w:space="0" w:color="auto"/>
        <w:left w:val="none" w:sz="0" w:space="0" w:color="auto"/>
        <w:bottom w:val="none" w:sz="0" w:space="0" w:color="auto"/>
        <w:right w:val="none" w:sz="0" w:space="0" w:color="auto"/>
      </w:divBdr>
    </w:div>
    <w:div w:id="1054506970">
      <w:marLeft w:val="0"/>
      <w:marRight w:val="0"/>
      <w:marTop w:val="0"/>
      <w:marBottom w:val="0"/>
      <w:divBdr>
        <w:top w:val="none" w:sz="0" w:space="0" w:color="auto"/>
        <w:left w:val="none" w:sz="0" w:space="0" w:color="auto"/>
        <w:bottom w:val="none" w:sz="0" w:space="0" w:color="auto"/>
        <w:right w:val="none" w:sz="0" w:space="0" w:color="auto"/>
      </w:divBdr>
    </w:div>
    <w:div w:id="1101802284">
      <w:marLeft w:val="0"/>
      <w:marRight w:val="0"/>
      <w:marTop w:val="0"/>
      <w:marBottom w:val="0"/>
      <w:divBdr>
        <w:top w:val="none" w:sz="0" w:space="0" w:color="auto"/>
        <w:left w:val="none" w:sz="0" w:space="0" w:color="auto"/>
        <w:bottom w:val="none" w:sz="0" w:space="0" w:color="auto"/>
        <w:right w:val="none" w:sz="0" w:space="0" w:color="auto"/>
      </w:divBdr>
      <w:divsChild>
        <w:div w:id="1091468311">
          <w:marLeft w:val="0"/>
          <w:marRight w:val="0"/>
          <w:marTop w:val="0"/>
          <w:marBottom w:val="0"/>
          <w:divBdr>
            <w:top w:val="none" w:sz="0" w:space="0" w:color="auto"/>
            <w:left w:val="none" w:sz="0" w:space="0" w:color="auto"/>
            <w:bottom w:val="none" w:sz="0" w:space="0" w:color="auto"/>
            <w:right w:val="none" w:sz="0" w:space="0" w:color="auto"/>
          </w:divBdr>
        </w:div>
      </w:divsChild>
    </w:div>
    <w:div w:id="1137605357">
      <w:marLeft w:val="0"/>
      <w:marRight w:val="0"/>
      <w:marTop w:val="0"/>
      <w:marBottom w:val="0"/>
      <w:divBdr>
        <w:top w:val="none" w:sz="0" w:space="0" w:color="auto"/>
        <w:left w:val="none" w:sz="0" w:space="0" w:color="auto"/>
        <w:bottom w:val="none" w:sz="0" w:space="0" w:color="auto"/>
        <w:right w:val="none" w:sz="0" w:space="0" w:color="auto"/>
      </w:divBdr>
      <w:divsChild>
        <w:div w:id="1210655218">
          <w:marLeft w:val="0"/>
          <w:marRight w:val="0"/>
          <w:marTop w:val="0"/>
          <w:marBottom w:val="0"/>
          <w:divBdr>
            <w:top w:val="none" w:sz="0" w:space="0" w:color="auto"/>
            <w:left w:val="none" w:sz="0" w:space="0" w:color="auto"/>
            <w:bottom w:val="none" w:sz="0" w:space="0" w:color="auto"/>
            <w:right w:val="none" w:sz="0" w:space="0" w:color="auto"/>
          </w:divBdr>
        </w:div>
      </w:divsChild>
    </w:div>
    <w:div w:id="1167479473">
      <w:marLeft w:val="0"/>
      <w:marRight w:val="0"/>
      <w:marTop w:val="0"/>
      <w:marBottom w:val="0"/>
      <w:divBdr>
        <w:top w:val="none" w:sz="0" w:space="0" w:color="auto"/>
        <w:left w:val="none" w:sz="0" w:space="0" w:color="auto"/>
        <w:bottom w:val="none" w:sz="0" w:space="0" w:color="auto"/>
        <w:right w:val="none" w:sz="0" w:space="0" w:color="auto"/>
      </w:divBdr>
    </w:div>
    <w:div w:id="1179544704">
      <w:marLeft w:val="0"/>
      <w:marRight w:val="0"/>
      <w:marTop w:val="0"/>
      <w:marBottom w:val="0"/>
      <w:divBdr>
        <w:top w:val="none" w:sz="0" w:space="0" w:color="auto"/>
        <w:left w:val="none" w:sz="0" w:space="0" w:color="auto"/>
        <w:bottom w:val="none" w:sz="0" w:space="0" w:color="auto"/>
        <w:right w:val="none" w:sz="0" w:space="0" w:color="auto"/>
      </w:divBdr>
      <w:divsChild>
        <w:div w:id="1997221269">
          <w:marLeft w:val="0"/>
          <w:marRight w:val="0"/>
          <w:marTop w:val="0"/>
          <w:marBottom w:val="0"/>
          <w:divBdr>
            <w:top w:val="none" w:sz="0" w:space="0" w:color="auto"/>
            <w:left w:val="none" w:sz="0" w:space="0" w:color="auto"/>
            <w:bottom w:val="none" w:sz="0" w:space="0" w:color="auto"/>
            <w:right w:val="none" w:sz="0" w:space="0" w:color="auto"/>
          </w:divBdr>
        </w:div>
      </w:divsChild>
    </w:div>
    <w:div w:id="1185024160">
      <w:marLeft w:val="0"/>
      <w:marRight w:val="0"/>
      <w:marTop w:val="0"/>
      <w:marBottom w:val="0"/>
      <w:divBdr>
        <w:top w:val="none" w:sz="0" w:space="0" w:color="auto"/>
        <w:left w:val="none" w:sz="0" w:space="0" w:color="auto"/>
        <w:bottom w:val="none" w:sz="0" w:space="0" w:color="auto"/>
        <w:right w:val="none" w:sz="0" w:space="0" w:color="auto"/>
      </w:divBdr>
      <w:divsChild>
        <w:div w:id="400443450">
          <w:marLeft w:val="0"/>
          <w:marRight w:val="0"/>
          <w:marTop w:val="0"/>
          <w:marBottom w:val="0"/>
          <w:divBdr>
            <w:top w:val="none" w:sz="0" w:space="0" w:color="auto"/>
            <w:left w:val="none" w:sz="0" w:space="0" w:color="auto"/>
            <w:bottom w:val="none" w:sz="0" w:space="0" w:color="auto"/>
            <w:right w:val="none" w:sz="0" w:space="0" w:color="auto"/>
          </w:divBdr>
        </w:div>
      </w:divsChild>
    </w:div>
    <w:div w:id="1188256874">
      <w:marLeft w:val="0"/>
      <w:marRight w:val="0"/>
      <w:marTop w:val="0"/>
      <w:marBottom w:val="0"/>
      <w:divBdr>
        <w:top w:val="none" w:sz="0" w:space="0" w:color="auto"/>
        <w:left w:val="none" w:sz="0" w:space="0" w:color="auto"/>
        <w:bottom w:val="none" w:sz="0" w:space="0" w:color="auto"/>
        <w:right w:val="none" w:sz="0" w:space="0" w:color="auto"/>
      </w:divBdr>
    </w:div>
    <w:div w:id="1256133081">
      <w:marLeft w:val="0"/>
      <w:marRight w:val="0"/>
      <w:marTop w:val="0"/>
      <w:marBottom w:val="0"/>
      <w:divBdr>
        <w:top w:val="none" w:sz="0" w:space="0" w:color="auto"/>
        <w:left w:val="none" w:sz="0" w:space="0" w:color="auto"/>
        <w:bottom w:val="none" w:sz="0" w:space="0" w:color="auto"/>
        <w:right w:val="none" w:sz="0" w:space="0" w:color="auto"/>
      </w:divBdr>
    </w:div>
    <w:div w:id="1265459724">
      <w:marLeft w:val="0"/>
      <w:marRight w:val="0"/>
      <w:marTop w:val="0"/>
      <w:marBottom w:val="0"/>
      <w:divBdr>
        <w:top w:val="none" w:sz="0" w:space="0" w:color="auto"/>
        <w:left w:val="none" w:sz="0" w:space="0" w:color="auto"/>
        <w:bottom w:val="none" w:sz="0" w:space="0" w:color="auto"/>
        <w:right w:val="none" w:sz="0" w:space="0" w:color="auto"/>
      </w:divBdr>
    </w:div>
    <w:div w:id="1279143903">
      <w:marLeft w:val="0"/>
      <w:marRight w:val="0"/>
      <w:marTop w:val="0"/>
      <w:marBottom w:val="0"/>
      <w:divBdr>
        <w:top w:val="none" w:sz="0" w:space="0" w:color="auto"/>
        <w:left w:val="none" w:sz="0" w:space="0" w:color="auto"/>
        <w:bottom w:val="none" w:sz="0" w:space="0" w:color="auto"/>
        <w:right w:val="none" w:sz="0" w:space="0" w:color="auto"/>
      </w:divBdr>
    </w:div>
    <w:div w:id="1296718008">
      <w:marLeft w:val="0"/>
      <w:marRight w:val="0"/>
      <w:marTop w:val="0"/>
      <w:marBottom w:val="0"/>
      <w:divBdr>
        <w:top w:val="none" w:sz="0" w:space="0" w:color="auto"/>
        <w:left w:val="none" w:sz="0" w:space="0" w:color="auto"/>
        <w:bottom w:val="none" w:sz="0" w:space="0" w:color="auto"/>
        <w:right w:val="none" w:sz="0" w:space="0" w:color="auto"/>
      </w:divBdr>
    </w:div>
    <w:div w:id="1335643056">
      <w:marLeft w:val="0"/>
      <w:marRight w:val="0"/>
      <w:marTop w:val="0"/>
      <w:marBottom w:val="0"/>
      <w:divBdr>
        <w:top w:val="none" w:sz="0" w:space="0" w:color="auto"/>
        <w:left w:val="none" w:sz="0" w:space="0" w:color="auto"/>
        <w:bottom w:val="none" w:sz="0" w:space="0" w:color="auto"/>
        <w:right w:val="none" w:sz="0" w:space="0" w:color="auto"/>
      </w:divBdr>
    </w:div>
    <w:div w:id="1361973067">
      <w:marLeft w:val="0"/>
      <w:marRight w:val="0"/>
      <w:marTop w:val="0"/>
      <w:marBottom w:val="0"/>
      <w:divBdr>
        <w:top w:val="none" w:sz="0" w:space="0" w:color="auto"/>
        <w:left w:val="none" w:sz="0" w:space="0" w:color="auto"/>
        <w:bottom w:val="none" w:sz="0" w:space="0" w:color="auto"/>
        <w:right w:val="none" w:sz="0" w:space="0" w:color="auto"/>
      </w:divBdr>
    </w:div>
    <w:div w:id="1392465119">
      <w:marLeft w:val="0"/>
      <w:marRight w:val="0"/>
      <w:marTop w:val="0"/>
      <w:marBottom w:val="0"/>
      <w:divBdr>
        <w:top w:val="none" w:sz="0" w:space="0" w:color="auto"/>
        <w:left w:val="none" w:sz="0" w:space="0" w:color="auto"/>
        <w:bottom w:val="none" w:sz="0" w:space="0" w:color="auto"/>
        <w:right w:val="none" w:sz="0" w:space="0" w:color="auto"/>
      </w:divBdr>
    </w:div>
    <w:div w:id="1426993053">
      <w:marLeft w:val="0"/>
      <w:marRight w:val="0"/>
      <w:marTop w:val="0"/>
      <w:marBottom w:val="0"/>
      <w:divBdr>
        <w:top w:val="none" w:sz="0" w:space="0" w:color="auto"/>
        <w:left w:val="none" w:sz="0" w:space="0" w:color="auto"/>
        <w:bottom w:val="none" w:sz="0" w:space="0" w:color="auto"/>
        <w:right w:val="none" w:sz="0" w:space="0" w:color="auto"/>
      </w:divBdr>
      <w:divsChild>
        <w:div w:id="148249003">
          <w:marLeft w:val="0"/>
          <w:marRight w:val="0"/>
          <w:marTop w:val="0"/>
          <w:marBottom w:val="0"/>
          <w:divBdr>
            <w:top w:val="none" w:sz="0" w:space="0" w:color="auto"/>
            <w:left w:val="none" w:sz="0" w:space="0" w:color="auto"/>
            <w:bottom w:val="none" w:sz="0" w:space="0" w:color="auto"/>
            <w:right w:val="none" w:sz="0" w:space="0" w:color="auto"/>
          </w:divBdr>
        </w:div>
      </w:divsChild>
    </w:div>
    <w:div w:id="1427188713">
      <w:marLeft w:val="0"/>
      <w:marRight w:val="0"/>
      <w:marTop w:val="0"/>
      <w:marBottom w:val="0"/>
      <w:divBdr>
        <w:top w:val="none" w:sz="0" w:space="0" w:color="auto"/>
        <w:left w:val="none" w:sz="0" w:space="0" w:color="auto"/>
        <w:bottom w:val="none" w:sz="0" w:space="0" w:color="auto"/>
        <w:right w:val="none" w:sz="0" w:space="0" w:color="auto"/>
      </w:divBdr>
    </w:div>
    <w:div w:id="1431896355">
      <w:marLeft w:val="0"/>
      <w:marRight w:val="0"/>
      <w:marTop w:val="0"/>
      <w:marBottom w:val="0"/>
      <w:divBdr>
        <w:top w:val="none" w:sz="0" w:space="0" w:color="auto"/>
        <w:left w:val="none" w:sz="0" w:space="0" w:color="auto"/>
        <w:bottom w:val="none" w:sz="0" w:space="0" w:color="auto"/>
        <w:right w:val="none" w:sz="0" w:space="0" w:color="auto"/>
      </w:divBdr>
    </w:div>
    <w:div w:id="1434323106">
      <w:marLeft w:val="0"/>
      <w:marRight w:val="0"/>
      <w:marTop w:val="0"/>
      <w:marBottom w:val="0"/>
      <w:divBdr>
        <w:top w:val="none" w:sz="0" w:space="0" w:color="auto"/>
        <w:left w:val="none" w:sz="0" w:space="0" w:color="auto"/>
        <w:bottom w:val="none" w:sz="0" w:space="0" w:color="auto"/>
        <w:right w:val="none" w:sz="0" w:space="0" w:color="auto"/>
      </w:divBdr>
      <w:divsChild>
        <w:div w:id="212884714">
          <w:marLeft w:val="0"/>
          <w:marRight w:val="0"/>
          <w:marTop w:val="0"/>
          <w:marBottom w:val="0"/>
          <w:divBdr>
            <w:top w:val="none" w:sz="0" w:space="0" w:color="auto"/>
            <w:left w:val="none" w:sz="0" w:space="0" w:color="auto"/>
            <w:bottom w:val="none" w:sz="0" w:space="0" w:color="auto"/>
            <w:right w:val="none" w:sz="0" w:space="0" w:color="auto"/>
          </w:divBdr>
        </w:div>
      </w:divsChild>
    </w:div>
    <w:div w:id="1449078854">
      <w:marLeft w:val="0"/>
      <w:marRight w:val="0"/>
      <w:marTop w:val="0"/>
      <w:marBottom w:val="0"/>
      <w:divBdr>
        <w:top w:val="none" w:sz="0" w:space="0" w:color="auto"/>
        <w:left w:val="none" w:sz="0" w:space="0" w:color="auto"/>
        <w:bottom w:val="none" w:sz="0" w:space="0" w:color="auto"/>
        <w:right w:val="none" w:sz="0" w:space="0" w:color="auto"/>
      </w:divBdr>
    </w:div>
    <w:div w:id="1516767205">
      <w:marLeft w:val="0"/>
      <w:marRight w:val="0"/>
      <w:marTop w:val="0"/>
      <w:marBottom w:val="0"/>
      <w:divBdr>
        <w:top w:val="none" w:sz="0" w:space="0" w:color="auto"/>
        <w:left w:val="none" w:sz="0" w:space="0" w:color="auto"/>
        <w:bottom w:val="none" w:sz="0" w:space="0" w:color="auto"/>
        <w:right w:val="none" w:sz="0" w:space="0" w:color="auto"/>
      </w:divBdr>
      <w:divsChild>
        <w:div w:id="1108935773">
          <w:marLeft w:val="0"/>
          <w:marRight w:val="0"/>
          <w:marTop w:val="0"/>
          <w:marBottom w:val="0"/>
          <w:divBdr>
            <w:top w:val="none" w:sz="0" w:space="0" w:color="auto"/>
            <w:left w:val="none" w:sz="0" w:space="0" w:color="auto"/>
            <w:bottom w:val="none" w:sz="0" w:space="0" w:color="auto"/>
            <w:right w:val="none" w:sz="0" w:space="0" w:color="auto"/>
          </w:divBdr>
        </w:div>
      </w:divsChild>
    </w:div>
    <w:div w:id="1525288973">
      <w:marLeft w:val="0"/>
      <w:marRight w:val="0"/>
      <w:marTop w:val="0"/>
      <w:marBottom w:val="0"/>
      <w:divBdr>
        <w:top w:val="none" w:sz="0" w:space="0" w:color="auto"/>
        <w:left w:val="none" w:sz="0" w:space="0" w:color="auto"/>
        <w:bottom w:val="none" w:sz="0" w:space="0" w:color="auto"/>
        <w:right w:val="none" w:sz="0" w:space="0" w:color="auto"/>
      </w:divBdr>
    </w:div>
    <w:div w:id="1528134155">
      <w:marLeft w:val="0"/>
      <w:marRight w:val="0"/>
      <w:marTop w:val="0"/>
      <w:marBottom w:val="0"/>
      <w:divBdr>
        <w:top w:val="none" w:sz="0" w:space="0" w:color="auto"/>
        <w:left w:val="none" w:sz="0" w:space="0" w:color="auto"/>
        <w:bottom w:val="none" w:sz="0" w:space="0" w:color="auto"/>
        <w:right w:val="none" w:sz="0" w:space="0" w:color="auto"/>
      </w:divBdr>
      <w:divsChild>
        <w:div w:id="864054066">
          <w:marLeft w:val="0"/>
          <w:marRight w:val="0"/>
          <w:marTop w:val="0"/>
          <w:marBottom w:val="0"/>
          <w:divBdr>
            <w:top w:val="none" w:sz="0" w:space="0" w:color="auto"/>
            <w:left w:val="none" w:sz="0" w:space="0" w:color="auto"/>
            <w:bottom w:val="none" w:sz="0" w:space="0" w:color="auto"/>
            <w:right w:val="none" w:sz="0" w:space="0" w:color="auto"/>
          </w:divBdr>
        </w:div>
      </w:divsChild>
    </w:div>
    <w:div w:id="1577200414">
      <w:marLeft w:val="0"/>
      <w:marRight w:val="0"/>
      <w:marTop w:val="0"/>
      <w:marBottom w:val="0"/>
      <w:divBdr>
        <w:top w:val="none" w:sz="0" w:space="0" w:color="auto"/>
        <w:left w:val="none" w:sz="0" w:space="0" w:color="auto"/>
        <w:bottom w:val="none" w:sz="0" w:space="0" w:color="auto"/>
        <w:right w:val="none" w:sz="0" w:space="0" w:color="auto"/>
      </w:divBdr>
    </w:div>
    <w:div w:id="1596133008">
      <w:marLeft w:val="0"/>
      <w:marRight w:val="0"/>
      <w:marTop w:val="0"/>
      <w:marBottom w:val="0"/>
      <w:divBdr>
        <w:top w:val="none" w:sz="0" w:space="0" w:color="auto"/>
        <w:left w:val="none" w:sz="0" w:space="0" w:color="auto"/>
        <w:bottom w:val="none" w:sz="0" w:space="0" w:color="auto"/>
        <w:right w:val="none" w:sz="0" w:space="0" w:color="auto"/>
      </w:divBdr>
    </w:div>
    <w:div w:id="1604261628">
      <w:marLeft w:val="0"/>
      <w:marRight w:val="0"/>
      <w:marTop w:val="0"/>
      <w:marBottom w:val="0"/>
      <w:divBdr>
        <w:top w:val="none" w:sz="0" w:space="0" w:color="auto"/>
        <w:left w:val="none" w:sz="0" w:space="0" w:color="auto"/>
        <w:bottom w:val="none" w:sz="0" w:space="0" w:color="auto"/>
        <w:right w:val="none" w:sz="0" w:space="0" w:color="auto"/>
      </w:divBdr>
    </w:div>
    <w:div w:id="1707102585">
      <w:marLeft w:val="0"/>
      <w:marRight w:val="0"/>
      <w:marTop w:val="0"/>
      <w:marBottom w:val="0"/>
      <w:divBdr>
        <w:top w:val="none" w:sz="0" w:space="0" w:color="auto"/>
        <w:left w:val="none" w:sz="0" w:space="0" w:color="auto"/>
        <w:bottom w:val="none" w:sz="0" w:space="0" w:color="auto"/>
        <w:right w:val="none" w:sz="0" w:space="0" w:color="auto"/>
      </w:divBdr>
    </w:div>
    <w:div w:id="1714622241">
      <w:marLeft w:val="0"/>
      <w:marRight w:val="0"/>
      <w:marTop w:val="0"/>
      <w:marBottom w:val="0"/>
      <w:divBdr>
        <w:top w:val="none" w:sz="0" w:space="0" w:color="auto"/>
        <w:left w:val="none" w:sz="0" w:space="0" w:color="auto"/>
        <w:bottom w:val="none" w:sz="0" w:space="0" w:color="auto"/>
        <w:right w:val="none" w:sz="0" w:space="0" w:color="auto"/>
      </w:divBdr>
    </w:div>
    <w:div w:id="1735591351">
      <w:marLeft w:val="0"/>
      <w:marRight w:val="0"/>
      <w:marTop w:val="0"/>
      <w:marBottom w:val="0"/>
      <w:divBdr>
        <w:top w:val="none" w:sz="0" w:space="0" w:color="auto"/>
        <w:left w:val="none" w:sz="0" w:space="0" w:color="auto"/>
        <w:bottom w:val="none" w:sz="0" w:space="0" w:color="auto"/>
        <w:right w:val="none" w:sz="0" w:space="0" w:color="auto"/>
      </w:divBdr>
    </w:div>
    <w:div w:id="1737127132">
      <w:marLeft w:val="0"/>
      <w:marRight w:val="0"/>
      <w:marTop w:val="0"/>
      <w:marBottom w:val="0"/>
      <w:divBdr>
        <w:top w:val="none" w:sz="0" w:space="0" w:color="auto"/>
        <w:left w:val="none" w:sz="0" w:space="0" w:color="auto"/>
        <w:bottom w:val="none" w:sz="0" w:space="0" w:color="auto"/>
        <w:right w:val="none" w:sz="0" w:space="0" w:color="auto"/>
      </w:divBdr>
      <w:divsChild>
        <w:div w:id="461391355">
          <w:marLeft w:val="0"/>
          <w:marRight w:val="0"/>
          <w:marTop w:val="0"/>
          <w:marBottom w:val="0"/>
          <w:divBdr>
            <w:top w:val="none" w:sz="0" w:space="0" w:color="auto"/>
            <w:left w:val="none" w:sz="0" w:space="0" w:color="auto"/>
            <w:bottom w:val="none" w:sz="0" w:space="0" w:color="auto"/>
            <w:right w:val="none" w:sz="0" w:space="0" w:color="auto"/>
          </w:divBdr>
        </w:div>
      </w:divsChild>
    </w:div>
    <w:div w:id="1756509497">
      <w:marLeft w:val="0"/>
      <w:marRight w:val="0"/>
      <w:marTop w:val="0"/>
      <w:marBottom w:val="0"/>
      <w:divBdr>
        <w:top w:val="none" w:sz="0" w:space="0" w:color="auto"/>
        <w:left w:val="none" w:sz="0" w:space="0" w:color="auto"/>
        <w:bottom w:val="none" w:sz="0" w:space="0" w:color="auto"/>
        <w:right w:val="none" w:sz="0" w:space="0" w:color="auto"/>
      </w:divBdr>
    </w:div>
    <w:div w:id="1844052902">
      <w:marLeft w:val="0"/>
      <w:marRight w:val="0"/>
      <w:marTop w:val="0"/>
      <w:marBottom w:val="0"/>
      <w:divBdr>
        <w:top w:val="none" w:sz="0" w:space="0" w:color="auto"/>
        <w:left w:val="none" w:sz="0" w:space="0" w:color="auto"/>
        <w:bottom w:val="none" w:sz="0" w:space="0" w:color="auto"/>
        <w:right w:val="none" w:sz="0" w:space="0" w:color="auto"/>
      </w:divBdr>
    </w:div>
    <w:div w:id="1906643417">
      <w:marLeft w:val="0"/>
      <w:marRight w:val="0"/>
      <w:marTop w:val="0"/>
      <w:marBottom w:val="0"/>
      <w:divBdr>
        <w:top w:val="none" w:sz="0" w:space="0" w:color="auto"/>
        <w:left w:val="none" w:sz="0" w:space="0" w:color="auto"/>
        <w:bottom w:val="none" w:sz="0" w:space="0" w:color="auto"/>
        <w:right w:val="none" w:sz="0" w:space="0" w:color="auto"/>
      </w:divBdr>
    </w:div>
    <w:div w:id="1938827887">
      <w:marLeft w:val="0"/>
      <w:marRight w:val="0"/>
      <w:marTop w:val="0"/>
      <w:marBottom w:val="0"/>
      <w:divBdr>
        <w:top w:val="none" w:sz="0" w:space="0" w:color="auto"/>
        <w:left w:val="none" w:sz="0" w:space="0" w:color="auto"/>
        <w:bottom w:val="none" w:sz="0" w:space="0" w:color="auto"/>
        <w:right w:val="none" w:sz="0" w:space="0" w:color="auto"/>
      </w:divBdr>
    </w:div>
    <w:div w:id="1999528821">
      <w:marLeft w:val="0"/>
      <w:marRight w:val="0"/>
      <w:marTop w:val="0"/>
      <w:marBottom w:val="0"/>
      <w:divBdr>
        <w:top w:val="none" w:sz="0" w:space="0" w:color="auto"/>
        <w:left w:val="none" w:sz="0" w:space="0" w:color="auto"/>
        <w:bottom w:val="none" w:sz="0" w:space="0" w:color="auto"/>
        <w:right w:val="none" w:sz="0" w:space="0" w:color="auto"/>
      </w:divBdr>
    </w:div>
    <w:div w:id="2048485008">
      <w:marLeft w:val="0"/>
      <w:marRight w:val="0"/>
      <w:marTop w:val="0"/>
      <w:marBottom w:val="0"/>
      <w:divBdr>
        <w:top w:val="none" w:sz="0" w:space="0" w:color="auto"/>
        <w:left w:val="none" w:sz="0" w:space="0" w:color="auto"/>
        <w:bottom w:val="none" w:sz="0" w:space="0" w:color="auto"/>
        <w:right w:val="none" w:sz="0" w:space="0" w:color="auto"/>
      </w:divBdr>
    </w:div>
    <w:div w:id="2082748883">
      <w:marLeft w:val="0"/>
      <w:marRight w:val="0"/>
      <w:marTop w:val="0"/>
      <w:marBottom w:val="0"/>
      <w:divBdr>
        <w:top w:val="none" w:sz="0" w:space="0" w:color="auto"/>
        <w:left w:val="none" w:sz="0" w:space="0" w:color="auto"/>
        <w:bottom w:val="none" w:sz="0" w:space="0" w:color="auto"/>
        <w:right w:val="none" w:sz="0" w:space="0" w:color="auto"/>
      </w:divBdr>
    </w:div>
    <w:div w:id="2090226221">
      <w:marLeft w:val="0"/>
      <w:marRight w:val="0"/>
      <w:marTop w:val="0"/>
      <w:marBottom w:val="0"/>
      <w:divBdr>
        <w:top w:val="none" w:sz="0" w:space="0" w:color="auto"/>
        <w:left w:val="none" w:sz="0" w:space="0" w:color="auto"/>
        <w:bottom w:val="none" w:sz="0" w:space="0" w:color="auto"/>
        <w:right w:val="none" w:sz="0" w:space="0" w:color="auto"/>
      </w:divBdr>
      <w:divsChild>
        <w:div w:id="249851735">
          <w:marLeft w:val="0"/>
          <w:marRight w:val="0"/>
          <w:marTop w:val="0"/>
          <w:marBottom w:val="0"/>
          <w:divBdr>
            <w:top w:val="none" w:sz="0" w:space="0" w:color="auto"/>
            <w:left w:val="none" w:sz="0" w:space="0" w:color="auto"/>
            <w:bottom w:val="none" w:sz="0" w:space="0" w:color="auto"/>
            <w:right w:val="none" w:sz="0" w:space="0" w:color="auto"/>
          </w:divBdr>
        </w:div>
      </w:divsChild>
    </w:div>
    <w:div w:id="210090404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saf-revenue-certainty-mechanism-levy-desig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consultations/saf-revenue-certainty-mechanism-approach-to-industry-funding/sustainable-aviation-fuel-revenue-certainty-mechanism-approach-to-industry-fund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ft-online-form-and-survey-privacy-notice/dft-online-form-and-survey-privacy-notice" TargetMode="External"/><Relationship Id="rId11" Type="http://schemas.openxmlformats.org/officeDocument/2006/relationships/hyperlink" Target="https://publications.parliament.uk/pa/bills/cbill/59-01/0286/240286.pdf" TargetMode="External"/><Relationship Id="rId5" Type="http://schemas.openxmlformats.org/officeDocument/2006/relationships/hyperlink" Target="https://www.gov.uk/government/publications/dft-accessible-online-form-and-survey-statement/accessibility-statement-smartsurvey-forms" TargetMode="External"/><Relationship Id="rId10" Type="http://schemas.openxmlformats.org/officeDocument/2006/relationships/hyperlink" Target="https://www.legislation.gov.uk/uksi/2014/2014/contents/made" TargetMode="External"/><Relationship Id="rId4" Type="http://schemas.openxmlformats.org/officeDocument/2006/relationships/webSettings" Target="webSettings.xml"/><Relationship Id="rId9" Type="http://schemas.openxmlformats.org/officeDocument/2006/relationships/hyperlink" Target="https://www.legislation.gov.uk/uksi/2021/1335/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cff5881-7115-48df-9cd6-e99e771d283f}" enabled="1" method="Privileged" siteId="{28b782fb-41e1-48ea-bfc3-ad7558ce7136}"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45</Pages>
  <Words>2833</Words>
  <Characters>15758</Characters>
  <Application>Microsoft Office Word</Application>
  <DocSecurity>0</DocSecurity>
  <Lines>875</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Dave Stiffell</cp:lastModifiedBy>
  <cp:revision>7</cp:revision>
  <dcterms:created xsi:type="dcterms:W3CDTF">2025-10-13T13:15:00Z</dcterms:created>
  <dcterms:modified xsi:type="dcterms:W3CDTF">2025-10-15T08:20:00Z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ff5881-7115-48df-9cd6-e99e771d283f_Enabled">
    <vt:lpwstr>true</vt:lpwstr>
  </property>
  <property fmtid="{D5CDD505-2E9C-101B-9397-08002B2CF9AE}" pid="3" name="MSIP_Label_acff5881-7115-48df-9cd6-e99e771d283f_SetDate">
    <vt:lpwstr>2025-10-13T13:15:05Z</vt:lpwstr>
  </property>
  <property fmtid="{D5CDD505-2E9C-101B-9397-08002B2CF9AE}" pid="4" name="MSIP_Label_acff5881-7115-48df-9cd6-e99e771d283f_Method">
    <vt:lpwstr>Standard</vt:lpwstr>
  </property>
  <property fmtid="{D5CDD505-2E9C-101B-9397-08002B2CF9AE}" pid="5" name="MSIP_Label_acff5881-7115-48df-9cd6-e99e771d283f_Name">
    <vt:lpwstr>UNMARKED</vt:lpwstr>
  </property>
  <property fmtid="{D5CDD505-2E9C-101B-9397-08002B2CF9AE}" pid="6" name="MSIP_Label_acff5881-7115-48df-9cd6-e99e771d283f_SiteId">
    <vt:lpwstr>28b782fb-41e1-48ea-bfc3-ad7558ce7136</vt:lpwstr>
  </property>
  <property fmtid="{D5CDD505-2E9C-101B-9397-08002B2CF9AE}" pid="7" name="MSIP_Label_acff5881-7115-48df-9cd6-e99e771d283f_ActionId">
    <vt:lpwstr>3f670af8-58fa-4ebe-99c6-6eddfb53676a</vt:lpwstr>
  </property>
  <property fmtid="{D5CDD505-2E9C-101B-9397-08002B2CF9AE}" pid="8" name="MSIP_Label_acff5881-7115-48df-9cd6-e99e771d283f_ContentBits">
    <vt:lpwstr>0</vt:lpwstr>
  </property>
</Properties>
</file>