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600"/>
        <w:gridCol w:w="503"/>
        <w:gridCol w:w="5209"/>
      </w:tblGrid>
      <w:tr w:rsidR="00724F05" w:rsidRPr="00C80D77" w14:paraId="175A9485" w14:textId="77777777" w:rsidTr="00C228CE">
        <w:trPr>
          <w:trHeight w:val="1008"/>
        </w:trPr>
        <w:tc>
          <w:tcPr>
            <w:tcW w:w="2600" w:type="dxa"/>
            <w:shd w:val="clear" w:color="auto" w:fill="auto"/>
            <w:vAlign w:val="center"/>
          </w:tcPr>
          <w:p w14:paraId="6272732E" w14:textId="77777777" w:rsidR="00724F05" w:rsidRPr="00C80D77" w:rsidRDefault="00637B81" w:rsidP="00C80D77">
            <w:pPr>
              <w:tabs>
                <w:tab w:val="left" w:pos="2880"/>
              </w:tabs>
              <w:spacing w:before="240" w:after="240"/>
              <w:rPr>
                <w:rFonts w:ascii="Georgia" w:hAnsi="Georgia" w:cs="Arial"/>
                <w:b/>
                <w:bCs/>
              </w:rPr>
            </w:pPr>
            <w:r>
              <w:rPr>
                <w:rFonts w:ascii="Georgia" w:hAnsi="Georgia"/>
                <w:noProof/>
                <w:lang w:val="en-US" w:eastAsia="en-US"/>
              </w:rPr>
              <w:drawing>
                <wp:inline distT="0" distB="0" distL="0" distR="0" wp14:anchorId="20FD7855" wp14:editId="36FE24C1">
                  <wp:extent cx="914400" cy="7683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a:ln>
                            <a:noFill/>
                          </a:ln>
                        </pic:spPr>
                      </pic:pic>
                    </a:graphicData>
                  </a:graphic>
                </wp:inline>
              </w:drawing>
            </w:r>
          </w:p>
        </w:tc>
        <w:tc>
          <w:tcPr>
            <w:tcW w:w="503" w:type="dxa"/>
            <w:shd w:val="clear" w:color="auto" w:fill="auto"/>
            <w:vAlign w:val="center"/>
          </w:tcPr>
          <w:p w14:paraId="5BB98D57" w14:textId="77777777" w:rsidR="00724F05" w:rsidRPr="00C80D77" w:rsidRDefault="00724F05" w:rsidP="00C80D77">
            <w:pPr>
              <w:tabs>
                <w:tab w:val="left" w:pos="2880"/>
              </w:tabs>
              <w:spacing w:before="240" w:after="240"/>
              <w:rPr>
                <w:rFonts w:ascii="Georgia" w:hAnsi="Georgia" w:cs="Arial"/>
                <w:b/>
                <w:bCs/>
              </w:rPr>
            </w:pPr>
          </w:p>
        </w:tc>
        <w:tc>
          <w:tcPr>
            <w:tcW w:w="5209" w:type="dxa"/>
            <w:shd w:val="clear" w:color="auto" w:fill="auto"/>
            <w:vAlign w:val="center"/>
          </w:tcPr>
          <w:p w14:paraId="78703671" w14:textId="77777777" w:rsidR="00724F05" w:rsidRPr="00C80D77" w:rsidRDefault="00724F05" w:rsidP="00C80D77">
            <w:pPr>
              <w:pStyle w:val="Title"/>
              <w:ind w:left="3600" w:hanging="3600"/>
              <w:jc w:val="left"/>
              <w:rPr>
                <w:rFonts w:ascii="Georgia" w:hAnsi="Georgia"/>
              </w:rPr>
            </w:pPr>
            <w:r w:rsidRPr="00C80D77">
              <w:rPr>
                <w:rFonts w:ascii="Georgia" w:hAnsi="Georgia"/>
                <w:sz w:val="24"/>
              </w:rPr>
              <w:t>FIRST-TIER TRIBUNAL</w:t>
            </w:r>
          </w:p>
          <w:p w14:paraId="03E58637" w14:textId="77777777" w:rsidR="00724F05" w:rsidRPr="00C80D77" w:rsidRDefault="00724F05" w:rsidP="00C80D77">
            <w:pPr>
              <w:tabs>
                <w:tab w:val="left" w:pos="2880"/>
              </w:tabs>
              <w:rPr>
                <w:rFonts w:ascii="Georgia" w:hAnsi="Georgia" w:cs="Arial"/>
                <w:b/>
                <w:bCs/>
              </w:rPr>
            </w:pPr>
            <w:r w:rsidRPr="00C80D77">
              <w:rPr>
                <w:rFonts w:ascii="Georgia" w:hAnsi="Georgia"/>
                <w:b/>
              </w:rPr>
              <w:t>PROPERTY CHAMBER (RESIDENTIAL PROPERTY)</w:t>
            </w:r>
          </w:p>
        </w:tc>
      </w:tr>
      <w:tr w:rsidR="00C228CE" w:rsidRPr="00C80D77" w14:paraId="00DDBC7F" w14:textId="77777777" w:rsidTr="00C228CE">
        <w:tc>
          <w:tcPr>
            <w:tcW w:w="2600" w:type="dxa"/>
            <w:shd w:val="clear" w:color="auto" w:fill="auto"/>
            <w:vAlign w:val="center"/>
          </w:tcPr>
          <w:p w14:paraId="09007010" w14:textId="77777777" w:rsidR="00C228CE" w:rsidRPr="00C80D77" w:rsidRDefault="00C228CE" w:rsidP="00C228CE">
            <w:pPr>
              <w:tabs>
                <w:tab w:val="left" w:pos="2880"/>
              </w:tabs>
              <w:rPr>
                <w:rFonts w:ascii="Georgia" w:hAnsi="Georgia" w:cs="Arial"/>
                <w:b/>
                <w:bCs/>
              </w:rPr>
            </w:pPr>
            <w:r w:rsidRPr="00C80D77">
              <w:rPr>
                <w:rFonts w:ascii="Georgia" w:hAnsi="Georgia" w:cs="Arial"/>
                <w:b/>
                <w:bCs/>
              </w:rPr>
              <w:t>Case reference</w:t>
            </w:r>
          </w:p>
        </w:tc>
        <w:tc>
          <w:tcPr>
            <w:tcW w:w="503" w:type="dxa"/>
            <w:shd w:val="clear" w:color="auto" w:fill="auto"/>
            <w:vAlign w:val="center"/>
          </w:tcPr>
          <w:p w14:paraId="70D7BCB3" w14:textId="77777777"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1F6F0349" w14:textId="0F1D9FDF" w:rsidR="00C228CE" w:rsidRPr="00090F08" w:rsidRDefault="00C228CE" w:rsidP="00C228CE">
            <w:pPr>
              <w:rPr>
                <w:rFonts w:ascii="Georgia" w:hAnsi="Georgia"/>
                <w:b/>
                <w:color w:val="000000"/>
                <w:lang w:eastAsia="en-US"/>
              </w:rPr>
            </w:pPr>
            <w:r w:rsidRPr="001068E5">
              <w:rPr>
                <w:rFonts w:ascii="Georgia" w:hAnsi="Georgia" w:cs="Arial"/>
                <w:b/>
                <w:bCs/>
              </w:rPr>
              <w:t>LON/00BK/LDC/2025/0661</w:t>
            </w:r>
          </w:p>
        </w:tc>
      </w:tr>
      <w:tr w:rsidR="00C228CE" w:rsidRPr="00C80D77" w14:paraId="593F3179" w14:textId="77777777" w:rsidTr="00C228CE">
        <w:trPr>
          <w:trHeight w:val="1664"/>
        </w:trPr>
        <w:tc>
          <w:tcPr>
            <w:tcW w:w="2600" w:type="dxa"/>
            <w:shd w:val="clear" w:color="auto" w:fill="auto"/>
            <w:vAlign w:val="center"/>
          </w:tcPr>
          <w:p w14:paraId="23727E77" w14:textId="647CF477" w:rsidR="00C228CE" w:rsidRDefault="00C228CE" w:rsidP="00C228CE">
            <w:pPr>
              <w:tabs>
                <w:tab w:val="left" w:pos="2880"/>
              </w:tabs>
              <w:rPr>
                <w:rFonts w:ascii="Georgia" w:hAnsi="Georgia" w:cs="Arial"/>
                <w:b/>
                <w:bCs/>
              </w:rPr>
            </w:pPr>
            <w:r>
              <w:rPr>
                <w:rFonts w:ascii="Georgia" w:hAnsi="Georgia" w:cs="Arial"/>
                <w:b/>
                <w:bCs/>
              </w:rPr>
              <w:t>Property</w:t>
            </w:r>
          </w:p>
          <w:p w14:paraId="3BE959F5" w14:textId="77777777" w:rsidR="00C228CE" w:rsidRDefault="00C228CE" w:rsidP="00C228CE">
            <w:pPr>
              <w:tabs>
                <w:tab w:val="left" w:pos="2880"/>
              </w:tabs>
              <w:rPr>
                <w:rFonts w:ascii="Georgia" w:hAnsi="Georgia" w:cs="Arial"/>
                <w:b/>
                <w:bCs/>
              </w:rPr>
            </w:pPr>
          </w:p>
          <w:p w14:paraId="559517B9" w14:textId="1A09BE3C" w:rsidR="00C228CE" w:rsidRPr="00C80D77" w:rsidRDefault="00C228CE" w:rsidP="00C228CE">
            <w:pPr>
              <w:tabs>
                <w:tab w:val="left" w:pos="2880"/>
              </w:tabs>
              <w:rPr>
                <w:rFonts w:ascii="Georgia" w:hAnsi="Georgia" w:cs="Arial"/>
                <w:b/>
                <w:bCs/>
              </w:rPr>
            </w:pPr>
            <w:r>
              <w:rPr>
                <w:rFonts w:ascii="Georgia" w:hAnsi="Georgia" w:cs="Arial"/>
                <w:b/>
                <w:bCs/>
              </w:rPr>
              <w:br/>
            </w:r>
            <w:r w:rsidRPr="00C80D77">
              <w:rPr>
                <w:rFonts w:ascii="Georgia" w:hAnsi="Georgia" w:cs="Arial"/>
                <w:b/>
                <w:bCs/>
              </w:rPr>
              <w:t>Applicant</w:t>
            </w:r>
          </w:p>
        </w:tc>
        <w:tc>
          <w:tcPr>
            <w:tcW w:w="503" w:type="dxa"/>
            <w:shd w:val="clear" w:color="auto" w:fill="auto"/>
            <w:vAlign w:val="center"/>
          </w:tcPr>
          <w:p w14:paraId="2961B06F" w14:textId="14AB2EB8" w:rsidR="00C228CE" w:rsidRDefault="00C228CE" w:rsidP="00C228CE">
            <w:pPr>
              <w:tabs>
                <w:tab w:val="left" w:pos="2880"/>
              </w:tabs>
              <w:spacing w:before="240" w:after="240"/>
              <w:rPr>
                <w:rFonts w:ascii="Georgia" w:hAnsi="Georgia" w:cs="Arial"/>
                <w:b/>
                <w:bCs/>
              </w:rPr>
            </w:pPr>
            <w:r>
              <w:rPr>
                <w:rFonts w:ascii="Georgia" w:hAnsi="Georgia" w:cs="Arial"/>
                <w:b/>
                <w:bCs/>
              </w:rPr>
              <w:t>:</w:t>
            </w:r>
            <w:r>
              <w:rPr>
                <w:rFonts w:ascii="Georgia" w:hAnsi="Georgia" w:cs="Arial"/>
                <w:b/>
                <w:bCs/>
              </w:rPr>
              <w:br/>
            </w:r>
          </w:p>
          <w:p w14:paraId="53BBE7E7" w14:textId="77777777"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47E94F57" w14:textId="26D0E438" w:rsidR="00C228CE" w:rsidRDefault="00C228CE" w:rsidP="00C228CE">
            <w:pPr>
              <w:tabs>
                <w:tab w:val="left" w:pos="2880"/>
              </w:tabs>
              <w:rPr>
                <w:rFonts w:ascii="Georgia" w:hAnsi="Georgia" w:cs="Arial"/>
                <w:b/>
                <w:bCs/>
              </w:rPr>
            </w:pPr>
            <w:r w:rsidRPr="00C228CE">
              <w:rPr>
                <w:rFonts w:ascii="Georgia" w:hAnsi="Georgia" w:cs="Arial"/>
                <w:b/>
                <w:bCs/>
              </w:rPr>
              <w:t xml:space="preserve">Second Floor Flat, Third Floor Flat and Fourth Floor Flat, </w:t>
            </w:r>
            <w:bookmarkStart w:id="0" w:name="_Hlk200455738"/>
            <w:r w:rsidRPr="00C228CE">
              <w:rPr>
                <w:rFonts w:ascii="Georgia" w:hAnsi="Georgia" w:cs="Arial"/>
                <w:b/>
                <w:bCs/>
              </w:rPr>
              <w:t xml:space="preserve">136 Harley Street, </w:t>
            </w:r>
            <w:proofErr w:type="gramStart"/>
            <w:r w:rsidRPr="00C228CE">
              <w:rPr>
                <w:rFonts w:ascii="Georgia" w:hAnsi="Georgia" w:cs="Arial"/>
                <w:b/>
                <w:bCs/>
              </w:rPr>
              <w:t>London,W</w:t>
            </w:r>
            <w:proofErr w:type="gramEnd"/>
            <w:r w:rsidRPr="00C228CE">
              <w:rPr>
                <w:rFonts w:ascii="Georgia" w:hAnsi="Georgia" w:cs="Arial"/>
                <w:b/>
                <w:bCs/>
              </w:rPr>
              <w:t>1G 7JZ</w:t>
            </w:r>
          </w:p>
          <w:bookmarkEnd w:id="0"/>
          <w:p w14:paraId="72ADBA17" w14:textId="77777777" w:rsidR="00C228CE" w:rsidRDefault="00C228CE" w:rsidP="00C228CE">
            <w:pPr>
              <w:tabs>
                <w:tab w:val="left" w:pos="2880"/>
              </w:tabs>
              <w:rPr>
                <w:rFonts w:ascii="Georgia" w:hAnsi="Georgia" w:cs="Arial"/>
                <w:b/>
                <w:bCs/>
              </w:rPr>
            </w:pPr>
          </w:p>
          <w:p w14:paraId="6D92E927" w14:textId="77777777" w:rsidR="00C228CE" w:rsidRDefault="00C228CE" w:rsidP="00C228CE">
            <w:pPr>
              <w:tabs>
                <w:tab w:val="left" w:pos="2880"/>
              </w:tabs>
              <w:rPr>
                <w:rFonts w:ascii="Georgia" w:hAnsi="Georgia" w:cs="Arial"/>
                <w:b/>
                <w:bCs/>
              </w:rPr>
            </w:pPr>
            <w:r w:rsidRPr="001068E5">
              <w:rPr>
                <w:rFonts w:ascii="Georgia" w:hAnsi="Georgia" w:cs="Arial"/>
                <w:b/>
                <w:bCs/>
              </w:rPr>
              <w:t>Howard de Walden Estates Limited</w:t>
            </w:r>
          </w:p>
          <w:p w14:paraId="6ABC6A19" w14:textId="72EEDD35" w:rsidR="00C228CE" w:rsidRPr="00090F08" w:rsidRDefault="00C228CE" w:rsidP="00C228CE">
            <w:pPr>
              <w:tabs>
                <w:tab w:val="left" w:pos="2880"/>
              </w:tabs>
              <w:rPr>
                <w:rFonts w:ascii="Georgia" w:hAnsi="Georgia" w:cs="Arial"/>
                <w:b/>
                <w:bCs/>
              </w:rPr>
            </w:pPr>
          </w:p>
        </w:tc>
      </w:tr>
      <w:tr w:rsidR="00C228CE" w:rsidRPr="00C80D77" w14:paraId="1F4B7771" w14:textId="77777777" w:rsidTr="00C228CE">
        <w:tc>
          <w:tcPr>
            <w:tcW w:w="2600" w:type="dxa"/>
            <w:shd w:val="clear" w:color="auto" w:fill="auto"/>
            <w:vAlign w:val="center"/>
          </w:tcPr>
          <w:p w14:paraId="6859DA7A" w14:textId="77777777" w:rsidR="00C228CE" w:rsidRPr="00C80D77" w:rsidRDefault="00C228CE" w:rsidP="00C228CE">
            <w:pPr>
              <w:tabs>
                <w:tab w:val="left" w:pos="2880"/>
              </w:tabs>
              <w:rPr>
                <w:rFonts w:ascii="Georgia" w:hAnsi="Georgia" w:cs="Arial"/>
                <w:b/>
                <w:bCs/>
              </w:rPr>
            </w:pPr>
            <w:r w:rsidRPr="00C80D77">
              <w:rPr>
                <w:rFonts w:ascii="Georgia" w:hAnsi="Georgia" w:cs="Arial"/>
                <w:b/>
                <w:bCs/>
              </w:rPr>
              <w:t>Representative</w:t>
            </w:r>
          </w:p>
        </w:tc>
        <w:tc>
          <w:tcPr>
            <w:tcW w:w="503" w:type="dxa"/>
            <w:shd w:val="clear" w:color="auto" w:fill="auto"/>
            <w:vAlign w:val="center"/>
          </w:tcPr>
          <w:p w14:paraId="5A1F6D42" w14:textId="77777777"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219243B9" w14:textId="77777777" w:rsidR="00C228CE" w:rsidRDefault="00C228CE" w:rsidP="00C228CE">
            <w:pPr>
              <w:tabs>
                <w:tab w:val="left" w:pos="2880"/>
              </w:tabs>
              <w:rPr>
                <w:rFonts w:ascii="Georgia" w:hAnsi="Georgia" w:cs="Arial"/>
                <w:b/>
                <w:bCs/>
              </w:rPr>
            </w:pPr>
          </w:p>
          <w:p w14:paraId="16BE4FF8" w14:textId="5804A033" w:rsidR="00C228CE" w:rsidRPr="001068E5" w:rsidRDefault="00C228CE" w:rsidP="00C228CE">
            <w:pPr>
              <w:tabs>
                <w:tab w:val="left" w:pos="2880"/>
              </w:tabs>
              <w:rPr>
                <w:rFonts w:ascii="Georgia" w:hAnsi="Georgia" w:cs="Arial"/>
                <w:b/>
                <w:bCs/>
              </w:rPr>
            </w:pPr>
            <w:r w:rsidRPr="001068E5">
              <w:rPr>
                <w:rFonts w:ascii="Georgia" w:hAnsi="Georgia" w:cs="Arial"/>
                <w:b/>
                <w:bCs/>
              </w:rPr>
              <w:t xml:space="preserve">Warners Law LLP </w:t>
            </w:r>
            <w:r w:rsidR="00AF4853">
              <w:rPr>
                <w:rFonts w:ascii="Georgia" w:hAnsi="Georgia" w:cs="Arial"/>
                <w:b/>
                <w:bCs/>
              </w:rPr>
              <w:br/>
            </w:r>
            <w:r w:rsidRPr="001068E5">
              <w:rPr>
                <w:rFonts w:ascii="Georgia" w:hAnsi="Georgia" w:cs="Arial"/>
                <w:b/>
                <w:bCs/>
              </w:rPr>
              <w:t>(Reference:</w:t>
            </w:r>
            <w:r w:rsidR="0049067C">
              <w:rPr>
                <w:rFonts w:ascii="Georgia" w:hAnsi="Georgia" w:cs="Arial"/>
                <w:b/>
                <w:bCs/>
              </w:rPr>
              <w:t xml:space="preserve"> </w:t>
            </w:r>
            <w:r w:rsidRPr="001068E5">
              <w:rPr>
                <w:rFonts w:ascii="Georgia" w:hAnsi="Georgia" w:cs="Arial"/>
                <w:b/>
                <w:bCs/>
              </w:rPr>
              <w:t>JAJS/HOW316/234)</w:t>
            </w:r>
          </w:p>
          <w:p w14:paraId="02AF6F3F" w14:textId="44088AB6" w:rsidR="00C228CE" w:rsidRPr="00C80D77" w:rsidRDefault="00C228CE" w:rsidP="00C228CE">
            <w:pPr>
              <w:tabs>
                <w:tab w:val="left" w:pos="2880"/>
              </w:tabs>
              <w:rPr>
                <w:rFonts w:ascii="Georgia" w:hAnsi="Georgia" w:cs="Arial"/>
                <w:b/>
                <w:bCs/>
              </w:rPr>
            </w:pPr>
          </w:p>
        </w:tc>
      </w:tr>
      <w:tr w:rsidR="00C228CE" w:rsidRPr="00C80D77" w14:paraId="3D023342" w14:textId="77777777" w:rsidTr="00C228CE">
        <w:tc>
          <w:tcPr>
            <w:tcW w:w="2600" w:type="dxa"/>
            <w:shd w:val="clear" w:color="auto" w:fill="auto"/>
            <w:vAlign w:val="center"/>
          </w:tcPr>
          <w:p w14:paraId="2D31DC55" w14:textId="77777777" w:rsidR="00C228CE" w:rsidRPr="00C80D77" w:rsidRDefault="00C228CE" w:rsidP="00C228CE">
            <w:pPr>
              <w:tabs>
                <w:tab w:val="left" w:pos="2880"/>
              </w:tabs>
              <w:rPr>
                <w:rFonts w:ascii="Georgia" w:hAnsi="Georgia" w:cs="Arial"/>
                <w:b/>
                <w:bCs/>
              </w:rPr>
            </w:pPr>
            <w:r w:rsidRPr="00C80D77">
              <w:rPr>
                <w:rFonts w:ascii="Georgia" w:hAnsi="Georgia" w:cs="Arial"/>
                <w:b/>
                <w:bCs/>
              </w:rPr>
              <w:t>Respondent</w:t>
            </w:r>
            <w:r>
              <w:rPr>
                <w:rFonts w:ascii="Georgia" w:hAnsi="Georgia" w:cs="Arial"/>
                <w:b/>
                <w:bCs/>
              </w:rPr>
              <w:t>s</w:t>
            </w:r>
          </w:p>
        </w:tc>
        <w:tc>
          <w:tcPr>
            <w:tcW w:w="503" w:type="dxa"/>
            <w:shd w:val="clear" w:color="auto" w:fill="auto"/>
            <w:vAlign w:val="center"/>
          </w:tcPr>
          <w:p w14:paraId="6CDE6EC9" w14:textId="77777777"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116C839B" w14:textId="77777777" w:rsidR="00C228CE" w:rsidRPr="001068E5" w:rsidRDefault="00C228CE" w:rsidP="00C228CE">
            <w:pPr>
              <w:tabs>
                <w:tab w:val="left" w:pos="2880"/>
              </w:tabs>
              <w:rPr>
                <w:rFonts w:ascii="Georgia" w:hAnsi="Georgia" w:cs="Arial"/>
                <w:b/>
                <w:bCs/>
              </w:rPr>
            </w:pPr>
          </w:p>
          <w:p w14:paraId="53728EA6" w14:textId="77777777" w:rsidR="00C228CE" w:rsidRPr="001068E5" w:rsidRDefault="00C228CE" w:rsidP="00C228CE">
            <w:pPr>
              <w:tabs>
                <w:tab w:val="left" w:pos="2880"/>
              </w:tabs>
              <w:rPr>
                <w:rFonts w:ascii="Georgia" w:hAnsi="Georgia" w:cs="Arial"/>
                <w:b/>
                <w:bCs/>
              </w:rPr>
            </w:pPr>
            <w:r w:rsidRPr="001068E5">
              <w:rPr>
                <w:rFonts w:ascii="Georgia" w:hAnsi="Georgia" w:cs="Arial"/>
                <w:b/>
                <w:bCs/>
              </w:rPr>
              <w:t>Adrian Raoul Elbaz (1)</w:t>
            </w:r>
          </w:p>
          <w:p w14:paraId="6CD75A1B" w14:textId="77777777" w:rsidR="00C228CE" w:rsidRPr="001068E5" w:rsidRDefault="00C228CE" w:rsidP="00C228CE">
            <w:pPr>
              <w:tabs>
                <w:tab w:val="left" w:pos="2880"/>
              </w:tabs>
              <w:rPr>
                <w:rFonts w:ascii="Georgia" w:hAnsi="Georgia" w:cs="Arial"/>
                <w:b/>
                <w:bCs/>
              </w:rPr>
            </w:pPr>
            <w:r w:rsidRPr="001068E5">
              <w:rPr>
                <w:rFonts w:ascii="Georgia" w:hAnsi="Georgia" w:cs="Arial"/>
                <w:b/>
                <w:bCs/>
              </w:rPr>
              <w:t xml:space="preserve">E </w:t>
            </w:r>
            <w:proofErr w:type="spellStart"/>
            <w:r w:rsidRPr="001068E5">
              <w:rPr>
                <w:rFonts w:ascii="Georgia" w:hAnsi="Georgia" w:cs="Arial"/>
                <w:b/>
                <w:bCs/>
              </w:rPr>
              <w:t>Barbat</w:t>
            </w:r>
            <w:proofErr w:type="spellEnd"/>
            <w:r w:rsidRPr="001068E5">
              <w:rPr>
                <w:rFonts w:ascii="Georgia" w:hAnsi="Georgia" w:cs="Arial"/>
                <w:b/>
                <w:bCs/>
              </w:rPr>
              <w:t xml:space="preserve"> </w:t>
            </w:r>
            <w:proofErr w:type="spellStart"/>
            <w:r w:rsidRPr="001068E5">
              <w:rPr>
                <w:rFonts w:ascii="Georgia" w:hAnsi="Georgia" w:cs="Arial"/>
                <w:b/>
                <w:bCs/>
              </w:rPr>
              <w:t>Puigdomenech</w:t>
            </w:r>
            <w:proofErr w:type="spellEnd"/>
            <w:r w:rsidRPr="001068E5">
              <w:rPr>
                <w:rFonts w:ascii="Georgia" w:hAnsi="Georgia" w:cs="Arial"/>
                <w:b/>
                <w:bCs/>
              </w:rPr>
              <w:t xml:space="preserve"> (2)</w:t>
            </w:r>
          </w:p>
          <w:p w14:paraId="2129006E" w14:textId="1CA8BBEA" w:rsidR="00C228CE" w:rsidRPr="00C80D77" w:rsidRDefault="00C228CE" w:rsidP="00C228CE">
            <w:pPr>
              <w:tabs>
                <w:tab w:val="left" w:pos="2880"/>
              </w:tabs>
              <w:rPr>
                <w:rFonts w:ascii="Georgia" w:hAnsi="Georgia" w:cs="Arial"/>
                <w:b/>
                <w:bCs/>
              </w:rPr>
            </w:pPr>
            <w:r w:rsidRPr="001068E5">
              <w:rPr>
                <w:rFonts w:ascii="Georgia" w:hAnsi="Georgia" w:cs="Arial"/>
                <w:b/>
                <w:bCs/>
              </w:rPr>
              <w:t>Paul Neville and Patricia Neville (3)</w:t>
            </w:r>
          </w:p>
        </w:tc>
      </w:tr>
      <w:tr w:rsidR="00C228CE" w:rsidRPr="00C80D77" w14:paraId="76F3BA9B" w14:textId="77777777" w:rsidTr="00C228CE">
        <w:tc>
          <w:tcPr>
            <w:tcW w:w="2600" w:type="dxa"/>
            <w:shd w:val="clear" w:color="auto" w:fill="auto"/>
            <w:vAlign w:val="center"/>
          </w:tcPr>
          <w:p w14:paraId="0DB773ED" w14:textId="23D25B39" w:rsidR="00C228CE" w:rsidRPr="00C80D77" w:rsidRDefault="00C228CE" w:rsidP="00C228CE">
            <w:pPr>
              <w:tabs>
                <w:tab w:val="left" w:pos="2880"/>
              </w:tabs>
              <w:rPr>
                <w:rFonts w:ascii="Georgia" w:hAnsi="Georgia" w:cs="Arial"/>
                <w:b/>
                <w:bCs/>
              </w:rPr>
            </w:pPr>
            <w:r w:rsidRPr="00C80D77">
              <w:rPr>
                <w:rFonts w:ascii="Georgia" w:hAnsi="Georgia" w:cs="Arial"/>
                <w:b/>
                <w:bCs/>
              </w:rPr>
              <w:t>Type of application</w:t>
            </w:r>
          </w:p>
        </w:tc>
        <w:tc>
          <w:tcPr>
            <w:tcW w:w="503" w:type="dxa"/>
            <w:shd w:val="clear" w:color="auto" w:fill="auto"/>
            <w:vAlign w:val="center"/>
          </w:tcPr>
          <w:p w14:paraId="51E6F20F" w14:textId="6D070258"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1C18114D" w14:textId="77777777" w:rsidR="00C228CE" w:rsidRDefault="00C228CE" w:rsidP="00C228CE">
            <w:pPr>
              <w:tabs>
                <w:tab w:val="left" w:pos="2880"/>
              </w:tabs>
              <w:rPr>
                <w:rFonts w:ascii="Georgia" w:hAnsi="Georgia" w:cs="Arial"/>
                <w:b/>
                <w:bCs/>
              </w:rPr>
            </w:pPr>
          </w:p>
          <w:p w14:paraId="6081D31A" w14:textId="77777777" w:rsidR="003F2793" w:rsidRDefault="003F2793" w:rsidP="00C228CE">
            <w:pPr>
              <w:tabs>
                <w:tab w:val="left" w:pos="2880"/>
              </w:tabs>
              <w:rPr>
                <w:rFonts w:ascii="Georgia" w:hAnsi="Georgia" w:cs="Arial"/>
                <w:b/>
                <w:bCs/>
              </w:rPr>
            </w:pPr>
          </w:p>
          <w:p w14:paraId="23E114AC" w14:textId="0F919EB2" w:rsidR="00C228CE" w:rsidRPr="00C80D77" w:rsidRDefault="00C228CE" w:rsidP="00C228CE">
            <w:pPr>
              <w:tabs>
                <w:tab w:val="left" w:pos="2880"/>
              </w:tabs>
              <w:rPr>
                <w:rFonts w:ascii="Georgia" w:hAnsi="Georgia" w:cs="Arial"/>
                <w:b/>
                <w:bCs/>
              </w:rPr>
            </w:pPr>
            <w:r w:rsidRPr="00C80D77">
              <w:rPr>
                <w:rFonts w:ascii="Georgia" w:hAnsi="Georgia" w:cs="Arial"/>
                <w:b/>
                <w:bCs/>
              </w:rPr>
              <w:t>For dispensation under section 20ZA of the Landlord &amp; Tenant Act 1985</w:t>
            </w:r>
          </w:p>
          <w:p w14:paraId="0CE2E18E" w14:textId="77777777" w:rsidR="00C228CE" w:rsidRPr="00C80D77" w:rsidRDefault="00C228CE" w:rsidP="00C228CE">
            <w:pPr>
              <w:tabs>
                <w:tab w:val="left" w:pos="2880"/>
              </w:tabs>
              <w:rPr>
                <w:rFonts w:ascii="Georgia" w:hAnsi="Georgia" w:cs="Arial"/>
                <w:b/>
                <w:bCs/>
              </w:rPr>
            </w:pPr>
          </w:p>
        </w:tc>
      </w:tr>
      <w:tr w:rsidR="00C228CE" w:rsidRPr="00C80D77" w14:paraId="5A03BF91" w14:textId="77777777" w:rsidTr="00C228CE">
        <w:trPr>
          <w:trHeight w:val="1924"/>
        </w:trPr>
        <w:tc>
          <w:tcPr>
            <w:tcW w:w="2600" w:type="dxa"/>
            <w:shd w:val="clear" w:color="auto" w:fill="auto"/>
            <w:vAlign w:val="center"/>
          </w:tcPr>
          <w:p w14:paraId="7F4ACB15" w14:textId="2E263F2A" w:rsidR="00C228CE" w:rsidRPr="00C80D77" w:rsidRDefault="00C228CE" w:rsidP="00C228CE">
            <w:pPr>
              <w:tabs>
                <w:tab w:val="left" w:pos="2880"/>
              </w:tabs>
              <w:rPr>
                <w:rFonts w:ascii="Georgia" w:hAnsi="Georgia" w:cs="Arial"/>
                <w:b/>
                <w:bCs/>
              </w:rPr>
            </w:pPr>
            <w:r w:rsidRPr="00C80D77">
              <w:rPr>
                <w:rFonts w:ascii="Georgia" w:hAnsi="Georgia" w:cs="Arial"/>
                <w:b/>
                <w:bCs/>
              </w:rPr>
              <w:t>Tribunal</w:t>
            </w:r>
            <w:r>
              <w:rPr>
                <w:rFonts w:ascii="Georgia" w:hAnsi="Georgia" w:cs="Arial"/>
                <w:b/>
                <w:bCs/>
              </w:rPr>
              <w:t xml:space="preserve"> </w:t>
            </w:r>
            <w:r w:rsidRPr="00C80D77">
              <w:rPr>
                <w:rFonts w:ascii="Georgia" w:hAnsi="Georgia" w:cs="Arial"/>
                <w:b/>
                <w:bCs/>
              </w:rPr>
              <w:t>member</w:t>
            </w:r>
          </w:p>
        </w:tc>
        <w:tc>
          <w:tcPr>
            <w:tcW w:w="503" w:type="dxa"/>
            <w:shd w:val="clear" w:color="auto" w:fill="auto"/>
            <w:vAlign w:val="center"/>
          </w:tcPr>
          <w:p w14:paraId="735DF1B7" w14:textId="77777777" w:rsidR="00C228CE" w:rsidRPr="00C80D77" w:rsidRDefault="00C228CE" w:rsidP="00C228CE">
            <w:pPr>
              <w:tabs>
                <w:tab w:val="left" w:pos="2880"/>
              </w:tabs>
              <w:spacing w:before="240" w:after="240"/>
              <w:rPr>
                <w:rFonts w:ascii="Georgia" w:hAnsi="Georgia" w:cs="Arial"/>
                <w:b/>
                <w:bCs/>
              </w:rPr>
            </w:pPr>
            <w:r w:rsidRPr="00C80D77">
              <w:rPr>
                <w:rFonts w:ascii="Georgia" w:hAnsi="Georgia" w:cs="Arial"/>
                <w:b/>
                <w:bCs/>
              </w:rPr>
              <w:t>:</w:t>
            </w:r>
          </w:p>
        </w:tc>
        <w:tc>
          <w:tcPr>
            <w:tcW w:w="5209" w:type="dxa"/>
            <w:shd w:val="clear" w:color="auto" w:fill="auto"/>
            <w:vAlign w:val="center"/>
          </w:tcPr>
          <w:p w14:paraId="0F89CD32" w14:textId="77777777" w:rsidR="00B359D5" w:rsidRDefault="00B359D5" w:rsidP="00C228CE">
            <w:pPr>
              <w:tabs>
                <w:tab w:val="left" w:pos="2880"/>
              </w:tabs>
              <w:rPr>
                <w:rFonts w:ascii="Georgia" w:hAnsi="Georgia" w:cs="Arial"/>
                <w:b/>
                <w:bCs/>
              </w:rPr>
            </w:pPr>
          </w:p>
          <w:p w14:paraId="56163136" w14:textId="19AB5997" w:rsidR="00C228CE" w:rsidRDefault="00C228CE" w:rsidP="00C228CE">
            <w:pPr>
              <w:tabs>
                <w:tab w:val="left" w:pos="2880"/>
              </w:tabs>
              <w:rPr>
                <w:rFonts w:ascii="Georgia" w:hAnsi="Georgia" w:cs="Arial"/>
                <w:b/>
                <w:bCs/>
              </w:rPr>
            </w:pPr>
            <w:r>
              <w:rPr>
                <w:rFonts w:ascii="Georgia" w:hAnsi="Georgia" w:cs="Arial"/>
                <w:b/>
                <w:bCs/>
              </w:rPr>
              <w:t>Mr A Parkinson MRICS</w:t>
            </w:r>
          </w:p>
          <w:p w14:paraId="79D42105" w14:textId="77777777" w:rsidR="00C228CE" w:rsidRPr="00C80D77" w:rsidRDefault="00C228CE" w:rsidP="00C228CE">
            <w:pPr>
              <w:tabs>
                <w:tab w:val="left" w:pos="2880"/>
              </w:tabs>
              <w:rPr>
                <w:rFonts w:ascii="Georgia" w:hAnsi="Georgia" w:cs="Arial"/>
                <w:b/>
                <w:bCs/>
              </w:rPr>
            </w:pPr>
          </w:p>
        </w:tc>
      </w:tr>
      <w:tr w:rsidR="00C228CE" w:rsidRPr="00C80D77" w14:paraId="508555E4" w14:textId="77777777" w:rsidTr="00C228CE">
        <w:tc>
          <w:tcPr>
            <w:tcW w:w="2600" w:type="dxa"/>
            <w:shd w:val="clear" w:color="auto" w:fill="auto"/>
            <w:vAlign w:val="center"/>
          </w:tcPr>
          <w:p w14:paraId="5CD8F62A" w14:textId="77777777" w:rsidR="00C228CE" w:rsidRPr="00760E20" w:rsidRDefault="00C228CE" w:rsidP="00C228CE">
            <w:pPr>
              <w:tabs>
                <w:tab w:val="left" w:pos="2880"/>
              </w:tabs>
              <w:rPr>
                <w:rFonts w:ascii="Georgia" w:hAnsi="Georgia" w:cs="Arial"/>
                <w:b/>
                <w:bCs/>
              </w:rPr>
            </w:pPr>
            <w:r w:rsidRPr="00760E20">
              <w:rPr>
                <w:rFonts w:ascii="Georgia" w:hAnsi="Georgia" w:cs="Arial"/>
                <w:b/>
                <w:bCs/>
              </w:rPr>
              <w:t>Date of decision</w:t>
            </w:r>
          </w:p>
        </w:tc>
        <w:tc>
          <w:tcPr>
            <w:tcW w:w="503" w:type="dxa"/>
            <w:shd w:val="clear" w:color="auto" w:fill="auto"/>
            <w:vAlign w:val="center"/>
          </w:tcPr>
          <w:p w14:paraId="0A6896F5" w14:textId="77777777" w:rsidR="00C228CE" w:rsidRPr="00760E20" w:rsidRDefault="00C228CE" w:rsidP="00C228CE">
            <w:pPr>
              <w:tabs>
                <w:tab w:val="left" w:pos="2880"/>
              </w:tabs>
              <w:spacing w:before="240" w:after="240"/>
              <w:rPr>
                <w:rFonts w:ascii="Georgia" w:hAnsi="Georgia" w:cs="Arial"/>
                <w:b/>
                <w:bCs/>
              </w:rPr>
            </w:pPr>
            <w:r w:rsidRPr="00760E20">
              <w:rPr>
                <w:rFonts w:ascii="Georgia" w:hAnsi="Georgia" w:cs="Arial"/>
                <w:b/>
                <w:bCs/>
              </w:rPr>
              <w:t>:</w:t>
            </w:r>
          </w:p>
        </w:tc>
        <w:tc>
          <w:tcPr>
            <w:tcW w:w="5209" w:type="dxa"/>
            <w:shd w:val="clear" w:color="auto" w:fill="auto"/>
            <w:vAlign w:val="center"/>
          </w:tcPr>
          <w:p w14:paraId="6973E57B" w14:textId="77777777" w:rsidR="00C228CE" w:rsidRPr="00760E20" w:rsidRDefault="00C228CE" w:rsidP="00C228CE">
            <w:pPr>
              <w:tabs>
                <w:tab w:val="left" w:pos="2880"/>
              </w:tabs>
              <w:rPr>
                <w:rFonts w:ascii="Georgia" w:hAnsi="Georgia" w:cs="Arial"/>
                <w:b/>
                <w:bCs/>
              </w:rPr>
            </w:pPr>
          </w:p>
          <w:p w14:paraId="1E378D88" w14:textId="377E71AF" w:rsidR="00C228CE" w:rsidRPr="00760E20" w:rsidRDefault="007C56C0" w:rsidP="00C228CE">
            <w:pPr>
              <w:tabs>
                <w:tab w:val="left" w:pos="2880"/>
              </w:tabs>
              <w:rPr>
                <w:rFonts w:ascii="Georgia" w:hAnsi="Georgia" w:cs="Arial"/>
                <w:b/>
                <w:bCs/>
              </w:rPr>
            </w:pPr>
            <w:r>
              <w:rPr>
                <w:rFonts w:ascii="Georgia" w:hAnsi="Georgia" w:cs="Arial"/>
                <w:b/>
                <w:bCs/>
              </w:rPr>
              <w:t>1</w:t>
            </w:r>
            <w:r w:rsidR="00D524D1">
              <w:rPr>
                <w:rFonts w:ascii="Georgia" w:hAnsi="Georgia" w:cs="Arial"/>
                <w:b/>
                <w:bCs/>
              </w:rPr>
              <w:t>1</w:t>
            </w:r>
            <w:r w:rsidR="00C228CE" w:rsidRPr="00760E20">
              <w:rPr>
                <w:rFonts w:ascii="Georgia" w:hAnsi="Georgia" w:cs="Arial"/>
                <w:b/>
                <w:bCs/>
              </w:rPr>
              <w:t xml:space="preserve"> </w:t>
            </w:r>
            <w:r w:rsidR="00C228CE">
              <w:rPr>
                <w:rFonts w:ascii="Georgia" w:hAnsi="Georgia" w:cs="Arial"/>
                <w:b/>
                <w:bCs/>
              </w:rPr>
              <w:t>June</w:t>
            </w:r>
            <w:r w:rsidR="00C228CE" w:rsidRPr="00760E20">
              <w:rPr>
                <w:rFonts w:ascii="Georgia" w:hAnsi="Georgia" w:cs="Arial"/>
                <w:b/>
                <w:bCs/>
              </w:rPr>
              <w:t xml:space="preserve"> 202</w:t>
            </w:r>
            <w:r w:rsidR="00C228CE">
              <w:rPr>
                <w:rFonts w:ascii="Georgia" w:hAnsi="Georgia" w:cs="Arial"/>
                <w:b/>
                <w:bCs/>
              </w:rPr>
              <w:t>5</w:t>
            </w:r>
          </w:p>
          <w:p w14:paraId="543D58D2" w14:textId="77777777" w:rsidR="00C228CE" w:rsidRPr="00760E20" w:rsidRDefault="00C228CE" w:rsidP="00C228CE">
            <w:pPr>
              <w:tabs>
                <w:tab w:val="left" w:pos="2880"/>
              </w:tabs>
              <w:rPr>
                <w:rFonts w:ascii="Georgia" w:hAnsi="Georgia" w:cs="Arial"/>
                <w:b/>
                <w:bCs/>
              </w:rPr>
            </w:pPr>
          </w:p>
        </w:tc>
      </w:tr>
    </w:tbl>
    <w:p w14:paraId="263CF15C" w14:textId="77777777" w:rsidR="00D43EAA" w:rsidRDefault="00D43EAA" w:rsidP="00724F05">
      <w:pPr>
        <w:jc w:val="both"/>
        <w:rPr>
          <w:szCs w:val="20"/>
        </w:rPr>
      </w:pPr>
    </w:p>
    <w:p w14:paraId="0B040E9F" w14:textId="77777777" w:rsidR="00C27ECE" w:rsidRDefault="00C27ECE" w:rsidP="00724F05">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C27ECE" w:rsidRPr="00C80D77" w14:paraId="7B3D2F91" w14:textId="77777777" w:rsidTr="00C80D77">
        <w:trPr>
          <w:trHeight w:val="811"/>
        </w:trPr>
        <w:tc>
          <w:tcPr>
            <w:tcW w:w="8522" w:type="dxa"/>
            <w:tcBorders>
              <w:left w:val="nil"/>
              <w:right w:val="nil"/>
            </w:tcBorders>
            <w:shd w:val="clear" w:color="auto" w:fill="auto"/>
            <w:vAlign w:val="center"/>
          </w:tcPr>
          <w:p w14:paraId="35B1A614" w14:textId="77777777" w:rsidR="00C27ECE" w:rsidRPr="00C80D77" w:rsidRDefault="00C27ECE" w:rsidP="00C80D77">
            <w:pPr>
              <w:jc w:val="center"/>
              <w:rPr>
                <w:szCs w:val="20"/>
              </w:rPr>
            </w:pPr>
            <w:r w:rsidRPr="00C80D77">
              <w:rPr>
                <w:rFonts w:ascii="Georgia" w:hAnsi="Georgia" w:cs="Arial"/>
                <w:b/>
                <w:bCs/>
              </w:rPr>
              <w:t>DECISION</w:t>
            </w:r>
          </w:p>
        </w:tc>
      </w:tr>
    </w:tbl>
    <w:p w14:paraId="7556D9DD" w14:textId="77777777" w:rsidR="00C27ECE" w:rsidRPr="00092C14" w:rsidRDefault="00C27ECE" w:rsidP="00724F05">
      <w:pPr>
        <w:jc w:val="both"/>
        <w:rPr>
          <w:rFonts w:ascii="Georgia" w:hAnsi="Georgia"/>
          <w:szCs w:val="20"/>
        </w:rPr>
      </w:pPr>
    </w:p>
    <w:p w14:paraId="1FF0EDCC" w14:textId="77777777" w:rsidR="00C27ECE" w:rsidRPr="00092C14" w:rsidRDefault="00C27ECE" w:rsidP="00724F05">
      <w:pPr>
        <w:jc w:val="both"/>
        <w:rPr>
          <w:rFonts w:ascii="Georgia" w:hAnsi="Georgia"/>
          <w:szCs w:val="20"/>
        </w:rPr>
      </w:pPr>
    </w:p>
    <w:p w14:paraId="78DF5DFC" w14:textId="77777777" w:rsidR="00AC4F43" w:rsidRDefault="00AC4F43" w:rsidP="00AC4F43">
      <w:pPr>
        <w:pStyle w:val="NormalWeb"/>
        <w:rPr>
          <w:rFonts w:ascii="Georgia" w:hAnsi="Georgia"/>
          <w:szCs w:val="20"/>
        </w:rPr>
      </w:pPr>
    </w:p>
    <w:p w14:paraId="2C257333" w14:textId="77777777" w:rsidR="00AC4F43" w:rsidRDefault="00AC4F43" w:rsidP="00AC4F43">
      <w:pPr>
        <w:pStyle w:val="NormalWeb"/>
        <w:rPr>
          <w:rFonts w:ascii="Georgia" w:hAnsi="Georgia"/>
          <w:szCs w:val="20"/>
        </w:rPr>
      </w:pPr>
    </w:p>
    <w:p w14:paraId="34CB9BA3" w14:textId="77777777" w:rsidR="00C43349" w:rsidRDefault="00C43349" w:rsidP="00DC65EC">
      <w:pPr>
        <w:autoSpaceDE w:val="0"/>
        <w:autoSpaceDN w:val="0"/>
        <w:adjustRightInd w:val="0"/>
        <w:spacing w:after="360"/>
        <w:jc w:val="both"/>
        <w:rPr>
          <w:rFonts w:ascii="Georgia" w:hAnsi="Georgia" w:cs="Arial"/>
        </w:rPr>
      </w:pPr>
    </w:p>
    <w:p w14:paraId="66A2A4A8" w14:textId="4609843F" w:rsidR="00DC65EC" w:rsidRPr="00DC65EC" w:rsidRDefault="00DC65EC" w:rsidP="00DC65EC">
      <w:pPr>
        <w:autoSpaceDE w:val="0"/>
        <w:autoSpaceDN w:val="0"/>
        <w:adjustRightInd w:val="0"/>
        <w:spacing w:after="360"/>
        <w:jc w:val="both"/>
        <w:rPr>
          <w:rFonts w:ascii="Georgia" w:hAnsi="Georgia" w:cs="Arial"/>
        </w:rPr>
      </w:pPr>
      <w:r w:rsidRPr="00DC42E5">
        <w:rPr>
          <w:rFonts w:ascii="Georgia" w:hAnsi="Georgia" w:cs="Arial"/>
        </w:rPr>
        <w:t xml:space="preserve">This has been a remote hearing which has not been objected to by the parties. </w:t>
      </w:r>
      <w:r w:rsidRPr="00760E20">
        <w:rPr>
          <w:rFonts w:ascii="Georgia" w:hAnsi="Georgia" w:cs="Arial"/>
        </w:rPr>
        <w:t xml:space="preserve">The form of remote hearing was </w:t>
      </w:r>
      <w:proofErr w:type="gramStart"/>
      <w:r w:rsidRPr="00760E20">
        <w:rPr>
          <w:rFonts w:ascii="Georgia" w:hAnsi="Georgia" w:cs="Arial"/>
        </w:rPr>
        <w:t>P:PAPER</w:t>
      </w:r>
      <w:proofErr w:type="gramEnd"/>
      <w:r w:rsidRPr="00760E20">
        <w:rPr>
          <w:rFonts w:ascii="Georgia" w:hAnsi="Georgia" w:cs="Arial"/>
        </w:rPr>
        <w:t xml:space="preserve"> REMOTE.</w:t>
      </w:r>
      <w:r>
        <w:rPr>
          <w:rFonts w:ascii="Georgia" w:hAnsi="Georgia" w:cs="Arial"/>
        </w:rPr>
        <w:t xml:space="preserve"> </w:t>
      </w:r>
      <w:r w:rsidRPr="00DC42E5">
        <w:rPr>
          <w:rFonts w:ascii="Georgia" w:hAnsi="Georgia" w:cs="Arial"/>
        </w:rPr>
        <w:t xml:space="preserve"> The Directions provided for the application to be determined on the papers unless any party requested a hearing. No party has requested a hearing. The </w:t>
      </w:r>
      <w:r w:rsidR="00D00C8F">
        <w:rPr>
          <w:rFonts w:ascii="Georgia" w:hAnsi="Georgia" w:cs="Arial"/>
        </w:rPr>
        <w:t>A</w:t>
      </w:r>
      <w:r w:rsidRPr="00DC42E5">
        <w:rPr>
          <w:rFonts w:ascii="Georgia" w:hAnsi="Georgia" w:cs="Arial"/>
        </w:rPr>
        <w:t xml:space="preserve">pplicant has filed a bundle </w:t>
      </w:r>
      <w:r>
        <w:rPr>
          <w:rFonts w:ascii="Georgia" w:hAnsi="Georgia" w:cs="Arial"/>
        </w:rPr>
        <w:t xml:space="preserve">in in support of the application. </w:t>
      </w:r>
    </w:p>
    <w:p w14:paraId="0304F9FE" w14:textId="7DA9655D" w:rsidR="008B5096" w:rsidRPr="005763E0" w:rsidRDefault="008B5096" w:rsidP="005763E0">
      <w:pPr>
        <w:pStyle w:val="NormalWeb"/>
        <w:rPr>
          <w:rFonts w:ascii="Georgia" w:hAnsi="Georgia"/>
        </w:rPr>
      </w:pPr>
      <w:r>
        <w:rPr>
          <w:rFonts w:ascii="Georgia" w:hAnsi="Georgia"/>
          <w:b/>
          <w:i/>
          <w:szCs w:val="20"/>
        </w:rPr>
        <w:t>Introduction</w:t>
      </w:r>
    </w:p>
    <w:p w14:paraId="19ACFC9E" w14:textId="3F640BAD" w:rsidR="00C228CE" w:rsidRPr="00C228CE" w:rsidRDefault="00BC3CB4" w:rsidP="00C228CE">
      <w:pPr>
        <w:pStyle w:val="ListParagraph"/>
        <w:numPr>
          <w:ilvl w:val="0"/>
          <w:numId w:val="14"/>
        </w:numPr>
        <w:ind w:left="426" w:hanging="426"/>
        <w:rPr>
          <w:rFonts w:ascii="Georgia" w:hAnsi="Georgia"/>
        </w:rPr>
      </w:pPr>
      <w:r w:rsidRPr="00BC3CB4">
        <w:rPr>
          <w:rFonts w:ascii="Georgia" w:hAnsi="Georgia"/>
          <w:szCs w:val="24"/>
        </w:rPr>
        <w:t xml:space="preserve">The </w:t>
      </w:r>
      <w:r w:rsidR="00D00C8F">
        <w:rPr>
          <w:rFonts w:ascii="Georgia" w:hAnsi="Georgia"/>
          <w:szCs w:val="24"/>
        </w:rPr>
        <w:t>A</w:t>
      </w:r>
      <w:r w:rsidRPr="00BC3CB4">
        <w:rPr>
          <w:rFonts w:ascii="Georgia" w:hAnsi="Georgia"/>
          <w:szCs w:val="24"/>
        </w:rPr>
        <w:t>pplicant seeks an order pursuant to s.20ZA of the Landlord and Tenant</w:t>
      </w:r>
      <w:r>
        <w:rPr>
          <w:rFonts w:ascii="Georgia" w:hAnsi="Georgia"/>
          <w:szCs w:val="24"/>
        </w:rPr>
        <w:t xml:space="preserve"> Act 1985 (“the</w:t>
      </w:r>
      <w:r w:rsidRPr="00BC3CB4">
        <w:rPr>
          <w:rFonts w:ascii="Georgia" w:hAnsi="Georgia"/>
          <w:szCs w:val="24"/>
        </w:rPr>
        <w:t xml:space="preserve"> Act”) for </w:t>
      </w:r>
      <w:r w:rsidR="001139C7">
        <w:rPr>
          <w:rFonts w:ascii="Georgia" w:hAnsi="Georgia"/>
          <w:i/>
          <w:iCs/>
          <w:szCs w:val="24"/>
        </w:rPr>
        <w:t>retrospective</w:t>
      </w:r>
      <w:r w:rsidRPr="00BC3CB4">
        <w:rPr>
          <w:rFonts w:ascii="Georgia" w:hAnsi="Georgia"/>
          <w:szCs w:val="24"/>
        </w:rPr>
        <w:t xml:space="preserve"> dispensation with the consultation requirements in respect of </w:t>
      </w:r>
      <w:r w:rsidR="00C228CE">
        <w:rPr>
          <w:rFonts w:ascii="Georgia" w:hAnsi="Georgia"/>
          <w:szCs w:val="24"/>
        </w:rPr>
        <w:t xml:space="preserve">the following </w:t>
      </w:r>
      <w:proofErr w:type="gramStart"/>
      <w:r w:rsidR="00C228CE">
        <w:rPr>
          <w:rFonts w:ascii="Georgia" w:hAnsi="Georgia"/>
          <w:szCs w:val="24"/>
        </w:rPr>
        <w:t>works:</w:t>
      </w:r>
      <w:r w:rsidR="00C228CE">
        <w:rPr>
          <w:rFonts w:ascii="Georgia" w:hAnsi="Georgia"/>
        </w:rPr>
        <w:t>-</w:t>
      </w:r>
      <w:proofErr w:type="gramEnd"/>
      <w:r w:rsidR="0042532E">
        <w:rPr>
          <w:rFonts w:ascii="Georgia" w:hAnsi="Georgia"/>
        </w:rPr>
        <w:br/>
      </w:r>
      <w:r w:rsidR="0042532E">
        <w:rPr>
          <w:rFonts w:ascii="Georgia" w:hAnsi="Georgia"/>
        </w:rPr>
        <w:br/>
      </w:r>
      <w:bookmarkStart w:id="1" w:name="_Hlk200487807"/>
      <w:r w:rsidR="00C228CE" w:rsidRPr="00C228CE">
        <w:rPr>
          <w:rFonts w:ascii="Georgia" w:hAnsi="Georgia"/>
        </w:rPr>
        <w:t xml:space="preserve">Decoration to </w:t>
      </w:r>
      <w:r w:rsidR="0042532E">
        <w:rPr>
          <w:rFonts w:ascii="Georgia" w:hAnsi="Georgia"/>
        </w:rPr>
        <w:t xml:space="preserve">the </w:t>
      </w:r>
      <w:r w:rsidR="00C228CE" w:rsidRPr="00C228CE">
        <w:rPr>
          <w:rFonts w:ascii="Georgia" w:hAnsi="Georgia"/>
        </w:rPr>
        <w:t xml:space="preserve">common parts and front elevation  </w:t>
      </w:r>
      <w:r w:rsidR="00C228CE">
        <w:rPr>
          <w:rFonts w:ascii="Georgia" w:hAnsi="Georgia"/>
        </w:rPr>
        <w:tab/>
      </w:r>
      <w:r w:rsidR="00C228CE" w:rsidRPr="00C228CE">
        <w:rPr>
          <w:rFonts w:ascii="Georgia" w:hAnsi="Georgia"/>
        </w:rPr>
        <w:t>£81,800.96</w:t>
      </w:r>
    </w:p>
    <w:p w14:paraId="1C640574" w14:textId="3B1540D8" w:rsidR="00C228CE" w:rsidRPr="00DC5140" w:rsidRDefault="00C228CE" w:rsidP="00DC5140">
      <w:pPr>
        <w:ind w:firstLine="426"/>
        <w:rPr>
          <w:rFonts w:ascii="Georgia" w:hAnsi="Georgia"/>
        </w:rPr>
      </w:pPr>
      <w:r w:rsidRPr="00DC5140">
        <w:rPr>
          <w:rFonts w:ascii="Georgia" w:hAnsi="Georgia"/>
        </w:rPr>
        <w:t xml:space="preserve">Lift renewal </w:t>
      </w:r>
      <w:bookmarkEnd w:id="1"/>
      <w:r w:rsidRPr="00DC5140">
        <w:rPr>
          <w:rFonts w:ascii="Georgia" w:hAnsi="Georgia"/>
        </w:rPr>
        <w:tab/>
      </w:r>
      <w:r w:rsidRPr="00DC5140">
        <w:rPr>
          <w:rFonts w:ascii="Georgia" w:hAnsi="Georgia"/>
        </w:rPr>
        <w:tab/>
      </w:r>
      <w:r w:rsidRPr="00DC5140">
        <w:rPr>
          <w:rFonts w:ascii="Georgia" w:hAnsi="Georgia"/>
        </w:rPr>
        <w:tab/>
      </w:r>
      <w:r w:rsidRPr="00DC5140">
        <w:rPr>
          <w:rFonts w:ascii="Georgia" w:hAnsi="Georgia"/>
        </w:rPr>
        <w:tab/>
      </w:r>
      <w:r w:rsidRPr="00DC5140">
        <w:rPr>
          <w:rFonts w:ascii="Georgia" w:hAnsi="Georgia"/>
        </w:rPr>
        <w:tab/>
      </w:r>
      <w:r w:rsidRPr="00DC5140">
        <w:rPr>
          <w:rFonts w:ascii="Georgia" w:hAnsi="Georgia"/>
        </w:rPr>
        <w:tab/>
      </w:r>
      <w:r w:rsidR="00DC5140">
        <w:rPr>
          <w:rFonts w:ascii="Georgia" w:hAnsi="Georgia"/>
        </w:rPr>
        <w:tab/>
      </w:r>
      <w:r w:rsidRPr="00DC5140">
        <w:rPr>
          <w:rFonts w:ascii="Georgia" w:hAnsi="Georgia"/>
        </w:rPr>
        <w:t>£144,728.50</w:t>
      </w:r>
    </w:p>
    <w:p w14:paraId="634BC9EA" w14:textId="645C3B5E" w:rsidR="00C228CE" w:rsidRPr="00DC5140" w:rsidRDefault="00C228CE" w:rsidP="00DC5140">
      <w:pPr>
        <w:ind w:firstLine="426"/>
        <w:rPr>
          <w:rFonts w:ascii="Georgia" w:hAnsi="Georgia"/>
          <w:b/>
          <w:bCs/>
        </w:rPr>
      </w:pPr>
      <w:r w:rsidRPr="00DC5140">
        <w:rPr>
          <w:rFonts w:ascii="Georgia" w:hAnsi="Georgia"/>
          <w:b/>
          <w:bCs/>
        </w:rPr>
        <w:t xml:space="preserve">Total </w:t>
      </w:r>
      <w:r w:rsidR="00DC5140">
        <w:rPr>
          <w:rFonts w:ascii="Georgia" w:hAnsi="Georgia"/>
          <w:b/>
          <w:bCs/>
        </w:rPr>
        <w:tab/>
      </w:r>
      <w:r w:rsidR="00DC5140">
        <w:rPr>
          <w:rFonts w:ascii="Georgia" w:hAnsi="Georgia"/>
          <w:b/>
          <w:bCs/>
        </w:rPr>
        <w:tab/>
      </w:r>
      <w:r w:rsidR="00DC5140">
        <w:rPr>
          <w:rFonts w:ascii="Georgia" w:hAnsi="Georgia"/>
          <w:b/>
          <w:bCs/>
        </w:rPr>
        <w:tab/>
      </w:r>
      <w:r w:rsidR="00DC5140">
        <w:rPr>
          <w:rFonts w:ascii="Georgia" w:hAnsi="Georgia"/>
          <w:b/>
          <w:bCs/>
        </w:rPr>
        <w:tab/>
      </w:r>
      <w:r w:rsidR="00DC5140">
        <w:rPr>
          <w:rFonts w:ascii="Georgia" w:hAnsi="Georgia"/>
          <w:b/>
          <w:bCs/>
        </w:rPr>
        <w:tab/>
      </w:r>
      <w:r w:rsidR="00DC5140">
        <w:rPr>
          <w:rFonts w:ascii="Georgia" w:hAnsi="Georgia"/>
          <w:b/>
          <w:bCs/>
        </w:rPr>
        <w:tab/>
      </w:r>
      <w:r w:rsidR="00DC5140">
        <w:rPr>
          <w:rFonts w:ascii="Georgia" w:hAnsi="Georgia"/>
          <w:b/>
          <w:bCs/>
        </w:rPr>
        <w:tab/>
      </w:r>
      <w:r w:rsidR="00DC5140">
        <w:rPr>
          <w:rFonts w:ascii="Georgia" w:hAnsi="Georgia"/>
          <w:b/>
          <w:bCs/>
        </w:rPr>
        <w:tab/>
      </w:r>
      <w:r w:rsidRPr="00DC5140">
        <w:rPr>
          <w:rFonts w:ascii="Georgia" w:hAnsi="Georgia"/>
          <w:b/>
          <w:bCs/>
        </w:rPr>
        <w:t>£226,530</w:t>
      </w:r>
      <w:r w:rsidRPr="00DC5140">
        <w:rPr>
          <w:rFonts w:ascii="Georgia" w:hAnsi="Georgia"/>
        </w:rPr>
        <w:br/>
      </w:r>
    </w:p>
    <w:p w14:paraId="0BAA2DA8" w14:textId="3965656D" w:rsidR="00090F08" w:rsidRPr="00090F08" w:rsidRDefault="00427628" w:rsidP="00C228CE">
      <w:pPr>
        <w:pStyle w:val="ListParagraph"/>
        <w:ind w:left="426"/>
        <w:jc w:val="both"/>
        <w:rPr>
          <w:rFonts w:ascii="Georgia" w:hAnsi="Georgia"/>
        </w:rPr>
      </w:pPr>
      <w:r>
        <w:rPr>
          <w:rFonts w:ascii="Georgia" w:hAnsi="Georgia"/>
          <w:szCs w:val="24"/>
        </w:rPr>
        <w:t xml:space="preserve">required </w:t>
      </w:r>
      <w:r w:rsidR="00D9403D">
        <w:rPr>
          <w:rFonts w:ascii="Georgia" w:hAnsi="Georgia"/>
          <w:szCs w:val="24"/>
        </w:rPr>
        <w:t>for</w:t>
      </w:r>
      <w:r w:rsidR="0066693A">
        <w:rPr>
          <w:rFonts w:ascii="Georgia" w:hAnsi="Georgia"/>
          <w:szCs w:val="24"/>
        </w:rPr>
        <w:t xml:space="preserve"> </w:t>
      </w:r>
      <w:r w:rsidR="00C228CE" w:rsidRPr="00C228CE">
        <w:rPr>
          <w:rFonts w:ascii="Georgia" w:hAnsi="Georgia"/>
          <w:szCs w:val="24"/>
        </w:rPr>
        <w:t xml:space="preserve">136 Harley Street, </w:t>
      </w:r>
      <w:proofErr w:type="gramStart"/>
      <w:r w:rsidR="00C228CE" w:rsidRPr="00C228CE">
        <w:rPr>
          <w:rFonts w:ascii="Georgia" w:hAnsi="Georgia"/>
          <w:szCs w:val="24"/>
        </w:rPr>
        <w:t>London,W</w:t>
      </w:r>
      <w:proofErr w:type="gramEnd"/>
      <w:r w:rsidR="00C228CE" w:rsidRPr="00C228CE">
        <w:rPr>
          <w:rFonts w:ascii="Georgia" w:hAnsi="Georgia"/>
          <w:szCs w:val="24"/>
        </w:rPr>
        <w:t>1G 7JZ</w:t>
      </w:r>
      <w:r w:rsidR="00942329">
        <w:rPr>
          <w:rFonts w:ascii="Georgia" w:hAnsi="Georgia"/>
          <w:szCs w:val="24"/>
        </w:rPr>
        <w:t xml:space="preserve"> </w:t>
      </w:r>
      <w:r w:rsidR="00090F08">
        <w:rPr>
          <w:rFonts w:ascii="Georgia" w:hAnsi="Georgia"/>
          <w:lang w:val="en-US"/>
        </w:rPr>
        <w:t>(“the property”).</w:t>
      </w:r>
    </w:p>
    <w:p w14:paraId="4490600E" w14:textId="77777777" w:rsidR="00090F08" w:rsidRDefault="00090F08" w:rsidP="00090F08">
      <w:pPr>
        <w:jc w:val="both"/>
        <w:rPr>
          <w:rFonts w:ascii="Georgia" w:hAnsi="Georgia"/>
        </w:rPr>
      </w:pPr>
    </w:p>
    <w:p w14:paraId="1E8DFCF8" w14:textId="4B6213B9" w:rsidR="00071A10" w:rsidRDefault="00090F08" w:rsidP="00071A10">
      <w:pPr>
        <w:ind w:left="426" w:hanging="426"/>
        <w:jc w:val="both"/>
        <w:rPr>
          <w:rFonts w:ascii="Georgia" w:hAnsi="Georgia"/>
        </w:rPr>
      </w:pPr>
      <w:r>
        <w:rPr>
          <w:rFonts w:ascii="Georgia" w:hAnsi="Georgia"/>
        </w:rPr>
        <w:t>2.</w:t>
      </w:r>
      <w:r>
        <w:rPr>
          <w:rFonts w:ascii="Georgia" w:hAnsi="Georgia"/>
        </w:rPr>
        <w:tab/>
        <w:t xml:space="preserve">The </w:t>
      </w:r>
      <w:r w:rsidR="00D00C8F">
        <w:rPr>
          <w:rFonts w:ascii="Georgia" w:hAnsi="Georgia"/>
        </w:rPr>
        <w:t>A</w:t>
      </w:r>
      <w:r>
        <w:rPr>
          <w:rFonts w:ascii="Georgia" w:hAnsi="Georgia"/>
        </w:rPr>
        <w:t xml:space="preserve">pplicant is the freeholder of the </w:t>
      </w:r>
      <w:proofErr w:type="gramStart"/>
      <w:r>
        <w:rPr>
          <w:rFonts w:ascii="Georgia" w:hAnsi="Georgia"/>
        </w:rPr>
        <w:t>property</w:t>
      </w:r>
      <w:proofErr w:type="gramEnd"/>
      <w:r>
        <w:rPr>
          <w:rFonts w:ascii="Georgia" w:hAnsi="Georgia"/>
        </w:rPr>
        <w:t xml:space="preserve"> and the </w:t>
      </w:r>
      <w:r w:rsidR="00D00C8F">
        <w:rPr>
          <w:rFonts w:ascii="Georgia" w:hAnsi="Georgia"/>
        </w:rPr>
        <w:t>R</w:t>
      </w:r>
      <w:r>
        <w:rPr>
          <w:rFonts w:ascii="Georgia" w:hAnsi="Georgia"/>
        </w:rPr>
        <w:t>espondents are the long leaseholders</w:t>
      </w:r>
      <w:r w:rsidR="004B1A81">
        <w:rPr>
          <w:rFonts w:ascii="Georgia" w:hAnsi="Georgia"/>
        </w:rPr>
        <w:t xml:space="preserve"> of the three apartments</w:t>
      </w:r>
      <w:r>
        <w:rPr>
          <w:rFonts w:ascii="Georgia" w:hAnsi="Georgia"/>
        </w:rPr>
        <w:t>.</w:t>
      </w:r>
      <w:r w:rsidR="0066693A">
        <w:rPr>
          <w:rFonts w:ascii="Georgia" w:hAnsi="Georgia"/>
        </w:rPr>
        <w:t xml:space="preserve">  The property is a </w:t>
      </w:r>
      <w:proofErr w:type="gramStart"/>
      <w:r w:rsidR="0049067C">
        <w:rPr>
          <w:rFonts w:ascii="Georgia" w:hAnsi="Georgia"/>
        </w:rPr>
        <w:t>five storey</w:t>
      </w:r>
      <w:proofErr w:type="gramEnd"/>
      <w:r w:rsidR="0049067C">
        <w:rPr>
          <w:rFonts w:ascii="Georgia" w:hAnsi="Georgia"/>
        </w:rPr>
        <w:t xml:space="preserve"> mixed use period property comprising medical accommodation at basement, ground and first floor levels with three residential apartments on the second, third and fourth floors.  </w:t>
      </w:r>
    </w:p>
    <w:p w14:paraId="3B468D2A" w14:textId="77777777" w:rsidR="00071A10" w:rsidRDefault="00071A10" w:rsidP="00071A10">
      <w:pPr>
        <w:ind w:left="426" w:hanging="426"/>
        <w:jc w:val="both"/>
        <w:rPr>
          <w:rFonts w:ascii="Georgia" w:hAnsi="Georgia"/>
        </w:rPr>
      </w:pPr>
    </w:p>
    <w:p w14:paraId="208B1442" w14:textId="74098F47" w:rsidR="00E632B8" w:rsidRPr="00D524D1" w:rsidRDefault="00BD542C" w:rsidP="00D524D1">
      <w:pPr>
        <w:pStyle w:val="ListParagraph"/>
        <w:numPr>
          <w:ilvl w:val="0"/>
          <w:numId w:val="21"/>
        </w:numPr>
        <w:ind w:left="426" w:hanging="426"/>
        <w:jc w:val="both"/>
        <w:rPr>
          <w:rFonts w:ascii="Georgia" w:hAnsi="Georgia"/>
        </w:rPr>
      </w:pPr>
      <w:r w:rsidRPr="00D524D1">
        <w:rPr>
          <w:rFonts w:ascii="Georgia" w:hAnsi="Georgia"/>
        </w:rPr>
        <w:t xml:space="preserve">By an application dated </w:t>
      </w:r>
      <w:r w:rsidR="0049067C" w:rsidRPr="00D524D1">
        <w:rPr>
          <w:rFonts w:ascii="Georgia" w:hAnsi="Georgia"/>
        </w:rPr>
        <w:t>20</w:t>
      </w:r>
      <w:r w:rsidRPr="00D524D1">
        <w:rPr>
          <w:rFonts w:ascii="Georgia" w:hAnsi="Georgia"/>
        </w:rPr>
        <w:t xml:space="preserve"> </w:t>
      </w:r>
      <w:r w:rsidR="0049067C" w:rsidRPr="00D524D1">
        <w:rPr>
          <w:rFonts w:ascii="Georgia" w:hAnsi="Georgia"/>
        </w:rPr>
        <w:t>February</w:t>
      </w:r>
      <w:r w:rsidRPr="00D524D1">
        <w:rPr>
          <w:rFonts w:ascii="Georgia" w:hAnsi="Georgia"/>
        </w:rPr>
        <w:t xml:space="preserve"> 202</w:t>
      </w:r>
      <w:r w:rsidR="0049067C" w:rsidRPr="00D524D1">
        <w:rPr>
          <w:rFonts w:ascii="Georgia" w:hAnsi="Georgia"/>
        </w:rPr>
        <w:t>5</w:t>
      </w:r>
      <w:r w:rsidR="0078576A" w:rsidRPr="00D524D1">
        <w:rPr>
          <w:rFonts w:ascii="Georgia" w:hAnsi="Georgia"/>
        </w:rPr>
        <w:t xml:space="preserve"> and </w:t>
      </w:r>
      <w:r w:rsidR="005C63D0" w:rsidRPr="00D524D1">
        <w:rPr>
          <w:rFonts w:ascii="Georgia" w:hAnsi="Georgia"/>
        </w:rPr>
        <w:t>received by the tribunal on 24 February</w:t>
      </w:r>
      <w:r w:rsidR="0078576A" w:rsidRPr="00D524D1">
        <w:rPr>
          <w:rFonts w:ascii="Georgia" w:hAnsi="Georgia"/>
        </w:rPr>
        <w:t xml:space="preserve"> 2025</w:t>
      </w:r>
      <w:r w:rsidRPr="00D524D1">
        <w:rPr>
          <w:rFonts w:ascii="Georgia" w:hAnsi="Georgia"/>
        </w:rPr>
        <w:t xml:space="preserve"> </w:t>
      </w:r>
      <w:r w:rsidR="008C3982" w:rsidRPr="00D524D1">
        <w:rPr>
          <w:rFonts w:ascii="Georgia" w:hAnsi="Georgia"/>
        </w:rPr>
        <w:t xml:space="preserve">the </w:t>
      </w:r>
      <w:r w:rsidR="0049067C" w:rsidRPr="00D524D1">
        <w:rPr>
          <w:rFonts w:ascii="Georgia" w:hAnsi="Georgia"/>
        </w:rPr>
        <w:t>Landlord</w:t>
      </w:r>
      <w:r w:rsidR="008C3982" w:rsidRPr="00D524D1">
        <w:rPr>
          <w:rFonts w:ascii="Georgia" w:hAnsi="Georgia"/>
        </w:rPr>
        <w:t xml:space="preserve"> applied for retrospective dispensation from the statutory duty to consult in respect of </w:t>
      </w:r>
      <w:r w:rsidR="0059107C" w:rsidRPr="00D524D1">
        <w:rPr>
          <w:rFonts w:ascii="Georgia" w:hAnsi="Georgia"/>
        </w:rPr>
        <w:t>d</w:t>
      </w:r>
      <w:r w:rsidR="002C2606" w:rsidRPr="00D524D1">
        <w:rPr>
          <w:rFonts w:ascii="Georgia" w:hAnsi="Georgia"/>
        </w:rPr>
        <w:t>ecoration to common parts and</w:t>
      </w:r>
      <w:r w:rsidR="00E949E0">
        <w:rPr>
          <w:rFonts w:ascii="Georgia" w:hAnsi="Georgia"/>
        </w:rPr>
        <w:t xml:space="preserve"> the</w:t>
      </w:r>
      <w:r w:rsidR="002C2606" w:rsidRPr="00D524D1">
        <w:rPr>
          <w:rFonts w:ascii="Georgia" w:hAnsi="Georgia"/>
        </w:rPr>
        <w:t xml:space="preserve"> front elevation</w:t>
      </w:r>
      <w:r w:rsidR="0059107C" w:rsidRPr="00D524D1">
        <w:rPr>
          <w:rFonts w:ascii="Georgia" w:hAnsi="Georgia"/>
        </w:rPr>
        <w:t xml:space="preserve"> and l</w:t>
      </w:r>
      <w:r w:rsidR="002C2606" w:rsidRPr="00D524D1">
        <w:rPr>
          <w:rFonts w:ascii="Georgia" w:hAnsi="Georgia"/>
        </w:rPr>
        <w:t>ift renewal works</w:t>
      </w:r>
      <w:r w:rsidR="0059107C" w:rsidRPr="00D524D1">
        <w:rPr>
          <w:rFonts w:ascii="Georgia" w:hAnsi="Georgia"/>
        </w:rPr>
        <w:t>.</w:t>
      </w:r>
      <w:r w:rsidR="008C3982" w:rsidRPr="00D524D1">
        <w:rPr>
          <w:rFonts w:ascii="Georgia" w:hAnsi="Georgia"/>
        </w:rPr>
        <w:t xml:space="preserve"> The application has been issued </w:t>
      </w:r>
      <w:r w:rsidR="0049067C" w:rsidRPr="00D524D1">
        <w:rPr>
          <w:rFonts w:ascii="Georgia" w:hAnsi="Georgia"/>
        </w:rPr>
        <w:t>by Warners Law LLP</w:t>
      </w:r>
      <w:r w:rsidR="008C3982" w:rsidRPr="00D524D1">
        <w:rPr>
          <w:rFonts w:ascii="Georgia" w:hAnsi="Georgia"/>
        </w:rPr>
        <w:t xml:space="preserve"> as the </w:t>
      </w:r>
      <w:r w:rsidR="0049067C" w:rsidRPr="00D524D1">
        <w:rPr>
          <w:rFonts w:ascii="Georgia" w:hAnsi="Georgia"/>
        </w:rPr>
        <w:t>Landlord</w:t>
      </w:r>
      <w:r w:rsidR="008C3982" w:rsidRPr="00D524D1">
        <w:rPr>
          <w:rFonts w:ascii="Georgia" w:hAnsi="Georgia"/>
        </w:rPr>
        <w:t xml:space="preserve">’s representative. </w:t>
      </w:r>
    </w:p>
    <w:p w14:paraId="11E213FB" w14:textId="77777777" w:rsidR="001231F9" w:rsidRDefault="001231F9" w:rsidP="008C3982">
      <w:pPr>
        <w:ind w:left="426" w:hanging="426"/>
        <w:jc w:val="both"/>
        <w:rPr>
          <w:rFonts w:ascii="Georgia" w:hAnsi="Georgia"/>
          <w:szCs w:val="20"/>
        </w:rPr>
      </w:pPr>
    </w:p>
    <w:p w14:paraId="5D93E615" w14:textId="2E3679FE" w:rsidR="00774777" w:rsidRPr="00774777" w:rsidRDefault="00A82C6F" w:rsidP="00774777">
      <w:pPr>
        <w:ind w:left="426" w:hanging="426"/>
        <w:jc w:val="both"/>
        <w:rPr>
          <w:rFonts w:ascii="Georgia" w:hAnsi="Georgia"/>
          <w:szCs w:val="20"/>
        </w:rPr>
      </w:pPr>
      <w:r>
        <w:rPr>
          <w:rFonts w:ascii="Georgia" w:hAnsi="Georgia"/>
          <w:szCs w:val="20"/>
        </w:rPr>
        <w:t>4</w:t>
      </w:r>
      <w:r w:rsidR="001231F9">
        <w:rPr>
          <w:rFonts w:ascii="Georgia" w:hAnsi="Georgia"/>
          <w:szCs w:val="20"/>
        </w:rPr>
        <w:t>.</w:t>
      </w:r>
      <w:r w:rsidR="0033640A">
        <w:rPr>
          <w:rFonts w:ascii="Georgia" w:hAnsi="Georgia"/>
          <w:szCs w:val="20"/>
        </w:rPr>
        <w:t xml:space="preserve"> </w:t>
      </w:r>
      <w:r w:rsidR="0033640A">
        <w:rPr>
          <w:rFonts w:ascii="Georgia" w:hAnsi="Georgia"/>
          <w:szCs w:val="20"/>
        </w:rPr>
        <w:tab/>
      </w:r>
      <w:r w:rsidR="0033640A">
        <w:rPr>
          <w:rFonts w:ascii="Georgia" w:hAnsi="Georgia"/>
        </w:rPr>
        <w:t xml:space="preserve">On </w:t>
      </w:r>
      <w:r w:rsidR="0049067C">
        <w:rPr>
          <w:rFonts w:ascii="Georgia" w:hAnsi="Georgia"/>
        </w:rPr>
        <w:t>3</w:t>
      </w:r>
      <w:r w:rsidR="0033640A">
        <w:rPr>
          <w:rFonts w:ascii="Georgia" w:hAnsi="Georgia"/>
        </w:rPr>
        <w:t xml:space="preserve"> </w:t>
      </w:r>
      <w:r w:rsidR="0049067C">
        <w:rPr>
          <w:rFonts w:ascii="Georgia" w:hAnsi="Georgia"/>
        </w:rPr>
        <w:t>April</w:t>
      </w:r>
      <w:r w:rsidR="0033640A">
        <w:rPr>
          <w:rFonts w:ascii="Georgia" w:hAnsi="Georgia"/>
        </w:rPr>
        <w:t xml:space="preserve"> 202</w:t>
      </w:r>
      <w:r w:rsidR="0049067C">
        <w:rPr>
          <w:rFonts w:ascii="Georgia" w:hAnsi="Georgia"/>
        </w:rPr>
        <w:t>5</w:t>
      </w:r>
      <w:r w:rsidR="0033640A">
        <w:rPr>
          <w:rFonts w:ascii="Georgia" w:hAnsi="Georgia"/>
        </w:rPr>
        <w:t xml:space="preserve"> </w:t>
      </w:r>
      <w:r w:rsidR="0033640A">
        <w:rPr>
          <w:rFonts w:ascii="Georgia" w:hAnsi="Georgia"/>
          <w:szCs w:val="20"/>
        </w:rPr>
        <w:t xml:space="preserve">the </w:t>
      </w:r>
      <w:r w:rsidR="00B66FB4">
        <w:rPr>
          <w:rFonts w:ascii="Georgia" w:hAnsi="Georgia"/>
          <w:szCs w:val="20"/>
        </w:rPr>
        <w:t>T</w:t>
      </w:r>
      <w:r w:rsidR="0033640A">
        <w:rPr>
          <w:rFonts w:ascii="Georgia" w:hAnsi="Georgia"/>
          <w:szCs w:val="20"/>
        </w:rPr>
        <w:t xml:space="preserve">ribunal issued Directions. </w:t>
      </w:r>
      <w:r w:rsidR="00774777" w:rsidRPr="00774777">
        <w:rPr>
          <w:rFonts w:ascii="Georgia" w:hAnsi="Georgia"/>
          <w:szCs w:val="20"/>
        </w:rPr>
        <w:t>By 17 April 2025</w:t>
      </w:r>
      <w:r w:rsidR="00774777">
        <w:rPr>
          <w:rFonts w:ascii="Georgia" w:hAnsi="Georgia"/>
          <w:szCs w:val="20"/>
        </w:rPr>
        <w:t xml:space="preserve"> the </w:t>
      </w:r>
      <w:r w:rsidR="00395A01">
        <w:rPr>
          <w:rFonts w:ascii="Georgia" w:hAnsi="Georgia"/>
          <w:szCs w:val="20"/>
        </w:rPr>
        <w:t>a</w:t>
      </w:r>
      <w:r w:rsidR="00774777">
        <w:rPr>
          <w:rFonts w:ascii="Georgia" w:hAnsi="Georgia"/>
          <w:szCs w:val="20"/>
        </w:rPr>
        <w:t>pplicant was directed to</w:t>
      </w:r>
      <w:r w:rsidR="00774777" w:rsidRPr="00774777">
        <w:rPr>
          <w:rFonts w:ascii="Georgia" w:hAnsi="Georgia"/>
          <w:szCs w:val="20"/>
        </w:rPr>
        <w:t xml:space="preserve"> send to each of the leaseholders (and any residential sublessees) and to any recognised residents’ associations, by email, hand delivery or first-class post:</w:t>
      </w:r>
    </w:p>
    <w:p w14:paraId="0DEE9F87" w14:textId="77777777" w:rsidR="00774777" w:rsidRPr="00774777" w:rsidRDefault="00774777" w:rsidP="00774777">
      <w:pPr>
        <w:ind w:left="851" w:hanging="426"/>
        <w:jc w:val="both"/>
        <w:rPr>
          <w:rFonts w:ascii="Georgia" w:hAnsi="Georgia"/>
          <w:szCs w:val="20"/>
        </w:rPr>
      </w:pPr>
      <w:r w:rsidRPr="00774777">
        <w:rPr>
          <w:rFonts w:ascii="Georgia" w:hAnsi="Georgia"/>
          <w:szCs w:val="20"/>
        </w:rPr>
        <w:t>•</w:t>
      </w:r>
      <w:r w:rsidRPr="00774777">
        <w:rPr>
          <w:rFonts w:ascii="Georgia" w:hAnsi="Georgia"/>
          <w:szCs w:val="20"/>
        </w:rPr>
        <w:tab/>
        <w:t>copies of the application form (excluding any respondents’ telephone numbers or email addresses, or any separate list of respondents’ names and addresses) unless already sent by the applicant to the leaseholder/</w:t>
      </w:r>
      <w:proofErr w:type="gramStart"/>
      <w:r w:rsidRPr="00774777">
        <w:rPr>
          <w:rFonts w:ascii="Georgia" w:hAnsi="Georgia"/>
          <w:szCs w:val="20"/>
        </w:rPr>
        <w:t>sublessee;</w:t>
      </w:r>
      <w:proofErr w:type="gramEnd"/>
    </w:p>
    <w:p w14:paraId="166AC71A" w14:textId="77777777" w:rsidR="00774777" w:rsidRPr="00774777" w:rsidRDefault="00774777" w:rsidP="00774777">
      <w:pPr>
        <w:ind w:left="851" w:hanging="426"/>
        <w:jc w:val="both"/>
        <w:rPr>
          <w:rFonts w:ascii="Georgia" w:hAnsi="Georgia"/>
          <w:szCs w:val="20"/>
        </w:rPr>
      </w:pPr>
      <w:r w:rsidRPr="00774777">
        <w:rPr>
          <w:rFonts w:ascii="Georgia" w:hAnsi="Georgia"/>
          <w:szCs w:val="20"/>
        </w:rPr>
        <w:t>•</w:t>
      </w:r>
      <w:r w:rsidRPr="00774777">
        <w:rPr>
          <w:rFonts w:ascii="Georgia" w:hAnsi="Georgia"/>
          <w:szCs w:val="20"/>
        </w:rPr>
        <w:tab/>
        <w:t>If not already detailed in the application form a brief statement to explain the reasons for the application, and</w:t>
      </w:r>
    </w:p>
    <w:p w14:paraId="1964E7BF" w14:textId="1EC746D5" w:rsidR="00774777" w:rsidRPr="00774777" w:rsidRDefault="00774777" w:rsidP="00774777">
      <w:pPr>
        <w:ind w:left="851" w:hanging="426"/>
        <w:jc w:val="both"/>
        <w:rPr>
          <w:rFonts w:ascii="Georgia" w:hAnsi="Georgia"/>
          <w:szCs w:val="20"/>
        </w:rPr>
      </w:pPr>
      <w:r w:rsidRPr="00774777">
        <w:rPr>
          <w:rFonts w:ascii="Georgia" w:hAnsi="Georgia"/>
          <w:szCs w:val="20"/>
        </w:rPr>
        <w:t>•</w:t>
      </w:r>
      <w:r w:rsidRPr="00774777">
        <w:rPr>
          <w:rFonts w:ascii="Georgia" w:hAnsi="Georgia"/>
          <w:szCs w:val="20"/>
        </w:rPr>
        <w:tab/>
        <w:t xml:space="preserve">the </w:t>
      </w:r>
      <w:proofErr w:type="gramStart"/>
      <w:r w:rsidRPr="00774777">
        <w:rPr>
          <w:rFonts w:ascii="Georgia" w:hAnsi="Georgia"/>
          <w:szCs w:val="20"/>
        </w:rPr>
        <w:t>directions;</w:t>
      </w:r>
      <w:proofErr w:type="gramEnd"/>
    </w:p>
    <w:p w14:paraId="4F1B3FCF" w14:textId="77777777" w:rsidR="00774777" w:rsidRPr="00774777" w:rsidRDefault="00774777" w:rsidP="00774777">
      <w:pPr>
        <w:ind w:left="851" w:hanging="426"/>
        <w:jc w:val="both"/>
        <w:rPr>
          <w:rFonts w:ascii="Georgia" w:hAnsi="Georgia"/>
          <w:szCs w:val="20"/>
        </w:rPr>
      </w:pPr>
      <w:r w:rsidRPr="00774777">
        <w:rPr>
          <w:rFonts w:ascii="Georgia" w:hAnsi="Georgia"/>
          <w:szCs w:val="20"/>
        </w:rPr>
        <w:t>•</w:t>
      </w:r>
      <w:r w:rsidRPr="00774777">
        <w:rPr>
          <w:rFonts w:ascii="Georgia" w:hAnsi="Georgia"/>
          <w:szCs w:val="20"/>
        </w:rPr>
        <w:tab/>
        <w:t>Display a copy of these in a prominent place in the common parts of the Property (again, excluding any respondents’ telephone numbers or email addresses, or any separate list of respondents’ names and addresses); and</w:t>
      </w:r>
    </w:p>
    <w:p w14:paraId="3DF044E2" w14:textId="77777777" w:rsidR="00774777" w:rsidRDefault="00774777" w:rsidP="00774777">
      <w:pPr>
        <w:ind w:left="851" w:hanging="426"/>
        <w:jc w:val="both"/>
        <w:rPr>
          <w:rFonts w:ascii="Georgia" w:hAnsi="Georgia"/>
          <w:szCs w:val="20"/>
        </w:rPr>
      </w:pPr>
      <w:r w:rsidRPr="00774777">
        <w:rPr>
          <w:rFonts w:ascii="Georgia" w:hAnsi="Georgia"/>
          <w:szCs w:val="20"/>
        </w:rPr>
        <w:t>•</w:t>
      </w:r>
      <w:r w:rsidRPr="00774777">
        <w:rPr>
          <w:rFonts w:ascii="Georgia" w:hAnsi="Georgia"/>
          <w:szCs w:val="20"/>
        </w:rPr>
        <w:tab/>
        <w:t>By 24 April 2025 send an email to the tribunal at London.Rap@justice.gov.uk to confirm that this has been done and stating the date(s) when this was done.</w:t>
      </w:r>
      <w:r>
        <w:rPr>
          <w:rFonts w:ascii="Georgia" w:hAnsi="Georgia"/>
          <w:szCs w:val="20"/>
        </w:rPr>
        <w:t xml:space="preserve"> </w:t>
      </w:r>
    </w:p>
    <w:p w14:paraId="1BDEEF73" w14:textId="77777777" w:rsidR="00C11DC5" w:rsidRDefault="00C11DC5" w:rsidP="00C11DC5">
      <w:pPr>
        <w:jc w:val="both"/>
        <w:rPr>
          <w:rFonts w:ascii="Georgia" w:hAnsi="Georgia"/>
        </w:rPr>
      </w:pPr>
    </w:p>
    <w:p w14:paraId="0418D891" w14:textId="77777777" w:rsidR="00C11DC5" w:rsidRDefault="00C11DC5" w:rsidP="00C11DC5">
      <w:pPr>
        <w:jc w:val="both"/>
        <w:rPr>
          <w:rFonts w:ascii="Georgia" w:hAnsi="Georgia"/>
        </w:rPr>
      </w:pPr>
    </w:p>
    <w:p w14:paraId="303D85AA" w14:textId="77777777" w:rsidR="00C11DC5" w:rsidRDefault="00C11DC5" w:rsidP="007E1AB2">
      <w:pPr>
        <w:ind w:left="425"/>
        <w:jc w:val="both"/>
        <w:rPr>
          <w:rFonts w:ascii="Georgia" w:hAnsi="Georgia"/>
        </w:rPr>
      </w:pPr>
    </w:p>
    <w:p w14:paraId="7E5D7016" w14:textId="42644A46" w:rsidR="008845E6" w:rsidRPr="00774777" w:rsidRDefault="008845E6" w:rsidP="007E1AB2">
      <w:pPr>
        <w:ind w:left="425"/>
        <w:jc w:val="both"/>
        <w:rPr>
          <w:rFonts w:ascii="Georgia" w:hAnsi="Georgia"/>
        </w:rPr>
      </w:pPr>
      <w:r>
        <w:rPr>
          <w:rFonts w:ascii="Georgia" w:hAnsi="Georgia"/>
        </w:rPr>
        <w:t>On</w:t>
      </w:r>
      <w:r w:rsidR="009B7CE2">
        <w:rPr>
          <w:rFonts w:ascii="Georgia" w:hAnsi="Georgia"/>
        </w:rPr>
        <w:t xml:space="preserve"> </w:t>
      </w:r>
      <w:r w:rsidR="00900C8A">
        <w:rPr>
          <w:rFonts w:ascii="Georgia" w:hAnsi="Georgia"/>
        </w:rPr>
        <w:t>17 April</w:t>
      </w:r>
      <w:r>
        <w:rPr>
          <w:rFonts w:ascii="Georgia" w:hAnsi="Georgia"/>
        </w:rPr>
        <w:t xml:space="preserve"> the </w:t>
      </w:r>
      <w:r w:rsidR="00395A01">
        <w:rPr>
          <w:rFonts w:ascii="Georgia" w:hAnsi="Georgia"/>
        </w:rPr>
        <w:t>a</w:t>
      </w:r>
      <w:r>
        <w:rPr>
          <w:rFonts w:ascii="Georgia" w:hAnsi="Georgia"/>
        </w:rPr>
        <w:t>pplicant’s representative confirmed that it had</w:t>
      </w:r>
      <w:r w:rsidR="00774777">
        <w:rPr>
          <w:rFonts w:ascii="Georgia" w:hAnsi="Georgia"/>
        </w:rPr>
        <w:t xml:space="preserve"> </w:t>
      </w:r>
      <w:r>
        <w:rPr>
          <w:rFonts w:ascii="Georgia" w:hAnsi="Georgia"/>
        </w:rPr>
        <w:t xml:space="preserve">complied with this Direction. </w:t>
      </w:r>
    </w:p>
    <w:p w14:paraId="5A7A646E" w14:textId="61A1FB85" w:rsidR="0033640A" w:rsidRDefault="0033640A" w:rsidP="0033640A">
      <w:pPr>
        <w:ind w:left="426" w:hanging="426"/>
        <w:jc w:val="both"/>
        <w:rPr>
          <w:rFonts w:ascii="Georgia" w:hAnsi="Georgia"/>
        </w:rPr>
      </w:pPr>
    </w:p>
    <w:p w14:paraId="72B09DFB" w14:textId="1476597E" w:rsidR="00C659EF" w:rsidRDefault="00F9477D" w:rsidP="00F70735">
      <w:pPr>
        <w:ind w:left="426" w:hanging="426"/>
        <w:jc w:val="both"/>
        <w:rPr>
          <w:rFonts w:ascii="Georgia" w:hAnsi="Georgia"/>
        </w:rPr>
      </w:pPr>
      <w:r>
        <w:rPr>
          <w:rFonts w:ascii="Georgia" w:hAnsi="Georgia"/>
        </w:rPr>
        <w:t>5</w:t>
      </w:r>
      <w:r w:rsidR="008845E6">
        <w:rPr>
          <w:rFonts w:ascii="Georgia" w:hAnsi="Georgia"/>
        </w:rPr>
        <w:t xml:space="preserve">. </w:t>
      </w:r>
      <w:r w:rsidR="008845E6">
        <w:rPr>
          <w:rFonts w:ascii="Georgia" w:hAnsi="Georgia"/>
        </w:rPr>
        <w:tab/>
      </w:r>
      <w:r w:rsidR="00A9045A">
        <w:rPr>
          <w:rFonts w:ascii="Georgia" w:hAnsi="Georgia"/>
        </w:rPr>
        <w:t>A</w:t>
      </w:r>
      <w:r w:rsidR="006009D5" w:rsidRPr="008D21A2">
        <w:rPr>
          <w:rFonts w:ascii="Georgia" w:hAnsi="Georgia" w:cs="Arial"/>
        </w:rPr>
        <w:t xml:space="preserve">ny </w:t>
      </w:r>
      <w:r w:rsidR="006009D5" w:rsidRPr="008D21A2">
        <w:rPr>
          <w:rFonts w:ascii="Georgia" w:hAnsi="Georgia"/>
        </w:rPr>
        <w:t xml:space="preserve">leaseholder who opposed the application was directed to complete a Reply Form which was attached to the Directions and </w:t>
      </w:r>
      <w:r w:rsidR="006009D5">
        <w:rPr>
          <w:rFonts w:ascii="Georgia" w:hAnsi="Georgia"/>
        </w:rPr>
        <w:t xml:space="preserve">send </w:t>
      </w:r>
      <w:r w:rsidR="006009D5" w:rsidRPr="008D21A2">
        <w:rPr>
          <w:rFonts w:ascii="Georgia" w:hAnsi="Georgia"/>
        </w:rPr>
        <w:t xml:space="preserve">it both to the </w:t>
      </w:r>
      <w:r w:rsidR="00395A01">
        <w:rPr>
          <w:rFonts w:ascii="Georgia" w:hAnsi="Georgia"/>
        </w:rPr>
        <w:t>t</w:t>
      </w:r>
      <w:r w:rsidR="006009D5" w:rsidRPr="008D21A2">
        <w:rPr>
          <w:rFonts w:ascii="Georgia" w:hAnsi="Georgia"/>
        </w:rPr>
        <w:t xml:space="preserve">ribunal and to the </w:t>
      </w:r>
      <w:r w:rsidR="00395A01">
        <w:rPr>
          <w:rFonts w:ascii="Georgia" w:hAnsi="Georgia"/>
        </w:rPr>
        <w:t>a</w:t>
      </w:r>
      <w:r w:rsidR="006009D5" w:rsidRPr="008D21A2">
        <w:rPr>
          <w:rFonts w:ascii="Georgia" w:hAnsi="Georgia"/>
        </w:rPr>
        <w:t>pplicant</w:t>
      </w:r>
      <w:r w:rsidR="000D6517">
        <w:rPr>
          <w:rFonts w:ascii="Georgia" w:hAnsi="Georgia"/>
        </w:rPr>
        <w:t xml:space="preserve"> by 1 May 2025</w:t>
      </w:r>
      <w:r w:rsidR="0098698F">
        <w:rPr>
          <w:rFonts w:ascii="Georgia" w:hAnsi="Georgia"/>
        </w:rPr>
        <w:t xml:space="preserve">. </w:t>
      </w:r>
      <w:r w:rsidR="006009D5" w:rsidRPr="008D21A2">
        <w:rPr>
          <w:rFonts w:ascii="Georgia" w:hAnsi="Georgia"/>
        </w:rPr>
        <w:t>No</w:t>
      </w:r>
      <w:r w:rsidR="006B2552">
        <w:rPr>
          <w:rFonts w:ascii="Georgia" w:hAnsi="Georgia"/>
        </w:rPr>
        <w:t xml:space="preserve">ne of </w:t>
      </w:r>
      <w:r w:rsidR="00E03F6F">
        <w:rPr>
          <w:rFonts w:ascii="Georgia" w:hAnsi="Georgia"/>
        </w:rPr>
        <w:t>the</w:t>
      </w:r>
      <w:r w:rsidR="006009D5" w:rsidRPr="008D21A2">
        <w:rPr>
          <w:rFonts w:ascii="Georgia" w:hAnsi="Georgia"/>
        </w:rPr>
        <w:t xml:space="preserve"> leaseholder</w:t>
      </w:r>
      <w:r w:rsidR="006B2552">
        <w:rPr>
          <w:rFonts w:ascii="Georgia" w:hAnsi="Georgia"/>
        </w:rPr>
        <w:t>s</w:t>
      </w:r>
      <w:r w:rsidR="0098698F">
        <w:rPr>
          <w:rFonts w:ascii="Georgia" w:hAnsi="Georgia"/>
        </w:rPr>
        <w:t xml:space="preserve"> </w:t>
      </w:r>
      <w:r w:rsidR="006009D5" w:rsidRPr="008D21A2">
        <w:rPr>
          <w:rFonts w:ascii="Georgia" w:hAnsi="Georgia"/>
        </w:rPr>
        <w:t>returned a completed Reply Form</w:t>
      </w:r>
      <w:r w:rsidR="006009D5">
        <w:rPr>
          <w:rFonts w:ascii="Georgia" w:hAnsi="Georgia"/>
        </w:rPr>
        <w:t xml:space="preserve"> </w:t>
      </w:r>
      <w:r w:rsidR="00792741">
        <w:rPr>
          <w:rFonts w:ascii="Georgia" w:hAnsi="Georgia"/>
        </w:rPr>
        <w:t xml:space="preserve">or </w:t>
      </w:r>
      <w:r w:rsidR="006009D5">
        <w:rPr>
          <w:rFonts w:ascii="Georgia" w:hAnsi="Georgia"/>
        </w:rPr>
        <w:t>oppos</w:t>
      </w:r>
      <w:r w:rsidR="00792741">
        <w:rPr>
          <w:rFonts w:ascii="Georgia" w:hAnsi="Georgia"/>
        </w:rPr>
        <w:t>ed</w:t>
      </w:r>
      <w:r w:rsidR="006009D5">
        <w:rPr>
          <w:rFonts w:ascii="Georgia" w:hAnsi="Georgia"/>
        </w:rPr>
        <w:t xml:space="preserve"> the application</w:t>
      </w:r>
      <w:r w:rsidR="006009D5" w:rsidRPr="008D21A2">
        <w:rPr>
          <w:rFonts w:ascii="Georgia" w:hAnsi="Georgia"/>
        </w:rPr>
        <w:t>.</w:t>
      </w:r>
    </w:p>
    <w:p w14:paraId="00087750" w14:textId="77777777" w:rsidR="00E7600A" w:rsidRDefault="00E7600A" w:rsidP="00C211C9">
      <w:pPr>
        <w:jc w:val="both"/>
        <w:rPr>
          <w:rFonts w:ascii="Georgia" w:hAnsi="Georgia"/>
          <w:szCs w:val="20"/>
        </w:rPr>
      </w:pPr>
    </w:p>
    <w:p w14:paraId="4A798CD3" w14:textId="6214D53A" w:rsidR="00C71AA4" w:rsidRDefault="00F70735" w:rsidP="00C71AA4">
      <w:pPr>
        <w:ind w:left="426" w:hanging="426"/>
        <w:jc w:val="both"/>
        <w:rPr>
          <w:rFonts w:ascii="Georgia" w:hAnsi="Georgia"/>
          <w:szCs w:val="20"/>
        </w:rPr>
      </w:pPr>
      <w:r>
        <w:rPr>
          <w:rFonts w:ascii="Georgia" w:hAnsi="Georgia"/>
          <w:szCs w:val="20"/>
        </w:rPr>
        <w:t>6</w:t>
      </w:r>
      <w:r w:rsidR="00E7600A">
        <w:rPr>
          <w:rFonts w:ascii="Georgia" w:hAnsi="Georgia"/>
          <w:szCs w:val="20"/>
        </w:rPr>
        <w:t xml:space="preserve">. </w:t>
      </w:r>
      <w:r w:rsidR="00E7600A">
        <w:rPr>
          <w:rFonts w:ascii="Georgia" w:hAnsi="Georgia"/>
          <w:szCs w:val="20"/>
        </w:rPr>
        <w:tab/>
      </w:r>
      <w:r w:rsidR="00C71AA4">
        <w:rPr>
          <w:rFonts w:ascii="Georgia" w:hAnsi="Georgia"/>
          <w:szCs w:val="20"/>
        </w:rPr>
        <w:t xml:space="preserve">The </w:t>
      </w:r>
      <w:r w:rsidR="00D41AF1">
        <w:rPr>
          <w:rFonts w:ascii="Georgia" w:hAnsi="Georgia"/>
          <w:szCs w:val="20"/>
        </w:rPr>
        <w:t>A</w:t>
      </w:r>
      <w:r w:rsidR="00C71AA4">
        <w:rPr>
          <w:rFonts w:ascii="Georgia" w:hAnsi="Georgia"/>
          <w:szCs w:val="20"/>
        </w:rPr>
        <w:t>pplicant has provided a Bundle of Documents (</w:t>
      </w:r>
      <w:r w:rsidR="00C94EB5">
        <w:rPr>
          <w:rFonts w:ascii="Georgia" w:hAnsi="Georgia"/>
          <w:szCs w:val="20"/>
        </w:rPr>
        <w:t>173</w:t>
      </w:r>
      <w:r w:rsidR="00C71AA4">
        <w:rPr>
          <w:rFonts w:ascii="Georgia" w:hAnsi="Georgia"/>
          <w:szCs w:val="20"/>
        </w:rPr>
        <w:t xml:space="preserve"> pages)</w:t>
      </w:r>
      <w:r w:rsidR="00AD52D1">
        <w:rPr>
          <w:rFonts w:ascii="Georgia" w:hAnsi="Georgia"/>
          <w:szCs w:val="20"/>
        </w:rPr>
        <w:t xml:space="preserve"> (“the bundle”)</w:t>
      </w:r>
      <w:r w:rsidR="00C71AA4">
        <w:rPr>
          <w:rFonts w:ascii="Georgia" w:hAnsi="Georgia"/>
          <w:szCs w:val="20"/>
        </w:rPr>
        <w:t xml:space="preserve"> in support of the application. This includes various document</w:t>
      </w:r>
      <w:r w:rsidR="00A44E04">
        <w:rPr>
          <w:rFonts w:ascii="Georgia" w:hAnsi="Georgia"/>
          <w:szCs w:val="20"/>
        </w:rPr>
        <w:t>s</w:t>
      </w:r>
      <w:r w:rsidR="00C71AA4">
        <w:rPr>
          <w:rFonts w:ascii="Georgia" w:hAnsi="Georgia"/>
          <w:szCs w:val="20"/>
        </w:rPr>
        <w:t xml:space="preserve"> including the lease</w:t>
      </w:r>
      <w:r w:rsidR="00914492">
        <w:rPr>
          <w:rFonts w:ascii="Georgia" w:hAnsi="Georgia"/>
          <w:szCs w:val="20"/>
        </w:rPr>
        <w:t>s</w:t>
      </w:r>
      <w:r w:rsidR="00C71AA4">
        <w:rPr>
          <w:rFonts w:ascii="Georgia" w:hAnsi="Georgia"/>
          <w:szCs w:val="20"/>
        </w:rPr>
        <w:t xml:space="preserve"> for </w:t>
      </w:r>
      <w:r w:rsidR="003236C4">
        <w:rPr>
          <w:rFonts w:ascii="Georgia" w:hAnsi="Georgia"/>
          <w:szCs w:val="20"/>
        </w:rPr>
        <w:t>the three apartments within the property</w:t>
      </w:r>
      <w:r w:rsidR="003711A1">
        <w:rPr>
          <w:rFonts w:ascii="Georgia" w:hAnsi="Georgia"/>
          <w:szCs w:val="20"/>
        </w:rPr>
        <w:t xml:space="preserve"> the Applicant’s Statement of Case</w:t>
      </w:r>
      <w:r w:rsidR="00C71AA4">
        <w:rPr>
          <w:rFonts w:ascii="Georgia" w:hAnsi="Georgia"/>
          <w:szCs w:val="20"/>
        </w:rPr>
        <w:t xml:space="preserve">, </w:t>
      </w:r>
      <w:r w:rsidR="00D90693">
        <w:rPr>
          <w:rFonts w:ascii="Georgia" w:hAnsi="Georgia"/>
          <w:szCs w:val="20"/>
        </w:rPr>
        <w:t>and copies of the consultation notices being the notice of intention and statement of estimates</w:t>
      </w:r>
      <w:r w:rsidR="00341F4B">
        <w:rPr>
          <w:rFonts w:ascii="Georgia" w:hAnsi="Georgia"/>
          <w:szCs w:val="20"/>
        </w:rPr>
        <w:t xml:space="preserve"> in relation to the proposed works. </w:t>
      </w:r>
    </w:p>
    <w:p w14:paraId="377AF822" w14:textId="77777777" w:rsidR="001109D9" w:rsidRDefault="001109D9" w:rsidP="00C71AA4">
      <w:pPr>
        <w:ind w:left="426" w:hanging="426"/>
        <w:jc w:val="both"/>
        <w:rPr>
          <w:rFonts w:ascii="Georgia" w:hAnsi="Georgia"/>
          <w:szCs w:val="20"/>
        </w:rPr>
      </w:pPr>
    </w:p>
    <w:p w14:paraId="56551AA5" w14:textId="72F42240" w:rsidR="00B427BD" w:rsidRDefault="00A95214" w:rsidP="00C71AA4">
      <w:pPr>
        <w:ind w:left="426" w:hanging="426"/>
        <w:jc w:val="both"/>
        <w:rPr>
          <w:rFonts w:ascii="Georgia" w:hAnsi="Georgia"/>
          <w:szCs w:val="20"/>
        </w:rPr>
      </w:pPr>
      <w:r>
        <w:rPr>
          <w:rFonts w:ascii="Georgia" w:hAnsi="Georgia"/>
          <w:szCs w:val="20"/>
        </w:rPr>
        <w:t xml:space="preserve">7. </w:t>
      </w:r>
      <w:r>
        <w:rPr>
          <w:rFonts w:ascii="Georgia" w:hAnsi="Georgia"/>
          <w:szCs w:val="20"/>
        </w:rPr>
        <w:tab/>
        <w:t xml:space="preserve">It is the </w:t>
      </w:r>
      <w:r w:rsidR="00D41AF1">
        <w:rPr>
          <w:rFonts w:ascii="Georgia" w:hAnsi="Georgia"/>
          <w:szCs w:val="20"/>
        </w:rPr>
        <w:t>A</w:t>
      </w:r>
      <w:r>
        <w:rPr>
          <w:rFonts w:ascii="Georgia" w:hAnsi="Georgia"/>
          <w:szCs w:val="20"/>
        </w:rPr>
        <w:t>pplicant’s case that</w:t>
      </w:r>
      <w:r w:rsidR="00C16DCE">
        <w:rPr>
          <w:rFonts w:ascii="Georgia" w:hAnsi="Georgia"/>
          <w:szCs w:val="20"/>
        </w:rPr>
        <w:t xml:space="preserve"> </w:t>
      </w:r>
      <w:r w:rsidR="00DC2232">
        <w:rPr>
          <w:rFonts w:ascii="Georgia" w:hAnsi="Georgia"/>
          <w:szCs w:val="20"/>
        </w:rPr>
        <w:t>the leaseholders</w:t>
      </w:r>
      <w:r w:rsidR="00C2293E">
        <w:rPr>
          <w:rFonts w:ascii="Georgia" w:hAnsi="Georgia"/>
          <w:szCs w:val="20"/>
        </w:rPr>
        <w:t xml:space="preserve"> of the second floor flat and </w:t>
      </w:r>
      <w:r w:rsidR="00786D04">
        <w:rPr>
          <w:rFonts w:ascii="Georgia" w:hAnsi="Georgia"/>
          <w:szCs w:val="20"/>
        </w:rPr>
        <w:t>fourth floor flat were</w:t>
      </w:r>
      <w:r w:rsidR="00DC2232">
        <w:rPr>
          <w:rFonts w:ascii="Georgia" w:hAnsi="Georgia"/>
          <w:szCs w:val="20"/>
        </w:rPr>
        <w:t xml:space="preserve"> </w:t>
      </w:r>
      <w:r w:rsidR="00786D04">
        <w:rPr>
          <w:rFonts w:ascii="Georgia" w:hAnsi="Georgia"/>
          <w:szCs w:val="20"/>
        </w:rPr>
        <w:t>given</w:t>
      </w:r>
      <w:r w:rsidR="00DC2232">
        <w:rPr>
          <w:rFonts w:ascii="Georgia" w:hAnsi="Georgia"/>
          <w:szCs w:val="20"/>
        </w:rPr>
        <w:t xml:space="preserve"> </w:t>
      </w:r>
      <w:r w:rsidR="00C16DCE">
        <w:rPr>
          <w:rFonts w:ascii="Georgia" w:hAnsi="Georgia"/>
          <w:szCs w:val="20"/>
        </w:rPr>
        <w:t xml:space="preserve">notice </w:t>
      </w:r>
      <w:r w:rsidR="00786D04">
        <w:rPr>
          <w:rFonts w:ascii="Georgia" w:hAnsi="Georgia"/>
          <w:szCs w:val="20"/>
        </w:rPr>
        <w:t>of the proposed works</w:t>
      </w:r>
      <w:r w:rsidR="00C16DCE">
        <w:rPr>
          <w:rFonts w:ascii="Georgia" w:hAnsi="Georgia"/>
          <w:szCs w:val="20"/>
        </w:rPr>
        <w:t xml:space="preserve"> via a</w:t>
      </w:r>
      <w:r>
        <w:rPr>
          <w:rFonts w:ascii="Georgia" w:hAnsi="Georgia"/>
          <w:szCs w:val="20"/>
        </w:rPr>
        <w:t xml:space="preserve"> notice of intention </w:t>
      </w:r>
      <w:r w:rsidR="00612339">
        <w:rPr>
          <w:rFonts w:ascii="Georgia" w:hAnsi="Georgia"/>
          <w:szCs w:val="20"/>
        </w:rPr>
        <w:t>dated</w:t>
      </w:r>
      <w:r w:rsidR="00593AB9">
        <w:rPr>
          <w:rFonts w:ascii="Georgia" w:hAnsi="Georgia"/>
          <w:szCs w:val="20"/>
        </w:rPr>
        <w:t xml:space="preserve"> 30 June 2022 </w:t>
      </w:r>
      <w:r w:rsidR="000C2CCC">
        <w:rPr>
          <w:rFonts w:ascii="Georgia" w:hAnsi="Georgia"/>
          <w:szCs w:val="20"/>
        </w:rPr>
        <w:t>and that the notice of intention was posted to the leaseholder of the third floor flat at the last know</w:t>
      </w:r>
      <w:r w:rsidR="00304546">
        <w:rPr>
          <w:rFonts w:ascii="Georgia" w:hAnsi="Georgia"/>
          <w:szCs w:val="20"/>
        </w:rPr>
        <w:t>n</w:t>
      </w:r>
      <w:r w:rsidR="000C2CCC">
        <w:rPr>
          <w:rFonts w:ascii="Georgia" w:hAnsi="Georgia"/>
          <w:szCs w:val="20"/>
        </w:rPr>
        <w:t xml:space="preserve"> correspondence address </w:t>
      </w:r>
      <w:r w:rsidR="00B427BD">
        <w:rPr>
          <w:rFonts w:ascii="Georgia" w:hAnsi="Georgia"/>
          <w:szCs w:val="20"/>
        </w:rPr>
        <w:t xml:space="preserve">for the leaseholder. </w:t>
      </w:r>
      <w:proofErr w:type="gramStart"/>
      <w:r w:rsidR="0061204E">
        <w:rPr>
          <w:rFonts w:ascii="Georgia" w:hAnsi="Georgia"/>
          <w:szCs w:val="20"/>
        </w:rPr>
        <w:t>Also</w:t>
      </w:r>
      <w:proofErr w:type="gramEnd"/>
      <w:r w:rsidR="0061204E">
        <w:rPr>
          <w:rFonts w:ascii="Georgia" w:hAnsi="Georgia"/>
          <w:szCs w:val="20"/>
        </w:rPr>
        <w:t xml:space="preserve"> that the</w:t>
      </w:r>
      <w:r w:rsidR="007E77A6">
        <w:rPr>
          <w:rFonts w:ascii="Georgia" w:hAnsi="Georgia"/>
          <w:szCs w:val="20"/>
        </w:rPr>
        <w:t xml:space="preserve"> that the leaseholders of the second floor flat</w:t>
      </w:r>
      <w:r w:rsidR="0035688E">
        <w:rPr>
          <w:rFonts w:ascii="Georgia" w:hAnsi="Georgia"/>
          <w:szCs w:val="20"/>
        </w:rPr>
        <w:t xml:space="preserve"> (</w:t>
      </w:r>
      <w:r w:rsidR="00D41AF1">
        <w:rPr>
          <w:rFonts w:ascii="Georgia" w:hAnsi="Georgia"/>
          <w:szCs w:val="20"/>
        </w:rPr>
        <w:t>F</w:t>
      </w:r>
      <w:r w:rsidR="0035688E">
        <w:rPr>
          <w:rFonts w:ascii="Georgia" w:hAnsi="Georgia"/>
          <w:szCs w:val="20"/>
        </w:rPr>
        <w:t xml:space="preserve">irst </w:t>
      </w:r>
      <w:r w:rsidR="00D41AF1">
        <w:rPr>
          <w:rFonts w:ascii="Georgia" w:hAnsi="Georgia"/>
          <w:szCs w:val="20"/>
        </w:rPr>
        <w:t>R</w:t>
      </w:r>
      <w:r w:rsidR="0035688E">
        <w:rPr>
          <w:rFonts w:ascii="Georgia" w:hAnsi="Georgia"/>
          <w:szCs w:val="20"/>
        </w:rPr>
        <w:t>espondent)</w:t>
      </w:r>
      <w:r w:rsidR="007E77A6">
        <w:rPr>
          <w:rFonts w:ascii="Georgia" w:hAnsi="Georgia"/>
          <w:szCs w:val="20"/>
        </w:rPr>
        <w:t xml:space="preserve"> and fourth floor</w:t>
      </w:r>
      <w:r w:rsidR="0035688E">
        <w:rPr>
          <w:rFonts w:ascii="Georgia" w:hAnsi="Georgia"/>
          <w:szCs w:val="20"/>
        </w:rPr>
        <w:t xml:space="preserve"> (</w:t>
      </w:r>
      <w:r w:rsidR="00D41AF1">
        <w:rPr>
          <w:rFonts w:ascii="Georgia" w:hAnsi="Georgia"/>
          <w:szCs w:val="20"/>
        </w:rPr>
        <w:t>T</w:t>
      </w:r>
      <w:r w:rsidR="0035688E">
        <w:rPr>
          <w:rFonts w:ascii="Georgia" w:hAnsi="Georgia"/>
          <w:szCs w:val="20"/>
        </w:rPr>
        <w:t xml:space="preserve">hird </w:t>
      </w:r>
      <w:r w:rsidR="00D41AF1">
        <w:rPr>
          <w:rFonts w:ascii="Georgia" w:hAnsi="Georgia"/>
          <w:szCs w:val="20"/>
        </w:rPr>
        <w:t>R</w:t>
      </w:r>
      <w:r w:rsidR="0035688E">
        <w:rPr>
          <w:rFonts w:ascii="Georgia" w:hAnsi="Georgia"/>
          <w:szCs w:val="20"/>
        </w:rPr>
        <w:t>espondent)</w:t>
      </w:r>
      <w:r w:rsidR="007E77A6">
        <w:rPr>
          <w:rFonts w:ascii="Georgia" w:hAnsi="Georgia"/>
          <w:szCs w:val="20"/>
        </w:rPr>
        <w:t xml:space="preserve"> </w:t>
      </w:r>
      <w:r w:rsidR="000C4A92">
        <w:rPr>
          <w:rFonts w:ascii="Georgia" w:hAnsi="Georgia"/>
          <w:szCs w:val="20"/>
        </w:rPr>
        <w:t>were given notice of the</w:t>
      </w:r>
      <w:r w:rsidR="0061204E">
        <w:rPr>
          <w:rFonts w:ascii="Georgia" w:hAnsi="Georgia"/>
          <w:szCs w:val="20"/>
        </w:rPr>
        <w:t xml:space="preserve"> statement of estimates dated </w:t>
      </w:r>
      <w:r w:rsidR="006731B1">
        <w:rPr>
          <w:rFonts w:ascii="Georgia" w:hAnsi="Georgia"/>
          <w:szCs w:val="20"/>
        </w:rPr>
        <w:t>7 December 2022</w:t>
      </w:r>
      <w:r w:rsidR="00FA3A66">
        <w:rPr>
          <w:rFonts w:ascii="Georgia" w:hAnsi="Georgia"/>
          <w:szCs w:val="20"/>
        </w:rPr>
        <w:t xml:space="preserve"> </w:t>
      </w:r>
      <w:r w:rsidR="000C4A92">
        <w:rPr>
          <w:rFonts w:ascii="Georgia" w:hAnsi="Georgia"/>
          <w:szCs w:val="20"/>
        </w:rPr>
        <w:t xml:space="preserve">which </w:t>
      </w:r>
      <w:r w:rsidR="00FA3A66">
        <w:rPr>
          <w:rFonts w:ascii="Georgia" w:hAnsi="Georgia"/>
          <w:szCs w:val="20"/>
        </w:rPr>
        <w:t>was</w:t>
      </w:r>
      <w:r w:rsidR="008A2DCC">
        <w:rPr>
          <w:rFonts w:ascii="Georgia" w:hAnsi="Georgia"/>
          <w:szCs w:val="20"/>
        </w:rPr>
        <w:t xml:space="preserve"> posted to the leaseholder of the third floor flat</w:t>
      </w:r>
      <w:r w:rsidR="00B2463F">
        <w:rPr>
          <w:rFonts w:ascii="Georgia" w:hAnsi="Georgia"/>
          <w:szCs w:val="20"/>
        </w:rPr>
        <w:t xml:space="preserve"> (</w:t>
      </w:r>
      <w:r w:rsidR="00D41AF1">
        <w:rPr>
          <w:rFonts w:ascii="Georgia" w:hAnsi="Georgia"/>
          <w:szCs w:val="20"/>
        </w:rPr>
        <w:t>S</w:t>
      </w:r>
      <w:r w:rsidR="00B2463F">
        <w:rPr>
          <w:rFonts w:ascii="Georgia" w:hAnsi="Georgia"/>
          <w:szCs w:val="20"/>
        </w:rPr>
        <w:t xml:space="preserve">econd </w:t>
      </w:r>
      <w:r w:rsidR="00D41AF1">
        <w:rPr>
          <w:rFonts w:ascii="Georgia" w:hAnsi="Georgia"/>
          <w:szCs w:val="20"/>
        </w:rPr>
        <w:t>R</w:t>
      </w:r>
      <w:r w:rsidR="00B2463F">
        <w:rPr>
          <w:rFonts w:ascii="Georgia" w:hAnsi="Georgia"/>
          <w:szCs w:val="20"/>
        </w:rPr>
        <w:t>espondent)</w:t>
      </w:r>
      <w:r w:rsidR="008A2DCC">
        <w:rPr>
          <w:rFonts w:ascii="Georgia" w:hAnsi="Georgia"/>
          <w:szCs w:val="20"/>
        </w:rPr>
        <w:t xml:space="preserve"> at the last know</w:t>
      </w:r>
      <w:r w:rsidR="00D41AF1">
        <w:rPr>
          <w:rFonts w:ascii="Georgia" w:hAnsi="Georgia"/>
          <w:szCs w:val="20"/>
        </w:rPr>
        <w:t>n</w:t>
      </w:r>
      <w:r w:rsidR="008A2DCC">
        <w:rPr>
          <w:rFonts w:ascii="Georgia" w:hAnsi="Georgia"/>
          <w:szCs w:val="20"/>
        </w:rPr>
        <w:t xml:space="preserve"> correspondence address for the leaseholder</w:t>
      </w:r>
      <w:r w:rsidR="00772F37">
        <w:rPr>
          <w:rFonts w:ascii="Georgia" w:hAnsi="Georgia"/>
          <w:szCs w:val="20"/>
        </w:rPr>
        <w:t xml:space="preserve"> on 12 December 2022.</w:t>
      </w:r>
    </w:p>
    <w:p w14:paraId="116C9B63" w14:textId="77777777" w:rsidR="00B427BD" w:rsidRDefault="00B427BD" w:rsidP="00C71AA4">
      <w:pPr>
        <w:ind w:left="426" w:hanging="426"/>
        <w:jc w:val="both"/>
        <w:rPr>
          <w:rFonts w:ascii="Georgia" w:hAnsi="Georgia"/>
          <w:szCs w:val="20"/>
        </w:rPr>
      </w:pPr>
    </w:p>
    <w:p w14:paraId="7BA845C7" w14:textId="4A3BD967" w:rsidR="001109D9" w:rsidRDefault="0061204E" w:rsidP="00C71AA4">
      <w:pPr>
        <w:ind w:left="426" w:hanging="426"/>
        <w:jc w:val="both"/>
        <w:rPr>
          <w:rFonts w:ascii="Georgia" w:hAnsi="Georgia"/>
          <w:szCs w:val="20"/>
        </w:rPr>
      </w:pPr>
      <w:r>
        <w:rPr>
          <w:rFonts w:ascii="Georgia" w:hAnsi="Georgia"/>
          <w:szCs w:val="20"/>
        </w:rPr>
        <w:t xml:space="preserve">8. </w:t>
      </w:r>
      <w:r>
        <w:rPr>
          <w:rFonts w:ascii="Georgia" w:hAnsi="Georgia"/>
          <w:szCs w:val="20"/>
        </w:rPr>
        <w:tab/>
      </w:r>
      <w:r w:rsidR="002338CD">
        <w:rPr>
          <w:rFonts w:ascii="Georgia" w:hAnsi="Georgia"/>
          <w:szCs w:val="20"/>
        </w:rPr>
        <w:t xml:space="preserve">The </w:t>
      </w:r>
      <w:r w:rsidR="00D41AF1">
        <w:rPr>
          <w:rFonts w:ascii="Georgia" w:hAnsi="Georgia"/>
          <w:szCs w:val="20"/>
        </w:rPr>
        <w:t>A</w:t>
      </w:r>
      <w:r w:rsidR="002338CD">
        <w:rPr>
          <w:rFonts w:ascii="Georgia" w:hAnsi="Georgia"/>
          <w:szCs w:val="20"/>
        </w:rPr>
        <w:t xml:space="preserve">pplicant states that the </w:t>
      </w:r>
      <w:r w:rsidR="00D41AF1">
        <w:rPr>
          <w:rFonts w:ascii="Georgia" w:hAnsi="Georgia"/>
          <w:szCs w:val="20"/>
        </w:rPr>
        <w:t>S</w:t>
      </w:r>
      <w:r w:rsidR="00B2463F">
        <w:rPr>
          <w:rFonts w:ascii="Georgia" w:hAnsi="Georgia"/>
          <w:szCs w:val="20"/>
        </w:rPr>
        <w:t xml:space="preserve">econd </w:t>
      </w:r>
      <w:r w:rsidR="00D41AF1">
        <w:rPr>
          <w:rFonts w:ascii="Georgia" w:hAnsi="Georgia"/>
          <w:szCs w:val="20"/>
        </w:rPr>
        <w:t>R</w:t>
      </w:r>
      <w:r w:rsidR="00B2463F">
        <w:rPr>
          <w:rFonts w:ascii="Georgia" w:hAnsi="Georgia"/>
          <w:szCs w:val="20"/>
        </w:rPr>
        <w:t>espondent</w:t>
      </w:r>
      <w:r w:rsidR="002338CD">
        <w:rPr>
          <w:rFonts w:ascii="Georgia" w:hAnsi="Georgia"/>
          <w:szCs w:val="20"/>
        </w:rPr>
        <w:t xml:space="preserve"> </w:t>
      </w:r>
      <w:r w:rsidR="00D147C7">
        <w:rPr>
          <w:rFonts w:ascii="Georgia" w:hAnsi="Georgia"/>
          <w:szCs w:val="20"/>
        </w:rPr>
        <w:t xml:space="preserve">has denied having received notice of the proposed works. </w:t>
      </w:r>
      <w:r w:rsidR="00C503EB">
        <w:rPr>
          <w:rFonts w:ascii="Georgia" w:hAnsi="Georgia"/>
          <w:szCs w:val="20"/>
        </w:rPr>
        <w:t xml:space="preserve">The </w:t>
      </w:r>
      <w:r w:rsidR="00D41AF1">
        <w:rPr>
          <w:rFonts w:ascii="Georgia" w:hAnsi="Georgia"/>
          <w:szCs w:val="20"/>
        </w:rPr>
        <w:t>A</w:t>
      </w:r>
      <w:r w:rsidR="00C503EB">
        <w:rPr>
          <w:rFonts w:ascii="Georgia" w:hAnsi="Georgia"/>
          <w:szCs w:val="20"/>
        </w:rPr>
        <w:t xml:space="preserve">pplicant also confirms that it cannot prove service of notice on the </w:t>
      </w:r>
      <w:r w:rsidR="0087136A">
        <w:rPr>
          <w:rFonts w:ascii="Georgia" w:hAnsi="Georgia"/>
          <w:szCs w:val="20"/>
        </w:rPr>
        <w:t>S</w:t>
      </w:r>
      <w:r w:rsidR="0028100D">
        <w:rPr>
          <w:rFonts w:ascii="Georgia" w:hAnsi="Georgia"/>
          <w:szCs w:val="20"/>
        </w:rPr>
        <w:t xml:space="preserve">econd </w:t>
      </w:r>
      <w:r w:rsidR="0087136A">
        <w:rPr>
          <w:rFonts w:ascii="Georgia" w:hAnsi="Georgia"/>
          <w:szCs w:val="20"/>
        </w:rPr>
        <w:t>R</w:t>
      </w:r>
      <w:r w:rsidR="0028100D">
        <w:rPr>
          <w:rFonts w:ascii="Georgia" w:hAnsi="Georgia"/>
          <w:szCs w:val="20"/>
        </w:rPr>
        <w:t>espondent but that the notices were posted to the last know</w:t>
      </w:r>
      <w:r w:rsidR="0087136A">
        <w:rPr>
          <w:rFonts w:ascii="Georgia" w:hAnsi="Georgia"/>
          <w:szCs w:val="20"/>
        </w:rPr>
        <w:t>n</w:t>
      </w:r>
      <w:r w:rsidR="0028100D">
        <w:rPr>
          <w:rFonts w:ascii="Georgia" w:hAnsi="Georgia"/>
          <w:szCs w:val="20"/>
        </w:rPr>
        <w:t xml:space="preserve"> correspondence address</w:t>
      </w:r>
      <w:r w:rsidR="00575271">
        <w:rPr>
          <w:rFonts w:ascii="Georgia" w:hAnsi="Georgia"/>
          <w:szCs w:val="20"/>
        </w:rPr>
        <w:t xml:space="preserve"> of the </w:t>
      </w:r>
      <w:r w:rsidR="0087136A">
        <w:rPr>
          <w:rFonts w:ascii="Georgia" w:hAnsi="Georgia"/>
          <w:szCs w:val="20"/>
        </w:rPr>
        <w:t>S</w:t>
      </w:r>
      <w:r w:rsidR="00575271">
        <w:rPr>
          <w:rFonts w:ascii="Georgia" w:hAnsi="Georgia"/>
          <w:szCs w:val="20"/>
        </w:rPr>
        <w:t xml:space="preserve">econd </w:t>
      </w:r>
      <w:r w:rsidR="0087136A">
        <w:rPr>
          <w:rFonts w:ascii="Georgia" w:hAnsi="Georgia"/>
          <w:szCs w:val="20"/>
        </w:rPr>
        <w:t>R</w:t>
      </w:r>
      <w:r w:rsidR="00575271">
        <w:rPr>
          <w:rFonts w:ascii="Georgia" w:hAnsi="Georgia"/>
          <w:szCs w:val="20"/>
        </w:rPr>
        <w:t>espondent</w:t>
      </w:r>
      <w:r w:rsidR="002C3B6C">
        <w:rPr>
          <w:rFonts w:ascii="Georgia" w:hAnsi="Georgia"/>
          <w:szCs w:val="20"/>
        </w:rPr>
        <w:t>.</w:t>
      </w:r>
      <w:r>
        <w:rPr>
          <w:rFonts w:ascii="Georgia" w:hAnsi="Georgia"/>
          <w:szCs w:val="20"/>
        </w:rPr>
        <w:t xml:space="preserve"> </w:t>
      </w:r>
      <w:r w:rsidR="00612339">
        <w:rPr>
          <w:rFonts w:ascii="Georgia" w:hAnsi="Georgia"/>
          <w:szCs w:val="20"/>
        </w:rPr>
        <w:t xml:space="preserve"> </w:t>
      </w:r>
      <w:r w:rsidR="00E31161">
        <w:rPr>
          <w:rFonts w:ascii="Georgia" w:hAnsi="Georgia"/>
          <w:szCs w:val="20"/>
        </w:rPr>
        <w:t xml:space="preserve"> </w:t>
      </w:r>
    </w:p>
    <w:p w14:paraId="29DCDFC9" w14:textId="341C5E3C" w:rsidR="00E7600A" w:rsidRDefault="00E7600A" w:rsidP="00F25E68">
      <w:pPr>
        <w:ind w:left="426" w:hanging="426"/>
        <w:jc w:val="both"/>
        <w:rPr>
          <w:rFonts w:ascii="Georgia" w:hAnsi="Georgia"/>
          <w:szCs w:val="20"/>
        </w:rPr>
      </w:pPr>
    </w:p>
    <w:p w14:paraId="578EF337" w14:textId="45A89BB4" w:rsidR="00F96556" w:rsidRDefault="00585D18" w:rsidP="00CF0642">
      <w:pPr>
        <w:ind w:left="426" w:hanging="426"/>
        <w:jc w:val="both"/>
        <w:rPr>
          <w:rFonts w:ascii="Georgia" w:hAnsi="Georgia"/>
          <w:szCs w:val="20"/>
        </w:rPr>
      </w:pPr>
      <w:r>
        <w:rPr>
          <w:rFonts w:ascii="Georgia" w:hAnsi="Georgia"/>
          <w:szCs w:val="20"/>
        </w:rPr>
        <w:t>9</w:t>
      </w:r>
      <w:r w:rsidR="00CF0642">
        <w:rPr>
          <w:rFonts w:ascii="Georgia" w:hAnsi="Georgia"/>
          <w:szCs w:val="20"/>
        </w:rPr>
        <w:t>.</w:t>
      </w:r>
      <w:r w:rsidR="00CF0642">
        <w:rPr>
          <w:rFonts w:ascii="Georgia" w:hAnsi="Georgia"/>
          <w:szCs w:val="20"/>
        </w:rPr>
        <w:tab/>
      </w:r>
      <w:r w:rsidR="00A742A3">
        <w:rPr>
          <w:rFonts w:ascii="Georgia" w:hAnsi="Georgia"/>
          <w:szCs w:val="20"/>
        </w:rPr>
        <w:t xml:space="preserve">The </w:t>
      </w:r>
      <w:r w:rsidR="00D81720">
        <w:rPr>
          <w:rFonts w:ascii="Georgia" w:hAnsi="Georgia"/>
          <w:szCs w:val="20"/>
        </w:rPr>
        <w:t xml:space="preserve">works commenced on or about 31 July 2023 and were completed </w:t>
      </w:r>
      <w:r w:rsidR="007459E8">
        <w:rPr>
          <w:rFonts w:ascii="Georgia" w:hAnsi="Georgia"/>
          <w:szCs w:val="20"/>
        </w:rPr>
        <w:t xml:space="preserve">in November 2023. The total cost of the works </w:t>
      </w:r>
      <w:r w:rsidR="00F96556">
        <w:rPr>
          <w:rFonts w:ascii="Georgia" w:hAnsi="Georgia"/>
          <w:szCs w:val="20"/>
        </w:rPr>
        <w:t>was £226,530.</w:t>
      </w:r>
    </w:p>
    <w:p w14:paraId="38166B8D" w14:textId="3923117F" w:rsidR="00CF0642" w:rsidRDefault="00CF0642" w:rsidP="00F96556">
      <w:pPr>
        <w:jc w:val="both"/>
        <w:rPr>
          <w:rFonts w:ascii="Georgia" w:hAnsi="Georgia"/>
          <w:szCs w:val="20"/>
        </w:rPr>
      </w:pPr>
    </w:p>
    <w:p w14:paraId="628E006C" w14:textId="72F3C3FC" w:rsidR="00292EA7" w:rsidRDefault="00585D18" w:rsidP="00AB60CB">
      <w:pPr>
        <w:ind w:left="426" w:hanging="426"/>
        <w:jc w:val="both"/>
        <w:rPr>
          <w:rFonts w:ascii="Georgia" w:hAnsi="Georgia"/>
        </w:rPr>
      </w:pPr>
      <w:r>
        <w:rPr>
          <w:rFonts w:ascii="Georgia" w:hAnsi="Georgia"/>
        </w:rPr>
        <w:t>10</w:t>
      </w:r>
      <w:r w:rsidR="003752B4">
        <w:rPr>
          <w:rFonts w:ascii="Georgia" w:hAnsi="Georgia"/>
        </w:rPr>
        <w:t xml:space="preserve">. </w:t>
      </w:r>
      <w:r w:rsidR="003752B4">
        <w:rPr>
          <w:rFonts w:ascii="Georgia" w:hAnsi="Georgia"/>
        </w:rPr>
        <w:tab/>
      </w:r>
      <w:r w:rsidR="00F96556">
        <w:rPr>
          <w:rFonts w:ascii="Georgia" w:hAnsi="Georgia"/>
        </w:rPr>
        <w:t xml:space="preserve">It is the </w:t>
      </w:r>
      <w:r w:rsidR="0087136A">
        <w:rPr>
          <w:rFonts w:ascii="Georgia" w:hAnsi="Georgia"/>
        </w:rPr>
        <w:t>A</w:t>
      </w:r>
      <w:r w:rsidR="00F96556">
        <w:rPr>
          <w:rFonts w:ascii="Georgia" w:hAnsi="Georgia"/>
        </w:rPr>
        <w:t>pplicant’s case</w:t>
      </w:r>
      <w:r w:rsidR="00E91257">
        <w:rPr>
          <w:rFonts w:ascii="Georgia" w:hAnsi="Georgia"/>
        </w:rPr>
        <w:t xml:space="preserve"> that</w:t>
      </w:r>
      <w:r w:rsidR="00CA47A8">
        <w:rPr>
          <w:rFonts w:ascii="Georgia" w:hAnsi="Georgia"/>
        </w:rPr>
        <w:t xml:space="preserve"> it is reasonable to dispense with the dispensation requirements </w:t>
      </w:r>
      <w:r w:rsidR="001932A4">
        <w:rPr>
          <w:rFonts w:ascii="Georgia" w:hAnsi="Georgia"/>
        </w:rPr>
        <w:t xml:space="preserve">as the notices were served on the </w:t>
      </w:r>
      <w:r w:rsidR="0087136A">
        <w:rPr>
          <w:rFonts w:ascii="Georgia" w:hAnsi="Georgia"/>
        </w:rPr>
        <w:t>F</w:t>
      </w:r>
      <w:r w:rsidR="001932A4">
        <w:rPr>
          <w:rFonts w:ascii="Georgia" w:hAnsi="Georgia"/>
        </w:rPr>
        <w:t>irst</w:t>
      </w:r>
      <w:r w:rsidR="00CA2423">
        <w:rPr>
          <w:rFonts w:ascii="Georgia" w:hAnsi="Georgia"/>
        </w:rPr>
        <w:t xml:space="preserve"> Respondent</w:t>
      </w:r>
      <w:r w:rsidR="001932A4">
        <w:rPr>
          <w:rFonts w:ascii="Georgia" w:hAnsi="Georgia"/>
        </w:rPr>
        <w:t xml:space="preserve"> and </w:t>
      </w:r>
      <w:r w:rsidR="0087136A">
        <w:rPr>
          <w:rFonts w:ascii="Georgia" w:hAnsi="Georgia"/>
        </w:rPr>
        <w:t>T</w:t>
      </w:r>
      <w:r w:rsidR="001932A4">
        <w:rPr>
          <w:rFonts w:ascii="Georgia" w:hAnsi="Georgia"/>
        </w:rPr>
        <w:t xml:space="preserve">hird </w:t>
      </w:r>
      <w:r w:rsidR="00CA2423">
        <w:rPr>
          <w:rFonts w:ascii="Georgia" w:hAnsi="Georgia"/>
        </w:rPr>
        <w:t>R</w:t>
      </w:r>
      <w:r w:rsidR="001932A4">
        <w:rPr>
          <w:rFonts w:ascii="Georgia" w:hAnsi="Georgia"/>
        </w:rPr>
        <w:t xml:space="preserve">espondent and </w:t>
      </w:r>
      <w:r w:rsidR="00575271">
        <w:rPr>
          <w:rFonts w:ascii="Georgia" w:hAnsi="Georgia"/>
        </w:rPr>
        <w:t>posted</w:t>
      </w:r>
      <w:r w:rsidR="001932A4">
        <w:rPr>
          <w:rFonts w:ascii="Georgia" w:hAnsi="Georgia"/>
        </w:rPr>
        <w:t xml:space="preserve"> to the </w:t>
      </w:r>
      <w:r w:rsidR="00CA2423">
        <w:rPr>
          <w:rFonts w:ascii="Georgia" w:hAnsi="Georgia"/>
        </w:rPr>
        <w:t>S</w:t>
      </w:r>
      <w:r w:rsidR="001932A4">
        <w:rPr>
          <w:rFonts w:ascii="Georgia" w:hAnsi="Georgia"/>
        </w:rPr>
        <w:t xml:space="preserve">econd </w:t>
      </w:r>
      <w:r w:rsidR="00CA2423">
        <w:rPr>
          <w:rFonts w:ascii="Georgia" w:hAnsi="Georgia"/>
        </w:rPr>
        <w:t>R</w:t>
      </w:r>
      <w:r w:rsidR="001932A4">
        <w:rPr>
          <w:rFonts w:ascii="Georgia" w:hAnsi="Georgia"/>
        </w:rPr>
        <w:t xml:space="preserve">espondent via the </w:t>
      </w:r>
      <w:r w:rsidR="00993608">
        <w:rPr>
          <w:rFonts w:ascii="Georgia" w:hAnsi="Georgia"/>
        </w:rPr>
        <w:t xml:space="preserve">last known correspondence address for this leaseholder. </w:t>
      </w:r>
    </w:p>
    <w:p w14:paraId="7D1F1C2C" w14:textId="77777777" w:rsidR="00292EA7" w:rsidRDefault="00292EA7" w:rsidP="00AB60CB">
      <w:pPr>
        <w:ind w:left="426" w:hanging="426"/>
        <w:jc w:val="both"/>
        <w:rPr>
          <w:rFonts w:ascii="Georgia" w:hAnsi="Georgia"/>
        </w:rPr>
      </w:pPr>
    </w:p>
    <w:p w14:paraId="7CDD28ED" w14:textId="42677975" w:rsidR="00C43349" w:rsidRPr="00362A74" w:rsidRDefault="00292EA7" w:rsidP="00362A74">
      <w:pPr>
        <w:ind w:left="426" w:hanging="426"/>
        <w:jc w:val="both"/>
        <w:rPr>
          <w:rFonts w:ascii="Georgia" w:hAnsi="Georgia"/>
        </w:rPr>
      </w:pPr>
      <w:r>
        <w:rPr>
          <w:rFonts w:ascii="Georgia" w:hAnsi="Georgia"/>
        </w:rPr>
        <w:t>1</w:t>
      </w:r>
      <w:r w:rsidR="00585D18">
        <w:rPr>
          <w:rFonts w:ascii="Georgia" w:hAnsi="Georgia"/>
        </w:rPr>
        <w:t>1</w:t>
      </w:r>
      <w:r>
        <w:rPr>
          <w:rFonts w:ascii="Georgia" w:hAnsi="Georgia"/>
        </w:rPr>
        <w:t>.</w:t>
      </w:r>
      <w:r>
        <w:rPr>
          <w:rFonts w:ascii="Georgia" w:hAnsi="Georgia"/>
        </w:rPr>
        <w:tab/>
      </w:r>
      <w:r w:rsidR="00993608">
        <w:rPr>
          <w:rFonts w:ascii="Georgia" w:hAnsi="Georgia"/>
        </w:rPr>
        <w:t xml:space="preserve">It is the </w:t>
      </w:r>
      <w:r w:rsidR="00CA2423">
        <w:rPr>
          <w:rFonts w:ascii="Georgia" w:hAnsi="Georgia"/>
        </w:rPr>
        <w:t>A</w:t>
      </w:r>
      <w:r w:rsidR="00993608">
        <w:rPr>
          <w:rFonts w:ascii="Georgia" w:hAnsi="Georgia"/>
        </w:rPr>
        <w:t>pplicant</w:t>
      </w:r>
      <w:r w:rsidR="004A2142">
        <w:rPr>
          <w:rFonts w:ascii="Georgia" w:hAnsi="Georgia"/>
        </w:rPr>
        <w:t>’</w:t>
      </w:r>
      <w:r w:rsidR="00993608">
        <w:rPr>
          <w:rFonts w:ascii="Georgia" w:hAnsi="Georgia"/>
        </w:rPr>
        <w:t xml:space="preserve">s case that the </w:t>
      </w:r>
      <w:r w:rsidR="00CA2423">
        <w:rPr>
          <w:rFonts w:ascii="Georgia" w:hAnsi="Georgia"/>
        </w:rPr>
        <w:t>S</w:t>
      </w:r>
      <w:r w:rsidR="00993608">
        <w:rPr>
          <w:rFonts w:ascii="Georgia" w:hAnsi="Georgia"/>
        </w:rPr>
        <w:t xml:space="preserve">econd </w:t>
      </w:r>
      <w:r w:rsidR="00CA2423">
        <w:rPr>
          <w:rFonts w:ascii="Georgia" w:hAnsi="Georgia"/>
        </w:rPr>
        <w:t>R</w:t>
      </w:r>
      <w:r w:rsidR="00993608">
        <w:rPr>
          <w:rFonts w:ascii="Georgia" w:hAnsi="Georgia"/>
        </w:rPr>
        <w:t>espondent has</w:t>
      </w:r>
      <w:r w:rsidR="002252C6">
        <w:rPr>
          <w:rFonts w:ascii="Georgia" w:hAnsi="Georgia"/>
        </w:rPr>
        <w:t xml:space="preserve"> suffered no real or substantial prejudice </w:t>
      </w:r>
      <w:proofErr w:type="gramStart"/>
      <w:r w:rsidR="00ED5B92">
        <w:rPr>
          <w:rFonts w:ascii="Georgia" w:hAnsi="Georgia"/>
        </w:rPr>
        <w:t>as a result of</w:t>
      </w:r>
      <w:proofErr w:type="gramEnd"/>
      <w:r w:rsidR="00ED5B92">
        <w:rPr>
          <w:rFonts w:ascii="Georgia" w:hAnsi="Georgia"/>
        </w:rPr>
        <w:t xml:space="preserve"> any failure to provide notices</w:t>
      </w:r>
      <w:r w:rsidR="00AB60CB">
        <w:rPr>
          <w:rFonts w:ascii="Georgia" w:hAnsi="Georgia"/>
        </w:rPr>
        <w:t xml:space="preserve"> to the leaseholder. </w:t>
      </w:r>
    </w:p>
    <w:p w14:paraId="47F47C9A" w14:textId="77777777" w:rsidR="0096318F" w:rsidRDefault="0096318F" w:rsidP="004A1220">
      <w:pPr>
        <w:ind w:left="720" w:hanging="720"/>
        <w:jc w:val="both"/>
        <w:rPr>
          <w:rFonts w:ascii="Georgia" w:hAnsi="Georgia"/>
          <w:b/>
          <w:i/>
          <w:szCs w:val="20"/>
        </w:rPr>
      </w:pPr>
    </w:p>
    <w:p w14:paraId="05575439" w14:textId="77777777" w:rsidR="00150E23" w:rsidRDefault="00150E23" w:rsidP="004A1220">
      <w:pPr>
        <w:ind w:left="720" w:hanging="720"/>
        <w:jc w:val="both"/>
        <w:rPr>
          <w:rFonts w:ascii="Georgia" w:hAnsi="Georgia"/>
          <w:b/>
          <w:i/>
          <w:szCs w:val="20"/>
        </w:rPr>
      </w:pPr>
    </w:p>
    <w:p w14:paraId="6CBD1777" w14:textId="77777777" w:rsidR="00150E23" w:rsidRDefault="00150E23" w:rsidP="004A1220">
      <w:pPr>
        <w:ind w:left="720" w:hanging="720"/>
        <w:jc w:val="both"/>
        <w:rPr>
          <w:rFonts w:ascii="Georgia" w:hAnsi="Georgia"/>
          <w:b/>
          <w:i/>
          <w:szCs w:val="20"/>
        </w:rPr>
      </w:pPr>
    </w:p>
    <w:p w14:paraId="2795924C" w14:textId="77777777" w:rsidR="00150E23" w:rsidRDefault="00150E23" w:rsidP="004A1220">
      <w:pPr>
        <w:ind w:left="720" w:hanging="720"/>
        <w:jc w:val="both"/>
        <w:rPr>
          <w:rFonts w:ascii="Georgia" w:hAnsi="Georgia"/>
          <w:b/>
          <w:i/>
          <w:szCs w:val="20"/>
        </w:rPr>
      </w:pPr>
    </w:p>
    <w:p w14:paraId="7A118582" w14:textId="77777777" w:rsidR="00150E23" w:rsidRDefault="00150E23" w:rsidP="004A1220">
      <w:pPr>
        <w:ind w:left="720" w:hanging="720"/>
        <w:jc w:val="both"/>
        <w:rPr>
          <w:rFonts w:ascii="Georgia" w:hAnsi="Georgia"/>
          <w:b/>
          <w:i/>
          <w:szCs w:val="20"/>
        </w:rPr>
      </w:pPr>
    </w:p>
    <w:p w14:paraId="492FD45E" w14:textId="77777777" w:rsidR="00150E23" w:rsidRDefault="00150E23" w:rsidP="004A1220">
      <w:pPr>
        <w:ind w:left="720" w:hanging="720"/>
        <w:jc w:val="both"/>
        <w:rPr>
          <w:rFonts w:ascii="Georgia" w:hAnsi="Georgia"/>
          <w:b/>
          <w:i/>
          <w:szCs w:val="20"/>
        </w:rPr>
      </w:pPr>
    </w:p>
    <w:p w14:paraId="64FA28EB" w14:textId="77777777" w:rsidR="00150E23" w:rsidRDefault="00150E23" w:rsidP="004A1220">
      <w:pPr>
        <w:ind w:left="720" w:hanging="720"/>
        <w:jc w:val="both"/>
        <w:rPr>
          <w:rFonts w:ascii="Georgia" w:hAnsi="Georgia"/>
          <w:b/>
          <w:i/>
          <w:szCs w:val="20"/>
        </w:rPr>
      </w:pPr>
    </w:p>
    <w:p w14:paraId="6E3EC547" w14:textId="4AF2F051" w:rsidR="00236C2D" w:rsidRDefault="00A51F4A" w:rsidP="004A1220">
      <w:pPr>
        <w:ind w:left="720" w:hanging="720"/>
        <w:jc w:val="both"/>
        <w:rPr>
          <w:rFonts w:ascii="Georgia" w:hAnsi="Georgia"/>
          <w:b/>
          <w:i/>
          <w:szCs w:val="20"/>
        </w:rPr>
      </w:pPr>
      <w:r>
        <w:rPr>
          <w:rFonts w:ascii="Georgia" w:hAnsi="Georgia"/>
          <w:b/>
          <w:i/>
          <w:szCs w:val="20"/>
        </w:rPr>
        <w:t>Relevant Law</w:t>
      </w:r>
    </w:p>
    <w:p w14:paraId="5744A5EB" w14:textId="77777777" w:rsidR="00236C2D" w:rsidRDefault="00236C2D" w:rsidP="004A1220">
      <w:pPr>
        <w:ind w:left="720" w:hanging="720"/>
        <w:jc w:val="both"/>
        <w:rPr>
          <w:rFonts w:ascii="Georgia" w:hAnsi="Georgia"/>
          <w:b/>
          <w:i/>
          <w:szCs w:val="20"/>
        </w:rPr>
      </w:pPr>
    </w:p>
    <w:p w14:paraId="7797FB64" w14:textId="25C5CBBB" w:rsidR="00FB3975" w:rsidRPr="008D21A2" w:rsidRDefault="00E426AA" w:rsidP="00FB3975">
      <w:pPr>
        <w:autoSpaceDE w:val="0"/>
        <w:autoSpaceDN w:val="0"/>
        <w:adjustRightInd w:val="0"/>
        <w:spacing w:after="360"/>
        <w:jc w:val="both"/>
        <w:rPr>
          <w:rFonts w:ascii="Georgia" w:hAnsi="Georgia" w:cs="Arial"/>
        </w:rPr>
      </w:pPr>
      <w:r>
        <w:rPr>
          <w:rFonts w:ascii="Georgia" w:hAnsi="Georgia"/>
          <w:szCs w:val="20"/>
        </w:rPr>
        <w:t>1</w:t>
      </w:r>
      <w:r w:rsidR="00585D18">
        <w:rPr>
          <w:rFonts w:ascii="Georgia" w:hAnsi="Georgia"/>
          <w:szCs w:val="20"/>
        </w:rPr>
        <w:t>2</w:t>
      </w:r>
      <w:r w:rsidR="00A51F4A">
        <w:rPr>
          <w:rFonts w:ascii="Georgia" w:hAnsi="Georgia"/>
          <w:szCs w:val="20"/>
        </w:rPr>
        <w:t>.</w:t>
      </w:r>
      <w:r w:rsidR="00A51F4A">
        <w:rPr>
          <w:rFonts w:ascii="Georgia" w:hAnsi="Georgia"/>
          <w:szCs w:val="20"/>
        </w:rPr>
        <w:tab/>
      </w:r>
      <w:r w:rsidR="00FB3975">
        <w:rPr>
          <w:rFonts w:ascii="Georgia" w:hAnsi="Georgia"/>
          <w:szCs w:val="20"/>
        </w:rPr>
        <w:t xml:space="preserve">Section </w:t>
      </w:r>
      <w:r w:rsidR="00FB3975" w:rsidRPr="008D21A2">
        <w:rPr>
          <w:rFonts w:ascii="Georgia" w:hAnsi="Georgia" w:cs="Arial"/>
        </w:rPr>
        <w:t>20ZA (1) of the Act provides:</w:t>
      </w:r>
    </w:p>
    <w:p w14:paraId="1C943413" w14:textId="77777777" w:rsidR="00FB3975" w:rsidRDefault="00FB3975" w:rsidP="00FB3975">
      <w:pPr>
        <w:pStyle w:val="NormalWeb"/>
        <w:shd w:val="clear" w:color="auto" w:fill="FFFFFF"/>
        <w:spacing w:before="0" w:beforeAutospacing="0" w:after="0" w:afterAutospacing="0"/>
        <w:ind w:left="720"/>
        <w:jc w:val="both"/>
        <w:rPr>
          <w:rFonts w:ascii="Georgia" w:hAnsi="Georgia"/>
          <w:color w:val="000000"/>
        </w:rPr>
      </w:pPr>
      <w:r w:rsidRPr="009F52EC">
        <w:rPr>
          <w:rFonts w:ascii="Georgia" w:hAnsi="Georgia"/>
          <w:color w:val="000000"/>
        </w:rPr>
        <w:t>“Where an application is made to the appropriate tribunal</w:t>
      </w:r>
      <w:r w:rsidRPr="009F52EC">
        <w:rPr>
          <w:rStyle w:val="apple-converted-space"/>
          <w:rFonts w:ascii="Georgia" w:hAnsi="Georgia"/>
          <w:color w:val="000000"/>
        </w:rPr>
        <w:t> </w:t>
      </w:r>
      <w:r w:rsidRPr="009F52EC">
        <w:rPr>
          <w:rFonts w:ascii="Georgia" w:hAnsi="Georgia"/>
          <w:color w:val="000000"/>
        </w:rPr>
        <w:t>for a determination to dispense with all or any of the consultation requirements in relation to any qualifying works or qualifying long term agreement, the tribunal may make the determination if satisfied that it is reasonable to dispense with the requirements.”</w:t>
      </w:r>
    </w:p>
    <w:p w14:paraId="7E764834" w14:textId="77777777" w:rsidR="00FB3975" w:rsidRDefault="00FB3975" w:rsidP="00FB3975">
      <w:pPr>
        <w:pStyle w:val="NormalWeb"/>
        <w:shd w:val="clear" w:color="auto" w:fill="FFFFFF"/>
        <w:spacing w:before="0" w:beforeAutospacing="0" w:after="0" w:afterAutospacing="0"/>
        <w:jc w:val="both"/>
        <w:rPr>
          <w:rFonts w:ascii="Georgia" w:hAnsi="Georgia"/>
          <w:color w:val="000000"/>
        </w:rPr>
      </w:pPr>
    </w:p>
    <w:p w14:paraId="0EB569F5" w14:textId="6257DE3A" w:rsidR="0036197A" w:rsidRPr="00FB3975" w:rsidRDefault="00FB3975" w:rsidP="00D6040B">
      <w:pPr>
        <w:autoSpaceDE w:val="0"/>
        <w:autoSpaceDN w:val="0"/>
        <w:adjustRightInd w:val="0"/>
        <w:spacing w:after="360"/>
        <w:ind w:left="720" w:hanging="720"/>
        <w:jc w:val="both"/>
        <w:rPr>
          <w:rFonts w:ascii="Georgia" w:hAnsi="Georgia" w:cs="Arial"/>
          <w:b/>
        </w:rPr>
      </w:pPr>
      <w:r>
        <w:rPr>
          <w:rFonts w:ascii="Georgia" w:hAnsi="Georgia"/>
          <w:color w:val="000000"/>
        </w:rPr>
        <w:t>1</w:t>
      </w:r>
      <w:r w:rsidR="00585D18">
        <w:rPr>
          <w:rFonts w:ascii="Georgia" w:hAnsi="Georgia"/>
          <w:color w:val="000000"/>
        </w:rPr>
        <w:t>3</w:t>
      </w:r>
      <w:r>
        <w:rPr>
          <w:rFonts w:ascii="Georgia" w:hAnsi="Georgia"/>
          <w:color w:val="000000"/>
        </w:rPr>
        <w:t xml:space="preserve">. </w:t>
      </w:r>
      <w:r>
        <w:rPr>
          <w:rFonts w:ascii="Georgia" w:hAnsi="Georgia"/>
          <w:color w:val="000000"/>
        </w:rPr>
        <w:tab/>
      </w:r>
      <w:r w:rsidRPr="001705E0">
        <w:rPr>
          <w:rFonts w:ascii="Georgia" w:hAnsi="Georgia" w:cs="Arial"/>
          <w:b/>
        </w:rPr>
        <w:t xml:space="preserve">The only issue which this Tribunal has been required to determine is </w:t>
      </w:r>
      <w:proofErr w:type="gramStart"/>
      <w:r w:rsidRPr="001705E0">
        <w:rPr>
          <w:rFonts w:ascii="Georgia" w:hAnsi="Georgia" w:cs="Arial"/>
          <w:b/>
        </w:rPr>
        <w:t>whether or not</w:t>
      </w:r>
      <w:proofErr w:type="gramEnd"/>
      <w:r w:rsidRPr="001705E0">
        <w:rPr>
          <w:rFonts w:ascii="Georgia" w:hAnsi="Georgia" w:cs="Arial"/>
          <w:b/>
        </w:rPr>
        <w:t xml:space="preserve"> it is reasonable to dispense with the statutory consultation requirements</w:t>
      </w:r>
      <w:r w:rsidR="003C3913">
        <w:rPr>
          <w:rFonts w:ascii="Georgia" w:hAnsi="Georgia" w:cs="Arial"/>
          <w:b/>
        </w:rPr>
        <w:t xml:space="preserve"> in relation to the</w:t>
      </w:r>
      <w:r w:rsidR="00522CD6">
        <w:rPr>
          <w:rFonts w:ascii="Georgia" w:hAnsi="Georgia" w:cs="Arial"/>
          <w:b/>
        </w:rPr>
        <w:t xml:space="preserve"> </w:t>
      </w:r>
      <w:r w:rsidR="00D6040B" w:rsidRPr="00D6040B">
        <w:rPr>
          <w:rFonts w:ascii="Georgia" w:hAnsi="Georgia" w:cs="Arial"/>
          <w:b/>
        </w:rPr>
        <w:t>Decoration to</w:t>
      </w:r>
      <w:r w:rsidR="007321CB">
        <w:rPr>
          <w:rFonts w:ascii="Georgia" w:hAnsi="Georgia" w:cs="Arial"/>
          <w:b/>
        </w:rPr>
        <w:t xml:space="preserve"> the</w:t>
      </w:r>
      <w:r w:rsidR="00D6040B" w:rsidRPr="00D6040B">
        <w:rPr>
          <w:rFonts w:ascii="Georgia" w:hAnsi="Georgia" w:cs="Arial"/>
          <w:b/>
        </w:rPr>
        <w:t xml:space="preserve"> common parts and front elevation</w:t>
      </w:r>
      <w:r w:rsidR="00D6040B">
        <w:rPr>
          <w:rFonts w:ascii="Georgia" w:hAnsi="Georgia" w:cs="Arial"/>
          <w:b/>
        </w:rPr>
        <w:t xml:space="preserve"> and l</w:t>
      </w:r>
      <w:r w:rsidR="00D6040B" w:rsidRPr="00D6040B">
        <w:rPr>
          <w:rFonts w:ascii="Georgia" w:hAnsi="Georgia" w:cs="Arial"/>
          <w:b/>
        </w:rPr>
        <w:t>ift renewal</w:t>
      </w:r>
      <w:r w:rsidRPr="001705E0">
        <w:rPr>
          <w:rFonts w:ascii="Georgia" w:hAnsi="Georgia" w:cs="Arial"/>
          <w:b/>
        </w:rPr>
        <w:t>. This application does not concern the issue of whether any service charge costs will be reasonable or payable.</w:t>
      </w:r>
    </w:p>
    <w:p w14:paraId="60AE81FE" w14:textId="77777777" w:rsidR="00A51F4A" w:rsidRDefault="00A51F4A" w:rsidP="004A1220">
      <w:pPr>
        <w:ind w:left="720" w:hanging="720"/>
        <w:jc w:val="both"/>
        <w:rPr>
          <w:rFonts w:ascii="Georgia" w:hAnsi="Georgia"/>
          <w:b/>
          <w:i/>
          <w:szCs w:val="20"/>
        </w:rPr>
      </w:pPr>
      <w:r>
        <w:rPr>
          <w:rFonts w:ascii="Georgia" w:hAnsi="Georgia"/>
          <w:b/>
          <w:i/>
          <w:szCs w:val="20"/>
        </w:rPr>
        <w:t>Decision</w:t>
      </w:r>
    </w:p>
    <w:p w14:paraId="21BDCAA3" w14:textId="77777777" w:rsidR="00C70E1C" w:rsidRDefault="00C70E1C" w:rsidP="004A1220">
      <w:pPr>
        <w:ind w:left="720" w:hanging="720"/>
        <w:jc w:val="both"/>
        <w:rPr>
          <w:rFonts w:ascii="Georgia" w:hAnsi="Georgia"/>
          <w:b/>
          <w:i/>
          <w:szCs w:val="20"/>
        </w:rPr>
      </w:pPr>
    </w:p>
    <w:p w14:paraId="09138F22" w14:textId="4DC6CC42" w:rsidR="000670C3" w:rsidRDefault="00E426AA" w:rsidP="0034099B">
      <w:pPr>
        <w:ind w:left="720" w:hanging="720"/>
        <w:jc w:val="both"/>
        <w:rPr>
          <w:rFonts w:ascii="Georgia" w:hAnsi="Georgia"/>
          <w:szCs w:val="20"/>
        </w:rPr>
      </w:pPr>
      <w:r>
        <w:rPr>
          <w:rFonts w:ascii="Georgia" w:hAnsi="Georgia"/>
          <w:szCs w:val="20"/>
        </w:rPr>
        <w:t>1</w:t>
      </w:r>
      <w:r w:rsidR="00585D18">
        <w:rPr>
          <w:rFonts w:ascii="Georgia" w:hAnsi="Georgia"/>
          <w:szCs w:val="20"/>
        </w:rPr>
        <w:t>4</w:t>
      </w:r>
      <w:r w:rsidR="00AA2343">
        <w:rPr>
          <w:rFonts w:ascii="Georgia" w:hAnsi="Georgia"/>
          <w:szCs w:val="20"/>
        </w:rPr>
        <w:t>.</w:t>
      </w:r>
      <w:r w:rsidR="00AA2343">
        <w:rPr>
          <w:rFonts w:ascii="Georgia" w:hAnsi="Georgia"/>
          <w:szCs w:val="20"/>
        </w:rPr>
        <w:tab/>
      </w:r>
      <w:r w:rsidR="00236C2D">
        <w:rPr>
          <w:rFonts w:ascii="Georgia" w:hAnsi="Georgia"/>
          <w:szCs w:val="20"/>
        </w:rPr>
        <w:t>As directed, t</w:t>
      </w:r>
      <w:r w:rsidR="00AA2343">
        <w:rPr>
          <w:rFonts w:ascii="Georgia" w:hAnsi="Georgia"/>
          <w:szCs w:val="20"/>
        </w:rPr>
        <w:t xml:space="preserve">he </w:t>
      </w:r>
      <w:r w:rsidR="00875CDB">
        <w:rPr>
          <w:rFonts w:ascii="Georgia" w:hAnsi="Georgia"/>
          <w:szCs w:val="20"/>
        </w:rPr>
        <w:t>T</w:t>
      </w:r>
      <w:r w:rsidR="00236C2D">
        <w:rPr>
          <w:rFonts w:ascii="Georgia" w:hAnsi="Georgia"/>
          <w:szCs w:val="20"/>
        </w:rPr>
        <w:t xml:space="preserve">ribunal’s determination “on the papers” took place on </w:t>
      </w:r>
      <w:r w:rsidR="00420688">
        <w:rPr>
          <w:rFonts w:ascii="Georgia" w:hAnsi="Georgia"/>
          <w:szCs w:val="20"/>
        </w:rPr>
        <w:t>9</w:t>
      </w:r>
      <w:r w:rsidR="000E0B2D">
        <w:rPr>
          <w:rFonts w:ascii="Georgia" w:hAnsi="Georgia"/>
          <w:szCs w:val="20"/>
        </w:rPr>
        <w:t xml:space="preserve"> </w:t>
      </w:r>
      <w:r w:rsidR="00420688">
        <w:rPr>
          <w:rFonts w:ascii="Georgia" w:hAnsi="Georgia"/>
          <w:szCs w:val="20"/>
        </w:rPr>
        <w:t>June</w:t>
      </w:r>
      <w:r w:rsidR="000E0B2D">
        <w:rPr>
          <w:rFonts w:ascii="Georgia" w:hAnsi="Georgia"/>
          <w:szCs w:val="20"/>
        </w:rPr>
        <w:t xml:space="preserve"> 202</w:t>
      </w:r>
      <w:r w:rsidR="0056042D">
        <w:rPr>
          <w:rFonts w:ascii="Georgia" w:hAnsi="Georgia"/>
          <w:szCs w:val="20"/>
        </w:rPr>
        <w:t>5</w:t>
      </w:r>
      <w:r w:rsidR="00236C2D">
        <w:rPr>
          <w:rFonts w:ascii="Georgia" w:hAnsi="Georgia"/>
          <w:szCs w:val="20"/>
        </w:rPr>
        <w:t xml:space="preserve"> and was based solely on the documentary evidence filed by the </w:t>
      </w:r>
      <w:r w:rsidR="00875CDB">
        <w:rPr>
          <w:rFonts w:ascii="Georgia" w:hAnsi="Georgia"/>
          <w:szCs w:val="20"/>
        </w:rPr>
        <w:t>A</w:t>
      </w:r>
      <w:r w:rsidR="00236C2D">
        <w:rPr>
          <w:rFonts w:ascii="Georgia" w:hAnsi="Georgia"/>
          <w:szCs w:val="20"/>
        </w:rPr>
        <w:t xml:space="preserve">pplicant.  As stated earlier, no objections had been received from any of the </w:t>
      </w:r>
      <w:r w:rsidR="00875CDB">
        <w:rPr>
          <w:rFonts w:ascii="Georgia" w:hAnsi="Georgia"/>
          <w:szCs w:val="20"/>
        </w:rPr>
        <w:t>R</w:t>
      </w:r>
      <w:r w:rsidR="00236C2D">
        <w:rPr>
          <w:rFonts w:ascii="Georgia" w:hAnsi="Georgia"/>
          <w:szCs w:val="20"/>
        </w:rPr>
        <w:t>espondents</w:t>
      </w:r>
      <w:r w:rsidR="004A2142">
        <w:rPr>
          <w:rFonts w:ascii="Georgia" w:hAnsi="Georgia"/>
          <w:szCs w:val="20"/>
        </w:rPr>
        <w:t xml:space="preserve">. </w:t>
      </w:r>
    </w:p>
    <w:p w14:paraId="4E66BC81" w14:textId="77777777" w:rsidR="007D3CA5" w:rsidRDefault="007D3CA5" w:rsidP="0034099B">
      <w:pPr>
        <w:ind w:left="720" w:hanging="720"/>
        <w:jc w:val="both"/>
        <w:rPr>
          <w:rFonts w:ascii="Georgia" w:hAnsi="Georgia"/>
          <w:szCs w:val="20"/>
        </w:rPr>
      </w:pPr>
    </w:p>
    <w:p w14:paraId="77B16007" w14:textId="4F82181A" w:rsidR="00CE3279" w:rsidRDefault="00597B86" w:rsidP="00CE3279">
      <w:pPr>
        <w:ind w:left="720" w:hanging="720"/>
        <w:jc w:val="both"/>
        <w:rPr>
          <w:rFonts w:ascii="Georgia" w:hAnsi="Georgia"/>
          <w:szCs w:val="20"/>
        </w:rPr>
      </w:pPr>
      <w:r>
        <w:rPr>
          <w:rFonts w:ascii="Georgia" w:hAnsi="Georgia"/>
          <w:szCs w:val="20"/>
        </w:rPr>
        <w:t>1</w:t>
      </w:r>
      <w:r w:rsidR="00585D18">
        <w:rPr>
          <w:rFonts w:ascii="Georgia" w:hAnsi="Georgia"/>
          <w:szCs w:val="20"/>
        </w:rPr>
        <w:t>5</w:t>
      </w:r>
      <w:r w:rsidR="00CE3279">
        <w:rPr>
          <w:rFonts w:ascii="Georgia" w:hAnsi="Georgia"/>
          <w:szCs w:val="20"/>
        </w:rPr>
        <w:t>.</w:t>
      </w:r>
      <w:r w:rsidR="00CE3279">
        <w:rPr>
          <w:rFonts w:ascii="Georgia" w:hAnsi="Georgia"/>
          <w:szCs w:val="20"/>
        </w:rPr>
        <w:tab/>
        <w:t xml:space="preserve">The relevant test to </w:t>
      </w:r>
      <w:r w:rsidR="00F22097">
        <w:rPr>
          <w:rFonts w:ascii="Georgia" w:hAnsi="Georgia"/>
          <w:szCs w:val="20"/>
        </w:rPr>
        <w:t>be</w:t>
      </w:r>
      <w:r w:rsidR="00CE3279">
        <w:rPr>
          <w:rFonts w:ascii="Georgia" w:hAnsi="Georgia"/>
          <w:szCs w:val="20"/>
        </w:rPr>
        <w:t xml:space="preserve"> applied in an application such as this has been set out in the Supreme Court decision in </w:t>
      </w:r>
      <w:proofErr w:type="spellStart"/>
      <w:r w:rsidR="00CE3279">
        <w:rPr>
          <w:rFonts w:ascii="Georgia" w:hAnsi="Georgia"/>
          <w:b/>
          <w:i/>
          <w:szCs w:val="20"/>
        </w:rPr>
        <w:t>Daejan</w:t>
      </w:r>
      <w:proofErr w:type="spellEnd"/>
      <w:r w:rsidR="00CE3279">
        <w:rPr>
          <w:rFonts w:ascii="Georgia" w:hAnsi="Georgia"/>
          <w:b/>
          <w:i/>
          <w:szCs w:val="20"/>
        </w:rPr>
        <w:t xml:space="preserve"> Investments Ltd v Benson &amp; </w:t>
      </w:r>
      <w:proofErr w:type="spellStart"/>
      <w:r w:rsidR="00CE3279">
        <w:rPr>
          <w:rFonts w:ascii="Georgia" w:hAnsi="Georgia"/>
          <w:b/>
          <w:i/>
          <w:szCs w:val="20"/>
        </w:rPr>
        <w:t>Ors</w:t>
      </w:r>
      <w:proofErr w:type="spellEnd"/>
      <w:r w:rsidR="00CE3279">
        <w:rPr>
          <w:rFonts w:ascii="Georgia" w:hAnsi="Georgia"/>
          <w:b/>
          <w:i/>
          <w:szCs w:val="20"/>
        </w:rPr>
        <w:t xml:space="preserve"> </w:t>
      </w:r>
      <w:r w:rsidR="00CE3279">
        <w:rPr>
          <w:rFonts w:ascii="Georgia" w:hAnsi="Georgia"/>
          <w:szCs w:val="20"/>
        </w:rPr>
        <w:t>[2013] UKSC 14 where it was held that the purpose of the consultation requirements imposed by section 20 of the Act was to ensure that tenants were protected from paying for inappropriate works or paying more than was appropriate.  In other words, a tenant should suffer no prejudice in this way.</w:t>
      </w:r>
    </w:p>
    <w:p w14:paraId="6ABDE5C6" w14:textId="77777777" w:rsidR="00CE3279" w:rsidRDefault="00CE3279" w:rsidP="00CE3279">
      <w:pPr>
        <w:jc w:val="both"/>
        <w:rPr>
          <w:rFonts w:ascii="Georgia" w:hAnsi="Georgia"/>
          <w:szCs w:val="20"/>
        </w:rPr>
      </w:pPr>
    </w:p>
    <w:p w14:paraId="1224D93D" w14:textId="36DBE701" w:rsidR="00CE3279" w:rsidRDefault="00597B86" w:rsidP="00C14480">
      <w:pPr>
        <w:ind w:left="720" w:hanging="720"/>
        <w:jc w:val="both"/>
        <w:rPr>
          <w:rFonts w:ascii="Georgia" w:hAnsi="Georgia"/>
          <w:szCs w:val="20"/>
        </w:rPr>
      </w:pPr>
      <w:r>
        <w:rPr>
          <w:rFonts w:ascii="Georgia" w:hAnsi="Georgia"/>
          <w:szCs w:val="20"/>
        </w:rPr>
        <w:t>1</w:t>
      </w:r>
      <w:r w:rsidR="00585D18">
        <w:rPr>
          <w:rFonts w:ascii="Georgia" w:hAnsi="Georgia"/>
          <w:szCs w:val="20"/>
        </w:rPr>
        <w:t>6</w:t>
      </w:r>
      <w:r w:rsidR="00CE3279">
        <w:rPr>
          <w:rFonts w:ascii="Georgia" w:hAnsi="Georgia"/>
          <w:szCs w:val="20"/>
        </w:rPr>
        <w:t>.</w:t>
      </w:r>
      <w:r w:rsidR="00CE3279">
        <w:rPr>
          <w:rFonts w:ascii="Georgia" w:hAnsi="Georgia"/>
          <w:szCs w:val="20"/>
        </w:rPr>
        <w:tab/>
        <w:t xml:space="preserve">The issue before the </w:t>
      </w:r>
      <w:r w:rsidR="00EB6DDE">
        <w:rPr>
          <w:rFonts w:ascii="Georgia" w:hAnsi="Georgia"/>
          <w:szCs w:val="20"/>
        </w:rPr>
        <w:t>T</w:t>
      </w:r>
      <w:r w:rsidR="00CE3279">
        <w:rPr>
          <w:rFonts w:ascii="Georgia" w:hAnsi="Georgia"/>
          <w:szCs w:val="20"/>
        </w:rPr>
        <w:t>ribunal was whether dispensation should be granted in relation to the requirement to carry out statutory consultation with the leaseholders regarding the</w:t>
      </w:r>
      <w:r w:rsidR="00CD1122">
        <w:rPr>
          <w:rFonts w:ascii="Georgia" w:hAnsi="Georgia"/>
          <w:szCs w:val="20"/>
        </w:rPr>
        <w:t xml:space="preserve"> </w:t>
      </w:r>
      <w:r w:rsidR="00C14480">
        <w:rPr>
          <w:rFonts w:ascii="Georgia" w:hAnsi="Georgia"/>
          <w:szCs w:val="20"/>
        </w:rPr>
        <w:t>d</w:t>
      </w:r>
      <w:r w:rsidR="00CD1122" w:rsidRPr="00CD1122">
        <w:rPr>
          <w:rFonts w:ascii="Georgia" w:hAnsi="Georgia"/>
          <w:szCs w:val="20"/>
        </w:rPr>
        <w:t>ecoration to common parts and front elevation</w:t>
      </w:r>
      <w:r w:rsidR="00C14480">
        <w:rPr>
          <w:rFonts w:ascii="Georgia" w:hAnsi="Georgia"/>
          <w:szCs w:val="20"/>
        </w:rPr>
        <w:t xml:space="preserve"> and l</w:t>
      </w:r>
      <w:r w:rsidR="00CD1122" w:rsidRPr="00CD1122">
        <w:rPr>
          <w:rFonts w:ascii="Georgia" w:hAnsi="Georgia"/>
          <w:szCs w:val="20"/>
        </w:rPr>
        <w:t xml:space="preserve">ift renewal </w:t>
      </w:r>
      <w:r w:rsidR="00723786">
        <w:rPr>
          <w:rFonts w:ascii="Georgia" w:hAnsi="Georgia"/>
          <w:szCs w:val="20"/>
        </w:rPr>
        <w:t>works</w:t>
      </w:r>
      <w:r w:rsidR="00CE3279">
        <w:rPr>
          <w:rFonts w:ascii="Georgia" w:hAnsi="Georgia"/>
          <w:szCs w:val="20"/>
        </w:rPr>
        <w:t xml:space="preserve">. </w:t>
      </w:r>
      <w:r w:rsidR="003241BF">
        <w:rPr>
          <w:rFonts w:ascii="Georgia" w:hAnsi="Georgia"/>
          <w:szCs w:val="20"/>
        </w:rPr>
        <w:t>T</w:t>
      </w:r>
      <w:r w:rsidR="00CE3279">
        <w:rPr>
          <w:rFonts w:ascii="Georgia" w:hAnsi="Georgia"/>
          <w:szCs w:val="20"/>
        </w:rPr>
        <w:t xml:space="preserve">he </w:t>
      </w:r>
      <w:r w:rsidR="00EB6DDE">
        <w:rPr>
          <w:rFonts w:ascii="Georgia" w:hAnsi="Georgia"/>
          <w:szCs w:val="20"/>
        </w:rPr>
        <w:t>T</w:t>
      </w:r>
      <w:r w:rsidR="00CE3279">
        <w:rPr>
          <w:rFonts w:ascii="Georgia" w:hAnsi="Georgia"/>
          <w:szCs w:val="20"/>
        </w:rPr>
        <w:t>ribunal is not concerned about the actual cost that has been incurred.</w:t>
      </w:r>
    </w:p>
    <w:p w14:paraId="2AAEB9C0" w14:textId="77777777" w:rsidR="00CE3279" w:rsidRDefault="00CE3279" w:rsidP="00CE3279">
      <w:pPr>
        <w:ind w:left="720" w:hanging="720"/>
        <w:jc w:val="both"/>
        <w:rPr>
          <w:rFonts w:ascii="Georgia" w:hAnsi="Georgia"/>
          <w:szCs w:val="20"/>
        </w:rPr>
      </w:pPr>
    </w:p>
    <w:p w14:paraId="72B77FBD" w14:textId="1FD074C9" w:rsidR="00CE3279" w:rsidRDefault="00597B86" w:rsidP="00390E90">
      <w:pPr>
        <w:ind w:left="720" w:hanging="720"/>
        <w:jc w:val="both"/>
        <w:rPr>
          <w:rFonts w:ascii="Georgia" w:hAnsi="Georgia"/>
          <w:szCs w:val="20"/>
        </w:rPr>
      </w:pPr>
      <w:r>
        <w:rPr>
          <w:rFonts w:ascii="Georgia" w:hAnsi="Georgia"/>
          <w:szCs w:val="20"/>
        </w:rPr>
        <w:t>1</w:t>
      </w:r>
      <w:r w:rsidR="00585D18">
        <w:rPr>
          <w:rFonts w:ascii="Georgia" w:hAnsi="Georgia"/>
          <w:szCs w:val="20"/>
        </w:rPr>
        <w:t>7</w:t>
      </w:r>
      <w:r w:rsidR="00CE3279">
        <w:rPr>
          <w:rFonts w:ascii="Georgia" w:hAnsi="Georgia"/>
          <w:szCs w:val="20"/>
        </w:rPr>
        <w:t>.</w:t>
      </w:r>
      <w:r w:rsidR="00CE3279">
        <w:rPr>
          <w:rFonts w:ascii="Georgia" w:hAnsi="Georgia"/>
          <w:szCs w:val="20"/>
        </w:rPr>
        <w:tab/>
        <w:t xml:space="preserve">The </w:t>
      </w:r>
      <w:r w:rsidR="00EB6DDE">
        <w:rPr>
          <w:rFonts w:ascii="Georgia" w:hAnsi="Georgia"/>
          <w:szCs w:val="20"/>
        </w:rPr>
        <w:t>T</w:t>
      </w:r>
      <w:r w:rsidR="00CE3279">
        <w:rPr>
          <w:rFonts w:ascii="Georgia" w:hAnsi="Georgia"/>
          <w:szCs w:val="20"/>
        </w:rPr>
        <w:t xml:space="preserve">ribunal </w:t>
      </w:r>
      <w:r w:rsidR="00FB3975">
        <w:rPr>
          <w:rFonts w:ascii="Georgia" w:hAnsi="Georgia"/>
          <w:szCs w:val="20"/>
        </w:rPr>
        <w:t xml:space="preserve">is satisfied that it is reasonable to </w:t>
      </w:r>
      <w:r w:rsidR="00CE3279">
        <w:rPr>
          <w:rFonts w:ascii="Georgia" w:hAnsi="Georgia"/>
          <w:szCs w:val="20"/>
        </w:rPr>
        <w:t>grant</w:t>
      </w:r>
      <w:r w:rsidR="00FB3975">
        <w:rPr>
          <w:rFonts w:ascii="Georgia" w:hAnsi="Georgia"/>
          <w:szCs w:val="20"/>
        </w:rPr>
        <w:t xml:space="preserve"> </w:t>
      </w:r>
      <w:r w:rsidR="00FB3975">
        <w:rPr>
          <w:rFonts w:ascii="Georgia" w:hAnsi="Georgia" w:cs="Arial"/>
        </w:rPr>
        <w:t xml:space="preserve">retrospective </w:t>
      </w:r>
      <w:r w:rsidR="00FB3975" w:rsidRPr="009F52EC">
        <w:rPr>
          <w:rFonts w:ascii="Georgia" w:hAnsi="Georgia" w:cs="Arial"/>
        </w:rPr>
        <w:t xml:space="preserve">dispensation from the </w:t>
      </w:r>
      <w:r w:rsidR="00FB3975">
        <w:rPr>
          <w:rFonts w:ascii="Georgia" w:hAnsi="Georgia" w:cs="Arial"/>
        </w:rPr>
        <w:t xml:space="preserve">statutory </w:t>
      </w:r>
      <w:r w:rsidR="00FB3975" w:rsidRPr="009F52EC">
        <w:rPr>
          <w:rFonts w:ascii="Georgia" w:hAnsi="Georgia" w:cs="Arial"/>
        </w:rPr>
        <w:t>consultation requirements</w:t>
      </w:r>
      <w:r w:rsidR="00390E90">
        <w:rPr>
          <w:rFonts w:ascii="Georgia" w:hAnsi="Georgia" w:cs="Arial"/>
        </w:rPr>
        <w:t xml:space="preserve"> in relation to the </w:t>
      </w:r>
      <w:r w:rsidR="00A46CF1">
        <w:rPr>
          <w:rFonts w:ascii="Georgia" w:hAnsi="Georgia"/>
          <w:szCs w:val="20"/>
        </w:rPr>
        <w:t>d</w:t>
      </w:r>
      <w:r w:rsidR="00A46CF1" w:rsidRPr="00CD1122">
        <w:rPr>
          <w:rFonts w:ascii="Georgia" w:hAnsi="Georgia"/>
          <w:szCs w:val="20"/>
        </w:rPr>
        <w:t xml:space="preserve">ecoration to </w:t>
      </w:r>
      <w:r w:rsidR="008E3445">
        <w:rPr>
          <w:rFonts w:ascii="Georgia" w:hAnsi="Georgia"/>
          <w:szCs w:val="20"/>
        </w:rPr>
        <w:t xml:space="preserve">the </w:t>
      </w:r>
      <w:r w:rsidR="00A46CF1" w:rsidRPr="00CD1122">
        <w:rPr>
          <w:rFonts w:ascii="Georgia" w:hAnsi="Georgia"/>
          <w:szCs w:val="20"/>
        </w:rPr>
        <w:t>common parts and front elevation</w:t>
      </w:r>
      <w:r w:rsidR="00A46CF1">
        <w:rPr>
          <w:rFonts w:ascii="Georgia" w:hAnsi="Georgia"/>
          <w:szCs w:val="20"/>
        </w:rPr>
        <w:t xml:space="preserve"> and l</w:t>
      </w:r>
      <w:r w:rsidR="00A46CF1" w:rsidRPr="00CD1122">
        <w:rPr>
          <w:rFonts w:ascii="Georgia" w:hAnsi="Georgia"/>
          <w:szCs w:val="20"/>
        </w:rPr>
        <w:t xml:space="preserve">ift renewal </w:t>
      </w:r>
      <w:r w:rsidR="00A46CF1">
        <w:rPr>
          <w:rFonts w:ascii="Georgia" w:hAnsi="Georgia"/>
          <w:szCs w:val="20"/>
        </w:rPr>
        <w:t>works</w:t>
      </w:r>
      <w:r w:rsidR="00FB3975">
        <w:rPr>
          <w:rFonts w:ascii="Georgia" w:hAnsi="Georgia" w:cs="Arial"/>
        </w:rPr>
        <w:t>. There is no suggestion that any prejudice has arisen.</w:t>
      </w:r>
    </w:p>
    <w:p w14:paraId="04AC6216" w14:textId="77777777" w:rsidR="00CE3279" w:rsidRDefault="00CE3279" w:rsidP="00CE3279">
      <w:pPr>
        <w:ind w:left="720" w:hanging="720"/>
        <w:jc w:val="both"/>
        <w:rPr>
          <w:rFonts w:ascii="Georgia" w:hAnsi="Georgia"/>
          <w:szCs w:val="20"/>
        </w:rPr>
      </w:pPr>
    </w:p>
    <w:p w14:paraId="643B932C" w14:textId="1EF4A72A" w:rsidR="00CE3279" w:rsidRDefault="000E0B2D" w:rsidP="00CE3279">
      <w:pPr>
        <w:ind w:left="720" w:hanging="720"/>
        <w:jc w:val="both"/>
        <w:rPr>
          <w:rFonts w:ascii="Georgia" w:hAnsi="Georgia"/>
          <w:szCs w:val="20"/>
        </w:rPr>
      </w:pPr>
      <w:r>
        <w:rPr>
          <w:rFonts w:ascii="Georgia" w:hAnsi="Georgia"/>
          <w:szCs w:val="20"/>
        </w:rPr>
        <w:t>1</w:t>
      </w:r>
      <w:r w:rsidR="00585D18">
        <w:rPr>
          <w:rFonts w:ascii="Georgia" w:hAnsi="Georgia"/>
          <w:szCs w:val="20"/>
        </w:rPr>
        <w:t>8</w:t>
      </w:r>
      <w:r w:rsidR="00CE3279">
        <w:rPr>
          <w:rFonts w:ascii="Georgia" w:hAnsi="Georgia"/>
          <w:szCs w:val="20"/>
        </w:rPr>
        <w:t>.</w:t>
      </w:r>
      <w:r w:rsidR="00CE3279">
        <w:rPr>
          <w:rFonts w:ascii="Georgia" w:hAnsi="Georgia"/>
          <w:szCs w:val="20"/>
        </w:rPr>
        <w:tab/>
        <w:t>The</w:t>
      </w:r>
      <w:r w:rsidR="00FB3975">
        <w:rPr>
          <w:rFonts w:ascii="Georgia" w:hAnsi="Georgia"/>
          <w:szCs w:val="20"/>
        </w:rPr>
        <w:t xml:space="preserve"> </w:t>
      </w:r>
      <w:r w:rsidR="00FB3975" w:rsidRPr="002668E1">
        <w:rPr>
          <w:rFonts w:ascii="Georgia" w:hAnsi="Georgia"/>
        </w:rPr>
        <w:t>Directions ma</w:t>
      </w:r>
      <w:r w:rsidR="00FB3975">
        <w:rPr>
          <w:rFonts w:ascii="Georgia" w:hAnsi="Georgia"/>
        </w:rPr>
        <w:t>k</w:t>
      </w:r>
      <w:r w:rsidR="00FB3975" w:rsidRPr="002668E1">
        <w:rPr>
          <w:rFonts w:ascii="Georgia" w:hAnsi="Georgia"/>
        </w:rPr>
        <w:t xml:space="preserve">e provision for the service of the </w:t>
      </w:r>
      <w:r w:rsidR="00BA6FE1">
        <w:rPr>
          <w:rFonts w:ascii="Georgia" w:hAnsi="Georgia"/>
        </w:rPr>
        <w:t>T</w:t>
      </w:r>
      <w:r w:rsidR="00FB3975" w:rsidRPr="002668E1">
        <w:rPr>
          <w:rFonts w:ascii="Georgia" w:hAnsi="Georgia"/>
        </w:rPr>
        <w:t xml:space="preserve">ribunal’s decision. The </w:t>
      </w:r>
      <w:r w:rsidR="00BD14C9">
        <w:rPr>
          <w:rFonts w:ascii="Georgia" w:hAnsi="Georgia"/>
        </w:rPr>
        <w:t>t</w:t>
      </w:r>
      <w:r w:rsidR="00FB3975" w:rsidRPr="002668E1">
        <w:rPr>
          <w:rFonts w:ascii="Georgia" w:hAnsi="Georgia"/>
        </w:rPr>
        <w:t xml:space="preserve">ribunal will email a copy of its decision to the </w:t>
      </w:r>
      <w:r w:rsidR="00BD14C9">
        <w:rPr>
          <w:rFonts w:ascii="Georgia" w:hAnsi="Georgia"/>
        </w:rPr>
        <w:t>a</w:t>
      </w:r>
      <w:r w:rsidR="00FB3975" w:rsidRPr="002668E1">
        <w:rPr>
          <w:rFonts w:ascii="Georgia" w:hAnsi="Georgia"/>
        </w:rPr>
        <w:t xml:space="preserve">pplicant. The </w:t>
      </w:r>
      <w:r w:rsidR="00BD14C9">
        <w:rPr>
          <w:rFonts w:ascii="Georgia" w:hAnsi="Georgia"/>
        </w:rPr>
        <w:t>a</w:t>
      </w:r>
      <w:r w:rsidR="00FB3975" w:rsidRPr="002668E1">
        <w:rPr>
          <w:rFonts w:ascii="Georgia" w:hAnsi="Georgia"/>
        </w:rPr>
        <w:t xml:space="preserve">pplicant is responsible for serving a copy of the </w:t>
      </w:r>
      <w:r w:rsidR="00BA6FE1">
        <w:rPr>
          <w:rFonts w:ascii="Georgia" w:hAnsi="Georgia"/>
        </w:rPr>
        <w:t>T</w:t>
      </w:r>
      <w:r w:rsidR="00FB3975" w:rsidRPr="002668E1">
        <w:rPr>
          <w:rFonts w:ascii="Georgia" w:hAnsi="Georgia"/>
        </w:rPr>
        <w:t xml:space="preserve">ribunal’s decision on </w:t>
      </w:r>
      <w:r w:rsidR="00FB3975">
        <w:rPr>
          <w:rFonts w:ascii="Georgia" w:hAnsi="Georgia"/>
        </w:rPr>
        <w:t xml:space="preserve">the </w:t>
      </w:r>
      <w:r w:rsidR="00BD14C9">
        <w:rPr>
          <w:rFonts w:ascii="Georgia" w:hAnsi="Georgia"/>
        </w:rPr>
        <w:t>r</w:t>
      </w:r>
      <w:r w:rsidR="00FB3975">
        <w:rPr>
          <w:rFonts w:ascii="Georgia" w:hAnsi="Georgia"/>
        </w:rPr>
        <w:t>espondents</w:t>
      </w:r>
      <w:r w:rsidR="00FB3975" w:rsidRPr="002668E1">
        <w:rPr>
          <w:rFonts w:ascii="Georgia" w:hAnsi="Georgia"/>
        </w:rPr>
        <w:t>.</w:t>
      </w:r>
    </w:p>
    <w:p w14:paraId="5C89ED21" w14:textId="77777777" w:rsidR="00CE3279" w:rsidRDefault="00CE3279" w:rsidP="00CE3279">
      <w:pPr>
        <w:ind w:left="720" w:hanging="720"/>
        <w:jc w:val="both"/>
        <w:rPr>
          <w:rFonts w:ascii="Georgia" w:hAnsi="Georgia"/>
          <w:szCs w:val="20"/>
        </w:rPr>
      </w:pPr>
    </w:p>
    <w:p w14:paraId="325AE547" w14:textId="4BB7A55A" w:rsidR="00CE3279" w:rsidRDefault="000E0B2D" w:rsidP="00CE3279">
      <w:pPr>
        <w:ind w:left="720" w:hanging="720"/>
        <w:jc w:val="both"/>
        <w:rPr>
          <w:rFonts w:ascii="Georgia" w:hAnsi="Georgia"/>
          <w:szCs w:val="20"/>
        </w:rPr>
      </w:pPr>
      <w:r>
        <w:rPr>
          <w:rFonts w:ascii="Georgia" w:hAnsi="Georgia"/>
          <w:szCs w:val="20"/>
        </w:rPr>
        <w:t>1</w:t>
      </w:r>
      <w:r w:rsidR="00585D18">
        <w:rPr>
          <w:rFonts w:ascii="Georgia" w:hAnsi="Georgia"/>
          <w:szCs w:val="20"/>
        </w:rPr>
        <w:t>9</w:t>
      </w:r>
      <w:r w:rsidR="00CE3279">
        <w:rPr>
          <w:rFonts w:ascii="Georgia" w:hAnsi="Georgia"/>
          <w:szCs w:val="20"/>
        </w:rPr>
        <w:t>.</w:t>
      </w:r>
      <w:r w:rsidR="00CE3279">
        <w:rPr>
          <w:rFonts w:ascii="Georgia" w:hAnsi="Georgia"/>
          <w:szCs w:val="20"/>
        </w:rPr>
        <w:tab/>
        <w:t xml:space="preserve">It should be noted that in granting this part of the application, the </w:t>
      </w:r>
      <w:r w:rsidR="00BA6FE1">
        <w:rPr>
          <w:rFonts w:ascii="Georgia" w:hAnsi="Georgia"/>
          <w:szCs w:val="20"/>
        </w:rPr>
        <w:t>T</w:t>
      </w:r>
      <w:r w:rsidR="00CE3279">
        <w:rPr>
          <w:rFonts w:ascii="Georgia" w:hAnsi="Georgia"/>
          <w:szCs w:val="20"/>
        </w:rPr>
        <w:t xml:space="preserve">ribunal makes no finding that the scope and estimated cost of the repairs are reasonable. </w:t>
      </w:r>
    </w:p>
    <w:p w14:paraId="14042F52" w14:textId="0634F08B" w:rsidR="006F61F5" w:rsidRDefault="006F61F5" w:rsidP="004A1220">
      <w:pPr>
        <w:ind w:left="720" w:hanging="720"/>
        <w:jc w:val="both"/>
        <w:rPr>
          <w:rFonts w:ascii="Georgia" w:hAnsi="Georgia"/>
          <w:szCs w:val="20"/>
        </w:rPr>
      </w:pPr>
    </w:p>
    <w:p w14:paraId="32A10625" w14:textId="77777777" w:rsidR="005C6CE7" w:rsidRDefault="005C6CE7" w:rsidP="005C6CE7">
      <w:pPr>
        <w:spacing w:line="360" w:lineRule="auto"/>
        <w:ind w:left="720" w:hanging="720"/>
        <w:jc w:val="both"/>
        <w:rPr>
          <w:rFonts w:ascii="Georgia" w:hAnsi="Georgia"/>
          <w:b/>
          <w:i/>
          <w:szCs w:val="20"/>
        </w:rPr>
      </w:pPr>
    </w:p>
    <w:tbl>
      <w:tblPr>
        <w:tblW w:w="8595" w:type="dxa"/>
        <w:tblLook w:val="01E0" w:firstRow="1" w:lastRow="1" w:firstColumn="1" w:lastColumn="1" w:noHBand="0" w:noVBand="0"/>
      </w:tblPr>
      <w:tblGrid>
        <w:gridCol w:w="1362"/>
        <w:gridCol w:w="2944"/>
        <w:gridCol w:w="1341"/>
        <w:gridCol w:w="2948"/>
      </w:tblGrid>
      <w:tr w:rsidR="000927B4" w:rsidRPr="00C80D77" w14:paraId="404B5A9D" w14:textId="77777777" w:rsidTr="00C80D77">
        <w:trPr>
          <w:trHeight w:val="587"/>
        </w:trPr>
        <w:tc>
          <w:tcPr>
            <w:tcW w:w="1362" w:type="dxa"/>
            <w:shd w:val="clear" w:color="auto" w:fill="auto"/>
            <w:vAlign w:val="center"/>
          </w:tcPr>
          <w:p w14:paraId="66757BC0" w14:textId="77777777" w:rsidR="000927B4" w:rsidRPr="00C80D77" w:rsidRDefault="000927B4" w:rsidP="006715D2">
            <w:pPr>
              <w:rPr>
                <w:rFonts w:ascii="Georgia" w:hAnsi="Georgia" w:cs="Arial"/>
                <w:b/>
              </w:rPr>
            </w:pPr>
            <w:r w:rsidRPr="00C80D77">
              <w:rPr>
                <w:rFonts w:ascii="Georgia" w:hAnsi="Georgia" w:cs="Arial"/>
                <w:b/>
              </w:rPr>
              <w:t>Name:</w:t>
            </w:r>
          </w:p>
        </w:tc>
        <w:tc>
          <w:tcPr>
            <w:tcW w:w="2944" w:type="dxa"/>
            <w:shd w:val="clear" w:color="auto" w:fill="auto"/>
            <w:vAlign w:val="center"/>
          </w:tcPr>
          <w:p w14:paraId="44196B70" w14:textId="05EDF53D" w:rsidR="000927B4" w:rsidRPr="00C80D77" w:rsidRDefault="00FB3975" w:rsidP="006715D2">
            <w:pPr>
              <w:rPr>
                <w:rFonts w:ascii="Georgia" w:hAnsi="Georgia" w:cs="Arial"/>
              </w:rPr>
            </w:pPr>
            <w:r>
              <w:rPr>
                <w:rFonts w:ascii="Georgia" w:hAnsi="Georgia" w:cs="Arial"/>
              </w:rPr>
              <w:t>Mr A Parkinson MRICS</w:t>
            </w:r>
          </w:p>
        </w:tc>
        <w:tc>
          <w:tcPr>
            <w:tcW w:w="1341" w:type="dxa"/>
            <w:shd w:val="clear" w:color="auto" w:fill="auto"/>
            <w:vAlign w:val="center"/>
          </w:tcPr>
          <w:p w14:paraId="1E3B76BD" w14:textId="77777777" w:rsidR="000927B4" w:rsidRPr="00C80D77" w:rsidRDefault="000927B4" w:rsidP="006715D2">
            <w:pPr>
              <w:rPr>
                <w:rFonts w:ascii="Georgia" w:hAnsi="Georgia" w:cs="Arial"/>
                <w:b/>
              </w:rPr>
            </w:pPr>
            <w:r w:rsidRPr="00C80D77">
              <w:rPr>
                <w:rFonts w:ascii="Georgia" w:hAnsi="Georgia" w:cs="Arial"/>
                <w:b/>
              </w:rPr>
              <w:t>Date:</w:t>
            </w:r>
          </w:p>
        </w:tc>
        <w:tc>
          <w:tcPr>
            <w:tcW w:w="2948" w:type="dxa"/>
            <w:shd w:val="clear" w:color="auto" w:fill="auto"/>
            <w:vAlign w:val="center"/>
          </w:tcPr>
          <w:p w14:paraId="6A46FC56" w14:textId="468EFEA4" w:rsidR="000927B4" w:rsidRPr="00C43349" w:rsidRDefault="00893B63" w:rsidP="006715D2">
            <w:pPr>
              <w:rPr>
                <w:rFonts w:ascii="Georgia" w:hAnsi="Georgia" w:cs="Arial"/>
              </w:rPr>
            </w:pPr>
            <w:r>
              <w:rPr>
                <w:rFonts w:ascii="Georgia" w:hAnsi="Georgia" w:cs="Arial"/>
              </w:rPr>
              <w:t>1</w:t>
            </w:r>
            <w:r w:rsidR="00DD19CB">
              <w:rPr>
                <w:rFonts w:ascii="Georgia" w:hAnsi="Georgia" w:cs="Arial"/>
              </w:rPr>
              <w:t>1</w:t>
            </w:r>
            <w:r w:rsidR="00C43349">
              <w:rPr>
                <w:rFonts w:ascii="Georgia" w:hAnsi="Georgia" w:cs="Arial"/>
              </w:rPr>
              <w:t xml:space="preserve"> </w:t>
            </w:r>
            <w:r>
              <w:rPr>
                <w:rFonts w:ascii="Georgia" w:hAnsi="Georgia" w:cs="Arial"/>
              </w:rPr>
              <w:t>June</w:t>
            </w:r>
            <w:r w:rsidR="000E0B2D" w:rsidRPr="00C43349">
              <w:rPr>
                <w:rFonts w:ascii="Georgia" w:hAnsi="Georgia" w:cs="Arial"/>
              </w:rPr>
              <w:t xml:space="preserve"> 202</w:t>
            </w:r>
            <w:r>
              <w:rPr>
                <w:rFonts w:ascii="Georgia" w:hAnsi="Georgia" w:cs="Arial"/>
              </w:rPr>
              <w:t>5</w:t>
            </w:r>
          </w:p>
        </w:tc>
      </w:tr>
    </w:tbl>
    <w:p w14:paraId="794E7230" w14:textId="77777777" w:rsidR="005A6E4B" w:rsidRDefault="005A6E4B" w:rsidP="00C13DDB">
      <w:pPr>
        <w:pStyle w:val="NormalWeb"/>
        <w:jc w:val="center"/>
        <w:rPr>
          <w:rFonts w:ascii="Georgia" w:hAnsi="Georgia"/>
          <w:b/>
          <w:color w:val="000000"/>
          <w:u w:val="single"/>
        </w:rPr>
      </w:pPr>
    </w:p>
    <w:p w14:paraId="27F88EF3" w14:textId="77777777" w:rsidR="005A6E4B" w:rsidRDefault="005A6E4B" w:rsidP="00C13DDB">
      <w:pPr>
        <w:pStyle w:val="NormalWeb"/>
        <w:jc w:val="center"/>
        <w:rPr>
          <w:rFonts w:ascii="Georgia" w:hAnsi="Georgia"/>
          <w:b/>
          <w:color w:val="000000"/>
          <w:u w:val="single"/>
        </w:rPr>
      </w:pPr>
    </w:p>
    <w:p w14:paraId="1EA83E1E" w14:textId="77777777" w:rsidR="005A6E4B" w:rsidRDefault="005A6E4B" w:rsidP="00C13DDB">
      <w:pPr>
        <w:pStyle w:val="NormalWeb"/>
        <w:jc w:val="center"/>
        <w:rPr>
          <w:rFonts w:ascii="Georgia" w:hAnsi="Georgia"/>
          <w:b/>
          <w:color w:val="000000"/>
          <w:u w:val="single"/>
        </w:rPr>
      </w:pPr>
    </w:p>
    <w:p w14:paraId="0CA43300" w14:textId="77777777" w:rsidR="005A6E4B" w:rsidRDefault="005A6E4B" w:rsidP="00C13DDB">
      <w:pPr>
        <w:pStyle w:val="NormalWeb"/>
        <w:jc w:val="center"/>
        <w:rPr>
          <w:rFonts w:ascii="Georgia" w:hAnsi="Georgia"/>
          <w:b/>
          <w:color w:val="000000"/>
          <w:u w:val="single"/>
        </w:rPr>
      </w:pPr>
    </w:p>
    <w:p w14:paraId="05F23FB6" w14:textId="77777777" w:rsidR="005A6E4B" w:rsidRDefault="005A6E4B" w:rsidP="00C13DDB">
      <w:pPr>
        <w:pStyle w:val="NormalWeb"/>
        <w:jc w:val="center"/>
        <w:rPr>
          <w:rFonts w:ascii="Georgia" w:hAnsi="Georgia"/>
          <w:b/>
          <w:color w:val="000000"/>
          <w:u w:val="single"/>
        </w:rPr>
      </w:pPr>
    </w:p>
    <w:p w14:paraId="6B16733E" w14:textId="77777777" w:rsidR="005A6E4B" w:rsidRDefault="005A6E4B" w:rsidP="00C13DDB">
      <w:pPr>
        <w:pStyle w:val="NormalWeb"/>
        <w:jc w:val="center"/>
        <w:rPr>
          <w:rFonts w:ascii="Georgia" w:hAnsi="Georgia"/>
          <w:b/>
          <w:color w:val="000000"/>
          <w:u w:val="single"/>
        </w:rPr>
      </w:pPr>
    </w:p>
    <w:p w14:paraId="35438436" w14:textId="77777777" w:rsidR="005A6E4B" w:rsidRDefault="005A6E4B" w:rsidP="00C13DDB">
      <w:pPr>
        <w:pStyle w:val="NormalWeb"/>
        <w:jc w:val="center"/>
        <w:rPr>
          <w:rFonts w:ascii="Georgia" w:hAnsi="Georgia"/>
          <w:b/>
          <w:color w:val="000000"/>
          <w:u w:val="single"/>
        </w:rPr>
      </w:pPr>
    </w:p>
    <w:p w14:paraId="35079EE4" w14:textId="77777777" w:rsidR="005A6E4B" w:rsidRDefault="005A6E4B" w:rsidP="00C13DDB">
      <w:pPr>
        <w:pStyle w:val="NormalWeb"/>
        <w:jc w:val="center"/>
        <w:rPr>
          <w:rFonts w:ascii="Georgia" w:hAnsi="Georgia"/>
          <w:b/>
          <w:color w:val="000000"/>
          <w:u w:val="single"/>
        </w:rPr>
      </w:pPr>
    </w:p>
    <w:p w14:paraId="1937C205" w14:textId="77777777" w:rsidR="005A6E4B" w:rsidRDefault="005A6E4B" w:rsidP="00C13DDB">
      <w:pPr>
        <w:pStyle w:val="NormalWeb"/>
        <w:jc w:val="center"/>
        <w:rPr>
          <w:rFonts w:ascii="Georgia" w:hAnsi="Georgia"/>
          <w:b/>
          <w:color w:val="000000"/>
          <w:u w:val="single"/>
        </w:rPr>
      </w:pPr>
    </w:p>
    <w:p w14:paraId="27AE8101" w14:textId="77777777" w:rsidR="005A6E4B" w:rsidRDefault="005A6E4B" w:rsidP="00C13DDB">
      <w:pPr>
        <w:pStyle w:val="NormalWeb"/>
        <w:jc w:val="center"/>
        <w:rPr>
          <w:rFonts w:ascii="Georgia" w:hAnsi="Georgia"/>
          <w:b/>
          <w:color w:val="000000"/>
          <w:u w:val="single"/>
        </w:rPr>
      </w:pPr>
    </w:p>
    <w:p w14:paraId="17F65A29" w14:textId="77777777" w:rsidR="005A6E4B" w:rsidRDefault="005A6E4B" w:rsidP="00C13DDB">
      <w:pPr>
        <w:pStyle w:val="NormalWeb"/>
        <w:jc w:val="center"/>
        <w:rPr>
          <w:rFonts w:ascii="Georgia" w:hAnsi="Georgia"/>
          <w:b/>
          <w:color w:val="000000"/>
          <w:u w:val="single"/>
        </w:rPr>
      </w:pPr>
    </w:p>
    <w:p w14:paraId="16AB101D" w14:textId="77777777" w:rsidR="005A6E4B" w:rsidRDefault="005A6E4B" w:rsidP="00C13DDB">
      <w:pPr>
        <w:pStyle w:val="NormalWeb"/>
        <w:jc w:val="center"/>
        <w:rPr>
          <w:rFonts w:ascii="Georgia" w:hAnsi="Georgia"/>
          <w:b/>
          <w:color w:val="000000"/>
          <w:u w:val="single"/>
        </w:rPr>
      </w:pPr>
    </w:p>
    <w:p w14:paraId="0125D9BF" w14:textId="77777777" w:rsidR="005A6E4B" w:rsidRDefault="005A6E4B" w:rsidP="00C13DDB">
      <w:pPr>
        <w:pStyle w:val="NormalWeb"/>
        <w:jc w:val="center"/>
        <w:rPr>
          <w:rFonts w:ascii="Georgia" w:hAnsi="Georgia"/>
          <w:b/>
          <w:color w:val="000000"/>
          <w:u w:val="single"/>
        </w:rPr>
      </w:pPr>
    </w:p>
    <w:p w14:paraId="5985A3C0" w14:textId="77777777" w:rsidR="005A6E4B" w:rsidRDefault="005A6E4B" w:rsidP="00C13DDB">
      <w:pPr>
        <w:pStyle w:val="NormalWeb"/>
        <w:jc w:val="center"/>
        <w:rPr>
          <w:rFonts w:ascii="Georgia" w:hAnsi="Georgia"/>
          <w:b/>
          <w:color w:val="000000"/>
          <w:u w:val="single"/>
        </w:rPr>
      </w:pPr>
    </w:p>
    <w:p w14:paraId="3A889951" w14:textId="77777777" w:rsidR="005A6E4B" w:rsidRDefault="005A6E4B" w:rsidP="00C13DDB">
      <w:pPr>
        <w:pStyle w:val="NormalWeb"/>
        <w:jc w:val="center"/>
        <w:rPr>
          <w:rFonts w:ascii="Georgia" w:hAnsi="Georgia"/>
          <w:b/>
          <w:color w:val="000000"/>
          <w:u w:val="single"/>
        </w:rPr>
      </w:pPr>
    </w:p>
    <w:p w14:paraId="1AEBAF09" w14:textId="77777777" w:rsidR="005A6E4B" w:rsidRDefault="005A6E4B" w:rsidP="00C13DDB">
      <w:pPr>
        <w:pStyle w:val="NormalWeb"/>
        <w:jc w:val="center"/>
        <w:rPr>
          <w:rFonts w:ascii="Georgia" w:hAnsi="Georgia"/>
          <w:b/>
          <w:color w:val="000000"/>
          <w:u w:val="single"/>
        </w:rPr>
      </w:pPr>
    </w:p>
    <w:p w14:paraId="3DC34096" w14:textId="77777777" w:rsidR="005A6E4B" w:rsidRDefault="005A6E4B" w:rsidP="00C13DDB">
      <w:pPr>
        <w:pStyle w:val="NormalWeb"/>
        <w:jc w:val="center"/>
        <w:rPr>
          <w:rFonts w:ascii="Georgia" w:hAnsi="Georgia"/>
          <w:b/>
          <w:color w:val="000000"/>
          <w:u w:val="single"/>
        </w:rPr>
      </w:pPr>
    </w:p>
    <w:p w14:paraId="0DBFB2AD" w14:textId="77777777" w:rsidR="00150E23" w:rsidRDefault="00150E23" w:rsidP="00C13DDB">
      <w:pPr>
        <w:pStyle w:val="NormalWeb"/>
        <w:jc w:val="center"/>
        <w:rPr>
          <w:rFonts w:ascii="Georgia" w:hAnsi="Georgia"/>
          <w:b/>
          <w:color w:val="000000"/>
          <w:u w:val="single"/>
        </w:rPr>
      </w:pPr>
    </w:p>
    <w:p w14:paraId="55693154" w14:textId="77777777" w:rsidR="00150E23" w:rsidRDefault="00150E23" w:rsidP="00C13DDB">
      <w:pPr>
        <w:pStyle w:val="NormalWeb"/>
        <w:jc w:val="center"/>
        <w:rPr>
          <w:rFonts w:ascii="Georgia" w:hAnsi="Georgia"/>
          <w:b/>
          <w:color w:val="000000"/>
          <w:u w:val="single"/>
        </w:rPr>
      </w:pPr>
    </w:p>
    <w:p w14:paraId="1B4D4309" w14:textId="77777777" w:rsidR="005A6E4B" w:rsidRDefault="005A6E4B" w:rsidP="00C13DDB">
      <w:pPr>
        <w:pStyle w:val="NormalWeb"/>
        <w:jc w:val="center"/>
        <w:rPr>
          <w:rFonts w:ascii="Georgia" w:hAnsi="Georgia"/>
          <w:b/>
          <w:color w:val="000000"/>
          <w:u w:val="single"/>
        </w:rPr>
      </w:pPr>
    </w:p>
    <w:p w14:paraId="7CBC2197" w14:textId="77777777" w:rsidR="005A6E4B" w:rsidRDefault="005A6E4B" w:rsidP="00C13DDB">
      <w:pPr>
        <w:pStyle w:val="NormalWeb"/>
        <w:jc w:val="center"/>
        <w:rPr>
          <w:rFonts w:ascii="Georgia" w:hAnsi="Georgia"/>
          <w:b/>
          <w:color w:val="000000"/>
          <w:u w:val="single"/>
        </w:rPr>
      </w:pPr>
    </w:p>
    <w:p w14:paraId="25E01E0A" w14:textId="7E11677D" w:rsidR="00C13DDB" w:rsidRPr="00C13DDB" w:rsidRDefault="00C13DDB" w:rsidP="00C13DDB">
      <w:pPr>
        <w:pStyle w:val="NormalWeb"/>
        <w:jc w:val="center"/>
        <w:rPr>
          <w:rFonts w:ascii="Georgia" w:hAnsi="Georgia"/>
          <w:b/>
          <w:color w:val="000000"/>
          <w:u w:val="single"/>
        </w:rPr>
      </w:pPr>
      <w:r w:rsidRPr="00C13DDB">
        <w:rPr>
          <w:rFonts w:ascii="Georgia" w:hAnsi="Georgia"/>
          <w:b/>
          <w:color w:val="000000"/>
          <w:u w:val="single"/>
        </w:rPr>
        <w:t>Rights of appeal</w:t>
      </w:r>
    </w:p>
    <w:p w14:paraId="21ED39C8" w14:textId="77777777" w:rsidR="00C13DDB" w:rsidRPr="00C13DDB" w:rsidRDefault="00C13DDB" w:rsidP="00C13DDB">
      <w:pPr>
        <w:pStyle w:val="NormalWeb"/>
        <w:rPr>
          <w:rFonts w:ascii="Georgia" w:hAnsi="Georgia"/>
          <w:color w:val="000000"/>
        </w:rPr>
      </w:pPr>
      <w:r w:rsidRPr="00C13DDB">
        <w:rPr>
          <w:rFonts w:ascii="Georgia" w:hAnsi="Georgia"/>
          <w:color w:val="000000"/>
        </w:rPr>
        <w:t>By rule 36(2) of the Tribunal Procedure (First-tier Tribunal) (Property Chamber) Rules 2013, the tribunal is required to notify the parties about any right of appeal they may have.</w:t>
      </w:r>
    </w:p>
    <w:p w14:paraId="24CE6076" w14:textId="77777777" w:rsidR="00C13DDB" w:rsidRPr="00C13DDB" w:rsidRDefault="00C13DDB" w:rsidP="00C13DDB">
      <w:pPr>
        <w:pStyle w:val="NormalWeb"/>
        <w:rPr>
          <w:rFonts w:ascii="Georgia" w:hAnsi="Georgia"/>
          <w:color w:val="000000"/>
        </w:rPr>
      </w:pPr>
      <w:r w:rsidRPr="00C13DDB">
        <w:rPr>
          <w:rFonts w:ascii="Georgia" w:hAnsi="Georgia"/>
          <w:color w:val="000000"/>
        </w:rPr>
        <w:t>If a party wishes to appeal this decision to the Upper Tribunal (Lands Chamber), then a written application for permission must be made to the First-tier Tribunal at the regional office which has been dealing with the case.</w:t>
      </w:r>
    </w:p>
    <w:p w14:paraId="1C574831" w14:textId="77777777" w:rsidR="00C13DDB" w:rsidRPr="00C13DDB" w:rsidRDefault="00C13DDB" w:rsidP="00C13DDB">
      <w:pPr>
        <w:pStyle w:val="NormalWeb"/>
        <w:rPr>
          <w:rFonts w:ascii="Georgia" w:hAnsi="Georgia"/>
          <w:color w:val="000000"/>
        </w:rPr>
      </w:pPr>
      <w:r w:rsidRPr="00C13DDB">
        <w:rPr>
          <w:rFonts w:ascii="Georgia" w:hAnsi="Georgia"/>
          <w:color w:val="000000"/>
        </w:rPr>
        <w:t>The application for permission to appeal must arrive at the regional office within 28 days after the tribunal sends written reasons for the decision to the person making the application.</w:t>
      </w:r>
    </w:p>
    <w:p w14:paraId="5B79318D" w14:textId="77777777" w:rsidR="00C13DDB" w:rsidRPr="00C13DDB" w:rsidRDefault="00C13DDB" w:rsidP="00C13DDB">
      <w:pPr>
        <w:pStyle w:val="NormalWeb"/>
        <w:rPr>
          <w:rFonts w:ascii="Georgia" w:hAnsi="Georgia"/>
          <w:color w:val="000000"/>
        </w:rPr>
      </w:pPr>
      <w:r w:rsidRPr="00C13DDB">
        <w:rPr>
          <w:rFonts w:ascii="Georgia" w:hAnsi="Georgia"/>
          <w:color w:val="000000"/>
        </w:rPr>
        <w:t>If the application is not made within the 28-day time limit, such application must include a request for an extension of time and the reason for not complying with the 28-day time limit; the tribunal will then look at such reason(s) and decide whether to allow the application for permission to appeal to proceed, despite not being within the time limit.</w:t>
      </w:r>
    </w:p>
    <w:p w14:paraId="536EDF70" w14:textId="77777777" w:rsidR="00C13DDB" w:rsidRPr="00C13DDB" w:rsidRDefault="00C13DDB" w:rsidP="00C13DDB">
      <w:pPr>
        <w:pStyle w:val="NormalWeb"/>
        <w:rPr>
          <w:rFonts w:ascii="Georgia" w:hAnsi="Georgia"/>
          <w:color w:val="000000"/>
        </w:rPr>
      </w:pPr>
      <w:r w:rsidRPr="00C13DDB">
        <w:rPr>
          <w:rFonts w:ascii="Georgia" w:hAnsi="Georgia"/>
          <w:color w:val="000000"/>
        </w:rPr>
        <w:t xml:space="preserve">The application for permission to appeal must identify the decision of the tribunal to which it relates (i.e. give the date, the </w:t>
      </w:r>
      <w:proofErr w:type="gramStart"/>
      <w:r w:rsidRPr="00C13DDB">
        <w:rPr>
          <w:rFonts w:ascii="Georgia" w:hAnsi="Georgia"/>
          <w:color w:val="000000"/>
        </w:rPr>
        <w:t>property</w:t>
      </w:r>
      <w:proofErr w:type="gramEnd"/>
      <w:r w:rsidRPr="00C13DDB">
        <w:rPr>
          <w:rFonts w:ascii="Georgia" w:hAnsi="Georgia"/>
          <w:color w:val="000000"/>
        </w:rPr>
        <w:t xml:space="preserve"> and the case number), state the grounds of appeal and state the result the party making the application is seeking.</w:t>
      </w:r>
    </w:p>
    <w:p w14:paraId="5F7EB722" w14:textId="77777777" w:rsidR="00C13DDB" w:rsidRPr="00580064" w:rsidRDefault="00C13DDB" w:rsidP="00580064">
      <w:pPr>
        <w:pStyle w:val="NormalWeb"/>
        <w:rPr>
          <w:rFonts w:ascii="Georgia" w:hAnsi="Georgia"/>
          <w:color w:val="000000"/>
        </w:rPr>
      </w:pPr>
      <w:r w:rsidRPr="00C13DDB">
        <w:rPr>
          <w:rFonts w:ascii="Georgia" w:hAnsi="Georgia"/>
          <w:color w:val="000000"/>
        </w:rPr>
        <w:t>If the tribunal refuses to grant permission to appeal, a further application for permission may be made to the Upper Tribunal (Lands Chamber).</w:t>
      </w:r>
    </w:p>
    <w:p w14:paraId="1B447F53" w14:textId="77777777" w:rsidR="00580064" w:rsidRDefault="000927B4" w:rsidP="00580064">
      <w:pPr>
        <w:autoSpaceDE w:val="0"/>
        <w:autoSpaceDN w:val="0"/>
        <w:adjustRightInd w:val="0"/>
        <w:spacing w:after="120"/>
        <w:jc w:val="both"/>
        <w:rPr>
          <w:rFonts w:ascii="Georgia" w:hAnsi="Georgia" w:cs="Arial"/>
          <w:b/>
          <w:u w:val="single"/>
        </w:rPr>
      </w:pPr>
      <w:r w:rsidRPr="007548FA">
        <w:rPr>
          <w:rFonts w:ascii="Georgia" w:hAnsi="Georgia" w:cs="Arial"/>
        </w:rPr>
        <w:br w:type="page"/>
      </w:r>
      <w:r w:rsidRPr="007548FA">
        <w:rPr>
          <w:rFonts w:ascii="Georgia" w:hAnsi="Georgia" w:cs="Arial"/>
          <w:b/>
          <w:u w:val="single"/>
        </w:rPr>
        <w:lastRenderedPageBreak/>
        <w:t>Appendix of relevant legislation</w:t>
      </w:r>
    </w:p>
    <w:p w14:paraId="2DD5632D" w14:textId="77777777" w:rsidR="000927B4" w:rsidRPr="00580064" w:rsidRDefault="000927B4" w:rsidP="00580064">
      <w:pPr>
        <w:autoSpaceDE w:val="0"/>
        <w:autoSpaceDN w:val="0"/>
        <w:adjustRightInd w:val="0"/>
        <w:spacing w:after="120"/>
        <w:jc w:val="both"/>
        <w:rPr>
          <w:rFonts w:ascii="Georgia" w:hAnsi="Georgia" w:cs="Arial"/>
          <w:b/>
          <w:u w:val="single"/>
        </w:rPr>
      </w:pPr>
      <w:r w:rsidRPr="007548FA">
        <w:rPr>
          <w:rFonts w:ascii="Georgia" w:hAnsi="Georgia" w:cs="Arial"/>
          <w:b/>
          <w:bCs/>
          <w:color w:val="000000"/>
          <w:u w:val="single"/>
        </w:rPr>
        <w:t>Landlord and Tenant Act 1985</w:t>
      </w:r>
      <w:r w:rsidR="006240B7">
        <w:rPr>
          <w:rFonts w:ascii="Georgia" w:hAnsi="Georgia" w:cs="Arial"/>
          <w:b/>
          <w:bCs/>
          <w:color w:val="000000"/>
          <w:u w:val="single"/>
        </w:rPr>
        <w:t xml:space="preserve"> (as amended)</w:t>
      </w:r>
    </w:p>
    <w:p w14:paraId="6E4A8EE2" w14:textId="77777777" w:rsidR="000927B4" w:rsidRPr="007548FA" w:rsidRDefault="000927B4" w:rsidP="006240B7">
      <w:pPr>
        <w:pStyle w:val="Normal1"/>
        <w:spacing w:after="240"/>
        <w:ind w:left="567"/>
        <w:rPr>
          <w:rFonts w:ascii="Georgia" w:hAnsi="Georgia" w:cs="Arial"/>
          <w:b/>
          <w:bCs/>
          <w:color w:val="000000"/>
          <w:u w:val="single"/>
        </w:rPr>
      </w:pPr>
      <w:r w:rsidRPr="007548FA">
        <w:rPr>
          <w:rFonts w:ascii="Georgia" w:hAnsi="Georgia" w:cs="Arial"/>
          <w:b/>
          <w:bCs/>
          <w:color w:val="000000"/>
          <w:u w:val="single"/>
        </w:rPr>
        <w:t>Section 20</w:t>
      </w:r>
    </w:p>
    <w:p w14:paraId="3D5876A1" w14:textId="77777777" w:rsidR="000927B4" w:rsidRPr="007548FA" w:rsidRDefault="000927B4" w:rsidP="006240B7">
      <w:pPr>
        <w:pStyle w:val="Normal1"/>
        <w:tabs>
          <w:tab w:val="left" w:pos="1134"/>
        </w:tabs>
        <w:ind w:left="1134" w:hanging="567"/>
        <w:rPr>
          <w:rFonts w:ascii="Georgia" w:hAnsi="Georgia" w:cs="Arial"/>
          <w:color w:val="000000"/>
        </w:rPr>
      </w:pPr>
      <w:r w:rsidRPr="007548FA">
        <w:rPr>
          <w:rFonts w:ascii="Georgia" w:hAnsi="Georgia" w:cs="Arial"/>
          <w:color w:val="000000"/>
        </w:rPr>
        <w:t>(1)</w:t>
      </w:r>
      <w:r w:rsidRPr="007548FA">
        <w:rPr>
          <w:rFonts w:ascii="Georgia" w:hAnsi="Georgia" w:cs="Arial"/>
          <w:color w:val="000000"/>
        </w:rPr>
        <w:tab/>
        <w:t>Where this section applies to any qualifying works or qualifying long term agreement, the relevant contributions of tenants are limited in accordance with subsection (6) or (7) (or both) unless the consultation requirements have been either—</w:t>
      </w:r>
    </w:p>
    <w:p w14:paraId="05CBC227" w14:textId="77777777" w:rsidR="000927B4" w:rsidRPr="007548FA" w:rsidRDefault="000927B4" w:rsidP="006240B7">
      <w:pPr>
        <w:pStyle w:val="Normal1"/>
        <w:tabs>
          <w:tab w:val="num" w:pos="1843"/>
        </w:tabs>
        <w:ind w:left="1843" w:hanging="709"/>
        <w:rPr>
          <w:rFonts w:ascii="Georgia" w:hAnsi="Georgia" w:cs="Arial"/>
          <w:color w:val="000000"/>
        </w:rPr>
      </w:pPr>
      <w:r w:rsidRPr="007548FA">
        <w:rPr>
          <w:rFonts w:ascii="Georgia" w:hAnsi="Georgia" w:cs="Arial"/>
          <w:color w:val="000000"/>
        </w:rPr>
        <w:t>(a)</w:t>
      </w:r>
      <w:r w:rsidRPr="007548FA">
        <w:rPr>
          <w:rFonts w:ascii="Georgia" w:hAnsi="Georgia" w:cs="Arial"/>
          <w:color w:val="000000"/>
        </w:rPr>
        <w:tab/>
        <w:t>complied with in relation to the works or agreement, or</w:t>
      </w:r>
    </w:p>
    <w:p w14:paraId="74E40677" w14:textId="77777777" w:rsidR="000927B4" w:rsidRPr="007548FA" w:rsidRDefault="000927B4" w:rsidP="006240B7">
      <w:pPr>
        <w:pStyle w:val="Normal1"/>
        <w:tabs>
          <w:tab w:val="num" w:pos="1843"/>
        </w:tabs>
        <w:spacing w:after="240"/>
        <w:ind w:left="1843" w:hanging="709"/>
        <w:rPr>
          <w:rFonts w:ascii="Georgia" w:hAnsi="Georgia" w:cs="Arial"/>
          <w:color w:val="000000"/>
        </w:rPr>
      </w:pPr>
      <w:r w:rsidRPr="007548FA">
        <w:rPr>
          <w:rFonts w:ascii="Georgia" w:hAnsi="Georgia" w:cs="Arial"/>
          <w:color w:val="000000"/>
        </w:rPr>
        <w:t>(b)</w:t>
      </w:r>
      <w:r w:rsidRPr="007548FA">
        <w:rPr>
          <w:rFonts w:ascii="Georgia" w:hAnsi="Georgia" w:cs="Arial"/>
          <w:color w:val="000000"/>
        </w:rPr>
        <w:tab/>
        <w:t xml:space="preserve">dispensed with in relation to the works or agreement by (or on appeal from) </w:t>
      </w:r>
      <w:r w:rsidR="00985B5B">
        <w:rPr>
          <w:rFonts w:ascii="Georgia" w:hAnsi="Georgia" w:cs="Arial"/>
          <w:color w:val="000000"/>
        </w:rPr>
        <w:t xml:space="preserve">the appropriate </w:t>
      </w:r>
      <w:proofErr w:type="gramStart"/>
      <w:r w:rsidR="00985B5B">
        <w:rPr>
          <w:rFonts w:ascii="Georgia" w:hAnsi="Georgia" w:cs="Arial"/>
          <w:color w:val="000000"/>
        </w:rPr>
        <w:t xml:space="preserve">tribunal </w:t>
      </w:r>
      <w:r w:rsidRPr="007548FA">
        <w:rPr>
          <w:rFonts w:ascii="Georgia" w:hAnsi="Georgia" w:cs="Arial"/>
          <w:color w:val="000000"/>
        </w:rPr>
        <w:t>.</w:t>
      </w:r>
      <w:proofErr w:type="gramEnd"/>
    </w:p>
    <w:p w14:paraId="6AD8FB30" w14:textId="77777777" w:rsidR="000927B4" w:rsidRPr="007548FA" w:rsidRDefault="000927B4" w:rsidP="006240B7">
      <w:pPr>
        <w:pStyle w:val="Normal1"/>
        <w:tabs>
          <w:tab w:val="left" w:pos="1134"/>
        </w:tabs>
        <w:spacing w:after="360"/>
        <w:ind w:left="1134" w:hanging="567"/>
        <w:rPr>
          <w:rFonts w:ascii="Georgia" w:hAnsi="Georgia" w:cs="Arial"/>
          <w:color w:val="000000"/>
        </w:rPr>
      </w:pPr>
      <w:r w:rsidRPr="007548FA">
        <w:rPr>
          <w:rFonts w:ascii="Georgia" w:hAnsi="Georgia" w:cs="Arial"/>
          <w:color w:val="000000"/>
        </w:rPr>
        <w:t>(2)</w:t>
      </w:r>
      <w:r w:rsidRPr="007548FA">
        <w:rPr>
          <w:rFonts w:ascii="Georgia" w:hAnsi="Georgia" w:cs="Arial"/>
          <w:color w:val="000000"/>
        </w:rPr>
        <w:tab/>
        <w:t xml:space="preserve">In this section “relevant contribution”, in relation to a tenant and any works or agreement, is the </w:t>
      </w:r>
      <w:r w:rsidR="00B10B3F" w:rsidRPr="007548FA">
        <w:rPr>
          <w:rFonts w:ascii="Georgia" w:hAnsi="Georgia" w:cs="Arial"/>
          <w:color w:val="000000"/>
        </w:rPr>
        <w:t>amount, which</w:t>
      </w:r>
      <w:r w:rsidRPr="007548FA">
        <w:rPr>
          <w:rFonts w:ascii="Georgia" w:hAnsi="Georgia" w:cs="Arial"/>
          <w:color w:val="000000"/>
        </w:rPr>
        <w:t xml:space="preserve"> he may be required under the terms of his lease to contribute (by the payment of service charges) to relevant costs incurred on carrying out the works or under the agreement.</w:t>
      </w:r>
    </w:p>
    <w:p w14:paraId="2129594D" w14:textId="77777777" w:rsidR="000927B4" w:rsidRPr="007548FA" w:rsidRDefault="000927B4" w:rsidP="006240B7">
      <w:pPr>
        <w:pStyle w:val="Normal1"/>
        <w:tabs>
          <w:tab w:val="left" w:pos="1134"/>
        </w:tabs>
        <w:spacing w:after="360"/>
        <w:ind w:left="1134" w:hanging="567"/>
        <w:rPr>
          <w:rFonts w:ascii="Georgia" w:hAnsi="Georgia" w:cs="Arial"/>
          <w:color w:val="000000"/>
        </w:rPr>
      </w:pPr>
      <w:r w:rsidRPr="007548FA">
        <w:rPr>
          <w:rFonts w:ascii="Georgia" w:hAnsi="Georgia" w:cs="Arial"/>
          <w:color w:val="000000"/>
        </w:rPr>
        <w:t>(3)</w:t>
      </w:r>
      <w:r w:rsidRPr="007548FA">
        <w:rPr>
          <w:rFonts w:ascii="Georgia" w:hAnsi="Georgia" w:cs="Arial"/>
          <w:color w:val="000000"/>
        </w:rPr>
        <w:tab/>
        <w:t>This section applies to qualifying works if relevant costs incurred on carrying out the works exceed an appropriate amount.</w:t>
      </w:r>
    </w:p>
    <w:p w14:paraId="4A539200" w14:textId="77777777" w:rsidR="000927B4" w:rsidRPr="007548FA" w:rsidRDefault="000927B4" w:rsidP="006240B7">
      <w:pPr>
        <w:pStyle w:val="Normal1"/>
        <w:tabs>
          <w:tab w:val="left" w:pos="1134"/>
        </w:tabs>
        <w:ind w:left="1134" w:hanging="567"/>
        <w:rPr>
          <w:rFonts w:ascii="Georgia" w:hAnsi="Georgia" w:cs="Arial"/>
          <w:color w:val="000000"/>
        </w:rPr>
      </w:pPr>
      <w:r w:rsidRPr="007548FA">
        <w:rPr>
          <w:rFonts w:ascii="Georgia" w:hAnsi="Georgia" w:cs="Arial"/>
          <w:color w:val="000000"/>
        </w:rPr>
        <w:t>(4)</w:t>
      </w:r>
      <w:r w:rsidRPr="007548FA">
        <w:rPr>
          <w:rFonts w:ascii="Georgia" w:hAnsi="Georgia" w:cs="Arial"/>
          <w:color w:val="000000"/>
        </w:rPr>
        <w:tab/>
        <w:t xml:space="preserve">The Secretary of State may by regulations provide that this section applies to a qualifying </w:t>
      </w:r>
      <w:proofErr w:type="gramStart"/>
      <w:r w:rsidRPr="007548FA">
        <w:rPr>
          <w:rFonts w:ascii="Georgia" w:hAnsi="Georgia" w:cs="Arial"/>
          <w:color w:val="000000"/>
        </w:rPr>
        <w:t>long term</w:t>
      </w:r>
      <w:proofErr w:type="gramEnd"/>
      <w:r w:rsidRPr="007548FA">
        <w:rPr>
          <w:rFonts w:ascii="Georgia" w:hAnsi="Georgia" w:cs="Arial"/>
          <w:color w:val="000000"/>
        </w:rPr>
        <w:t xml:space="preserve"> agreement—</w:t>
      </w:r>
    </w:p>
    <w:p w14:paraId="0314D83B" w14:textId="77777777" w:rsidR="000927B4" w:rsidRPr="007548FA" w:rsidRDefault="000927B4" w:rsidP="006240B7">
      <w:pPr>
        <w:pStyle w:val="Normal1"/>
        <w:tabs>
          <w:tab w:val="num" w:pos="1843"/>
        </w:tabs>
        <w:ind w:left="1843" w:hanging="709"/>
        <w:rPr>
          <w:rFonts w:ascii="Georgia" w:hAnsi="Georgia" w:cs="Arial"/>
          <w:color w:val="000000"/>
        </w:rPr>
      </w:pPr>
      <w:r w:rsidRPr="007548FA">
        <w:rPr>
          <w:rFonts w:ascii="Georgia" w:hAnsi="Georgia" w:cs="Arial"/>
          <w:color w:val="000000"/>
        </w:rPr>
        <w:t>(a)</w:t>
      </w:r>
      <w:r w:rsidRPr="007548FA">
        <w:rPr>
          <w:rFonts w:ascii="Georgia" w:hAnsi="Georgia" w:cs="Arial"/>
          <w:color w:val="000000"/>
        </w:rPr>
        <w:tab/>
        <w:t>if relevant costs incurred under the agreement exceed an appropriate amount, or</w:t>
      </w:r>
    </w:p>
    <w:p w14:paraId="51B7F4D2" w14:textId="77777777" w:rsidR="000927B4" w:rsidRPr="007548FA" w:rsidRDefault="000927B4" w:rsidP="006240B7">
      <w:pPr>
        <w:pStyle w:val="Normal1"/>
        <w:tabs>
          <w:tab w:val="num" w:pos="1843"/>
        </w:tabs>
        <w:spacing w:after="240"/>
        <w:ind w:left="1843" w:hanging="709"/>
        <w:rPr>
          <w:rFonts w:ascii="Georgia" w:hAnsi="Georgia" w:cs="Arial"/>
          <w:color w:val="000000"/>
        </w:rPr>
      </w:pPr>
      <w:r w:rsidRPr="007548FA">
        <w:rPr>
          <w:rFonts w:ascii="Georgia" w:hAnsi="Georgia" w:cs="Arial"/>
          <w:color w:val="000000"/>
        </w:rPr>
        <w:t>(b)</w:t>
      </w:r>
      <w:r w:rsidRPr="007548FA">
        <w:rPr>
          <w:rFonts w:ascii="Georgia" w:hAnsi="Georgia" w:cs="Arial"/>
          <w:color w:val="000000"/>
        </w:rPr>
        <w:tab/>
        <w:t>if relevant costs incurred under the agreement during a period prescribed by the regulations exceed an appropriate amount.</w:t>
      </w:r>
    </w:p>
    <w:p w14:paraId="19380EA2" w14:textId="77777777" w:rsidR="000927B4" w:rsidRPr="007548FA" w:rsidRDefault="000927B4" w:rsidP="006240B7">
      <w:pPr>
        <w:pStyle w:val="Normal1"/>
        <w:tabs>
          <w:tab w:val="left" w:pos="1134"/>
        </w:tabs>
        <w:ind w:left="1134" w:hanging="567"/>
        <w:rPr>
          <w:rFonts w:ascii="Georgia" w:hAnsi="Georgia" w:cs="Arial"/>
          <w:color w:val="000000"/>
        </w:rPr>
      </w:pPr>
      <w:r w:rsidRPr="007548FA">
        <w:rPr>
          <w:rFonts w:ascii="Georgia" w:hAnsi="Georgia" w:cs="Arial"/>
          <w:color w:val="000000"/>
        </w:rPr>
        <w:t>(5)</w:t>
      </w:r>
      <w:r w:rsidRPr="007548FA">
        <w:rPr>
          <w:rFonts w:ascii="Georgia" w:hAnsi="Georgia" w:cs="Arial"/>
          <w:color w:val="000000"/>
        </w:rPr>
        <w:tab/>
        <w:t>An appropriate amount is an amount set by regulations made by the Secretary of State; and the regulations may make provision for either or both of the following to be an appropriate amount—</w:t>
      </w:r>
    </w:p>
    <w:p w14:paraId="16962E60" w14:textId="77777777" w:rsidR="000927B4" w:rsidRPr="007548FA" w:rsidRDefault="000927B4" w:rsidP="006240B7">
      <w:pPr>
        <w:pStyle w:val="Normal1"/>
        <w:tabs>
          <w:tab w:val="num" w:pos="1843"/>
        </w:tabs>
        <w:ind w:left="1843" w:hanging="709"/>
        <w:rPr>
          <w:rFonts w:ascii="Georgia" w:hAnsi="Georgia" w:cs="Arial"/>
          <w:color w:val="000000"/>
        </w:rPr>
      </w:pPr>
      <w:r w:rsidRPr="007548FA">
        <w:rPr>
          <w:rFonts w:ascii="Georgia" w:hAnsi="Georgia" w:cs="Arial"/>
          <w:color w:val="000000"/>
        </w:rPr>
        <w:t>(a)</w:t>
      </w:r>
      <w:r w:rsidRPr="007548FA">
        <w:rPr>
          <w:rFonts w:ascii="Georgia" w:hAnsi="Georgia" w:cs="Arial"/>
          <w:color w:val="000000"/>
        </w:rPr>
        <w:tab/>
        <w:t>an amount prescribed by, or determined in accordance with, the regulations, and</w:t>
      </w:r>
    </w:p>
    <w:p w14:paraId="1A7DE455" w14:textId="77777777" w:rsidR="000927B4" w:rsidRPr="007548FA" w:rsidRDefault="000927B4" w:rsidP="006240B7">
      <w:pPr>
        <w:pStyle w:val="Normal1"/>
        <w:tabs>
          <w:tab w:val="num" w:pos="1843"/>
        </w:tabs>
        <w:spacing w:after="240"/>
        <w:ind w:left="1843" w:hanging="709"/>
        <w:rPr>
          <w:rFonts w:ascii="Georgia" w:hAnsi="Georgia" w:cs="Arial"/>
          <w:color w:val="000000"/>
        </w:rPr>
      </w:pPr>
      <w:r w:rsidRPr="007548FA">
        <w:rPr>
          <w:rFonts w:ascii="Georgia" w:hAnsi="Georgia" w:cs="Arial"/>
          <w:color w:val="000000"/>
        </w:rPr>
        <w:t>(b)</w:t>
      </w:r>
      <w:r w:rsidRPr="007548FA">
        <w:rPr>
          <w:rFonts w:ascii="Georgia" w:hAnsi="Georgia" w:cs="Arial"/>
          <w:color w:val="000000"/>
        </w:rPr>
        <w:tab/>
        <w:t xml:space="preserve">an amount which results in the relevant contribution of any one or more </w:t>
      </w:r>
      <w:proofErr w:type="gramStart"/>
      <w:r w:rsidRPr="007548FA">
        <w:rPr>
          <w:rFonts w:ascii="Georgia" w:hAnsi="Georgia" w:cs="Arial"/>
          <w:color w:val="000000"/>
        </w:rPr>
        <w:t>tenants</w:t>
      </w:r>
      <w:proofErr w:type="gramEnd"/>
      <w:r w:rsidRPr="007548FA">
        <w:rPr>
          <w:rFonts w:ascii="Georgia" w:hAnsi="Georgia" w:cs="Arial"/>
          <w:color w:val="000000"/>
        </w:rPr>
        <w:t xml:space="preserve"> being an amount prescribed by, or determined in accordance with, the regulations.</w:t>
      </w:r>
    </w:p>
    <w:p w14:paraId="6AAD40FB" w14:textId="77777777" w:rsidR="000927B4" w:rsidRPr="007548FA" w:rsidRDefault="000927B4" w:rsidP="006240B7">
      <w:pPr>
        <w:pStyle w:val="Normal1"/>
        <w:tabs>
          <w:tab w:val="left" w:pos="1134"/>
        </w:tabs>
        <w:spacing w:after="360"/>
        <w:ind w:left="1134" w:hanging="567"/>
        <w:rPr>
          <w:rFonts w:ascii="Georgia" w:hAnsi="Georgia" w:cs="Arial"/>
          <w:color w:val="000000"/>
        </w:rPr>
      </w:pPr>
      <w:r w:rsidRPr="007548FA">
        <w:rPr>
          <w:rFonts w:ascii="Georgia" w:hAnsi="Georgia" w:cs="Arial"/>
          <w:color w:val="000000"/>
        </w:rPr>
        <w:t>(6)</w:t>
      </w:r>
      <w:r w:rsidRPr="007548FA">
        <w:rPr>
          <w:rFonts w:ascii="Georgia" w:hAnsi="Georgia" w:cs="Arial"/>
          <w:color w:val="000000"/>
        </w:rPr>
        <w:tab/>
        <w:t xml:space="preserve">Where an appropriate amount is set by virtue of paragraph (a) of subsection (5), the amount of the relevant costs incurred on carrying out the works or under the agreement which may be </w:t>
      </w:r>
      <w:proofErr w:type="gramStart"/>
      <w:r w:rsidRPr="007548FA">
        <w:rPr>
          <w:rFonts w:ascii="Georgia" w:hAnsi="Georgia" w:cs="Arial"/>
          <w:color w:val="000000"/>
        </w:rPr>
        <w:t>taken into account</w:t>
      </w:r>
      <w:proofErr w:type="gramEnd"/>
      <w:r w:rsidRPr="007548FA">
        <w:rPr>
          <w:rFonts w:ascii="Georgia" w:hAnsi="Georgia" w:cs="Arial"/>
          <w:color w:val="000000"/>
        </w:rPr>
        <w:t xml:space="preserve"> in determining the relevant contributions of tenants is limited to the appropriate amount.</w:t>
      </w:r>
    </w:p>
    <w:p w14:paraId="13A2CE8E" w14:textId="77777777" w:rsidR="000927B4" w:rsidRDefault="000927B4" w:rsidP="006240B7">
      <w:pPr>
        <w:pStyle w:val="Normal1"/>
        <w:tabs>
          <w:tab w:val="left" w:pos="1134"/>
        </w:tabs>
        <w:spacing w:after="360"/>
        <w:ind w:left="1134" w:hanging="567"/>
        <w:rPr>
          <w:rFonts w:ascii="Georgia" w:hAnsi="Georgia" w:cs="Arial"/>
          <w:color w:val="000000"/>
        </w:rPr>
      </w:pPr>
      <w:r w:rsidRPr="007548FA">
        <w:rPr>
          <w:rFonts w:ascii="Georgia" w:hAnsi="Georgia" w:cs="Arial"/>
          <w:color w:val="000000"/>
        </w:rPr>
        <w:t>(7)</w:t>
      </w:r>
      <w:r w:rsidRPr="007548FA">
        <w:rPr>
          <w:rFonts w:ascii="Georgia" w:hAnsi="Georgia" w:cs="Arial"/>
          <w:color w:val="000000"/>
        </w:rPr>
        <w:tab/>
        <w:t xml:space="preserve">Where an appropriate amount is set by virtue of paragraph (b) of that subsection, the amount of the relevant contribution of the tenant, or each of the tenants, whose relevant contribution would otherwise exceed the amount prescribed by, or determined in </w:t>
      </w:r>
      <w:r w:rsidRPr="007548FA">
        <w:rPr>
          <w:rFonts w:ascii="Georgia" w:hAnsi="Georgia" w:cs="Arial"/>
          <w:color w:val="000000"/>
        </w:rPr>
        <w:lastRenderedPageBreak/>
        <w:t>accordance with, the regulations is limited to the amou</w:t>
      </w:r>
      <w:r w:rsidR="00B2492E">
        <w:rPr>
          <w:rFonts w:ascii="Georgia" w:hAnsi="Georgia" w:cs="Arial"/>
          <w:color w:val="000000"/>
        </w:rPr>
        <w:t>nt so prescribed or determined.</w:t>
      </w:r>
    </w:p>
    <w:p w14:paraId="67DACA3E" w14:textId="77777777" w:rsidR="00B2492E" w:rsidRPr="00623307" w:rsidRDefault="00B2492E" w:rsidP="00B2492E">
      <w:pPr>
        <w:ind w:left="540" w:hanging="540"/>
        <w:rPr>
          <w:rFonts w:ascii="Georgia" w:hAnsi="Georgia"/>
          <w:b/>
          <w:u w:val="single"/>
          <w:lang w:val="en-US" w:eastAsia="en-US"/>
        </w:rPr>
      </w:pPr>
      <w:r>
        <w:rPr>
          <w:rFonts w:ascii="Georgia" w:hAnsi="Georgia"/>
          <w:b/>
          <w:lang w:val="en-US" w:eastAsia="en-US"/>
        </w:rPr>
        <w:tab/>
      </w:r>
      <w:r w:rsidRPr="00623307">
        <w:rPr>
          <w:rFonts w:ascii="Georgia" w:hAnsi="Georgia"/>
          <w:b/>
          <w:u w:val="single"/>
          <w:lang w:val="en-US" w:eastAsia="en-US"/>
        </w:rPr>
        <w:t>Section 20ZA</w:t>
      </w:r>
    </w:p>
    <w:p w14:paraId="4F8D9041" w14:textId="77777777" w:rsidR="00B2492E" w:rsidRPr="00623307" w:rsidRDefault="00B2492E" w:rsidP="00B2492E">
      <w:pPr>
        <w:ind w:left="540" w:hanging="540"/>
        <w:rPr>
          <w:rFonts w:ascii="Georgia" w:hAnsi="Georgia"/>
          <w:b/>
          <w:u w:val="single"/>
          <w:lang w:val="en-US" w:eastAsia="en-US"/>
        </w:rPr>
      </w:pPr>
    </w:p>
    <w:p w14:paraId="04E3DE64" w14:textId="77777777" w:rsidR="00B2492E" w:rsidRDefault="00B2492E" w:rsidP="00B2492E">
      <w:pPr>
        <w:autoSpaceDE w:val="0"/>
        <w:autoSpaceDN w:val="0"/>
        <w:adjustRightInd w:val="0"/>
        <w:ind w:left="900" w:right="120" w:hanging="360"/>
        <w:rPr>
          <w:rFonts w:ascii="Georgia" w:hAnsi="Georgia"/>
          <w:color w:val="000000"/>
        </w:rPr>
      </w:pPr>
      <w:r w:rsidRPr="00623307">
        <w:rPr>
          <w:rFonts w:ascii="Georgia" w:hAnsi="Georgia"/>
          <w:color w:val="000000"/>
        </w:rPr>
        <w:t xml:space="preserve">(1) Where an application is made to a leasehold valuation tribunal for a determination to dispense with all or any of the consultation requirements in relation to any qualifying works or qualifying </w:t>
      </w:r>
      <w:r w:rsidR="00B10B3F" w:rsidRPr="00623307">
        <w:rPr>
          <w:rFonts w:ascii="Georgia" w:hAnsi="Georgia"/>
          <w:color w:val="000000"/>
        </w:rPr>
        <w:t>long-term</w:t>
      </w:r>
      <w:r w:rsidRPr="00623307">
        <w:rPr>
          <w:rFonts w:ascii="Georgia" w:hAnsi="Georgia"/>
          <w:color w:val="000000"/>
        </w:rPr>
        <w:t xml:space="preserve"> agreement, the tribunal may make the determination if satisfied that it is reasonable to dispense with the requirements. </w:t>
      </w:r>
    </w:p>
    <w:p w14:paraId="34D74E76" w14:textId="77777777" w:rsidR="00B2492E" w:rsidRPr="00623307" w:rsidRDefault="00B2492E" w:rsidP="00B2492E">
      <w:pPr>
        <w:autoSpaceDE w:val="0"/>
        <w:autoSpaceDN w:val="0"/>
        <w:adjustRightInd w:val="0"/>
        <w:ind w:left="900" w:right="120" w:hanging="360"/>
        <w:rPr>
          <w:rFonts w:ascii="Georgia" w:hAnsi="Georgia"/>
          <w:color w:val="000000"/>
        </w:rPr>
      </w:pPr>
    </w:p>
    <w:p w14:paraId="42E9DE2F" w14:textId="77777777" w:rsidR="00B2492E" w:rsidRPr="00B2492E" w:rsidRDefault="00B2492E" w:rsidP="00B2492E">
      <w:pPr>
        <w:ind w:left="540"/>
        <w:rPr>
          <w:lang w:val="en-US" w:eastAsia="en-US"/>
        </w:rPr>
      </w:pPr>
    </w:p>
    <w:sectPr w:rsidR="00B2492E" w:rsidRPr="00B2492E" w:rsidSect="005A327A">
      <w:headerReference w:type="even" r:id="rId8"/>
      <w:footerReference w:type="even" r:id="rId9"/>
      <w:footerReference w:type="defaul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E445" w14:textId="77777777" w:rsidR="000446EA" w:rsidRDefault="000446EA">
      <w:r>
        <w:separator/>
      </w:r>
    </w:p>
  </w:endnote>
  <w:endnote w:type="continuationSeparator" w:id="0">
    <w:p w14:paraId="07E976C3" w14:textId="77777777" w:rsidR="000446EA" w:rsidRDefault="0004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BT">
    <w:altName w:val="Lucida Sans Unicode"/>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5556" w14:textId="77777777" w:rsidR="000E0B2D" w:rsidRDefault="000E0B2D"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909817" w14:textId="77777777" w:rsidR="000E0B2D" w:rsidRDefault="000E0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151C" w14:textId="77777777" w:rsidR="000E0B2D" w:rsidRPr="005A327A" w:rsidRDefault="000E0B2D"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sidR="00274037">
      <w:rPr>
        <w:rStyle w:val="PageNumber"/>
        <w:rFonts w:ascii="Georgia" w:hAnsi="Georgia"/>
        <w:noProof/>
      </w:rPr>
      <w:t>6</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6331" w14:textId="03DD18C0" w:rsidR="000E0B2D" w:rsidRPr="00FF62C8" w:rsidRDefault="000E0B2D" w:rsidP="005A327A">
    <w:pPr>
      <w:jc w:val="center"/>
      <w:rPr>
        <w:rFonts w:ascii="Georgia" w:hAnsi="Georgia"/>
        <w:sz w:val="20"/>
        <w:szCs w:val="20"/>
      </w:rPr>
    </w:pPr>
    <w:r>
      <w:rPr>
        <w:rFonts w:ascii="Georgia" w:hAnsi="Georgia"/>
        <w:sz w:val="20"/>
        <w:szCs w:val="20"/>
      </w:rPr>
      <w:t>© CROWN COPYRIGHT</w:t>
    </w:r>
    <w:r w:rsidR="00B46798">
      <w:rPr>
        <w:rFonts w:ascii="Georgia" w:hAnsi="Georgia"/>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6195" w14:textId="77777777" w:rsidR="000446EA" w:rsidRDefault="000446EA">
      <w:r>
        <w:separator/>
      </w:r>
    </w:p>
  </w:footnote>
  <w:footnote w:type="continuationSeparator" w:id="0">
    <w:p w14:paraId="28625C9A" w14:textId="77777777" w:rsidR="000446EA" w:rsidRDefault="0004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294A" w14:textId="77777777" w:rsidR="000E0B2D" w:rsidRDefault="000E0B2D"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FDE7E" w14:textId="77777777" w:rsidR="000E0B2D" w:rsidRDefault="000E0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E2B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414F2C"/>
    <w:multiLevelType w:val="hybridMultilevel"/>
    <w:tmpl w:val="1F78B0FA"/>
    <w:lvl w:ilvl="0" w:tplc="A176D0CE">
      <w:start w:val="9"/>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C551CF"/>
    <w:multiLevelType w:val="hybridMultilevel"/>
    <w:tmpl w:val="3280C626"/>
    <w:lvl w:ilvl="0" w:tplc="EDE63ADA">
      <w:start w:val="1"/>
      <w:numFmt w:val="decimal"/>
      <w:lvlText w:val="%1."/>
      <w:lvlJc w:val="left"/>
      <w:pPr>
        <w:ind w:left="786" w:hanging="360"/>
      </w:pPr>
      <w:rPr>
        <w:rFonts w:hint="default"/>
        <w:b w:val="0"/>
        <w:i w:val="0"/>
      </w:rPr>
    </w:lvl>
    <w:lvl w:ilvl="1" w:tplc="58DED59E">
      <w:start w:val="1"/>
      <w:numFmt w:val="decimal"/>
      <w:lvlText w:val="(%2)"/>
      <w:lvlJc w:val="left"/>
      <w:pPr>
        <w:ind w:left="1886" w:hanging="38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9D35866"/>
    <w:multiLevelType w:val="hybridMultilevel"/>
    <w:tmpl w:val="0F2C5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F0079"/>
    <w:multiLevelType w:val="hybridMultilevel"/>
    <w:tmpl w:val="AACA9F12"/>
    <w:lvl w:ilvl="0" w:tplc="58DED59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8" w15:restartNumberingAfterBreak="0">
    <w:nsid w:val="2494747B"/>
    <w:multiLevelType w:val="hybridMultilevel"/>
    <w:tmpl w:val="C58C44EC"/>
    <w:lvl w:ilvl="0" w:tplc="8F9A7A2C">
      <w:start w:val="1"/>
      <w:numFmt w:val="none"/>
      <w:pStyle w:val="DirectionHeading"/>
      <w:lvlText w:val=""/>
      <w:lvlJc w:val="left"/>
      <w:pPr>
        <w:tabs>
          <w:tab w:val="num" w:pos="0"/>
        </w:tabs>
        <w:ind w:left="0" w:firstLine="0"/>
      </w:pPr>
      <w:rPr>
        <w:rFonts w:hint="default"/>
        <w:b w:val="0"/>
        <w:i w:val="0"/>
      </w:rPr>
    </w:lvl>
    <w:lvl w:ilvl="1" w:tplc="70107BF6">
      <w:start w:val="1"/>
      <w:numFmt w:val="decimal"/>
      <w:lvlRestart w:val="0"/>
      <w:pStyle w:val="Directions"/>
      <w:lvlText w:val="%2."/>
      <w:lvlJc w:val="left"/>
      <w:pPr>
        <w:tabs>
          <w:tab w:val="num" w:pos="720"/>
        </w:tabs>
        <w:ind w:left="720" w:hanging="720"/>
      </w:pPr>
      <w:rPr>
        <w:rFonts w:hint="default"/>
        <w:b/>
        <w:i w:val="0"/>
      </w:rPr>
    </w:lvl>
    <w:lvl w:ilvl="2" w:tplc="1A2681BC">
      <w:start w:val="1"/>
      <w:numFmt w:val="lowerLetter"/>
      <w:lvlText w:val="(%3)"/>
      <w:lvlJc w:val="left"/>
      <w:pPr>
        <w:tabs>
          <w:tab w:val="num" w:pos="1440"/>
        </w:tabs>
        <w:ind w:left="1440" w:hanging="720"/>
      </w:pPr>
      <w:rPr>
        <w:rFonts w:hint="default"/>
      </w:rPr>
    </w:lvl>
    <w:lvl w:ilvl="3" w:tplc="9F04D2D2">
      <w:start w:val="1"/>
      <w:numFmt w:val="none"/>
      <w:lvlText w:val=""/>
      <w:lvlJc w:val="left"/>
      <w:pPr>
        <w:tabs>
          <w:tab w:val="num" w:pos="720"/>
        </w:tabs>
        <w:ind w:left="720" w:firstLine="0"/>
      </w:pPr>
      <w:rPr>
        <w:rFonts w:hint="default"/>
      </w:rPr>
    </w:lvl>
    <w:lvl w:ilvl="4" w:tplc="387C4092">
      <w:start w:val="1"/>
      <w:numFmt w:val="lowerLetter"/>
      <w:lvlText w:val="(%5)"/>
      <w:lvlJc w:val="left"/>
      <w:pPr>
        <w:tabs>
          <w:tab w:val="num" w:pos="2160"/>
        </w:tabs>
        <w:ind w:left="2160" w:hanging="720"/>
      </w:pPr>
      <w:rPr>
        <w:rFonts w:hint="default"/>
      </w:rPr>
    </w:lvl>
    <w:lvl w:ilvl="5" w:tplc="91783AEE">
      <w:start w:val="1"/>
      <w:numFmt w:val="none"/>
      <w:lvlText w:val=""/>
      <w:lvlJc w:val="left"/>
      <w:pPr>
        <w:tabs>
          <w:tab w:val="num" w:pos="1440"/>
        </w:tabs>
        <w:ind w:left="1440" w:firstLine="0"/>
      </w:pPr>
      <w:rPr>
        <w:rFonts w:hint="default"/>
      </w:rPr>
    </w:lvl>
    <w:lvl w:ilvl="6" w:tplc="3638713A">
      <w:start w:val="1"/>
      <w:numFmt w:val="none"/>
      <w:lvlText w:val=""/>
      <w:lvlJc w:val="left"/>
      <w:pPr>
        <w:tabs>
          <w:tab w:val="num" w:pos="2160"/>
        </w:tabs>
        <w:ind w:left="2160" w:firstLine="0"/>
      </w:pPr>
      <w:rPr>
        <w:rFonts w:hint="default"/>
        <w:b w:val="0"/>
        <w:i w:val="0"/>
        <w:color w:val="auto"/>
      </w:rPr>
    </w:lvl>
    <w:lvl w:ilvl="7" w:tplc="218425EC">
      <w:start w:val="1"/>
      <w:numFmt w:val="lowerLetter"/>
      <w:lvlText w:val="(%8)"/>
      <w:lvlJc w:val="left"/>
      <w:pPr>
        <w:tabs>
          <w:tab w:val="num" w:pos="1440"/>
        </w:tabs>
        <w:ind w:left="1440" w:hanging="720"/>
      </w:pPr>
      <w:rPr>
        <w:rFonts w:hint="default"/>
        <w:b w:val="0"/>
        <w:i w:val="0"/>
        <w:color w:val="auto"/>
      </w:rPr>
    </w:lvl>
    <w:lvl w:ilvl="8" w:tplc="58F8797C">
      <w:start w:val="1"/>
      <w:numFmt w:val="bullet"/>
      <w:lvlText w:val=""/>
      <w:lvlJc w:val="left"/>
      <w:pPr>
        <w:tabs>
          <w:tab w:val="num" w:pos="1872"/>
        </w:tabs>
        <w:ind w:left="1872" w:hanging="432"/>
      </w:pPr>
      <w:rPr>
        <w:rFonts w:ascii="Symbol" w:hAnsi="Symbol" w:hint="default"/>
        <w:color w:val="auto"/>
      </w:rPr>
    </w:lvl>
  </w:abstractNum>
  <w:abstractNum w:abstractNumId="9" w15:restartNumberingAfterBreak="0">
    <w:nsid w:val="24D35E81"/>
    <w:multiLevelType w:val="hybridMultilevel"/>
    <w:tmpl w:val="A4FCE858"/>
    <w:lvl w:ilvl="0" w:tplc="D1DECA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E2075"/>
    <w:multiLevelType w:val="hybridMultilevel"/>
    <w:tmpl w:val="F1525798"/>
    <w:lvl w:ilvl="0" w:tplc="122ECE1E">
      <w:start w:val="9"/>
      <w:numFmt w:val="bullet"/>
      <w:lvlText w:val="-"/>
      <w:lvlJc w:val="left"/>
      <w:pPr>
        <w:ind w:left="786" w:hanging="360"/>
      </w:pPr>
      <w:rPr>
        <w:rFonts w:ascii="Georgia" w:eastAsia="Calibri" w:hAnsi="Georgi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2"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A86A08"/>
    <w:multiLevelType w:val="hybridMultilevel"/>
    <w:tmpl w:val="13867364"/>
    <w:lvl w:ilvl="0" w:tplc="FFFFFFFF">
      <w:start w:val="1"/>
      <w:numFmt w:val="decimal"/>
      <w:lvlText w:val="(%1)"/>
      <w:lvlJc w:val="left"/>
      <w:pPr>
        <w:tabs>
          <w:tab w:val="num" w:pos="170"/>
        </w:tabs>
        <w:ind w:left="170" w:hanging="1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465407"/>
    <w:multiLevelType w:val="hybridMultilevel"/>
    <w:tmpl w:val="B05E8122"/>
    <w:lvl w:ilvl="0" w:tplc="5D34F71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AAF5C8F"/>
    <w:multiLevelType w:val="hybridMultilevel"/>
    <w:tmpl w:val="2F8A1688"/>
    <w:lvl w:ilvl="0" w:tplc="61F0B064">
      <w:start w:val="1"/>
      <w:numFmt w:val="decimal"/>
      <w:lvlText w:val="(%1)"/>
      <w:lvlJc w:val="left"/>
      <w:pPr>
        <w:ind w:left="720" w:hanging="360"/>
      </w:pPr>
      <w:rPr>
        <w:rFonts w:ascii="Georgia" w:hAnsi="Georgia"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451CD"/>
    <w:multiLevelType w:val="hybridMultilevel"/>
    <w:tmpl w:val="50E24BD4"/>
    <w:lvl w:ilvl="0" w:tplc="9F96C2B6">
      <w:start w:val="14"/>
      <w:numFmt w:val="bullet"/>
      <w:lvlText w:val="-"/>
      <w:lvlJc w:val="left"/>
      <w:pPr>
        <w:ind w:left="1080" w:hanging="360"/>
      </w:pPr>
      <w:rPr>
        <w:rFonts w:ascii="Georgia" w:eastAsia="Calibri"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1583DEC"/>
    <w:multiLevelType w:val="hybridMultilevel"/>
    <w:tmpl w:val="AACE42CE"/>
    <w:lvl w:ilvl="0" w:tplc="048822FA">
      <w:start w:val="1"/>
      <w:numFmt w:val="lowerRoman"/>
      <w:lvlText w:val="(%1)"/>
      <w:lvlJc w:val="left"/>
      <w:pPr>
        <w:tabs>
          <w:tab w:val="num" w:pos="1493"/>
        </w:tabs>
        <w:ind w:left="1493" w:hanging="36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0"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91462318">
    <w:abstractNumId w:val="1"/>
  </w:num>
  <w:num w:numId="2" w16cid:durableId="673723728">
    <w:abstractNumId w:val="20"/>
  </w:num>
  <w:num w:numId="3" w16cid:durableId="834952547">
    <w:abstractNumId w:val="12"/>
  </w:num>
  <w:num w:numId="4" w16cid:durableId="181097056">
    <w:abstractNumId w:val="14"/>
  </w:num>
  <w:num w:numId="5" w16cid:durableId="2056198265">
    <w:abstractNumId w:val="7"/>
  </w:num>
  <w:num w:numId="6" w16cid:durableId="745885124">
    <w:abstractNumId w:val="18"/>
  </w:num>
  <w:num w:numId="7" w16cid:durableId="1907907871">
    <w:abstractNumId w:val="3"/>
  </w:num>
  <w:num w:numId="8" w16cid:durableId="665985990">
    <w:abstractNumId w:val="11"/>
  </w:num>
  <w:num w:numId="9" w16cid:durableId="1148739549">
    <w:abstractNumId w:val="13"/>
  </w:num>
  <w:num w:numId="10" w16cid:durableId="241643480">
    <w:abstractNumId w:val="19"/>
  </w:num>
  <w:num w:numId="11" w16cid:durableId="765853992">
    <w:abstractNumId w:val="8"/>
  </w:num>
  <w:num w:numId="12" w16cid:durableId="255670704">
    <w:abstractNumId w:val="16"/>
  </w:num>
  <w:num w:numId="13" w16cid:durableId="1816289041">
    <w:abstractNumId w:val="0"/>
  </w:num>
  <w:num w:numId="14" w16cid:durableId="111025455">
    <w:abstractNumId w:val="4"/>
  </w:num>
  <w:num w:numId="15" w16cid:durableId="501165273">
    <w:abstractNumId w:val="6"/>
  </w:num>
  <w:num w:numId="16" w16cid:durableId="1189562889">
    <w:abstractNumId w:val="5"/>
  </w:num>
  <w:num w:numId="17" w16cid:durableId="1536426759">
    <w:abstractNumId w:val="15"/>
  </w:num>
  <w:num w:numId="18" w16cid:durableId="54813765">
    <w:abstractNumId w:val="10"/>
  </w:num>
  <w:num w:numId="19" w16cid:durableId="1706951598">
    <w:abstractNumId w:val="2"/>
  </w:num>
  <w:num w:numId="20" w16cid:durableId="23135026">
    <w:abstractNumId w:val="17"/>
  </w:num>
  <w:num w:numId="21" w16cid:durableId="1460106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D2"/>
    <w:rsid w:val="00001390"/>
    <w:rsid w:val="00010C22"/>
    <w:rsid w:val="0001115F"/>
    <w:rsid w:val="00014AA7"/>
    <w:rsid w:val="00027500"/>
    <w:rsid w:val="00035459"/>
    <w:rsid w:val="0003644C"/>
    <w:rsid w:val="00043CFB"/>
    <w:rsid w:val="000446EA"/>
    <w:rsid w:val="000457BF"/>
    <w:rsid w:val="00050EB8"/>
    <w:rsid w:val="00057E46"/>
    <w:rsid w:val="00064951"/>
    <w:rsid w:val="000670C3"/>
    <w:rsid w:val="00071A10"/>
    <w:rsid w:val="00071EAE"/>
    <w:rsid w:val="000729A3"/>
    <w:rsid w:val="00074B09"/>
    <w:rsid w:val="00080353"/>
    <w:rsid w:val="000805A4"/>
    <w:rsid w:val="00082ECA"/>
    <w:rsid w:val="000855E6"/>
    <w:rsid w:val="000867E6"/>
    <w:rsid w:val="00090F08"/>
    <w:rsid w:val="000927B4"/>
    <w:rsid w:val="00092C14"/>
    <w:rsid w:val="000C2BA6"/>
    <w:rsid w:val="000C2CCC"/>
    <w:rsid w:val="000C4A92"/>
    <w:rsid w:val="000C563E"/>
    <w:rsid w:val="000D1958"/>
    <w:rsid w:val="000D46FF"/>
    <w:rsid w:val="000D6517"/>
    <w:rsid w:val="000D7941"/>
    <w:rsid w:val="000E0B2D"/>
    <w:rsid w:val="000F10FA"/>
    <w:rsid w:val="001109D9"/>
    <w:rsid w:val="001139C7"/>
    <w:rsid w:val="001231F9"/>
    <w:rsid w:val="00123B0C"/>
    <w:rsid w:val="001246C7"/>
    <w:rsid w:val="001358D1"/>
    <w:rsid w:val="00145859"/>
    <w:rsid w:val="00150E23"/>
    <w:rsid w:val="0015143C"/>
    <w:rsid w:val="001706BA"/>
    <w:rsid w:val="00171288"/>
    <w:rsid w:val="00175BF4"/>
    <w:rsid w:val="00191C57"/>
    <w:rsid w:val="001932A4"/>
    <w:rsid w:val="001A7546"/>
    <w:rsid w:val="001B6C57"/>
    <w:rsid w:val="001D3DB3"/>
    <w:rsid w:val="001E3688"/>
    <w:rsid w:val="001F3D9D"/>
    <w:rsid w:val="002034A5"/>
    <w:rsid w:val="00210C8B"/>
    <w:rsid w:val="0021710B"/>
    <w:rsid w:val="002210AD"/>
    <w:rsid w:val="00224B4B"/>
    <w:rsid w:val="002252C6"/>
    <w:rsid w:val="00232D3E"/>
    <w:rsid w:val="002338CD"/>
    <w:rsid w:val="00236C2D"/>
    <w:rsid w:val="00240006"/>
    <w:rsid w:val="0025265E"/>
    <w:rsid w:val="0026106B"/>
    <w:rsid w:val="00264F31"/>
    <w:rsid w:val="00274037"/>
    <w:rsid w:val="00274B6A"/>
    <w:rsid w:val="0028100D"/>
    <w:rsid w:val="00292EA7"/>
    <w:rsid w:val="00295592"/>
    <w:rsid w:val="002A4653"/>
    <w:rsid w:val="002B723C"/>
    <w:rsid w:val="002B7A78"/>
    <w:rsid w:val="002C2606"/>
    <w:rsid w:val="002C3B6C"/>
    <w:rsid w:val="002C405C"/>
    <w:rsid w:val="002C6852"/>
    <w:rsid w:val="002E2780"/>
    <w:rsid w:val="002E3545"/>
    <w:rsid w:val="002E6E56"/>
    <w:rsid w:val="00303787"/>
    <w:rsid w:val="00304546"/>
    <w:rsid w:val="003128BB"/>
    <w:rsid w:val="00313A34"/>
    <w:rsid w:val="003149AD"/>
    <w:rsid w:val="0031560D"/>
    <w:rsid w:val="003236C4"/>
    <w:rsid w:val="003241BF"/>
    <w:rsid w:val="00327C3B"/>
    <w:rsid w:val="00333C98"/>
    <w:rsid w:val="0033640A"/>
    <w:rsid w:val="0034099B"/>
    <w:rsid w:val="00341F4B"/>
    <w:rsid w:val="00347D68"/>
    <w:rsid w:val="003504C9"/>
    <w:rsid w:val="0035688E"/>
    <w:rsid w:val="0036197A"/>
    <w:rsid w:val="00362A74"/>
    <w:rsid w:val="003711A1"/>
    <w:rsid w:val="00373986"/>
    <w:rsid w:val="003752B4"/>
    <w:rsid w:val="003773F4"/>
    <w:rsid w:val="00390E90"/>
    <w:rsid w:val="00395A01"/>
    <w:rsid w:val="003B1A2F"/>
    <w:rsid w:val="003B32C6"/>
    <w:rsid w:val="003C3913"/>
    <w:rsid w:val="003D12B8"/>
    <w:rsid w:val="003D56CD"/>
    <w:rsid w:val="003E39A7"/>
    <w:rsid w:val="003E753D"/>
    <w:rsid w:val="003F2793"/>
    <w:rsid w:val="00405BE5"/>
    <w:rsid w:val="0041009F"/>
    <w:rsid w:val="00414688"/>
    <w:rsid w:val="0041491D"/>
    <w:rsid w:val="00416C6A"/>
    <w:rsid w:val="00417092"/>
    <w:rsid w:val="00420688"/>
    <w:rsid w:val="0042532E"/>
    <w:rsid w:val="0042581E"/>
    <w:rsid w:val="00425975"/>
    <w:rsid w:val="00427628"/>
    <w:rsid w:val="00431478"/>
    <w:rsid w:val="00444B4A"/>
    <w:rsid w:val="004457BA"/>
    <w:rsid w:val="00446311"/>
    <w:rsid w:val="0045193C"/>
    <w:rsid w:val="0049067C"/>
    <w:rsid w:val="004A0FB6"/>
    <w:rsid w:val="004A10CD"/>
    <w:rsid w:val="004A1220"/>
    <w:rsid w:val="004A2142"/>
    <w:rsid w:val="004A49E5"/>
    <w:rsid w:val="004B1A81"/>
    <w:rsid w:val="004B671B"/>
    <w:rsid w:val="004C055C"/>
    <w:rsid w:val="004C2E0E"/>
    <w:rsid w:val="004C3F16"/>
    <w:rsid w:val="004F0C34"/>
    <w:rsid w:val="005174EB"/>
    <w:rsid w:val="00522CD6"/>
    <w:rsid w:val="005309FA"/>
    <w:rsid w:val="00534354"/>
    <w:rsid w:val="00545A41"/>
    <w:rsid w:val="0056042D"/>
    <w:rsid w:val="0057017F"/>
    <w:rsid w:val="00575271"/>
    <w:rsid w:val="005763E0"/>
    <w:rsid w:val="00580064"/>
    <w:rsid w:val="00585D18"/>
    <w:rsid w:val="0059107C"/>
    <w:rsid w:val="00593AB9"/>
    <w:rsid w:val="00594208"/>
    <w:rsid w:val="00596ADA"/>
    <w:rsid w:val="00597B86"/>
    <w:rsid w:val="005A15CF"/>
    <w:rsid w:val="005A327A"/>
    <w:rsid w:val="005A6651"/>
    <w:rsid w:val="005A6E4B"/>
    <w:rsid w:val="005B6F8D"/>
    <w:rsid w:val="005C4AE6"/>
    <w:rsid w:val="005C61A3"/>
    <w:rsid w:val="005C63D0"/>
    <w:rsid w:val="005C651A"/>
    <w:rsid w:val="005C6CE7"/>
    <w:rsid w:val="005D3559"/>
    <w:rsid w:val="005D5C0D"/>
    <w:rsid w:val="005D7C07"/>
    <w:rsid w:val="005F0D5E"/>
    <w:rsid w:val="006009D5"/>
    <w:rsid w:val="00601CB0"/>
    <w:rsid w:val="00606CFD"/>
    <w:rsid w:val="0061204E"/>
    <w:rsid w:val="00612339"/>
    <w:rsid w:val="00616FAC"/>
    <w:rsid w:val="00617822"/>
    <w:rsid w:val="00617940"/>
    <w:rsid w:val="00623307"/>
    <w:rsid w:val="006240B7"/>
    <w:rsid w:val="00624ECC"/>
    <w:rsid w:val="0063170B"/>
    <w:rsid w:val="00637B81"/>
    <w:rsid w:val="00641E8C"/>
    <w:rsid w:val="00646FC8"/>
    <w:rsid w:val="0065478C"/>
    <w:rsid w:val="00654D4F"/>
    <w:rsid w:val="00657238"/>
    <w:rsid w:val="006604A4"/>
    <w:rsid w:val="006618F3"/>
    <w:rsid w:val="0066693A"/>
    <w:rsid w:val="006715D2"/>
    <w:rsid w:val="006731B1"/>
    <w:rsid w:val="006820F0"/>
    <w:rsid w:val="00683AC7"/>
    <w:rsid w:val="00686FCC"/>
    <w:rsid w:val="00691142"/>
    <w:rsid w:val="00694C56"/>
    <w:rsid w:val="006957A6"/>
    <w:rsid w:val="006A5A36"/>
    <w:rsid w:val="006A7F90"/>
    <w:rsid w:val="006B2552"/>
    <w:rsid w:val="006C3082"/>
    <w:rsid w:val="006C393E"/>
    <w:rsid w:val="006C78B6"/>
    <w:rsid w:val="006D1062"/>
    <w:rsid w:val="006D517B"/>
    <w:rsid w:val="006F3E4E"/>
    <w:rsid w:val="006F61F5"/>
    <w:rsid w:val="00704496"/>
    <w:rsid w:val="00710189"/>
    <w:rsid w:val="00711048"/>
    <w:rsid w:val="00711C65"/>
    <w:rsid w:val="00712681"/>
    <w:rsid w:val="00715C73"/>
    <w:rsid w:val="00716B6E"/>
    <w:rsid w:val="00720AF3"/>
    <w:rsid w:val="00723786"/>
    <w:rsid w:val="00724F05"/>
    <w:rsid w:val="007254CE"/>
    <w:rsid w:val="007321CB"/>
    <w:rsid w:val="00734B26"/>
    <w:rsid w:val="00735809"/>
    <w:rsid w:val="00742B52"/>
    <w:rsid w:val="00744394"/>
    <w:rsid w:val="007459E8"/>
    <w:rsid w:val="007506D1"/>
    <w:rsid w:val="007601B9"/>
    <w:rsid w:val="00760E20"/>
    <w:rsid w:val="00765F2A"/>
    <w:rsid w:val="007662C7"/>
    <w:rsid w:val="00772F37"/>
    <w:rsid w:val="00774777"/>
    <w:rsid w:val="0078576A"/>
    <w:rsid w:val="00785CA6"/>
    <w:rsid w:val="00786D04"/>
    <w:rsid w:val="0079118F"/>
    <w:rsid w:val="00792741"/>
    <w:rsid w:val="007971F1"/>
    <w:rsid w:val="007A0555"/>
    <w:rsid w:val="007A3FDF"/>
    <w:rsid w:val="007A4939"/>
    <w:rsid w:val="007A543F"/>
    <w:rsid w:val="007C355D"/>
    <w:rsid w:val="007C56C0"/>
    <w:rsid w:val="007D3CA5"/>
    <w:rsid w:val="007D5995"/>
    <w:rsid w:val="007E1AB2"/>
    <w:rsid w:val="007E45D1"/>
    <w:rsid w:val="007E4D03"/>
    <w:rsid w:val="007E77A6"/>
    <w:rsid w:val="007F279F"/>
    <w:rsid w:val="007F43CA"/>
    <w:rsid w:val="008012C9"/>
    <w:rsid w:val="0080265A"/>
    <w:rsid w:val="008154C4"/>
    <w:rsid w:val="0082277F"/>
    <w:rsid w:val="00832E5F"/>
    <w:rsid w:val="0084325D"/>
    <w:rsid w:val="00854A80"/>
    <w:rsid w:val="00854D69"/>
    <w:rsid w:val="00862BA4"/>
    <w:rsid w:val="00867960"/>
    <w:rsid w:val="0087136A"/>
    <w:rsid w:val="00875CDB"/>
    <w:rsid w:val="00882723"/>
    <w:rsid w:val="0088453E"/>
    <w:rsid w:val="008845E6"/>
    <w:rsid w:val="00891C79"/>
    <w:rsid w:val="008931C3"/>
    <w:rsid w:val="00893B63"/>
    <w:rsid w:val="008A218D"/>
    <w:rsid w:val="008A2DCC"/>
    <w:rsid w:val="008B08E8"/>
    <w:rsid w:val="008B5096"/>
    <w:rsid w:val="008C3982"/>
    <w:rsid w:val="008C4097"/>
    <w:rsid w:val="008C46CC"/>
    <w:rsid w:val="008C7782"/>
    <w:rsid w:val="008E3445"/>
    <w:rsid w:val="008E556B"/>
    <w:rsid w:val="008F318D"/>
    <w:rsid w:val="008F75B4"/>
    <w:rsid w:val="00900C8A"/>
    <w:rsid w:val="009012FD"/>
    <w:rsid w:val="00907A73"/>
    <w:rsid w:val="00907D22"/>
    <w:rsid w:val="00912090"/>
    <w:rsid w:val="00913699"/>
    <w:rsid w:val="00914492"/>
    <w:rsid w:val="00920421"/>
    <w:rsid w:val="00932981"/>
    <w:rsid w:val="00942329"/>
    <w:rsid w:val="009572B5"/>
    <w:rsid w:val="009579DC"/>
    <w:rsid w:val="009617BB"/>
    <w:rsid w:val="0096318F"/>
    <w:rsid w:val="0096334A"/>
    <w:rsid w:val="00963863"/>
    <w:rsid w:val="00967114"/>
    <w:rsid w:val="00971971"/>
    <w:rsid w:val="00974A19"/>
    <w:rsid w:val="009762A0"/>
    <w:rsid w:val="00985B5B"/>
    <w:rsid w:val="0098698F"/>
    <w:rsid w:val="0099175F"/>
    <w:rsid w:val="00993608"/>
    <w:rsid w:val="009A71A4"/>
    <w:rsid w:val="009B7CE2"/>
    <w:rsid w:val="009D005C"/>
    <w:rsid w:val="009D3438"/>
    <w:rsid w:val="009D38BF"/>
    <w:rsid w:val="009D39F5"/>
    <w:rsid w:val="009E1386"/>
    <w:rsid w:val="009E3689"/>
    <w:rsid w:val="00A02F31"/>
    <w:rsid w:val="00A14C37"/>
    <w:rsid w:val="00A17C77"/>
    <w:rsid w:val="00A2450A"/>
    <w:rsid w:val="00A35158"/>
    <w:rsid w:val="00A411E1"/>
    <w:rsid w:val="00A443D0"/>
    <w:rsid w:val="00A44E04"/>
    <w:rsid w:val="00A464C2"/>
    <w:rsid w:val="00A46CF1"/>
    <w:rsid w:val="00A50057"/>
    <w:rsid w:val="00A5066F"/>
    <w:rsid w:val="00A509B1"/>
    <w:rsid w:val="00A51F4A"/>
    <w:rsid w:val="00A52D1B"/>
    <w:rsid w:val="00A54164"/>
    <w:rsid w:val="00A552CF"/>
    <w:rsid w:val="00A70FF3"/>
    <w:rsid w:val="00A742A3"/>
    <w:rsid w:val="00A777B5"/>
    <w:rsid w:val="00A82C6F"/>
    <w:rsid w:val="00A84C8C"/>
    <w:rsid w:val="00A86AB1"/>
    <w:rsid w:val="00A86EB9"/>
    <w:rsid w:val="00A9045A"/>
    <w:rsid w:val="00A95214"/>
    <w:rsid w:val="00AA2343"/>
    <w:rsid w:val="00AB0FA9"/>
    <w:rsid w:val="00AB60CB"/>
    <w:rsid w:val="00AC4F43"/>
    <w:rsid w:val="00AD52D1"/>
    <w:rsid w:val="00AE04D4"/>
    <w:rsid w:val="00AE1557"/>
    <w:rsid w:val="00AE7EA4"/>
    <w:rsid w:val="00AF10CE"/>
    <w:rsid w:val="00AF4853"/>
    <w:rsid w:val="00B06858"/>
    <w:rsid w:val="00B10B3F"/>
    <w:rsid w:val="00B1177C"/>
    <w:rsid w:val="00B23754"/>
    <w:rsid w:val="00B2463F"/>
    <w:rsid w:val="00B2492E"/>
    <w:rsid w:val="00B301A8"/>
    <w:rsid w:val="00B31BA0"/>
    <w:rsid w:val="00B34C13"/>
    <w:rsid w:val="00B359D5"/>
    <w:rsid w:val="00B3700E"/>
    <w:rsid w:val="00B427BD"/>
    <w:rsid w:val="00B427E5"/>
    <w:rsid w:val="00B46798"/>
    <w:rsid w:val="00B51B5C"/>
    <w:rsid w:val="00B55851"/>
    <w:rsid w:val="00B562AD"/>
    <w:rsid w:val="00B6232A"/>
    <w:rsid w:val="00B66FB4"/>
    <w:rsid w:val="00B80ABA"/>
    <w:rsid w:val="00B86575"/>
    <w:rsid w:val="00B86949"/>
    <w:rsid w:val="00BA1E9C"/>
    <w:rsid w:val="00BA6FE1"/>
    <w:rsid w:val="00BA7905"/>
    <w:rsid w:val="00BB02AF"/>
    <w:rsid w:val="00BB0FAB"/>
    <w:rsid w:val="00BB1954"/>
    <w:rsid w:val="00BB3DCD"/>
    <w:rsid w:val="00BC3CB4"/>
    <w:rsid w:val="00BD14C9"/>
    <w:rsid w:val="00BD542C"/>
    <w:rsid w:val="00C11B61"/>
    <w:rsid w:val="00C11DC5"/>
    <w:rsid w:val="00C13DDB"/>
    <w:rsid w:val="00C14480"/>
    <w:rsid w:val="00C158FC"/>
    <w:rsid w:val="00C16DCE"/>
    <w:rsid w:val="00C20481"/>
    <w:rsid w:val="00C211C9"/>
    <w:rsid w:val="00C228CE"/>
    <w:rsid w:val="00C2293E"/>
    <w:rsid w:val="00C23C34"/>
    <w:rsid w:val="00C27ECE"/>
    <w:rsid w:val="00C37695"/>
    <w:rsid w:val="00C37DE2"/>
    <w:rsid w:val="00C43349"/>
    <w:rsid w:val="00C45B08"/>
    <w:rsid w:val="00C503EB"/>
    <w:rsid w:val="00C54C5C"/>
    <w:rsid w:val="00C60F17"/>
    <w:rsid w:val="00C61004"/>
    <w:rsid w:val="00C625FA"/>
    <w:rsid w:val="00C6485D"/>
    <w:rsid w:val="00C659EF"/>
    <w:rsid w:val="00C70E1C"/>
    <w:rsid w:val="00C713C2"/>
    <w:rsid w:val="00C71AA4"/>
    <w:rsid w:val="00C80D77"/>
    <w:rsid w:val="00C94EB5"/>
    <w:rsid w:val="00C97BCD"/>
    <w:rsid w:val="00CA1A26"/>
    <w:rsid w:val="00CA2423"/>
    <w:rsid w:val="00CA47A8"/>
    <w:rsid w:val="00CB07F2"/>
    <w:rsid w:val="00CB2555"/>
    <w:rsid w:val="00CB6043"/>
    <w:rsid w:val="00CB7439"/>
    <w:rsid w:val="00CC0F37"/>
    <w:rsid w:val="00CC21A8"/>
    <w:rsid w:val="00CC455B"/>
    <w:rsid w:val="00CD1122"/>
    <w:rsid w:val="00CD1449"/>
    <w:rsid w:val="00CD37A0"/>
    <w:rsid w:val="00CD3CD2"/>
    <w:rsid w:val="00CD6BF7"/>
    <w:rsid w:val="00CE3279"/>
    <w:rsid w:val="00CF0642"/>
    <w:rsid w:val="00CF0EAA"/>
    <w:rsid w:val="00CF7EA6"/>
    <w:rsid w:val="00D006D9"/>
    <w:rsid w:val="00D00C8F"/>
    <w:rsid w:val="00D0311F"/>
    <w:rsid w:val="00D07A8E"/>
    <w:rsid w:val="00D129F4"/>
    <w:rsid w:val="00D13A52"/>
    <w:rsid w:val="00D147C7"/>
    <w:rsid w:val="00D16EC5"/>
    <w:rsid w:val="00D2382F"/>
    <w:rsid w:val="00D3070F"/>
    <w:rsid w:val="00D41A86"/>
    <w:rsid w:val="00D41AF1"/>
    <w:rsid w:val="00D43EAA"/>
    <w:rsid w:val="00D524D1"/>
    <w:rsid w:val="00D6040B"/>
    <w:rsid w:val="00D67BA4"/>
    <w:rsid w:val="00D77B81"/>
    <w:rsid w:val="00D8093A"/>
    <w:rsid w:val="00D81720"/>
    <w:rsid w:val="00D81B4E"/>
    <w:rsid w:val="00D870D8"/>
    <w:rsid w:val="00D879CE"/>
    <w:rsid w:val="00D90693"/>
    <w:rsid w:val="00D933D4"/>
    <w:rsid w:val="00D9403D"/>
    <w:rsid w:val="00D970E3"/>
    <w:rsid w:val="00DA0195"/>
    <w:rsid w:val="00DA1A9C"/>
    <w:rsid w:val="00DA52B5"/>
    <w:rsid w:val="00DA77B4"/>
    <w:rsid w:val="00DB1F85"/>
    <w:rsid w:val="00DC10CB"/>
    <w:rsid w:val="00DC1631"/>
    <w:rsid w:val="00DC2232"/>
    <w:rsid w:val="00DC5140"/>
    <w:rsid w:val="00DC65EC"/>
    <w:rsid w:val="00DD19CB"/>
    <w:rsid w:val="00DD4A33"/>
    <w:rsid w:val="00DD7ADC"/>
    <w:rsid w:val="00DE0CA0"/>
    <w:rsid w:val="00DE2DF7"/>
    <w:rsid w:val="00DE3F18"/>
    <w:rsid w:val="00DE413A"/>
    <w:rsid w:val="00DE5EBD"/>
    <w:rsid w:val="00DE75FF"/>
    <w:rsid w:val="00DF1583"/>
    <w:rsid w:val="00DF6E01"/>
    <w:rsid w:val="00DF72FC"/>
    <w:rsid w:val="00E00DA4"/>
    <w:rsid w:val="00E016A5"/>
    <w:rsid w:val="00E03F6F"/>
    <w:rsid w:val="00E063A7"/>
    <w:rsid w:val="00E2170A"/>
    <w:rsid w:val="00E31161"/>
    <w:rsid w:val="00E31560"/>
    <w:rsid w:val="00E426AA"/>
    <w:rsid w:val="00E46895"/>
    <w:rsid w:val="00E529BA"/>
    <w:rsid w:val="00E52F9E"/>
    <w:rsid w:val="00E545F7"/>
    <w:rsid w:val="00E62693"/>
    <w:rsid w:val="00E632B8"/>
    <w:rsid w:val="00E71DEA"/>
    <w:rsid w:val="00E746E6"/>
    <w:rsid w:val="00E7600A"/>
    <w:rsid w:val="00E90D3A"/>
    <w:rsid w:val="00E91257"/>
    <w:rsid w:val="00E949E0"/>
    <w:rsid w:val="00E95FBD"/>
    <w:rsid w:val="00EA23BA"/>
    <w:rsid w:val="00EA3CEF"/>
    <w:rsid w:val="00EB6036"/>
    <w:rsid w:val="00EB6DDE"/>
    <w:rsid w:val="00EB76D1"/>
    <w:rsid w:val="00ED527C"/>
    <w:rsid w:val="00ED5B92"/>
    <w:rsid w:val="00ED65F2"/>
    <w:rsid w:val="00ED71F3"/>
    <w:rsid w:val="00EE0486"/>
    <w:rsid w:val="00EE230A"/>
    <w:rsid w:val="00EE6965"/>
    <w:rsid w:val="00F17B8E"/>
    <w:rsid w:val="00F22097"/>
    <w:rsid w:val="00F25E68"/>
    <w:rsid w:val="00F27A8A"/>
    <w:rsid w:val="00F32DE4"/>
    <w:rsid w:val="00F369C3"/>
    <w:rsid w:val="00F55A92"/>
    <w:rsid w:val="00F56FDA"/>
    <w:rsid w:val="00F70735"/>
    <w:rsid w:val="00F71D2E"/>
    <w:rsid w:val="00F73B32"/>
    <w:rsid w:val="00F81C4E"/>
    <w:rsid w:val="00F82ABB"/>
    <w:rsid w:val="00F85419"/>
    <w:rsid w:val="00F917C0"/>
    <w:rsid w:val="00F9399B"/>
    <w:rsid w:val="00F9477D"/>
    <w:rsid w:val="00F9540C"/>
    <w:rsid w:val="00F96556"/>
    <w:rsid w:val="00FA3A66"/>
    <w:rsid w:val="00FB1428"/>
    <w:rsid w:val="00FB34C9"/>
    <w:rsid w:val="00FB3975"/>
    <w:rsid w:val="00FD1C02"/>
    <w:rsid w:val="00FD6936"/>
    <w:rsid w:val="00FE3E27"/>
    <w:rsid w:val="00FE56C5"/>
    <w:rsid w:val="00FF6224"/>
    <w:rsid w:val="00FF62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B5AB6"/>
  <w14:defaultImageDpi w14:val="300"/>
  <w15:docId w15:val="{20518DC0-5F76-49CB-88CB-16739A33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0927B4"/>
    <w:pPr>
      <w:autoSpaceDE w:val="0"/>
      <w:autoSpaceDN w:val="0"/>
      <w:adjustRightInd w:val="0"/>
    </w:pPr>
    <w:rPr>
      <w:rFonts w:ascii="Verdana" w:hAnsi="Verdana"/>
      <w:lang w:val="en-US" w:eastAsia="en-US"/>
    </w:rPr>
  </w:style>
  <w:style w:type="paragraph" w:styleId="FootnoteText">
    <w:name w:val="footnote text"/>
    <w:basedOn w:val="Normal"/>
    <w:semiHidden/>
    <w:rsid w:val="000927B4"/>
    <w:rPr>
      <w:rFonts w:ascii="ZapfHumnst BT" w:hAnsi="ZapfHumnst BT"/>
      <w:sz w:val="20"/>
      <w:szCs w:val="20"/>
      <w:lang w:eastAsia="en-US"/>
    </w:rPr>
  </w:style>
  <w:style w:type="character" w:styleId="FootnoteReference">
    <w:name w:val="footnote reference"/>
    <w:semiHidden/>
    <w:rsid w:val="000927B4"/>
    <w:rPr>
      <w:vertAlign w:val="superscript"/>
    </w:rPr>
  </w:style>
  <w:style w:type="paragraph" w:styleId="BalloonText">
    <w:name w:val="Balloon Text"/>
    <w:basedOn w:val="Normal"/>
    <w:semiHidden/>
    <w:rsid w:val="00AF10CE"/>
    <w:rPr>
      <w:rFonts w:ascii="Tahoma" w:hAnsi="Tahoma" w:cs="Tahoma"/>
      <w:sz w:val="16"/>
      <w:szCs w:val="16"/>
    </w:rPr>
  </w:style>
  <w:style w:type="paragraph" w:styleId="NormalWeb">
    <w:name w:val="Normal (Web)"/>
    <w:basedOn w:val="Normal"/>
    <w:uiPriority w:val="99"/>
    <w:unhideWhenUsed/>
    <w:rsid w:val="00C13DDB"/>
    <w:pPr>
      <w:spacing w:before="100" w:beforeAutospacing="1" w:after="100" w:afterAutospacing="1"/>
    </w:pPr>
  </w:style>
  <w:style w:type="paragraph" w:customStyle="1" w:styleId="Directions">
    <w:name w:val="Directions"/>
    <w:basedOn w:val="Normal"/>
    <w:rsid w:val="00B427E5"/>
    <w:pPr>
      <w:numPr>
        <w:ilvl w:val="1"/>
        <w:numId w:val="11"/>
      </w:numPr>
      <w:spacing w:after="240"/>
      <w:jc w:val="both"/>
    </w:pPr>
    <w:rPr>
      <w:rFonts w:ascii="Arial" w:hAnsi="Arial"/>
    </w:rPr>
  </w:style>
  <w:style w:type="paragraph" w:customStyle="1" w:styleId="DirectionHeading">
    <w:name w:val="Direction Heading"/>
    <w:basedOn w:val="Normal"/>
    <w:next w:val="Directions"/>
    <w:rsid w:val="00B427E5"/>
    <w:pPr>
      <w:keepNext/>
      <w:keepLines/>
      <w:numPr>
        <w:numId w:val="11"/>
      </w:numPr>
      <w:spacing w:after="240"/>
      <w:jc w:val="both"/>
    </w:pPr>
    <w:rPr>
      <w:rFonts w:ascii="Arial" w:hAnsi="Arial"/>
      <w:b/>
      <w:u w:val="single"/>
    </w:rPr>
  </w:style>
  <w:style w:type="paragraph" w:styleId="ListParagraph">
    <w:name w:val="List Paragraph"/>
    <w:basedOn w:val="Normal"/>
    <w:uiPriority w:val="34"/>
    <w:qFormat/>
    <w:rsid w:val="00BC3CB4"/>
    <w:pPr>
      <w:ind w:left="720"/>
      <w:contextualSpacing/>
    </w:pPr>
    <w:rPr>
      <w:rFonts w:ascii="Garamond" w:eastAsia="Calibri" w:hAnsi="Garamond"/>
      <w:szCs w:val="20"/>
      <w:lang w:eastAsia="en-US"/>
    </w:rPr>
  </w:style>
  <w:style w:type="character" w:customStyle="1" w:styleId="apple-converted-space">
    <w:name w:val="apple-converted-space"/>
    <w:basedOn w:val="DefaultParagraphFont"/>
    <w:rsid w:val="00FB3975"/>
  </w:style>
  <w:style w:type="paragraph" w:styleId="Revision">
    <w:name w:val="Revision"/>
    <w:hidden/>
    <w:uiPriority w:val="99"/>
    <w:semiHidden/>
    <w:rsid w:val="00617822"/>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42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1917</Words>
  <Characters>10020</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COMPOSITION OF TRIBUNALS</vt:lpstr>
    </vt:vector>
  </TitlesOfParts>
  <Company>Ministry of Justice</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COMPOSITION OF TRIBUNALS</dc:title>
  <dc:subject/>
  <dc:creator>phu95p</dc:creator>
  <cp:keywords/>
  <dc:description/>
  <cp:lastModifiedBy>Strachan, Sandra</cp:lastModifiedBy>
  <cp:revision>16</cp:revision>
  <cp:lastPrinted>2019-05-08T13:32:00Z</cp:lastPrinted>
  <dcterms:created xsi:type="dcterms:W3CDTF">2025-06-11T16:50:00Z</dcterms:created>
  <dcterms:modified xsi:type="dcterms:W3CDTF">2025-06-12T11:01:00Z</dcterms:modified>
</cp:coreProperties>
</file>