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jc w:val="center"/>
        <w:tblLook w:val="01E0" w:firstRow="1" w:lastRow="1" w:firstColumn="1" w:lastColumn="1" w:noHBand="0" w:noVBand="0"/>
      </w:tblPr>
      <w:tblGrid>
        <w:gridCol w:w="2083"/>
        <w:gridCol w:w="403"/>
        <w:gridCol w:w="6019"/>
      </w:tblGrid>
      <w:tr w:rsidR="00724F05" w:rsidRPr="007F1C70" w14:paraId="10042309" w14:textId="77777777" w:rsidTr="006A2906">
        <w:trPr>
          <w:trHeight w:val="1008"/>
          <w:jc w:val="center"/>
        </w:trPr>
        <w:tc>
          <w:tcPr>
            <w:tcW w:w="2083" w:type="dxa"/>
            <w:shd w:val="clear" w:color="auto" w:fill="auto"/>
            <w:vAlign w:val="center"/>
          </w:tcPr>
          <w:p w14:paraId="41CD49F9" w14:textId="66015545" w:rsidR="00724F05" w:rsidRPr="007F1C70" w:rsidRDefault="00636135" w:rsidP="007F1C70">
            <w:pPr>
              <w:tabs>
                <w:tab w:val="left" w:pos="2880"/>
              </w:tabs>
              <w:spacing w:before="240" w:after="240"/>
              <w:rPr>
                <w:rFonts w:ascii="Georgia" w:hAnsi="Georgia" w:cs="Arial"/>
                <w:b/>
                <w:bCs/>
              </w:rPr>
            </w:pPr>
            <w:r w:rsidRPr="007F1C70">
              <w:rPr>
                <w:rFonts w:ascii="Georgia" w:hAnsi="Georgia"/>
                <w:noProof/>
              </w:rPr>
              <w:drawing>
                <wp:inline distT="0" distB="0" distL="0" distR="0" wp14:anchorId="1CD27019" wp14:editId="3EDAABE5">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403" w:type="dxa"/>
            <w:shd w:val="clear" w:color="auto" w:fill="auto"/>
            <w:vAlign w:val="center"/>
          </w:tcPr>
          <w:p w14:paraId="7B9B9BBD" w14:textId="77777777" w:rsidR="00724F05" w:rsidRPr="007F1C70" w:rsidRDefault="00724F05" w:rsidP="007F1C70">
            <w:pPr>
              <w:tabs>
                <w:tab w:val="left" w:pos="2880"/>
              </w:tabs>
              <w:spacing w:before="240" w:after="240"/>
              <w:rPr>
                <w:rFonts w:ascii="Georgia" w:hAnsi="Georgia" w:cs="Arial"/>
                <w:b/>
                <w:bCs/>
              </w:rPr>
            </w:pPr>
          </w:p>
        </w:tc>
        <w:tc>
          <w:tcPr>
            <w:tcW w:w="6019" w:type="dxa"/>
            <w:shd w:val="clear" w:color="auto" w:fill="auto"/>
            <w:vAlign w:val="center"/>
          </w:tcPr>
          <w:p w14:paraId="1BB28A0A" w14:textId="77777777" w:rsidR="00724F05" w:rsidRPr="007F1C70" w:rsidRDefault="00724F05" w:rsidP="007F1C70">
            <w:pPr>
              <w:pStyle w:val="Title"/>
              <w:ind w:left="3600" w:hanging="3600"/>
              <w:jc w:val="left"/>
              <w:rPr>
                <w:rFonts w:ascii="Georgia" w:hAnsi="Georgia"/>
              </w:rPr>
            </w:pPr>
            <w:r w:rsidRPr="007F1C70">
              <w:rPr>
                <w:rFonts w:ascii="Georgia" w:hAnsi="Georgia"/>
                <w:sz w:val="24"/>
              </w:rPr>
              <w:t>FIRST-TIER TRIBUNAL</w:t>
            </w:r>
          </w:p>
          <w:p w14:paraId="2FA0430F" w14:textId="77777777" w:rsidR="0050502C" w:rsidRDefault="00724F05" w:rsidP="007F1C70">
            <w:pPr>
              <w:tabs>
                <w:tab w:val="left" w:pos="2880"/>
              </w:tabs>
              <w:rPr>
                <w:rFonts w:ascii="Georgia" w:hAnsi="Georgia"/>
                <w:b/>
              </w:rPr>
            </w:pPr>
            <w:r w:rsidRPr="007F1C70">
              <w:rPr>
                <w:rFonts w:ascii="Georgia" w:hAnsi="Georgia"/>
                <w:b/>
              </w:rPr>
              <w:t xml:space="preserve">PROPERTY CHAMBER </w:t>
            </w:r>
          </w:p>
          <w:p w14:paraId="2B665629" w14:textId="13DD660A" w:rsidR="00724F05" w:rsidRPr="007F1C70" w:rsidRDefault="00724F05" w:rsidP="007F1C70">
            <w:pPr>
              <w:tabs>
                <w:tab w:val="left" w:pos="2880"/>
              </w:tabs>
              <w:rPr>
                <w:rFonts w:ascii="Georgia" w:hAnsi="Georgia" w:cs="Arial"/>
                <w:b/>
                <w:bCs/>
              </w:rPr>
            </w:pPr>
            <w:r w:rsidRPr="007F1C70">
              <w:rPr>
                <w:rFonts w:ascii="Georgia" w:hAnsi="Georgia"/>
                <w:b/>
              </w:rPr>
              <w:t>(RESIDENTIAL PROPERTY)</w:t>
            </w:r>
          </w:p>
        </w:tc>
      </w:tr>
      <w:tr w:rsidR="00D562A8" w:rsidRPr="007F1C70" w14:paraId="1C38F89F" w14:textId="77777777" w:rsidTr="006A2906">
        <w:trPr>
          <w:jc w:val="center"/>
        </w:trPr>
        <w:tc>
          <w:tcPr>
            <w:tcW w:w="2083" w:type="dxa"/>
            <w:shd w:val="clear" w:color="auto" w:fill="auto"/>
            <w:vAlign w:val="center"/>
          </w:tcPr>
          <w:p w14:paraId="09C0D655" w14:textId="77777777" w:rsidR="00D562A8" w:rsidRPr="007F1C70" w:rsidRDefault="00D562A8" w:rsidP="00D562A8">
            <w:pPr>
              <w:tabs>
                <w:tab w:val="left" w:pos="2880"/>
              </w:tabs>
              <w:rPr>
                <w:rFonts w:ascii="Georgia" w:hAnsi="Georgia" w:cs="Arial"/>
                <w:b/>
                <w:bCs/>
              </w:rPr>
            </w:pPr>
            <w:r w:rsidRPr="007F1C70">
              <w:rPr>
                <w:rFonts w:ascii="Georgia" w:hAnsi="Georgia" w:cs="Arial"/>
                <w:b/>
                <w:bCs/>
              </w:rPr>
              <w:t>Case reference</w:t>
            </w:r>
          </w:p>
        </w:tc>
        <w:tc>
          <w:tcPr>
            <w:tcW w:w="403" w:type="dxa"/>
            <w:shd w:val="clear" w:color="auto" w:fill="auto"/>
            <w:vAlign w:val="center"/>
          </w:tcPr>
          <w:p w14:paraId="45EB27FC" w14:textId="77777777" w:rsidR="00D562A8" w:rsidRPr="007F1C70" w:rsidRDefault="00D562A8" w:rsidP="00D562A8">
            <w:pPr>
              <w:tabs>
                <w:tab w:val="left" w:pos="2880"/>
              </w:tabs>
              <w:spacing w:before="240" w:after="240"/>
              <w:rPr>
                <w:rFonts w:ascii="Georgia" w:hAnsi="Georgia" w:cs="Arial"/>
                <w:b/>
                <w:bCs/>
              </w:rPr>
            </w:pPr>
            <w:r w:rsidRPr="007F1C70">
              <w:rPr>
                <w:rFonts w:ascii="Georgia" w:hAnsi="Georgia" w:cs="Arial"/>
                <w:b/>
                <w:bCs/>
              </w:rPr>
              <w:t>:</w:t>
            </w:r>
          </w:p>
        </w:tc>
        <w:tc>
          <w:tcPr>
            <w:tcW w:w="6019" w:type="dxa"/>
            <w:shd w:val="clear" w:color="auto" w:fill="auto"/>
            <w:vAlign w:val="center"/>
          </w:tcPr>
          <w:p w14:paraId="6969D5B9" w14:textId="1497E643" w:rsidR="00D562A8" w:rsidRPr="007F1C70" w:rsidRDefault="00D562A8" w:rsidP="00CD7D4C">
            <w:pPr>
              <w:tabs>
                <w:tab w:val="left" w:pos="2880"/>
              </w:tabs>
              <w:rPr>
                <w:rFonts w:ascii="Georgia" w:eastAsia="Georgia" w:hAnsi="Georgia" w:cs="Georgia"/>
                <w:b/>
                <w:bCs/>
              </w:rPr>
            </w:pPr>
            <w:r w:rsidRPr="000822AC">
              <w:rPr>
                <w:rFonts w:ascii="Georgia" w:hAnsi="Georgia" w:cs="Arial"/>
                <w:b/>
                <w:bCs/>
              </w:rPr>
              <w:t>LON/</w:t>
            </w:r>
            <w:r w:rsidR="00466C12" w:rsidRPr="00466C12">
              <w:rPr>
                <w:rFonts w:ascii="Georgia" w:hAnsi="Georgia" w:cs="Segoe UI"/>
                <w:b/>
                <w:bCs/>
                <w:color w:val="242424"/>
                <w:kern w:val="36"/>
              </w:rPr>
              <w:t>00BK/LDC/2025/0687</w:t>
            </w:r>
          </w:p>
        </w:tc>
      </w:tr>
      <w:tr w:rsidR="00D562A8" w:rsidRPr="007F1C70" w14:paraId="50D7B201" w14:textId="77777777" w:rsidTr="006A2906">
        <w:trPr>
          <w:jc w:val="center"/>
        </w:trPr>
        <w:tc>
          <w:tcPr>
            <w:tcW w:w="2083" w:type="dxa"/>
            <w:shd w:val="clear" w:color="auto" w:fill="auto"/>
            <w:vAlign w:val="center"/>
          </w:tcPr>
          <w:p w14:paraId="50A69A24" w14:textId="77777777" w:rsidR="00D562A8" w:rsidRPr="007F1C70" w:rsidRDefault="00D562A8" w:rsidP="00D562A8">
            <w:pPr>
              <w:tabs>
                <w:tab w:val="left" w:pos="2880"/>
              </w:tabs>
              <w:rPr>
                <w:rFonts w:ascii="Georgia" w:hAnsi="Georgia" w:cs="Arial"/>
                <w:b/>
                <w:bCs/>
              </w:rPr>
            </w:pPr>
            <w:r w:rsidRPr="007F1C70">
              <w:rPr>
                <w:rFonts w:ascii="Georgia" w:hAnsi="Georgia" w:cs="Arial"/>
                <w:b/>
                <w:bCs/>
              </w:rPr>
              <w:t>Property</w:t>
            </w:r>
          </w:p>
        </w:tc>
        <w:tc>
          <w:tcPr>
            <w:tcW w:w="403" w:type="dxa"/>
            <w:shd w:val="clear" w:color="auto" w:fill="auto"/>
            <w:vAlign w:val="center"/>
          </w:tcPr>
          <w:p w14:paraId="227441A1" w14:textId="77777777" w:rsidR="00D562A8" w:rsidRPr="007F1C70" w:rsidRDefault="00D562A8" w:rsidP="00D562A8">
            <w:pPr>
              <w:tabs>
                <w:tab w:val="left" w:pos="2880"/>
              </w:tabs>
              <w:spacing w:before="240" w:after="240"/>
              <w:rPr>
                <w:rFonts w:ascii="Georgia" w:hAnsi="Georgia" w:cs="Arial"/>
                <w:b/>
                <w:bCs/>
              </w:rPr>
            </w:pPr>
            <w:r w:rsidRPr="007F1C70">
              <w:rPr>
                <w:rFonts w:ascii="Georgia" w:hAnsi="Georgia" w:cs="Arial"/>
                <w:b/>
                <w:bCs/>
              </w:rPr>
              <w:t>:</w:t>
            </w:r>
          </w:p>
        </w:tc>
        <w:tc>
          <w:tcPr>
            <w:tcW w:w="6019" w:type="dxa"/>
            <w:shd w:val="clear" w:color="auto" w:fill="auto"/>
            <w:vAlign w:val="center"/>
          </w:tcPr>
          <w:p w14:paraId="61067C34" w14:textId="59CF4CD5" w:rsidR="005352F0" w:rsidRPr="00CD7D4C" w:rsidRDefault="00466C12" w:rsidP="00B94BDE">
            <w:pPr>
              <w:pStyle w:val="Default"/>
            </w:pPr>
            <w:r>
              <w:rPr>
                <w:rFonts w:cs="Arial"/>
                <w:b/>
                <w:bCs/>
              </w:rPr>
              <w:t>41 Queensborough Terrace, London W2 3SY</w:t>
            </w:r>
          </w:p>
        </w:tc>
      </w:tr>
      <w:tr w:rsidR="00D562A8" w:rsidRPr="007F1C70" w14:paraId="561AE161" w14:textId="77777777" w:rsidTr="006A2906">
        <w:trPr>
          <w:jc w:val="center"/>
        </w:trPr>
        <w:tc>
          <w:tcPr>
            <w:tcW w:w="2083" w:type="dxa"/>
            <w:shd w:val="clear" w:color="auto" w:fill="auto"/>
            <w:vAlign w:val="center"/>
          </w:tcPr>
          <w:p w14:paraId="7DD4A567" w14:textId="77777777" w:rsidR="00D562A8" w:rsidRPr="007F1C70" w:rsidRDefault="00D562A8" w:rsidP="00D562A8">
            <w:pPr>
              <w:tabs>
                <w:tab w:val="left" w:pos="2880"/>
              </w:tabs>
              <w:rPr>
                <w:rFonts w:ascii="Georgia" w:hAnsi="Georgia" w:cs="Arial"/>
                <w:b/>
                <w:bCs/>
              </w:rPr>
            </w:pPr>
            <w:r w:rsidRPr="007F1C70">
              <w:rPr>
                <w:rFonts w:ascii="Georgia" w:hAnsi="Georgia" w:cs="Arial"/>
                <w:b/>
                <w:bCs/>
              </w:rPr>
              <w:t>Applicant</w:t>
            </w:r>
          </w:p>
        </w:tc>
        <w:tc>
          <w:tcPr>
            <w:tcW w:w="403" w:type="dxa"/>
            <w:shd w:val="clear" w:color="auto" w:fill="auto"/>
            <w:vAlign w:val="center"/>
          </w:tcPr>
          <w:p w14:paraId="61DA66D6" w14:textId="77777777" w:rsidR="00D562A8" w:rsidRPr="007F1C70" w:rsidRDefault="00D562A8" w:rsidP="00D562A8">
            <w:pPr>
              <w:tabs>
                <w:tab w:val="left" w:pos="2880"/>
              </w:tabs>
              <w:spacing w:before="240" w:after="240"/>
              <w:rPr>
                <w:rFonts w:ascii="Georgia" w:hAnsi="Georgia" w:cs="Arial"/>
                <w:b/>
                <w:bCs/>
              </w:rPr>
            </w:pPr>
            <w:r w:rsidRPr="007F1C70">
              <w:rPr>
                <w:rFonts w:ascii="Georgia" w:hAnsi="Georgia" w:cs="Arial"/>
                <w:b/>
                <w:bCs/>
              </w:rPr>
              <w:t>:</w:t>
            </w:r>
          </w:p>
        </w:tc>
        <w:tc>
          <w:tcPr>
            <w:tcW w:w="6019" w:type="dxa"/>
            <w:shd w:val="clear" w:color="auto" w:fill="auto"/>
            <w:vAlign w:val="center"/>
          </w:tcPr>
          <w:p w14:paraId="12A81ADA" w14:textId="5D3DBE3A" w:rsidR="00D562A8" w:rsidRPr="007F1C70" w:rsidRDefault="00466C12" w:rsidP="00D562A8">
            <w:pPr>
              <w:tabs>
                <w:tab w:val="left" w:pos="2880"/>
              </w:tabs>
              <w:rPr>
                <w:rFonts w:ascii="Georgia" w:hAnsi="Georgia" w:cs="Arial"/>
                <w:b/>
                <w:bCs/>
              </w:rPr>
            </w:pPr>
            <w:proofErr w:type="spellStart"/>
            <w:r>
              <w:rPr>
                <w:rFonts w:ascii="Georgia" w:hAnsi="Georgia" w:cs="Arial"/>
                <w:b/>
                <w:bCs/>
              </w:rPr>
              <w:t>Plantview</w:t>
            </w:r>
            <w:proofErr w:type="spellEnd"/>
            <w:r>
              <w:rPr>
                <w:rFonts w:ascii="Georgia" w:hAnsi="Georgia" w:cs="Arial"/>
                <w:b/>
                <w:bCs/>
              </w:rPr>
              <w:t xml:space="preserve"> </w:t>
            </w:r>
            <w:r w:rsidR="00A67C8E">
              <w:rPr>
                <w:rFonts w:ascii="Georgia" w:hAnsi="Georgia" w:cs="Arial"/>
                <w:b/>
                <w:bCs/>
              </w:rPr>
              <w:t>Ltd</w:t>
            </w:r>
          </w:p>
        </w:tc>
      </w:tr>
      <w:tr w:rsidR="00EE0299" w:rsidRPr="007F1C70" w14:paraId="01924DBB" w14:textId="77777777" w:rsidTr="006A2906">
        <w:trPr>
          <w:jc w:val="center"/>
        </w:trPr>
        <w:tc>
          <w:tcPr>
            <w:tcW w:w="2083" w:type="dxa"/>
            <w:shd w:val="clear" w:color="auto" w:fill="auto"/>
            <w:vAlign w:val="center"/>
          </w:tcPr>
          <w:p w14:paraId="5F1FD497" w14:textId="41BC6644" w:rsidR="00EE0299" w:rsidRPr="007F1C70" w:rsidRDefault="00EE0299" w:rsidP="00D562A8">
            <w:pPr>
              <w:tabs>
                <w:tab w:val="left" w:pos="2880"/>
              </w:tabs>
              <w:rPr>
                <w:rFonts w:ascii="Georgia" w:hAnsi="Georgia" w:cs="Arial"/>
                <w:b/>
                <w:bCs/>
              </w:rPr>
            </w:pPr>
            <w:r>
              <w:rPr>
                <w:rFonts w:ascii="Georgia" w:hAnsi="Georgia" w:cs="Arial"/>
                <w:b/>
                <w:bCs/>
              </w:rPr>
              <w:t>Representative</w:t>
            </w:r>
          </w:p>
        </w:tc>
        <w:tc>
          <w:tcPr>
            <w:tcW w:w="403" w:type="dxa"/>
            <w:shd w:val="clear" w:color="auto" w:fill="auto"/>
            <w:vAlign w:val="center"/>
          </w:tcPr>
          <w:p w14:paraId="632B7DF2" w14:textId="73AC0F53" w:rsidR="00EE0299" w:rsidRPr="007F1C70" w:rsidRDefault="00EE0299" w:rsidP="00D562A8">
            <w:pPr>
              <w:tabs>
                <w:tab w:val="left" w:pos="2880"/>
              </w:tabs>
              <w:spacing w:before="240" w:after="240"/>
              <w:rPr>
                <w:rFonts w:ascii="Georgia" w:hAnsi="Georgia" w:cs="Arial"/>
                <w:b/>
                <w:bCs/>
              </w:rPr>
            </w:pPr>
            <w:r>
              <w:rPr>
                <w:rFonts w:ascii="Georgia" w:hAnsi="Georgia" w:cs="Arial"/>
                <w:b/>
                <w:bCs/>
              </w:rPr>
              <w:t>:</w:t>
            </w:r>
          </w:p>
        </w:tc>
        <w:tc>
          <w:tcPr>
            <w:tcW w:w="6019" w:type="dxa"/>
            <w:shd w:val="clear" w:color="auto" w:fill="auto"/>
            <w:vAlign w:val="center"/>
          </w:tcPr>
          <w:p w14:paraId="168B85A2" w14:textId="739DC190" w:rsidR="00EE0299" w:rsidRDefault="00DA616A" w:rsidP="00D562A8">
            <w:pPr>
              <w:tabs>
                <w:tab w:val="left" w:pos="2880"/>
              </w:tabs>
              <w:rPr>
                <w:rFonts w:ascii="Georgia" w:hAnsi="Georgia" w:cs="Arial"/>
                <w:b/>
                <w:bCs/>
              </w:rPr>
            </w:pPr>
            <w:r>
              <w:rPr>
                <w:rFonts w:ascii="Georgia" w:hAnsi="Georgia" w:cs="Arial"/>
                <w:b/>
                <w:bCs/>
              </w:rPr>
              <w:t>Residential</w:t>
            </w:r>
            <w:r w:rsidR="007775BF">
              <w:rPr>
                <w:rFonts w:ascii="Georgia" w:hAnsi="Georgia" w:cs="Arial"/>
                <w:b/>
                <w:bCs/>
              </w:rPr>
              <w:t xml:space="preserve"> Management</w:t>
            </w:r>
            <w:r>
              <w:rPr>
                <w:rFonts w:ascii="Georgia" w:hAnsi="Georgia" w:cs="Arial"/>
                <w:b/>
                <w:bCs/>
              </w:rPr>
              <w:t xml:space="preserve"> Group</w:t>
            </w:r>
          </w:p>
        </w:tc>
      </w:tr>
      <w:tr w:rsidR="00D562A8" w:rsidRPr="007F1C70" w14:paraId="4DB14D83" w14:textId="77777777" w:rsidTr="006A2906">
        <w:trPr>
          <w:jc w:val="center"/>
        </w:trPr>
        <w:tc>
          <w:tcPr>
            <w:tcW w:w="2083" w:type="dxa"/>
            <w:shd w:val="clear" w:color="auto" w:fill="auto"/>
            <w:vAlign w:val="center"/>
          </w:tcPr>
          <w:p w14:paraId="5769BC60" w14:textId="1AF3B7A2" w:rsidR="00D562A8" w:rsidRPr="007F1C70" w:rsidRDefault="00D562A8" w:rsidP="00D562A8">
            <w:pPr>
              <w:tabs>
                <w:tab w:val="left" w:pos="2880"/>
              </w:tabs>
              <w:rPr>
                <w:rFonts w:ascii="Georgia" w:hAnsi="Georgia" w:cs="Arial"/>
                <w:b/>
                <w:bCs/>
              </w:rPr>
            </w:pPr>
            <w:r w:rsidRPr="007F1C70">
              <w:rPr>
                <w:rFonts w:ascii="Georgia" w:hAnsi="Georgia" w:cs="Arial"/>
                <w:b/>
                <w:bCs/>
              </w:rPr>
              <w:t>Respondent</w:t>
            </w:r>
            <w:r>
              <w:rPr>
                <w:rFonts w:ascii="Georgia" w:hAnsi="Georgia" w:cs="Arial"/>
                <w:b/>
                <w:bCs/>
              </w:rPr>
              <w:t>s</w:t>
            </w:r>
          </w:p>
        </w:tc>
        <w:tc>
          <w:tcPr>
            <w:tcW w:w="403" w:type="dxa"/>
            <w:shd w:val="clear" w:color="auto" w:fill="auto"/>
            <w:vAlign w:val="center"/>
          </w:tcPr>
          <w:p w14:paraId="0E6C8B7D" w14:textId="77777777" w:rsidR="00D562A8" w:rsidRPr="007F1C70" w:rsidRDefault="00D562A8" w:rsidP="00D562A8">
            <w:pPr>
              <w:tabs>
                <w:tab w:val="left" w:pos="2880"/>
              </w:tabs>
              <w:spacing w:before="240" w:after="240"/>
              <w:rPr>
                <w:rFonts w:ascii="Georgia" w:hAnsi="Georgia" w:cs="Arial"/>
                <w:b/>
                <w:bCs/>
              </w:rPr>
            </w:pPr>
            <w:r w:rsidRPr="007F1C70">
              <w:rPr>
                <w:rFonts w:ascii="Georgia" w:hAnsi="Georgia" w:cs="Arial"/>
                <w:b/>
                <w:bCs/>
              </w:rPr>
              <w:t>:</w:t>
            </w:r>
          </w:p>
        </w:tc>
        <w:tc>
          <w:tcPr>
            <w:tcW w:w="6019" w:type="dxa"/>
            <w:shd w:val="clear" w:color="auto" w:fill="auto"/>
            <w:vAlign w:val="center"/>
          </w:tcPr>
          <w:p w14:paraId="7530015D" w14:textId="05BD7A97" w:rsidR="007775BF" w:rsidRPr="00705FEC" w:rsidRDefault="00705FEC" w:rsidP="00705FEC">
            <w:pPr>
              <w:tabs>
                <w:tab w:val="left" w:pos="2880"/>
              </w:tabs>
              <w:rPr>
                <w:rFonts w:ascii="Georgia" w:hAnsi="Georgia" w:cs="Arial"/>
                <w:b/>
                <w:bCs/>
              </w:rPr>
            </w:pPr>
            <w:r>
              <w:rPr>
                <w:rFonts w:ascii="Georgia" w:hAnsi="Georgia" w:cs="Arial"/>
                <w:b/>
                <w:bCs/>
              </w:rPr>
              <w:t>The leaseholders of 41 Queensborough Terrace, listed in the application</w:t>
            </w:r>
          </w:p>
        </w:tc>
      </w:tr>
      <w:tr w:rsidR="00724F05" w:rsidRPr="007F1C70" w14:paraId="7966B3DB" w14:textId="77777777" w:rsidTr="006A2906">
        <w:trPr>
          <w:jc w:val="center"/>
        </w:trPr>
        <w:tc>
          <w:tcPr>
            <w:tcW w:w="2083" w:type="dxa"/>
            <w:shd w:val="clear" w:color="auto" w:fill="auto"/>
            <w:vAlign w:val="center"/>
          </w:tcPr>
          <w:p w14:paraId="180D8A50"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Type of </w:t>
            </w:r>
            <w:r w:rsidR="00DE413A" w:rsidRPr="007F1C70">
              <w:rPr>
                <w:rFonts w:ascii="Georgia" w:hAnsi="Georgia" w:cs="Arial"/>
                <w:b/>
                <w:bCs/>
              </w:rPr>
              <w:t>a</w:t>
            </w:r>
            <w:r w:rsidRPr="007F1C70">
              <w:rPr>
                <w:rFonts w:ascii="Georgia" w:hAnsi="Georgia" w:cs="Arial"/>
                <w:b/>
                <w:bCs/>
              </w:rPr>
              <w:t>pplication</w:t>
            </w:r>
          </w:p>
        </w:tc>
        <w:tc>
          <w:tcPr>
            <w:tcW w:w="403" w:type="dxa"/>
            <w:shd w:val="clear" w:color="auto" w:fill="auto"/>
            <w:vAlign w:val="center"/>
          </w:tcPr>
          <w:p w14:paraId="5A7FE3E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6019" w:type="dxa"/>
            <w:shd w:val="clear" w:color="auto" w:fill="auto"/>
            <w:vAlign w:val="center"/>
          </w:tcPr>
          <w:p w14:paraId="7757ABCC" w14:textId="633AED78" w:rsidR="00724F05" w:rsidRPr="007F1C70" w:rsidRDefault="00CD54F1" w:rsidP="007F1C70">
            <w:pPr>
              <w:tabs>
                <w:tab w:val="left" w:pos="2880"/>
              </w:tabs>
              <w:spacing w:before="120" w:after="120"/>
              <w:rPr>
                <w:rFonts w:ascii="Georgia" w:hAnsi="Georgia" w:cs="Arial"/>
                <w:b/>
                <w:bCs/>
              </w:rPr>
            </w:pPr>
            <w:r>
              <w:rPr>
                <w:rFonts w:ascii="Georgia" w:hAnsi="Georgia" w:cs="Arial"/>
                <w:b/>
                <w:bCs/>
              </w:rPr>
              <w:t>Dispensation from statutory consultation requirements</w:t>
            </w:r>
          </w:p>
        </w:tc>
      </w:tr>
      <w:tr w:rsidR="00964F35" w:rsidRPr="007F1C70" w14:paraId="33747599" w14:textId="77777777" w:rsidTr="006A2906">
        <w:trPr>
          <w:jc w:val="center"/>
        </w:trPr>
        <w:tc>
          <w:tcPr>
            <w:tcW w:w="2083" w:type="dxa"/>
            <w:shd w:val="clear" w:color="auto" w:fill="auto"/>
            <w:vAlign w:val="center"/>
          </w:tcPr>
          <w:p w14:paraId="740ED769" w14:textId="0427C4E9" w:rsidR="00964F35" w:rsidRPr="007F1C70" w:rsidRDefault="00964F35" w:rsidP="007F1C70">
            <w:pPr>
              <w:tabs>
                <w:tab w:val="left" w:pos="2880"/>
              </w:tabs>
              <w:rPr>
                <w:rFonts w:ascii="Georgia" w:hAnsi="Georgia" w:cs="Arial"/>
                <w:b/>
                <w:bCs/>
              </w:rPr>
            </w:pPr>
            <w:r w:rsidRPr="007F1C70">
              <w:rPr>
                <w:rFonts w:ascii="Georgia" w:hAnsi="Georgia" w:cs="Arial"/>
                <w:b/>
                <w:bCs/>
              </w:rPr>
              <w:t xml:space="preserve">Tribunal </w:t>
            </w:r>
          </w:p>
        </w:tc>
        <w:tc>
          <w:tcPr>
            <w:tcW w:w="403" w:type="dxa"/>
            <w:shd w:val="clear" w:color="auto" w:fill="auto"/>
            <w:vAlign w:val="center"/>
          </w:tcPr>
          <w:p w14:paraId="786AC4E9" w14:textId="77777777" w:rsidR="00964F35" w:rsidRPr="007F1C70" w:rsidRDefault="00964F35" w:rsidP="007F1C70">
            <w:pPr>
              <w:tabs>
                <w:tab w:val="left" w:pos="2880"/>
              </w:tabs>
              <w:spacing w:before="240" w:after="240"/>
              <w:rPr>
                <w:rFonts w:ascii="Georgia" w:hAnsi="Georgia" w:cs="Arial"/>
                <w:b/>
                <w:bCs/>
              </w:rPr>
            </w:pPr>
            <w:r w:rsidRPr="007F1C70">
              <w:rPr>
                <w:rFonts w:ascii="Georgia" w:hAnsi="Georgia" w:cs="Arial"/>
                <w:b/>
                <w:bCs/>
              </w:rPr>
              <w:t>:</w:t>
            </w:r>
          </w:p>
        </w:tc>
        <w:tc>
          <w:tcPr>
            <w:tcW w:w="6019" w:type="dxa"/>
            <w:shd w:val="clear" w:color="auto" w:fill="auto"/>
            <w:vAlign w:val="center"/>
          </w:tcPr>
          <w:p w14:paraId="67380CC4" w14:textId="77777777" w:rsidR="00466C12" w:rsidRPr="004F0457" w:rsidRDefault="007B2B8A" w:rsidP="00466C12">
            <w:pPr>
              <w:tabs>
                <w:tab w:val="left" w:pos="2880"/>
              </w:tabs>
              <w:rPr>
                <w:rFonts w:ascii="Georgia" w:hAnsi="Georgia" w:cs="Arial"/>
                <w:b/>
                <w:bCs/>
              </w:rPr>
            </w:pPr>
            <w:r>
              <w:rPr>
                <w:rFonts w:ascii="Georgia" w:hAnsi="Georgia" w:cs="Arial"/>
                <w:b/>
                <w:bCs/>
              </w:rPr>
              <w:t>Judge Nicol</w:t>
            </w:r>
          </w:p>
          <w:p w14:paraId="331122E5" w14:textId="6C4EA73F" w:rsidR="00466C12" w:rsidRPr="007F1C70" w:rsidRDefault="00466C12" w:rsidP="00466C12">
            <w:pPr>
              <w:tabs>
                <w:tab w:val="left" w:pos="2880"/>
              </w:tabs>
              <w:rPr>
                <w:rFonts w:ascii="Georgia" w:hAnsi="Georgia" w:cs="Arial"/>
                <w:b/>
                <w:bCs/>
              </w:rPr>
            </w:pPr>
            <w:r w:rsidRPr="0062786F">
              <w:rPr>
                <w:rFonts w:ascii="Georgia" w:hAnsi="Georgia" w:cs="Arial"/>
                <w:b/>
                <w:bCs/>
              </w:rPr>
              <w:t xml:space="preserve">Mrs </w:t>
            </w:r>
            <w:r>
              <w:rPr>
                <w:rFonts w:ascii="Georgia" w:hAnsi="Georgia" w:cs="Arial"/>
                <w:b/>
                <w:bCs/>
              </w:rPr>
              <w:t>J Rodericks MRICS</w:t>
            </w:r>
          </w:p>
        </w:tc>
      </w:tr>
      <w:tr w:rsidR="00724F05" w:rsidRPr="007F1C70" w14:paraId="44D9F2D7" w14:textId="77777777" w:rsidTr="006A2906">
        <w:trPr>
          <w:jc w:val="center"/>
        </w:trPr>
        <w:tc>
          <w:tcPr>
            <w:tcW w:w="2083" w:type="dxa"/>
            <w:shd w:val="clear" w:color="auto" w:fill="auto"/>
            <w:vAlign w:val="center"/>
          </w:tcPr>
          <w:p w14:paraId="4318E66D"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Date of </w:t>
            </w:r>
            <w:r w:rsidR="00DE413A" w:rsidRPr="007F1C70">
              <w:rPr>
                <w:rFonts w:ascii="Georgia" w:hAnsi="Georgia" w:cs="Arial"/>
                <w:b/>
                <w:bCs/>
              </w:rPr>
              <w:t>d</w:t>
            </w:r>
            <w:r w:rsidRPr="007F1C70">
              <w:rPr>
                <w:rFonts w:ascii="Georgia" w:hAnsi="Georgia" w:cs="Arial"/>
                <w:b/>
                <w:bCs/>
              </w:rPr>
              <w:t>ecision</w:t>
            </w:r>
          </w:p>
        </w:tc>
        <w:tc>
          <w:tcPr>
            <w:tcW w:w="403" w:type="dxa"/>
            <w:shd w:val="clear" w:color="auto" w:fill="auto"/>
            <w:vAlign w:val="center"/>
          </w:tcPr>
          <w:p w14:paraId="2D4CB9FE"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6019" w:type="dxa"/>
            <w:shd w:val="clear" w:color="auto" w:fill="auto"/>
            <w:vAlign w:val="center"/>
          </w:tcPr>
          <w:p w14:paraId="7388094E" w14:textId="418749A8" w:rsidR="00724F05" w:rsidRPr="007F1C70" w:rsidRDefault="00466C12" w:rsidP="007F1C70">
            <w:pPr>
              <w:tabs>
                <w:tab w:val="left" w:pos="2880"/>
              </w:tabs>
              <w:rPr>
                <w:rFonts w:ascii="Georgia" w:hAnsi="Georgia" w:cs="Arial"/>
                <w:b/>
                <w:bCs/>
              </w:rPr>
            </w:pPr>
            <w:r>
              <w:rPr>
                <w:rFonts w:ascii="Georgia" w:hAnsi="Georgia" w:cs="Arial"/>
                <w:b/>
                <w:bCs/>
              </w:rPr>
              <w:t>30</w:t>
            </w:r>
            <w:r w:rsidR="00B94BDE" w:rsidRPr="00B94BDE">
              <w:rPr>
                <w:rFonts w:ascii="Georgia" w:hAnsi="Georgia" w:cs="Arial"/>
                <w:b/>
                <w:bCs/>
                <w:vertAlign w:val="superscript"/>
              </w:rPr>
              <w:t>th</w:t>
            </w:r>
            <w:r w:rsidR="00B94BDE">
              <w:rPr>
                <w:rFonts w:ascii="Georgia" w:hAnsi="Georgia" w:cs="Arial"/>
                <w:b/>
                <w:bCs/>
              </w:rPr>
              <w:t xml:space="preserve"> </w:t>
            </w:r>
            <w:r>
              <w:rPr>
                <w:rFonts w:ascii="Georgia" w:hAnsi="Georgia" w:cs="Arial"/>
                <w:b/>
                <w:bCs/>
              </w:rPr>
              <w:t>June</w:t>
            </w:r>
            <w:r w:rsidR="00EE0299">
              <w:rPr>
                <w:rFonts w:ascii="Georgia" w:hAnsi="Georgia" w:cs="Arial"/>
                <w:b/>
                <w:bCs/>
              </w:rPr>
              <w:t xml:space="preserve"> 202</w:t>
            </w:r>
            <w:r w:rsidR="007775BF">
              <w:rPr>
                <w:rFonts w:ascii="Georgia" w:hAnsi="Georgia" w:cs="Arial"/>
                <w:b/>
                <w:bCs/>
              </w:rPr>
              <w:t>5</w:t>
            </w:r>
          </w:p>
        </w:tc>
      </w:tr>
    </w:tbl>
    <w:p w14:paraId="314F3409" w14:textId="77777777" w:rsidR="00C27ECE" w:rsidRDefault="00C27ECE" w:rsidP="00724F05">
      <w:pPr>
        <w:jc w:val="both"/>
        <w:rPr>
          <w:szCs w:val="20"/>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C27ECE" w:rsidRPr="007F1C70" w14:paraId="03041107" w14:textId="77777777" w:rsidTr="00F109B2">
        <w:trPr>
          <w:trHeight w:val="811"/>
        </w:trPr>
        <w:tc>
          <w:tcPr>
            <w:tcW w:w="8364" w:type="dxa"/>
            <w:tcBorders>
              <w:left w:val="nil"/>
              <w:right w:val="nil"/>
            </w:tcBorders>
            <w:shd w:val="clear" w:color="auto" w:fill="auto"/>
            <w:vAlign w:val="center"/>
          </w:tcPr>
          <w:p w14:paraId="468BFA09" w14:textId="77777777" w:rsidR="00C27ECE" w:rsidRPr="007F1C70" w:rsidRDefault="00C27ECE" w:rsidP="007F1C70">
            <w:pPr>
              <w:jc w:val="center"/>
              <w:rPr>
                <w:szCs w:val="20"/>
              </w:rPr>
            </w:pPr>
            <w:r w:rsidRPr="007F1C70">
              <w:rPr>
                <w:rFonts w:ascii="Georgia" w:hAnsi="Georgia" w:cs="Arial"/>
                <w:b/>
                <w:bCs/>
              </w:rPr>
              <w:t>DECISION</w:t>
            </w:r>
          </w:p>
        </w:tc>
      </w:tr>
    </w:tbl>
    <w:p w14:paraId="4E0DE048" w14:textId="77777777" w:rsidR="00C27ECE" w:rsidRPr="00092C14" w:rsidRDefault="00C27ECE" w:rsidP="00724F05">
      <w:pPr>
        <w:jc w:val="both"/>
        <w:rPr>
          <w:rFonts w:ascii="Georgia" w:hAnsi="Georgia"/>
          <w:szCs w:val="20"/>
        </w:rPr>
      </w:pPr>
    </w:p>
    <w:p w14:paraId="1207934F" w14:textId="6C143AFD" w:rsidR="00CE0762" w:rsidRPr="005F389B" w:rsidRDefault="00CE0762" w:rsidP="007B2B8A">
      <w:pPr>
        <w:autoSpaceDE w:val="0"/>
        <w:autoSpaceDN w:val="0"/>
        <w:adjustRightInd w:val="0"/>
        <w:spacing w:after="360"/>
        <w:jc w:val="both"/>
        <w:rPr>
          <w:rFonts w:ascii="Georgia" w:hAnsi="Georgia" w:cs="Arial"/>
          <w:bCs/>
        </w:rPr>
      </w:pPr>
      <w:r w:rsidRPr="005F389B">
        <w:rPr>
          <w:rFonts w:ascii="Georgia" w:hAnsi="Georgia" w:cs="Arial"/>
          <w:bCs/>
        </w:rPr>
        <w:t>The Tribunal grants the Applicant dispensation</w:t>
      </w:r>
      <w:r w:rsidR="003A4601">
        <w:rPr>
          <w:rFonts w:ascii="Georgia" w:hAnsi="Georgia" w:cs="Arial"/>
          <w:bCs/>
        </w:rPr>
        <w:t xml:space="preserve"> under section 20ZA of the Landlord and Tenant Act 1985</w:t>
      </w:r>
      <w:r w:rsidRPr="005F389B">
        <w:rPr>
          <w:rFonts w:ascii="Georgia" w:hAnsi="Georgia" w:cs="Arial"/>
          <w:bCs/>
        </w:rPr>
        <w:t xml:space="preserve"> from the</w:t>
      </w:r>
      <w:r w:rsidR="003A4601">
        <w:rPr>
          <w:rFonts w:ascii="Georgia" w:hAnsi="Georgia" w:cs="Arial"/>
          <w:bCs/>
        </w:rPr>
        <w:t xml:space="preserve"> statutory</w:t>
      </w:r>
      <w:r w:rsidRPr="005F389B">
        <w:rPr>
          <w:rFonts w:ascii="Georgia" w:hAnsi="Georgia" w:cs="Arial"/>
          <w:bCs/>
        </w:rPr>
        <w:t xml:space="preserve"> consul</w:t>
      </w:r>
      <w:r w:rsidR="007B2B8A">
        <w:rPr>
          <w:rFonts w:ascii="Georgia" w:hAnsi="Georgia" w:cs="Arial"/>
          <w:bCs/>
        </w:rPr>
        <w:t>t</w:t>
      </w:r>
      <w:r w:rsidRPr="005F389B">
        <w:rPr>
          <w:rFonts w:ascii="Georgia" w:hAnsi="Georgia" w:cs="Arial"/>
          <w:bCs/>
        </w:rPr>
        <w:t xml:space="preserve">ation requirements in </w:t>
      </w:r>
      <w:r w:rsidR="004A012D">
        <w:rPr>
          <w:rFonts w:ascii="Georgia" w:hAnsi="Georgia" w:cs="Arial"/>
          <w:bCs/>
        </w:rPr>
        <w:t>respect of works</w:t>
      </w:r>
      <w:r w:rsidR="00540947">
        <w:rPr>
          <w:rFonts w:ascii="Georgia" w:hAnsi="Georgia" w:cs="Arial"/>
          <w:bCs/>
        </w:rPr>
        <w:t xml:space="preserve"> undertaken on 6</w:t>
      </w:r>
      <w:r w:rsidR="00540947" w:rsidRPr="00540947">
        <w:rPr>
          <w:rFonts w:ascii="Georgia" w:hAnsi="Georgia" w:cs="Arial"/>
          <w:bCs/>
          <w:vertAlign w:val="superscript"/>
        </w:rPr>
        <w:t>th</w:t>
      </w:r>
      <w:r w:rsidR="00540947">
        <w:rPr>
          <w:rFonts w:ascii="Georgia" w:hAnsi="Georgia" w:cs="Arial"/>
          <w:bCs/>
        </w:rPr>
        <w:t xml:space="preserve"> November 2024</w:t>
      </w:r>
      <w:r w:rsidR="004A012D">
        <w:rPr>
          <w:rFonts w:ascii="Georgia" w:hAnsi="Georgia" w:cs="Arial"/>
          <w:bCs/>
        </w:rPr>
        <w:t xml:space="preserve"> to</w:t>
      </w:r>
      <w:r w:rsidR="0032783C">
        <w:rPr>
          <w:rFonts w:ascii="Georgia" w:hAnsi="Georgia" w:cs="Arial"/>
          <w:bCs/>
        </w:rPr>
        <w:t xml:space="preserve"> </w:t>
      </w:r>
      <w:r w:rsidR="001F0DFF">
        <w:rPr>
          <w:rFonts w:ascii="Georgia" w:hAnsi="Georgia" w:cs="Arial"/>
          <w:bCs/>
        </w:rPr>
        <w:t xml:space="preserve">resolve </w:t>
      </w:r>
      <w:r w:rsidR="00540947">
        <w:rPr>
          <w:rFonts w:ascii="Georgia" w:hAnsi="Georgia" w:cs="Arial"/>
          <w:bCs/>
        </w:rPr>
        <w:t>a</w:t>
      </w:r>
      <w:r w:rsidR="00794747">
        <w:rPr>
          <w:rFonts w:ascii="Georgia" w:hAnsi="Georgia" w:cs="Arial"/>
          <w:bCs/>
        </w:rPr>
        <w:t xml:space="preserve"> leak to </w:t>
      </w:r>
      <w:r w:rsidR="00705FEC">
        <w:rPr>
          <w:rFonts w:ascii="Georgia" w:hAnsi="Georgia" w:cs="Arial"/>
          <w:bCs/>
        </w:rPr>
        <w:t>a</w:t>
      </w:r>
      <w:r w:rsidR="00794747">
        <w:rPr>
          <w:rFonts w:ascii="Georgia" w:hAnsi="Georgia" w:cs="Arial"/>
          <w:bCs/>
        </w:rPr>
        <w:t xml:space="preserve"> roof</w:t>
      </w:r>
      <w:r w:rsidR="001F0DFF">
        <w:rPr>
          <w:rFonts w:ascii="Georgia" w:hAnsi="Georgia" w:cs="Arial"/>
          <w:bCs/>
        </w:rPr>
        <w:t xml:space="preserve"> at the subject property</w:t>
      </w:r>
      <w:r w:rsidR="00F800AD">
        <w:rPr>
          <w:rFonts w:ascii="Georgia" w:hAnsi="Georgia" w:cs="Arial"/>
          <w:bCs/>
        </w:rPr>
        <w:t>.</w:t>
      </w:r>
    </w:p>
    <w:p w14:paraId="47AAFC0A" w14:textId="0F07DF90" w:rsidR="00CE0762" w:rsidRPr="005F389B" w:rsidRDefault="004212D7" w:rsidP="00CE0762">
      <w:pPr>
        <w:autoSpaceDE w:val="0"/>
        <w:autoSpaceDN w:val="0"/>
        <w:adjustRightInd w:val="0"/>
        <w:spacing w:after="360"/>
        <w:jc w:val="both"/>
        <w:rPr>
          <w:rFonts w:ascii="Georgia" w:hAnsi="Georgia" w:cs="Arial"/>
          <w:b/>
          <w:u w:val="single"/>
        </w:rPr>
      </w:pPr>
      <w:r>
        <w:rPr>
          <w:rFonts w:ascii="Georgia" w:hAnsi="Georgia" w:cs="Arial"/>
          <w:b/>
          <w:u w:val="single"/>
        </w:rPr>
        <w:t>Reasons</w:t>
      </w:r>
    </w:p>
    <w:p w14:paraId="0593EA45" w14:textId="0960AB72" w:rsidR="00CE0762" w:rsidRPr="005F389B" w:rsidRDefault="00CE0762" w:rsidP="00BF7BA9">
      <w:pPr>
        <w:numPr>
          <w:ilvl w:val="0"/>
          <w:numId w:val="8"/>
        </w:numPr>
        <w:tabs>
          <w:tab w:val="num" w:pos="709"/>
        </w:tabs>
        <w:autoSpaceDE w:val="0"/>
        <w:autoSpaceDN w:val="0"/>
        <w:adjustRightInd w:val="0"/>
        <w:spacing w:after="240"/>
        <w:ind w:left="709" w:hanging="709"/>
        <w:jc w:val="both"/>
        <w:rPr>
          <w:rFonts w:ascii="Georgia" w:hAnsi="Georgia" w:cs="Arial"/>
          <w:lang w:eastAsia="en-US"/>
        </w:rPr>
      </w:pPr>
      <w:r w:rsidRPr="005F389B">
        <w:rPr>
          <w:rFonts w:ascii="Georgia" w:hAnsi="Georgia" w:cs="Arial"/>
          <w:lang w:eastAsia="en-US"/>
        </w:rPr>
        <w:t xml:space="preserve">This </w:t>
      </w:r>
      <w:r w:rsidR="006F1E5A">
        <w:rPr>
          <w:rFonts w:ascii="Georgia" w:hAnsi="Georgia" w:cs="Arial"/>
          <w:lang w:eastAsia="en-US"/>
        </w:rPr>
        <w:t>application for dispensation from</w:t>
      </w:r>
      <w:r w:rsidR="001D1C24">
        <w:rPr>
          <w:rFonts w:ascii="Georgia" w:hAnsi="Georgia" w:cs="Arial"/>
          <w:lang w:eastAsia="en-US"/>
        </w:rPr>
        <w:t xml:space="preserve"> the</w:t>
      </w:r>
      <w:r w:rsidR="006F1E5A">
        <w:rPr>
          <w:rFonts w:ascii="Georgia" w:hAnsi="Georgia" w:cs="Arial"/>
          <w:lang w:eastAsia="en-US"/>
        </w:rPr>
        <w:t xml:space="preserve"> statutory consultation requirements under section 20ZA of the Landlord and Tenant Act 1985</w:t>
      </w:r>
      <w:r w:rsidR="00E316E0">
        <w:rPr>
          <w:rFonts w:ascii="Georgia" w:hAnsi="Georgia" w:cs="Arial"/>
          <w:lang w:eastAsia="en-US"/>
        </w:rPr>
        <w:t xml:space="preserve"> (“the Act”)</w:t>
      </w:r>
      <w:r w:rsidRPr="005F389B">
        <w:rPr>
          <w:rFonts w:ascii="Georgia" w:hAnsi="Georgia" w:cs="Arial"/>
          <w:lang w:eastAsia="en-US"/>
        </w:rPr>
        <w:t xml:space="preserve"> has been determined on the papers. A hearing was not held because the Tribunal directed that the case was suitable for the paper track and the parties did not object.</w:t>
      </w:r>
    </w:p>
    <w:p w14:paraId="49ADD8E4" w14:textId="68B095BD" w:rsidR="00944DAC" w:rsidRDefault="00B22F0B" w:rsidP="00BF7BA9">
      <w:pPr>
        <w:numPr>
          <w:ilvl w:val="0"/>
          <w:numId w:val="8"/>
        </w:numPr>
        <w:tabs>
          <w:tab w:val="num" w:pos="709"/>
        </w:tabs>
        <w:autoSpaceDE w:val="0"/>
        <w:autoSpaceDN w:val="0"/>
        <w:adjustRightInd w:val="0"/>
        <w:spacing w:after="240"/>
        <w:ind w:left="709" w:hanging="709"/>
        <w:jc w:val="both"/>
        <w:rPr>
          <w:rFonts w:ascii="Georgia" w:hAnsi="Georgia" w:cs="Arial"/>
        </w:rPr>
      </w:pPr>
      <w:r w:rsidRPr="00DC0412">
        <w:rPr>
          <w:rFonts w:ascii="Georgia" w:hAnsi="Georgia" w:cs="Arial"/>
        </w:rPr>
        <w:t>The Applicant</w:t>
      </w:r>
      <w:r w:rsidR="00CD7D4C">
        <w:rPr>
          <w:rFonts w:ascii="Georgia" w:hAnsi="Georgia" w:cs="Arial"/>
        </w:rPr>
        <w:t xml:space="preserve"> </w:t>
      </w:r>
      <w:r w:rsidR="004C4477">
        <w:rPr>
          <w:rFonts w:ascii="Georgia" w:hAnsi="Georgia" w:cs="Arial"/>
        </w:rPr>
        <w:t xml:space="preserve">is the </w:t>
      </w:r>
      <w:r w:rsidR="00897C09">
        <w:rPr>
          <w:rFonts w:ascii="Georgia" w:hAnsi="Georgia" w:cs="Arial"/>
        </w:rPr>
        <w:t>landlord</w:t>
      </w:r>
      <w:r w:rsidR="007775BF">
        <w:rPr>
          <w:rFonts w:ascii="Georgia" w:hAnsi="Georgia" w:cs="Arial"/>
        </w:rPr>
        <w:t xml:space="preserve"> of</w:t>
      </w:r>
      <w:r w:rsidRPr="00DC0412">
        <w:rPr>
          <w:rFonts w:ascii="Georgia" w:hAnsi="Georgia" w:cs="Arial"/>
        </w:rPr>
        <w:t xml:space="preserve"> the subject property, </w:t>
      </w:r>
      <w:r w:rsidR="004C4477">
        <w:rPr>
          <w:rFonts w:ascii="Georgia" w:hAnsi="Georgia" w:cs="Arial"/>
        </w:rPr>
        <w:t xml:space="preserve">a </w:t>
      </w:r>
      <w:r w:rsidR="00705FEC">
        <w:rPr>
          <w:rFonts w:ascii="Georgia" w:hAnsi="Georgia" w:cs="Arial"/>
        </w:rPr>
        <w:t>7-storey mid-terrace building containing 9 flats</w:t>
      </w:r>
      <w:r w:rsidRPr="00DC0412">
        <w:rPr>
          <w:rFonts w:ascii="Georgia" w:hAnsi="Georgia" w:cs="Arial"/>
        </w:rPr>
        <w:t>.</w:t>
      </w:r>
      <w:r w:rsidR="00DD2DD2">
        <w:rPr>
          <w:rFonts w:ascii="Georgia" w:hAnsi="Georgia" w:cs="Arial"/>
        </w:rPr>
        <w:t xml:space="preserve"> </w:t>
      </w:r>
      <w:r w:rsidR="000E7814" w:rsidRPr="00DC0412">
        <w:rPr>
          <w:rFonts w:ascii="Georgia" w:hAnsi="Georgia" w:cs="Arial"/>
        </w:rPr>
        <w:t xml:space="preserve">The Respondents </w:t>
      </w:r>
      <w:r w:rsidR="00E3292E">
        <w:rPr>
          <w:rFonts w:ascii="Georgia" w:hAnsi="Georgia" w:cs="Arial"/>
        </w:rPr>
        <w:t xml:space="preserve">are lessees </w:t>
      </w:r>
      <w:r w:rsidR="00881589">
        <w:rPr>
          <w:rFonts w:ascii="Georgia" w:hAnsi="Georgia" w:cs="Arial"/>
        </w:rPr>
        <w:t>of the flats</w:t>
      </w:r>
      <w:r w:rsidR="00F800AD" w:rsidRPr="00DC0412">
        <w:rPr>
          <w:rFonts w:ascii="Georgia" w:hAnsi="Georgia" w:cs="Arial"/>
        </w:rPr>
        <w:t>.</w:t>
      </w:r>
    </w:p>
    <w:p w14:paraId="1115802A" w14:textId="2452EF5E" w:rsidR="00705FEC" w:rsidRDefault="0032783C" w:rsidP="00705FEC">
      <w:pPr>
        <w:numPr>
          <w:ilvl w:val="0"/>
          <w:numId w:val="8"/>
        </w:numPr>
        <w:tabs>
          <w:tab w:val="num" w:pos="709"/>
        </w:tabs>
        <w:autoSpaceDE w:val="0"/>
        <w:autoSpaceDN w:val="0"/>
        <w:adjustRightInd w:val="0"/>
        <w:spacing w:after="240"/>
        <w:ind w:left="709" w:hanging="709"/>
        <w:jc w:val="both"/>
        <w:rPr>
          <w:rFonts w:ascii="Georgia" w:hAnsi="Georgia" w:cs="Arial"/>
        </w:rPr>
      </w:pPr>
      <w:r w:rsidRPr="0032783C">
        <w:rPr>
          <w:rFonts w:ascii="Georgia" w:hAnsi="Georgia" w:cs="Arial"/>
          <w:lang w:eastAsia="en-US"/>
        </w:rPr>
        <w:lastRenderedPageBreak/>
        <w:t xml:space="preserve">Under section 20 of the Act and the Service Charges (Consultation Requirements) (England) Regulations 2003, when the cost of building works exceeds the threshold of £250 per flat, consultation must be carried out with the lessees. </w:t>
      </w:r>
      <w:r w:rsidR="00705FEC">
        <w:rPr>
          <w:rFonts w:ascii="Georgia" w:hAnsi="Georgia" w:cs="Arial"/>
          <w:lang w:eastAsia="en-US"/>
        </w:rPr>
        <w:t xml:space="preserve">In this </w:t>
      </w:r>
      <w:r w:rsidR="00540947">
        <w:rPr>
          <w:rFonts w:ascii="Georgia" w:hAnsi="Georgia" w:cs="Arial"/>
          <w:lang w:eastAsia="en-US"/>
        </w:rPr>
        <w:t>case, a leak was affecting Flat 2c and, following a report from the site building surveyor, Consult Construct Ltd, the Applicant instructed Challenge Maintenance Ltd to remedy the problem at a cost of £2,950 plus VAT. The works were started and completed on 6</w:t>
      </w:r>
      <w:r w:rsidR="00540947" w:rsidRPr="00540947">
        <w:rPr>
          <w:rFonts w:ascii="Georgia" w:hAnsi="Georgia" w:cs="Arial"/>
          <w:vertAlign w:val="superscript"/>
          <w:lang w:eastAsia="en-US"/>
        </w:rPr>
        <w:t>th</w:t>
      </w:r>
      <w:r w:rsidR="00540947">
        <w:rPr>
          <w:rFonts w:ascii="Georgia" w:hAnsi="Georgia" w:cs="Arial"/>
          <w:lang w:eastAsia="en-US"/>
        </w:rPr>
        <w:t xml:space="preserve"> November 2024.</w:t>
      </w:r>
    </w:p>
    <w:p w14:paraId="748106B5" w14:textId="3D571278" w:rsidR="00897C09" w:rsidRDefault="008142C9" w:rsidP="00705FEC">
      <w:pPr>
        <w:numPr>
          <w:ilvl w:val="0"/>
          <w:numId w:val="8"/>
        </w:numPr>
        <w:tabs>
          <w:tab w:val="num" w:pos="709"/>
        </w:tabs>
        <w:autoSpaceDE w:val="0"/>
        <w:autoSpaceDN w:val="0"/>
        <w:adjustRightInd w:val="0"/>
        <w:spacing w:after="240"/>
        <w:ind w:left="709" w:hanging="709"/>
        <w:jc w:val="both"/>
        <w:rPr>
          <w:rFonts w:ascii="Georgia" w:hAnsi="Georgia" w:cs="Arial"/>
        </w:rPr>
      </w:pPr>
      <w:r w:rsidRPr="0032783C">
        <w:rPr>
          <w:rFonts w:ascii="Georgia" w:hAnsi="Georgia" w:cs="Arial"/>
        </w:rPr>
        <w:t xml:space="preserve">On </w:t>
      </w:r>
      <w:r w:rsidR="00705FEC">
        <w:rPr>
          <w:rFonts w:ascii="Georgia" w:hAnsi="Georgia" w:cs="Arial"/>
        </w:rPr>
        <w:t>1</w:t>
      </w:r>
      <w:r w:rsidR="007775BF">
        <w:rPr>
          <w:rFonts w:ascii="Georgia" w:hAnsi="Georgia" w:cs="Arial"/>
        </w:rPr>
        <w:t>4</w:t>
      </w:r>
      <w:r w:rsidRPr="0032783C">
        <w:rPr>
          <w:rFonts w:ascii="Georgia" w:hAnsi="Georgia" w:cs="Arial"/>
          <w:vertAlign w:val="superscript"/>
        </w:rPr>
        <w:t>th</w:t>
      </w:r>
      <w:r w:rsidRPr="0032783C">
        <w:rPr>
          <w:rFonts w:ascii="Georgia" w:hAnsi="Georgia" w:cs="Arial"/>
        </w:rPr>
        <w:t xml:space="preserve"> </w:t>
      </w:r>
      <w:r w:rsidR="007775BF">
        <w:rPr>
          <w:rFonts w:ascii="Georgia" w:hAnsi="Georgia" w:cs="Arial"/>
        </w:rPr>
        <w:t>March</w:t>
      </w:r>
      <w:r w:rsidRPr="0032783C">
        <w:rPr>
          <w:rFonts w:ascii="Georgia" w:hAnsi="Georgia" w:cs="Arial"/>
        </w:rPr>
        <w:t xml:space="preserve"> 202</w:t>
      </w:r>
      <w:r w:rsidR="007775BF">
        <w:rPr>
          <w:rFonts w:ascii="Georgia" w:hAnsi="Georgia" w:cs="Arial"/>
        </w:rPr>
        <w:t>5</w:t>
      </w:r>
      <w:r w:rsidRPr="0032783C">
        <w:rPr>
          <w:rFonts w:ascii="Georgia" w:hAnsi="Georgia" w:cs="Arial"/>
        </w:rPr>
        <w:t>, the Applicant made an application to the Tribunal</w:t>
      </w:r>
      <w:r w:rsidR="00931D62" w:rsidRPr="0032783C">
        <w:rPr>
          <w:rFonts w:ascii="Georgia" w:hAnsi="Georgia" w:cs="Arial"/>
          <w:lang w:eastAsia="en-US"/>
        </w:rPr>
        <w:t xml:space="preserve"> for dispensation from th</w:t>
      </w:r>
      <w:r w:rsidR="0032783C">
        <w:rPr>
          <w:rFonts w:ascii="Georgia" w:hAnsi="Georgia" w:cs="Arial"/>
          <w:lang w:eastAsia="en-US"/>
        </w:rPr>
        <w:t>ose</w:t>
      </w:r>
      <w:r w:rsidR="00931D62" w:rsidRPr="0032783C">
        <w:rPr>
          <w:rFonts w:ascii="Georgia" w:hAnsi="Georgia" w:cs="Arial"/>
          <w:lang w:eastAsia="en-US"/>
        </w:rPr>
        <w:t xml:space="preserve"> consultation requirements</w:t>
      </w:r>
      <w:r w:rsidR="007775BF" w:rsidRPr="007775BF">
        <w:rPr>
          <w:rFonts w:ascii="Georgia" w:hAnsi="Georgia" w:cs="Arial"/>
          <w:lang w:eastAsia="en-US"/>
        </w:rPr>
        <w:t xml:space="preserve"> </w:t>
      </w:r>
      <w:r w:rsidR="007775BF">
        <w:rPr>
          <w:rFonts w:ascii="Georgia" w:hAnsi="Georgia" w:cs="Arial"/>
          <w:lang w:eastAsia="en-US"/>
        </w:rPr>
        <w:t>under section 20</w:t>
      </w:r>
      <w:proofErr w:type="gramStart"/>
      <w:r w:rsidR="007775BF">
        <w:rPr>
          <w:rFonts w:ascii="Georgia" w:hAnsi="Georgia" w:cs="Arial"/>
          <w:lang w:eastAsia="en-US"/>
        </w:rPr>
        <w:t>ZA(</w:t>
      </w:r>
      <w:proofErr w:type="gramEnd"/>
      <w:r w:rsidR="007775BF">
        <w:rPr>
          <w:rFonts w:ascii="Georgia" w:hAnsi="Georgia" w:cs="Arial"/>
          <w:lang w:eastAsia="en-US"/>
        </w:rPr>
        <w:t>1) of the Act</w:t>
      </w:r>
      <w:r w:rsidR="00540947">
        <w:rPr>
          <w:rFonts w:ascii="Georgia" w:hAnsi="Georgia" w:cs="Arial"/>
          <w:lang w:eastAsia="en-US"/>
        </w:rPr>
        <w:t xml:space="preserve"> on the grounds that the works had been too urgent to complete the consultation and none of the lessees objected.</w:t>
      </w:r>
    </w:p>
    <w:p w14:paraId="40D501ED" w14:textId="6D1F8A68" w:rsidR="00705FEC" w:rsidRPr="00705FEC" w:rsidRDefault="00540947" w:rsidP="00705FEC">
      <w:pPr>
        <w:numPr>
          <w:ilvl w:val="0"/>
          <w:numId w:val="8"/>
        </w:numPr>
        <w:tabs>
          <w:tab w:val="num" w:pos="709"/>
        </w:tabs>
        <w:autoSpaceDE w:val="0"/>
        <w:autoSpaceDN w:val="0"/>
        <w:adjustRightInd w:val="0"/>
        <w:spacing w:after="240"/>
        <w:ind w:left="709" w:hanging="709"/>
        <w:jc w:val="both"/>
        <w:rPr>
          <w:rFonts w:ascii="Georgia" w:hAnsi="Georgia" w:cs="Arial"/>
        </w:rPr>
      </w:pPr>
      <w:r>
        <w:rPr>
          <w:rFonts w:ascii="Georgia" w:hAnsi="Georgia" w:cs="Arial"/>
        </w:rPr>
        <w:t>The Tribunal issued directions on 8</w:t>
      </w:r>
      <w:r w:rsidRPr="00540947">
        <w:rPr>
          <w:rFonts w:ascii="Georgia" w:hAnsi="Georgia" w:cs="Arial"/>
          <w:vertAlign w:val="superscript"/>
        </w:rPr>
        <w:t>th</w:t>
      </w:r>
      <w:r>
        <w:rPr>
          <w:rFonts w:ascii="Georgia" w:hAnsi="Georgia" w:cs="Arial"/>
        </w:rPr>
        <w:t xml:space="preserve"> May 2025 with provision for any lessee who objected to make representations. None have taken the opportunity.</w:t>
      </w:r>
    </w:p>
    <w:p w14:paraId="1294C039" w14:textId="209144F3" w:rsidR="00CC5349" w:rsidRDefault="00897C09" w:rsidP="00CC5349">
      <w:pPr>
        <w:numPr>
          <w:ilvl w:val="0"/>
          <w:numId w:val="8"/>
        </w:numPr>
        <w:tabs>
          <w:tab w:val="num" w:pos="709"/>
        </w:tabs>
        <w:autoSpaceDE w:val="0"/>
        <w:autoSpaceDN w:val="0"/>
        <w:adjustRightInd w:val="0"/>
        <w:spacing w:after="120"/>
        <w:ind w:left="709" w:hanging="709"/>
        <w:jc w:val="both"/>
        <w:rPr>
          <w:rFonts w:ascii="Georgia" w:hAnsi="Georgia" w:cs="Arial"/>
          <w:lang w:eastAsia="en-US"/>
        </w:rPr>
      </w:pPr>
      <w:r>
        <w:rPr>
          <w:rFonts w:ascii="Georgia" w:hAnsi="Georgia" w:cs="Arial"/>
          <w:lang w:eastAsia="en-US"/>
        </w:rPr>
        <w:t>T</w:t>
      </w:r>
      <w:r w:rsidR="00CC5349">
        <w:rPr>
          <w:rFonts w:ascii="Georgia" w:hAnsi="Georgia" w:cs="Arial"/>
          <w:lang w:eastAsia="en-US"/>
        </w:rPr>
        <w:t>he Tribunal</w:t>
      </w:r>
      <w:r w:rsidR="00CC5349" w:rsidRPr="00792CFC">
        <w:rPr>
          <w:rFonts w:ascii="Georgia" w:hAnsi="Georgia" w:cs="Arial"/>
          <w:lang w:eastAsia="en-US"/>
        </w:rPr>
        <w:t xml:space="preserve"> may </w:t>
      </w:r>
      <w:r w:rsidR="00CC5349">
        <w:rPr>
          <w:rFonts w:ascii="Georgia" w:hAnsi="Georgia" w:cs="Arial"/>
          <w:lang w:eastAsia="en-US"/>
        </w:rPr>
        <w:t>dispense with the statutory consultation requirements</w:t>
      </w:r>
      <w:r w:rsidR="00CC5349" w:rsidRPr="00792CFC">
        <w:rPr>
          <w:rFonts w:ascii="Georgia" w:hAnsi="Georgia" w:cs="Arial"/>
          <w:lang w:eastAsia="en-US"/>
        </w:rPr>
        <w:t xml:space="preserve"> if satisfied that it is reasonable to</w:t>
      </w:r>
      <w:r w:rsidR="00CC5349" w:rsidRPr="00FA2A52">
        <w:rPr>
          <w:rFonts w:ascii="Georgia" w:hAnsi="Georgia" w:cs="Arial"/>
          <w:lang w:eastAsia="en-US"/>
        </w:rPr>
        <w:t xml:space="preserve"> </w:t>
      </w:r>
      <w:r w:rsidR="00CC5349">
        <w:rPr>
          <w:rFonts w:ascii="Georgia" w:hAnsi="Georgia" w:cs="Arial"/>
          <w:lang w:eastAsia="en-US"/>
        </w:rPr>
        <w:t xml:space="preserve">do so. The Supreme Court provided further guidance in </w:t>
      </w:r>
      <w:proofErr w:type="spellStart"/>
      <w:r w:rsidR="00CC5349" w:rsidRPr="00E9008B">
        <w:rPr>
          <w:rFonts w:ascii="Georgia" w:hAnsi="Georgia" w:cs="Arial"/>
          <w:i/>
          <w:iCs/>
          <w:lang w:eastAsia="en-US"/>
        </w:rPr>
        <w:t>Daejan</w:t>
      </w:r>
      <w:proofErr w:type="spellEnd"/>
      <w:r w:rsidR="00CC5349" w:rsidRPr="00E9008B">
        <w:rPr>
          <w:rFonts w:ascii="Georgia" w:hAnsi="Georgia" w:cs="Arial"/>
          <w:i/>
          <w:iCs/>
          <w:lang w:eastAsia="en-US"/>
        </w:rPr>
        <w:t xml:space="preserve"> Investments Ltd v Benson</w:t>
      </w:r>
      <w:r w:rsidR="00CC5349">
        <w:rPr>
          <w:rFonts w:ascii="Georgia" w:hAnsi="Georgia" w:cs="Arial"/>
          <w:lang w:eastAsia="en-US"/>
        </w:rPr>
        <w:t xml:space="preserve"> [2013] UKSC 14; [2013] 1 WLR 854:</w:t>
      </w:r>
    </w:p>
    <w:p w14:paraId="6F9F0C31" w14:textId="19B3C5FC"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Sections 19 to 20ZA of the Act are directed to ensuring that lessees of flats are not required to pay for unnecessary services or services which are provided to a defective standard or to pay more than they should for services which are necessary and provided to an acceptable standard. [42]</w:t>
      </w:r>
    </w:p>
    <w:p w14:paraId="43A3AA90"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On that basis, the Tribunal should focus on the extent to which lessees were prejudiced by any failure of the landlord to comply with the consultation requirements. [44]</w:t>
      </w:r>
    </w:p>
    <w:p w14:paraId="78D32C67"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Where the extent, quality and cost of the works were unaffected by the landlord’s failure to comply with the consultation requirements, an unconditional dispensation should normally be granted. [45]</w:t>
      </w:r>
    </w:p>
    <w:p w14:paraId="585B604E"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Dispensation should not be refused just because a landlord has breached the consultation requirements. Adherence to the requirements is a means to an end, not an end in itself, and the dispensing jurisdiction is not a punitive or exemplary exercise. The requirements leave untouched the fact that it is the landlord who decides what works need to be done, when they are to be done, who they are to be done by and what amount is to be paid for them. [46]</w:t>
      </w:r>
    </w:p>
    <w:p w14:paraId="448A77F6"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The financial consequences to a landlord of not granting dispensation and the nature of the landlord are not relevant. [51]</w:t>
      </w:r>
    </w:p>
    <w:p w14:paraId="0F28FA3A"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Sections 20 and 20ZA were not included for the purpose of transparency or accountability. [52]</w:t>
      </w:r>
    </w:p>
    <w:p w14:paraId="32143F17"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Whether or not to grant dispensation is not a binary choice as dispensation may be granted on terms. [54, 58, 59]</w:t>
      </w:r>
    </w:p>
    <w:p w14:paraId="4DC51BCA"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 xml:space="preserve">The only prejudice of which a lessee may legitimately complain is that which they would not have suffered if the requirements had been fully </w:t>
      </w:r>
      <w:r>
        <w:rPr>
          <w:rFonts w:ascii="Georgia" w:hAnsi="Georgia" w:cs="Arial"/>
          <w:lang w:eastAsia="en-US"/>
        </w:rPr>
        <w:lastRenderedPageBreak/>
        <w:t>complied with but which they would suffer if unconditional dispensation were granted. [65]</w:t>
      </w:r>
    </w:p>
    <w:p w14:paraId="1DC7E455"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Although the legal burden of establishing that dispensation should be granted is on the landlord, there is a factual burden on the lessees to show that prejudice has been incurred. [67]</w:t>
      </w:r>
    </w:p>
    <w:p w14:paraId="188F6374" w14:textId="77777777" w:rsidR="00CC5349" w:rsidRDefault="00CC5349" w:rsidP="00CC5349">
      <w:pPr>
        <w:pStyle w:val="ListParagraph"/>
        <w:numPr>
          <w:ilvl w:val="0"/>
          <w:numId w:val="14"/>
        </w:numPr>
        <w:autoSpaceDE w:val="0"/>
        <w:autoSpaceDN w:val="0"/>
        <w:adjustRightInd w:val="0"/>
        <w:spacing w:after="120"/>
        <w:ind w:left="714" w:hanging="357"/>
        <w:contextualSpacing w:val="0"/>
        <w:jc w:val="both"/>
        <w:rPr>
          <w:rFonts w:ascii="Georgia" w:hAnsi="Georgia" w:cs="Arial"/>
          <w:lang w:eastAsia="en-US"/>
        </w:rPr>
      </w:pPr>
      <w:r>
        <w:rPr>
          <w:rFonts w:ascii="Georgia" w:hAnsi="Georgia" w:cs="Arial"/>
          <w:lang w:eastAsia="en-US"/>
        </w:rPr>
        <w:t>Given that the landlord has failed to comply with statutory requirements, the Tribunal should be sympathetic to the lessees. If the lessees raise a credible claim of prejudice, the Tribunal should look to the landlord to rebut it. Any reasonable costs incurred by the lessees in investigating this should be paid by the landlord as a condition of dispensation.</w:t>
      </w:r>
      <w:r w:rsidRPr="0050359E">
        <w:rPr>
          <w:rFonts w:ascii="Georgia" w:hAnsi="Georgia" w:cs="Arial"/>
          <w:lang w:eastAsia="en-US"/>
        </w:rPr>
        <w:t xml:space="preserve"> </w:t>
      </w:r>
      <w:r>
        <w:rPr>
          <w:rFonts w:ascii="Georgia" w:hAnsi="Georgia" w:cs="Arial"/>
          <w:lang w:eastAsia="en-US"/>
        </w:rPr>
        <w:t>[68]</w:t>
      </w:r>
    </w:p>
    <w:p w14:paraId="4FE7130F" w14:textId="77777777" w:rsidR="00CC5349" w:rsidRPr="00FF2148" w:rsidRDefault="00CC5349" w:rsidP="000E7814">
      <w:pPr>
        <w:pStyle w:val="ListParagraph"/>
        <w:numPr>
          <w:ilvl w:val="0"/>
          <w:numId w:val="14"/>
        </w:numPr>
        <w:autoSpaceDE w:val="0"/>
        <w:autoSpaceDN w:val="0"/>
        <w:adjustRightInd w:val="0"/>
        <w:spacing w:after="240"/>
        <w:ind w:left="714" w:hanging="357"/>
        <w:contextualSpacing w:val="0"/>
        <w:jc w:val="both"/>
        <w:rPr>
          <w:rFonts w:ascii="Georgia" w:hAnsi="Georgia" w:cs="Arial"/>
          <w:lang w:eastAsia="en-US"/>
        </w:rPr>
      </w:pPr>
      <w:r>
        <w:rPr>
          <w:rFonts w:ascii="Georgia" w:hAnsi="Georgia" w:cs="Arial"/>
          <w:lang w:eastAsia="en-US"/>
        </w:rPr>
        <w:t>The lessees’ complaint will normally be that they have not had the opportunity to make representations about the works proposed by the landlord, in which case the lessees should identify what they would have said if they had had the opportunity. [69]</w:t>
      </w:r>
    </w:p>
    <w:p w14:paraId="3E5234CD" w14:textId="7A5A1D9B" w:rsidR="00B60C5A" w:rsidRPr="00B60C5A" w:rsidRDefault="00B60C5A" w:rsidP="00B60C5A">
      <w:pPr>
        <w:numPr>
          <w:ilvl w:val="0"/>
          <w:numId w:val="8"/>
        </w:numPr>
        <w:tabs>
          <w:tab w:val="num" w:pos="709"/>
        </w:tabs>
        <w:autoSpaceDE w:val="0"/>
        <w:autoSpaceDN w:val="0"/>
        <w:adjustRightInd w:val="0"/>
        <w:spacing w:after="240"/>
        <w:ind w:left="709" w:hanging="709"/>
        <w:jc w:val="both"/>
        <w:rPr>
          <w:rFonts w:ascii="Georgia" w:hAnsi="Georgia" w:cs="Arial"/>
        </w:rPr>
      </w:pPr>
      <w:r>
        <w:rPr>
          <w:rFonts w:ascii="Georgia" w:hAnsi="Georgia" w:cs="Arial"/>
        </w:rPr>
        <w:t xml:space="preserve">The Tribunal’s role </w:t>
      </w:r>
      <w:r w:rsidR="00A670B2">
        <w:rPr>
          <w:rFonts w:ascii="Georgia" w:hAnsi="Georgia" w:cs="Arial"/>
        </w:rPr>
        <w:t>in this application</w:t>
      </w:r>
      <w:r>
        <w:rPr>
          <w:rFonts w:ascii="Georgia" w:hAnsi="Georgia" w:cs="Arial"/>
        </w:rPr>
        <w:t xml:space="preserve"> is limited to determining only if the statutory consultation requirements may be dispensed with. As stated in the Tribunal’s directions, “</w:t>
      </w:r>
      <w:r w:rsidRPr="008F4C27">
        <w:rPr>
          <w:rFonts w:ascii="Georgia" w:hAnsi="Georgia" w:cs="Arial"/>
          <w:bCs/>
        </w:rPr>
        <w:t xml:space="preserve">This application does </w:t>
      </w:r>
      <w:r w:rsidRPr="008F4C27">
        <w:rPr>
          <w:rFonts w:ascii="Georgia" w:hAnsi="Georgia" w:cs="Arial"/>
          <w:bCs/>
          <w:u w:val="single"/>
        </w:rPr>
        <w:t>not</w:t>
      </w:r>
      <w:r w:rsidRPr="008F4C27">
        <w:rPr>
          <w:rFonts w:ascii="Georgia" w:hAnsi="Georgia" w:cs="Arial"/>
          <w:bCs/>
        </w:rPr>
        <w:t xml:space="preserve"> concern the issue of whether any service charge costs will be reasonable or payable.</w:t>
      </w:r>
      <w:r>
        <w:rPr>
          <w:rFonts w:ascii="Georgia" w:hAnsi="Georgia" w:cs="Arial"/>
          <w:bCs/>
        </w:rPr>
        <w:t>”</w:t>
      </w:r>
    </w:p>
    <w:p w14:paraId="42AF72CD" w14:textId="6E0D9FEE" w:rsidR="00B60C5A" w:rsidRPr="00897C09" w:rsidRDefault="00794747" w:rsidP="00B60C5A">
      <w:pPr>
        <w:numPr>
          <w:ilvl w:val="0"/>
          <w:numId w:val="8"/>
        </w:numPr>
        <w:tabs>
          <w:tab w:val="num" w:pos="709"/>
        </w:tabs>
        <w:autoSpaceDE w:val="0"/>
        <w:autoSpaceDN w:val="0"/>
        <w:adjustRightInd w:val="0"/>
        <w:spacing w:after="240"/>
        <w:ind w:left="709" w:hanging="709"/>
        <w:jc w:val="both"/>
        <w:rPr>
          <w:rFonts w:ascii="Georgia" w:hAnsi="Georgia" w:cs="Arial"/>
        </w:rPr>
      </w:pPr>
      <w:r w:rsidRPr="00794747">
        <w:rPr>
          <w:rFonts w:ascii="Georgia" w:hAnsi="Georgia" w:cs="Arial"/>
        </w:rPr>
        <w:t>Given the lack of objection to the works, let alone</w:t>
      </w:r>
      <w:r>
        <w:rPr>
          <w:rFonts w:ascii="Georgia" w:hAnsi="Georgia" w:cs="Arial"/>
        </w:rPr>
        <w:t xml:space="preserve"> evidence of</w:t>
      </w:r>
      <w:r w:rsidRPr="00794747">
        <w:rPr>
          <w:rFonts w:ascii="Georgia" w:hAnsi="Georgia" w:cs="Arial"/>
        </w:rPr>
        <w:t xml:space="preserve"> any prejudice to any lessee, </w:t>
      </w:r>
      <w:r w:rsidR="00B60C5A" w:rsidRPr="00794747">
        <w:rPr>
          <w:rFonts w:ascii="Georgia" w:hAnsi="Georgia" w:cs="Arial"/>
          <w:bCs/>
        </w:rPr>
        <w:t>the Tribunal has determined that it is reasonable to dispense with the statutory consultation requirements.</w:t>
      </w:r>
    </w:p>
    <w:p w14:paraId="3D8DD713" w14:textId="77777777" w:rsidR="00897C09" w:rsidRPr="00794747" w:rsidRDefault="00897C09" w:rsidP="00897C09">
      <w:pPr>
        <w:autoSpaceDE w:val="0"/>
        <w:autoSpaceDN w:val="0"/>
        <w:adjustRightInd w:val="0"/>
        <w:spacing w:after="240"/>
        <w:jc w:val="both"/>
        <w:rPr>
          <w:rFonts w:ascii="Georgia" w:hAnsi="Georgia" w:cs="Arial"/>
        </w:rPr>
      </w:pPr>
    </w:p>
    <w:tbl>
      <w:tblPr>
        <w:tblW w:w="8595" w:type="dxa"/>
        <w:tblLook w:val="01E0" w:firstRow="1" w:lastRow="1" w:firstColumn="1" w:lastColumn="1" w:noHBand="0" w:noVBand="0"/>
      </w:tblPr>
      <w:tblGrid>
        <w:gridCol w:w="1134"/>
        <w:gridCol w:w="3402"/>
        <w:gridCol w:w="1111"/>
        <w:gridCol w:w="2948"/>
      </w:tblGrid>
      <w:tr w:rsidR="000927B4" w:rsidRPr="007F1C70" w14:paraId="158E832F" w14:textId="77777777" w:rsidTr="00B756E3">
        <w:trPr>
          <w:trHeight w:val="587"/>
        </w:trPr>
        <w:tc>
          <w:tcPr>
            <w:tcW w:w="1134" w:type="dxa"/>
            <w:shd w:val="clear" w:color="auto" w:fill="auto"/>
            <w:vAlign w:val="center"/>
          </w:tcPr>
          <w:p w14:paraId="1B994F87" w14:textId="77777777" w:rsidR="000927B4" w:rsidRPr="007F1C70" w:rsidRDefault="000927B4" w:rsidP="00C663E1">
            <w:pPr>
              <w:rPr>
                <w:rFonts w:ascii="Georgia" w:hAnsi="Georgia" w:cs="Arial"/>
                <w:b/>
              </w:rPr>
            </w:pPr>
            <w:r w:rsidRPr="007F1C70">
              <w:rPr>
                <w:rFonts w:ascii="Georgia" w:hAnsi="Georgia" w:cs="Arial"/>
                <w:b/>
              </w:rPr>
              <w:t>Name:</w:t>
            </w:r>
          </w:p>
        </w:tc>
        <w:tc>
          <w:tcPr>
            <w:tcW w:w="3402" w:type="dxa"/>
            <w:shd w:val="clear" w:color="auto" w:fill="auto"/>
            <w:vAlign w:val="center"/>
          </w:tcPr>
          <w:p w14:paraId="638CBC1E" w14:textId="67B0B579" w:rsidR="000927B4" w:rsidRPr="007F1C70" w:rsidRDefault="00CD54F1" w:rsidP="00C663E1">
            <w:pPr>
              <w:rPr>
                <w:rFonts w:ascii="Georgia" w:hAnsi="Georgia" w:cs="Arial"/>
              </w:rPr>
            </w:pPr>
            <w:r>
              <w:rPr>
                <w:rFonts w:ascii="Georgia" w:hAnsi="Georgia" w:cs="Arial"/>
              </w:rPr>
              <w:t>Judge Nicol</w:t>
            </w:r>
          </w:p>
        </w:tc>
        <w:tc>
          <w:tcPr>
            <w:tcW w:w="1111" w:type="dxa"/>
            <w:shd w:val="clear" w:color="auto" w:fill="auto"/>
            <w:vAlign w:val="center"/>
          </w:tcPr>
          <w:p w14:paraId="2919AF14" w14:textId="77777777" w:rsidR="000927B4" w:rsidRPr="007F1C70" w:rsidRDefault="000927B4" w:rsidP="00C663E1">
            <w:pPr>
              <w:rPr>
                <w:rFonts w:ascii="Georgia" w:hAnsi="Georgia" w:cs="Arial"/>
                <w:b/>
              </w:rPr>
            </w:pPr>
            <w:r w:rsidRPr="007F1C70">
              <w:rPr>
                <w:rFonts w:ascii="Georgia" w:hAnsi="Georgia" w:cs="Arial"/>
                <w:b/>
              </w:rPr>
              <w:t>Date:</w:t>
            </w:r>
          </w:p>
        </w:tc>
        <w:tc>
          <w:tcPr>
            <w:tcW w:w="2948" w:type="dxa"/>
            <w:shd w:val="clear" w:color="auto" w:fill="auto"/>
            <w:vAlign w:val="center"/>
          </w:tcPr>
          <w:p w14:paraId="595E667C" w14:textId="373C0ECF" w:rsidR="000927B4" w:rsidRPr="007F1C70" w:rsidRDefault="00540947" w:rsidP="00C663E1">
            <w:pPr>
              <w:rPr>
                <w:rFonts w:ascii="Georgia" w:hAnsi="Georgia" w:cs="Arial"/>
              </w:rPr>
            </w:pPr>
            <w:r>
              <w:rPr>
                <w:rFonts w:ascii="Georgia" w:hAnsi="Georgia" w:cs="Arial"/>
              </w:rPr>
              <w:t>30</w:t>
            </w:r>
            <w:r w:rsidR="0032783C" w:rsidRPr="0032783C">
              <w:rPr>
                <w:rFonts w:ascii="Georgia" w:hAnsi="Georgia" w:cs="Arial"/>
                <w:vertAlign w:val="superscript"/>
              </w:rPr>
              <w:t>th</w:t>
            </w:r>
            <w:r w:rsidR="0032783C">
              <w:rPr>
                <w:rFonts w:ascii="Georgia" w:hAnsi="Georgia" w:cs="Arial"/>
              </w:rPr>
              <w:t xml:space="preserve"> </w:t>
            </w:r>
            <w:r>
              <w:rPr>
                <w:rFonts w:ascii="Georgia" w:hAnsi="Georgia" w:cs="Arial"/>
              </w:rPr>
              <w:t>June</w:t>
            </w:r>
            <w:r w:rsidR="0032783C">
              <w:rPr>
                <w:rFonts w:ascii="Georgia" w:hAnsi="Georgia" w:cs="Arial"/>
              </w:rPr>
              <w:t xml:space="preserve"> 202</w:t>
            </w:r>
            <w:r w:rsidR="00897C09">
              <w:rPr>
                <w:rFonts w:ascii="Georgia" w:hAnsi="Georgia" w:cs="Arial"/>
              </w:rPr>
              <w:t>5</w:t>
            </w:r>
          </w:p>
        </w:tc>
      </w:tr>
    </w:tbl>
    <w:p w14:paraId="01E3BC9E" w14:textId="77777777" w:rsidR="003A4601" w:rsidRDefault="003A4601" w:rsidP="00897C09">
      <w:pPr>
        <w:spacing w:after="240"/>
        <w:rPr>
          <w:rFonts w:ascii="Georgia" w:hAnsi="Georgia"/>
          <w:b/>
          <w:u w:val="single"/>
        </w:rPr>
      </w:pPr>
    </w:p>
    <w:p w14:paraId="1D8F8D28" w14:textId="77777777" w:rsidR="00794747" w:rsidRDefault="00794747">
      <w:pPr>
        <w:rPr>
          <w:rFonts w:ascii="Georgia" w:hAnsi="Georgia"/>
          <w:b/>
          <w:u w:val="single"/>
        </w:rPr>
      </w:pPr>
      <w:r>
        <w:rPr>
          <w:rFonts w:ascii="Georgia" w:hAnsi="Georgia"/>
          <w:b/>
          <w:u w:val="single"/>
        </w:rPr>
        <w:br w:type="page"/>
      </w:r>
    </w:p>
    <w:p w14:paraId="3BAA5511" w14:textId="43A7F5DA" w:rsidR="00624111" w:rsidRPr="005710A8" w:rsidRDefault="00624111" w:rsidP="0046328F">
      <w:pPr>
        <w:spacing w:after="240"/>
        <w:jc w:val="center"/>
        <w:rPr>
          <w:rFonts w:ascii="Georgia" w:hAnsi="Georgia"/>
          <w:b/>
          <w:u w:val="single"/>
        </w:rPr>
      </w:pPr>
      <w:r w:rsidRPr="005710A8">
        <w:rPr>
          <w:rFonts w:ascii="Georgia" w:hAnsi="Georgia"/>
          <w:b/>
          <w:u w:val="single"/>
        </w:rPr>
        <w:lastRenderedPageBreak/>
        <w:t xml:space="preserve">Rights </w:t>
      </w:r>
      <w:r>
        <w:rPr>
          <w:rFonts w:ascii="Georgia" w:hAnsi="Georgia"/>
          <w:b/>
          <w:u w:val="single"/>
        </w:rPr>
        <w:t>o</w:t>
      </w:r>
      <w:r w:rsidRPr="005710A8">
        <w:rPr>
          <w:rFonts w:ascii="Georgia" w:hAnsi="Georgia"/>
          <w:b/>
          <w:u w:val="single"/>
        </w:rPr>
        <w:t xml:space="preserve">f </w:t>
      </w:r>
      <w:r>
        <w:rPr>
          <w:rFonts w:ascii="Georgia" w:hAnsi="Georgia"/>
          <w:b/>
          <w:u w:val="single"/>
        </w:rPr>
        <w:t>a</w:t>
      </w:r>
      <w:r w:rsidRPr="005710A8">
        <w:rPr>
          <w:rFonts w:ascii="Georgia" w:hAnsi="Georgia"/>
          <w:b/>
          <w:u w:val="single"/>
        </w:rPr>
        <w:t>ppeal</w:t>
      </w:r>
    </w:p>
    <w:p w14:paraId="3CD43B4C" w14:textId="77777777" w:rsidR="00624111" w:rsidRPr="009150F9" w:rsidRDefault="00624111" w:rsidP="0046328F">
      <w:pPr>
        <w:tabs>
          <w:tab w:val="left" w:pos="720"/>
        </w:tabs>
        <w:spacing w:after="240"/>
        <w:jc w:val="both"/>
        <w:rPr>
          <w:rFonts w:ascii="Georgia" w:hAnsi="Georgia"/>
        </w:rPr>
      </w:pPr>
      <w:r w:rsidRPr="009150F9">
        <w:rPr>
          <w:rFonts w:ascii="Georgia" w:hAnsi="Georgia"/>
        </w:rPr>
        <w:t>By rule 36(2) of the Tribunal Procedure (First-tier Tribunal) (Property Chamber) Rules 2013, the tribunal is required to notify the parties about any right of appeal</w:t>
      </w:r>
      <w:r>
        <w:rPr>
          <w:rFonts w:ascii="Georgia" w:hAnsi="Georgia"/>
        </w:rPr>
        <w:t xml:space="preserve"> they may have</w:t>
      </w:r>
      <w:r w:rsidRPr="009150F9">
        <w:rPr>
          <w:rFonts w:ascii="Georgia" w:hAnsi="Georgia"/>
        </w:rPr>
        <w:t>.</w:t>
      </w:r>
    </w:p>
    <w:p w14:paraId="34F3B764" w14:textId="77777777" w:rsidR="00624111" w:rsidRPr="005710A8" w:rsidRDefault="00624111" w:rsidP="0046328F">
      <w:pPr>
        <w:tabs>
          <w:tab w:val="left" w:pos="720"/>
        </w:tabs>
        <w:spacing w:after="240"/>
        <w:jc w:val="both"/>
        <w:rPr>
          <w:rFonts w:ascii="Georgia" w:hAnsi="Georgia"/>
        </w:rPr>
      </w:pPr>
      <w:r>
        <w:rPr>
          <w:rFonts w:ascii="Georgia" w:hAnsi="Georgia"/>
        </w:rPr>
        <w:t>If a party wishes</w:t>
      </w:r>
      <w:r w:rsidRPr="005710A8">
        <w:rPr>
          <w:rFonts w:ascii="Georgia" w:hAnsi="Georgia"/>
        </w:rPr>
        <w:t xml:space="preserve"> to appeal this decision to the Upper Tribunal (Lands Chamber)</w:t>
      </w:r>
      <w:r>
        <w:rPr>
          <w:rFonts w:ascii="Georgia" w:hAnsi="Georgia"/>
        </w:rPr>
        <w:t>,</w:t>
      </w:r>
      <w:r w:rsidRPr="005710A8">
        <w:rPr>
          <w:rFonts w:ascii="Georgia" w:hAnsi="Georgia"/>
        </w:rPr>
        <w:t xml:space="preserve"> </w:t>
      </w:r>
      <w:r>
        <w:rPr>
          <w:rFonts w:ascii="Georgia" w:hAnsi="Georgia"/>
        </w:rPr>
        <w:t>then a written application for permission must be made</w:t>
      </w:r>
      <w:r w:rsidRPr="005710A8">
        <w:rPr>
          <w:rFonts w:ascii="Georgia" w:hAnsi="Georgia"/>
        </w:rPr>
        <w:t xml:space="preserve"> to the First-tier Tribunal at the </w:t>
      </w:r>
      <w:r>
        <w:rPr>
          <w:rFonts w:ascii="Georgia" w:hAnsi="Georgia"/>
        </w:rPr>
        <w:t>r</w:t>
      </w:r>
      <w:r w:rsidRPr="005710A8">
        <w:rPr>
          <w:rFonts w:ascii="Georgia" w:hAnsi="Georgia"/>
        </w:rPr>
        <w:t>egional office which</w:t>
      </w:r>
      <w:r>
        <w:rPr>
          <w:rFonts w:ascii="Georgia" w:hAnsi="Georgia"/>
        </w:rPr>
        <w:t xml:space="preserve"> has been dealing with the case.</w:t>
      </w:r>
    </w:p>
    <w:p w14:paraId="04CF3692" w14:textId="77777777" w:rsidR="00624111" w:rsidRPr="005710A8" w:rsidRDefault="00624111" w:rsidP="0046328F">
      <w:pPr>
        <w:tabs>
          <w:tab w:val="left" w:pos="720"/>
        </w:tabs>
        <w:spacing w:after="240"/>
        <w:jc w:val="both"/>
        <w:rPr>
          <w:rFonts w:ascii="Georgia" w:hAnsi="Georgia"/>
        </w:rPr>
      </w:pPr>
      <w:r w:rsidRPr="005710A8">
        <w:rPr>
          <w:rFonts w:ascii="Georgia" w:hAnsi="Georgia"/>
        </w:rPr>
        <w:t>The applica</w:t>
      </w:r>
      <w:r>
        <w:rPr>
          <w:rFonts w:ascii="Georgia" w:hAnsi="Georgia"/>
        </w:rPr>
        <w:t>tion for permission to appeal must arrive at the regional office</w:t>
      </w:r>
      <w:r w:rsidRPr="005710A8">
        <w:rPr>
          <w:rFonts w:ascii="Georgia" w:hAnsi="Georgia"/>
        </w:rPr>
        <w:t xml:space="preserve"> within 28 days after the </w:t>
      </w:r>
      <w:r>
        <w:rPr>
          <w:rFonts w:ascii="Georgia" w:hAnsi="Georgia"/>
        </w:rPr>
        <w:t>t</w:t>
      </w:r>
      <w:r w:rsidRPr="005710A8">
        <w:rPr>
          <w:rFonts w:ascii="Georgia" w:hAnsi="Georgia"/>
        </w:rPr>
        <w:t xml:space="preserve">ribunal sends </w:t>
      </w:r>
      <w:r>
        <w:rPr>
          <w:rFonts w:ascii="Georgia" w:hAnsi="Georgia"/>
        </w:rPr>
        <w:t xml:space="preserve">written reasons for the decision </w:t>
      </w:r>
      <w:r w:rsidRPr="005710A8">
        <w:rPr>
          <w:rFonts w:ascii="Georgia" w:hAnsi="Georgia"/>
        </w:rPr>
        <w:t>to th</w:t>
      </w:r>
      <w:r>
        <w:rPr>
          <w:rFonts w:ascii="Georgia" w:hAnsi="Georgia"/>
        </w:rPr>
        <w:t>e person making the application</w:t>
      </w:r>
      <w:r w:rsidRPr="005710A8">
        <w:rPr>
          <w:rFonts w:ascii="Georgia" w:hAnsi="Georgia"/>
        </w:rPr>
        <w:t>.</w:t>
      </w:r>
    </w:p>
    <w:p w14:paraId="1C6D3E35" w14:textId="77777777" w:rsidR="00624111" w:rsidRPr="005710A8" w:rsidRDefault="00624111" w:rsidP="0046328F">
      <w:pPr>
        <w:tabs>
          <w:tab w:val="left" w:pos="720"/>
        </w:tabs>
        <w:spacing w:after="240"/>
        <w:jc w:val="both"/>
        <w:rPr>
          <w:rFonts w:ascii="Georgia" w:hAnsi="Georgia"/>
        </w:rPr>
      </w:pPr>
      <w:r w:rsidRPr="005710A8">
        <w:rPr>
          <w:rFonts w:ascii="Georgia" w:hAnsi="Georgia"/>
        </w:rPr>
        <w:t xml:space="preserve">If the </w:t>
      </w:r>
      <w:r>
        <w:rPr>
          <w:rFonts w:ascii="Georgia" w:hAnsi="Georgia"/>
        </w:rPr>
        <w:t>application is not made within</w:t>
      </w:r>
      <w:r w:rsidRPr="005710A8">
        <w:rPr>
          <w:rFonts w:ascii="Georgia" w:hAnsi="Georgia"/>
        </w:rPr>
        <w:t xml:space="preserve"> the 28</w:t>
      </w:r>
      <w:r w:rsidR="00C213DB">
        <w:rPr>
          <w:rFonts w:ascii="Georgia" w:hAnsi="Georgia"/>
        </w:rPr>
        <w:t>-</w:t>
      </w:r>
      <w:r>
        <w:rPr>
          <w:rFonts w:ascii="Georgia" w:hAnsi="Georgia"/>
        </w:rPr>
        <w:t>day time limit, such application must include</w:t>
      </w:r>
      <w:r w:rsidRPr="005710A8">
        <w:rPr>
          <w:rFonts w:ascii="Georgia" w:hAnsi="Georgia"/>
        </w:rPr>
        <w:t xml:space="preserve"> a request for an extension of time and the reason for not complying with the 28</w:t>
      </w:r>
      <w:r w:rsidR="00C213DB">
        <w:rPr>
          <w:rFonts w:ascii="Georgia" w:hAnsi="Georgia"/>
        </w:rPr>
        <w:t>-</w:t>
      </w:r>
      <w:r w:rsidRPr="005710A8">
        <w:rPr>
          <w:rFonts w:ascii="Georgia" w:hAnsi="Georgia"/>
        </w:rPr>
        <w:t xml:space="preserve">day time limit; the </w:t>
      </w:r>
      <w:r>
        <w:rPr>
          <w:rFonts w:ascii="Georgia" w:hAnsi="Georgia"/>
        </w:rPr>
        <w:t>t</w:t>
      </w:r>
      <w:r w:rsidRPr="005710A8">
        <w:rPr>
          <w:rFonts w:ascii="Georgia" w:hAnsi="Georgia"/>
        </w:rPr>
        <w:t>ribunal will then</w:t>
      </w:r>
      <w:r>
        <w:rPr>
          <w:rFonts w:ascii="Georgia" w:hAnsi="Georgia"/>
        </w:rPr>
        <w:t xml:space="preserve"> look at such reason(s) and</w:t>
      </w:r>
      <w:r w:rsidRPr="005710A8">
        <w:rPr>
          <w:rFonts w:ascii="Georgia" w:hAnsi="Georgia"/>
        </w:rPr>
        <w:t xml:space="preserve"> deci</w:t>
      </w:r>
      <w:r>
        <w:rPr>
          <w:rFonts w:ascii="Georgia" w:hAnsi="Georgia"/>
        </w:rPr>
        <w:t>de whether</w:t>
      </w:r>
      <w:r w:rsidRPr="005710A8">
        <w:rPr>
          <w:rFonts w:ascii="Georgia" w:hAnsi="Georgia"/>
        </w:rPr>
        <w:t xml:space="preserve"> to allow the application for permission to appeal to proceed</w:t>
      </w:r>
      <w:r>
        <w:rPr>
          <w:rFonts w:ascii="Georgia" w:hAnsi="Georgia"/>
        </w:rPr>
        <w:t>, despite not being within the time limit</w:t>
      </w:r>
      <w:r w:rsidRPr="005710A8">
        <w:rPr>
          <w:rFonts w:ascii="Georgia" w:hAnsi="Georgia"/>
        </w:rPr>
        <w:t>.</w:t>
      </w:r>
    </w:p>
    <w:p w14:paraId="25F82F74" w14:textId="77777777" w:rsidR="00624111" w:rsidRDefault="00624111" w:rsidP="0046328F">
      <w:pPr>
        <w:tabs>
          <w:tab w:val="left" w:pos="720"/>
        </w:tabs>
        <w:spacing w:after="240"/>
        <w:jc w:val="both"/>
        <w:rPr>
          <w:rFonts w:ascii="Georgia" w:hAnsi="Georgia"/>
        </w:rPr>
      </w:pPr>
      <w:r w:rsidRPr="005710A8">
        <w:rPr>
          <w:rFonts w:ascii="Georgia" w:hAnsi="Georgia"/>
        </w:rPr>
        <w:t xml:space="preserve">The application for permission to appeal must identify the decision of the </w:t>
      </w:r>
      <w:r>
        <w:rPr>
          <w:rFonts w:ascii="Georgia" w:hAnsi="Georgia"/>
        </w:rPr>
        <w:t>t</w:t>
      </w:r>
      <w:r w:rsidRPr="005710A8">
        <w:rPr>
          <w:rFonts w:ascii="Georgia" w:hAnsi="Georgia"/>
        </w:rPr>
        <w:t>ribunal to which it relates</w:t>
      </w:r>
      <w:r>
        <w:rPr>
          <w:rFonts w:ascii="Georgia" w:hAnsi="Georgia"/>
        </w:rPr>
        <w:t xml:space="preserve"> (i.e. give the date, the property and the case number), state the grounds of appeal</w:t>
      </w:r>
      <w:r w:rsidRPr="005710A8">
        <w:rPr>
          <w:rFonts w:ascii="Georgia" w:hAnsi="Georgia"/>
        </w:rPr>
        <w:t xml:space="preserve"> and state the result the party making the application is seeking</w:t>
      </w:r>
      <w:r>
        <w:rPr>
          <w:rFonts w:ascii="Georgia" w:hAnsi="Georgia"/>
        </w:rPr>
        <w:t>.</w:t>
      </w:r>
    </w:p>
    <w:p w14:paraId="3D413175" w14:textId="77777777" w:rsidR="006B47DA" w:rsidRDefault="006B47DA" w:rsidP="0046328F">
      <w:pPr>
        <w:tabs>
          <w:tab w:val="left" w:pos="720"/>
        </w:tabs>
        <w:spacing w:after="240"/>
        <w:jc w:val="both"/>
        <w:rPr>
          <w:rFonts w:ascii="Georgia" w:hAnsi="Georgia"/>
        </w:rPr>
      </w:pPr>
      <w:r>
        <w:rPr>
          <w:rFonts w:ascii="Georgia" w:hAnsi="Georgia"/>
        </w:rPr>
        <w:t xml:space="preserve">If the tribunal refuses to grant permission to appeal, </w:t>
      </w:r>
      <w:r w:rsidRPr="00FE0873">
        <w:rPr>
          <w:rFonts w:ascii="Georgia" w:hAnsi="Georgia"/>
        </w:rPr>
        <w:t xml:space="preserve">a further application for permission may be made </w:t>
      </w:r>
      <w:r>
        <w:rPr>
          <w:rFonts w:ascii="Georgia" w:hAnsi="Georgia"/>
        </w:rPr>
        <w:t>to the Upper Tribunal (Lands Chamber).</w:t>
      </w:r>
    </w:p>
    <w:sectPr w:rsidR="006B47DA" w:rsidSect="001A4B5E">
      <w:headerReference w:type="even" r:id="rId12"/>
      <w:footerReference w:type="even" r:id="rId13"/>
      <w:footerReference w:type="defaul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72EA" w14:textId="77777777" w:rsidR="009B6DDA" w:rsidRDefault="009B6DDA">
      <w:r>
        <w:separator/>
      </w:r>
    </w:p>
  </w:endnote>
  <w:endnote w:type="continuationSeparator" w:id="0">
    <w:p w14:paraId="73AA9754" w14:textId="77777777" w:rsidR="009B6DDA" w:rsidRDefault="009B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ZapfHumnst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9B0D" w14:textId="77777777" w:rsidR="00BD1D27" w:rsidRDefault="00BD1D27"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E0E72" w14:textId="77777777" w:rsidR="00BD1D27" w:rsidRDefault="00BD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1E25" w14:textId="1E4B2CE5" w:rsidR="00BD1D27" w:rsidRPr="005A327A" w:rsidRDefault="00BD1D27" w:rsidP="00C27ECE">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sidR="00D64A93">
      <w:rPr>
        <w:rStyle w:val="PageNumber"/>
        <w:rFonts w:ascii="Georgia" w:hAnsi="Georgia"/>
        <w:noProof/>
      </w:rPr>
      <w:t>5</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EF93" w14:textId="77777777" w:rsidR="00BD1D27" w:rsidRPr="005620EA" w:rsidRDefault="00BD1D27" w:rsidP="005A327A">
    <w:pPr>
      <w:jc w:val="center"/>
      <w:rPr>
        <w:rFonts w:ascii="Georgia" w:hAnsi="Georgia"/>
        <w:sz w:val="20"/>
        <w:szCs w:val="20"/>
      </w:rPr>
    </w:pPr>
    <w:r w:rsidRPr="005620EA">
      <w:rPr>
        <w:rFonts w:ascii="Georgia" w:hAnsi="Georgia"/>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66D3" w14:textId="77777777" w:rsidR="009B6DDA" w:rsidRDefault="009B6DDA">
      <w:r>
        <w:separator/>
      </w:r>
    </w:p>
  </w:footnote>
  <w:footnote w:type="continuationSeparator" w:id="0">
    <w:p w14:paraId="0A21F17C" w14:textId="77777777" w:rsidR="009B6DDA" w:rsidRDefault="009B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696" w14:textId="77777777" w:rsidR="00BD1D27" w:rsidRDefault="00BD1D27"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2209" w14:textId="77777777" w:rsidR="00BD1D27" w:rsidRDefault="00BD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ECBB4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B543BB"/>
    <w:multiLevelType w:val="hybridMultilevel"/>
    <w:tmpl w:val="4F782DCA"/>
    <w:lvl w:ilvl="0" w:tplc="EF82FF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5" w15:restartNumberingAfterBreak="0">
    <w:nsid w:val="277E508C"/>
    <w:multiLevelType w:val="hybridMultilevel"/>
    <w:tmpl w:val="94889332"/>
    <w:lvl w:ilvl="0" w:tplc="CFF22B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C1BD8"/>
    <w:multiLevelType w:val="multilevel"/>
    <w:tmpl w:val="8D72EFA6"/>
    <w:lvl w:ilvl="0">
      <w:start w:val="1"/>
      <w:numFmt w:val="decimal"/>
      <w:lvlText w:val="%1."/>
      <w:lvlJc w:val="left"/>
      <w:pPr>
        <w:tabs>
          <w:tab w:val="num" w:pos="1778"/>
        </w:tabs>
        <w:ind w:left="1778"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7"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A86A08"/>
    <w:multiLevelType w:val="hybridMultilevel"/>
    <w:tmpl w:val="13867364"/>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C513216"/>
    <w:multiLevelType w:val="hybridMultilevel"/>
    <w:tmpl w:val="56FEBA78"/>
    <w:lvl w:ilvl="0" w:tplc="0D0278F8">
      <w:numFmt w:val="bullet"/>
      <w:lvlText w:val="•"/>
      <w:lvlJc w:val="left"/>
      <w:pPr>
        <w:ind w:left="832" w:hanging="363"/>
      </w:pPr>
      <w:rPr>
        <w:rFonts w:ascii="Arial" w:eastAsia="Arial" w:hAnsi="Arial" w:cs="Arial" w:hint="default"/>
        <w:w w:val="101"/>
        <w:lang w:val="en-US" w:eastAsia="en-US" w:bidi="ar-SA"/>
      </w:rPr>
    </w:lvl>
    <w:lvl w:ilvl="1" w:tplc="57E20AF4">
      <w:numFmt w:val="bullet"/>
      <w:lvlText w:val="•"/>
      <w:lvlJc w:val="left"/>
      <w:pPr>
        <w:ind w:left="1680" w:hanging="363"/>
      </w:pPr>
      <w:rPr>
        <w:rFonts w:hint="default"/>
        <w:lang w:val="en-US" w:eastAsia="en-US" w:bidi="ar-SA"/>
      </w:rPr>
    </w:lvl>
    <w:lvl w:ilvl="2" w:tplc="6D3610C8">
      <w:numFmt w:val="bullet"/>
      <w:lvlText w:val="•"/>
      <w:lvlJc w:val="left"/>
      <w:pPr>
        <w:ind w:left="2520" w:hanging="363"/>
      </w:pPr>
      <w:rPr>
        <w:rFonts w:hint="default"/>
        <w:lang w:val="en-US" w:eastAsia="en-US" w:bidi="ar-SA"/>
      </w:rPr>
    </w:lvl>
    <w:lvl w:ilvl="3" w:tplc="306AB78E">
      <w:numFmt w:val="bullet"/>
      <w:lvlText w:val="•"/>
      <w:lvlJc w:val="left"/>
      <w:pPr>
        <w:ind w:left="3360" w:hanging="363"/>
      </w:pPr>
      <w:rPr>
        <w:rFonts w:hint="default"/>
        <w:lang w:val="en-US" w:eastAsia="en-US" w:bidi="ar-SA"/>
      </w:rPr>
    </w:lvl>
    <w:lvl w:ilvl="4" w:tplc="4F6A0786">
      <w:numFmt w:val="bullet"/>
      <w:lvlText w:val="•"/>
      <w:lvlJc w:val="left"/>
      <w:pPr>
        <w:ind w:left="4200" w:hanging="363"/>
      </w:pPr>
      <w:rPr>
        <w:rFonts w:hint="default"/>
        <w:lang w:val="en-US" w:eastAsia="en-US" w:bidi="ar-SA"/>
      </w:rPr>
    </w:lvl>
    <w:lvl w:ilvl="5" w:tplc="0EA096DA">
      <w:numFmt w:val="bullet"/>
      <w:lvlText w:val="•"/>
      <w:lvlJc w:val="left"/>
      <w:pPr>
        <w:ind w:left="5040" w:hanging="363"/>
      </w:pPr>
      <w:rPr>
        <w:rFonts w:hint="default"/>
        <w:lang w:val="en-US" w:eastAsia="en-US" w:bidi="ar-SA"/>
      </w:rPr>
    </w:lvl>
    <w:lvl w:ilvl="6" w:tplc="A8BA5C24">
      <w:numFmt w:val="bullet"/>
      <w:lvlText w:val="•"/>
      <w:lvlJc w:val="left"/>
      <w:pPr>
        <w:ind w:left="5880" w:hanging="363"/>
      </w:pPr>
      <w:rPr>
        <w:rFonts w:hint="default"/>
        <w:lang w:val="en-US" w:eastAsia="en-US" w:bidi="ar-SA"/>
      </w:rPr>
    </w:lvl>
    <w:lvl w:ilvl="7" w:tplc="46AA6AAA">
      <w:numFmt w:val="bullet"/>
      <w:lvlText w:val="•"/>
      <w:lvlJc w:val="left"/>
      <w:pPr>
        <w:ind w:left="6720" w:hanging="363"/>
      </w:pPr>
      <w:rPr>
        <w:rFonts w:hint="default"/>
        <w:lang w:val="en-US" w:eastAsia="en-US" w:bidi="ar-SA"/>
      </w:rPr>
    </w:lvl>
    <w:lvl w:ilvl="8" w:tplc="5428152E">
      <w:numFmt w:val="bullet"/>
      <w:lvlText w:val="•"/>
      <w:lvlJc w:val="left"/>
      <w:pPr>
        <w:ind w:left="7560" w:hanging="363"/>
      </w:pPr>
      <w:rPr>
        <w:rFonts w:hint="default"/>
        <w:lang w:val="en-US" w:eastAsia="en-US" w:bidi="ar-SA"/>
      </w:rPr>
    </w:lvl>
  </w:abstractNum>
  <w:abstractNum w:abstractNumId="10" w15:restartNumberingAfterBreak="0">
    <w:nsid w:val="433911F6"/>
    <w:multiLevelType w:val="hybridMultilevel"/>
    <w:tmpl w:val="96E41E2C"/>
    <w:lvl w:ilvl="0" w:tplc="F9F4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9665A"/>
    <w:multiLevelType w:val="hybridMultilevel"/>
    <w:tmpl w:val="BF56F776"/>
    <w:lvl w:ilvl="0" w:tplc="6C66DF76">
      <w:start w:val="1"/>
      <w:numFmt w:val="upperLetter"/>
      <w:lvlText w:val="(%1)"/>
      <w:lvlJc w:val="left"/>
      <w:pPr>
        <w:tabs>
          <w:tab w:val="num" w:pos="4034"/>
        </w:tabs>
        <w:ind w:left="4034" w:hanging="794"/>
      </w:pPr>
      <w:rPr>
        <w:rFonts w:ascii="Georgia" w:hAnsi="Georgia"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DA2150"/>
    <w:multiLevelType w:val="hybridMultilevel"/>
    <w:tmpl w:val="B42CA35A"/>
    <w:lvl w:ilvl="0" w:tplc="333499BE">
      <w:start w:val="1"/>
      <w:numFmt w:val="decimal"/>
      <w:lvlText w:val="%1."/>
      <w:lvlJc w:val="left"/>
      <w:pPr>
        <w:tabs>
          <w:tab w:val="num" w:pos="720"/>
        </w:tabs>
        <w:ind w:left="72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15:restartNumberingAfterBreak="0">
    <w:nsid w:val="4CE76D15"/>
    <w:multiLevelType w:val="hybridMultilevel"/>
    <w:tmpl w:val="1F2417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962544F"/>
    <w:multiLevelType w:val="hybridMultilevel"/>
    <w:tmpl w:val="4CC201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1583DEC"/>
    <w:multiLevelType w:val="hybridMultilevel"/>
    <w:tmpl w:val="AACE42CE"/>
    <w:lvl w:ilvl="0" w:tplc="048822FA">
      <w:start w:val="1"/>
      <w:numFmt w:val="lowerRoman"/>
      <w:lvlText w:val="(%1)"/>
      <w:lvlJc w:val="left"/>
      <w:pPr>
        <w:tabs>
          <w:tab w:val="num" w:pos="1493"/>
        </w:tabs>
        <w:ind w:left="1493" w:hanging="360"/>
      </w:pPr>
      <w:rPr>
        <w:rFonts w:hint="default"/>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8" w15:restartNumberingAfterBreak="0">
    <w:nsid w:val="61984FD8"/>
    <w:multiLevelType w:val="hybridMultilevel"/>
    <w:tmpl w:val="AA60C6DC"/>
    <w:lvl w:ilvl="0" w:tplc="F9F4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65B4C"/>
    <w:multiLevelType w:val="hybridMultilevel"/>
    <w:tmpl w:val="60F6365E"/>
    <w:lvl w:ilvl="0" w:tplc="F9F4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FC362B"/>
    <w:multiLevelType w:val="hybridMultilevel"/>
    <w:tmpl w:val="B09A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67868921">
    <w:abstractNumId w:val="1"/>
  </w:num>
  <w:num w:numId="2" w16cid:durableId="894387598">
    <w:abstractNumId w:val="21"/>
  </w:num>
  <w:num w:numId="3" w16cid:durableId="1033920569">
    <w:abstractNumId w:val="7"/>
  </w:num>
  <w:num w:numId="4" w16cid:durableId="801578013">
    <w:abstractNumId w:val="12"/>
  </w:num>
  <w:num w:numId="5" w16cid:durableId="781727114">
    <w:abstractNumId w:val="4"/>
  </w:num>
  <w:num w:numId="6" w16cid:durableId="1790123230">
    <w:abstractNumId w:val="15"/>
  </w:num>
  <w:num w:numId="7" w16cid:durableId="31420549">
    <w:abstractNumId w:val="3"/>
  </w:num>
  <w:num w:numId="8" w16cid:durableId="1099377071">
    <w:abstractNumId w:val="6"/>
  </w:num>
  <w:num w:numId="9" w16cid:durableId="2040349775">
    <w:abstractNumId w:val="8"/>
  </w:num>
  <w:num w:numId="10" w16cid:durableId="1575968497">
    <w:abstractNumId w:val="17"/>
  </w:num>
  <w:num w:numId="11" w16cid:durableId="502012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8469715">
    <w:abstractNumId w:val="2"/>
  </w:num>
  <w:num w:numId="13" w16cid:durableId="847792897">
    <w:abstractNumId w:val="11"/>
  </w:num>
  <w:num w:numId="14" w16cid:durableId="1067651482">
    <w:abstractNumId w:val="5"/>
  </w:num>
  <w:num w:numId="15" w16cid:durableId="1830246673">
    <w:abstractNumId w:val="19"/>
  </w:num>
  <w:num w:numId="16" w16cid:durableId="655114287">
    <w:abstractNumId w:val="9"/>
  </w:num>
  <w:num w:numId="17" w16cid:durableId="1557736382">
    <w:abstractNumId w:val="16"/>
  </w:num>
  <w:num w:numId="18" w16cid:durableId="1655449281">
    <w:abstractNumId w:val="18"/>
  </w:num>
  <w:num w:numId="19" w16cid:durableId="2093239895">
    <w:abstractNumId w:val="0"/>
  </w:num>
  <w:num w:numId="20" w16cid:durableId="1372877737">
    <w:abstractNumId w:val="20"/>
  </w:num>
  <w:num w:numId="21" w16cid:durableId="2092116559">
    <w:abstractNumId w:val="10"/>
  </w:num>
  <w:num w:numId="22" w16cid:durableId="1811944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D2"/>
    <w:rsid w:val="0000405B"/>
    <w:rsid w:val="00044313"/>
    <w:rsid w:val="00044925"/>
    <w:rsid w:val="00056777"/>
    <w:rsid w:val="00071573"/>
    <w:rsid w:val="000927B4"/>
    <w:rsid w:val="00092C14"/>
    <w:rsid w:val="000C2BA6"/>
    <w:rsid w:val="000D46FF"/>
    <w:rsid w:val="000E45F1"/>
    <w:rsid w:val="000E4DF1"/>
    <w:rsid w:val="000E7814"/>
    <w:rsid w:val="00147071"/>
    <w:rsid w:val="0017028E"/>
    <w:rsid w:val="001A4B5E"/>
    <w:rsid w:val="001A7546"/>
    <w:rsid w:val="001D1C24"/>
    <w:rsid w:val="001D2AB9"/>
    <w:rsid w:val="001D7879"/>
    <w:rsid w:val="001F0DFF"/>
    <w:rsid w:val="002034A5"/>
    <w:rsid w:val="00274B6A"/>
    <w:rsid w:val="00275C55"/>
    <w:rsid w:val="00290CE2"/>
    <w:rsid w:val="002A4653"/>
    <w:rsid w:val="002B6588"/>
    <w:rsid w:val="002E2780"/>
    <w:rsid w:val="002F0F0C"/>
    <w:rsid w:val="00313A34"/>
    <w:rsid w:val="0032783C"/>
    <w:rsid w:val="003612D3"/>
    <w:rsid w:val="003704C6"/>
    <w:rsid w:val="003A4601"/>
    <w:rsid w:val="003A6BD1"/>
    <w:rsid w:val="003B4A39"/>
    <w:rsid w:val="003D12B8"/>
    <w:rsid w:val="003D4E1B"/>
    <w:rsid w:val="003E0449"/>
    <w:rsid w:val="00402C86"/>
    <w:rsid w:val="00417092"/>
    <w:rsid w:val="004212D7"/>
    <w:rsid w:val="004246DA"/>
    <w:rsid w:val="0043464D"/>
    <w:rsid w:val="00434AB6"/>
    <w:rsid w:val="004457BA"/>
    <w:rsid w:val="00461EC4"/>
    <w:rsid w:val="0046328F"/>
    <w:rsid w:val="00466C12"/>
    <w:rsid w:val="004A012D"/>
    <w:rsid w:val="004A0FB6"/>
    <w:rsid w:val="004A4AE3"/>
    <w:rsid w:val="004C4477"/>
    <w:rsid w:val="004D09D9"/>
    <w:rsid w:val="004E32A6"/>
    <w:rsid w:val="0050502C"/>
    <w:rsid w:val="005352F0"/>
    <w:rsid w:val="00540947"/>
    <w:rsid w:val="005415A5"/>
    <w:rsid w:val="00545A41"/>
    <w:rsid w:val="005620EA"/>
    <w:rsid w:val="00580A8E"/>
    <w:rsid w:val="005A327A"/>
    <w:rsid w:val="005C4AE6"/>
    <w:rsid w:val="005E3FFB"/>
    <w:rsid w:val="00614611"/>
    <w:rsid w:val="00617940"/>
    <w:rsid w:val="006240B7"/>
    <w:rsid w:val="00624111"/>
    <w:rsid w:val="00627890"/>
    <w:rsid w:val="00630B1A"/>
    <w:rsid w:val="00631885"/>
    <w:rsid w:val="00636135"/>
    <w:rsid w:val="00652647"/>
    <w:rsid w:val="00657238"/>
    <w:rsid w:val="006604A4"/>
    <w:rsid w:val="006715D2"/>
    <w:rsid w:val="00691C27"/>
    <w:rsid w:val="00694C56"/>
    <w:rsid w:val="006A2906"/>
    <w:rsid w:val="006A7F90"/>
    <w:rsid w:val="006B47DA"/>
    <w:rsid w:val="006E256D"/>
    <w:rsid w:val="006F1E5A"/>
    <w:rsid w:val="00703DCC"/>
    <w:rsid w:val="00705FEC"/>
    <w:rsid w:val="00707E9A"/>
    <w:rsid w:val="00724F05"/>
    <w:rsid w:val="00727970"/>
    <w:rsid w:val="00733D16"/>
    <w:rsid w:val="00750321"/>
    <w:rsid w:val="007775BF"/>
    <w:rsid w:val="00783CA9"/>
    <w:rsid w:val="00785CA6"/>
    <w:rsid w:val="0079391F"/>
    <w:rsid w:val="00794747"/>
    <w:rsid w:val="007B2B8A"/>
    <w:rsid w:val="007C0435"/>
    <w:rsid w:val="007F1C70"/>
    <w:rsid w:val="007F43CA"/>
    <w:rsid w:val="007F43D6"/>
    <w:rsid w:val="008142C9"/>
    <w:rsid w:val="00831DFF"/>
    <w:rsid w:val="00842841"/>
    <w:rsid w:val="00860D43"/>
    <w:rsid w:val="008634BE"/>
    <w:rsid w:val="00867960"/>
    <w:rsid w:val="0087180A"/>
    <w:rsid w:val="00881589"/>
    <w:rsid w:val="00891C79"/>
    <w:rsid w:val="008931C3"/>
    <w:rsid w:val="00897C09"/>
    <w:rsid w:val="008C46CC"/>
    <w:rsid w:val="009012FD"/>
    <w:rsid w:val="00914AB0"/>
    <w:rsid w:val="00931203"/>
    <w:rsid w:val="00931D62"/>
    <w:rsid w:val="00944DAC"/>
    <w:rsid w:val="00964F35"/>
    <w:rsid w:val="0098380F"/>
    <w:rsid w:val="00985B5B"/>
    <w:rsid w:val="0099382F"/>
    <w:rsid w:val="009A63EA"/>
    <w:rsid w:val="009B6DDA"/>
    <w:rsid w:val="009F396E"/>
    <w:rsid w:val="009F5091"/>
    <w:rsid w:val="00A17C77"/>
    <w:rsid w:val="00A2450A"/>
    <w:rsid w:val="00A411E1"/>
    <w:rsid w:val="00A4319C"/>
    <w:rsid w:val="00A4530C"/>
    <w:rsid w:val="00A464C2"/>
    <w:rsid w:val="00A50057"/>
    <w:rsid w:val="00A52357"/>
    <w:rsid w:val="00A63321"/>
    <w:rsid w:val="00A656D5"/>
    <w:rsid w:val="00A670B2"/>
    <w:rsid w:val="00A67C8E"/>
    <w:rsid w:val="00A85210"/>
    <w:rsid w:val="00AA3914"/>
    <w:rsid w:val="00AA52AB"/>
    <w:rsid w:val="00AB38FF"/>
    <w:rsid w:val="00AE04A6"/>
    <w:rsid w:val="00AE1557"/>
    <w:rsid w:val="00B22F0B"/>
    <w:rsid w:val="00B60C5A"/>
    <w:rsid w:val="00B72684"/>
    <w:rsid w:val="00B756E3"/>
    <w:rsid w:val="00B86575"/>
    <w:rsid w:val="00B921DE"/>
    <w:rsid w:val="00B94BDE"/>
    <w:rsid w:val="00BD1D27"/>
    <w:rsid w:val="00BF5792"/>
    <w:rsid w:val="00BF7BA9"/>
    <w:rsid w:val="00C213DB"/>
    <w:rsid w:val="00C27ECE"/>
    <w:rsid w:val="00C663E1"/>
    <w:rsid w:val="00C67A4B"/>
    <w:rsid w:val="00C80CE7"/>
    <w:rsid w:val="00C8160F"/>
    <w:rsid w:val="00C8689B"/>
    <w:rsid w:val="00CC0D6E"/>
    <w:rsid w:val="00CC5349"/>
    <w:rsid w:val="00CD3CD2"/>
    <w:rsid w:val="00CD54F1"/>
    <w:rsid w:val="00CD7D4C"/>
    <w:rsid w:val="00CE0762"/>
    <w:rsid w:val="00D16EC5"/>
    <w:rsid w:val="00D21345"/>
    <w:rsid w:val="00D27E0F"/>
    <w:rsid w:val="00D43EAA"/>
    <w:rsid w:val="00D562A8"/>
    <w:rsid w:val="00D64A93"/>
    <w:rsid w:val="00DA616A"/>
    <w:rsid w:val="00DB2192"/>
    <w:rsid w:val="00DC0412"/>
    <w:rsid w:val="00DC5A0A"/>
    <w:rsid w:val="00DC71AC"/>
    <w:rsid w:val="00DD2DD2"/>
    <w:rsid w:val="00DE413A"/>
    <w:rsid w:val="00DF22F4"/>
    <w:rsid w:val="00E016A5"/>
    <w:rsid w:val="00E07EF5"/>
    <w:rsid w:val="00E316E0"/>
    <w:rsid w:val="00E3292E"/>
    <w:rsid w:val="00E4035B"/>
    <w:rsid w:val="00E63B93"/>
    <w:rsid w:val="00E83D25"/>
    <w:rsid w:val="00E85E3D"/>
    <w:rsid w:val="00EA23BA"/>
    <w:rsid w:val="00EE0299"/>
    <w:rsid w:val="00F109B2"/>
    <w:rsid w:val="00F222C4"/>
    <w:rsid w:val="00F232BC"/>
    <w:rsid w:val="00F800AD"/>
    <w:rsid w:val="00F82ABB"/>
    <w:rsid w:val="00F90030"/>
    <w:rsid w:val="00F9399B"/>
    <w:rsid w:val="0609D2D5"/>
    <w:rsid w:val="0EA31633"/>
    <w:rsid w:val="15D45BAF"/>
    <w:rsid w:val="1AE3C1FB"/>
    <w:rsid w:val="1D9CC396"/>
    <w:rsid w:val="1E2DB07D"/>
    <w:rsid w:val="1E8E2336"/>
    <w:rsid w:val="2092C19E"/>
    <w:rsid w:val="2314EECE"/>
    <w:rsid w:val="27ACC2E4"/>
    <w:rsid w:val="300E8D72"/>
    <w:rsid w:val="38426684"/>
    <w:rsid w:val="39A2A0F7"/>
    <w:rsid w:val="3A55B558"/>
    <w:rsid w:val="471E983C"/>
    <w:rsid w:val="49F8D74A"/>
    <w:rsid w:val="4E8245C2"/>
    <w:rsid w:val="4E99AD10"/>
    <w:rsid w:val="5B3511C6"/>
    <w:rsid w:val="66561C03"/>
    <w:rsid w:val="6B1F290F"/>
    <w:rsid w:val="6BE202CB"/>
    <w:rsid w:val="724C7D02"/>
    <w:rsid w:val="76040189"/>
    <w:rsid w:val="7AC0777C"/>
    <w:rsid w:val="7D4ED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956A0"/>
  <w15:chartTrackingRefBased/>
  <w15:docId w15:val="{72A5727C-E003-4D3C-AA51-411E122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0927B4"/>
    <w:pPr>
      <w:autoSpaceDE w:val="0"/>
      <w:autoSpaceDN w:val="0"/>
      <w:adjustRightInd w:val="0"/>
    </w:pPr>
    <w:rPr>
      <w:rFonts w:ascii="Verdana" w:hAnsi="Verdana"/>
      <w:lang w:val="en-US" w:eastAsia="en-US"/>
    </w:rPr>
  </w:style>
  <w:style w:type="paragraph" w:styleId="FootnoteText">
    <w:name w:val="footnote text"/>
    <w:basedOn w:val="Normal"/>
    <w:semiHidden/>
    <w:rsid w:val="000927B4"/>
    <w:rPr>
      <w:rFonts w:ascii="ZapfHumnst BT" w:hAnsi="ZapfHumnst BT"/>
      <w:sz w:val="20"/>
      <w:szCs w:val="20"/>
      <w:lang w:eastAsia="en-US"/>
    </w:rPr>
  </w:style>
  <w:style w:type="character" w:styleId="FootnoteReference">
    <w:name w:val="footnote reference"/>
    <w:semiHidden/>
    <w:rsid w:val="000927B4"/>
    <w:rPr>
      <w:vertAlign w:val="superscript"/>
    </w:rPr>
  </w:style>
  <w:style w:type="paragraph" w:styleId="ListParagraph">
    <w:name w:val="List Paragraph"/>
    <w:basedOn w:val="Normal"/>
    <w:uiPriority w:val="34"/>
    <w:qFormat/>
    <w:rsid w:val="00CC5349"/>
    <w:pPr>
      <w:ind w:left="720"/>
      <w:contextualSpacing/>
    </w:pPr>
  </w:style>
  <w:style w:type="paragraph" w:customStyle="1" w:styleId="Default">
    <w:name w:val="Default"/>
    <w:rsid w:val="00CD7D4C"/>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99E0FD73D3E4D84862663A4D33FCE" ma:contentTypeVersion="18" ma:contentTypeDescription="Create a new document." ma:contentTypeScope="" ma:versionID="8a2ddb32be9fc9989d2959e78408da1e">
  <xsd:schema xmlns:xsd="http://www.w3.org/2001/XMLSchema" xmlns:xs="http://www.w3.org/2001/XMLSchema" xmlns:p="http://schemas.microsoft.com/office/2006/metadata/properties" xmlns:ns2="872a79b5-d9d6-4593-a8a7-149981f7045e" xmlns:ns3="2520a3a8-e6dc-4611-b3d5-a302db2a6b56" targetNamespace="http://schemas.microsoft.com/office/2006/metadata/properties" ma:root="true" ma:fieldsID="8f6d879d62653b7b7291ec5da490b4c7" ns2:_="" ns3:_="">
    <xsd:import namespace="872a79b5-d9d6-4593-a8a7-149981f7045e"/>
    <xsd:import namespace="2520a3a8-e6dc-4611-b3d5-a302db2a6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ocation" minOccurs="0"/>
                <xsd:element ref="ns2:e2cc5988-1fd5-414a-8d74-38cbf33f3316CountryOrRegion" minOccurs="0"/>
                <xsd:element ref="ns2:e2cc5988-1fd5-414a-8d74-38cbf33f3316State" minOccurs="0"/>
                <xsd:element ref="ns2:e2cc5988-1fd5-414a-8d74-38cbf33f3316City" minOccurs="0"/>
                <xsd:element ref="ns2:e2cc5988-1fd5-414a-8d74-38cbf33f3316PostalCode" minOccurs="0"/>
                <xsd:element ref="ns2:e2cc5988-1fd5-414a-8d74-38cbf33f3316Street" minOccurs="0"/>
                <xsd:element ref="ns2:e2cc5988-1fd5-414a-8d74-38cbf33f3316GeoLoc" minOccurs="0"/>
                <xsd:element ref="ns2:e2cc5988-1fd5-414a-8d74-38cbf33f3316DispNa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79b5-d9d6-4593-a8a7-149981f7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tion" ma:index="12" nillable="true" ma:displayName="location" ma:format="Dropdown" ma:internalName="location">
      <xsd:simpleType>
        <xsd:restriction base="dms:Unknown"/>
      </xsd:simpleType>
    </xsd:element>
    <xsd:element name="e2cc5988-1fd5-414a-8d74-38cbf33f3316CountryOrRegion" ma:index="13" nillable="true" ma:displayName="location: Country/Region" ma:internalName="CountryOrRegion" ma:readOnly="true">
      <xsd:simpleType>
        <xsd:restriction base="dms:Text"/>
      </xsd:simpleType>
    </xsd:element>
    <xsd:element name="e2cc5988-1fd5-414a-8d74-38cbf33f3316State" ma:index="14" nillable="true" ma:displayName="location: State" ma:internalName="State" ma:readOnly="true">
      <xsd:simpleType>
        <xsd:restriction base="dms:Text"/>
      </xsd:simpleType>
    </xsd:element>
    <xsd:element name="e2cc5988-1fd5-414a-8d74-38cbf33f3316City" ma:index="15" nillable="true" ma:displayName="location: City" ma:internalName="City" ma:readOnly="true">
      <xsd:simpleType>
        <xsd:restriction base="dms:Text"/>
      </xsd:simpleType>
    </xsd:element>
    <xsd:element name="e2cc5988-1fd5-414a-8d74-38cbf33f3316PostalCode" ma:index="16" nillable="true" ma:displayName="location: Postal Code" ma:internalName="PostalCode" ma:readOnly="true">
      <xsd:simpleType>
        <xsd:restriction base="dms:Text"/>
      </xsd:simpleType>
    </xsd:element>
    <xsd:element name="e2cc5988-1fd5-414a-8d74-38cbf33f3316Street" ma:index="17" nillable="true" ma:displayName="location: Street" ma:internalName="Street" ma:readOnly="true">
      <xsd:simpleType>
        <xsd:restriction base="dms:Text"/>
      </xsd:simpleType>
    </xsd:element>
    <xsd:element name="e2cc5988-1fd5-414a-8d74-38cbf33f3316GeoLoc" ma:index="18" nillable="true" ma:displayName="location: Coordinates" ma:internalName="GeoLoc" ma:readOnly="true">
      <xsd:simpleType>
        <xsd:restriction base="dms:Unknown"/>
      </xsd:simpleType>
    </xsd:element>
    <xsd:element name="e2cc5988-1fd5-414a-8d74-38cbf33f3316DispName" ma:index="19" nillable="true" ma:displayName="location: Name" ma:internalName="DispNa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a3a8-e6dc-4611-b3d5-a302db2a6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ation xmlns="872a79b5-d9d6-4593-a8a7-149981f7045e" xsi:nil="true"/>
  </documentManagement>
</p:properties>
</file>

<file path=customXml/itemProps1.xml><?xml version="1.0" encoding="utf-8"?>
<ds:datastoreItem xmlns:ds="http://schemas.openxmlformats.org/officeDocument/2006/customXml" ds:itemID="{74688116-08E7-4660-A4F4-BBCFFBC7735E}">
  <ds:schemaRefs>
    <ds:schemaRef ds:uri="http://schemas.microsoft.com/sharepoint/v3/contenttype/forms"/>
  </ds:schemaRefs>
</ds:datastoreItem>
</file>

<file path=customXml/itemProps2.xml><?xml version="1.0" encoding="utf-8"?>
<ds:datastoreItem xmlns:ds="http://schemas.openxmlformats.org/officeDocument/2006/customXml" ds:itemID="{626C200E-C538-4670-86B2-79DE54CB9EC8}">
  <ds:schemaRefs>
    <ds:schemaRef ds:uri="http://schemas.microsoft.com/office/2006/metadata/longProperties"/>
  </ds:schemaRefs>
</ds:datastoreItem>
</file>

<file path=customXml/itemProps3.xml><?xml version="1.0" encoding="utf-8"?>
<ds:datastoreItem xmlns:ds="http://schemas.openxmlformats.org/officeDocument/2006/customXml" ds:itemID="{D355079C-73BF-4C32-90BA-ED21228B7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79b5-d9d6-4593-a8a7-149981f7045e"/>
    <ds:schemaRef ds:uri="2520a3a8-e6dc-4611-b3d5-a302db2a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41C5D-6BC2-4A8C-A245-A19FC1C2369E}">
  <ds:schemaRefs>
    <ds:schemaRef ds:uri="http://purl.org/dc/terms/"/>
    <ds:schemaRef ds:uri="http://schemas.microsoft.com/office/2006/documentManagement/types"/>
    <ds:schemaRef ds:uri="2520a3a8-e6dc-4611-b3d5-a302db2a6b56"/>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872a79b5-d9d6-4593-a8a7-149981f7045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1113</Words>
  <Characters>5641</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phu95p</dc:creator>
  <cp:keywords/>
  <dc:description/>
  <cp:lastModifiedBy>Strachan, Sandra</cp:lastModifiedBy>
  <cp:revision>4</cp:revision>
  <cp:lastPrinted>2013-05-16T14:48:00Z</cp:lastPrinted>
  <dcterms:created xsi:type="dcterms:W3CDTF">2025-06-30T12:36:00Z</dcterms:created>
  <dcterms:modified xsi:type="dcterms:W3CDTF">2025-07-01T12:02:00Z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Vance, Deputy Regional Tribunal Judge Amran</vt:lpwstr>
  </property>
  <property fmtid="{D5CDD505-2E9C-101B-9397-08002B2CF9AE}" pid="3" name="display_urn:schemas-microsoft-com:office:office#Author">
    <vt:lpwstr>Vance, Deputy Regional Tribunal Judge Amran</vt:lpwstr>
  </property>
  <property fmtid="{D5CDD505-2E9C-101B-9397-08002B2CF9AE}" pid="4" name="Order">
    <vt:lpwstr>173900.000000000</vt:lpwstr>
  </property>
  <property fmtid="{D5CDD505-2E9C-101B-9397-08002B2CF9AE}" pid="5" name="ComplianceAssetId">
    <vt:lpwstr/>
  </property>
  <property fmtid="{D5CDD505-2E9C-101B-9397-08002B2CF9AE}" pid="6" name="ContentTypeId">
    <vt:lpwstr>0x010100A4799E0FD73D3E4D84862663A4D33FCE</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ies>
</file>