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64" w:type="dxa"/>
        <w:tblLook w:val="01E0" w:firstRow="1" w:lastRow="1" w:firstColumn="1" w:lastColumn="1" w:noHBand="0" w:noVBand="0"/>
      </w:tblPr>
      <w:tblGrid>
        <w:gridCol w:w="2692"/>
        <w:gridCol w:w="463"/>
        <w:gridCol w:w="5209"/>
      </w:tblGrid>
      <w:tr w:rsidR="00724F05" w:rsidRPr="007F1C70" w14:paraId="10042309" w14:textId="77777777" w:rsidTr="001F0332">
        <w:trPr>
          <w:trHeight w:val="1008"/>
        </w:trPr>
        <w:tc>
          <w:tcPr>
            <w:tcW w:w="2692" w:type="dxa"/>
            <w:vAlign w:val="center"/>
          </w:tcPr>
          <w:p w14:paraId="41CD49F9" w14:textId="66015545" w:rsidR="00724F05" w:rsidRPr="007F1C70" w:rsidRDefault="00636135" w:rsidP="007F1C70">
            <w:pPr>
              <w:tabs>
                <w:tab w:val="left" w:pos="2880"/>
              </w:tabs>
              <w:spacing w:before="240" w:after="240"/>
              <w:rPr>
                <w:rFonts w:ascii="Georgia" w:hAnsi="Georgia" w:cs="Arial"/>
                <w:b/>
                <w:bCs/>
              </w:rPr>
            </w:pPr>
            <w:r w:rsidRPr="007F1C70">
              <w:rPr>
                <w:rFonts w:ascii="Georgia" w:hAnsi="Georgia"/>
                <w:noProof/>
              </w:rPr>
              <w:drawing>
                <wp:inline distT="0" distB="0" distL="0" distR="0" wp14:anchorId="1CD27019" wp14:editId="3EDAABE5">
                  <wp:extent cx="914400" cy="771525"/>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771525"/>
                          </a:xfrm>
                          <a:prstGeom prst="rect">
                            <a:avLst/>
                          </a:prstGeom>
                          <a:noFill/>
                          <a:ln>
                            <a:noFill/>
                          </a:ln>
                        </pic:spPr>
                      </pic:pic>
                    </a:graphicData>
                  </a:graphic>
                </wp:inline>
              </w:drawing>
            </w:r>
          </w:p>
        </w:tc>
        <w:tc>
          <w:tcPr>
            <w:tcW w:w="463" w:type="dxa"/>
            <w:vAlign w:val="center"/>
          </w:tcPr>
          <w:p w14:paraId="7B9B9BBD" w14:textId="77777777" w:rsidR="00724F05" w:rsidRPr="007F1C70" w:rsidRDefault="00724F05" w:rsidP="007F1C70">
            <w:pPr>
              <w:tabs>
                <w:tab w:val="left" w:pos="2880"/>
              </w:tabs>
              <w:spacing w:before="240" w:after="240"/>
              <w:rPr>
                <w:rFonts w:ascii="Georgia" w:hAnsi="Georgia" w:cs="Arial"/>
                <w:b/>
                <w:bCs/>
              </w:rPr>
            </w:pPr>
          </w:p>
        </w:tc>
        <w:tc>
          <w:tcPr>
            <w:tcW w:w="5209" w:type="dxa"/>
            <w:vAlign w:val="center"/>
          </w:tcPr>
          <w:p w14:paraId="1BB28A0A" w14:textId="77777777" w:rsidR="00724F05" w:rsidRPr="007F1C70" w:rsidRDefault="00724F05" w:rsidP="007F1C70">
            <w:pPr>
              <w:pStyle w:val="Title"/>
              <w:ind w:left="3600" w:hanging="3600"/>
              <w:jc w:val="left"/>
              <w:rPr>
                <w:rFonts w:ascii="Georgia" w:hAnsi="Georgia"/>
              </w:rPr>
            </w:pPr>
            <w:r w:rsidRPr="007F1C70">
              <w:rPr>
                <w:rFonts w:ascii="Georgia" w:hAnsi="Georgia"/>
                <w:sz w:val="24"/>
              </w:rPr>
              <w:t>FIRST-TIER TRIBUNAL</w:t>
            </w:r>
          </w:p>
          <w:p w14:paraId="2FA0430F" w14:textId="77777777" w:rsidR="0050502C" w:rsidRDefault="00724F05" w:rsidP="007F1C70">
            <w:pPr>
              <w:tabs>
                <w:tab w:val="left" w:pos="2880"/>
              </w:tabs>
              <w:rPr>
                <w:rFonts w:ascii="Georgia" w:hAnsi="Georgia"/>
                <w:b/>
              </w:rPr>
            </w:pPr>
            <w:r w:rsidRPr="007F1C70">
              <w:rPr>
                <w:rFonts w:ascii="Georgia" w:hAnsi="Georgia"/>
                <w:b/>
              </w:rPr>
              <w:t xml:space="preserve">PROPERTY CHAMBER </w:t>
            </w:r>
          </w:p>
          <w:p w14:paraId="2B665629" w14:textId="13DD660A" w:rsidR="00724F05" w:rsidRPr="007F1C70" w:rsidRDefault="00724F05" w:rsidP="007F1C70">
            <w:pPr>
              <w:tabs>
                <w:tab w:val="left" w:pos="2880"/>
              </w:tabs>
              <w:rPr>
                <w:rFonts w:ascii="Georgia" w:hAnsi="Georgia" w:cs="Arial"/>
                <w:b/>
                <w:bCs/>
              </w:rPr>
            </w:pPr>
            <w:r w:rsidRPr="007F1C70">
              <w:rPr>
                <w:rFonts w:ascii="Georgia" w:hAnsi="Georgia"/>
                <w:b/>
              </w:rPr>
              <w:t>(RESIDENTIAL PROPERTY)</w:t>
            </w:r>
          </w:p>
        </w:tc>
      </w:tr>
      <w:tr w:rsidR="00724F05" w:rsidRPr="007F1C70" w14:paraId="1C38F89F" w14:textId="77777777" w:rsidTr="001F0332">
        <w:tc>
          <w:tcPr>
            <w:tcW w:w="2692" w:type="dxa"/>
            <w:vAlign w:val="center"/>
          </w:tcPr>
          <w:p w14:paraId="09C0D655"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 xml:space="preserve">Case </w:t>
            </w:r>
            <w:r w:rsidR="00DE413A" w:rsidRPr="007F1C70">
              <w:rPr>
                <w:rFonts w:ascii="Georgia" w:hAnsi="Georgia" w:cs="Arial"/>
                <w:b/>
                <w:bCs/>
              </w:rPr>
              <w:t>r</w:t>
            </w:r>
            <w:r w:rsidRPr="007F1C70">
              <w:rPr>
                <w:rFonts w:ascii="Georgia" w:hAnsi="Georgia" w:cs="Arial"/>
                <w:b/>
                <w:bCs/>
              </w:rPr>
              <w:t>eference</w:t>
            </w:r>
          </w:p>
        </w:tc>
        <w:tc>
          <w:tcPr>
            <w:tcW w:w="463" w:type="dxa"/>
            <w:vAlign w:val="center"/>
          </w:tcPr>
          <w:p w14:paraId="45EB27FC"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6969D5B9" w14:textId="5210B2F8" w:rsidR="00724F05" w:rsidRPr="007F1C70" w:rsidRDefault="009E07D0" w:rsidP="76040189">
            <w:pPr>
              <w:tabs>
                <w:tab w:val="left" w:pos="2880"/>
              </w:tabs>
              <w:rPr>
                <w:rFonts w:ascii="Georgia" w:eastAsia="Georgia" w:hAnsi="Georgia" w:cs="Georgia"/>
                <w:b/>
                <w:bCs/>
              </w:rPr>
            </w:pPr>
            <w:r w:rsidRPr="009E07D0">
              <w:rPr>
                <w:rFonts w:ascii="Georgia" w:eastAsia="Georgia" w:hAnsi="Georgia" w:cs="Georgia"/>
                <w:b/>
                <w:bCs/>
              </w:rPr>
              <w:t>CAM/00MX/LSC/2025/0612</w:t>
            </w:r>
          </w:p>
        </w:tc>
      </w:tr>
      <w:tr w:rsidR="00724F05" w:rsidRPr="007F1C70" w14:paraId="50D7B201" w14:textId="77777777" w:rsidTr="001F0332">
        <w:tc>
          <w:tcPr>
            <w:tcW w:w="2692" w:type="dxa"/>
            <w:vAlign w:val="center"/>
          </w:tcPr>
          <w:p w14:paraId="50A69A24"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Property</w:t>
            </w:r>
          </w:p>
        </w:tc>
        <w:tc>
          <w:tcPr>
            <w:tcW w:w="463" w:type="dxa"/>
            <w:vAlign w:val="center"/>
          </w:tcPr>
          <w:p w14:paraId="227441A1"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61067C34" w14:textId="37C72C2D" w:rsidR="00724F05" w:rsidRPr="007F1C70" w:rsidRDefault="00C77864" w:rsidP="00C77864">
            <w:pPr>
              <w:tabs>
                <w:tab w:val="left" w:pos="2880"/>
              </w:tabs>
              <w:rPr>
                <w:rFonts w:ascii="Georgia" w:hAnsi="Georgia" w:cs="Arial"/>
                <w:b/>
                <w:bCs/>
              </w:rPr>
            </w:pPr>
            <w:r w:rsidRPr="00C77864">
              <w:rPr>
                <w:rFonts w:ascii="Georgia" w:hAnsi="Georgia" w:cs="Arial"/>
                <w:b/>
                <w:bCs/>
              </w:rPr>
              <w:t>40 Uplands House, Four Ashes Road, Cryers Hills, High Wycombe, HP15 6DY</w:t>
            </w:r>
          </w:p>
        </w:tc>
      </w:tr>
      <w:tr w:rsidR="00724F05" w:rsidRPr="007F1C70" w14:paraId="561AE161" w14:textId="77777777" w:rsidTr="001F0332">
        <w:tc>
          <w:tcPr>
            <w:tcW w:w="2692" w:type="dxa"/>
            <w:vAlign w:val="center"/>
          </w:tcPr>
          <w:p w14:paraId="7DD4A567"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Applicant</w:t>
            </w:r>
          </w:p>
        </w:tc>
        <w:tc>
          <w:tcPr>
            <w:tcW w:w="463" w:type="dxa"/>
            <w:vAlign w:val="center"/>
          </w:tcPr>
          <w:p w14:paraId="61DA66D6"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12A81ADA" w14:textId="045501A9" w:rsidR="00724F05" w:rsidRPr="007F1C70" w:rsidRDefault="00C77864" w:rsidP="007F1C70">
            <w:pPr>
              <w:tabs>
                <w:tab w:val="left" w:pos="2880"/>
              </w:tabs>
              <w:rPr>
                <w:rFonts w:ascii="Georgia" w:hAnsi="Georgia" w:cs="Arial"/>
                <w:b/>
                <w:bCs/>
              </w:rPr>
            </w:pPr>
            <w:r w:rsidRPr="00C77864">
              <w:rPr>
                <w:rFonts w:ascii="Georgia" w:hAnsi="Georgia" w:cs="Arial"/>
                <w:b/>
                <w:bCs/>
              </w:rPr>
              <w:t>Mrs Christine Harpin</w:t>
            </w:r>
          </w:p>
        </w:tc>
      </w:tr>
      <w:tr w:rsidR="00724F05" w:rsidRPr="007F1C70" w14:paraId="07C97A69" w14:textId="77777777" w:rsidTr="001F0332">
        <w:tc>
          <w:tcPr>
            <w:tcW w:w="2692" w:type="dxa"/>
            <w:vAlign w:val="center"/>
          </w:tcPr>
          <w:p w14:paraId="60452B51"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Representative</w:t>
            </w:r>
          </w:p>
        </w:tc>
        <w:tc>
          <w:tcPr>
            <w:tcW w:w="463" w:type="dxa"/>
            <w:vAlign w:val="center"/>
          </w:tcPr>
          <w:p w14:paraId="589B9D8A"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64F78C2D" w14:textId="66407ACE" w:rsidR="00724F05" w:rsidRPr="007F1C70" w:rsidRDefault="00C77864" w:rsidP="007F1C70">
            <w:pPr>
              <w:tabs>
                <w:tab w:val="left" w:pos="2880"/>
              </w:tabs>
              <w:rPr>
                <w:rFonts w:ascii="Georgia" w:hAnsi="Georgia" w:cs="Arial"/>
                <w:b/>
                <w:bCs/>
              </w:rPr>
            </w:pPr>
            <w:r>
              <w:rPr>
                <w:rFonts w:ascii="Georgia" w:hAnsi="Georgia" w:cs="Arial"/>
                <w:b/>
                <w:bCs/>
              </w:rPr>
              <w:t>In person</w:t>
            </w:r>
          </w:p>
        </w:tc>
      </w:tr>
      <w:tr w:rsidR="00724F05" w:rsidRPr="007F1C70" w14:paraId="4DB14D83" w14:textId="77777777" w:rsidTr="001F0332">
        <w:tc>
          <w:tcPr>
            <w:tcW w:w="2692" w:type="dxa"/>
            <w:vAlign w:val="center"/>
          </w:tcPr>
          <w:p w14:paraId="5769BC60"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Respondent</w:t>
            </w:r>
          </w:p>
        </w:tc>
        <w:tc>
          <w:tcPr>
            <w:tcW w:w="463" w:type="dxa"/>
            <w:vAlign w:val="center"/>
          </w:tcPr>
          <w:p w14:paraId="0E6C8B7D"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7530015D" w14:textId="36908E7C" w:rsidR="00724F05" w:rsidRPr="007F1C70" w:rsidRDefault="00CD1DD2" w:rsidP="007F1C70">
            <w:pPr>
              <w:tabs>
                <w:tab w:val="left" w:pos="2880"/>
              </w:tabs>
              <w:rPr>
                <w:rFonts w:ascii="Georgia" w:hAnsi="Georgia" w:cs="Arial"/>
                <w:b/>
                <w:bCs/>
              </w:rPr>
            </w:pPr>
            <w:r w:rsidRPr="00CD1DD2">
              <w:rPr>
                <w:rFonts w:ascii="Georgia" w:hAnsi="Georgia" w:cs="Arial"/>
                <w:b/>
                <w:bCs/>
              </w:rPr>
              <w:t>Uplands High Wycombe LLP</w:t>
            </w:r>
          </w:p>
        </w:tc>
      </w:tr>
      <w:tr w:rsidR="00724F05" w:rsidRPr="007F1C70" w14:paraId="6F2C783C" w14:textId="77777777" w:rsidTr="001F0332">
        <w:tc>
          <w:tcPr>
            <w:tcW w:w="2692" w:type="dxa"/>
            <w:vAlign w:val="center"/>
          </w:tcPr>
          <w:p w14:paraId="25F776D4"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Representative</w:t>
            </w:r>
          </w:p>
        </w:tc>
        <w:tc>
          <w:tcPr>
            <w:tcW w:w="463" w:type="dxa"/>
            <w:vAlign w:val="center"/>
          </w:tcPr>
          <w:p w14:paraId="21966D7F"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22F369BF" w14:textId="0F42CBF4" w:rsidR="00724F05" w:rsidRPr="007F1C70" w:rsidRDefault="00CD1DD2" w:rsidP="007F1C70">
            <w:pPr>
              <w:tabs>
                <w:tab w:val="left" w:pos="2880"/>
              </w:tabs>
              <w:rPr>
                <w:rFonts w:ascii="Georgia" w:hAnsi="Georgia" w:cs="Arial"/>
                <w:b/>
                <w:bCs/>
              </w:rPr>
            </w:pPr>
            <w:r>
              <w:rPr>
                <w:rFonts w:ascii="Georgia" w:hAnsi="Georgia" w:cs="Arial"/>
                <w:b/>
                <w:bCs/>
              </w:rPr>
              <w:t>Mr Green, counsel</w:t>
            </w:r>
          </w:p>
        </w:tc>
      </w:tr>
      <w:tr w:rsidR="00724F05" w:rsidRPr="007F1C70" w14:paraId="7966B3DB" w14:textId="77777777" w:rsidTr="001F0332">
        <w:tc>
          <w:tcPr>
            <w:tcW w:w="2692" w:type="dxa"/>
            <w:vAlign w:val="center"/>
          </w:tcPr>
          <w:p w14:paraId="180D8A50"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 xml:space="preserve">Type of </w:t>
            </w:r>
            <w:r w:rsidR="00DE413A" w:rsidRPr="007F1C70">
              <w:rPr>
                <w:rFonts w:ascii="Georgia" w:hAnsi="Georgia" w:cs="Arial"/>
                <w:b/>
                <w:bCs/>
              </w:rPr>
              <w:t>a</w:t>
            </w:r>
            <w:r w:rsidRPr="007F1C70">
              <w:rPr>
                <w:rFonts w:ascii="Georgia" w:hAnsi="Georgia" w:cs="Arial"/>
                <w:b/>
                <w:bCs/>
              </w:rPr>
              <w:t>pplication</w:t>
            </w:r>
          </w:p>
        </w:tc>
        <w:tc>
          <w:tcPr>
            <w:tcW w:w="463" w:type="dxa"/>
            <w:vAlign w:val="center"/>
          </w:tcPr>
          <w:p w14:paraId="5A7FE3EC"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7757ABCC" w14:textId="606BB2AC" w:rsidR="00724F05" w:rsidRPr="007F1C70" w:rsidRDefault="000927B4" w:rsidP="007F1C70">
            <w:pPr>
              <w:tabs>
                <w:tab w:val="left" w:pos="2880"/>
              </w:tabs>
              <w:spacing w:before="120" w:after="120"/>
              <w:rPr>
                <w:rFonts w:ascii="Georgia" w:hAnsi="Georgia" w:cs="Arial"/>
                <w:b/>
                <w:bCs/>
              </w:rPr>
            </w:pPr>
            <w:r w:rsidRPr="6B1F290F">
              <w:rPr>
                <w:rFonts w:ascii="Georgia" w:hAnsi="Georgia" w:cs="Arial"/>
                <w:b/>
                <w:bCs/>
              </w:rPr>
              <w:t xml:space="preserve">For the determination of the </w:t>
            </w:r>
            <w:r w:rsidR="7D4ED811" w:rsidRPr="6B1F290F">
              <w:rPr>
                <w:rFonts w:ascii="Georgia" w:hAnsi="Georgia" w:cs="Arial"/>
                <w:b/>
                <w:bCs/>
              </w:rPr>
              <w:t xml:space="preserve">liability to pay service charges under </w:t>
            </w:r>
            <w:r w:rsidR="00D84341">
              <w:rPr>
                <w:rFonts w:ascii="Georgia" w:hAnsi="Georgia" w:cs="Arial"/>
                <w:b/>
                <w:bCs/>
              </w:rPr>
              <w:t xml:space="preserve">section </w:t>
            </w:r>
            <w:r w:rsidR="7D4ED811" w:rsidRPr="6B1F290F">
              <w:rPr>
                <w:rFonts w:ascii="Georgia" w:hAnsi="Georgia" w:cs="Arial"/>
                <w:b/>
                <w:bCs/>
              </w:rPr>
              <w:t xml:space="preserve">27A </w:t>
            </w:r>
            <w:r w:rsidR="00D84341">
              <w:rPr>
                <w:rFonts w:ascii="Georgia" w:hAnsi="Georgia" w:cs="Arial"/>
                <w:b/>
                <w:bCs/>
              </w:rPr>
              <w:t xml:space="preserve">of the </w:t>
            </w:r>
            <w:r w:rsidR="7D4ED811" w:rsidRPr="6B1F290F">
              <w:rPr>
                <w:rFonts w:ascii="Georgia" w:hAnsi="Georgia" w:cs="Arial"/>
                <w:b/>
                <w:bCs/>
              </w:rPr>
              <w:t>Landlord and Tenant Act 1985</w:t>
            </w:r>
          </w:p>
        </w:tc>
      </w:tr>
      <w:tr w:rsidR="00964F35" w:rsidRPr="007F1C70" w14:paraId="33747599" w14:textId="77777777" w:rsidTr="001F0332">
        <w:tc>
          <w:tcPr>
            <w:tcW w:w="2692" w:type="dxa"/>
            <w:vAlign w:val="center"/>
          </w:tcPr>
          <w:p w14:paraId="740ED769" w14:textId="77777777" w:rsidR="00964F35" w:rsidRPr="007F1C70" w:rsidRDefault="00964F35" w:rsidP="007F1C70">
            <w:pPr>
              <w:tabs>
                <w:tab w:val="left" w:pos="2880"/>
              </w:tabs>
              <w:rPr>
                <w:rFonts w:ascii="Georgia" w:hAnsi="Georgia" w:cs="Arial"/>
                <w:b/>
                <w:bCs/>
              </w:rPr>
            </w:pPr>
            <w:r w:rsidRPr="007F1C70">
              <w:rPr>
                <w:rFonts w:ascii="Georgia" w:hAnsi="Georgia" w:cs="Arial"/>
                <w:b/>
                <w:bCs/>
              </w:rPr>
              <w:t>Tribunal members</w:t>
            </w:r>
          </w:p>
        </w:tc>
        <w:tc>
          <w:tcPr>
            <w:tcW w:w="463" w:type="dxa"/>
            <w:vAlign w:val="center"/>
          </w:tcPr>
          <w:p w14:paraId="786AC4E9" w14:textId="77777777" w:rsidR="00964F35" w:rsidRPr="007F1C70" w:rsidRDefault="00964F3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5EDF8CB5" w14:textId="77777777" w:rsidR="00964F35" w:rsidRDefault="00CD1DD2" w:rsidP="007F1C70">
            <w:pPr>
              <w:tabs>
                <w:tab w:val="left" w:pos="2880"/>
              </w:tabs>
              <w:spacing w:before="120" w:after="120"/>
              <w:rPr>
                <w:rFonts w:ascii="Georgia" w:hAnsi="Georgia" w:cs="Arial"/>
                <w:b/>
                <w:bCs/>
              </w:rPr>
            </w:pPr>
            <w:r>
              <w:rPr>
                <w:rFonts w:ascii="Georgia" w:hAnsi="Georgia" w:cs="Arial"/>
                <w:b/>
                <w:bCs/>
              </w:rPr>
              <w:t>First-tier Tribunal Judge K Neave</w:t>
            </w:r>
          </w:p>
          <w:p w14:paraId="331122E5" w14:textId="09C8D03E" w:rsidR="00CD1DD2" w:rsidRPr="007F1C70" w:rsidRDefault="00CD1DD2" w:rsidP="007F1C70">
            <w:pPr>
              <w:tabs>
                <w:tab w:val="left" w:pos="2880"/>
              </w:tabs>
              <w:spacing w:before="120" w:after="120"/>
              <w:rPr>
                <w:rFonts w:ascii="Georgia" w:hAnsi="Georgia" w:cs="Arial"/>
                <w:b/>
                <w:bCs/>
              </w:rPr>
            </w:pPr>
            <w:r>
              <w:rPr>
                <w:rFonts w:ascii="Georgia" w:hAnsi="Georgia" w:cs="Arial"/>
                <w:b/>
                <w:bCs/>
              </w:rPr>
              <w:t xml:space="preserve">Mr R </w:t>
            </w:r>
            <w:r w:rsidR="005831CA">
              <w:rPr>
                <w:rFonts w:ascii="Georgia" w:hAnsi="Georgia" w:cs="Arial"/>
                <w:b/>
                <w:bCs/>
              </w:rPr>
              <w:t>Thomas</w:t>
            </w:r>
          </w:p>
        </w:tc>
      </w:tr>
      <w:tr w:rsidR="00724F05" w:rsidRPr="007F1C70" w14:paraId="138DD45E" w14:textId="77777777" w:rsidTr="001F0332">
        <w:tc>
          <w:tcPr>
            <w:tcW w:w="2692" w:type="dxa"/>
            <w:vAlign w:val="center"/>
          </w:tcPr>
          <w:p w14:paraId="15D03039" w14:textId="77777777" w:rsidR="00724F05" w:rsidRPr="007F1C70" w:rsidRDefault="00964F35" w:rsidP="007F1C70">
            <w:pPr>
              <w:tabs>
                <w:tab w:val="left" w:pos="2880"/>
              </w:tabs>
              <w:rPr>
                <w:rFonts w:ascii="Georgia" w:hAnsi="Georgia" w:cs="Arial"/>
                <w:b/>
                <w:bCs/>
              </w:rPr>
            </w:pPr>
            <w:r w:rsidRPr="007F1C70">
              <w:rPr>
                <w:rFonts w:ascii="Georgia" w:hAnsi="Georgia" w:cs="Arial"/>
                <w:b/>
                <w:bCs/>
              </w:rPr>
              <w:t>V</w:t>
            </w:r>
            <w:r w:rsidR="00724F05" w:rsidRPr="007F1C70">
              <w:rPr>
                <w:rFonts w:ascii="Georgia" w:hAnsi="Georgia" w:cs="Arial"/>
                <w:b/>
                <w:bCs/>
              </w:rPr>
              <w:t>enue</w:t>
            </w:r>
          </w:p>
        </w:tc>
        <w:tc>
          <w:tcPr>
            <w:tcW w:w="463" w:type="dxa"/>
            <w:vAlign w:val="center"/>
          </w:tcPr>
          <w:p w14:paraId="6ED6B2AD"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3D918AFD" w14:textId="2D47BFD1" w:rsidR="00724F05" w:rsidRPr="007F1C70" w:rsidRDefault="00550CAE" w:rsidP="007F1C70">
            <w:pPr>
              <w:tabs>
                <w:tab w:val="left" w:pos="2880"/>
              </w:tabs>
              <w:rPr>
                <w:rFonts w:ascii="Georgia" w:hAnsi="Georgia" w:cs="Arial"/>
                <w:b/>
                <w:bCs/>
              </w:rPr>
            </w:pPr>
            <w:r>
              <w:rPr>
                <w:rFonts w:ascii="Georgia" w:hAnsi="Georgia" w:cs="Arial"/>
                <w:b/>
                <w:bCs/>
              </w:rPr>
              <w:t>Remote hearing by CVP</w:t>
            </w:r>
          </w:p>
        </w:tc>
      </w:tr>
      <w:tr w:rsidR="00724F05" w:rsidRPr="007F1C70" w14:paraId="44D9F2D7" w14:textId="77777777" w:rsidTr="001F0332">
        <w:tc>
          <w:tcPr>
            <w:tcW w:w="2692" w:type="dxa"/>
            <w:vAlign w:val="center"/>
          </w:tcPr>
          <w:p w14:paraId="4318E66D"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 xml:space="preserve">Date of </w:t>
            </w:r>
            <w:r w:rsidR="00DE413A" w:rsidRPr="007F1C70">
              <w:rPr>
                <w:rFonts w:ascii="Georgia" w:hAnsi="Georgia" w:cs="Arial"/>
                <w:b/>
                <w:bCs/>
              </w:rPr>
              <w:t>d</w:t>
            </w:r>
            <w:r w:rsidRPr="007F1C70">
              <w:rPr>
                <w:rFonts w:ascii="Georgia" w:hAnsi="Georgia" w:cs="Arial"/>
                <w:b/>
                <w:bCs/>
              </w:rPr>
              <w:t>ecision</w:t>
            </w:r>
          </w:p>
        </w:tc>
        <w:tc>
          <w:tcPr>
            <w:tcW w:w="463" w:type="dxa"/>
            <w:vAlign w:val="center"/>
          </w:tcPr>
          <w:p w14:paraId="2D4CB9FE"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7388094E" w14:textId="2D645829" w:rsidR="00724F05" w:rsidRPr="007F1C70" w:rsidRDefault="00550CAE" w:rsidP="007F1C70">
            <w:pPr>
              <w:tabs>
                <w:tab w:val="left" w:pos="2880"/>
              </w:tabs>
              <w:rPr>
                <w:rFonts w:ascii="Georgia" w:hAnsi="Georgia" w:cs="Arial"/>
                <w:b/>
                <w:bCs/>
              </w:rPr>
            </w:pPr>
            <w:r>
              <w:rPr>
                <w:rFonts w:ascii="Georgia" w:hAnsi="Georgia" w:cs="Arial"/>
                <w:b/>
                <w:bCs/>
              </w:rPr>
              <w:t>30 July 2025</w:t>
            </w:r>
          </w:p>
        </w:tc>
      </w:tr>
    </w:tbl>
    <w:p w14:paraId="314F3409" w14:textId="77777777" w:rsidR="00C27ECE" w:rsidRDefault="00C27ECE" w:rsidP="00724F05">
      <w:pPr>
        <w:jc w:val="both"/>
        <w:rPr>
          <w:szCs w:val="20"/>
        </w:rPr>
      </w:pP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tblGrid>
      <w:tr w:rsidR="00C27ECE" w:rsidRPr="007F1C70" w14:paraId="03041107" w14:textId="77777777" w:rsidTr="00F109B2">
        <w:trPr>
          <w:trHeight w:val="811"/>
        </w:trPr>
        <w:tc>
          <w:tcPr>
            <w:tcW w:w="8364" w:type="dxa"/>
            <w:tcBorders>
              <w:left w:val="nil"/>
              <w:right w:val="nil"/>
            </w:tcBorders>
            <w:vAlign w:val="center"/>
          </w:tcPr>
          <w:p w14:paraId="468BFA09" w14:textId="77777777" w:rsidR="00C27ECE" w:rsidRPr="007F1C70" w:rsidRDefault="00C27ECE" w:rsidP="007F1C70">
            <w:pPr>
              <w:jc w:val="center"/>
              <w:rPr>
                <w:szCs w:val="20"/>
              </w:rPr>
            </w:pPr>
            <w:r w:rsidRPr="007F1C70">
              <w:rPr>
                <w:rFonts w:ascii="Georgia" w:hAnsi="Georgia" w:cs="Arial"/>
                <w:b/>
                <w:bCs/>
              </w:rPr>
              <w:t>DECISION</w:t>
            </w:r>
          </w:p>
        </w:tc>
      </w:tr>
    </w:tbl>
    <w:p w14:paraId="4E0DE048" w14:textId="77777777" w:rsidR="00C27ECE" w:rsidRPr="00092C14" w:rsidRDefault="00C27ECE" w:rsidP="00724F05">
      <w:pPr>
        <w:jc w:val="both"/>
        <w:rPr>
          <w:rFonts w:ascii="Georgia" w:hAnsi="Georgia"/>
          <w:szCs w:val="20"/>
        </w:rPr>
      </w:pPr>
    </w:p>
    <w:p w14:paraId="3C301FD1" w14:textId="77777777" w:rsidR="0046328F" w:rsidRDefault="0046328F">
      <w:pPr>
        <w:rPr>
          <w:rFonts w:ascii="Calibri" w:eastAsia="Calibri" w:hAnsi="Calibri" w:cs="Calibri"/>
          <w:color w:val="000000" w:themeColor="text1"/>
        </w:rPr>
      </w:pPr>
      <w:r w:rsidRPr="1E63E3C2">
        <w:rPr>
          <w:rFonts w:ascii="Calibri" w:eastAsia="Calibri" w:hAnsi="Calibri" w:cs="Calibri"/>
          <w:color w:val="000000" w:themeColor="text1"/>
        </w:rPr>
        <w:br w:type="page"/>
      </w:r>
    </w:p>
    <w:p w14:paraId="2782FA87" w14:textId="77777777" w:rsidR="000927B4" w:rsidRPr="007548FA" w:rsidRDefault="000927B4" w:rsidP="00C663E1">
      <w:pPr>
        <w:autoSpaceDE w:val="0"/>
        <w:autoSpaceDN w:val="0"/>
        <w:adjustRightInd w:val="0"/>
        <w:spacing w:after="360"/>
        <w:jc w:val="both"/>
        <w:rPr>
          <w:rFonts w:ascii="Georgia" w:hAnsi="Georgia" w:cs="Arial"/>
        </w:rPr>
      </w:pPr>
      <w:bookmarkStart w:id="0" w:name="_Hlk50729776"/>
      <w:r w:rsidRPr="007548FA">
        <w:rPr>
          <w:rFonts w:ascii="Georgia" w:hAnsi="Georgia" w:cs="Arial"/>
          <w:b/>
          <w:u w:val="single"/>
        </w:rPr>
        <w:lastRenderedPageBreak/>
        <w:t>Decisions of the tribunal</w:t>
      </w:r>
    </w:p>
    <w:bookmarkEnd w:id="0"/>
    <w:p w14:paraId="66D1CA7B" w14:textId="36754149" w:rsidR="000927B4" w:rsidRDefault="000927B4" w:rsidP="00C663E1">
      <w:pPr>
        <w:numPr>
          <w:ilvl w:val="0"/>
          <w:numId w:val="9"/>
        </w:numPr>
        <w:tabs>
          <w:tab w:val="clear" w:pos="170"/>
          <w:tab w:val="num" w:pos="851"/>
        </w:tabs>
        <w:autoSpaceDE w:val="0"/>
        <w:autoSpaceDN w:val="0"/>
        <w:adjustRightInd w:val="0"/>
        <w:spacing w:after="360"/>
        <w:ind w:left="851" w:hanging="851"/>
        <w:jc w:val="both"/>
        <w:rPr>
          <w:rFonts w:ascii="Georgia" w:hAnsi="Georgia" w:cs="Arial"/>
        </w:rPr>
      </w:pPr>
      <w:r w:rsidRPr="007548FA">
        <w:rPr>
          <w:rFonts w:ascii="Georgia" w:hAnsi="Georgia" w:cs="Arial"/>
        </w:rPr>
        <w:t>The tribunal determines that the</w:t>
      </w:r>
      <w:r w:rsidR="00CD20CA">
        <w:rPr>
          <w:rFonts w:ascii="Georgia" w:hAnsi="Georgia" w:cs="Arial"/>
        </w:rPr>
        <w:t xml:space="preserve"> following disputed sums are payable by the Applicant </w:t>
      </w:r>
      <w:r w:rsidRPr="007548FA">
        <w:rPr>
          <w:rFonts w:ascii="Georgia" w:hAnsi="Georgia" w:cs="Arial"/>
        </w:rPr>
        <w:t>in respect of the service charges for the year</w:t>
      </w:r>
      <w:r w:rsidR="00CD20CA">
        <w:rPr>
          <w:rFonts w:ascii="Georgia" w:hAnsi="Georgia" w:cs="Arial"/>
        </w:rPr>
        <w:t xml:space="preserve"> ending 31 December 2023:</w:t>
      </w:r>
    </w:p>
    <w:p w14:paraId="49EDE6F1" w14:textId="0FA50817" w:rsidR="00CD20CA" w:rsidRDefault="000A2897" w:rsidP="00CD20CA">
      <w:pPr>
        <w:numPr>
          <w:ilvl w:val="1"/>
          <w:numId w:val="9"/>
        </w:numPr>
        <w:autoSpaceDE w:val="0"/>
        <w:autoSpaceDN w:val="0"/>
        <w:adjustRightInd w:val="0"/>
        <w:spacing w:after="360"/>
        <w:jc w:val="both"/>
        <w:rPr>
          <w:rFonts w:ascii="Georgia" w:hAnsi="Georgia" w:cs="Arial"/>
        </w:rPr>
      </w:pPr>
      <w:r>
        <w:rPr>
          <w:rFonts w:ascii="Georgia" w:hAnsi="Georgia" w:cs="Arial"/>
        </w:rPr>
        <w:t>In respect of the “deficit brought forward” from 2022, no sum</w:t>
      </w:r>
      <w:r w:rsidR="00CD651D">
        <w:rPr>
          <w:rFonts w:ascii="Georgia" w:hAnsi="Georgia" w:cs="Arial"/>
        </w:rPr>
        <w:t xml:space="preserve"> is</w:t>
      </w:r>
      <w:r>
        <w:rPr>
          <w:rFonts w:ascii="Georgia" w:hAnsi="Georgia" w:cs="Arial"/>
        </w:rPr>
        <w:t xml:space="preserve"> payable by the Applicant.</w:t>
      </w:r>
    </w:p>
    <w:p w14:paraId="28DB60A0" w14:textId="3A27CF43" w:rsidR="000A2897" w:rsidRDefault="000A2897" w:rsidP="00CD20CA">
      <w:pPr>
        <w:numPr>
          <w:ilvl w:val="1"/>
          <w:numId w:val="9"/>
        </w:numPr>
        <w:autoSpaceDE w:val="0"/>
        <w:autoSpaceDN w:val="0"/>
        <w:adjustRightInd w:val="0"/>
        <w:spacing w:after="360"/>
        <w:jc w:val="both"/>
        <w:rPr>
          <w:rFonts w:ascii="Georgia" w:hAnsi="Georgia" w:cs="Arial"/>
        </w:rPr>
      </w:pPr>
      <w:r>
        <w:rPr>
          <w:rFonts w:ascii="Georgia" w:hAnsi="Georgia" w:cs="Arial"/>
        </w:rPr>
        <w:t>In respect of grounds maintenance, the sum payable by the Applicant is her share of £25,865.95.</w:t>
      </w:r>
    </w:p>
    <w:p w14:paraId="561793F8" w14:textId="2B0B0431" w:rsidR="000A2897" w:rsidRPr="007548FA" w:rsidRDefault="000A2897" w:rsidP="00CD20CA">
      <w:pPr>
        <w:numPr>
          <w:ilvl w:val="1"/>
          <w:numId w:val="9"/>
        </w:numPr>
        <w:autoSpaceDE w:val="0"/>
        <w:autoSpaceDN w:val="0"/>
        <w:adjustRightInd w:val="0"/>
        <w:spacing w:after="360"/>
        <w:jc w:val="both"/>
        <w:rPr>
          <w:rFonts w:ascii="Georgia" w:hAnsi="Georgia" w:cs="Arial"/>
        </w:rPr>
      </w:pPr>
      <w:r>
        <w:rPr>
          <w:rFonts w:ascii="Georgia" w:hAnsi="Georgia" w:cs="Arial"/>
        </w:rPr>
        <w:t>In respect of the Respondent’s costs of maintaining and managing the district heating and hot water system and the HIUs, the sum payable by the Applicant is her share of £2793.00.</w:t>
      </w:r>
    </w:p>
    <w:p w14:paraId="1951CECA" w14:textId="01CF5FA0" w:rsidR="000927B4" w:rsidRPr="007548FA" w:rsidRDefault="000927B4" w:rsidP="00C663E1">
      <w:pPr>
        <w:numPr>
          <w:ilvl w:val="0"/>
          <w:numId w:val="9"/>
        </w:numPr>
        <w:tabs>
          <w:tab w:val="clear" w:pos="170"/>
          <w:tab w:val="num" w:pos="851"/>
        </w:tabs>
        <w:autoSpaceDE w:val="0"/>
        <w:autoSpaceDN w:val="0"/>
        <w:adjustRightInd w:val="0"/>
        <w:spacing w:after="360"/>
        <w:ind w:left="851" w:hanging="851"/>
        <w:jc w:val="both"/>
        <w:rPr>
          <w:rFonts w:ascii="Georgia" w:hAnsi="Georgia" w:cs="Arial"/>
        </w:rPr>
      </w:pPr>
      <w:r w:rsidRPr="007548FA">
        <w:rPr>
          <w:rFonts w:ascii="Georgia" w:hAnsi="Georgia" w:cs="Arial"/>
        </w:rPr>
        <w:t>The tribunal makes the determinations as set out under the various headings in this Decision</w:t>
      </w:r>
      <w:r w:rsidR="000A2897">
        <w:rPr>
          <w:rFonts w:ascii="Georgia" w:hAnsi="Georgia" w:cs="Arial"/>
        </w:rPr>
        <w:t>.</w:t>
      </w:r>
    </w:p>
    <w:p w14:paraId="7276E9C1" w14:textId="5EB2C147" w:rsidR="000927B4" w:rsidRPr="007548FA" w:rsidRDefault="000927B4" w:rsidP="00C663E1">
      <w:pPr>
        <w:numPr>
          <w:ilvl w:val="0"/>
          <w:numId w:val="9"/>
        </w:numPr>
        <w:tabs>
          <w:tab w:val="clear" w:pos="170"/>
          <w:tab w:val="num" w:pos="851"/>
        </w:tabs>
        <w:autoSpaceDE w:val="0"/>
        <w:autoSpaceDN w:val="0"/>
        <w:adjustRightInd w:val="0"/>
        <w:spacing w:after="360"/>
        <w:ind w:left="851" w:hanging="851"/>
        <w:jc w:val="both"/>
        <w:rPr>
          <w:rFonts w:ascii="Georgia" w:hAnsi="Georgia" w:cs="Arial"/>
        </w:rPr>
      </w:pPr>
      <w:r w:rsidRPr="007548FA">
        <w:rPr>
          <w:rFonts w:ascii="Georgia" w:hAnsi="Georgia" w:cs="Arial"/>
        </w:rPr>
        <w:t xml:space="preserve">The tribunal makes an order under section 20C of the Landlord and Tenant Act 1985 that none of the </w:t>
      </w:r>
      <w:r w:rsidR="000A2897">
        <w:rPr>
          <w:rFonts w:ascii="Georgia" w:hAnsi="Georgia" w:cs="Arial"/>
        </w:rPr>
        <w:t>Respondent</w:t>
      </w:r>
      <w:r w:rsidRPr="007548FA">
        <w:rPr>
          <w:rFonts w:ascii="Georgia" w:hAnsi="Georgia" w:cs="Arial"/>
        </w:rPr>
        <w:t xml:space="preserve">’s costs of the tribunal proceedings may be passed to the lessees </w:t>
      </w:r>
      <w:r w:rsidR="000A2897">
        <w:rPr>
          <w:rFonts w:ascii="Georgia" w:hAnsi="Georgia" w:cs="Arial"/>
        </w:rPr>
        <w:t xml:space="preserve">named in the Applicant’s application </w:t>
      </w:r>
      <w:r w:rsidRPr="007548FA">
        <w:rPr>
          <w:rFonts w:ascii="Georgia" w:hAnsi="Georgia" w:cs="Arial"/>
        </w:rPr>
        <w:t>through any service charge</w:t>
      </w:r>
      <w:r w:rsidR="000A2897">
        <w:rPr>
          <w:rFonts w:ascii="Georgia" w:hAnsi="Georgia" w:cs="Arial"/>
        </w:rPr>
        <w:t>.</w:t>
      </w:r>
    </w:p>
    <w:p w14:paraId="56F2912A" w14:textId="262B5FA8" w:rsidR="000927B4" w:rsidRPr="007548FA" w:rsidRDefault="000927B4" w:rsidP="00C663E1">
      <w:pPr>
        <w:numPr>
          <w:ilvl w:val="0"/>
          <w:numId w:val="9"/>
        </w:numPr>
        <w:tabs>
          <w:tab w:val="clear" w:pos="170"/>
          <w:tab w:val="num" w:pos="851"/>
        </w:tabs>
        <w:autoSpaceDE w:val="0"/>
        <w:autoSpaceDN w:val="0"/>
        <w:adjustRightInd w:val="0"/>
        <w:spacing w:after="360"/>
        <w:ind w:left="851" w:hanging="851"/>
        <w:jc w:val="both"/>
        <w:rPr>
          <w:rFonts w:ascii="Georgia" w:hAnsi="Georgia" w:cs="Arial"/>
        </w:rPr>
      </w:pPr>
      <w:r w:rsidRPr="007548FA">
        <w:rPr>
          <w:rFonts w:ascii="Georgia" w:hAnsi="Georgia" w:cs="Arial"/>
        </w:rPr>
        <w:t xml:space="preserve">The tribunal determines that the Respondent shall pay the Applicant </w:t>
      </w:r>
      <w:r w:rsidR="00BD153F">
        <w:rPr>
          <w:rFonts w:ascii="Georgia" w:hAnsi="Georgia" w:cs="Arial"/>
        </w:rPr>
        <w:t xml:space="preserve">£327.00 </w:t>
      </w:r>
      <w:r w:rsidRPr="007548FA">
        <w:rPr>
          <w:rFonts w:ascii="Georgia" w:hAnsi="Georgia" w:cs="Arial"/>
        </w:rPr>
        <w:t>within 28 days of this Decision</w:t>
      </w:r>
      <w:r w:rsidR="00BD153F">
        <w:rPr>
          <w:rFonts w:ascii="Georgia" w:hAnsi="Georgia" w:cs="Arial"/>
        </w:rPr>
        <w:t xml:space="preserve"> </w:t>
      </w:r>
      <w:r w:rsidRPr="007548FA">
        <w:rPr>
          <w:rFonts w:ascii="Georgia" w:hAnsi="Georgia" w:cs="Arial"/>
        </w:rPr>
        <w:t>in respect of the reimbursement of the tribunal fees paid by the Applicant</w:t>
      </w:r>
      <w:r w:rsidR="000A2897">
        <w:rPr>
          <w:rFonts w:ascii="Georgia" w:hAnsi="Georgia" w:cs="Arial"/>
        </w:rPr>
        <w:t>.</w:t>
      </w:r>
    </w:p>
    <w:p w14:paraId="53767E8F" w14:textId="77777777" w:rsidR="000927B4" w:rsidRPr="007548FA" w:rsidRDefault="000927B4" w:rsidP="00C663E1">
      <w:pPr>
        <w:autoSpaceDE w:val="0"/>
        <w:autoSpaceDN w:val="0"/>
        <w:adjustRightInd w:val="0"/>
        <w:spacing w:after="360"/>
        <w:jc w:val="both"/>
        <w:rPr>
          <w:rFonts w:ascii="Georgia" w:hAnsi="Georgia" w:cs="Arial"/>
          <w:b/>
          <w:u w:val="single"/>
        </w:rPr>
      </w:pPr>
      <w:r w:rsidRPr="007548FA">
        <w:rPr>
          <w:rFonts w:ascii="Georgia" w:hAnsi="Georgia" w:cs="Arial"/>
          <w:b/>
          <w:u w:val="single"/>
        </w:rPr>
        <w:t>The application</w:t>
      </w:r>
    </w:p>
    <w:p w14:paraId="03E223AC" w14:textId="6C186552" w:rsidR="000927B4" w:rsidRDefault="006203FE" w:rsidP="00BD153F">
      <w:pPr>
        <w:numPr>
          <w:ilvl w:val="0"/>
          <w:numId w:val="8"/>
        </w:numPr>
        <w:tabs>
          <w:tab w:val="clear" w:pos="360"/>
          <w:tab w:val="num" w:pos="720"/>
        </w:tabs>
        <w:autoSpaceDE w:val="0"/>
        <w:autoSpaceDN w:val="0"/>
        <w:adjustRightInd w:val="0"/>
        <w:spacing w:after="360"/>
        <w:ind w:left="709" w:hanging="619"/>
        <w:jc w:val="both"/>
        <w:rPr>
          <w:rFonts w:ascii="Georgia" w:hAnsi="Georgia" w:cs="Arial"/>
        </w:rPr>
      </w:pPr>
      <w:r>
        <w:rPr>
          <w:rFonts w:ascii="Georgia" w:hAnsi="Georgia" w:cs="Arial"/>
        </w:rPr>
        <w:t>By an application dated 29 October 2024, t</w:t>
      </w:r>
      <w:r w:rsidR="000927B4" w:rsidRPr="007548FA">
        <w:rPr>
          <w:rFonts w:ascii="Georgia" w:hAnsi="Georgia" w:cs="Arial"/>
        </w:rPr>
        <w:t xml:space="preserve">he Applicant </w:t>
      </w:r>
      <w:r>
        <w:rPr>
          <w:rFonts w:ascii="Georgia" w:hAnsi="Georgia" w:cs="Arial"/>
        </w:rPr>
        <w:t xml:space="preserve">tenant </w:t>
      </w:r>
      <w:r w:rsidR="00715DF9">
        <w:rPr>
          <w:rFonts w:ascii="Georgia" w:hAnsi="Georgia" w:cs="Arial"/>
        </w:rPr>
        <w:t>sought</w:t>
      </w:r>
      <w:r w:rsidR="000927B4" w:rsidRPr="007548FA">
        <w:rPr>
          <w:rFonts w:ascii="Georgia" w:hAnsi="Georgia" w:cs="Arial"/>
        </w:rPr>
        <w:t xml:space="preserve"> a determination pursuant to s.27A of the Landlord and Tenant Act 1985 (“the 1985 Act”)</w:t>
      </w:r>
      <w:r>
        <w:rPr>
          <w:rFonts w:ascii="Georgia" w:hAnsi="Georgia" w:cs="Arial"/>
        </w:rPr>
        <w:t xml:space="preserve"> </w:t>
      </w:r>
      <w:r w:rsidR="000927B4" w:rsidRPr="007548FA">
        <w:rPr>
          <w:rFonts w:ascii="Georgia" w:hAnsi="Georgia" w:cs="Arial"/>
        </w:rPr>
        <w:t xml:space="preserve">as to the service charges payable by </w:t>
      </w:r>
      <w:r>
        <w:rPr>
          <w:rFonts w:ascii="Georgia" w:hAnsi="Georgia" w:cs="Arial"/>
        </w:rPr>
        <w:t>her under the terms of her lease</w:t>
      </w:r>
      <w:r w:rsidR="000927B4" w:rsidRPr="007548FA">
        <w:rPr>
          <w:rFonts w:ascii="Georgia" w:hAnsi="Georgia" w:cs="Arial"/>
        </w:rPr>
        <w:t xml:space="preserve"> in respect of the service charge year</w:t>
      </w:r>
      <w:r>
        <w:rPr>
          <w:rFonts w:ascii="Georgia" w:hAnsi="Georgia" w:cs="Arial"/>
        </w:rPr>
        <w:t xml:space="preserve"> ending </w:t>
      </w:r>
      <w:r w:rsidR="00AE5147">
        <w:rPr>
          <w:rFonts w:ascii="Georgia" w:hAnsi="Georgia" w:cs="Arial"/>
        </w:rPr>
        <w:t xml:space="preserve">31 December 2023. </w:t>
      </w:r>
    </w:p>
    <w:p w14:paraId="36776F4F" w14:textId="77777777" w:rsidR="00DA702B" w:rsidRPr="007548FA" w:rsidRDefault="00DA702B" w:rsidP="00DA702B">
      <w:pPr>
        <w:autoSpaceDE w:val="0"/>
        <w:autoSpaceDN w:val="0"/>
        <w:adjustRightInd w:val="0"/>
        <w:spacing w:after="360"/>
        <w:jc w:val="both"/>
        <w:rPr>
          <w:rFonts w:ascii="Georgia" w:hAnsi="Georgia" w:cs="Arial"/>
          <w:b/>
          <w:u w:val="single"/>
        </w:rPr>
      </w:pPr>
      <w:r w:rsidRPr="007548FA">
        <w:rPr>
          <w:rFonts w:ascii="Georgia" w:hAnsi="Georgia" w:cs="Arial"/>
          <w:b/>
          <w:u w:val="single"/>
        </w:rPr>
        <w:t>The background</w:t>
      </w:r>
    </w:p>
    <w:p w14:paraId="51AB03CC" w14:textId="53813424" w:rsidR="003715A6" w:rsidRDefault="00DA702B" w:rsidP="00BD153F">
      <w:pPr>
        <w:numPr>
          <w:ilvl w:val="0"/>
          <w:numId w:val="8"/>
        </w:numPr>
        <w:tabs>
          <w:tab w:val="clear" w:pos="360"/>
          <w:tab w:val="num" w:pos="709"/>
        </w:tabs>
        <w:autoSpaceDE w:val="0"/>
        <w:autoSpaceDN w:val="0"/>
        <w:adjustRightInd w:val="0"/>
        <w:spacing w:after="360"/>
        <w:ind w:left="709" w:hanging="619"/>
        <w:jc w:val="both"/>
        <w:rPr>
          <w:rFonts w:ascii="Georgia" w:hAnsi="Georgia" w:cs="Arial"/>
        </w:rPr>
      </w:pPr>
      <w:r>
        <w:rPr>
          <w:rFonts w:ascii="Georgia" w:hAnsi="Georgia" w:cs="Arial"/>
        </w:rPr>
        <w:t xml:space="preserve">The background to this matter is set out in the </w:t>
      </w:r>
      <w:r w:rsidR="005F69D6">
        <w:rPr>
          <w:rFonts w:ascii="Georgia" w:hAnsi="Georgia" w:cs="Arial"/>
        </w:rPr>
        <w:t>289 page hearing bundle</w:t>
      </w:r>
      <w:r w:rsidR="003431AC">
        <w:rPr>
          <w:rFonts w:ascii="Georgia" w:hAnsi="Georgia" w:cs="Arial"/>
        </w:rPr>
        <w:t xml:space="preserve"> and the</w:t>
      </w:r>
      <w:r w:rsidR="00BD153F">
        <w:rPr>
          <w:rFonts w:ascii="Georgia" w:hAnsi="Georgia" w:cs="Arial"/>
        </w:rPr>
        <w:t xml:space="preserve"> </w:t>
      </w:r>
      <w:r w:rsidR="003715A6">
        <w:rPr>
          <w:rFonts w:ascii="Georgia" w:hAnsi="Georgia" w:cs="Arial"/>
        </w:rPr>
        <w:t>6 page supplementary bundle prepared by the Applicant. We were also provided with a copy of the 2023 service charge accounts during the course of the hearing.</w:t>
      </w:r>
      <w:r w:rsidR="006636D6">
        <w:rPr>
          <w:rFonts w:ascii="Georgia" w:hAnsi="Georgia" w:cs="Arial"/>
        </w:rPr>
        <w:t xml:space="preserve"> We have considered these documents in detail. </w:t>
      </w:r>
    </w:p>
    <w:p w14:paraId="719C07C1" w14:textId="31D85614" w:rsidR="00CC67E1" w:rsidRPr="00552176" w:rsidRDefault="009B3FCE" w:rsidP="00715DF9">
      <w:pPr>
        <w:numPr>
          <w:ilvl w:val="0"/>
          <w:numId w:val="8"/>
        </w:numPr>
        <w:tabs>
          <w:tab w:val="clear" w:pos="360"/>
          <w:tab w:val="num" w:pos="709"/>
        </w:tabs>
        <w:autoSpaceDE w:val="0"/>
        <w:autoSpaceDN w:val="0"/>
        <w:adjustRightInd w:val="0"/>
        <w:spacing w:after="360"/>
        <w:ind w:left="709" w:hanging="619"/>
        <w:jc w:val="both"/>
        <w:rPr>
          <w:rFonts w:ascii="Georgia" w:hAnsi="Georgia" w:cs="Arial"/>
        </w:rPr>
      </w:pPr>
      <w:r>
        <w:rPr>
          <w:rFonts w:ascii="Georgia" w:hAnsi="Georgia" w:cs="Arial"/>
        </w:rPr>
        <w:t>40 Uplands House</w:t>
      </w:r>
      <w:r w:rsidR="008C6031">
        <w:rPr>
          <w:rFonts w:ascii="Georgia" w:hAnsi="Georgia" w:cs="Arial"/>
        </w:rPr>
        <w:t>, the property that is the subject of this application,</w:t>
      </w:r>
      <w:r w:rsidR="00CA5BD9">
        <w:rPr>
          <w:rFonts w:ascii="Georgia" w:hAnsi="Georgia" w:cs="Arial"/>
        </w:rPr>
        <w:t xml:space="preserve"> is a </w:t>
      </w:r>
      <w:r w:rsidR="000C351A">
        <w:rPr>
          <w:rFonts w:ascii="Georgia" w:hAnsi="Georgia" w:cs="Arial"/>
        </w:rPr>
        <w:t>one bedroom flat in a</w:t>
      </w:r>
      <w:r w:rsidR="00C94DE4">
        <w:rPr>
          <w:rFonts w:ascii="Georgia" w:hAnsi="Georgia" w:cs="Arial"/>
        </w:rPr>
        <w:t xml:space="preserve"> recently converted block. </w:t>
      </w:r>
      <w:r w:rsidR="00CC67E1" w:rsidRPr="007D47D5">
        <w:rPr>
          <w:rFonts w:ascii="Georgia" w:hAnsi="Georgia" w:cs="Arial"/>
        </w:rPr>
        <w:t>Neither party requested an inspection</w:t>
      </w:r>
      <w:r w:rsidR="00CC67E1">
        <w:rPr>
          <w:rFonts w:ascii="Georgia" w:hAnsi="Georgia" w:cs="Arial"/>
        </w:rPr>
        <w:t xml:space="preserve"> of the </w:t>
      </w:r>
      <w:r w:rsidR="006636D6">
        <w:rPr>
          <w:rFonts w:ascii="Georgia" w:hAnsi="Georgia" w:cs="Arial"/>
        </w:rPr>
        <w:t>flat</w:t>
      </w:r>
      <w:r w:rsidR="00CC67E1">
        <w:rPr>
          <w:rFonts w:ascii="Georgia" w:hAnsi="Georgia" w:cs="Arial"/>
        </w:rPr>
        <w:t xml:space="preserve"> or the block </w:t>
      </w:r>
      <w:r w:rsidR="00CC67E1" w:rsidRPr="007D47D5">
        <w:rPr>
          <w:rFonts w:ascii="Georgia" w:hAnsi="Georgia" w:cs="Arial"/>
        </w:rPr>
        <w:t xml:space="preserve">and the tribunal did not consider </w:t>
      </w:r>
      <w:r w:rsidR="00CC67E1" w:rsidRPr="007D47D5">
        <w:rPr>
          <w:rFonts w:ascii="Georgia" w:hAnsi="Georgia" w:cs="Arial"/>
        </w:rPr>
        <w:lastRenderedPageBreak/>
        <w:t>that</w:t>
      </w:r>
      <w:r w:rsidR="00CC67E1">
        <w:rPr>
          <w:rFonts w:ascii="Georgia" w:hAnsi="Georgia" w:cs="Arial"/>
        </w:rPr>
        <w:t xml:space="preserve"> any inspection</w:t>
      </w:r>
      <w:r w:rsidR="00CC67E1" w:rsidRPr="007D47D5">
        <w:rPr>
          <w:rFonts w:ascii="Georgia" w:hAnsi="Georgia" w:cs="Arial"/>
        </w:rPr>
        <w:t xml:space="preserve"> was necessary</w:t>
      </w:r>
      <w:r w:rsidR="00CC67E1">
        <w:rPr>
          <w:rFonts w:ascii="Georgia" w:hAnsi="Georgia" w:cs="Arial"/>
        </w:rPr>
        <w:t xml:space="preserve"> </w:t>
      </w:r>
      <w:r w:rsidR="00CC67E1" w:rsidRPr="007D47D5">
        <w:rPr>
          <w:rFonts w:ascii="Georgia" w:hAnsi="Georgia" w:cs="Arial"/>
        </w:rPr>
        <w:t>nor proportionate to the issues in dispute.</w:t>
      </w:r>
    </w:p>
    <w:p w14:paraId="00A30443" w14:textId="2194CD37" w:rsidR="00DA702B" w:rsidRPr="00B956B1" w:rsidRDefault="00CC67E1" w:rsidP="006636D6">
      <w:pPr>
        <w:numPr>
          <w:ilvl w:val="0"/>
          <w:numId w:val="8"/>
        </w:numPr>
        <w:tabs>
          <w:tab w:val="clear" w:pos="360"/>
          <w:tab w:val="num" w:pos="709"/>
        </w:tabs>
        <w:autoSpaceDE w:val="0"/>
        <w:autoSpaceDN w:val="0"/>
        <w:adjustRightInd w:val="0"/>
        <w:spacing w:after="360"/>
        <w:ind w:left="709" w:hanging="619"/>
        <w:jc w:val="both"/>
        <w:rPr>
          <w:rFonts w:ascii="Georgia" w:hAnsi="Georgia" w:cs="Arial"/>
        </w:rPr>
      </w:pPr>
      <w:r>
        <w:rPr>
          <w:rFonts w:ascii="Georgia" w:hAnsi="Georgia" w:cs="Arial"/>
        </w:rPr>
        <w:t xml:space="preserve">The Applicant is the </w:t>
      </w:r>
      <w:r w:rsidR="003E36DE">
        <w:rPr>
          <w:rFonts w:ascii="Georgia" w:hAnsi="Georgia" w:cs="Arial"/>
        </w:rPr>
        <w:t xml:space="preserve">lessee of </w:t>
      </w:r>
      <w:r w:rsidR="006636D6">
        <w:rPr>
          <w:rFonts w:ascii="Georgia" w:hAnsi="Georgia" w:cs="Arial"/>
        </w:rPr>
        <w:t>40 Uplands House</w:t>
      </w:r>
      <w:r w:rsidR="003E36DE">
        <w:rPr>
          <w:rFonts w:ascii="Georgia" w:hAnsi="Georgia" w:cs="Arial"/>
        </w:rPr>
        <w:t xml:space="preserve"> under the terms of a lease dated </w:t>
      </w:r>
      <w:r w:rsidR="00932A05">
        <w:rPr>
          <w:rFonts w:ascii="Georgia" w:hAnsi="Georgia" w:cs="Arial"/>
        </w:rPr>
        <w:t>9 December 2022</w:t>
      </w:r>
      <w:r w:rsidR="00663688">
        <w:rPr>
          <w:rFonts w:ascii="Georgia" w:hAnsi="Georgia" w:cs="Arial"/>
        </w:rPr>
        <w:t xml:space="preserve"> for a term of 125 years from </w:t>
      </w:r>
      <w:r w:rsidR="00343E1E">
        <w:rPr>
          <w:rFonts w:ascii="Georgia" w:hAnsi="Georgia" w:cs="Arial"/>
        </w:rPr>
        <w:t>9 December 2022</w:t>
      </w:r>
      <w:r w:rsidR="008E623B">
        <w:rPr>
          <w:rFonts w:ascii="Georgia" w:hAnsi="Georgia" w:cs="Arial"/>
        </w:rPr>
        <w:t xml:space="preserve"> (“the Lease”)</w:t>
      </w:r>
      <w:r w:rsidR="00343E1E">
        <w:rPr>
          <w:rFonts w:ascii="Georgia" w:hAnsi="Georgia" w:cs="Arial"/>
        </w:rPr>
        <w:t xml:space="preserve">. The Respondent is the </w:t>
      </w:r>
      <w:r w:rsidR="008E623B">
        <w:rPr>
          <w:rFonts w:ascii="Georgia" w:hAnsi="Georgia" w:cs="Arial"/>
        </w:rPr>
        <w:t>Applicant’s immediate landlord. Under the terms</w:t>
      </w:r>
      <w:r w:rsidR="002D2859">
        <w:rPr>
          <w:rFonts w:ascii="Georgia" w:hAnsi="Georgia" w:cs="Arial"/>
        </w:rPr>
        <w:t xml:space="preserve"> of the Lease, the </w:t>
      </w:r>
      <w:r w:rsidR="00661C6D">
        <w:rPr>
          <w:rFonts w:ascii="Georgia" w:hAnsi="Georgia" w:cs="Arial"/>
        </w:rPr>
        <w:t>Respondent is required</w:t>
      </w:r>
      <w:r w:rsidR="002D2859" w:rsidRPr="007548FA">
        <w:rPr>
          <w:rFonts w:ascii="Georgia" w:hAnsi="Georgia" w:cs="Arial"/>
        </w:rPr>
        <w:t xml:space="preserve"> to provide services and the </w:t>
      </w:r>
      <w:r w:rsidR="00661C6D">
        <w:rPr>
          <w:rFonts w:ascii="Georgia" w:hAnsi="Georgia" w:cs="Arial"/>
        </w:rPr>
        <w:t>Applicant is required</w:t>
      </w:r>
      <w:r w:rsidR="002D2859" w:rsidRPr="007548FA">
        <w:rPr>
          <w:rFonts w:ascii="Georgia" w:hAnsi="Georgia" w:cs="Arial"/>
        </w:rPr>
        <w:t xml:space="preserve"> to contribute towards their costs by way of a variable service charge. </w:t>
      </w:r>
      <w:r w:rsidR="00B956B1">
        <w:rPr>
          <w:rFonts w:ascii="Georgia" w:hAnsi="Georgia" w:cs="Arial"/>
        </w:rPr>
        <w:t>The relevant terms of the Lease are set out in more detail below.</w:t>
      </w:r>
    </w:p>
    <w:p w14:paraId="1CE6CBC1" w14:textId="0D782A9A" w:rsidR="000927B4" w:rsidRPr="007548FA" w:rsidRDefault="000927B4" w:rsidP="00C663E1">
      <w:pPr>
        <w:autoSpaceDE w:val="0"/>
        <w:autoSpaceDN w:val="0"/>
        <w:adjustRightInd w:val="0"/>
        <w:spacing w:after="360"/>
        <w:jc w:val="both"/>
        <w:rPr>
          <w:rFonts w:ascii="Georgia" w:hAnsi="Georgia" w:cs="Arial"/>
          <w:b/>
          <w:u w:val="single"/>
        </w:rPr>
      </w:pPr>
      <w:r w:rsidRPr="007548FA">
        <w:rPr>
          <w:rFonts w:ascii="Georgia" w:hAnsi="Georgia" w:cs="Arial"/>
          <w:b/>
          <w:u w:val="single"/>
        </w:rPr>
        <w:t>The hearing</w:t>
      </w:r>
      <w:r w:rsidR="00C43886">
        <w:rPr>
          <w:rFonts w:ascii="Georgia" w:hAnsi="Georgia" w:cs="Arial"/>
          <w:b/>
          <w:u w:val="single"/>
        </w:rPr>
        <w:t xml:space="preserve"> and the issues</w:t>
      </w:r>
    </w:p>
    <w:p w14:paraId="5D237E5B" w14:textId="2F3E1715" w:rsidR="000927B4" w:rsidRPr="007548FA" w:rsidRDefault="005F204C" w:rsidP="00174E1A">
      <w:pPr>
        <w:numPr>
          <w:ilvl w:val="0"/>
          <w:numId w:val="8"/>
        </w:numPr>
        <w:tabs>
          <w:tab w:val="clear" w:pos="360"/>
          <w:tab w:val="num" w:pos="709"/>
        </w:tabs>
        <w:autoSpaceDE w:val="0"/>
        <w:autoSpaceDN w:val="0"/>
        <w:adjustRightInd w:val="0"/>
        <w:spacing w:after="360"/>
        <w:ind w:left="709" w:hanging="619"/>
        <w:jc w:val="both"/>
        <w:rPr>
          <w:rFonts w:ascii="Georgia" w:hAnsi="Georgia" w:cs="Arial"/>
        </w:rPr>
      </w:pPr>
      <w:r>
        <w:rPr>
          <w:rFonts w:ascii="Georgia" w:hAnsi="Georgia" w:cs="Arial"/>
        </w:rPr>
        <w:t>At the hearing, t</w:t>
      </w:r>
      <w:r w:rsidR="000927B4" w:rsidRPr="007548FA">
        <w:rPr>
          <w:rFonts w:ascii="Georgia" w:hAnsi="Georgia" w:cs="Arial"/>
        </w:rPr>
        <w:t>he Applicant a</w:t>
      </w:r>
      <w:r w:rsidR="00174E1A">
        <w:rPr>
          <w:rFonts w:ascii="Georgia" w:hAnsi="Georgia" w:cs="Arial"/>
        </w:rPr>
        <w:t>ttended</w:t>
      </w:r>
      <w:r w:rsidR="000927B4" w:rsidRPr="007548FA">
        <w:rPr>
          <w:rFonts w:ascii="Georgia" w:hAnsi="Georgia" w:cs="Arial"/>
        </w:rPr>
        <w:t xml:space="preserve"> in person and the Respondent </w:t>
      </w:r>
      <w:r>
        <w:rPr>
          <w:rFonts w:ascii="Georgia" w:hAnsi="Georgia" w:cs="Arial"/>
        </w:rPr>
        <w:t xml:space="preserve">was represented by Mr Green, counsel. </w:t>
      </w:r>
      <w:r w:rsidR="00056F79">
        <w:rPr>
          <w:rFonts w:ascii="Georgia" w:hAnsi="Georgia" w:cs="Arial"/>
        </w:rPr>
        <w:t>We are grateful to them both for their helpful submissions and assistance</w:t>
      </w:r>
      <w:r w:rsidR="00DE5366">
        <w:rPr>
          <w:rFonts w:ascii="Georgia" w:hAnsi="Georgia" w:cs="Arial"/>
        </w:rPr>
        <w:t xml:space="preserve">. </w:t>
      </w:r>
    </w:p>
    <w:p w14:paraId="35B361B2" w14:textId="4E89BB16" w:rsidR="000927B4" w:rsidRDefault="00C43886" w:rsidP="002E05E3">
      <w:pPr>
        <w:numPr>
          <w:ilvl w:val="0"/>
          <w:numId w:val="8"/>
        </w:numPr>
        <w:tabs>
          <w:tab w:val="clear" w:pos="360"/>
          <w:tab w:val="num" w:pos="709"/>
        </w:tabs>
        <w:autoSpaceDE w:val="0"/>
        <w:autoSpaceDN w:val="0"/>
        <w:adjustRightInd w:val="0"/>
        <w:spacing w:after="360"/>
        <w:ind w:left="709" w:hanging="619"/>
        <w:jc w:val="both"/>
        <w:rPr>
          <w:rFonts w:ascii="Georgia" w:hAnsi="Georgia" w:cs="Arial"/>
        </w:rPr>
      </w:pPr>
      <w:r>
        <w:rPr>
          <w:rFonts w:ascii="Georgia" w:hAnsi="Georgia" w:cs="Arial"/>
        </w:rPr>
        <w:t xml:space="preserve">The </w:t>
      </w:r>
      <w:r w:rsidR="005154F5">
        <w:rPr>
          <w:rFonts w:ascii="Georgia" w:hAnsi="Georgia" w:cs="Arial"/>
        </w:rPr>
        <w:t>parties agreed</w:t>
      </w:r>
      <w:r w:rsidR="002E05E3">
        <w:rPr>
          <w:rFonts w:ascii="Georgia" w:hAnsi="Georgia" w:cs="Arial"/>
        </w:rPr>
        <w:t xml:space="preserve"> at the outset of the hearing</w:t>
      </w:r>
      <w:r w:rsidR="005154F5">
        <w:rPr>
          <w:rFonts w:ascii="Georgia" w:hAnsi="Georgia" w:cs="Arial"/>
        </w:rPr>
        <w:t xml:space="preserve"> that the following issues </w:t>
      </w:r>
      <w:r w:rsidR="002E05E3">
        <w:rPr>
          <w:rFonts w:ascii="Georgia" w:hAnsi="Georgia" w:cs="Arial"/>
        </w:rPr>
        <w:t>remained</w:t>
      </w:r>
      <w:r w:rsidR="005154F5">
        <w:rPr>
          <w:rFonts w:ascii="Georgia" w:hAnsi="Georgia" w:cs="Arial"/>
        </w:rPr>
        <w:t xml:space="preserve"> in dispute and required resolution:</w:t>
      </w:r>
    </w:p>
    <w:p w14:paraId="7A453E7A" w14:textId="63483290" w:rsidR="005154F5" w:rsidRDefault="00E64611" w:rsidP="005154F5">
      <w:pPr>
        <w:numPr>
          <w:ilvl w:val="1"/>
          <w:numId w:val="8"/>
        </w:numPr>
        <w:autoSpaceDE w:val="0"/>
        <w:autoSpaceDN w:val="0"/>
        <w:adjustRightInd w:val="0"/>
        <w:spacing w:after="360"/>
        <w:jc w:val="both"/>
        <w:rPr>
          <w:rFonts w:ascii="Georgia" w:hAnsi="Georgia" w:cs="Arial"/>
        </w:rPr>
      </w:pPr>
      <w:r>
        <w:rPr>
          <w:rFonts w:ascii="Georgia" w:hAnsi="Georgia" w:cs="Arial"/>
        </w:rPr>
        <w:t xml:space="preserve">Whether the terms of the Lease permitted the </w:t>
      </w:r>
      <w:r w:rsidR="00B200DF">
        <w:rPr>
          <w:rFonts w:ascii="Georgia" w:hAnsi="Georgia" w:cs="Arial"/>
        </w:rPr>
        <w:t xml:space="preserve">Respondent to include a deficit in the service charge accounts </w:t>
      </w:r>
      <w:r w:rsidR="001170DB">
        <w:rPr>
          <w:rFonts w:ascii="Georgia" w:hAnsi="Georgia" w:cs="Arial"/>
        </w:rPr>
        <w:t xml:space="preserve">for the </w:t>
      </w:r>
      <w:r w:rsidR="00A42B6A">
        <w:rPr>
          <w:rFonts w:ascii="Georgia" w:hAnsi="Georgia" w:cs="Arial"/>
        </w:rPr>
        <w:t xml:space="preserve">year ending 31 December 2022 </w:t>
      </w:r>
      <w:r w:rsidR="001170DB">
        <w:rPr>
          <w:rFonts w:ascii="Georgia" w:hAnsi="Georgia" w:cs="Arial"/>
        </w:rPr>
        <w:t xml:space="preserve">as expenditure in the </w:t>
      </w:r>
      <w:r w:rsidR="00A42B6A">
        <w:rPr>
          <w:rFonts w:ascii="Georgia" w:hAnsi="Georgia" w:cs="Arial"/>
        </w:rPr>
        <w:t>service charge account</w:t>
      </w:r>
      <w:r w:rsidR="00E12D02">
        <w:rPr>
          <w:rFonts w:ascii="Georgia" w:hAnsi="Georgia" w:cs="Arial"/>
        </w:rPr>
        <w:t>s</w:t>
      </w:r>
      <w:r w:rsidR="00A42B6A">
        <w:rPr>
          <w:rFonts w:ascii="Georgia" w:hAnsi="Georgia" w:cs="Arial"/>
        </w:rPr>
        <w:t xml:space="preserve"> for the year ending 31 December 2023.</w:t>
      </w:r>
    </w:p>
    <w:p w14:paraId="7F1D6B61" w14:textId="0D7646F2" w:rsidR="007B5EFC" w:rsidRDefault="007B5EFC" w:rsidP="005154F5">
      <w:pPr>
        <w:numPr>
          <w:ilvl w:val="1"/>
          <w:numId w:val="8"/>
        </w:numPr>
        <w:autoSpaceDE w:val="0"/>
        <w:autoSpaceDN w:val="0"/>
        <w:adjustRightInd w:val="0"/>
        <w:spacing w:after="360"/>
        <w:jc w:val="both"/>
        <w:rPr>
          <w:rFonts w:ascii="Georgia" w:hAnsi="Georgia" w:cs="Arial"/>
        </w:rPr>
      </w:pPr>
      <w:r>
        <w:rPr>
          <w:rFonts w:ascii="Georgia" w:hAnsi="Georgia" w:cs="Arial"/>
        </w:rPr>
        <w:t xml:space="preserve">Whether it was reasonable for the Respondent to </w:t>
      </w:r>
      <w:r w:rsidR="00EC279F">
        <w:rPr>
          <w:rFonts w:ascii="Georgia" w:hAnsi="Georgia" w:cs="Arial"/>
        </w:rPr>
        <w:t>contract with</w:t>
      </w:r>
      <w:r>
        <w:rPr>
          <w:rFonts w:ascii="Georgia" w:hAnsi="Georgia" w:cs="Arial"/>
        </w:rPr>
        <w:t xml:space="preserve"> </w:t>
      </w:r>
      <w:r w:rsidR="009E270D">
        <w:rPr>
          <w:rFonts w:ascii="Georgia" w:hAnsi="Georgia" w:cs="Arial"/>
        </w:rPr>
        <w:t>AreaEquity Construction Limited</w:t>
      </w:r>
      <w:r w:rsidR="00EC279F">
        <w:rPr>
          <w:rFonts w:ascii="Georgia" w:hAnsi="Georgia" w:cs="Arial"/>
        </w:rPr>
        <w:t xml:space="preserve"> as a “middle man”</w:t>
      </w:r>
      <w:r w:rsidR="009E270D">
        <w:rPr>
          <w:rFonts w:ascii="Georgia" w:hAnsi="Georgia" w:cs="Arial"/>
        </w:rPr>
        <w:t xml:space="preserve"> </w:t>
      </w:r>
      <w:r w:rsidR="007B6457">
        <w:rPr>
          <w:rFonts w:ascii="Georgia" w:hAnsi="Georgia" w:cs="Arial"/>
        </w:rPr>
        <w:t>in respect of the ground</w:t>
      </w:r>
      <w:r w:rsidR="00EC279F">
        <w:rPr>
          <w:rFonts w:ascii="Georgia" w:hAnsi="Georgia" w:cs="Arial"/>
        </w:rPr>
        <w:t>s</w:t>
      </w:r>
      <w:r w:rsidR="007B6457">
        <w:rPr>
          <w:rFonts w:ascii="Georgia" w:hAnsi="Georgia" w:cs="Arial"/>
        </w:rPr>
        <w:t xml:space="preserve"> maintenance </w:t>
      </w:r>
      <w:r w:rsidR="001050AF">
        <w:rPr>
          <w:rFonts w:ascii="Georgia" w:hAnsi="Georgia" w:cs="Arial"/>
        </w:rPr>
        <w:t>at Uplands House,</w:t>
      </w:r>
      <w:r w:rsidR="00EC279F">
        <w:rPr>
          <w:rFonts w:ascii="Georgia" w:hAnsi="Georgia" w:cs="Arial"/>
        </w:rPr>
        <w:t xml:space="preserve"> or whether it should have</w:t>
      </w:r>
      <w:r w:rsidR="001050AF">
        <w:rPr>
          <w:rFonts w:ascii="Georgia" w:hAnsi="Georgia" w:cs="Arial"/>
        </w:rPr>
        <w:t xml:space="preserve"> contract</w:t>
      </w:r>
      <w:r w:rsidR="00EC279F">
        <w:rPr>
          <w:rFonts w:ascii="Georgia" w:hAnsi="Georgia" w:cs="Arial"/>
        </w:rPr>
        <w:t>ed</w:t>
      </w:r>
      <w:r w:rsidR="001050AF">
        <w:rPr>
          <w:rFonts w:ascii="Georgia" w:hAnsi="Georgia" w:cs="Arial"/>
        </w:rPr>
        <w:t xml:space="preserve"> directly </w:t>
      </w:r>
      <w:r w:rsidR="00263C0E">
        <w:rPr>
          <w:rFonts w:ascii="Georgia" w:hAnsi="Georgia" w:cs="Arial"/>
        </w:rPr>
        <w:t xml:space="preserve">with the sub-contractors who </w:t>
      </w:r>
      <w:r w:rsidR="00EC279F">
        <w:rPr>
          <w:rFonts w:ascii="Georgia" w:hAnsi="Georgia" w:cs="Arial"/>
        </w:rPr>
        <w:t xml:space="preserve">actually </w:t>
      </w:r>
      <w:r w:rsidR="00263C0E">
        <w:rPr>
          <w:rFonts w:ascii="Georgia" w:hAnsi="Georgia" w:cs="Arial"/>
        </w:rPr>
        <w:t xml:space="preserve">carried out the maintenance work. </w:t>
      </w:r>
    </w:p>
    <w:p w14:paraId="74E4D03A" w14:textId="3D3A6011" w:rsidR="00263C0E" w:rsidRDefault="00EC279F" w:rsidP="005154F5">
      <w:pPr>
        <w:numPr>
          <w:ilvl w:val="1"/>
          <w:numId w:val="8"/>
        </w:numPr>
        <w:autoSpaceDE w:val="0"/>
        <w:autoSpaceDN w:val="0"/>
        <w:adjustRightInd w:val="0"/>
        <w:spacing w:after="360"/>
        <w:jc w:val="both"/>
        <w:rPr>
          <w:rFonts w:ascii="Georgia" w:hAnsi="Georgia" w:cs="Arial"/>
        </w:rPr>
      </w:pPr>
      <w:r>
        <w:rPr>
          <w:rFonts w:ascii="Georgia" w:hAnsi="Georgia" w:cs="Arial"/>
        </w:rPr>
        <w:t xml:space="preserve">Whether the management fee </w:t>
      </w:r>
      <w:r w:rsidR="0005104A">
        <w:rPr>
          <w:rFonts w:ascii="Georgia" w:hAnsi="Georgia" w:cs="Arial"/>
        </w:rPr>
        <w:t>charged by the Respondent in respect of the</w:t>
      </w:r>
      <w:r w:rsidR="00303A44" w:rsidRPr="00303A44">
        <w:rPr>
          <w:rFonts w:ascii="Georgia" w:hAnsi="Georgia" w:cs="Arial"/>
        </w:rPr>
        <w:t xml:space="preserve"> </w:t>
      </w:r>
      <w:r w:rsidR="00303A44">
        <w:rPr>
          <w:rFonts w:ascii="Georgia" w:hAnsi="Georgia" w:cs="Arial"/>
        </w:rPr>
        <w:t>district</w:t>
      </w:r>
      <w:r w:rsidR="0005104A">
        <w:rPr>
          <w:rFonts w:ascii="Georgia" w:hAnsi="Georgia" w:cs="Arial"/>
        </w:rPr>
        <w:t xml:space="preserve"> heating </w:t>
      </w:r>
      <w:r w:rsidR="00303A44">
        <w:rPr>
          <w:rFonts w:ascii="Georgia" w:hAnsi="Georgia" w:cs="Arial"/>
        </w:rPr>
        <w:t>and</w:t>
      </w:r>
      <w:r w:rsidR="0005104A">
        <w:rPr>
          <w:rFonts w:ascii="Georgia" w:hAnsi="Georgia" w:cs="Arial"/>
        </w:rPr>
        <w:t xml:space="preserve"> hot water distribution service and the </w:t>
      </w:r>
      <w:r w:rsidR="00303A44">
        <w:rPr>
          <w:rFonts w:ascii="Georgia" w:hAnsi="Georgia" w:cs="Arial"/>
        </w:rPr>
        <w:t>heat interface units in the individual flats was correctly describe</w:t>
      </w:r>
      <w:r w:rsidR="000C7A9E">
        <w:rPr>
          <w:rFonts w:ascii="Georgia" w:hAnsi="Georgia" w:cs="Arial"/>
        </w:rPr>
        <w:t>d</w:t>
      </w:r>
      <w:r w:rsidR="00857ADD">
        <w:rPr>
          <w:rFonts w:ascii="Georgia" w:hAnsi="Georgia" w:cs="Arial"/>
        </w:rPr>
        <w:t xml:space="preserve"> in the invoices</w:t>
      </w:r>
      <w:r w:rsidR="000C7A9E">
        <w:rPr>
          <w:rFonts w:ascii="Georgia" w:hAnsi="Georgia" w:cs="Arial"/>
        </w:rPr>
        <w:t xml:space="preserve"> and whether the sums charged are recoverable under the terms of the</w:t>
      </w:r>
      <w:r w:rsidR="00857ADD">
        <w:rPr>
          <w:rFonts w:ascii="Georgia" w:hAnsi="Georgia" w:cs="Arial"/>
        </w:rPr>
        <w:t xml:space="preserve"> Applicant’s</w:t>
      </w:r>
      <w:r w:rsidR="000C7A9E">
        <w:rPr>
          <w:rFonts w:ascii="Georgia" w:hAnsi="Georgia" w:cs="Arial"/>
        </w:rPr>
        <w:t xml:space="preserve"> lease and/or are reasonable. </w:t>
      </w:r>
      <w:r w:rsidR="00303A44">
        <w:rPr>
          <w:rFonts w:ascii="Georgia" w:hAnsi="Georgia" w:cs="Arial"/>
        </w:rPr>
        <w:t xml:space="preserve"> </w:t>
      </w:r>
    </w:p>
    <w:p w14:paraId="2D54D5FB" w14:textId="2DA090E8" w:rsidR="000927B4" w:rsidRPr="006B0369" w:rsidRDefault="007A7159" w:rsidP="006B0369">
      <w:pPr>
        <w:numPr>
          <w:ilvl w:val="1"/>
          <w:numId w:val="8"/>
        </w:numPr>
        <w:autoSpaceDE w:val="0"/>
        <w:autoSpaceDN w:val="0"/>
        <w:adjustRightInd w:val="0"/>
        <w:spacing w:after="360"/>
        <w:jc w:val="both"/>
        <w:rPr>
          <w:rFonts w:ascii="Georgia" w:hAnsi="Georgia" w:cs="Arial"/>
        </w:rPr>
      </w:pPr>
      <w:r>
        <w:rPr>
          <w:rFonts w:ascii="Georgia" w:hAnsi="Georgia" w:cs="Arial"/>
        </w:rPr>
        <w:t xml:space="preserve">Whether </w:t>
      </w:r>
      <w:r w:rsidR="00DC3988">
        <w:rPr>
          <w:rFonts w:ascii="Georgia" w:hAnsi="Georgia" w:cs="Arial"/>
        </w:rPr>
        <w:t>an order under section 20C of the Landlord and Tenant</w:t>
      </w:r>
      <w:r w:rsidR="0029383D">
        <w:rPr>
          <w:rFonts w:ascii="Georgia" w:hAnsi="Georgia" w:cs="Arial"/>
        </w:rPr>
        <w:t xml:space="preserve"> Act 1985</w:t>
      </w:r>
      <w:r w:rsidR="00857ADD">
        <w:rPr>
          <w:rFonts w:ascii="Georgia" w:hAnsi="Georgia" w:cs="Arial"/>
        </w:rPr>
        <w:t xml:space="preserve"> ought to be made</w:t>
      </w:r>
      <w:r w:rsidR="0029383D">
        <w:rPr>
          <w:rFonts w:ascii="Georgia" w:hAnsi="Georgia" w:cs="Arial"/>
        </w:rPr>
        <w:t>.</w:t>
      </w:r>
    </w:p>
    <w:p w14:paraId="52907124" w14:textId="0388860C" w:rsidR="00650C96" w:rsidRDefault="00650C96" w:rsidP="00857ADD">
      <w:pPr>
        <w:numPr>
          <w:ilvl w:val="0"/>
          <w:numId w:val="8"/>
        </w:numPr>
        <w:tabs>
          <w:tab w:val="clear" w:pos="360"/>
          <w:tab w:val="num" w:pos="709"/>
        </w:tabs>
        <w:autoSpaceDE w:val="0"/>
        <w:autoSpaceDN w:val="0"/>
        <w:adjustRightInd w:val="0"/>
        <w:spacing w:after="360"/>
        <w:ind w:left="709" w:hanging="619"/>
        <w:jc w:val="both"/>
        <w:rPr>
          <w:rFonts w:ascii="Georgia" w:hAnsi="Georgia" w:cs="Arial"/>
        </w:rPr>
      </w:pPr>
      <w:r>
        <w:rPr>
          <w:rFonts w:ascii="Georgia" w:hAnsi="Georgia" w:cs="Arial"/>
        </w:rPr>
        <w:t xml:space="preserve">We heard oral evidence from the Applicant, who adopted her statement of case as her evidence in chief. </w:t>
      </w:r>
      <w:r w:rsidR="002266C8">
        <w:rPr>
          <w:rFonts w:ascii="Georgia" w:hAnsi="Georgia" w:cs="Arial"/>
        </w:rPr>
        <w:t>She was cross-examined by Mr Green</w:t>
      </w:r>
      <w:r w:rsidR="000A28E6">
        <w:rPr>
          <w:rFonts w:ascii="Georgia" w:hAnsi="Georgia" w:cs="Arial"/>
        </w:rPr>
        <w:t>. No written or oral</w:t>
      </w:r>
      <w:r w:rsidR="002D4942">
        <w:rPr>
          <w:rFonts w:ascii="Georgia" w:hAnsi="Georgia" w:cs="Arial"/>
        </w:rPr>
        <w:t xml:space="preserve"> witness</w:t>
      </w:r>
      <w:r w:rsidR="000A28E6">
        <w:rPr>
          <w:rFonts w:ascii="Georgia" w:hAnsi="Georgia" w:cs="Arial"/>
        </w:rPr>
        <w:t xml:space="preserve"> evidence was adduced by the Respondent. </w:t>
      </w:r>
      <w:r w:rsidR="00857ADD">
        <w:rPr>
          <w:rFonts w:ascii="Georgia" w:hAnsi="Georgia" w:cs="Arial"/>
        </w:rPr>
        <w:t>The</w:t>
      </w:r>
      <w:r w:rsidR="000A28E6">
        <w:rPr>
          <w:rFonts w:ascii="Georgia" w:hAnsi="Georgia" w:cs="Arial"/>
        </w:rPr>
        <w:t xml:space="preserve"> Applicant and Mr Green</w:t>
      </w:r>
      <w:r w:rsidR="00857ADD">
        <w:rPr>
          <w:rFonts w:ascii="Georgia" w:hAnsi="Georgia" w:cs="Arial"/>
        </w:rPr>
        <w:t xml:space="preserve"> both</w:t>
      </w:r>
      <w:r w:rsidR="000A28E6">
        <w:rPr>
          <w:rFonts w:ascii="Georgia" w:hAnsi="Georgia" w:cs="Arial"/>
        </w:rPr>
        <w:t xml:space="preserve"> made </w:t>
      </w:r>
      <w:r w:rsidR="00E11498">
        <w:rPr>
          <w:rFonts w:ascii="Georgia" w:hAnsi="Georgia" w:cs="Arial"/>
        </w:rPr>
        <w:t>helpful submissions. We reserved our decision.</w:t>
      </w:r>
    </w:p>
    <w:p w14:paraId="2AA1D660" w14:textId="22F7C0E2" w:rsidR="000927B4" w:rsidRPr="007548FA" w:rsidRDefault="000927B4" w:rsidP="00857ADD">
      <w:pPr>
        <w:numPr>
          <w:ilvl w:val="0"/>
          <w:numId w:val="8"/>
        </w:numPr>
        <w:tabs>
          <w:tab w:val="clear" w:pos="360"/>
          <w:tab w:val="num" w:pos="709"/>
        </w:tabs>
        <w:autoSpaceDE w:val="0"/>
        <w:autoSpaceDN w:val="0"/>
        <w:adjustRightInd w:val="0"/>
        <w:spacing w:after="360"/>
        <w:ind w:left="709" w:hanging="619"/>
        <w:jc w:val="both"/>
        <w:rPr>
          <w:rFonts w:ascii="Georgia" w:hAnsi="Georgia" w:cs="Arial"/>
        </w:rPr>
      </w:pPr>
      <w:r w:rsidRPr="007548FA">
        <w:rPr>
          <w:rFonts w:ascii="Georgia" w:hAnsi="Georgia" w:cs="Arial"/>
        </w:rPr>
        <w:t>Having heard evidence and submissions from the parties and</w:t>
      </w:r>
      <w:r w:rsidR="002D4942">
        <w:rPr>
          <w:rFonts w:ascii="Georgia" w:hAnsi="Georgia" w:cs="Arial"/>
        </w:rPr>
        <w:t xml:space="preserve"> having</w:t>
      </w:r>
      <w:r w:rsidRPr="007548FA">
        <w:rPr>
          <w:rFonts w:ascii="Georgia" w:hAnsi="Georgia" w:cs="Arial"/>
        </w:rPr>
        <w:t xml:space="preserve"> considered all of the documents provided, the tribunal</w:t>
      </w:r>
      <w:r w:rsidR="00E11498">
        <w:rPr>
          <w:rFonts w:ascii="Georgia" w:hAnsi="Georgia" w:cs="Arial"/>
        </w:rPr>
        <w:t xml:space="preserve"> makes</w:t>
      </w:r>
      <w:r w:rsidRPr="007548FA">
        <w:rPr>
          <w:rFonts w:ascii="Georgia" w:hAnsi="Georgia" w:cs="Arial"/>
        </w:rPr>
        <w:t xml:space="preserve"> determinations on the various issues as follows.</w:t>
      </w:r>
    </w:p>
    <w:p w14:paraId="58A6220A" w14:textId="77777777" w:rsidR="000B6F5E" w:rsidRDefault="000B6F5E" w:rsidP="000B6F5E">
      <w:pPr>
        <w:autoSpaceDE w:val="0"/>
        <w:autoSpaceDN w:val="0"/>
        <w:adjustRightInd w:val="0"/>
        <w:spacing w:after="360"/>
        <w:jc w:val="both"/>
        <w:rPr>
          <w:rFonts w:ascii="Georgia" w:hAnsi="Georgia" w:cs="Arial"/>
          <w:b/>
          <w:u w:val="single"/>
        </w:rPr>
      </w:pPr>
      <w:r w:rsidRPr="000B6F5E">
        <w:rPr>
          <w:rFonts w:ascii="Georgia" w:hAnsi="Georgia" w:cs="Arial"/>
          <w:b/>
          <w:u w:val="single"/>
        </w:rPr>
        <w:t>The tribunal’s decision and reasons</w:t>
      </w:r>
    </w:p>
    <w:p w14:paraId="7C20BD8F" w14:textId="4A87F22F" w:rsidR="0041008C" w:rsidRPr="002E0C3C" w:rsidRDefault="002E0C3C" w:rsidP="000B6F5E">
      <w:pPr>
        <w:autoSpaceDE w:val="0"/>
        <w:autoSpaceDN w:val="0"/>
        <w:adjustRightInd w:val="0"/>
        <w:spacing w:after="360"/>
        <w:jc w:val="both"/>
        <w:rPr>
          <w:rFonts w:ascii="Georgia" w:hAnsi="Georgia" w:cs="Arial"/>
          <w:bCs/>
          <w:i/>
          <w:iCs/>
          <w:u w:val="single"/>
        </w:rPr>
      </w:pPr>
      <w:r>
        <w:rPr>
          <w:rFonts w:ascii="Georgia" w:hAnsi="Georgia" w:cs="Arial"/>
          <w:bCs/>
          <w:i/>
          <w:iCs/>
          <w:u w:val="single"/>
        </w:rPr>
        <w:t>The 2022 deficit</w:t>
      </w:r>
    </w:p>
    <w:p w14:paraId="1BD07DFE" w14:textId="00206C50" w:rsidR="000927B4" w:rsidRDefault="00DF639A" w:rsidP="00857ADD">
      <w:pPr>
        <w:numPr>
          <w:ilvl w:val="0"/>
          <w:numId w:val="8"/>
        </w:numPr>
        <w:tabs>
          <w:tab w:val="clear" w:pos="360"/>
          <w:tab w:val="num" w:pos="709"/>
        </w:tabs>
        <w:autoSpaceDE w:val="0"/>
        <w:autoSpaceDN w:val="0"/>
        <w:adjustRightInd w:val="0"/>
        <w:spacing w:after="360"/>
        <w:ind w:left="709" w:hanging="619"/>
        <w:jc w:val="both"/>
        <w:rPr>
          <w:rFonts w:ascii="Georgia" w:hAnsi="Georgia" w:cs="Arial"/>
        </w:rPr>
      </w:pPr>
      <w:r>
        <w:rPr>
          <w:rFonts w:ascii="Georgia" w:hAnsi="Georgia" w:cs="Arial"/>
        </w:rPr>
        <w:t>The 2023 service charge accounts</w:t>
      </w:r>
      <w:r w:rsidR="000C4DBC">
        <w:rPr>
          <w:rFonts w:ascii="Georgia" w:hAnsi="Georgia" w:cs="Arial"/>
        </w:rPr>
        <w:t xml:space="preserve"> make provision for what is described </w:t>
      </w:r>
      <w:r w:rsidR="00857ADD">
        <w:rPr>
          <w:rFonts w:ascii="Georgia" w:hAnsi="Georgia" w:cs="Arial"/>
        </w:rPr>
        <w:t xml:space="preserve">therein </w:t>
      </w:r>
      <w:r w:rsidR="000C4DBC">
        <w:rPr>
          <w:rFonts w:ascii="Georgia" w:hAnsi="Georgia" w:cs="Arial"/>
        </w:rPr>
        <w:t>as</w:t>
      </w:r>
      <w:r w:rsidR="0007450D">
        <w:rPr>
          <w:rFonts w:ascii="Georgia" w:hAnsi="Georgia" w:cs="Arial"/>
        </w:rPr>
        <w:t xml:space="preserve"> </w:t>
      </w:r>
      <w:r w:rsidR="000C4DBC">
        <w:rPr>
          <w:rFonts w:ascii="Georgia" w:hAnsi="Georgia" w:cs="Arial"/>
        </w:rPr>
        <w:t xml:space="preserve">a </w:t>
      </w:r>
      <w:r w:rsidR="0045792D">
        <w:rPr>
          <w:rFonts w:ascii="Georgia" w:hAnsi="Georgia" w:cs="Arial"/>
        </w:rPr>
        <w:t>“</w:t>
      </w:r>
      <w:r w:rsidR="0045792D" w:rsidRPr="00857ADD">
        <w:rPr>
          <w:rFonts w:ascii="Georgia" w:hAnsi="Georgia" w:cs="Arial"/>
          <w:i/>
          <w:iCs/>
        </w:rPr>
        <w:t>deficit brought forward</w:t>
      </w:r>
      <w:r w:rsidR="0045792D">
        <w:rPr>
          <w:rFonts w:ascii="Georgia" w:hAnsi="Georgia" w:cs="Arial"/>
        </w:rPr>
        <w:t xml:space="preserve">” of £7473.00. The Applicant explained </w:t>
      </w:r>
      <w:r w:rsidR="00DD6A08">
        <w:rPr>
          <w:rFonts w:ascii="Georgia" w:hAnsi="Georgia" w:cs="Arial"/>
        </w:rPr>
        <w:t xml:space="preserve">in her oral evidence </w:t>
      </w:r>
      <w:r w:rsidR="0045792D">
        <w:rPr>
          <w:rFonts w:ascii="Georgia" w:hAnsi="Georgia" w:cs="Arial"/>
        </w:rPr>
        <w:t>that</w:t>
      </w:r>
      <w:r w:rsidR="00B871E6">
        <w:rPr>
          <w:rFonts w:ascii="Georgia" w:hAnsi="Georgia" w:cs="Arial"/>
        </w:rPr>
        <w:t xml:space="preserve">, though there is provision in </w:t>
      </w:r>
      <w:r w:rsidR="00327971">
        <w:rPr>
          <w:rFonts w:ascii="Georgia" w:hAnsi="Georgia" w:cs="Arial"/>
        </w:rPr>
        <w:t>her l</w:t>
      </w:r>
      <w:r w:rsidR="00B871E6">
        <w:rPr>
          <w:rFonts w:ascii="Georgia" w:hAnsi="Georgia" w:cs="Arial"/>
        </w:rPr>
        <w:t xml:space="preserve">ease for the Respondent to </w:t>
      </w:r>
      <w:r w:rsidR="00327971">
        <w:rPr>
          <w:rFonts w:ascii="Georgia" w:hAnsi="Georgia" w:cs="Arial"/>
        </w:rPr>
        <w:t>demand</w:t>
      </w:r>
      <w:r w:rsidR="00B871E6">
        <w:rPr>
          <w:rFonts w:ascii="Georgia" w:hAnsi="Georgia" w:cs="Arial"/>
        </w:rPr>
        <w:t xml:space="preserve"> a balancing charge at the end of </w:t>
      </w:r>
      <w:r w:rsidR="008B184D">
        <w:rPr>
          <w:rFonts w:ascii="Georgia" w:hAnsi="Georgia" w:cs="Arial"/>
        </w:rPr>
        <w:t>a service charge year</w:t>
      </w:r>
      <w:r w:rsidR="00AB3CED">
        <w:rPr>
          <w:rFonts w:ascii="Georgia" w:hAnsi="Georgia" w:cs="Arial"/>
        </w:rPr>
        <w:t xml:space="preserve"> if</w:t>
      </w:r>
      <w:r w:rsidR="00327971">
        <w:rPr>
          <w:rFonts w:ascii="Georgia" w:hAnsi="Georgia" w:cs="Arial"/>
        </w:rPr>
        <w:t xml:space="preserve"> its</w:t>
      </w:r>
      <w:r w:rsidR="00AB3CED">
        <w:rPr>
          <w:rFonts w:ascii="Georgia" w:hAnsi="Georgia" w:cs="Arial"/>
        </w:rPr>
        <w:t xml:space="preserve"> actual expenditure is lower than</w:t>
      </w:r>
      <w:r w:rsidR="00327971">
        <w:rPr>
          <w:rFonts w:ascii="Georgia" w:hAnsi="Georgia" w:cs="Arial"/>
        </w:rPr>
        <w:t xml:space="preserve"> its</w:t>
      </w:r>
      <w:r w:rsidR="00AB3CED">
        <w:rPr>
          <w:rFonts w:ascii="Georgia" w:hAnsi="Georgia" w:cs="Arial"/>
        </w:rPr>
        <w:t xml:space="preserve"> budgeted expenditure, </w:t>
      </w:r>
      <w:r w:rsidR="008B184D">
        <w:rPr>
          <w:rFonts w:ascii="Georgia" w:hAnsi="Georgia" w:cs="Arial"/>
        </w:rPr>
        <w:t xml:space="preserve"> </w:t>
      </w:r>
      <w:r w:rsidR="00327971">
        <w:rPr>
          <w:rFonts w:ascii="Georgia" w:hAnsi="Georgia" w:cs="Arial"/>
        </w:rPr>
        <w:t>this is not what the Respondent does in practice.</w:t>
      </w:r>
      <w:r w:rsidR="00B4571D">
        <w:rPr>
          <w:rFonts w:ascii="Georgia" w:hAnsi="Georgia" w:cs="Arial"/>
        </w:rPr>
        <w:t xml:space="preserve"> Instead, </w:t>
      </w:r>
      <w:r w:rsidR="00327971">
        <w:rPr>
          <w:rFonts w:ascii="Georgia" w:hAnsi="Georgia" w:cs="Arial"/>
        </w:rPr>
        <w:t>the Respondent</w:t>
      </w:r>
      <w:r w:rsidR="00B4571D">
        <w:rPr>
          <w:rFonts w:ascii="Georgia" w:hAnsi="Georgia" w:cs="Arial"/>
        </w:rPr>
        <w:t xml:space="preserve"> </w:t>
      </w:r>
      <w:r w:rsidR="00AB3CED">
        <w:rPr>
          <w:rFonts w:ascii="Georgia" w:hAnsi="Georgia" w:cs="Arial"/>
        </w:rPr>
        <w:t xml:space="preserve">“rolls over” the service charge deficit and includes it </w:t>
      </w:r>
      <w:r w:rsidR="00097755">
        <w:rPr>
          <w:rFonts w:ascii="Georgia" w:hAnsi="Georgia" w:cs="Arial"/>
        </w:rPr>
        <w:t xml:space="preserve">in the accounts for the following year. </w:t>
      </w:r>
    </w:p>
    <w:p w14:paraId="52AB81D9" w14:textId="2B29EB6B" w:rsidR="00DA3876" w:rsidRDefault="00097755" w:rsidP="0007450D">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 xml:space="preserve">The Applicant raised this matter in her statement of case and </w:t>
      </w:r>
      <w:r w:rsidR="0013066B">
        <w:rPr>
          <w:rFonts w:ascii="Georgia" w:hAnsi="Georgia" w:cs="Arial"/>
        </w:rPr>
        <w:t xml:space="preserve">in </w:t>
      </w:r>
      <w:r w:rsidR="004675E2">
        <w:rPr>
          <w:rFonts w:ascii="Georgia" w:hAnsi="Georgia" w:cs="Arial"/>
        </w:rPr>
        <w:t>her scott schedule</w:t>
      </w:r>
      <w:r w:rsidR="00DA3876">
        <w:rPr>
          <w:rFonts w:ascii="Georgia" w:hAnsi="Georgia" w:cs="Arial"/>
        </w:rPr>
        <w:t>. T</w:t>
      </w:r>
      <w:r w:rsidR="0013066B">
        <w:rPr>
          <w:rFonts w:ascii="Georgia" w:hAnsi="Georgia" w:cs="Arial"/>
        </w:rPr>
        <w:t xml:space="preserve">he Respondent did not </w:t>
      </w:r>
      <w:r w:rsidR="00DD6A08">
        <w:rPr>
          <w:rFonts w:ascii="Georgia" w:hAnsi="Georgia" w:cs="Arial"/>
        </w:rPr>
        <w:t>provide any response</w:t>
      </w:r>
      <w:r w:rsidR="00727E7E">
        <w:rPr>
          <w:rFonts w:ascii="Georgia" w:hAnsi="Georgia" w:cs="Arial"/>
        </w:rPr>
        <w:t xml:space="preserve"> to the Applicant’s assertions on this issue</w:t>
      </w:r>
      <w:r w:rsidR="00DD6A08">
        <w:rPr>
          <w:rFonts w:ascii="Georgia" w:hAnsi="Georgia" w:cs="Arial"/>
        </w:rPr>
        <w:t xml:space="preserve">. Nor did we hear any evidence </w:t>
      </w:r>
      <w:r w:rsidR="00DA3876">
        <w:rPr>
          <w:rFonts w:ascii="Georgia" w:hAnsi="Georgia" w:cs="Arial"/>
        </w:rPr>
        <w:t xml:space="preserve">from the Respondent on the point. We accept, having considered the Applicant’s clear, straightforward and unchallenged evidence that </w:t>
      </w:r>
      <w:r w:rsidR="00E9034E">
        <w:rPr>
          <w:rFonts w:ascii="Georgia" w:hAnsi="Georgia" w:cs="Arial"/>
        </w:rPr>
        <w:t>the sum described in the 2023 service charge accounts as a “</w:t>
      </w:r>
      <w:r w:rsidR="00E9034E" w:rsidRPr="00E66C88">
        <w:rPr>
          <w:rFonts w:ascii="Georgia" w:hAnsi="Georgia" w:cs="Arial"/>
          <w:i/>
          <w:iCs/>
        </w:rPr>
        <w:t>deficit brought forward</w:t>
      </w:r>
      <w:r w:rsidR="00E9034E">
        <w:rPr>
          <w:rFonts w:ascii="Georgia" w:hAnsi="Georgia" w:cs="Arial"/>
        </w:rPr>
        <w:t xml:space="preserve">” of £7473.00 is </w:t>
      </w:r>
      <w:r w:rsidR="005D6A5F">
        <w:rPr>
          <w:rFonts w:ascii="Georgia" w:hAnsi="Georgia" w:cs="Arial"/>
        </w:rPr>
        <w:t>th</w:t>
      </w:r>
      <w:r w:rsidR="0034244D">
        <w:rPr>
          <w:rFonts w:ascii="Georgia" w:hAnsi="Georgia" w:cs="Arial"/>
        </w:rPr>
        <w:t xml:space="preserve">e amount by which the actual service charge expenditure at year end 31 December 2022 exceeded the </w:t>
      </w:r>
      <w:r w:rsidR="00352FA6">
        <w:rPr>
          <w:rFonts w:ascii="Georgia" w:hAnsi="Georgia" w:cs="Arial"/>
        </w:rPr>
        <w:t>budgeted expenditure</w:t>
      </w:r>
      <w:r w:rsidR="00E66C88">
        <w:rPr>
          <w:rFonts w:ascii="Georgia" w:hAnsi="Georgia" w:cs="Arial"/>
        </w:rPr>
        <w:t xml:space="preserve"> for that year</w:t>
      </w:r>
      <w:r w:rsidR="00352FA6">
        <w:rPr>
          <w:rFonts w:ascii="Georgia" w:hAnsi="Georgia" w:cs="Arial"/>
        </w:rPr>
        <w:t xml:space="preserve">. </w:t>
      </w:r>
    </w:p>
    <w:p w14:paraId="2CB02A8D" w14:textId="0F1191A7" w:rsidR="00352FA6" w:rsidRDefault="00352FA6" w:rsidP="00DA3876">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w:t>
      </w:r>
      <w:r w:rsidR="00A50469">
        <w:rPr>
          <w:rFonts w:ascii="Georgia" w:hAnsi="Georgia" w:cs="Arial"/>
        </w:rPr>
        <w:t>mechani</w:t>
      </w:r>
      <w:r w:rsidR="00FE5DF0">
        <w:rPr>
          <w:rFonts w:ascii="Georgia" w:hAnsi="Georgia" w:cs="Arial"/>
        </w:rPr>
        <w:t xml:space="preserve">sm by which service charges are to be demanded under the terms of the </w:t>
      </w:r>
      <w:r w:rsidR="00E66C88">
        <w:rPr>
          <w:rFonts w:ascii="Georgia" w:hAnsi="Georgia" w:cs="Arial"/>
        </w:rPr>
        <w:t>Applicant’s l</w:t>
      </w:r>
      <w:r w:rsidR="00FE5DF0">
        <w:rPr>
          <w:rFonts w:ascii="Georgia" w:hAnsi="Georgia" w:cs="Arial"/>
        </w:rPr>
        <w:t xml:space="preserve">ease </w:t>
      </w:r>
      <w:r w:rsidR="002D4942">
        <w:rPr>
          <w:rFonts w:ascii="Georgia" w:hAnsi="Georgia" w:cs="Arial"/>
        </w:rPr>
        <w:t>is</w:t>
      </w:r>
      <w:r w:rsidR="00FE5DF0">
        <w:rPr>
          <w:rFonts w:ascii="Georgia" w:hAnsi="Georgia" w:cs="Arial"/>
        </w:rPr>
        <w:t xml:space="preserve"> set out in paragraph 2 of schedule 4, which states:</w:t>
      </w:r>
    </w:p>
    <w:p w14:paraId="4875B039" w14:textId="2A93209B" w:rsidR="00FE5DF0" w:rsidRPr="000066F8" w:rsidRDefault="006B3AF8" w:rsidP="006B3AF8">
      <w:pPr>
        <w:autoSpaceDE w:val="0"/>
        <w:autoSpaceDN w:val="0"/>
        <w:adjustRightInd w:val="0"/>
        <w:spacing w:after="360"/>
        <w:ind w:left="709"/>
        <w:jc w:val="both"/>
        <w:rPr>
          <w:rFonts w:ascii="Georgia" w:hAnsi="Georgia" w:cs="Arial"/>
          <w:i/>
          <w:iCs/>
        </w:rPr>
      </w:pPr>
      <w:r>
        <w:rPr>
          <w:rFonts w:ascii="Georgia" w:hAnsi="Georgia" w:cs="Arial"/>
        </w:rPr>
        <w:t>“</w:t>
      </w:r>
      <w:r w:rsidRPr="000066F8">
        <w:rPr>
          <w:rFonts w:ascii="Georgia" w:hAnsi="Georgia" w:cs="Arial"/>
          <w:i/>
          <w:iCs/>
        </w:rPr>
        <w:t>2.1 The Tenant shall pay the estimated Service Charge for each Service Charge Year at the commencement of the Service Charge Year on or before the Service Charge Payment Dates by standing order or by any other method that the Landlord from time to time required by giving notice to the Tenant.</w:t>
      </w:r>
    </w:p>
    <w:p w14:paraId="3D4A12FD" w14:textId="088966D8" w:rsidR="006B3AF8" w:rsidRPr="000066F8" w:rsidRDefault="000066F8" w:rsidP="006B3AF8">
      <w:pPr>
        <w:autoSpaceDE w:val="0"/>
        <w:autoSpaceDN w:val="0"/>
        <w:adjustRightInd w:val="0"/>
        <w:spacing w:after="360"/>
        <w:ind w:left="709"/>
        <w:jc w:val="both"/>
        <w:rPr>
          <w:rFonts w:ascii="Georgia" w:hAnsi="Georgia" w:cs="Arial"/>
          <w:i/>
          <w:iCs/>
        </w:rPr>
      </w:pPr>
      <w:r w:rsidRPr="000066F8">
        <w:rPr>
          <w:rFonts w:ascii="Georgia" w:hAnsi="Georgia" w:cs="Arial"/>
          <w:i/>
          <w:iCs/>
        </w:rPr>
        <w:t>…</w:t>
      </w:r>
    </w:p>
    <w:p w14:paraId="6C111862" w14:textId="570C93D9" w:rsidR="000066F8" w:rsidRDefault="000066F8" w:rsidP="000066F8">
      <w:pPr>
        <w:autoSpaceDE w:val="0"/>
        <w:autoSpaceDN w:val="0"/>
        <w:adjustRightInd w:val="0"/>
        <w:spacing w:after="360"/>
        <w:ind w:left="709"/>
        <w:jc w:val="both"/>
        <w:rPr>
          <w:rFonts w:ascii="Georgia" w:hAnsi="Georgia" w:cs="Arial"/>
        </w:rPr>
      </w:pPr>
      <w:r w:rsidRPr="000066F8">
        <w:rPr>
          <w:rFonts w:ascii="Georgia" w:hAnsi="Georgia" w:cs="Arial"/>
          <w:i/>
          <w:iCs/>
        </w:rPr>
        <w:t>2.3 If, in respect of any Service Charge Year, the Landlord's estimate of the Service Charge is less than the Service Charge, the Tenant shall pay the difference on demand</w:t>
      </w:r>
      <w:r>
        <w:rPr>
          <w:rFonts w:ascii="Georgia" w:hAnsi="Georgia" w:cs="Arial"/>
        </w:rPr>
        <w:t>”</w:t>
      </w:r>
      <w:r w:rsidRPr="000066F8">
        <w:rPr>
          <w:rFonts w:ascii="Georgia" w:hAnsi="Georgia" w:cs="Arial"/>
        </w:rPr>
        <w:t>.</w:t>
      </w:r>
    </w:p>
    <w:p w14:paraId="780D5623" w14:textId="47E14151" w:rsidR="00373285" w:rsidRDefault="00F11742" w:rsidP="0007450D">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We were</w:t>
      </w:r>
      <w:r w:rsidR="00E66C88">
        <w:rPr>
          <w:rFonts w:ascii="Georgia" w:hAnsi="Georgia" w:cs="Arial"/>
        </w:rPr>
        <w:t xml:space="preserve"> not directed to any provision </w:t>
      </w:r>
      <w:r w:rsidR="00E65EFB">
        <w:rPr>
          <w:rFonts w:ascii="Georgia" w:hAnsi="Georgia" w:cs="Arial"/>
        </w:rPr>
        <w:t xml:space="preserve">of the </w:t>
      </w:r>
      <w:r w:rsidR="00E66C88">
        <w:rPr>
          <w:rFonts w:ascii="Georgia" w:hAnsi="Georgia" w:cs="Arial"/>
        </w:rPr>
        <w:t>Applicant’s le</w:t>
      </w:r>
      <w:r w:rsidR="00E65EFB">
        <w:rPr>
          <w:rFonts w:ascii="Georgia" w:hAnsi="Georgia" w:cs="Arial"/>
        </w:rPr>
        <w:t xml:space="preserve">ase which </w:t>
      </w:r>
      <w:r w:rsidR="00266AD2">
        <w:rPr>
          <w:rFonts w:ascii="Georgia" w:hAnsi="Georgia" w:cs="Arial"/>
        </w:rPr>
        <w:t>would allow the Respondent to bring forward a service charge deficit</w:t>
      </w:r>
      <w:r w:rsidR="003D5FD9">
        <w:rPr>
          <w:rFonts w:ascii="Georgia" w:hAnsi="Georgia" w:cs="Arial"/>
        </w:rPr>
        <w:t xml:space="preserve"> </w:t>
      </w:r>
      <w:r w:rsidR="004C7783">
        <w:rPr>
          <w:rFonts w:ascii="Georgia" w:hAnsi="Georgia" w:cs="Arial"/>
        </w:rPr>
        <w:t xml:space="preserve">to the following </w:t>
      </w:r>
      <w:r w:rsidR="0040167B">
        <w:rPr>
          <w:rFonts w:ascii="Georgia" w:hAnsi="Georgia" w:cs="Arial"/>
        </w:rPr>
        <w:t>service charge year</w:t>
      </w:r>
      <w:r w:rsidR="003D5FD9">
        <w:rPr>
          <w:rFonts w:ascii="Georgia" w:hAnsi="Georgia" w:cs="Arial"/>
        </w:rPr>
        <w:t>’s accounts or expenditure,</w:t>
      </w:r>
      <w:r w:rsidR="0014336E">
        <w:rPr>
          <w:rFonts w:ascii="Georgia" w:hAnsi="Georgia" w:cs="Arial"/>
        </w:rPr>
        <w:t xml:space="preserve"> and indeed Mr Green</w:t>
      </w:r>
      <w:r w:rsidR="003D5FD9">
        <w:rPr>
          <w:rFonts w:ascii="Georgia" w:hAnsi="Georgia" w:cs="Arial"/>
        </w:rPr>
        <w:t xml:space="preserve">’s submission on the point was that he understood that </w:t>
      </w:r>
      <w:r w:rsidR="00D10DAE">
        <w:rPr>
          <w:rFonts w:ascii="Georgia" w:hAnsi="Georgia" w:cs="Arial"/>
        </w:rPr>
        <w:t xml:space="preserve">the </w:t>
      </w:r>
      <w:r w:rsidR="003D5FD9">
        <w:rPr>
          <w:rFonts w:ascii="Georgia" w:hAnsi="Georgia" w:cs="Arial"/>
        </w:rPr>
        <w:t>issue</w:t>
      </w:r>
      <w:r w:rsidR="00D10DAE">
        <w:rPr>
          <w:rFonts w:ascii="Georgia" w:hAnsi="Georgia" w:cs="Arial"/>
        </w:rPr>
        <w:t xml:space="preserve"> was conceded by the Respondent (though he had no instructions</w:t>
      </w:r>
      <w:r w:rsidR="00A901C6">
        <w:rPr>
          <w:rFonts w:ascii="Georgia" w:hAnsi="Georgia" w:cs="Arial"/>
        </w:rPr>
        <w:t xml:space="preserve"> that would allow him</w:t>
      </w:r>
      <w:r w:rsidR="00D10DAE">
        <w:rPr>
          <w:rFonts w:ascii="Georgia" w:hAnsi="Georgia" w:cs="Arial"/>
        </w:rPr>
        <w:t xml:space="preserve"> t</w:t>
      </w:r>
      <w:r w:rsidR="000C3075">
        <w:rPr>
          <w:rFonts w:ascii="Georgia" w:hAnsi="Georgia" w:cs="Arial"/>
        </w:rPr>
        <w:t xml:space="preserve">o </w:t>
      </w:r>
      <w:r w:rsidR="00A901C6">
        <w:rPr>
          <w:rFonts w:ascii="Georgia" w:hAnsi="Georgia" w:cs="Arial"/>
        </w:rPr>
        <w:t>make any such concession on the Respondent’s behalf</w:t>
      </w:r>
      <w:r w:rsidR="00373285">
        <w:rPr>
          <w:rFonts w:ascii="Georgia" w:hAnsi="Georgia" w:cs="Arial"/>
        </w:rPr>
        <w:t>)</w:t>
      </w:r>
      <w:r w:rsidR="0040167B">
        <w:rPr>
          <w:rFonts w:ascii="Georgia" w:hAnsi="Georgia" w:cs="Arial"/>
        </w:rPr>
        <w:t>.</w:t>
      </w:r>
    </w:p>
    <w:p w14:paraId="663CC9FF" w14:textId="286E3CD1" w:rsidR="00F11742" w:rsidRDefault="00FD40FC" w:rsidP="0007450D">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 xml:space="preserve">Having considered the terms of the </w:t>
      </w:r>
      <w:r w:rsidR="008A4744">
        <w:rPr>
          <w:rFonts w:ascii="Georgia" w:hAnsi="Georgia" w:cs="Arial"/>
        </w:rPr>
        <w:t>Applicant’s l</w:t>
      </w:r>
      <w:r>
        <w:rPr>
          <w:rFonts w:ascii="Georgia" w:hAnsi="Georgia" w:cs="Arial"/>
        </w:rPr>
        <w:t>ease, we find th</w:t>
      </w:r>
      <w:r w:rsidR="009B0142">
        <w:rPr>
          <w:rFonts w:ascii="Georgia" w:hAnsi="Georgia" w:cs="Arial"/>
        </w:rPr>
        <w:t>at in circumstances where the actual service charge expenditure exceeds the service charge budget</w:t>
      </w:r>
      <w:r w:rsidR="008A4744">
        <w:rPr>
          <w:rFonts w:ascii="Georgia" w:hAnsi="Georgia" w:cs="Arial"/>
        </w:rPr>
        <w:t xml:space="preserve"> in a service charge year</w:t>
      </w:r>
      <w:r w:rsidR="009B0142">
        <w:rPr>
          <w:rFonts w:ascii="Georgia" w:hAnsi="Georgia" w:cs="Arial"/>
        </w:rPr>
        <w:t xml:space="preserve"> </w:t>
      </w:r>
      <w:r w:rsidR="00540DE7">
        <w:rPr>
          <w:rFonts w:ascii="Georgia" w:hAnsi="Georgia" w:cs="Arial"/>
        </w:rPr>
        <w:t xml:space="preserve">the Respondent is </w:t>
      </w:r>
      <w:r w:rsidR="00C5468C">
        <w:rPr>
          <w:rFonts w:ascii="Georgia" w:hAnsi="Georgia" w:cs="Arial"/>
        </w:rPr>
        <w:t xml:space="preserve">required to issue a balancing demand if it wishes to recover the deficit from the </w:t>
      </w:r>
      <w:r w:rsidR="00C318EF">
        <w:rPr>
          <w:rFonts w:ascii="Georgia" w:hAnsi="Georgia" w:cs="Arial"/>
        </w:rPr>
        <w:t xml:space="preserve">tenants of the block. It is not entitled to </w:t>
      </w:r>
      <w:r w:rsidR="00B36EBF">
        <w:rPr>
          <w:rFonts w:ascii="Georgia" w:hAnsi="Georgia" w:cs="Arial"/>
        </w:rPr>
        <w:t>include the deficit as an</w:t>
      </w:r>
      <w:r w:rsidR="0014406C">
        <w:rPr>
          <w:rFonts w:ascii="Georgia" w:hAnsi="Georgia" w:cs="Arial"/>
        </w:rPr>
        <w:t xml:space="preserve"> item or</w:t>
      </w:r>
      <w:r w:rsidR="00B36EBF">
        <w:rPr>
          <w:rFonts w:ascii="Georgia" w:hAnsi="Georgia" w:cs="Arial"/>
        </w:rPr>
        <w:t xml:space="preserve"> expense in the service charge accounts for the following service charge year. </w:t>
      </w:r>
    </w:p>
    <w:p w14:paraId="658A99BB" w14:textId="2871489E" w:rsidR="00B36EBF" w:rsidRDefault="00B36EBF" w:rsidP="0007450D">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We accordingly find that the Applicant’s share of the “deficit brought forward” of £7473.00</w:t>
      </w:r>
      <w:r w:rsidR="0014406C">
        <w:rPr>
          <w:rFonts w:ascii="Georgia" w:hAnsi="Georgia" w:cs="Arial"/>
        </w:rPr>
        <w:t xml:space="preserve"> in the accounts for the year ending </w:t>
      </w:r>
      <w:r w:rsidR="00D5259A">
        <w:rPr>
          <w:rFonts w:ascii="Georgia" w:hAnsi="Georgia" w:cs="Arial"/>
        </w:rPr>
        <w:t>31 December 2023</w:t>
      </w:r>
      <w:r>
        <w:rPr>
          <w:rFonts w:ascii="Georgia" w:hAnsi="Georgia" w:cs="Arial"/>
        </w:rPr>
        <w:t xml:space="preserve"> is not payable by her. </w:t>
      </w:r>
    </w:p>
    <w:p w14:paraId="4F1629F8" w14:textId="6DA220B4" w:rsidR="00D0586E" w:rsidRPr="00D0586E" w:rsidRDefault="00D0586E" w:rsidP="00D0586E">
      <w:pPr>
        <w:tabs>
          <w:tab w:val="num" w:pos="709"/>
        </w:tabs>
        <w:autoSpaceDE w:val="0"/>
        <w:autoSpaceDN w:val="0"/>
        <w:adjustRightInd w:val="0"/>
        <w:spacing w:after="360"/>
        <w:jc w:val="both"/>
        <w:rPr>
          <w:rFonts w:ascii="Georgia" w:hAnsi="Georgia" w:cs="Arial"/>
          <w:i/>
          <w:iCs/>
          <w:u w:val="single"/>
        </w:rPr>
      </w:pPr>
      <w:r>
        <w:rPr>
          <w:rFonts w:ascii="Georgia" w:hAnsi="Georgia" w:cs="Arial"/>
          <w:i/>
          <w:iCs/>
          <w:u w:val="single"/>
        </w:rPr>
        <w:t>Grounds maintenance</w:t>
      </w:r>
    </w:p>
    <w:p w14:paraId="737C78D0" w14:textId="45F8D83D" w:rsidR="00C61E5A" w:rsidRDefault="00C61E5A" w:rsidP="00266AD2">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w:t>
      </w:r>
      <w:r w:rsidR="00D5259A">
        <w:rPr>
          <w:rFonts w:ascii="Georgia" w:hAnsi="Georgia" w:cs="Arial"/>
        </w:rPr>
        <w:t xml:space="preserve">service charge accounts record that the </w:t>
      </w:r>
      <w:r>
        <w:rPr>
          <w:rFonts w:ascii="Georgia" w:hAnsi="Georgia" w:cs="Arial"/>
        </w:rPr>
        <w:t>actual expenditure for grounds maintenance</w:t>
      </w:r>
      <w:r w:rsidR="00D5259A">
        <w:rPr>
          <w:rFonts w:ascii="Georgia" w:hAnsi="Georgia" w:cs="Arial"/>
        </w:rPr>
        <w:t xml:space="preserve"> at Uplands House</w:t>
      </w:r>
      <w:r>
        <w:rPr>
          <w:rFonts w:ascii="Georgia" w:hAnsi="Georgia" w:cs="Arial"/>
        </w:rPr>
        <w:t xml:space="preserve"> in 2023 was £30</w:t>
      </w:r>
      <w:r w:rsidR="001A1BEA">
        <w:rPr>
          <w:rFonts w:ascii="Georgia" w:hAnsi="Georgia" w:cs="Arial"/>
        </w:rPr>
        <w:t>,247.00.</w:t>
      </w:r>
    </w:p>
    <w:p w14:paraId="4F80B46F" w14:textId="269D16B2" w:rsidR="00B36EBF" w:rsidRDefault="00D0586E" w:rsidP="00266AD2">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The following facts are</w:t>
      </w:r>
      <w:r w:rsidR="00BE01BC">
        <w:rPr>
          <w:rFonts w:ascii="Georgia" w:hAnsi="Georgia" w:cs="Arial"/>
        </w:rPr>
        <w:t xml:space="preserve"> not in dispute</w:t>
      </w:r>
      <w:r>
        <w:rPr>
          <w:rFonts w:ascii="Georgia" w:hAnsi="Georgia" w:cs="Arial"/>
        </w:rPr>
        <w:t>:</w:t>
      </w:r>
    </w:p>
    <w:p w14:paraId="15842180" w14:textId="154E2179" w:rsidR="00D0586E" w:rsidRDefault="00B324FA" w:rsidP="00D0586E">
      <w:pPr>
        <w:numPr>
          <w:ilvl w:val="1"/>
          <w:numId w:val="8"/>
        </w:numPr>
        <w:autoSpaceDE w:val="0"/>
        <w:autoSpaceDN w:val="0"/>
        <w:adjustRightInd w:val="0"/>
        <w:spacing w:after="360"/>
        <w:jc w:val="both"/>
        <w:rPr>
          <w:rFonts w:ascii="Georgia" w:hAnsi="Georgia" w:cs="Arial"/>
        </w:rPr>
      </w:pPr>
      <w:r>
        <w:rPr>
          <w:rFonts w:ascii="Georgia" w:hAnsi="Georgia" w:cs="Arial"/>
        </w:rPr>
        <w:t xml:space="preserve">In 2023, the Respondent instructed </w:t>
      </w:r>
      <w:r w:rsidR="00195817">
        <w:rPr>
          <w:rFonts w:ascii="Georgia" w:hAnsi="Georgia" w:cs="Arial"/>
        </w:rPr>
        <w:t xml:space="preserve">AreaEquity Construction Limited to carry out the grounds maintenance </w:t>
      </w:r>
      <w:r w:rsidR="00401D87">
        <w:rPr>
          <w:rFonts w:ascii="Georgia" w:hAnsi="Georgia" w:cs="Arial"/>
        </w:rPr>
        <w:t xml:space="preserve">at Uplands House. </w:t>
      </w:r>
    </w:p>
    <w:p w14:paraId="1421B5C7" w14:textId="12BFB07F" w:rsidR="00401D87" w:rsidRDefault="00401D87" w:rsidP="00D0586E">
      <w:pPr>
        <w:numPr>
          <w:ilvl w:val="1"/>
          <w:numId w:val="8"/>
        </w:numPr>
        <w:autoSpaceDE w:val="0"/>
        <w:autoSpaceDN w:val="0"/>
        <w:adjustRightInd w:val="0"/>
        <w:spacing w:after="360"/>
        <w:jc w:val="both"/>
        <w:rPr>
          <w:rFonts w:ascii="Georgia" w:hAnsi="Georgia" w:cs="Arial"/>
        </w:rPr>
      </w:pPr>
      <w:r>
        <w:rPr>
          <w:rFonts w:ascii="Georgia" w:hAnsi="Georgia" w:cs="Arial"/>
        </w:rPr>
        <w:t xml:space="preserve">There is a connection between the Respondent and AreaEquity Construction Limited in that </w:t>
      </w:r>
      <w:r w:rsidR="00E04087">
        <w:rPr>
          <w:rFonts w:ascii="Georgia" w:hAnsi="Georgia" w:cs="Arial"/>
        </w:rPr>
        <w:t xml:space="preserve">the sole director of </w:t>
      </w:r>
      <w:r w:rsidR="002655C1">
        <w:rPr>
          <w:rFonts w:ascii="Georgia" w:hAnsi="Georgia" w:cs="Arial"/>
        </w:rPr>
        <w:t xml:space="preserve">AreaEquity Construction Limited is Mr Fiorenzo Stocco, who is also </w:t>
      </w:r>
      <w:r w:rsidR="00546CE8">
        <w:rPr>
          <w:rFonts w:ascii="Georgia" w:hAnsi="Georgia" w:cs="Arial"/>
        </w:rPr>
        <w:t xml:space="preserve">a director of Area Uno Limited and </w:t>
      </w:r>
      <w:r w:rsidR="001D17DF">
        <w:rPr>
          <w:rFonts w:ascii="Georgia" w:hAnsi="Georgia" w:cs="Arial"/>
        </w:rPr>
        <w:t xml:space="preserve">Uplands </w:t>
      </w:r>
      <w:r w:rsidR="0037028D">
        <w:rPr>
          <w:rFonts w:ascii="Georgia" w:hAnsi="Georgia" w:cs="Arial"/>
        </w:rPr>
        <w:t xml:space="preserve">HW Limited, the two </w:t>
      </w:r>
      <w:r w:rsidR="00BE01BC">
        <w:rPr>
          <w:rFonts w:ascii="Georgia" w:hAnsi="Georgia" w:cs="Arial"/>
        </w:rPr>
        <w:t xml:space="preserve">corporate members of </w:t>
      </w:r>
      <w:r w:rsidR="00E93801">
        <w:rPr>
          <w:rFonts w:ascii="Georgia" w:hAnsi="Georgia" w:cs="Arial"/>
        </w:rPr>
        <w:t xml:space="preserve">the Respondent. </w:t>
      </w:r>
    </w:p>
    <w:p w14:paraId="3DE0F275" w14:textId="027C000C" w:rsidR="00476174" w:rsidRPr="00476174" w:rsidRDefault="00E93801" w:rsidP="00476174">
      <w:pPr>
        <w:numPr>
          <w:ilvl w:val="1"/>
          <w:numId w:val="8"/>
        </w:numPr>
        <w:autoSpaceDE w:val="0"/>
        <w:autoSpaceDN w:val="0"/>
        <w:adjustRightInd w:val="0"/>
        <w:spacing w:after="360"/>
        <w:jc w:val="both"/>
        <w:rPr>
          <w:rFonts w:ascii="Georgia" w:hAnsi="Georgia" w:cs="Arial"/>
        </w:rPr>
      </w:pPr>
      <w:r>
        <w:rPr>
          <w:rFonts w:ascii="Georgia" w:hAnsi="Georgia" w:cs="Arial"/>
        </w:rPr>
        <w:t xml:space="preserve">AreaEquity Construction Limited did not carry out any maintenance work itself. </w:t>
      </w:r>
      <w:r w:rsidR="00836975">
        <w:rPr>
          <w:rFonts w:ascii="Georgia" w:hAnsi="Georgia" w:cs="Arial"/>
        </w:rPr>
        <w:t xml:space="preserve">It </w:t>
      </w:r>
      <w:r w:rsidR="00E965C4">
        <w:rPr>
          <w:rFonts w:ascii="Georgia" w:hAnsi="Georgia" w:cs="Arial"/>
        </w:rPr>
        <w:t xml:space="preserve">sub-contracted works to </w:t>
      </w:r>
      <w:r w:rsidR="00595B7D">
        <w:rPr>
          <w:rFonts w:ascii="Georgia" w:hAnsi="Georgia" w:cs="Arial"/>
        </w:rPr>
        <w:t>third partie</w:t>
      </w:r>
      <w:r w:rsidR="00476174">
        <w:rPr>
          <w:rFonts w:ascii="Georgia" w:hAnsi="Georgia" w:cs="Arial"/>
        </w:rPr>
        <w:t xml:space="preserve">s. </w:t>
      </w:r>
      <w:r w:rsidR="00A60234">
        <w:rPr>
          <w:rFonts w:ascii="Georgia" w:hAnsi="Georgia" w:cs="Arial"/>
        </w:rPr>
        <w:t xml:space="preserve">It did not charge any management </w:t>
      </w:r>
      <w:r w:rsidR="0005642C">
        <w:rPr>
          <w:rFonts w:ascii="Georgia" w:hAnsi="Georgia" w:cs="Arial"/>
        </w:rPr>
        <w:t xml:space="preserve">fees for so doing. </w:t>
      </w:r>
    </w:p>
    <w:p w14:paraId="4B3E95D2" w14:textId="4735358F" w:rsidR="009B7098" w:rsidRDefault="00476174" w:rsidP="0007450D">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The Applicant’s case is</w:t>
      </w:r>
      <w:r w:rsidR="00D140CC">
        <w:rPr>
          <w:rFonts w:ascii="Georgia" w:hAnsi="Georgia" w:cs="Arial"/>
        </w:rPr>
        <w:t xml:space="preserve"> that </w:t>
      </w:r>
      <w:r w:rsidR="000A6185">
        <w:rPr>
          <w:rFonts w:ascii="Georgia" w:hAnsi="Georgia" w:cs="Arial"/>
        </w:rPr>
        <w:t xml:space="preserve">the only effect of </w:t>
      </w:r>
      <w:r w:rsidR="004A63C2">
        <w:rPr>
          <w:rFonts w:ascii="Georgia" w:hAnsi="Georgia" w:cs="Arial"/>
        </w:rPr>
        <w:t>instructing</w:t>
      </w:r>
      <w:r w:rsidR="000A6185">
        <w:rPr>
          <w:rFonts w:ascii="Georgia" w:hAnsi="Georgia" w:cs="Arial"/>
        </w:rPr>
        <w:t xml:space="preserve"> AreaEquity Construction Limited was to incur a VAT charge</w:t>
      </w:r>
      <w:r w:rsidR="000940FC">
        <w:rPr>
          <w:rFonts w:ascii="Georgia" w:hAnsi="Georgia" w:cs="Arial"/>
        </w:rPr>
        <w:t xml:space="preserve"> of £</w:t>
      </w:r>
      <w:r w:rsidR="005A1D7C">
        <w:rPr>
          <w:rFonts w:ascii="Georgia" w:hAnsi="Georgia" w:cs="Arial"/>
        </w:rPr>
        <w:t>4381.05</w:t>
      </w:r>
      <w:r w:rsidR="004A63C2">
        <w:rPr>
          <w:rFonts w:ascii="Georgia" w:hAnsi="Georgia" w:cs="Arial"/>
        </w:rPr>
        <w:t xml:space="preserve"> which was passed to the leaseholders via</w:t>
      </w:r>
      <w:r w:rsidR="000A6185">
        <w:rPr>
          <w:rFonts w:ascii="Georgia" w:hAnsi="Georgia" w:cs="Arial"/>
        </w:rPr>
        <w:t xml:space="preserve"> the </w:t>
      </w:r>
      <w:r w:rsidR="004444C5">
        <w:rPr>
          <w:rFonts w:ascii="Georgia" w:hAnsi="Georgia" w:cs="Arial"/>
        </w:rPr>
        <w:t>service charge accoun</w:t>
      </w:r>
      <w:r w:rsidR="0051591F">
        <w:rPr>
          <w:rFonts w:ascii="Georgia" w:hAnsi="Georgia" w:cs="Arial"/>
        </w:rPr>
        <w:t>t. This was</w:t>
      </w:r>
      <w:r w:rsidR="009B7098">
        <w:rPr>
          <w:rFonts w:ascii="Georgia" w:hAnsi="Georgia" w:cs="Arial"/>
        </w:rPr>
        <w:t xml:space="preserve"> unnecessary</w:t>
      </w:r>
      <w:r w:rsidR="00C61B29">
        <w:rPr>
          <w:rFonts w:ascii="Georgia" w:hAnsi="Georgia" w:cs="Arial"/>
        </w:rPr>
        <w:t xml:space="preserve"> and </w:t>
      </w:r>
      <w:r w:rsidR="0051591F">
        <w:rPr>
          <w:rFonts w:ascii="Georgia" w:hAnsi="Georgia" w:cs="Arial"/>
        </w:rPr>
        <w:t>un</w:t>
      </w:r>
      <w:r w:rsidR="00C61B29">
        <w:rPr>
          <w:rFonts w:ascii="Georgia" w:hAnsi="Georgia" w:cs="Arial"/>
        </w:rPr>
        <w:t>reasonable</w:t>
      </w:r>
      <w:r w:rsidR="004444C5">
        <w:rPr>
          <w:rFonts w:ascii="Georgia" w:hAnsi="Georgia" w:cs="Arial"/>
        </w:rPr>
        <w:t>.</w:t>
      </w:r>
      <w:r w:rsidR="009B7098">
        <w:rPr>
          <w:rFonts w:ascii="Georgia" w:hAnsi="Georgia" w:cs="Arial"/>
        </w:rPr>
        <w:t xml:space="preserve"> </w:t>
      </w:r>
      <w:r w:rsidR="00A855D4">
        <w:rPr>
          <w:rFonts w:ascii="Georgia" w:hAnsi="Georgia" w:cs="Arial"/>
        </w:rPr>
        <w:t>She asserts that t</w:t>
      </w:r>
      <w:r w:rsidR="00C61B29">
        <w:rPr>
          <w:rFonts w:ascii="Georgia" w:hAnsi="Georgia" w:cs="Arial"/>
        </w:rPr>
        <w:t xml:space="preserve">he Respondent could simply have instructed the third </w:t>
      </w:r>
      <w:r w:rsidR="009813D8">
        <w:rPr>
          <w:rFonts w:ascii="Georgia" w:hAnsi="Georgia" w:cs="Arial"/>
        </w:rPr>
        <w:t xml:space="preserve">party contractors directly, given that the Respondent and AreaEquity Construction Limited are </w:t>
      </w:r>
      <w:r w:rsidR="00590F60">
        <w:rPr>
          <w:rFonts w:ascii="Georgia" w:hAnsi="Georgia" w:cs="Arial"/>
        </w:rPr>
        <w:t>linked to each other through Mr Stocco</w:t>
      </w:r>
      <w:r w:rsidR="008B281B">
        <w:rPr>
          <w:rFonts w:ascii="Georgia" w:hAnsi="Georgia" w:cs="Arial"/>
        </w:rPr>
        <w:t xml:space="preserve"> and that Mr Stocco is the leading light of both companies. </w:t>
      </w:r>
      <w:r w:rsidR="00ED521F">
        <w:rPr>
          <w:rFonts w:ascii="Georgia" w:hAnsi="Georgia" w:cs="Arial"/>
        </w:rPr>
        <w:t>There was no evidence that AreaEquity Construction Limited had any particular expertise in grounds maintenance</w:t>
      </w:r>
      <w:r w:rsidR="00555385">
        <w:rPr>
          <w:rFonts w:ascii="Georgia" w:hAnsi="Georgia" w:cs="Arial"/>
        </w:rPr>
        <w:t xml:space="preserve">. </w:t>
      </w:r>
      <w:r w:rsidR="007118E0">
        <w:rPr>
          <w:rFonts w:ascii="Georgia" w:hAnsi="Georgia" w:cs="Arial"/>
        </w:rPr>
        <w:t xml:space="preserve">Instructing the third parties </w:t>
      </w:r>
      <w:r w:rsidR="00E1142F">
        <w:rPr>
          <w:rFonts w:ascii="Georgia" w:hAnsi="Georgia" w:cs="Arial"/>
        </w:rPr>
        <w:t xml:space="preserve">directly would have saved the VAT charge </w:t>
      </w:r>
      <w:r w:rsidR="007F4378">
        <w:rPr>
          <w:rFonts w:ascii="Georgia" w:hAnsi="Georgia" w:cs="Arial"/>
        </w:rPr>
        <w:t xml:space="preserve">because the sub-contractors were not VAT registered. </w:t>
      </w:r>
    </w:p>
    <w:p w14:paraId="44C4785B" w14:textId="77777777" w:rsidR="00555385" w:rsidRDefault="004444C5" w:rsidP="0007450D">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Th</w:t>
      </w:r>
      <w:r w:rsidR="00DD1F70">
        <w:rPr>
          <w:rFonts w:ascii="Georgia" w:hAnsi="Georgia" w:cs="Arial"/>
        </w:rPr>
        <w:t xml:space="preserve">e Respondent’s response </w:t>
      </w:r>
      <w:r w:rsidR="00555385">
        <w:rPr>
          <w:rFonts w:ascii="Georgia" w:hAnsi="Georgia" w:cs="Arial"/>
        </w:rPr>
        <w:t xml:space="preserve">was </w:t>
      </w:r>
      <w:r w:rsidR="00DD1F70">
        <w:rPr>
          <w:rFonts w:ascii="Georgia" w:hAnsi="Georgia" w:cs="Arial"/>
        </w:rPr>
        <w:t>that</w:t>
      </w:r>
      <w:r w:rsidR="00555385">
        <w:rPr>
          <w:rFonts w:ascii="Georgia" w:hAnsi="Georgia" w:cs="Arial"/>
        </w:rPr>
        <w:t>:</w:t>
      </w:r>
    </w:p>
    <w:p w14:paraId="7CFDC23C" w14:textId="77777777" w:rsidR="00555385" w:rsidRDefault="00DD1F70" w:rsidP="00555385">
      <w:pPr>
        <w:numPr>
          <w:ilvl w:val="1"/>
          <w:numId w:val="8"/>
        </w:numPr>
        <w:autoSpaceDE w:val="0"/>
        <w:autoSpaceDN w:val="0"/>
        <w:adjustRightInd w:val="0"/>
        <w:spacing w:after="360"/>
        <w:jc w:val="both"/>
        <w:rPr>
          <w:rFonts w:ascii="Georgia" w:hAnsi="Georgia" w:cs="Arial"/>
        </w:rPr>
      </w:pPr>
      <w:r>
        <w:rPr>
          <w:rFonts w:ascii="Georgia" w:hAnsi="Georgia" w:cs="Arial"/>
        </w:rPr>
        <w:t xml:space="preserve">AreaEquity Construction Limited is VAT registered and therefore is required to charge VAT </w:t>
      </w:r>
      <w:r w:rsidR="0009601C">
        <w:rPr>
          <w:rFonts w:ascii="Georgia" w:hAnsi="Georgia" w:cs="Arial"/>
        </w:rPr>
        <w:t xml:space="preserve">on its services; and </w:t>
      </w:r>
    </w:p>
    <w:p w14:paraId="093CAA8F" w14:textId="77777777" w:rsidR="00555385" w:rsidRDefault="0009601C" w:rsidP="00555385">
      <w:pPr>
        <w:numPr>
          <w:ilvl w:val="1"/>
          <w:numId w:val="8"/>
        </w:numPr>
        <w:autoSpaceDE w:val="0"/>
        <w:autoSpaceDN w:val="0"/>
        <w:adjustRightInd w:val="0"/>
        <w:spacing w:after="360"/>
        <w:jc w:val="both"/>
        <w:rPr>
          <w:rFonts w:ascii="Georgia" w:hAnsi="Georgia" w:cs="Arial"/>
        </w:rPr>
      </w:pPr>
      <w:r>
        <w:rPr>
          <w:rFonts w:ascii="Georgia" w:hAnsi="Georgia" w:cs="Arial"/>
        </w:rPr>
        <w:t xml:space="preserve">the sub-contractors </w:t>
      </w:r>
      <w:r w:rsidR="0053282D">
        <w:rPr>
          <w:rFonts w:ascii="Georgia" w:hAnsi="Georgia" w:cs="Arial"/>
        </w:rPr>
        <w:t xml:space="preserve">who carried out the grounds maintenance in 2023 were in fact VAT registered. </w:t>
      </w:r>
    </w:p>
    <w:p w14:paraId="1393AE40" w14:textId="6F786DF6" w:rsidR="00E93801" w:rsidRPr="00555385" w:rsidRDefault="0053282D" w:rsidP="00555385">
      <w:pPr>
        <w:numPr>
          <w:ilvl w:val="0"/>
          <w:numId w:val="8"/>
        </w:numPr>
        <w:tabs>
          <w:tab w:val="num" w:pos="540"/>
        </w:tabs>
        <w:autoSpaceDE w:val="0"/>
        <w:autoSpaceDN w:val="0"/>
        <w:adjustRightInd w:val="0"/>
        <w:spacing w:after="360"/>
        <w:ind w:left="709" w:hanging="439"/>
        <w:jc w:val="both"/>
        <w:rPr>
          <w:rFonts w:ascii="Georgia" w:hAnsi="Georgia" w:cs="Arial"/>
        </w:rPr>
      </w:pPr>
      <w:r w:rsidRPr="00555385">
        <w:rPr>
          <w:rFonts w:ascii="Georgia" w:hAnsi="Georgia" w:cs="Arial"/>
        </w:rPr>
        <w:t>The Res</w:t>
      </w:r>
      <w:r w:rsidR="005525E4" w:rsidRPr="00555385">
        <w:rPr>
          <w:rFonts w:ascii="Georgia" w:hAnsi="Georgia" w:cs="Arial"/>
        </w:rPr>
        <w:t xml:space="preserve">pondent </w:t>
      </w:r>
      <w:r w:rsidR="00A617FD" w:rsidRPr="00555385">
        <w:rPr>
          <w:rFonts w:ascii="Georgia" w:hAnsi="Georgia" w:cs="Arial"/>
        </w:rPr>
        <w:t xml:space="preserve">did not otherwise engage in </w:t>
      </w:r>
      <w:r w:rsidR="00973A66" w:rsidRPr="00555385">
        <w:rPr>
          <w:rFonts w:ascii="Georgia" w:hAnsi="Georgia" w:cs="Arial"/>
        </w:rPr>
        <w:t xml:space="preserve">its response to the Applicant’s </w:t>
      </w:r>
      <w:r w:rsidR="000E5A17" w:rsidRPr="00555385">
        <w:rPr>
          <w:rFonts w:ascii="Georgia" w:hAnsi="Georgia" w:cs="Arial"/>
        </w:rPr>
        <w:t xml:space="preserve">scott </w:t>
      </w:r>
      <w:r w:rsidR="00973A66" w:rsidRPr="00555385">
        <w:rPr>
          <w:rFonts w:ascii="Georgia" w:hAnsi="Georgia" w:cs="Arial"/>
        </w:rPr>
        <w:t xml:space="preserve">schedule with </w:t>
      </w:r>
      <w:r w:rsidR="007F4378">
        <w:rPr>
          <w:rFonts w:ascii="Georgia" w:hAnsi="Georgia" w:cs="Arial"/>
        </w:rPr>
        <w:t>her</w:t>
      </w:r>
      <w:r w:rsidR="00A617FD" w:rsidRPr="00555385">
        <w:rPr>
          <w:rFonts w:ascii="Georgia" w:hAnsi="Georgia" w:cs="Arial"/>
        </w:rPr>
        <w:t xml:space="preserve"> submission that the Respondent could have instructed the third party </w:t>
      </w:r>
      <w:r w:rsidR="00973A66" w:rsidRPr="00555385">
        <w:rPr>
          <w:rFonts w:ascii="Georgia" w:hAnsi="Georgia" w:cs="Arial"/>
        </w:rPr>
        <w:t>contractors directly</w:t>
      </w:r>
      <w:r w:rsidR="00E375BB" w:rsidRPr="00555385">
        <w:rPr>
          <w:rFonts w:ascii="Georgia" w:hAnsi="Georgia" w:cs="Arial"/>
        </w:rPr>
        <w:t>. We</w:t>
      </w:r>
      <w:r w:rsidR="00973A66" w:rsidRPr="00555385">
        <w:rPr>
          <w:rFonts w:ascii="Georgia" w:hAnsi="Georgia" w:cs="Arial"/>
        </w:rPr>
        <w:t xml:space="preserve"> heard no evidence about</w:t>
      </w:r>
      <w:r w:rsidR="00C77A7C" w:rsidRPr="00555385">
        <w:rPr>
          <w:rFonts w:ascii="Georgia" w:hAnsi="Georgia" w:cs="Arial"/>
        </w:rPr>
        <w:t xml:space="preserve"> the Respondent’s reasons for </w:t>
      </w:r>
      <w:r w:rsidR="00C66093">
        <w:rPr>
          <w:rFonts w:ascii="Georgia" w:hAnsi="Georgia" w:cs="Arial"/>
        </w:rPr>
        <w:t>engaging</w:t>
      </w:r>
      <w:r w:rsidR="00C77A7C" w:rsidRPr="00555385">
        <w:rPr>
          <w:rFonts w:ascii="Georgia" w:hAnsi="Georgia" w:cs="Arial"/>
        </w:rPr>
        <w:t xml:space="preserve"> AreaEquity Construction Limited</w:t>
      </w:r>
      <w:r w:rsidR="002A7A0D" w:rsidRPr="00555385">
        <w:rPr>
          <w:rFonts w:ascii="Georgia" w:hAnsi="Georgia" w:cs="Arial"/>
        </w:rPr>
        <w:t xml:space="preserve"> (especially in circumstances where the Respondent also employs a managing agent to </w:t>
      </w:r>
      <w:r w:rsidR="005B78E3" w:rsidRPr="00555385">
        <w:rPr>
          <w:rFonts w:ascii="Georgia" w:hAnsi="Georgia" w:cs="Arial"/>
        </w:rPr>
        <w:t>manage Uplands House)</w:t>
      </w:r>
      <w:r w:rsidR="00C77A7C" w:rsidRPr="00555385">
        <w:rPr>
          <w:rFonts w:ascii="Georgia" w:hAnsi="Georgia" w:cs="Arial"/>
        </w:rPr>
        <w:t xml:space="preserve"> nor about whether AreaEquity Construction Limited has any particular expertise in grounds maintenance work. In</w:t>
      </w:r>
      <w:r w:rsidR="00973A66" w:rsidRPr="00555385">
        <w:rPr>
          <w:rFonts w:ascii="Georgia" w:hAnsi="Georgia" w:cs="Arial"/>
        </w:rPr>
        <w:t xml:space="preserve"> his submissions, Mr </w:t>
      </w:r>
      <w:r w:rsidR="00C77A7C" w:rsidRPr="00555385">
        <w:rPr>
          <w:rFonts w:ascii="Georgia" w:hAnsi="Georgia" w:cs="Arial"/>
        </w:rPr>
        <w:t xml:space="preserve">Green suggested that </w:t>
      </w:r>
      <w:r w:rsidR="00A6152D" w:rsidRPr="00555385">
        <w:rPr>
          <w:rFonts w:ascii="Georgia" w:hAnsi="Georgia" w:cs="Arial"/>
        </w:rPr>
        <w:t>the leaseholders</w:t>
      </w:r>
      <w:r w:rsidR="00C66093">
        <w:rPr>
          <w:rFonts w:ascii="Georgia" w:hAnsi="Georgia" w:cs="Arial"/>
        </w:rPr>
        <w:t xml:space="preserve"> of Uplands House</w:t>
      </w:r>
      <w:r w:rsidR="00A6152D" w:rsidRPr="00555385">
        <w:rPr>
          <w:rFonts w:ascii="Georgia" w:hAnsi="Georgia" w:cs="Arial"/>
        </w:rPr>
        <w:t xml:space="preserve"> have the</w:t>
      </w:r>
      <w:r w:rsidR="00AE0C0E" w:rsidRPr="00555385">
        <w:rPr>
          <w:rFonts w:ascii="Georgia" w:hAnsi="Georgia" w:cs="Arial"/>
        </w:rPr>
        <w:t xml:space="preserve"> additional</w:t>
      </w:r>
      <w:r w:rsidR="00A6152D" w:rsidRPr="00555385">
        <w:rPr>
          <w:rFonts w:ascii="Georgia" w:hAnsi="Georgia" w:cs="Arial"/>
        </w:rPr>
        <w:t xml:space="preserve"> benefit</w:t>
      </w:r>
      <w:r w:rsidR="00F6525F" w:rsidRPr="00555385">
        <w:rPr>
          <w:rFonts w:ascii="Georgia" w:hAnsi="Georgia" w:cs="Arial"/>
        </w:rPr>
        <w:t xml:space="preserve"> of </w:t>
      </w:r>
      <w:r w:rsidR="00A330D1">
        <w:rPr>
          <w:rFonts w:ascii="Georgia" w:hAnsi="Georgia" w:cs="Arial"/>
        </w:rPr>
        <w:t xml:space="preserve">any insurance held by </w:t>
      </w:r>
      <w:r w:rsidR="00F6525F" w:rsidRPr="00555385">
        <w:rPr>
          <w:rFonts w:ascii="Georgia" w:hAnsi="Georgia" w:cs="Arial"/>
        </w:rPr>
        <w:t xml:space="preserve">AreaEquity Construction Limited if </w:t>
      </w:r>
      <w:r w:rsidR="00A330D1">
        <w:rPr>
          <w:rFonts w:ascii="Georgia" w:hAnsi="Georgia" w:cs="Arial"/>
        </w:rPr>
        <w:t>grounds maintenance is</w:t>
      </w:r>
      <w:r w:rsidR="00EA0D46" w:rsidRPr="00555385">
        <w:rPr>
          <w:rFonts w:ascii="Georgia" w:hAnsi="Georgia" w:cs="Arial"/>
        </w:rPr>
        <w:t xml:space="preserve"> carried out </w:t>
      </w:r>
      <w:r w:rsidR="00865CAD" w:rsidRPr="00555385">
        <w:rPr>
          <w:rFonts w:ascii="Georgia" w:hAnsi="Georgia" w:cs="Arial"/>
        </w:rPr>
        <w:t>negligently, and also of their</w:t>
      </w:r>
      <w:r w:rsidR="00AE0C0E" w:rsidRPr="00555385">
        <w:rPr>
          <w:rFonts w:ascii="Georgia" w:hAnsi="Georgia" w:cs="Arial"/>
        </w:rPr>
        <w:t xml:space="preserve"> supervision of the work carried out by the </w:t>
      </w:r>
      <w:r w:rsidR="00A330D1">
        <w:rPr>
          <w:rFonts w:ascii="Georgia" w:hAnsi="Georgia" w:cs="Arial"/>
        </w:rPr>
        <w:t>sub-</w:t>
      </w:r>
      <w:r w:rsidR="00AE0C0E" w:rsidRPr="00555385">
        <w:rPr>
          <w:rFonts w:ascii="Georgia" w:hAnsi="Georgia" w:cs="Arial"/>
        </w:rPr>
        <w:t xml:space="preserve">contractors. </w:t>
      </w:r>
    </w:p>
    <w:p w14:paraId="7E31410C" w14:textId="00479671" w:rsidR="00AE0C0E" w:rsidRDefault="0010510F" w:rsidP="0007450D">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 xml:space="preserve">We have carefully considered the </w:t>
      </w:r>
      <w:r w:rsidR="00551595">
        <w:rPr>
          <w:rFonts w:ascii="Georgia" w:hAnsi="Georgia" w:cs="Arial"/>
        </w:rPr>
        <w:t>sub-</w:t>
      </w:r>
      <w:r>
        <w:rPr>
          <w:rFonts w:ascii="Georgia" w:hAnsi="Georgia" w:cs="Arial"/>
        </w:rPr>
        <w:t xml:space="preserve">contractors’ invoices in the hearing bundle which related to grounds </w:t>
      </w:r>
      <w:r w:rsidR="003A6DA1">
        <w:rPr>
          <w:rFonts w:ascii="Georgia" w:hAnsi="Georgia" w:cs="Arial"/>
        </w:rPr>
        <w:t xml:space="preserve">maintenance work. We find that, despite what the Respondent says, the invoices </w:t>
      </w:r>
      <w:r w:rsidR="00A6597B">
        <w:rPr>
          <w:rFonts w:ascii="Georgia" w:hAnsi="Georgia" w:cs="Arial"/>
        </w:rPr>
        <w:t xml:space="preserve">for </w:t>
      </w:r>
      <w:r w:rsidR="00551595">
        <w:rPr>
          <w:rFonts w:ascii="Georgia" w:hAnsi="Georgia" w:cs="Arial"/>
        </w:rPr>
        <w:t xml:space="preserve">the </w:t>
      </w:r>
      <w:r w:rsidR="00A6597B">
        <w:rPr>
          <w:rFonts w:ascii="Georgia" w:hAnsi="Georgia" w:cs="Arial"/>
        </w:rPr>
        <w:t>work done by Gray’s Arborist in 2023 do not include</w:t>
      </w:r>
      <w:r w:rsidR="00551595">
        <w:rPr>
          <w:rFonts w:ascii="Georgia" w:hAnsi="Georgia" w:cs="Arial"/>
        </w:rPr>
        <w:t xml:space="preserve"> a charge for</w:t>
      </w:r>
      <w:r w:rsidR="00A6597B">
        <w:rPr>
          <w:rFonts w:ascii="Georgia" w:hAnsi="Georgia" w:cs="Arial"/>
        </w:rPr>
        <w:t xml:space="preserve"> VAT. </w:t>
      </w:r>
      <w:r w:rsidR="00044611">
        <w:rPr>
          <w:rFonts w:ascii="Georgia" w:hAnsi="Georgia" w:cs="Arial"/>
        </w:rPr>
        <w:t>The column</w:t>
      </w:r>
      <w:r w:rsidR="001A3F38">
        <w:rPr>
          <w:rFonts w:ascii="Georgia" w:hAnsi="Georgia" w:cs="Arial"/>
        </w:rPr>
        <w:t>s</w:t>
      </w:r>
      <w:r w:rsidR="00014239">
        <w:rPr>
          <w:rFonts w:ascii="Georgia" w:hAnsi="Georgia" w:cs="Arial"/>
        </w:rPr>
        <w:t xml:space="preserve"> on the invoice</w:t>
      </w:r>
      <w:r w:rsidR="001A3F38">
        <w:rPr>
          <w:rFonts w:ascii="Georgia" w:hAnsi="Georgia" w:cs="Arial"/>
        </w:rPr>
        <w:t>s</w:t>
      </w:r>
      <w:r w:rsidR="00044611">
        <w:rPr>
          <w:rFonts w:ascii="Georgia" w:hAnsi="Georgia" w:cs="Arial"/>
        </w:rPr>
        <w:t xml:space="preserve"> </w:t>
      </w:r>
      <w:r w:rsidR="00014239">
        <w:rPr>
          <w:rFonts w:ascii="Georgia" w:hAnsi="Georgia" w:cs="Arial"/>
        </w:rPr>
        <w:t xml:space="preserve">where </w:t>
      </w:r>
      <w:r w:rsidR="00551595">
        <w:rPr>
          <w:rFonts w:ascii="Georgia" w:hAnsi="Georgia" w:cs="Arial"/>
        </w:rPr>
        <w:t>a</w:t>
      </w:r>
      <w:r w:rsidR="00014239">
        <w:rPr>
          <w:rFonts w:ascii="Georgia" w:hAnsi="Georgia" w:cs="Arial"/>
        </w:rPr>
        <w:t xml:space="preserve"> VAT charge would appear </w:t>
      </w:r>
      <w:r w:rsidR="001A3F38">
        <w:rPr>
          <w:rFonts w:ascii="Georgia" w:hAnsi="Georgia" w:cs="Arial"/>
        </w:rPr>
        <w:t>are</w:t>
      </w:r>
      <w:r w:rsidR="00014239">
        <w:rPr>
          <w:rFonts w:ascii="Georgia" w:hAnsi="Georgia" w:cs="Arial"/>
        </w:rPr>
        <w:t xml:space="preserve"> empty and the invoice</w:t>
      </w:r>
      <w:r w:rsidR="001A3F38">
        <w:rPr>
          <w:rFonts w:ascii="Georgia" w:hAnsi="Georgia" w:cs="Arial"/>
        </w:rPr>
        <w:t>s</w:t>
      </w:r>
      <w:r w:rsidR="00014239">
        <w:rPr>
          <w:rFonts w:ascii="Georgia" w:hAnsi="Georgia" w:cs="Arial"/>
        </w:rPr>
        <w:t xml:space="preserve"> do not identify a VAT number. </w:t>
      </w:r>
      <w:r w:rsidR="00C47C58">
        <w:rPr>
          <w:rFonts w:ascii="Georgia" w:hAnsi="Georgia" w:cs="Arial"/>
        </w:rPr>
        <w:t>Other gardening invoices (such as</w:t>
      </w:r>
      <w:r w:rsidR="00514388">
        <w:rPr>
          <w:rFonts w:ascii="Georgia" w:hAnsi="Georgia" w:cs="Arial"/>
        </w:rPr>
        <w:t xml:space="preserve"> invoices</w:t>
      </w:r>
      <w:r w:rsidR="00C47C58">
        <w:rPr>
          <w:rFonts w:ascii="Georgia" w:hAnsi="Georgia" w:cs="Arial"/>
        </w:rPr>
        <w:t xml:space="preserve"> for expenditure </w:t>
      </w:r>
      <w:r w:rsidR="00A62D09">
        <w:rPr>
          <w:rFonts w:ascii="Georgia" w:hAnsi="Georgia" w:cs="Arial"/>
        </w:rPr>
        <w:t>at plant nurse</w:t>
      </w:r>
      <w:r w:rsidR="00F47849">
        <w:rPr>
          <w:rFonts w:ascii="Georgia" w:hAnsi="Georgia" w:cs="Arial"/>
        </w:rPr>
        <w:t>rie</w:t>
      </w:r>
      <w:r w:rsidR="00F91CC7">
        <w:rPr>
          <w:rFonts w:ascii="Georgia" w:hAnsi="Georgia" w:cs="Arial"/>
        </w:rPr>
        <w:t>s, for example)</w:t>
      </w:r>
      <w:r w:rsidR="002210DA">
        <w:rPr>
          <w:rFonts w:ascii="Georgia" w:hAnsi="Georgia" w:cs="Arial"/>
        </w:rPr>
        <w:t xml:space="preserve"> do carry VAT, but we accept that the Applicant has given credit for th</w:t>
      </w:r>
      <w:r w:rsidR="00F91CC7">
        <w:rPr>
          <w:rFonts w:ascii="Georgia" w:hAnsi="Georgia" w:cs="Arial"/>
        </w:rPr>
        <w:t>ese VAT charges</w:t>
      </w:r>
      <w:r w:rsidR="002210DA">
        <w:rPr>
          <w:rFonts w:ascii="Georgia" w:hAnsi="Georgia" w:cs="Arial"/>
        </w:rPr>
        <w:t xml:space="preserve"> in her calculations.</w:t>
      </w:r>
      <w:r w:rsidR="00C53280">
        <w:rPr>
          <w:rFonts w:ascii="Georgia" w:hAnsi="Georgia" w:cs="Arial"/>
        </w:rPr>
        <w:t xml:space="preserve"> </w:t>
      </w:r>
    </w:p>
    <w:p w14:paraId="36BE61D7" w14:textId="549EA6FE" w:rsidR="00410C61" w:rsidRDefault="004977C2" w:rsidP="0007450D">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 xml:space="preserve">We do not agree that the Respondent has demonstrated that the Applicant </w:t>
      </w:r>
      <w:r w:rsidR="00C53280">
        <w:rPr>
          <w:rFonts w:ascii="Georgia" w:hAnsi="Georgia" w:cs="Arial"/>
        </w:rPr>
        <w:t>has</w:t>
      </w:r>
      <w:r>
        <w:rPr>
          <w:rFonts w:ascii="Georgia" w:hAnsi="Georgia" w:cs="Arial"/>
        </w:rPr>
        <w:t xml:space="preserve"> obtained any real benefit from the involvement of AreaEquity Construction Limited</w:t>
      </w:r>
      <w:r w:rsidR="008316F8">
        <w:rPr>
          <w:rFonts w:ascii="Georgia" w:hAnsi="Georgia" w:cs="Arial"/>
        </w:rPr>
        <w:t xml:space="preserve">. There was no evidence </w:t>
      </w:r>
      <w:r w:rsidR="008D29D0">
        <w:rPr>
          <w:rFonts w:ascii="Georgia" w:hAnsi="Georgia" w:cs="Arial"/>
        </w:rPr>
        <w:t>of any</w:t>
      </w:r>
      <w:r w:rsidR="007D014B">
        <w:rPr>
          <w:rFonts w:ascii="Georgia" w:hAnsi="Georgia" w:cs="Arial"/>
        </w:rPr>
        <w:t xml:space="preserve"> inspections of</w:t>
      </w:r>
      <w:r w:rsidR="00685077">
        <w:rPr>
          <w:rFonts w:ascii="Georgia" w:hAnsi="Georgia" w:cs="Arial"/>
        </w:rPr>
        <w:t xml:space="preserve"> the </w:t>
      </w:r>
      <w:r w:rsidR="004D21DA">
        <w:rPr>
          <w:rFonts w:ascii="Georgia" w:hAnsi="Georgia" w:cs="Arial"/>
        </w:rPr>
        <w:t xml:space="preserve">work completed </w:t>
      </w:r>
      <w:r w:rsidR="00493B41">
        <w:rPr>
          <w:rFonts w:ascii="Georgia" w:hAnsi="Georgia" w:cs="Arial"/>
        </w:rPr>
        <w:t>and in any event, such checks would ordinarily be</w:t>
      </w:r>
      <w:r w:rsidR="00953461">
        <w:rPr>
          <w:rFonts w:ascii="Georgia" w:hAnsi="Georgia" w:cs="Arial"/>
        </w:rPr>
        <w:t xml:space="preserve"> and ought in our judgment to have been</w:t>
      </w:r>
      <w:r w:rsidR="00493B41">
        <w:rPr>
          <w:rFonts w:ascii="Georgia" w:hAnsi="Georgia" w:cs="Arial"/>
        </w:rPr>
        <w:t xml:space="preserve"> carried out by </w:t>
      </w:r>
      <w:r w:rsidR="00584934">
        <w:rPr>
          <w:rFonts w:ascii="Georgia" w:hAnsi="Georgia" w:cs="Arial"/>
        </w:rPr>
        <w:t>the Respondent’s</w:t>
      </w:r>
      <w:r w:rsidR="00493B41">
        <w:rPr>
          <w:rFonts w:ascii="Georgia" w:hAnsi="Georgia" w:cs="Arial"/>
        </w:rPr>
        <w:t xml:space="preserve"> managing agent. We were not shown any insurance policy that the lease</w:t>
      </w:r>
      <w:r w:rsidR="00953461">
        <w:rPr>
          <w:rFonts w:ascii="Georgia" w:hAnsi="Georgia" w:cs="Arial"/>
        </w:rPr>
        <w:t>holders might benefit fro</w:t>
      </w:r>
      <w:r w:rsidR="00435BA1">
        <w:rPr>
          <w:rFonts w:ascii="Georgia" w:hAnsi="Georgia" w:cs="Arial"/>
        </w:rPr>
        <w:t xml:space="preserve">m, and in any event </w:t>
      </w:r>
      <w:r w:rsidR="00E157FE">
        <w:rPr>
          <w:rFonts w:ascii="Georgia" w:hAnsi="Georgia" w:cs="Arial"/>
        </w:rPr>
        <w:t>w</w:t>
      </w:r>
      <w:r w:rsidR="0016177E">
        <w:rPr>
          <w:rFonts w:ascii="Georgia" w:hAnsi="Georgia" w:cs="Arial"/>
        </w:rPr>
        <w:t>e are not</w:t>
      </w:r>
      <w:r w:rsidR="00E157FE">
        <w:rPr>
          <w:rFonts w:ascii="Georgia" w:hAnsi="Georgia" w:cs="Arial"/>
        </w:rPr>
        <w:t xml:space="preserve"> persuaded that</w:t>
      </w:r>
      <w:r w:rsidR="005316EF">
        <w:rPr>
          <w:rFonts w:ascii="Georgia" w:hAnsi="Georgia" w:cs="Arial"/>
        </w:rPr>
        <w:t xml:space="preserve"> this</w:t>
      </w:r>
      <w:r w:rsidR="002F3E0D">
        <w:rPr>
          <w:rFonts w:ascii="Georgia" w:hAnsi="Georgia" w:cs="Arial"/>
        </w:rPr>
        <w:t xml:space="preserve"> justified the instruction of AreaEquity Construction Limited</w:t>
      </w:r>
      <w:r w:rsidR="0016177E">
        <w:rPr>
          <w:rFonts w:ascii="Georgia" w:hAnsi="Georgia" w:cs="Arial"/>
        </w:rPr>
        <w:t>.</w:t>
      </w:r>
      <w:r w:rsidR="00575B14">
        <w:rPr>
          <w:rFonts w:ascii="Georgia" w:hAnsi="Georgia" w:cs="Arial"/>
        </w:rPr>
        <w:t xml:space="preserve"> We were given no clear explanation</w:t>
      </w:r>
      <w:r w:rsidR="00936176">
        <w:rPr>
          <w:rFonts w:ascii="Georgia" w:hAnsi="Georgia" w:cs="Arial"/>
        </w:rPr>
        <w:t xml:space="preserve"> </w:t>
      </w:r>
      <w:r w:rsidR="0037443F">
        <w:rPr>
          <w:rFonts w:ascii="Georgia" w:hAnsi="Georgia" w:cs="Arial"/>
        </w:rPr>
        <w:t xml:space="preserve">about why the Respondent or its managing agent could not </w:t>
      </w:r>
      <w:r w:rsidR="004E0B9B">
        <w:rPr>
          <w:rFonts w:ascii="Georgia" w:hAnsi="Georgia" w:cs="Arial"/>
        </w:rPr>
        <w:t>have instructed the contractors directly</w:t>
      </w:r>
      <w:r w:rsidR="00936176">
        <w:rPr>
          <w:rFonts w:ascii="Georgia" w:hAnsi="Georgia" w:cs="Arial"/>
        </w:rPr>
        <w:t>.</w:t>
      </w:r>
      <w:r w:rsidR="00837A37">
        <w:rPr>
          <w:rFonts w:ascii="Georgia" w:hAnsi="Georgia" w:cs="Arial"/>
        </w:rPr>
        <w:t xml:space="preserve"> </w:t>
      </w:r>
    </w:p>
    <w:p w14:paraId="6415A51E" w14:textId="3CDB29BF" w:rsidR="00A63B15" w:rsidRDefault="00E353FF" w:rsidP="0007450D">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 xml:space="preserve">In light of the paucity of evidence </w:t>
      </w:r>
      <w:r w:rsidR="00B74BB1">
        <w:rPr>
          <w:rFonts w:ascii="Georgia" w:hAnsi="Georgia" w:cs="Arial"/>
        </w:rPr>
        <w:t xml:space="preserve">provided </w:t>
      </w:r>
      <w:r>
        <w:rPr>
          <w:rFonts w:ascii="Georgia" w:hAnsi="Georgia" w:cs="Arial"/>
        </w:rPr>
        <w:t>by the Respondent, w</w:t>
      </w:r>
      <w:r w:rsidR="008349F4">
        <w:rPr>
          <w:rFonts w:ascii="Georgia" w:hAnsi="Georgia" w:cs="Arial"/>
        </w:rPr>
        <w:t xml:space="preserve">e agree with the Applicant that it was not reasonable for the Respondent to instruct </w:t>
      </w:r>
      <w:r>
        <w:rPr>
          <w:rFonts w:ascii="Georgia" w:hAnsi="Georgia" w:cs="Arial"/>
        </w:rPr>
        <w:t xml:space="preserve">AreaEquity Construction Limited </w:t>
      </w:r>
      <w:r w:rsidR="0048509F">
        <w:rPr>
          <w:rFonts w:ascii="Georgia" w:hAnsi="Georgia" w:cs="Arial"/>
        </w:rPr>
        <w:t xml:space="preserve">to </w:t>
      </w:r>
      <w:r w:rsidR="0016177E">
        <w:rPr>
          <w:rFonts w:ascii="Georgia" w:hAnsi="Georgia" w:cs="Arial"/>
        </w:rPr>
        <w:t>effectively act</w:t>
      </w:r>
      <w:r w:rsidR="0048509F">
        <w:rPr>
          <w:rFonts w:ascii="Georgia" w:hAnsi="Georgia" w:cs="Arial"/>
        </w:rPr>
        <w:t xml:space="preserve"> as a middleman in the </w:t>
      </w:r>
      <w:r w:rsidR="002A496C">
        <w:rPr>
          <w:rFonts w:ascii="Georgia" w:hAnsi="Georgia" w:cs="Arial"/>
        </w:rPr>
        <w:t>carrying out of grounds maintenance</w:t>
      </w:r>
      <w:r w:rsidR="0016177E">
        <w:rPr>
          <w:rFonts w:ascii="Georgia" w:hAnsi="Georgia" w:cs="Arial"/>
        </w:rPr>
        <w:t xml:space="preserve">. We also agree that </w:t>
      </w:r>
      <w:r w:rsidR="00B504F5">
        <w:rPr>
          <w:rFonts w:ascii="Georgia" w:hAnsi="Georgia" w:cs="Arial"/>
        </w:rPr>
        <w:t xml:space="preserve">the only consequence of </w:t>
      </w:r>
      <w:r w:rsidR="00A63B15">
        <w:rPr>
          <w:rFonts w:ascii="Georgia" w:hAnsi="Georgia" w:cs="Arial"/>
        </w:rPr>
        <w:t xml:space="preserve">instructing AreaEquity Construction Limited has been to incur a VAT charge </w:t>
      </w:r>
      <w:r w:rsidR="00955646">
        <w:rPr>
          <w:rFonts w:ascii="Georgia" w:hAnsi="Georgia" w:cs="Arial"/>
        </w:rPr>
        <w:t xml:space="preserve">of £4381.05 </w:t>
      </w:r>
      <w:r w:rsidR="00A63B15">
        <w:rPr>
          <w:rFonts w:ascii="Georgia" w:hAnsi="Georgia" w:cs="Arial"/>
        </w:rPr>
        <w:t>that would otherwise not have been payable by the leaseholders</w:t>
      </w:r>
      <w:r w:rsidR="00C95045">
        <w:rPr>
          <w:rFonts w:ascii="Georgia" w:hAnsi="Georgia" w:cs="Arial"/>
        </w:rPr>
        <w:t xml:space="preserve">. </w:t>
      </w:r>
      <w:r w:rsidR="00DA744C">
        <w:rPr>
          <w:rFonts w:ascii="Georgia" w:hAnsi="Georgia" w:cs="Arial"/>
        </w:rPr>
        <w:t xml:space="preserve">For the reasons set out above, we find that this is not reasonable. </w:t>
      </w:r>
    </w:p>
    <w:p w14:paraId="073BC64F" w14:textId="00F6D5EE" w:rsidR="0016177E" w:rsidRDefault="0016177E" w:rsidP="0007450D">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 xml:space="preserve">We </w:t>
      </w:r>
      <w:r w:rsidR="00DA744C">
        <w:rPr>
          <w:rFonts w:ascii="Georgia" w:hAnsi="Georgia" w:cs="Arial"/>
        </w:rPr>
        <w:t xml:space="preserve">accordingly find that </w:t>
      </w:r>
      <w:r w:rsidR="002A6160">
        <w:rPr>
          <w:rFonts w:ascii="Georgia" w:hAnsi="Georgia" w:cs="Arial"/>
        </w:rPr>
        <w:t>the sum payable by the Applicant for</w:t>
      </w:r>
      <w:r w:rsidR="00721822">
        <w:rPr>
          <w:rFonts w:ascii="Georgia" w:hAnsi="Georgia" w:cs="Arial"/>
        </w:rPr>
        <w:t xml:space="preserve"> grounds maintenance in 2023</w:t>
      </w:r>
      <w:r w:rsidR="002A6160">
        <w:rPr>
          <w:rFonts w:ascii="Georgia" w:hAnsi="Georgia" w:cs="Arial"/>
        </w:rPr>
        <w:t xml:space="preserve"> is her share of</w:t>
      </w:r>
      <w:r w:rsidR="00721822">
        <w:rPr>
          <w:rFonts w:ascii="Georgia" w:hAnsi="Georgia" w:cs="Arial"/>
        </w:rPr>
        <w:t xml:space="preserve"> </w:t>
      </w:r>
      <w:r w:rsidR="00DC44AC">
        <w:rPr>
          <w:rFonts w:ascii="Georgia" w:hAnsi="Georgia" w:cs="Arial"/>
        </w:rPr>
        <w:t>£25,865</w:t>
      </w:r>
      <w:r w:rsidR="00CA7AB0">
        <w:rPr>
          <w:rFonts w:ascii="Georgia" w:hAnsi="Georgia" w:cs="Arial"/>
        </w:rPr>
        <w:t xml:space="preserve">.95 (being </w:t>
      </w:r>
      <w:r w:rsidR="00721822">
        <w:rPr>
          <w:rFonts w:ascii="Georgia" w:hAnsi="Georgia" w:cs="Arial"/>
        </w:rPr>
        <w:t>£30,247.00</w:t>
      </w:r>
      <w:r w:rsidR="00CA7AB0">
        <w:rPr>
          <w:rFonts w:ascii="Georgia" w:hAnsi="Georgia" w:cs="Arial"/>
        </w:rPr>
        <w:t xml:space="preserve"> - £4381.05). </w:t>
      </w:r>
    </w:p>
    <w:p w14:paraId="549CFFD7" w14:textId="37884BCB" w:rsidR="00543F56" w:rsidRPr="000624F9" w:rsidRDefault="00A7200F" w:rsidP="000624F9">
      <w:pPr>
        <w:tabs>
          <w:tab w:val="num" w:pos="540"/>
          <w:tab w:val="num" w:pos="709"/>
        </w:tabs>
        <w:autoSpaceDE w:val="0"/>
        <w:autoSpaceDN w:val="0"/>
        <w:adjustRightInd w:val="0"/>
        <w:spacing w:after="360"/>
        <w:jc w:val="both"/>
        <w:rPr>
          <w:rFonts w:ascii="Georgia" w:hAnsi="Georgia" w:cs="Arial"/>
          <w:i/>
          <w:iCs/>
        </w:rPr>
      </w:pPr>
      <w:r w:rsidRPr="000624F9">
        <w:rPr>
          <w:rFonts w:ascii="Georgia" w:hAnsi="Georgia" w:cs="Arial"/>
          <w:i/>
          <w:iCs/>
        </w:rPr>
        <w:t xml:space="preserve">The heating </w:t>
      </w:r>
      <w:r w:rsidR="00543F56" w:rsidRPr="000624F9">
        <w:rPr>
          <w:rFonts w:ascii="Georgia" w:hAnsi="Georgia" w:cs="Arial"/>
          <w:i/>
          <w:iCs/>
        </w:rPr>
        <w:t>management charges</w:t>
      </w:r>
    </w:p>
    <w:p w14:paraId="11FACABA" w14:textId="7BAD8002" w:rsidR="00CA7AB0" w:rsidRDefault="00D32ACA" w:rsidP="0007450D">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 xml:space="preserve">All of the flats in the block benefit from a district heating and </w:t>
      </w:r>
      <w:r w:rsidR="00A8375A">
        <w:rPr>
          <w:rFonts w:ascii="Georgia" w:hAnsi="Georgia" w:cs="Arial"/>
        </w:rPr>
        <w:t>hot water system</w:t>
      </w:r>
      <w:r w:rsidR="000624F9">
        <w:rPr>
          <w:rFonts w:ascii="Georgia" w:hAnsi="Georgia" w:cs="Arial"/>
        </w:rPr>
        <w:t>. Heating and hot water is</w:t>
      </w:r>
      <w:r w:rsidR="00A8375A">
        <w:rPr>
          <w:rFonts w:ascii="Georgia" w:hAnsi="Georgia" w:cs="Arial"/>
        </w:rPr>
        <w:t xml:space="preserve"> received into each flat through a heat interface unit (HIU). </w:t>
      </w:r>
      <w:r w:rsidR="007B6767">
        <w:rPr>
          <w:rFonts w:ascii="Georgia" w:hAnsi="Georgia" w:cs="Arial"/>
        </w:rPr>
        <w:t>The s</w:t>
      </w:r>
      <w:r w:rsidR="00CE7E30">
        <w:rPr>
          <w:rFonts w:ascii="Georgia" w:hAnsi="Georgia" w:cs="Arial"/>
        </w:rPr>
        <w:t xml:space="preserve">um in dispute </w:t>
      </w:r>
      <w:r w:rsidR="00550197">
        <w:rPr>
          <w:rFonts w:ascii="Georgia" w:hAnsi="Georgia" w:cs="Arial"/>
        </w:rPr>
        <w:t xml:space="preserve">under this heading is £10,350, </w:t>
      </w:r>
      <w:r w:rsidR="00722DA9">
        <w:rPr>
          <w:rFonts w:ascii="Georgia" w:hAnsi="Georgia" w:cs="Arial"/>
        </w:rPr>
        <w:t xml:space="preserve">which </w:t>
      </w:r>
      <w:r w:rsidR="000624F9">
        <w:rPr>
          <w:rFonts w:ascii="Georgia" w:hAnsi="Georgia" w:cs="Arial"/>
        </w:rPr>
        <w:t xml:space="preserve">comprises </w:t>
      </w:r>
      <w:r w:rsidR="000D0007">
        <w:rPr>
          <w:rFonts w:ascii="Georgia" w:hAnsi="Georgia" w:cs="Arial"/>
        </w:rPr>
        <w:t xml:space="preserve">of the sums demanded under the </w:t>
      </w:r>
      <w:r w:rsidR="00722DA9">
        <w:rPr>
          <w:rFonts w:ascii="Georgia" w:hAnsi="Georgia" w:cs="Arial"/>
        </w:rPr>
        <w:t>following invoices:</w:t>
      </w:r>
    </w:p>
    <w:p w14:paraId="5D84D742" w14:textId="1C1230F0" w:rsidR="00356514" w:rsidRDefault="009012EC" w:rsidP="000624F9">
      <w:pPr>
        <w:numPr>
          <w:ilvl w:val="1"/>
          <w:numId w:val="8"/>
        </w:numPr>
        <w:autoSpaceDE w:val="0"/>
        <w:autoSpaceDN w:val="0"/>
        <w:adjustRightInd w:val="0"/>
        <w:spacing w:after="360"/>
        <w:jc w:val="both"/>
        <w:rPr>
          <w:rFonts w:ascii="Georgia" w:hAnsi="Georgia" w:cs="Arial"/>
        </w:rPr>
      </w:pPr>
      <w:r>
        <w:rPr>
          <w:rFonts w:ascii="Georgia" w:hAnsi="Georgia" w:cs="Arial"/>
        </w:rPr>
        <w:t xml:space="preserve">Invoice SI-68 dated 31 March 2023 for “Landlord management fee to deal with </w:t>
      </w:r>
      <w:r w:rsidR="008B3B76">
        <w:rPr>
          <w:rFonts w:ascii="Georgia" w:hAnsi="Georgia" w:cs="Arial"/>
        </w:rPr>
        <w:t xml:space="preserve">heating &amp; hot water district distribution service” from 1 January 2023 </w:t>
      </w:r>
      <w:r w:rsidR="00310B40">
        <w:rPr>
          <w:rFonts w:ascii="Georgia" w:hAnsi="Georgia" w:cs="Arial"/>
        </w:rPr>
        <w:t>–</w:t>
      </w:r>
      <w:r w:rsidR="008B3B76">
        <w:rPr>
          <w:rFonts w:ascii="Georgia" w:hAnsi="Georgia" w:cs="Arial"/>
        </w:rPr>
        <w:t xml:space="preserve"> </w:t>
      </w:r>
      <w:r w:rsidR="00310B40">
        <w:rPr>
          <w:rFonts w:ascii="Georgia" w:hAnsi="Georgia" w:cs="Arial"/>
        </w:rPr>
        <w:t xml:space="preserve">30 June 2023 - £4600.00. </w:t>
      </w:r>
    </w:p>
    <w:p w14:paraId="2DA4DA19" w14:textId="13592248" w:rsidR="00722DA9" w:rsidRDefault="002B683E" w:rsidP="000624F9">
      <w:pPr>
        <w:numPr>
          <w:ilvl w:val="1"/>
          <w:numId w:val="8"/>
        </w:numPr>
        <w:autoSpaceDE w:val="0"/>
        <w:autoSpaceDN w:val="0"/>
        <w:adjustRightInd w:val="0"/>
        <w:spacing w:after="360"/>
        <w:jc w:val="both"/>
        <w:rPr>
          <w:rFonts w:ascii="Georgia" w:hAnsi="Georgia" w:cs="Arial"/>
        </w:rPr>
      </w:pPr>
      <w:r>
        <w:rPr>
          <w:rFonts w:ascii="Georgia" w:hAnsi="Georgia" w:cs="Arial"/>
        </w:rPr>
        <w:t xml:space="preserve">Invoice SI-69 dated </w:t>
      </w:r>
      <w:r w:rsidR="00543F56">
        <w:rPr>
          <w:rFonts w:ascii="Georgia" w:hAnsi="Georgia" w:cs="Arial"/>
        </w:rPr>
        <w:t xml:space="preserve">31 March 2023 for “Landlord </w:t>
      </w:r>
      <w:r w:rsidR="007E0A24">
        <w:rPr>
          <w:rFonts w:ascii="Georgia" w:hAnsi="Georgia" w:cs="Arial"/>
        </w:rPr>
        <w:t xml:space="preserve">HIU inspections &amp; maintenance check” from 1 January 2023 to </w:t>
      </w:r>
      <w:r w:rsidR="00356514">
        <w:rPr>
          <w:rFonts w:ascii="Georgia" w:hAnsi="Georgia" w:cs="Arial"/>
        </w:rPr>
        <w:t>30 June 2023 - £1150.00.</w:t>
      </w:r>
    </w:p>
    <w:p w14:paraId="00489516" w14:textId="009E8CFE" w:rsidR="00310B40" w:rsidRDefault="00F9322E" w:rsidP="000624F9">
      <w:pPr>
        <w:numPr>
          <w:ilvl w:val="1"/>
          <w:numId w:val="8"/>
        </w:numPr>
        <w:autoSpaceDE w:val="0"/>
        <w:autoSpaceDN w:val="0"/>
        <w:adjustRightInd w:val="0"/>
        <w:spacing w:after="360"/>
        <w:jc w:val="both"/>
        <w:rPr>
          <w:rFonts w:ascii="Georgia" w:hAnsi="Georgia" w:cs="Arial"/>
        </w:rPr>
      </w:pPr>
      <w:r>
        <w:rPr>
          <w:rFonts w:ascii="Georgia" w:hAnsi="Georgia" w:cs="Arial"/>
        </w:rPr>
        <w:t xml:space="preserve">Invoice SI-84 dated </w:t>
      </w:r>
      <w:r w:rsidR="00764021">
        <w:rPr>
          <w:rFonts w:ascii="Georgia" w:hAnsi="Georgia" w:cs="Arial"/>
        </w:rPr>
        <w:t xml:space="preserve">4 July </w:t>
      </w:r>
      <w:r>
        <w:rPr>
          <w:rFonts w:ascii="Georgia" w:hAnsi="Georgia" w:cs="Arial"/>
        </w:rPr>
        <w:t xml:space="preserve">2023 for </w:t>
      </w:r>
      <w:r w:rsidR="00764021">
        <w:rPr>
          <w:rFonts w:ascii="Georgia" w:hAnsi="Georgia" w:cs="Arial"/>
        </w:rPr>
        <w:t>“Landlord management fee to deal with heating &amp; hot water district distribution service” from</w:t>
      </w:r>
      <w:r w:rsidR="00AD6E7E">
        <w:rPr>
          <w:rFonts w:ascii="Georgia" w:hAnsi="Georgia" w:cs="Arial"/>
        </w:rPr>
        <w:t xml:space="preserve"> 1 July 2023 to 31 December 2023 - £4600.00. </w:t>
      </w:r>
    </w:p>
    <w:p w14:paraId="5506A436" w14:textId="12096E99" w:rsidR="00E50467" w:rsidRDefault="0057791E" w:rsidP="0007450D">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The App</w:t>
      </w:r>
      <w:r w:rsidR="00E50467">
        <w:rPr>
          <w:rFonts w:ascii="Georgia" w:hAnsi="Georgia" w:cs="Arial"/>
        </w:rPr>
        <w:t xml:space="preserve">licant challenged this expenditure on </w:t>
      </w:r>
      <w:r w:rsidR="00DF603C">
        <w:rPr>
          <w:rFonts w:ascii="Georgia" w:hAnsi="Georgia" w:cs="Arial"/>
        </w:rPr>
        <w:t>the following grounds:</w:t>
      </w:r>
    </w:p>
    <w:p w14:paraId="7A6CBE65" w14:textId="012C356D" w:rsidR="00E50467" w:rsidRDefault="006561CD" w:rsidP="00DF603C">
      <w:pPr>
        <w:numPr>
          <w:ilvl w:val="1"/>
          <w:numId w:val="8"/>
        </w:numPr>
        <w:autoSpaceDE w:val="0"/>
        <w:autoSpaceDN w:val="0"/>
        <w:adjustRightInd w:val="0"/>
        <w:spacing w:after="360"/>
        <w:jc w:val="both"/>
        <w:rPr>
          <w:rFonts w:ascii="Georgia" w:hAnsi="Georgia" w:cs="Arial"/>
        </w:rPr>
      </w:pPr>
      <w:r w:rsidRPr="00DF603C">
        <w:rPr>
          <w:rFonts w:ascii="Georgia" w:hAnsi="Georgia" w:cs="Arial"/>
        </w:rPr>
        <w:t xml:space="preserve">The invoices were not for the services described, but </w:t>
      </w:r>
      <w:r w:rsidR="005859C9" w:rsidRPr="00DF603C">
        <w:rPr>
          <w:rFonts w:ascii="Georgia" w:hAnsi="Georgia" w:cs="Arial"/>
        </w:rPr>
        <w:t>we</w:t>
      </w:r>
      <w:r w:rsidR="004A24EC" w:rsidRPr="00DF603C">
        <w:rPr>
          <w:rFonts w:ascii="Georgia" w:hAnsi="Georgia" w:cs="Arial"/>
        </w:rPr>
        <w:t>re</w:t>
      </w:r>
      <w:r w:rsidR="005859C9" w:rsidRPr="00DF603C">
        <w:rPr>
          <w:rFonts w:ascii="Georgia" w:hAnsi="Georgia" w:cs="Arial"/>
        </w:rPr>
        <w:t xml:space="preserve"> in fact a “re-invoice” of other charges</w:t>
      </w:r>
      <w:r w:rsidR="00556F1F" w:rsidRPr="00DF603C">
        <w:rPr>
          <w:rFonts w:ascii="Georgia" w:hAnsi="Georgia" w:cs="Arial"/>
        </w:rPr>
        <w:t xml:space="preserve"> levied by AreaEquity Construction Limited for spare parts for the heating system</w:t>
      </w:r>
      <w:r w:rsidR="00EF556D" w:rsidRPr="00DF603C">
        <w:rPr>
          <w:rFonts w:ascii="Georgia" w:hAnsi="Georgia" w:cs="Arial"/>
        </w:rPr>
        <w:t xml:space="preserve"> which have been stockpiled</w:t>
      </w:r>
      <w:r w:rsidR="00354793" w:rsidRPr="00DF603C">
        <w:rPr>
          <w:rFonts w:ascii="Georgia" w:hAnsi="Georgia" w:cs="Arial"/>
        </w:rPr>
        <w:t xml:space="preserve"> by the Respondent</w:t>
      </w:r>
      <w:r w:rsidR="00EF556D" w:rsidRPr="00DF603C">
        <w:rPr>
          <w:rFonts w:ascii="Georgia" w:hAnsi="Georgia" w:cs="Arial"/>
        </w:rPr>
        <w:t xml:space="preserve">. </w:t>
      </w:r>
      <w:r w:rsidR="00DF603C">
        <w:rPr>
          <w:rFonts w:ascii="Georgia" w:hAnsi="Georgia" w:cs="Arial"/>
        </w:rPr>
        <w:t>Invoices for the spare parts in 2023 have</w:t>
      </w:r>
      <w:r w:rsidR="00292DBA" w:rsidRPr="00DF603C">
        <w:rPr>
          <w:rFonts w:ascii="Georgia" w:hAnsi="Georgia" w:cs="Arial"/>
        </w:rPr>
        <w:t xml:space="preserve"> been disclosed to the Applicant but did not appear in the service charge accounts. </w:t>
      </w:r>
    </w:p>
    <w:p w14:paraId="2EE27A0D" w14:textId="402A1C3C" w:rsidR="00292DBA" w:rsidRPr="00DF603C" w:rsidRDefault="006D3B48" w:rsidP="00DF603C">
      <w:pPr>
        <w:numPr>
          <w:ilvl w:val="1"/>
          <w:numId w:val="8"/>
        </w:numPr>
        <w:autoSpaceDE w:val="0"/>
        <w:autoSpaceDN w:val="0"/>
        <w:adjustRightInd w:val="0"/>
        <w:spacing w:after="360"/>
        <w:jc w:val="both"/>
        <w:rPr>
          <w:rFonts w:ascii="Georgia" w:hAnsi="Georgia" w:cs="Arial"/>
        </w:rPr>
      </w:pPr>
      <w:r w:rsidRPr="00DF603C">
        <w:rPr>
          <w:rFonts w:ascii="Georgia" w:hAnsi="Georgia" w:cs="Arial"/>
        </w:rPr>
        <w:t xml:space="preserve">It is unclear what work was done by the </w:t>
      </w:r>
      <w:r w:rsidR="00DF1AB4" w:rsidRPr="00DF603C">
        <w:rPr>
          <w:rFonts w:ascii="Georgia" w:hAnsi="Georgia" w:cs="Arial"/>
        </w:rPr>
        <w:t>Respondent</w:t>
      </w:r>
      <w:r w:rsidR="001076D2" w:rsidRPr="00DF603C">
        <w:rPr>
          <w:rFonts w:ascii="Georgia" w:hAnsi="Georgia" w:cs="Arial"/>
        </w:rPr>
        <w:t xml:space="preserve"> in order to justify the fees</w:t>
      </w:r>
      <w:r w:rsidR="00DF1AB4" w:rsidRPr="00DF603C">
        <w:rPr>
          <w:rFonts w:ascii="Georgia" w:hAnsi="Georgia" w:cs="Arial"/>
        </w:rPr>
        <w:t xml:space="preserve"> charged</w:t>
      </w:r>
      <w:r w:rsidR="001076D2" w:rsidRPr="00DF603C">
        <w:rPr>
          <w:rFonts w:ascii="Georgia" w:hAnsi="Georgia" w:cs="Arial"/>
        </w:rPr>
        <w:t xml:space="preserve">, especially </w:t>
      </w:r>
      <w:r w:rsidR="00FF0FD5" w:rsidRPr="00DF603C">
        <w:rPr>
          <w:rFonts w:ascii="Georgia" w:hAnsi="Georgia" w:cs="Arial"/>
        </w:rPr>
        <w:t>given that</w:t>
      </w:r>
      <w:r w:rsidR="001076D2" w:rsidRPr="00DF603C">
        <w:rPr>
          <w:rFonts w:ascii="Georgia" w:hAnsi="Georgia" w:cs="Arial"/>
        </w:rPr>
        <w:t xml:space="preserve"> in 2023</w:t>
      </w:r>
      <w:r w:rsidR="00DF603C">
        <w:rPr>
          <w:rFonts w:ascii="Georgia" w:hAnsi="Georgia" w:cs="Arial"/>
        </w:rPr>
        <w:t xml:space="preserve"> </w:t>
      </w:r>
      <w:r w:rsidR="001076D2" w:rsidRPr="00DF603C">
        <w:rPr>
          <w:rFonts w:ascii="Georgia" w:hAnsi="Georgia" w:cs="Arial"/>
        </w:rPr>
        <w:t>the flats in the block had recently been converted</w:t>
      </w:r>
      <w:r w:rsidR="00C96EA0" w:rsidRPr="00DF603C">
        <w:rPr>
          <w:rFonts w:ascii="Georgia" w:hAnsi="Georgia" w:cs="Arial"/>
        </w:rPr>
        <w:t>, 10 were unsold and many others were still under warran</w:t>
      </w:r>
      <w:r w:rsidR="004D5C14" w:rsidRPr="00DF603C">
        <w:rPr>
          <w:rFonts w:ascii="Georgia" w:hAnsi="Georgia" w:cs="Arial"/>
        </w:rPr>
        <w:t xml:space="preserve">ty. The Applicant </w:t>
      </w:r>
      <w:r w:rsidR="00E62323" w:rsidRPr="00DF603C">
        <w:rPr>
          <w:rFonts w:ascii="Georgia" w:hAnsi="Georgia" w:cs="Arial"/>
        </w:rPr>
        <w:t>suspect</w:t>
      </w:r>
      <w:r w:rsidR="00D2179A" w:rsidRPr="00DF603C">
        <w:rPr>
          <w:rFonts w:ascii="Georgia" w:hAnsi="Georgia" w:cs="Arial"/>
        </w:rPr>
        <w:t xml:space="preserve">s </w:t>
      </w:r>
      <w:r w:rsidR="00E62323" w:rsidRPr="00DF603C">
        <w:rPr>
          <w:rFonts w:ascii="Georgia" w:hAnsi="Georgia" w:cs="Arial"/>
        </w:rPr>
        <w:t>that</w:t>
      </w:r>
      <w:r w:rsidR="00251E2F" w:rsidRPr="00DF603C">
        <w:rPr>
          <w:rFonts w:ascii="Georgia" w:hAnsi="Georgia" w:cs="Arial"/>
        </w:rPr>
        <w:t xml:space="preserve"> some of the works carried out in 2023</w:t>
      </w:r>
      <w:r w:rsidR="00421BC6">
        <w:rPr>
          <w:rFonts w:ascii="Georgia" w:hAnsi="Georgia" w:cs="Arial"/>
        </w:rPr>
        <w:t xml:space="preserve"> by the Respondent</w:t>
      </w:r>
      <w:r w:rsidR="00251E2F" w:rsidRPr="00DF603C">
        <w:rPr>
          <w:rFonts w:ascii="Georgia" w:hAnsi="Georgia" w:cs="Arial"/>
        </w:rPr>
        <w:t xml:space="preserve"> were snagging works which ought to have been </w:t>
      </w:r>
      <w:r w:rsidR="00FF0FD5" w:rsidRPr="00DF603C">
        <w:rPr>
          <w:rFonts w:ascii="Georgia" w:hAnsi="Georgia" w:cs="Arial"/>
        </w:rPr>
        <w:t>fixed</w:t>
      </w:r>
      <w:r w:rsidR="00251E2F" w:rsidRPr="00DF603C">
        <w:rPr>
          <w:rFonts w:ascii="Georgia" w:hAnsi="Georgia" w:cs="Arial"/>
        </w:rPr>
        <w:t xml:space="preserve"> by the developer or addressed under </w:t>
      </w:r>
      <w:r w:rsidR="00357389" w:rsidRPr="00DF603C">
        <w:rPr>
          <w:rFonts w:ascii="Georgia" w:hAnsi="Georgia" w:cs="Arial"/>
        </w:rPr>
        <w:t xml:space="preserve">the </w:t>
      </w:r>
      <w:r w:rsidR="00483D12" w:rsidRPr="00DF603C">
        <w:rPr>
          <w:rFonts w:ascii="Georgia" w:hAnsi="Georgia" w:cs="Arial"/>
        </w:rPr>
        <w:t xml:space="preserve">new build </w:t>
      </w:r>
      <w:r w:rsidR="00357389" w:rsidRPr="00DF603C">
        <w:rPr>
          <w:rFonts w:ascii="Georgia" w:hAnsi="Georgia" w:cs="Arial"/>
        </w:rPr>
        <w:t xml:space="preserve">warranties in place. </w:t>
      </w:r>
    </w:p>
    <w:p w14:paraId="5D0B9B66" w14:textId="5D93A837" w:rsidR="00C361AE" w:rsidRPr="00C361AE" w:rsidRDefault="00E1214F" w:rsidP="00421BC6">
      <w:pPr>
        <w:numPr>
          <w:ilvl w:val="1"/>
          <w:numId w:val="8"/>
        </w:numPr>
        <w:tabs>
          <w:tab w:val="num" w:pos="709"/>
        </w:tabs>
        <w:autoSpaceDE w:val="0"/>
        <w:autoSpaceDN w:val="0"/>
        <w:adjustRightInd w:val="0"/>
        <w:spacing w:after="360"/>
        <w:jc w:val="both"/>
        <w:rPr>
          <w:rFonts w:ascii="Georgia" w:hAnsi="Georgia" w:cs="Arial"/>
        </w:rPr>
      </w:pPr>
      <w:r>
        <w:rPr>
          <w:rFonts w:ascii="Georgia" w:hAnsi="Georgia" w:cs="Arial"/>
        </w:rPr>
        <w:t>The</w:t>
      </w:r>
      <w:r w:rsidR="0023545E">
        <w:rPr>
          <w:rFonts w:ascii="Georgia" w:hAnsi="Georgia" w:cs="Arial"/>
        </w:rPr>
        <w:t xml:space="preserve"> HIUs</w:t>
      </w:r>
      <w:r w:rsidR="005E199E">
        <w:rPr>
          <w:rFonts w:ascii="Georgia" w:hAnsi="Georgia" w:cs="Arial"/>
        </w:rPr>
        <w:t xml:space="preserve"> </w:t>
      </w:r>
      <w:r w:rsidR="008D7DC3">
        <w:rPr>
          <w:rFonts w:ascii="Georgia" w:hAnsi="Georgia" w:cs="Arial"/>
        </w:rPr>
        <w:t xml:space="preserve">serving each flat are located </w:t>
      </w:r>
      <w:r w:rsidR="0023545E">
        <w:rPr>
          <w:rFonts w:ascii="Georgia" w:hAnsi="Georgia" w:cs="Arial"/>
        </w:rPr>
        <w:t>inside the flats</w:t>
      </w:r>
      <w:r w:rsidR="008D7DC3">
        <w:rPr>
          <w:rFonts w:ascii="Georgia" w:hAnsi="Georgia" w:cs="Arial"/>
        </w:rPr>
        <w:t>, and the Respondent would have to</w:t>
      </w:r>
      <w:r w:rsidR="001F1897">
        <w:rPr>
          <w:rFonts w:ascii="Georgia" w:hAnsi="Georgia" w:cs="Arial"/>
        </w:rPr>
        <w:t xml:space="preserve"> gain</w:t>
      </w:r>
      <w:r w:rsidR="008D7DC3">
        <w:rPr>
          <w:rFonts w:ascii="Georgia" w:hAnsi="Georgia" w:cs="Arial"/>
        </w:rPr>
        <w:t xml:space="preserve"> access</w:t>
      </w:r>
      <w:r w:rsidR="001F1897">
        <w:rPr>
          <w:rFonts w:ascii="Georgia" w:hAnsi="Georgia" w:cs="Arial"/>
        </w:rPr>
        <w:t xml:space="preserve"> to</w:t>
      </w:r>
      <w:r w:rsidR="008D7DC3">
        <w:rPr>
          <w:rFonts w:ascii="Georgia" w:hAnsi="Georgia" w:cs="Arial"/>
        </w:rPr>
        <w:t xml:space="preserve"> the flats </w:t>
      </w:r>
      <w:r w:rsidR="00B84DA7">
        <w:rPr>
          <w:rFonts w:ascii="Georgia" w:hAnsi="Georgia" w:cs="Arial"/>
        </w:rPr>
        <w:t>in order to carry out any inspection and maintenance</w:t>
      </w:r>
      <w:r w:rsidR="001F1897">
        <w:rPr>
          <w:rFonts w:ascii="Georgia" w:hAnsi="Georgia" w:cs="Arial"/>
        </w:rPr>
        <w:t xml:space="preserve"> of them</w:t>
      </w:r>
      <w:r w:rsidR="00B84DA7">
        <w:rPr>
          <w:rFonts w:ascii="Georgia" w:hAnsi="Georgia" w:cs="Arial"/>
        </w:rPr>
        <w:t xml:space="preserve">. </w:t>
      </w:r>
      <w:r w:rsidR="00E62323">
        <w:rPr>
          <w:rFonts w:ascii="Georgia" w:hAnsi="Georgia" w:cs="Arial"/>
        </w:rPr>
        <w:t xml:space="preserve">The Applicant </w:t>
      </w:r>
      <w:r w:rsidR="00483D12">
        <w:rPr>
          <w:rFonts w:ascii="Georgia" w:hAnsi="Georgia" w:cs="Arial"/>
        </w:rPr>
        <w:t>is</w:t>
      </w:r>
      <w:r w:rsidR="00E62323">
        <w:rPr>
          <w:rFonts w:ascii="Georgia" w:hAnsi="Georgia" w:cs="Arial"/>
        </w:rPr>
        <w:t xml:space="preserve"> unaware</w:t>
      </w:r>
      <w:r w:rsidR="00473DF5">
        <w:rPr>
          <w:rFonts w:ascii="Georgia" w:hAnsi="Georgia" w:cs="Arial"/>
        </w:rPr>
        <w:t>, having spoken to other tenants in the block,</w:t>
      </w:r>
      <w:r w:rsidR="00E62323">
        <w:rPr>
          <w:rFonts w:ascii="Georgia" w:hAnsi="Georgia" w:cs="Arial"/>
        </w:rPr>
        <w:t xml:space="preserve"> of </w:t>
      </w:r>
      <w:r w:rsidR="00E62323" w:rsidRPr="0007450D">
        <w:rPr>
          <w:rFonts w:ascii="Georgia" w:hAnsi="Georgia" w:cs="Arial"/>
        </w:rPr>
        <w:t>any</w:t>
      </w:r>
      <w:r w:rsidR="00E62323">
        <w:rPr>
          <w:rFonts w:ascii="Georgia" w:hAnsi="Georgia" w:cs="Arial"/>
        </w:rPr>
        <w:t xml:space="preserve"> inspections carried out by </w:t>
      </w:r>
      <w:r w:rsidR="0066256B">
        <w:rPr>
          <w:rFonts w:ascii="Georgia" w:hAnsi="Georgia" w:cs="Arial"/>
        </w:rPr>
        <w:t>the Respondent</w:t>
      </w:r>
      <w:r w:rsidR="00B85003">
        <w:rPr>
          <w:rFonts w:ascii="Georgia" w:hAnsi="Georgia" w:cs="Arial"/>
        </w:rPr>
        <w:t xml:space="preserve"> in 2023</w:t>
      </w:r>
      <w:r w:rsidR="00483D12">
        <w:rPr>
          <w:rFonts w:ascii="Georgia" w:hAnsi="Georgia" w:cs="Arial"/>
        </w:rPr>
        <w:t>. Certainly, no inspection was carried out in her flat. I</w:t>
      </w:r>
      <w:r w:rsidR="0066256B">
        <w:rPr>
          <w:rFonts w:ascii="Georgia" w:hAnsi="Georgia" w:cs="Arial"/>
        </w:rPr>
        <w:t xml:space="preserve">n any event </w:t>
      </w:r>
      <w:r w:rsidR="006936DA">
        <w:rPr>
          <w:rFonts w:ascii="Georgia" w:hAnsi="Georgia" w:cs="Arial"/>
        </w:rPr>
        <w:t xml:space="preserve">inspection and maintenance work would need to be carried out by a qualified </w:t>
      </w:r>
      <w:r w:rsidR="00441210">
        <w:rPr>
          <w:rFonts w:ascii="Georgia" w:hAnsi="Georgia" w:cs="Arial"/>
        </w:rPr>
        <w:t>person</w:t>
      </w:r>
      <w:r w:rsidR="00B85003">
        <w:rPr>
          <w:rFonts w:ascii="Georgia" w:hAnsi="Georgia" w:cs="Arial"/>
        </w:rPr>
        <w:t xml:space="preserve">. </w:t>
      </w:r>
      <w:r w:rsidR="00323BB7">
        <w:rPr>
          <w:rFonts w:ascii="Georgia" w:hAnsi="Georgia" w:cs="Arial"/>
        </w:rPr>
        <w:t>The</w:t>
      </w:r>
      <w:r w:rsidR="001F1897">
        <w:rPr>
          <w:rFonts w:ascii="Georgia" w:hAnsi="Georgia" w:cs="Arial"/>
        </w:rPr>
        <w:t xml:space="preserve"> Respondent does not, to the Applicant’s knowledge</w:t>
      </w:r>
      <w:r w:rsidR="00BE40DC">
        <w:rPr>
          <w:rFonts w:ascii="Georgia" w:hAnsi="Georgia" w:cs="Arial"/>
        </w:rPr>
        <w:t>,</w:t>
      </w:r>
      <w:r w:rsidR="001F1897">
        <w:rPr>
          <w:rFonts w:ascii="Georgia" w:hAnsi="Georgia" w:cs="Arial"/>
        </w:rPr>
        <w:t xml:space="preserve"> employ any such qualified person and the</w:t>
      </w:r>
      <w:r w:rsidR="00323BB7">
        <w:rPr>
          <w:rFonts w:ascii="Georgia" w:hAnsi="Georgia" w:cs="Arial"/>
        </w:rPr>
        <w:t>re were no invoices</w:t>
      </w:r>
      <w:r w:rsidR="006740A6">
        <w:rPr>
          <w:rFonts w:ascii="Georgia" w:hAnsi="Georgia" w:cs="Arial"/>
        </w:rPr>
        <w:t xml:space="preserve"> from an engineer or other qualified person</w:t>
      </w:r>
      <w:r w:rsidR="00323BB7">
        <w:rPr>
          <w:rFonts w:ascii="Georgia" w:hAnsi="Georgia" w:cs="Arial"/>
        </w:rPr>
        <w:t xml:space="preserve"> in 2023 </w:t>
      </w:r>
      <w:r w:rsidR="006740A6">
        <w:rPr>
          <w:rFonts w:ascii="Georgia" w:hAnsi="Georgia" w:cs="Arial"/>
        </w:rPr>
        <w:t xml:space="preserve">for the cost of carrying out any such inspection or maintenance work. </w:t>
      </w:r>
    </w:p>
    <w:p w14:paraId="3F92FCB5" w14:textId="04A92BD0" w:rsidR="00A4369F" w:rsidRDefault="005C4BE2" w:rsidP="0007450D">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We consider that</w:t>
      </w:r>
      <w:r w:rsidR="0099458A">
        <w:rPr>
          <w:rFonts w:ascii="Georgia" w:hAnsi="Georgia" w:cs="Arial"/>
        </w:rPr>
        <w:t xml:space="preserve"> all of</w:t>
      </w:r>
      <w:r>
        <w:rPr>
          <w:rFonts w:ascii="Georgia" w:hAnsi="Georgia" w:cs="Arial"/>
        </w:rPr>
        <w:t xml:space="preserve"> these points call for an explanation from the Respondent</w:t>
      </w:r>
      <w:r w:rsidR="002F59FD">
        <w:rPr>
          <w:rFonts w:ascii="Georgia" w:hAnsi="Georgia" w:cs="Arial"/>
        </w:rPr>
        <w:t>.</w:t>
      </w:r>
      <w:r w:rsidR="00A85007">
        <w:rPr>
          <w:rFonts w:ascii="Georgia" w:hAnsi="Georgia" w:cs="Arial"/>
        </w:rPr>
        <w:t xml:space="preserve"> On the face of it,</w:t>
      </w:r>
      <w:r w:rsidR="00EB5B77">
        <w:rPr>
          <w:rFonts w:ascii="Georgia" w:hAnsi="Georgia" w:cs="Arial"/>
        </w:rPr>
        <w:t xml:space="preserve"> it is</w:t>
      </w:r>
      <w:r w:rsidR="00A4369F">
        <w:rPr>
          <w:rFonts w:ascii="Georgia" w:hAnsi="Georgia" w:cs="Arial"/>
        </w:rPr>
        <w:t xml:space="preserve"> surprising that </w:t>
      </w:r>
      <w:r w:rsidR="002302A3">
        <w:rPr>
          <w:rFonts w:ascii="Georgia" w:hAnsi="Georgia" w:cs="Arial"/>
        </w:rPr>
        <w:t>the</w:t>
      </w:r>
      <w:r w:rsidR="00D97AA1">
        <w:rPr>
          <w:rFonts w:ascii="Georgia" w:hAnsi="Georgia" w:cs="Arial"/>
        </w:rPr>
        <w:t xml:space="preserve"> Respondent</w:t>
      </w:r>
      <w:r w:rsidR="002302A3">
        <w:rPr>
          <w:rFonts w:ascii="Georgia" w:hAnsi="Georgia" w:cs="Arial"/>
        </w:rPr>
        <w:t xml:space="preserve"> is carrying out inspections and maintenance of the HIUs </w:t>
      </w:r>
      <w:r w:rsidR="00D97AA1">
        <w:rPr>
          <w:rFonts w:ascii="Georgia" w:hAnsi="Georgia" w:cs="Arial"/>
        </w:rPr>
        <w:t>if it does not employ anyone with an</w:t>
      </w:r>
      <w:r w:rsidR="00EB5B77">
        <w:rPr>
          <w:rFonts w:ascii="Georgia" w:hAnsi="Georgia" w:cs="Arial"/>
        </w:rPr>
        <w:t xml:space="preserve"> appropriate qualification</w:t>
      </w:r>
      <w:r w:rsidR="00612DF6">
        <w:rPr>
          <w:rFonts w:ascii="Georgia" w:hAnsi="Georgia" w:cs="Arial"/>
        </w:rPr>
        <w:t xml:space="preserve"> to do so</w:t>
      </w:r>
      <w:r w:rsidR="00EB5B77">
        <w:rPr>
          <w:rFonts w:ascii="Georgia" w:hAnsi="Georgia" w:cs="Arial"/>
        </w:rPr>
        <w:t xml:space="preserve">. </w:t>
      </w:r>
      <w:r w:rsidR="00966166">
        <w:rPr>
          <w:rFonts w:ascii="Georgia" w:hAnsi="Georgia" w:cs="Arial"/>
        </w:rPr>
        <w:t xml:space="preserve">We accept the Applicant’s clear and straightforward evidence that no inspections were carried out in her flat </w:t>
      </w:r>
      <w:r w:rsidR="00310CF2">
        <w:rPr>
          <w:rFonts w:ascii="Georgia" w:hAnsi="Georgia" w:cs="Arial"/>
        </w:rPr>
        <w:t>in 2023 and that she is unaware of any inspections being carried out in other flats</w:t>
      </w:r>
      <w:r w:rsidR="00E270EA">
        <w:rPr>
          <w:rFonts w:ascii="Georgia" w:hAnsi="Georgia" w:cs="Arial"/>
        </w:rPr>
        <w:t xml:space="preserve"> in the block. In the circumstances, we consider that the Respondent</w:t>
      </w:r>
      <w:r w:rsidR="00744F9E">
        <w:rPr>
          <w:rFonts w:ascii="Georgia" w:hAnsi="Georgia" w:cs="Arial"/>
        </w:rPr>
        <w:t xml:space="preserve"> is </w:t>
      </w:r>
      <w:r w:rsidR="00182BF4">
        <w:rPr>
          <w:rFonts w:ascii="Georgia" w:hAnsi="Georgia" w:cs="Arial"/>
        </w:rPr>
        <w:t>required</w:t>
      </w:r>
      <w:r w:rsidR="00E270EA">
        <w:rPr>
          <w:rFonts w:ascii="Georgia" w:hAnsi="Georgia" w:cs="Arial"/>
        </w:rPr>
        <w:t xml:space="preserve"> to explain </w:t>
      </w:r>
      <w:r w:rsidR="00B75F16">
        <w:rPr>
          <w:rFonts w:ascii="Georgia" w:hAnsi="Georgia" w:cs="Arial"/>
        </w:rPr>
        <w:t xml:space="preserve">what work was actually carried out when it conducted a “Landlord HIU inspections &amp; maintenance check” for which a fee of  </w:t>
      </w:r>
      <w:r w:rsidR="00587C99">
        <w:rPr>
          <w:rFonts w:ascii="Georgia" w:hAnsi="Georgia" w:cs="Arial"/>
        </w:rPr>
        <w:t xml:space="preserve"> £1150.00 was charged. </w:t>
      </w:r>
      <w:r w:rsidR="00EB5B77">
        <w:rPr>
          <w:rFonts w:ascii="Georgia" w:hAnsi="Georgia" w:cs="Arial"/>
        </w:rPr>
        <w:t xml:space="preserve">We </w:t>
      </w:r>
      <w:r w:rsidR="00587C99">
        <w:rPr>
          <w:rFonts w:ascii="Georgia" w:hAnsi="Georgia" w:cs="Arial"/>
        </w:rPr>
        <w:t xml:space="preserve">also </w:t>
      </w:r>
      <w:r w:rsidR="00FE1B9D">
        <w:rPr>
          <w:rFonts w:ascii="Georgia" w:hAnsi="Georgia" w:cs="Arial"/>
        </w:rPr>
        <w:t>agree with the Applicant that an explanation</w:t>
      </w:r>
      <w:r w:rsidR="00182BF4">
        <w:rPr>
          <w:rFonts w:ascii="Georgia" w:hAnsi="Georgia" w:cs="Arial"/>
        </w:rPr>
        <w:t xml:space="preserve"> is require</w:t>
      </w:r>
      <w:r w:rsidR="00BE40DC">
        <w:rPr>
          <w:rFonts w:ascii="Georgia" w:hAnsi="Georgia" w:cs="Arial"/>
        </w:rPr>
        <w:t>d</w:t>
      </w:r>
      <w:r w:rsidR="00182BF4">
        <w:rPr>
          <w:rFonts w:ascii="Georgia" w:hAnsi="Georgia" w:cs="Arial"/>
        </w:rPr>
        <w:t xml:space="preserve"> about</w:t>
      </w:r>
      <w:r w:rsidR="000759AC">
        <w:rPr>
          <w:rFonts w:ascii="Georgia" w:hAnsi="Georgia" w:cs="Arial"/>
        </w:rPr>
        <w:t xml:space="preserve"> what </w:t>
      </w:r>
      <w:r w:rsidR="00011BD7">
        <w:rPr>
          <w:rFonts w:ascii="Georgia" w:hAnsi="Georgia" w:cs="Arial"/>
        </w:rPr>
        <w:t xml:space="preserve">further management of the heating and hot water system </w:t>
      </w:r>
      <w:r w:rsidR="00587C99">
        <w:rPr>
          <w:rFonts w:ascii="Georgia" w:hAnsi="Georgia" w:cs="Arial"/>
        </w:rPr>
        <w:t>was</w:t>
      </w:r>
      <w:r w:rsidR="00FE1B9D">
        <w:rPr>
          <w:rFonts w:ascii="Georgia" w:hAnsi="Georgia" w:cs="Arial"/>
        </w:rPr>
        <w:t xml:space="preserve"> conducted by the Respondent</w:t>
      </w:r>
      <w:r w:rsidR="00587C99">
        <w:rPr>
          <w:rFonts w:ascii="Georgia" w:hAnsi="Georgia" w:cs="Arial"/>
        </w:rPr>
        <w:t xml:space="preserve"> in 2023</w:t>
      </w:r>
      <w:r w:rsidR="00FE1B9D">
        <w:rPr>
          <w:rFonts w:ascii="Georgia" w:hAnsi="Georgia" w:cs="Arial"/>
        </w:rPr>
        <w:t xml:space="preserve">, over and above the </w:t>
      </w:r>
      <w:r w:rsidR="00587C99">
        <w:rPr>
          <w:rFonts w:ascii="Georgia" w:hAnsi="Georgia" w:cs="Arial"/>
        </w:rPr>
        <w:t xml:space="preserve">general </w:t>
      </w:r>
      <w:r w:rsidR="00FE1B9D">
        <w:rPr>
          <w:rFonts w:ascii="Georgia" w:hAnsi="Georgia" w:cs="Arial"/>
        </w:rPr>
        <w:t>management</w:t>
      </w:r>
      <w:r w:rsidR="00587C99">
        <w:rPr>
          <w:rFonts w:ascii="Georgia" w:hAnsi="Georgia" w:cs="Arial"/>
        </w:rPr>
        <w:t xml:space="preserve"> of the block</w:t>
      </w:r>
      <w:r w:rsidR="00FE1B9D">
        <w:rPr>
          <w:rFonts w:ascii="Georgia" w:hAnsi="Georgia" w:cs="Arial"/>
        </w:rPr>
        <w:t xml:space="preserve"> carried out by </w:t>
      </w:r>
      <w:r w:rsidR="00587C99">
        <w:rPr>
          <w:rFonts w:ascii="Georgia" w:hAnsi="Georgia" w:cs="Arial"/>
        </w:rPr>
        <w:t>its</w:t>
      </w:r>
      <w:r w:rsidR="00FE1B9D">
        <w:rPr>
          <w:rFonts w:ascii="Georgia" w:hAnsi="Georgia" w:cs="Arial"/>
        </w:rPr>
        <w:t xml:space="preserve"> appointed managing agent. </w:t>
      </w:r>
    </w:p>
    <w:p w14:paraId="09732466" w14:textId="1C61D928" w:rsidR="00AD6E7E" w:rsidRPr="00A4369F" w:rsidRDefault="00182BF4" w:rsidP="0007450D">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T</w:t>
      </w:r>
      <w:r w:rsidR="0099458A">
        <w:rPr>
          <w:rFonts w:ascii="Georgia" w:hAnsi="Georgia" w:cs="Arial"/>
        </w:rPr>
        <w:t xml:space="preserve">here was no written or oral evidence </w:t>
      </w:r>
      <w:r w:rsidR="00B41AE2">
        <w:rPr>
          <w:rFonts w:ascii="Georgia" w:hAnsi="Georgia" w:cs="Arial"/>
        </w:rPr>
        <w:t>provided by the Respondent and its</w:t>
      </w:r>
      <w:r w:rsidR="00DF768B">
        <w:rPr>
          <w:rFonts w:ascii="Georgia" w:hAnsi="Georgia" w:cs="Arial"/>
        </w:rPr>
        <w:t xml:space="preserve"> case</w:t>
      </w:r>
      <w:r w:rsidR="00B41AE2">
        <w:rPr>
          <w:rFonts w:ascii="Georgia" w:hAnsi="Georgia" w:cs="Arial"/>
        </w:rPr>
        <w:t xml:space="preserve"> is therefore confined to what is said in</w:t>
      </w:r>
      <w:r w:rsidR="00706030">
        <w:rPr>
          <w:rFonts w:ascii="Georgia" w:hAnsi="Georgia" w:cs="Arial"/>
        </w:rPr>
        <w:t xml:space="preserve"> its response to the Applicant’s scott schedule. </w:t>
      </w:r>
      <w:r w:rsidR="00706030" w:rsidRPr="00A4369F">
        <w:rPr>
          <w:rFonts w:ascii="Georgia" w:hAnsi="Georgia" w:cs="Arial"/>
        </w:rPr>
        <w:t xml:space="preserve">In that document the Respondent </w:t>
      </w:r>
      <w:r w:rsidR="001E2A1C" w:rsidRPr="00A4369F">
        <w:rPr>
          <w:rFonts w:ascii="Georgia" w:hAnsi="Georgia" w:cs="Arial"/>
        </w:rPr>
        <w:t>denie</w:t>
      </w:r>
      <w:r w:rsidR="00587B0E">
        <w:rPr>
          <w:rFonts w:ascii="Georgia" w:hAnsi="Georgia" w:cs="Arial"/>
        </w:rPr>
        <w:t>d</w:t>
      </w:r>
      <w:r w:rsidR="001E2A1C" w:rsidRPr="00A4369F">
        <w:rPr>
          <w:rFonts w:ascii="Georgia" w:hAnsi="Georgia" w:cs="Arial"/>
        </w:rPr>
        <w:t xml:space="preserve"> that the invoices are </w:t>
      </w:r>
      <w:r w:rsidR="00354793" w:rsidRPr="00A4369F">
        <w:rPr>
          <w:rFonts w:ascii="Georgia" w:hAnsi="Georgia" w:cs="Arial"/>
        </w:rPr>
        <w:t xml:space="preserve">“re-invoices” of other charges levied by AreaEquity Construction Limited for spare parts. </w:t>
      </w:r>
      <w:r w:rsidR="001051CA" w:rsidRPr="00A4369F">
        <w:rPr>
          <w:rFonts w:ascii="Georgia" w:hAnsi="Georgia" w:cs="Arial"/>
        </w:rPr>
        <w:t xml:space="preserve">The Respondent otherwise makes the general assertion that </w:t>
      </w:r>
      <w:r w:rsidR="0022515B" w:rsidRPr="00A4369F">
        <w:rPr>
          <w:rFonts w:ascii="Georgia" w:hAnsi="Georgia" w:cs="Arial"/>
        </w:rPr>
        <w:t>the charges are “</w:t>
      </w:r>
      <w:r w:rsidR="0022515B" w:rsidRPr="00A4369F">
        <w:rPr>
          <w:rFonts w:ascii="Georgia" w:hAnsi="Georgia" w:cs="Arial"/>
          <w:i/>
          <w:iCs/>
        </w:rPr>
        <w:t>reasonably incurred and therefore would be reasonably recoverabl</w:t>
      </w:r>
      <w:r w:rsidR="00BE40DC">
        <w:rPr>
          <w:rFonts w:ascii="Georgia" w:hAnsi="Georgia" w:cs="Arial"/>
          <w:i/>
          <w:iCs/>
        </w:rPr>
        <w:t>e</w:t>
      </w:r>
      <w:r w:rsidR="0022515B" w:rsidRPr="00A4369F">
        <w:rPr>
          <w:rFonts w:ascii="Georgia" w:hAnsi="Georgia" w:cs="Arial"/>
          <w:i/>
          <w:iCs/>
        </w:rPr>
        <w:t xml:space="preserve"> from the leaseholders who benefit from the hot water and heating system</w:t>
      </w:r>
      <w:r w:rsidR="0022515B" w:rsidRPr="00A4369F">
        <w:rPr>
          <w:rFonts w:ascii="Georgia" w:hAnsi="Georgia" w:cs="Arial"/>
        </w:rPr>
        <w:t>”</w:t>
      </w:r>
      <w:r w:rsidR="00126745" w:rsidRPr="00A4369F">
        <w:rPr>
          <w:rFonts w:ascii="Georgia" w:hAnsi="Georgia" w:cs="Arial"/>
        </w:rPr>
        <w:t xml:space="preserve"> and that </w:t>
      </w:r>
      <w:r w:rsidR="00396448" w:rsidRPr="00A4369F">
        <w:rPr>
          <w:rFonts w:ascii="Georgia" w:hAnsi="Georgia" w:cs="Arial"/>
        </w:rPr>
        <w:t>“</w:t>
      </w:r>
      <w:r w:rsidR="00396448" w:rsidRPr="00A4369F">
        <w:rPr>
          <w:rFonts w:ascii="Georgia" w:hAnsi="Georgia" w:cs="Arial"/>
          <w:i/>
          <w:iCs/>
        </w:rPr>
        <w:t>despite the properties being unoccupied it is still imperative to undertake prevent</w:t>
      </w:r>
      <w:r w:rsidR="00BE40DC">
        <w:rPr>
          <w:rFonts w:ascii="Georgia" w:hAnsi="Georgia" w:cs="Arial"/>
          <w:i/>
          <w:iCs/>
        </w:rPr>
        <w:t>at</w:t>
      </w:r>
      <w:r w:rsidR="00396448" w:rsidRPr="00A4369F">
        <w:rPr>
          <w:rFonts w:ascii="Georgia" w:hAnsi="Georgia" w:cs="Arial"/>
          <w:i/>
          <w:iCs/>
        </w:rPr>
        <w:t>ive maintenance to the heating and hot water systems in all flats whether they are occupied or not, this reduced the likelihood of a wider issue in the whole system</w:t>
      </w:r>
      <w:r w:rsidR="00396448" w:rsidRPr="00A4369F">
        <w:rPr>
          <w:rFonts w:ascii="Georgia" w:hAnsi="Georgia" w:cs="Arial"/>
        </w:rPr>
        <w:t>”.</w:t>
      </w:r>
    </w:p>
    <w:p w14:paraId="388E7A0A" w14:textId="7E1712D1" w:rsidR="00591502" w:rsidRDefault="005D446B" w:rsidP="00F0029E">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Further, the Respondent relies on</w:t>
      </w:r>
      <w:r w:rsidR="004A46BE">
        <w:rPr>
          <w:rFonts w:ascii="Georgia" w:hAnsi="Georgia" w:cs="Arial"/>
        </w:rPr>
        <w:t xml:space="preserve"> clause 1.1 and</w:t>
      </w:r>
      <w:r>
        <w:rPr>
          <w:rFonts w:ascii="Georgia" w:hAnsi="Georgia" w:cs="Arial"/>
        </w:rPr>
        <w:t xml:space="preserve"> </w:t>
      </w:r>
      <w:r w:rsidR="009F6F3F">
        <w:rPr>
          <w:rFonts w:ascii="Georgia" w:hAnsi="Georgia" w:cs="Arial"/>
        </w:rPr>
        <w:t>paragraphs 6.4 and 6.5 of</w:t>
      </w:r>
      <w:r w:rsidR="00640CCD">
        <w:rPr>
          <w:rFonts w:ascii="Georgia" w:hAnsi="Georgia" w:cs="Arial"/>
        </w:rPr>
        <w:t xml:space="preserve"> schedule 4 of</w:t>
      </w:r>
      <w:r w:rsidR="009F6F3F">
        <w:rPr>
          <w:rFonts w:ascii="Georgia" w:hAnsi="Georgia" w:cs="Arial"/>
        </w:rPr>
        <w:t xml:space="preserve"> the</w:t>
      </w:r>
      <w:r w:rsidR="00F0029E">
        <w:rPr>
          <w:rFonts w:ascii="Georgia" w:hAnsi="Georgia" w:cs="Arial"/>
        </w:rPr>
        <w:t xml:space="preserve"> Applicant’s lease</w:t>
      </w:r>
      <w:r w:rsidR="00640CCD">
        <w:rPr>
          <w:rFonts w:ascii="Georgia" w:hAnsi="Georgia" w:cs="Arial"/>
        </w:rPr>
        <w:t xml:space="preserve"> which provide that</w:t>
      </w:r>
      <w:r w:rsidR="001B543B">
        <w:rPr>
          <w:rFonts w:ascii="Georgia" w:hAnsi="Georgia" w:cs="Arial"/>
        </w:rPr>
        <w:t>:</w:t>
      </w:r>
    </w:p>
    <w:p w14:paraId="095289ED" w14:textId="51904F36" w:rsidR="001B543B" w:rsidRPr="000050B5" w:rsidRDefault="001B543B" w:rsidP="000B01F2">
      <w:pPr>
        <w:autoSpaceDE w:val="0"/>
        <w:autoSpaceDN w:val="0"/>
        <w:adjustRightInd w:val="0"/>
        <w:spacing w:after="360"/>
        <w:ind w:left="709"/>
        <w:jc w:val="both"/>
        <w:rPr>
          <w:rFonts w:ascii="Georgia" w:hAnsi="Georgia" w:cs="Arial"/>
          <w:i/>
          <w:iCs/>
        </w:rPr>
      </w:pPr>
      <w:r>
        <w:rPr>
          <w:rFonts w:ascii="Georgia" w:hAnsi="Georgia" w:cs="Arial"/>
        </w:rPr>
        <w:t>“</w:t>
      </w:r>
      <w:r w:rsidRPr="000050B5">
        <w:rPr>
          <w:rFonts w:ascii="Georgia" w:hAnsi="Georgia" w:cs="Arial"/>
          <w:i/>
          <w:iCs/>
        </w:rPr>
        <w:t xml:space="preserve">1.1. </w:t>
      </w:r>
      <w:r w:rsidR="000B01F2" w:rsidRPr="000050B5">
        <w:rPr>
          <w:rFonts w:ascii="Georgia" w:hAnsi="Georgia" w:cs="Arial"/>
          <w:i/>
          <w:iCs/>
        </w:rPr>
        <w:t>Heat Charge: the costs of providing Heat through the Heat Installations and the Heat Interface Unit to the Property including any Standing Charge and based on actual usage for each Flat determined through meter readings, where appropriate, and where no meter reading is available, a fair and reasonable estimate determined by the Landlord or by any Heat Supplier take into account the network heat loss</w:t>
      </w:r>
      <w:r w:rsidR="000050B5" w:rsidRPr="000050B5">
        <w:rPr>
          <w:rFonts w:ascii="Georgia" w:hAnsi="Georgia" w:cs="Arial"/>
          <w:i/>
          <w:iCs/>
        </w:rPr>
        <w:t>.</w:t>
      </w:r>
    </w:p>
    <w:p w14:paraId="15B8F04E" w14:textId="3A0DF53E" w:rsidR="000050B5" w:rsidRPr="000050B5" w:rsidRDefault="000050B5" w:rsidP="000B01F2">
      <w:pPr>
        <w:tabs>
          <w:tab w:val="num" w:pos="709"/>
        </w:tabs>
        <w:autoSpaceDE w:val="0"/>
        <w:autoSpaceDN w:val="0"/>
        <w:adjustRightInd w:val="0"/>
        <w:spacing w:after="360"/>
        <w:ind w:left="709"/>
        <w:jc w:val="both"/>
        <w:rPr>
          <w:rFonts w:ascii="Georgia" w:hAnsi="Georgia" w:cs="Arial"/>
          <w:i/>
          <w:iCs/>
        </w:rPr>
      </w:pPr>
      <w:r w:rsidRPr="000050B5">
        <w:rPr>
          <w:rFonts w:ascii="Georgia" w:hAnsi="Georgia" w:cs="Arial"/>
          <w:i/>
          <w:iCs/>
        </w:rPr>
        <w:t>…</w:t>
      </w:r>
    </w:p>
    <w:p w14:paraId="2F38C623" w14:textId="5AA9868A" w:rsidR="007074A0" w:rsidRPr="000050B5" w:rsidRDefault="00591502" w:rsidP="00591502">
      <w:pPr>
        <w:autoSpaceDE w:val="0"/>
        <w:autoSpaceDN w:val="0"/>
        <w:adjustRightInd w:val="0"/>
        <w:spacing w:after="360"/>
        <w:ind w:left="720"/>
        <w:jc w:val="both"/>
        <w:rPr>
          <w:rFonts w:ascii="Georgia" w:hAnsi="Georgia" w:cs="Arial"/>
          <w:i/>
          <w:iCs/>
        </w:rPr>
      </w:pPr>
      <w:r w:rsidRPr="000050B5">
        <w:rPr>
          <w:rFonts w:ascii="Georgia" w:hAnsi="Georgia" w:cs="Arial"/>
          <w:i/>
          <w:iCs/>
        </w:rPr>
        <w:t>“</w:t>
      </w:r>
      <w:r w:rsidR="000050B5" w:rsidRPr="000050B5">
        <w:rPr>
          <w:rFonts w:ascii="Georgia" w:hAnsi="Georgia" w:cs="Arial"/>
          <w:i/>
          <w:iCs/>
        </w:rPr>
        <w:t xml:space="preserve">sch.4 para. </w:t>
      </w:r>
      <w:r w:rsidRPr="000050B5">
        <w:rPr>
          <w:rFonts w:ascii="Georgia" w:hAnsi="Georgia" w:cs="Arial"/>
          <w:i/>
          <w:iCs/>
        </w:rPr>
        <w:t>6.4</w:t>
      </w:r>
      <w:r w:rsidR="006C6753">
        <w:rPr>
          <w:rFonts w:ascii="Georgia" w:hAnsi="Georgia" w:cs="Arial"/>
          <w:i/>
          <w:iCs/>
        </w:rPr>
        <w:t xml:space="preserve"> To</w:t>
      </w:r>
      <w:r w:rsidRPr="000050B5">
        <w:rPr>
          <w:rFonts w:ascii="Georgia" w:hAnsi="Georgia" w:cs="Arial"/>
          <w:i/>
          <w:iCs/>
        </w:rPr>
        <w:t xml:space="preserve"> </w:t>
      </w:r>
      <w:r w:rsidR="007074A0" w:rsidRPr="000050B5">
        <w:rPr>
          <w:rFonts w:ascii="Georgia" w:hAnsi="Georgia" w:cs="Arial"/>
          <w:i/>
          <w:iCs/>
        </w:rPr>
        <w:t xml:space="preserve"> pay on demand the Heat Charge</w:t>
      </w:r>
    </w:p>
    <w:p w14:paraId="5E89BE6B" w14:textId="27F99888" w:rsidR="004A46BE" w:rsidRDefault="000050B5" w:rsidP="004A46BE">
      <w:pPr>
        <w:autoSpaceDE w:val="0"/>
        <w:autoSpaceDN w:val="0"/>
        <w:adjustRightInd w:val="0"/>
        <w:spacing w:after="360"/>
        <w:ind w:left="720"/>
        <w:jc w:val="both"/>
        <w:rPr>
          <w:rFonts w:ascii="Georgia" w:hAnsi="Georgia" w:cs="Arial"/>
        </w:rPr>
      </w:pPr>
      <w:r w:rsidRPr="000050B5">
        <w:rPr>
          <w:rFonts w:ascii="Georgia" w:hAnsi="Georgia" w:cs="Arial"/>
          <w:i/>
          <w:iCs/>
        </w:rPr>
        <w:t xml:space="preserve">sch.4 para. </w:t>
      </w:r>
      <w:r w:rsidR="007074A0" w:rsidRPr="000050B5">
        <w:rPr>
          <w:rFonts w:ascii="Georgia" w:hAnsi="Georgia" w:cs="Arial"/>
          <w:i/>
          <w:iCs/>
        </w:rPr>
        <w:t xml:space="preserve">6.5 </w:t>
      </w:r>
      <w:r w:rsidR="006C6753">
        <w:rPr>
          <w:rFonts w:ascii="Georgia" w:hAnsi="Georgia" w:cs="Arial"/>
          <w:i/>
          <w:iCs/>
        </w:rPr>
        <w:t xml:space="preserve"> </w:t>
      </w:r>
      <w:r w:rsidR="007074A0" w:rsidRPr="000050B5">
        <w:rPr>
          <w:rFonts w:ascii="Georgia" w:hAnsi="Georgia" w:cs="Arial"/>
          <w:i/>
          <w:iCs/>
        </w:rPr>
        <w:t>To pay on demand and indemnify both the Landlord and Heat Supplier in respect of all costs charges and expenses incurred by the Landlord and/or the Heat Supplier in managing repairing making good renewing and/or reinstating any damage or disrepair to the Heat Installations caused or contributed to by any act neglect or default (including failure to</w:t>
      </w:r>
      <w:r w:rsidR="00C47D96" w:rsidRPr="000050B5">
        <w:rPr>
          <w:rFonts w:ascii="Georgia" w:hAnsi="Georgia" w:cs="Arial"/>
          <w:i/>
          <w:iCs/>
        </w:rPr>
        <w:t xml:space="preserve"> </w:t>
      </w:r>
      <w:r w:rsidR="007074A0" w:rsidRPr="000050B5">
        <w:rPr>
          <w:rFonts w:ascii="Georgia" w:hAnsi="Georgia" w:cs="Arial"/>
          <w:i/>
          <w:iCs/>
        </w:rPr>
        <w:t>comply with clause 8.5 below) of the Tenant or the Tenant's family or licensees or any othe</w:t>
      </w:r>
      <w:r w:rsidR="00C47D96" w:rsidRPr="000050B5">
        <w:rPr>
          <w:rFonts w:ascii="Georgia" w:hAnsi="Georgia" w:cs="Arial"/>
          <w:i/>
          <w:iCs/>
        </w:rPr>
        <w:t xml:space="preserve">r </w:t>
      </w:r>
      <w:r w:rsidR="007074A0" w:rsidRPr="000050B5">
        <w:rPr>
          <w:rFonts w:ascii="Georgia" w:hAnsi="Georgia" w:cs="Arial"/>
          <w:i/>
          <w:iCs/>
        </w:rPr>
        <w:t>person under the control of the Tenant</w:t>
      </w:r>
      <w:r w:rsidR="00C47D96">
        <w:rPr>
          <w:rFonts w:ascii="Georgia" w:hAnsi="Georgia" w:cs="Arial"/>
        </w:rPr>
        <w:t>”</w:t>
      </w:r>
      <w:r w:rsidR="00B51538">
        <w:rPr>
          <w:rFonts w:ascii="Georgia" w:hAnsi="Georgia" w:cs="Arial"/>
        </w:rPr>
        <w:t>.</w:t>
      </w:r>
    </w:p>
    <w:p w14:paraId="361B8E44" w14:textId="363CE541" w:rsidR="00FB7F44" w:rsidRDefault="00CD6AF6" w:rsidP="00F0029E">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We have considered these points carefully</w:t>
      </w:r>
      <w:r w:rsidR="001420C8">
        <w:rPr>
          <w:rFonts w:ascii="Georgia" w:hAnsi="Georgia" w:cs="Arial"/>
        </w:rPr>
        <w:t xml:space="preserve">, however </w:t>
      </w:r>
      <w:r w:rsidR="00665AD1">
        <w:rPr>
          <w:rFonts w:ascii="Georgia" w:hAnsi="Georgia" w:cs="Arial"/>
        </w:rPr>
        <w:t xml:space="preserve">we do not consider that the </w:t>
      </w:r>
      <w:r w:rsidR="0088362E">
        <w:rPr>
          <w:rFonts w:ascii="Georgia" w:hAnsi="Georgia" w:cs="Arial"/>
        </w:rPr>
        <w:t xml:space="preserve">Respondent has </w:t>
      </w:r>
      <w:r w:rsidR="00665AD1">
        <w:rPr>
          <w:rFonts w:ascii="Georgia" w:hAnsi="Georgia" w:cs="Arial"/>
        </w:rPr>
        <w:t>adequately</w:t>
      </w:r>
      <w:r w:rsidR="0088362E">
        <w:rPr>
          <w:rFonts w:ascii="Georgia" w:hAnsi="Georgia" w:cs="Arial"/>
        </w:rPr>
        <w:t xml:space="preserve"> addressed the points raised by the Applicant. </w:t>
      </w:r>
      <w:r w:rsidR="00903DC4">
        <w:rPr>
          <w:rFonts w:ascii="Georgia" w:hAnsi="Georgia" w:cs="Arial"/>
        </w:rPr>
        <w:t xml:space="preserve">Beyond the general assertions set out above, the Respondent has </w:t>
      </w:r>
      <w:r w:rsidR="00665AD1">
        <w:rPr>
          <w:rFonts w:ascii="Georgia" w:hAnsi="Georgia" w:cs="Arial"/>
        </w:rPr>
        <w:t xml:space="preserve">provided no detail of </w:t>
      </w:r>
      <w:r w:rsidR="00AE6A68">
        <w:rPr>
          <w:rFonts w:ascii="Georgia" w:hAnsi="Georgia" w:cs="Arial"/>
        </w:rPr>
        <w:t xml:space="preserve">what management, maintenance </w:t>
      </w:r>
      <w:r w:rsidR="00566B36">
        <w:rPr>
          <w:rFonts w:ascii="Georgia" w:hAnsi="Georgia" w:cs="Arial"/>
        </w:rPr>
        <w:t xml:space="preserve">(preventative or otherwise) </w:t>
      </w:r>
      <w:r w:rsidR="00AE6A68">
        <w:rPr>
          <w:rFonts w:ascii="Georgia" w:hAnsi="Georgia" w:cs="Arial"/>
        </w:rPr>
        <w:t>or inspection</w:t>
      </w:r>
      <w:r w:rsidR="0071629C">
        <w:rPr>
          <w:rFonts w:ascii="Georgia" w:hAnsi="Georgia" w:cs="Arial"/>
        </w:rPr>
        <w:t>s</w:t>
      </w:r>
      <w:r w:rsidR="00AE6A68">
        <w:rPr>
          <w:rFonts w:ascii="Georgia" w:hAnsi="Georgia" w:cs="Arial"/>
        </w:rPr>
        <w:t xml:space="preserve"> ha</w:t>
      </w:r>
      <w:r w:rsidR="0071629C">
        <w:rPr>
          <w:rFonts w:ascii="Georgia" w:hAnsi="Georgia" w:cs="Arial"/>
        </w:rPr>
        <w:t>ve</w:t>
      </w:r>
      <w:r w:rsidR="00AE6A68">
        <w:rPr>
          <w:rFonts w:ascii="Georgia" w:hAnsi="Georgia" w:cs="Arial"/>
        </w:rPr>
        <w:t xml:space="preserve"> been carried out</w:t>
      </w:r>
      <w:r w:rsidR="00BA630A">
        <w:rPr>
          <w:rFonts w:ascii="Georgia" w:hAnsi="Georgia" w:cs="Arial"/>
        </w:rPr>
        <w:t xml:space="preserve"> in order to justify the fees charged.</w:t>
      </w:r>
    </w:p>
    <w:p w14:paraId="629B5299" w14:textId="1D835693" w:rsidR="00FB7F44" w:rsidRDefault="00FB7F44" w:rsidP="003D1987">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 xml:space="preserve">As to </w:t>
      </w:r>
      <w:r w:rsidR="006C6753">
        <w:rPr>
          <w:rFonts w:ascii="Georgia" w:hAnsi="Georgia" w:cs="Arial"/>
        </w:rPr>
        <w:t xml:space="preserve">the terms of the Lease referred to above, </w:t>
      </w:r>
      <w:r w:rsidR="00402A25">
        <w:rPr>
          <w:rFonts w:ascii="Georgia" w:hAnsi="Georgia" w:cs="Arial"/>
        </w:rPr>
        <w:t xml:space="preserve">in our judgment </w:t>
      </w:r>
      <w:r w:rsidR="001C0FF1">
        <w:rPr>
          <w:rFonts w:ascii="Georgia" w:hAnsi="Georgia" w:cs="Arial"/>
        </w:rPr>
        <w:t>paragraph 6.4 of schedule 4 of the Lease</w:t>
      </w:r>
      <w:r w:rsidR="00402A25">
        <w:rPr>
          <w:rFonts w:ascii="Georgia" w:hAnsi="Georgia" w:cs="Arial"/>
        </w:rPr>
        <w:t xml:space="preserve"> entitle</w:t>
      </w:r>
      <w:r w:rsidR="001C0FF1">
        <w:rPr>
          <w:rFonts w:ascii="Georgia" w:hAnsi="Georgia" w:cs="Arial"/>
        </w:rPr>
        <w:t>s</w:t>
      </w:r>
      <w:r w:rsidR="00402A25">
        <w:rPr>
          <w:rFonts w:ascii="Georgia" w:hAnsi="Georgia" w:cs="Arial"/>
        </w:rPr>
        <w:t xml:space="preserve"> the Respondent </w:t>
      </w:r>
      <w:r w:rsidR="005F2832">
        <w:rPr>
          <w:rFonts w:ascii="Georgia" w:hAnsi="Georgia" w:cs="Arial"/>
        </w:rPr>
        <w:t xml:space="preserve">to recover from the Applicant her share of </w:t>
      </w:r>
      <w:r w:rsidR="001C0FF1">
        <w:rPr>
          <w:rFonts w:ascii="Georgia" w:hAnsi="Georgia" w:cs="Arial"/>
        </w:rPr>
        <w:t xml:space="preserve">the cost of </w:t>
      </w:r>
      <w:r w:rsidR="0092010E">
        <w:rPr>
          <w:rFonts w:ascii="Georgia" w:hAnsi="Georgia" w:cs="Arial"/>
        </w:rPr>
        <w:t xml:space="preserve">actually providing </w:t>
      </w:r>
      <w:r w:rsidR="00490F9B">
        <w:rPr>
          <w:rFonts w:ascii="Georgia" w:hAnsi="Georgia" w:cs="Arial"/>
        </w:rPr>
        <w:t xml:space="preserve">heating to the individual flats, not the cost of maintaining or managing the service. Even if we are wrong about that, </w:t>
      </w:r>
      <w:r w:rsidR="00182662">
        <w:rPr>
          <w:rFonts w:ascii="Georgia" w:hAnsi="Georgia" w:cs="Arial"/>
        </w:rPr>
        <w:t xml:space="preserve">it remains the case that the Respondent has not adequately addressed the questions raised by the </w:t>
      </w:r>
      <w:r w:rsidR="00EE7A1C">
        <w:rPr>
          <w:rFonts w:ascii="Georgia" w:hAnsi="Georgia" w:cs="Arial"/>
        </w:rPr>
        <w:t xml:space="preserve">Applicant about what work has been done to justify the charges made. The terms of the Lease do not in our judgment require the Applicant to pay </w:t>
      </w:r>
      <w:r w:rsidR="00DF3B31">
        <w:rPr>
          <w:rFonts w:ascii="Georgia" w:hAnsi="Georgia" w:cs="Arial"/>
        </w:rPr>
        <w:t>whatever sum is demanded by the Respondent without</w:t>
      </w:r>
      <w:r w:rsidR="006453FA">
        <w:rPr>
          <w:rFonts w:ascii="Georgia" w:hAnsi="Georgia" w:cs="Arial"/>
        </w:rPr>
        <w:t xml:space="preserve"> question or explanation. </w:t>
      </w:r>
    </w:p>
    <w:p w14:paraId="6D12C0BE" w14:textId="7A202892" w:rsidR="006453FA" w:rsidRDefault="006453FA" w:rsidP="00DB5975">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 xml:space="preserve">Paragraph 6.5 of schedule 4 of the Lease applies only if </w:t>
      </w:r>
      <w:r w:rsidR="007469D6">
        <w:rPr>
          <w:rFonts w:ascii="Georgia" w:hAnsi="Georgia" w:cs="Arial"/>
        </w:rPr>
        <w:t xml:space="preserve">damage has been caused to the heat installations by the Applicant or her licensees </w:t>
      </w:r>
      <w:r w:rsidR="00DB5975">
        <w:rPr>
          <w:rFonts w:ascii="Georgia" w:hAnsi="Georgia" w:cs="Arial"/>
        </w:rPr>
        <w:t>(</w:t>
      </w:r>
      <w:r w:rsidR="007469D6">
        <w:rPr>
          <w:rFonts w:ascii="Georgia" w:hAnsi="Georgia" w:cs="Arial"/>
        </w:rPr>
        <w:t>etc.</w:t>
      </w:r>
      <w:r w:rsidR="00DB5975">
        <w:rPr>
          <w:rFonts w:ascii="Georgia" w:hAnsi="Georgia" w:cs="Arial"/>
        </w:rPr>
        <w:t>).</w:t>
      </w:r>
      <w:r w:rsidR="007469D6">
        <w:rPr>
          <w:rFonts w:ascii="Georgia" w:hAnsi="Georgia" w:cs="Arial"/>
        </w:rPr>
        <w:t xml:space="preserve"> The Res</w:t>
      </w:r>
      <w:r w:rsidR="005A2815">
        <w:rPr>
          <w:rFonts w:ascii="Georgia" w:hAnsi="Georgia" w:cs="Arial"/>
        </w:rPr>
        <w:t>pondent advances no such case</w:t>
      </w:r>
      <w:r w:rsidR="00DB5975">
        <w:rPr>
          <w:rFonts w:ascii="Georgia" w:hAnsi="Georgia" w:cs="Arial"/>
        </w:rPr>
        <w:t xml:space="preserve"> in these proceedings.</w:t>
      </w:r>
    </w:p>
    <w:p w14:paraId="6BC1DB1D" w14:textId="2CB656B1" w:rsidR="003A13D4" w:rsidRPr="00FB7F44" w:rsidRDefault="003A13D4" w:rsidP="00DB5975">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 xml:space="preserve">In </w:t>
      </w:r>
      <w:r w:rsidR="002145A7">
        <w:rPr>
          <w:rFonts w:ascii="Georgia" w:hAnsi="Georgia" w:cs="Arial"/>
        </w:rPr>
        <w:t xml:space="preserve">light of our findings set out above, we do not consider that the terms of the Lease relied on by the Respondent take its case much further. </w:t>
      </w:r>
    </w:p>
    <w:p w14:paraId="55F57DFE" w14:textId="7A583ACE" w:rsidR="00B51538" w:rsidRDefault="00C361AE" w:rsidP="00656C1B">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 xml:space="preserve">The Applicant </w:t>
      </w:r>
      <w:r w:rsidR="002145A7">
        <w:rPr>
          <w:rFonts w:ascii="Georgia" w:hAnsi="Georgia" w:cs="Arial"/>
        </w:rPr>
        <w:t xml:space="preserve">concedes </w:t>
      </w:r>
      <w:r w:rsidR="00CD6AF6">
        <w:rPr>
          <w:rFonts w:ascii="Georgia" w:hAnsi="Georgia" w:cs="Arial"/>
        </w:rPr>
        <w:t>that some work</w:t>
      </w:r>
      <w:r w:rsidR="00074F9B">
        <w:rPr>
          <w:rFonts w:ascii="Georgia" w:hAnsi="Georgia" w:cs="Arial"/>
        </w:rPr>
        <w:t xml:space="preserve"> will </w:t>
      </w:r>
      <w:r w:rsidR="005E6FF2">
        <w:rPr>
          <w:rFonts w:ascii="Georgia" w:hAnsi="Georgia" w:cs="Arial"/>
        </w:rPr>
        <w:t xml:space="preserve">properly </w:t>
      </w:r>
      <w:r w:rsidR="00074F9B">
        <w:rPr>
          <w:rFonts w:ascii="Georgia" w:hAnsi="Georgia" w:cs="Arial"/>
        </w:rPr>
        <w:t xml:space="preserve">have been done by the Respondent </w:t>
      </w:r>
      <w:r w:rsidR="005E6FF2">
        <w:rPr>
          <w:rFonts w:ascii="Georgia" w:hAnsi="Georgia" w:cs="Arial"/>
        </w:rPr>
        <w:t xml:space="preserve">in 2023 in respect of the management and maintenance of the district heating and hot water system and </w:t>
      </w:r>
      <w:r w:rsidR="005C50B8">
        <w:rPr>
          <w:rFonts w:ascii="Georgia" w:hAnsi="Georgia" w:cs="Arial"/>
        </w:rPr>
        <w:t>the HIUs. She suggests that th</w:t>
      </w:r>
      <w:r w:rsidR="00AA49E1">
        <w:rPr>
          <w:rFonts w:ascii="Georgia" w:hAnsi="Georgia" w:cs="Arial"/>
        </w:rPr>
        <w:t xml:space="preserve">e management fee demanded be reduced </w:t>
      </w:r>
      <w:r w:rsidR="00537C66">
        <w:rPr>
          <w:rFonts w:ascii="Georgia" w:hAnsi="Georgia" w:cs="Arial"/>
        </w:rPr>
        <w:t xml:space="preserve">substantially </w:t>
      </w:r>
      <w:r w:rsidR="00A8736F">
        <w:rPr>
          <w:rFonts w:ascii="Georgia" w:hAnsi="Georgia" w:cs="Arial"/>
        </w:rPr>
        <w:t>to reflect her points set out above</w:t>
      </w:r>
      <w:r w:rsidR="00747BAE">
        <w:rPr>
          <w:rFonts w:ascii="Georgia" w:hAnsi="Georgia" w:cs="Arial"/>
        </w:rPr>
        <w:t>, which</w:t>
      </w:r>
      <w:r w:rsidR="00EC25D6">
        <w:rPr>
          <w:rFonts w:ascii="Georgia" w:hAnsi="Georgia" w:cs="Arial"/>
        </w:rPr>
        <w:t xml:space="preserve"> we have found</w:t>
      </w:r>
      <w:r w:rsidR="00747BAE">
        <w:rPr>
          <w:rFonts w:ascii="Georgia" w:hAnsi="Georgia" w:cs="Arial"/>
        </w:rPr>
        <w:t xml:space="preserve"> have not been adequately a</w:t>
      </w:r>
      <w:r w:rsidR="00656C1B">
        <w:rPr>
          <w:rFonts w:ascii="Georgia" w:hAnsi="Georgia" w:cs="Arial"/>
        </w:rPr>
        <w:t>nswered</w:t>
      </w:r>
      <w:r w:rsidR="00747BAE">
        <w:rPr>
          <w:rFonts w:ascii="Georgia" w:hAnsi="Georgia" w:cs="Arial"/>
        </w:rPr>
        <w:t xml:space="preserve">. In light of the paucity of evidence produced by the Respondent to justify the </w:t>
      </w:r>
      <w:r w:rsidR="00891D04">
        <w:rPr>
          <w:rFonts w:ascii="Georgia" w:hAnsi="Georgia" w:cs="Arial"/>
        </w:rPr>
        <w:t>management and maintenance fees demanded</w:t>
      </w:r>
      <w:r w:rsidR="001D6676">
        <w:rPr>
          <w:rFonts w:ascii="Georgia" w:hAnsi="Georgia" w:cs="Arial"/>
        </w:rPr>
        <w:t xml:space="preserve"> and doing our best with the </w:t>
      </w:r>
      <w:r w:rsidR="00656C1B">
        <w:rPr>
          <w:rFonts w:ascii="Georgia" w:hAnsi="Georgia" w:cs="Arial"/>
        </w:rPr>
        <w:t>information and submissions that were</w:t>
      </w:r>
      <w:r w:rsidR="001D6676">
        <w:rPr>
          <w:rFonts w:ascii="Georgia" w:hAnsi="Georgia" w:cs="Arial"/>
        </w:rPr>
        <w:t xml:space="preserve"> available to us,</w:t>
      </w:r>
      <w:r w:rsidR="00891D04">
        <w:rPr>
          <w:rFonts w:ascii="Georgia" w:hAnsi="Georgia" w:cs="Arial"/>
        </w:rPr>
        <w:t xml:space="preserve"> we agree with the Applicant that </w:t>
      </w:r>
      <w:r w:rsidR="00EC25D6">
        <w:rPr>
          <w:rFonts w:ascii="Georgia" w:hAnsi="Georgia" w:cs="Arial"/>
        </w:rPr>
        <w:t xml:space="preserve">a reasonable sum </w:t>
      </w:r>
      <w:r w:rsidR="005A6A27">
        <w:rPr>
          <w:rFonts w:ascii="Georgia" w:hAnsi="Georgia" w:cs="Arial"/>
        </w:rPr>
        <w:t>for the Respondent’s costs of maintaining and managing the district heating and hot water system and the HIUs in 202</w:t>
      </w:r>
      <w:r w:rsidR="005A6A27" w:rsidRPr="00D36609">
        <w:rPr>
          <w:rFonts w:ascii="Georgia" w:hAnsi="Georgia" w:cs="Arial"/>
        </w:rPr>
        <w:t xml:space="preserve">3 is </w:t>
      </w:r>
      <w:r w:rsidR="00414E31" w:rsidRPr="00D36609">
        <w:rPr>
          <w:rFonts w:ascii="Georgia" w:hAnsi="Georgia" w:cs="Arial"/>
        </w:rPr>
        <w:t>the sum that she identifies in paragraph 19</w:t>
      </w:r>
      <w:r w:rsidR="00BE40DC">
        <w:rPr>
          <w:rFonts w:ascii="Georgia" w:hAnsi="Georgia" w:cs="Arial"/>
        </w:rPr>
        <w:t xml:space="preserve"> of her statement of case</w:t>
      </w:r>
      <w:r w:rsidR="00B37A08" w:rsidRPr="00D36609">
        <w:rPr>
          <w:rFonts w:ascii="Georgia" w:hAnsi="Georgia" w:cs="Arial"/>
        </w:rPr>
        <w:t>, namely £2793</w:t>
      </w:r>
      <w:r w:rsidR="00EF4D40" w:rsidRPr="00D36609">
        <w:rPr>
          <w:rFonts w:ascii="Georgia" w:hAnsi="Georgia" w:cs="Arial"/>
        </w:rPr>
        <w:t xml:space="preserve">.00. </w:t>
      </w:r>
    </w:p>
    <w:p w14:paraId="69CC5345" w14:textId="56CCBA52" w:rsidR="00D36609" w:rsidRPr="00D36609" w:rsidRDefault="00D36609" w:rsidP="00A934CE">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 xml:space="preserve">Having made this finding, we do not consider it necessary to determine whether the invoices referred to above </w:t>
      </w:r>
      <w:r w:rsidR="004A24EC">
        <w:rPr>
          <w:rFonts w:ascii="Georgia" w:hAnsi="Georgia" w:cs="Arial"/>
        </w:rPr>
        <w:t xml:space="preserve">related to the services described in the invoice or </w:t>
      </w:r>
      <w:r w:rsidR="00CF2B73">
        <w:rPr>
          <w:rFonts w:ascii="Georgia" w:hAnsi="Georgia" w:cs="Arial"/>
        </w:rPr>
        <w:t>to other charges levied by AreaEquity Construction Limited.</w:t>
      </w:r>
    </w:p>
    <w:p w14:paraId="5BE596ED" w14:textId="35DE3C3B" w:rsidR="00520232" w:rsidRPr="00520232" w:rsidRDefault="00216AF5" w:rsidP="001C37E4">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We accordingly find that the sum payable by the Applicant for the Respondent’s costs of maintaining and managing the district heating and hot water system and the HIUs in 2023 is her share of £2793.0</w:t>
      </w:r>
      <w:r w:rsidR="00520232">
        <w:rPr>
          <w:rFonts w:ascii="Georgia" w:hAnsi="Georgia" w:cs="Arial"/>
        </w:rPr>
        <w:t xml:space="preserve">0. </w:t>
      </w:r>
    </w:p>
    <w:p w14:paraId="19C6FF18" w14:textId="7CA57EA1" w:rsidR="000D0A5C" w:rsidRPr="000D0A5C" w:rsidRDefault="000D0A5C" w:rsidP="000D0A5C">
      <w:pPr>
        <w:tabs>
          <w:tab w:val="num" w:pos="709"/>
        </w:tabs>
        <w:autoSpaceDE w:val="0"/>
        <w:autoSpaceDN w:val="0"/>
        <w:adjustRightInd w:val="0"/>
        <w:spacing w:after="360"/>
        <w:jc w:val="both"/>
        <w:rPr>
          <w:rFonts w:ascii="Georgia" w:hAnsi="Georgia" w:cs="Arial"/>
          <w:u w:val="single"/>
        </w:rPr>
      </w:pPr>
      <w:r>
        <w:rPr>
          <w:rFonts w:ascii="Georgia" w:hAnsi="Georgia" w:cs="Arial"/>
          <w:u w:val="single"/>
        </w:rPr>
        <w:t>Other matters</w:t>
      </w:r>
    </w:p>
    <w:p w14:paraId="31CD77E7" w14:textId="5BC05241" w:rsidR="000D0A5C" w:rsidRDefault="000D0A5C" w:rsidP="001C37E4">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The Applicant queried whether</w:t>
      </w:r>
      <w:r w:rsidR="001C37E4">
        <w:rPr>
          <w:rFonts w:ascii="Georgia" w:hAnsi="Georgia" w:cs="Arial"/>
        </w:rPr>
        <w:t xml:space="preserve"> the provision at</w:t>
      </w:r>
      <w:r w:rsidR="00E9437F">
        <w:rPr>
          <w:rFonts w:ascii="Georgia" w:hAnsi="Georgia" w:cs="Arial"/>
        </w:rPr>
        <w:t xml:space="preserve"> paragraph 1(b)(</w:t>
      </w:r>
      <w:r w:rsidR="000B422E">
        <w:rPr>
          <w:rFonts w:ascii="Georgia" w:hAnsi="Georgia" w:cs="Arial"/>
        </w:rPr>
        <w:t xml:space="preserve">ii) of part 2 of schedule 7 of </w:t>
      </w:r>
      <w:r w:rsidR="001C37E4">
        <w:rPr>
          <w:rFonts w:ascii="Georgia" w:hAnsi="Georgia" w:cs="Arial"/>
        </w:rPr>
        <w:t>her l</w:t>
      </w:r>
      <w:r w:rsidR="000B422E">
        <w:rPr>
          <w:rFonts w:ascii="Georgia" w:hAnsi="Georgia" w:cs="Arial"/>
        </w:rPr>
        <w:t xml:space="preserve">ease that the “Service Costs” include </w:t>
      </w:r>
      <w:r w:rsidR="004D1312">
        <w:rPr>
          <w:rFonts w:ascii="Georgia" w:hAnsi="Georgia" w:cs="Arial"/>
        </w:rPr>
        <w:t>“</w:t>
      </w:r>
      <w:r w:rsidR="004D1312" w:rsidRPr="001C37E4">
        <w:rPr>
          <w:rFonts w:ascii="Georgia" w:hAnsi="Georgia" w:cs="Arial"/>
          <w:i/>
          <w:iCs/>
        </w:rPr>
        <w:t xml:space="preserve">the costs, fees and disbursements reasonably and properly incurred of…accountants employed by the Landlord to prepare </w:t>
      </w:r>
      <w:r w:rsidR="007F0AC3" w:rsidRPr="001C37E4">
        <w:rPr>
          <w:rFonts w:ascii="Georgia" w:hAnsi="Georgia" w:cs="Arial"/>
          <w:i/>
          <w:iCs/>
        </w:rPr>
        <w:t>and audit the service charge accounts</w:t>
      </w:r>
      <w:r w:rsidR="007F0AC3">
        <w:rPr>
          <w:rFonts w:ascii="Georgia" w:hAnsi="Georgia" w:cs="Arial"/>
        </w:rPr>
        <w:t xml:space="preserve">” means that the Respondent must engage an accountant to audit the service charge accounts. </w:t>
      </w:r>
    </w:p>
    <w:p w14:paraId="339E77DA" w14:textId="6279FA7D" w:rsidR="000927B4" w:rsidRPr="00AC4289" w:rsidRDefault="004463B7" w:rsidP="001C37E4">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In our judgment, the Respondent is not required to have the service charge accounts audited</w:t>
      </w:r>
      <w:r w:rsidR="001C37E4">
        <w:rPr>
          <w:rFonts w:ascii="Georgia" w:hAnsi="Georgia" w:cs="Arial"/>
        </w:rPr>
        <w:t xml:space="preserve"> as a condition precedent to payment of the service charges</w:t>
      </w:r>
      <w:r w:rsidR="002B0D0C">
        <w:rPr>
          <w:rFonts w:ascii="Georgia" w:hAnsi="Georgia" w:cs="Arial"/>
        </w:rPr>
        <w:t xml:space="preserve">. The </w:t>
      </w:r>
      <w:r w:rsidR="001C37E4">
        <w:rPr>
          <w:rFonts w:ascii="Georgia" w:hAnsi="Georgia" w:cs="Arial"/>
        </w:rPr>
        <w:t>Applicant’s lease</w:t>
      </w:r>
      <w:r w:rsidR="002B0D0C">
        <w:rPr>
          <w:rFonts w:ascii="Georgia" w:hAnsi="Georgia" w:cs="Arial"/>
        </w:rPr>
        <w:t xml:space="preserve"> does not impose any particular requirement for audited service charge accounts </w:t>
      </w:r>
      <w:r w:rsidR="008C22F7">
        <w:rPr>
          <w:rFonts w:ascii="Georgia" w:hAnsi="Georgia" w:cs="Arial"/>
        </w:rPr>
        <w:t xml:space="preserve">to be prepared before payment of the service charge is due. In our judgment, paragraph 1(b)(ii) of part 2 of schedule 7 of the Lease </w:t>
      </w:r>
      <w:r w:rsidR="00434AAE">
        <w:rPr>
          <w:rFonts w:ascii="Georgia" w:hAnsi="Georgia" w:cs="Arial"/>
        </w:rPr>
        <w:t>simply means that, if the Respondent wishes to have the ser</w:t>
      </w:r>
      <w:r w:rsidR="00F63120">
        <w:rPr>
          <w:rFonts w:ascii="Georgia" w:hAnsi="Georgia" w:cs="Arial"/>
        </w:rPr>
        <w:t xml:space="preserve">vice charge accounts audited, then it may </w:t>
      </w:r>
      <w:r w:rsidR="00E6577F">
        <w:rPr>
          <w:rFonts w:ascii="Georgia" w:hAnsi="Georgia" w:cs="Arial"/>
        </w:rPr>
        <w:t>d</w:t>
      </w:r>
      <w:r w:rsidR="00F63120">
        <w:rPr>
          <w:rFonts w:ascii="Georgia" w:hAnsi="Georgia" w:cs="Arial"/>
        </w:rPr>
        <w:t>o so and recover the costs from the leaseholders via the service charge.</w:t>
      </w:r>
    </w:p>
    <w:p w14:paraId="6168C61A" w14:textId="77777777" w:rsidR="000927B4" w:rsidRPr="007548FA" w:rsidRDefault="000927B4" w:rsidP="00C663E1">
      <w:pPr>
        <w:autoSpaceDE w:val="0"/>
        <w:autoSpaceDN w:val="0"/>
        <w:adjustRightInd w:val="0"/>
        <w:spacing w:after="360"/>
        <w:jc w:val="both"/>
        <w:rPr>
          <w:rFonts w:ascii="Georgia" w:hAnsi="Georgia" w:cs="Arial"/>
          <w:b/>
          <w:u w:val="single"/>
        </w:rPr>
      </w:pPr>
      <w:r w:rsidRPr="007548FA">
        <w:rPr>
          <w:rFonts w:ascii="Georgia" w:hAnsi="Georgia" w:cs="Arial"/>
          <w:b/>
          <w:u w:val="single"/>
        </w:rPr>
        <w:t>Application under s.20C and refund of fees</w:t>
      </w:r>
    </w:p>
    <w:p w14:paraId="2FE61F91" w14:textId="13B594D7" w:rsidR="00AC4289" w:rsidRDefault="005C7FEC" w:rsidP="00E6577F">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In light of our findings set out above and given that the Applicant ha</w:t>
      </w:r>
      <w:r w:rsidR="004841E0">
        <w:rPr>
          <w:rFonts w:ascii="Georgia" w:hAnsi="Georgia" w:cs="Arial"/>
        </w:rPr>
        <w:t>s</w:t>
      </w:r>
      <w:r>
        <w:rPr>
          <w:rFonts w:ascii="Georgia" w:hAnsi="Georgia" w:cs="Arial"/>
        </w:rPr>
        <w:t xml:space="preserve"> been </w:t>
      </w:r>
      <w:r w:rsidR="004841E0">
        <w:rPr>
          <w:rFonts w:ascii="Georgia" w:hAnsi="Georgia" w:cs="Arial"/>
        </w:rPr>
        <w:t xml:space="preserve">substantially </w:t>
      </w:r>
      <w:r>
        <w:rPr>
          <w:rFonts w:ascii="Georgia" w:hAnsi="Georgia" w:cs="Arial"/>
        </w:rPr>
        <w:t>the successful party in this application we determine that the Respondent should reimburse the Applicant the sum of £3</w:t>
      </w:r>
      <w:r w:rsidR="00F528E1">
        <w:rPr>
          <w:rFonts w:ascii="Georgia" w:hAnsi="Georgia" w:cs="Arial"/>
        </w:rPr>
        <w:t>27</w:t>
      </w:r>
      <w:r>
        <w:rPr>
          <w:rFonts w:ascii="Georgia" w:hAnsi="Georgia" w:cs="Arial"/>
        </w:rPr>
        <w:t xml:space="preserve"> in respect of </w:t>
      </w:r>
      <w:r w:rsidR="00F528E1">
        <w:rPr>
          <w:rFonts w:ascii="Georgia" w:hAnsi="Georgia" w:cs="Arial"/>
        </w:rPr>
        <w:t xml:space="preserve">her </w:t>
      </w:r>
      <w:r>
        <w:rPr>
          <w:rFonts w:ascii="Georgia" w:hAnsi="Georgia" w:cs="Arial"/>
        </w:rPr>
        <w:t xml:space="preserve">application and hearing fees within </w:t>
      </w:r>
      <w:r w:rsidRPr="007548FA">
        <w:rPr>
          <w:rFonts w:ascii="Georgia" w:hAnsi="Georgia" w:cs="Arial"/>
        </w:rPr>
        <w:t>28 days of the date of this decision.</w:t>
      </w:r>
    </w:p>
    <w:p w14:paraId="7ED87A15" w14:textId="7C105F5D" w:rsidR="000927B4" w:rsidRPr="007548FA" w:rsidRDefault="00F04A99" w:rsidP="00F04A99">
      <w:pPr>
        <w:numPr>
          <w:ilvl w:val="0"/>
          <w:numId w:val="8"/>
        </w:numPr>
        <w:tabs>
          <w:tab w:val="num" w:pos="540"/>
        </w:tabs>
        <w:autoSpaceDE w:val="0"/>
        <w:autoSpaceDN w:val="0"/>
        <w:adjustRightInd w:val="0"/>
        <w:spacing w:after="360"/>
        <w:ind w:left="709" w:hanging="439"/>
        <w:jc w:val="both"/>
        <w:rPr>
          <w:rFonts w:ascii="Georgia" w:hAnsi="Georgia" w:cs="Arial"/>
        </w:rPr>
      </w:pPr>
      <w:r>
        <w:rPr>
          <w:rFonts w:ascii="Georgia" w:hAnsi="Georgia" w:cs="Arial"/>
        </w:rPr>
        <w:t xml:space="preserve">The </w:t>
      </w:r>
      <w:r w:rsidR="00F528E1">
        <w:rPr>
          <w:rFonts w:ascii="Georgia" w:hAnsi="Georgia" w:cs="Arial"/>
        </w:rPr>
        <w:t xml:space="preserve">Applicant </w:t>
      </w:r>
      <w:r w:rsidR="000927B4" w:rsidRPr="007548FA">
        <w:rPr>
          <w:rFonts w:ascii="Georgia" w:hAnsi="Georgia" w:cs="Arial"/>
        </w:rPr>
        <w:t>applied</w:t>
      </w:r>
      <w:r>
        <w:rPr>
          <w:rFonts w:ascii="Georgia" w:hAnsi="Georgia" w:cs="Arial"/>
        </w:rPr>
        <w:t>,</w:t>
      </w:r>
      <w:r w:rsidR="000927B4" w:rsidRPr="007548FA">
        <w:rPr>
          <w:rFonts w:ascii="Georgia" w:hAnsi="Georgia" w:cs="Arial"/>
        </w:rPr>
        <w:t xml:space="preserve"> </w:t>
      </w:r>
      <w:r>
        <w:rPr>
          <w:rFonts w:ascii="Georgia" w:hAnsi="Georgia" w:cs="Arial"/>
        </w:rPr>
        <w:t>on her own behalf and also on behalf of the leaseholders listed in her application,</w:t>
      </w:r>
      <w:r w:rsidRPr="007548FA">
        <w:rPr>
          <w:rFonts w:ascii="Georgia" w:hAnsi="Georgia" w:cs="Arial"/>
        </w:rPr>
        <w:t xml:space="preserve"> </w:t>
      </w:r>
      <w:r w:rsidR="000927B4" w:rsidRPr="007548FA">
        <w:rPr>
          <w:rFonts w:ascii="Georgia" w:hAnsi="Georgia" w:cs="Arial"/>
        </w:rPr>
        <w:t>for an order under section 20C of the 1985</w:t>
      </w:r>
      <w:r w:rsidR="000927B4">
        <w:rPr>
          <w:rFonts w:ascii="Georgia" w:hAnsi="Georgia" w:cs="Arial"/>
        </w:rPr>
        <w:t xml:space="preserve"> Act</w:t>
      </w:r>
      <w:r w:rsidR="000927B4" w:rsidRPr="007548FA">
        <w:rPr>
          <w:rFonts w:ascii="Georgia" w:hAnsi="Georgia" w:cs="Arial"/>
        </w:rPr>
        <w:t xml:space="preserve">.  Having heard the submissions from the parties and taking into account </w:t>
      </w:r>
      <w:r w:rsidR="00EE128F">
        <w:rPr>
          <w:rFonts w:ascii="Georgia" w:hAnsi="Georgia" w:cs="Arial"/>
        </w:rPr>
        <w:t xml:space="preserve">our </w:t>
      </w:r>
      <w:r w:rsidR="000927B4" w:rsidRPr="007548FA">
        <w:rPr>
          <w:rFonts w:ascii="Georgia" w:hAnsi="Georgia" w:cs="Arial"/>
        </w:rPr>
        <w:t>determinations above,</w:t>
      </w:r>
      <w:r w:rsidR="00502D04">
        <w:rPr>
          <w:rFonts w:ascii="Georgia" w:hAnsi="Georgia" w:cs="Arial"/>
        </w:rPr>
        <w:t xml:space="preserve"> if legal costs are recoverable </w:t>
      </w:r>
      <w:r w:rsidR="00F33597">
        <w:rPr>
          <w:rFonts w:ascii="Georgia" w:hAnsi="Georgia" w:cs="Arial"/>
        </w:rPr>
        <w:t xml:space="preserve">under the terms of the </w:t>
      </w:r>
      <w:r w:rsidR="00EE128F">
        <w:rPr>
          <w:rFonts w:ascii="Georgia" w:hAnsi="Georgia" w:cs="Arial"/>
        </w:rPr>
        <w:t>Applicant’s lease</w:t>
      </w:r>
      <w:r w:rsidR="00F33597">
        <w:rPr>
          <w:rFonts w:ascii="Georgia" w:hAnsi="Georgia" w:cs="Arial"/>
        </w:rPr>
        <w:t xml:space="preserve"> by way of service charge (and we make no finding on contractual recoverability)</w:t>
      </w:r>
      <w:r w:rsidR="000927B4" w:rsidRPr="007548FA">
        <w:rPr>
          <w:rFonts w:ascii="Georgia" w:hAnsi="Georgia" w:cs="Arial"/>
        </w:rPr>
        <w:t xml:space="preserve"> </w:t>
      </w:r>
      <w:r w:rsidR="00CF2B73">
        <w:rPr>
          <w:rFonts w:ascii="Georgia" w:hAnsi="Georgia" w:cs="Arial"/>
        </w:rPr>
        <w:t xml:space="preserve">we consider that </w:t>
      </w:r>
      <w:r w:rsidR="000927B4" w:rsidRPr="007548FA">
        <w:rPr>
          <w:rFonts w:ascii="Georgia" w:hAnsi="Georgia" w:cs="Arial"/>
        </w:rPr>
        <w:t>it is just and equitable in the circumstances for an order to be made under section 20C of the 1985 Act, so that the Respondent may not pass any of its costs incurred in connection with the proceedings before the tribunal through the service charge.</w:t>
      </w:r>
      <w:r w:rsidR="00CF2B73">
        <w:rPr>
          <w:rFonts w:ascii="Georgia" w:hAnsi="Georgia" w:cs="Arial"/>
        </w:rPr>
        <w:t xml:space="preserve"> As set out above, the Applicant was substantially the successful party in these proceedings</w:t>
      </w:r>
      <w:r w:rsidR="00542786">
        <w:rPr>
          <w:rFonts w:ascii="Georgia" w:hAnsi="Georgia" w:cs="Arial"/>
        </w:rPr>
        <w:t xml:space="preserve">, and the Respondent did not adequately address the points that she raised in her statement of case and scott schedule. </w:t>
      </w:r>
    </w:p>
    <w:tbl>
      <w:tblPr>
        <w:tblW w:w="8595" w:type="dxa"/>
        <w:tblLook w:val="01E0" w:firstRow="1" w:lastRow="1" w:firstColumn="1" w:lastColumn="1" w:noHBand="0" w:noVBand="0"/>
      </w:tblPr>
      <w:tblGrid>
        <w:gridCol w:w="1134"/>
        <w:gridCol w:w="3402"/>
        <w:gridCol w:w="1111"/>
        <w:gridCol w:w="2948"/>
      </w:tblGrid>
      <w:tr w:rsidR="000927B4" w:rsidRPr="007F1C70" w14:paraId="158E832F" w14:textId="77777777" w:rsidTr="00B756E3">
        <w:trPr>
          <w:trHeight w:val="587"/>
        </w:trPr>
        <w:tc>
          <w:tcPr>
            <w:tcW w:w="1134" w:type="dxa"/>
            <w:vAlign w:val="center"/>
          </w:tcPr>
          <w:p w14:paraId="1B994F87" w14:textId="77777777" w:rsidR="000927B4" w:rsidRPr="007F1C70" w:rsidRDefault="000927B4" w:rsidP="00C663E1">
            <w:pPr>
              <w:rPr>
                <w:rFonts w:ascii="Georgia" w:hAnsi="Georgia" w:cs="Arial"/>
                <w:b/>
              </w:rPr>
            </w:pPr>
            <w:r w:rsidRPr="007F1C70">
              <w:rPr>
                <w:rFonts w:ascii="Georgia" w:hAnsi="Georgia" w:cs="Arial"/>
                <w:b/>
              </w:rPr>
              <w:t>Name:</w:t>
            </w:r>
          </w:p>
        </w:tc>
        <w:tc>
          <w:tcPr>
            <w:tcW w:w="3402" w:type="dxa"/>
            <w:vAlign w:val="center"/>
          </w:tcPr>
          <w:p w14:paraId="638CBC1E" w14:textId="1D4ABD50" w:rsidR="000927B4" w:rsidRPr="007F1C70" w:rsidRDefault="00704C2E" w:rsidP="00C663E1">
            <w:pPr>
              <w:rPr>
                <w:rFonts w:ascii="Georgia" w:hAnsi="Georgia" w:cs="Arial"/>
              </w:rPr>
            </w:pPr>
            <w:r>
              <w:rPr>
                <w:rFonts w:ascii="Georgia" w:hAnsi="Georgia" w:cs="Arial"/>
              </w:rPr>
              <w:t>Judge K Neave</w:t>
            </w:r>
          </w:p>
        </w:tc>
        <w:tc>
          <w:tcPr>
            <w:tcW w:w="1111" w:type="dxa"/>
            <w:vAlign w:val="center"/>
          </w:tcPr>
          <w:p w14:paraId="2919AF14" w14:textId="77777777" w:rsidR="000927B4" w:rsidRPr="007F1C70" w:rsidRDefault="000927B4" w:rsidP="00C663E1">
            <w:pPr>
              <w:rPr>
                <w:rFonts w:ascii="Georgia" w:hAnsi="Georgia" w:cs="Arial"/>
                <w:b/>
              </w:rPr>
            </w:pPr>
            <w:r w:rsidRPr="007F1C70">
              <w:rPr>
                <w:rFonts w:ascii="Georgia" w:hAnsi="Georgia" w:cs="Arial"/>
                <w:b/>
              </w:rPr>
              <w:t>Date:</w:t>
            </w:r>
          </w:p>
        </w:tc>
        <w:tc>
          <w:tcPr>
            <w:tcW w:w="2948" w:type="dxa"/>
            <w:vAlign w:val="center"/>
          </w:tcPr>
          <w:p w14:paraId="595E667C" w14:textId="731EF62C" w:rsidR="000927B4" w:rsidRPr="007F1C70" w:rsidRDefault="00BE40DC" w:rsidP="00C663E1">
            <w:pPr>
              <w:rPr>
                <w:rFonts w:ascii="Georgia" w:hAnsi="Georgia" w:cs="Arial"/>
              </w:rPr>
            </w:pPr>
            <w:r>
              <w:rPr>
                <w:rFonts w:ascii="Georgia" w:hAnsi="Georgia" w:cs="Arial"/>
              </w:rPr>
              <w:t>7</w:t>
            </w:r>
            <w:r w:rsidR="00704C2E">
              <w:rPr>
                <w:rFonts w:ascii="Georgia" w:hAnsi="Georgia" w:cs="Arial"/>
              </w:rPr>
              <w:t xml:space="preserve"> August 2025</w:t>
            </w:r>
          </w:p>
        </w:tc>
      </w:tr>
    </w:tbl>
    <w:p w14:paraId="174B5747" w14:textId="77777777" w:rsidR="000927B4" w:rsidRPr="00D274B6" w:rsidRDefault="000927B4" w:rsidP="0046328F">
      <w:pPr>
        <w:spacing w:after="240"/>
        <w:rPr>
          <w:rFonts w:ascii="Georgia" w:hAnsi="Georgia"/>
        </w:rPr>
      </w:pPr>
    </w:p>
    <w:p w14:paraId="3BAA5511" w14:textId="77777777" w:rsidR="00624111" w:rsidRPr="005710A8" w:rsidRDefault="00624111" w:rsidP="0046328F">
      <w:pPr>
        <w:spacing w:after="240"/>
        <w:jc w:val="center"/>
        <w:rPr>
          <w:rFonts w:ascii="Georgia" w:hAnsi="Georgia"/>
          <w:b/>
          <w:u w:val="single"/>
        </w:rPr>
      </w:pPr>
      <w:r w:rsidRPr="005710A8">
        <w:rPr>
          <w:rFonts w:ascii="Georgia" w:hAnsi="Georgia"/>
          <w:b/>
          <w:u w:val="single"/>
        </w:rPr>
        <w:t xml:space="preserve">Rights </w:t>
      </w:r>
      <w:r>
        <w:rPr>
          <w:rFonts w:ascii="Georgia" w:hAnsi="Georgia"/>
          <w:b/>
          <w:u w:val="single"/>
        </w:rPr>
        <w:t>o</w:t>
      </w:r>
      <w:r w:rsidRPr="005710A8">
        <w:rPr>
          <w:rFonts w:ascii="Georgia" w:hAnsi="Georgia"/>
          <w:b/>
          <w:u w:val="single"/>
        </w:rPr>
        <w:t xml:space="preserve">f </w:t>
      </w:r>
      <w:r>
        <w:rPr>
          <w:rFonts w:ascii="Georgia" w:hAnsi="Georgia"/>
          <w:b/>
          <w:u w:val="single"/>
        </w:rPr>
        <w:t>a</w:t>
      </w:r>
      <w:r w:rsidRPr="005710A8">
        <w:rPr>
          <w:rFonts w:ascii="Georgia" w:hAnsi="Georgia"/>
          <w:b/>
          <w:u w:val="single"/>
        </w:rPr>
        <w:t>ppeal</w:t>
      </w:r>
    </w:p>
    <w:p w14:paraId="3CD43B4C" w14:textId="77777777" w:rsidR="00624111" w:rsidRPr="009150F9" w:rsidRDefault="00624111" w:rsidP="0046328F">
      <w:pPr>
        <w:tabs>
          <w:tab w:val="left" w:pos="720"/>
        </w:tabs>
        <w:spacing w:after="240"/>
        <w:jc w:val="both"/>
        <w:rPr>
          <w:rFonts w:ascii="Georgia" w:hAnsi="Georgia"/>
        </w:rPr>
      </w:pPr>
      <w:r w:rsidRPr="009150F9">
        <w:rPr>
          <w:rFonts w:ascii="Georgia" w:hAnsi="Georgia"/>
        </w:rPr>
        <w:t>By rule 36(2) of the Tribunal Procedure (First-tier Tribunal) (Property Chamber) Rules 2013, the tribunal is required to notify the parties about any right of appeal</w:t>
      </w:r>
      <w:r>
        <w:rPr>
          <w:rFonts w:ascii="Georgia" w:hAnsi="Georgia"/>
        </w:rPr>
        <w:t xml:space="preserve"> they may have</w:t>
      </w:r>
      <w:r w:rsidRPr="009150F9">
        <w:rPr>
          <w:rFonts w:ascii="Georgia" w:hAnsi="Georgia"/>
        </w:rPr>
        <w:t>.</w:t>
      </w:r>
    </w:p>
    <w:p w14:paraId="34F3B764" w14:textId="77777777" w:rsidR="00624111" w:rsidRPr="005710A8" w:rsidRDefault="00624111" w:rsidP="0046328F">
      <w:pPr>
        <w:tabs>
          <w:tab w:val="left" w:pos="720"/>
        </w:tabs>
        <w:spacing w:after="240"/>
        <w:jc w:val="both"/>
        <w:rPr>
          <w:rFonts w:ascii="Georgia" w:hAnsi="Georgia"/>
        </w:rPr>
      </w:pPr>
      <w:r>
        <w:rPr>
          <w:rFonts w:ascii="Georgia" w:hAnsi="Georgia"/>
        </w:rPr>
        <w:t>If a party wishes</w:t>
      </w:r>
      <w:r w:rsidRPr="005710A8">
        <w:rPr>
          <w:rFonts w:ascii="Georgia" w:hAnsi="Georgia"/>
        </w:rPr>
        <w:t xml:space="preserve"> to appeal this decision to the Upper Tribunal (Lands Chamber)</w:t>
      </w:r>
      <w:r>
        <w:rPr>
          <w:rFonts w:ascii="Georgia" w:hAnsi="Georgia"/>
        </w:rPr>
        <w:t>,</w:t>
      </w:r>
      <w:r w:rsidRPr="005710A8">
        <w:rPr>
          <w:rFonts w:ascii="Georgia" w:hAnsi="Georgia"/>
        </w:rPr>
        <w:t xml:space="preserve"> </w:t>
      </w:r>
      <w:r>
        <w:rPr>
          <w:rFonts w:ascii="Georgia" w:hAnsi="Georgia"/>
        </w:rPr>
        <w:t>then a written application for permission must be made</w:t>
      </w:r>
      <w:r w:rsidRPr="005710A8">
        <w:rPr>
          <w:rFonts w:ascii="Georgia" w:hAnsi="Georgia"/>
        </w:rPr>
        <w:t xml:space="preserve"> to the First-tier Tribunal at the </w:t>
      </w:r>
      <w:r>
        <w:rPr>
          <w:rFonts w:ascii="Georgia" w:hAnsi="Georgia"/>
        </w:rPr>
        <w:t>r</w:t>
      </w:r>
      <w:r w:rsidRPr="005710A8">
        <w:rPr>
          <w:rFonts w:ascii="Georgia" w:hAnsi="Georgia"/>
        </w:rPr>
        <w:t>egional office which</w:t>
      </w:r>
      <w:r>
        <w:rPr>
          <w:rFonts w:ascii="Georgia" w:hAnsi="Georgia"/>
        </w:rPr>
        <w:t xml:space="preserve"> has been dealing with the case.</w:t>
      </w:r>
    </w:p>
    <w:p w14:paraId="04CF3692" w14:textId="77777777" w:rsidR="00624111" w:rsidRPr="005710A8" w:rsidRDefault="00624111" w:rsidP="0046328F">
      <w:pPr>
        <w:tabs>
          <w:tab w:val="left" w:pos="720"/>
        </w:tabs>
        <w:spacing w:after="240"/>
        <w:jc w:val="both"/>
        <w:rPr>
          <w:rFonts w:ascii="Georgia" w:hAnsi="Georgia"/>
        </w:rPr>
      </w:pPr>
      <w:r w:rsidRPr="005710A8">
        <w:rPr>
          <w:rFonts w:ascii="Georgia" w:hAnsi="Georgia"/>
        </w:rPr>
        <w:t>The applica</w:t>
      </w:r>
      <w:r>
        <w:rPr>
          <w:rFonts w:ascii="Georgia" w:hAnsi="Georgia"/>
        </w:rPr>
        <w:t>tion for permission to appeal must arrive at the regional office</w:t>
      </w:r>
      <w:r w:rsidRPr="005710A8">
        <w:rPr>
          <w:rFonts w:ascii="Georgia" w:hAnsi="Georgia"/>
        </w:rPr>
        <w:t xml:space="preserve"> within 28 days after the </w:t>
      </w:r>
      <w:r>
        <w:rPr>
          <w:rFonts w:ascii="Georgia" w:hAnsi="Georgia"/>
        </w:rPr>
        <w:t>t</w:t>
      </w:r>
      <w:r w:rsidRPr="005710A8">
        <w:rPr>
          <w:rFonts w:ascii="Georgia" w:hAnsi="Georgia"/>
        </w:rPr>
        <w:t xml:space="preserve">ribunal sends </w:t>
      </w:r>
      <w:r>
        <w:rPr>
          <w:rFonts w:ascii="Georgia" w:hAnsi="Georgia"/>
        </w:rPr>
        <w:t xml:space="preserve">written reasons for the decision </w:t>
      </w:r>
      <w:r w:rsidRPr="005710A8">
        <w:rPr>
          <w:rFonts w:ascii="Georgia" w:hAnsi="Georgia"/>
        </w:rPr>
        <w:t>to th</w:t>
      </w:r>
      <w:r>
        <w:rPr>
          <w:rFonts w:ascii="Georgia" w:hAnsi="Georgia"/>
        </w:rPr>
        <w:t>e person making the application</w:t>
      </w:r>
      <w:r w:rsidRPr="005710A8">
        <w:rPr>
          <w:rFonts w:ascii="Georgia" w:hAnsi="Georgia"/>
        </w:rPr>
        <w:t>.</w:t>
      </w:r>
    </w:p>
    <w:p w14:paraId="1C6D3E35" w14:textId="77777777" w:rsidR="00624111" w:rsidRPr="005710A8" w:rsidRDefault="00624111" w:rsidP="0046328F">
      <w:pPr>
        <w:tabs>
          <w:tab w:val="left" w:pos="720"/>
        </w:tabs>
        <w:spacing w:after="240"/>
        <w:jc w:val="both"/>
        <w:rPr>
          <w:rFonts w:ascii="Georgia" w:hAnsi="Georgia"/>
        </w:rPr>
      </w:pPr>
      <w:r w:rsidRPr="005710A8">
        <w:rPr>
          <w:rFonts w:ascii="Georgia" w:hAnsi="Georgia"/>
        </w:rPr>
        <w:t xml:space="preserve">If the </w:t>
      </w:r>
      <w:r>
        <w:rPr>
          <w:rFonts w:ascii="Georgia" w:hAnsi="Georgia"/>
        </w:rPr>
        <w:t>application is not made within</w:t>
      </w:r>
      <w:r w:rsidRPr="005710A8">
        <w:rPr>
          <w:rFonts w:ascii="Georgia" w:hAnsi="Georgia"/>
        </w:rPr>
        <w:t xml:space="preserve"> the 28</w:t>
      </w:r>
      <w:r w:rsidR="00C213DB">
        <w:rPr>
          <w:rFonts w:ascii="Georgia" w:hAnsi="Georgia"/>
        </w:rPr>
        <w:t>-</w:t>
      </w:r>
      <w:r>
        <w:rPr>
          <w:rFonts w:ascii="Georgia" w:hAnsi="Georgia"/>
        </w:rPr>
        <w:t>day time limit, such application must include</w:t>
      </w:r>
      <w:r w:rsidRPr="005710A8">
        <w:rPr>
          <w:rFonts w:ascii="Georgia" w:hAnsi="Georgia"/>
        </w:rPr>
        <w:t xml:space="preserve"> a request for an extension of time and the reason for not complying with the 28</w:t>
      </w:r>
      <w:r w:rsidR="00C213DB">
        <w:rPr>
          <w:rFonts w:ascii="Georgia" w:hAnsi="Georgia"/>
        </w:rPr>
        <w:t>-</w:t>
      </w:r>
      <w:r w:rsidRPr="005710A8">
        <w:rPr>
          <w:rFonts w:ascii="Georgia" w:hAnsi="Georgia"/>
        </w:rPr>
        <w:t xml:space="preserve">day time limit; the </w:t>
      </w:r>
      <w:r>
        <w:rPr>
          <w:rFonts w:ascii="Georgia" w:hAnsi="Georgia"/>
        </w:rPr>
        <w:t>t</w:t>
      </w:r>
      <w:r w:rsidRPr="005710A8">
        <w:rPr>
          <w:rFonts w:ascii="Georgia" w:hAnsi="Georgia"/>
        </w:rPr>
        <w:t>ribunal will then</w:t>
      </w:r>
      <w:r>
        <w:rPr>
          <w:rFonts w:ascii="Georgia" w:hAnsi="Georgia"/>
        </w:rPr>
        <w:t xml:space="preserve"> look at such reason(s) and</w:t>
      </w:r>
      <w:r w:rsidRPr="005710A8">
        <w:rPr>
          <w:rFonts w:ascii="Georgia" w:hAnsi="Georgia"/>
        </w:rPr>
        <w:t xml:space="preserve"> deci</w:t>
      </w:r>
      <w:r>
        <w:rPr>
          <w:rFonts w:ascii="Georgia" w:hAnsi="Georgia"/>
        </w:rPr>
        <w:t>de whether</w:t>
      </w:r>
      <w:r w:rsidRPr="005710A8">
        <w:rPr>
          <w:rFonts w:ascii="Georgia" w:hAnsi="Georgia"/>
        </w:rPr>
        <w:t xml:space="preserve"> to allow the application for permission to appeal to proceed</w:t>
      </w:r>
      <w:r>
        <w:rPr>
          <w:rFonts w:ascii="Georgia" w:hAnsi="Georgia"/>
        </w:rPr>
        <w:t>, despite not being within the time limit</w:t>
      </w:r>
      <w:r w:rsidRPr="005710A8">
        <w:rPr>
          <w:rFonts w:ascii="Georgia" w:hAnsi="Georgia"/>
        </w:rPr>
        <w:t>.</w:t>
      </w:r>
    </w:p>
    <w:p w14:paraId="25F82F74" w14:textId="77777777" w:rsidR="00624111" w:rsidRDefault="00624111" w:rsidP="0046328F">
      <w:pPr>
        <w:tabs>
          <w:tab w:val="left" w:pos="720"/>
        </w:tabs>
        <w:spacing w:after="240"/>
        <w:jc w:val="both"/>
        <w:rPr>
          <w:rFonts w:ascii="Georgia" w:hAnsi="Georgia"/>
        </w:rPr>
      </w:pPr>
      <w:r w:rsidRPr="005710A8">
        <w:rPr>
          <w:rFonts w:ascii="Georgia" w:hAnsi="Georgia"/>
        </w:rPr>
        <w:t xml:space="preserve">The application for permission to appeal must identify the decision of the </w:t>
      </w:r>
      <w:r>
        <w:rPr>
          <w:rFonts w:ascii="Georgia" w:hAnsi="Georgia"/>
        </w:rPr>
        <w:t>t</w:t>
      </w:r>
      <w:r w:rsidRPr="005710A8">
        <w:rPr>
          <w:rFonts w:ascii="Georgia" w:hAnsi="Georgia"/>
        </w:rPr>
        <w:t>ribunal to which it relates</w:t>
      </w:r>
      <w:r>
        <w:rPr>
          <w:rFonts w:ascii="Georgia" w:hAnsi="Georgia"/>
        </w:rPr>
        <w:t xml:space="preserve"> (i.e. give the date, the property and the case number), state the grounds of appeal</w:t>
      </w:r>
      <w:r w:rsidRPr="005710A8">
        <w:rPr>
          <w:rFonts w:ascii="Georgia" w:hAnsi="Georgia"/>
        </w:rPr>
        <w:t xml:space="preserve"> and state the result the party making the application is seeking</w:t>
      </w:r>
      <w:r>
        <w:rPr>
          <w:rFonts w:ascii="Georgia" w:hAnsi="Georgia"/>
        </w:rPr>
        <w:t>.</w:t>
      </w:r>
    </w:p>
    <w:p w14:paraId="3D413175" w14:textId="77777777" w:rsidR="006B47DA" w:rsidRDefault="006B47DA" w:rsidP="0046328F">
      <w:pPr>
        <w:tabs>
          <w:tab w:val="left" w:pos="720"/>
        </w:tabs>
        <w:spacing w:after="240"/>
        <w:jc w:val="both"/>
        <w:rPr>
          <w:rFonts w:ascii="Georgia" w:hAnsi="Georgia"/>
        </w:rPr>
      </w:pPr>
      <w:r>
        <w:rPr>
          <w:rFonts w:ascii="Georgia" w:hAnsi="Georgia"/>
        </w:rPr>
        <w:t xml:space="preserve">If the tribunal refuses to grant permission to appeal, </w:t>
      </w:r>
      <w:r w:rsidRPr="00FE0873">
        <w:rPr>
          <w:rFonts w:ascii="Georgia" w:hAnsi="Georgia"/>
        </w:rPr>
        <w:t xml:space="preserve">a further application for permission may be made </w:t>
      </w:r>
      <w:r>
        <w:rPr>
          <w:rFonts w:ascii="Georgia" w:hAnsi="Georgia"/>
        </w:rPr>
        <w:t>to the Upper Tribunal (Lands Chamber).</w:t>
      </w:r>
    </w:p>
    <w:sectPr w:rsidR="006B47DA" w:rsidSect="005A327A">
      <w:headerReference w:type="even" r:id="rId12"/>
      <w:footerReference w:type="even" r:id="rId13"/>
      <w:footerReference w:type="default" r:id="rId14"/>
      <w:footerReference w:type="first" r:id="rId15"/>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6177" w14:textId="77777777" w:rsidR="00347CF4" w:rsidRDefault="00347CF4">
      <w:r>
        <w:separator/>
      </w:r>
    </w:p>
  </w:endnote>
  <w:endnote w:type="continuationSeparator" w:id="0">
    <w:p w14:paraId="2EE0287E" w14:textId="77777777" w:rsidR="00347CF4" w:rsidRDefault="0034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Humnst BT">
    <w:altName w:val="Lucida Sans Unicode"/>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9B0D" w14:textId="77777777" w:rsidR="00BD1D27" w:rsidRDefault="00BD1D27" w:rsidP="00A500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CE0E72" w14:textId="77777777" w:rsidR="00BD1D27" w:rsidRDefault="00BD1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1E25" w14:textId="7CAE8781" w:rsidR="00BD1D27" w:rsidRPr="005A327A" w:rsidRDefault="00BD1D27" w:rsidP="00C27ECE">
    <w:pPr>
      <w:pStyle w:val="Footer"/>
      <w:jc w:val="center"/>
      <w:rPr>
        <w:rFonts w:ascii="Georgia" w:hAnsi="Georgia"/>
      </w:rPr>
    </w:pPr>
    <w:r w:rsidRPr="005A327A">
      <w:rPr>
        <w:rStyle w:val="PageNumber"/>
        <w:rFonts w:ascii="Georgia" w:hAnsi="Georgia"/>
      </w:rPr>
      <w:fldChar w:fldCharType="begin"/>
    </w:r>
    <w:r w:rsidRPr="005A327A">
      <w:rPr>
        <w:rStyle w:val="PageNumber"/>
        <w:rFonts w:ascii="Georgia" w:hAnsi="Georgia"/>
      </w:rPr>
      <w:instrText xml:space="preserve"> PAGE </w:instrText>
    </w:r>
    <w:r w:rsidRPr="005A327A">
      <w:rPr>
        <w:rStyle w:val="PageNumber"/>
        <w:rFonts w:ascii="Georgia" w:hAnsi="Georgia"/>
      </w:rPr>
      <w:fldChar w:fldCharType="separate"/>
    </w:r>
    <w:r w:rsidR="00360047">
      <w:rPr>
        <w:rStyle w:val="PageNumber"/>
        <w:rFonts w:ascii="Georgia" w:hAnsi="Georgia"/>
        <w:noProof/>
      </w:rPr>
      <w:t>5</w:t>
    </w:r>
    <w:r w:rsidRPr="005A327A">
      <w:rPr>
        <w:rStyle w:val="PageNumber"/>
        <w:rFonts w:ascii="Georgia" w:hAnsi="Georg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EF93" w14:textId="77777777" w:rsidR="00BD1D27" w:rsidRPr="005620EA" w:rsidRDefault="00BD1D27" w:rsidP="005A327A">
    <w:pPr>
      <w:jc w:val="center"/>
      <w:rPr>
        <w:rFonts w:ascii="Georgia" w:hAnsi="Georgia"/>
        <w:sz w:val="20"/>
        <w:szCs w:val="20"/>
      </w:rPr>
    </w:pPr>
    <w:r w:rsidRPr="005620EA">
      <w:rPr>
        <w:rFonts w:ascii="Georgia" w:hAnsi="Georgia"/>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80122" w14:textId="77777777" w:rsidR="00347CF4" w:rsidRDefault="00347CF4">
      <w:r>
        <w:separator/>
      </w:r>
    </w:p>
  </w:footnote>
  <w:footnote w:type="continuationSeparator" w:id="0">
    <w:p w14:paraId="06E402F2" w14:textId="77777777" w:rsidR="00347CF4" w:rsidRDefault="00347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2696" w14:textId="77777777" w:rsidR="00BD1D27" w:rsidRDefault="00BD1D27" w:rsidP="00A500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2209" w14:textId="77777777" w:rsidR="00BD1D27" w:rsidRDefault="00BD1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42ED"/>
    <w:multiLevelType w:val="hybridMultilevel"/>
    <w:tmpl w:val="307091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FB543BB"/>
    <w:multiLevelType w:val="hybridMultilevel"/>
    <w:tmpl w:val="4F782DCA"/>
    <w:lvl w:ilvl="0" w:tplc="EF82FF2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9394A"/>
    <w:multiLevelType w:val="hybridMultilevel"/>
    <w:tmpl w:val="839457A8"/>
    <w:lvl w:ilvl="0" w:tplc="761800B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767167"/>
    <w:multiLevelType w:val="hybridMultilevel"/>
    <w:tmpl w:val="781EA456"/>
    <w:lvl w:ilvl="0" w:tplc="CED8B392">
      <w:start w:val="1"/>
      <w:numFmt w:val="lowerRoman"/>
      <w:lvlText w:val="(%1)"/>
      <w:lvlJc w:val="left"/>
      <w:pPr>
        <w:tabs>
          <w:tab w:val="num" w:pos="1140"/>
        </w:tabs>
        <w:ind w:left="1140" w:hanging="72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4" w15:restartNumberingAfterBreak="0">
    <w:nsid w:val="2B6C1BD8"/>
    <w:multiLevelType w:val="multilevel"/>
    <w:tmpl w:val="8D72EFA6"/>
    <w:lvl w:ilvl="0">
      <w:start w:val="1"/>
      <w:numFmt w:val="decimal"/>
      <w:lvlText w:val="%1."/>
      <w:lvlJc w:val="left"/>
      <w:pPr>
        <w:tabs>
          <w:tab w:val="num" w:pos="360"/>
        </w:tabs>
        <w:ind w:left="360" w:hanging="360"/>
      </w:pPr>
    </w:lvl>
    <w:lvl w:ilvl="1">
      <w:start w:val="1"/>
      <w:numFmt w:val="lowerRoman"/>
      <w:lvlText w:val="(%2)"/>
      <w:lvlJc w:val="left"/>
      <w:pPr>
        <w:tabs>
          <w:tab w:val="num" w:pos="2722"/>
        </w:tabs>
        <w:ind w:left="2722" w:hanging="944"/>
      </w:pPr>
    </w:lvl>
    <w:lvl w:ilvl="2">
      <w:start w:val="1"/>
      <w:numFmt w:val="lowerLetter"/>
      <w:lvlText w:val="(%3)"/>
      <w:lvlJc w:val="left"/>
      <w:pPr>
        <w:tabs>
          <w:tab w:val="num" w:pos="3403"/>
        </w:tabs>
        <w:ind w:left="3403" w:hanging="1265"/>
      </w:pPr>
    </w:lvl>
    <w:lvl w:ilvl="3">
      <w:start w:val="1"/>
      <w:numFmt w:val="decimal"/>
      <w:lvlText w:val="(%4)"/>
      <w:lvlJc w:val="left"/>
      <w:pPr>
        <w:tabs>
          <w:tab w:val="num" w:pos="2858"/>
        </w:tabs>
        <w:ind w:left="2858" w:hanging="360"/>
      </w:pPr>
    </w:lvl>
    <w:lvl w:ilvl="4">
      <w:start w:val="1"/>
      <w:numFmt w:val="lowerLetter"/>
      <w:lvlText w:val="(%5)"/>
      <w:lvlJc w:val="left"/>
      <w:pPr>
        <w:tabs>
          <w:tab w:val="num" w:pos="3218"/>
        </w:tabs>
        <w:ind w:left="3218" w:hanging="360"/>
      </w:pPr>
    </w:lvl>
    <w:lvl w:ilvl="5">
      <w:start w:val="1"/>
      <w:numFmt w:val="lowerRoman"/>
      <w:lvlText w:val="(%6)"/>
      <w:lvlJc w:val="left"/>
      <w:pPr>
        <w:tabs>
          <w:tab w:val="num" w:pos="3578"/>
        </w:tabs>
        <w:ind w:left="3578" w:hanging="360"/>
      </w:pPr>
    </w:lvl>
    <w:lvl w:ilvl="6">
      <w:start w:val="1"/>
      <w:numFmt w:val="decimal"/>
      <w:lvlText w:val="%7."/>
      <w:lvlJc w:val="left"/>
      <w:pPr>
        <w:tabs>
          <w:tab w:val="num" w:pos="3938"/>
        </w:tabs>
        <w:ind w:left="3938" w:hanging="360"/>
      </w:pPr>
    </w:lvl>
    <w:lvl w:ilvl="7">
      <w:start w:val="1"/>
      <w:numFmt w:val="lowerLetter"/>
      <w:lvlText w:val="%8."/>
      <w:lvlJc w:val="left"/>
      <w:pPr>
        <w:tabs>
          <w:tab w:val="num" w:pos="4298"/>
        </w:tabs>
        <w:ind w:left="4298" w:hanging="360"/>
      </w:pPr>
    </w:lvl>
    <w:lvl w:ilvl="8">
      <w:start w:val="1"/>
      <w:numFmt w:val="lowerRoman"/>
      <w:lvlText w:val="%9."/>
      <w:lvlJc w:val="left"/>
      <w:pPr>
        <w:tabs>
          <w:tab w:val="num" w:pos="4658"/>
        </w:tabs>
        <w:ind w:left="4658" w:hanging="360"/>
      </w:pPr>
    </w:lvl>
  </w:abstractNum>
  <w:abstractNum w:abstractNumId="5" w15:restartNumberingAfterBreak="0">
    <w:nsid w:val="3B6C63B2"/>
    <w:multiLevelType w:val="hybridMultilevel"/>
    <w:tmpl w:val="A8066726"/>
    <w:lvl w:ilvl="0" w:tplc="41CEEEB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BA86A08"/>
    <w:multiLevelType w:val="hybridMultilevel"/>
    <w:tmpl w:val="13867364"/>
    <w:lvl w:ilvl="0" w:tplc="FFFFFFFF">
      <w:start w:val="1"/>
      <w:numFmt w:val="decimal"/>
      <w:lvlText w:val="(%1)"/>
      <w:lvlJc w:val="left"/>
      <w:pPr>
        <w:tabs>
          <w:tab w:val="num" w:pos="170"/>
        </w:tabs>
        <w:ind w:left="170" w:hanging="17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539665A"/>
    <w:multiLevelType w:val="hybridMultilevel"/>
    <w:tmpl w:val="BF56F776"/>
    <w:lvl w:ilvl="0" w:tplc="6C66DF76">
      <w:start w:val="1"/>
      <w:numFmt w:val="upperLetter"/>
      <w:lvlText w:val="(%1)"/>
      <w:lvlJc w:val="left"/>
      <w:pPr>
        <w:tabs>
          <w:tab w:val="num" w:pos="4034"/>
        </w:tabs>
        <w:ind w:left="4034" w:hanging="794"/>
      </w:pPr>
      <w:rPr>
        <w:rFonts w:ascii="Georgia" w:hAnsi="Georg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86C0C33"/>
    <w:multiLevelType w:val="hybridMultilevel"/>
    <w:tmpl w:val="F386EEF8"/>
    <w:lvl w:ilvl="0" w:tplc="00C27690">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8DA2150"/>
    <w:multiLevelType w:val="hybridMultilevel"/>
    <w:tmpl w:val="B42CA35A"/>
    <w:lvl w:ilvl="0" w:tplc="333499BE">
      <w:start w:val="1"/>
      <w:numFmt w:val="decimal"/>
      <w:lvlText w:val="%1."/>
      <w:lvlJc w:val="left"/>
      <w:pPr>
        <w:tabs>
          <w:tab w:val="num" w:pos="720"/>
        </w:tabs>
        <w:ind w:left="720" w:hanging="360"/>
      </w:pPr>
      <w:rPr>
        <w:rFonts w:cs="Times New Roman"/>
        <w:b w:val="0"/>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0" w15:restartNumberingAfterBreak="0">
    <w:nsid w:val="50F228C7"/>
    <w:multiLevelType w:val="hybridMultilevel"/>
    <w:tmpl w:val="2A4E6E72"/>
    <w:lvl w:ilvl="0" w:tplc="79DC4D1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1583DEC"/>
    <w:multiLevelType w:val="hybridMultilevel"/>
    <w:tmpl w:val="AACE42CE"/>
    <w:lvl w:ilvl="0" w:tplc="048822FA">
      <w:start w:val="1"/>
      <w:numFmt w:val="lowerRoman"/>
      <w:lvlText w:val="(%1)"/>
      <w:lvlJc w:val="left"/>
      <w:pPr>
        <w:tabs>
          <w:tab w:val="num" w:pos="1493"/>
        </w:tabs>
        <w:ind w:left="1493" w:hanging="360"/>
      </w:pPr>
      <w:rPr>
        <w:rFonts w:hint="default"/>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12" w15:restartNumberingAfterBreak="0">
    <w:nsid w:val="694E2D6E"/>
    <w:multiLevelType w:val="hybridMultilevel"/>
    <w:tmpl w:val="963874B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0848821">
    <w:abstractNumId w:val="0"/>
  </w:num>
  <w:num w:numId="2" w16cid:durableId="1364475989">
    <w:abstractNumId w:val="12"/>
  </w:num>
  <w:num w:numId="3" w16cid:durableId="481702066">
    <w:abstractNumId w:val="5"/>
  </w:num>
  <w:num w:numId="4" w16cid:durableId="817263977">
    <w:abstractNumId w:val="8"/>
  </w:num>
  <w:num w:numId="5" w16cid:durableId="1769815456">
    <w:abstractNumId w:val="3"/>
  </w:num>
  <w:num w:numId="6" w16cid:durableId="1064373229">
    <w:abstractNumId w:val="10"/>
  </w:num>
  <w:num w:numId="7" w16cid:durableId="915280421">
    <w:abstractNumId w:val="2"/>
  </w:num>
  <w:num w:numId="8" w16cid:durableId="1386181289">
    <w:abstractNumId w:val="4"/>
  </w:num>
  <w:num w:numId="9" w16cid:durableId="1524591910">
    <w:abstractNumId w:val="6"/>
  </w:num>
  <w:num w:numId="10" w16cid:durableId="1149520106">
    <w:abstractNumId w:val="11"/>
  </w:num>
  <w:num w:numId="11" w16cid:durableId="959459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503931">
    <w:abstractNumId w:val="1"/>
  </w:num>
  <w:num w:numId="13" w16cid:durableId="125512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652A41-363A-4442-BC8C-A9F891F6876A}"/>
    <w:docVar w:name="dgnword-eventsink" w:val="501871712"/>
  </w:docVars>
  <w:rsids>
    <w:rsidRoot w:val="00CD3CD2"/>
    <w:rsid w:val="000050B5"/>
    <w:rsid w:val="000066F8"/>
    <w:rsid w:val="00011BD7"/>
    <w:rsid w:val="00014239"/>
    <w:rsid w:val="00044611"/>
    <w:rsid w:val="00044925"/>
    <w:rsid w:val="0005104A"/>
    <w:rsid w:val="0005642C"/>
    <w:rsid w:val="00056F79"/>
    <w:rsid w:val="000624F9"/>
    <w:rsid w:val="0007450D"/>
    <w:rsid w:val="00074F9B"/>
    <w:rsid w:val="000759AC"/>
    <w:rsid w:val="00076D59"/>
    <w:rsid w:val="000927B4"/>
    <w:rsid w:val="00092C14"/>
    <w:rsid w:val="000940FC"/>
    <w:rsid w:val="0009601C"/>
    <w:rsid w:val="00097755"/>
    <w:rsid w:val="000A2897"/>
    <w:rsid w:val="000A28E6"/>
    <w:rsid w:val="000A6185"/>
    <w:rsid w:val="000B01F2"/>
    <w:rsid w:val="000B422E"/>
    <w:rsid w:val="000B6F5E"/>
    <w:rsid w:val="000C2BA6"/>
    <w:rsid w:val="000C3075"/>
    <w:rsid w:val="000C351A"/>
    <w:rsid w:val="000C4DBC"/>
    <w:rsid w:val="000C7A9E"/>
    <w:rsid w:val="000D0007"/>
    <w:rsid w:val="000D0A5C"/>
    <w:rsid w:val="000D1E85"/>
    <w:rsid w:val="000D46FF"/>
    <w:rsid w:val="000E5A17"/>
    <w:rsid w:val="001050AF"/>
    <w:rsid w:val="0010510F"/>
    <w:rsid w:val="001051CA"/>
    <w:rsid w:val="001076D2"/>
    <w:rsid w:val="00111AE3"/>
    <w:rsid w:val="001170DB"/>
    <w:rsid w:val="00126745"/>
    <w:rsid w:val="0013066B"/>
    <w:rsid w:val="001420C8"/>
    <w:rsid w:val="0014336E"/>
    <w:rsid w:val="0014406C"/>
    <w:rsid w:val="0016177E"/>
    <w:rsid w:val="00174E1A"/>
    <w:rsid w:val="00182662"/>
    <w:rsid w:val="00182BF4"/>
    <w:rsid w:val="00195817"/>
    <w:rsid w:val="001A1BEA"/>
    <w:rsid w:val="001A3F38"/>
    <w:rsid w:val="001A7546"/>
    <w:rsid w:val="001B543B"/>
    <w:rsid w:val="001C0FF1"/>
    <w:rsid w:val="001C37E4"/>
    <w:rsid w:val="001C3BF8"/>
    <w:rsid w:val="001D17DF"/>
    <w:rsid w:val="001D2E46"/>
    <w:rsid w:val="001D6676"/>
    <w:rsid w:val="001E2A1C"/>
    <w:rsid w:val="001F0332"/>
    <w:rsid w:val="001F1897"/>
    <w:rsid w:val="002034A5"/>
    <w:rsid w:val="002145A7"/>
    <w:rsid w:val="00216AF5"/>
    <w:rsid w:val="002210DA"/>
    <w:rsid w:val="0022515B"/>
    <w:rsid w:val="002266C8"/>
    <w:rsid w:val="002302A3"/>
    <w:rsid w:val="0023545E"/>
    <w:rsid w:val="00251E2F"/>
    <w:rsid w:val="00263C0E"/>
    <w:rsid w:val="00264B0F"/>
    <w:rsid w:val="002655C1"/>
    <w:rsid w:val="00266AD2"/>
    <w:rsid w:val="00274B6A"/>
    <w:rsid w:val="0029058D"/>
    <w:rsid w:val="00292DBA"/>
    <w:rsid w:val="0029383D"/>
    <w:rsid w:val="002A4653"/>
    <w:rsid w:val="002A496C"/>
    <w:rsid w:val="002A6160"/>
    <w:rsid w:val="002A7A0D"/>
    <w:rsid w:val="002B0D0C"/>
    <w:rsid w:val="002B683E"/>
    <w:rsid w:val="002D2859"/>
    <w:rsid w:val="002D4942"/>
    <w:rsid w:val="002E05E3"/>
    <w:rsid w:val="002E0C3C"/>
    <w:rsid w:val="002E2780"/>
    <w:rsid w:val="002F0F0C"/>
    <w:rsid w:val="002F3E0D"/>
    <w:rsid w:val="002F59FD"/>
    <w:rsid w:val="00303A44"/>
    <w:rsid w:val="00310B40"/>
    <w:rsid w:val="00310CF2"/>
    <w:rsid w:val="00313A34"/>
    <w:rsid w:val="00323BB7"/>
    <w:rsid w:val="00327971"/>
    <w:rsid w:val="00330B9D"/>
    <w:rsid w:val="0034244D"/>
    <w:rsid w:val="003431AC"/>
    <w:rsid w:val="00343E1E"/>
    <w:rsid w:val="00347CF4"/>
    <w:rsid w:val="00352FA6"/>
    <w:rsid w:val="00354793"/>
    <w:rsid w:val="00356514"/>
    <w:rsid w:val="00357389"/>
    <w:rsid w:val="00360047"/>
    <w:rsid w:val="0037028D"/>
    <w:rsid w:val="003715A6"/>
    <w:rsid w:val="00373285"/>
    <w:rsid w:val="0037443F"/>
    <w:rsid w:val="00396448"/>
    <w:rsid w:val="003A13D4"/>
    <w:rsid w:val="003A6BD1"/>
    <w:rsid w:val="003A6DA1"/>
    <w:rsid w:val="003C7596"/>
    <w:rsid w:val="003D12B8"/>
    <w:rsid w:val="003D1987"/>
    <w:rsid w:val="003D5FD9"/>
    <w:rsid w:val="003E36DE"/>
    <w:rsid w:val="0040167B"/>
    <w:rsid w:val="00401D87"/>
    <w:rsid w:val="00402A25"/>
    <w:rsid w:val="00402C86"/>
    <w:rsid w:val="00407B8F"/>
    <w:rsid w:val="0041008C"/>
    <w:rsid w:val="00410C61"/>
    <w:rsid w:val="00414E31"/>
    <w:rsid w:val="00417092"/>
    <w:rsid w:val="00421BC6"/>
    <w:rsid w:val="00434AAE"/>
    <w:rsid w:val="00435BA1"/>
    <w:rsid w:val="00441210"/>
    <w:rsid w:val="004444C5"/>
    <w:rsid w:val="004457BA"/>
    <w:rsid w:val="00446345"/>
    <w:rsid w:val="004463B7"/>
    <w:rsid w:val="0045792D"/>
    <w:rsid w:val="0046328F"/>
    <w:rsid w:val="004675E2"/>
    <w:rsid w:val="00473DF5"/>
    <w:rsid w:val="00476174"/>
    <w:rsid w:val="00483D12"/>
    <w:rsid w:val="004841E0"/>
    <w:rsid w:val="0048509F"/>
    <w:rsid w:val="00490F9B"/>
    <w:rsid w:val="00493B41"/>
    <w:rsid w:val="004977C2"/>
    <w:rsid w:val="004A0FB6"/>
    <w:rsid w:val="004A24EC"/>
    <w:rsid w:val="004A46BE"/>
    <w:rsid w:val="004A63C2"/>
    <w:rsid w:val="004C7783"/>
    <w:rsid w:val="004D1312"/>
    <w:rsid w:val="004D21DA"/>
    <w:rsid w:val="004D5C14"/>
    <w:rsid w:val="004E0B9B"/>
    <w:rsid w:val="00502D04"/>
    <w:rsid w:val="0050502C"/>
    <w:rsid w:val="00514388"/>
    <w:rsid w:val="005154F5"/>
    <w:rsid w:val="0051591F"/>
    <w:rsid w:val="00520232"/>
    <w:rsid w:val="0052302B"/>
    <w:rsid w:val="005316EF"/>
    <w:rsid w:val="0053282D"/>
    <w:rsid w:val="00537C66"/>
    <w:rsid w:val="00540DE7"/>
    <w:rsid w:val="00542786"/>
    <w:rsid w:val="00543F56"/>
    <w:rsid w:val="00545A41"/>
    <w:rsid w:val="00546CE8"/>
    <w:rsid w:val="00550197"/>
    <w:rsid w:val="00550CAE"/>
    <w:rsid w:val="00551595"/>
    <w:rsid w:val="005525E4"/>
    <w:rsid w:val="00555385"/>
    <w:rsid w:val="00556F1F"/>
    <w:rsid w:val="005620EA"/>
    <w:rsid w:val="00566B36"/>
    <w:rsid w:val="00575B14"/>
    <w:rsid w:val="0057791E"/>
    <w:rsid w:val="005831CA"/>
    <w:rsid w:val="00584934"/>
    <w:rsid w:val="005859C9"/>
    <w:rsid w:val="00587B0E"/>
    <w:rsid w:val="00587C99"/>
    <w:rsid w:val="00590F60"/>
    <w:rsid w:val="00591502"/>
    <w:rsid w:val="00595B7D"/>
    <w:rsid w:val="005A1D7C"/>
    <w:rsid w:val="005A2815"/>
    <w:rsid w:val="005A327A"/>
    <w:rsid w:val="005A6A27"/>
    <w:rsid w:val="005A6B29"/>
    <w:rsid w:val="005B78E3"/>
    <w:rsid w:val="005C4AE6"/>
    <w:rsid w:val="005C4BE2"/>
    <w:rsid w:val="005C50B8"/>
    <w:rsid w:val="005C7FEC"/>
    <w:rsid w:val="005D446B"/>
    <w:rsid w:val="005D6A5F"/>
    <w:rsid w:val="005E199E"/>
    <w:rsid w:val="005E3FFB"/>
    <w:rsid w:val="005E6FF2"/>
    <w:rsid w:val="005F204C"/>
    <w:rsid w:val="005F2832"/>
    <w:rsid w:val="005F69D6"/>
    <w:rsid w:val="00612727"/>
    <w:rsid w:val="00612DF6"/>
    <w:rsid w:val="00617940"/>
    <w:rsid w:val="006203FE"/>
    <w:rsid w:val="006240B7"/>
    <w:rsid w:val="00624111"/>
    <w:rsid w:val="00624199"/>
    <w:rsid w:val="00631885"/>
    <w:rsid w:val="00636135"/>
    <w:rsid w:val="00640CCD"/>
    <w:rsid w:val="006453FA"/>
    <w:rsid w:val="00650C96"/>
    <w:rsid w:val="006561CD"/>
    <w:rsid w:val="00656C1B"/>
    <w:rsid w:val="00657238"/>
    <w:rsid w:val="0066038E"/>
    <w:rsid w:val="006604A4"/>
    <w:rsid w:val="00661C6D"/>
    <w:rsid w:val="0066256B"/>
    <w:rsid w:val="00663688"/>
    <w:rsid w:val="006636D6"/>
    <w:rsid w:val="00665AD1"/>
    <w:rsid w:val="006715D2"/>
    <w:rsid w:val="006740A6"/>
    <w:rsid w:val="00685077"/>
    <w:rsid w:val="006936DA"/>
    <w:rsid w:val="00694C56"/>
    <w:rsid w:val="00695764"/>
    <w:rsid w:val="006A7F90"/>
    <w:rsid w:val="006B0369"/>
    <w:rsid w:val="006B0C35"/>
    <w:rsid w:val="006B3AF8"/>
    <w:rsid w:val="006B47DA"/>
    <w:rsid w:val="006C6753"/>
    <w:rsid w:val="006D3B48"/>
    <w:rsid w:val="00704C2E"/>
    <w:rsid w:val="00706030"/>
    <w:rsid w:val="007074A0"/>
    <w:rsid w:val="007118E0"/>
    <w:rsid w:val="00715DF9"/>
    <w:rsid w:val="0071629C"/>
    <w:rsid w:val="00721822"/>
    <w:rsid w:val="00722DA9"/>
    <w:rsid w:val="00724F05"/>
    <w:rsid w:val="00727E7E"/>
    <w:rsid w:val="00744F9E"/>
    <w:rsid w:val="007469D6"/>
    <w:rsid w:val="00747BAE"/>
    <w:rsid w:val="00764021"/>
    <w:rsid w:val="007676FE"/>
    <w:rsid w:val="00785CA6"/>
    <w:rsid w:val="0079391F"/>
    <w:rsid w:val="007953C7"/>
    <w:rsid w:val="007A7159"/>
    <w:rsid w:val="007B5EFC"/>
    <w:rsid w:val="007B6457"/>
    <w:rsid w:val="007B6767"/>
    <w:rsid w:val="007D014B"/>
    <w:rsid w:val="007E0A24"/>
    <w:rsid w:val="007F0AC3"/>
    <w:rsid w:val="007F1C70"/>
    <w:rsid w:val="007F4378"/>
    <w:rsid w:val="007F43CA"/>
    <w:rsid w:val="007F43D6"/>
    <w:rsid w:val="007F4586"/>
    <w:rsid w:val="00816227"/>
    <w:rsid w:val="008316F8"/>
    <w:rsid w:val="008349F4"/>
    <w:rsid w:val="00836975"/>
    <w:rsid w:val="00837A37"/>
    <w:rsid w:val="0084203B"/>
    <w:rsid w:val="00857ADD"/>
    <w:rsid w:val="00861D14"/>
    <w:rsid w:val="00865CAD"/>
    <w:rsid w:val="00867960"/>
    <w:rsid w:val="0088362E"/>
    <w:rsid w:val="00891C79"/>
    <w:rsid w:val="00891D04"/>
    <w:rsid w:val="008931C3"/>
    <w:rsid w:val="008A4744"/>
    <w:rsid w:val="008B184D"/>
    <w:rsid w:val="008B281B"/>
    <w:rsid w:val="008B3B76"/>
    <w:rsid w:val="008C22F7"/>
    <w:rsid w:val="008C46CC"/>
    <w:rsid w:val="008C6031"/>
    <w:rsid w:val="008D29D0"/>
    <w:rsid w:val="008D7DC3"/>
    <w:rsid w:val="008E42F4"/>
    <w:rsid w:val="008E623B"/>
    <w:rsid w:val="009012EC"/>
    <w:rsid w:val="009012FD"/>
    <w:rsid w:val="00903DC4"/>
    <w:rsid w:val="0092010E"/>
    <w:rsid w:val="00925A24"/>
    <w:rsid w:val="00932A05"/>
    <w:rsid w:val="00936176"/>
    <w:rsid w:val="00953461"/>
    <w:rsid w:val="00955646"/>
    <w:rsid w:val="00964F35"/>
    <w:rsid w:val="00966166"/>
    <w:rsid w:val="00973A66"/>
    <w:rsid w:val="009813D8"/>
    <w:rsid w:val="00985B5B"/>
    <w:rsid w:val="0099458A"/>
    <w:rsid w:val="009B0142"/>
    <w:rsid w:val="009B3FCE"/>
    <w:rsid w:val="009B6476"/>
    <w:rsid w:val="009B7098"/>
    <w:rsid w:val="009E07D0"/>
    <w:rsid w:val="009E270D"/>
    <w:rsid w:val="009F6F3F"/>
    <w:rsid w:val="00A01F79"/>
    <w:rsid w:val="00A12C76"/>
    <w:rsid w:val="00A14D87"/>
    <w:rsid w:val="00A17C77"/>
    <w:rsid w:val="00A2450A"/>
    <w:rsid w:val="00A330D1"/>
    <w:rsid w:val="00A411E1"/>
    <w:rsid w:val="00A42B6A"/>
    <w:rsid w:val="00A4369F"/>
    <w:rsid w:val="00A43E12"/>
    <w:rsid w:val="00A4530C"/>
    <w:rsid w:val="00A45E2D"/>
    <w:rsid w:val="00A464C2"/>
    <w:rsid w:val="00A50057"/>
    <w:rsid w:val="00A50469"/>
    <w:rsid w:val="00A60234"/>
    <w:rsid w:val="00A6152D"/>
    <w:rsid w:val="00A617FD"/>
    <w:rsid w:val="00A62D09"/>
    <w:rsid w:val="00A63B15"/>
    <w:rsid w:val="00A64AAE"/>
    <w:rsid w:val="00A6597B"/>
    <w:rsid w:val="00A7200F"/>
    <w:rsid w:val="00A8375A"/>
    <w:rsid w:val="00A85007"/>
    <w:rsid w:val="00A855D4"/>
    <w:rsid w:val="00A8736F"/>
    <w:rsid w:val="00A901C6"/>
    <w:rsid w:val="00A934CE"/>
    <w:rsid w:val="00AA3914"/>
    <w:rsid w:val="00AA49E1"/>
    <w:rsid w:val="00AA52AB"/>
    <w:rsid w:val="00AB38FF"/>
    <w:rsid w:val="00AB3C34"/>
    <w:rsid w:val="00AB3CED"/>
    <w:rsid w:val="00AC4289"/>
    <w:rsid w:val="00AD6E7E"/>
    <w:rsid w:val="00AE0C0E"/>
    <w:rsid w:val="00AE1557"/>
    <w:rsid w:val="00AE5147"/>
    <w:rsid w:val="00AE6A68"/>
    <w:rsid w:val="00B200DF"/>
    <w:rsid w:val="00B324FA"/>
    <w:rsid w:val="00B36EBF"/>
    <w:rsid w:val="00B37A08"/>
    <w:rsid w:val="00B41AE2"/>
    <w:rsid w:val="00B4571D"/>
    <w:rsid w:val="00B504F5"/>
    <w:rsid w:val="00B51538"/>
    <w:rsid w:val="00B72684"/>
    <w:rsid w:val="00B74BB1"/>
    <w:rsid w:val="00B756E3"/>
    <w:rsid w:val="00B75F16"/>
    <w:rsid w:val="00B84DA7"/>
    <w:rsid w:val="00B85003"/>
    <w:rsid w:val="00B86575"/>
    <w:rsid w:val="00B871E6"/>
    <w:rsid w:val="00B956B1"/>
    <w:rsid w:val="00BA630A"/>
    <w:rsid w:val="00BD153F"/>
    <w:rsid w:val="00BD1D27"/>
    <w:rsid w:val="00BE01BC"/>
    <w:rsid w:val="00BE40DC"/>
    <w:rsid w:val="00C213DB"/>
    <w:rsid w:val="00C27ECE"/>
    <w:rsid w:val="00C318EF"/>
    <w:rsid w:val="00C361AE"/>
    <w:rsid w:val="00C416B0"/>
    <w:rsid w:val="00C4211E"/>
    <w:rsid w:val="00C43886"/>
    <w:rsid w:val="00C45090"/>
    <w:rsid w:val="00C47C58"/>
    <w:rsid w:val="00C47D96"/>
    <w:rsid w:val="00C53280"/>
    <w:rsid w:val="00C5468C"/>
    <w:rsid w:val="00C61B29"/>
    <w:rsid w:val="00C61E5A"/>
    <w:rsid w:val="00C66093"/>
    <w:rsid w:val="00C663E1"/>
    <w:rsid w:val="00C67A4B"/>
    <w:rsid w:val="00C77864"/>
    <w:rsid w:val="00C77A7C"/>
    <w:rsid w:val="00C80CE7"/>
    <w:rsid w:val="00C94DE4"/>
    <w:rsid w:val="00C95045"/>
    <w:rsid w:val="00C96EA0"/>
    <w:rsid w:val="00CA5BD9"/>
    <w:rsid w:val="00CA7AB0"/>
    <w:rsid w:val="00CC67E1"/>
    <w:rsid w:val="00CD1DD2"/>
    <w:rsid w:val="00CD20CA"/>
    <w:rsid w:val="00CD3CD2"/>
    <w:rsid w:val="00CD651D"/>
    <w:rsid w:val="00CD6AF6"/>
    <w:rsid w:val="00CE7E30"/>
    <w:rsid w:val="00CF2B73"/>
    <w:rsid w:val="00D0586E"/>
    <w:rsid w:val="00D10DAE"/>
    <w:rsid w:val="00D13D6E"/>
    <w:rsid w:val="00D140CC"/>
    <w:rsid w:val="00D16EC5"/>
    <w:rsid w:val="00D2179A"/>
    <w:rsid w:val="00D32ACA"/>
    <w:rsid w:val="00D3455D"/>
    <w:rsid w:val="00D36609"/>
    <w:rsid w:val="00D43EAA"/>
    <w:rsid w:val="00D5259A"/>
    <w:rsid w:val="00D64A93"/>
    <w:rsid w:val="00D84341"/>
    <w:rsid w:val="00D97AA1"/>
    <w:rsid w:val="00DA3876"/>
    <w:rsid w:val="00DA702B"/>
    <w:rsid w:val="00DA744C"/>
    <w:rsid w:val="00DB5975"/>
    <w:rsid w:val="00DC3988"/>
    <w:rsid w:val="00DC44AC"/>
    <w:rsid w:val="00DC71AC"/>
    <w:rsid w:val="00DD1F70"/>
    <w:rsid w:val="00DD6A08"/>
    <w:rsid w:val="00DE413A"/>
    <w:rsid w:val="00DE5366"/>
    <w:rsid w:val="00DF1AB4"/>
    <w:rsid w:val="00DF3B31"/>
    <w:rsid w:val="00DF603C"/>
    <w:rsid w:val="00DF639A"/>
    <w:rsid w:val="00DF768B"/>
    <w:rsid w:val="00E016A5"/>
    <w:rsid w:val="00E04087"/>
    <w:rsid w:val="00E1142F"/>
    <w:rsid w:val="00E11498"/>
    <w:rsid w:val="00E1214F"/>
    <w:rsid w:val="00E12D02"/>
    <w:rsid w:val="00E157FE"/>
    <w:rsid w:val="00E270EA"/>
    <w:rsid w:val="00E353FF"/>
    <w:rsid w:val="00E375BB"/>
    <w:rsid w:val="00E41AFC"/>
    <w:rsid w:val="00E50467"/>
    <w:rsid w:val="00E62323"/>
    <w:rsid w:val="00E64611"/>
    <w:rsid w:val="00E6577F"/>
    <w:rsid w:val="00E65EFB"/>
    <w:rsid w:val="00E66C88"/>
    <w:rsid w:val="00E9034E"/>
    <w:rsid w:val="00E93801"/>
    <w:rsid w:val="00E9437F"/>
    <w:rsid w:val="00E965C4"/>
    <w:rsid w:val="00EA0D46"/>
    <w:rsid w:val="00EA23BA"/>
    <w:rsid w:val="00EB5B77"/>
    <w:rsid w:val="00EC25D6"/>
    <w:rsid w:val="00EC279F"/>
    <w:rsid w:val="00ED521F"/>
    <w:rsid w:val="00EE128F"/>
    <w:rsid w:val="00EE7A1C"/>
    <w:rsid w:val="00EF4D40"/>
    <w:rsid w:val="00EF556D"/>
    <w:rsid w:val="00F0029E"/>
    <w:rsid w:val="00F04A99"/>
    <w:rsid w:val="00F109B2"/>
    <w:rsid w:val="00F11742"/>
    <w:rsid w:val="00F27FD1"/>
    <w:rsid w:val="00F33597"/>
    <w:rsid w:val="00F47849"/>
    <w:rsid w:val="00F528E1"/>
    <w:rsid w:val="00F63120"/>
    <w:rsid w:val="00F6525F"/>
    <w:rsid w:val="00F673D6"/>
    <w:rsid w:val="00F82ABB"/>
    <w:rsid w:val="00F91CC7"/>
    <w:rsid w:val="00F9322E"/>
    <w:rsid w:val="00F9399B"/>
    <w:rsid w:val="00FB7F44"/>
    <w:rsid w:val="00FD40FC"/>
    <w:rsid w:val="00FE1B9D"/>
    <w:rsid w:val="00FE5DF0"/>
    <w:rsid w:val="00FF0FD5"/>
    <w:rsid w:val="0609D2D5"/>
    <w:rsid w:val="0EA31633"/>
    <w:rsid w:val="15D45BAF"/>
    <w:rsid w:val="1AE3C1FB"/>
    <w:rsid w:val="1D9CC396"/>
    <w:rsid w:val="1E2DB07D"/>
    <w:rsid w:val="1E63E3C2"/>
    <w:rsid w:val="1E8E2336"/>
    <w:rsid w:val="2092C19E"/>
    <w:rsid w:val="2314EECE"/>
    <w:rsid w:val="27ACC2E4"/>
    <w:rsid w:val="300E8D72"/>
    <w:rsid w:val="38426684"/>
    <w:rsid w:val="39A2A0F7"/>
    <w:rsid w:val="3A55B558"/>
    <w:rsid w:val="471E983C"/>
    <w:rsid w:val="49F8D74A"/>
    <w:rsid w:val="4E8245C2"/>
    <w:rsid w:val="4E99AD10"/>
    <w:rsid w:val="5B3511C6"/>
    <w:rsid w:val="66561C03"/>
    <w:rsid w:val="6B1F290F"/>
    <w:rsid w:val="6BE202CB"/>
    <w:rsid w:val="724C7D02"/>
    <w:rsid w:val="76040189"/>
    <w:rsid w:val="7AC0777C"/>
    <w:rsid w:val="7D4ED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956A0"/>
  <w15:chartTrackingRefBased/>
  <w15:docId w15:val="{72A5727C-E003-4D3C-AA51-411E1226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43EAA"/>
    <w:pPr>
      <w:keepNext/>
      <w:jc w:val="center"/>
      <w:outlineLvl w:val="0"/>
    </w:pPr>
    <w:rPr>
      <w:rFonts w:ascii="Arial" w:hAnsi="Arial"/>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3EAA"/>
    <w:pPr>
      <w:jc w:val="center"/>
    </w:pPr>
    <w:rPr>
      <w:rFonts w:ascii="Arial" w:hAnsi="Arial"/>
      <w:b/>
      <w:bCs/>
      <w:sz w:val="32"/>
      <w:lang w:eastAsia="en-US"/>
    </w:rPr>
  </w:style>
  <w:style w:type="paragraph" w:styleId="Footer">
    <w:name w:val="footer"/>
    <w:basedOn w:val="Normal"/>
    <w:rsid w:val="00D43EAA"/>
    <w:pPr>
      <w:tabs>
        <w:tab w:val="center" w:pos="4153"/>
        <w:tab w:val="right" w:pos="8306"/>
      </w:tabs>
    </w:pPr>
    <w:rPr>
      <w:spacing w:val="-3"/>
      <w:szCs w:val="20"/>
      <w:lang w:eastAsia="en-US"/>
    </w:rPr>
  </w:style>
  <w:style w:type="paragraph" w:styleId="Header">
    <w:name w:val="header"/>
    <w:basedOn w:val="Normal"/>
    <w:rsid w:val="00D43EAA"/>
    <w:pPr>
      <w:tabs>
        <w:tab w:val="center" w:pos="4153"/>
        <w:tab w:val="right" w:pos="8306"/>
      </w:tabs>
    </w:pPr>
  </w:style>
  <w:style w:type="character" w:styleId="PageNumber">
    <w:name w:val="page number"/>
    <w:basedOn w:val="DefaultParagraphFont"/>
    <w:rsid w:val="00D43EAA"/>
  </w:style>
  <w:style w:type="table" w:styleId="TableGrid">
    <w:name w:val="Table Grid"/>
    <w:basedOn w:val="TableNormal"/>
    <w:rsid w:val="00724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next w:val="Normal"/>
    <w:rsid w:val="000927B4"/>
    <w:pPr>
      <w:autoSpaceDE w:val="0"/>
      <w:autoSpaceDN w:val="0"/>
      <w:adjustRightInd w:val="0"/>
    </w:pPr>
    <w:rPr>
      <w:rFonts w:ascii="Verdana" w:hAnsi="Verdana"/>
      <w:lang w:val="en-US" w:eastAsia="en-US"/>
    </w:rPr>
  </w:style>
  <w:style w:type="paragraph" w:styleId="FootnoteText">
    <w:name w:val="footnote text"/>
    <w:basedOn w:val="Normal"/>
    <w:semiHidden/>
    <w:rsid w:val="000927B4"/>
    <w:rPr>
      <w:rFonts w:ascii="ZapfHumnst BT" w:hAnsi="ZapfHumnst BT"/>
      <w:sz w:val="20"/>
      <w:szCs w:val="20"/>
      <w:lang w:eastAsia="en-US"/>
    </w:rPr>
  </w:style>
  <w:style w:type="character" w:styleId="FootnoteReference">
    <w:name w:val="footnote reference"/>
    <w:semiHidden/>
    <w:rsid w:val="000927B4"/>
    <w:rPr>
      <w:vertAlign w:val="superscript"/>
    </w:rPr>
  </w:style>
  <w:style w:type="paragraph" w:styleId="ListParagraph">
    <w:name w:val="List Paragraph"/>
    <w:basedOn w:val="Normal"/>
    <w:uiPriority w:val="34"/>
    <w:qFormat/>
    <w:rsid w:val="000B6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99E0FD73D3E4D84862663A4D33FCE" ma:contentTypeVersion="27" ma:contentTypeDescription="Create a new document." ma:contentTypeScope="" ma:versionID="92841620ef55a5f68716364495492551">
  <xsd:schema xmlns:xsd="http://www.w3.org/2001/XMLSchema" xmlns:xs="http://www.w3.org/2001/XMLSchema" xmlns:p="http://schemas.microsoft.com/office/2006/metadata/properties" xmlns:ns1="http://schemas.microsoft.com/sharepoint/v3" xmlns:ns2="872a79b5-d9d6-4593-a8a7-149981f7045e" xmlns:ns3="2520a3a8-e6dc-4611-b3d5-a302db2a6b56" targetNamespace="http://schemas.microsoft.com/office/2006/metadata/properties" ma:root="true" ma:fieldsID="1ea165276c1daad8872ea908328c752a" ns1:_="" ns2:_="" ns3:_="">
    <xsd:import namespace="http://schemas.microsoft.com/sharepoint/v3"/>
    <xsd:import namespace="872a79b5-d9d6-4593-a8a7-149981f7045e"/>
    <xsd:import namespace="2520a3a8-e6dc-4611-b3d5-a302db2a6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ocation" minOccurs="0"/>
                <xsd:element ref="ns2:e2cc5988-1fd5-414a-8d74-38cbf33f3316CountryOrRegion" minOccurs="0"/>
                <xsd:element ref="ns2:e2cc5988-1fd5-414a-8d74-38cbf33f3316State" minOccurs="0"/>
                <xsd:element ref="ns2:e2cc5988-1fd5-414a-8d74-38cbf33f3316City" minOccurs="0"/>
                <xsd:element ref="ns2:e2cc5988-1fd5-414a-8d74-38cbf33f3316PostalCode" minOccurs="0"/>
                <xsd:element ref="ns2:e2cc5988-1fd5-414a-8d74-38cbf33f3316Street" minOccurs="0"/>
                <xsd:element ref="ns2:e2cc5988-1fd5-414a-8d74-38cbf33f3316GeoLoc" minOccurs="0"/>
                <xsd:element ref="ns2:e2cc5988-1fd5-414a-8d74-38cbf33f3316DispNam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2a79b5-d9d6-4593-a8a7-149981f70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ocation" ma:index="12" nillable="true" ma:displayName="location" ma:format="Dropdown" ma:internalName="location">
      <xsd:simpleType>
        <xsd:restriction base="dms:Unknown"/>
      </xsd:simpleType>
    </xsd:element>
    <xsd:element name="e2cc5988-1fd5-414a-8d74-38cbf33f3316CountryOrRegion" ma:index="13" nillable="true" ma:displayName="location: Country/Region" ma:internalName="CountryOrRegion" ma:readOnly="true">
      <xsd:simpleType>
        <xsd:restriction base="dms:Text"/>
      </xsd:simpleType>
    </xsd:element>
    <xsd:element name="e2cc5988-1fd5-414a-8d74-38cbf33f3316State" ma:index="14" nillable="true" ma:displayName="location: State" ma:internalName="State" ma:readOnly="true">
      <xsd:simpleType>
        <xsd:restriction base="dms:Text"/>
      </xsd:simpleType>
    </xsd:element>
    <xsd:element name="e2cc5988-1fd5-414a-8d74-38cbf33f3316City" ma:index="15" nillable="true" ma:displayName="location: City" ma:internalName="City" ma:readOnly="true">
      <xsd:simpleType>
        <xsd:restriction base="dms:Text"/>
      </xsd:simpleType>
    </xsd:element>
    <xsd:element name="e2cc5988-1fd5-414a-8d74-38cbf33f3316PostalCode" ma:index="16" nillable="true" ma:displayName="location: Postal Code" ma:internalName="PostalCode" ma:readOnly="true">
      <xsd:simpleType>
        <xsd:restriction base="dms:Text"/>
      </xsd:simpleType>
    </xsd:element>
    <xsd:element name="e2cc5988-1fd5-414a-8d74-38cbf33f3316Street" ma:index="17" nillable="true" ma:displayName="location: Street" ma:internalName="Street" ma:readOnly="true">
      <xsd:simpleType>
        <xsd:restriction base="dms:Text"/>
      </xsd:simpleType>
    </xsd:element>
    <xsd:element name="e2cc5988-1fd5-414a-8d74-38cbf33f3316GeoLoc" ma:index="18" nillable="true" ma:displayName="location: Coordinates" ma:internalName="GeoLoc" ma:readOnly="true">
      <xsd:simpleType>
        <xsd:restriction base="dms:Unknown"/>
      </xsd:simpleType>
    </xsd:element>
    <xsd:element name="e2cc5988-1fd5-414a-8d74-38cbf33f3316DispName" ma:index="19" nillable="true" ma:displayName="location: Name" ma:internalName="DispNa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8ba0e65-2c90-4787-ac70-332a6a7478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0a3a8-e6dc-4611-b3d5-a302db2a6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8afd9c5f-7bbf-49bb-b74a-6c96a817ca0a}" ma:internalName="TaxCatchAll" ma:showField="CatchAllData" ma:web="2520a3a8-e6dc-4611-b3d5-a302db2a6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ocation xmlns="872a79b5-d9d6-4593-a8a7-149981f7045e" xsi:nil="true"/>
    <_ip_UnifiedCompliancePolicyUIAction xmlns="http://schemas.microsoft.com/sharepoint/v3" xsi:nil="true"/>
    <_ip_UnifiedCompliancePolicyProperties xmlns="http://schemas.microsoft.com/sharepoint/v3" xsi:nil="true"/>
    <lcf76f155ced4ddcb4097134ff3c332f xmlns="872a79b5-d9d6-4593-a8a7-149981f7045e">
      <Terms xmlns="http://schemas.microsoft.com/office/infopath/2007/PartnerControls"/>
    </lcf76f155ced4ddcb4097134ff3c332f>
    <TaxCatchAll xmlns="2520a3a8-e6dc-4611-b3d5-a302db2a6b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7D1B6-5FD6-4465-A459-01F681D50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2a79b5-d9d6-4593-a8a7-149981f7045e"/>
    <ds:schemaRef ds:uri="2520a3a8-e6dc-4611-b3d5-a302db2a6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C200E-C538-4670-86B2-79DE54CB9EC8}">
  <ds:schemaRefs>
    <ds:schemaRef ds:uri="http://schemas.microsoft.com/office/2006/metadata/longProperties"/>
  </ds:schemaRefs>
</ds:datastoreItem>
</file>

<file path=customXml/itemProps3.xml><?xml version="1.0" encoding="utf-8"?>
<ds:datastoreItem xmlns:ds="http://schemas.openxmlformats.org/officeDocument/2006/customXml" ds:itemID="{AD241C5D-6BC2-4A8C-A245-A19FC1C2369E}">
  <ds:schemaRefs>
    <ds:schemaRef ds:uri="http://schemas.microsoft.com/office/2006/metadata/properties"/>
    <ds:schemaRef ds:uri="http://schemas.microsoft.com/office/infopath/2007/PartnerControls"/>
    <ds:schemaRef ds:uri="872a79b5-d9d6-4593-a8a7-149981f7045e"/>
    <ds:schemaRef ds:uri="http://schemas.microsoft.com/sharepoint/v3"/>
    <ds:schemaRef ds:uri="2520a3a8-e6dc-4611-b3d5-a302db2a6b56"/>
  </ds:schemaRefs>
</ds:datastoreItem>
</file>

<file path=customXml/itemProps4.xml><?xml version="1.0" encoding="utf-8"?>
<ds:datastoreItem xmlns:ds="http://schemas.openxmlformats.org/officeDocument/2006/customXml" ds:itemID="{74688116-08E7-4660-A4F4-BBCFFBC77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3503</Words>
  <Characters>19971</Characters>
  <Application>Microsoft Office Word</Application>
  <DocSecurity>4</DocSecurity>
  <Lines>166</Lines>
  <Paragraphs>46</Paragraphs>
  <ScaleCrop>false</ScaleCrop>
  <Company>Ministry of Justice</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phu95p</dc:creator>
  <cp:keywords/>
  <dc:description/>
  <cp:lastModifiedBy>Monnan, Abdul | He/His</cp:lastModifiedBy>
  <cp:revision>2</cp:revision>
  <cp:lastPrinted>2013-05-16T14:48:00Z</cp:lastPrinted>
  <dcterms:created xsi:type="dcterms:W3CDTF">2025-08-07T14:09:00Z</dcterms:created>
  <dcterms:modified xsi:type="dcterms:W3CDTF">2025-08-07T14:09:00Z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Vance, Deputy Regional Tribunal Judge Amran</vt:lpwstr>
  </property>
  <property fmtid="{D5CDD505-2E9C-101B-9397-08002B2CF9AE}" pid="3" name="display_urn:schemas-microsoft-com:office:office#Author">
    <vt:lpwstr>Vance, Deputy Regional Tribunal Judge Amran</vt:lpwstr>
  </property>
  <property fmtid="{D5CDD505-2E9C-101B-9397-08002B2CF9AE}" pid="4" name="Order">
    <vt:lpwstr>173900.000000000</vt:lpwstr>
  </property>
  <property fmtid="{D5CDD505-2E9C-101B-9397-08002B2CF9AE}" pid="5" name="ComplianceAssetId">
    <vt:lpwstr/>
  </property>
  <property fmtid="{D5CDD505-2E9C-101B-9397-08002B2CF9AE}" pid="6" name="ContentTypeId">
    <vt:lpwstr>0x010100A4799E0FD73D3E4D84862663A4D33FCE</vt:lpwstr>
  </property>
  <property fmtid="{D5CDD505-2E9C-101B-9397-08002B2CF9AE}" pid="7" name="xd_Signature">
    <vt:lpwstr/>
  </property>
  <property fmtid="{D5CDD505-2E9C-101B-9397-08002B2CF9AE}" pid="8" name="TemplateUrl">
    <vt:lpwstr/>
  </property>
  <property fmtid="{D5CDD505-2E9C-101B-9397-08002B2CF9AE}" pid="9" name="xd_ProgID">
    <vt:lpwstr/>
  </property>
  <property fmtid="{D5CDD505-2E9C-101B-9397-08002B2CF9AE}" pid="10" name="MediaServiceImageTags">
    <vt:lpwstr/>
  </property>
</Properties>
</file>