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567C" w:rsidR="0036567C" w:rsidP="0036567C" w:rsidRDefault="0036567C" w14:paraId="634A3FA6" w14:textId="1B92F8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Submitting funding requests</w:t>
      </w:r>
      <w:r w:rsidR="005C74D0">
        <w:rPr>
          <w:rFonts w:ascii="Arial" w:hAnsi="Arial" w:cs="Arial"/>
          <w:b/>
          <w:bCs/>
        </w:rPr>
        <w:t xml:space="preserve"> and correspondence</w:t>
      </w:r>
      <w:r>
        <w:rPr>
          <w:rFonts w:ascii="Arial" w:hAnsi="Arial" w:cs="Arial"/>
          <w:b/>
          <w:bCs/>
        </w:rPr>
        <w:t xml:space="preserve"> to the </w:t>
      </w:r>
      <w:r w:rsidRPr="0036567C">
        <w:rPr>
          <w:rFonts w:ascii="Arial" w:hAnsi="Arial" w:cs="Arial"/>
          <w:b/>
          <w:bCs/>
        </w:rPr>
        <w:t xml:space="preserve">Exceptional and Complex Cases Team </w:t>
      </w:r>
    </w:p>
    <w:p w:rsidR="003F6D03" w:rsidP="003F6D03" w:rsidRDefault="003F6D03" w14:paraId="680C4513" w14:textId="382854D0">
      <w:pPr>
        <w:rPr>
          <w:rFonts w:ascii="Arial" w:hAnsi="Arial" w:cs="Arial"/>
        </w:rPr>
      </w:pPr>
      <w:r w:rsidRPr="003F6D03">
        <w:rPr>
          <w:rFonts w:ascii="Arial" w:hAnsi="Arial" w:cs="Arial"/>
        </w:rPr>
        <w:t>If you have an applicatio</w:t>
      </w:r>
      <w:r w:rsidR="00C207FA">
        <w:rPr>
          <w:rFonts w:ascii="Arial" w:hAnsi="Arial" w:cs="Arial"/>
        </w:rPr>
        <w:t>n, amendment, case plan, appeal</w:t>
      </w:r>
      <w:r w:rsidR="00322444">
        <w:rPr>
          <w:rFonts w:ascii="Arial" w:hAnsi="Arial" w:cs="Arial"/>
        </w:rPr>
        <w:t xml:space="preserve">, </w:t>
      </w:r>
      <w:r w:rsidR="00C207FA">
        <w:rPr>
          <w:rFonts w:ascii="Arial" w:hAnsi="Arial" w:cs="Arial"/>
        </w:rPr>
        <w:t>request for prior authority</w:t>
      </w:r>
      <w:r w:rsidR="00322444">
        <w:rPr>
          <w:rFonts w:ascii="Arial" w:hAnsi="Arial" w:cs="Arial"/>
        </w:rPr>
        <w:t xml:space="preserve"> or </w:t>
      </w:r>
      <w:r w:rsidR="004965E3">
        <w:rPr>
          <w:rFonts w:ascii="Arial" w:hAnsi="Arial" w:cs="Arial"/>
        </w:rPr>
        <w:t>any</w:t>
      </w:r>
      <w:r w:rsidR="00322444">
        <w:rPr>
          <w:rFonts w:ascii="Arial" w:hAnsi="Arial" w:cs="Arial"/>
        </w:rPr>
        <w:t xml:space="preserve"> query</w:t>
      </w:r>
      <w:r w:rsidRPr="003F6D03">
        <w:rPr>
          <w:rFonts w:ascii="Arial" w:hAnsi="Arial" w:cs="Arial"/>
        </w:rPr>
        <w:t xml:space="preserve"> in one of the categories of law below, you will be able to submit an offline application. You will not need to request a contingency reference in advance.</w:t>
      </w:r>
    </w:p>
    <w:p w:rsidRPr="003F6D03" w:rsidR="0036567C" w:rsidP="003F6D03" w:rsidRDefault="0036567C" w14:paraId="05DEFCB2" w14:textId="54717B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aim to process your request within our </w:t>
      </w:r>
      <w:hyperlink w:history="1" r:id="rId9">
        <w:r w:rsidRPr="00FE6F4B">
          <w:rPr>
            <w:rStyle w:val="Hyperlink"/>
            <w:rFonts w:ascii="Arial" w:hAnsi="Arial" w:cs="Arial"/>
          </w:rPr>
          <w:t>published</w:t>
        </w:r>
      </w:hyperlink>
      <w:r>
        <w:rPr>
          <w:rFonts w:ascii="Arial" w:hAnsi="Arial" w:cs="Arial"/>
        </w:rPr>
        <w:t xml:space="preserve"> timescales.</w:t>
      </w:r>
    </w:p>
    <w:p w:rsidR="003F6D03" w:rsidP="003F6D03" w:rsidRDefault="003F6D03" w14:paraId="39C2CC95" w14:textId="71982DE9">
      <w:pPr>
        <w:rPr>
          <w:rFonts w:ascii="Arial" w:hAnsi="Arial" w:eastAsia="Times New Roman" w:cs="Arial"/>
          <w:b/>
          <w:bCs/>
        </w:rPr>
      </w:pPr>
      <w:r w:rsidRPr="003F6D03">
        <w:rPr>
          <w:rFonts w:ascii="Arial" w:hAnsi="Arial" w:eastAsia="Times New Roman" w:cs="Arial"/>
          <w:b/>
          <w:bCs/>
        </w:rPr>
        <w:t xml:space="preserve">How to </w:t>
      </w:r>
      <w:r w:rsidR="000206A6">
        <w:rPr>
          <w:rFonts w:ascii="Arial" w:hAnsi="Arial" w:eastAsia="Times New Roman" w:cs="Arial"/>
          <w:b/>
          <w:bCs/>
        </w:rPr>
        <w:t>submit</w:t>
      </w:r>
    </w:p>
    <w:p w:rsidRPr="003F6D03" w:rsidR="003F6D03" w:rsidP="003F6D03" w:rsidRDefault="003F6D03" w14:paraId="012F5270" w14:textId="202FDBD6" w14:noSpellErr="1">
      <w:pPr>
        <w:rPr>
          <w:rFonts w:ascii="Arial" w:hAnsi="Arial" w:cs="Arial"/>
        </w:rPr>
      </w:pPr>
      <w:r w:rsidRPr="3D427B8D" w:rsidR="003F6D03">
        <w:rPr>
          <w:rFonts w:ascii="Arial" w:hAnsi="Arial" w:cs="Arial"/>
        </w:rPr>
        <w:t xml:space="preserve">Using the requisite form </w:t>
      </w:r>
      <w:r w:rsidRPr="3D427B8D" w:rsidR="00BA18FF">
        <w:rPr>
          <w:rFonts w:ascii="Arial" w:hAnsi="Arial" w:cs="Arial"/>
        </w:rPr>
        <w:t xml:space="preserve">below </w:t>
      </w:r>
      <w:r w:rsidRPr="3D427B8D" w:rsidR="003F6D03">
        <w:rPr>
          <w:rFonts w:ascii="Arial" w:hAnsi="Arial" w:cs="Arial"/>
        </w:rPr>
        <w:t xml:space="preserve">and </w:t>
      </w:r>
      <w:hyperlink r:id="Rb828e52eb1e94c3b">
        <w:r w:rsidRPr="3D427B8D" w:rsidR="003F6D03">
          <w:rPr>
            <w:rStyle w:val="Hyperlink"/>
            <w:rFonts w:ascii="Arial" w:hAnsi="Arial" w:cs="Arial"/>
          </w:rPr>
          <w:t>cover sheet</w:t>
        </w:r>
      </w:hyperlink>
      <w:r w:rsidRPr="3D427B8D" w:rsidR="00E17CA5">
        <w:rPr>
          <w:rFonts w:ascii="Arial" w:hAnsi="Arial" w:cs="Arial"/>
          <w:u w:val="single"/>
        </w:rPr>
        <w:t>,</w:t>
      </w:r>
      <w:r w:rsidRPr="3D427B8D" w:rsidR="00C207FA">
        <w:rPr>
          <w:rFonts w:ascii="Arial" w:hAnsi="Arial" w:cs="Arial"/>
        </w:rPr>
        <w:t xml:space="preserve"> your funding request</w:t>
      </w:r>
      <w:r w:rsidRPr="3D427B8D" w:rsidR="003F6D03">
        <w:rPr>
          <w:rFonts w:ascii="Arial" w:hAnsi="Arial" w:cs="Arial"/>
        </w:rPr>
        <w:t xml:space="preserve"> should be sent to </w:t>
      </w:r>
      <w:hyperlink r:id="R14204c43c911453e">
        <w:r w:rsidRPr="3D427B8D" w:rsidR="00A107B9">
          <w:rPr>
            <w:rStyle w:val="Hyperlink"/>
            <w:rFonts w:ascii="Arial" w:hAnsi="Arial" w:cs="Arial"/>
          </w:rPr>
          <w:t>contactecc@justice.gov.uk</w:t>
        </w:r>
      </w:hyperlink>
      <w:r w:rsidRPr="3D427B8D" w:rsidR="003F6D03">
        <w:rPr>
          <w:rFonts w:ascii="Arial" w:hAnsi="Arial" w:cs="Arial"/>
        </w:rPr>
        <w:t xml:space="preserve"> with supporting documents that are relevant to the application you are making, this could include:</w:t>
      </w:r>
    </w:p>
    <w:p w:rsidRPr="003F6D03" w:rsidR="003F6D03" w:rsidP="003F6D03" w:rsidRDefault="003F6D03" w14:paraId="0F7A5228" w14:textId="77777777">
      <w:pPr>
        <w:pStyle w:val="ListParagraph"/>
        <w:numPr>
          <w:ilvl w:val="0"/>
          <w:numId w:val="35"/>
        </w:numPr>
        <w:spacing w:after="160"/>
        <w:contextualSpacing/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Detailed statement of case </w:t>
      </w:r>
    </w:p>
    <w:p w:rsidRPr="003F6D03" w:rsidR="003F6D03" w:rsidP="003F6D03" w:rsidRDefault="003F6D03" w14:paraId="62AE763D" w14:textId="77777777">
      <w:pPr>
        <w:pStyle w:val="ListParagraph"/>
        <w:numPr>
          <w:ilvl w:val="0"/>
          <w:numId w:val="35"/>
        </w:numPr>
        <w:spacing w:after="160"/>
        <w:contextualSpacing/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Decisions under challenge </w:t>
      </w:r>
    </w:p>
    <w:p w:rsidRPr="003F6D03" w:rsidR="003F6D03" w:rsidP="003F6D03" w:rsidRDefault="003F6D03" w14:paraId="59FADFDB" w14:textId="77777777">
      <w:pPr>
        <w:pStyle w:val="ListParagraph"/>
        <w:numPr>
          <w:ilvl w:val="0"/>
          <w:numId w:val="35"/>
        </w:numPr>
        <w:spacing w:after="160"/>
        <w:contextualSpacing/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Letters before action &amp; replies </w:t>
      </w:r>
    </w:p>
    <w:p w:rsidRPr="003F6D03" w:rsidR="003F6D03" w:rsidP="003F6D03" w:rsidRDefault="003F6D03" w14:paraId="086AC70E" w14:textId="77777777">
      <w:pPr>
        <w:pStyle w:val="ListParagraph"/>
        <w:numPr>
          <w:ilvl w:val="0"/>
          <w:numId w:val="35"/>
        </w:numPr>
        <w:spacing w:after="160"/>
        <w:contextualSpacing/>
        <w:rPr>
          <w:rFonts w:ascii="Arial" w:hAnsi="Arial" w:cs="Arial"/>
        </w:rPr>
      </w:pPr>
      <w:r w:rsidRPr="003F6D03">
        <w:rPr>
          <w:rFonts w:ascii="Arial" w:hAnsi="Arial" w:cs="Arial"/>
        </w:rPr>
        <w:t>Counsel’s advice</w:t>
      </w:r>
    </w:p>
    <w:p w:rsidRPr="003F6D03" w:rsidR="003F6D03" w:rsidP="003F6D03" w:rsidRDefault="003F6D03" w14:paraId="0363062F" w14:textId="77777777">
      <w:pPr>
        <w:pStyle w:val="ListParagraph"/>
        <w:numPr>
          <w:ilvl w:val="0"/>
          <w:numId w:val="35"/>
        </w:numPr>
        <w:spacing w:after="160"/>
        <w:contextualSpacing/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Medical evidence </w:t>
      </w:r>
    </w:p>
    <w:p w:rsidR="00C207FA" w:rsidP="003F6D03" w:rsidRDefault="00C207FA" w14:paraId="08F0DEFE" w14:textId="77777777">
      <w:pPr>
        <w:spacing w:after="0" w:line="257" w:lineRule="auto"/>
        <w:rPr>
          <w:rFonts w:ascii="Arial" w:hAnsi="Arial" w:cs="Arial"/>
          <w:b/>
          <w:bCs/>
        </w:rPr>
      </w:pPr>
    </w:p>
    <w:p w:rsidRPr="00C207FA" w:rsidR="00C207FA" w:rsidP="003F6D03" w:rsidRDefault="00C207FA" w14:paraId="1BA7664E" w14:textId="77777777">
      <w:pPr>
        <w:spacing w:after="0" w:line="257" w:lineRule="auto"/>
        <w:rPr>
          <w:rFonts w:ascii="Arial" w:hAnsi="Arial" w:cs="Arial"/>
          <w:b/>
          <w:bCs/>
        </w:rPr>
      </w:pPr>
      <w:r w:rsidRPr="00C207FA">
        <w:rPr>
          <w:rFonts w:ascii="Arial" w:hAnsi="Arial" w:cs="Arial"/>
          <w:b/>
          <w:bCs/>
        </w:rPr>
        <w:t xml:space="preserve">What does the Exceptional and Complex Cases Team </w:t>
      </w:r>
      <w:r>
        <w:rPr>
          <w:rFonts w:ascii="Arial" w:hAnsi="Arial" w:cs="Arial"/>
          <w:b/>
          <w:bCs/>
        </w:rPr>
        <w:t xml:space="preserve">(ECCT) </w:t>
      </w:r>
      <w:r w:rsidRPr="00C207FA">
        <w:rPr>
          <w:rFonts w:ascii="Arial" w:hAnsi="Arial" w:cs="Arial"/>
          <w:b/>
          <w:bCs/>
        </w:rPr>
        <w:t>process?</w:t>
      </w:r>
    </w:p>
    <w:p w:rsidR="00C207FA" w:rsidP="003F6D03" w:rsidRDefault="00C207FA" w14:paraId="000C8260" w14:textId="77777777">
      <w:pPr>
        <w:spacing w:after="0" w:line="257" w:lineRule="auto"/>
        <w:rPr>
          <w:rFonts w:ascii="Arial" w:hAnsi="Arial" w:cs="Arial"/>
        </w:rPr>
      </w:pPr>
    </w:p>
    <w:p w:rsidRPr="003F6D03" w:rsidR="003F6D03" w:rsidP="003F6D03" w:rsidRDefault="00C207FA" w14:paraId="7AF24DA6" w14:textId="7B6C0BDB">
      <w:pPr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ECCT</w:t>
      </w:r>
      <w:r w:rsidRPr="003F6D03" w:rsidR="003F6D03">
        <w:rPr>
          <w:rFonts w:ascii="Arial" w:hAnsi="Arial" w:cs="Arial"/>
        </w:rPr>
        <w:t xml:space="preserve"> determines </w:t>
      </w:r>
      <w:r w:rsidR="003A3295">
        <w:rPr>
          <w:rFonts w:ascii="Arial" w:hAnsi="Arial" w:cs="Arial"/>
        </w:rPr>
        <w:t xml:space="preserve">public </w:t>
      </w:r>
      <w:r w:rsidRPr="003F6D03" w:rsidR="003F6D03">
        <w:rPr>
          <w:rFonts w:ascii="Arial" w:hAnsi="Arial" w:cs="Arial"/>
        </w:rPr>
        <w:t xml:space="preserve">funding requests </w:t>
      </w:r>
      <w:r w:rsidR="003A3295">
        <w:rPr>
          <w:rFonts w:ascii="Arial" w:hAnsi="Arial" w:cs="Arial"/>
        </w:rPr>
        <w:t>for cases within the Special Cases Work definitions and in specific categories of law</w:t>
      </w:r>
      <w:r>
        <w:rPr>
          <w:rFonts w:ascii="Arial" w:hAnsi="Arial" w:cs="Arial"/>
        </w:rPr>
        <w:t xml:space="preserve"> below</w:t>
      </w:r>
      <w:r w:rsidR="00E75DCD">
        <w:rPr>
          <w:rFonts w:ascii="Arial" w:hAnsi="Arial" w:cs="Arial"/>
        </w:rPr>
        <w:t>, some of which is limited to certain</w:t>
      </w:r>
      <w:r w:rsidR="00435DAA">
        <w:rPr>
          <w:rFonts w:ascii="Arial" w:hAnsi="Arial" w:cs="Arial"/>
        </w:rPr>
        <w:t xml:space="preserve"> case types.</w:t>
      </w:r>
    </w:p>
    <w:p w:rsidRPr="003F6D03" w:rsidR="003F6D03" w:rsidP="00C942F8" w:rsidRDefault="003F6D03" w14:paraId="3C99E306" w14:textId="77777777">
      <w:pPr>
        <w:spacing w:after="0"/>
        <w:rPr>
          <w:rFonts w:ascii="Arial" w:hAnsi="Arial" w:cs="Arial"/>
          <w:b/>
          <w:bCs/>
        </w:rPr>
      </w:pPr>
    </w:p>
    <w:p w:rsidR="005752E1" w:rsidP="00C942F8" w:rsidRDefault="005752E1" w14:paraId="76A73F42" w14:textId="77777777">
      <w:pPr>
        <w:spacing w:after="0"/>
        <w:rPr>
          <w:rFonts w:ascii="Arial" w:hAnsi="Arial" w:cs="Arial"/>
          <w:b/>
          <w:bCs/>
        </w:rPr>
      </w:pPr>
      <w:r w:rsidRPr="003F6D03">
        <w:rPr>
          <w:rFonts w:ascii="Arial" w:hAnsi="Arial" w:cs="Arial"/>
          <w:b/>
          <w:bCs/>
        </w:rPr>
        <w:t>Special Cases Work Reg</w:t>
      </w:r>
      <w:r w:rsidRPr="003F6D03" w:rsidR="00B351E3">
        <w:rPr>
          <w:rFonts w:ascii="Arial" w:hAnsi="Arial" w:cs="Arial"/>
          <w:b/>
          <w:bCs/>
        </w:rPr>
        <w:t>.</w:t>
      </w:r>
      <w:r w:rsidRPr="003F6D03">
        <w:rPr>
          <w:rFonts w:ascii="Arial" w:hAnsi="Arial" w:cs="Arial"/>
          <w:b/>
          <w:bCs/>
        </w:rPr>
        <w:t xml:space="preserve"> 54 </w:t>
      </w:r>
      <w:r w:rsidR="003F6D03">
        <w:rPr>
          <w:rFonts w:ascii="Arial" w:hAnsi="Arial" w:cs="Arial"/>
          <w:b/>
          <w:bCs/>
        </w:rPr>
        <w:t>Civil Legal Aid</w:t>
      </w:r>
      <w:r w:rsidRPr="003F6D03">
        <w:rPr>
          <w:rFonts w:ascii="Arial" w:hAnsi="Arial" w:cs="Arial"/>
          <w:b/>
          <w:bCs/>
        </w:rPr>
        <w:t xml:space="preserve"> (Procedure) Reg</w:t>
      </w:r>
      <w:r w:rsidR="003F6D03">
        <w:rPr>
          <w:rFonts w:ascii="Arial" w:hAnsi="Arial" w:cs="Arial"/>
          <w:b/>
          <w:bCs/>
        </w:rPr>
        <w:t>ulation</w:t>
      </w:r>
      <w:r w:rsidRPr="003F6D03">
        <w:rPr>
          <w:rFonts w:ascii="Arial" w:hAnsi="Arial" w:cs="Arial"/>
          <w:b/>
          <w:bCs/>
        </w:rPr>
        <w:t>s 2012</w:t>
      </w:r>
    </w:p>
    <w:p w:rsidRPr="003F6D03" w:rsidR="008F030E" w:rsidP="00C942F8" w:rsidRDefault="008F030E" w14:paraId="0932BE44" w14:textId="77777777">
      <w:pPr>
        <w:spacing w:after="0"/>
        <w:rPr>
          <w:rFonts w:ascii="Arial" w:hAnsi="Arial" w:cs="Arial"/>
        </w:rPr>
      </w:pPr>
    </w:p>
    <w:p w:rsidRPr="003F6D03" w:rsidR="005752E1" w:rsidP="00C942F8" w:rsidRDefault="005752E1" w14:paraId="7AB9F0C5" w14:textId="77777777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All </w:t>
      </w:r>
      <w:r w:rsidR="008525A5">
        <w:rPr>
          <w:rFonts w:ascii="Arial" w:hAnsi="Arial" w:cs="Arial"/>
        </w:rPr>
        <w:t>non-family, Court of Protection and Mental Health cases</w:t>
      </w:r>
      <w:r w:rsidRPr="003F6D03">
        <w:rPr>
          <w:rFonts w:ascii="Arial" w:hAnsi="Arial" w:cs="Arial"/>
        </w:rPr>
        <w:t xml:space="preserve"> where </w:t>
      </w:r>
      <w:r w:rsidRPr="003F6D03" w:rsidR="000E3ADB">
        <w:rPr>
          <w:rFonts w:ascii="Arial" w:hAnsi="Arial" w:cs="Arial"/>
        </w:rPr>
        <w:t>the</w:t>
      </w:r>
      <w:r w:rsidRPr="003F6D03">
        <w:rPr>
          <w:rFonts w:ascii="Arial" w:hAnsi="Arial" w:cs="Arial"/>
        </w:rPr>
        <w:t xml:space="preserve"> actual or likely costs of the case exceed £25,000</w:t>
      </w:r>
      <w:r w:rsidR="008F030E">
        <w:rPr>
          <w:rFonts w:ascii="Arial" w:hAnsi="Arial" w:cs="Arial"/>
        </w:rPr>
        <w:t xml:space="preserve"> and require a case plan</w:t>
      </w:r>
    </w:p>
    <w:p w:rsidRPr="003F6D03" w:rsidR="005752E1" w:rsidP="00C942F8" w:rsidRDefault="008525A5" w14:paraId="4A56AD00" w14:textId="77777777">
      <w:pPr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F6D03" w:rsidR="005752E1">
        <w:rPr>
          <w:rFonts w:ascii="Arial" w:hAnsi="Arial" w:cs="Arial"/>
        </w:rPr>
        <w:t>ulti-party action or potential multi-party action</w:t>
      </w:r>
    </w:p>
    <w:p w:rsidRPr="003F6D03" w:rsidR="005752E1" w:rsidP="00C942F8" w:rsidRDefault="008525A5" w14:paraId="7A37C784" w14:textId="77777777">
      <w:pPr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F6D03" w:rsidR="005752E1">
        <w:rPr>
          <w:rFonts w:ascii="Arial" w:hAnsi="Arial" w:cs="Arial"/>
        </w:rPr>
        <w:t xml:space="preserve">ppeal or proposed appeal to the </w:t>
      </w:r>
      <w:r>
        <w:rPr>
          <w:rFonts w:ascii="Arial" w:hAnsi="Arial" w:cs="Arial"/>
        </w:rPr>
        <w:t xml:space="preserve">Court of Appeal or </w:t>
      </w:r>
      <w:r w:rsidRPr="003F6D03" w:rsidR="005752E1">
        <w:rPr>
          <w:rFonts w:ascii="Arial" w:hAnsi="Arial" w:cs="Arial"/>
        </w:rPr>
        <w:t xml:space="preserve">Supreme </w:t>
      </w:r>
      <w:r w:rsidRPr="003F6D03" w:rsidR="00D36697">
        <w:rPr>
          <w:rFonts w:ascii="Arial" w:hAnsi="Arial" w:cs="Arial"/>
        </w:rPr>
        <w:t>Court</w:t>
      </w:r>
    </w:p>
    <w:p w:rsidRPr="003F6D03" w:rsidR="005752E1" w:rsidP="00C942F8" w:rsidRDefault="008525A5" w14:paraId="48EE1015" w14:textId="77777777">
      <w:pPr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F6D03" w:rsidR="000364F4">
        <w:rPr>
          <w:rFonts w:ascii="Arial" w:hAnsi="Arial" w:cs="Arial"/>
        </w:rPr>
        <w:t xml:space="preserve">he case is of </w:t>
      </w:r>
      <w:r w:rsidRPr="003F6D03" w:rsidR="005752E1">
        <w:rPr>
          <w:rFonts w:ascii="Arial" w:hAnsi="Arial" w:cs="Arial"/>
        </w:rPr>
        <w:t>significant wider public interest</w:t>
      </w:r>
      <w:r w:rsidRPr="003F6D03" w:rsidR="000364F4">
        <w:rPr>
          <w:rFonts w:ascii="Arial" w:hAnsi="Arial" w:cs="Arial"/>
        </w:rPr>
        <w:t xml:space="preserve"> or</w:t>
      </w:r>
      <w:r w:rsidRPr="003F6D03" w:rsidR="005752E1">
        <w:rPr>
          <w:rFonts w:ascii="Arial" w:hAnsi="Arial" w:cs="Arial"/>
        </w:rPr>
        <w:t xml:space="preserve"> </w:t>
      </w:r>
      <w:r w:rsidRPr="003F6D03" w:rsidR="000364F4">
        <w:rPr>
          <w:rFonts w:ascii="Arial" w:hAnsi="Arial" w:cs="Arial"/>
        </w:rPr>
        <w:t>involves a</w:t>
      </w:r>
      <w:r w:rsidRPr="003F6D03" w:rsidR="005752E1">
        <w:rPr>
          <w:rFonts w:ascii="Arial" w:hAnsi="Arial" w:cs="Arial"/>
        </w:rPr>
        <w:t xml:space="preserve"> breach of Convention rights</w:t>
      </w:r>
      <w:r w:rsidRPr="003F6D03" w:rsidR="000364F4">
        <w:rPr>
          <w:rFonts w:ascii="Arial" w:hAnsi="Arial" w:cs="Arial"/>
        </w:rPr>
        <w:t xml:space="preserve"> </w:t>
      </w:r>
      <w:proofErr w:type="gramStart"/>
      <w:r w:rsidRPr="003F6D03" w:rsidR="000364F4">
        <w:rPr>
          <w:rFonts w:ascii="Arial" w:hAnsi="Arial" w:cs="Arial"/>
        </w:rPr>
        <w:t>in order to</w:t>
      </w:r>
      <w:proofErr w:type="gramEnd"/>
      <w:r w:rsidRPr="003F6D03" w:rsidR="000364F4">
        <w:rPr>
          <w:rFonts w:ascii="Arial" w:hAnsi="Arial" w:cs="Arial"/>
        </w:rPr>
        <w:t xml:space="preserve"> make a funding decision</w:t>
      </w:r>
    </w:p>
    <w:p w:rsidRPr="003F6D03" w:rsidR="005752E1" w:rsidP="00C942F8" w:rsidRDefault="00B351E3" w14:paraId="6FEBDCA7" w14:textId="77777777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3F6D03">
        <w:rPr>
          <w:rFonts w:ascii="Arial" w:hAnsi="Arial" w:cs="Arial"/>
        </w:rPr>
        <w:t>From</w:t>
      </w:r>
      <w:r w:rsidRPr="003F6D03" w:rsidR="005752E1">
        <w:rPr>
          <w:rFonts w:ascii="Arial" w:hAnsi="Arial" w:cs="Arial"/>
        </w:rPr>
        <w:t xml:space="preserve"> non-franchised providers</w:t>
      </w:r>
      <w:r w:rsidR="008F030E">
        <w:rPr>
          <w:rFonts w:ascii="Arial" w:hAnsi="Arial" w:cs="Arial"/>
        </w:rPr>
        <w:t xml:space="preserve"> who require an </w:t>
      </w:r>
      <w:r w:rsidR="008525A5">
        <w:rPr>
          <w:rFonts w:ascii="Arial" w:hAnsi="Arial" w:cs="Arial"/>
        </w:rPr>
        <w:t>individual</w:t>
      </w:r>
      <w:r w:rsidRPr="003F6D03" w:rsidR="005752E1">
        <w:rPr>
          <w:rFonts w:ascii="Arial" w:hAnsi="Arial" w:cs="Arial"/>
        </w:rPr>
        <w:t xml:space="preserve"> case contract</w:t>
      </w:r>
      <w:r w:rsidR="008F030E">
        <w:rPr>
          <w:rFonts w:ascii="Arial" w:hAnsi="Arial" w:cs="Arial"/>
        </w:rPr>
        <w:t xml:space="preserve"> or are bringing </w:t>
      </w:r>
      <w:r w:rsidRPr="003F6D03" w:rsidR="005752E1">
        <w:rPr>
          <w:rFonts w:ascii="Arial" w:hAnsi="Arial" w:cs="Arial"/>
        </w:rPr>
        <w:t>community actions</w:t>
      </w:r>
    </w:p>
    <w:p w:rsidR="00FB5204" w:rsidP="00C942F8" w:rsidRDefault="00FB5204" w14:paraId="467CE981" w14:textId="77777777">
      <w:pPr>
        <w:spacing w:after="0"/>
        <w:rPr>
          <w:rFonts w:ascii="Arial" w:hAnsi="Arial" w:cs="Arial"/>
        </w:rPr>
      </w:pPr>
    </w:p>
    <w:p w:rsidRPr="00693959" w:rsidR="00693959" w:rsidP="00C942F8" w:rsidRDefault="00693959" w14:paraId="4116D700" w14:textId="77777777">
      <w:pPr>
        <w:spacing w:after="0"/>
        <w:rPr>
          <w:rFonts w:ascii="Arial" w:hAnsi="Arial" w:cs="Arial"/>
          <w:b/>
          <w:bCs/>
        </w:rPr>
      </w:pPr>
      <w:r w:rsidRPr="00693959">
        <w:rPr>
          <w:rFonts w:ascii="Arial" w:hAnsi="Arial" w:cs="Arial"/>
          <w:b/>
          <w:bCs/>
        </w:rPr>
        <w:t>Case Plans</w:t>
      </w:r>
    </w:p>
    <w:p w:rsidRPr="003F6D03" w:rsidR="00693959" w:rsidP="00C942F8" w:rsidRDefault="00693959" w14:paraId="2442EC60" w14:textId="77777777">
      <w:pPr>
        <w:spacing w:after="0"/>
        <w:rPr>
          <w:rFonts w:ascii="Arial" w:hAnsi="Arial" w:cs="Arial"/>
        </w:rPr>
      </w:pPr>
    </w:p>
    <w:p w:rsidRPr="00693959" w:rsidR="00693959" w:rsidP="00F87B82" w:rsidRDefault="00693959" w14:paraId="3672DC64" w14:textId="77777777">
      <w:pPr>
        <w:spacing w:after="0"/>
        <w:rPr>
          <w:rFonts w:ascii="Arial" w:hAnsi="Arial" w:cs="Arial"/>
          <w:bCs/>
        </w:rPr>
      </w:pPr>
      <w:proofErr w:type="gramStart"/>
      <w:r w:rsidRPr="00693959">
        <w:rPr>
          <w:rFonts w:ascii="Arial" w:hAnsi="Arial" w:cs="Arial"/>
          <w:bCs/>
        </w:rPr>
        <w:t>Non family</w:t>
      </w:r>
      <w:proofErr w:type="gramEnd"/>
      <w:r w:rsidRPr="00693959">
        <w:rPr>
          <w:rFonts w:ascii="Arial" w:hAnsi="Arial" w:cs="Arial"/>
          <w:bCs/>
        </w:rPr>
        <w:t xml:space="preserve"> case plans</w:t>
      </w:r>
      <w:r>
        <w:rPr>
          <w:rFonts w:ascii="Arial" w:hAnsi="Arial" w:cs="Arial"/>
          <w:bCs/>
          <w:i/>
          <w:iCs/>
        </w:rPr>
        <w:t xml:space="preserve"> </w:t>
      </w:r>
      <w:r w:rsidRPr="00693959">
        <w:rPr>
          <w:rFonts w:ascii="Arial" w:hAnsi="Arial" w:cs="Arial"/>
          <w:bCs/>
        </w:rPr>
        <w:t xml:space="preserve">should be sent to </w:t>
      </w:r>
      <w:hyperlink w:history="1" r:id="rId11">
        <w:r w:rsidRPr="00693959">
          <w:rPr>
            <w:rStyle w:val="Hyperlink"/>
            <w:rFonts w:ascii="Arial" w:hAnsi="Arial" w:cs="Arial"/>
            <w:bCs/>
          </w:rPr>
          <w:t>contactecc@justice.gov.uk</w:t>
        </w:r>
      </w:hyperlink>
      <w:r w:rsidRPr="00693959">
        <w:rPr>
          <w:rFonts w:ascii="Arial" w:hAnsi="Arial" w:cs="Arial"/>
          <w:bCs/>
        </w:rPr>
        <w:t xml:space="preserve"> – note that there is no requirement to register the case as high cost. Any deadline given to submit the case plan is suspended from the </w:t>
      </w:r>
      <w:proofErr w:type="gramStart"/>
      <w:r w:rsidRPr="00693959">
        <w:rPr>
          <w:rFonts w:ascii="Arial" w:hAnsi="Arial" w:cs="Arial"/>
          <w:bCs/>
        </w:rPr>
        <w:t>19</w:t>
      </w:r>
      <w:r w:rsidRPr="00693959">
        <w:rPr>
          <w:rFonts w:ascii="Arial" w:hAnsi="Arial" w:cs="Arial"/>
          <w:bCs/>
          <w:vertAlign w:val="superscript"/>
        </w:rPr>
        <w:t>th</w:t>
      </w:r>
      <w:proofErr w:type="gramEnd"/>
      <w:r w:rsidRPr="00693959">
        <w:rPr>
          <w:rFonts w:ascii="Arial" w:hAnsi="Arial" w:cs="Arial"/>
          <w:bCs/>
        </w:rPr>
        <w:t xml:space="preserve"> May</w:t>
      </w:r>
      <w:r>
        <w:rPr>
          <w:rFonts w:ascii="Arial" w:hAnsi="Arial" w:cs="Arial"/>
          <w:bCs/>
        </w:rPr>
        <w:t xml:space="preserve"> 2025</w:t>
      </w:r>
      <w:r w:rsidRPr="00693959">
        <w:rPr>
          <w:rFonts w:ascii="Arial" w:hAnsi="Arial" w:cs="Arial"/>
          <w:bCs/>
        </w:rPr>
        <w:t xml:space="preserve"> until the </w:t>
      </w:r>
      <w:proofErr w:type="gramStart"/>
      <w:r w:rsidRPr="00693959">
        <w:rPr>
          <w:rFonts w:ascii="Arial" w:hAnsi="Arial" w:cs="Arial"/>
          <w:bCs/>
        </w:rPr>
        <w:t>16</w:t>
      </w:r>
      <w:r w:rsidRPr="00693959">
        <w:rPr>
          <w:rFonts w:ascii="Arial" w:hAnsi="Arial" w:cs="Arial"/>
          <w:bCs/>
          <w:vertAlign w:val="superscript"/>
        </w:rPr>
        <w:t>th</w:t>
      </w:r>
      <w:proofErr w:type="gramEnd"/>
      <w:r w:rsidRPr="00693959">
        <w:rPr>
          <w:rFonts w:ascii="Arial" w:hAnsi="Arial" w:cs="Arial"/>
          <w:bCs/>
        </w:rPr>
        <w:t xml:space="preserve"> June</w:t>
      </w:r>
      <w:r>
        <w:rPr>
          <w:rFonts w:ascii="Arial" w:hAnsi="Arial" w:cs="Arial"/>
          <w:bCs/>
        </w:rPr>
        <w:t xml:space="preserve"> 2025</w:t>
      </w:r>
      <w:r w:rsidRPr="00693959">
        <w:rPr>
          <w:rFonts w:ascii="Arial" w:hAnsi="Arial" w:cs="Arial"/>
          <w:bCs/>
        </w:rPr>
        <w:t>. Work undertaken during this period will not be disallowed.</w:t>
      </w:r>
    </w:p>
    <w:p w:rsidRPr="00693959" w:rsidR="00693959" w:rsidP="00F87B82" w:rsidRDefault="00693959" w14:paraId="6F7DC709" w14:textId="77777777">
      <w:pPr>
        <w:spacing w:after="0"/>
        <w:rPr>
          <w:rFonts w:ascii="Arial" w:hAnsi="Arial" w:cs="Arial"/>
          <w:bCs/>
        </w:rPr>
      </w:pPr>
    </w:p>
    <w:p w:rsidR="00693959" w:rsidP="00F87B82" w:rsidRDefault="00693959" w14:paraId="474994E3" w14:textId="23D8CBA6">
      <w:pPr>
        <w:spacing w:after="0"/>
        <w:rPr>
          <w:rFonts w:ascii="Arial" w:hAnsi="Arial" w:cs="Arial"/>
          <w:bCs/>
        </w:rPr>
      </w:pPr>
      <w:r w:rsidRPr="00693959">
        <w:rPr>
          <w:rFonts w:ascii="Arial" w:hAnsi="Arial" w:cs="Arial"/>
          <w:bCs/>
        </w:rPr>
        <w:t xml:space="preserve">Court of Protection and Mental Health </w:t>
      </w:r>
      <w:proofErr w:type="spellStart"/>
      <w:r w:rsidRPr="00693959">
        <w:rPr>
          <w:rFonts w:ascii="Arial" w:hAnsi="Arial" w:cs="Arial"/>
          <w:bCs/>
        </w:rPr>
        <w:t>case</w:t>
      </w:r>
      <w:proofErr w:type="spellEnd"/>
      <w:r w:rsidRPr="00693959">
        <w:rPr>
          <w:rFonts w:ascii="Arial" w:hAnsi="Arial" w:cs="Arial"/>
          <w:bCs/>
        </w:rPr>
        <w:t xml:space="preserve"> plans </w:t>
      </w:r>
      <w:r w:rsidR="002046CC">
        <w:rPr>
          <w:rFonts w:ascii="Arial" w:hAnsi="Arial" w:cs="Arial"/>
          <w:bCs/>
        </w:rPr>
        <w:t xml:space="preserve">should be sent to </w:t>
      </w:r>
      <w:hyperlink w:history="1" r:id="rId12">
        <w:r w:rsidRPr="009A7D15" w:rsidR="002046CC">
          <w:rPr>
            <w:rStyle w:val="Hyperlink"/>
            <w:rFonts w:ascii="Arial" w:hAnsi="Arial" w:cs="Arial"/>
            <w:bCs/>
          </w:rPr>
          <w:t>contactecc@justice.gov.uk</w:t>
        </w:r>
      </w:hyperlink>
      <w:r w:rsidR="002046CC">
        <w:rPr>
          <w:rFonts w:ascii="Arial" w:hAnsi="Arial" w:cs="Arial"/>
          <w:bCs/>
        </w:rPr>
        <w:t xml:space="preserve"> </w:t>
      </w:r>
      <w:r w:rsidRPr="00693959">
        <w:rPr>
          <w:rFonts w:ascii="Arial" w:hAnsi="Arial" w:cs="Arial"/>
          <w:bCs/>
        </w:rPr>
        <w:t xml:space="preserve">- any deadline to register/submit a case plan </w:t>
      </w:r>
      <w:r>
        <w:rPr>
          <w:rFonts w:ascii="Arial" w:hAnsi="Arial" w:cs="Arial"/>
          <w:bCs/>
        </w:rPr>
        <w:t>is</w:t>
      </w:r>
      <w:r w:rsidRPr="00693959">
        <w:rPr>
          <w:rFonts w:ascii="Arial" w:hAnsi="Arial" w:cs="Arial"/>
          <w:bCs/>
        </w:rPr>
        <w:t xml:space="preserve"> suspended from 19th May</w:t>
      </w:r>
      <w:r w:rsidR="00930640">
        <w:rPr>
          <w:rFonts w:ascii="Arial" w:hAnsi="Arial" w:cs="Arial"/>
          <w:bCs/>
        </w:rPr>
        <w:t xml:space="preserve"> 2025</w:t>
      </w:r>
      <w:r w:rsidRPr="00693959">
        <w:rPr>
          <w:rFonts w:ascii="Arial" w:hAnsi="Arial" w:cs="Arial"/>
          <w:bCs/>
        </w:rPr>
        <w:t xml:space="preserve"> until the</w:t>
      </w:r>
      <w:r w:rsidR="00930640">
        <w:rPr>
          <w:rFonts w:ascii="Arial" w:hAnsi="Arial" w:cs="Arial"/>
          <w:bCs/>
        </w:rPr>
        <w:t xml:space="preserve"> </w:t>
      </w:r>
      <w:proofErr w:type="gramStart"/>
      <w:r w:rsidRPr="00693959">
        <w:rPr>
          <w:rFonts w:ascii="Arial" w:hAnsi="Arial" w:cs="Arial"/>
          <w:bCs/>
        </w:rPr>
        <w:t>16</w:t>
      </w:r>
      <w:r w:rsidRPr="00693959">
        <w:rPr>
          <w:rFonts w:ascii="Arial" w:hAnsi="Arial" w:cs="Arial"/>
          <w:bCs/>
          <w:vertAlign w:val="superscript"/>
        </w:rPr>
        <w:t>th</w:t>
      </w:r>
      <w:proofErr w:type="gramEnd"/>
      <w:r w:rsidRPr="00693959">
        <w:rPr>
          <w:rFonts w:ascii="Arial" w:hAnsi="Arial" w:cs="Arial"/>
          <w:bCs/>
        </w:rPr>
        <w:t xml:space="preserve"> June</w:t>
      </w:r>
      <w:r w:rsidR="00930640">
        <w:rPr>
          <w:rFonts w:ascii="Arial" w:hAnsi="Arial" w:cs="Arial"/>
          <w:bCs/>
        </w:rPr>
        <w:t xml:space="preserve"> 2025</w:t>
      </w:r>
      <w:r w:rsidRPr="00693959">
        <w:rPr>
          <w:rFonts w:ascii="Arial" w:hAnsi="Arial" w:cs="Arial"/>
          <w:bCs/>
        </w:rPr>
        <w:t>. Work undertaken during this period will not be disallowed.</w:t>
      </w:r>
    </w:p>
    <w:p w:rsidRPr="00693959" w:rsidR="00693959" w:rsidP="00F87B82" w:rsidRDefault="00693959" w14:paraId="6CE1A29A" w14:textId="77777777">
      <w:pPr>
        <w:spacing w:after="0"/>
        <w:rPr>
          <w:rFonts w:ascii="Arial" w:hAnsi="Arial" w:cs="Arial"/>
          <w:bCs/>
        </w:rPr>
      </w:pPr>
    </w:p>
    <w:p w:rsidR="00001DC6" w:rsidP="003F6D03" w:rsidRDefault="00693959" w14:paraId="2D1A4B5E" w14:textId="58792B95">
      <w:pPr>
        <w:spacing w:after="0"/>
      </w:pPr>
      <w:r>
        <w:rPr>
          <w:rFonts w:ascii="Arial" w:hAnsi="Arial" w:cs="Arial"/>
          <w:bCs/>
        </w:rPr>
        <w:t xml:space="preserve">High Cost Family case plans are not processed by ECCT and should be sent to </w:t>
      </w:r>
      <w:hyperlink w:history="1" r:id="rId13">
        <w:r w:rsidRPr="00A65928">
          <w:rPr>
            <w:rStyle w:val="Hyperlink"/>
            <w:rFonts w:ascii="Arial" w:hAnsi="Arial" w:cs="Arial"/>
            <w:bCs/>
          </w:rPr>
          <w:t>highcostfamily@justice.gov.uk</w:t>
        </w:r>
      </w:hyperlink>
      <w:r w:rsidR="00001DC6">
        <w:t xml:space="preserve"> – </w:t>
      </w:r>
      <w:r w:rsidRPr="00001DC6" w:rsidR="00001DC6">
        <w:rPr>
          <w:rFonts w:ascii="Arial" w:hAnsi="Arial" w:cs="Arial"/>
          <w:bCs/>
        </w:rPr>
        <w:t xml:space="preserve">requests for two counsel/KC should be </w:t>
      </w:r>
      <w:r w:rsidR="00B24AF8">
        <w:rPr>
          <w:rFonts w:ascii="Arial" w:hAnsi="Arial" w:cs="Arial"/>
          <w:bCs/>
        </w:rPr>
        <w:t>sent</w:t>
      </w:r>
      <w:r w:rsidRPr="00001DC6" w:rsidR="00001DC6">
        <w:rPr>
          <w:rFonts w:ascii="Arial" w:hAnsi="Arial" w:cs="Arial"/>
          <w:bCs/>
        </w:rPr>
        <w:t xml:space="preserve"> to </w:t>
      </w:r>
      <w:hyperlink w:history="1" r:id="rId14">
        <w:r w:rsidRPr="00693959" w:rsidR="00A95490">
          <w:rPr>
            <w:rStyle w:val="Hyperlink"/>
            <w:rFonts w:ascii="Arial" w:hAnsi="Arial" w:cs="Arial"/>
            <w:bCs/>
          </w:rPr>
          <w:t>contactecc@justice.gov.uk</w:t>
        </w:r>
      </w:hyperlink>
    </w:p>
    <w:p w:rsidR="00541A30" w:rsidP="003F6D03" w:rsidRDefault="00541A30" w14:paraId="17F2E30B" w14:textId="77777777">
      <w:pPr>
        <w:spacing w:after="0"/>
        <w:rPr>
          <w:rFonts w:ascii="Arial" w:hAnsi="Arial" w:cs="Arial"/>
          <w:bCs/>
        </w:rPr>
      </w:pPr>
    </w:p>
    <w:p w:rsidRPr="00001DC6" w:rsidR="003F6D03" w:rsidP="003F6D03" w:rsidRDefault="00EF102D" w14:paraId="7F9EBEFA" w14:textId="257C501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(Limited)</w:t>
      </w:r>
      <w:r w:rsidRPr="00C207FA" w:rsidR="003F6D03">
        <w:rPr>
          <w:rFonts w:ascii="Arial" w:hAnsi="Arial" w:cs="Arial"/>
          <w:b/>
        </w:rPr>
        <w:t xml:space="preserve"> Judicial Review challenges</w:t>
      </w:r>
    </w:p>
    <w:p w:rsidRPr="00C207FA" w:rsidR="003F6D03" w:rsidP="003F6D03" w:rsidRDefault="003F6D03" w14:paraId="08117083" w14:textId="77777777">
      <w:pPr>
        <w:spacing w:after="0"/>
        <w:rPr>
          <w:rFonts w:ascii="Arial" w:hAnsi="Arial" w:cs="Arial"/>
          <w:bCs/>
          <w:u w:val="single"/>
        </w:rPr>
      </w:pPr>
    </w:p>
    <w:p w:rsidRPr="00C207FA" w:rsidR="0060100C" w:rsidP="00C942F8" w:rsidRDefault="0060100C" w14:paraId="20161674" w14:textId="77777777">
      <w:pPr>
        <w:spacing w:after="0"/>
        <w:rPr>
          <w:rFonts w:ascii="Arial" w:hAnsi="Arial" w:cs="Arial"/>
          <w:bCs/>
        </w:rPr>
      </w:pPr>
      <w:r w:rsidRPr="00C207FA">
        <w:rPr>
          <w:rFonts w:ascii="Arial" w:hAnsi="Arial" w:cs="Arial"/>
          <w:bCs/>
        </w:rPr>
        <w:t>Judicial Review only where e.g. challenging government policy (e.g., budget cuts</w:t>
      </w:r>
      <w:r w:rsidRPr="00C207FA" w:rsidR="00F87B82">
        <w:rPr>
          <w:rFonts w:ascii="Arial" w:hAnsi="Arial" w:cs="Arial"/>
          <w:bCs/>
        </w:rPr>
        <w:t xml:space="preserve">, provision of </w:t>
      </w:r>
      <w:r w:rsidRPr="00C207FA">
        <w:rPr>
          <w:rFonts w:ascii="Arial" w:hAnsi="Arial" w:cs="Arial"/>
          <w:bCs/>
        </w:rPr>
        <w:t>services)</w:t>
      </w:r>
      <w:r w:rsidRPr="00C207FA" w:rsidR="00652090">
        <w:rPr>
          <w:rFonts w:ascii="Arial" w:hAnsi="Arial" w:cs="Arial"/>
          <w:bCs/>
        </w:rPr>
        <w:t xml:space="preserve"> </w:t>
      </w:r>
      <w:r w:rsidRPr="00C207FA">
        <w:rPr>
          <w:rFonts w:ascii="Arial" w:hAnsi="Arial" w:cs="Arial"/>
          <w:bCs/>
        </w:rPr>
        <w:t xml:space="preserve">or otherwise within the Reg 54 </w:t>
      </w:r>
      <w:r w:rsidRPr="00C207FA" w:rsidR="00652090">
        <w:rPr>
          <w:rFonts w:ascii="Arial" w:hAnsi="Arial" w:cs="Arial"/>
          <w:bCs/>
        </w:rPr>
        <w:t xml:space="preserve">Special Cases </w:t>
      </w:r>
      <w:r w:rsidRPr="00C207FA">
        <w:rPr>
          <w:rFonts w:ascii="Arial" w:hAnsi="Arial" w:cs="Arial"/>
          <w:bCs/>
        </w:rPr>
        <w:t>categories above</w:t>
      </w:r>
      <w:r w:rsidRPr="00C207FA" w:rsidR="00652090">
        <w:rPr>
          <w:rFonts w:ascii="Arial" w:hAnsi="Arial" w:cs="Arial"/>
          <w:bCs/>
        </w:rPr>
        <w:t xml:space="preserve">; </w:t>
      </w:r>
      <w:r w:rsidRPr="00C207FA" w:rsidR="004D5CE5">
        <w:rPr>
          <w:rFonts w:ascii="Arial" w:hAnsi="Arial" w:cs="Arial"/>
          <w:bCs/>
        </w:rPr>
        <w:t xml:space="preserve">examples below: </w:t>
      </w:r>
    </w:p>
    <w:p w:rsidRPr="003F6D03" w:rsidR="00713498" w:rsidP="00C942F8" w:rsidRDefault="00713498" w14:paraId="0A6810D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6D03">
        <w:rPr>
          <w:rFonts w:ascii="Arial" w:hAnsi="Arial" w:cs="Arial"/>
        </w:rPr>
        <w:t>Housing</w:t>
      </w:r>
      <w:r w:rsidRPr="003F6D03" w:rsidR="0021716B">
        <w:rPr>
          <w:rFonts w:ascii="Arial" w:hAnsi="Arial" w:cs="Arial"/>
        </w:rPr>
        <w:t>/</w:t>
      </w:r>
      <w:r w:rsidRPr="003F6D03" w:rsidR="009D5A08">
        <w:rPr>
          <w:rFonts w:ascii="Arial" w:hAnsi="Arial" w:cs="Arial"/>
        </w:rPr>
        <w:t xml:space="preserve">Community </w:t>
      </w:r>
      <w:r w:rsidRPr="003F6D03" w:rsidR="0021716B">
        <w:rPr>
          <w:rFonts w:ascii="Arial" w:hAnsi="Arial" w:cs="Arial"/>
        </w:rPr>
        <w:t>C</w:t>
      </w:r>
      <w:r w:rsidRPr="003F6D03" w:rsidR="009D5A08">
        <w:rPr>
          <w:rFonts w:ascii="Arial" w:hAnsi="Arial" w:cs="Arial"/>
        </w:rPr>
        <w:t xml:space="preserve">are </w:t>
      </w:r>
    </w:p>
    <w:p w:rsidRPr="003F6D03" w:rsidR="0060100C" w:rsidP="0060100C" w:rsidRDefault="0060100C" w14:paraId="555B0AD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Education/Discrimination </w:t>
      </w:r>
    </w:p>
    <w:p w:rsidRPr="003F6D03" w:rsidR="0060100C" w:rsidP="00C942F8" w:rsidRDefault="00652090" w14:paraId="20BC4BF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Welfare Benefits </w:t>
      </w:r>
    </w:p>
    <w:p w:rsidRPr="003F6D03" w:rsidR="00F87B82" w:rsidP="00F87B82" w:rsidRDefault="00F87B82" w14:paraId="72BB762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6D03">
        <w:rPr>
          <w:rFonts w:ascii="Arial" w:hAnsi="Arial" w:cs="Arial"/>
        </w:rPr>
        <w:t>NHS/healthcare</w:t>
      </w:r>
    </w:p>
    <w:p w:rsidRPr="003F6D03" w:rsidR="00F87B82" w:rsidP="00F87B82" w:rsidRDefault="00F87B82" w14:paraId="1CB1C40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6D03">
        <w:rPr>
          <w:rFonts w:ascii="Arial" w:hAnsi="Arial" w:cs="Arial"/>
        </w:rPr>
        <w:t>Terrorism/military</w:t>
      </w:r>
    </w:p>
    <w:p w:rsidR="00652090" w:rsidP="00C942F8" w:rsidRDefault="00652090" w14:paraId="6ABA7A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6D03">
        <w:rPr>
          <w:rFonts w:ascii="Arial" w:hAnsi="Arial" w:cs="Arial"/>
        </w:rPr>
        <w:t xml:space="preserve">Environment/planning </w:t>
      </w:r>
    </w:p>
    <w:p w:rsidR="00C207FA" w:rsidP="00C942F8" w:rsidRDefault="00C207FA" w14:paraId="0F094CB4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High Cost over £25,000</w:t>
      </w:r>
    </w:p>
    <w:p w:rsidRPr="00C207FA" w:rsidR="008F030E" w:rsidP="008F030E" w:rsidRDefault="008F030E" w14:paraId="72D060FE" w14:textId="77777777">
      <w:pPr>
        <w:pStyle w:val="ListParagraph"/>
        <w:ind w:left="360"/>
        <w:rPr>
          <w:rFonts w:ascii="Arial" w:hAnsi="Arial" w:cs="Arial"/>
        </w:rPr>
      </w:pPr>
    </w:p>
    <w:p w:rsidRPr="00C207FA" w:rsidR="00652090" w:rsidP="00652090" w:rsidRDefault="00652090" w14:paraId="3F25D4AD" w14:textId="77777777">
      <w:pPr>
        <w:pStyle w:val="ListParagraph"/>
        <w:ind w:left="0"/>
        <w:rPr>
          <w:rFonts w:ascii="Arial" w:hAnsi="Arial" w:cs="Arial"/>
        </w:rPr>
      </w:pPr>
    </w:p>
    <w:p w:rsidRPr="00C207FA" w:rsidR="003F6D03" w:rsidP="003F6D03" w:rsidRDefault="00C1432C" w14:paraId="295CD9F9" w14:textId="755E100A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All </w:t>
      </w:r>
      <w:r w:rsidRPr="00C207FA" w:rsidR="003F6D03">
        <w:rPr>
          <w:rFonts w:ascii="Arial" w:hAnsi="Arial" w:cs="Arial"/>
          <w:b/>
          <w:bCs/>
          <w:u w:val="single"/>
        </w:rPr>
        <w:t>Claims against Public Authorities</w:t>
      </w:r>
    </w:p>
    <w:p w:rsidRPr="00C207FA" w:rsidR="003F6D03" w:rsidP="003F6D03" w:rsidRDefault="003F6D03" w14:paraId="6A22F93A" w14:textId="77777777">
      <w:pPr>
        <w:spacing w:after="0"/>
        <w:rPr>
          <w:rFonts w:ascii="Arial" w:hAnsi="Arial" w:cs="Arial"/>
          <w:u w:val="single"/>
        </w:rPr>
      </w:pPr>
    </w:p>
    <w:p w:rsidRPr="00C207FA" w:rsidR="00F87B82" w:rsidP="00F87B82" w:rsidRDefault="00F87B82" w14:paraId="5AC002C1" w14:textId="77777777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Actions against the police damages claims against the police</w:t>
      </w:r>
    </w:p>
    <w:p w:rsidRPr="00C207FA" w:rsidR="00F87B82" w:rsidP="00116F31" w:rsidRDefault="008525A5" w14:paraId="13369A68" w14:textId="77777777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P</w:t>
      </w:r>
      <w:r w:rsidRPr="00C207FA" w:rsidR="00F87B82">
        <w:rPr>
          <w:rFonts w:ascii="Arial" w:hAnsi="Arial" w:cs="Arial"/>
        </w:rPr>
        <w:t>risoners’ rights, police &amp; crime related judicial review</w:t>
      </w:r>
    </w:p>
    <w:p w:rsidRPr="00C207FA" w:rsidR="00F87B82" w:rsidP="00116F31" w:rsidRDefault="008525A5" w14:paraId="30CE37A9" w14:textId="77777777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C</w:t>
      </w:r>
      <w:r w:rsidRPr="00C207FA" w:rsidR="00F87B82">
        <w:rPr>
          <w:rFonts w:ascii="Arial" w:hAnsi="Arial" w:cs="Arial"/>
        </w:rPr>
        <w:t xml:space="preserve">hild abuse claims </w:t>
      </w:r>
      <w:r w:rsidRPr="00C207FA">
        <w:rPr>
          <w:rFonts w:ascii="Arial" w:hAnsi="Arial" w:cs="Arial"/>
        </w:rPr>
        <w:t>involving l</w:t>
      </w:r>
      <w:r w:rsidRPr="00C207FA" w:rsidR="006A1BEC">
        <w:rPr>
          <w:rFonts w:ascii="Arial" w:hAnsi="Arial" w:cs="Arial"/>
        </w:rPr>
        <w:t xml:space="preserve">ocal Authority </w:t>
      </w:r>
      <w:r w:rsidRPr="00C207FA" w:rsidR="00F87B82">
        <w:rPr>
          <w:rFonts w:ascii="Arial" w:hAnsi="Arial" w:cs="Arial"/>
        </w:rPr>
        <w:t>HRA/</w:t>
      </w:r>
      <w:r w:rsidRPr="00C207FA" w:rsidR="006A1BEC">
        <w:rPr>
          <w:rFonts w:ascii="Arial" w:hAnsi="Arial" w:cs="Arial"/>
        </w:rPr>
        <w:t>negligence, any direct abuse.</w:t>
      </w:r>
    </w:p>
    <w:p w:rsidRPr="00C207FA" w:rsidR="00F87B82" w:rsidP="003F6D03" w:rsidRDefault="008525A5" w14:paraId="723A2ADA" w14:textId="77777777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O</w:t>
      </w:r>
      <w:r w:rsidRPr="00C207FA" w:rsidR="004D5CE5">
        <w:rPr>
          <w:rFonts w:ascii="Arial" w:hAnsi="Arial" w:cs="Arial"/>
        </w:rPr>
        <w:t xml:space="preserve">ther </w:t>
      </w:r>
      <w:r w:rsidRPr="00C207FA" w:rsidR="00F87B82">
        <w:rPr>
          <w:rFonts w:ascii="Arial" w:hAnsi="Arial" w:cs="Arial"/>
        </w:rPr>
        <w:t>in scope claims against public authorities</w:t>
      </w:r>
    </w:p>
    <w:p w:rsidRPr="00C207FA" w:rsidR="00F87B82" w:rsidP="00F87B82" w:rsidRDefault="00F87B82" w14:paraId="3C8AF2F1" w14:textId="77777777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HRA</w:t>
      </w:r>
      <w:r w:rsidRPr="00C207FA" w:rsidR="004D5CE5">
        <w:rPr>
          <w:rFonts w:ascii="Arial" w:hAnsi="Arial" w:cs="Arial"/>
        </w:rPr>
        <w:t>/negligence</w:t>
      </w:r>
      <w:r w:rsidRPr="00C207FA">
        <w:rPr>
          <w:rFonts w:ascii="Arial" w:hAnsi="Arial" w:cs="Arial"/>
        </w:rPr>
        <w:t xml:space="preserve"> Article 2 damages </w:t>
      </w:r>
    </w:p>
    <w:p w:rsidRPr="00C207FA" w:rsidR="00B3510C" w:rsidP="00F87B82" w:rsidRDefault="00F87B82" w14:paraId="3996EA3B" w14:textId="77777777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Denial of Liberty HRA damages</w:t>
      </w:r>
    </w:p>
    <w:p w:rsidRPr="00C207FA" w:rsidR="00F87B82" w:rsidP="00CF4CC1" w:rsidRDefault="004D5CE5" w14:paraId="6DA4BBBD" w14:textId="77777777">
      <w:pPr>
        <w:numPr>
          <w:ilvl w:val="0"/>
          <w:numId w:val="1"/>
        </w:numPr>
        <w:spacing w:after="0" w:line="252" w:lineRule="auto"/>
        <w:rPr>
          <w:rFonts w:ascii="Arial" w:hAnsi="Arial" w:cs="Arial"/>
        </w:rPr>
      </w:pPr>
      <w:r w:rsidRPr="00C207FA">
        <w:rPr>
          <w:rFonts w:ascii="Arial" w:hAnsi="Arial" w:cs="Arial"/>
        </w:rPr>
        <w:t xml:space="preserve">Equality Act e.g. </w:t>
      </w:r>
      <w:r w:rsidRPr="00C207FA" w:rsidR="00CF4CC1">
        <w:rPr>
          <w:rFonts w:ascii="Arial" w:hAnsi="Arial" w:cs="Arial"/>
        </w:rPr>
        <w:t xml:space="preserve">education community care </w:t>
      </w:r>
    </w:p>
    <w:p w:rsidR="006A1BEC" w:rsidP="006A1BEC" w:rsidRDefault="008F030E" w14:paraId="63C3277C" w14:textId="77777777">
      <w:pPr>
        <w:numPr>
          <w:ilvl w:val="0"/>
          <w:numId w:val="1"/>
        </w:numPr>
        <w:spacing w:after="0" w:line="252" w:lineRule="auto"/>
        <w:rPr>
          <w:rFonts w:ascii="Arial" w:hAnsi="Arial" w:cs="Arial"/>
        </w:rPr>
      </w:pPr>
      <w:r w:rsidRPr="00C207FA">
        <w:rPr>
          <w:rFonts w:ascii="Arial" w:hAnsi="Arial" w:cs="Arial"/>
        </w:rPr>
        <w:t>S</w:t>
      </w:r>
      <w:r w:rsidRPr="00C207FA" w:rsidR="006A1BEC">
        <w:rPr>
          <w:rFonts w:ascii="Arial" w:hAnsi="Arial" w:cs="Arial"/>
        </w:rPr>
        <w:t>erious wrongdoing by public authorities</w:t>
      </w:r>
    </w:p>
    <w:p w:rsidR="00C207FA" w:rsidP="00C207FA" w:rsidRDefault="00C207FA" w14:paraId="50CEBA8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Cost over £25,000</w:t>
      </w:r>
    </w:p>
    <w:p w:rsidRPr="00C207FA" w:rsidR="00C207FA" w:rsidP="00C207FA" w:rsidRDefault="00C207FA" w14:paraId="25D7B2C1" w14:textId="77777777">
      <w:pPr>
        <w:spacing w:after="0" w:line="252" w:lineRule="auto"/>
        <w:ind w:left="360"/>
        <w:rPr>
          <w:rFonts w:ascii="Arial" w:hAnsi="Arial" w:cs="Arial"/>
        </w:rPr>
      </w:pPr>
    </w:p>
    <w:p w:rsidRPr="00C207FA" w:rsidR="008F030E" w:rsidP="008F030E" w:rsidRDefault="008F030E" w14:paraId="5EF14F6F" w14:textId="77777777">
      <w:pPr>
        <w:spacing w:after="0" w:line="252" w:lineRule="auto"/>
        <w:ind w:left="360"/>
        <w:rPr>
          <w:rFonts w:ascii="Arial" w:hAnsi="Arial" w:cs="Arial"/>
        </w:rPr>
      </w:pPr>
    </w:p>
    <w:p w:rsidRPr="00C207FA" w:rsidR="008F030E" w:rsidP="008F030E" w:rsidRDefault="00C1432C" w14:paraId="6A812D70" w14:textId="701DDC4B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All </w:t>
      </w:r>
      <w:r w:rsidRPr="00C207FA" w:rsidR="006A1BEC">
        <w:rPr>
          <w:rFonts w:ascii="Arial" w:hAnsi="Arial" w:cs="Arial"/>
          <w:b/>
          <w:bCs/>
          <w:u w:val="single"/>
        </w:rPr>
        <w:t>Clinical Negligence</w:t>
      </w:r>
    </w:p>
    <w:p w:rsidRPr="00C207FA" w:rsidR="008F030E" w:rsidP="008F030E" w:rsidRDefault="008F030E" w14:paraId="78B912E7" w14:textId="77777777">
      <w:pPr>
        <w:spacing w:after="0"/>
        <w:rPr>
          <w:rFonts w:ascii="Arial" w:hAnsi="Arial" w:cs="Arial"/>
        </w:rPr>
      </w:pPr>
    </w:p>
    <w:p w:rsidR="006A1BEC" w:rsidP="008F030E" w:rsidRDefault="008F030E" w14:paraId="6F17135D" w14:textId="77777777">
      <w:pPr>
        <w:numPr>
          <w:ilvl w:val="0"/>
          <w:numId w:val="1"/>
        </w:numPr>
        <w:spacing w:after="0" w:line="252" w:lineRule="auto"/>
        <w:rPr>
          <w:rFonts w:ascii="Arial" w:hAnsi="Arial" w:cs="Arial"/>
        </w:rPr>
      </w:pPr>
      <w:r w:rsidRPr="00C207FA">
        <w:rPr>
          <w:rFonts w:ascii="Arial" w:hAnsi="Arial" w:cs="Arial"/>
        </w:rPr>
        <w:t>N</w:t>
      </w:r>
      <w:r w:rsidRPr="00C207FA" w:rsidR="006A1BEC">
        <w:rPr>
          <w:rFonts w:ascii="Arial" w:hAnsi="Arial" w:cs="Arial"/>
        </w:rPr>
        <w:t xml:space="preserve">eurological damage cases where the injury occurred within the first 8 weeks usually brain damage during birth </w:t>
      </w:r>
      <w:r w:rsidR="00C207FA">
        <w:rPr>
          <w:rFonts w:ascii="Arial" w:hAnsi="Arial" w:cs="Arial"/>
        </w:rPr>
        <w:t xml:space="preserve">and </w:t>
      </w:r>
      <w:proofErr w:type="spellStart"/>
      <w:r w:rsidR="00C207FA">
        <w:rPr>
          <w:rFonts w:ascii="Arial" w:hAnsi="Arial" w:cs="Arial"/>
        </w:rPr>
        <w:t>erbs</w:t>
      </w:r>
      <w:proofErr w:type="spellEnd"/>
      <w:r w:rsidR="00C207FA">
        <w:rPr>
          <w:rFonts w:ascii="Arial" w:hAnsi="Arial" w:cs="Arial"/>
        </w:rPr>
        <w:t xml:space="preserve"> palsy</w:t>
      </w:r>
    </w:p>
    <w:p w:rsidRPr="00C207FA" w:rsidR="00C207FA" w:rsidP="00C207FA" w:rsidRDefault="00C207FA" w14:paraId="634EC2E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Cost over £25,000</w:t>
      </w:r>
    </w:p>
    <w:p w:rsidRPr="00C207FA" w:rsidR="003C795D" w:rsidP="00C942F8" w:rsidRDefault="003C795D" w14:paraId="5F981C51" w14:textId="77777777">
      <w:pPr>
        <w:spacing w:after="0"/>
        <w:rPr>
          <w:rFonts w:ascii="Arial" w:hAnsi="Arial" w:cs="Arial"/>
          <w:u w:val="single"/>
        </w:rPr>
      </w:pPr>
    </w:p>
    <w:p w:rsidRPr="00C207FA" w:rsidR="00E1718F" w:rsidP="00C942F8" w:rsidRDefault="003E5382" w14:paraId="698327B0" w14:textId="77777777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(Limited) </w:t>
      </w:r>
      <w:r w:rsidRPr="00C207FA" w:rsidR="00E1718F">
        <w:rPr>
          <w:rFonts w:ascii="Arial" w:hAnsi="Arial" w:cs="Arial"/>
          <w:b/>
          <w:bCs/>
          <w:u w:val="single"/>
        </w:rPr>
        <w:t>Family</w:t>
      </w:r>
      <w:r w:rsidR="00693959">
        <w:rPr>
          <w:rFonts w:ascii="Arial" w:hAnsi="Arial" w:cs="Arial"/>
          <w:b/>
          <w:bCs/>
          <w:u w:val="single"/>
        </w:rPr>
        <w:t>,</w:t>
      </w:r>
      <w:r w:rsidRPr="00C207FA" w:rsidR="00E1718F">
        <w:rPr>
          <w:rFonts w:ascii="Arial" w:hAnsi="Arial" w:cs="Arial"/>
          <w:b/>
          <w:bCs/>
          <w:u w:val="single"/>
        </w:rPr>
        <w:t xml:space="preserve"> Court of Protection</w:t>
      </w:r>
      <w:r w:rsidR="00693959">
        <w:rPr>
          <w:rFonts w:ascii="Arial" w:hAnsi="Arial" w:cs="Arial"/>
          <w:b/>
          <w:bCs/>
          <w:u w:val="single"/>
        </w:rPr>
        <w:t xml:space="preserve"> and Mental Health</w:t>
      </w:r>
    </w:p>
    <w:p w:rsidRPr="00C207FA" w:rsidR="003F6D03" w:rsidP="00C942F8" w:rsidRDefault="003F6D03" w14:paraId="67968A17" w14:textId="77777777">
      <w:pPr>
        <w:spacing w:after="0"/>
        <w:rPr>
          <w:rFonts w:ascii="Arial" w:hAnsi="Arial" w:cs="Arial"/>
          <w:u w:val="single"/>
        </w:rPr>
      </w:pPr>
    </w:p>
    <w:p w:rsidRPr="00C207FA" w:rsidR="003A3295" w:rsidP="00430F21" w:rsidRDefault="00C207FA" w14:paraId="153C7790" w14:textId="77777777">
      <w:pPr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 authority for K</w:t>
      </w:r>
      <w:r w:rsidRPr="00C207FA" w:rsidR="00E1718F">
        <w:rPr>
          <w:rFonts w:ascii="Arial" w:hAnsi="Arial" w:cs="Arial"/>
        </w:rPr>
        <w:t xml:space="preserve">C or two </w:t>
      </w:r>
      <w:proofErr w:type="gramStart"/>
      <w:r w:rsidRPr="00C207FA" w:rsidR="00E1718F">
        <w:rPr>
          <w:rFonts w:ascii="Arial" w:hAnsi="Arial" w:cs="Arial"/>
        </w:rPr>
        <w:t>counsel</w:t>
      </w:r>
      <w:proofErr w:type="gramEnd"/>
      <w:r w:rsidRPr="00C207FA" w:rsidR="00E1718F">
        <w:rPr>
          <w:rFonts w:ascii="Arial" w:hAnsi="Arial" w:cs="Arial"/>
        </w:rPr>
        <w:t xml:space="preserve"> </w:t>
      </w:r>
    </w:p>
    <w:p w:rsidRPr="00C207FA" w:rsidR="00430F21" w:rsidP="00430F21" w:rsidRDefault="003A3295" w14:paraId="4BC395AB" w14:textId="73409726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6DEBE2B9">
        <w:rPr>
          <w:rFonts w:ascii="Arial" w:hAnsi="Arial" w:cs="Arial"/>
        </w:rPr>
        <w:t>All</w:t>
      </w:r>
      <w:r w:rsidRPr="6DEBE2B9" w:rsidR="00430F21">
        <w:rPr>
          <w:rFonts w:ascii="Arial" w:hAnsi="Arial" w:cs="Arial"/>
        </w:rPr>
        <w:t xml:space="preserve"> </w:t>
      </w:r>
      <w:r w:rsidRPr="6DEBE2B9" w:rsidR="58EA27B0">
        <w:rPr>
          <w:rFonts w:ascii="Arial" w:hAnsi="Arial" w:cs="Arial"/>
        </w:rPr>
        <w:t xml:space="preserve">substantive applications and amendments for the </w:t>
      </w:r>
      <w:r w:rsidRPr="6DEBE2B9" w:rsidR="00430F21">
        <w:rPr>
          <w:rFonts w:ascii="Arial" w:hAnsi="Arial" w:cs="Arial"/>
        </w:rPr>
        <w:t xml:space="preserve">Court of Appeal </w:t>
      </w:r>
      <w:r w:rsidRPr="6DEBE2B9" w:rsidR="7CC121A8">
        <w:rPr>
          <w:rFonts w:ascii="Arial" w:hAnsi="Arial" w:cs="Arial"/>
        </w:rPr>
        <w:t>and UK</w:t>
      </w:r>
      <w:r w:rsidR="00A30048">
        <w:rPr>
          <w:rFonts w:ascii="Arial" w:hAnsi="Arial" w:cs="Arial"/>
        </w:rPr>
        <w:t xml:space="preserve"> </w:t>
      </w:r>
      <w:r w:rsidRPr="6DEBE2B9" w:rsidR="7CC121A8">
        <w:rPr>
          <w:rFonts w:ascii="Arial" w:hAnsi="Arial" w:cs="Arial"/>
        </w:rPr>
        <w:t>S</w:t>
      </w:r>
      <w:r w:rsidR="00A30048">
        <w:rPr>
          <w:rFonts w:ascii="Arial" w:hAnsi="Arial" w:cs="Arial"/>
        </w:rPr>
        <w:t xml:space="preserve">upreme </w:t>
      </w:r>
      <w:r w:rsidRPr="6DEBE2B9" w:rsidR="7CC121A8">
        <w:rPr>
          <w:rFonts w:ascii="Arial" w:hAnsi="Arial" w:cs="Arial"/>
        </w:rPr>
        <w:t>C</w:t>
      </w:r>
      <w:r w:rsidR="00A30048">
        <w:rPr>
          <w:rFonts w:ascii="Arial" w:hAnsi="Arial" w:cs="Arial"/>
        </w:rPr>
        <w:t>ourt</w:t>
      </w:r>
      <w:r w:rsidRPr="6DEBE2B9" w:rsidR="7CC121A8">
        <w:rPr>
          <w:rFonts w:ascii="Arial" w:hAnsi="Arial" w:cs="Arial"/>
        </w:rPr>
        <w:t xml:space="preserve"> </w:t>
      </w:r>
      <w:r w:rsidRPr="7B5D1FD7" w:rsidR="7CC121A8">
        <w:rPr>
          <w:rFonts w:ascii="Arial" w:hAnsi="Arial" w:cs="Arial"/>
        </w:rPr>
        <w:t xml:space="preserve">in </w:t>
      </w:r>
      <w:r w:rsidRPr="6DEBE2B9" w:rsidR="00430F21">
        <w:rPr>
          <w:rFonts w:ascii="Arial" w:hAnsi="Arial" w:cs="Arial"/>
        </w:rPr>
        <w:t xml:space="preserve">family </w:t>
      </w:r>
      <w:r w:rsidRPr="6DEBE2B9">
        <w:rPr>
          <w:rFonts w:ascii="Arial" w:hAnsi="Arial" w:cs="Arial"/>
        </w:rPr>
        <w:t>cases</w:t>
      </w:r>
    </w:p>
    <w:p w:rsidR="003A3295" w:rsidP="00A94402" w:rsidRDefault="00E1718F" w14:paraId="2951B077" w14:textId="77777777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3E5382">
        <w:rPr>
          <w:rFonts w:ascii="Arial" w:hAnsi="Arial" w:cs="Arial"/>
        </w:rPr>
        <w:t>Court of Protection</w:t>
      </w:r>
      <w:r w:rsidRPr="003E5382" w:rsidR="003E5382">
        <w:rPr>
          <w:rFonts w:ascii="Arial" w:hAnsi="Arial" w:cs="Arial"/>
        </w:rPr>
        <w:t>/Mental Health</w:t>
      </w:r>
      <w:r w:rsidRPr="003E5382">
        <w:rPr>
          <w:rFonts w:ascii="Arial" w:hAnsi="Arial" w:cs="Arial"/>
        </w:rPr>
        <w:t xml:space="preserve"> –high cost</w:t>
      </w:r>
      <w:r w:rsidRPr="003E5382" w:rsidR="008525A5">
        <w:rPr>
          <w:rFonts w:ascii="Arial" w:hAnsi="Arial" w:cs="Arial"/>
        </w:rPr>
        <w:t xml:space="preserve"> over £25,000</w:t>
      </w:r>
      <w:r w:rsidRPr="003E5382">
        <w:rPr>
          <w:rFonts w:ascii="Arial" w:hAnsi="Arial" w:cs="Arial"/>
        </w:rPr>
        <w:t xml:space="preserve"> </w:t>
      </w:r>
    </w:p>
    <w:p w:rsidRPr="003E5382" w:rsidR="003E5382" w:rsidP="003E5382" w:rsidRDefault="003E5382" w14:paraId="3DEB9BEC" w14:textId="77777777">
      <w:pPr>
        <w:spacing w:after="0"/>
        <w:ind w:left="720"/>
        <w:rPr>
          <w:rFonts w:ascii="Arial" w:hAnsi="Arial" w:cs="Arial"/>
        </w:rPr>
      </w:pPr>
    </w:p>
    <w:p w:rsidRPr="00C207FA" w:rsidR="00717485" w:rsidP="00717485" w:rsidRDefault="00EF102D" w14:paraId="12C98CA5" w14:textId="483A15DA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All </w:t>
      </w:r>
      <w:r w:rsidRPr="00C207FA" w:rsidR="00717485">
        <w:rPr>
          <w:rFonts w:ascii="Arial" w:hAnsi="Arial" w:cs="Arial"/>
          <w:b/>
          <w:bCs/>
          <w:u w:val="single"/>
        </w:rPr>
        <w:t>Immigration and Asylum</w:t>
      </w:r>
    </w:p>
    <w:p w:rsidRPr="00C207FA" w:rsidR="003F6D03" w:rsidP="00717485" w:rsidRDefault="003F6D03" w14:paraId="59255C99" w14:textId="77777777">
      <w:pPr>
        <w:spacing w:after="0"/>
        <w:rPr>
          <w:rFonts w:ascii="Arial" w:hAnsi="Arial" w:cs="Arial"/>
        </w:rPr>
      </w:pPr>
    </w:p>
    <w:p w:rsidRPr="00C207FA" w:rsidR="00717485" w:rsidP="00717485" w:rsidRDefault="00717485" w14:paraId="095E3E70" w14:textId="77777777">
      <w:pPr>
        <w:spacing w:after="0"/>
        <w:rPr>
          <w:rFonts w:ascii="Arial" w:hAnsi="Arial" w:cs="Arial"/>
        </w:rPr>
      </w:pPr>
      <w:r w:rsidRPr="00C207FA">
        <w:rPr>
          <w:rFonts w:ascii="Arial" w:hAnsi="Arial" w:cs="Arial"/>
        </w:rPr>
        <w:t>Certificated immigration, asylum and associated public law – usually JR challenges of Home Office decisions or lack of a decision where no right of appeal:</w:t>
      </w:r>
    </w:p>
    <w:p w:rsidRPr="00C207FA" w:rsidR="0001551F" w:rsidP="00663A25" w:rsidRDefault="0001551F" w14:paraId="7F8E14E4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 xml:space="preserve">All immigration or asylum judicial review applications, challenges to delays in decision making or of failure or omission to discharge obligations </w:t>
      </w:r>
      <w:r w:rsidRPr="00C207FA" w:rsidR="00525762">
        <w:rPr>
          <w:rFonts w:ascii="Arial" w:hAnsi="Arial" w:cs="Arial"/>
        </w:rPr>
        <w:t>to</w:t>
      </w:r>
      <w:r w:rsidRPr="00C207FA">
        <w:rPr>
          <w:rFonts w:ascii="Arial" w:hAnsi="Arial" w:cs="Arial"/>
        </w:rPr>
        <w:t xml:space="preserve"> applicant</w:t>
      </w:r>
      <w:r w:rsidRPr="00C207FA" w:rsidR="00525762">
        <w:rPr>
          <w:rFonts w:ascii="Arial" w:hAnsi="Arial" w:cs="Arial"/>
        </w:rPr>
        <w:t xml:space="preserve"> </w:t>
      </w:r>
    </w:p>
    <w:p w:rsidRPr="00C207FA" w:rsidR="0001551F" w:rsidP="00663A25" w:rsidRDefault="0001551F" w14:paraId="08C4769A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 xml:space="preserve">Tribunal Appeals - First Tier to Upper Tribunal and </w:t>
      </w:r>
      <w:r w:rsidRPr="00C207FA" w:rsidR="003A3295">
        <w:rPr>
          <w:rFonts w:ascii="Arial" w:hAnsi="Arial" w:cs="Arial"/>
        </w:rPr>
        <w:t>UT</w:t>
      </w:r>
      <w:r w:rsidRPr="00C207FA">
        <w:rPr>
          <w:rFonts w:ascii="Arial" w:hAnsi="Arial" w:cs="Arial"/>
        </w:rPr>
        <w:t xml:space="preserve"> to Court of Appeal; relating to the Refugee Convention/Article 3 of the </w:t>
      </w:r>
      <w:r w:rsidRPr="00C207FA" w:rsidR="003A3295">
        <w:rPr>
          <w:rFonts w:ascii="Arial" w:hAnsi="Arial" w:cs="Arial"/>
        </w:rPr>
        <w:t>HRA</w:t>
      </w:r>
      <w:r w:rsidRPr="00C207FA">
        <w:rPr>
          <w:rFonts w:ascii="Arial" w:hAnsi="Arial" w:cs="Arial"/>
        </w:rPr>
        <w:t>, victims of domestic violence or human trafficking/modern slavery; separated migrant children.</w:t>
      </w:r>
    </w:p>
    <w:p w:rsidRPr="00C207FA" w:rsidR="0001551F" w:rsidP="00663A25" w:rsidRDefault="0001551F" w14:paraId="7406AA83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 xml:space="preserve">Appeals before Special Immigration Appeals Commission (SIAC) - national security issues. </w:t>
      </w:r>
    </w:p>
    <w:p w:rsidRPr="00C207FA" w:rsidR="0001551F" w:rsidP="00663A25" w:rsidRDefault="0001551F" w14:paraId="3EC8691D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 xml:space="preserve">Claims for damages for unlawful immigration detention </w:t>
      </w:r>
    </w:p>
    <w:p w:rsidRPr="00C207FA" w:rsidR="0001551F" w:rsidP="00663A25" w:rsidRDefault="0001551F" w14:paraId="29754B63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 xml:space="preserve">Claims for damages age assessment dispute – Local Authority is respondent </w:t>
      </w:r>
    </w:p>
    <w:p w:rsidR="00C207FA" w:rsidP="00C207FA" w:rsidRDefault="0001551F" w14:paraId="13D9E43E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>Any case where applicant has insecure immigration status</w:t>
      </w:r>
    </w:p>
    <w:p w:rsidRPr="00C207FA" w:rsidR="00C207FA" w:rsidP="00C207FA" w:rsidRDefault="00C207FA" w14:paraId="2915D8BF" w14:textId="77777777">
      <w:pPr>
        <w:numPr>
          <w:ilvl w:val="0"/>
          <w:numId w:val="33"/>
        </w:numPr>
        <w:spacing w:after="0"/>
        <w:ind w:left="709"/>
        <w:rPr>
          <w:rFonts w:ascii="Arial" w:hAnsi="Arial" w:cs="Arial"/>
        </w:rPr>
      </w:pPr>
      <w:r w:rsidRPr="00C207FA">
        <w:rPr>
          <w:rFonts w:ascii="Arial" w:hAnsi="Arial" w:cs="Arial"/>
        </w:rPr>
        <w:t>High Cost over £25,000</w:t>
      </w:r>
    </w:p>
    <w:p w:rsidRPr="00C207FA" w:rsidR="00C207FA" w:rsidP="00C207FA" w:rsidRDefault="00C207FA" w14:paraId="4628D008" w14:textId="77777777">
      <w:pPr>
        <w:spacing w:after="0"/>
        <w:ind w:left="349"/>
        <w:rPr>
          <w:rFonts w:ascii="Arial" w:hAnsi="Arial" w:cs="Arial"/>
        </w:rPr>
      </w:pPr>
    </w:p>
    <w:p w:rsidRPr="00C207FA" w:rsidR="0001551F" w:rsidP="0001551F" w:rsidRDefault="0001551F" w14:paraId="26C1A909" w14:textId="77777777">
      <w:pPr>
        <w:spacing w:after="0"/>
        <w:ind w:left="360"/>
        <w:rPr>
          <w:rFonts w:ascii="Arial" w:hAnsi="Arial" w:cs="Arial"/>
        </w:rPr>
      </w:pPr>
    </w:p>
    <w:p w:rsidRPr="00C207FA" w:rsidR="00717485" w:rsidP="00717485" w:rsidRDefault="00EF102D" w14:paraId="6E7E87D9" w14:textId="127F7DF0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All </w:t>
      </w:r>
      <w:r w:rsidRPr="00C207FA" w:rsidR="00717485">
        <w:rPr>
          <w:rFonts w:ascii="Arial" w:hAnsi="Arial" w:cs="Arial"/>
          <w:b/>
          <w:bCs/>
          <w:u w:val="single"/>
        </w:rPr>
        <w:t xml:space="preserve">Exceptional Case Funding </w:t>
      </w:r>
    </w:p>
    <w:p w:rsidRPr="00C207FA" w:rsidR="003F6D03" w:rsidP="00717485" w:rsidRDefault="003F6D03" w14:paraId="072E77E9" w14:textId="77777777">
      <w:pPr>
        <w:spacing w:after="0"/>
        <w:rPr>
          <w:rFonts w:ascii="Arial" w:hAnsi="Arial" w:cs="Arial"/>
        </w:rPr>
      </w:pPr>
    </w:p>
    <w:p w:rsidRPr="00C207FA" w:rsidR="003F6D03" w:rsidP="003F6D03" w:rsidRDefault="003F6D03" w14:paraId="1CBAE4A9" w14:textId="77777777">
      <w:pPr>
        <w:rPr>
          <w:rFonts w:ascii="Arial" w:hAnsi="Arial" w:cs="Arial"/>
        </w:rPr>
      </w:pPr>
      <w:r w:rsidRPr="00C207FA">
        <w:rPr>
          <w:rFonts w:ascii="Arial" w:hAnsi="Arial" w:cs="Arial"/>
        </w:rPr>
        <w:t>Where you would ordinarily use CCMS, please submit urgent applications using the appropriate application forms. Guidance on the forms is here: </w:t>
      </w:r>
      <w:hyperlink w:history="1" w:anchor="how-to-apply-for-legal-aid-providers" r:id="rId15">
        <w:r w:rsidRPr="00C207FA">
          <w:rPr>
            <w:rStyle w:val="Hyperlink"/>
            <w:rFonts w:ascii="Arial" w:hAnsi="Arial" w:cs="Arial"/>
          </w:rPr>
          <w:t>Legal aid: apply for exceptional case funding</w:t>
        </w:r>
      </w:hyperlink>
    </w:p>
    <w:p w:rsidR="00630A20" w:rsidP="00630A20" w:rsidRDefault="00630A20" w14:paraId="48E2F804" w14:textId="77777777">
      <w:pPr>
        <w:spacing w:after="0"/>
        <w:rPr>
          <w:rFonts w:ascii="Arial" w:hAnsi="Arial" w:cs="Arial"/>
        </w:rPr>
      </w:pPr>
    </w:p>
    <w:p w:rsidRPr="00851466" w:rsidR="005E505D" w:rsidP="005E505D" w:rsidRDefault="005E505D" w14:paraId="2954446C" w14:textId="77777777">
      <w:pPr>
        <w:pStyle w:val="Heading2"/>
        <w:rPr>
          <w:rFonts w:ascii="Arial" w:hAnsi="Arial" w:cs="Arial"/>
          <w:b/>
          <w:bCs/>
          <w:color w:val="auto"/>
          <w:sz w:val="26"/>
          <w:szCs w:val="26"/>
        </w:rPr>
      </w:pPr>
      <w:r w:rsidRPr="00851466">
        <w:rPr>
          <w:rFonts w:ascii="Arial" w:hAnsi="Arial" w:cs="Arial"/>
          <w:b/>
          <w:bCs/>
          <w:color w:val="auto"/>
          <w:sz w:val="26"/>
          <w:szCs w:val="26"/>
        </w:rPr>
        <w:t>Application forms</w:t>
      </w:r>
    </w:p>
    <w:p w:rsidRPr="006B3880" w:rsidR="005E505D" w:rsidP="005E505D" w:rsidRDefault="005E505D" w14:paraId="20D1A27A" w14:textId="77777777">
      <w:pPr>
        <w:rPr>
          <w:rFonts w:ascii="Arial" w:hAnsi="Arial" w:cs="Arial"/>
          <w:b/>
          <w:bCs/>
        </w:rPr>
      </w:pPr>
      <w:r w:rsidRPr="006B3880">
        <w:rPr>
          <w:rFonts w:ascii="Arial" w:hAnsi="Arial" w:cs="Arial"/>
          <w:b/>
          <w:bCs/>
        </w:rPr>
        <w:t xml:space="preserve">In-Scope </w:t>
      </w:r>
    </w:p>
    <w:p w:rsidRPr="006B3880" w:rsidR="005E505D" w:rsidP="005E505D" w:rsidRDefault="005E505D" w14:paraId="2552F87D" w14:textId="77777777">
      <w:pPr>
        <w:rPr>
          <w:rFonts w:ascii="Arial" w:hAnsi="Arial" w:cs="Arial"/>
        </w:rPr>
      </w:pPr>
      <w:hyperlink w:history="1" r:id="rId16">
        <w:r w:rsidRPr="006B3880">
          <w:rPr>
            <w:rStyle w:val="Hyperlink"/>
            <w:rFonts w:ascii="Arial" w:hAnsi="Arial" w:cs="Arial"/>
          </w:rPr>
          <w:t>CIV APP1: application for civil legal aid certificate</w:t>
        </w:r>
      </w:hyperlink>
    </w:p>
    <w:p w:rsidRPr="006B3880" w:rsidR="005E505D" w:rsidP="005E505D" w:rsidRDefault="005E505D" w14:paraId="7B13A8E6" w14:textId="59D2A227">
      <w:pPr>
        <w:rPr>
          <w:rFonts w:ascii="Arial" w:hAnsi="Arial" w:cs="Arial"/>
        </w:rPr>
      </w:pPr>
      <w:hyperlink w:history="1" r:id="rId17">
        <w:r w:rsidRPr="006B3880">
          <w:rPr>
            <w:rStyle w:val="Hyperlink"/>
            <w:rFonts w:ascii="Arial" w:hAnsi="Arial" w:cs="Arial"/>
          </w:rPr>
          <w:t>CIV APP3: application for legal aid in family proceedings</w:t>
        </w:r>
      </w:hyperlink>
    </w:p>
    <w:p w:rsidRPr="006B3880" w:rsidR="005E505D" w:rsidP="005E505D" w:rsidRDefault="005E505D" w14:paraId="3C43896C" w14:textId="77777777">
      <w:pPr>
        <w:rPr>
          <w:rFonts w:ascii="Arial" w:hAnsi="Arial" w:cs="Arial"/>
        </w:rPr>
      </w:pPr>
      <w:hyperlink w:history="1" r:id="rId18">
        <w:r w:rsidRPr="006B3880">
          <w:rPr>
            <w:rStyle w:val="Hyperlink"/>
            <w:rFonts w:ascii="Arial" w:hAnsi="Arial" w:cs="Arial"/>
          </w:rPr>
          <w:t>CIV APP6: legal aid emergency application</w:t>
        </w:r>
      </w:hyperlink>
    </w:p>
    <w:p w:rsidRPr="006B3880" w:rsidR="005E505D" w:rsidP="005E505D" w:rsidRDefault="005E505D" w14:paraId="05FBD678" w14:textId="77777777">
      <w:pPr>
        <w:rPr>
          <w:rFonts w:ascii="Arial" w:hAnsi="Arial" w:cs="Arial"/>
        </w:rPr>
      </w:pPr>
      <w:hyperlink w:history="1" r:id="rId19">
        <w:r w:rsidRPr="006B3880">
          <w:rPr>
            <w:rStyle w:val="Hyperlink"/>
            <w:rFonts w:ascii="Arial" w:hAnsi="Arial" w:cs="Arial"/>
          </w:rPr>
          <w:t>CIV APP8: application for amendment/prior authority (civil)</w:t>
        </w:r>
      </w:hyperlink>
    </w:p>
    <w:p w:rsidRPr="006B3880" w:rsidR="005E505D" w:rsidP="005E505D" w:rsidRDefault="005E505D" w14:paraId="295F7217" w14:textId="77777777">
      <w:pPr>
        <w:rPr>
          <w:rFonts w:ascii="Arial" w:hAnsi="Arial" w:cs="Arial"/>
        </w:rPr>
      </w:pPr>
      <w:hyperlink w:history="1" r:id="rId20">
        <w:r w:rsidRPr="006B3880">
          <w:rPr>
            <w:rStyle w:val="Hyperlink"/>
            <w:rFonts w:ascii="Arial" w:hAnsi="Arial" w:cs="Arial"/>
          </w:rPr>
          <w:t>CIV APP8A: application for prior authority/change (cost limitation)</w:t>
        </w:r>
      </w:hyperlink>
    </w:p>
    <w:p w:rsidRPr="006B3880" w:rsidR="005E505D" w:rsidP="005E505D" w:rsidRDefault="005E505D" w14:paraId="4DA8B48C" w14:textId="77777777">
      <w:pPr>
        <w:rPr>
          <w:rFonts w:ascii="Arial" w:hAnsi="Arial" w:cs="Arial"/>
        </w:rPr>
      </w:pPr>
      <w:hyperlink w:history="1" r:id="rId21">
        <w:r w:rsidRPr="006B3880">
          <w:rPr>
            <w:rStyle w:val="Hyperlink"/>
            <w:rFonts w:ascii="Arial" w:hAnsi="Arial" w:cs="Arial"/>
          </w:rPr>
          <w:t>CIV MEANS 1</w:t>
        </w:r>
      </w:hyperlink>
      <w:r w:rsidRPr="006B3880">
        <w:rPr>
          <w:rFonts w:ascii="Arial" w:hAnsi="Arial" w:cs="Arial"/>
        </w:rPr>
        <w:t> – means assessment form for legal aid clients not on Income Support or other passporting benefits</w:t>
      </w:r>
    </w:p>
    <w:p w:rsidRPr="006B3880" w:rsidR="005E505D" w:rsidP="005E505D" w:rsidRDefault="005E505D" w14:paraId="5C2330AE" w14:textId="77777777">
      <w:pPr>
        <w:rPr>
          <w:rFonts w:ascii="Arial" w:hAnsi="Arial" w:cs="Arial"/>
        </w:rPr>
      </w:pPr>
      <w:hyperlink w:history="1" r:id="rId22">
        <w:r w:rsidRPr="006B3880">
          <w:rPr>
            <w:rStyle w:val="Hyperlink"/>
            <w:rFonts w:ascii="Arial" w:hAnsi="Arial" w:cs="Arial"/>
          </w:rPr>
          <w:t>CIV MEANS 2</w:t>
        </w:r>
      </w:hyperlink>
      <w:r w:rsidRPr="006B3880">
        <w:rPr>
          <w:rFonts w:ascii="Arial" w:hAnsi="Arial" w:cs="Arial"/>
        </w:rPr>
        <w:t> – means assessment form for people on Income Support or employment benefits who want to apply for legal aid</w:t>
      </w:r>
    </w:p>
    <w:p w:rsidRPr="00FE1580" w:rsidR="005E505D" w:rsidP="005E505D" w:rsidRDefault="00FE1580" w14:paraId="4D0F6A89" w14:textId="1E7CCAF6">
      <w:pPr>
        <w:rPr>
          <w:rFonts w:ascii="Arial" w:hAnsi="Arial" w:cs="Arial"/>
        </w:rPr>
      </w:pPr>
      <w:r w:rsidRPr="00FE1580">
        <w:rPr>
          <w:rFonts w:ascii="Arial" w:hAnsi="Arial" w:cs="Arial"/>
          <w:b/>
          <w:bCs/>
        </w:rPr>
        <w:t>Appeal/review requests</w:t>
      </w:r>
      <w:r w:rsidRPr="00FE1580">
        <w:rPr>
          <w:rFonts w:ascii="Arial" w:hAnsi="Arial" w:cs="Arial"/>
        </w:rPr>
        <w:t xml:space="preserve"> can be made in writing and sent to contactecc@justice.gov.uk</w:t>
      </w:r>
    </w:p>
    <w:p w:rsidR="00FE1580" w:rsidP="005E505D" w:rsidRDefault="00FE1580" w14:paraId="1E82DBF4" w14:textId="77777777">
      <w:pPr>
        <w:rPr>
          <w:rFonts w:ascii="Arial" w:hAnsi="Arial" w:cs="Arial"/>
          <w:b/>
          <w:bCs/>
        </w:rPr>
      </w:pPr>
    </w:p>
    <w:p w:rsidRPr="006B3880" w:rsidR="005E505D" w:rsidP="005E505D" w:rsidRDefault="005E505D" w14:paraId="6376F61D" w14:textId="3482F1CC">
      <w:pPr>
        <w:rPr>
          <w:rFonts w:ascii="Arial" w:hAnsi="Arial" w:cs="Arial"/>
          <w:b/>
          <w:bCs/>
        </w:rPr>
      </w:pPr>
      <w:r w:rsidRPr="006B3880">
        <w:rPr>
          <w:rFonts w:ascii="Arial" w:hAnsi="Arial" w:cs="Arial"/>
          <w:b/>
          <w:bCs/>
        </w:rPr>
        <w:t xml:space="preserve">Exceptional </w:t>
      </w:r>
      <w:r>
        <w:rPr>
          <w:rFonts w:ascii="Arial" w:hAnsi="Arial" w:cs="Arial"/>
          <w:b/>
          <w:bCs/>
        </w:rPr>
        <w:t>C</w:t>
      </w:r>
      <w:r w:rsidRPr="006B3880">
        <w:rPr>
          <w:rFonts w:ascii="Arial" w:hAnsi="Arial" w:cs="Arial"/>
          <w:b/>
          <w:bCs/>
        </w:rPr>
        <w:t xml:space="preserve">ase </w:t>
      </w:r>
      <w:r>
        <w:rPr>
          <w:rFonts w:ascii="Arial" w:hAnsi="Arial" w:cs="Arial"/>
          <w:b/>
          <w:bCs/>
        </w:rPr>
        <w:t>F</w:t>
      </w:r>
      <w:r w:rsidRPr="006B3880">
        <w:rPr>
          <w:rFonts w:ascii="Arial" w:hAnsi="Arial" w:cs="Arial"/>
          <w:b/>
          <w:bCs/>
        </w:rPr>
        <w:t>unding</w:t>
      </w:r>
    </w:p>
    <w:p w:rsidRPr="006B3880" w:rsidR="005E505D" w:rsidP="005E505D" w:rsidRDefault="005E505D" w14:paraId="65CCA966" w14:textId="77777777">
      <w:pPr>
        <w:rPr>
          <w:rFonts w:ascii="Arial" w:hAnsi="Arial" w:cs="Arial"/>
        </w:rPr>
      </w:pPr>
      <w:hyperlink w:history="1" r:id="rId23">
        <w:r w:rsidRPr="006B3880">
          <w:rPr>
            <w:rStyle w:val="Hyperlink"/>
            <w:rFonts w:ascii="Arial" w:hAnsi="Arial" w:cs="Arial"/>
          </w:rPr>
          <w:t>CIV ECF 1: application for Exceptional Case Funding</w:t>
        </w:r>
      </w:hyperlink>
    </w:p>
    <w:p w:rsidRPr="006B3880" w:rsidR="005E505D" w:rsidP="005E505D" w:rsidRDefault="005E505D" w14:paraId="778B9959" w14:textId="77777777">
      <w:pPr>
        <w:rPr>
          <w:rFonts w:ascii="Arial" w:hAnsi="Arial" w:cs="Arial"/>
        </w:rPr>
      </w:pPr>
      <w:hyperlink w:history="1" r:id="rId24">
        <w:r w:rsidRPr="006B3880">
          <w:rPr>
            <w:rStyle w:val="Hyperlink"/>
            <w:rFonts w:ascii="Arial" w:hAnsi="Arial" w:cs="Arial"/>
          </w:rPr>
          <w:t>CIV APP 1</w:t>
        </w:r>
      </w:hyperlink>
      <w:r w:rsidRPr="006B3880">
        <w:rPr>
          <w:rFonts w:ascii="Arial" w:hAnsi="Arial" w:cs="Arial"/>
        </w:rPr>
        <w:t> - application for civil legal aid certificate</w:t>
      </w:r>
    </w:p>
    <w:p w:rsidRPr="006B3880" w:rsidR="005E505D" w:rsidP="005E505D" w:rsidRDefault="005E505D" w14:paraId="4186EFBB" w14:textId="77777777">
      <w:pPr>
        <w:rPr>
          <w:rFonts w:ascii="Arial" w:hAnsi="Arial" w:cs="Arial"/>
        </w:rPr>
      </w:pPr>
      <w:hyperlink w:history="1" r:id="rId25">
        <w:r w:rsidRPr="006B3880">
          <w:rPr>
            <w:rStyle w:val="Hyperlink"/>
            <w:rFonts w:ascii="Arial" w:hAnsi="Arial" w:cs="Arial"/>
          </w:rPr>
          <w:t>CIV APP 3</w:t>
        </w:r>
      </w:hyperlink>
      <w:r w:rsidRPr="006B3880">
        <w:rPr>
          <w:rFonts w:ascii="Arial" w:hAnsi="Arial" w:cs="Arial"/>
        </w:rPr>
        <w:t> – application for legal aid in family proceedings</w:t>
      </w:r>
    </w:p>
    <w:p w:rsidRPr="006B3880" w:rsidR="005E505D" w:rsidP="005E505D" w:rsidRDefault="005E505D" w14:paraId="70A7B145" w14:textId="1EE43980">
      <w:pPr>
        <w:rPr>
          <w:rFonts w:ascii="Arial" w:hAnsi="Arial" w:cs="Arial"/>
        </w:rPr>
      </w:pPr>
      <w:hyperlink w:history="1" r:id="rId26">
        <w:r w:rsidRPr="006B3880">
          <w:rPr>
            <w:rStyle w:val="Hyperlink"/>
            <w:rFonts w:ascii="Arial" w:hAnsi="Arial" w:cs="Arial"/>
          </w:rPr>
          <w:t>CW1</w:t>
        </w:r>
      </w:hyperlink>
      <w:r w:rsidRPr="006B3880">
        <w:rPr>
          <w:rFonts w:ascii="Arial" w:hAnsi="Arial" w:cs="Arial"/>
        </w:rPr>
        <w:t xml:space="preserve"> - </w:t>
      </w:r>
      <w:r w:rsidR="00E17CA5">
        <w:rPr>
          <w:rFonts w:ascii="Arial" w:hAnsi="Arial" w:cs="Arial"/>
        </w:rPr>
        <w:t>f</w:t>
      </w:r>
      <w:r w:rsidRPr="006B3880">
        <w:rPr>
          <w:rFonts w:ascii="Arial" w:hAnsi="Arial" w:cs="Arial"/>
        </w:rPr>
        <w:t>or legal help in any civil case that does not involve court proceedings</w:t>
      </w:r>
    </w:p>
    <w:p w:rsidRPr="006B3880" w:rsidR="005E505D" w:rsidP="005E505D" w:rsidRDefault="005E505D" w14:paraId="6C48AA30" w14:textId="7AA8E180">
      <w:pPr>
        <w:rPr>
          <w:rFonts w:ascii="Arial" w:hAnsi="Arial" w:cs="Arial"/>
        </w:rPr>
      </w:pPr>
      <w:hyperlink w:history="1" r:id="rId27">
        <w:r w:rsidRPr="006B3880">
          <w:rPr>
            <w:rStyle w:val="Hyperlink"/>
            <w:rFonts w:ascii="Arial" w:hAnsi="Arial" w:cs="Arial"/>
          </w:rPr>
          <w:t>CW2 (IMM)</w:t>
        </w:r>
      </w:hyperlink>
      <w:r w:rsidRPr="006B3880">
        <w:rPr>
          <w:rFonts w:ascii="Arial" w:hAnsi="Arial" w:cs="Arial"/>
        </w:rPr>
        <w:t xml:space="preserve"> – </w:t>
      </w:r>
      <w:r w:rsidR="00E17CA5">
        <w:rPr>
          <w:rFonts w:ascii="Arial" w:hAnsi="Arial" w:cs="Arial"/>
        </w:rPr>
        <w:t>f</w:t>
      </w:r>
      <w:r w:rsidRPr="006B3880">
        <w:rPr>
          <w:rFonts w:ascii="Arial" w:hAnsi="Arial" w:cs="Arial"/>
        </w:rPr>
        <w:t>or representation in immigration tribunal proceedings</w:t>
      </w:r>
    </w:p>
    <w:p w:rsidRPr="006B3880" w:rsidR="005E505D" w:rsidP="005E505D" w:rsidRDefault="005E505D" w14:paraId="3AB5D2AC" w14:textId="77777777">
      <w:pPr>
        <w:rPr>
          <w:rFonts w:ascii="Arial" w:hAnsi="Arial" w:cs="Arial"/>
        </w:rPr>
      </w:pPr>
      <w:hyperlink w:tgtFrame="_self" w:history="1" r:id="rId28">
        <w:r w:rsidRPr="006B3880">
          <w:rPr>
            <w:rStyle w:val="Hyperlink"/>
            <w:rFonts w:ascii="Arial" w:hAnsi="Arial" w:cs="Arial"/>
          </w:rPr>
          <w:t>APP9E - Application for the review of a decision of the director of legal aid casework</w:t>
        </w:r>
      </w:hyperlink>
    </w:p>
    <w:p w:rsidRPr="003F6D03" w:rsidR="005E505D" w:rsidP="00630A20" w:rsidRDefault="005E505D" w14:paraId="03031BF5" w14:textId="77777777">
      <w:pPr>
        <w:spacing w:after="0"/>
        <w:rPr>
          <w:rFonts w:ascii="Arial" w:hAnsi="Arial" w:cs="Arial"/>
        </w:rPr>
      </w:pPr>
    </w:p>
    <w:sectPr w:rsidRPr="003F6D03" w:rsidR="005E505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2C0"/>
    <w:multiLevelType w:val="hybridMultilevel"/>
    <w:tmpl w:val="C4D84A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6E4C"/>
    <w:multiLevelType w:val="hybridMultilevel"/>
    <w:tmpl w:val="4A086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24138"/>
    <w:multiLevelType w:val="hybridMultilevel"/>
    <w:tmpl w:val="8550E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471B69"/>
    <w:multiLevelType w:val="hybridMultilevel"/>
    <w:tmpl w:val="78827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6F253D"/>
    <w:multiLevelType w:val="hybridMultilevel"/>
    <w:tmpl w:val="8034CE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4463CB"/>
    <w:multiLevelType w:val="hybridMultilevel"/>
    <w:tmpl w:val="3C6A21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5E772E"/>
    <w:multiLevelType w:val="hybridMultilevel"/>
    <w:tmpl w:val="C0667D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903A33"/>
    <w:multiLevelType w:val="hybridMultilevel"/>
    <w:tmpl w:val="33640236"/>
    <w:lvl w:ilvl="0" w:tplc="0906A3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182"/>
    <w:multiLevelType w:val="hybridMultilevel"/>
    <w:tmpl w:val="5C0A6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3D7053"/>
    <w:multiLevelType w:val="hybridMultilevel"/>
    <w:tmpl w:val="D108BC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C81382"/>
    <w:multiLevelType w:val="hybridMultilevel"/>
    <w:tmpl w:val="7E588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7C86"/>
    <w:multiLevelType w:val="hybridMultilevel"/>
    <w:tmpl w:val="57FA9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E10EED"/>
    <w:multiLevelType w:val="hybridMultilevel"/>
    <w:tmpl w:val="7F2E6754"/>
    <w:lvl w:ilvl="0" w:tplc="6EBA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DF2B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3701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08EB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908E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A806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F805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7601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7AE1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265D7D16"/>
    <w:multiLevelType w:val="hybridMultilevel"/>
    <w:tmpl w:val="2AAA3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529B"/>
    <w:multiLevelType w:val="hybridMultilevel"/>
    <w:tmpl w:val="A8E87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F51432"/>
    <w:multiLevelType w:val="hybridMultilevel"/>
    <w:tmpl w:val="1E2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955750"/>
    <w:multiLevelType w:val="hybridMultilevel"/>
    <w:tmpl w:val="56FA42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5D33E4"/>
    <w:multiLevelType w:val="hybridMultilevel"/>
    <w:tmpl w:val="DC487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F41DD5"/>
    <w:multiLevelType w:val="hybridMultilevel"/>
    <w:tmpl w:val="4A16AA76"/>
    <w:lvl w:ilvl="0" w:tplc="17F44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7E2C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FE82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2F20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3CE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E8B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1D67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E4C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F365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9" w15:restartNumberingAfterBreak="0">
    <w:nsid w:val="4B3614A7"/>
    <w:multiLevelType w:val="hybridMultilevel"/>
    <w:tmpl w:val="E3EE9E5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BE84693"/>
    <w:multiLevelType w:val="hybridMultilevel"/>
    <w:tmpl w:val="78F86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E61D3F"/>
    <w:multiLevelType w:val="hybridMultilevel"/>
    <w:tmpl w:val="C8F878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AD7E8B"/>
    <w:multiLevelType w:val="hybridMultilevel"/>
    <w:tmpl w:val="160E8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8724B"/>
    <w:multiLevelType w:val="hybridMultilevel"/>
    <w:tmpl w:val="364A192E"/>
    <w:lvl w:ilvl="0" w:tplc="E4A0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9385350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0C5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8A2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FFE4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1E4D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CE0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40A9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99E8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5D8A33E9"/>
    <w:multiLevelType w:val="hybridMultilevel"/>
    <w:tmpl w:val="57FA9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424AFD"/>
    <w:multiLevelType w:val="hybridMultilevel"/>
    <w:tmpl w:val="2CB8F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D60018"/>
    <w:multiLevelType w:val="hybridMultilevel"/>
    <w:tmpl w:val="AAD67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3A62F7"/>
    <w:multiLevelType w:val="hybridMultilevel"/>
    <w:tmpl w:val="C93EC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DE3FCF"/>
    <w:multiLevelType w:val="hybridMultilevel"/>
    <w:tmpl w:val="93C8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60474"/>
    <w:multiLevelType w:val="hybridMultilevel"/>
    <w:tmpl w:val="40AC6E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F649B"/>
    <w:multiLevelType w:val="hybridMultilevel"/>
    <w:tmpl w:val="C964BF0C"/>
    <w:lvl w:ilvl="0" w:tplc="C0FE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D745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B68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8B6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7D6B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440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17CE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552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92C6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1" w15:restartNumberingAfterBreak="0">
    <w:nsid w:val="772216B7"/>
    <w:multiLevelType w:val="hybridMultilevel"/>
    <w:tmpl w:val="A00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1D311F"/>
    <w:multiLevelType w:val="hybridMultilevel"/>
    <w:tmpl w:val="5B6CD6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9861559">
    <w:abstractNumId w:val="16"/>
  </w:num>
  <w:num w:numId="2" w16cid:durableId="4238475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035337">
    <w:abstractNumId w:val="12"/>
  </w:num>
  <w:num w:numId="4" w16cid:durableId="946353394">
    <w:abstractNumId w:val="30"/>
  </w:num>
  <w:num w:numId="5" w16cid:durableId="149718315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010314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5726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61426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50805503">
    <w:abstractNumId w:val="13"/>
  </w:num>
  <w:num w:numId="10" w16cid:durableId="792091373">
    <w:abstractNumId w:val="0"/>
  </w:num>
  <w:num w:numId="11" w16cid:durableId="21060191">
    <w:abstractNumId w:val="4"/>
  </w:num>
  <w:num w:numId="12" w16cid:durableId="693925065">
    <w:abstractNumId w:val="26"/>
  </w:num>
  <w:num w:numId="13" w16cid:durableId="304117699">
    <w:abstractNumId w:val="5"/>
  </w:num>
  <w:num w:numId="14" w16cid:durableId="928974287">
    <w:abstractNumId w:val="21"/>
  </w:num>
  <w:num w:numId="15" w16cid:durableId="359626597">
    <w:abstractNumId w:val="2"/>
  </w:num>
  <w:num w:numId="16" w16cid:durableId="661742975">
    <w:abstractNumId w:val="17"/>
  </w:num>
  <w:num w:numId="17" w16cid:durableId="253713846">
    <w:abstractNumId w:val="1"/>
  </w:num>
  <w:num w:numId="18" w16cid:durableId="1183007482">
    <w:abstractNumId w:val="8"/>
  </w:num>
  <w:num w:numId="19" w16cid:durableId="566572947">
    <w:abstractNumId w:val="24"/>
  </w:num>
  <w:num w:numId="20" w16cid:durableId="1227914710">
    <w:abstractNumId w:val="6"/>
  </w:num>
  <w:num w:numId="21" w16cid:durableId="1491168294">
    <w:abstractNumId w:val="15"/>
  </w:num>
  <w:num w:numId="22" w16cid:durableId="788205737">
    <w:abstractNumId w:val="31"/>
  </w:num>
  <w:num w:numId="23" w16cid:durableId="1675259019">
    <w:abstractNumId w:val="11"/>
  </w:num>
  <w:num w:numId="24" w16cid:durableId="1682195600">
    <w:abstractNumId w:val="32"/>
  </w:num>
  <w:num w:numId="25" w16cid:durableId="407466176">
    <w:abstractNumId w:val="23"/>
  </w:num>
  <w:num w:numId="26" w16cid:durableId="1196041520">
    <w:abstractNumId w:val="25"/>
  </w:num>
  <w:num w:numId="27" w16cid:durableId="1847597019">
    <w:abstractNumId w:val="7"/>
  </w:num>
  <w:num w:numId="28" w16cid:durableId="1656756732">
    <w:abstractNumId w:val="27"/>
  </w:num>
  <w:num w:numId="29" w16cid:durableId="270943842">
    <w:abstractNumId w:val="9"/>
  </w:num>
  <w:num w:numId="30" w16cid:durableId="1558393816">
    <w:abstractNumId w:val="18"/>
  </w:num>
  <w:num w:numId="31" w16cid:durableId="469371437">
    <w:abstractNumId w:val="10"/>
  </w:num>
  <w:num w:numId="32" w16cid:durableId="394814175">
    <w:abstractNumId w:val="22"/>
  </w:num>
  <w:num w:numId="33" w16cid:durableId="1330064277">
    <w:abstractNumId w:val="19"/>
  </w:num>
  <w:num w:numId="34" w16cid:durableId="501554997">
    <w:abstractNumId w:val="28"/>
  </w:num>
  <w:num w:numId="35" w16cid:durableId="1520705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80"/>
    <w:rsid w:val="00001DC6"/>
    <w:rsid w:val="000059C8"/>
    <w:rsid w:val="000112C1"/>
    <w:rsid w:val="00014D0F"/>
    <w:rsid w:val="0001551F"/>
    <w:rsid w:val="000206A6"/>
    <w:rsid w:val="000222FD"/>
    <w:rsid w:val="000251C7"/>
    <w:rsid w:val="00034C91"/>
    <w:rsid w:val="000364F4"/>
    <w:rsid w:val="000411E0"/>
    <w:rsid w:val="00041A0A"/>
    <w:rsid w:val="00046085"/>
    <w:rsid w:val="0005313B"/>
    <w:rsid w:val="00060C5D"/>
    <w:rsid w:val="000616E3"/>
    <w:rsid w:val="00067329"/>
    <w:rsid w:val="000B193E"/>
    <w:rsid w:val="000B6865"/>
    <w:rsid w:val="000D24FF"/>
    <w:rsid w:val="000D2C41"/>
    <w:rsid w:val="000D366A"/>
    <w:rsid w:val="000E246A"/>
    <w:rsid w:val="000E3ADB"/>
    <w:rsid w:val="000F13F5"/>
    <w:rsid w:val="00102EBE"/>
    <w:rsid w:val="00111CF6"/>
    <w:rsid w:val="00116F31"/>
    <w:rsid w:val="00120E80"/>
    <w:rsid w:val="00127EDC"/>
    <w:rsid w:val="00130980"/>
    <w:rsid w:val="00132CD6"/>
    <w:rsid w:val="00133EDD"/>
    <w:rsid w:val="00142584"/>
    <w:rsid w:val="00150BD0"/>
    <w:rsid w:val="00156D99"/>
    <w:rsid w:val="001606FE"/>
    <w:rsid w:val="001840B7"/>
    <w:rsid w:val="0018721A"/>
    <w:rsid w:val="00190557"/>
    <w:rsid w:val="001944C4"/>
    <w:rsid w:val="00194A0A"/>
    <w:rsid w:val="00195EA1"/>
    <w:rsid w:val="001B0659"/>
    <w:rsid w:val="001C01E7"/>
    <w:rsid w:val="001C0A86"/>
    <w:rsid w:val="001C3B3F"/>
    <w:rsid w:val="001C775F"/>
    <w:rsid w:val="001C7A50"/>
    <w:rsid w:val="001E15BC"/>
    <w:rsid w:val="001E67B7"/>
    <w:rsid w:val="001F2AE3"/>
    <w:rsid w:val="002046CC"/>
    <w:rsid w:val="00213C6E"/>
    <w:rsid w:val="00215162"/>
    <w:rsid w:val="0021563C"/>
    <w:rsid w:val="00215956"/>
    <w:rsid w:val="0021716B"/>
    <w:rsid w:val="00224FA2"/>
    <w:rsid w:val="0022753A"/>
    <w:rsid w:val="00240AF5"/>
    <w:rsid w:val="00253A67"/>
    <w:rsid w:val="00263467"/>
    <w:rsid w:val="0027358B"/>
    <w:rsid w:val="002868DF"/>
    <w:rsid w:val="00293397"/>
    <w:rsid w:val="002A0134"/>
    <w:rsid w:val="002A2448"/>
    <w:rsid w:val="002B1BC5"/>
    <w:rsid w:val="002C2660"/>
    <w:rsid w:val="002E27D8"/>
    <w:rsid w:val="002E679D"/>
    <w:rsid w:val="002E7867"/>
    <w:rsid w:val="002F046A"/>
    <w:rsid w:val="003139C8"/>
    <w:rsid w:val="00316357"/>
    <w:rsid w:val="003171C1"/>
    <w:rsid w:val="00320A85"/>
    <w:rsid w:val="00322031"/>
    <w:rsid w:val="00322128"/>
    <w:rsid w:val="00322444"/>
    <w:rsid w:val="00323AF4"/>
    <w:rsid w:val="00333793"/>
    <w:rsid w:val="003620FB"/>
    <w:rsid w:val="0036567C"/>
    <w:rsid w:val="003907D2"/>
    <w:rsid w:val="00393BED"/>
    <w:rsid w:val="00394BE7"/>
    <w:rsid w:val="003A2B77"/>
    <w:rsid w:val="003A3295"/>
    <w:rsid w:val="003C795D"/>
    <w:rsid w:val="003D2AEA"/>
    <w:rsid w:val="003E05BB"/>
    <w:rsid w:val="003E5382"/>
    <w:rsid w:val="003F02EB"/>
    <w:rsid w:val="003F34BA"/>
    <w:rsid w:val="003F6D03"/>
    <w:rsid w:val="00411447"/>
    <w:rsid w:val="00411C17"/>
    <w:rsid w:val="00424B45"/>
    <w:rsid w:val="0042709A"/>
    <w:rsid w:val="004277E9"/>
    <w:rsid w:val="00430F21"/>
    <w:rsid w:val="00431CD4"/>
    <w:rsid w:val="00435DAA"/>
    <w:rsid w:val="004401F0"/>
    <w:rsid w:val="004467E2"/>
    <w:rsid w:val="004506E8"/>
    <w:rsid w:val="00455A9D"/>
    <w:rsid w:val="00456D1B"/>
    <w:rsid w:val="00460251"/>
    <w:rsid w:val="0046720F"/>
    <w:rsid w:val="004712FC"/>
    <w:rsid w:val="004718CD"/>
    <w:rsid w:val="00481275"/>
    <w:rsid w:val="00482895"/>
    <w:rsid w:val="004965E3"/>
    <w:rsid w:val="004B6F49"/>
    <w:rsid w:val="004C44E5"/>
    <w:rsid w:val="004C77F0"/>
    <w:rsid w:val="004D5CE5"/>
    <w:rsid w:val="004E7F05"/>
    <w:rsid w:val="004F0141"/>
    <w:rsid w:val="004F3E53"/>
    <w:rsid w:val="005049E0"/>
    <w:rsid w:val="00506296"/>
    <w:rsid w:val="00511C45"/>
    <w:rsid w:val="00516543"/>
    <w:rsid w:val="00525762"/>
    <w:rsid w:val="00541A30"/>
    <w:rsid w:val="00547E33"/>
    <w:rsid w:val="00561011"/>
    <w:rsid w:val="00563AD6"/>
    <w:rsid w:val="005752E1"/>
    <w:rsid w:val="00577CA5"/>
    <w:rsid w:val="00580160"/>
    <w:rsid w:val="00581C32"/>
    <w:rsid w:val="0059496E"/>
    <w:rsid w:val="005B34C7"/>
    <w:rsid w:val="005B3586"/>
    <w:rsid w:val="005B7AA6"/>
    <w:rsid w:val="005C1A2A"/>
    <w:rsid w:val="005C2105"/>
    <w:rsid w:val="005C482F"/>
    <w:rsid w:val="005C60B2"/>
    <w:rsid w:val="005C74D0"/>
    <w:rsid w:val="005D23E6"/>
    <w:rsid w:val="005D4CC2"/>
    <w:rsid w:val="005D6476"/>
    <w:rsid w:val="005E505D"/>
    <w:rsid w:val="005F0187"/>
    <w:rsid w:val="00600563"/>
    <w:rsid w:val="0060100C"/>
    <w:rsid w:val="00606739"/>
    <w:rsid w:val="006124E8"/>
    <w:rsid w:val="0062685A"/>
    <w:rsid w:val="006302E8"/>
    <w:rsid w:val="00630A20"/>
    <w:rsid w:val="00634E50"/>
    <w:rsid w:val="00643D52"/>
    <w:rsid w:val="00652090"/>
    <w:rsid w:val="00652DAD"/>
    <w:rsid w:val="00654881"/>
    <w:rsid w:val="00663A25"/>
    <w:rsid w:val="006704DE"/>
    <w:rsid w:val="006778FC"/>
    <w:rsid w:val="00677A08"/>
    <w:rsid w:val="0068764D"/>
    <w:rsid w:val="00693959"/>
    <w:rsid w:val="006A1BEC"/>
    <w:rsid w:val="006A5930"/>
    <w:rsid w:val="006B78C9"/>
    <w:rsid w:val="006D09CF"/>
    <w:rsid w:val="006D3179"/>
    <w:rsid w:val="006F1117"/>
    <w:rsid w:val="006F4EF3"/>
    <w:rsid w:val="00704740"/>
    <w:rsid w:val="00713498"/>
    <w:rsid w:val="007150AB"/>
    <w:rsid w:val="007150DB"/>
    <w:rsid w:val="00717485"/>
    <w:rsid w:val="00723687"/>
    <w:rsid w:val="007335E3"/>
    <w:rsid w:val="007376A7"/>
    <w:rsid w:val="00737D76"/>
    <w:rsid w:val="00791B3A"/>
    <w:rsid w:val="0079282C"/>
    <w:rsid w:val="007A0825"/>
    <w:rsid w:val="007B1D3A"/>
    <w:rsid w:val="007B6CB2"/>
    <w:rsid w:val="007C70F8"/>
    <w:rsid w:val="007E25DF"/>
    <w:rsid w:val="007F2DFF"/>
    <w:rsid w:val="008243C7"/>
    <w:rsid w:val="00833630"/>
    <w:rsid w:val="00840E36"/>
    <w:rsid w:val="00843DA8"/>
    <w:rsid w:val="00847615"/>
    <w:rsid w:val="008525A5"/>
    <w:rsid w:val="00852BEE"/>
    <w:rsid w:val="008567AB"/>
    <w:rsid w:val="00860E9E"/>
    <w:rsid w:val="0087550D"/>
    <w:rsid w:val="008759B3"/>
    <w:rsid w:val="008A254E"/>
    <w:rsid w:val="008B2447"/>
    <w:rsid w:val="008C194F"/>
    <w:rsid w:val="008D2BAD"/>
    <w:rsid w:val="008D4035"/>
    <w:rsid w:val="008F030E"/>
    <w:rsid w:val="009011C5"/>
    <w:rsid w:val="00904A79"/>
    <w:rsid w:val="009065B1"/>
    <w:rsid w:val="00930640"/>
    <w:rsid w:val="00930BDC"/>
    <w:rsid w:val="00936F69"/>
    <w:rsid w:val="00951102"/>
    <w:rsid w:val="009603FF"/>
    <w:rsid w:val="0096309B"/>
    <w:rsid w:val="00963B03"/>
    <w:rsid w:val="00970025"/>
    <w:rsid w:val="00970058"/>
    <w:rsid w:val="009910DE"/>
    <w:rsid w:val="00992BF8"/>
    <w:rsid w:val="00992DDD"/>
    <w:rsid w:val="009A2FF8"/>
    <w:rsid w:val="009B0F29"/>
    <w:rsid w:val="009C2276"/>
    <w:rsid w:val="009C532B"/>
    <w:rsid w:val="009C5A1D"/>
    <w:rsid w:val="009C6187"/>
    <w:rsid w:val="009D544F"/>
    <w:rsid w:val="009D5A08"/>
    <w:rsid w:val="009D6A5C"/>
    <w:rsid w:val="009E5183"/>
    <w:rsid w:val="009F51DC"/>
    <w:rsid w:val="009F6E1A"/>
    <w:rsid w:val="00A107B9"/>
    <w:rsid w:val="00A132B5"/>
    <w:rsid w:val="00A2703D"/>
    <w:rsid w:val="00A30048"/>
    <w:rsid w:val="00A316FE"/>
    <w:rsid w:val="00A32A77"/>
    <w:rsid w:val="00A37927"/>
    <w:rsid w:val="00A5438B"/>
    <w:rsid w:val="00A5597B"/>
    <w:rsid w:val="00A6136D"/>
    <w:rsid w:val="00A80A0B"/>
    <w:rsid w:val="00A82125"/>
    <w:rsid w:val="00A94402"/>
    <w:rsid w:val="00A95490"/>
    <w:rsid w:val="00A96B7D"/>
    <w:rsid w:val="00AB5609"/>
    <w:rsid w:val="00AF35F9"/>
    <w:rsid w:val="00AF75CB"/>
    <w:rsid w:val="00B00404"/>
    <w:rsid w:val="00B01A5D"/>
    <w:rsid w:val="00B03E37"/>
    <w:rsid w:val="00B127E4"/>
    <w:rsid w:val="00B24AF8"/>
    <w:rsid w:val="00B25063"/>
    <w:rsid w:val="00B32A3D"/>
    <w:rsid w:val="00B33DEA"/>
    <w:rsid w:val="00B3510C"/>
    <w:rsid w:val="00B351E3"/>
    <w:rsid w:val="00B41249"/>
    <w:rsid w:val="00B67085"/>
    <w:rsid w:val="00B94833"/>
    <w:rsid w:val="00BA18FF"/>
    <w:rsid w:val="00BA6417"/>
    <w:rsid w:val="00BC2476"/>
    <w:rsid w:val="00BD27CC"/>
    <w:rsid w:val="00BD5B0C"/>
    <w:rsid w:val="00BE4E8D"/>
    <w:rsid w:val="00BE77B5"/>
    <w:rsid w:val="00C1432C"/>
    <w:rsid w:val="00C207FA"/>
    <w:rsid w:val="00C41B84"/>
    <w:rsid w:val="00C57597"/>
    <w:rsid w:val="00C57A50"/>
    <w:rsid w:val="00C61B97"/>
    <w:rsid w:val="00C77565"/>
    <w:rsid w:val="00C849F9"/>
    <w:rsid w:val="00C942F8"/>
    <w:rsid w:val="00CA469C"/>
    <w:rsid w:val="00CA5E12"/>
    <w:rsid w:val="00CB0BF6"/>
    <w:rsid w:val="00CB6B61"/>
    <w:rsid w:val="00CB7C96"/>
    <w:rsid w:val="00CC320F"/>
    <w:rsid w:val="00CD7D64"/>
    <w:rsid w:val="00CF3ECD"/>
    <w:rsid w:val="00CF4CC1"/>
    <w:rsid w:val="00D03488"/>
    <w:rsid w:val="00D10707"/>
    <w:rsid w:val="00D14CB5"/>
    <w:rsid w:val="00D153B1"/>
    <w:rsid w:val="00D22118"/>
    <w:rsid w:val="00D24235"/>
    <w:rsid w:val="00D36697"/>
    <w:rsid w:val="00D41560"/>
    <w:rsid w:val="00D427B7"/>
    <w:rsid w:val="00D62B0B"/>
    <w:rsid w:val="00D67EE5"/>
    <w:rsid w:val="00D7776C"/>
    <w:rsid w:val="00D8129C"/>
    <w:rsid w:val="00DA13D9"/>
    <w:rsid w:val="00DA1711"/>
    <w:rsid w:val="00DD0A18"/>
    <w:rsid w:val="00DF0141"/>
    <w:rsid w:val="00DF5AB5"/>
    <w:rsid w:val="00DF5D47"/>
    <w:rsid w:val="00E04694"/>
    <w:rsid w:val="00E062C3"/>
    <w:rsid w:val="00E07A1A"/>
    <w:rsid w:val="00E113FB"/>
    <w:rsid w:val="00E12DF0"/>
    <w:rsid w:val="00E1718F"/>
    <w:rsid w:val="00E17CA5"/>
    <w:rsid w:val="00E242DD"/>
    <w:rsid w:val="00E32473"/>
    <w:rsid w:val="00E351B1"/>
    <w:rsid w:val="00E353E8"/>
    <w:rsid w:val="00E4459B"/>
    <w:rsid w:val="00E5246C"/>
    <w:rsid w:val="00E75DCD"/>
    <w:rsid w:val="00E75F86"/>
    <w:rsid w:val="00E902AB"/>
    <w:rsid w:val="00EA11C5"/>
    <w:rsid w:val="00EA53DF"/>
    <w:rsid w:val="00EB2A96"/>
    <w:rsid w:val="00ED0E2C"/>
    <w:rsid w:val="00ED1BE2"/>
    <w:rsid w:val="00ED270F"/>
    <w:rsid w:val="00ED51F0"/>
    <w:rsid w:val="00EE2E2A"/>
    <w:rsid w:val="00EE4C83"/>
    <w:rsid w:val="00EF102D"/>
    <w:rsid w:val="00EF2436"/>
    <w:rsid w:val="00F03318"/>
    <w:rsid w:val="00F11493"/>
    <w:rsid w:val="00F15B56"/>
    <w:rsid w:val="00F16391"/>
    <w:rsid w:val="00F20923"/>
    <w:rsid w:val="00F51A47"/>
    <w:rsid w:val="00F57B56"/>
    <w:rsid w:val="00F635A7"/>
    <w:rsid w:val="00F6382B"/>
    <w:rsid w:val="00F63B88"/>
    <w:rsid w:val="00F82138"/>
    <w:rsid w:val="00F822E0"/>
    <w:rsid w:val="00F856BB"/>
    <w:rsid w:val="00F87B82"/>
    <w:rsid w:val="00FA525C"/>
    <w:rsid w:val="00FA6866"/>
    <w:rsid w:val="00FB5204"/>
    <w:rsid w:val="00FB5A41"/>
    <w:rsid w:val="00FC1F2C"/>
    <w:rsid w:val="00FC7953"/>
    <w:rsid w:val="00FD6611"/>
    <w:rsid w:val="00FD6EB0"/>
    <w:rsid w:val="00FE1580"/>
    <w:rsid w:val="00FE235C"/>
    <w:rsid w:val="00FE6F4B"/>
    <w:rsid w:val="0C93412D"/>
    <w:rsid w:val="133222F7"/>
    <w:rsid w:val="2434C917"/>
    <w:rsid w:val="2FCBCB87"/>
    <w:rsid w:val="3D427B8D"/>
    <w:rsid w:val="5627FA7F"/>
    <w:rsid w:val="58EA27B0"/>
    <w:rsid w:val="6DEBE2B9"/>
    <w:rsid w:val="7B5D1FD7"/>
    <w:rsid w:val="7CC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98D5"/>
  <w15:chartTrackingRefBased/>
  <w15:docId w15:val="{7CEA282C-0B2F-41B2-8D50-38B928F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05D"/>
    <w:pPr>
      <w:keepNext/>
      <w:keepLines/>
      <w:spacing w:before="160" w:after="80" w:line="27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80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2E27D8"/>
    <w:rPr>
      <w:color w:val="0563C1"/>
      <w:u w:val="single"/>
    </w:rPr>
  </w:style>
  <w:style w:type="character" w:styleId="legds2" w:customStyle="1">
    <w:name w:val="legds2"/>
    <w:rsid w:val="00BD27CC"/>
  </w:style>
  <w:style w:type="character" w:styleId="UnresolvedMention">
    <w:name w:val="Unresolved Mention"/>
    <w:uiPriority w:val="99"/>
    <w:semiHidden/>
    <w:unhideWhenUsed/>
    <w:rsid w:val="002735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5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67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56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6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567C"/>
    <w:rPr>
      <w:b/>
      <w:bCs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5E505D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eastAsia="ja-JP"/>
    </w:rPr>
  </w:style>
  <w:style w:type="character" w:styleId="Mention">
    <w:name w:val="Mention"/>
    <w:basedOn w:val="DefaultParagraphFont"/>
    <w:uiPriority w:val="99"/>
    <w:unhideWhenUsed/>
    <w:rsid w:val="0019055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2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940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769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911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848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1278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227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884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02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3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highcostfamily@justice.gov.uk" TargetMode="External" Id="rId13" /><Relationship Type="http://schemas.openxmlformats.org/officeDocument/2006/relationships/hyperlink" Target="https://www.gov.uk/government/publications/civ-app6-legal-aid-emergency-application" TargetMode="External" Id="rId18" /><Relationship Type="http://schemas.openxmlformats.org/officeDocument/2006/relationships/hyperlink" Target="https://www.gov.uk/government/publications/cw1-financial-eligibility-for-legal-aid-client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gov.uk/government/publications/civ-means-1-financial-assessment-form-not-passported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contactecc@justice.gov.uk" TargetMode="External" Id="rId12" /><Relationship Type="http://schemas.openxmlformats.org/officeDocument/2006/relationships/hyperlink" Target="https://www.gov.uk/government/publications/civ-app3-application-for-legal-aid-in-family-proceedings" TargetMode="External" Id="rId17" /><Relationship Type="http://schemas.openxmlformats.org/officeDocument/2006/relationships/hyperlink" Target="https://www.gov.uk/government/publications/civ-app3-application-for-legal-aid-in-family-proceedings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gov.uk/government/publications/civ-app1-application-for-civil-legal-aid-certificate" TargetMode="External" Id="rId16" /><Relationship Type="http://schemas.openxmlformats.org/officeDocument/2006/relationships/hyperlink" Target="https://www.gov.uk/government/publications/civ-app8a-application-for-prior-authoritychange-cost-limitation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ntactecc@justice.gov.uk" TargetMode="External" Id="rId11" /><Relationship Type="http://schemas.openxmlformats.org/officeDocument/2006/relationships/hyperlink" Target="https://www.gov.uk/government/publications/civ-app1-application-for-civil-legal-aid-certificate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gov.uk/guidance/legal-aid-apply-for-exceptional-case-funding" TargetMode="External" Id="rId15" /><Relationship Type="http://schemas.openxmlformats.org/officeDocument/2006/relationships/hyperlink" Target="https://assets.publishing.service.gov.uk/government/uploads/system/uploads/attachment_data/file/879163/CIVECF1_form_fillable.pdf" TargetMode="External" Id="rId23" /><Relationship Type="http://schemas.openxmlformats.org/officeDocument/2006/relationships/hyperlink" Target="https://assets.publishing.service.gov.uk/media/63e26f8ad3bf7f172d698a98/APP9E.pdf" TargetMode="External" Id="rId28" /><Relationship Type="http://schemas.openxmlformats.org/officeDocument/2006/relationships/hyperlink" Target="https://www.gov.uk/government/publications/civ-app8-application-for-amendmentprior-authority-civil" TargetMode="External" Id="rId19" /><Relationship Type="http://schemas.openxmlformats.org/officeDocument/2006/relationships/customXml" Target="../customXml/item4.xml" Id="rId4" /><Relationship Type="http://schemas.openxmlformats.org/officeDocument/2006/relationships/hyperlink" Target="https://www.gov.uk/guidance/civil-processing-dates" TargetMode="External" Id="rId9" /><Relationship Type="http://schemas.openxmlformats.org/officeDocument/2006/relationships/hyperlink" Target="mailto:contactecc@justice.gov.uk" TargetMode="External" Id="rId14" /><Relationship Type="http://schemas.openxmlformats.org/officeDocument/2006/relationships/hyperlink" Target="https://www.gov.uk/government/publications/civ-means-2-financial-assessment-form-for-legal-aid-clients" TargetMode="External" Id="rId22" /><Relationship Type="http://schemas.openxmlformats.org/officeDocument/2006/relationships/hyperlink" Target="https://www.gov.uk/government/publications/immigration-clr-disbursement-limit-extension-review-of-refusal" TargetMode="External" Id="rId27" /><Relationship Type="http://schemas.openxmlformats.org/officeDocument/2006/relationships/theme" Target="theme/theme1.xml" Id="rId30" /><Relationship Type="http://schemas.openxmlformats.org/officeDocument/2006/relationships/hyperlink" Target="https://view.officeapps.live.com/op/view.aspx?src=https%3A%2F%2Fassets.publishing.service.gov.uk%2Fmedia%2F6863fd4c08bf2f5376121afa%2FECCT_application_coversheet.docx&amp;wdOrigin=BROWSELINK" TargetMode="External" Id="Rb828e52eb1e94c3b" /><Relationship Type="http://schemas.openxmlformats.org/officeDocument/2006/relationships/hyperlink" Target="mailto:contactecc@justice.gov.uk" TargetMode="External" Id="R14204c43c91145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CC8DC048D724C80446CFA3EDF2D1D" ma:contentTypeVersion="12" ma:contentTypeDescription="Create a new document." ma:contentTypeScope="" ma:versionID="f09d1bfd93cacfc13877d64022a0b373">
  <xsd:schema xmlns:xsd="http://www.w3.org/2001/XMLSchema" xmlns:xs="http://www.w3.org/2001/XMLSchema" xmlns:p="http://schemas.microsoft.com/office/2006/metadata/properties" xmlns:ns3="a11d867e-ae6d-47b7-b8d9-cf1f9c836ae8" xmlns:ns4="cdfe3bd7-502b-4dd5-9cc9-bfe8190dd122" targetNamespace="http://schemas.microsoft.com/office/2006/metadata/properties" ma:root="true" ma:fieldsID="581f41d8ec66c464caaa52456d87cee0" ns3:_="" ns4:_="">
    <xsd:import namespace="a11d867e-ae6d-47b7-b8d9-cf1f9c836ae8"/>
    <xsd:import namespace="cdfe3bd7-502b-4dd5-9cc9-bfe8190d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867e-ae6d-47b7-b8d9-cf1f9c836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3bd7-502b-4dd5-9cc9-bfe8190d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9D175-CFD3-4392-B2C0-8EB2B4A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6F7E5-5A95-4FAF-A49B-1CC080077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A61ED-1054-408F-B889-07A66857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d867e-ae6d-47b7-b8d9-cf1f9c836ae8"/>
    <ds:schemaRef ds:uri="cdfe3bd7-502b-4dd5-9cc9-bfe8190d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6D6B9-A817-4409-ABB1-9698F47D7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Gore, Chris (LAA)</dc:creator>
  <keywords/>
  <dc:description/>
  <lastModifiedBy>Labuda, Ewa</lastModifiedBy>
  <revision>67</revision>
  <dcterms:created xsi:type="dcterms:W3CDTF">2025-06-13T09:35:00.0000000Z</dcterms:created>
  <dcterms:modified xsi:type="dcterms:W3CDTF">2025-07-01T15:28:33.0489402Z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0x010100E3BCC8DC048D724C80446CFA3EDF2D1D</vt:lpwstr>
  </property>
</Properties>
</file>