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0F70" w14:textId="06476C66" w:rsidR="002757B8" w:rsidRDefault="00447E90" w:rsidP="002757B8">
      <w:r w:rsidRPr="00321441">
        <w:rPr>
          <w:rFonts w:ascii="Arial" w:hAnsi="Arial" w:cs="Arial"/>
          <w:noProof/>
          <w:szCs w:val="22"/>
        </w:rPr>
        <w:drawing>
          <wp:inline distT="0" distB="0" distL="0" distR="0" wp14:anchorId="6346970B" wp14:editId="0A917DD2">
            <wp:extent cx="4114800" cy="588010"/>
            <wp:effectExtent l="0" t="0" r="0" b="2540"/>
            <wp:docPr id="131046639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6639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588010"/>
                    </a:xfrm>
                    <a:prstGeom prst="rect">
                      <a:avLst/>
                    </a:prstGeom>
                    <a:noFill/>
                    <a:ln>
                      <a:noFill/>
                    </a:ln>
                  </pic:spPr>
                </pic:pic>
              </a:graphicData>
            </a:graphic>
          </wp:inline>
        </w:drawing>
      </w:r>
    </w:p>
    <w:p w14:paraId="7AF830A6" w14:textId="77777777" w:rsidR="002757B8" w:rsidRDefault="002757B8" w:rsidP="002757B8"/>
    <w:tbl>
      <w:tblPr>
        <w:tblW w:w="9520" w:type="dxa"/>
        <w:tblBorders>
          <w:top w:val="single" w:sz="4" w:space="0" w:color="000000"/>
          <w:bottom w:val="single" w:sz="4" w:space="0" w:color="000000"/>
        </w:tblBorders>
        <w:tblLayout w:type="fixed"/>
        <w:tblLook w:val="0000" w:firstRow="0" w:lastRow="0" w:firstColumn="0" w:lastColumn="0" w:noHBand="0" w:noVBand="0"/>
      </w:tblPr>
      <w:tblGrid>
        <w:gridCol w:w="108"/>
        <w:gridCol w:w="9356"/>
        <w:gridCol w:w="56"/>
      </w:tblGrid>
      <w:tr w:rsidR="002757B8" w:rsidRPr="000C3F13" w14:paraId="2CCCDB4B" w14:textId="77777777" w:rsidTr="001C6409">
        <w:trPr>
          <w:gridBefore w:val="1"/>
          <w:gridAfter w:val="1"/>
          <w:wBefore w:w="108" w:type="dxa"/>
          <w:wAfter w:w="56" w:type="dxa"/>
          <w:cantSplit/>
          <w:trHeight w:val="659"/>
        </w:trPr>
        <w:tc>
          <w:tcPr>
            <w:tcW w:w="9356" w:type="dxa"/>
            <w:shd w:val="clear" w:color="auto" w:fill="auto"/>
          </w:tcPr>
          <w:p w14:paraId="1E6F3EE7" w14:textId="77777777" w:rsidR="002757B8" w:rsidRPr="00CC2EFD" w:rsidRDefault="002757B8" w:rsidP="006966F7">
            <w:pPr>
              <w:spacing w:before="120"/>
              <w:ind w:left="-108" w:right="34"/>
              <w:rPr>
                <w:rFonts w:ascii="Arial" w:hAnsi="Arial" w:cs="Arial"/>
                <w:b/>
                <w:color w:val="000000"/>
                <w:sz w:val="40"/>
                <w:szCs w:val="40"/>
              </w:rPr>
            </w:pPr>
            <w:r w:rsidRPr="00CC2EFD">
              <w:rPr>
                <w:rFonts w:ascii="Arial" w:hAnsi="Arial" w:cs="Arial"/>
                <w:b/>
                <w:color w:val="000000"/>
                <w:sz w:val="40"/>
                <w:szCs w:val="40"/>
              </w:rPr>
              <w:t xml:space="preserve">Costs </w:t>
            </w:r>
            <w:r w:rsidR="001C6409">
              <w:rPr>
                <w:rFonts w:ascii="Arial" w:hAnsi="Arial" w:cs="Arial"/>
                <w:b/>
                <w:color w:val="000000"/>
                <w:sz w:val="40"/>
                <w:szCs w:val="40"/>
              </w:rPr>
              <w:t xml:space="preserve">Report </w:t>
            </w:r>
            <w:r w:rsidR="000A5267">
              <w:rPr>
                <w:rFonts w:ascii="Arial" w:hAnsi="Arial" w:cs="Arial"/>
                <w:b/>
                <w:color w:val="000000"/>
                <w:sz w:val="40"/>
                <w:szCs w:val="40"/>
              </w:rPr>
              <w:t xml:space="preserve">to the Secretary of State for Environment, Food and Rural Affairs </w:t>
            </w:r>
          </w:p>
        </w:tc>
      </w:tr>
      <w:tr w:rsidR="002757B8" w:rsidRPr="000C3F13" w14:paraId="5157BE7D" w14:textId="77777777" w:rsidTr="001C6409">
        <w:trPr>
          <w:gridBefore w:val="1"/>
          <w:gridAfter w:val="1"/>
          <w:wBefore w:w="108" w:type="dxa"/>
          <w:wAfter w:w="56" w:type="dxa"/>
          <w:cantSplit/>
          <w:trHeight w:val="425"/>
        </w:trPr>
        <w:tc>
          <w:tcPr>
            <w:tcW w:w="9356" w:type="dxa"/>
            <w:shd w:val="clear" w:color="auto" w:fill="auto"/>
            <w:vAlign w:val="center"/>
          </w:tcPr>
          <w:p w14:paraId="4A0588A3" w14:textId="77777777" w:rsidR="002757B8" w:rsidRPr="00CC2EFD" w:rsidRDefault="00426807" w:rsidP="006966F7">
            <w:pPr>
              <w:spacing w:before="60"/>
              <w:ind w:left="-108" w:right="34"/>
              <w:rPr>
                <w:rFonts w:ascii="Arial" w:hAnsi="Arial" w:cs="Arial"/>
                <w:color w:val="000000"/>
                <w:sz w:val="24"/>
                <w:szCs w:val="24"/>
              </w:rPr>
            </w:pPr>
            <w:r>
              <w:rPr>
                <w:rFonts w:ascii="Arial" w:hAnsi="Arial" w:cs="Arial"/>
                <w:color w:val="000000"/>
                <w:sz w:val="24"/>
                <w:szCs w:val="24"/>
              </w:rPr>
              <w:t>First Inquiry opened on 22 February 2022</w:t>
            </w:r>
          </w:p>
        </w:tc>
      </w:tr>
      <w:tr w:rsidR="002757B8" w:rsidRPr="00361890" w14:paraId="0E058A59" w14:textId="77777777" w:rsidTr="001C6409">
        <w:trPr>
          <w:gridBefore w:val="1"/>
          <w:gridAfter w:val="1"/>
          <w:wBefore w:w="108" w:type="dxa"/>
          <w:wAfter w:w="56" w:type="dxa"/>
          <w:cantSplit/>
          <w:trHeight w:val="374"/>
        </w:trPr>
        <w:tc>
          <w:tcPr>
            <w:tcW w:w="9356" w:type="dxa"/>
            <w:shd w:val="clear" w:color="auto" w:fill="auto"/>
          </w:tcPr>
          <w:p w14:paraId="2E33A31E" w14:textId="77777777" w:rsidR="002757B8" w:rsidRPr="00CC2EFD" w:rsidRDefault="002757B8" w:rsidP="006966F7">
            <w:pPr>
              <w:spacing w:before="180"/>
              <w:ind w:left="-108" w:right="34"/>
              <w:rPr>
                <w:rFonts w:ascii="Arial" w:hAnsi="Arial" w:cs="Arial"/>
                <w:b/>
                <w:color w:val="000000"/>
                <w:sz w:val="24"/>
                <w:szCs w:val="24"/>
              </w:rPr>
            </w:pPr>
            <w:r w:rsidRPr="00CC2EFD">
              <w:rPr>
                <w:rFonts w:ascii="Arial" w:hAnsi="Arial" w:cs="Arial"/>
                <w:b/>
                <w:color w:val="000000"/>
                <w:sz w:val="24"/>
                <w:szCs w:val="24"/>
              </w:rPr>
              <w:t>by Mark Yates BA(Hons) MIPROW</w:t>
            </w:r>
          </w:p>
        </w:tc>
      </w:tr>
      <w:tr w:rsidR="002757B8" w:rsidRPr="00361890" w14:paraId="5E862924" w14:textId="77777777" w:rsidTr="001C6409">
        <w:trPr>
          <w:gridBefore w:val="1"/>
          <w:gridAfter w:val="1"/>
          <w:wBefore w:w="108" w:type="dxa"/>
          <w:wAfter w:w="56" w:type="dxa"/>
          <w:cantSplit/>
          <w:trHeight w:val="357"/>
        </w:trPr>
        <w:tc>
          <w:tcPr>
            <w:tcW w:w="9356" w:type="dxa"/>
            <w:shd w:val="clear" w:color="auto" w:fill="auto"/>
          </w:tcPr>
          <w:p w14:paraId="51F29C89" w14:textId="77777777" w:rsidR="002757B8" w:rsidRDefault="002757B8" w:rsidP="006966F7">
            <w:pPr>
              <w:spacing w:before="120"/>
              <w:ind w:left="-108" w:right="34"/>
              <w:rPr>
                <w:rFonts w:ascii="Arial" w:hAnsi="Arial" w:cs="Arial"/>
                <w:b/>
                <w:color w:val="000000"/>
                <w:sz w:val="16"/>
                <w:szCs w:val="16"/>
              </w:rPr>
            </w:pPr>
            <w:r w:rsidRPr="00CC2EFD">
              <w:rPr>
                <w:rFonts w:ascii="Arial" w:hAnsi="Arial" w:cs="Arial"/>
                <w:b/>
                <w:color w:val="000000"/>
                <w:sz w:val="16"/>
                <w:szCs w:val="16"/>
              </w:rPr>
              <w:t xml:space="preserve">an Inspector appointed by the Secretary of State </w:t>
            </w:r>
            <w:r w:rsidR="007E4CDF">
              <w:rPr>
                <w:rFonts w:ascii="Arial" w:hAnsi="Arial" w:cs="Arial"/>
                <w:b/>
                <w:color w:val="000000"/>
                <w:sz w:val="16"/>
                <w:szCs w:val="16"/>
              </w:rPr>
              <w:t xml:space="preserve">for Environment, Food and Rural Affairs </w:t>
            </w:r>
          </w:p>
          <w:p w14:paraId="059920A6" w14:textId="42E3F27D" w:rsidR="002A6349" w:rsidRPr="00CC2EFD" w:rsidRDefault="002A6349" w:rsidP="002A6349">
            <w:pPr>
              <w:pBdr>
                <w:bottom w:val="single" w:sz="6" w:space="1" w:color="auto"/>
              </w:pBdr>
              <w:spacing w:before="120"/>
              <w:ind w:left="-108" w:right="176"/>
              <w:rPr>
                <w:rFonts w:ascii="Arial" w:hAnsi="Arial" w:cs="Arial"/>
                <w:b/>
                <w:color w:val="000000"/>
                <w:sz w:val="16"/>
                <w:szCs w:val="16"/>
              </w:rPr>
            </w:pPr>
            <w:r w:rsidRPr="00CC2EFD">
              <w:rPr>
                <w:rFonts w:ascii="Arial" w:hAnsi="Arial" w:cs="Arial"/>
                <w:b/>
                <w:color w:val="000000"/>
                <w:sz w:val="16"/>
                <w:szCs w:val="16"/>
              </w:rPr>
              <w:t>Decision date:</w:t>
            </w:r>
            <w:r>
              <w:rPr>
                <w:rFonts w:ascii="Arial" w:hAnsi="Arial" w:cs="Arial"/>
                <w:b/>
                <w:color w:val="000000"/>
                <w:sz w:val="16"/>
                <w:szCs w:val="16"/>
              </w:rPr>
              <w:t xml:space="preserve"> 05 June 2025</w:t>
            </w:r>
          </w:p>
        </w:tc>
      </w:tr>
      <w:tr w:rsidR="002757B8" w:rsidRPr="00A101CD" w14:paraId="0097206F" w14:textId="77777777" w:rsidTr="001C6409">
        <w:trPr>
          <w:gridBefore w:val="1"/>
          <w:gridAfter w:val="1"/>
          <w:wBefore w:w="108" w:type="dxa"/>
          <w:wAfter w:w="56" w:type="dxa"/>
          <w:cantSplit/>
          <w:trHeight w:val="335"/>
        </w:trPr>
        <w:tc>
          <w:tcPr>
            <w:tcW w:w="9356" w:type="dxa"/>
            <w:shd w:val="clear" w:color="auto" w:fill="auto"/>
          </w:tcPr>
          <w:p w14:paraId="5BE523B1" w14:textId="77777777" w:rsidR="002757B8" w:rsidRPr="00CC2EFD" w:rsidRDefault="002757B8" w:rsidP="006966F7">
            <w:pPr>
              <w:spacing w:before="120"/>
              <w:ind w:left="-108" w:right="176"/>
              <w:rPr>
                <w:rFonts w:ascii="Arial" w:hAnsi="Arial" w:cs="Arial"/>
                <w:b/>
                <w:color w:val="000000"/>
                <w:sz w:val="16"/>
                <w:szCs w:val="16"/>
              </w:rPr>
            </w:pPr>
          </w:p>
        </w:tc>
      </w:tr>
      <w:tr w:rsidR="002757B8" w:rsidRPr="000D4887" w14:paraId="3A829695" w14:textId="77777777" w:rsidTr="001C6409">
        <w:tblPrEx>
          <w:tblBorders>
            <w:top w:val="none" w:sz="0" w:space="0" w:color="auto"/>
            <w:bottom w:val="none" w:sz="0" w:space="0" w:color="auto"/>
          </w:tblBorders>
        </w:tblPrEx>
        <w:tc>
          <w:tcPr>
            <w:tcW w:w="9520" w:type="dxa"/>
            <w:gridSpan w:val="3"/>
            <w:shd w:val="clear" w:color="auto" w:fill="auto"/>
          </w:tcPr>
          <w:p w14:paraId="40C401B7" w14:textId="77777777" w:rsidR="002757B8" w:rsidRPr="006776B4" w:rsidRDefault="002757B8" w:rsidP="0080219C">
            <w:pPr>
              <w:spacing w:after="60"/>
              <w:rPr>
                <w:rFonts w:ascii="Arial" w:hAnsi="Arial" w:cs="Arial"/>
                <w:b/>
                <w:color w:val="000000"/>
                <w:szCs w:val="22"/>
              </w:rPr>
            </w:pPr>
            <w:r w:rsidRPr="006776B4">
              <w:rPr>
                <w:rFonts w:ascii="Arial" w:hAnsi="Arial" w:cs="Arial"/>
                <w:b/>
                <w:szCs w:val="22"/>
              </w:rPr>
              <w:t xml:space="preserve">Costs application in relation to </w:t>
            </w:r>
            <w:r w:rsidR="0080219C" w:rsidRPr="006776B4">
              <w:rPr>
                <w:rFonts w:ascii="Arial" w:hAnsi="Arial" w:cs="Arial"/>
                <w:b/>
                <w:szCs w:val="22"/>
              </w:rPr>
              <w:t>case</w:t>
            </w:r>
            <w:r w:rsidR="00ED1C36" w:rsidRPr="006776B4">
              <w:rPr>
                <w:rFonts w:ascii="Arial" w:hAnsi="Arial" w:cs="Arial"/>
                <w:b/>
                <w:szCs w:val="22"/>
              </w:rPr>
              <w:t xml:space="preserve"> </w:t>
            </w:r>
            <w:r w:rsidR="00A93C5F" w:rsidRPr="006776B4">
              <w:rPr>
                <w:rFonts w:ascii="Arial" w:hAnsi="Arial" w:cs="Arial"/>
                <w:b/>
                <w:szCs w:val="22"/>
              </w:rPr>
              <w:t>r</w:t>
            </w:r>
            <w:r w:rsidRPr="006776B4">
              <w:rPr>
                <w:rFonts w:ascii="Arial" w:hAnsi="Arial" w:cs="Arial"/>
                <w:b/>
                <w:szCs w:val="22"/>
              </w:rPr>
              <w:t>ef:</w:t>
            </w:r>
            <w:r w:rsidR="00763ED6" w:rsidRPr="006776B4">
              <w:rPr>
                <w:rFonts w:ascii="Arial" w:hAnsi="Arial" w:cs="Arial"/>
                <w:b/>
                <w:szCs w:val="22"/>
              </w:rPr>
              <w:t xml:space="preserve"> </w:t>
            </w:r>
            <w:r w:rsidR="00D71B09" w:rsidRPr="006776B4">
              <w:rPr>
                <w:rFonts w:ascii="Arial" w:hAnsi="Arial" w:cs="Arial"/>
                <w:b/>
                <w:color w:val="000000"/>
                <w:szCs w:val="22"/>
              </w:rPr>
              <w:t>ROW/3227322</w:t>
            </w:r>
          </w:p>
        </w:tc>
      </w:tr>
      <w:tr w:rsidR="002757B8" w14:paraId="741DCD0E" w14:textId="77777777" w:rsidTr="001C6409">
        <w:tblPrEx>
          <w:tblBorders>
            <w:top w:val="none" w:sz="0" w:space="0" w:color="auto"/>
            <w:bottom w:val="none" w:sz="0" w:space="0" w:color="auto"/>
          </w:tblBorders>
        </w:tblPrEx>
        <w:tc>
          <w:tcPr>
            <w:tcW w:w="9520" w:type="dxa"/>
            <w:gridSpan w:val="3"/>
            <w:shd w:val="clear" w:color="auto" w:fill="auto"/>
          </w:tcPr>
          <w:p w14:paraId="3ED7B3E9" w14:textId="77777777" w:rsidR="002757B8" w:rsidRPr="00CC2EFD" w:rsidRDefault="00EE294C" w:rsidP="00ED1C36">
            <w:pPr>
              <w:pStyle w:val="TBullet"/>
              <w:rPr>
                <w:rFonts w:ascii="Arial" w:hAnsi="Arial" w:cs="Arial"/>
                <w:sz w:val="22"/>
                <w:szCs w:val="22"/>
              </w:rPr>
            </w:pPr>
            <w:r w:rsidRPr="00CC2EFD">
              <w:rPr>
                <w:rFonts w:ascii="Arial" w:hAnsi="Arial" w:cs="Arial"/>
                <w:sz w:val="22"/>
                <w:szCs w:val="22"/>
              </w:rPr>
              <w:t>Th</w:t>
            </w:r>
            <w:r w:rsidR="003A7E48" w:rsidRPr="00CC2EFD">
              <w:rPr>
                <w:rFonts w:ascii="Arial" w:hAnsi="Arial" w:cs="Arial"/>
                <w:sz w:val="22"/>
                <w:szCs w:val="22"/>
              </w:rPr>
              <w:t>is</w:t>
            </w:r>
            <w:r w:rsidRPr="00CC2EFD">
              <w:rPr>
                <w:rFonts w:ascii="Arial" w:hAnsi="Arial" w:cs="Arial"/>
                <w:sz w:val="22"/>
                <w:szCs w:val="22"/>
              </w:rPr>
              <w:t xml:space="preserve"> application </w:t>
            </w:r>
            <w:r w:rsidR="000A5267">
              <w:rPr>
                <w:rFonts w:ascii="Arial" w:hAnsi="Arial" w:cs="Arial"/>
                <w:sz w:val="22"/>
                <w:szCs w:val="22"/>
              </w:rPr>
              <w:t>wa</w:t>
            </w:r>
            <w:r w:rsidRPr="00CC2EFD">
              <w:rPr>
                <w:rFonts w:ascii="Arial" w:hAnsi="Arial" w:cs="Arial"/>
                <w:sz w:val="22"/>
                <w:szCs w:val="22"/>
              </w:rPr>
              <w:t xml:space="preserve">s made under the </w:t>
            </w:r>
            <w:r w:rsidR="00876040" w:rsidRPr="00CC2EFD">
              <w:rPr>
                <w:rFonts w:ascii="Arial" w:hAnsi="Arial" w:cs="Arial"/>
                <w:sz w:val="22"/>
                <w:szCs w:val="22"/>
              </w:rPr>
              <w:t xml:space="preserve">Wildlife and Countryside </w:t>
            </w:r>
            <w:r w:rsidRPr="00CC2EFD">
              <w:rPr>
                <w:rFonts w:ascii="Arial" w:hAnsi="Arial" w:cs="Arial"/>
                <w:sz w:val="22"/>
                <w:szCs w:val="22"/>
              </w:rPr>
              <w:t>Act 198</w:t>
            </w:r>
            <w:r w:rsidR="00876040" w:rsidRPr="00CC2EFD">
              <w:rPr>
                <w:rFonts w:ascii="Arial" w:hAnsi="Arial" w:cs="Arial"/>
                <w:sz w:val="22"/>
                <w:szCs w:val="22"/>
              </w:rPr>
              <w:t>1</w:t>
            </w:r>
            <w:r w:rsidRPr="00CC2EFD">
              <w:rPr>
                <w:rFonts w:ascii="Arial" w:hAnsi="Arial" w:cs="Arial"/>
                <w:sz w:val="22"/>
                <w:szCs w:val="22"/>
              </w:rPr>
              <w:t xml:space="preserve">, Schedule </w:t>
            </w:r>
            <w:r w:rsidR="00876040" w:rsidRPr="00CC2EFD">
              <w:rPr>
                <w:rFonts w:ascii="Arial" w:hAnsi="Arial" w:cs="Arial"/>
                <w:sz w:val="22"/>
                <w:szCs w:val="22"/>
              </w:rPr>
              <w:t>15</w:t>
            </w:r>
            <w:r w:rsidRPr="00CC2EFD">
              <w:rPr>
                <w:rFonts w:ascii="Arial" w:hAnsi="Arial" w:cs="Arial"/>
                <w:sz w:val="22"/>
                <w:szCs w:val="22"/>
              </w:rPr>
              <w:t xml:space="preserve"> </w:t>
            </w:r>
            <w:r w:rsidR="000E54D7" w:rsidRPr="00CC2EFD">
              <w:rPr>
                <w:rFonts w:ascii="Arial" w:hAnsi="Arial" w:cs="Arial"/>
                <w:sz w:val="22"/>
                <w:szCs w:val="22"/>
              </w:rPr>
              <w:t xml:space="preserve">(as amended) </w:t>
            </w:r>
            <w:r w:rsidRPr="00CC2EFD">
              <w:rPr>
                <w:rFonts w:ascii="Arial" w:hAnsi="Arial" w:cs="Arial"/>
                <w:sz w:val="22"/>
                <w:szCs w:val="22"/>
              </w:rPr>
              <w:t>and the Local Government Act 1972, Section 250(5</w:t>
            </w:r>
            <w:r w:rsidR="00E26F4B" w:rsidRPr="00CC2EFD">
              <w:rPr>
                <w:rFonts w:ascii="Arial" w:hAnsi="Arial" w:cs="Arial"/>
                <w:sz w:val="22"/>
                <w:szCs w:val="22"/>
              </w:rPr>
              <w:t>)</w:t>
            </w:r>
            <w:r w:rsidR="002757B8" w:rsidRPr="00CC2EFD">
              <w:rPr>
                <w:rFonts w:ascii="Arial" w:hAnsi="Arial" w:cs="Arial"/>
                <w:sz w:val="22"/>
                <w:szCs w:val="22"/>
              </w:rPr>
              <w:t>.</w:t>
            </w:r>
          </w:p>
        </w:tc>
      </w:tr>
      <w:tr w:rsidR="002757B8" w14:paraId="49BE8D03" w14:textId="77777777" w:rsidTr="001C6409">
        <w:tblPrEx>
          <w:tblBorders>
            <w:top w:val="none" w:sz="0" w:space="0" w:color="auto"/>
            <w:bottom w:val="none" w:sz="0" w:space="0" w:color="auto"/>
          </w:tblBorders>
        </w:tblPrEx>
        <w:tc>
          <w:tcPr>
            <w:tcW w:w="9520" w:type="dxa"/>
            <w:gridSpan w:val="3"/>
            <w:shd w:val="clear" w:color="auto" w:fill="auto"/>
          </w:tcPr>
          <w:p w14:paraId="36508301" w14:textId="77777777" w:rsidR="002757B8" w:rsidRPr="00CC2EFD" w:rsidRDefault="00D74B83" w:rsidP="0080219C">
            <w:pPr>
              <w:pStyle w:val="TBullet"/>
              <w:rPr>
                <w:rFonts w:ascii="Arial" w:hAnsi="Arial" w:cs="Arial"/>
                <w:sz w:val="22"/>
                <w:szCs w:val="22"/>
              </w:rPr>
            </w:pPr>
            <w:r w:rsidRPr="00CC2EFD">
              <w:rPr>
                <w:rFonts w:ascii="Arial" w:hAnsi="Arial" w:cs="Arial"/>
                <w:sz w:val="22"/>
                <w:szCs w:val="22"/>
              </w:rPr>
              <w:t xml:space="preserve">The application </w:t>
            </w:r>
            <w:r w:rsidR="000A5267">
              <w:rPr>
                <w:rFonts w:ascii="Arial" w:hAnsi="Arial" w:cs="Arial"/>
                <w:sz w:val="22"/>
                <w:szCs w:val="22"/>
              </w:rPr>
              <w:t>wa</w:t>
            </w:r>
            <w:r w:rsidRPr="00CC2EFD">
              <w:rPr>
                <w:rFonts w:ascii="Arial" w:hAnsi="Arial" w:cs="Arial"/>
                <w:sz w:val="22"/>
                <w:szCs w:val="22"/>
              </w:rPr>
              <w:t xml:space="preserve">s made </w:t>
            </w:r>
            <w:r w:rsidR="00F013A8">
              <w:rPr>
                <w:rFonts w:ascii="Arial" w:hAnsi="Arial" w:cs="Arial"/>
                <w:sz w:val="22"/>
                <w:szCs w:val="22"/>
              </w:rPr>
              <w:t xml:space="preserve">by </w:t>
            </w:r>
            <w:r w:rsidR="00D06CC3">
              <w:rPr>
                <w:rFonts w:ascii="Arial" w:hAnsi="Arial" w:cs="Arial"/>
                <w:sz w:val="22"/>
                <w:szCs w:val="22"/>
              </w:rPr>
              <w:t xml:space="preserve">Mr Dunlop </w:t>
            </w:r>
            <w:r w:rsidR="00D71B09">
              <w:rPr>
                <w:rFonts w:ascii="Arial" w:hAnsi="Arial" w:cs="Arial"/>
                <w:sz w:val="22"/>
                <w:szCs w:val="22"/>
              </w:rPr>
              <w:t xml:space="preserve">on behalf of Mr and Mrs Scott </w:t>
            </w:r>
            <w:r w:rsidRPr="00CC2EFD">
              <w:rPr>
                <w:rFonts w:ascii="Arial" w:hAnsi="Arial" w:cs="Arial"/>
                <w:sz w:val="22"/>
                <w:szCs w:val="22"/>
              </w:rPr>
              <w:t xml:space="preserve">for a </w:t>
            </w:r>
            <w:r w:rsidR="00D71B09">
              <w:rPr>
                <w:rFonts w:ascii="Arial" w:hAnsi="Arial" w:cs="Arial"/>
                <w:sz w:val="22"/>
                <w:szCs w:val="22"/>
              </w:rPr>
              <w:t xml:space="preserve">full </w:t>
            </w:r>
            <w:r w:rsidRPr="00CC2EFD">
              <w:rPr>
                <w:rFonts w:ascii="Arial" w:hAnsi="Arial" w:cs="Arial"/>
                <w:sz w:val="22"/>
                <w:szCs w:val="22"/>
              </w:rPr>
              <w:t xml:space="preserve">award of costs </w:t>
            </w:r>
            <w:r w:rsidR="00CC2EFD" w:rsidRPr="00CC2EFD">
              <w:rPr>
                <w:rFonts w:ascii="Arial" w:hAnsi="Arial" w:cs="Arial"/>
                <w:sz w:val="22"/>
                <w:szCs w:val="22"/>
              </w:rPr>
              <w:t xml:space="preserve">against </w:t>
            </w:r>
            <w:r w:rsidR="00D71B09">
              <w:rPr>
                <w:rFonts w:ascii="Arial" w:hAnsi="Arial" w:cs="Arial"/>
                <w:sz w:val="22"/>
                <w:szCs w:val="22"/>
              </w:rPr>
              <w:t xml:space="preserve">Norfolk County </w:t>
            </w:r>
            <w:r w:rsidR="00F013A8">
              <w:rPr>
                <w:rFonts w:ascii="Arial" w:hAnsi="Arial" w:cs="Arial"/>
                <w:sz w:val="22"/>
                <w:szCs w:val="22"/>
              </w:rPr>
              <w:t>Council</w:t>
            </w:r>
            <w:r w:rsidR="002757B8" w:rsidRPr="00CC2EFD">
              <w:rPr>
                <w:rFonts w:ascii="Arial" w:hAnsi="Arial" w:cs="Arial"/>
                <w:sz w:val="22"/>
                <w:szCs w:val="22"/>
              </w:rPr>
              <w:t xml:space="preserve">.  </w:t>
            </w:r>
            <w:r w:rsidR="00DB47E1" w:rsidRPr="00CC2EFD">
              <w:rPr>
                <w:rFonts w:ascii="Arial" w:hAnsi="Arial" w:cs="Arial"/>
                <w:sz w:val="22"/>
                <w:szCs w:val="22"/>
              </w:rPr>
              <w:t xml:space="preserve">  </w:t>
            </w:r>
          </w:p>
        </w:tc>
      </w:tr>
      <w:tr w:rsidR="002757B8" w14:paraId="307E6793" w14:textId="77777777" w:rsidTr="001C6409">
        <w:tblPrEx>
          <w:tblBorders>
            <w:top w:val="none" w:sz="0" w:space="0" w:color="auto"/>
            <w:bottom w:val="none" w:sz="0" w:space="0" w:color="auto"/>
          </w:tblBorders>
        </w:tblPrEx>
        <w:tc>
          <w:tcPr>
            <w:tcW w:w="9520" w:type="dxa"/>
            <w:gridSpan w:val="3"/>
            <w:shd w:val="clear" w:color="auto" w:fill="auto"/>
          </w:tcPr>
          <w:p w14:paraId="2E348927" w14:textId="77777777" w:rsidR="002757B8" w:rsidRPr="00CC2EFD" w:rsidRDefault="002757B8" w:rsidP="00C834F1">
            <w:pPr>
              <w:pStyle w:val="TBullet"/>
              <w:rPr>
                <w:rFonts w:ascii="Arial" w:hAnsi="Arial" w:cs="Arial"/>
                <w:sz w:val="22"/>
                <w:szCs w:val="22"/>
              </w:rPr>
            </w:pPr>
            <w:r w:rsidRPr="00CC2EFD">
              <w:rPr>
                <w:rFonts w:ascii="Arial" w:hAnsi="Arial" w:cs="Arial"/>
                <w:sz w:val="22"/>
                <w:szCs w:val="22"/>
              </w:rPr>
              <w:t>The</w:t>
            </w:r>
            <w:r w:rsidR="00173241" w:rsidRPr="00CC2EFD">
              <w:rPr>
                <w:rFonts w:ascii="Arial" w:hAnsi="Arial" w:cs="Arial"/>
                <w:sz w:val="22"/>
                <w:szCs w:val="22"/>
              </w:rPr>
              <w:t xml:space="preserve"> inquiry was </w:t>
            </w:r>
            <w:r w:rsidR="006F16BD">
              <w:rPr>
                <w:rFonts w:ascii="Arial" w:hAnsi="Arial" w:cs="Arial"/>
                <w:sz w:val="22"/>
                <w:szCs w:val="22"/>
              </w:rPr>
              <w:t xml:space="preserve">held </w:t>
            </w:r>
            <w:r w:rsidR="00173241" w:rsidRPr="00CC2EFD">
              <w:rPr>
                <w:rFonts w:ascii="Arial" w:hAnsi="Arial" w:cs="Arial"/>
                <w:sz w:val="22"/>
                <w:szCs w:val="22"/>
              </w:rPr>
              <w:t>in connection with</w:t>
            </w:r>
            <w:r w:rsidR="00CF1A28" w:rsidRPr="00CC2EFD">
              <w:rPr>
                <w:rFonts w:ascii="Arial" w:hAnsi="Arial" w:cs="Arial"/>
                <w:sz w:val="22"/>
                <w:szCs w:val="22"/>
              </w:rPr>
              <w:t xml:space="preserve"> </w:t>
            </w:r>
            <w:r w:rsidR="00D71B09">
              <w:rPr>
                <w:rFonts w:ascii="Arial" w:hAnsi="Arial" w:cs="Arial"/>
                <w:sz w:val="22"/>
                <w:szCs w:val="22"/>
              </w:rPr>
              <w:t xml:space="preserve">the </w:t>
            </w:r>
            <w:r w:rsidR="00D71B09" w:rsidRPr="00A400E1">
              <w:rPr>
                <w:rFonts w:ascii="Arial" w:hAnsi="Arial" w:cs="Arial"/>
                <w:sz w:val="22"/>
                <w:szCs w:val="22"/>
              </w:rPr>
              <w:t>Norfolk County Council (Thompson, Pockthorpe Lane)</w:t>
            </w:r>
            <w:r w:rsidR="00D71B09" w:rsidRPr="00A400E1">
              <w:rPr>
                <w:rFonts w:ascii="Arial" w:hAnsi="Arial" w:cs="Arial"/>
                <w:iCs/>
                <w:sz w:val="22"/>
                <w:szCs w:val="22"/>
              </w:rPr>
              <w:t xml:space="preserve"> Modification Order 2018</w:t>
            </w:r>
            <w:r w:rsidR="00763ED6" w:rsidRPr="006519EC">
              <w:rPr>
                <w:rFonts w:ascii="Arial" w:hAnsi="Arial" w:cs="Arial"/>
                <w:sz w:val="22"/>
                <w:szCs w:val="22"/>
              </w:rPr>
              <w:t>.</w:t>
            </w:r>
          </w:p>
        </w:tc>
      </w:tr>
      <w:tr w:rsidR="003A7E48" w:rsidRPr="000D4887" w14:paraId="5ED141F7" w14:textId="77777777" w:rsidTr="001C6409">
        <w:tblPrEx>
          <w:tblBorders>
            <w:top w:val="none" w:sz="0" w:space="0" w:color="auto"/>
            <w:bottom w:val="none" w:sz="0" w:space="0" w:color="auto"/>
          </w:tblBorders>
        </w:tblPrEx>
        <w:tc>
          <w:tcPr>
            <w:tcW w:w="9520" w:type="dxa"/>
            <w:gridSpan w:val="3"/>
            <w:shd w:val="clear" w:color="auto" w:fill="auto"/>
          </w:tcPr>
          <w:p w14:paraId="7C583409" w14:textId="77777777" w:rsidR="003A7E48" w:rsidRPr="000D4887" w:rsidRDefault="003A7E48" w:rsidP="003A7E48">
            <w:pPr>
              <w:spacing w:before="60"/>
              <w:rPr>
                <w:b/>
                <w:color w:val="000000"/>
              </w:rPr>
            </w:pPr>
          </w:p>
        </w:tc>
      </w:tr>
      <w:tr w:rsidR="003A7E48" w:rsidRPr="000D4887" w14:paraId="554AD730" w14:textId="77777777" w:rsidTr="001C6409">
        <w:tblPrEx>
          <w:tblBorders>
            <w:top w:val="none" w:sz="0" w:space="0" w:color="auto"/>
            <w:bottom w:val="none" w:sz="0" w:space="0" w:color="auto"/>
          </w:tblBorders>
        </w:tblPrEx>
        <w:tc>
          <w:tcPr>
            <w:tcW w:w="9520" w:type="dxa"/>
            <w:gridSpan w:val="3"/>
            <w:tcBorders>
              <w:bottom w:val="single" w:sz="6" w:space="0" w:color="000000"/>
            </w:tcBorders>
            <w:shd w:val="clear" w:color="auto" w:fill="auto"/>
          </w:tcPr>
          <w:p w14:paraId="1CDC94F2" w14:textId="77777777" w:rsidR="003A7E48" w:rsidRPr="000D4887" w:rsidRDefault="003A7E48" w:rsidP="003A7E48">
            <w:pPr>
              <w:spacing w:before="60"/>
              <w:rPr>
                <w:b/>
                <w:color w:val="000000"/>
                <w:sz w:val="2"/>
              </w:rPr>
            </w:pPr>
          </w:p>
        </w:tc>
      </w:tr>
    </w:tbl>
    <w:p w14:paraId="332E2D05" w14:textId="24AAA7AC" w:rsidR="00D71B09" w:rsidRPr="00D71B09" w:rsidRDefault="00D71B09" w:rsidP="00D71B09">
      <w:pPr>
        <w:pStyle w:val="Style1"/>
        <w:numPr>
          <w:ilvl w:val="0"/>
          <w:numId w:val="0"/>
        </w:numPr>
        <w:rPr>
          <w:rFonts w:ascii="Arial" w:hAnsi="Arial" w:cs="Arial"/>
          <w:b/>
          <w:bCs/>
          <w:i/>
          <w:sz w:val="24"/>
          <w:szCs w:val="24"/>
        </w:rPr>
      </w:pPr>
      <w:r w:rsidRPr="00D71B09">
        <w:rPr>
          <w:rFonts w:ascii="Arial" w:hAnsi="Arial" w:cs="Arial"/>
          <w:b/>
          <w:bCs/>
          <w:sz w:val="24"/>
          <w:szCs w:val="24"/>
        </w:rPr>
        <w:t>Pr</w:t>
      </w:r>
      <w:r w:rsidR="007E4CDF">
        <w:rPr>
          <w:rFonts w:ascii="Arial" w:hAnsi="Arial" w:cs="Arial"/>
          <w:b/>
          <w:bCs/>
          <w:sz w:val="24"/>
          <w:szCs w:val="24"/>
        </w:rPr>
        <w:t xml:space="preserve">eliminary </w:t>
      </w:r>
      <w:r w:rsidRPr="00D71B09">
        <w:rPr>
          <w:rFonts w:ascii="Arial" w:hAnsi="Arial" w:cs="Arial"/>
          <w:b/>
          <w:bCs/>
          <w:sz w:val="24"/>
          <w:szCs w:val="24"/>
        </w:rPr>
        <w:t xml:space="preserve">Matters  </w:t>
      </w:r>
    </w:p>
    <w:p w14:paraId="59136F74" w14:textId="2B2760D3" w:rsidR="007E4CDF" w:rsidRPr="001D7AFF" w:rsidRDefault="00D71B09" w:rsidP="00860127">
      <w:pPr>
        <w:pStyle w:val="Style1"/>
        <w:tabs>
          <w:tab w:val="num" w:pos="720"/>
          <w:tab w:val="num" w:pos="862"/>
        </w:tabs>
        <w:rPr>
          <w:rFonts w:ascii="Arial" w:hAnsi="Arial" w:cs="Arial"/>
          <w:i/>
          <w:sz w:val="24"/>
          <w:szCs w:val="24"/>
        </w:rPr>
      </w:pPr>
      <w:r w:rsidRPr="007E4CDF">
        <w:rPr>
          <w:rFonts w:ascii="Arial" w:hAnsi="Arial" w:cs="Arial"/>
          <w:sz w:val="24"/>
          <w:szCs w:val="24"/>
        </w:rPr>
        <w:t>Inspector Sue Arnot</w:t>
      </w:r>
      <w:r w:rsidR="00A22BF3">
        <w:rPr>
          <w:rFonts w:ascii="Arial" w:hAnsi="Arial" w:cs="Arial"/>
          <w:sz w:val="24"/>
          <w:szCs w:val="24"/>
        </w:rPr>
        <w:t>t</w:t>
      </w:r>
      <w:r w:rsidRPr="007E4CDF">
        <w:rPr>
          <w:rFonts w:ascii="Arial" w:hAnsi="Arial" w:cs="Arial"/>
          <w:sz w:val="24"/>
          <w:szCs w:val="24"/>
        </w:rPr>
        <w:t xml:space="preserve"> held a public inquiry into the</w:t>
      </w:r>
      <w:r w:rsidR="007E4CDF" w:rsidRPr="007E4CDF">
        <w:rPr>
          <w:rFonts w:ascii="Arial" w:hAnsi="Arial" w:cs="Arial"/>
          <w:sz w:val="24"/>
          <w:szCs w:val="24"/>
        </w:rPr>
        <w:t xml:space="preserve"> Order over the course of 3 days: </w:t>
      </w:r>
      <w:r w:rsidRPr="007E4CDF">
        <w:rPr>
          <w:rFonts w:ascii="Arial" w:hAnsi="Arial" w:cs="Arial"/>
          <w:sz w:val="24"/>
          <w:szCs w:val="24"/>
        </w:rPr>
        <w:t xml:space="preserve"> </w:t>
      </w:r>
      <w:r w:rsidR="007E4CDF" w:rsidRPr="007E4CDF">
        <w:rPr>
          <w:rFonts w:ascii="Arial" w:hAnsi="Arial" w:cs="Arial"/>
          <w:bCs/>
          <w:sz w:val="24"/>
          <w:szCs w:val="24"/>
        </w:rPr>
        <w:t xml:space="preserve">15-17 November 2022 with a short pre-inquiry meeting held (virtually) on 9 November 2022.   She </w:t>
      </w:r>
      <w:r w:rsidRPr="007E4CDF">
        <w:rPr>
          <w:rFonts w:ascii="Arial" w:hAnsi="Arial" w:cs="Arial"/>
          <w:sz w:val="24"/>
          <w:szCs w:val="24"/>
        </w:rPr>
        <w:t xml:space="preserve">proposed in her </w:t>
      </w:r>
      <w:r w:rsidR="00420909" w:rsidRPr="007E4CDF">
        <w:rPr>
          <w:rFonts w:ascii="Arial" w:hAnsi="Arial" w:cs="Arial"/>
          <w:sz w:val="24"/>
          <w:szCs w:val="24"/>
        </w:rPr>
        <w:t>I</w:t>
      </w:r>
      <w:r w:rsidRPr="007E4CDF">
        <w:rPr>
          <w:rFonts w:ascii="Arial" w:hAnsi="Arial" w:cs="Arial"/>
          <w:sz w:val="24"/>
          <w:szCs w:val="24"/>
        </w:rPr>
        <w:t>nterim Decision of 27 March 2023 to confirm the Order with modifications</w:t>
      </w:r>
      <w:r w:rsidR="007E4CDF" w:rsidRPr="007E4CDF">
        <w:rPr>
          <w:rFonts w:ascii="Arial" w:hAnsi="Arial" w:cs="Arial"/>
          <w:sz w:val="24"/>
          <w:szCs w:val="24"/>
        </w:rPr>
        <w:t>.  These modifications were to</w:t>
      </w:r>
      <w:r w:rsidR="007E4CDF">
        <w:rPr>
          <w:rFonts w:ascii="Arial" w:hAnsi="Arial" w:cs="Arial"/>
          <w:sz w:val="24"/>
          <w:szCs w:val="24"/>
        </w:rPr>
        <w:t xml:space="preserve"> </w:t>
      </w:r>
      <w:r w:rsidR="007E4CDF" w:rsidRPr="007E4CDF">
        <w:rPr>
          <w:rFonts w:ascii="Arial" w:hAnsi="Arial" w:cs="Arial"/>
          <w:sz w:val="24"/>
          <w:szCs w:val="24"/>
        </w:rPr>
        <w:t xml:space="preserve">record the Order route as </w:t>
      </w:r>
      <w:r w:rsidR="008C5C15">
        <w:rPr>
          <w:rFonts w:ascii="Arial" w:hAnsi="Arial" w:cs="Arial"/>
          <w:sz w:val="24"/>
          <w:szCs w:val="24"/>
        </w:rPr>
        <w:t xml:space="preserve">a </w:t>
      </w:r>
      <w:r w:rsidR="007E4CDF" w:rsidRPr="007E4CDF">
        <w:rPr>
          <w:rFonts w:ascii="Arial" w:hAnsi="Arial" w:cs="Arial"/>
          <w:sz w:val="24"/>
          <w:szCs w:val="24"/>
        </w:rPr>
        <w:t xml:space="preserve">footpath rather than a byway open to all traffic (‘BOAT’) and </w:t>
      </w:r>
      <w:r w:rsidR="007E4CDF">
        <w:rPr>
          <w:rFonts w:ascii="Arial" w:hAnsi="Arial" w:cs="Arial"/>
          <w:sz w:val="24"/>
          <w:szCs w:val="24"/>
        </w:rPr>
        <w:t>amend the width</w:t>
      </w:r>
      <w:r w:rsidR="008C5C15">
        <w:rPr>
          <w:rFonts w:ascii="Arial" w:hAnsi="Arial" w:cs="Arial"/>
          <w:sz w:val="24"/>
          <w:szCs w:val="24"/>
        </w:rPr>
        <w:t>s specified for</w:t>
      </w:r>
      <w:r w:rsidR="007E4CDF">
        <w:rPr>
          <w:rFonts w:ascii="Arial" w:hAnsi="Arial" w:cs="Arial"/>
          <w:sz w:val="24"/>
          <w:szCs w:val="24"/>
        </w:rPr>
        <w:t xml:space="preserve"> the route</w:t>
      </w:r>
      <w:r w:rsidRPr="007E4CDF">
        <w:rPr>
          <w:rFonts w:ascii="Arial" w:hAnsi="Arial" w:cs="Arial"/>
          <w:sz w:val="24"/>
          <w:szCs w:val="24"/>
        </w:rPr>
        <w:t xml:space="preserve">.  </w:t>
      </w:r>
    </w:p>
    <w:p w14:paraId="303E6366" w14:textId="20BA5160" w:rsidR="001D7AFF" w:rsidRPr="006776B4" w:rsidRDefault="001D7AFF" w:rsidP="001D7AFF">
      <w:pPr>
        <w:pStyle w:val="Style1"/>
        <w:tabs>
          <w:tab w:val="num" w:pos="720"/>
          <w:tab w:val="num" w:pos="862"/>
        </w:tabs>
        <w:rPr>
          <w:rFonts w:ascii="Arial" w:hAnsi="Arial" w:cs="Arial"/>
          <w:i/>
          <w:sz w:val="24"/>
          <w:szCs w:val="24"/>
        </w:rPr>
      </w:pPr>
      <w:r>
        <w:rPr>
          <w:rFonts w:ascii="Arial" w:hAnsi="Arial" w:cs="Arial"/>
          <w:sz w:val="24"/>
          <w:szCs w:val="24"/>
        </w:rPr>
        <w:t>As Inspector Arnot</w:t>
      </w:r>
      <w:r w:rsidR="00A22BF3">
        <w:rPr>
          <w:rFonts w:ascii="Arial" w:hAnsi="Arial" w:cs="Arial"/>
          <w:sz w:val="24"/>
          <w:szCs w:val="24"/>
        </w:rPr>
        <w:t>t</w:t>
      </w:r>
      <w:r>
        <w:rPr>
          <w:rFonts w:ascii="Arial" w:hAnsi="Arial" w:cs="Arial"/>
          <w:sz w:val="24"/>
          <w:szCs w:val="24"/>
        </w:rPr>
        <w:t xml:space="preserve"> is no longer employed by the Planning Inspectorate, </w:t>
      </w:r>
      <w:r w:rsidRPr="006776B4">
        <w:rPr>
          <w:rFonts w:ascii="Arial" w:hAnsi="Arial" w:cs="Arial"/>
          <w:sz w:val="24"/>
          <w:szCs w:val="24"/>
        </w:rPr>
        <w:t xml:space="preserve">I have been appointed to consider the objection made in response to the advertisement of the proposed modifications and I held a second inquiry in accordance with paragraphs 7 and 8 of Schedule 15 to the Wildlife and Countryside Act 1981 (‘the 1981 Act’).  </w:t>
      </w:r>
      <w:r w:rsidR="009B2A06">
        <w:rPr>
          <w:rFonts w:ascii="Arial" w:hAnsi="Arial" w:cs="Arial"/>
          <w:sz w:val="24"/>
          <w:szCs w:val="24"/>
        </w:rPr>
        <w:t xml:space="preserve">I also heard </w:t>
      </w:r>
      <w:r w:rsidR="007D09E9">
        <w:rPr>
          <w:rFonts w:ascii="Arial" w:hAnsi="Arial" w:cs="Arial"/>
          <w:sz w:val="24"/>
          <w:szCs w:val="24"/>
        </w:rPr>
        <w:t xml:space="preserve">an application for costs </w:t>
      </w:r>
      <w:r w:rsidR="00AB360D">
        <w:rPr>
          <w:rFonts w:ascii="Arial" w:hAnsi="Arial" w:cs="Arial"/>
          <w:sz w:val="24"/>
          <w:szCs w:val="24"/>
        </w:rPr>
        <w:t xml:space="preserve">at the second inquiry </w:t>
      </w:r>
      <w:r w:rsidR="007D09E9">
        <w:rPr>
          <w:rFonts w:ascii="Arial" w:hAnsi="Arial" w:cs="Arial"/>
          <w:sz w:val="24"/>
          <w:szCs w:val="24"/>
        </w:rPr>
        <w:t xml:space="preserve">and </w:t>
      </w:r>
      <w:r w:rsidR="00C8278F">
        <w:rPr>
          <w:rFonts w:ascii="Arial" w:hAnsi="Arial" w:cs="Arial"/>
          <w:sz w:val="24"/>
          <w:szCs w:val="24"/>
        </w:rPr>
        <w:t xml:space="preserve">I </w:t>
      </w:r>
      <w:r w:rsidR="007D09E9">
        <w:rPr>
          <w:rFonts w:ascii="Arial" w:hAnsi="Arial" w:cs="Arial"/>
          <w:sz w:val="24"/>
          <w:szCs w:val="24"/>
        </w:rPr>
        <w:t xml:space="preserve">have prepared a separate decision.  </w:t>
      </w:r>
    </w:p>
    <w:p w14:paraId="2631893C" w14:textId="2B59C231" w:rsidR="008C5C15" w:rsidRDefault="000D1081" w:rsidP="006519EC">
      <w:pPr>
        <w:pStyle w:val="Style1"/>
        <w:tabs>
          <w:tab w:val="num" w:pos="720"/>
        </w:tabs>
        <w:rPr>
          <w:rFonts w:ascii="Arial" w:hAnsi="Arial" w:cs="Arial"/>
          <w:iCs/>
          <w:sz w:val="24"/>
          <w:szCs w:val="24"/>
        </w:rPr>
      </w:pPr>
      <w:r w:rsidRPr="006776B4">
        <w:rPr>
          <w:rFonts w:ascii="Arial" w:hAnsi="Arial" w:cs="Arial"/>
          <w:iCs/>
          <w:sz w:val="24"/>
          <w:szCs w:val="24"/>
        </w:rPr>
        <w:t>Two costs applications were made at the first inquiry and Inspector Arnot</w:t>
      </w:r>
      <w:r w:rsidR="00A22BF3">
        <w:rPr>
          <w:rFonts w:ascii="Arial" w:hAnsi="Arial" w:cs="Arial"/>
          <w:iCs/>
          <w:sz w:val="24"/>
          <w:szCs w:val="24"/>
        </w:rPr>
        <w:t>t</w:t>
      </w:r>
      <w:r w:rsidRPr="006776B4">
        <w:rPr>
          <w:rFonts w:ascii="Arial" w:hAnsi="Arial" w:cs="Arial"/>
          <w:iCs/>
          <w:sz w:val="24"/>
          <w:szCs w:val="24"/>
        </w:rPr>
        <w:t xml:space="preserve"> prepared separate decisions</w:t>
      </w:r>
      <w:r w:rsidR="00577D90">
        <w:rPr>
          <w:rFonts w:ascii="Arial" w:hAnsi="Arial" w:cs="Arial"/>
          <w:iCs/>
          <w:sz w:val="24"/>
          <w:szCs w:val="24"/>
        </w:rPr>
        <w:t xml:space="preserve"> in relation to these applications</w:t>
      </w:r>
      <w:r w:rsidRPr="006776B4">
        <w:rPr>
          <w:rFonts w:ascii="Arial" w:hAnsi="Arial" w:cs="Arial"/>
          <w:iCs/>
          <w:sz w:val="24"/>
          <w:szCs w:val="24"/>
        </w:rPr>
        <w:t xml:space="preserve">.  One of these </w:t>
      </w:r>
      <w:r w:rsidR="00420909">
        <w:rPr>
          <w:rFonts w:ascii="Arial" w:hAnsi="Arial" w:cs="Arial"/>
          <w:iCs/>
          <w:sz w:val="24"/>
          <w:szCs w:val="24"/>
        </w:rPr>
        <w:t xml:space="preserve">involved </w:t>
      </w:r>
      <w:r w:rsidRPr="006776B4">
        <w:rPr>
          <w:rFonts w:ascii="Arial" w:hAnsi="Arial" w:cs="Arial"/>
          <w:iCs/>
          <w:sz w:val="24"/>
          <w:szCs w:val="24"/>
        </w:rPr>
        <w:t>a</w:t>
      </w:r>
      <w:r w:rsidR="008C5C15">
        <w:rPr>
          <w:rFonts w:ascii="Arial" w:hAnsi="Arial" w:cs="Arial"/>
          <w:iCs/>
          <w:sz w:val="24"/>
          <w:szCs w:val="24"/>
        </w:rPr>
        <w:t>n</w:t>
      </w:r>
      <w:r w:rsidRPr="006776B4">
        <w:rPr>
          <w:rFonts w:ascii="Arial" w:hAnsi="Arial" w:cs="Arial"/>
          <w:iCs/>
          <w:sz w:val="24"/>
          <w:szCs w:val="24"/>
        </w:rPr>
        <w:t xml:space="preserve"> application for costs made </w:t>
      </w:r>
      <w:r w:rsidR="00B3767A" w:rsidRPr="006776B4">
        <w:rPr>
          <w:rFonts w:ascii="Arial" w:hAnsi="Arial" w:cs="Arial"/>
          <w:iCs/>
          <w:sz w:val="24"/>
          <w:szCs w:val="24"/>
        </w:rPr>
        <w:t>on</w:t>
      </w:r>
      <w:r w:rsidRPr="006776B4">
        <w:rPr>
          <w:rFonts w:ascii="Arial" w:hAnsi="Arial" w:cs="Arial"/>
          <w:iCs/>
          <w:sz w:val="24"/>
          <w:szCs w:val="24"/>
        </w:rPr>
        <w:t xml:space="preserve"> behalf of Mr and Mrs Scott</w:t>
      </w:r>
      <w:r w:rsidR="00420909">
        <w:rPr>
          <w:rFonts w:ascii="Arial" w:hAnsi="Arial" w:cs="Arial"/>
          <w:iCs/>
          <w:sz w:val="24"/>
          <w:szCs w:val="24"/>
        </w:rPr>
        <w:t xml:space="preserve"> against Norfolk County Council (‘NCC’)</w:t>
      </w:r>
      <w:r w:rsidRPr="006776B4">
        <w:rPr>
          <w:rFonts w:ascii="Arial" w:hAnsi="Arial" w:cs="Arial"/>
          <w:iCs/>
          <w:sz w:val="24"/>
          <w:szCs w:val="24"/>
        </w:rPr>
        <w:t xml:space="preserve">. </w:t>
      </w:r>
      <w:r w:rsidR="000A5267">
        <w:rPr>
          <w:rFonts w:ascii="Arial" w:hAnsi="Arial" w:cs="Arial"/>
          <w:iCs/>
          <w:sz w:val="24"/>
          <w:szCs w:val="24"/>
        </w:rPr>
        <w:t xml:space="preserve"> </w:t>
      </w:r>
      <w:r w:rsidR="008C5C15">
        <w:rPr>
          <w:rFonts w:ascii="Arial" w:hAnsi="Arial" w:cs="Arial"/>
          <w:iCs/>
          <w:sz w:val="24"/>
          <w:szCs w:val="24"/>
        </w:rPr>
        <w:t xml:space="preserve">Although I </w:t>
      </w:r>
      <w:r w:rsidR="00AB4B64">
        <w:rPr>
          <w:rFonts w:ascii="Arial" w:hAnsi="Arial" w:cs="Arial"/>
          <w:iCs/>
          <w:sz w:val="24"/>
          <w:szCs w:val="24"/>
        </w:rPr>
        <w:t xml:space="preserve">have </w:t>
      </w:r>
      <w:r w:rsidR="008C5C15">
        <w:rPr>
          <w:rFonts w:ascii="Arial" w:hAnsi="Arial" w:cs="Arial"/>
          <w:iCs/>
          <w:sz w:val="24"/>
          <w:szCs w:val="24"/>
        </w:rPr>
        <w:t>not</w:t>
      </w:r>
      <w:r w:rsidR="00AB4B64">
        <w:rPr>
          <w:rFonts w:ascii="Arial" w:hAnsi="Arial" w:cs="Arial"/>
          <w:iCs/>
          <w:sz w:val="24"/>
          <w:szCs w:val="24"/>
        </w:rPr>
        <w:t>iced</w:t>
      </w:r>
      <w:r w:rsidR="008C5C15">
        <w:rPr>
          <w:rFonts w:ascii="Arial" w:hAnsi="Arial" w:cs="Arial"/>
          <w:iCs/>
          <w:sz w:val="24"/>
          <w:szCs w:val="24"/>
        </w:rPr>
        <w:t xml:space="preserve"> one reference to a partial application for costs in the decision prepared by Inspector Arnot</w:t>
      </w:r>
      <w:r w:rsidR="00A22BF3">
        <w:rPr>
          <w:rFonts w:ascii="Arial" w:hAnsi="Arial" w:cs="Arial"/>
          <w:iCs/>
          <w:sz w:val="24"/>
          <w:szCs w:val="24"/>
        </w:rPr>
        <w:t>t</w:t>
      </w:r>
      <w:r w:rsidR="008C5C15">
        <w:rPr>
          <w:rFonts w:ascii="Arial" w:hAnsi="Arial" w:cs="Arial"/>
          <w:iCs/>
          <w:sz w:val="24"/>
          <w:szCs w:val="24"/>
        </w:rPr>
        <w:t xml:space="preserve">, elsewhere reference is made to it being a full application for costs and this is my understanding of the application. </w:t>
      </w:r>
    </w:p>
    <w:p w14:paraId="4EC72882" w14:textId="2D7BA2CD" w:rsidR="007E4CDF" w:rsidRDefault="0011179E" w:rsidP="006519EC">
      <w:pPr>
        <w:pStyle w:val="Style1"/>
        <w:tabs>
          <w:tab w:val="num" w:pos="720"/>
        </w:tabs>
        <w:rPr>
          <w:rFonts w:ascii="Arial" w:hAnsi="Arial" w:cs="Arial"/>
          <w:iCs/>
          <w:sz w:val="24"/>
          <w:szCs w:val="24"/>
        </w:rPr>
      </w:pPr>
      <w:r>
        <w:rPr>
          <w:rFonts w:ascii="Arial" w:hAnsi="Arial" w:cs="Arial"/>
          <w:iCs/>
          <w:sz w:val="24"/>
          <w:szCs w:val="24"/>
        </w:rPr>
        <w:t>It is not appropriate for me to reach a decision on this application as it was Inspector Arno</w:t>
      </w:r>
      <w:r w:rsidR="00A22BF3">
        <w:rPr>
          <w:rFonts w:ascii="Arial" w:hAnsi="Arial" w:cs="Arial"/>
          <w:iCs/>
          <w:sz w:val="24"/>
          <w:szCs w:val="24"/>
        </w:rPr>
        <w:t>t</w:t>
      </w:r>
      <w:r>
        <w:rPr>
          <w:rFonts w:ascii="Arial" w:hAnsi="Arial" w:cs="Arial"/>
          <w:iCs/>
          <w:sz w:val="24"/>
          <w:szCs w:val="24"/>
        </w:rPr>
        <w:t xml:space="preserve">t who held the first inquiry and heard the </w:t>
      </w:r>
      <w:r w:rsidR="000A5267">
        <w:rPr>
          <w:rFonts w:ascii="Arial" w:hAnsi="Arial" w:cs="Arial"/>
          <w:iCs/>
          <w:sz w:val="24"/>
          <w:szCs w:val="24"/>
        </w:rPr>
        <w:t xml:space="preserve">costs application </w:t>
      </w:r>
      <w:r>
        <w:rPr>
          <w:rFonts w:ascii="Arial" w:hAnsi="Arial" w:cs="Arial"/>
          <w:iCs/>
          <w:sz w:val="24"/>
          <w:szCs w:val="24"/>
        </w:rPr>
        <w:t>and</w:t>
      </w:r>
      <w:r w:rsidR="000A5267">
        <w:rPr>
          <w:rFonts w:ascii="Arial" w:hAnsi="Arial" w:cs="Arial"/>
          <w:iCs/>
          <w:sz w:val="24"/>
          <w:szCs w:val="24"/>
        </w:rPr>
        <w:t xml:space="preserve"> the response to it</w:t>
      </w:r>
      <w:r>
        <w:rPr>
          <w:rFonts w:ascii="Arial" w:hAnsi="Arial" w:cs="Arial"/>
          <w:iCs/>
          <w:sz w:val="24"/>
          <w:szCs w:val="24"/>
        </w:rPr>
        <w:t xml:space="preserve">.  </w:t>
      </w:r>
      <w:r w:rsidR="000A5267">
        <w:rPr>
          <w:rFonts w:ascii="Arial" w:hAnsi="Arial" w:cs="Arial"/>
          <w:iCs/>
          <w:sz w:val="24"/>
          <w:szCs w:val="24"/>
        </w:rPr>
        <w:t xml:space="preserve">I have therefore set out below the submissions of the parties </w:t>
      </w:r>
      <w:r w:rsidR="00426807">
        <w:rPr>
          <w:rFonts w:ascii="Arial" w:hAnsi="Arial" w:cs="Arial"/>
          <w:iCs/>
          <w:sz w:val="24"/>
          <w:szCs w:val="24"/>
        </w:rPr>
        <w:t xml:space="preserve">drafted </w:t>
      </w:r>
      <w:r w:rsidR="000A5267">
        <w:rPr>
          <w:rFonts w:ascii="Arial" w:hAnsi="Arial" w:cs="Arial"/>
          <w:iCs/>
          <w:sz w:val="24"/>
          <w:szCs w:val="24"/>
        </w:rPr>
        <w:t>by the previous Inspector</w:t>
      </w:r>
      <w:r w:rsidR="0019261D">
        <w:rPr>
          <w:rFonts w:ascii="Arial" w:hAnsi="Arial" w:cs="Arial"/>
          <w:iCs/>
          <w:sz w:val="24"/>
          <w:szCs w:val="24"/>
        </w:rPr>
        <w:t xml:space="preserve"> and </w:t>
      </w:r>
      <w:r w:rsidR="000A5267">
        <w:rPr>
          <w:rFonts w:ascii="Arial" w:hAnsi="Arial" w:cs="Arial"/>
          <w:iCs/>
          <w:sz w:val="24"/>
          <w:szCs w:val="24"/>
        </w:rPr>
        <w:t xml:space="preserve">her conclusions to enable the Secretary of State to reach a decision on this application.    </w:t>
      </w:r>
    </w:p>
    <w:p w14:paraId="6D54A53C" w14:textId="77777777" w:rsidR="001C6409" w:rsidRDefault="001C6409" w:rsidP="001C6409">
      <w:pPr>
        <w:pStyle w:val="paragraph"/>
        <w:spacing w:before="0" w:beforeAutospacing="0" w:after="0" w:afterAutospacing="0"/>
        <w:textAlignment w:val="baseline"/>
        <w:rPr>
          <w:rStyle w:val="normaltextrun"/>
          <w:rFonts w:ascii="Arial" w:hAnsi="Arial" w:cs="Arial"/>
          <w:b/>
          <w:bCs/>
          <w:color w:val="000000"/>
        </w:rPr>
      </w:pPr>
    </w:p>
    <w:p w14:paraId="7B9D91D7" w14:textId="77777777" w:rsidR="0048268E" w:rsidRDefault="0048268E" w:rsidP="001C6409">
      <w:pPr>
        <w:pStyle w:val="paragraph"/>
        <w:spacing w:before="0" w:beforeAutospacing="0" w:after="0" w:afterAutospacing="0"/>
        <w:textAlignment w:val="baseline"/>
        <w:rPr>
          <w:rStyle w:val="normaltextrun"/>
          <w:rFonts w:ascii="Arial" w:hAnsi="Arial" w:cs="Arial"/>
          <w:b/>
          <w:bCs/>
          <w:color w:val="000000"/>
        </w:rPr>
      </w:pPr>
    </w:p>
    <w:p w14:paraId="40E20D4F" w14:textId="77777777" w:rsidR="0048268E" w:rsidRDefault="0048268E" w:rsidP="001C6409">
      <w:pPr>
        <w:pStyle w:val="paragraph"/>
        <w:spacing w:before="0" w:beforeAutospacing="0" w:after="0" w:afterAutospacing="0"/>
        <w:textAlignment w:val="baseline"/>
        <w:rPr>
          <w:rStyle w:val="normaltextrun"/>
          <w:rFonts w:ascii="Arial" w:hAnsi="Arial" w:cs="Arial"/>
          <w:b/>
          <w:bCs/>
          <w:color w:val="000000"/>
        </w:rPr>
      </w:pPr>
    </w:p>
    <w:p w14:paraId="241552E7" w14:textId="77777777" w:rsidR="0048268E" w:rsidRDefault="0048268E" w:rsidP="001C6409">
      <w:pPr>
        <w:pStyle w:val="paragraph"/>
        <w:spacing w:before="0" w:beforeAutospacing="0" w:after="0" w:afterAutospacing="0"/>
        <w:textAlignment w:val="baseline"/>
        <w:rPr>
          <w:rStyle w:val="normaltextrun"/>
          <w:rFonts w:ascii="Arial" w:hAnsi="Arial" w:cs="Arial"/>
          <w:b/>
          <w:bCs/>
          <w:color w:val="000000"/>
        </w:rPr>
      </w:pPr>
    </w:p>
    <w:p w14:paraId="459BF532" w14:textId="77777777" w:rsidR="0048268E" w:rsidRDefault="0048268E" w:rsidP="001C6409">
      <w:pPr>
        <w:pStyle w:val="paragraph"/>
        <w:spacing w:before="0" w:beforeAutospacing="0" w:after="0" w:afterAutospacing="0"/>
        <w:textAlignment w:val="baseline"/>
        <w:rPr>
          <w:rStyle w:val="normaltextrun"/>
          <w:rFonts w:ascii="Arial" w:hAnsi="Arial" w:cs="Arial"/>
          <w:b/>
          <w:bCs/>
          <w:color w:val="000000"/>
        </w:rPr>
      </w:pPr>
    </w:p>
    <w:p w14:paraId="6353D6DF" w14:textId="611A3624" w:rsidR="001C6409" w:rsidRDefault="001C6409" w:rsidP="001C6409">
      <w:pPr>
        <w:pStyle w:val="paragraph"/>
        <w:spacing w:before="0" w:beforeAutospacing="0" w:after="0" w:afterAutospacing="0"/>
        <w:textAlignment w:val="baseline"/>
        <w:rPr>
          <w:rFonts w:ascii="Arial" w:hAnsi="Arial" w:cs="Arial"/>
          <w:b/>
          <w:bCs/>
          <w:color w:val="000000"/>
        </w:rPr>
      </w:pPr>
      <w:r>
        <w:rPr>
          <w:rStyle w:val="normaltextrun"/>
          <w:rFonts w:ascii="Arial" w:hAnsi="Arial" w:cs="Arial"/>
          <w:b/>
          <w:bCs/>
          <w:color w:val="000000"/>
        </w:rPr>
        <w:t>Submissions by Mr Dunlop on behalf of Mr &amp; Mrs Scott  </w:t>
      </w:r>
      <w:r>
        <w:rPr>
          <w:rStyle w:val="eop"/>
          <w:rFonts w:ascii="Arial" w:hAnsi="Arial" w:cs="Arial"/>
          <w:b/>
          <w:bCs/>
          <w:color w:val="000000"/>
        </w:rPr>
        <w:t> </w:t>
      </w:r>
    </w:p>
    <w:p w14:paraId="22670E64" w14:textId="77777777" w:rsidR="001C6409" w:rsidRPr="001C6409" w:rsidRDefault="001C6409" w:rsidP="001C6409">
      <w:pPr>
        <w:pStyle w:val="Style1"/>
        <w:rPr>
          <w:sz w:val="24"/>
          <w:szCs w:val="24"/>
        </w:rPr>
      </w:pPr>
      <w:r w:rsidRPr="001C6409">
        <w:rPr>
          <w:rStyle w:val="normaltextrun"/>
          <w:rFonts w:ascii="Arial" w:hAnsi="Arial" w:cs="Arial"/>
          <w:sz w:val="24"/>
          <w:szCs w:val="24"/>
        </w:rPr>
        <w:t>The application was made orally before the close of the inquiry on 17 November 2022 by Mr Dunlop on behalf of Mr and Mrs Scott, objectors to the Norfolk County Council (Thompson, Pockthorpe Lane) Modification Order 2018.</w:t>
      </w:r>
      <w:r w:rsidRPr="001C6409">
        <w:rPr>
          <w:rStyle w:val="eop"/>
          <w:rFonts w:ascii="Arial" w:hAnsi="Arial" w:cs="Arial"/>
          <w:sz w:val="24"/>
          <w:szCs w:val="24"/>
        </w:rPr>
        <w:t> </w:t>
      </w:r>
    </w:p>
    <w:p w14:paraId="669FE2F3"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The claim was made against the order-making authority, NCC on the basis that the</w:t>
      </w:r>
      <w:r w:rsidR="00426807">
        <w:rPr>
          <w:rFonts w:ascii="Arial" w:hAnsi="Arial" w:cs="Arial"/>
          <w:iCs/>
          <w:sz w:val="24"/>
          <w:szCs w:val="24"/>
        </w:rPr>
        <w:t>y</w:t>
      </w:r>
      <w:r w:rsidRPr="001C6409">
        <w:rPr>
          <w:rFonts w:ascii="Arial" w:hAnsi="Arial" w:cs="Arial"/>
          <w:iCs/>
          <w:sz w:val="24"/>
          <w:szCs w:val="24"/>
        </w:rPr>
        <w:t xml:space="preserve"> had behaved unreasonably.  </w:t>
      </w:r>
    </w:p>
    <w:p w14:paraId="1ED26F34" w14:textId="42BD2D1C"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When Mr and Mrs Scott bought their property, they were assured by a Land Charges search by NCC that no public right of way affected it. Later it became clear that a route was claimed to exist across their garden. It was even signposted by NCC. NCC provided information to the Ordnance Survey (</w:t>
      </w:r>
      <w:r w:rsidR="008C5C15">
        <w:rPr>
          <w:rFonts w:ascii="Arial" w:hAnsi="Arial" w:cs="Arial"/>
          <w:iCs/>
          <w:sz w:val="24"/>
          <w:szCs w:val="24"/>
        </w:rPr>
        <w:t>‘</w:t>
      </w:r>
      <w:r w:rsidRPr="001C6409">
        <w:rPr>
          <w:rFonts w:ascii="Arial" w:hAnsi="Arial" w:cs="Arial"/>
          <w:iCs/>
          <w:sz w:val="24"/>
          <w:szCs w:val="24"/>
        </w:rPr>
        <w:t>OS</w:t>
      </w:r>
      <w:r w:rsidR="008C5C15">
        <w:rPr>
          <w:rFonts w:ascii="Arial" w:hAnsi="Arial" w:cs="Arial"/>
          <w:iCs/>
          <w:sz w:val="24"/>
          <w:szCs w:val="24"/>
        </w:rPr>
        <w:t>’</w:t>
      </w:r>
      <w:r w:rsidRPr="001C6409">
        <w:rPr>
          <w:rFonts w:ascii="Arial" w:hAnsi="Arial" w:cs="Arial"/>
          <w:iCs/>
          <w:sz w:val="24"/>
          <w:szCs w:val="24"/>
        </w:rPr>
        <w:t>) and, relying on these maps, ramblers used the route.   </w:t>
      </w:r>
    </w:p>
    <w:p w14:paraId="0A00D916" w14:textId="09D1A3FF"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 xml:space="preserve">NCC’s position changed, first regarding the way as a footpath, then a BOAT as proposed in the Order and, during the inquiry, changing back to considering it a footpath. At various stages NCC has served notice on </w:t>
      </w:r>
      <w:r w:rsidR="008C5C15">
        <w:rPr>
          <w:rFonts w:ascii="Arial" w:hAnsi="Arial" w:cs="Arial"/>
          <w:iCs/>
          <w:sz w:val="24"/>
          <w:szCs w:val="24"/>
        </w:rPr>
        <w:t xml:space="preserve">Mr and Mrs </w:t>
      </w:r>
      <w:r w:rsidRPr="001C6409">
        <w:rPr>
          <w:rFonts w:ascii="Arial" w:hAnsi="Arial" w:cs="Arial"/>
          <w:iCs/>
          <w:sz w:val="24"/>
          <w:szCs w:val="24"/>
        </w:rPr>
        <w:t>Scot</w:t>
      </w:r>
      <w:r w:rsidR="008C5C15">
        <w:rPr>
          <w:rFonts w:ascii="Arial" w:hAnsi="Arial" w:cs="Arial"/>
          <w:iCs/>
          <w:sz w:val="24"/>
          <w:szCs w:val="24"/>
        </w:rPr>
        <w:t>t</w:t>
      </w:r>
      <w:r w:rsidRPr="001C6409">
        <w:rPr>
          <w:rFonts w:ascii="Arial" w:hAnsi="Arial" w:cs="Arial"/>
          <w:iCs/>
          <w:sz w:val="24"/>
          <w:szCs w:val="24"/>
        </w:rPr>
        <w:t xml:space="preserve"> demanding the way was opened up to the public.  </w:t>
      </w:r>
    </w:p>
    <w:p w14:paraId="5D94E780" w14:textId="6B687BCF" w:rsid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Mr Dunlop ha</w:t>
      </w:r>
      <w:r w:rsidR="00D46D73">
        <w:rPr>
          <w:rFonts w:ascii="Arial" w:hAnsi="Arial" w:cs="Arial"/>
          <w:iCs/>
          <w:sz w:val="24"/>
          <w:szCs w:val="24"/>
        </w:rPr>
        <w:t>s</w:t>
      </w:r>
      <w:r w:rsidRPr="001C6409">
        <w:rPr>
          <w:rFonts w:ascii="Arial" w:hAnsi="Arial" w:cs="Arial"/>
          <w:iCs/>
          <w:sz w:val="24"/>
          <w:szCs w:val="24"/>
        </w:rPr>
        <w:t xml:space="preserve"> been representing Mr and Mrs Scott for over 6 years to challenge NCC’s claims. The dispute is the result of a variety of officers failing to recognise that the National Parks and Access to the Countryside Act 1949 (</w:t>
      </w:r>
      <w:r w:rsidR="008C5C15">
        <w:rPr>
          <w:rFonts w:ascii="Arial" w:hAnsi="Arial" w:cs="Arial"/>
          <w:iCs/>
          <w:sz w:val="24"/>
          <w:szCs w:val="24"/>
        </w:rPr>
        <w:t>‘</w:t>
      </w:r>
      <w:r w:rsidRPr="001C6409">
        <w:rPr>
          <w:rFonts w:ascii="Arial" w:hAnsi="Arial" w:cs="Arial"/>
          <w:iCs/>
          <w:sz w:val="24"/>
          <w:szCs w:val="24"/>
        </w:rPr>
        <w:t>the 1949 Act</w:t>
      </w:r>
      <w:r w:rsidR="008C5C15">
        <w:rPr>
          <w:rFonts w:ascii="Arial" w:hAnsi="Arial" w:cs="Arial"/>
          <w:iCs/>
          <w:sz w:val="24"/>
          <w:szCs w:val="24"/>
        </w:rPr>
        <w:t>’</w:t>
      </w:r>
      <w:r w:rsidRPr="001C6409">
        <w:rPr>
          <w:rFonts w:ascii="Arial" w:hAnsi="Arial" w:cs="Arial"/>
          <w:iCs/>
          <w:sz w:val="24"/>
          <w:szCs w:val="24"/>
        </w:rPr>
        <w:t>) provided a number of methods for claiming and crucially defeating claims for public rights of way. Clearly the striking out of the Order route on the provisional map indicated it was not to be included, but a simple error left it on the statement. </w:t>
      </w:r>
    </w:p>
    <w:p w14:paraId="3481F06B"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Even with the Order route being absent from its list of streets in 2006 (admitted in its 2016 notice), NCC persisted in its assertion that the way was first a footpath, then a BOAT, or possibly a restricted byway, then back to footpath.  Further NCC failed to consider relevant points of law and fact, including matters that had been proven before the High Court. </w:t>
      </w:r>
    </w:p>
    <w:p w14:paraId="77F10751"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After two days of the inquiry, NCC’s case collapsed. Their Counsel advised against proceeding with the case for a BOAT. However, NCC still persists with re-adding a footpath that they themselves deleted 6 years ago, instead of querying why it was deleted at the time of the Provisional map. This displays a wonderous failing in the understanding of the 1949 Act and the process adopted.   </w:t>
      </w:r>
    </w:p>
    <w:p w14:paraId="74B2B572" w14:textId="7CA10C35"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 xml:space="preserve">It was research by Mr and Mrs Scott that led to this process. They have spent years trawling record offices, locally and nationally, for documents that the Council declined to disclose and even asked </w:t>
      </w:r>
      <w:r w:rsidR="0053315E">
        <w:rPr>
          <w:rFonts w:ascii="Arial" w:hAnsi="Arial" w:cs="Arial"/>
          <w:iCs/>
          <w:sz w:val="24"/>
          <w:szCs w:val="24"/>
        </w:rPr>
        <w:t xml:space="preserve">Mr and Mrs </w:t>
      </w:r>
      <w:r w:rsidRPr="001C6409">
        <w:rPr>
          <w:rFonts w:ascii="Arial" w:hAnsi="Arial" w:cs="Arial"/>
          <w:iCs/>
          <w:sz w:val="24"/>
          <w:szCs w:val="24"/>
        </w:rPr>
        <w:t>Scott to provide.  </w:t>
      </w:r>
    </w:p>
    <w:p w14:paraId="06E7BC8C" w14:textId="3EB15B99"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 xml:space="preserve">Mr and Mrs Scott have a limited budget and have undergone years of stress and expense. Yet NCC is defending its own failings and expecting </w:t>
      </w:r>
      <w:r w:rsidR="0053315E">
        <w:rPr>
          <w:rFonts w:ascii="Arial" w:hAnsi="Arial" w:cs="Arial"/>
          <w:iCs/>
          <w:sz w:val="24"/>
          <w:szCs w:val="24"/>
        </w:rPr>
        <w:t>Mr and Mrs Scott</w:t>
      </w:r>
      <w:r w:rsidRPr="001C6409">
        <w:rPr>
          <w:rFonts w:ascii="Arial" w:hAnsi="Arial" w:cs="Arial"/>
          <w:iCs/>
          <w:sz w:val="24"/>
          <w:szCs w:val="24"/>
        </w:rPr>
        <w:t xml:space="preserve"> to pay for it. Whilst it is accepted that each side should normally cover their own costs, this claim has been made because of flawed interpretation by NCC, a failure to understand the 1949 Act and what the evidence actually showed, by faulty record keeping and an unwillingness to accept that their premise was wrong – until the eleventh hour. NCC has been unreasonable, until halfway through the inquiry.  </w:t>
      </w:r>
    </w:p>
    <w:p w14:paraId="0338EA28"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Consequently, Mr and Mrs Scott seek an award of their full costs covering their research and representation expenses from the time the Order was made. </w:t>
      </w:r>
    </w:p>
    <w:p w14:paraId="397BA2D9"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lastRenderedPageBreak/>
        <w:t>They are not seeking punitive damages, but simply the cost of mounting their defence to the case NCC withdrew. Mr Dunlop recognised that local authorities should be encouraged to pursue valid cases where rights of way are claimed but in this case their behaviour has been unreasonable since it was based on a false argument.   </w:t>
      </w:r>
    </w:p>
    <w:p w14:paraId="57234004" w14:textId="14EAFCE2" w:rsidR="001C6409" w:rsidRPr="001C6409" w:rsidRDefault="001C6409" w:rsidP="001C6409">
      <w:pPr>
        <w:pStyle w:val="Style1"/>
        <w:numPr>
          <w:ilvl w:val="0"/>
          <w:numId w:val="0"/>
        </w:numPr>
        <w:rPr>
          <w:rFonts w:ascii="Arial" w:hAnsi="Arial" w:cs="Arial"/>
          <w:iCs/>
          <w:sz w:val="24"/>
          <w:szCs w:val="24"/>
        </w:rPr>
      </w:pPr>
      <w:r>
        <w:rPr>
          <w:rFonts w:ascii="Arial" w:hAnsi="Arial" w:cs="Arial"/>
          <w:b/>
          <w:bCs/>
          <w:iCs/>
          <w:sz w:val="24"/>
          <w:szCs w:val="24"/>
        </w:rPr>
        <w:t>T</w:t>
      </w:r>
      <w:r w:rsidRPr="001C6409">
        <w:rPr>
          <w:rFonts w:ascii="Arial" w:hAnsi="Arial" w:cs="Arial"/>
          <w:b/>
          <w:bCs/>
          <w:iCs/>
          <w:sz w:val="24"/>
          <w:szCs w:val="24"/>
        </w:rPr>
        <w:t>he response by Mr Fowles on behalf of Norfolk County Council </w:t>
      </w:r>
      <w:r w:rsidRPr="001C6409">
        <w:rPr>
          <w:rFonts w:ascii="Arial" w:hAnsi="Arial" w:cs="Arial"/>
          <w:iCs/>
          <w:sz w:val="24"/>
          <w:szCs w:val="24"/>
        </w:rPr>
        <w:t> </w:t>
      </w:r>
    </w:p>
    <w:p w14:paraId="7E5BBA7B" w14:textId="454A46C1"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In response to Mr Dunlop’s assertion that NCC’s behaviour ha</w:t>
      </w:r>
      <w:r w:rsidR="00F62483">
        <w:rPr>
          <w:rFonts w:ascii="Arial" w:hAnsi="Arial" w:cs="Arial"/>
          <w:iCs/>
          <w:sz w:val="24"/>
          <w:szCs w:val="24"/>
        </w:rPr>
        <w:t>s</w:t>
      </w:r>
      <w:r w:rsidRPr="001C6409">
        <w:rPr>
          <w:rFonts w:ascii="Arial" w:hAnsi="Arial" w:cs="Arial"/>
          <w:iCs/>
          <w:sz w:val="24"/>
          <w:szCs w:val="24"/>
        </w:rPr>
        <w:t xml:space="preserve"> been unreasonable, Mr Fowles submitted that there was absolutely no basis for the claim. </w:t>
      </w:r>
    </w:p>
    <w:p w14:paraId="200E0981"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Mr Fowles firstly noted that an award of costs cannot address matters that should be put before a local government ombudsman, nor was it a remedy for all grievances.  </w:t>
      </w:r>
    </w:p>
    <w:p w14:paraId="558F676A"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He accepted that some of Mr Dunlop’s submissions were relevant but not all. In his view, NCC had bent over backwards to be reasonable in exercising its statutory duties in relation to highways. In such matters, it is the evidence that must be examined; the feelings of individuals cannot be taken into account in the process.</w:t>
      </w:r>
    </w:p>
    <w:p w14:paraId="797F2745"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Having discovered evidence that a highway was missing from the definitive map and statement, NCC was obliged to act to address the issue. Throughout its research, NCC was guided by the evidence before it. Initially this had led to a conclusion that the way should be classified as a BOAT. </w:t>
      </w:r>
    </w:p>
    <w:p w14:paraId="1E127323"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To suggest that Mr and Mrs Scott had provided all the evidence is simply untrue; in fact, the opposite is closer to the truth. For 2 years, NCC sought a proof of evidence from Mrs Scott for this inquiry but no such document was forthcoming; it was not until the inquiry reopened on 15 November that it was made clear that Mrs Scott was not giving evidence.   </w:t>
      </w:r>
    </w:p>
    <w:p w14:paraId="44D7BCF0"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It was a responsible approach for NCC to concede the point as regards BOAT status when it became clear that it was unsustainable, not before. NCC did so once cross-examination of its officer (and further evidence produced during questioning) made it apparent that the balance had changed. To award costs against a local authority in such circumstances would set a worrying precedent in terms of public policy.  </w:t>
      </w:r>
    </w:p>
    <w:p w14:paraId="23781802" w14:textId="390AD455"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His advice as Counsel for NCC ha</w:t>
      </w:r>
      <w:r w:rsidR="007D6C82">
        <w:rPr>
          <w:rFonts w:ascii="Arial" w:hAnsi="Arial" w:cs="Arial"/>
          <w:iCs/>
          <w:sz w:val="24"/>
          <w:szCs w:val="24"/>
        </w:rPr>
        <w:t>s</w:t>
      </w:r>
      <w:r w:rsidRPr="001C6409">
        <w:rPr>
          <w:rFonts w:ascii="Arial" w:hAnsi="Arial" w:cs="Arial"/>
          <w:iCs/>
          <w:sz w:val="24"/>
          <w:szCs w:val="24"/>
        </w:rPr>
        <w:t xml:space="preserve"> been that there was still a reasonable argument that could be made but NCC chose</w:t>
      </w:r>
      <w:r w:rsidR="00BE42A4">
        <w:rPr>
          <w:rFonts w:ascii="Arial" w:hAnsi="Arial" w:cs="Arial"/>
          <w:iCs/>
          <w:sz w:val="24"/>
          <w:szCs w:val="24"/>
        </w:rPr>
        <w:t xml:space="preserve"> to</w:t>
      </w:r>
      <w:r w:rsidRPr="001C6409">
        <w:rPr>
          <w:rFonts w:ascii="Arial" w:hAnsi="Arial" w:cs="Arial"/>
          <w:iCs/>
          <w:sz w:val="24"/>
          <w:szCs w:val="24"/>
        </w:rPr>
        <w:t xml:space="preserve"> not pursue it further but to step back at the earliest opportunity in fairness to other parties.  </w:t>
      </w:r>
    </w:p>
    <w:p w14:paraId="513DCFE1"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If the Order is confirmed, then NCC cannot be blamed for arguing in support of the Order route or for attempting to enforce the public’s rights over it. In fact, NCC’s actions should be encouraged.   </w:t>
      </w:r>
    </w:p>
    <w:p w14:paraId="4B5CCBB2" w14:textId="77777777" w:rsidR="001C6409" w:rsidRPr="001C6409" w:rsidRDefault="001C6409" w:rsidP="001C6409">
      <w:pPr>
        <w:pStyle w:val="Style1"/>
        <w:tabs>
          <w:tab w:val="num" w:pos="720"/>
        </w:tabs>
        <w:rPr>
          <w:rFonts w:ascii="Arial" w:hAnsi="Arial" w:cs="Arial"/>
          <w:iCs/>
          <w:sz w:val="24"/>
          <w:szCs w:val="24"/>
        </w:rPr>
      </w:pPr>
      <w:r w:rsidRPr="001C6409">
        <w:rPr>
          <w:rFonts w:ascii="Arial" w:hAnsi="Arial" w:cs="Arial"/>
          <w:iCs/>
          <w:sz w:val="24"/>
          <w:szCs w:val="24"/>
        </w:rPr>
        <w:t>In Mr Fowles’ submission, there is no basis for an award of costs.  </w:t>
      </w:r>
    </w:p>
    <w:p w14:paraId="41FF4727" w14:textId="77777777" w:rsidR="006519EC" w:rsidRDefault="006519EC" w:rsidP="006519EC">
      <w:pPr>
        <w:rPr>
          <w:rFonts w:ascii="Arial" w:hAnsi="Arial" w:cs="Arial"/>
          <w:b/>
          <w:sz w:val="24"/>
          <w:szCs w:val="24"/>
        </w:rPr>
      </w:pPr>
    </w:p>
    <w:p w14:paraId="795974B0" w14:textId="018D0D2F" w:rsidR="006519EC" w:rsidRPr="00427FF8" w:rsidRDefault="000C3304" w:rsidP="006519EC">
      <w:pPr>
        <w:rPr>
          <w:rFonts w:ascii="Arial" w:hAnsi="Arial" w:cs="Arial"/>
          <w:b/>
          <w:sz w:val="24"/>
          <w:szCs w:val="24"/>
        </w:rPr>
      </w:pPr>
      <w:r>
        <w:rPr>
          <w:rFonts w:ascii="Arial" w:hAnsi="Arial" w:cs="Arial"/>
          <w:b/>
          <w:sz w:val="24"/>
          <w:szCs w:val="24"/>
        </w:rPr>
        <w:t>The Conclusions of Inspector Arnot</w:t>
      </w:r>
      <w:r w:rsidR="0059384C">
        <w:rPr>
          <w:rFonts w:ascii="Arial" w:hAnsi="Arial" w:cs="Arial"/>
          <w:b/>
          <w:sz w:val="24"/>
          <w:szCs w:val="24"/>
        </w:rPr>
        <w:t>t</w:t>
      </w:r>
      <w:r>
        <w:rPr>
          <w:rFonts w:ascii="Arial" w:hAnsi="Arial" w:cs="Arial"/>
          <w:b/>
          <w:sz w:val="24"/>
          <w:szCs w:val="24"/>
        </w:rPr>
        <w:t xml:space="preserve"> </w:t>
      </w:r>
    </w:p>
    <w:p w14:paraId="51285614" w14:textId="77777777"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 xml:space="preserve">Department for Environment, Food and Rural Affairs Rights of Way Circular 1/09 Version 2 (October 2009) and the relevant Planning Practice Guidance advise that costs may be awarded against a party who has behaved unreasonably and thereby </w:t>
      </w:r>
      <w:r w:rsidRPr="000C3304">
        <w:rPr>
          <w:rFonts w:ascii="Arial" w:hAnsi="Arial" w:cs="Arial"/>
          <w:bCs/>
          <w:sz w:val="24"/>
          <w:szCs w:val="24"/>
        </w:rPr>
        <w:lastRenderedPageBreak/>
        <w:t>directly caused the party applying for costs to incur unnecessary or wasted expense in this process. </w:t>
      </w:r>
    </w:p>
    <w:p w14:paraId="137B1323" w14:textId="77777777"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In both sources of guidance, the principles of costs applications and awards, and the examples given, are applicable, by analogy, to rights of way cases.  A claim may relate to the substance of the Order and/or to procedural matters. </w:t>
      </w:r>
    </w:p>
    <w:p w14:paraId="7399DF55" w14:textId="77777777"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The costs incurred by a landowner in researching a route that is the subject of a definitive map modification order are not normally covered by this scheme, nor is the cost of professional representation at an inquiry, that is unless unnecessary expense can be shown to have been incurred as a result of unreasonable behaviour.  </w:t>
      </w:r>
    </w:p>
    <w:p w14:paraId="7119B3DD" w14:textId="25B0AB0A"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Mr Dunlop claim</w:t>
      </w:r>
      <w:r w:rsidR="0053315E">
        <w:rPr>
          <w:rFonts w:ascii="Arial" w:hAnsi="Arial" w:cs="Arial"/>
          <w:bCs/>
          <w:sz w:val="24"/>
          <w:szCs w:val="24"/>
        </w:rPr>
        <w:t>s</w:t>
      </w:r>
      <w:r w:rsidRPr="000C3304">
        <w:rPr>
          <w:rFonts w:ascii="Arial" w:hAnsi="Arial" w:cs="Arial"/>
          <w:bCs/>
          <w:sz w:val="24"/>
          <w:szCs w:val="24"/>
        </w:rPr>
        <w:t xml:space="preserve"> that NCC has acted unreasonably in several ways: </w:t>
      </w:r>
    </w:p>
    <w:p w14:paraId="02162C63" w14:textId="77777777" w:rsidR="000C3304" w:rsidRDefault="000C3304" w:rsidP="002A6349">
      <w:pPr>
        <w:pStyle w:val="Style1"/>
        <w:numPr>
          <w:ilvl w:val="0"/>
          <w:numId w:val="8"/>
        </w:numPr>
        <w:tabs>
          <w:tab w:val="num" w:pos="720"/>
        </w:tabs>
        <w:rPr>
          <w:rFonts w:ascii="Arial" w:hAnsi="Arial" w:cs="Arial"/>
          <w:bCs/>
          <w:sz w:val="24"/>
          <w:szCs w:val="24"/>
        </w:rPr>
      </w:pPr>
      <w:r w:rsidRPr="000C3304">
        <w:rPr>
          <w:rFonts w:ascii="Arial" w:hAnsi="Arial" w:cs="Arial"/>
          <w:bCs/>
          <w:sz w:val="24"/>
          <w:szCs w:val="24"/>
        </w:rPr>
        <w:t>The initial assurance through Land Charges that there was no public right of way recorded over the Order route; </w:t>
      </w:r>
    </w:p>
    <w:p w14:paraId="27B17243" w14:textId="64A87D6C" w:rsidR="000C3304" w:rsidRDefault="007F7932" w:rsidP="002A6349">
      <w:pPr>
        <w:pStyle w:val="Style1"/>
        <w:numPr>
          <w:ilvl w:val="0"/>
          <w:numId w:val="8"/>
        </w:numPr>
        <w:tabs>
          <w:tab w:val="num" w:pos="720"/>
        </w:tabs>
        <w:rPr>
          <w:rFonts w:ascii="Arial" w:hAnsi="Arial" w:cs="Arial"/>
          <w:bCs/>
          <w:sz w:val="24"/>
          <w:szCs w:val="24"/>
        </w:rPr>
      </w:pPr>
      <w:r>
        <w:rPr>
          <w:rFonts w:ascii="Arial" w:hAnsi="Arial" w:cs="Arial"/>
          <w:bCs/>
          <w:sz w:val="24"/>
          <w:szCs w:val="24"/>
        </w:rPr>
        <w:t>i</w:t>
      </w:r>
      <w:r w:rsidR="000C3304" w:rsidRPr="000C3304">
        <w:rPr>
          <w:rFonts w:ascii="Arial" w:hAnsi="Arial" w:cs="Arial"/>
          <w:bCs/>
          <w:sz w:val="24"/>
          <w:szCs w:val="24"/>
        </w:rPr>
        <w:t>t informed the OS that the Order route was a public footpath and, as a result of it being shown on leisure maps, ramblers subsequently used the route; </w:t>
      </w:r>
    </w:p>
    <w:p w14:paraId="5D7932D5" w14:textId="7531614D" w:rsidR="000C3304" w:rsidRDefault="007F7932" w:rsidP="002A6349">
      <w:pPr>
        <w:pStyle w:val="Style1"/>
        <w:numPr>
          <w:ilvl w:val="0"/>
          <w:numId w:val="8"/>
        </w:numPr>
        <w:tabs>
          <w:tab w:val="num" w:pos="720"/>
        </w:tabs>
        <w:rPr>
          <w:rFonts w:ascii="Arial" w:hAnsi="Arial" w:cs="Arial"/>
          <w:bCs/>
          <w:sz w:val="24"/>
          <w:szCs w:val="24"/>
        </w:rPr>
      </w:pPr>
      <w:r>
        <w:rPr>
          <w:rFonts w:ascii="Arial" w:hAnsi="Arial" w:cs="Arial"/>
          <w:bCs/>
          <w:sz w:val="24"/>
          <w:szCs w:val="24"/>
        </w:rPr>
        <w:t>b</w:t>
      </w:r>
      <w:r w:rsidR="000C3304" w:rsidRPr="000C3304">
        <w:rPr>
          <w:rFonts w:ascii="Arial" w:hAnsi="Arial" w:cs="Arial"/>
          <w:bCs/>
          <w:sz w:val="24"/>
          <w:szCs w:val="24"/>
        </w:rPr>
        <w:t>y faulty record keeping;  </w:t>
      </w:r>
    </w:p>
    <w:p w14:paraId="0D9FF298" w14:textId="6EC1FC55" w:rsidR="000C3304" w:rsidRDefault="007F7932" w:rsidP="002A6349">
      <w:pPr>
        <w:pStyle w:val="Style1"/>
        <w:numPr>
          <w:ilvl w:val="0"/>
          <w:numId w:val="8"/>
        </w:numPr>
        <w:tabs>
          <w:tab w:val="num" w:pos="720"/>
        </w:tabs>
        <w:rPr>
          <w:rFonts w:ascii="Arial" w:hAnsi="Arial" w:cs="Arial"/>
          <w:bCs/>
          <w:sz w:val="24"/>
          <w:szCs w:val="24"/>
        </w:rPr>
      </w:pPr>
      <w:r>
        <w:rPr>
          <w:rFonts w:ascii="Arial" w:hAnsi="Arial" w:cs="Arial"/>
          <w:bCs/>
          <w:sz w:val="24"/>
          <w:szCs w:val="24"/>
        </w:rPr>
        <w:t>b</w:t>
      </w:r>
      <w:r w:rsidR="000C3304" w:rsidRPr="000C3304">
        <w:rPr>
          <w:rFonts w:ascii="Arial" w:hAnsi="Arial" w:cs="Arial"/>
          <w:bCs/>
          <w:sz w:val="24"/>
          <w:szCs w:val="24"/>
        </w:rPr>
        <w:t>y changing its position as regards the status of the Order route; </w:t>
      </w:r>
    </w:p>
    <w:p w14:paraId="4C2A6332" w14:textId="72E76083" w:rsidR="000C3304" w:rsidRDefault="007F7932" w:rsidP="002A6349">
      <w:pPr>
        <w:pStyle w:val="Style1"/>
        <w:numPr>
          <w:ilvl w:val="0"/>
          <w:numId w:val="8"/>
        </w:numPr>
        <w:tabs>
          <w:tab w:val="num" w:pos="720"/>
        </w:tabs>
        <w:rPr>
          <w:rFonts w:ascii="Arial" w:hAnsi="Arial" w:cs="Arial"/>
          <w:bCs/>
          <w:sz w:val="24"/>
          <w:szCs w:val="24"/>
        </w:rPr>
      </w:pPr>
      <w:r>
        <w:rPr>
          <w:rFonts w:ascii="Arial" w:hAnsi="Arial" w:cs="Arial"/>
          <w:bCs/>
          <w:sz w:val="24"/>
          <w:szCs w:val="24"/>
        </w:rPr>
        <w:t>i</w:t>
      </w:r>
      <w:r w:rsidR="000C3304" w:rsidRPr="000C3304">
        <w:rPr>
          <w:rFonts w:ascii="Arial" w:hAnsi="Arial" w:cs="Arial"/>
          <w:bCs/>
          <w:sz w:val="24"/>
          <w:szCs w:val="24"/>
        </w:rPr>
        <w:t>t sought to enforce a public right of way along the Order route; </w:t>
      </w:r>
    </w:p>
    <w:p w14:paraId="112C54ED" w14:textId="79ADCC30" w:rsidR="000C3304" w:rsidRDefault="007F7932" w:rsidP="002A6349">
      <w:pPr>
        <w:pStyle w:val="Style1"/>
        <w:numPr>
          <w:ilvl w:val="0"/>
          <w:numId w:val="8"/>
        </w:numPr>
        <w:tabs>
          <w:tab w:val="num" w:pos="720"/>
        </w:tabs>
        <w:rPr>
          <w:rFonts w:ascii="Arial" w:hAnsi="Arial" w:cs="Arial"/>
          <w:bCs/>
          <w:sz w:val="24"/>
          <w:szCs w:val="24"/>
        </w:rPr>
      </w:pPr>
      <w:r>
        <w:rPr>
          <w:rFonts w:ascii="Arial" w:hAnsi="Arial" w:cs="Arial"/>
          <w:bCs/>
          <w:sz w:val="24"/>
          <w:szCs w:val="24"/>
        </w:rPr>
        <w:t>it</w:t>
      </w:r>
      <w:r w:rsidR="000C3304" w:rsidRPr="000C3304">
        <w:rPr>
          <w:rFonts w:ascii="Arial" w:hAnsi="Arial" w:cs="Arial"/>
          <w:bCs/>
          <w:sz w:val="24"/>
          <w:szCs w:val="24"/>
        </w:rPr>
        <w:t>s officers misunderstood the 1949 Act process and wrongly interpreted the evidence; </w:t>
      </w:r>
    </w:p>
    <w:p w14:paraId="6CC2C0D1" w14:textId="77777777" w:rsidR="000C3304" w:rsidRDefault="000C3304" w:rsidP="002A6349">
      <w:pPr>
        <w:pStyle w:val="Style1"/>
        <w:numPr>
          <w:ilvl w:val="0"/>
          <w:numId w:val="8"/>
        </w:numPr>
        <w:tabs>
          <w:tab w:val="num" w:pos="720"/>
        </w:tabs>
        <w:rPr>
          <w:rFonts w:ascii="Arial" w:hAnsi="Arial" w:cs="Arial"/>
          <w:bCs/>
          <w:sz w:val="24"/>
          <w:szCs w:val="24"/>
        </w:rPr>
      </w:pPr>
      <w:r w:rsidRPr="000C3304">
        <w:rPr>
          <w:rFonts w:ascii="Arial" w:hAnsi="Arial" w:cs="Arial"/>
          <w:bCs/>
          <w:sz w:val="24"/>
          <w:szCs w:val="24"/>
        </w:rPr>
        <w:t>NCC misinterpreted the strict requirement (in the Natural Environment and Rural Communities Act 2006) for the route to be included on its list of publicly maintainable highways on a specific date in 2006 and therefore wrongly identified the Order route as a BOAT; </w:t>
      </w:r>
    </w:p>
    <w:p w14:paraId="066BFF06" w14:textId="7C11F27F" w:rsidR="000C3304" w:rsidRDefault="007F7932" w:rsidP="002A6349">
      <w:pPr>
        <w:pStyle w:val="Style1"/>
        <w:numPr>
          <w:ilvl w:val="0"/>
          <w:numId w:val="8"/>
        </w:numPr>
        <w:tabs>
          <w:tab w:val="num" w:pos="720"/>
        </w:tabs>
        <w:rPr>
          <w:rFonts w:ascii="Arial" w:hAnsi="Arial" w:cs="Arial"/>
          <w:bCs/>
          <w:sz w:val="24"/>
          <w:szCs w:val="24"/>
        </w:rPr>
      </w:pPr>
      <w:r>
        <w:rPr>
          <w:rFonts w:ascii="Arial" w:hAnsi="Arial" w:cs="Arial"/>
          <w:bCs/>
          <w:sz w:val="24"/>
          <w:szCs w:val="24"/>
        </w:rPr>
        <w:t>f</w:t>
      </w:r>
      <w:r w:rsidR="000C3304" w:rsidRPr="000C3304">
        <w:rPr>
          <w:rFonts w:ascii="Arial" w:hAnsi="Arial" w:cs="Arial"/>
          <w:bCs/>
          <w:sz w:val="24"/>
          <w:szCs w:val="24"/>
        </w:rPr>
        <w:t>ailing to consider relevant points of law and fact in reaching its conclusions on the evidence; </w:t>
      </w:r>
    </w:p>
    <w:p w14:paraId="78234EA3" w14:textId="77777777" w:rsidR="000C3304" w:rsidRPr="000C3304" w:rsidRDefault="000C3304" w:rsidP="002A6349">
      <w:pPr>
        <w:pStyle w:val="Style1"/>
        <w:numPr>
          <w:ilvl w:val="0"/>
          <w:numId w:val="8"/>
        </w:numPr>
        <w:tabs>
          <w:tab w:val="num" w:pos="720"/>
        </w:tabs>
        <w:rPr>
          <w:rFonts w:ascii="Arial" w:hAnsi="Arial" w:cs="Arial"/>
          <w:bCs/>
          <w:sz w:val="24"/>
          <w:szCs w:val="24"/>
        </w:rPr>
      </w:pPr>
      <w:r w:rsidRPr="000C3304">
        <w:rPr>
          <w:rFonts w:ascii="Arial" w:hAnsi="Arial" w:cs="Arial"/>
          <w:bCs/>
          <w:sz w:val="24"/>
          <w:szCs w:val="24"/>
        </w:rPr>
        <w:t>NCC declined to disclose research documents; </w:t>
      </w:r>
    </w:p>
    <w:p w14:paraId="7D8CABA9" w14:textId="77777777" w:rsidR="000C3304" w:rsidRDefault="000C3304" w:rsidP="002A6349">
      <w:pPr>
        <w:pStyle w:val="Style1"/>
        <w:numPr>
          <w:ilvl w:val="0"/>
          <w:numId w:val="8"/>
        </w:numPr>
        <w:tabs>
          <w:tab w:val="num" w:pos="720"/>
        </w:tabs>
        <w:rPr>
          <w:rFonts w:ascii="Arial" w:hAnsi="Arial" w:cs="Arial"/>
          <w:bCs/>
          <w:sz w:val="24"/>
          <w:szCs w:val="24"/>
        </w:rPr>
      </w:pPr>
      <w:r w:rsidRPr="000C3304">
        <w:rPr>
          <w:rFonts w:ascii="Arial" w:hAnsi="Arial" w:cs="Arial"/>
          <w:bCs/>
          <w:sz w:val="24"/>
          <w:szCs w:val="24"/>
        </w:rPr>
        <w:t xml:space="preserve">NCC’s case was based on false argument; and </w:t>
      </w:r>
    </w:p>
    <w:p w14:paraId="18A27AB1" w14:textId="6E436A36" w:rsidR="000C3304" w:rsidRPr="000C3304" w:rsidRDefault="007F7932" w:rsidP="002A6349">
      <w:pPr>
        <w:pStyle w:val="Style1"/>
        <w:numPr>
          <w:ilvl w:val="0"/>
          <w:numId w:val="8"/>
        </w:numPr>
        <w:tabs>
          <w:tab w:val="num" w:pos="720"/>
        </w:tabs>
        <w:rPr>
          <w:rFonts w:ascii="Arial" w:hAnsi="Arial" w:cs="Arial"/>
          <w:bCs/>
          <w:sz w:val="24"/>
          <w:szCs w:val="24"/>
        </w:rPr>
      </w:pPr>
      <w:r>
        <w:rPr>
          <w:rFonts w:ascii="Arial" w:hAnsi="Arial" w:cs="Arial"/>
          <w:bCs/>
          <w:sz w:val="24"/>
          <w:szCs w:val="24"/>
        </w:rPr>
        <w:t>b</w:t>
      </w:r>
      <w:r w:rsidR="000C3304" w:rsidRPr="000C3304">
        <w:rPr>
          <w:rFonts w:ascii="Arial" w:hAnsi="Arial" w:cs="Arial"/>
          <w:bCs/>
          <w:sz w:val="24"/>
          <w:szCs w:val="24"/>
        </w:rPr>
        <w:t>eing unwilling to accept that their premise was wrong</w:t>
      </w:r>
      <w:r w:rsidR="00E2356C">
        <w:rPr>
          <w:rFonts w:ascii="Arial" w:hAnsi="Arial" w:cs="Arial"/>
          <w:bCs/>
          <w:sz w:val="24"/>
          <w:szCs w:val="24"/>
        </w:rPr>
        <w:t>.</w:t>
      </w:r>
      <w:r w:rsidR="000C3304" w:rsidRPr="000C3304">
        <w:rPr>
          <w:rFonts w:ascii="Arial" w:hAnsi="Arial" w:cs="Arial"/>
          <w:bCs/>
          <w:sz w:val="24"/>
          <w:szCs w:val="24"/>
        </w:rPr>
        <w:t> </w:t>
      </w:r>
    </w:p>
    <w:p w14:paraId="2C499B5D" w14:textId="77777777"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I</w:t>
      </w:r>
      <w:r>
        <w:rPr>
          <w:rFonts w:ascii="Arial" w:hAnsi="Arial" w:cs="Arial"/>
          <w:bCs/>
          <w:sz w:val="24"/>
          <w:szCs w:val="24"/>
        </w:rPr>
        <w:t xml:space="preserve">t was </w:t>
      </w:r>
      <w:r w:rsidRPr="000C3304">
        <w:rPr>
          <w:rFonts w:ascii="Arial" w:hAnsi="Arial" w:cs="Arial"/>
          <w:bCs/>
          <w:sz w:val="24"/>
          <w:szCs w:val="24"/>
        </w:rPr>
        <w:t>note</w:t>
      </w:r>
      <w:r>
        <w:rPr>
          <w:rFonts w:ascii="Arial" w:hAnsi="Arial" w:cs="Arial"/>
          <w:bCs/>
          <w:sz w:val="24"/>
          <w:szCs w:val="24"/>
        </w:rPr>
        <w:t>d</w:t>
      </w:r>
      <w:r w:rsidRPr="000C3304">
        <w:rPr>
          <w:rFonts w:ascii="Arial" w:hAnsi="Arial" w:cs="Arial"/>
          <w:bCs/>
          <w:sz w:val="24"/>
          <w:szCs w:val="24"/>
        </w:rPr>
        <w:t xml:space="preserve"> firstly that any costs arising from alleged unreasonable behaviour by NCC before the Order was made goes beyond the scope of this scheme. Therefore consider</w:t>
      </w:r>
      <w:r>
        <w:rPr>
          <w:rFonts w:ascii="Arial" w:hAnsi="Arial" w:cs="Arial"/>
          <w:bCs/>
          <w:sz w:val="24"/>
          <w:szCs w:val="24"/>
        </w:rPr>
        <w:t xml:space="preserve">ation was </w:t>
      </w:r>
      <w:r w:rsidRPr="000C3304">
        <w:rPr>
          <w:rFonts w:ascii="Arial" w:hAnsi="Arial" w:cs="Arial"/>
          <w:bCs/>
          <w:sz w:val="24"/>
          <w:szCs w:val="24"/>
        </w:rPr>
        <w:t xml:space="preserve">only </w:t>
      </w:r>
      <w:r>
        <w:rPr>
          <w:rFonts w:ascii="Arial" w:hAnsi="Arial" w:cs="Arial"/>
          <w:bCs/>
          <w:sz w:val="24"/>
          <w:szCs w:val="24"/>
        </w:rPr>
        <w:t xml:space="preserve">given to </w:t>
      </w:r>
      <w:r w:rsidRPr="000C3304">
        <w:rPr>
          <w:rFonts w:ascii="Arial" w:hAnsi="Arial" w:cs="Arial"/>
          <w:bCs/>
          <w:sz w:val="24"/>
          <w:szCs w:val="24"/>
        </w:rPr>
        <w:t>those points which arise after NCC published the Order.  </w:t>
      </w:r>
    </w:p>
    <w:p w14:paraId="2D744061" w14:textId="29C7DA71" w:rsidR="000C3304" w:rsidRPr="0053315E" w:rsidRDefault="000C3304" w:rsidP="006B444E">
      <w:pPr>
        <w:pStyle w:val="Style1"/>
        <w:tabs>
          <w:tab w:val="num" w:pos="720"/>
        </w:tabs>
        <w:rPr>
          <w:rFonts w:ascii="Arial" w:hAnsi="Arial" w:cs="Arial"/>
          <w:b/>
          <w:sz w:val="24"/>
          <w:szCs w:val="24"/>
        </w:rPr>
      </w:pPr>
      <w:r w:rsidRPr="0053315E">
        <w:rPr>
          <w:rFonts w:ascii="Arial" w:hAnsi="Arial" w:cs="Arial"/>
          <w:bCs/>
          <w:sz w:val="24"/>
          <w:szCs w:val="24"/>
        </w:rPr>
        <w:t>Mr Dunlop criticises NCC for altering its position as regards the status of the way during the inquiry.  </w:t>
      </w:r>
      <w:r w:rsidR="0053315E" w:rsidRPr="0053315E">
        <w:rPr>
          <w:rFonts w:ascii="Arial" w:hAnsi="Arial" w:cs="Arial"/>
          <w:bCs/>
          <w:sz w:val="24"/>
          <w:szCs w:val="24"/>
        </w:rPr>
        <w:t xml:space="preserve">However, </w:t>
      </w:r>
      <w:r w:rsidR="0053315E">
        <w:rPr>
          <w:rFonts w:ascii="Arial" w:hAnsi="Arial" w:cs="Arial"/>
          <w:bCs/>
          <w:sz w:val="24"/>
          <w:szCs w:val="24"/>
        </w:rPr>
        <w:t>a</w:t>
      </w:r>
      <w:r w:rsidRPr="0053315E">
        <w:rPr>
          <w:rFonts w:ascii="Arial" w:hAnsi="Arial" w:cs="Arial"/>
          <w:bCs/>
          <w:sz w:val="24"/>
          <w:szCs w:val="24"/>
        </w:rPr>
        <w:t xml:space="preserve"> surveying authority is fully entitled to change its position in relation to new evidence that is discovered in respect of a claimed public right of way. NCC changed its position at the inquiry in response to new evidence submitted at</w:t>
      </w:r>
      <w:r w:rsidR="0053315E">
        <w:rPr>
          <w:rFonts w:ascii="Arial" w:hAnsi="Arial" w:cs="Arial"/>
          <w:bCs/>
          <w:sz w:val="24"/>
          <w:szCs w:val="24"/>
        </w:rPr>
        <w:t xml:space="preserve"> the</w:t>
      </w:r>
      <w:r w:rsidRPr="0053315E">
        <w:rPr>
          <w:rFonts w:ascii="Arial" w:hAnsi="Arial" w:cs="Arial"/>
          <w:bCs/>
          <w:sz w:val="24"/>
          <w:szCs w:val="24"/>
        </w:rPr>
        <w:t xml:space="preserve"> inquiry (by Mr Dunlop). That is not an unreasonable response. Had the new material been submitted earlier, it is possible NCC could have altered its position sooner and any further expense avoided. </w:t>
      </w:r>
    </w:p>
    <w:p w14:paraId="5FD698A9" w14:textId="77777777"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lastRenderedPageBreak/>
        <w:t xml:space="preserve">As regards Mr Dunlop’s criticism of NCC’s interpretation of the evidence in this case, </w:t>
      </w:r>
      <w:r w:rsidR="00CE62EA">
        <w:rPr>
          <w:rFonts w:ascii="Arial" w:hAnsi="Arial" w:cs="Arial"/>
          <w:bCs/>
          <w:sz w:val="24"/>
          <w:szCs w:val="24"/>
        </w:rPr>
        <w:t>her</w:t>
      </w:r>
      <w:r w:rsidRPr="000C3304">
        <w:rPr>
          <w:rFonts w:ascii="Arial" w:hAnsi="Arial" w:cs="Arial"/>
          <w:bCs/>
          <w:sz w:val="24"/>
          <w:szCs w:val="24"/>
        </w:rPr>
        <w:t xml:space="preserve"> conclusions on the interpretation of the evidence </w:t>
      </w:r>
      <w:r w:rsidR="00CE62EA">
        <w:rPr>
          <w:rFonts w:ascii="Arial" w:hAnsi="Arial" w:cs="Arial"/>
          <w:bCs/>
          <w:sz w:val="24"/>
          <w:szCs w:val="24"/>
        </w:rPr>
        <w:t>are</w:t>
      </w:r>
      <w:r w:rsidRPr="000C3304">
        <w:rPr>
          <w:rFonts w:ascii="Arial" w:hAnsi="Arial" w:cs="Arial"/>
          <w:bCs/>
          <w:sz w:val="24"/>
          <w:szCs w:val="24"/>
        </w:rPr>
        <w:t xml:space="preserve"> set out in the </w:t>
      </w:r>
      <w:r w:rsidR="00CE62EA">
        <w:rPr>
          <w:rFonts w:ascii="Arial" w:hAnsi="Arial" w:cs="Arial"/>
          <w:bCs/>
          <w:sz w:val="24"/>
          <w:szCs w:val="24"/>
        </w:rPr>
        <w:t>I</w:t>
      </w:r>
      <w:r w:rsidRPr="000C3304">
        <w:rPr>
          <w:rFonts w:ascii="Arial" w:hAnsi="Arial" w:cs="Arial"/>
          <w:bCs/>
          <w:sz w:val="24"/>
          <w:szCs w:val="24"/>
        </w:rPr>
        <w:t>nterim Decision. All parties are entitled to submit their interpretation of evidence, and to make submissions based on their interpretation of the law, whether others agree or not. Ultimately, at the order confirmation stage, it is for the Inspector to decide whether that is correct in the context of all the available information.  </w:t>
      </w:r>
    </w:p>
    <w:p w14:paraId="46AB79EA" w14:textId="0804094C"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 xml:space="preserve">In </w:t>
      </w:r>
      <w:r w:rsidR="00CE62EA">
        <w:rPr>
          <w:rFonts w:ascii="Arial" w:hAnsi="Arial" w:cs="Arial"/>
          <w:bCs/>
          <w:sz w:val="24"/>
          <w:szCs w:val="24"/>
        </w:rPr>
        <w:t xml:space="preserve">her </w:t>
      </w:r>
      <w:r w:rsidRPr="000C3304">
        <w:rPr>
          <w:rFonts w:ascii="Arial" w:hAnsi="Arial" w:cs="Arial"/>
          <w:bCs/>
          <w:sz w:val="24"/>
          <w:szCs w:val="24"/>
        </w:rPr>
        <w:t>view it was not unreasonable for NCC to form the views it advanced at the inquiry in relation to the evidence as a whole or specifically in relation to the 1949 Act records. Neither d</w:t>
      </w:r>
      <w:r w:rsidR="00594E2B">
        <w:rPr>
          <w:rFonts w:ascii="Arial" w:hAnsi="Arial" w:cs="Arial"/>
          <w:bCs/>
          <w:sz w:val="24"/>
          <w:szCs w:val="24"/>
        </w:rPr>
        <w:t>oes</w:t>
      </w:r>
      <w:r w:rsidR="00CE62EA">
        <w:rPr>
          <w:rFonts w:ascii="Arial" w:hAnsi="Arial" w:cs="Arial"/>
          <w:bCs/>
          <w:sz w:val="24"/>
          <w:szCs w:val="24"/>
        </w:rPr>
        <w:t xml:space="preserve"> she </w:t>
      </w:r>
      <w:r w:rsidRPr="000C3304">
        <w:rPr>
          <w:rFonts w:ascii="Arial" w:hAnsi="Arial" w:cs="Arial"/>
          <w:bCs/>
          <w:sz w:val="24"/>
          <w:szCs w:val="24"/>
        </w:rPr>
        <w:t xml:space="preserve">consider it inherently unreasonable for NCC to make submissions about the effect of the </w:t>
      </w:r>
      <w:r w:rsidR="00E46E37" w:rsidRPr="000C3304">
        <w:rPr>
          <w:rFonts w:ascii="Arial" w:hAnsi="Arial" w:cs="Arial"/>
          <w:bCs/>
          <w:sz w:val="24"/>
          <w:szCs w:val="24"/>
        </w:rPr>
        <w:t>Natural Environment and Rural Communities Act 2006</w:t>
      </w:r>
      <w:r w:rsidR="00E46E37">
        <w:rPr>
          <w:rFonts w:ascii="Arial" w:hAnsi="Arial" w:cs="Arial"/>
          <w:bCs/>
          <w:sz w:val="24"/>
          <w:szCs w:val="24"/>
        </w:rPr>
        <w:t xml:space="preserve"> (</w:t>
      </w:r>
      <w:r w:rsidR="009A3E85">
        <w:rPr>
          <w:rFonts w:ascii="Arial" w:hAnsi="Arial" w:cs="Arial"/>
          <w:bCs/>
          <w:sz w:val="24"/>
          <w:szCs w:val="24"/>
        </w:rPr>
        <w:t xml:space="preserve">‘the </w:t>
      </w:r>
      <w:r w:rsidRPr="000C3304">
        <w:rPr>
          <w:rFonts w:ascii="Arial" w:hAnsi="Arial" w:cs="Arial"/>
          <w:bCs/>
          <w:sz w:val="24"/>
          <w:szCs w:val="24"/>
        </w:rPr>
        <w:t>2006 Act</w:t>
      </w:r>
      <w:r w:rsidR="009A3E85">
        <w:rPr>
          <w:rFonts w:ascii="Arial" w:hAnsi="Arial" w:cs="Arial"/>
          <w:bCs/>
          <w:sz w:val="24"/>
          <w:szCs w:val="24"/>
        </w:rPr>
        <w:t>’)</w:t>
      </w:r>
      <w:r w:rsidRPr="000C3304">
        <w:rPr>
          <w:rFonts w:ascii="Arial" w:hAnsi="Arial" w:cs="Arial"/>
          <w:bCs/>
          <w:sz w:val="24"/>
          <w:szCs w:val="24"/>
        </w:rPr>
        <w:t xml:space="preserve"> even though these were robustly challenged by other parties in submissions to the inquiry. In fact the point was never fully explored because NCC altered its position as regards the status of the way before it arose.  </w:t>
      </w:r>
    </w:p>
    <w:p w14:paraId="3B70DCC6" w14:textId="77777777"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However, even if NCC had accepted that the Order route was affected by the 2006 Act, the result would have been to propose it be recorded as a restricted byway. It was made clear at the inquiry that Mr and Mrs Scott oppose any public right of way across their property. Had that change in status been made by NCC, it would appear that the Order would still have been objected to, requiring a case to be made in any event. </w:t>
      </w:r>
    </w:p>
    <w:p w14:paraId="73D27ECE" w14:textId="5FBA1E71"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There was no evidence that NCC had withheld evidence that was in its possession. Tasked with processing a definitive map modification order, a surveying authority may be expected to examine the most common sources of evidence relevant to the discover</w:t>
      </w:r>
      <w:r w:rsidR="00594E2B">
        <w:rPr>
          <w:rFonts w:ascii="Arial" w:hAnsi="Arial" w:cs="Arial"/>
          <w:bCs/>
          <w:sz w:val="24"/>
          <w:szCs w:val="24"/>
        </w:rPr>
        <w:t>y</w:t>
      </w:r>
      <w:r w:rsidRPr="000C3304">
        <w:rPr>
          <w:rFonts w:ascii="Arial" w:hAnsi="Arial" w:cs="Arial"/>
          <w:bCs/>
          <w:sz w:val="24"/>
          <w:szCs w:val="24"/>
        </w:rPr>
        <w:t xml:space="preserve"> of highways, particularly if in its possession but it is under no obligation to search out more obscure evidence, even if that proves to be pivotal.  </w:t>
      </w:r>
    </w:p>
    <w:p w14:paraId="6D578DBC" w14:textId="77777777" w:rsidR="000C3304" w:rsidRPr="000C3304" w:rsidRDefault="00CE62EA" w:rsidP="000C3304">
      <w:pPr>
        <w:pStyle w:val="Style1"/>
        <w:tabs>
          <w:tab w:val="num" w:pos="720"/>
        </w:tabs>
        <w:rPr>
          <w:rFonts w:ascii="Arial" w:hAnsi="Arial" w:cs="Arial"/>
          <w:bCs/>
          <w:sz w:val="24"/>
          <w:szCs w:val="24"/>
        </w:rPr>
      </w:pPr>
      <w:r>
        <w:rPr>
          <w:rFonts w:ascii="Arial" w:hAnsi="Arial" w:cs="Arial"/>
          <w:bCs/>
          <w:sz w:val="24"/>
          <w:szCs w:val="24"/>
        </w:rPr>
        <w:t xml:space="preserve">She </w:t>
      </w:r>
      <w:r w:rsidR="000C3304" w:rsidRPr="000C3304">
        <w:rPr>
          <w:rFonts w:ascii="Arial" w:hAnsi="Arial" w:cs="Arial"/>
          <w:bCs/>
          <w:sz w:val="24"/>
          <w:szCs w:val="24"/>
        </w:rPr>
        <w:t>therefore f</w:t>
      </w:r>
      <w:r>
        <w:rPr>
          <w:rFonts w:ascii="Arial" w:hAnsi="Arial" w:cs="Arial"/>
          <w:bCs/>
          <w:sz w:val="24"/>
          <w:szCs w:val="24"/>
        </w:rPr>
        <w:t>ound</w:t>
      </w:r>
      <w:r w:rsidR="000C3304" w:rsidRPr="000C3304">
        <w:rPr>
          <w:rFonts w:ascii="Arial" w:hAnsi="Arial" w:cs="Arial"/>
          <w:bCs/>
          <w:sz w:val="24"/>
          <w:szCs w:val="24"/>
        </w:rPr>
        <w:t xml:space="preserve"> no grounds for judging NCC’s behaviour to be unreasonable, either in relation to the Order or the process that has been followed since it was made, although it appears to have been misguided at times in the past.  </w:t>
      </w:r>
    </w:p>
    <w:p w14:paraId="52E54A86" w14:textId="77777777"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 xml:space="preserve">In relation to Mr Dunlop’s comment that Mr and Mrs Scott are “simply (seeking) the cost of mounting their defence to the case NCC withdrew”, </w:t>
      </w:r>
      <w:r w:rsidR="00CE62EA">
        <w:rPr>
          <w:rFonts w:ascii="Arial" w:hAnsi="Arial" w:cs="Arial"/>
          <w:bCs/>
          <w:sz w:val="24"/>
          <w:szCs w:val="24"/>
        </w:rPr>
        <w:t>she</w:t>
      </w:r>
      <w:r w:rsidRPr="000C3304">
        <w:rPr>
          <w:rFonts w:ascii="Arial" w:hAnsi="Arial" w:cs="Arial"/>
          <w:bCs/>
          <w:sz w:val="24"/>
          <w:szCs w:val="24"/>
        </w:rPr>
        <w:t xml:space="preserve"> consider</w:t>
      </w:r>
      <w:r w:rsidR="00CE62EA">
        <w:rPr>
          <w:rFonts w:ascii="Arial" w:hAnsi="Arial" w:cs="Arial"/>
          <w:bCs/>
          <w:sz w:val="24"/>
          <w:szCs w:val="24"/>
        </w:rPr>
        <w:t>ed</w:t>
      </w:r>
      <w:r w:rsidRPr="000C3304">
        <w:rPr>
          <w:rFonts w:ascii="Arial" w:hAnsi="Arial" w:cs="Arial"/>
          <w:bCs/>
          <w:sz w:val="24"/>
          <w:szCs w:val="24"/>
        </w:rPr>
        <w:t xml:space="preserve"> that need</w:t>
      </w:r>
      <w:r w:rsidR="00CE62EA">
        <w:rPr>
          <w:rFonts w:ascii="Arial" w:hAnsi="Arial" w:cs="Arial"/>
          <w:bCs/>
          <w:sz w:val="24"/>
          <w:szCs w:val="24"/>
        </w:rPr>
        <w:t>ed</w:t>
      </w:r>
      <w:r w:rsidRPr="000C3304">
        <w:rPr>
          <w:rFonts w:ascii="Arial" w:hAnsi="Arial" w:cs="Arial"/>
          <w:bCs/>
          <w:sz w:val="24"/>
          <w:szCs w:val="24"/>
        </w:rPr>
        <w:t xml:space="preserve"> to be qualified. The “case NCC withdrew” was in respect of a vehicular right of way only. It did not withdraw its case that the Order route was (and is) a public right of way.  </w:t>
      </w:r>
    </w:p>
    <w:p w14:paraId="4168DFCE" w14:textId="77777777" w:rsidR="000C3304" w:rsidRPr="000C3304" w:rsidRDefault="000C3304" w:rsidP="000C3304">
      <w:pPr>
        <w:pStyle w:val="Style1"/>
        <w:tabs>
          <w:tab w:val="num" w:pos="720"/>
        </w:tabs>
        <w:rPr>
          <w:rFonts w:ascii="Arial" w:hAnsi="Arial" w:cs="Arial"/>
          <w:bCs/>
          <w:sz w:val="24"/>
          <w:szCs w:val="24"/>
        </w:rPr>
      </w:pPr>
      <w:r w:rsidRPr="000C3304">
        <w:rPr>
          <w:rFonts w:ascii="Arial" w:hAnsi="Arial" w:cs="Arial"/>
          <w:bCs/>
          <w:sz w:val="24"/>
          <w:szCs w:val="24"/>
        </w:rPr>
        <w:t>As already noted, Mr and Mrs Scott oppose any right of way and therefore an objection from them would likely have followed in any case.  </w:t>
      </w:r>
    </w:p>
    <w:p w14:paraId="6F5EB59A" w14:textId="1AA5A510" w:rsidR="000C3304" w:rsidRPr="00CE62EA" w:rsidRDefault="000C3304" w:rsidP="00EB4FA8">
      <w:pPr>
        <w:pStyle w:val="Style1"/>
        <w:tabs>
          <w:tab w:val="num" w:pos="720"/>
        </w:tabs>
        <w:rPr>
          <w:rFonts w:ascii="Arial" w:hAnsi="Arial" w:cs="Arial"/>
          <w:b/>
          <w:sz w:val="24"/>
          <w:szCs w:val="24"/>
        </w:rPr>
      </w:pPr>
      <w:r w:rsidRPr="00CE62EA">
        <w:rPr>
          <w:rFonts w:ascii="Arial" w:hAnsi="Arial" w:cs="Arial"/>
          <w:bCs/>
          <w:sz w:val="24"/>
          <w:szCs w:val="24"/>
        </w:rPr>
        <w:t xml:space="preserve">In conclusion, having considered the types of behaviour identified in </w:t>
      </w:r>
      <w:r w:rsidR="00594E2B">
        <w:rPr>
          <w:rFonts w:ascii="Arial" w:hAnsi="Arial" w:cs="Arial"/>
          <w:bCs/>
          <w:sz w:val="24"/>
          <w:szCs w:val="24"/>
        </w:rPr>
        <w:t xml:space="preserve">the relevant guidance </w:t>
      </w:r>
      <w:r w:rsidRPr="00CE62EA">
        <w:rPr>
          <w:rFonts w:ascii="Arial" w:hAnsi="Arial" w:cs="Arial"/>
          <w:bCs/>
          <w:sz w:val="24"/>
          <w:szCs w:val="24"/>
        </w:rPr>
        <w:t>that might justify an award of costs, </w:t>
      </w:r>
      <w:r w:rsidR="00CE62EA">
        <w:rPr>
          <w:rFonts w:ascii="Arial" w:hAnsi="Arial" w:cs="Arial"/>
          <w:bCs/>
          <w:sz w:val="24"/>
          <w:szCs w:val="24"/>
        </w:rPr>
        <w:t xml:space="preserve">she </w:t>
      </w:r>
      <w:r w:rsidRPr="00CE62EA">
        <w:rPr>
          <w:rFonts w:ascii="Arial" w:hAnsi="Arial" w:cs="Arial"/>
          <w:bCs/>
          <w:sz w:val="24"/>
          <w:szCs w:val="24"/>
        </w:rPr>
        <w:t>consider</w:t>
      </w:r>
      <w:r w:rsidR="00CE62EA">
        <w:rPr>
          <w:rFonts w:ascii="Arial" w:hAnsi="Arial" w:cs="Arial"/>
          <w:bCs/>
          <w:sz w:val="24"/>
          <w:szCs w:val="24"/>
        </w:rPr>
        <w:t>ed</w:t>
      </w:r>
      <w:r w:rsidRPr="00CE62EA">
        <w:rPr>
          <w:rFonts w:ascii="Arial" w:hAnsi="Arial" w:cs="Arial"/>
          <w:bCs/>
          <w:sz w:val="24"/>
          <w:szCs w:val="24"/>
        </w:rPr>
        <w:t xml:space="preserve"> there to be nothing unreasonable about the actions of NCC in relation to the Order or the inquiry. </w:t>
      </w:r>
      <w:r w:rsidR="00CE62EA">
        <w:rPr>
          <w:rFonts w:ascii="Arial" w:hAnsi="Arial" w:cs="Arial"/>
          <w:bCs/>
          <w:sz w:val="24"/>
          <w:szCs w:val="24"/>
        </w:rPr>
        <w:t xml:space="preserve"> </w:t>
      </w:r>
      <w:r w:rsidRPr="00CE62EA">
        <w:rPr>
          <w:rFonts w:ascii="Arial" w:hAnsi="Arial" w:cs="Arial"/>
          <w:bCs/>
          <w:sz w:val="24"/>
          <w:szCs w:val="24"/>
        </w:rPr>
        <w:t>Although it was recognised that Mr and Mrs Scott incurred expense in requiring their agent Mr Dunlop to address the effect of the 2006 Act and that this proved to be unnecessary</w:t>
      </w:r>
      <w:r w:rsidRPr="00CE62EA">
        <w:rPr>
          <w:rFonts w:ascii="Arial" w:hAnsi="Arial" w:cs="Arial"/>
          <w:b/>
          <w:sz w:val="24"/>
          <w:szCs w:val="24"/>
        </w:rPr>
        <w:t>. </w:t>
      </w:r>
    </w:p>
    <w:p w14:paraId="1F69D7FF" w14:textId="77777777" w:rsidR="000A5267" w:rsidRPr="00CE62EA" w:rsidRDefault="000A5267" w:rsidP="000A5267">
      <w:pPr>
        <w:pStyle w:val="Style1"/>
        <w:rPr>
          <w:sz w:val="24"/>
          <w:szCs w:val="24"/>
        </w:rPr>
      </w:pPr>
      <w:r w:rsidRPr="00CE62EA">
        <w:rPr>
          <w:rStyle w:val="normaltextrun"/>
          <w:rFonts w:ascii="Arial" w:hAnsi="Arial" w:cs="Arial"/>
          <w:sz w:val="24"/>
          <w:szCs w:val="24"/>
        </w:rPr>
        <w:t xml:space="preserve">In these circumstances, and on the information available, it </w:t>
      </w:r>
      <w:r w:rsidR="00CE62EA">
        <w:rPr>
          <w:rStyle w:val="normaltextrun"/>
          <w:rFonts w:ascii="Arial" w:hAnsi="Arial" w:cs="Arial"/>
          <w:sz w:val="24"/>
          <w:szCs w:val="24"/>
        </w:rPr>
        <w:t xml:space="preserve">was her view </w:t>
      </w:r>
      <w:r w:rsidRPr="00CE62EA">
        <w:rPr>
          <w:rStyle w:val="normaltextrun"/>
          <w:rFonts w:ascii="Arial" w:hAnsi="Arial" w:cs="Arial"/>
          <w:sz w:val="24"/>
          <w:szCs w:val="24"/>
        </w:rPr>
        <w:t>that an award of costs would not be justified in this case.      </w:t>
      </w:r>
      <w:r w:rsidRPr="00CE62EA">
        <w:rPr>
          <w:rStyle w:val="eop"/>
          <w:rFonts w:ascii="Arial" w:hAnsi="Arial" w:cs="Arial"/>
          <w:sz w:val="24"/>
          <w:szCs w:val="24"/>
        </w:rPr>
        <w:t> </w:t>
      </w:r>
    </w:p>
    <w:p w14:paraId="3A901FA3" w14:textId="77777777" w:rsidR="000A5267" w:rsidRDefault="000A5267" w:rsidP="000A5267">
      <w:pPr>
        <w:pStyle w:val="paragraph"/>
        <w:spacing w:before="0" w:beforeAutospacing="0" w:after="0" w:afterAutospacing="0"/>
        <w:textAlignment w:val="baseline"/>
        <w:rPr>
          <w:rStyle w:val="normaltextrun"/>
          <w:rFonts w:ascii="Arial" w:hAnsi="Arial" w:cs="Arial"/>
          <w:b/>
          <w:bCs/>
          <w:color w:val="000000"/>
        </w:rPr>
      </w:pPr>
    </w:p>
    <w:p w14:paraId="57B28790" w14:textId="77777777" w:rsidR="00594E2B" w:rsidRDefault="00594E2B" w:rsidP="000A5267">
      <w:pPr>
        <w:pStyle w:val="paragraph"/>
        <w:spacing w:before="0" w:beforeAutospacing="0" w:after="0" w:afterAutospacing="0"/>
        <w:textAlignment w:val="baseline"/>
        <w:rPr>
          <w:rStyle w:val="normaltextrun"/>
          <w:rFonts w:ascii="Arial" w:hAnsi="Arial" w:cs="Arial"/>
          <w:b/>
          <w:bCs/>
          <w:color w:val="000000"/>
        </w:rPr>
      </w:pPr>
    </w:p>
    <w:p w14:paraId="769CE05F" w14:textId="77777777" w:rsidR="00594E2B" w:rsidRDefault="00594E2B" w:rsidP="000A5267">
      <w:pPr>
        <w:pStyle w:val="paragraph"/>
        <w:spacing w:before="0" w:beforeAutospacing="0" w:after="0" w:afterAutospacing="0"/>
        <w:textAlignment w:val="baseline"/>
        <w:rPr>
          <w:rStyle w:val="normaltextrun"/>
          <w:rFonts w:ascii="Arial" w:hAnsi="Arial" w:cs="Arial"/>
          <w:b/>
          <w:bCs/>
          <w:color w:val="000000"/>
        </w:rPr>
      </w:pPr>
    </w:p>
    <w:p w14:paraId="110DEF67" w14:textId="77777777" w:rsidR="00594E2B" w:rsidRDefault="00594E2B" w:rsidP="000A5267">
      <w:pPr>
        <w:pStyle w:val="paragraph"/>
        <w:spacing w:before="0" w:beforeAutospacing="0" w:after="0" w:afterAutospacing="0"/>
        <w:textAlignment w:val="baseline"/>
        <w:rPr>
          <w:rStyle w:val="normaltextrun"/>
          <w:rFonts w:ascii="Arial" w:hAnsi="Arial" w:cs="Arial"/>
          <w:b/>
          <w:bCs/>
          <w:color w:val="000000"/>
        </w:rPr>
      </w:pPr>
    </w:p>
    <w:p w14:paraId="04197F8F" w14:textId="77777777" w:rsidR="00594E2B" w:rsidRDefault="00594E2B" w:rsidP="000A5267">
      <w:pPr>
        <w:pStyle w:val="paragraph"/>
        <w:spacing w:before="0" w:beforeAutospacing="0" w:after="0" w:afterAutospacing="0"/>
        <w:textAlignment w:val="baseline"/>
        <w:rPr>
          <w:rStyle w:val="normaltextrun"/>
          <w:rFonts w:ascii="Arial" w:hAnsi="Arial" w:cs="Arial"/>
          <w:b/>
          <w:bCs/>
          <w:color w:val="000000"/>
        </w:rPr>
      </w:pPr>
    </w:p>
    <w:p w14:paraId="461A8D6D" w14:textId="09AB1A38" w:rsidR="000A5267" w:rsidRDefault="000A5267" w:rsidP="000A5267">
      <w:pPr>
        <w:pStyle w:val="paragraph"/>
        <w:spacing w:before="0" w:beforeAutospacing="0" w:after="0" w:afterAutospacing="0"/>
        <w:textAlignment w:val="baseline"/>
        <w:rPr>
          <w:rFonts w:ascii="Arial" w:hAnsi="Arial" w:cs="Arial"/>
          <w:b/>
          <w:bCs/>
          <w:color w:val="000000"/>
        </w:rPr>
      </w:pPr>
      <w:r>
        <w:rPr>
          <w:rStyle w:val="normaltextrun"/>
          <w:rFonts w:ascii="Arial" w:hAnsi="Arial" w:cs="Arial"/>
          <w:b/>
          <w:bCs/>
          <w:color w:val="000000"/>
        </w:rPr>
        <w:t>Recommendation</w:t>
      </w:r>
      <w:r>
        <w:rPr>
          <w:rStyle w:val="eop"/>
          <w:rFonts w:ascii="Arial" w:hAnsi="Arial" w:cs="Arial"/>
          <w:b/>
          <w:bCs/>
          <w:color w:val="000000"/>
        </w:rPr>
        <w:t> </w:t>
      </w:r>
    </w:p>
    <w:p w14:paraId="03B066F1" w14:textId="2B730974" w:rsidR="000A5267" w:rsidRPr="00CE62EA" w:rsidRDefault="000A5267" w:rsidP="000A5267">
      <w:pPr>
        <w:pStyle w:val="Style1"/>
        <w:rPr>
          <w:sz w:val="24"/>
          <w:szCs w:val="24"/>
        </w:rPr>
      </w:pPr>
      <w:r w:rsidRPr="00CE62EA">
        <w:rPr>
          <w:rStyle w:val="normaltextrun"/>
          <w:rFonts w:ascii="Arial" w:hAnsi="Arial" w:cs="Arial"/>
          <w:sz w:val="24"/>
          <w:szCs w:val="24"/>
        </w:rPr>
        <w:t>I</w:t>
      </w:r>
      <w:r w:rsidR="00E212E9">
        <w:rPr>
          <w:rStyle w:val="normaltextrun"/>
          <w:rFonts w:ascii="Arial" w:hAnsi="Arial" w:cs="Arial"/>
          <w:sz w:val="24"/>
          <w:szCs w:val="24"/>
        </w:rPr>
        <w:t xml:space="preserve"> make no recommendation</w:t>
      </w:r>
      <w:r w:rsidRPr="00CE62EA">
        <w:rPr>
          <w:rStyle w:val="normaltextrun"/>
          <w:rFonts w:ascii="Arial" w:hAnsi="Arial" w:cs="Arial"/>
          <w:sz w:val="24"/>
          <w:szCs w:val="24"/>
        </w:rPr>
        <w:t>. </w:t>
      </w:r>
      <w:r w:rsidRPr="00CE62EA">
        <w:rPr>
          <w:rStyle w:val="eop"/>
          <w:rFonts w:ascii="Arial" w:hAnsi="Arial" w:cs="Arial"/>
          <w:sz w:val="24"/>
          <w:szCs w:val="24"/>
        </w:rPr>
        <w:t> </w:t>
      </w:r>
    </w:p>
    <w:p w14:paraId="2169E4F3" w14:textId="77777777" w:rsidR="00D144FC" w:rsidRPr="00267389" w:rsidRDefault="00D144FC" w:rsidP="0011179E">
      <w:pPr>
        <w:pStyle w:val="Style1"/>
        <w:numPr>
          <w:ilvl w:val="0"/>
          <w:numId w:val="0"/>
        </w:numPr>
        <w:rPr>
          <w:rFonts w:ascii="Monotype Corsiva" w:hAnsi="Monotype Corsiva"/>
          <w:sz w:val="36"/>
          <w:szCs w:val="36"/>
        </w:rPr>
      </w:pPr>
      <w:r w:rsidRPr="00267389">
        <w:rPr>
          <w:rFonts w:ascii="Monotype Corsiva" w:hAnsi="Monotype Corsiva"/>
          <w:sz w:val="36"/>
          <w:szCs w:val="36"/>
        </w:rPr>
        <w:t>Mark Yates</w:t>
      </w:r>
    </w:p>
    <w:p w14:paraId="7680F6FF" w14:textId="77777777" w:rsidR="00915294" w:rsidRPr="00427FF8" w:rsidRDefault="00D144FC" w:rsidP="00D144FC">
      <w:pPr>
        <w:pStyle w:val="Style1"/>
        <w:numPr>
          <w:ilvl w:val="0"/>
          <w:numId w:val="0"/>
        </w:numPr>
        <w:rPr>
          <w:rFonts w:ascii="Arial" w:hAnsi="Arial" w:cs="Arial"/>
          <w:b/>
          <w:sz w:val="24"/>
          <w:szCs w:val="24"/>
        </w:rPr>
      </w:pPr>
      <w:r w:rsidRPr="00427FF8">
        <w:rPr>
          <w:rFonts w:ascii="Arial" w:hAnsi="Arial" w:cs="Arial"/>
          <w:b/>
          <w:sz w:val="24"/>
          <w:szCs w:val="24"/>
        </w:rPr>
        <w:t>Inspect</w:t>
      </w:r>
      <w:r w:rsidR="00026DB5" w:rsidRPr="00427FF8">
        <w:rPr>
          <w:rFonts w:ascii="Arial" w:hAnsi="Arial" w:cs="Arial"/>
          <w:b/>
          <w:sz w:val="24"/>
          <w:szCs w:val="24"/>
        </w:rPr>
        <w:t>or</w:t>
      </w:r>
    </w:p>
    <w:sectPr w:rsidR="00915294" w:rsidRPr="00427FF8" w:rsidSect="0004625F">
      <w:headerReference w:type="default" r:id="rId13"/>
      <w:footerReference w:type="even" r:id="rId14"/>
      <w:footerReference w:type="default" r:id="rId15"/>
      <w:headerReference w:type="first" r:id="rId16"/>
      <w:footerReference w:type="first" r:id="rId17"/>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D810" w14:textId="77777777" w:rsidR="00AD47EE" w:rsidRDefault="00AD47EE" w:rsidP="00F62916">
      <w:r>
        <w:separator/>
      </w:r>
    </w:p>
  </w:endnote>
  <w:endnote w:type="continuationSeparator" w:id="0">
    <w:p w14:paraId="0C28C967" w14:textId="77777777" w:rsidR="00AD47EE" w:rsidRDefault="00AD47EE" w:rsidP="00F62916">
      <w:r>
        <w:continuationSeparator/>
      </w:r>
    </w:p>
  </w:endnote>
  <w:endnote w:type="continuationNotice" w:id="1">
    <w:p w14:paraId="403D551B" w14:textId="77777777" w:rsidR="00AD47EE" w:rsidRDefault="00AD4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D2A4" w14:textId="77777777" w:rsidR="00AB7089" w:rsidRDefault="00AB7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67FF8" w14:textId="77777777" w:rsidR="00AB7089" w:rsidRDefault="00AB7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77F2" w14:textId="712DB668" w:rsidR="00AB7089" w:rsidRDefault="00927A9C">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1A0F8D9C" wp14:editId="4196701B">
              <wp:simplePos x="0" y="0"/>
              <wp:positionH relativeFrom="column">
                <wp:posOffset>-2540</wp:posOffset>
              </wp:positionH>
              <wp:positionV relativeFrom="paragraph">
                <wp:posOffset>159385</wp:posOffset>
              </wp:positionV>
              <wp:extent cx="5943600" cy="0"/>
              <wp:effectExtent l="0" t="0" r="0" b="0"/>
              <wp:wrapNone/>
              <wp:docPr id="172379706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29FB"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9B95263" w14:textId="77777777" w:rsidR="00AB7089" w:rsidRDefault="00AB7089" w:rsidP="005C1931">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E8E7" w14:textId="512ABCC1" w:rsidR="00AB7089" w:rsidRDefault="00927A9C" w:rsidP="007F1116">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1B85683" wp14:editId="030A6A23">
              <wp:simplePos x="0" y="0"/>
              <wp:positionH relativeFrom="column">
                <wp:posOffset>-2540</wp:posOffset>
              </wp:positionH>
              <wp:positionV relativeFrom="paragraph">
                <wp:posOffset>121285</wp:posOffset>
              </wp:positionV>
              <wp:extent cx="5943600" cy="0"/>
              <wp:effectExtent l="0" t="0" r="0" b="0"/>
              <wp:wrapNone/>
              <wp:docPr id="87826097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CCD89"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EF7B" w14:textId="77777777" w:rsidR="00AD47EE" w:rsidRDefault="00AD47EE" w:rsidP="00F62916">
      <w:r>
        <w:separator/>
      </w:r>
    </w:p>
  </w:footnote>
  <w:footnote w:type="continuationSeparator" w:id="0">
    <w:p w14:paraId="4CA4B55A" w14:textId="77777777" w:rsidR="00AD47EE" w:rsidRDefault="00AD47EE" w:rsidP="00F62916">
      <w:r>
        <w:continuationSeparator/>
      </w:r>
    </w:p>
  </w:footnote>
  <w:footnote w:type="continuationNotice" w:id="1">
    <w:p w14:paraId="2E587538" w14:textId="77777777" w:rsidR="00AD47EE" w:rsidRDefault="00AD4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AB7089" w14:paraId="5A6B699E" w14:textId="77777777">
      <w:tc>
        <w:tcPr>
          <w:tcW w:w="9520" w:type="dxa"/>
        </w:tcPr>
        <w:p w14:paraId="7377EA7B" w14:textId="77777777" w:rsidR="00AB7089" w:rsidRDefault="00AB7089">
          <w:pPr>
            <w:pStyle w:val="Footer"/>
          </w:pPr>
        </w:p>
      </w:tc>
    </w:tr>
  </w:tbl>
  <w:p w14:paraId="65BFB2D4" w14:textId="77777777" w:rsidR="00AB7089" w:rsidRPr="007E4CDF" w:rsidRDefault="00AB7089" w:rsidP="00ED3FF4">
    <w:pPr>
      <w:pStyle w:val="Footer"/>
      <w:rPr>
        <w:rFonts w:ascii="Arial" w:hAnsi="Arial" w:cs="Arial"/>
        <w:color w:val="000000"/>
      </w:rPr>
    </w:pPr>
    <w:r w:rsidRPr="007E4CDF">
      <w:rPr>
        <w:rFonts w:ascii="Arial" w:hAnsi="Arial" w:cs="Arial"/>
      </w:rPr>
      <w:t xml:space="preserve">Costs </w:t>
    </w:r>
    <w:r w:rsidR="001C6409" w:rsidRPr="007E4CDF">
      <w:rPr>
        <w:rFonts w:ascii="Arial" w:hAnsi="Arial" w:cs="Arial"/>
      </w:rPr>
      <w:t>Report</w:t>
    </w:r>
    <w:r w:rsidRPr="007E4CDF">
      <w:rPr>
        <w:rFonts w:ascii="Arial" w:hAnsi="Arial" w:cs="Arial"/>
        <w:szCs w:val="22"/>
      </w:rPr>
      <w:t>:</w:t>
    </w:r>
    <w:r w:rsidR="00D71B09" w:rsidRPr="007E4CDF">
      <w:rPr>
        <w:rFonts w:ascii="Arial" w:hAnsi="Arial" w:cs="Arial"/>
        <w:b/>
        <w:color w:val="000000"/>
        <w:szCs w:val="22"/>
      </w:rPr>
      <w:t xml:space="preserve"> </w:t>
    </w:r>
    <w:r w:rsidR="00D71B09" w:rsidRPr="007E4CDF">
      <w:rPr>
        <w:rFonts w:ascii="Arial" w:hAnsi="Arial" w:cs="Arial"/>
        <w:bCs/>
        <w:color w:val="000000"/>
        <w:szCs w:val="22"/>
      </w:rPr>
      <w:t>ROW/3227322</w:t>
    </w:r>
    <w:r w:rsidR="00760B9D" w:rsidRPr="007E4CDF">
      <w:rPr>
        <w:rFonts w:ascii="Arial" w:hAnsi="Arial" w:cs="Arial"/>
        <w:b/>
        <w:szCs w:val="22"/>
      </w:rPr>
      <w:tab/>
    </w:r>
  </w:p>
  <w:p w14:paraId="063C6675" w14:textId="76F4A105" w:rsidR="00AB7089" w:rsidRDefault="00927A9C" w:rsidP="00ED3FF4">
    <w:pPr>
      <w:pStyle w:val="Footer"/>
    </w:pPr>
    <w:r>
      <w:rPr>
        <w:noProof/>
      </w:rPr>
      <mc:AlternateContent>
        <mc:Choice Requires="wps">
          <w:drawing>
            <wp:anchor distT="0" distB="0" distL="114300" distR="114300" simplePos="0" relativeHeight="251657728" behindDoc="0" locked="0" layoutInCell="1" allowOverlap="1" wp14:anchorId="12607906" wp14:editId="0A94A1A8">
              <wp:simplePos x="0" y="0"/>
              <wp:positionH relativeFrom="column">
                <wp:posOffset>-2540</wp:posOffset>
              </wp:positionH>
              <wp:positionV relativeFrom="paragraph">
                <wp:posOffset>57785</wp:posOffset>
              </wp:positionV>
              <wp:extent cx="5943600" cy="0"/>
              <wp:effectExtent l="0" t="0" r="0" b="0"/>
              <wp:wrapNone/>
              <wp:docPr id="1810409359"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C95"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55pt" to="467.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90B4" w14:textId="77777777" w:rsidR="00AB7089" w:rsidRDefault="00AB7089">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42"/>
        </w:tabs>
        <w:ind w:left="42" w:hanging="360"/>
      </w:pPr>
    </w:lvl>
  </w:abstractNum>
  <w:abstractNum w:abstractNumId="1" w15:restartNumberingAfterBreak="0">
    <w:nsid w:val="19AB5CD8"/>
    <w:multiLevelType w:val="hybridMultilevel"/>
    <w:tmpl w:val="279AC3D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92E9F4C"/>
    <w:lvl w:ilvl="0">
      <w:start w:val="1"/>
      <w:numFmt w:val="decimal"/>
      <w:pStyle w:val="Style1"/>
      <w:lvlText w:val="%1."/>
      <w:lvlJc w:val="left"/>
      <w:pPr>
        <w:tabs>
          <w:tab w:val="num" w:pos="720"/>
        </w:tabs>
        <w:ind w:left="432" w:hanging="432"/>
      </w:pPr>
      <w:rPr>
        <w:b w:val="0"/>
        <w:i w:val="0"/>
      </w:rPr>
    </w:lvl>
    <w:lvl w:ilvl="1">
      <w:start w:val="1"/>
      <w:numFmt w:val="decimal"/>
      <w:pStyle w:val="Heading2"/>
      <w:lvlText w:val="%1.%2"/>
      <w:lvlJc w:val="left"/>
      <w:pPr>
        <w:tabs>
          <w:tab w:val="num" w:pos="293"/>
        </w:tabs>
        <w:ind w:left="293" w:hanging="576"/>
      </w:pPr>
    </w:lvl>
    <w:lvl w:ilvl="2">
      <w:start w:val="1"/>
      <w:numFmt w:val="decimal"/>
      <w:pStyle w:val="Heading3"/>
      <w:lvlText w:val="%1.%2.%3"/>
      <w:lvlJc w:val="left"/>
      <w:pPr>
        <w:tabs>
          <w:tab w:val="num" w:pos="437"/>
        </w:tabs>
        <w:ind w:left="437" w:hanging="720"/>
      </w:pPr>
    </w:lvl>
    <w:lvl w:ilvl="3">
      <w:start w:val="1"/>
      <w:numFmt w:val="decimal"/>
      <w:pStyle w:val="Heading4"/>
      <w:lvlText w:val="%1.%2.%3.%4"/>
      <w:lvlJc w:val="left"/>
      <w:pPr>
        <w:tabs>
          <w:tab w:val="num" w:pos="581"/>
        </w:tabs>
        <w:ind w:left="581" w:hanging="864"/>
      </w:pPr>
    </w:lvl>
    <w:lvl w:ilvl="4">
      <w:start w:val="1"/>
      <w:numFmt w:val="decimal"/>
      <w:pStyle w:val="Heading5"/>
      <w:lvlText w:val="%1.%2.%3.%4.%5"/>
      <w:lvlJc w:val="left"/>
      <w:pPr>
        <w:tabs>
          <w:tab w:val="num" w:pos="725"/>
        </w:tabs>
        <w:ind w:left="725" w:hanging="1008"/>
      </w:pPr>
    </w:lvl>
    <w:lvl w:ilvl="5">
      <w:start w:val="1"/>
      <w:numFmt w:val="decimal"/>
      <w:lvlText w:val="%1.%2.%3.%4.%5.%6"/>
      <w:lvlJc w:val="left"/>
      <w:pPr>
        <w:tabs>
          <w:tab w:val="num" w:pos="869"/>
        </w:tabs>
        <w:ind w:left="869" w:hanging="1152"/>
      </w:pPr>
    </w:lvl>
    <w:lvl w:ilvl="6">
      <w:start w:val="1"/>
      <w:numFmt w:val="decimal"/>
      <w:pStyle w:val="Heading7"/>
      <w:lvlText w:val="%1.%2.%3.%4.%5.%6.%7"/>
      <w:lvlJc w:val="left"/>
      <w:pPr>
        <w:tabs>
          <w:tab w:val="num" w:pos="1013"/>
        </w:tabs>
        <w:ind w:left="1013" w:hanging="1296"/>
      </w:pPr>
    </w:lvl>
    <w:lvl w:ilvl="7">
      <w:start w:val="1"/>
      <w:numFmt w:val="decimal"/>
      <w:pStyle w:val="Heading8"/>
      <w:lvlText w:val="%1.%2.%3.%4.%5.%6.%7.%8"/>
      <w:lvlJc w:val="left"/>
      <w:pPr>
        <w:tabs>
          <w:tab w:val="num" w:pos="1157"/>
        </w:tabs>
        <w:ind w:left="1157" w:hanging="1440"/>
      </w:pPr>
    </w:lvl>
    <w:lvl w:ilvl="8">
      <w:start w:val="1"/>
      <w:numFmt w:val="decimal"/>
      <w:pStyle w:val="Heading9"/>
      <w:lvlText w:val="%1.%2.%3.%4.%5.%6.%7.%8.%9"/>
      <w:lvlJc w:val="left"/>
      <w:pPr>
        <w:tabs>
          <w:tab w:val="num" w:pos="1301"/>
        </w:tabs>
        <w:ind w:left="1301"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38949195">
    <w:abstractNumId w:val="5"/>
  </w:num>
  <w:num w:numId="2" w16cid:durableId="1033307311">
    <w:abstractNumId w:val="6"/>
  </w:num>
  <w:num w:numId="3" w16cid:durableId="1589846275">
    <w:abstractNumId w:val="0"/>
  </w:num>
  <w:num w:numId="4" w16cid:durableId="918754725">
    <w:abstractNumId w:val="2"/>
  </w:num>
  <w:num w:numId="5" w16cid:durableId="517158737">
    <w:abstractNumId w:val="4"/>
  </w:num>
  <w:num w:numId="6" w16cid:durableId="1428503379">
    <w:abstractNumId w:val="7"/>
  </w:num>
  <w:num w:numId="7" w16cid:durableId="421487439">
    <w:abstractNumId w:val="3"/>
  </w:num>
  <w:num w:numId="8" w16cid:durableId="12059471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F1116"/>
    <w:rsid w:val="0000335F"/>
    <w:rsid w:val="00004A5F"/>
    <w:rsid w:val="000057DA"/>
    <w:rsid w:val="00006C4B"/>
    <w:rsid w:val="00007A5D"/>
    <w:rsid w:val="000113BE"/>
    <w:rsid w:val="00014052"/>
    <w:rsid w:val="00014A1D"/>
    <w:rsid w:val="000151C2"/>
    <w:rsid w:val="0001562F"/>
    <w:rsid w:val="000156F4"/>
    <w:rsid w:val="000238D7"/>
    <w:rsid w:val="00023E64"/>
    <w:rsid w:val="00025B3D"/>
    <w:rsid w:val="00026DB5"/>
    <w:rsid w:val="00027A6D"/>
    <w:rsid w:val="00033A69"/>
    <w:rsid w:val="00035E19"/>
    <w:rsid w:val="00037557"/>
    <w:rsid w:val="00046145"/>
    <w:rsid w:val="0004625F"/>
    <w:rsid w:val="00047D57"/>
    <w:rsid w:val="00050D4A"/>
    <w:rsid w:val="00053135"/>
    <w:rsid w:val="00053934"/>
    <w:rsid w:val="00054402"/>
    <w:rsid w:val="00054505"/>
    <w:rsid w:val="000638FB"/>
    <w:rsid w:val="00065C6C"/>
    <w:rsid w:val="000679E5"/>
    <w:rsid w:val="00070401"/>
    <w:rsid w:val="000744BB"/>
    <w:rsid w:val="0007498F"/>
    <w:rsid w:val="00076866"/>
    <w:rsid w:val="00077358"/>
    <w:rsid w:val="000816E2"/>
    <w:rsid w:val="00082E36"/>
    <w:rsid w:val="00083DC6"/>
    <w:rsid w:val="00087DEC"/>
    <w:rsid w:val="000905F3"/>
    <w:rsid w:val="00091679"/>
    <w:rsid w:val="00096C5A"/>
    <w:rsid w:val="000A03CE"/>
    <w:rsid w:val="000A0501"/>
    <w:rsid w:val="000A4AEB"/>
    <w:rsid w:val="000A5267"/>
    <w:rsid w:val="000A646D"/>
    <w:rsid w:val="000A64AE"/>
    <w:rsid w:val="000A6997"/>
    <w:rsid w:val="000A6B4D"/>
    <w:rsid w:val="000A7132"/>
    <w:rsid w:val="000B067F"/>
    <w:rsid w:val="000B3477"/>
    <w:rsid w:val="000B7AFA"/>
    <w:rsid w:val="000C0CFD"/>
    <w:rsid w:val="000C3304"/>
    <w:rsid w:val="000C3F13"/>
    <w:rsid w:val="000C49C1"/>
    <w:rsid w:val="000C58CE"/>
    <w:rsid w:val="000C698E"/>
    <w:rsid w:val="000D0673"/>
    <w:rsid w:val="000D1081"/>
    <w:rsid w:val="000D3347"/>
    <w:rsid w:val="000D43A5"/>
    <w:rsid w:val="000D4F7A"/>
    <w:rsid w:val="000E1949"/>
    <w:rsid w:val="000E2080"/>
    <w:rsid w:val="000E3613"/>
    <w:rsid w:val="000E54D7"/>
    <w:rsid w:val="000F0DEA"/>
    <w:rsid w:val="000F2037"/>
    <w:rsid w:val="000F3633"/>
    <w:rsid w:val="000F3FF3"/>
    <w:rsid w:val="001000CB"/>
    <w:rsid w:val="00107159"/>
    <w:rsid w:val="0011179E"/>
    <w:rsid w:val="00111FCF"/>
    <w:rsid w:val="00112FD6"/>
    <w:rsid w:val="001131BB"/>
    <w:rsid w:val="0011462E"/>
    <w:rsid w:val="001155D5"/>
    <w:rsid w:val="001241FB"/>
    <w:rsid w:val="0012542B"/>
    <w:rsid w:val="00127A70"/>
    <w:rsid w:val="0013393C"/>
    <w:rsid w:val="001354B6"/>
    <w:rsid w:val="001403AD"/>
    <w:rsid w:val="00141A32"/>
    <w:rsid w:val="00143CE0"/>
    <w:rsid w:val="00144279"/>
    <w:rsid w:val="001461EA"/>
    <w:rsid w:val="00152C92"/>
    <w:rsid w:val="00152F9E"/>
    <w:rsid w:val="0015433F"/>
    <w:rsid w:val="00154C2D"/>
    <w:rsid w:val="00155DC4"/>
    <w:rsid w:val="0015657C"/>
    <w:rsid w:val="00161615"/>
    <w:rsid w:val="0016163B"/>
    <w:rsid w:val="00164FCC"/>
    <w:rsid w:val="00165481"/>
    <w:rsid w:val="00166B11"/>
    <w:rsid w:val="001675A0"/>
    <w:rsid w:val="001712DF"/>
    <w:rsid w:val="00173241"/>
    <w:rsid w:val="001738B4"/>
    <w:rsid w:val="00182406"/>
    <w:rsid w:val="001836B5"/>
    <w:rsid w:val="00185CBB"/>
    <w:rsid w:val="0019121D"/>
    <w:rsid w:val="0019261D"/>
    <w:rsid w:val="00193AE8"/>
    <w:rsid w:val="00194C4A"/>
    <w:rsid w:val="001952DC"/>
    <w:rsid w:val="00195D05"/>
    <w:rsid w:val="00197B5B"/>
    <w:rsid w:val="001A041F"/>
    <w:rsid w:val="001A3F79"/>
    <w:rsid w:val="001B3294"/>
    <w:rsid w:val="001B7B88"/>
    <w:rsid w:val="001C015C"/>
    <w:rsid w:val="001C2BC5"/>
    <w:rsid w:val="001C2C19"/>
    <w:rsid w:val="001C3503"/>
    <w:rsid w:val="001C6409"/>
    <w:rsid w:val="001D46EE"/>
    <w:rsid w:val="001D5FA2"/>
    <w:rsid w:val="001D6810"/>
    <w:rsid w:val="001D74FE"/>
    <w:rsid w:val="001D7AFF"/>
    <w:rsid w:val="001E05D7"/>
    <w:rsid w:val="001E2B98"/>
    <w:rsid w:val="001E5475"/>
    <w:rsid w:val="001E60F4"/>
    <w:rsid w:val="001E7D63"/>
    <w:rsid w:val="001F003E"/>
    <w:rsid w:val="001F23CF"/>
    <w:rsid w:val="001F249E"/>
    <w:rsid w:val="001F4B97"/>
    <w:rsid w:val="001F6023"/>
    <w:rsid w:val="00207816"/>
    <w:rsid w:val="002123B4"/>
    <w:rsid w:val="00212C19"/>
    <w:rsid w:val="00212C8F"/>
    <w:rsid w:val="00214EAB"/>
    <w:rsid w:val="0021519A"/>
    <w:rsid w:val="00215D0A"/>
    <w:rsid w:val="00216C6B"/>
    <w:rsid w:val="0022177B"/>
    <w:rsid w:val="00225A06"/>
    <w:rsid w:val="00231734"/>
    <w:rsid w:val="00232DF4"/>
    <w:rsid w:val="00236798"/>
    <w:rsid w:val="00242A5E"/>
    <w:rsid w:val="002439A4"/>
    <w:rsid w:val="00246D5B"/>
    <w:rsid w:val="002505C0"/>
    <w:rsid w:val="00254361"/>
    <w:rsid w:val="00254A62"/>
    <w:rsid w:val="00256EFE"/>
    <w:rsid w:val="00263815"/>
    <w:rsid w:val="00264349"/>
    <w:rsid w:val="00267389"/>
    <w:rsid w:val="002708D5"/>
    <w:rsid w:val="0027381A"/>
    <w:rsid w:val="002757B8"/>
    <w:rsid w:val="00277F6F"/>
    <w:rsid w:val="002815DE"/>
    <w:rsid w:val="002858C0"/>
    <w:rsid w:val="002867CA"/>
    <w:rsid w:val="002920B9"/>
    <w:rsid w:val="002A2800"/>
    <w:rsid w:val="002A2AB8"/>
    <w:rsid w:val="002A3295"/>
    <w:rsid w:val="002A6349"/>
    <w:rsid w:val="002A6A8B"/>
    <w:rsid w:val="002B1766"/>
    <w:rsid w:val="002B1DBF"/>
    <w:rsid w:val="002B3C7E"/>
    <w:rsid w:val="002B624E"/>
    <w:rsid w:val="002C068A"/>
    <w:rsid w:val="002C0BAD"/>
    <w:rsid w:val="002C423E"/>
    <w:rsid w:val="002C7A06"/>
    <w:rsid w:val="002D05CC"/>
    <w:rsid w:val="002D23E4"/>
    <w:rsid w:val="002D7B83"/>
    <w:rsid w:val="002E05D3"/>
    <w:rsid w:val="002E18C3"/>
    <w:rsid w:val="002E5D49"/>
    <w:rsid w:val="002E6269"/>
    <w:rsid w:val="002E6A08"/>
    <w:rsid w:val="002E6B9D"/>
    <w:rsid w:val="002E78D0"/>
    <w:rsid w:val="002E7E47"/>
    <w:rsid w:val="002F18D5"/>
    <w:rsid w:val="002F21B7"/>
    <w:rsid w:val="002F4AAF"/>
    <w:rsid w:val="002F5A0A"/>
    <w:rsid w:val="00301774"/>
    <w:rsid w:val="0030250E"/>
    <w:rsid w:val="0030500E"/>
    <w:rsid w:val="00305964"/>
    <w:rsid w:val="00305D20"/>
    <w:rsid w:val="00311175"/>
    <w:rsid w:val="003113CC"/>
    <w:rsid w:val="00311FF6"/>
    <w:rsid w:val="00313558"/>
    <w:rsid w:val="003135A7"/>
    <w:rsid w:val="00315036"/>
    <w:rsid w:val="00316B1C"/>
    <w:rsid w:val="003202EB"/>
    <w:rsid w:val="003206FD"/>
    <w:rsid w:val="0032207D"/>
    <w:rsid w:val="003220E7"/>
    <w:rsid w:val="00326219"/>
    <w:rsid w:val="003275F1"/>
    <w:rsid w:val="00334B92"/>
    <w:rsid w:val="003373EB"/>
    <w:rsid w:val="00340892"/>
    <w:rsid w:val="003428F8"/>
    <w:rsid w:val="00342BE7"/>
    <w:rsid w:val="0034317B"/>
    <w:rsid w:val="00343A1F"/>
    <w:rsid w:val="00344294"/>
    <w:rsid w:val="00344CD1"/>
    <w:rsid w:val="003456B9"/>
    <w:rsid w:val="00346621"/>
    <w:rsid w:val="00346DF9"/>
    <w:rsid w:val="00352B3E"/>
    <w:rsid w:val="00353FB1"/>
    <w:rsid w:val="0035430F"/>
    <w:rsid w:val="003571C5"/>
    <w:rsid w:val="00357339"/>
    <w:rsid w:val="00360664"/>
    <w:rsid w:val="00361890"/>
    <w:rsid w:val="0036356C"/>
    <w:rsid w:val="00364A3A"/>
    <w:rsid w:val="00364E17"/>
    <w:rsid w:val="00370E01"/>
    <w:rsid w:val="003710F7"/>
    <w:rsid w:val="00371359"/>
    <w:rsid w:val="00373433"/>
    <w:rsid w:val="00374392"/>
    <w:rsid w:val="0037525F"/>
    <w:rsid w:val="00392B41"/>
    <w:rsid w:val="003941CF"/>
    <w:rsid w:val="00394A08"/>
    <w:rsid w:val="00395102"/>
    <w:rsid w:val="00397576"/>
    <w:rsid w:val="003A1037"/>
    <w:rsid w:val="003A1AB6"/>
    <w:rsid w:val="003A7E48"/>
    <w:rsid w:val="003B2FE6"/>
    <w:rsid w:val="003B36EE"/>
    <w:rsid w:val="003B62D7"/>
    <w:rsid w:val="003B6B55"/>
    <w:rsid w:val="003C16F1"/>
    <w:rsid w:val="003C5C27"/>
    <w:rsid w:val="003C792A"/>
    <w:rsid w:val="003C7BB6"/>
    <w:rsid w:val="003D4443"/>
    <w:rsid w:val="003D47E0"/>
    <w:rsid w:val="003D4E76"/>
    <w:rsid w:val="003D5145"/>
    <w:rsid w:val="003E07CA"/>
    <w:rsid w:val="003E0A42"/>
    <w:rsid w:val="003E1749"/>
    <w:rsid w:val="003E1AD5"/>
    <w:rsid w:val="003E2DF1"/>
    <w:rsid w:val="003E6EE4"/>
    <w:rsid w:val="003F0DCC"/>
    <w:rsid w:val="003F5D9B"/>
    <w:rsid w:val="0040032A"/>
    <w:rsid w:val="00400CB6"/>
    <w:rsid w:val="004024F9"/>
    <w:rsid w:val="004054DF"/>
    <w:rsid w:val="00405E95"/>
    <w:rsid w:val="00407B8B"/>
    <w:rsid w:val="00411FCD"/>
    <w:rsid w:val="0041280B"/>
    <w:rsid w:val="004144C4"/>
    <w:rsid w:val="004156F0"/>
    <w:rsid w:val="004172F7"/>
    <w:rsid w:val="00420909"/>
    <w:rsid w:val="004256D2"/>
    <w:rsid w:val="00425AA6"/>
    <w:rsid w:val="00426807"/>
    <w:rsid w:val="00427FF8"/>
    <w:rsid w:val="0043048C"/>
    <w:rsid w:val="00431577"/>
    <w:rsid w:val="00431EC4"/>
    <w:rsid w:val="0043394C"/>
    <w:rsid w:val="00434D1C"/>
    <w:rsid w:val="00437AE5"/>
    <w:rsid w:val="00442C32"/>
    <w:rsid w:val="004474DE"/>
    <w:rsid w:val="00447E90"/>
    <w:rsid w:val="004519FD"/>
    <w:rsid w:val="00452D59"/>
    <w:rsid w:val="0045310A"/>
    <w:rsid w:val="00453E15"/>
    <w:rsid w:val="004566F9"/>
    <w:rsid w:val="00456968"/>
    <w:rsid w:val="00460C4E"/>
    <w:rsid w:val="00471F27"/>
    <w:rsid w:val="004724C8"/>
    <w:rsid w:val="004725B9"/>
    <w:rsid w:val="0047496F"/>
    <w:rsid w:val="0048041A"/>
    <w:rsid w:val="0048268E"/>
    <w:rsid w:val="004863D5"/>
    <w:rsid w:val="00486DCC"/>
    <w:rsid w:val="004873E3"/>
    <w:rsid w:val="0049119A"/>
    <w:rsid w:val="004924A9"/>
    <w:rsid w:val="004974E9"/>
    <w:rsid w:val="004976CF"/>
    <w:rsid w:val="004A1006"/>
    <w:rsid w:val="004A22E7"/>
    <w:rsid w:val="004A2EB8"/>
    <w:rsid w:val="004A6506"/>
    <w:rsid w:val="004A75FD"/>
    <w:rsid w:val="004B0A17"/>
    <w:rsid w:val="004B2F7D"/>
    <w:rsid w:val="004B67E2"/>
    <w:rsid w:val="004B73CB"/>
    <w:rsid w:val="004C07CB"/>
    <w:rsid w:val="004C2BEF"/>
    <w:rsid w:val="004C54D3"/>
    <w:rsid w:val="004C6B96"/>
    <w:rsid w:val="004D7603"/>
    <w:rsid w:val="004E03C5"/>
    <w:rsid w:val="004E1BA9"/>
    <w:rsid w:val="004E3057"/>
    <w:rsid w:val="004E3747"/>
    <w:rsid w:val="004E556E"/>
    <w:rsid w:val="004E5AC9"/>
    <w:rsid w:val="004E6091"/>
    <w:rsid w:val="004F1D41"/>
    <w:rsid w:val="004F78E1"/>
    <w:rsid w:val="004F7BE8"/>
    <w:rsid w:val="00500915"/>
    <w:rsid w:val="005010C1"/>
    <w:rsid w:val="005029F5"/>
    <w:rsid w:val="00503E82"/>
    <w:rsid w:val="005059C8"/>
    <w:rsid w:val="00506A4A"/>
    <w:rsid w:val="005141BA"/>
    <w:rsid w:val="0051475D"/>
    <w:rsid w:val="00520138"/>
    <w:rsid w:val="005215D1"/>
    <w:rsid w:val="00522EEA"/>
    <w:rsid w:val="0052347F"/>
    <w:rsid w:val="005239ED"/>
    <w:rsid w:val="005305F0"/>
    <w:rsid w:val="00531349"/>
    <w:rsid w:val="00531AA5"/>
    <w:rsid w:val="0053315E"/>
    <w:rsid w:val="005423F2"/>
    <w:rsid w:val="00542B4C"/>
    <w:rsid w:val="00545A8E"/>
    <w:rsid w:val="005460A1"/>
    <w:rsid w:val="00552417"/>
    <w:rsid w:val="00553581"/>
    <w:rsid w:val="00555717"/>
    <w:rsid w:val="0055740B"/>
    <w:rsid w:val="00561E69"/>
    <w:rsid w:val="00562215"/>
    <w:rsid w:val="00565893"/>
    <w:rsid w:val="00565B80"/>
    <w:rsid w:val="0056634F"/>
    <w:rsid w:val="005718AF"/>
    <w:rsid w:val="00571E1D"/>
    <w:rsid w:val="00571FD4"/>
    <w:rsid w:val="00572879"/>
    <w:rsid w:val="00572A79"/>
    <w:rsid w:val="00577D90"/>
    <w:rsid w:val="00577F3A"/>
    <w:rsid w:val="0058024D"/>
    <w:rsid w:val="00580465"/>
    <w:rsid w:val="00581987"/>
    <w:rsid w:val="00582119"/>
    <w:rsid w:val="00582302"/>
    <w:rsid w:val="0058239B"/>
    <w:rsid w:val="005839B3"/>
    <w:rsid w:val="005854F3"/>
    <w:rsid w:val="00586E02"/>
    <w:rsid w:val="00587B70"/>
    <w:rsid w:val="00591303"/>
    <w:rsid w:val="00592A21"/>
    <w:rsid w:val="00593626"/>
    <w:rsid w:val="0059384C"/>
    <w:rsid w:val="00594E2B"/>
    <w:rsid w:val="005A0DCE"/>
    <w:rsid w:val="005A3950"/>
    <w:rsid w:val="005A3A20"/>
    <w:rsid w:val="005A3A64"/>
    <w:rsid w:val="005A5F50"/>
    <w:rsid w:val="005A67E2"/>
    <w:rsid w:val="005B07DA"/>
    <w:rsid w:val="005B12A1"/>
    <w:rsid w:val="005B1DFA"/>
    <w:rsid w:val="005B1DFE"/>
    <w:rsid w:val="005B219F"/>
    <w:rsid w:val="005B45A2"/>
    <w:rsid w:val="005B5BAF"/>
    <w:rsid w:val="005B5FFE"/>
    <w:rsid w:val="005B6E0C"/>
    <w:rsid w:val="005C1216"/>
    <w:rsid w:val="005C1334"/>
    <w:rsid w:val="005C1931"/>
    <w:rsid w:val="005C5855"/>
    <w:rsid w:val="005D2C12"/>
    <w:rsid w:val="005D615A"/>
    <w:rsid w:val="005D739E"/>
    <w:rsid w:val="005E333F"/>
    <w:rsid w:val="005E34FF"/>
    <w:rsid w:val="005E35E1"/>
    <w:rsid w:val="005E38B6"/>
    <w:rsid w:val="005E52F9"/>
    <w:rsid w:val="005F1261"/>
    <w:rsid w:val="005F2B74"/>
    <w:rsid w:val="005F58B0"/>
    <w:rsid w:val="00602315"/>
    <w:rsid w:val="006054F7"/>
    <w:rsid w:val="00607A25"/>
    <w:rsid w:val="00607BB9"/>
    <w:rsid w:val="006110AA"/>
    <w:rsid w:val="00614E46"/>
    <w:rsid w:val="00617F98"/>
    <w:rsid w:val="00620391"/>
    <w:rsid w:val="006205DD"/>
    <w:rsid w:val="006236DE"/>
    <w:rsid w:val="006241D1"/>
    <w:rsid w:val="006244B0"/>
    <w:rsid w:val="00626169"/>
    <w:rsid w:val="00627C0B"/>
    <w:rsid w:val="00631555"/>
    <w:rsid w:val="006319E6"/>
    <w:rsid w:val="00632669"/>
    <w:rsid w:val="006337E6"/>
    <w:rsid w:val="00635D7F"/>
    <w:rsid w:val="00641996"/>
    <w:rsid w:val="006424D7"/>
    <w:rsid w:val="00642872"/>
    <w:rsid w:val="00643E31"/>
    <w:rsid w:val="00646638"/>
    <w:rsid w:val="00647D0A"/>
    <w:rsid w:val="0065033E"/>
    <w:rsid w:val="00650B0D"/>
    <w:rsid w:val="006519EC"/>
    <w:rsid w:val="00652F75"/>
    <w:rsid w:val="00653C02"/>
    <w:rsid w:val="006557CD"/>
    <w:rsid w:val="0065719B"/>
    <w:rsid w:val="006606A5"/>
    <w:rsid w:val="0066322F"/>
    <w:rsid w:val="0066488E"/>
    <w:rsid w:val="00666C60"/>
    <w:rsid w:val="00667014"/>
    <w:rsid w:val="006771C8"/>
    <w:rsid w:val="006776B4"/>
    <w:rsid w:val="00677863"/>
    <w:rsid w:val="00677CED"/>
    <w:rsid w:val="00680334"/>
    <w:rsid w:val="00681548"/>
    <w:rsid w:val="0068208C"/>
    <w:rsid w:val="00685ACC"/>
    <w:rsid w:val="00685C7B"/>
    <w:rsid w:val="00685D72"/>
    <w:rsid w:val="00691F9B"/>
    <w:rsid w:val="0069559D"/>
    <w:rsid w:val="006966F7"/>
    <w:rsid w:val="00697EFC"/>
    <w:rsid w:val="006A0FED"/>
    <w:rsid w:val="006A3B05"/>
    <w:rsid w:val="006A4344"/>
    <w:rsid w:val="006A7C26"/>
    <w:rsid w:val="006B1F3B"/>
    <w:rsid w:val="006B286D"/>
    <w:rsid w:val="006B341B"/>
    <w:rsid w:val="006B4EDA"/>
    <w:rsid w:val="006B5865"/>
    <w:rsid w:val="006B75B3"/>
    <w:rsid w:val="006C0893"/>
    <w:rsid w:val="006C0D0A"/>
    <w:rsid w:val="006C4C74"/>
    <w:rsid w:val="006C6612"/>
    <w:rsid w:val="006D09B8"/>
    <w:rsid w:val="006D139C"/>
    <w:rsid w:val="006D259C"/>
    <w:rsid w:val="006D2842"/>
    <w:rsid w:val="006D2CB2"/>
    <w:rsid w:val="006D38C1"/>
    <w:rsid w:val="006D6914"/>
    <w:rsid w:val="006D74ED"/>
    <w:rsid w:val="006E0871"/>
    <w:rsid w:val="006E1965"/>
    <w:rsid w:val="006E2DCC"/>
    <w:rsid w:val="006E4718"/>
    <w:rsid w:val="006E52B5"/>
    <w:rsid w:val="006F16BD"/>
    <w:rsid w:val="006F26E9"/>
    <w:rsid w:val="006F54AD"/>
    <w:rsid w:val="006F5F37"/>
    <w:rsid w:val="006F6496"/>
    <w:rsid w:val="006F730D"/>
    <w:rsid w:val="00701EA7"/>
    <w:rsid w:val="00703E48"/>
    <w:rsid w:val="007105B2"/>
    <w:rsid w:val="0071199F"/>
    <w:rsid w:val="00713A9C"/>
    <w:rsid w:val="00716578"/>
    <w:rsid w:val="00717890"/>
    <w:rsid w:val="00726095"/>
    <w:rsid w:val="00727200"/>
    <w:rsid w:val="007307B5"/>
    <w:rsid w:val="00731580"/>
    <w:rsid w:val="00736230"/>
    <w:rsid w:val="00736BD1"/>
    <w:rsid w:val="00740BEF"/>
    <w:rsid w:val="00741B9F"/>
    <w:rsid w:val="00744C1D"/>
    <w:rsid w:val="0074582A"/>
    <w:rsid w:val="0075112D"/>
    <w:rsid w:val="0075247E"/>
    <w:rsid w:val="007530DB"/>
    <w:rsid w:val="00760B9D"/>
    <w:rsid w:val="00763ED6"/>
    <w:rsid w:val="0076684C"/>
    <w:rsid w:val="00767979"/>
    <w:rsid w:val="0077348D"/>
    <w:rsid w:val="0077766C"/>
    <w:rsid w:val="00777A52"/>
    <w:rsid w:val="00781FFD"/>
    <w:rsid w:val="0078584B"/>
    <w:rsid w:val="00785862"/>
    <w:rsid w:val="00786D62"/>
    <w:rsid w:val="0079076B"/>
    <w:rsid w:val="00790EFE"/>
    <w:rsid w:val="00793D1B"/>
    <w:rsid w:val="00794EA4"/>
    <w:rsid w:val="007A0537"/>
    <w:rsid w:val="007A0658"/>
    <w:rsid w:val="007A5900"/>
    <w:rsid w:val="007A7389"/>
    <w:rsid w:val="007B23F4"/>
    <w:rsid w:val="007B39C4"/>
    <w:rsid w:val="007B6F9E"/>
    <w:rsid w:val="007C097C"/>
    <w:rsid w:val="007C1DBC"/>
    <w:rsid w:val="007C353C"/>
    <w:rsid w:val="007C5256"/>
    <w:rsid w:val="007C5DE2"/>
    <w:rsid w:val="007C74C2"/>
    <w:rsid w:val="007C7950"/>
    <w:rsid w:val="007D00EB"/>
    <w:rsid w:val="007D09E9"/>
    <w:rsid w:val="007D1ABE"/>
    <w:rsid w:val="007D2859"/>
    <w:rsid w:val="007D65B4"/>
    <w:rsid w:val="007D695C"/>
    <w:rsid w:val="007D6C82"/>
    <w:rsid w:val="007D7334"/>
    <w:rsid w:val="007E2C17"/>
    <w:rsid w:val="007E452D"/>
    <w:rsid w:val="007E4CDF"/>
    <w:rsid w:val="007E52D5"/>
    <w:rsid w:val="007E7762"/>
    <w:rsid w:val="007F1116"/>
    <w:rsid w:val="007F1352"/>
    <w:rsid w:val="007F158D"/>
    <w:rsid w:val="007F185E"/>
    <w:rsid w:val="007F3AD2"/>
    <w:rsid w:val="007F5928"/>
    <w:rsid w:val="007F6070"/>
    <w:rsid w:val="007F78ED"/>
    <w:rsid w:val="007F7932"/>
    <w:rsid w:val="0080219C"/>
    <w:rsid w:val="00802983"/>
    <w:rsid w:val="008054CF"/>
    <w:rsid w:val="00810D23"/>
    <w:rsid w:val="00811E27"/>
    <w:rsid w:val="0081294D"/>
    <w:rsid w:val="00813116"/>
    <w:rsid w:val="00820294"/>
    <w:rsid w:val="00820BFD"/>
    <w:rsid w:val="008212F6"/>
    <w:rsid w:val="008235D3"/>
    <w:rsid w:val="0083246B"/>
    <w:rsid w:val="00832FAF"/>
    <w:rsid w:val="00834368"/>
    <w:rsid w:val="00835590"/>
    <w:rsid w:val="0083639C"/>
    <w:rsid w:val="00842759"/>
    <w:rsid w:val="008449F6"/>
    <w:rsid w:val="00845320"/>
    <w:rsid w:val="00846D7A"/>
    <w:rsid w:val="00851E2C"/>
    <w:rsid w:val="00851FD3"/>
    <w:rsid w:val="00853A0F"/>
    <w:rsid w:val="0085563E"/>
    <w:rsid w:val="00856769"/>
    <w:rsid w:val="008658AD"/>
    <w:rsid w:val="00867139"/>
    <w:rsid w:val="00867E48"/>
    <w:rsid w:val="00871485"/>
    <w:rsid w:val="00876040"/>
    <w:rsid w:val="00876346"/>
    <w:rsid w:val="0088375A"/>
    <w:rsid w:val="00885039"/>
    <w:rsid w:val="008877DC"/>
    <w:rsid w:val="00890FBE"/>
    <w:rsid w:val="0089225C"/>
    <w:rsid w:val="00895D23"/>
    <w:rsid w:val="0089644D"/>
    <w:rsid w:val="00896EDD"/>
    <w:rsid w:val="0089704A"/>
    <w:rsid w:val="008A03E3"/>
    <w:rsid w:val="008A61FD"/>
    <w:rsid w:val="008B1E97"/>
    <w:rsid w:val="008B4C0D"/>
    <w:rsid w:val="008C2399"/>
    <w:rsid w:val="008C2A12"/>
    <w:rsid w:val="008C5C15"/>
    <w:rsid w:val="008C6FA3"/>
    <w:rsid w:val="008D1AB4"/>
    <w:rsid w:val="008D2BC8"/>
    <w:rsid w:val="008D4065"/>
    <w:rsid w:val="008D4679"/>
    <w:rsid w:val="008D6FAB"/>
    <w:rsid w:val="008E1743"/>
    <w:rsid w:val="008E3348"/>
    <w:rsid w:val="008E359C"/>
    <w:rsid w:val="008E6B04"/>
    <w:rsid w:val="008E6EF9"/>
    <w:rsid w:val="008E7362"/>
    <w:rsid w:val="008F1679"/>
    <w:rsid w:val="008F2FFC"/>
    <w:rsid w:val="008F4106"/>
    <w:rsid w:val="008F45CB"/>
    <w:rsid w:val="008F5CA8"/>
    <w:rsid w:val="00900B3D"/>
    <w:rsid w:val="00903676"/>
    <w:rsid w:val="00906935"/>
    <w:rsid w:val="00906B17"/>
    <w:rsid w:val="00907923"/>
    <w:rsid w:val="00910483"/>
    <w:rsid w:val="00911263"/>
    <w:rsid w:val="00915294"/>
    <w:rsid w:val="00920C4C"/>
    <w:rsid w:val="0092339F"/>
    <w:rsid w:val="00923F06"/>
    <w:rsid w:val="009263A4"/>
    <w:rsid w:val="00927A9C"/>
    <w:rsid w:val="009322F3"/>
    <w:rsid w:val="00932D26"/>
    <w:rsid w:val="0093431D"/>
    <w:rsid w:val="009344E3"/>
    <w:rsid w:val="00935B6B"/>
    <w:rsid w:val="00937E49"/>
    <w:rsid w:val="0094047B"/>
    <w:rsid w:val="00940C8B"/>
    <w:rsid w:val="0094337E"/>
    <w:rsid w:val="00944227"/>
    <w:rsid w:val="00945036"/>
    <w:rsid w:val="00945DF1"/>
    <w:rsid w:val="00946FF0"/>
    <w:rsid w:val="00950037"/>
    <w:rsid w:val="00950936"/>
    <w:rsid w:val="00950BE3"/>
    <w:rsid w:val="00953A96"/>
    <w:rsid w:val="0095609F"/>
    <w:rsid w:val="009578E2"/>
    <w:rsid w:val="00960B10"/>
    <w:rsid w:val="0096238F"/>
    <w:rsid w:val="00964972"/>
    <w:rsid w:val="009662F1"/>
    <w:rsid w:val="009730A5"/>
    <w:rsid w:val="0097473A"/>
    <w:rsid w:val="009751F2"/>
    <w:rsid w:val="0097550F"/>
    <w:rsid w:val="009841DA"/>
    <w:rsid w:val="009870F1"/>
    <w:rsid w:val="00987658"/>
    <w:rsid w:val="00987E49"/>
    <w:rsid w:val="00995882"/>
    <w:rsid w:val="0099683E"/>
    <w:rsid w:val="009A3E85"/>
    <w:rsid w:val="009A5193"/>
    <w:rsid w:val="009A5F80"/>
    <w:rsid w:val="009A6053"/>
    <w:rsid w:val="009A7B67"/>
    <w:rsid w:val="009A7B85"/>
    <w:rsid w:val="009A7EC4"/>
    <w:rsid w:val="009B1A8C"/>
    <w:rsid w:val="009B24BF"/>
    <w:rsid w:val="009B2A06"/>
    <w:rsid w:val="009B3075"/>
    <w:rsid w:val="009B4D05"/>
    <w:rsid w:val="009B6BBD"/>
    <w:rsid w:val="009B72ED"/>
    <w:rsid w:val="009B7BD4"/>
    <w:rsid w:val="009C2208"/>
    <w:rsid w:val="009C4056"/>
    <w:rsid w:val="009C49FA"/>
    <w:rsid w:val="009C4D83"/>
    <w:rsid w:val="009C6A76"/>
    <w:rsid w:val="009D56D8"/>
    <w:rsid w:val="009D6360"/>
    <w:rsid w:val="009D67A7"/>
    <w:rsid w:val="009E1447"/>
    <w:rsid w:val="009E4589"/>
    <w:rsid w:val="009E458C"/>
    <w:rsid w:val="009E4E24"/>
    <w:rsid w:val="009F1BD0"/>
    <w:rsid w:val="009F409A"/>
    <w:rsid w:val="009F5E35"/>
    <w:rsid w:val="009F6473"/>
    <w:rsid w:val="009F7543"/>
    <w:rsid w:val="00A00253"/>
    <w:rsid w:val="00A00673"/>
    <w:rsid w:val="00A00FCD"/>
    <w:rsid w:val="00A0130C"/>
    <w:rsid w:val="00A03CFA"/>
    <w:rsid w:val="00A0455D"/>
    <w:rsid w:val="00A063CB"/>
    <w:rsid w:val="00A101CD"/>
    <w:rsid w:val="00A1210A"/>
    <w:rsid w:val="00A17D93"/>
    <w:rsid w:val="00A22BF3"/>
    <w:rsid w:val="00A2557C"/>
    <w:rsid w:val="00A262C4"/>
    <w:rsid w:val="00A26D8B"/>
    <w:rsid w:val="00A311EC"/>
    <w:rsid w:val="00A3477B"/>
    <w:rsid w:val="00A37564"/>
    <w:rsid w:val="00A422FC"/>
    <w:rsid w:val="00A43981"/>
    <w:rsid w:val="00A439DC"/>
    <w:rsid w:val="00A55F00"/>
    <w:rsid w:val="00A56C07"/>
    <w:rsid w:val="00A60DB3"/>
    <w:rsid w:val="00A614F3"/>
    <w:rsid w:val="00A61CDB"/>
    <w:rsid w:val="00A624FE"/>
    <w:rsid w:val="00A632EE"/>
    <w:rsid w:val="00A64C57"/>
    <w:rsid w:val="00A6578B"/>
    <w:rsid w:val="00A66DD2"/>
    <w:rsid w:val="00A67709"/>
    <w:rsid w:val="00A70B89"/>
    <w:rsid w:val="00A722B7"/>
    <w:rsid w:val="00A73EFF"/>
    <w:rsid w:val="00A747F7"/>
    <w:rsid w:val="00A76CF2"/>
    <w:rsid w:val="00A77EAF"/>
    <w:rsid w:val="00A80700"/>
    <w:rsid w:val="00A824A4"/>
    <w:rsid w:val="00A8287E"/>
    <w:rsid w:val="00A84007"/>
    <w:rsid w:val="00A902B2"/>
    <w:rsid w:val="00A9073A"/>
    <w:rsid w:val="00A90B57"/>
    <w:rsid w:val="00A93C5F"/>
    <w:rsid w:val="00A97621"/>
    <w:rsid w:val="00AA1BF7"/>
    <w:rsid w:val="00AA1DEB"/>
    <w:rsid w:val="00AA25D7"/>
    <w:rsid w:val="00AB0F79"/>
    <w:rsid w:val="00AB1A90"/>
    <w:rsid w:val="00AB360D"/>
    <w:rsid w:val="00AB45BD"/>
    <w:rsid w:val="00AB47C9"/>
    <w:rsid w:val="00AB4B64"/>
    <w:rsid w:val="00AB5619"/>
    <w:rsid w:val="00AB62FC"/>
    <w:rsid w:val="00AB7089"/>
    <w:rsid w:val="00AB757D"/>
    <w:rsid w:val="00AB7E59"/>
    <w:rsid w:val="00AC15B4"/>
    <w:rsid w:val="00AC1A04"/>
    <w:rsid w:val="00AC3CD4"/>
    <w:rsid w:val="00AC3DEB"/>
    <w:rsid w:val="00AC4D1A"/>
    <w:rsid w:val="00AD0E39"/>
    <w:rsid w:val="00AD0FC0"/>
    <w:rsid w:val="00AD17C5"/>
    <w:rsid w:val="00AD2F56"/>
    <w:rsid w:val="00AD47EE"/>
    <w:rsid w:val="00AE18E8"/>
    <w:rsid w:val="00AE253A"/>
    <w:rsid w:val="00AE2F2E"/>
    <w:rsid w:val="00AE561A"/>
    <w:rsid w:val="00AE57C4"/>
    <w:rsid w:val="00AF05AC"/>
    <w:rsid w:val="00AF7B92"/>
    <w:rsid w:val="00B02526"/>
    <w:rsid w:val="00B03DF0"/>
    <w:rsid w:val="00B049F2"/>
    <w:rsid w:val="00B05531"/>
    <w:rsid w:val="00B05C13"/>
    <w:rsid w:val="00B10767"/>
    <w:rsid w:val="00B13B32"/>
    <w:rsid w:val="00B147B3"/>
    <w:rsid w:val="00B16630"/>
    <w:rsid w:val="00B16F20"/>
    <w:rsid w:val="00B172D7"/>
    <w:rsid w:val="00B17A1D"/>
    <w:rsid w:val="00B20A6E"/>
    <w:rsid w:val="00B21123"/>
    <w:rsid w:val="00B22A0D"/>
    <w:rsid w:val="00B23F24"/>
    <w:rsid w:val="00B251A3"/>
    <w:rsid w:val="00B25D1C"/>
    <w:rsid w:val="00B2738A"/>
    <w:rsid w:val="00B32CF2"/>
    <w:rsid w:val="00B35FB3"/>
    <w:rsid w:val="00B36285"/>
    <w:rsid w:val="00B365DB"/>
    <w:rsid w:val="00B36A66"/>
    <w:rsid w:val="00B36B4E"/>
    <w:rsid w:val="00B3767A"/>
    <w:rsid w:val="00B41D64"/>
    <w:rsid w:val="00B432C2"/>
    <w:rsid w:val="00B43CA0"/>
    <w:rsid w:val="00B45AD7"/>
    <w:rsid w:val="00B46380"/>
    <w:rsid w:val="00B47215"/>
    <w:rsid w:val="00B5022F"/>
    <w:rsid w:val="00B5208B"/>
    <w:rsid w:val="00B52E52"/>
    <w:rsid w:val="00B56990"/>
    <w:rsid w:val="00B61A59"/>
    <w:rsid w:val="00B62798"/>
    <w:rsid w:val="00B631B4"/>
    <w:rsid w:val="00B63B08"/>
    <w:rsid w:val="00B65E1D"/>
    <w:rsid w:val="00B672F1"/>
    <w:rsid w:val="00B741EE"/>
    <w:rsid w:val="00B756AE"/>
    <w:rsid w:val="00B765A5"/>
    <w:rsid w:val="00B80CC3"/>
    <w:rsid w:val="00B83026"/>
    <w:rsid w:val="00B8350A"/>
    <w:rsid w:val="00B836A9"/>
    <w:rsid w:val="00B83D82"/>
    <w:rsid w:val="00B857A8"/>
    <w:rsid w:val="00B85E3F"/>
    <w:rsid w:val="00B86E94"/>
    <w:rsid w:val="00B874AF"/>
    <w:rsid w:val="00B87B53"/>
    <w:rsid w:val="00B92D55"/>
    <w:rsid w:val="00B92E90"/>
    <w:rsid w:val="00B9399A"/>
    <w:rsid w:val="00B93B79"/>
    <w:rsid w:val="00B94E14"/>
    <w:rsid w:val="00B957EB"/>
    <w:rsid w:val="00BA0B99"/>
    <w:rsid w:val="00BA70FE"/>
    <w:rsid w:val="00BA73D1"/>
    <w:rsid w:val="00BB0B14"/>
    <w:rsid w:val="00BB276F"/>
    <w:rsid w:val="00BB3C2A"/>
    <w:rsid w:val="00BB4B42"/>
    <w:rsid w:val="00BB4EBE"/>
    <w:rsid w:val="00BB60FB"/>
    <w:rsid w:val="00BC0453"/>
    <w:rsid w:val="00BC2062"/>
    <w:rsid w:val="00BD09CD"/>
    <w:rsid w:val="00BD3C56"/>
    <w:rsid w:val="00BD52DF"/>
    <w:rsid w:val="00BD7AA1"/>
    <w:rsid w:val="00BE2552"/>
    <w:rsid w:val="00BE3079"/>
    <w:rsid w:val="00BE42A4"/>
    <w:rsid w:val="00BE53E8"/>
    <w:rsid w:val="00BE6DF2"/>
    <w:rsid w:val="00BE7A2C"/>
    <w:rsid w:val="00BF0039"/>
    <w:rsid w:val="00BF4B78"/>
    <w:rsid w:val="00BF775D"/>
    <w:rsid w:val="00C00158"/>
    <w:rsid w:val="00C00E8A"/>
    <w:rsid w:val="00C05F76"/>
    <w:rsid w:val="00C11A64"/>
    <w:rsid w:val="00C11BD0"/>
    <w:rsid w:val="00C12285"/>
    <w:rsid w:val="00C149A2"/>
    <w:rsid w:val="00C16935"/>
    <w:rsid w:val="00C24880"/>
    <w:rsid w:val="00C274BD"/>
    <w:rsid w:val="00C33119"/>
    <w:rsid w:val="00C36FA6"/>
    <w:rsid w:val="00C37887"/>
    <w:rsid w:val="00C40EA6"/>
    <w:rsid w:val="00C43A45"/>
    <w:rsid w:val="00C43E62"/>
    <w:rsid w:val="00C440A0"/>
    <w:rsid w:val="00C451BE"/>
    <w:rsid w:val="00C479B9"/>
    <w:rsid w:val="00C53E8B"/>
    <w:rsid w:val="00C54787"/>
    <w:rsid w:val="00C552E1"/>
    <w:rsid w:val="00C5692B"/>
    <w:rsid w:val="00C57B84"/>
    <w:rsid w:val="00C57FDD"/>
    <w:rsid w:val="00C61308"/>
    <w:rsid w:val="00C624DD"/>
    <w:rsid w:val="00C651F5"/>
    <w:rsid w:val="00C70351"/>
    <w:rsid w:val="00C70E5A"/>
    <w:rsid w:val="00C74307"/>
    <w:rsid w:val="00C752C0"/>
    <w:rsid w:val="00C767C9"/>
    <w:rsid w:val="00C8278F"/>
    <w:rsid w:val="00C8343C"/>
    <w:rsid w:val="00C834F1"/>
    <w:rsid w:val="00C840F6"/>
    <w:rsid w:val="00C851B4"/>
    <w:rsid w:val="00C852D5"/>
    <w:rsid w:val="00C857CB"/>
    <w:rsid w:val="00C86992"/>
    <w:rsid w:val="00C8740F"/>
    <w:rsid w:val="00C91B73"/>
    <w:rsid w:val="00C93B98"/>
    <w:rsid w:val="00CA2BDC"/>
    <w:rsid w:val="00CA4476"/>
    <w:rsid w:val="00CB035D"/>
    <w:rsid w:val="00CB0622"/>
    <w:rsid w:val="00CB0F39"/>
    <w:rsid w:val="00CB10C2"/>
    <w:rsid w:val="00CB466B"/>
    <w:rsid w:val="00CC0B15"/>
    <w:rsid w:val="00CC23EC"/>
    <w:rsid w:val="00CC2DD0"/>
    <w:rsid w:val="00CC2EFD"/>
    <w:rsid w:val="00CC6239"/>
    <w:rsid w:val="00CC740F"/>
    <w:rsid w:val="00CD4EBC"/>
    <w:rsid w:val="00CE03AB"/>
    <w:rsid w:val="00CE1FBB"/>
    <w:rsid w:val="00CE21C0"/>
    <w:rsid w:val="00CE2D8F"/>
    <w:rsid w:val="00CE623C"/>
    <w:rsid w:val="00CE62EA"/>
    <w:rsid w:val="00CF1A28"/>
    <w:rsid w:val="00CF3333"/>
    <w:rsid w:val="00CF55BB"/>
    <w:rsid w:val="00CF614C"/>
    <w:rsid w:val="00CF7209"/>
    <w:rsid w:val="00D019BB"/>
    <w:rsid w:val="00D037BD"/>
    <w:rsid w:val="00D0487A"/>
    <w:rsid w:val="00D06CC3"/>
    <w:rsid w:val="00D07D24"/>
    <w:rsid w:val="00D1202E"/>
    <w:rsid w:val="00D125BE"/>
    <w:rsid w:val="00D13FD0"/>
    <w:rsid w:val="00D144FC"/>
    <w:rsid w:val="00D16213"/>
    <w:rsid w:val="00D17070"/>
    <w:rsid w:val="00D20B63"/>
    <w:rsid w:val="00D21D11"/>
    <w:rsid w:val="00D221E0"/>
    <w:rsid w:val="00D27184"/>
    <w:rsid w:val="00D276F5"/>
    <w:rsid w:val="00D354A3"/>
    <w:rsid w:val="00D3624B"/>
    <w:rsid w:val="00D43706"/>
    <w:rsid w:val="00D45D2B"/>
    <w:rsid w:val="00D46632"/>
    <w:rsid w:val="00D46D73"/>
    <w:rsid w:val="00D47EF8"/>
    <w:rsid w:val="00D50CF5"/>
    <w:rsid w:val="00D525A9"/>
    <w:rsid w:val="00D555DA"/>
    <w:rsid w:val="00D56D62"/>
    <w:rsid w:val="00D5727B"/>
    <w:rsid w:val="00D573F4"/>
    <w:rsid w:val="00D57CE4"/>
    <w:rsid w:val="00D60829"/>
    <w:rsid w:val="00D629F7"/>
    <w:rsid w:val="00D63960"/>
    <w:rsid w:val="00D66C41"/>
    <w:rsid w:val="00D67F1C"/>
    <w:rsid w:val="00D719F2"/>
    <w:rsid w:val="00D71B09"/>
    <w:rsid w:val="00D71DAD"/>
    <w:rsid w:val="00D73AF0"/>
    <w:rsid w:val="00D7469A"/>
    <w:rsid w:val="00D74B83"/>
    <w:rsid w:val="00D83579"/>
    <w:rsid w:val="00D8624B"/>
    <w:rsid w:val="00D93BE4"/>
    <w:rsid w:val="00D94CC2"/>
    <w:rsid w:val="00D95FB8"/>
    <w:rsid w:val="00DA5AC6"/>
    <w:rsid w:val="00DB1BC6"/>
    <w:rsid w:val="00DB2259"/>
    <w:rsid w:val="00DB2EE6"/>
    <w:rsid w:val="00DB47E1"/>
    <w:rsid w:val="00DB6236"/>
    <w:rsid w:val="00DB6A37"/>
    <w:rsid w:val="00DB7015"/>
    <w:rsid w:val="00DB7937"/>
    <w:rsid w:val="00DC238E"/>
    <w:rsid w:val="00DC3D21"/>
    <w:rsid w:val="00DC4688"/>
    <w:rsid w:val="00DC767C"/>
    <w:rsid w:val="00DD134E"/>
    <w:rsid w:val="00DD1FDC"/>
    <w:rsid w:val="00DD26B1"/>
    <w:rsid w:val="00DD328F"/>
    <w:rsid w:val="00DD6D38"/>
    <w:rsid w:val="00DE2F86"/>
    <w:rsid w:val="00DE433B"/>
    <w:rsid w:val="00DE59DE"/>
    <w:rsid w:val="00DE68D2"/>
    <w:rsid w:val="00DE6BD2"/>
    <w:rsid w:val="00DF2030"/>
    <w:rsid w:val="00DF5F71"/>
    <w:rsid w:val="00E0730D"/>
    <w:rsid w:val="00E10197"/>
    <w:rsid w:val="00E11244"/>
    <w:rsid w:val="00E12683"/>
    <w:rsid w:val="00E12D56"/>
    <w:rsid w:val="00E1575D"/>
    <w:rsid w:val="00E16112"/>
    <w:rsid w:val="00E1618C"/>
    <w:rsid w:val="00E16CAE"/>
    <w:rsid w:val="00E16D9F"/>
    <w:rsid w:val="00E212E9"/>
    <w:rsid w:val="00E21F86"/>
    <w:rsid w:val="00E2356C"/>
    <w:rsid w:val="00E23844"/>
    <w:rsid w:val="00E23B54"/>
    <w:rsid w:val="00E26F4B"/>
    <w:rsid w:val="00E32512"/>
    <w:rsid w:val="00E369E8"/>
    <w:rsid w:val="00E4449B"/>
    <w:rsid w:val="00E447F5"/>
    <w:rsid w:val="00E44CF6"/>
    <w:rsid w:val="00E46E37"/>
    <w:rsid w:val="00E515DB"/>
    <w:rsid w:val="00E51D5E"/>
    <w:rsid w:val="00E52534"/>
    <w:rsid w:val="00E52AE2"/>
    <w:rsid w:val="00E54F7C"/>
    <w:rsid w:val="00E64489"/>
    <w:rsid w:val="00E65CD7"/>
    <w:rsid w:val="00E6744E"/>
    <w:rsid w:val="00E73AC0"/>
    <w:rsid w:val="00E74932"/>
    <w:rsid w:val="00E74B9B"/>
    <w:rsid w:val="00E76A74"/>
    <w:rsid w:val="00E770B1"/>
    <w:rsid w:val="00E9018C"/>
    <w:rsid w:val="00E92A0B"/>
    <w:rsid w:val="00E93957"/>
    <w:rsid w:val="00E94B39"/>
    <w:rsid w:val="00E9654E"/>
    <w:rsid w:val="00EA00A0"/>
    <w:rsid w:val="00EA2856"/>
    <w:rsid w:val="00EA4008"/>
    <w:rsid w:val="00EA406E"/>
    <w:rsid w:val="00EA52D3"/>
    <w:rsid w:val="00EA613F"/>
    <w:rsid w:val="00EA7B87"/>
    <w:rsid w:val="00EA7FE8"/>
    <w:rsid w:val="00EB1130"/>
    <w:rsid w:val="00EB2329"/>
    <w:rsid w:val="00EB4FA8"/>
    <w:rsid w:val="00EB646B"/>
    <w:rsid w:val="00EC13C0"/>
    <w:rsid w:val="00EC7541"/>
    <w:rsid w:val="00ED1C36"/>
    <w:rsid w:val="00ED35F4"/>
    <w:rsid w:val="00ED3727"/>
    <w:rsid w:val="00ED3C67"/>
    <w:rsid w:val="00ED3FF4"/>
    <w:rsid w:val="00EE137C"/>
    <w:rsid w:val="00EE294C"/>
    <w:rsid w:val="00EE4578"/>
    <w:rsid w:val="00EE4E65"/>
    <w:rsid w:val="00EE4F6E"/>
    <w:rsid w:val="00EE550A"/>
    <w:rsid w:val="00EE5A11"/>
    <w:rsid w:val="00EE5F13"/>
    <w:rsid w:val="00EF2C6B"/>
    <w:rsid w:val="00EF31F6"/>
    <w:rsid w:val="00EF3203"/>
    <w:rsid w:val="00EF4A14"/>
    <w:rsid w:val="00EF536C"/>
    <w:rsid w:val="00EF5820"/>
    <w:rsid w:val="00EF5B5D"/>
    <w:rsid w:val="00EF7C27"/>
    <w:rsid w:val="00F00C19"/>
    <w:rsid w:val="00F01161"/>
    <w:rsid w:val="00F013A8"/>
    <w:rsid w:val="00F0169E"/>
    <w:rsid w:val="00F0193B"/>
    <w:rsid w:val="00F050B9"/>
    <w:rsid w:val="00F10356"/>
    <w:rsid w:val="00F120F3"/>
    <w:rsid w:val="00F12190"/>
    <w:rsid w:val="00F13C60"/>
    <w:rsid w:val="00F16964"/>
    <w:rsid w:val="00F17593"/>
    <w:rsid w:val="00F17DB4"/>
    <w:rsid w:val="00F208BD"/>
    <w:rsid w:val="00F221E9"/>
    <w:rsid w:val="00F234CE"/>
    <w:rsid w:val="00F2595F"/>
    <w:rsid w:val="00F272FB"/>
    <w:rsid w:val="00F27AB3"/>
    <w:rsid w:val="00F3218F"/>
    <w:rsid w:val="00F34120"/>
    <w:rsid w:val="00F37A90"/>
    <w:rsid w:val="00F41443"/>
    <w:rsid w:val="00F434F4"/>
    <w:rsid w:val="00F45D33"/>
    <w:rsid w:val="00F517A5"/>
    <w:rsid w:val="00F55A14"/>
    <w:rsid w:val="00F575B2"/>
    <w:rsid w:val="00F615AD"/>
    <w:rsid w:val="00F62483"/>
    <w:rsid w:val="00F62916"/>
    <w:rsid w:val="00F63D9A"/>
    <w:rsid w:val="00F64DCB"/>
    <w:rsid w:val="00F653CF"/>
    <w:rsid w:val="00F663AF"/>
    <w:rsid w:val="00F6777A"/>
    <w:rsid w:val="00F70275"/>
    <w:rsid w:val="00F717AE"/>
    <w:rsid w:val="00F72867"/>
    <w:rsid w:val="00F76C95"/>
    <w:rsid w:val="00F77C54"/>
    <w:rsid w:val="00F801CE"/>
    <w:rsid w:val="00F87F6A"/>
    <w:rsid w:val="00F91734"/>
    <w:rsid w:val="00F92E03"/>
    <w:rsid w:val="00F93172"/>
    <w:rsid w:val="00F95B58"/>
    <w:rsid w:val="00F969FD"/>
    <w:rsid w:val="00F96E3B"/>
    <w:rsid w:val="00FA02D2"/>
    <w:rsid w:val="00FA032D"/>
    <w:rsid w:val="00FA0CC3"/>
    <w:rsid w:val="00FA421F"/>
    <w:rsid w:val="00FA4BC4"/>
    <w:rsid w:val="00FB013E"/>
    <w:rsid w:val="00FB1A4F"/>
    <w:rsid w:val="00FB21F0"/>
    <w:rsid w:val="00FB25B5"/>
    <w:rsid w:val="00FB4B54"/>
    <w:rsid w:val="00FB65E1"/>
    <w:rsid w:val="00FB743C"/>
    <w:rsid w:val="00FB7D26"/>
    <w:rsid w:val="00FC31C5"/>
    <w:rsid w:val="00FC4C8A"/>
    <w:rsid w:val="00FC7BB4"/>
    <w:rsid w:val="00FD1428"/>
    <w:rsid w:val="00FD25DA"/>
    <w:rsid w:val="00FD307B"/>
    <w:rsid w:val="00FD3D27"/>
    <w:rsid w:val="00FD69A2"/>
    <w:rsid w:val="00FE034E"/>
    <w:rsid w:val="00FE1E4F"/>
    <w:rsid w:val="00FE411D"/>
    <w:rsid w:val="00FE515F"/>
    <w:rsid w:val="00FE68E4"/>
    <w:rsid w:val="00FF0B85"/>
    <w:rsid w:val="00FF2606"/>
    <w:rsid w:val="00FF3063"/>
    <w:rsid w:val="00FF34A3"/>
    <w:rsid w:val="00FF6E1B"/>
    <w:rsid w:val="00FF7763"/>
    <w:rsid w:val="00FF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9E20B"/>
  <w15:chartTrackingRefBased/>
  <w15:docId w15:val="{928F21EF-EB47-48E2-9B8F-A669906B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5"/>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5"/>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5"/>
      </w:numPr>
      <w:spacing w:before="240" w:after="40"/>
      <w:outlineLvl w:val="3"/>
    </w:pPr>
    <w:rPr>
      <w:b/>
      <w:i/>
      <w:color w:val="000000"/>
    </w:rPr>
  </w:style>
  <w:style w:type="paragraph" w:styleId="Heading5">
    <w:name w:val="heading 5"/>
    <w:basedOn w:val="Normal"/>
    <w:next w:val="Normal"/>
    <w:qFormat/>
    <w:rsid w:val="004A2EB8"/>
    <w:pPr>
      <w:keepNext/>
      <w:numPr>
        <w:ilvl w:val="4"/>
        <w:numId w:val="5"/>
      </w:numPr>
      <w:spacing w:before="220" w:after="40"/>
      <w:outlineLvl w:val="4"/>
    </w:pPr>
    <w:rPr>
      <w:color w:val="000000"/>
    </w:rPr>
  </w:style>
  <w:style w:type="paragraph" w:styleId="Heading6">
    <w:name w:val="heading 6"/>
    <w:basedOn w:val="Normal"/>
    <w:next w:val="Style1"/>
    <w:link w:val="Heading6Char"/>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5"/>
      </w:numPr>
      <w:tabs>
        <w:tab w:val="clear" w:pos="1013"/>
        <w:tab w:val="left" w:pos="993"/>
      </w:tabs>
      <w:spacing w:after="60"/>
      <w:outlineLvl w:val="6"/>
    </w:pPr>
    <w:rPr>
      <w:color w:val="000000"/>
      <w:sz w:val="20"/>
    </w:rPr>
  </w:style>
  <w:style w:type="paragraph" w:styleId="Heading8">
    <w:name w:val="heading 8"/>
    <w:basedOn w:val="Normal"/>
    <w:next w:val="Normal"/>
    <w:qFormat/>
    <w:rsid w:val="004A2EB8"/>
    <w:pPr>
      <w:numPr>
        <w:ilvl w:val="7"/>
        <w:numId w:val="5"/>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5"/>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6"/>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2"/>
      </w:numPr>
      <w:tabs>
        <w:tab w:val="left" w:pos="851"/>
      </w:tabs>
    </w:pPr>
    <w:rPr>
      <w:color w:val="000000"/>
      <w:sz w:val="20"/>
    </w:rPr>
  </w:style>
  <w:style w:type="paragraph" w:customStyle="1" w:styleId="Style1">
    <w:name w:val="Style1"/>
    <w:basedOn w:val="Heading1"/>
    <w:link w:val="Style1Char"/>
    <w:qFormat/>
    <w:rsid w:val="00C8740F"/>
    <w:pPr>
      <w:keepNext w:val="0"/>
      <w:widowControl/>
      <w:numPr>
        <w:numId w:val="5"/>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7"/>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6"/>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4"/>
      </w:numPr>
      <w:tabs>
        <w:tab w:val="clear" w:pos="720"/>
      </w:tabs>
      <w:spacing w:before="60"/>
      <w:ind w:left="2174" w:hanging="547"/>
    </w:pPr>
    <w:rPr>
      <w:rFonts w:ascii="Verdana" w:hAnsi="Verdana"/>
    </w:rPr>
  </w:style>
  <w:style w:type="paragraph" w:styleId="ListNumber">
    <w:name w:val="List Number"/>
    <w:basedOn w:val="Normal"/>
    <w:pPr>
      <w:numPr>
        <w:numId w:val="3"/>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uiPriority w:val="99"/>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7C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05F0"/>
    <w:rPr>
      <w:rFonts w:ascii="Tahoma" w:hAnsi="Tahoma" w:cs="Tahoma"/>
      <w:sz w:val="16"/>
      <w:szCs w:val="16"/>
    </w:rPr>
  </w:style>
  <w:style w:type="character" w:styleId="FootnoteReference">
    <w:name w:val="footnote reference"/>
    <w:uiPriority w:val="99"/>
    <w:semiHidden/>
    <w:rsid w:val="00920C4C"/>
    <w:rPr>
      <w:vertAlign w:val="superscript"/>
    </w:rPr>
  </w:style>
  <w:style w:type="character" w:customStyle="1" w:styleId="Heading6Char">
    <w:name w:val="Heading 6 Char"/>
    <w:link w:val="Heading6"/>
    <w:rsid w:val="00D74B83"/>
    <w:rPr>
      <w:rFonts w:ascii="Verdana" w:hAnsi="Verdana"/>
      <w:b/>
      <w:color w:val="000000"/>
      <w:sz w:val="22"/>
      <w:szCs w:val="22"/>
    </w:rPr>
  </w:style>
  <w:style w:type="character" w:customStyle="1" w:styleId="FootnoteTextChar">
    <w:name w:val="Footnote Text Char"/>
    <w:link w:val="FootnoteText"/>
    <w:uiPriority w:val="99"/>
    <w:semiHidden/>
    <w:rsid w:val="00166B11"/>
    <w:rPr>
      <w:rFonts w:ascii="Verdana" w:hAnsi="Verdana"/>
      <w:sz w:val="16"/>
    </w:rPr>
  </w:style>
  <w:style w:type="paragraph" w:styleId="ListParagraph">
    <w:name w:val="List Paragraph"/>
    <w:basedOn w:val="Normal"/>
    <w:uiPriority w:val="34"/>
    <w:qFormat/>
    <w:rsid w:val="00166B11"/>
    <w:pPr>
      <w:ind w:left="720"/>
      <w:contextualSpacing/>
    </w:pPr>
    <w:rPr>
      <w:sz w:val="24"/>
      <w:szCs w:val="24"/>
    </w:rPr>
  </w:style>
  <w:style w:type="paragraph" w:customStyle="1" w:styleId="Default">
    <w:name w:val="Default"/>
    <w:rsid w:val="00166B11"/>
    <w:pPr>
      <w:autoSpaceDE w:val="0"/>
      <w:autoSpaceDN w:val="0"/>
      <w:adjustRightInd w:val="0"/>
    </w:pPr>
    <w:rPr>
      <w:rFonts w:ascii="Verdana" w:eastAsia="Calibri" w:hAnsi="Verdana" w:cs="Verdana"/>
      <w:color w:val="000000"/>
      <w:sz w:val="24"/>
      <w:szCs w:val="24"/>
      <w:lang w:eastAsia="en-US"/>
    </w:rPr>
  </w:style>
  <w:style w:type="character" w:customStyle="1" w:styleId="Style1Char">
    <w:name w:val="Style1 Char"/>
    <w:link w:val="Style1"/>
    <w:rsid w:val="00D71B09"/>
    <w:rPr>
      <w:rFonts w:ascii="Verdana" w:hAnsi="Verdana"/>
      <w:color w:val="000000"/>
      <w:kern w:val="28"/>
      <w:sz w:val="22"/>
    </w:rPr>
  </w:style>
  <w:style w:type="paragraph" w:styleId="Quote">
    <w:name w:val="Quote"/>
    <w:basedOn w:val="Normal"/>
    <w:next w:val="Normal"/>
    <w:link w:val="QuoteChar"/>
    <w:uiPriority w:val="29"/>
    <w:qFormat/>
    <w:rsid w:val="00EE5A11"/>
    <w:pPr>
      <w:spacing w:before="160" w:after="160" w:line="278" w:lineRule="auto"/>
      <w:jc w:val="center"/>
    </w:pPr>
    <w:rPr>
      <w:rFonts w:ascii="Aptos" w:hAnsi="Aptos"/>
      <w:i/>
      <w:iCs/>
      <w:color w:val="404040"/>
      <w:kern w:val="2"/>
      <w:sz w:val="24"/>
      <w:szCs w:val="24"/>
    </w:rPr>
  </w:style>
  <w:style w:type="character" w:customStyle="1" w:styleId="QuoteChar">
    <w:name w:val="Quote Char"/>
    <w:link w:val="Quote"/>
    <w:uiPriority w:val="29"/>
    <w:rsid w:val="00EE5A11"/>
    <w:rPr>
      <w:rFonts w:ascii="Aptos" w:hAnsi="Aptos"/>
      <w:i/>
      <w:iCs/>
      <w:color w:val="404040"/>
      <w:kern w:val="2"/>
      <w:sz w:val="24"/>
      <w:szCs w:val="24"/>
    </w:rPr>
  </w:style>
  <w:style w:type="paragraph" w:customStyle="1" w:styleId="paragraph">
    <w:name w:val="paragraph"/>
    <w:basedOn w:val="Normal"/>
    <w:rsid w:val="001C640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C6409"/>
  </w:style>
  <w:style w:type="character" w:customStyle="1" w:styleId="eop">
    <w:name w:val="eop"/>
    <w:basedOn w:val="DefaultParagraphFont"/>
    <w:rsid w:val="001C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701">
      <w:bodyDiv w:val="1"/>
      <w:marLeft w:val="0"/>
      <w:marRight w:val="0"/>
      <w:marTop w:val="0"/>
      <w:marBottom w:val="0"/>
      <w:divBdr>
        <w:top w:val="none" w:sz="0" w:space="0" w:color="auto"/>
        <w:left w:val="none" w:sz="0" w:space="0" w:color="auto"/>
        <w:bottom w:val="none" w:sz="0" w:space="0" w:color="auto"/>
        <w:right w:val="none" w:sz="0" w:space="0" w:color="auto"/>
      </w:divBdr>
    </w:div>
    <w:div w:id="132218534">
      <w:bodyDiv w:val="1"/>
      <w:marLeft w:val="0"/>
      <w:marRight w:val="0"/>
      <w:marTop w:val="0"/>
      <w:marBottom w:val="0"/>
      <w:divBdr>
        <w:top w:val="none" w:sz="0" w:space="0" w:color="auto"/>
        <w:left w:val="none" w:sz="0" w:space="0" w:color="auto"/>
        <w:bottom w:val="none" w:sz="0" w:space="0" w:color="auto"/>
        <w:right w:val="none" w:sz="0" w:space="0" w:color="auto"/>
      </w:divBdr>
    </w:div>
    <w:div w:id="208107251">
      <w:bodyDiv w:val="1"/>
      <w:marLeft w:val="0"/>
      <w:marRight w:val="0"/>
      <w:marTop w:val="0"/>
      <w:marBottom w:val="0"/>
      <w:divBdr>
        <w:top w:val="none" w:sz="0" w:space="0" w:color="auto"/>
        <w:left w:val="none" w:sz="0" w:space="0" w:color="auto"/>
        <w:bottom w:val="none" w:sz="0" w:space="0" w:color="auto"/>
        <w:right w:val="none" w:sz="0" w:space="0" w:color="auto"/>
      </w:divBdr>
    </w:div>
    <w:div w:id="211232226">
      <w:bodyDiv w:val="1"/>
      <w:marLeft w:val="0"/>
      <w:marRight w:val="0"/>
      <w:marTop w:val="0"/>
      <w:marBottom w:val="0"/>
      <w:divBdr>
        <w:top w:val="none" w:sz="0" w:space="0" w:color="auto"/>
        <w:left w:val="none" w:sz="0" w:space="0" w:color="auto"/>
        <w:bottom w:val="none" w:sz="0" w:space="0" w:color="auto"/>
        <w:right w:val="none" w:sz="0" w:space="0" w:color="auto"/>
      </w:divBdr>
      <w:divsChild>
        <w:div w:id="104809814">
          <w:marLeft w:val="0"/>
          <w:marRight w:val="0"/>
          <w:marTop w:val="0"/>
          <w:marBottom w:val="0"/>
          <w:divBdr>
            <w:top w:val="none" w:sz="0" w:space="0" w:color="auto"/>
            <w:left w:val="none" w:sz="0" w:space="0" w:color="auto"/>
            <w:bottom w:val="none" w:sz="0" w:space="0" w:color="auto"/>
            <w:right w:val="none" w:sz="0" w:space="0" w:color="auto"/>
          </w:divBdr>
        </w:div>
        <w:div w:id="394089503">
          <w:marLeft w:val="0"/>
          <w:marRight w:val="0"/>
          <w:marTop w:val="0"/>
          <w:marBottom w:val="0"/>
          <w:divBdr>
            <w:top w:val="none" w:sz="0" w:space="0" w:color="auto"/>
            <w:left w:val="none" w:sz="0" w:space="0" w:color="auto"/>
            <w:bottom w:val="none" w:sz="0" w:space="0" w:color="auto"/>
            <w:right w:val="none" w:sz="0" w:space="0" w:color="auto"/>
          </w:divBdr>
        </w:div>
        <w:div w:id="551160966">
          <w:marLeft w:val="0"/>
          <w:marRight w:val="0"/>
          <w:marTop w:val="0"/>
          <w:marBottom w:val="0"/>
          <w:divBdr>
            <w:top w:val="none" w:sz="0" w:space="0" w:color="auto"/>
            <w:left w:val="none" w:sz="0" w:space="0" w:color="auto"/>
            <w:bottom w:val="none" w:sz="0" w:space="0" w:color="auto"/>
            <w:right w:val="none" w:sz="0" w:space="0" w:color="auto"/>
          </w:divBdr>
        </w:div>
        <w:div w:id="1264219297">
          <w:marLeft w:val="0"/>
          <w:marRight w:val="0"/>
          <w:marTop w:val="0"/>
          <w:marBottom w:val="0"/>
          <w:divBdr>
            <w:top w:val="none" w:sz="0" w:space="0" w:color="auto"/>
            <w:left w:val="none" w:sz="0" w:space="0" w:color="auto"/>
            <w:bottom w:val="none" w:sz="0" w:space="0" w:color="auto"/>
            <w:right w:val="none" w:sz="0" w:space="0" w:color="auto"/>
          </w:divBdr>
        </w:div>
        <w:div w:id="1649894033">
          <w:marLeft w:val="0"/>
          <w:marRight w:val="0"/>
          <w:marTop w:val="0"/>
          <w:marBottom w:val="0"/>
          <w:divBdr>
            <w:top w:val="none" w:sz="0" w:space="0" w:color="auto"/>
            <w:left w:val="none" w:sz="0" w:space="0" w:color="auto"/>
            <w:bottom w:val="none" w:sz="0" w:space="0" w:color="auto"/>
            <w:right w:val="none" w:sz="0" w:space="0" w:color="auto"/>
          </w:divBdr>
        </w:div>
        <w:div w:id="2043939003">
          <w:marLeft w:val="0"/>
          <w:marRight w:val="0"/>
          <w:marTop w:val="0"/>
          <w:marBottom w:val="0"/>
          <w:divBdr>
            <w:top w:val="none" w:sz="0" w:space="0" w:color="auto"/>
            <w:left w:val="none" w:sz="0" w:space="0" w:color="auto"/>
            <w:bottom w:val="none" w:sz="0" w:space="0" w:color="auto"/>
            <w:right w:val="none" w:sz="0" w:space="0" w:color="auto"/>
          </w:divBdr>
        </w:div>
      </w:divsChild>
    </w:div>
    <w:div w:id="352659156">
      <w:bodyDiv w:val="1"/>
      <w:marLeft w:val="0"/>
      <w:marRight w:val="0"/>
      <w:marTop w:val="0"/>
      <w:marBottom w:val="0"/>
      <w:divBdr>
        <w:top w:val="none" w:sz="0" w:space="0" w:color="auto"/>
        <w:left w:val="none" w:sz="0" w:space="0" w:color="auto"/>
        <w:bottom w:val="none" w:sz="0" w:space="0" w:color="auto"/>
        <w:right w:val="none" w:sz="0" w:space="0" w:color="auto"/>
      </w:divBdr>
    </w:div>
    <w:div w:id="474683438">
      <w:bodyDiv w:val="1"/>
      <w:marLeft w:val="0"/>
      <w:marRight w:val="0"/>
      <w:marTop w:val="0"/>
      <w:marBottom w:val="0"/>
      <w:divBdr>
        <w:top w:val="none" w:sz="0" w:space="0" w:color="auto"/>
        <w:left w:val="none" w:sz="0" w:space="0" w:color="auto"/>
        <w:bottom w:val="none" w:sz="0" w:space="0" w:color="auto"/>
        <w:right w:val="none" w:sz="0" w:space="0" w:color="auto"/>
      </w:divBdr>
    </w:div>
    <w:div w:id="567687797">
      <w:bodyDiv w:val="1"/>
      <w:marLeft w:val="0"/>
      <w:marRight w:val="0"/>
      <w:marTop w:val="0"/>
      <w:marBottom w:val="0"/>
      <w:divBdr>
        <w:top w:val="none" w:sz="0" w:space="0" w:color="auto"/>
        <w:left w:val="none" w:sz="0" w:space="0" w:color="auto"/>
        <w:bottom w:val="none" w:sz="0" w:space="0" w:color="auto"/>
        <w:right w:val="none" w:sz="0" w:space="0" w:color="auto"/>
      </w:divBdr>
    </w:div>
    <w:div w:id="588345806">
      <w:bodyDiv w:val="1"/>
      <w:marLeft w:val="0"/>
      <w:marRight w:val="0"/>
      <w:marTop w:val="0"/>
      <w:marBottom w:val="0"/>
      <w:divBdr>
        <w:top w:val="none" w:sz="0" w:space="0" w:color="auto"/>
        <w:left w:val="none" w:sz="0" w:space="0" w:color="auto"/>
        <w:bottom w:val="none" w:sz="0" w:space="0" w:color="auto"/>
        <w:right w:val="none" w:sz="0" w:space="0" w:color="auto"/>
      </w:divBdr>
    </w:div>
    <w:div w:id="702168205">
      <w:bodyDiv w:val="1"/>
      <w:marLeft w:val="0"/>
      <w:marRight w:val="0"/>
      <w:marTop w:val="0"/>
      <w:marBottom w:val="0"/>
      <w:divBdr>
        <w:top w:val="none" w:sz="0" w:space="0" w:color="auto"/>
        <w:left w:val="none" w:sz="0" w:space="0" w:color="auto"/>
        <w:bottom w:val="none" w:sz="0" w:space="0" w:color="auto"/>
        <w:right w:val="none" w:sz="0" w:space="0" w:color="auto"/>
      </w:divBdr>
      <w:divsChild>
        <w:div w:id="122315550">
          <w:marLeft w:val="0"/>
          <w:marRight w:val="0"/>
          <w:marTop w:val="0"/>
          <w:marBottom w:val="0"/>
          <w:divBdr>
            <w:top w:val="none" w:sz="0" w:space="0" w:color="auto"/>
            <w:left w:val="none" w:sz="0" w:space="0" w:color="auto"/>
            <w:bottom w:val="none" w:sz="0" w:space="0" w:color="auto"/>
            <w:right w:val="none" w:sz="0" w:space="0" w:color="auto"/>
          </w:divBdr>
        </w:div>
        <w:div w:id="221867525">
          <w:marLeft w:val="0"/>
          <w:marRight w:val="0"/>
          <w:marTop w:val="0"/>
          <w:marBottom w:val="0"/>
          <w:divBdr>
            <w:top w:val="none" w:sz="0" w:space="0" w:color="auto"/>
            <w:left w:val="none" w:sz="0" w:space="0" w:color="auto"/>
            <w:bottom w:val="none" w:sz="0" w:space="0" w:color="auto"/>
            <w:right w:val="none" w:sz="0" w:space="0" w:color="auto"/>
          </w:divBdr>
        </w:div>
        <w:div w:id="501746318">
          <w:marLeft w:val="0"/>
          <w:marRight w:val="0"/>
          <w:marTop w:val="0"/>
          <w:marBottom w:val="0"/>
          <w:divBdr>
            <w:top w:val="none" w:sz="0" w:space="0" w:color="auto"/>
            <w:left w:val="none" w:sz="0" w:space="0" w:color="auto"/>
            <w:bottom w:val="none" w:sz="0" w:space="0" w:color="auto"/>
            <w:right w:val="none" w:sz="0" w:space="0" w:color="auto"/>
          </w:divBdr>
        </w:div>
        <w:div w:id="578951232">
          <w:marLeft w:val="0"/>
          <w:marRight w:val="0"/>
          <w:marTop w:val="0"/>
          <w:marBottom w:val="0"/>
          <w:divBdr>
            <w:top w:val="none" w:sz="0" w:space="0" w:color="auto"/>
            <w:left w:val="none" w:sz="0" w:space="0" w:color="auto"/>
            <w:bottom w:val="none" w:sz="0" w:space="0" w:color="auto"/>
            <w:right w:val="none" w:sz="0" w:space="0" w:color="auto"/>
          </w:divBdr>
        </w:div>
        <w:div w:id="774521381">
          <w:marLeft w:val="0"/>
          <w:marRight w:val="0"/>
          <w:marTop w:val="0"/>
          <w:marBottom w:val="0"/>
          <w:divBdr>
            <w:top w:val="none" w:sz="0" w:space="0" w:color="auto"/>
            <w:left w:val="none" w:sz="0" w:space="0" w:color="auto"/>
            <w:bottom w:val="none" w:sz="0" w:space="0" w:color="auto"/>
            <w:right w:val="none" w:sz="0" w:space="0" w:color="auto"/>
          </w:divBdr>
        </w:div>
        <w:div w:id="826626745">
          <w:marLeft w:val="0"/>
          <w:marRight w:val="0"/>
          <w:marTop w:val="0"/>
          <w:marBottom w:val="0"/>
          <w:divBdr>
            <w:top w:val="none" w:sz="0" w:space="0" w:color="auto"/>
            <w:left w:val="none" w:sz="0" w:space="0" w:color="auto"/>
            <w:bottom w:val="none" w:sz="0" w:space="0" w:color="auto"/>
            <w:right w:val="none" w:sz="0" w:space="0" w:color="auto"/>
          </w:divBdr>
        </w:div>
        <w:div w:id="898631586">
          <w:marLeft w:val="0"/>
          <w:marRight w:val="0"/>
          <w:marTop w:val="0"/>
          <w:marBottom w:val="0"/>
          <w:divBdr>
            <w:top w:val="none" w:sz="0" w:space="0" w:color="auto"/>
            <w:left w:val="none" w:sz="0" w:space="0" w:color="auto"/>
            <w:bottom w:val="none" w:sz="0" w:space="0" w:color="auto"/>
            <w:right w:val="none" w:sz="0" w:space="0" w:color="auto"/>
          </w:divBdr>
        </w:div>
        <w:div w:id="1031608639">
          <w:marLeft w:val="0"/>
          <w:marRight w:val="0"/>
          <w:marTop w:val="0"/>
          <w:marBottom w:val="0"/>
          <w:divBdr>
            <w:top w:val="none" w:sz="0" w:space="0" w:color="auto"/>
            <w:left w:val="none" w:sz="0" w:space="0" w:color="auto"/>
            <w:bottom w:val="none" w:sz="0" w:space="0" w:color="auto"/>
            <w:right w:val="none" w:sz="0" w:space="0" w:color="auto"/>
          </w:divBdr>
        </w:div>
        <w:div w:id="1048335309">
          <w:marLeft w:val="0"/>
          <w:marRight w:val="0"/>
          <w:marTop w:val="0"/>
          <w:marBottom w:val="0"/>
          <w:divBdr>
            <w:top w:val="none" w:sz="0" w:space="0" w:color="auto"/>
            <w:left w:val="none" w:sz="0" w:space="0" w:color="auto"/>
            <w:bottom w:val="none" w:sz="0" w:space="0" w:color="auto"/>
            <w:right w:val="none" w:sz="0" w:space="0" w:color="auto"/>
          </w:divBdr>
        </w:div>
        <w:div w:id="1126004754">
          <w:marLeft w:val="0"/>
          <w:marRight w:val="0"/>
          <w:marTop w:val="0"/>
          <w:marBottom w:val="0"/>
          <w:divBdr>
            <w:top w:val="none" w:sz="0" w:space="0" w:color="auto"/>
            <w:left w:val="none" w:sz="0" w:space="0" w:color="auto"/>
            <w:bottom w:val="none" w:sz="0" w:space="0" w:color="auto"/>
            <w:right w:val="none" w:sz="0" w:space="0" w:color="auto"/>
          </w:divBdr>
        </w:div>
        <w:div w:id="1252470036">
          <w:marLeft w:val="0"/>
          <w:marRight w:val="0"/>
          <w:marTop w:val="0"/>
          <w:marBottom w:val="0"/>
          <w:divBdr>
            <w:top w:val="none" w:sz="0" w:space="0" w:color="auto"/>
            <w:left w:val="none" w:sz="0" w:space="0" w:color="auto"/>
            <w:bottom w:val="none" w:sz="0" w:space="0" w:color="auto"/>
            <w:right w:val="none" w:sz="0" w:space="0" w:color="auto"/>
          </w:divBdr>
        </w:div>
        <w:div w:id="1415739162">
          <w:marLeft w:val="0"/>
          <w:marRight w:val="0"/>
          <w:marTop w:val="0"/>
          <w:marBottom w:val="0"/>
          <w:divBdr>
            <w:top w:val="none" w:sz="0" w:space="0" w:color="auto"/>
            <w:left w:val="none" w:sz="0" w:space="0" w:color="auto"/>
            <w:bottom w:val="none" w:sz="0" w:space="0" w:color="auto"/>
            <w:right w:val="none" w:sz="0" w:space="0" w:color="auto"/>
          </w:divBdr>
        </w:div>
        <w:div w:id="1656035435">
          <w:marLeft w:val="0"/>
          <w:marRight w:val="0"/>
          <w:marTop w:val="0"/>
          <w:marBottom w:val="0"/>
          <w:divBdr>
            <w:top w:val="none" w:sz="0" w:space="0" w:color="auto"/>
            <w:left w:val="none" w:sz="0" w:space="0" w:color="auto"/>
            <w:bottom w:val="none" w:sz="0" w:space="0" w:color="auto"/>
            <w:right w:val="none" w:sz="0" w:space="0" w:color="auto"/>
          </w:divBdr>
        </w:div>
        <w:div w:id="1698971905">
          <w:marLeft w:val="0"/>
          <w:marRight w:val="0"/>
          <w:marTop w:val="0"/>
          <w:marBottom w:val="0"/>
          <w:divBdr>
            <w:top w:val="none" w:sz="0" w:space="0" w:color="auto"/>
            <w:left w:val="none" w:sz="0" w:space="0" w:color="auto"/>
            <w:bottom w:val="none" w:sz="0" w:space="0" w:color="auto"/>
            <w:right w:val="none" w:sz="0" w:space="0" w:color="auto"/>
          </w:divBdr>
        </w:div>
        <w:div w:id="1926914990">
          <w:marLeft w:val="0"/>
          <w:marRight w:val="0"/>
          <w:marTop w:val="0"/>
          <w:marBottom w:val="0"/>
          <w:divBdr>
            <w:top w:val="none" w:sz="0" w:space="0" w:color="auto"/>
            <w:left w:val="none" w:sz="0" w:space="0" w:color="auto"/>
            <w:bottom w:val="none" w:sz="0" w:space="0" w:color="auto"/>
            <w:right w:val="none" w:sz="0" w:space="0" w:color="auto"/>
          </w:divBdr>
        </w:div>
        <w:div w:id="2058696654">
          <w:marLeft w:val="0"/>
          <w:marRight w:val="0"/>
          <w:marTop w:val="0"/>
          <w:marBottom w:val="0"/>
          <w:divBdr>
            <w:top w:val="none" w:sz="0" w:space="0" w:color="auto"/>
            <w:left w:val="none" w:sz="0" w:space="0" w:color="auto"/>
            <w:bottom w:val="none" w:sz="0" w:space="0" w:color="auto"/>
            <w:right w:val="none" w:sz="0" w:space="0" w:color="auto"/>
          </w:divBdr>
        </w:div>
      </w:divsChild>
    </w:div>
    <w:div w:id="854274142">
      <w:bodyDiv w:val="1"/>
      <w:marLeft w:val="0"/>
      <w:marRight w:val="0"/>
      <w:marTop w:val="0"/>
      <w:marBottom w:val="0"/>
      <w:divBdr>
        <w:top w:val="none" w:sz="0" w:space="0" w:color="auto"/>
        <w:left w:val="none" w:sz="0" w:space="0" w:color="auto"/>
        <w:bottom w:val="none" w:sz="0" w:space="0" w:color="auto"/>
        <w:right w:val="none" w:sz="0" w:space="0" w:color="auto"/>
      </w:divBdr>
    </w:div>
    <w:div w:id="1099375473">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07677640">
      <w:bodyDiv w:val="1"/>
      <w:marLeft w:val="0"/>
      <w:marRight w:val="0"/>
      <w:marTop w:val="0"/>
      <w:marBottom w:val="0"/>
      <w:divBdr>
        <w:top w:val="none" w:sz="0" w:space="0" w:color="auto"/>
        <w:left w:val="none" w:sz="0" w:space="0" w:color="auto"/>
        <w:bottom w:val="none" w:sz="0" w:space="0" w:color="auto"/>
        <w:right w:val="none" w:sz="0" w:space="0" w:color="auto"/>
      </w:divBdr>
    </w:div>
    <w:div w:id="1746878405">
      <w:bodyDiv w:val="1"/>
      <w:marLeft w:val="0"/>
      <w:marRight w:val="0"/>
      <w:marTop w:val="0"/>
      <w:marBottom w:val="0"/>
      <w:divBdr>
        <w:top w:val="none" w:sz="0" w:space="0" w:color="auto"/>
        <w:left w:val="none" w:sz="0" w:space="0" w:color="auto"/>
        <w:bottom w:val="none" w:sz="0" w:space="0" w:color="auto"/>
        <w:right w:val="none" w:sz="0" w:space="0" w:color="auto"/>
      </w:divBdr>
    </w:div>
    <w:div w:id="1758750947">
      <w:bodyDiv w:val="1"/>
      <w:marLeft w:val="0"/>
      <w:marRight w:val="0"/>
      <w:marTop w:val="0"/>
      <w:marBottom w:val="0"/>
      <w:divBdr>
        <w:top w:val="none" w:sz="0" w:space="0" w:color="auto"/>
        <w:left w:val="none" w:sz="0" w:space="0" w:color="auto"/>
        <w:bottom w:val="none" w:sz="0" w:space="0" w:color="auto"/>
        <w:right w:val="none" w:sz="0" w:space="0" w:color="auto"/>
      </w:divBdr>
      <w:divsChild>
        <w:div w:id="96600758">
          <w:marLeft w:val="0"/>
          <w:marRight w:val="0"/>
          <w:marTop w:val="0"/>
          <w:marBottom w:val="0"/>
          <w:divBdr>
            <w:top w:val="none" w:sz="0" w:space="0" w:color="auto"/>
            <w:left w:val="none" w:sz="0" w:space="0" w:color="auto"/>
            <w:bottom w:val="none" w:sz="0" w:space="0" w:color="auto"/>
            <w:right w:val="none" w:sz="0" w:space="0" w:color="auto"/>
          </w:divBdr>
        </w:div>
        <w:div w:id="306282195">
          <w:marLeft w:val="0"/>
          <w:marRight w:val="0"/>
          <w:marTop w:val="0"/>
          <w:marBottom w:val="0"/>
          <w:divBdr>
            <w:top w:val="none" w:sz="0" w:space="0" w:color="auto"/>
            <w:left w:val="none" w:sz="0" w:space="0" w:color="auto"/>
            <w:bottom w:val="none" w:sz="0" w:space="0" w:color="auto"/>
            <w:right w:val="none" w:sz="0" w:space="0" w:color="auto"/>
          </w:divBdr>
        </w:div>
        <w:div w:id="419913937">
          <w:marLeft w:val="0"/>
          <w:marRight w:val="0"/>
          <w:marTop w:val="0"/>
          <w:marBottom w:val="0"/>
          <w:divBdr>
            <w:top w:val="none" w:sz="0" w:space="0" w:color="auto"/>
            <w:left w:val="none" w:sz="0" w:space="0" w:color="auto"/>
            <w:bottom w:val="none" w:sz="0" w:space="0" w:color="auto"/>
            <w:right w:val="none" w:sz="0" w:space="0" w:color="auto"/>
          </w:divBdr>
        </w:div>
        <w:div w:id="494877620">
          <w:marLeft w:val="0"/>
          <w:marRight w:val="0"/>
          <w:marTop w:val="0"/>
          <w:marBottom w:val="0"/>
          <w:divBdr>
            <w:top w:val="none" w:sz="0" w:space="0" w:color="auto"/>
            <w:left w:val="none" w:sz="0" w:space="0" w:color="auto"/>
            <w:bottom w:val="none" w:sz="0" w:space="0" w:color="auto"/>
            <w:right w:val="none" w:sz="0" w:space="0" w:color="auto"/>
          </w:divBdr>
        </w:div>
        <w:div w:id="513306961">
          <w:marLeft w:val="0"/>
          <w:marRight w:val="0"/>
          <w:marTop w:val="0"/>
          <w:marBottom w:val="0"/>
          <w:divBdr>
            <w:top w:val="none" w:sz="0" w:space="0" w:color="auto"/>
            <w:left w:val="none" w:sz="0" w:space="0" w:color="auto"/>
            <w:bottom w:val="none" w:sz="0" w:space="0" w:color="auto"/>
            <w:right w:val="none" w:sz="0" w:space="0" w:color="auto"/>
          </w:divBdr>
        </w:div>
        <w:div w:id="593436192">
          <w:marLeft w:val="0"/>
          <w:marRight w:val="0"/>
          <w:marTop w:val="0"/>
          <w:marBottom w:val="0"/>
          <w:divBdr>
            <w:top w:val="none" w:sz="0" w:space="0" w:color="auto"/>
            <w:left w:val="none" w:sz="0" w:space="0" w:color="auto"/>
            <w:bottom w:val="none" w:sz="0" w:space="0" w:color="auto"/>
            <w:right w:val="none" w:sz="0" w:space="0" w:color="auto"/>
          </w:divBdr>
        </w:div>
        <w:div w:id="665280923">
          <w:marLeft w:val="0"/>
          <w:marRight w:val="0"/>
          <w:marTop w:val="0"/>
          <w:marBottom w:val="0"/>
          <w:divBdr>
            <w:top w:val="none" w:sz="0" w:space="0" w:color="auto"/>
            <w:left w:val="none" w:sz="0" w:space="0" w:color="auto"/>
            <w:bottom w:val="none" w:sz="0" w:space="0" w:color="auto"/>
            <w:right w:val="none" w:sz="0" w:space="0" w:color="auto"/>
          </w:divBdr>
        </w:div>
        <w:div w:id="861169401">
          <w:marLeft w:val="0"/>
          <w:marRight w:val="0"/>
          <w:marTop w:val="0"/>
          <w:marBottom w:val="0"/>
          <w:divBdr>
            <w:top w:val="none" w:sz="0" w:space="0" w:color="auto"/>
            <w:left w:val="none" w:sz="0" w:space="0" w:color="auto"/>
            <w:bottom w:val="none" w:sz="0" w:space="0" w:color="auto"/>
            <w:right w:val="none" w:sz="0" w:space="0" w:color="auto"/>
          </w:divBdr>
        </w:div>
        <w:div w:id="1041319700">
          <w:marLeft w:val="0"/>
          <w:marRight w:val="0"/>
          <w:marTop w:val="0"/>
          <w:marBottom w:val="0"/>
          <w:divBdr>
            <w:top w:val="none" w:sz="0" w:space="0" w:color="auto"/>
            <w:left w:val="none" w:sz="0" w:space="0" w:color="auto"/>
            <w:bottom w:val="none" w:sz="0" w:space="0" w:color="auto"/>
            <w:right w:val="none" w:sz="0" w:space="0" w:color="auto"/>
          </w:divBdr>
        </w:div>
        <w:div w:id="1153259165">
          <w:marLeft w:val="0"/>
          <w:marRight w:val="0"/>
          <w:marTop w:val="0"/>
          <w:marBottom w:val="0"/>
          <w:divBdr>
            <w:top w:val="none" w:sz="0" w:space="0" w:color="auto"/>
            <w:left w:val="none" w:sz="0" w:space="0" w:color="auto"/>
            <w:bottom w:val="none" w:sz="0" w:space="0" w:color="auto"/>
            <w:right w:val="none" w:sz="0" w:space="0" w:color="auto"/>
          </w:divBdr>
        </w:div>
        <w:div w:id="1409576660">
          <w:marLeft w:val="0"/>
          <w:marRight w:val="0"/>
          <w:marTop w:val="0"/>
          <w:marBottom w:val="0"/>
          <w:divBdr>
            <w:top w:val="none" w:sz="0" w:space="0" w:color="auto"/>
            <w:left w:val="none" w:sz="0" w:space="0" w:color="auto"/>
            <w:bottom w:val="none" w:sz="0" w:space="0" w:color="auto"/>
            <w:right w:val="none" w:sz="0" w:space="0" w:color="auto"/>
          </w:divBdr>
        </w:div>
        <w:div w:id="1486973110">
          <w:marLeft w:val="0"/>
          <w:marRight w:val="0"/>
          <w:marTop w:val="0"/>
          <w:marBottom w:val="0"/>
          <w:divBdr>
            <w:top w:val="none" w:sz="0" w:space="0" w:color="auto"/>
            <w:left w:val="none" w:sz="0" w:space="0" w:color="auto"/>
            <w:bottom w:val="none" w:sz="0" w:space="0" w:color="auto"/>
            <w:right w:val="none" w:sz="0" w:space="0" w:color="auto"/>
          </w:divBdr>
        </w:div>
        <w:div w:id="1810855644">
          <w:marLeft w:val="0"/>
          <w:marRight w:val="0"/>
          <w:marTop w:val="0"/>
          <w:marBottom w:val="0"/>
          <w:divBdr>
            <w:top w:val="none" w:sz="0" w:space="0" w:color="auto"/>
            <w:left w:val="none" w:sz="0" w:space="0" w:color="auto"/>
            <w:bottom w:val="none" w:sz="0" w:space="0" w:color="auto"/>
            <w:right w:val="none" w:sz="0" w:space="0" w:color="auto"/>
          </w:divBdr>
        </w:div>
        <w:div w:id="1918782764">
          <w:marLeft w:val="0"/>
          <w:marRight w:val="0"/>
          <w:marTop w:val="0"/>
          <w:marBottom w:val="0"/>
          <w:divBdr>
            <w:top w:val="none" w:sz="0" w:space="0" w:color="auto"/>
            <w:left w:val="none" w:sz="0" w:space="0" w:color="auto"/>
            <w:bottom w:val="none" w:sz="0" w:space="0" w:color="auto"/>
            <w:right w:val="none" w:sz="0" w:space="0" w:color="auto"/>
          </w:divBdr>
        </w:div>
        <w:div w:id="2042588038">
          <w:marLeft w:val="0"/>
          <w:marRight w:val="0"/>
          <w:marTop w:val="0"/>
          <w:marBottom w:val="0"/>
          <w:divBdr>
            <w:top w:val="none" w:sz="0" w:space="0" w:color="auto"/>
            <w:left w:val="none" w:sz="0" w:space="0" w:color="auto"/>
            <w:bottom w:val="none" w:sz="0" w:space="0" w:color="auto"/>
            <w:right w:val="none" w:sz="0" w:space="0" w:color="auto"/>
          </w:divBdr>
        </w:div>
        <w:div w:id="2129618025">
          <w:marLeft w:val="0"/>
          <w:marRight w:val="0"/>
          <w:marTop w:val="0"/>
          <w:marBottom w:val="0"/>
          <w:divBdr>
            <w:top w:val="none" w:sz="0" w:space="0" w:color="auto"/>
            <w:left w:val="none" w:sz="0" w:space="0" w:color="auto"/>
            <w:bottom w:val="none" w:sz="0" w:space="0" w:color="auto"/>
            <w:right w:val="none" w:sz="0" w:space="0" w:color="auto"/>
          </w:divBdr>
        </w:div>
      </w:divsChild>
    </w:div>
    <w:div w:id="1789162327">
      <w:bodyDiv w:val="1"/>
      <w:marLeft w:val="0"/>
      <w:marRight w:val="0"/>
      <w:marTop w:val="0"/>
      <w:marBottom w:val="0"/>
      <w:divBdr>
        <w:top w:val="none" w:sz="0" w:space="0" w:color="auto"/>
        <w:left w:val="none" w:sz="0" w:space="0" w:color="auto"/>
        <w:bottom w:val="none" w:sz="0" w:space="0" w:color="auto"/>
        <w:right w:val="none" w:sz="0" w:space="0" w:color="auto"/>
      </w:divBdr>
    </w:div>
    <w:div w:id="1834637849">
      <w:bodyDiv w:val="1"/>
      <w:marLeft w:val="0"/>
      <w:marRight w:val="0"/>
      <w:marTop w:val="0"/>
      <w:marBottom w:val="0"/>
      <w:divBdr>
        <w:top w:val="none" w:sz="0" w:space="0" w:color="auto"/>
        <w:left w:val="none" w:sz="0" w:space="0" w:color="auto"/>
        <w:bottom w:val="none" w:sz="0" w:space="0" w:color="auto"/>
        <w:right w:val="none" w:sz="0" w:space="0" w:color="auto"/>
      </w:divBdr>
      <w:divsChild>
        <w:div w:id="224417452">
          <w:marLeft w:val="0"/>
          <w:marRight w:val="0"/>
          <w:marTop w:val="0"/>
          <w:marBottom w:val="0"/>
          <w:divBdr>
            <w:top w:val="none" w:sz="0" w:space="0" w:color="auto"/>
            <w:left w:val="none" w:sz="0" w:space="0" w:color="auto"/>
            <w:bottom w:val="none" w:sz="0" w:space="0" w:color="auto"/>
            <w:right w:val="none" w:sz="0" w:space="0" w:color="auto"/>
          </w:divBdr>
        </w:div>
        <w:div w:id="332420605">
          <w:marLeft w:val="0"/>
          <w:marRight w:val="0"/>
          <w:marTop w:val="0"/>
          <w:marBottom w:val="0"/>
          <w:divBdr>
            <w:top w:val="none" w:sz="0" w:space="0" w:color="auto"/>
            <w:left w:val="none" w:sz="0" w:space="0" w:color="auto"/>
            <w:bottom w:val="none" w:sz="0" w:space="0" w:color="auto"/>
            <w:right w:val="none" w:sz="0" w:space="0" w:color="auto"/>
          </w:divBdr>
        </w:div>
        <w:div w:id="762342055">
          <w:marLeft w:val="0"/>
          <w:marRight w:val="0"/>
          <w:marTop w:val="0"/>
          <w:marBottom w:val="0"/>
          <w:divBdr>
            <w:top w:val="none" w:sz="0" w:space="0" w:color="auto"/>
            <w:left w:val="none" w:sz="0" w:space="0" w:color="auto"/>
            <w:bottom w:val="none" w:sz="0" w:space="0" w:color="auto"/>
            <w:right w:val="none" w:sz="0" w:space="0" w:color="auto"/>
          </w:divBdr>
        </w:div>
        <w:div w:id="1089497155">
          <w:marLeft w:val="0"/>
          <w:marRight w:val="0"/>
          <w:marTop w:val="0"/>
          <w:marBottom w:val="0"/>
          <w:divBdr>
            <w:top w:val="none" w:sz="0" w:space="0" w:color="auto"/>
            <w:left w:val="none" w:sz="0" w:space="0" w:color="auto"/>
            <w:bottom w:val="none" w:sz="0" w:space="0" w:color="auto"/>
            <w:right w:val="none" w:sz="0" w:space="0" w:color="auto"/>
          </w:divBdr>
        </w:div>
        <w:div w:id="1248340276">
          <w:marLeft w:val="0"/>
          <w:marRight w:val="0"/>
          <w:marTop w:val="0"/>
          <w:marBottom w:val="0"/>
          <w:divBdr>
            <w:top w:val="none" w:sz="0" w:space="0" w:color="auto"/>
            <w:left w:val="none" w:sz="0" w:space="0" w:color="auto"/>
            <w:bottom w:val="none" w:sz="0" w:space="0" w:color="auto"/>
            <w:right w:val="none" w:sz="0" w:space="0" w:color="auto"/>
          </w:divBdr>
        </w:div>
        <w:div w:id="1541087396">
          <w:marLeft w:val="0"/>
          <w:marRight w:val="0"/>
          <w:marTop w:val="0"/>
          <w:marBottom w:val="0"/>
          <w:divBdr>
            <w:top w:val="none" w:sz="0" w:space="0" w:color="auto"/>
            <w:left w:val="none" w:sz="0" w:space="0" w:color="auto"/>
            <w:bottom w:val="none" w:sz="0" w:space="0" w:color="auto"/>
            <w:right w:val="none" w:sz="0" w:space="0" w:color="auto"/>
          </w:divBdr>
        </w:div>
      </w:divsChild>
    </w:div>
    <w:div w:id="2048068172">
      <w:bodyDiv w:val="1"/>
      <w:marLeft w:val="0"/>
      <w:marRight w:val="0"/>
      <w:marTop w:val="0"/>
      <w:marBottom w:val="0"/>
      <w:divBdr>
        <w:top w:val="none" w:sz="0" w:space="0" w:color="auto"/>
        <w:left w:val="none" w:sz="0" w:space="0" w:color="auto"/>
        <w:bottom w:val="none" w:sz="0" w:space="0" w:color="auto"/>
        <w:right w:val="none" w:sz="0" w:space="0" w:color="auto"/>
      </w:divBdr>
    </w:div>
    <w:div w:id="2104640817">
      <w:bodyDiv w:val="1"/>
      <w:marLeft w:val="0"/>
      <w:marRight w:val="0"/>
      <w:marTop w:val="0"/>
      <w:marBottom w:val="0"/>
      <w:divBdr>
        <w:top w:val="none" w:sz="0" w:space="0" w:color="auto"/>
        <w:left w:val="none" w:sz="0" w:space="0" w:color="auto"/>
        <w:bottom w:val="none" w:sz="0" w:space="0" w:color="auto"/>
        <w:right w:val="none" w:sz="0" w:space="0" w:color="auto"/>
      </w:divBdr>
    </w:div>
    <w:div w:id="21288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DE3A-F69C-478C-87C3-C3455A098C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5CCBDB0-D8A4-4649-A2D6-3C866812F183}">
  <ds:schemaRefs>
    <ds:schemaRef ds:uri="http://schemas.microsoft.com/sharepoint/v3/contenttype/forms"/>
  </ds:schemaRefs>
</ds:datastoreItem>
</file>

<file path=customXml/itemProps3.xml><?xml version="1.0" encoding="utf-8"?>
<ds:datastoreItem xmlns:ds="http://schemas.openxmlformats.org/officeDocument/2006/customXml" ds:itemID="{B7417813-D3EC-4E9A-B2C4-F1E8E37A4A67}"/>
</file>

<file path=customXml/itemProps4.xml><?xml version="1.0" encoding="utf-8"?>
<ds:datastoreItem xmlns:ds="http://schemas.openxmlformats.org/officeDocument/2006/customXml" ds:itemID="{05CF6C95-5054-4269-A385-FB3E8E8A1E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06B337-B7BA-4DC4-A4BF-BB9222A4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6</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Middle Rasen Costs Decision</vt:lpstr>
    </vt:vector>
  </TitlesOfParts>
  <Company>Department for Communities and Local Government</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Rasen Costs Decision</dc:title>
  <dc:subject/>
  <dc:creator>millma_p1</dc:creator>
  <cp:keywords/>
  <cp:lastModifiedBy>Richards, Clive</cp:lastModifiedBy>
  <cp:revision>4</cp:revision>
  <cp:lastPrinted>2025-04-25T07:50:00Z</cp:lastPrinted>
  <dcterms:created xsi:type="dcterms:W3CDTF">2025-06-05T07:55:00Z</dcterms:created>
  <dcterms:modified xsi:type="dcterms:W3CDTF">2025-06-05T08:05:00Z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f0cd9af0-9b89-4312-99e2-3bc4a73b5706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