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C5294" w:rsidR="009F527C" w:rsidP="3C61D378" w:rsidRDefault="00706B05" w14:paraId="0CA66394" w14:textId="3FD2A7DE">
      <w:pPr>
        <w:spacing w:before="400" w:after="120" w:line="240" w:lineRule="auto"/>
        <w:outlineLvl w:val="0"/>
        <w:rPr>
          <w:rFonts w:ascii="Arial" w:hAnsi="Arial" w:eastAsia="Times New Roman" w:cs="Arial"/>
          <w:color w:val="000000"/>
          <w:kern w:val="36"/>
          <w:sz w:val="40"/>
          <w:szCs w:val="40"/>
          <w:shd w:val="clear" w:color="auto" w:fill="FFFF00"/>
          <w:lang w:eastAsia="en-GB"/>
        </w:rPr>
      </w:pPr>
      <w:r>
        <w:rPr>
          <w:noProof/>
        </w:rPr>
        <w:drawing>
          <wp:inline distT="0" distB="0" distL="0" distR="0" wp14:anchorId="2A7CA3EE" wp14:editId="4906AAD9">
            <wp:extent cx="1724025" cy="942975"/>
            <wp:effectExtent l="0" t="0" r="9525" b="9525"/>
            <wp:docPr id="4" name="Picture 4" descr="Department for Environment, Food and Rur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24025" cy="942975"/>
                    </a:xfrm>
                    <a:prstGeom prst="rect">
                      <a:avLst/>
                    </a:prstGeom>
                  </pic:spPr>
                </pic:pic>
              </a:graphicData>
            </a:graphic>
          </wp:inline>
        </w:drawing>
      </w:r>
    </w:p>
    <w:p w:rsidR="009F527C" w:rsidP="3E704954" w:rsidRDefault="009F527C" w14:paraId="0F8E605E" w14:textId="51A3C639">
      <w:pPr>
        <w:spacing w:before="360" w:after="238" w:line="279" w:lineRule="auto"/>
        <w:ind w:hanging="10"/>
        <w:jc w:val="center"/>
        <w:rPr>
          <w:rFonts w:ascii="Arial" w:hAnsi="Arial" w:eastAsia="Arial" w:cs="Arial"/>
          <w:sz w:val="30"/>
          <w:szCs w:val="30"/>
        </w:rPr>
      </w:pPr>
      <w:r w:rsidRPr="009F527C">
        <w:rPr>
          <w:rFonts w:ascii="Arial" w:hAnsi="Arial" w:eastAsia="Arial" w:cs="Arial"/>
          <w:noProof/>
          <w:color w:val="0D0D0D" w:themeColor="text1" w:themeTint="F2"/>
          <w:sz w:val="30"/>
          <w:szCs w:val="30"/>
        </w:rPr>
        <mc:AlternateContent>
          <mc:Choice Requires="wps">
            <w:drawing>
              <wp:anchor distT="0" distB="0" distL="114300" distR="114300" simplePos="0" relativeHeight="251658240" behindDoc="0" locked="0" layoutInCell="1" allowOverlap="1" wp14:anchorId="12F86AD3" wp14:editId="4DF2AFC6">
                <wp:simplePos x="0" y="0"/>
                <wp:positionH relativeFrom="margin">
                  <wp:posOffset>-66674</wp:posOffset>
                </wp:positionH>
                <wp:positionV relativeFrom="paragraph">
                  <wp:posOffset>412750</wp:posOffset>
                </wp:positionV>
                <wp:extent cx="5772150" cy="0"/>
                <wp:effectExtent l="0" t="0" r="0" b="0"/>
                <wp:wrapNone/>
                <wp:docPr id="180777786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5.25pt,32.5pt" to="449.25pt,32.5pt" w14:anchorId="5C72C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">
                <v:stroke joinstyle="miter"/>
                <w10:wrap anchorx="margin"/>
              </v:line>
            </w:pict>
          </mc:Fallback>
        </mc:AlternateContent>
      </w:r>
    </w:p>
    <w:p w:rsidRPr="00947151" w:rsidR="51DB9975" w:rsidP="3E704954" w:rsidRDefault="00947151" w14:paraId="257CCA2F" w14:textId="3B8CE414">
      <w:pPr>
        <w:spacing w:before="360" w:after="238" w:line="279" w:lineRule="auto"/>
        <w:ind w:hanging="10"/>
        <w:jc w:val="center"/>
        <w:rPr>
          <w:rFonts w:ascii="Arial" w:hAnsi="Arial" w:eastAsia="Arial" w:cs="Arial"/>
          <w:b/>
          <w:bCs/>
        </w:rPr>
      </w:pPr>
      <w:r>
        <w:rPr>
          <w:rFonts w:ascii="Arial" w:hAnsi="Arial" w:eastAsia="Arial" w:cs="Arial"/>
          <w:b/>
          <w:bCs/>
        </w:rPr>
        <w:t>NOTICE</w:t>
      </w:r>
    </w:p>
    <w:p w:rsidR="6D406480" w:rsidP="4515B41A" w:rsidRDefault="6D406480" w14:paraId="46B4B562" w14:textId="4DBE68E3">
      <w:pPr>
        <w:spacing w:before="360" w:after="0" w:line="240" w:lineRule="auto"/>
        <w:rPr>
          <w:rFonts w:ascii="Times New Roman" w:hAnsi="Times New Roman" w:eastAsia="Times New Roman" w:cs="Times New Roman"/>
          <w:sz w:val="24"/>
          <w:szCs w:val="24"/>
          <w:lang w:eastAsia="en-GB"/>
        </w:rPr>
      </w:pPr>
      <w:r w:rsidRPr="1E1C3759" w:rsidR="6D406480">
        <w:rPr>
          <w:rFonts w:ascii="Arial" w:hAnsi="Arial" w:eastAsia="Times New Roman" w:cs="Arial"/>
          <w:color w:val="000000" w:themeColor="text1" w:themeTint="FF" w:themeShade="FF"/>
          <w:lang w:eastAsia="en-GB"/>
        </w:rPr>
        <w:t>Published under Article 31(3a) of Commission Delegated Regulation (EU) 2019/33 of 17 October 2018 supplementing Regulation (EU) No 1308/2013 of the European Parliament and of the Council as regards applications for protection of designations of origin, geographical indications and traditional terms in the wine sector of the decision to accept an application to protect "</w:t>
      </w:r>
      <w:r w:rsidRPr="1E1C3759" w:rsidR="6D406480">
        <w:rPr>
          <w:rFonts w:ascii="Arial" w:hAnsi="Arial" w:eastAsia="Times New Roman" w:cs="Arial"/>
          <w:b w:val="1"/>
          <w:bCs w:val="1"/>
          <w:color w:val="000000" w:themeColor="text1" w:themeTint="FF" w:themeShade="FF"/>
          <w:lang w:eastAsia="en-GB"/>
        </w:rPr>
        <w:t>Reserva</w:t>
      </w:r>
      <w:r w:rsidRPr="1E1C3759" w:rsidR="6D406480">
        <w:rPr>
          <w:rFonts w:ascii="Arial" w:hAnsi="Arial" w:eastAsia="Times New Roman" w:cs="Arial"/>
          <w:color w:val="000000" w:themeColor="text1" w:themeTint="FF" w:themeShade="FF"/>
          <w:lang w:eastAsia="en-GB"/>
        </w:rPr>
        <w:t xml:space="preserve">" as a traditional term under the UK Government’s domestic Traditional Terms scheme.  </w:t>
      </w:r>
    </w:p>
    <w:p w:rsidR="60B70A05" w:rsidP="51710EEC" w:rsidRDefault="009F527C" w14:paraId="27115CEB" w14:textId="19266254">
      <w:pPr>
        <w:spacing w:before="360" w:after="238" w:line="279" w:lineRule="auto"/>
        <w:ind w:hanging="10"/>
        <w:rPr>
          <w:rFonts w:ascii="Arial" w:hAnsi="Arial" w:eastAsia="Arial" w:cs="Arial"/>
          <w:b/>
          <w:bCs/>
          <w:color w:val="000000" w:themeColor="text1"/>
          <w:sz w:val="30"/>
          <w:szCs w:val="30"/>
        </w:rPr>
      </w:pPr>
      <w:r w:rsidRPr="009F527C">
        <w:rPr>
          <w:rFonts w:ascii="Arial" w:hAnsi="Arial" w:eastAsia="Arial" w:cs="Arial"/>
          <w:noProof/>
          <w:color w:val="0D0D0D" w:themeColor="text1" w:themeTint="F2"/>
          <w:sz w:val="30"/>
          <w:szCs w:val="30"/>
        </w:rPr>
        <mc:AlternateContent>
          <mc:Choice Requires="wps">
            <w:drawing>
              <wp:anchor distT="0" distB="0" distL="114300" distR="114300" simplePos="0" relativeHeight="251658241" behindDoc="0" locked="0" layoutInCell="1" allowOverlap="1" wp14:anchorId="7096EC9B" wp14:editId="26CA4F55">
                <wp:simplePos x="0" y="0"/>
                <wp:positionH relativeFrom="margin">
                  <wp:align>right</wp:align>
                </wp:positionH>
                <wp:positionV relativeFrom="paragraph">
                  <wp:posOffset>338455</wp:posOffset>
                </wp:positionV>
                <wp:extent cx="5724525" cy="9525"/>
                <wp:effectExtent l="0" t="0" r="28575" b="28575"/>
                <wp:wrapNone/>
                <wp:docPr id="726499192" name="Straight Connector 2"/>
                <wp:cNvGraphicFramePr/>
                <a:graphic xmlns:a="http://schemas.openxmlformats.org/drawingml/2006/main">
                  <a:graphicData uri="http://schemas.microsoft.com/office/word/2010/wordprocessingShape">
                    <wps:wsp>
                      <wps:cNvCnPr/>
                      <wps:spPr>
                        <a:xfrm>
                          <a:off x="0" y="0"/>
                          <a:ext cx="57245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1pt" from="399.55pt,26.65pt" to="850.3pt,27.4pt" w14:anchorId="548D7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">
                <v:stroke joinstyle="miter"/>
                <w10:wrap anchorx="margin"/>
              </v:line>
            </w:pict>
          </mc:Fallback>
        </mc:AlternateContent>
      </w:r>
    </w:p>
    <w:p w:rsidR="614A00DE" w:rsidP="4515B41A" w:rsidRDefault="614A00DE" w14:paraId="42AF067D" w14:textId="070BF792">
      <w:pPr>
        <w:spacing w:after="0" w:line="240" w:lineRule="auto"/>
        <w:rPr>
          <w:rFonts w:ascii="Arial" w:hAnsi="Arial" w:eastAsia="Arial" w:cs="Arial"/>
          <w:noProof w:val="0"/>
          <w:sz w:val="22"/>
          <w:szCs w:val="22"/>
          <w:lang w:val="en-GB"/>
        </w:rPr>
      </w:pPr>
      <w:r w:rsidRPr="2AF7EEE1" w:rsidR="614A00DE">
        <w:rPr>
          <w:rFonts w:ascii="Arial" w:hAnsi="Arial" w:eastAsia="Arial" w:cs="Arial"/>
          <w:b w:val="0"/>
          <w:bCs w:val="0"/>
          <w:i w:val="0"/>
          <w:iCs w:val="0"/>
          <w:caps w:val="0"/>
          <w:smallCaps w:val="0"/>
          <w:noProof w:val="0"/>
          <w:color w:val="000000" w:themeColor="text1" w:themeTint="FF" w:themeShade="FF"/>
          <w:sz w:val="22"/>
          <w:szCs w:val="22"/>
          <w:lang w:val="en-GB"/>
        </w:rPr>
        <w:t xml:space="preserve">Notice is given to Instituto Nacional De </w:t>
      </w:r>
      <w:r w:rsidRPr="2AF7EEE1" w:rsidR="614A00DE">
        <w:rPr>
          <w:rFonts w:ascii="Arial" w:hAnsi="Arial" w:eastAsia="Arial" w:cs="Arial"/>
          <w:b w:val="0"/>
          <w:bCs w:val="0"/>
          <w:i w:val="0"/>
          <w:iCs w:val="0"/>
          <w:caps w:val="0"/>
          <w:smallCaps w:val="0"/>
          <w:noProof w:val="0"/>
          <w:color w:val="000000" w:themeColor="text1" w:themeTint="FF" w:themeShade="FF"/>
          <w:sz w:val="22"/>
          <w:szCs w:val="22"/>
          <w:lang w:val="en-GB"/>
        </w:rPr>
        <w:t>Vitivinicultura</w:t>
      </w:r>
      <w:r w:rsidRPr="2AF7EEE1" w:rsidR="614A00DE">
        <w:rPr>
          <w:rFonts w:ascii="Arial" w:hAnsi="Arial" w:eastAsia="Arial" w:cs="Arial"/>
          <w:b w:val="0"/>
          <w:bCs w:val="0"/>
          <w:i w:val="0"/>
          <w:iCs w:val="0"/>
          <w:caps w:val="0"/>
          <w:smallCaps w:val="0"/>
          <w:noProof w:val="0"/>
          <w:color w:val="000000" w:themeColor="text1" w:themeTint="FF" w:themeShade="FF"/>
          <w:sz w:val="22"/>
          <w:szCs w:val="22"/>
          <w:lang w:val="en-GB"/>
        </w:rPr>
        <w:t xml:space="preserve"> and to the public that, </w:t>
      </w:r>
      <w:r w:rsidRPr="2AF7EEE1" w:rsidR="614A00DE">
        <w:rPr>
          <w:rFonts w:ascii="Arial" w:hAnsi="Arial" w:eastAsia="Arial" w:cs="Arial"/>
          <w:b w:val="0"/>
          <w:bCs w:val="0"/>
          <w:i w:val="0"/>
          <w:iCs w:val="0"/>
          <w:caps w:val="0"/>
          <w:smallCaps w:val="0"/>
          <w:noProof w:val="0"/>
          <w:color w:val="000000" w:themeColor="text1" w:themeTint="FF" w:themeShade="FF"/>
          <w:sz w:val="22"/>
          <w:szCs w:val="22"/>
          <w:lang w:val="en-GB"/>
        </w:rPr>
        <w:t>pursuant to</w:t>
      </w:r>
      <w:r w:rsidRPr="2AF7EEE1" w:rsidR="614A00DE">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31(3) of assimilated Regulation 2019/33, the Secretary of State has decided to protect "</w:t>
      </w:r>
      <w:r w:rsidRPr="2AF7EEE1" w:rsidR="614A00DE">
        <w:rPr>
          <w:rFonts w:ascii="Arial" w:hAnsi="Arial" w:eastAsia="Arial" w:cs="Arial"/>
          <w:b w:val="0"/>
          <w:bCs w:val="0"/>
          <w:i w:val="0"/>
          <w:iCs w:val="0"/>
          <w:caps w:val="0"/>
          <w:smallCaps w:val="0"/>
          <w:noProof w:val="0"/>
          <w:color w:val="000000" w:themeColor="text1" w:themeTint="FF" w:themeShade="FF"/>
          <w:sz w:val="22"/>
          <w:szCs w:val="22"/>
          <w:lang w:val="en-GB"/>
        </w:rPr>
        <w:t>Reserva</w:t>
      </w:r>
      <w:r w:rsidRPr="2AF7EEE1" w:rsidR="614A00DE">
        <w:rPr>
          <w:rFonts w:ascii="Arial" w:hAnsi="Arial" w:eastAsia="Arial" w:cs="Arial"/>
          <w:b w:val="0"/>
          <w:bCs w:val="0"/>
          <w:i w:val="0"/>
          <w:iCs w:val="0"/>
          <w:caps w:val="0"/>
          <w:smallCaps w:val="0"/>
          <w:noProof w:val="0"/>
          <w:color w:val="000000" w:themeColor="text1" w:themeTint="FF" w:themeShade="FF"/>
          <w:sz w:val="22"/>
          <w:szCs w:val="22"/>
          <w:lang w:val="en-GB"/>
        </w:rPr>
        <w:t>" as a traditional term in the Spanish language as a traditional term for</w:t>
      </w:r>
      <w:r w:rsidRPr="2AF7EEE1" w:rsidR="022286A1">
        <w:rPr>
          <w:rFonts w:ascii="Arial" w:hAnsi="Arial" w:eastAsia="Arial" w:cs="Arial"/>
          <w:b w:val="0"/>
          <w:bCs w:val="0"/>
          <w:i w:val="0"/>
          <w:iCs w:val="0"/>
          <w:caps w:val="0"/>
          <w:smallCaps w:val="0"/>
          <w:noProof w:val="0"/>
          <w:color w:val="000000" w:themeColor="text1" w:themeTint="FF" w:themeShade="FF"/>
          <w:sz w:val="22"/>
          <w:szCs w:val="22"/>
          <w:lang w:val="en-GB"/>
        </w:rPr>
        <w:t xml:space="preserve"> certain</w:t>
      </w:r>
      <w:r w:rsidRPr="2AF7EEE1" w:rsidR="614A00DE">
        <w:rPr>
          <w:rFonts w:ascii="Arial" w:hAnsi="Arial" w:eastAsia="Arial" w:cs="Arial"/>
          <w:b w:val="0"/>
          <w:bCs w:val="0"/>
          <w:i w:val="0"/>
          <w:iCs w:val="0"/>
          <w:caps w:val="0"/>
          <w:smallCaps w:val="0"/>
          <w:noProof w:val="0"/>
          <w:color w:val="000000" w:themeColor="text1" w:themeTint="FF" w:themeShade="FF"/>
          <w:sz w:val="22"/>
          <w:szCs w:val="22"/>
          <w:lang w:val="en-GB"/>
        </w:rPr>
        <w:t xml:space="preserve"> wine and sparkling wine from Argentina.</w:t>
      </w:r>
    </w:p>
    <w:p w:rsidR="00947151" w:rsidP="731D369B" w:rsidRDefault="00947151" w14:paraId="4559E52F" w14:textId="63D47A09">
      <w:pPr>
        <w:pStyle w:val="Normal"/>
        <w:spacing w:after="0" w:line="240" w:lineRule="auto"/>
        <w:ind/>
        <w:rPr>
          <w:rFonts w:ascii="Arial" w:hAnsi="Arial" w:eastAsia="Times New Roman" w:cs="Arial"/>
          <w:color w:val="000000"/>
          <w:lang w:eastAsia="en-GB"/>
        </w:rPr>
      </w:pPr>
    </w:p>
    <w:p w:rsidRPr="00947151" w:rsidR="00947151" w:rsidP="17C3E807" w:rsidRDefault="00947151" w14:paraId="4DF846EC" w14:textId="18125AC5">
      <w:pPr>
        <w:spacing w:after="8" w:line="268" w:lineRule="auto"/>
        <w:ind w:left="10" w:hanging="10"/>
        <w:rPr>
          <w:rFonts w:ascii="Arial" w:hAnsi="Arial" w:eastAsia="Times New Roman" w:cs="Arial"/>
          <w:b/>
          <w:bCs/>
          <w:color w:val="000000"/>
          <w:lang w:eastAsia="en-GB"/>
        </w:rPr>
      </w:pPr>
      <w:r w:rsidRPr="00947151">
        <w:rPr>
          <w:rFonts w:ascii="Arial" w:hAnsi="Arial" w:eastAsia="Times New Roman" w:cs="Arial"/>
          <w:b/>
          <w:bCs/>
          <w:color w:val="000000"/>
          <w:lang w:eastAsia="en-GB"/>
        </w:rPr>
        <w:t>Reason for the decision</w:t>
      </w:r>
    </w:p>
    <w:p w:rsidR="00947151" w:rsidP="17C3E807" w:rsidRDefault="00947151" w14:paraId="1D823DDF" w14:textId="511D5462">
      <w:pPr>
        <w:spacing w:after="8" w:line="268" w:lineRule="auto"/>
        <w:ind w:left="10" w:hanging="10"/>
        <w:rPr>
          <w:rFonts w:ascii="Arial" w:hAnsi="Arial" w:eastAsia="Times New Roman" w:cs="Arial"/>
          <w:color w:val="000000"/>
          <w:sz w:val="32"/>
          <w:szCs w:val="32"/>
          <w:lang w:eastAsia="en-GB"/>
        </w:rPr>
      </w:pPr>
    </w:p>
    <w:p w:rsidR="4515B41A" w:rsidP="4515B41A" w:rsidRDefault="4515B41A" w14:paraId="276AAEF0" w14:textId="3CDA23AD">
      <w:pPr>
        <w:spacing w:after="8" w:line="268" w:lineRule="auto"/>
        <w:ind w:left="10" w:hanging="10"/>
      </w:pPr>
      <w:r w:rsidRPr="0879ED09"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The Secretary of State examined an application </w:t>
      </w:r>
      <w:r w:rsidRPr="0879ED09" w:rsidR="7B1B05D5">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0879ED09"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 under Article 21 of assimilated Regulation 2019/34 to protect "</w:t>
      </w:r>
      <w:r w:rsidRPr="0879ED09" w:rsidR="7B1B05D5">
        <w:rPr>
          <w:rFonts w:ascii="Arial" w:hAnsi="Arial" w:eastAsia="Arial" w:cs="Arial"/>
          <w:b w:val="0"/>
          <w:bCs w:val="0"/>
          <w:i w:val="0"/>
          <w:iCs w:val="0"/>
          <w:caps w:val="0"/>
          <w:smallCaps w:val="0"/>
          <w:noProof w:val="0"/>
          <w:color w:val="000000" w:themeColor="text1" w:themeTint="FF" w:themeShade="FF"/>
          <w:sz w:val="22"/>
          <w:szCs w:val="22"/>
          <w:lang w:val="en-GB"/>
        </w:rPr>
        <w:t>Reserva</w:t>
      </w:r>
      <w:r w:rsidRPr="0879ED09"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 as a traditional term and, having scrutinised the application </w:t>
      </w:r>
      <w:r w:rsidRPr="0879ED09" w:rsidR="7B1B05D5">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0879ED09"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28(2) of assimilated Regulation 2019/33, was satisfied that the conditions laid down in the Regulation were met</w:t>
      </w:r>
      <w:r w:rsidRPr="0879ED09"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879ED09" w:rsidR="7B1B05D5">
        <w:rPr>
          <w:rFonts w:ascii="Arial" w:hAnsi="Arial" w:eastAsia="Arial" w:cs="Arial"/>
          <w:noProof w:val="0"/>
          <w:sz w:val="22"/>
          <w:szCs w:val="22"/>
          <w:lang w:val="en-GB"/>
        </w:rPr>
        <w:t xml:space="preserve"> </w:t>
      </w:r>
    </w:p>
    <w:p w:rsidR="5D1E944B" w:rsidP="5D1E944B" w:rsidRDefault="5D1E944B" w14:paraId="21894909" w14:textId="6D2DAE2E">
      <w:pPr>
        <w:spacing w:after="8" w:line="268" w:lineRule="auto"/>
        <w:ind w:left="10" w:hanging="10"/>
        <w:rPr>
          <w:rFonts w:ascii="Arial" w:hAnsi="Arial" w:eastAsia="Arial" w:cs="Arial"/>
        </w:rPr>
      </w:pPr>
    </w:p>
    <w:p w:rsidR="7B1B05D5" w:rsidP="0879ED09" w:rsidRDefault="7B1B05D5" w14:paraId="7EC68178" w14:textId="5C6E27E3">
      <w:pPr>
        <w:spacing w:after="8" w:line="268" w:lineRule="auto"/>
        <w:ind w:left="10" w:hanging="10"/>
        <w:rPr>
          <w:rFonts w:ascii="Arial" w:hAnsi="Arial" w:eastAsia="Arial" w:cs="Arial"/>
          <w:noProof w:val="0"/>
          <w:sz w:val="22"/>
          <w:szCs w:val="22"/>
          <w:lang w:val="en-GB"/>
        </w:rPr>
      </w:pPr>
      <w:r w:rsidRPr="4C04B922" w:rsidR="7B1B05D5">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4C04B922"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28(3) of assimilated Regulation 2019/33, the Secretary of State published the application to protect "</w:t>
      </w:r>
      <w:r w:rsidRPr="4C04B922" w:rsidR="7B1B05D5">
        <w:rPr>
          <w:rFonts w:ascii="Arial" w:hAnsi="Arial" w:eastAsia="Arial" w:cs="Arial"/>
          <w:b w:val="0"/>
          <w:bCs w:val="0"/>
          <w:i w:val="0"/>
          <w:iCs w:val="0"/>
          <w:caps w:val="0"/>
          <w:smallCaps w:val="0"/>
          <w:noProof w:val="0"/>
          <w:color w:val="000000" w:themeColor="text1" w:themeTint="FF" w:themeShade="FF"/>
          <w:sz w:val="22"/>
          <w:szCs w:val="22"/>
          <w:lang w:val="en-GB"/>
        </w:rPr>
        <w:t>Reserva</w:t>
      </w:r>
      <w:r w:rsidRPr="4C04B922"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 as a traditional term, starting the period during which the application could be opposed under Article 22(1) of the Regulation. </w:t>
      </w:r>
      <w:r w:rsidRPr="4C04B922" w:rsidR="20D5A34F">
        <w:rPr>
          <w:rFonts w:ascii="Arial" w:hAnsi="Arial" w:eastAsia="Arial" w:cs="Arial"/>
          <w:b w:val="0"/>
          <w:bCs w:val="0"/>
          <w:i w:val="0"/>
          <w:iCs w:val="0"/>
          <w:caps w:val="0"/>
          <w:smallCaps w:val="0"/>
          <w:noProof w:val="0"/>
          <w:color w:val="000000" w:themeColor="text1" w:themeTint="FF" w:themeShade="FF"/>
          <w:sz w:val="22"/>
          <w:szCs w:val="22"/>
          <w:lang w:val="en-GB"/>
        </w:rPr>
        <w:t>N</w:t>
      </w:r>
      <w:r w:rsidRPr="4C04B922"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o notice of opposition was </w:t>
      </w:r>
      <w:r w:rsidRPr="4C04B922" w:rsidR="7B1B05D5">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4C04B922"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 to the Secretary of State</w:t>
      </w:r>
      <w:r w:rsidRPr="4C04B922" w:rsidR="3A53A88A">
        <w:rPr>
          <w:rFonts w:ascii="Arial" w:hAnsi="Arial" w:eastAsia="Arial" w:cs="Arial"/>
          <w:b w:val="0"/>
          <w:bCs w:val="0"/>
          <w:i w:val="0"/>
          <w:iCs w:val="0"/>
          <w:caps w:val="0"/>
          <w:smallCaps w:val="0"/>
          <w:noProof w:val="0"/>
          <w:color w:val="000000" w:themeColor="text1" w:themeTint="FF" w:themeShade="FF"/>
          <w:sz w:val="22"/>
          <w:szCs w:val="22"/>
          <w:lang w:val="en-GB"/>
        </w:rPr>
        <w:t xml:space="preserve"> during this period</w:t>
      </w:r>
      <w:r w:rsidRPr="4C04B922" w:rsidR="7B1B05D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C04B922" w:rsidR="7B1B05D5">
        <w:rPr>
          <w:rFonts w:ascii="Arial" w:hAnsi="Arial" w:eastAsia="Arial" w:cs="Arial"/>
          <w:noProof w:val="0"/>
          <w:sz w:val="22"/>
          <w:szCs w:val="22"/>
          <w:lang w:val="en-GB"/>
        </w:rPr>
        <w:t xml:space="preserve"> </w:t>
      </w:r>
    </w:p>
    <w:p w:rsidR="0879ED09" w:rsidP="0879ED09" w:rsidRDefault="0879ED09" w14:paraId="2D92889B" w14:textId="2B3826E0">
      <w:pPr>
        <w:spacing w:after="8" w:line="268" w:lineRule="auto"/>
        <w:ind w:left="10" w:hanging="10"/>
        <w:rPr>
          <w:rFonts w:ascii="Arial" w:hAnsi="Arial" w:eastAsia="Arial" w:cs="Arial"/>
          <w:color w:val="000000" w:themeColor="text1" w:themeTint="FF" w:themeShade="FF"/>
        </w:rPr>
      </w:pPr>
    </w:p>
    <w:p w:rsidR="1A0267B4" w:rsidP="5D1E944B" w:rsidRDefault="1A0267B4" w14:paraId="15803DDB" w14:textId="313A11C1">
      <w:pPr>
        <w:spacing w:after="16"/>
        <w:ind w:hanging="10"/>
        <w:rPr>
          <w:rFonts w:ascii="Arial" w:hAnsi="Arial" w:eastAsia="Arial" w:cs="Arial"/>
          <w:color w:val="000000" w:themeColor="text1"/>
        </w:rPr>
      </w:pPr>
      <w:r w:rsidRPr="0879ED09" w:rsidR="1A0267B4">
        <w:rPr>
          <w:rFonts w:ascii="Arial" w:hAnsi="Arial" w:eastAsia="Arial" w:cs="Arial"/>
          <w:color w:val="000000" w:themeColor="text1" w:themeTint="FF" w:themeShade="FF"/>
        </w:rPr>
        <w:t xml:space="preserve"> </w:t>
      </w:r>
    </w:p>
    <w:p w:rsidR="6808AE37" w:rsidP="0879ED09" w:rsidRDefault="6808AE37" w14:paraId="2DE5CBEE" w14:textId="351EDBBB">
      <w:pPr>
        <w:spacing w:after="8" w:line="268" w:lineRule="auto"/>
        <w:ind w:left="-5" w:hanging="10"/>
        <w:rPr>
          <w:rFonts w:ascii="Arial" w:hAnsi="Arial" w:eastAsia="Arial" w:cs="Arial"/>
          <w:noProof w:val="0"/>
          <w:sz w:val="22"/>
          <w:szCs w:val="22"/>
          <w:lang w:val="en-GB"/>
        </w:rPr>
      </w:pPr>
      <w:r w:rsidRPr="0879ED09" w:rsidR="6808AE37">
        <w:rPr>
          <w:rFonts w:ascii="Arial" w:hAnsi="Arial" w:eastAsia="Arial" w:cs="Arial"/>
          <w:b w:val="0"/>
          <w:bCs w:val="0"/>
          <w:i w:val="0"/>
          <w:iCs w:val="0"/>
          <w:caps w:val="0"/>
          <w:smallCaps w:val="0"/>
          <w:noProof w:val="0"/>
          <w:color w:val="000000" w:themeColor="text1" w:themeTint="FF" w:themeShade="FF"/>
          <w:sz w:val="22"/>
          <w:szCs w:val="22"/>
          <w:lang w:val="en-GB"/>
        </w:rPr>
        <w:t xml:space="preserve">The Secretary of State, being satisfied that the conditions laid down in assimilated Regulation 2019/33 have been met in respect of the application, has decided, </w:t>
      </w:r>
      <w:r w:rsidRPr="0879ED09" w:rsidR="6808AE37">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0879ED09" w:rsidR="6808AE37">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31 of the Regulation, to protect the name "</w:t>
      </w:r>
      <w:r w:rsidRPr="0879ED09" w:rsidR="6808AE37">
        <w:rPr>
          <w:rFonts w:ascii="Arial" w:hAnsi="Arial" w:eastAsia="Arial" w:cs="Arial"/>
          <w:b w:val="0"/>
          <w:bCs w:val="0"/>
          <w:i w:val="0"/>
          <w:iCs w:val="0"/>
          <w:caps w:val="0"/>
          <w:smallCaps w:val="0"/>
          <w:noProof w:val="0"/>
          <w:color w:val="000000" w:themeColor="text1" w:themeTint="FF" w:themeShade="FF"/>
          <w:sz w:val="22"/>
          <w:szCs w:val="22"/>
          <w:lang w:val="en-GB"/>
        </w:rPr>
        <w:t>Reserva</w:t>
      </w:r>
      <w:r w:rsidRPr="0879ED09" w:rsidR="6808AE37">
        <w:rPr>
          <w:rFonts w:ascii="Arial" w:hAnsi="Arial" w:eastAsia="Arial" w:cs="Arial"/>
          <w:b w:val="0"/>
          <w:bCs w:val="0"/>
          <w:i w:val="0"/>
          <w:iCs w:val="0"/>
          <w:caps w:val="0"/>
          <w:smallCaps w:val="0"/>
          <w:noProof w:val="0"/>
          <w:color w:val="000000" w:themeColor="text1" w:themeTint="FF" w:themeShade="FF"/>
          <w:sz w:val="22"/>
          <w:szCs w:val="22"/>
          <w:lang w:val="en-GB"/>
        </w:rPr>
        <w:t>" as a traditional term</w:t>
      </w:r>
      <w:r w:rsidRPr="0879ED09" w:rsidR="6808AE3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879ED09" w:rsidR="6808AE37">
        <w:rPr>
          <w:rFonts w:ascii="Arial" w:hAnsi="Arial" w:eastAsia="Arial" w:cs="Arial"/>
          <w:noProof w:val="0"/>
          <w:sz w:val="22"/>
          <w:szCs w:val="22"/>
          <w:lang w:val="en-GB"/>
        </w:rPr>
        <w:t xml:space="preserve"> </w:t>
      </w:r>
    </w:p>
    <w:p w:rsidR="0879ED09" w:rsidP="0879ED09" w:rsidRDefault="0879ED09" w14:paraId="7A849D89" w14:textId="4C8FCEF4">
      <w:pPr>
        <w:spacing w:after="8" w:line="268" w:lineRule="auto"/>
        <w:ind w:left="-5" w:hanging="10"/>
        <w:rPr>
          <w:rFonts w:ascii="Arial" w:hAnsi="Arial" w:eastAsia="Arial" w:cs="Arial"/>
          <w:color w:val="000000" w:themeColor="text1" w:themeTint="FF" w:themeShade="FF"/>
        </w:rPr>
      </w:pPr>
    </w:p>
    <w:p w:rsidR="5D1E944B" w:rsidP="42C65BD5" w:rsidRDefault="5D1E944B" w14:paraId="6EC3A781" w14:textId="09B441A5">
      <w:pPr>
        <w:spacing w:after="8" w:line="268" w:lineRule="auto"/>
        <w:ind w:left="-5" w:hanging="10"/>
        <w:rPr>
          <w:rFonts w:ascii="Arial" w:hAnsi="Arial" w:eastAsia="Arial" w:cs="Arial"/>
          <w:color w:val="000000" w:themeColor="text1"/>
        </w:rPr>
      </w:pPr>
    </w:p>
    <w:p w:rsidR="5D1E944B" w:rsidP="6D1420F7" w:rsidRDefault="00BC7EA5" w14:paraId="3F2522C3" w14:textId="167BC2BE">
      <w:pPr>
        <w:pStyle w:val="Normal"/>
        <w:spacing w:after="8" w:line="268" w:lineRule="auto"/>
        <w:ind w:left="-5" w:hanging="10"/>
        <w:rPr>
          <w:rFonts w:ascii="Arial" w:hAnsi="Arial" w:eastAsia="Arial" w:cs="Arial"/>
          <w:color w:val="000000" w:themeColor="text1"/>
          <w:sz w:val="32"/>
          <w:szCs w:val="32"/>
        </w:rPr>
      </w:pPr>
    </w:p>
    <w:p w:rsidR="5D1E944B" w:rsidP="42C65BD5" w:rsidRDefault="5D1E944B" w14:paraId="785D5C1F" w14:textId="31D780B1">
      <w:pPr>
        <w:spacing w:after="16"/>
        <w:ind w:hanging="10"/>
        <w:rPr>
          <w:rFonts w:ascii="Arial" w:hAnsi="Arial" w:eastAsia="Arial" w:cs="Arial"/>
          <w:color w:val="000000" w:themeColor="text1"/>
        </w:rPr>
      </w:pPr>
    </w:p>
    <w:p w:rsidRPr="00EA4A60" w:rsidR="5D1E944B" w:rsidP="42C65BD5" w:rsidRDefault="1787151A" w14:paraId="06820A1E" w14:textId="7CF018FB">
      <w:pPr>
        <w:pStyle w:val="Heading1"/>
        <w:spacing w:after="52"/>
        <w:ind w:left="-5" w:hanging="10"/>
        <w:rPr>
          <w:rFonts w:ascii="Arial" w:hAnsi="Arial" w:eastAsia="Arial" w:cs="Arial"/>
          <w:b w:val="1"/>
          <w:bCs w:val="1"/>
          <w:color w:val="000000" w:themeColor="text1"/>
          <w:sz w:val="22"/>
          <w:szCs w:val="22"/>
          <w:rPrChange w:author="" w16du:dateUtc="2025-04-30T12:48:00Z" w:id="440355378">
            <w:rPr>
              <w:rFonts w:ascii="Arial" w:hAnsi="Arial" w:eastAsia="Arial" w:cs="Arial"/>
              <w:color w:val="000000" w:themeColor="text1"/>
            </w:rPr>
          </w:rPrChange>
        </w:rPr>
      </w:pPr>
      <w:r w:rsidRPr="6D1420F7" w:rsidR="1787151A">
        <w:rPr>
          <w:rFonts w:ascii="Arial" w:hAnsi="Arial" w:eastAsia="Arial" w:cs="Arial"/>
          <w:b w:val="1"/>
          <w:bCs w:val="1"/>
          <w:color w:val="000000" w:themeColor="text1" w:themeTint="FF" w:themeShade="FF"/>
          <w:sz w:val="22"/>
          <w:szCs w:val="22"/>
        </w:rPr>
        <w:t>Appeal against the decision</w:t>
      </w:r>
    </w:p>
    <w:p w:rsidR="5D1E944B" w:rsidP="42C65BD5" w:rsidRDefault="5D1E944B" w14:paraId="31826FE7" w14:textId="5B76EBA5">
      <w:pPr>
        <w:spacing w:after="8" w:line="268" w:lineRule="auto"/>
        <w:ind w:left="10" w:hanging="10"/>
        <w:rPr>
          <w:rFonts w:ascii="Arial" w:hAnsi="Arial" w:eastAsia="Arial" w:cs="Arial"/>
          <w:color w:val="000000" w:themeColor="text1"/>
        </w:rPr>
      </w:pPr>
    </w:p>
    <w:p w:rsidRPr="0097064F" w:rsidR="5D1E944B" w:rsidP="346D2DBA" w:rsidRDefault="1787151A" w14:paraId="03684382" w14:textId="67CA3013">
      <w:pPr>
        <w:spacing w:after="8" w:line="268" w:lineRule="auto"/>
        <w:ind w:left="10" w:hanging="10"/>
        <w:rPr>
          <w:rFonts w:ascii="Arial" w:hAnsi="Arial" w:eastAsia="Arial" w:cs="Arial"/>
          <w:strike w:val="1"/>
          <w:color w:val="D13438"/>
        </w:rPr>
      </w:pPr>
      <w:r w:rsidRPr="0879ED09" w:rsidR="1787151A">
        <w:rPr>
          <w:rFonts w:ascii="Arial" w:hAnsi="Arial" w:eastAsia="Arial" w:cs="Arial"/>
          <w:color w:val="000000" w:themeColor="text1" w:themeTint="FF" w:themeShade="FF"/>
        </w:rPr>
        <w:t xml:space="preserve">An appeal </w:t>
      </w:r>
      <w:r w:rsidRPr="0879ED09" w:rsidR="00EA4A60">
        <w:rPr>
          <w:rFonts w:ascii="Arial" w:hAnsi="Arial" w:eastAsia="Arial" w:cs="Arial"/>
          <w:color w:val="000000" w:themeColor="text1" w:themeTint="FF" w:themeShade="FF"/>
        </w:rPr>
        <w:t xml:space="preserve">against the Secretary of State’s decision can </w:t>
      </w:r>
      <w:r w:rsidRPr="0879ED09" w:rsidR="1787151A">
        <w:rPr>
          <w:rFonts w:ascii="Arial" w:hAnsi="Arial" w:eastAsia="Arial" w:cs="Arial"/>
          <w:color w:val="000000" w:themeColor="text1" w:themeTint="FF" w:themeShade="FF"/>
        </w:rPr>
        <w:t xml:space="preserve">be made to the First-tier Tribunal </w:t>
      </w:r>
      <w:r w:rsidRPr="0879ED09" w:rsidR="001C0D64">
        <w:rPr>
          <w:rFonts w:ascii="Arial" w:hAnsi="Arial" w:eastAsia="Arial" w:cs="Arial"/>
          <w:color w:val="000000" w:themeColor="text1" w:themeTint="FF" w:themeShade="FF"/>
        </w:rPr>
        <w:t>in accordance with</w:t>
      </w:r>
      <w:r w:rsidRPr="0879ED09" w:rsidR="001C0D64">
        <w:rPr>
          <w:rFonts w:ascii="Arial" w:hAnsi="Arial" w:eastAsia="Arial" w:cs="Arial"/>
          <w:color w:val="000000" w:themeColor="text1" w:themeTint="FF" w:themeShade="FF"/>
        </w:rPr>
        <w:t xml:space="preserve"> </w:t>
      </w:r>
      <w:r w:rsidRPr="0879ED09" w:rsidR="1787151A">
        <w:rPr>
          <w:rFonts w:ascii="Arial" w:hAnsi="Arial" w:eastAsia="Arial" w:cs="Arial"/>
          <w:color w:val="000000" w:themeColor="text1" w:themeTint="FF" w:themeShade="FF"/>
        </w:rPr>
        <w:t xml:space="preserve">Article </w:t>
      </w:r>
      <w:r w:rsidRPr="0879ED09" w:rsidR="007B4BE4">
        <w:rPr>
          <w:rFonts w:ascii="Arial" w:hAnsi="Arial" w:eastAsia="Arial" w:cs="Arial"/>
          <w:color w:val="000000" w:themeColor="text1" w:themeTint="FF" w:themeShade="FF"/>
        </w:rPr>
        <w:t>39</w:t>
      </w:r>
      <w:r w:rsidRPr="0879ED09" w:rsidR="598C5DE6">
        <w:rPr>
          <w:rFonts w:ascii="Arial" w:hAnsi="Arial" w:eastAsia="Arial" w:cs="Arial"/>
          <w:color w:val="000000" w:themeColor="text1" w:themeTint="FF" w:themeShade="FF"/>
        </w:rPr>
        <w:t>a</w:t>
      </w:r>
      <w:r w:rsidRPr="0879ED09" w:rsidR="1787151A">
        <w:rPr>
          <w:rFonts w:ascii="Arial" w:hAnsi="Arial" w:eastAsia="Arial" w:cs="Arial"/>
          <w:color w:val="000000" w:themeColor="text1" w:themeTint="FF" w:themeShade="FF"/>
        </w:rPr>
        <w:t xml:space="preserve"> of assimilated Regulation </w:t>
      </w:r>
      <w:r w:rsidRPr="0879ED09" w:rsidR="007B4BE4">
        <w:rPr>
          <w:rFonts w:ascii="Arial" w:hAnsi="Arial" w:eastAsia="Arial" w:cs="Arial"/>
          <w:color w:val="000000" w:themeColor="text1" w:themeTint="FF" w:themeShade="FF"/>
        </w:rPr>
        <w:t>2019/3</w:t>
      </w:r>
      <w:r w:rsidRPr="0879ED09" w:rsidR="00582B76">
        <w:rPr>
          <w:rFonts w:ascii="Arial" w:hAnsi="Arial" w:eastAsia="Arial" w:cs="Arial"/>
          <w:color w:val="000000" w:themeColor="text1" w:themeTint="FF" w:themeShade="FF"/>
        </w:rPr>
        <w:t>3</w:t>
      </w:r>
      <w:r w:rsidRPr="0879ED09" w:rsidR="009A0194">
        <w:rPr>
          <w:rFonts w:ascii="Arial" w:hAnsi="Arial" w:eastAsia="Arial" w:cs="Arial"/>
          <w:color w:val="000000" w:themeColor="text1" w:themeTint="FF" w:themeShade="FF"/>
        </w:rPr>
        <w:t xml:space="preserve">, as read with Annex A2 </w:t>
      </w:r>
      <w:r w:rsidRPr="0879ED09" w:rsidR="004551AA">
        <w:rPr>
          <w:rFonts w:ascii="Arial" w:hAnsi="Arial" w:eastAsia="Arial" w:cs="Arial"/>
          <w:color w:val="000000" w:themeColor="text1" w:themeTint="FF" w:themeShade="FF"/>
        </w:rPr>
        <w:t>to that regulation</w:t>
      </w:r>
      <w:r w:rsidRPr="0879ED09" w:rsidR="00FB4397">
        <w:rPr>
          <w:rFonts w:ascii="Arial" w:hAnsi="Arial" w:eastAsia="Arial" w:cs="Arial"/>
          <w:color w:val="000000" w:themeColor="text1" w:themeTint="FF" w:themeShade="FF"/>
        </w:rPr>
        <w:t>,</w:t>
      </w:r>
      <w:r w:rsidRPr="0879ED09" w:rsidR="52599B15">
        <w:rPr>
          <w:rFonts w:ascii="Arial" w:hAnsi="Arial" w:eastAsia="Arial" w:cs="Arial"/>
          <w:color w:val="000000" w:themeColor="text1" w:themeTint="FF" w:themeShade="FF"/>
        </w:rPr>
        <w:t xml:space="preserve"> </w:t>
      </w:r>
      <w:r w:rsidRPr="0879ED09" w:rsidR="1787151A">
        <w:rPr>
          <w:rFonts w:ascii="Arial" w:hAnsi="Arial" w:eastAsia="Arial" w:cs="Arial"/>
          <w:color w:val="000000" w:themeColor="text1" w:themeTint="FF" w:themeShade="FF"/>
        </w:rPr>
        <w:t>and the</w:t>
      </w:r>
      <w:r w:rsidRPr="0879ED09" w:rsidR="2EBFEB36">
        <w:rPr>
          <w:rFonts w:ascii="Arial" w:hAnsi="Arial" w:eastAsia="Arial" w:cs="Arial"/>
          <w:b w:val="0"/>
          <w:bCs w:val="0"/>
          <w:i w:val="0"/>
          <w:iCs w:val="0"/>
          <w:caps w:val="0"/>
          <w:smallCaps w:val="0"/>
          <w:noProof w:val="0"/>
          <w:color w:val="000000" w:themeColor="text1" w:themeTint="FF" w:themeShade="FF"/>
          <w:sz w:val="22"/>
          <w:szCs w:val="22"/>
          <w:lang w:val="en-GB"/>
        </w:rPr>
        <w:t xml:space="preserve"> 2009 Rules.</w:t>
      </w:r>
      <w:r w:rsidR="001B36BD">
        <w:rPr/>
        <w:t xml:space="preserve"> </w:t>
      </w:r>
      <w:r w:rsidRPr="0879ED09" w:rsidR="001B36BD">
        <w:rPr>
          <w:rFonts w:ascii="Arial" w:hAnsi="Arial" w:eastAsia="Arial" w:cs="Arial"/>
        </w:rPr>
        <w:t xml:space="preserve">The </w:t>
      </w:r>
      <w:r w:rsidRPr="0879ED09" w:rsidR="001B36BD">
        <w:rPr>
          <w:rFonts w:ascii="Arial" w:hAnsi="Arial" w:eastAsia="Arial" w:cs="Arial"/>
        </w:rPr>
        <w:t>appropriate notice</w:t>
      </w:r>
      <w:r w:rsidRPr="0879ED09" w:rsidR="001B36BD">
        <w:rPr>
          <w:rFonts w:ascii="Arial" w:hAnsi="Arial" w:eastAsia="Arial" w:cs="Arial"/>
        </w:rPr>
        <w:t xml:space="preserve"> to complete is form GRC1, which can be found on the www.gov.uk website.</w:t>
      </w:r>
    </w:p>
    <w:p w:rsidR="5D1E944B" w:rsidP="42C65BD5" w:rsidRDefault="5D1E944B" w14:paraId="749AE289" w14:textId="11E322D5">
      <w:pPr>
        <w:spacing w:after="8" w:line="268" w:lineRule="auto"/>
        <w:ind w:left="10" w:hanging="10"/>
        <w:rPr>
          <w:rFonts w:ascii="Arial" w:hAnsi="Arial" w:eastAsia="Arial" w:cs="Arial"/>
          <w:color w:val="D13438"/>
        </w:rPr>
      </w:pPr>
    </w:p>
    <w:p w:rsidR="5D1E944B" w:rsidP="346D2DBA" w:rsidRDefault="1787151A" w14:paraId="7DFD34D3" w14:textId="4F9B9519">
      <w:pPr>
        <w:spacing w:after="8" w:line="268" w:lineRule="auto"/>
        <w:ind w:left="10" w:hanging="10"/>
        <w:rPr>
          <w:rFonts w:ascii="Arial" w:hAnsi="Arial" w:eastAsia="Arial" w:cs="Arial"/>
        </w:rPr>
      </w:pPr>
      <w:r w:rsidRPr="000F4EE8">
        <w:rPr>
          <w:rFonts w:ascii="Arial" w:hAnsi="Arial" w:eastAsia="Arial" w:cs="Arial"/>
        </w:rPr>
        <w:t xml:space="preserve">Rule 22(2) of the 2009 Rules specifies what the notice of appeal must include. </w:t>
      </w:r>
      <w:r w:rsidR="001B36BD">
        <w:rPr>
          <w:rFonts w:ascii="Arial" w:hAnsi="Arial" w:eastAsia="Arial" w:cs="Arial"/>
        </w:rPr>
        <w:t>This includes</w:t>
      </w:r>
      <w:r w:rsidRPr="000F4EE8">
        <w:rPr>
          <w:rFonts w:ascii="Arial" w:hAnsi="Arial" w:eastAsia="Arial" w:cs="Arial"/>
        </w:rPr>
        <w:t xml:space="preserve"> the name and address of the respondent </w:t>
      </w:r>
      <w:r w:rsidR="001B36BD">
        <w:rPr>
          <w:rFonts w:ascii="Arial" w:hAnsi="Arial" w:eastAsia="Arial" w:cs="Arial"/>
        </w:rPr>
        <w:t>(</w:t>
      </w:r>
      <w:r w:rsidRPr="000F4EE8">
        <w:rPr>
          <w:rFonts w:ascii="Arial" w:hAnsi="Arial" w:eastAsia="Arial" w:cs="Arial"/>
        </w:rPr>
        <w:t>rule 22(2)(d) of the 2009 Rules</w:t>
      </w:r>
      <w:r w:rsidR="001B36BD">
        <w:rPr>
          <w:rFonts w:ascii="Arial" w:hAnsi="Arial" w:eastAsia="Arial" w:cs="Arial"/>
        </w:rPr>
        <w:t>).</w:t>
      </w:r>
    </w:p>
    <w:p w:rsidR="00F860C7" w:rsidP="00F860C7" w:rsidRDefault="00F860C7" w14:paraId="26C30809" w14:textId="77777777">
      <w:pPr>
        <w:spacing w:after="8" w:line="268" w:lineRule="auto"/>
        <w:ind w:left="10" w:hanging="10"/>
        <w:rPr>
          <w:rFonts w:ascii="Arial" w:hAnsi="Arial" w:eastAsia="Arial" w:cs="Arial"/>
        </w:rPr>
      </w:pPr>
    </w:p>
    <w:p w:rsidRPr="00F860C7" w:rsidR="00F860C7" w:rsidP="00F860C7" w:rsidRDefault="00F860C7" w14:paraId="6D8F02D9" w14:textId="222786A7">
      <w:pPr>
        <w:spacing w:after="8" w:line="268" w:lineRule="auto"/>
        <w:ind w:left="10" w:hanging="10"/>
        <w:rPr>
          <w:rFonts w:ascii="Arial" w:hAnsi="Arial" w:eastAsia="Arial" w:cs="Arial"/>
        </w:rPr>
      </w:pPr>
      <w:r w:rsidRPr="00F860C7">
        <w:rPr>
          <w:rFonts w:ascii="Arial" w:hAnsi="Arial" w:eastAsia="Arial" w:cs="Arial"/>
        </w:rPr>
        <w:t>The name of the respondent is the Department for the Environment, Food and Rural Affairs. This should be included in section 4.1 of the form (regulator’s details).</w:t>
      </w:r>
    </w:p>
    <w:p w:rsidRPr="00F860C7" w:rsidR="00F860C7" w:rsidP="00F860C7" w:rsidRDefault="00F860C7" w14:paraId="226D2D5A" w14:textId="77777777">
      <w:pPr>
        <w:spacing w:after="8" w:line="268" w:lineRule="auto"/>
        <w:ind w:left="10" w:hanging="10"/>
        <w:rPr>
          <w:rFonts w:ascii="Arial" w:hAnsi="Arial" w:eastAsia="Arial" w:cs="Arial"/>
        </w:rPr>
      </w:pPr>
    </w:p>
    <w:p w:rsidRPr="00F860C7" w:rsidR="00F860C7" w:rsidP="00F860C7" w:rsidRDefault="00F860C7" w14:paraId="5171AC89" w14:textId="7D1E62DD">
      <w:pPr>
        <w:spacing w:after="8" w:line="268" w:lineRule="auto"/>
        <w:ind w:left="10" w:hanging="10"/>
        <w:rPr>
          <w:rFonts w:ascii="Arial" w:hAnsi="Arial" w:eastAsia="Arial" w:cs="Arial"/>
        </w:rPr>
      </w:pPr>
      <w:r w:rsidRPr="00F860C7">
        <w:rPr>
          <w:rFonts w:ascii="Arial" w:hAnsi="Arial" w:eastAsia="Arial" w:cs="Arial"/>
        </w:rPr>
        <w:t>The address given in section 4.2 of the form should be that of the Government Legal Service, whose postal address is:</w:t>
      </w:r>
    </w:p>
    <w:p w:rsidRPr="00F860C7" w:rsidR="00F860C7" w:rsidP="00F860C7" w:rsidRDefault="00F860C7" w14:paraId="10F4F19E" w14:textId="77777777">
      <w:pPr>
        <w:spacing w:after="8" w:line="268" w:lineRule="auto"/>
        <w:ind w:left="10" w:hanging="10"/>
        <w:jc w:val="center"/>
        <w:rPr>
          <w:rFonts w:ascii="Arial" w:hAnsi="Arial" w:eastAsia="Arial" w:cs="Arial"/>
        </w:rPr>
      </w:pPr>
      <w:r w:rsidRPr="00F860C7">
        <w:rPr>
          <w:rFonts w:ascii="Arial" w:hAnsi="Arial" w:eastAsia="Arial" w:cs="Arial"/>
        </w:rPr>
        <w:t>102 Petty France</w:t>
      </w:r>
    </w:p>
    <w:p w:rsidRPr="00F860C7" w:rsidR="00F860C7" w:rsidP="00F860C7" w:rsidRDefault="00F860C7" w14:paraId="1FE5F8D1" w14:textId="77777777">
      <w:pPr>
        <w:spacing w:after="8" w:line="268" w:lineRule="auto"/>
        <w:ind w:left="10" w:hanging="10"/>
        <w:jc w:val="center"/>
        <w:rPr>
          <w:rFonts w:ascii="Arial" w:hAnsi="Arial" w:eastAsia="Arial" w:cs="Arial"/>
        </w:rPr>
      </w:pPr>
      <w:r w:rsidRPr="00F860C7">
        <w:rPr>
          <w:rFonts w:ascii="Arial" w:hAnsi="Arial" w:eastAsia="Arial" w:cs="Arial"/>
        </w:rPr>
        <w:t>Westminster</w:t>
      </w:r>
    </w:p>
    <w:p w:rsidRPr="00F860C7" w:rsidR="00F860C7" w:rsidP="00F860C7" w:rsidRDefault="00F860C7" w14:paraId="5487292A" w14:textId="77777777">
      <w:pPr>
        <w:spacing w:after="8" w:line="268" w:lineRule="auto"/>
        <w:ind w:left="10" w:hanging="10"/>
        <w:jc w:val="center"/>
        <w:rPr>
          <w:rFonts w:ascii="Arial" w:hAnsi="Arial" w:eastAsia="Arial" w:cs="Arial"/>
        </w:rPr>
      </w:pPr>
      <w:r w:rsidRPr="00F860C7">
        <w:rPr>
          <w:rFonts w:ascii="Arial" w:hAnsi="Arial" w:eastAsia="Arial" w:cs="Arial"/>
        </w:rPr>
        <w:t>London</w:t>
      </w:r>
    </w:p>
    <w:p w:rsidRPr="00F860C7" w:rsidR="00F860C7" w:rsidP="00F860C7" w:rsidRDefault="00F860C7" w14:paraId="604315C9" w14:textId="77777777">
      <w:pPr>
        <w:spacing w:after="8" w:line="268" w:lineRule="auto"/>
        <w:ind w:left="10" w:hanging="10"/>
        <w:jc w:val="center"/>
        <w:rPr>
          <w:rFonts w:ascii="Arial" w:hAnsi="Arial" w:eastAsia="Arial" w:cs="Arial"/>
        </w:rPr>
      </w:pPr>
      <w:r w:rsidRPr="00F860C7">
        <w:rPr>
          <w:rFonts w:ascii="Arial" w:hAnsi="Arial" w:eastAsia="Arial" w:cs="Arial"/>
        </w:rPr>
        <w:t>SW1H 9AJ</w:t>
      </w:r>
    </w:p>
    <w:p w:rsidRPr="00F860C7" w:rsidR="00F860C7" w:rsidP="00F860C7" w:rsidRDefault="00F860C7" w14:paraId="08A79E95" w14:textId="77777777">
      <w:pPr>
        <w:spacing w:after="8" w:line="268" w:lineRule="auto"/>
        <w:ind w:left="10" w:hanging="10"/>
        <w:rPr>
          <w:rFonts w:ascii="Arial" w:hAnsi="Arial" w:eastAsia="Arial" w:cs="Arial"/>
        </w:rPr>
      </w:pPr>
    </w:p>
    <w:p w:rsidR="00F860C7" w:rsidP="00F860C7" w:rsidRDefault="00F860C7" w14:paraId="217B7673" w14:textId="56B28DF3">
      <w:pPr>
        <w:spacing w:after="8" w:line="268" w:lineRule="auto"/>
        <w:ind w:left="10" w:hanging="10"/>
        <w:rPr>
          <w:rFonts w:ascii="Arial" w:hAnsi="Arial" w:eastAsia="Arial" w:cs="Arial"/>
        </w:rPr>
      </w:pPr>
      <w:r w:rsidRPr="00F860C7">
        <w:rPr>
          <w:rFonts w:ascii="Arial" w:hAnsi="Arial" w:eastAsia="Arial" w:cs="Arial"/>
        </w:rPr>
        <w:t>In section 4.3 of the form, under contact details, you should provide the following service email address of the Government Legal Department:</w:t>
      </w:r>
    </w:p>
    <w:p w:rsidRPr="00F860C7" w:rsidR="00881E22" w:rsidP="00F860C7" w:rsidRDefault="00881E22" w14:paraId="1E19C0D0" w14:textId="77777777">
      <w:pPr>
        <w:spacing w:after="8" w:line="268" w:lineRule="auto"/>
        <w:ind w:left="10" w:hanging="10"/>
        <w:rPr>
          <w:rFonts w:ascii="Arial" w:hAnsi="Arial" w:eastAsia="Arial" w:cs="Arial"/>
        </w:rPr>
      </w:pPr>
    </w:p>
    <w:p w:rsidRPr="000F4EE8" w:rsidR="00F860C7" w:rsidP="0027352C" w:rsidRDefault="00F860C7" w14:paraId="7BC58DCD" w14:textId="187BD5B9">
      <w:pPr>
        <w:spacing w:after="8" w:line="268" w:lineRule="auto"/>
        <w:ind w:left="10" w:hanging="10"/>
        <w:jc w:val="center"/>
        <w:rPr>
          <w:rFonts w:ascii="Arial" w:hAnsi="Arial" w:eastAsia="Arial" w:cs="Arial"/>
        </w:rPr>
      </w:pPr>
      <w:r w:rsidRPr="00F860C7">
        <w:rPr>
          <w:rFonts w:ascii="Arial" w:hAnsi="Arial" w:eastAsia="Arial" w:cs="Arial"/>
        </w:rPr>
        <w:t>newproceedings@governmentlegal.gov.uk</w:t>
      </w:r>
    </w:p>
    <w:p w:rsidRPr="000F4EE8" w:rsidR="5D1E944B" w:rsidP="42C65BD5" w:rsidRDefault="5D1E944B" w14:paraId="6B5BD9CF" w14:textId="14B558DF">
      <w:pPr>
        <w:spacing w:after="8" w:line="268" w:lineRule="auto"/>
        <w:ind w:left="10" w:hanging="10"/>
        <w:rPr>
          <w:rFonts w:ascii="Arial" w:hAnsi="Arial" w:eastAsia="Arial" w:cs="Arial"/>
        </w:rPr>
      </w:pPr>
    </w:p>
    <w:p w:rsidR="5D1E944B" w:rsidP="42C65BD5" w:rsidRDefault="5D1E944B" w14:paraId="0320F472" w14:textId="08DCBABD">
      <w:pPr>
        <w:spacing w:after="8" w:line="268" w:lineRule="auto"/>
        <w:ind w:left="10" w:hanging="10"/>
        <w:rPr>
          <w:rFonts w:ascii="Arial" w:hAnsi="Arial" w:eastAsia="Arial" w:cs="Arial"/>
          <w:color w:val="D13438"/>
        </w:rPr>
      </w:pPr>
    </w:p>
    <w:p w:rsidRPr="000F4EE8" w:rsidR="5D1E944B" w:rsidP="42C65BD5" w:rsidRDefault="1787151A" w14:paraId="0C221F23" w14:textId="6085B325">
      <w:pPr>
        <w:spacing w:after="8" w:line="268" w:lineRule="auto"/>
        <w:ind w:left="10" w:hanging="10"/>
        <w:rPr>
          <w:rFonts w:ascii="Arial" w:hAnsi="Arial" w:eastAsia="Arial" w:cs="Arial"/>
        </w:rPr>
      </w:pPr>
      <w:r w:rsidRPr="000F4EE8">
        <w:rPr>
          <w:rFonts w:ascii="Arial" w:hAnsi="Arial" w:eastAsia="Arial" w:cs="Arial"/>
        </w:rPr>
        <w:t>In accordance with rule 22(3) of the 2009 Rules, an appeal against the decision to which this notice relates must include a copy of this notice.</w:t>
      </w:r>
    </w:p>
    <w:p w:rsidR="5D1E944B" w:rsidP="42C65BD5" w:rsidRDefault="5D1E944B" w14:paraId="3CBC8315" w14:textId="3D6BABC1">
      <w:pPr>
        <w:spacing w:after="8" w:line="268" w:lineRule="auto"/>
        <w:ind w:left="10" w:hanging="10"/>
        <w:rPr>
          <w:rFonts w:ascii="Arial" w:hAnsi="Arial" w:eastAsia="Arial" w:cs="Arial"/>
          <w:color w:val="000000" w:themeColor="text1"/>
        </w:rPr>
      </w:pPr>
    </w:p>
    <w:p w:rsidR="5D1E944B" w:rsidP="42C65BD5" w:rsidRDefault="1787151A" w14:paraId="495C8F21" w14:textId="51E2CEE6">
      <w:pPr>
        <w:spacing w:after="8" w:line="268" w:lineRule="auto"/>
        <w:ind w:left="10" w:hanging="10"/>
        <w:rPr>
          <w:rFonts w:ascii="Arial" w:hAnsi="Arial" w:eastAsia="Arial" w:cs="Arial"/>
          <w:color w:val="000000" w:themeColor="text1"/>
        </w:rPr>
      </w:pPr>
      <w:r w:rsidRPr="4A3B1879" w:rsidR="1787151A">
        <w:rPr>
          <w:rFonts w:ascii="Arial" w:hAnsi="Arial" w:eastAsia="Arial" w:cs="Arial"/>
          <w:color w:val="000000" w:themeColor="text1" w:themeTint="FF" w:themeShade="FF"/>
        </w:rPr>
        <w:t xml:space="preserve">An appeal must be made by sending or delivering a notice of appeal to the Tribunal so that it is received by the Tribunal before 5 p.m. on </w:t>
      </w:r>
      <w:r w:rsidRPr="4A3B1879" w:rsidR="071AA16D">
        <w:rPr>
          <w:rFonts w:ascii="Arial" w:hAnsi="Arial" w:eastAsia="Arial" w:cs="Arial"/>
          <w:b w:val="0"/>
          <w:bCs w:val="0"/>
          <w:i w:val="0"/>
          <w:iCs w:val="0"/>
          <w:caps w:val="0"/>
          <w:smallCaps w:val="0"/>
          <w:strike w:val="0"/>
          <w:dstrike w:val="0"/>
          <w:noProof w:val="0"/>
          <w:color w:val="auto"/>
          <w:sz w:val="22"/>
          <w:szCs w:val="22"/>
          <w:u w:val="none"/>
          <w:lang w:val="en-GB"/>
        </w:rPr>
        <w:t>the 29</w:t>
      </w:r>
      <w:r w:rsidRPr="4A3B1879" w:rsidR="071AA16D">
        <w:rPr>
          <w:rFonts w:ascii="Arial" w:hAnsi="Arial" w:eastAsia="Arial" w:cs="Arial"/>
          <w:b w:val="0"/>
          <w:bCs w:val="0"/>
          <w:i w:val="0"/>
          <w:iCs w:val="0"/>
          <w:caps w:val="0"/>
          <w:smallCaps w:val="0"/>
          <w:strike w:val="0"/>
          <w:dstrike w:val="0"/>
          <w:noProof w:val="0"/>
          <w:color w:val="auto"/>
          <w:sz w:val="22"/>
          <w:szCs w:val="22"/>
          <w:u w:val="none"/>
          <w:vertAlign w:val="superscript"/>
          <w:lang w:val="en-GB"/>
        </w:rPr>
        <w:t>th</w:t>
      </w:r>
      <w:r w:rsidRPr="4A3B1879" w:rsidR="071AA16D">
        <w:rPr>
          <w:rFonts w:ascii="Arial" w:hAnsi="Arial" w:eastAsia="Arial" w:cs="Arial"/>
          <w:b w:val="0"/>
          <w:bCs w:val="0"/>
          <w:i w:val="0"/>
          <w:iCs w:val="0"/>
          <w:caps w:val="0"/>
          <w:smallCaps w:val="0"/>
          <w:strike w:val="0"/>
          <w:dstrike w:val="0"/>
          <w:noProof w:val="0"/>
          <w:color w:val="auto"/>
          <w:sz w:val="22"/>
          <w:szCs w:val="22"/>
          <w:u w:val="none"/>
          <w:lang w:val="en-GB"/>
        </w:rPr>
        <w:t xml:space="preserve"> of July 2025</w:t>
      </w:r>
      <w:r w:rsidRPr="4A3B1879" w:rsidR="1787151A">
        <w:rPr>
          <w:rFonts w:ascii="Arial" w:hAnsi="Arial" w:eastAsia="Arial" w:cs="Arial"/>
          <w:color w:val="auto"/>
          <w:u w:val="none"/>
        </w:rPr>
        <w:t>.</w:t>
      </w:r>
    </w:p>
    <w:p w:rsidR="5D1E944B" w:rsidP="42C65BD5" w:rsidRDefault="5D1E944B" w14:paraId="7E3C5A30" w14:textId="23807BA1">
      <w:pPr>
        <w:spacing w:after="8" w:line="268" w:lineRule="auto"/>
        <w:ind w:left="10" w:hanging="10"/>
        <w:rPr>
          <w:rFonts w:ascii="Arial" w:hAnsi="Arial" w:eastAsia="Arial" w:cs="Arial"/>
          <w:color w:val="000000" w:themeColor="text1"/>
        </w:rPr>
      </w:pPr>
    </w:p>
    <w:p w:rsidR="5D1E944B" w:rsidP="42C65BD5" w:rsidRDefault="1787151A" w14:paraId="60C4CAD4" w14:textId="6879FD8F">
      <w:pPr>
        <w:spacing w:after="8" w:line="268" w:lineRule="auto"/>
        <w:ind w:left="-5" w:hanging="10"/>
        <w:rPr>
          <w:rFonts w:ascii="Arial" w:hAnsi="Arial" w:eastAsia="Arial" w:cs="Arial"/>
          <w:color w:val="000000" w:themeColor="text1"/>
        </w:rPr>
      </w:pPr>
      <w:r w:rsidRPr="07659258" w:rsidR="1787151A">
        <w:rPr>
          <w:rFonts w:ascii="Arial" w:hAnsi="Arial" w:eastAsia="Arial" w:cs="Arial"/>
          <w:color w:val="000000" w:themeColor="text1" w:themeTint="FF" w:themeShade="FF"/>
        </w:rPr>
        <w:t xml:space="preserve">A successful appeal may mean that </w:t>
      </w:r>
      <w:r w:rsidRPr="07659258" w:rsidR="2B510E14">
        <w:rPr>
          <w:rFonts w:ascii="Arial" w:hAnsi="Arial" w:eastAsia="Arial" w:cs="Arial"/>
          <w:color w:val="000000" w:themeColor="text1" w:themeTint="FF" w:themeShade="FF"/>
        </w:rPr>
        <w:t>"</w:t>
      </w:r>
      <w:r w:rsidRPr="07659258" w:rsidR="2B510E14">
        <w:rPr>
          <w:rFonts w:ascii="Arial" w:hAnsi="Arial" w:eastAsia="Arial" w:cs="Arial"/>
          <w:color w:val="000000" w:themeColor="text1" w:themeTint="FF" w:themeShade="FF"/>
        </w:rPr>
        <w:t>Reserva</w:t>
      </w:r>
      <w:r w:rsidRPr="07659258" w:rsidR="2B510E14">
        <w:rPr>
          <w:rFonts w:ascii="Arial" w:hAnsi="Arial" w:eastAsia="Arial" w:cs="Arial"/>
          <w:color w:val="000000" w:themeColor="text1" w:themeTint="FF" w:themeShade="FF"/>
        </w:rPr>
        <w:t>"</w:t>
      </w:r>
      <w:r w:rsidRPr="07659258" w:rsidR="1787151A">
        <w:rPr>
          <w:rFonts w:ascii="Arial" w:hAnsi="Arial" w:eastAsia="Arial" w:cs="Arial"/>
          <w:color w:val="000000" w:themeColor="text1" w:themeTint="FF" w:themeShade="FF"/>
        </w:rPr>
        <w:t xml:space="preserve"> is removed from the register</w:t>
      </w:r>
      <w:r w:rsidRPr="07659258" w:rsidR="00B773DE">
        <w:rPr>
          <w:rFonts w:ascii="Arial" w:hAnsi="Arial" w:eastAsia="Arial" w:cs="Arial"/>
          <w:color w:val="000000" w:themeColor="text1" w:themeTint="FF" w:themeShade="FF"/>
        </w:rPr>
        <w:t>,</w:t>
      </w:r>
      <w:r w:rsidRPr="07659258" w:rsidR="1787151A">
        <w:rPr>
          <w:rFonts w:ascii="Arial" w:hAnsi="Arial" w:eastAsia="Arial" w:cs="Arial"/>
          <w:color w:val="000000" w:themeColor="text1" w:themeTint="FF" w:themeShade="FF"/>
        </w:rPr>
        <w:t xml:space="preserve"> ending its protection as a </w:t>
      </w:r>
      <w:r w:rsidRPr="07659258" w:rsidR="0027352C">
        <w:rPr>
          <w:rFonts w:ascii="Arial" w:hAnsi="Arial" w:eastAsia="Arial" w:cs="Arial"/>
          <w:color w:val="000000" w:themeColor="text1" w:themeTint="FF" w:themeShade="FF"/>
        </w:rPr>
        <w:t>traditional term</w:t>
      </w:r>
      <w:r w:rsidRPr="07659258" w:rsidR="1787151A">
        <w:rPr>
          <w:rFonts w:ascii="Arial" w:hAnsi="Arial" w:eastAsia="Arial" w:cs="Arial"/>
          <w:color w:val="000000" w:themeColor="text1" w:themeTint="FF" w:themeShade="FF"/>
        </w:rPr>
        <w:t xml:space="preserve">. </w:t>
      </w:r>
    </w:p>
    <w:p w:rsidR="07659258" w:rsidP="07659258" w:rsidRDefault="07659258" w14:paraId="58CDE3D6" w14:textId="62979BA0">
      <w:pPr>
        <w:spacing w:after="8" w:line="268" w:lineRule="auto"/>
        <w:ind w:left="-5" w:hanging="10"/>
        <w:rPr>
          <w:rFonts w:ascii="Arial" w:hAnsi="Arial" w:eastAsia="Arial" w:cs="Arial"/>
          <w:color w:val="000000" w:themeColor="text1" w:themeTint="FF" w:themeShade="FF"/>
        </w:rPr>
      </w:pPr>
    </w:p>
    <w:p w:rsidR="5D1E944B" w:rsidP="07659258" w:rsidRDefault="1787151A" w14:paraId="5E8F0209" w14:textId="559E12B7">
      <w:pPr>
        <w:spacing w:after="16"/>
        <w:ind w:hanging="10"/>
        <w:rPr>
          <w:rFonts w:ascii="Arial" w:hAnsi="Arial" w:eastAsia="Arial" w:cs="Arial"/>
          <w:b w:val="0"/>
          <w:bCs w:val="0"/>
          <w:i w:val="0"/>
          <w:iCs w:val="0"/>
          <w:caps w:val="0"/>
          <w:smallCaps w:val="0"/>
          <w:noProof w:val="0"/>
          <w:color w:val="000000" w:themeColor="text1" w:themeTint="FF" w:themeShade="FF"/>
          <w:sz w:val="22"/>
          <w:szCs w:val="22"/>
          <w:lang w:val="en-GB"/>
        </w:rPr>
      </w:pPr>
      <w:r w:rsidRPr="07659258" w:rsidR="740CD134">
        <w:rPr>
          <w:rFonts w:ascii="Arial" w:hAnsi="Arial" w:eastAsia="Arial" w:cs="Arial"/>
          <w:b w:val="1"/>
          <w:bCs w:val="1"/>
          <w:i w:val="0"/>
          <w:iCs w:val="0"/>
          <w:caps w:val="0"/>
          <w:smallCaps w:val="0"/>
          <w:noProof w:val="0"/>
          <w:color w:val="000000" w:themeColor="text1" w:themeTint="FF" w:themeShade="FF"/>
          <w:sz w:val="22"/>
          <w:szCs w:val="22"/>
          <w:lang w:val="en-GB"/>
        </w:rPr>
        <w:t>Note</w:t>
      </w:r>
    </w:p>
    <w:p w:rsidR="5D1E944B" w:rsidP="07659258" w:rsidRDefault="1787151A" w14:paraId="51CA9524" w14:textId="23AAD666">
      <w:pPr>
        <w:spacing w:after="16"/>
        <w:ind w:hanging="10"/>
        <w:rPr>
          <w:rFonts w:ascii="Arial" w:hAnsi="Arial" w:eastAsia="Arial" w:cs="Arial"/>
          <w:b w:val="0"/>
          <w:bCs w:val="0"/>
          <w:i w:val="0"/>
          <w:iCs w:val="0"/>
          <w:caps w:val="0"/>
          <w:smallCaps w:val="0"/>
          <w:noProof w:val="0"/>
          <w:color w:val="000000" w:themeColor="text1" w:themeTint="FF" w:themeShade="FF"/>
          <w:sz w:val="22"/>
          <w:szCs w:val="22"/>
          <w:lang w:val="en-GB"/>
        </w:rPr>
      </w:pPr>
    </w:p>
    <w:p w:rsidR="5D1E944B" w:rsidP="07659258" w:rsidRDefault="1787151A" w14:paraId="29B7BF2B" w14:textId="32D88753">
      <w:pPr>
        <w:spacing w:after="16"/>
        <w:ind w:hanging="10"/>
        <w:rPr>
          <w:rFonts w:ascii="Arial" w:hAnsi="Arial" w:eastAsia="Arial" w:cs="Arial"/>
          <w:b w:val="0"/>
          <w:bCs w:val="0"/>
          <w:i w:val="0"/>
          <w:iCs w:val="0"/>
          <w:caps w:val="0"/>
          <w:smallCaps w:val="0"/>
          <w:noProof w:val="0"/>
          <w:color w:val="000000" w:themeColor="text1" w:themeTint="FF" w:themeShade="FF"/>
          <w:sz w:val="22"/>
          <w:szCs w:val="22"/>
          <w:lang w:val="en-GB"/>
        </w:rPr>
      </w:pPr>
      <w:r w:rsidRPr="07659258" w:rsidR="740CD134">
        <w:rPr>
          <w:rFonts w:ascii="Arial" w:hAnsi="Arial" w:eastAsia="Arial" w:cs="Arial"/>
          <w:b w:val="0"/>
          <w:bCs w:val="0"/>
          <w:i w:val="0"/>
          <w:iCs w:val="0"/>
          <w:caps w:val="0"/>
          <w:smallCaps w:val="0"/>
          <w:noProof w:val="0"/>
          <w:color w:val="000000" w:themeColor="text1" w:themeTint="FF" w:themeShade="FF"/>
          <w:sz w:val="22"/>
          <w:szCs w:val="22"/>
          <w:lang w:val="en-GB"/>
        </w:rPr>
        <w:t>Note that under the third subparagraph of Article 33(1) of assimilated Regulation 2019/33 a registered homonymous term may be used only if there is sufficient distinction in practice between use of that registered homonymous term and any other homonymous term already in the register, having regard to the need to treat the producers concerned in an equitable manner and the need to avoid misleading the consumer.</w:t>
      </w:r>
    </w:p>
    <w:p w:rsidR="5D1E944B" w:rsidP="253A167D" w:rsidRDefault="5D1E944B" w14:paraId="1C7A5BF6" w14:textId="41DE7608">
      <w:pPr>
        <w:pStyle w:val="Heading1"/>
        <w:spacing w:after="16"/>
        <w:ind w:hanging="10"/>
        <w:rPr>
          <w:rFonts w:ascii="Arial" w:hAnsi="Arial" w:eastAsia="Arial" w:cs="Arial"/>
          <w:b w:val="1"/>
          <w:bCs w:val="1"/>
          <w:color w:val="000000" w:themeColor="text1" w:themeTint="FF" w:themeShade="FF"/>
          <w:sz w:val="22"/>
          <w:szCs w:val="22"/>
        </w:rPr>
      </w:pPr>
      <w:r w:rsidRPr="253A167D" w:rsidR="7DE0DF53">
        <w:rPr>
          <w:rFonts w:ascii="Arial" w:hAnsi="Arial" w:eastAsia="Arial" w:cs="Arial"/>
          <w:b w:val="1"/>
          <w:bCs w:val="1"/>
          <w:color w:val="000000" w:themeColor="text1" w:themeTint="FF" w:themeShade="FF"/>
          <w:sz w:val="22"/>
          <w:szCs w:val="22"/>
        </w:rPr>
        <w:t>Interpretation</w:t>
      </w:r>
    </w:p>
    <w:p w:rsidR="014C2387" w:rsidP="014C2387" w:rsidRDefault="014C2387" w14:paraId="18615673" w14:textId="2421E2B0">
      <w:pPr>
        <w:pStyle w:val="Normal"/>
        <w:spacing w:after="16"/>
        <w:ind w:left="-10" w:hanging="0"/>
        <w:rPr>
          <w:rFonts w:ascii="Arial" w:hAnsi="Arial" w:eastAsia="Arial" w:cs="Arial"/>
          <w:color w:val="000000" w:themeColor="text1" w:themeTint="FF" w:themeShade="FF"/>
          <w:sz w:val="32"/>
          <w:szCs w:val="32"/>
        </w:rPr>
      </w:pPr>
    </w:p>
    <w:p w:rsidR="5D1E944B" w:rsidP="42C65BD5" w:rsidRDefault="00917BF3" w14:paraId="6E144C3E" w14:textId="45CB8023">
      <w:pPr>
        <w:spacing w:after="16"/>
        <w:ind w:hanging="10"/>
        <w:rPr>
          <w:rFonts w:ascii="Arial" w:hAnsi="Arial" w:eastAsia="Arial" w:cs="Arial"/>
          <w:color w:val="000000" w:themeColor="text1"/>
        </w:rPr>
      </w:pPr>
      <w:r w:rsidRPr="1163ED62" w:rsidR="1787151A">
        <w:rPr>
          <w:rFonts w:ascii="Arial" w:hAnsi="Arial" w:eastAsia="Arial" w:cs="Arial"/>
          <w:color w:val="000000" w:themeColor="text1" w:themeTint="FF" w:themeShade="FF"/>
        </w:rPr>
        <w:t>In this Decision:</w:t>
      </w:r>
    </w:p>
    <w:p w:rsidR="5D1E944B" w:rsidP="42C65BD5" w:rsidRDefault="5D1E944B" w14:paraId="131CA450" w14:textId="197A136B">
      <w:pPr>
        <w:spacing w:after="16"/>
        <w:ind w:hanging="10"/>
        <w:rPr>
          <w:rFonts w:ascii="Arial" w:hAnsi="Arial" w:eastAsia="Arial" w:cs="Arial"/>
          <w:color w:val="000000" w:themeColor="text1"/>
        </w:rPr>
      </w:pPr>
    </w:p>
    <w:p w:rsidRPr="00A749C5" w:rsidR="00A749C5" w:rsidP="3AD5EA4F" w:rsidRDefault="1787151A" w14:paraId="43A1ECAC" w14:textId="57CBB4EF">
      <w:pPr>
        <w:pStyle w:val="ListParagraph"/>
        <w:numPr>
          <w:ilvl w:val="0"/>
          <w:numId w:val="4"/>
        </w:numPr>
        <w:spacing w:after="120" w:line="360" w:lineRule="auto"/>
        <w:ind/>
        <w:rPr>
          <w:rFonts w:ascii="Arial" w:hAnsi="Arial" w:eastAsia="Arial" w:cs="Arial"/>
          <w:sz w:val="22"/>
          <w:szCs w:val="22"/>
        </w:rPr>
      </w:pPr>
      <w:r w:rsidRPr="3AD5EA4F" w:rsidR="1787151A">
        <w:rPr>
          <w:rFonts w:ascii="Arial" w:hAnsi="Arial" w:eastAsia="Arial" w:cs="Arial"/>
        </w:rPr>
        <w:t>“</w:t>
      </w:r>
      <w:r w:rsidRPr="3AD5EA4F" w:rsidR="1787151A">
        <w:rPr>
          <w:rFonts w:ascii="Arial" w:hAnsi="Arial" w:eastAsia="Arial" w:cs="Arial"/>
        </w:rPr>
        <w:t>the</w:t>
      </w:r>
      <w:r w:rsidRPr="3AD5EA4F" w:rsidR="1787151A">
        <w:rPr>
          <w:rFonts w:ascii="Arial" w:hAnsi="Arial" w:eastAsia="Arial" w:cs="Arial"/>
        </w:rPr>
        <w:t xml:space="preserve"> 2009 Rules” means the Tribunal Procedure (First-tier Tribunal) (General Regulatory Chamber) Rules 2009 (S.I. 2009/1976)</w:t>
      </w:r>
      <w:r w:rsidRPr="3AD5EA4F" w:rsidR="007F28F7">
        <w:rPr>
          <w:rFonts w:ascii="Arial" w:hAnsi="Arial" w:eastAsia="Arial" w:cs="Arial"/>
        </w:rPr>
        <w:t xml:space="preserve">, as </w:t>
      </w:r>
      <w:r w:rsidRPr="3AD5EA4F" w:rsidR="007F28F7">
        <w:rPr>
          <w:rFonts w:ascii="Arial" w:hAnsi="Arial" w:eastAsia="Arial" w:cs="Arial"/>
        </w:rPr>
        <w:t>amended</w:t>
      </w:r>
      <w:r w:rsidRPr="3AD5EA4F" w:rsidR="1787151A">
        <w:rPr>
          <w:rFonts w:ascii="Arial" w:hAnsi="Arial" w:eastAsia="Arial" w:cs="Arial"/>
        </w:rPr>
        <w:t>;</w:t>
      </w:r>
    </w:p>
    <w:p w:rsidRPr="00A749C5" w:rsidR="00A749C5" w:rsidP="3AD5EA4F" w:rsidRDefault="1787151A" w14:paraId="6CD8327A" w14:textId="40AF9A42">
      <w:pPr>
        <w:pStyle w:val="ListParagraph"/>
        <w:numPr>
          <w:ilvl w:val="0"/>
          <w:numId w:val="4"/>
        </w:numPr>
        <w:spacing w:after="120" w:line="360" w:lineRule="auto"/>
        <w:ind/>
        <w:rPr>
          <w:rFonts w:ascii="Arial" w:hAnsi="Arial" w:eastAsia="Arial" w:cs="Arial"/>
          <w:color w:val="000000" w:themeColor="text1"/>
          <w:sz w:val="22"/>
          <w:szCs w:val="22"/>
          <w:lang w:val="en-US"/>
        </w:rPr>
      </w:pPr>
      <w:r w:rsidRPr="3AD5EA4F" w:rsidR="1787151A">
        <w:rPr>
          <w:rFonts w:ascii="Arial" w:hAnsi="Arial" w:eastAsia="Arial" w:cs="Arial"/>
        </w:rPr>
        <w:t>“</w:t>
      </w:r>
      <w:r w:rsidRPr="3AD5EA4F" w:rsidR="00582B76">
        <w:rPr>
          <w:rFonts w:ascii="Arial" w:hAnsi="Arial" w:eastAsia="Arial" w:cs="Arial"/>
          <w:color w:val="000000" w:themeColor="text1" w:themeTint="FF" w:themeShade="FF"/>
          <w:lang w:val="en-US"/>
        </w:rPr>
        <w:t>assimilated</w:t>
      </w:r>
      <w:r w:rsidRPr="3AD5EA4F" w:rsidR="00582B76">
        <w:rPr>
          <w:rFonts w:ascii="Arial" w:hAnsi="Arial" w:eastAsia="Arial" w:cs="Arial"/>
          <w:color w:val="000000" w:themeColor="text1" w:themeTint="FF" w:themeShade="FF"/>
          <w:lang w:val="en-US"/>
        </w:rPr>
        <w:t xml:space="preserve"> Regulation 2019/33’ means Commission Delegated Regulation (EU) 2019/33 of 17 October 2018 supplementing Regulation (EU) No 1308/2013 of the European Parliament and of the Council as regards applications for protection of designations of origin, geographical indications and traditional terms in the wine sector, the objection procedure, restrictions of use, amendments to product specifications, cancellation of protection, and labelling and presentation</w:t>
      </w:r>
      <w:r w:rsidRPr="3AD5EA4F" w:rsidR="0027352C">
        <w:rPr>
          <w:rFonts w:ascii="Arial" w:hAnsi="Arial" w:eastAsia="Arial" w:cs="Arial"/>
          <w:color w:val="000000" w:themeColor="text1" w:themeTint="FF" w:themeShade="FF"/>
          <w:lang w:val="en-US"/>
        </w:rPr>
        <w:t xml:space="preserve">, as </w:t>
      </w:r>
      <w:r w:rsidRPr="3AD5EA4F" w:rsidR="0027352C">
        <w:rPr>
          <w:rFonts w:ascii="Arial" w:hAnsi="Arial" w:eastAsia="Arial" w:cs="Arial"/>
          <w:color w:val="000000" w:themeColor="text1" w:themeTint="FF" w:themeShade="FF"/>
          <w:lang w:val="en-US"/>
        </w:rPr>
        <w:t>amended</w:t>
      </w:r>
      <w:r w:rsidRPr="3AD5EA4F" w:rsidR="00582B76">
        <w:rPr>
          <w:rFonts w:ascii="Arial" w:hAnsi="Arial" w:eastAsia="Arial" w:cs="Arial"/>
          <w:color w:val="000000" w:themeColor="text1" w:themeTint="FF" w:themeShade="FF"/>
          <w:lang w:val="en-US"/>
        </w:rPr>
        <w:t>;</w:t>
      </w:r>
    </w:p>
    <w:p w:rsidR="5D1E944B" w:rsidP="3AD5EA4F" w:rsidRDefault="1787151A" w14:paraId="1274215C" w14:textId="0C05E1BE">
      <w:pPr>
        <w:pStyle w:val="ListParagraph"/>
        <w:numPr>
          <w:ilvl w:val="0"/>
          <w:numId w:val="4"/>
        </w:numPr>
        <w:spacing w:after="120" w:line="360" w:lineRule="auto"/>
        <w:ind/>
        <w:rPr>
          <w:rFonts w:ascii="Arial" w:hAnsi="Arial" w:eastAsia="Arial" w:cs="Arial"/>
          <w:color w:val="000000" w:themeColor="text1"/>
          <w:sz w:val="22"/>
          <w:szCs w:val="22"/>
        </w:rPr>
      </w:pPr>
      <w:r w:rsidRPr="3AD5EA4F" w:rsidR="1787151A">
        <w:rPr>
          <w:rFonts w:ascii="Arial" w:hAnsi="Arial" w:eastAsia="Arial" w:cs="Arial"/>
          <w:color w:val="000000" w:themeColor="text1" w:themeTint="FF" w:themeShade="FF"/>
        </w:rPr>
        <w:t xml:space="preserve">“assimilated Regulation </w:t>
      </w:r>
      <w:r w:rsidRPr="3AD5EA4F" w:rsidR="7F943BE6">
        <w:rPr>
          <w:rFonts w:ascii="Arial" w:hAnsi="Arial" w:eastAsia="Arial" w:cs="Arial"/>
          <w:color w:val="000000" w:themeColor="text1" w:themeTint="FF" w:themeShade="FF"/>
        </w:rPr>
        <w:t>2019/34</w:t>
      </w:r>
      <w:r w:rsidRPr="3AD5EA4F" w:rsidR="1787151A">
        <w:rPr>
          <w:rFonts w:ascii="Arial" w:hAnsi="Arial" w:eastAsia="Arial" w:cs="Arial"/>
          <w:color w:val="000000" w:themeColor="text1" w:themeTint="FF" w:themeShade="FF"/>
        </w:rPr>
        <w:t xml:space="preserve">” means Commission Implementing Regulation (EU) No </w:t>
      </w:r>
      <w:r w:rsidRPr="3AD5EA4F" w:rsidR="25017200">
        <w:rPr>
          <w:rFonts w:ascii="Arial" w:hAnsi="Arial" w:eastAsia="Arial" w:cs="Arial"/>
          <w:color w:val="000000" w:themeColor="text1" w:themeTint="FF" w:themeShade="FF"/>
        </w:rPr>
        <w:t>2019/34</w:t>
      </w:r>
      <w:r w:rsidRPr="3AD5EA4F" w:rsidR="1787151A">
        <w:rPr>
          <w:rFonts w:ascii="Arial" w:hAnsi="Arial" w:eastAsia="Arial" w:cs="Arial"/>
          <w:color w:val="000000" w:themeColor="text1" w:themeTint="FF" w:themeShade="FF"/>
        </w:rPr>
        <w:t xml:space="preserve"> </w:t>
      </w:r>
      <w:r w:rsidRPr="3AD5EA4F" w:rsidR="00990A80">
        <w:rPr>
          <w:rFonts w:ascii="Arial" w:hAnsi="Arial" w:eastAsia="Arial" w:cs="Arial"/>
          <w:color w:val="000000" w:themeColor="text1" w:themeTint="FF" w:themeShade="FF"/>
        </w:rPr>
        <w:t xml:space="preserve">of 17 October 2018 </w:t>
      </w:r>
      <w:r w:rsidRPr="3AD5EA4F" w:rsidR="1787151A">
        <w:rPr>
          <w:rFonts w:ascii="Arial" w:hAnsi="Arial" w:eastAsia="Arial" w:cs="Arial"/>
          <w:color w:val="000000" w:themeColor="text1" w:themeTint="FF" w:themeShade="FF"/>
        </w:rPr>
        <w:t xml:space="preserve">laying down rules for the application of Regulation (EU) No </w:t>
      </w:r>
      <w:r w:rsidRPr="3AD5EA4F" w:rsidR="1EC049E3">
        <w:rPr>
          <w:rFonts w:ascii="Arial" w:hAnsi="Arial" w:eastAsia="Arial" w:cs="Arial"/>
          <w:color w:val="000000" w:themeColor="text1" w:themeTint="FF" w:themeShade="FF"/>
        </w:rPr>
        <w:t>1308/2013</w:t>
      </w:r>
      <w:r w:rsidRPr="3AD5EA4F" w:rsidR="1787151A">
        <w:rPr>
          <w:rFonts w:ascii="Arial" w:hAnsi="Arial" w:eastAsia="Arial" w:cs="Arial"/>
          <w:color w:val="000000" w:themeColor="text1" w:themeTint="FF" w:themeShade="FF"/>
        </w:rPr>
        <w:t xml:space="preserve"> of the European Parliament and of the Council</w:t>
      </w:r>
      <w:r w:rsidRPr="3AD5EA4F" w:rsidR="00204D81">
        <w:rPr>
          <w:rFonts w:ascii="Arial" w:hAnsi="Arial" w:eastAsia="Arial" w:cs="Arial"/>
          <w:color w:val="000000" w:themeColor="text1" w:themeTint="FF" w:themeShade="FF"/>
        </w:rPr>
        <w:t xml:space="preserve"> </w:t>
      </w:r>
      <w:r w:rsidRPr="3AD5EA4F" w:rsidR="00204D81">
        <w:rPr>
          <w:rFonts w:ascii="Arial" w:hAnsi="Arial" w:eastAsia="Arial" w:cs="Arial"/>
          <w:color w:val="000000" w:themeColor="text1" w:themeTint="FF" w:themeShade="FF"/>
        </w:rPr>
        <w:t xml:space="preserve">as regards applications for protection of designations of origin, geographical </w:t>
      </w:r>
      <w:r w:rsidRPr="3AD5EA4F" w:rsidR="00FA602F">
        <w:rPr>
          <w:rFonts w:ascii="Arial" w:hAnsi="Arial" w:eastAsia="Arial" w:cs="Arial"/>
          <w:color w:val="000000" w:themeColor="text1" w:themeTint="FF" w:themeShade="FF"/>
        </w:rPr>
        <w:t xml:space="preserve">indications and </w:t>
      </w:r>
      <w:r w:rsidRPr="3AD5EA4F" w:rsidR="00204D81">
        <w:rPr>
          <w:rFonts w:ascii="Arial" w:hAnsi="Arial" w:eastAsia="Arial" w:cs="Arial"/>
          <w:color w:val="000000" w:themeColor="text1" w:themeTint="FF" w:themeShade="FF"/>
        </w:rPr>
        <w:t>traditional terms in the wine sector, the objection procedure, amendments to product specifications, the register of protected names, cancellation of protection and use of symbols, and of Regulation (EU) No 1306/2013 of the European Parliament and of the Council as regards an appropriate system of checks</w:t>
      </w:r>
      <w:r w:rsidRPr="3AD5EA4F" w:rsidR="00A55FBE">
        <w:rPr>
          <w:rFonts w:ascii="Arial" w:hAnsi="Arial" w:eastAsia="Arial" w:cs="Arial"/>
          <w:color w:val="000000" w:themeColor="text1" w:themeTint="FF" w:themeShade="FF"/>
        </w:rPr>
        <w:t>, as amended</w:t>
      </w:r>
      <w:r w:rsidRPr="3AD5EA4F" w:rsidR="1787151A">
        <w:rPr>
          <w:rFonts w:ascii="Arial" w:hAnsi="Arial" w:eastAsia="Arial" w:cs="Arial"/>
          <w:color w:val="000000" w:themeColor="text1" w:themeTint="FF" w:themeShade="FF"/>
        </w:rPr>
        <w:t>;</w:t>
      </w:r>
    </w:p>
    <w:p w:rsidR="5D1E944B" w:rsidP="3AD5EA4F" w:rsidRDefault="1787151A" w14:paraId="3CCCD17C" w14:textId="713FA22E">
      <w:pPr>
        <w:pStyle w:val="ListParagraph"/>
        <w:numPr>
          <w:ilvl w:val="0"/>
          <w:numId w:val="4"/>
        </w:numPr>
        <w:spacing w:after="120" w:line="360" w:lineRule="auto"/>
        <w:ind/>
        <w:rPr>
          <w:rFonts w:ascii="Arial" w:hAnsi="Arial" w:eastAsia="Arial" w:cs="Arial"/>
          <w:color w:val="000000" w:themeColor="text1"/>
          <w:sz w:val="22"/>
          <w:szCs w:val="22"/>
        </w:rPr>
      </w:pPr>
      <w:r w:rsidRPr="3AD5EA4F" w:rsidR="1787151A">
        <w:rPr>
          <w:rFonts w:ascii="Arial" w:hAnsi="Arial" w:eastAsia="Arial" w:cs="Arial"/>
          <w:color w:val="000000" w:themeColor="text1" w:themeTint="FF" w:themeShade="FF"/>
        </w:rPr>
        <w:t>“</w:t>
      </w:r>
      <w:r w:rsidRPr="3AD5EA4F" w:rsidR="1787151A">
        <w:rPr>
          <w:rFonts w:ascii="Arial" w:hAnsi="Arial" w:eastAsia="Arial" w:cs="Arial"/>
          <w:color w:val="000000" w:themeColor="text1" w:themeTint="FF" w:themeShade="FF"/>
        </w:rPr>
        <w:t>the</w:t>
      </w:r>
      <w:r w:rsidRPr="3AD5EA4F" w:rsidR="1787151A">
        <w:rPr>
          <w:rFonts w:ascii="Arial" w:hAnsi="Arial" w:eastAsia="Arial" w:cs="Arial"/>
          <w:color w:val="000000" w:themeColor="text1" w:themeTint="FF" w:themeShade="FF"/>
        </w:rPr>
        <w:t xml:space="preserve"> register” means the register referred to</w:t>
      </w:r>
      <w:r w:rsidRPr="3AD5EA4F" w:rsidR="311EA8FC">
        <w:rPr>
          <w:rFonts w:ascii="Arial" w:hAnsi="Arial" w:eastAsia="Arial" w:cs="Arial"/>
          <w:color w:val="000000" w:themeColor="text1" w:themeTint="FF" w:themeShade="FF"/>
        </w:rPr>
        <w:t xml:space="preserve"> </w:t>
      </w:r>
      <w:r w:rsidRPr="3AD5EA4F" w:rsidR="000275A9">
        <w:rPr>
          <w:rFonts w:ascii="Arial" w:hAnsi="Arial" w:eastAsia="Arial" w:cs="Arial"/>
          <w:color w:val="000000" w:themeColor="text1" w:themeTint="FF" w:themeShade="FF"/>
        </w:rPr>
        <w:t>in</w:t>
      </w:r>
      <w:r w:rsidRPr="3AD5EA4F" w:rsidR="00F20B2E">
        <w:rPr>
          <w:rFonts w:ascii="Arial" w:hAnsi="Arial" w:eastAsia="Arial" w:cs="Arial"/>
          <w:color w:val="000000" w:themeColor="text1" w:themeTint="FF" w:themeShade="FF"/>
        </w:rPr>
        <w:t xml:space="preserve"> Article </w:t>
      </w:r>
      <w:r w:rsidRPr="3AD5EA4F" w:rsidR="00A749C5">
        <w:rPr>
          <w:rFonts w:ascii="Arial" w:hAnsi="Arial" w:eastAsia="Arial" w:cs="Arial"/>
          <w:color w:val="000000" w:themeColor="text1" w:themeTint="FF" w:themeShade="FF"/>
        </w:rPr>
        <w:t>25</w:t>
      </w:r>
      <w:r w:rsidRPr="3AD5EA4F" w:rsidR="00F20B2E">
        <w:rPr>
          <w:rFonts w:ascii="Arial" w:hAnsi="Arial" w:eastAsia="Arial" w:cs="Arial"/>
          <w:color w:val="000000" w:themeColor="text1" w:themeTint="FF" w:themeShade="FF"/>
        </w:rPr>
        <w:t xml:space="preserve"> of assimilated Regulation </w:t>
      </w:r>
      <w:r w:rsidRPr="3AD5EA4F" w:rsidR="00A749C5">
        <w:rPr>
          <w:rFonts w:ascii="Arial" w:hAnsi="Arial" w:eastAsia="Arial" w:cs="Arial"/>
          <w:color w:val="000000" w:themeColor="text1" w:themeTint="FF" w:themeShade="FF"/>
        </w:rPr>
        <w:t>2019/34</w:t>
      </w:r>
      <w:r w:rsidRPr="3AD5EA4F" w:rsidR="1787151A">
        <w:rPr>
          <w:rFonts w:ascii="Arial" w:hAnsi="Arial" w:eastAsia="Arial" w:cs="Arial"/>
          <w:color w:val="000000" w:themeColor="text1" w:themeTint="FF" w:themeShade="FF"/>
        </w:rPr>
        <w:t>.</w:t>
      </w:r>
    </w:p>
    <w:p w:rsidR="5D1E944B" w:rsidP="5D1E944B" w:rsidRDefault="5D1E944B" w14:paraId="7921B600" w14:textId="2ED646AC">
      <w:pPr>
        <w:spacing w:after="8" w:line="268" w:lineRule="auto"/>
        <w:ind w:left="10" w:hanging="10"/>
        <w:rPr>
          <w:rFonts w:ascii="Arial" w:hAnsi="Arial" w:eastAsia="Arial" w:cs="Arial"/>
        </w:rPr>
      </w:pPr>
    </w:p>
    <w:p w:rsidRPr="00706B05" w:rsidR="00706B05" w:rsidP="6AB0DAFF" w:rsidRDefault="00706B05" w14:paraId="288C622A" w14:textId="3DB27FD2">
      <w:pPr>
        <w:spacing w:after="0" w:line="240" w:lineRule="auto"/>
        <w:jc w:val="both"/>
        <w:rPr>
          <w:rFonts w:ascii="Arial" w:hAnsi="Arial" w:eastAsia="Times New Roman" w:cs="Arial"/>
          <w:color w:val="000000" w:themeColor="text1"/>
          <w:lang w:eastAsia="en-GB"/>
        </w:rPr>
      </w:pPr>
    </w:p>
    <w:p w:rsidRPr="00706B05" w:rsidR="00706B05" w:rsidP="6AB0DAFF" w:rsidRDefault="00706B05" w14:paraId="2C9EAA0B" w14:textId="1CE5E5EE">
      <w:pPr>
        <w:spacing w:after="0" w:line="240" w:lineRule="auto"/>
        <w:jc w:val="both"/>
        <w:rPr>
          <w:rFonts w:ascii="Times New Roman" w:hAnsi="Times New Roman" w:eastAsia="Times New Roman" w:cs="Times New Roman"/>
          <w:sz w:val="24"/>
          <w:szCs w:val="24"/>
          <w:lang w:eastAsia="en-GB"/>
        </w:rPr>
      </w:pPr>
    </w:p>
    <w:p w:rsidRPr="003D724A" w:rsidR="003D724A" w:rsidP="003D724A" w:rsidRDefault="003D724A" w14:paraId="1835FF6A" w14:textId="5D22F028">
      <w:pPr>
        <w:spacing w:after="0" w:line="240" w:lineRule="auto"/>
        <w:rPr>
          <w:rFonts w:ascii="Arial" w:hAnsi="Arial" w:eastAsia="Times New Roman" w:cs="Arial"/>
          <w:color w:val="000000"/>
          <w:lang w:eastAsia="en-GB"/>
        </w:rPr>
      </w:pPr>
      <w:r w:rsidRPr="7F559809">
        <w:rPr>
          <w:rFonts w:ascii="Arial" w:hAnsi="Arial" w:eastAsia="Times New Roman" w:cs="Arial"/>
          <w:color w:val="000000" w:themeColor="text1"/>
          <w:lang w:eastAsia="en-GB"/>
        </w:rPr>
        <w:t xml:space="preserve"> </w:t>
      </w:r>
    </w:p>
    <w:sectPr w:rsidRPr="003D724A" w:rsidR="003D724A">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4810" w:rsidP="00A5750D" w:rsidRDefault="004F4810" w14:paraId="23486CEB" w14:textId="77777777">
      <w:pPr>
        <w:spacing w:after="0" w:line="240" w:lineRule="auto"/>
      </w:pPr>
      <w:r>
        <w:separator/>
      </w:r>
    </w:p>
  </w:endnote>
  <w:endnote w:type="continuationSeparator" w:id="0">
    <w:p w:rsidR="004F4810" w:rsidP="00A5750D" w:rsidRDefault="004F4810" w14:paraId="5D0609A9" w14:textId="77777777">
      <w:pPr>
        <w:spacing w:after="0" w:line="240" w:lineRule="auto"/>
      </w:pPr>
      <w:r>
        <w:continuationSeparator/>
      </w:r>
    </w:p>
  </w:endnote>
  <w:endnote w:type="continuationNotice" w:id="1">
    <w:p w:rsidR="004F4810" w:rsidRDefault="004F4810" w14:paraId="58A812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4810" w:rsidP="00A5750D" w:rsidRDefault="004F4810" w14:paraId="5E9CC4E0" w14:textId="77777777">
      <w:pPr>
        <w:spacing w:after="0" w:line="240" w:lineRule="auto"/>
      </w:pPr>
      <w:r>
        <w:separator/>
      </w:r>
    </w:p>
  </w:footnote>
  <w:footnote w:type="continuationSeparator" w:id="0">
    <w:p w:rsidR="004F4810" w:rsidP="00A5750D" w:rsidRDefault="004F4810" w14:paraId="23443422" w14:textId="77777777">
      <w:pPr>
        <w:spacing w:after="0" w:line="240" w:lineRule="auto"/>
      </w:pPr>
      <w:r>
        <w:continuationSeparator/>
      </w:r>
    </w:p>
  </w:footnote>
  <w:footnote w:type="continuationNotice" w:id="1">
    <w:p w:rsidR="004F4810" w:rsidRDefault="004F4810" w14:paraId="6F5F3F86"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zikF9CPppxGZP2" int2:id="D4JUMaW2">
      <int2:state int2:type="spell" int2:value="Rejected"/>
    </int2:textHash>
    <int2:textHash int2:hashCode="GEcixYvkWmTKwn" int2:id="d57qSJCM">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ED6E"/>
    <w:multiLevelType w:val="hybridMultilevel"/>
    <w:tmpl w:val="B858A484"/>
    <w:lvl w:ilvl="0" w:tplc="F2B49CD4">
      <w:start w:val="4"/>
      <w:numFmt w:val="lowerLetter"/>
      <w:lvlText w:val="(%1)"/>
      <w:lvlJc w:val="left"/>
      <w:pPr>
        <w:ind w:left="720" w:hanging="360"/>
      </w:pPr>
    </w:lvl>
    <w:lvl w:ilvl="1" w:tplc="06A67E76">
      <w:start w:val="1"/>
      <w:numFmt w:val="lowerLetter"/>
      <w:lvlText w:val="%2."/>
      <w:lvlJc w:val="left"/>
      <w:pPr>
        <w:ind w:left="1440" w:hanging="360"/>
      </w:pPr>
    </w:lvl>
    <w:lvl w:ilvl="2" w:tplc="117889B8">
      <w:start w:val="1"/>
      <w:numFmt w:val="lowerRoman"/>
      <w:lvlText w:val="%3."/>
      <w:lvlJc w:val="right"/>
      <w:pPr>
        <w:ind w:left="2160" w:hanging="180"/>
      </w:pPr>
    </w:lvl>
    <w:lvl w:ilvl="3" w:tplc="D50006F8">
      <w:start w:val="1"/>
      <w:numFmt w:val="decimal"/>
      <w:lvlText w:val="%4."/>
      <w:lvlJc w:val="left"/>
      <w:pPr>
        <w:ind w:left="2880" w:hanging="360"/>
      </w:pPr>
    </w:lvl>
    <w:lvl w:ilvl="4" w:tplc="A4BE82B2">
      <w:start w:val="1"/>
      <w:numFmt w:val="lowerLetter"/>
      <w:lvlText w:val="%5."/>
      <w:lvlJc w:val="left"/>
      <w:pPr>
        <w:ind w:left="3600" w:hanging="360"/>
      </w:pPr>
    </w:lvl>
    <w:lvl w:ilvl="5" w:tplc="5CD839EA">
      <w:start w:val="1"/>
      <w:numFmt w:val="lowerRoman"/>
      <w:lvlText w:val="%6."/>
      <w:lvlJc w:val="right"/>
      <w:pPr>
        <w:ind w:left="4320" w:hanging="180"/>
      </w:pPr>
    </w:lvl>
    <w:lvl w:ilvl="6" w:tplc="15C0E80E">
      <w:start w:val="1"/>
      <w:numFmt w:val="decimal"/>
      <w:lvlText w:val="%7."/>
      <w:lvlJc w:val="left"/>
      <w:pPr>
        <w:ind w:left="5040" w:hanging="360"/>
      </w:pPr>
    </w:lvl>
    <w:lvl w:ilvl="7" w:tplc="105ACC26">
      <w:start w:val="1"/>
      <w:numFmt w:val="lowerLetter"/>
      <w:lvlText w:val="%8."/>
      <w:lvlJc w:val="left"/>
      <w:pPr>
        <w:ind w:left="5760" w:hanging="360"/>
      </w:pPr>
    </w:lvl>
    <w:lvl w:ilvl="8" w:tplc="80B66A52">
      <w:start w:val="1"/>
      <w:numFmt w:val="lowerRoman"/>
      <w:lvlText w:val="%9."/>
      <w:lvlJc w:val="right"/>
      <w:pPr>
        <w:ind w:left="6480" w:hanging="180"/>
      </w:pPr>
    </w:lvl>
  </w:abstractNum>
  <w:abstractNum w:abstractNumId="1" w15:restartNumberingAfterBreak="0">
    <w:nsid w:val="33FF2B08"/>
    <w:multiLevelType w:val="hybridMultilevel"/>
    <w:tmpl w:val="1CAE8AF0"/>
    <w:lvl w:ilvl="0" w:tplc="A5F08682">
      <w:start w:val="3"/>
      <w:numFmt w:val="lowerLetter"/>
      <w:lvlText w:val="(%1)"/>
      <w:lvlJc w:val="left"/>
      <w:pPr>
        <w:ind w:left="720" w:hanging="360"/>
      </w:pPr>
    </w:lvl>
    <w:lvl w:ilvl="1" w:tplc="B5F6187A">
      <w:start w:val="1"/>
      <w:numFmt w:val="lowerLetter"/>
      <w:lvlText w:val="%2."/>
      <w:lvlJc w:val="left"/>
      <w:pPr>
        <w:ind w:left="1440" w:hanging="360"/>
      </w:pPr>
    </w:lvl>
    <w:lvl w:ilvl="2" w:tplc="419E992E">
      <w:start w:val="1"/>
      <w:numFmt w:val="lowerRoman"/>
      <w:lvlText w:val="%3."/>
      <w:lvlJc w:val="right"/>
      <w:pPr>
        <w:ind w:left="2160" w:hanging="180"/>
      </w:pPr>
    </w:lvl>
    <w:lvl w:ilvl="3" w:tplc="02C48ECA">
      <w:start w:val="1"/>
      <w:numFmt w:val="decimal"/>
      <w:lvlText w:val="%4."/>
      <w:lvlJc w:val="left"/>
      <w:pPr>
        <w:ind w:left="2880" w:hanging="360"/>
      </w:pPr>
    </w:lvl>
    <w:lvl w:ilvl="4" w:tplc="46861746">
      <w:start w:val="1"/>
      <w:numFmt w:val="lowerLetter"/>
      <w:lvlText w:val="%5."/>
      <w:lvlJc w:val="left"/>
      <w:pPr>
        <w:ind w:left="3600" w:hanging="360"/>
      </w:pPr>
    </w:lvl>
    <w:lvl w:ilvl="5" w:tplc="3E76910A">
      <w:start w:val="1"/>
      <w:numFmt w:val="lowerRoman"/>
      <w:lvlText w:val="%6."/>
      <w:lvlJc w:val="right"/>
      <w:pPr>
        <w:ind w:left="4320" w:hanging="180"/>
      </w:pPr>
    </w:lvl>
    <w:lvl w:ilvl="6" w:tplc="9E327092">
      <w:start w:val="1"/>
      <w:numFmt w:val="decimal"/>
      <w:lvlText w:val="%7."/>
      <w:lvlJc w:val="left"/>
      <w:pPr>
        <w:ind w:left="5040" w:hanging="360"/>
      </w:pPr>
    </w:lvl>
    <w:lvl w:ilvl="7" w:tplc="09F67842">
      <w:start w:val="1"/>
      <w:numFmt w:val="lowerLetter"/>
      <w:lvlText w:val="%8."/>
      <w:lvlJc w:val="left"/>
      <w:pPr>
        <w:ind w:left="5760" w:hanging="360"/>
      </w:pPr>
    </w:lvl>
    <w:lvl w:ilvl="8" w:tplc="FBB4ABB6">
      <w:start w:val="1"/>
      <w:numFmt w:val="lowerRoman"/>
      <w:lvlText w:val="%9."/>
      <w:lvlJc w:val="right"/>
      <w:pPr>
        <w:ind w:left="6480" w:hanging="180"/>
      </w:pPr>
    </w:lvl>
  </w:abstractNum>
  <w:abstractNum w:abstractNumId="2" w15:restartNumberingAfterBreak="0">
    <w:nsid w:val="4CE6B77D"/>
    <w:multiLevelType w:val="hybridMultilevel"/>
    <w:tmpl w:val="E4C044FA"/>
    <w:lvl w:ilvl="0" w:tplc="B7D4C59E">
      <w:start w:val="1"/>
      <w:numFmt w:val="lowerLetter"/>
      <w:lvlText w:val="(%1)"/>
      <w:lvlJc w:val="left"/>
      <w:pPr>
        <w:ind w:left="720" w:hanging="360"/>
      </w:pPr>
    </w:lvl>
    <w:lvl w:ilvl="1" w:tplc="B5E6BE4E">
      <w:start w:val="1"/>
      <w:numFmt w:val="lowerLetter"/>
      <w:lvlText w:val="%2."/>
      <w:lvlJc w:val="left"/>
      <w:pPr>
        <w:ind w:left="1440" w:hanging="360"/>
      </w:pPr>
    </w:lvl>
    <w:lvl w:ilvl="2" w:tplc="4D6CC0D2">
      <w:start w:val="1"/>
      <w:numFmt w:val="lowerRoman"/>
      <w:lvlText w:val="%3."/>
      <w:lvlJc w:val="right"/>
      <w:pPr>
        <w:ind w:left="2160" w:hanging="180"/>
      </w:pPr>
    </w:lvl>
    <w:lvl w:ilvl="3" w:tplc="D92291E4">
      <w:start w:val="1"/>
      <w:numFmt w:val="decimal"/>
      <w:lvlText w:val="%4."/>
      <w:lvlJc w:val="left"/>
      <w:pPr>
        <w:ind w:left="2880" w:hanging="360"/>
      </w:pPr>
    </w:lvl>
    <w:lvl w:ilvl="4" w:tplc="62A8431A">
      <w:start w:val="1"/>
      <w:numFmt w:val="lowerLetter"/>
      <w:lvlText w:val="%5."/>
      <w:lvlJc w:val="left"/>
      <w:pPr>
        <w:ind w:left="3600" w:hanging="360"/>
      </w:pPr>
    </w:lvl>
    <w:lvl w:ilvl="5" w:tplc="A21467F0">
      <w:start w:val="1"/>
      <w:numFmt w:val="lowerRoman"/>
      <w:lvlText w:val="%6."/>
      <w:lvlJc w:val="right"/>
      <w:pPr>
        <w:ind w:left="4320" w:hanging="180"/>
      </w:pPr>
    </w:lvl>
    <w:lvl w:ilvl="6" w:tplc="B81CBFDA">
      <w:start w:val="1"/>
      <w:numFmt w:val="decimal"/>
      <w:lvlText w:val="%7."/>
      <w:lvlJc w:val="left"/>
      <w:pPr>
        <w:ind w:left="5040" w:hanging="360"/>
      </w:pPr>
    </w:lvl>
    <w:lvl w:ilvl="7" w:tplc="A5425BDE">
      <w:start w:val="1"/>
      <w:numFmt w:val="lowerLetter"/>
      <w:lvlText w:val="%8."/>
      <w:lvlJc w:val="left"/>
      <w:pPr>
        <w:ind w:left="5760" w:hanging="360"/>
      </w:pPr>
    </w:lvl>
    <w:lvl w:ilvl="8" w:tplc="C0CAC05C">
      <w:start w:val="1"/>
      <w:numFmt w:val="lowerRoman"/>
      <w:lvlText w:val="%9."/>
      <w:lvlJc w:val="right"/>
      <w:pPr>
        <w:ind w:left="6480" w:hanging="180"/>
      </w:pPr>
    </w:lvl>
  </w:abstractNum>
  <w:abstractNum w:abstractNumId="3" w15:restartNumberingAfterBreak="0">
    <w:nsid w:val="54A08066"/>
    <w:multiLevelType w:val="hybridMultilevel"/>
    <w:tmpl w:val="7D26B4B2"/>
    <w:lvl w:ilvl="0" w:tplc="B2A88476">
      <w:start w:val="2"/>
      <w:numFmt w:val="lowerLetter"/>
      <w:lvlText w:val="(%1)"/>
      <w:lvlJc w:val="left"/>
      <w:pPr>
        <w:ind w:left="720" w:hanging="360"/>
      </w:pPr>
    </w:lvl>
    <w:lvl w:ilvl="1" w:tplc="0D609B58">
      <w:start w:val="1"/>
      <w:numFmt w:val="lowerLetter"/>
      <w:lvlText w:val="%2."/>
      <w:lvlJc w:val="left"/>
      <w:pPr>
        <w:ind w:left="1440" w:hanging="360"/>
      </w:pPr>
    </w:lvl>
    <w:lvl w:ilvl="2" w:tplc="270E952A">
      <w:start w:val="1"/>
      <w:numFmt w:val="lowerRoman"/>
      <w:lvlText w:val="%3."/>
      <w:lvlJc w:val="right"/>
      <w:pPr>
        <w:ind w:left="2160" w:hanging="180"/>
      </w:pPr>
    </w:lvl>
    <w:lvl w:ilvl="3" w:tplc="EDDCDAE4">
      <w:start w:val="1"/>
      <w:numFmt w:val="decimal"/>
      <w:lvlText w:val="%4."/>
      <w:lvlJc w:val="left"/>
      <w:pPr>
        <w:ind w:left="2880" w:hanging="360"/>
      </w:pPr>
    </w:lvl>
    <w:lvl w:ilvl="4" w:tplc="F42E1610">
      <w:start w:val="1"/>
      <w:numFmt w:val="lowerLetter"/>
      <w:lvlText w:val="%5."/>
      <w:lvlJc w:val="left"/>
      <w:pPr>
        <w:ind w:left="3600" w:hanging="360"/>
      </w:pPr>
    </w:lvl>
    <w:lvl w:ilvl="5" w:tplc="E39C5D86">
      <w:start w:val="1"/>
      <w:numFmt w:val="lowerRoman"/>
      <w:lvlText w:val="%6."/>
      <w:lvlJc w:val="right"/>
      <w:pPr>
        <w:ind w:left="4320" w:hanging="180"/>
      </w:pPr>
    </w:lvl>
    <w:lvl w:ilvl="6" w:tplc="60E0F78E">
      <w:start w:val="1"/>
      <w:numFmt w:val="decimal"/>
      <w:lvlText w:val="%7."/>
      <w:lvlJc w:val="left"/>
      <w:pPr>
        <w:ind w:left="5040" w:hanging="360"/>
      </w:pPr>
    </w:lvl>
    <w:lvl w:ilvl="7" w:tplc="BA4EBB2E">
      <w:start w:val="1"/>
      <w:numFmt w:val="lowerLetter"/>
      <w:lvlText w:val="%8."/>
      <w:lvlJc w:val="left"/>
      <w:pPr>
        <w:ind w:left="5760" w:hanging="360"/>
      </w:pPr>
    </w:lvl>
    <w:lvl w:ilvl="8" w:tplc="4CD05800">
      <w:start w:val="1"/>
      <w:numFmt w:val="lowerRoman"/>
      <w:lvlText w:val="%9."/>
      <w:lvlJc w:val="right"/>
      <w:pPr>
        <w:ind w:left="6480" w:hanging="180"/>
      </w:pPr>
    </w:lvl>
  </w:abstractNum>
  <w:num w:numId="1" w16cid:durableId="311644827">
    <w:abstractNumId w:val="0"/>
  </w:num>
  <w:num w:numId="2" w16cid:durableId="211041942">
    <w:abstractNumId w:val="1"/>
  </w:num>
  <w:num w:numId="3" w16cid:durableId="1639334209">
    <w:abstractNumId w:val="3"/>
  </w:num>
  <w:num w:numId="4" w16cid:durableId="148531211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AD"/>
    <w:rsid w:val="00006E9D"/>
    <w:rsid w:val="00010E1A"/>
    <w:rsid w:val="000113CE"/>
    <w:rsid w:val="00013AA3"/>
    <w:rsid w:val="00015DC0"/>
    <w:rsid w:val="0001657A"/>
    <w:rsid w:val="000178DF"/>
    <w:rsid w:val="00022BE5"/>
    <w:rsid w:val="000275A9"/>
    <w:rsid w:val="00031231"/>
    <w:rsid w:val="00043969"/>
    <w:rsid w:val="000442DB"/>
    <w:rsid w:val="0004646E"/>
    <w:rsid w:val="00046AA1"/>
    <w:rsid w:val="00047655"/>
    <w:rsid w:val="00050742"/>
    <w:rsid w:val="00053DBD"/>
    <w:rsid w:val="0006254A"/>
    <w:rsid w:val="000653BA"/>
    <w:rsid w:val="0006551F"/>
    <w:rsid w:val="00071364"/>
    <w:rsid w:val="0007229C"/>
    <w:rsid w:val="00074D62"/>
    <w:rsid w:val="00080AA8"/>
    <w:rsid w:val="00084A0C"/>
    <w:rsid w:val="00084DD1"/>
    <w:rsid w:val="00084EBD"/>
    <w:rsid w:val="000A04F1"/>
    <w:rsid w:val="000A352D"/>
    <w:rsid w:val="000A70BC"/>
    <w:rsid w:val="000B0492"/>
    <w:rsid w:val="000B0D07"/>
    <w:rsid w:val="000B363D"/>
    <w:rsid w:val="000B7BD9"/>
    <w:rsid w:val="000C03E7"/>
    <w:rsid w:val="000C547E"/>
    <w:rsid w:val="000C610E"/>
    <w:rsid w:val="000E1044"/>
    <w:rsid w:val="000E6DFF"/>
    <w:rsid w:val="000E7252"/>
    <w:rsid w:val="000EDB51"/>
    <w:rsid w:val="000F4EE8"/>
    <w:rsid w:val="00103A69"/>
    <w:rsid w:val="00110D6B"/>
    <w:rsid w:val="00121410"/>
    <w:rsid w:val="001301E5"/>
    <w:rsid w:val="00134D2D"/>
    <w:rsid w:val="00145DA7"/>
    <w:rsid w:val="001574AC"/>
    <w:rsid w:val="00170BB9"/>
    <w:rsid w:val="00197010"/>
    <w:rsid w:val="001979EE"/>
    <w:rsid w:val="00197BEB"/>
    <w:rsid w:val="001A054E"/>
    <w:rsid w:val="001A26BF"/>
    <w:rsid w:val="001B36BD"/>
    <w:rsid w:val="001B44F1"/>
    <w:rsid w:val="001B650C"/>
    <w:rsid w:val="001C0D64"/>
    <w:rsid w:val="001C0E1F"/>
    <w:rsid w:val="001C5B69"/>
    <w:rsid w:val="001E4C76"/>
    <w:rsid w:val="001F1F35"/>
    <w:rsid w:val="001F71AC"/>
    <w:rsid w:val="00201F95"/>
    <w:rsid w:val="00204D81"/>
    <w:rsid w:val="002068C9"/>
    <w:rsid w:val="00210950"/>
    <w:rsid w:val="00216B4D"/>
    <w:rsid w:val="00222919"/>
    <w:rsid w:val="00222A7F"/>
    <w:rsid w:val="00225D37"/>
    <w:rsid w:val="00226EE1"/>
    <w:rsid w:val="002273A9"/>
    <w:rsid w:val="0023295B"/>
    <w:rsid w:val="00233D7C"/>
    <w:rsid w:val="00237106"/>
    <w:rsid w:val="002423C9"/>
    <w:rsid w:val="002431D1"/>
    <w:rsid w:val="00247728"/>
    <w:rsid w:val="00247AFA"/>
    <w:rsid w:val="00257D39"/>
    <w:rsid w:val="00265560"/>
    <w:rsid w:val="0027352C"/>
    <w:rsid w:val="00280AEE"/>
    <w:rsid w:val="00293B05"/>
    <w:rsid w:val="002A0E5F"/>
    <w:rsid w:val="002B025C"/>
    <w:rsid w:val="002B0D17"/>
    <w:rsid w:val="002B1BF3"/>
    <w:rsid w:val="002C1D61"/>
    <w:rsid w:val="002C4497"/>
    <w:rsid w:val="002D0554"/>
    <w:rsid w:val="002E101D"/>
    <w:rsid w:val="002E3876"/>
    <w:rsid w:val="002E56F2"/>
    <w:rsid w:val="002F2B67"/>
    <w:rsid w:val="002F2F3B"/>
    <w:rsid w:val="002F46E4"/>
    <w:rsid w:val="00322B0C"/>
    <w:rsid w:val="003361CD"/>
    <w:rsid w:val="00350991"/>
    <w:rsid w:val="00364D5E"/>
    <w:rsid w:val="00364EA4"/>
    <w:rsid w:val="003813BA"/>
    <w:rsid w:val="003813EA"/>
    <w:rsid w:val="00382041"/>
    <w:rsid w:val="0039183F"/>
    <w:rsid w:val="003956C6"/>
    <w:rsid w:val="003A0826"/>
    <w:rsid w:val="003A3510"/>
    <w:rsid w:val="003A7054"/>
    <w:rsid w:val="003C2036"/>
    <w:rsid w:val="003C3449"/>
    <w:rsid w:val="003C5C78"/>
    <w:rsid w:val="003D724A"/>
    <w:rsid w:val="003E1131"/>
    <w:rsid w:val="003E1200"/>
    <w:rsid w:val="003E2671"/>
    <w:rsid w:val="003E613F"/>
    <w:rsid w:val="003F01E6"/>
    <w:rsid w:val="003F5B47"/>
    <w:rsid w:val="004056A9"/>
    <w:rsid w:val="00415798"/>
    <w:rsid w:val="004172CE"/>
    <w:rsid w:val="00425705"/>
    <w:rsid w:val="00435DB3"/>
    <w:rsid w:val="00437E4F"/>
    <w:rsid w:val="00440CAA"/>
    <w:rsid w:val="00440E36"/>
    <w:rsid w:val="0044494D"/>
    <w:rsid w:val="00446B9F"/>
    <w:rsid w:val="00450D7E"/>
    <w:rsid w:val="0045429B"/>
    <w:rsid w:val="0045449E"/>
    <w:rsid w:val="00454AB1"/>
    <w:rsid w:val="00455195"/>
    <w:rsid w:val="004551AA"/>
    <w:rsid w:val="00456CB9"/>
    <w:rsid w:val="00461971"/>
    <w:rsid w:val="004666F9"/>
    <w:rsid w:val="004767B5"/>
    <w:rsid w:val="004A0E86"/>
    <w:rsid w:val="004A2E67"/>
    <w:rsid w:val="004A471C"/>
    <w:rsid w:val="004B0756"/>
    <w:rsid w:val="004B56B8"/>
    <w:rsid w:val="004B762E"/>
    <w:rsid w:val="004C4A7F"/>
    <w:rsid w:val="004C5294"/>
    <w:rsid w:val="004C59FB"/>
    <w:rsid w:val="004C5EB9"/>
    <w:rsid w:val="004D15D4"/>
    <w:rsid w:val="004D39E5"/>
    <w:rsid w:val="004D5818"/>
    <w:rsid w:val="004E0152"/>
    <w:rsid w:val="004E1BE4"/>
    <w:rsid w:val="004E3CB0"/>
    <w:rsid w:val="004E6B76"/>
    <w:rsid w:val="004F4810"/>
    <w:rsid w:val="00502F82"/>
    <w:rsid w:val="005036A1"/>
    <w:rsid w:val="005143E4"/>
    <w:rsid w:val="005159A4"/>
    <w:rsid w:val="005208D2"/>
    <w:rsid w:val="0052663F"/>
    <w:rsid w:val="005316F4"/>
    <w:rsid w:val="005413BF"/>
    <w:rsid w:val="00544B3F"/>
    <w:rsid w:val="00551430"/>
    <w:rsid w:val="005607F0"/>
    <w:rsid w:val="00560DC6"/>
    <w:rsid w:val="0056751D"/>
    <w:rsid w:val="005718A6"/>
    <w:rsid w:val="00571912"/>
    <w:rsid w:val="00572F5B"/>
    <w:rsid w:val="00582B76"/>
    <w:rsid w:val="005875D7"/>
    <w:rsid w:val="00592007"/>
    <w:rsid w:val="005A49D1"/>
    <w:rsid w:val="005B2BF5"/>
    <w:rsid w:val="005B47C6"/>
    <w:rsid w:val="005E3DFE"/>
    <w:rsid w:val="005E4970"/>
    <w:rsid w:val="006048F1"/>
    <w:rsid w:val="00611330"/>
    <w:rsid w:val="00614181"/>
    <w:rsid w:val="00626A4F"/>
    <w:rsid w:val="00627468"/>
    <w:rsid w:val="0063016F"/>
    <w:rsid w:val="00635790"/>
    <w:rsid w:val="00642483"/>
    <w:rsid w:val="006463A0"/>
    <w:rsid w:val="00652A62"/>
    <w:rsid w:val="006631FC"/>
    <w:rsid w:val="006668CF"/>
    <w:rsid w:val="0067367F"/>
    <w:rsid w:val="006A11FA"/>
    <w:rsid w:val="006B2D0B"/>
    <w:rsid w:val="006C49A4"/>
    <w:rsid w:val="006D6899"/>
    <w:rsid w:val="006E62C2"/>
    <w:rsid w:val="006F07ED"/>
    <w:rsid w:val="006F3F6A"/>
    <w:rsid w:val="006F4D57"/>
    <w:rsid w:val="0070082B"/>
    <w:rsid w:val="00706B05"/>
    <w:rsid w:val="00721A77"/>
    <w:rsid w:val="00737227"/>
    <w:rsid w:val="00755B12"/>
    <w:rsid w:val="00763B96"/>
    <w:rsid w:val="00767E18"/>
    <w:rsid w:val="007747D0"/>
    <w:rsid w:val="00783CA5"/>
    <w:rsid w:val="00784039"/>
    <w:rsid w:val="00786707"/>
    <w:rsid w:val="00791017"/>
    <w:rsid w:val="00792FE2"/>
    <w:rsid w:val="0079670A"/>
    <w:rsid w:val="007A2E33"/>
    <w:rsid w:val="007A688A"/>
    <w:rsid w:val="007B1663"/>
    <w:rsid w:val="007B2267"/>
    <w:rsid w:val="007B4BE4"/>
    <w:rsid w:val="007C02E5"/>
    <w:rsid w:val="007C47B7"/>
    <w:rsid w:val="007D1303"/>
    <w:rsid w:val="007D7ED1"/>
    <w:rsid w:val="007F14D7"/>
    <w:rsid w:val="007F28F7"/>
    <w:rsid w:val="008016A5"/>
    <w:rsid w:val="00803C4D"/>
    <w:rsid w:val="008054D2"/>
    <w:rsid w:val="00813FAB"/>
    <w:rsid w:val="00814F9C"/>
    <w:rsid w:val="0081509D"/>
    <w:rsid w:val="008247F8"/>
    <w:rsid w:val="00825FDA"/>
    <w:rsid w:val="00830315"/>
    <w:rsid w:val="00836084"/>
    <w:rsid w:val="00841CD0"/>
    <w:rsid w:val="008432D7"/>
    <w:rsid w:val="00850BD8"/>
    <w:rsid w:val="00852EC1"/>
    <w:rsid w:val="008576AC"/>
    <w:rsid w:val="0086330C"/>
    <w:rsid w:val="0086492D"/>
    <w:rsid w:val="0086711E"/>
    <w:rsid w:val="00867576"/>
    <w:rsid w:val="008701FB"/>
    <w:rsid w:val="00875723"/>
    <w:rsid w:val="00881E22"/>
    <w:rsid w:val="008A1510"/>
    <w:rsid w:val="008B52EC"/>
    <w:rsid w:val="008C6DEC"/>
    <w:rsid w:val="008D04A1"/>
    <w:rsid w:val="008E68CD"/>
    <w:rsid w:val="008E6A60"/>
    <w:rsid w:val="008F26A3"/>
    <w:rsid w:val="008F5F22"/>
    <w:rsid w:val="00900C7A"/>
    <w:rsid w:val="009017AB"/>
    <w:rsid w:val="00910FAA"/>
    <w:rsid w:val="009116E5"/>
    <w:rsid w:val="009153D1"/>
    <w:rsid w:val="009160E3"/>
    <w:rsid w:val="00917BF3"/>
    <w:rsid w:val="00922889"/>
    <w:rsid w:val="00924105"/>
    <w:rsid w:val="00924AE5"/>
    <w:rsid w:val="0092548C"/>
    <w:rsid w:val="00927844"/>
    <w:rsid w:val="00931990"/>
    <w:rsid w:val="009429E6"/>
    <w:rsid w:val="00947151"/>
    <w:rsid w:val="00953CB3"/>
    <w:rsid w:val="00965B82"/>
    <w:rsid w:val="0097064F"/>
    <w:rsid w:val="0097087E"/>
    <w:rsid w:val="00976134"/>
    <w:rsid w:val="00976149"/>
    <w:rsid w:val="00980AC4"/>
    <w:rsid w:val="00981E8B"/>
    <w:rsid w:val="009837A5"/>
    <w:rsid w:val="00985790"/>
    <w:rsid w:val="00985A4F"/>
    <w:rsid w:val="0098612D"/>
    <w:rsid w:val="00990A80"/>
    <w:rsid w:val="009929A0"/>
    <w:rsid w:val="00993633"/>
    <w:rsid w:val="00996D1D"/>
    <w:rsid w:val="009A0194"/>
    <w:rsid w:val="009A62AF"/>
    <w:rsid w:val="009E0B0C"/>
    <w:rsid w:val="009E0D9E"/>
    <w:rsid w:val="009E72DA"/>
    <w:rsid w:val="009F527C"/>
    <w:rsid w:val="009F539B"/>
    <w:rsid w:val="009F54F7"/>
    <w:rsid w:val="009F7881"/>
    <w:rsid w:val="00A027C6"/>
    <w:rsid w:val="00A03A43"/>
    <w:rsid w:val="00A07FC6"/>
    <w:rsid w:val="00A150FE"/>
    <w:rsid w:val="00A16E48"/>
    <w:rsid w:val="00A20E6B"/>
    <w:rsid w:val="00A22E90"/>
    <w:rsid w:val="00A30349"/>
    <w:rsid w:val="00A4214B"/>
    <w:rsid w:val="00A441C9"/>
    <w:rsid w:val="00A47FAE"/>
    <w:rsid w:val="00A55C56"/>
    <w:rsid w:val="00A55FBE"/>
    <w:rsid w:val="00A5750D"/>
    <w:rsid w:val="00A57E3A"/>
    <w:rsid w:val="00A62D64"/>
    <w:rsid w:val="00A630BF"/>
    <w:rsid w:val="00A73417"/>
    <w:rsid w:val="00A73F1A"/>
    <w:rsid w:val="00A749C5"/>
    <w:rsid w:val="00A800B6"/>
    <w:rsid w:val="00A82ED4"/>
    <w:rsid w:val="00A82EDF"/>
    <w:rsid w:val="00A90A14"/>
    <w:rsid w:val="00A933C9"/>
    <w:rsid w:val="00AB0719"/>
    <w:rsid w:val="00AB7AC6"/>
    <w:rsid w:val="00AC7501"/>
    <w:rsid w:val="00AE2DAC"/>
    <w:rsid w:val="00B06D35"/>
    <w:rsid w:val="00B22354"/>
    <w:rsid w:val="00B229A0"/>
    <w:rsid w:val="00B22ED1"/>
    <w:rsid w:val="00B33A0B"/>
    <w:rsid w:val="00B35DAD"/>
    <w:rsid w:val="00B404AB"/>
    <w:rsid w:val="00B42768"/>
    <w:rsid w:val="00B52C30"/>
    <w:rsid w:val="00B53828"/>
    <w:rsid w:val="00B543CA"/>
    <w:rsid w:val="00B54B00"/>
    <w:rsid w:val="00B60A8E"/>
    <w:rsid w:val="00B6145D"/>
    <w:rsid w:val="00B62FE8"/>
    <w:rsid w:val="00B66707"/>
    <w:rsid w:val="00B71FAA"/>
    <w:rsid w:val="00B725CB"/>
    <w:rsid w:val="00B773DE"/>
    <w:rsid w:val="00B845F1"/>
    <w:rsid w:val="00B84AAD"/>
    <w:rsid w:val="00B85069"/>
    <w:rsid w:val="00B900D8"/>
    <w:rsid w:val="00B93429"/>
    <w:rsid w:val="00B95AA7"/>
    <w:rsid w:val="00B97764"/>
    <w:rsid w:val="00BA5E6F"/>
    <w:rsid w:val="00BC1DB2"/>
    <w:rsid w:val="00BC53CB"/>
    <w:rsid w:val="00BC7EA5"/>
    <w:rsid w:val="00BD0C33"/>
    <w:rsid w:val="00BD5571"/>
    <w:rsid w:val="00BE0A66"/>
    <w:rsid w:val="00BE591B"/>
    <w:rsid w:val="00BF2967"/>
    <w:rsid w:val="00C01792"/>
    <w:rsid w:val="00C115D3"/>
    <w:rsid w:val="00C1272E"/>
    <w:rsid w:val="00C27C6A"/>
    <w:rsid w:val="00C42081"/>
    <w:rsid w:val="00C4720F"/>
    <w:rsid w:val="00C51B1F"/>
    <w:rsid w:val="00C5235F"/>
    <w:rsid w:val="00C55ED9"/>
    <w:rsid w:val="00C61699"/>
    <w:rsid w:val="00C71C9D"/>
    <w:rsid w:val="00C73B78"/>
    <w:rsid w:val="00C84144"/>
    <w:rsid w:val="00C86581"/>
    <w:rsid w:val="00C87611"/>
    <w:rsid w:val="00CA22E2"/>
    <w:rsid w:val="00CA5205"/>
    <w:rsid w:val="00CA7645"/>
    <w:rsid w:val="00CB69BC"/>
    <w:rsid w:val="00CC7707"/>
    <w:rsid w:val="00CD4AE2"/>
    <w:rsid w:val="00CE027D"/>
    <w:rsid w:val="00CE035A"/>
    <w:rsid w:val="00CE1AA9"/>
    <w:rsid w:val="00CE565B"/>
    <w:rsid w:val="00CF3F53"/>
    <w:rsid w:val="00CF4A03"/>
    <w:rsid w:val="00D01874"/>
    <w:rsid w:val="00D02D52"/>
    <w:rsid w:val="00D05D11"/>
    <w:rsid w:val="00D06407"/>
    <w:rsid w:val="00D128A3"/>
    <w:rsid w:val="00D14CE4"/>
    <w:rsid w:val="00D17F1A"/>
    <w:rsid w:val="00D2292C"/>
    <w:rsid w:val="00D22C58"/>
    <w:rsid w:val="00D2323E"/>
    <w:rsid w:val="00D24153"/>
    <w:rsid w:val="00D26894"/>
    <w:rsid w:val="00D316DA"/>
    <w:rsid w:val="00D45653"/>
    <w:rsid w:val="00D47DD6"/>
    <w:rsid w:val="00D51348"/>
    <w:rsid w:val="00D549AA"/>
    <w:rsid w:val="00D55342"/>
    <w:rsid w:val="00D66838"/>
    <w:rsid w:val="00D77798"/>
    <w:rsid w:val="00D81F84"/>
    <w:rsid w:val="00D86CA6"/>
    <w:rsid w:val="00D95340"/>
    <w:rsid w:val="00D95C1B"/>
    <w:rsid w:val="00D97EAA"/>
    <w:rsid w:val="00DA0108"/>
    <w:rsid w:val="00DA3B60"/>
    <w:rsid w:val="00DA6F15"/>
    <w:rsid w:val="00DB58BB"/>
    <w:rsid w:val="00DC2BD6"/>
    <w:rsid w:val="00DC4601"/>
    <w:rsid w:val="00DC607B"/>
    <w:rsid w:val="00DD6C30"/>
    <w:rsid w:val="00DF0B34"/>
    <w:rsid w:val="00E01FA8"/>
    <w:rsid w:val="00E026C4"/>
    <w:rsid w:val="00E03D38"/>
    <w:rsid w:val="00E061C8"/>
    <w:rsid w:val="00E13918"/>
    <w:rsid w:val="00E17C9B"/>
    <w:rsid w:val="00E32E0B"/>
    <w:rsid w:val="00E40792"/>
    <w:rsid w:val="00E4502F"/>
    <w:rsid w:val="00E47B25"/>
    <w:rsid w:val="00E505B8"/>
    <w:rsid w:val="00E56A0F"/>
    <w:rsid w:val="00E57851"/>
    <w:rsid w:val="00E610A1"/>
    <w:rsid w:val="00E672F2"/>
    <w:rsid w:val="00E7135C"/>
    <w:rsid w:val="00E92703"/>
    <w:rsid w:val="00E979B7"/>
    <w:rsid w:val="00EA23AD"/>
    <w:rsid w:val="00EA4A60"/>
    <w:rsid w:val="00EA6AFC"/>
    <w:rsid w:val="00EB4B73"/>
    <w:rsid w:val="00EC1023"/>
    <w:rsid w:val="00EE47D2"/>
    <w:rsid w:val="00EF3264"/>
    <w:rsid w:val="00EF48D3"/>
    <w:rsid w:val="00F04FCB"/>
    <w:rsid w:val="00F11BDE"/>
    <w:rsid w:val="00F13318"/>
    <w:rsid w:val="00F20B2E"/>
    <w:rsid w:val="00F264BB"/>
    <w:rsid w:val="00F27F06"/>
    <w:rsid w:val="00F364EB"/>
    <w:rsid w:val="00F36856"/>
    <w:rsid w:val="00F3732E"/>
    <w:rsid w:val="00F455CC"/>
    <w:rsid w:val="00F50CF8"/>
    <w:rsid w:val="00F518C2"/>
    <w:rsid w:val="00F5208C"/>
    <w:rsid w:val="00F5710A"/>
    <w:rsid w:val="00F57538"/>
    <w:rsid w:val="00F64765"/>
    <w:rsid w:val="00F77841"/>
    <w:rsid w:val="00F847C3"/>
    <w:rsid w:val="00F860C7"/>
    <w:rsid w:val="00F95F8F"/>
    <w:rsid w:val="00FA012B"/>
    <w:rsid w:val="00FA4BB8"/>
    <w:rsid w:val="00FA602F"/>
    <w:rsid w:val="00FA7A72"/>
    <w:rsid w:val="00FA7B1D"/>
    <w:rsid w:val="00FB21A4"/>
    <w:rsid w:val="00FB2597"/>
    <w:rsid w:val="00FB4397"/>
    <w:rsid w:val="00FC40CE"/>
    <w:rsid w:val="00FD1494"/>
    <w:rsid w:val="00FD2760"/>
    <w:rsid w:val="00FD3E26"/>
    <w:rsid w:val="00FE499D"/>
    <w:rsid w:val="00FE4A3E"/>
    <w:rsid w:val="00FF4485"/>
    <w:rsid w:val="014C2387"/>
    <w:rsid w:val="01BFE21C"/>
    <w:rsid w:val="022286A1"/>
    <w:rsid w:val="023F2426"/>
    <w:rsid w:val="03058538"/>
    <w:rsid w:val="03DAAA32"/>
    <w:rsid w:val="042C6625"/>
    <w:rsid w:val="0506B8BF"/>
    <w:rsid w:val="053BC501"/>
    <w:rsid w:val="06BC080D"/>
    <w:rsid w:val="06C092AF"/>
    <w:rsid w:val="06EDC385"/>
    <w:rsid w:val="071AA16D"/>
    <w:rsid w:val="07543C46"/>
    <w:rsid w:val="07659258"/>
    <w:rsid w:val="0879ED09"/>
    <w:rsid w:val="089C11A2"/>
    <w:rsid w:val="090927F2"/>
    <w:rsid w:val="093C192C"/>
    <w:rsid w:val="09570B78"/>
    <w:rsid w:val="098CC1CF"/>
    <w:rsid w:val="0B52EB64"/>
    <w:rsid w:val="0BF8EE4B"/>
    <w:rsid w:val="0C07C067"/>
    <w:rsid w:val="1012F487"/>
    <w:rsid w:val="1161E327"/>
    <w:rsid w:val="1163ED62"/>
    <w:rsid w:val="1167DF0F"/>
    <w:rsid w:val="11AEC4E8"/>
    <w:rsid w:val="13308A75"/>
    <w:rsid w:val="1472923D"/>
    <w:rsid w:val="1478FC52"/>
    <w:rsid w:val="14853F9B"/>
    <w:rsid w:val="158DF0C1"/>
    <w:rsid w:val="1692D3BB"/>
    <w:rsid w:val="171C6882"/>
    <w:rsid w:val="1787151A"/>
    <w:rsid w:val="179BECC5"/>
    <w:rsid w:val="17BD8F0C"/>
    <w:rsid w:val="17C3E807"/>
    <w:rsid w:val="187F47C4"/>
    <w:rsid w:val="18A24896"/>
    <w:rsid w:val="192855B9"/>
    <w:rsid w:val="1A0267B4"/>
    <w:rsid w:val="1B150F02"/>
    <w:rsid w:val="1B5F6744"/>
    <w:rsid w:val="1B74E371"/>
    <w:rsid w:val="1BA09AE1"/>
    <w:rsid w:val="1DFD0645"/>
    <w:rsid w:val="1E1C3759"/>
    <w:rsid w:val="1E495F4C"/>
    <w:rsid w:val="1E741F93"/>
    <w:rsid w:val="1EC049E3"/>
    <w:rsid w:val="1FF10BF1"/>
    <w:rsid w:val="200FEFF4"/>
    <w:rsid w:val="201A8197"/>
    <w:rsid w:val="2078FA7E"/>
    <w:rsid w:val="20D5A34F"/>
    <w:rsid w:val="22899ACB"/>
    <w:rsid w:val="235DDEFA"/>
    <w:rsid w:val="2370C153"/>
    <w:rsid w:val="2478A2FF"/>
    <w:rsid w:val="2499ABCE"/>
    <w:rsid w:val="25017200"/>
    <w:rsid w:val="253A167D"/>
    <w:rsid w:val="26023F46"/>
    <w:rsid w:val="270643D0"/>
    <w:rsid w:val="2764BD5B"/>
    <w:rsid w:val="28374510"/>
    <w:rsid w:val="29113AF1"/>
    <w:rsid w:val="29C42A60"/>
    <w:rsid w:val="2A148819"/>
    <w:rsid w:val="2ADB5753"/>
    <w:rsid w:val="2AF7EEE1"/>
    <w:rsid w:val="2B510E14"/>
    <w:rsid w:val="2BA10E7C"/>
    <w:rsid w:val="2BF2DF38"/>
    <w:rsid w:val="2C81D96F"/>
    <w:rsid w:val="2EBFEB36"/>
    <w:rsid w:val="2EE48BA7"/>
    <w:rsid w:val="2FFA5120"/>
    <w:rsid w:val="304A8501"/>
    <w:rsid w:val="3083AF0E"/>
    <w:rsid w:val="308C8142"/>
    <w:rsid w:val="311EA8FC"/>
    <w:rsid w:val="32A012FB"/>
    <w:rsid w:val="342A8B86"/>
    <w:rsid w:val="346D2DBA"/>
    <w:rsid w:val="35562901"/>
    <w:rsid w:val="3632EA69"/>
    <w:rsid w:val="3694F191"/>
    <w:rsid w:val="3743D1CD"/>
    <w:rsid w:val="380FA0B5"/>
    <w:rsid w:val="3A53A88A"/>
    <w:rsid w:val="3ACF7B6F"/>
    <w:rsid w:val="3AD5EA4F"/>
    <w:rsid w:val="3C61D378"/>
    <w:rsid w:val="3CAFF941"/>
    <w:rsid w:val="3CE1B4D1"/>
    <w:rsid w:val="3D1A7DB4"/>
    <w:rsid w:val="3D7B0307"/>
    <w:rsid w:val="3DB89EB2"/>
    <w:rsid w:val="3E704954"/>
    <w:rsid w:val="3E8F5C92"/>
    <w:rsid w:val="3EABF4B0"/>
    <w:rsid w:val="40F328C1"/>
    <w:rsid w:val="415435AF"/>
    <w:rsid w:val="42C65BD5"/>
    <w:rsid w:val="431F95F8"/>
    <w:rsid w:val="449EB916"/>
    <w:rsid w:val="4515B41A"/>
    <w:rsid w:val="460184F7"/>
    <w:rsid w:val="4867417E"/>
    <w:rsid w:val="48E57775"/>
    <w:rsid w:val="49AC7902"/>
    <w:rsid w:val="49BD347D"/>
    <w:rsid w:val="49C60DB3"/>
    <w:rsid w:val="4A3B1879"/>
    <w:rsid w:val="4AC0AF31"/>
    <w:rsid w:val="4BE6505D"/>
    <w:rsid w:val="4C04B922"/>
    <w:rsid w:val="4C0C558A"/>
    <w:rsid w:val="4C63FFC5"/>
    <w:rsid w:val="4CC341EB"/>
    <w:rsid w:val="4D34FF50"/>
    <w:rsid w:val="4DEDDAD8"/>
    <w:rsid w:val="4E0DE05C"/>
    <w:rsid w:val="4ED41B70"/>
    <w:rsid w:val="4F3B2692"/>
    <w:rsid w:val="4F9A26D4"/>
    <w:rsid w:val="502172C1"/>
    <w:rsid w:val="51710EEC"/>
    <w:rsid w:val="51DB9975"/>
    <w:rsid w:val="52599B15"/>
    <w:rsid w:val="5388E9F3"/>
    <w:rsid w:val="54381327"/>
    <w:rsid w:val="54396D7D"/>
    <w:rsid w:val="54D97D94"/>
    <w:rsid w:val="54FA8FD5"/>
    <w:rsid w:val="55013665"/>
    <w:rsid w:val="55A2C48C"/>
    <w:rsid w:val="598C5DE6"/>
    <w:rsid w:val="5BCADF70"/>
    <w:rsid w:val="5D1E944B"/>
    <w:rsid w:val="5D746ADF"/>
    <w:rsid w:val="5E250C7E"/>
    <w:rsid w:val="5EE9174E"/>
    <w:rsid w:val="6097C5A9"/>
    <w:rsid w:val="60B70A05"/>
    <w:rsid w:val="61473FDA"/>
    <w:rsid w:val="614A00DE"/>
    <w:rsid w:val="61BEAE06"/>
    <w:rsid w:val="6236C735"/>
    <w:rsid w:val="6277105E"/>
    <w:rsid w:val="62A4A593"/>
    <w:rsid w:val="64474737"/>
    <w:rsid w:val="65ADE850"/>
    <w:rsid w:val="660D1538"/>
    <w:rsid w:val="66609541"/>
    <w:rsid w:val="66E27790"/>
    <w:rsid w:val="67DC7C38"/>
    <w:rsid w:val="6808AE37"/>
    <w:rsid w:val="6826A4B7"/>
    <w:rsid w:val="68E59A2D"/>
    <w:rsid w:val="6AB0DAFF"/>
    <w:rsid w:val="6AD0633D"/>
    <w:rsid w:val="6BF00510"/>
    <w:rsid w:val="6D13E7D9"/>
    <w:rsid w:val="6D1420F7"/>
    <w:rsid w:val="6D406480"/>
    <w:rsid w:val="6D46BEF1"/>
    <w:rsid w:val="6ED3C8FC"/>
    <w:rsid w:val="6EFCF629"/>
    <w:rsid w:val="713C67D6"/>
    <w:rsid w:val="731D369B"/>
    <w:rsid w:val="73D168BC"/>
    <w:rsid w:val="740CD134"/>
    <w:rsid w:val="7419B4C4"/>
    <w:rsid w:val="755911FF"/>
    <w:rsid w:val="7584B525"/>
    <w:rsid w:val="75C00DA4"/>
    <w:rsid w:val="7702D26B"/>
    <w:rsid w:val="772B5148"/>
    <w:rsid w:val="776B72AD"/>
    <w:rsid w:val="77E5297F"/>
    <w:rsid w:val="7B1B05D5"/>
    <w:rsid w:val="7B7692E4"/>
    <w:rsid w:val="7C3BA35A"/>
    <w:rsid w:val="7DE0DF53"/>
    <w:rsid w:val="7E3BA213"/>
    <w:rsid w:val="7ED621BA"/>
    <w:rsid w:val="7EF6B007"/>
    <w:rsid w:val="7F559809"/>
    <w:rsid w:val="7F943B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41C0"/>
  <w15:chartTrackingRefBased/>
  <w15:docId w15:val="{1404B668-23B4-4320-B3AC-6965A24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786707"/>
    <w:rPr>
      <w:sz w:val="16"/>
      <w:szCs w:val="16"/>
    </w:rPr>
  </w:style>
  <w:style w:type="paragraph" w:styleId="CommentText">
    <w:name w:val="annotation text"/>
    <w:basedOn w:val="Normal"/>
    <w:link w:val="CommentTextChar"/>
    <w:uiPriority w:val="99"/>
    <w:unhideWhenUsed/>
    <w:rsid w:val="00786707"/>
    <w:pPr>
      <w:spacing w:line="240" w:lineRule="auto"/>
    </w:pPr>
    <w:rPr>
      <w:sz w:val="20"/>
      <w:szCs w:val="20"/>
    </w:rPr>
  </w:style>
  <w:style w:type="character" w:styleId="CommentTextChar" w:customStyle="1">
    <w:name w:val="Comment Text Char"/>
    <w:basedOn w:val="DefaultParagraphFont"/>
    <w:link w:val="CommentText"/>
    <w:uiPriority w:val="99"/>
    <w:rsid w:val="00786707"/>
    <w:rPr>
      <w:sz w:val="20"/>
      <w:szCs w:val="20"/>
    </w:rPr>
  </w:style>
  <w:style w:type="paragraph" w:styleId="CommentSubject">
    <w:name w:val="annotation subject"/>
    <w:basedOn w:val="CommentText"/>
    <w:next w:val="CommentText"/>
    <w:link w:val="CommentSubjectChar"/>
    <w:uiPriority w:val="99"/>
    <w:semiHidden/>
    <w:unhideWhenUsed/>
    <w:rsid w:val="00786707"/>
    <w:rPr>
      <w:b/>
      <w:bCs/>
    </w:rPr>
  </w:style>
  <w:style w:type="character" w:styleId="CommentSubjectChar" w:customStyle="1">
    <w:name w:val="Comment Subject Char"/>
    <w:basedOn w:val="CommentTextChar"/>
    <w:link w:val="CommentSubject"/>
    <w:uiPriority w:val="99"/>
    <w:semiHidden/>
    <w:rsid w:val="00786707"/>
    <w:rPr>
      <w:b/>
      <w:bCs/>
      <w:sz w:val="20"/>
      <w:szCs w:val="20"/>
    </w:rPr>
  </w:style>
  <w:style w:type="paragraph" w:styleId="Header">
    <w:name w:val="header"/>
    <w:basedOn w:val="Normal"/>
    <w:link w:val="HeaderChar"/>
    <w:uiPriority w:val="99"/>
    <w:unhideWhenUsed/>
    <w:rsid w:val="00A575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750D"/>
  </w:style>
  <w:style w:type="paragraph" w:styleId="Footer">
    <w:name w:val="footer"/>
    <w:basedOn w:val="Normal"/>
    <w:link w:val="FooterChar"/>
    <w:uiPriority w:val="99"/>
    <w:unhideWhenUsed/>
    <w:rsid w:val="00A575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750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4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97924">
      <w:bodyDiv w:val="1"/>
      <w:marLeft w:val="0"/>
      <w:marRight w:val="0"/>
      <w:marTop w:val="0"/>
      <w:marBottom w:val="0"/>
      <w:divBdr>
        <w:top w:val="none" w:sz="0" w:space="0" w:color="auto"/>
        <w:left w:val="none" w:sz="0" w:space="0" w:color="auto"/>
        <w:bottom w:val="none" w:sz="0" w:space="0" w:color="auto"/>
        <w:right w:val="none" w:sz="0" w:space="0" w:color="auto"/>
      </w:divBdr>
    </w:div>
    <w:div w:id="2029287647">
      <w:bodyDiv w:val="1"/>
      <w:marLeft w:val="0"/>
      <w:marRight w:val="0"/>
      <w:marTop w:val="0"/>
      <w:marBottom w:val="0"/>
      <w:divBdr>
        <w:top w:val="none" w:sz="0" w:space="0" w:color="auto"/>
        <w:left w:val="none" w:sz="0" w:space="0" w:color="auto"/>
        <w:bottom w:val="none" w:sz="0" w:space="0" w:color="auto"/>
        <w:right w:val="none" w:sz="0" w:space="0" w:color="auto"/>
      </w:divBdr>
      <w:divsChild>
        <w:div w:id="144401024">
          <w:marLeft w:val="0"/>
          <w:marRight w:val="0"/>
          <w:marTop w:val="0"/>
          <w:marBottom w:val="0"/>
          <w:divBdr>
            <w:top w:val="none" w:sz="0" w:space="0" w:color="auto"/>
            <w:left w:val="none" w:sz="0" w:space="0" w:color="auto"/>
            <w:bottom w:val="none" w:sz="0" w:space="0" w:color="auto"/>
            <w:right w:val="none" w:sz="0" w:space="0" w:color="auto"/>
          </w:divBdr>
          <w:divsChild>
            <w:div w:id="1457288037">
              <w:marLeft w:val="0"/>
              <w:marRight w:val="0"/>
              <w:marTop w:val="0"/>
              <w:marBottom w:val="0"/>
              <w:divBdr>
                <w:top w:val="none" w:sz="0" w:space="0" w:color="auto"/>
                <w:left w:val="none" w:sz="0" w:space="0" w:color="auto"/>
                <w:bottom w:val="none" w:sz="0" w:space="0" w:color="auto"/>
                <w:right w:val="none" w:sz="0" w:space="0" w:color="auto"/>
              </w:divBdr>
              <w:divsChild>
                <w:div w:id="8830619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8e3d461b213b4747" /><Relationship Type="http://schemas.microsoft.com/office/2011/relationships/commentsExtended" Target="commentsExtended.xml" Id="R0289e0b8ecb94db2" /><Relationship Type="http://schemas.microsoft.com/office/2011/relationships/people" Target="people.xml" Id="R83cdeba2bbf74575" /><Relationship Type="http://schemas.microsoft.com/office/2020/10/relationships/intelligence" Target="intelligence2.xml" Id="Rac8814a023a643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Topic xmlns="662745e8-e224-48e8-a2e3-254862b8c2f5">GI Casework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b317536c-f83b-4428-b3fd-498db2be7c1c">
      <UserInfo>
        <DisplayName>Vlcek, Hannah</DisplayName>
        <AccountId>100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31" ma:contentTypeDescription="Create a new document." ma:contentTypeScope="" ma:versionID="872639d6d39c1ea467bca7af6201d054">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0080e4e8f3ef41def385b0044c0f2af5"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ma:readOnly="false">
      <xsd:simpleType>
        <xsd:restriction base="dms:Text"/>
      </xsd:simpleType>
    </xsd:element>
    <xsd:element name="Topic" ma:index="20" nillable="true" ma:displayName="Topic" ma:default="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83ED12A-E9FE-42FC-8C41-84F228231433}">
  <ds:schemaRefs>
    <ds:schemaRef ds:uri="http://schemas.microsoft.com/sharepoint/v3/contenttype/forms"/>
  </ds:schemaRefs>
</ds:datastoreItem>
</file>

<file path=customXml/itemProps2.xml><?xml version="1.0" encoding="utf-8"?>
<ds:datastoreItem xmlns:ds="http://schemas.openxmlformats.org/officeDocument/2006/customXml" ds:itemID="{B21CA844-66C8-4DCC-8DFF-A863E8C103D1}">
  <ds:schemaRefs>
    <ds:schemaRef ds:uri="http://schemas.microsoft.com/office/2006/metadata/properties"/>
    <ds:schemaRef ds:uri="http://schemas.microsoft.com/office/infopath/2007/PartnerControls"/>
    <ds:schemaRef ds:uri="662745e8-e224-48e8-a2e3-254862b8c2f5"/>
    <ds:schemaRef ds:uri="b317536c-f83b-4428-b3fd-498db2be7c1c"/>
  </ds:schemaRefs>
</ds:datastoreItem>
</file>

<file path=customXml/itemProps3.xml><?xml version="1.0" encoding="utf-8"?>
<ds:datastoreItem xmlns:ds="http://schemas.openxmlformats.org/officeDocument/2006/customXml" ds:itemID="{371A7945-2CDC-48A8-A2E3-62CAE0FC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5c05363-3663-49d0-a161-41b11a327ab2"/>
    <ds:schemaRef ds:uri="b317536c-f83b-4428-b3fd-498db2be7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AD885-D15B-460F-AB19-1B01F630EDA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Pauline</dc:creator>
  <cp:keywords/>
  <dc:description/>
  <cp:lastModifiedBy>Kiran Morrell-Kuijt</cp:lastModifiedBy>
  <cp:revision>84</cp:revision>
  <cp:lastPrinted>2024-06-06T03:08:00Z</cp:lastPrinted>
  <dcterms:created xsi:type="dcterms:W3CDTF">2024-06-17T19:59:00Z</dcterms:created>
  <dcterms:modified xsi:type="dcterms:W3CDTF">2025-06-30T09:37:29Z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SecurityClassification">
    <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y fmtid="{D5CDD505-2E9C-101B-9397-08002B2CF9AE}" pid="10" name="Directorate">
    <vt:lpwstr/>
  </property>
</Properties>
</file>