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995C" w14:textId="5CA9B98A" w:rsidR="00D02698" w:rsidRPr="009B63FD" w:rsidRDefault="002A01E5" w:rsidP="007F7346">
      <w:r w:rsidRPr="001D1D3C">
        <w:rPr>
          <w:noProof/>
        </w:rPr>
        <w:drawing>
          <wp:anchor distT="0" distB="0" distL="114300" distR="114300" simplePos="0" relativeHeight="251661312" behindDoc="0" locked="0" layoutInCell="1" allowOverlap="1" wp14:anchorId="7ECBBBDF" wp14:editId="3D8FE91C">
            <wp:simplePos x="0" y="0"/>
            <wp:positionH relativeFrom="margin">
              <wp:posOffset>2341330</wp:posOffset>
            </wp:positionH>
            <wp:positionV relativeFrom="margin">
              <wp:posOffset>-338006</wp:posOffset>
            </wp:positionV>
            <wp:extent cx="1320800" cy="840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2080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424E9" w14:textId="62FE9BBE" w:rsidR="008A6059" w:rsidRPr="009B63FD" w:rsidRDefault="008A6059" w:rsidP="008A6059">
      <w:pPr>
        <w:jc w:val="center"/>
      </w:pPr>
    </w:p>
    <w:p w14:paraId="2158F569" w14:textId="77777777" w:rsidR="00D94AFC" w:rsidRPr="009B63FD" w:rsidRDefault="00D94AFC"/>
    <w:p w14:paraId="6CCB7B42" w14:textId="2A0C0AFF" w:rsidR="00D94AFC" w:rsidRDefault="00D94AFC">
      <w:pPr>
        <w:rPr>
          <w:rFonts w:ascii="Book Antiqua" w:hAnsi="Book Antiqua" w:cs="Arial"/>
          <w:color w:val="000000" w:themeColor="text1"/>
        </w:rPr>
      </w:pPr>
    </w:p>
    <w:p w14:paraId="2E4C569D" w14:textId="77777777" w:rsidR="00A37BB3" w:rsidRDefault="00A37BB3">
      <w:pPr>
        <w:rPr>
          <w:rFonts w:ascii="Book Antiqua" w:hAnsi="Book Antiqua" w:cs="Arial"/>
          <w:color w:val="000000" w:themeColor="text1"/>
        </w:rPr>
      </w:pPr>
    </w:p>
    <w:p w14:paraId="345D0ED7" w14:textId="6D49E0FF" w:rsidR="00A37BB3" w:rsidRPr="008E3D97" w:rsidRDefault="00A37BB3" w:rsidP="00A37BB3">
      <w:pPr>
        <w:rPr>
          <w:rFonts w:cs="Arial"/>
          <w:color w:val="000000" w:themeColor="text1"/>
        </w:rPr>
      </w:pPr>
      <w:r w:rsidRPr="008E3D97">
        <w:rPr>
          <w:rFonts w:cs="Arial"/>
          <w:color w:val="000000" w:themeColor="text1"/>
        </w:rPr>
        <w:t xml:space="preserve">UT Neutral citation number: </w:t>
      </w:r>
      <w:r w:rsidR="00232487" w:rsidRPr="00517790">
        <w:rPr>
          <w:rFonts w:ascii="Book Antiqua" w:hAnsi="Book Antiqua"/>
          <w:b/>
          <w:bCs/>
          <w:color w:val="000000"/>
        </w:rPr>
        <w:t>[2025] UKUT 00211 (TCC)</w:t>
      </w:r>
      <w:r w:rsidR="00232487" w:rsidRPr="001B0DA9">
        <w:rPr>
          <w:rFonts w:ascii="Book Antiqua" w:hAnsi="Book Antiqua"/>
          <w:b/>
          <w:bCs/>
          <w:color w:val="000000"/>
        </w:rPr>
        <w:tab/>
      </w:r>
    </w:p>
    <w:p w14:paraId="3C3E129E" w14:textId="77777777" w:rsidR="00A37BB3" w:rsidRPr="00EF4FB5" w:rsidRDefault="00A37BB3">
      <w:pPr>
        <w:rPr>
          <w:rFonts w:ascii="Book Antiqua" w:hAnsi="Book Antiqua" w:cs="Arial"/>
          <w:color w:val="000000" w:themeColor="text1"/>
        </w:rPr>
      </w:pPr>
    </w:p>
    <w:p w14:paraId="1C9B105A" w14:textId="188F9E3E" w:rsidR="00F27E2C" w:rsidRPr="008E3D97" w:rsidRDefault="00EF0C97" w:rsidP="00EF18B7">
      <w:pPr>
        <w:jc w:val="right"/>
        <w:rPr>
          <w:rFonts w:cs="Arial"/>
          <w:color w:val="000000" w:themeColor="text1"/>
        </w:rPr>
      </w:pPr>
      <w:r w:rsidRPr="008E3D97">
        <w:rPr>
          <w:rFonts w:cs="Arial"/>
          <w:color w:val="000000" w:themeColor="text1"/>
        </w:rPr>
        <w:t xml:space="preserve">UT (Tax &amp; Chancery) </w:t>
      </w:r>
      <w:r w:rsidR="00F27E2C" w:rsidRPr="008E3D97">
        <w:rPr>
          <w:rFonts w:cs="Arial"/>
          <w:color w:val="000000" w:themeColor="text1"/>
        </w:rPr>
        <w:t xml:space="preserve">Case Number: </w:t>
      </w:r>
      <w:r w:rsidR="000F2B3A">
        <w:rPr>
          <w:rFonts w:cs="Arial"/>
          <w:color w:val="000000" w:themeColor="text1"/>
        </w:rPr>
        <w:t>UT/</w:t>
      </w:r>
      <w:r w:rsidR="005E4BD1">
        <w:rPr>
          <w:rFonts w:cs="Arial"/>
          <w:color w:val="000000" w:themeColor="text1"/>
        </w:rPr>
        <w:t>000097</w:t>
      </w:r>
      <w:r w:rsidR="007B79B8">
        <w:rPr>
          <w:rFonts w:cs="Arial"/>
          <w:color w:val="000000" w:themeColor="text1"/>
        </w:rPr>
        <w:t>/</w:t>
      </w:r>
      <w:r w:rsidR="000F2B3A">
        <w:rPr>
          <w:rFonts w:cs="Arial"/>
          <w:color w:val="000000" w:themeColor="text1"/>
        </w:rPr>
        <w:t>20</w:t>
      </w:r>
      <w:r w:rsidR="007B79B8">
        <w:rPr>
          <w:rFonts w:cs="Arial"/>
          <w:color w:val="000000" w:themeColor="text1"/>
        </w:rPr>
        <w:t>23</w:t>
      </w:r>
    </w:p>
    <w:p w14:paraId="2B0E8F90" w14:textId="68A64041" w:rsidR="00F27E2C" w:rsidRPr="008E3D97" w:rsidRDefault="00F27E2C">
      <w:pPr>
        <w:rPr>
          <w:rFonts w:cs="Arial"/>
          <w:color w:val="000000" w:themeColor="text1"/>
        </w:rPr>
      </w:pPr>
    </w:p>
    <w:p w14:paraId="55448311" w14:textId="77777777" w:rsidR="008A6059" w:rsidRPr="008E3D97" w:rsidRDefault="008A6059" w:rsidP="00780F86">
      <w:pPr>
        <w:tabs>
          <w:tab w:val="right" w:pos="9720"/>
        </w:tabs>
        <w:ind w:right="-82"/>
        <w:rPr>
          <w:rFonts w:cs="Arial"/>
          <w:b/>
          <w:color w:val="000000" w:themeColor="text1"/>
        </w:rPr>
      </w:pPr>
      <w:r w:rsidRPr="008E3D97">
        <w:rPr>
          <w:rFonts w:cs="Arial"/>
          <w:b/>
          <w:color w:val="000000" w:themeColor="text1"/>
        </w:rPr>
        <w:t xml:space="preserve">Upper Tribunal </w:t>
      </w:r>
    </w:p>
    <w:p w14:paraId="40651930" w14:textId="67F367FF" w:rsidR="007B0824" w:rsidRPr="008E3D97" w:rsidRDefault="00EF0C97" w:rsidP="00780F86">
      <w:pPr>
        <w:tabs>
          <w:tab w:val="right" w:pos="9720"/>
        </w:tabs>
        <w:ind w:right="-82"/>
        <w:rPr>
          <w:rFonts w:cs="Arial"/>
          <w:color w:val="000000" w:themeColor="text1"/>
        </w:rPr>
      </w:pPr>
      <w:r w:rsidRPr="008E3D97">
        <w:rPr>
          <w:rFonts w:cs="Arial"/>
          <w:b/>
          <w:color w:val="000000" w:themeColor="text1"/>
        </w:rPr>
        <w:t xml:space="preserve">Tax and Chancery </w:t>
      </w:r>
      <w:r w:rsidR="008A6059" w:rsidRPr="008E3D97">
        <w:rPr>
          <w:rFonts w:cs="Arial"/>
          <w:b/>
          <w:color w:val="000000" w:themeColor="text1"/>
        </w:rPr>
        <w:t>Chamber</w:t>
      </w:r>
      <w:r w:rsidR="00A27AB4" w:rsidRPr="008E3D97">
        <w:rPr>
          <w:rFonts w:cs="Arial"/>
          <w:caps/>
          <w:color w:val="000000" w:themeColor="text1"/>
        </w:rPr>
        <w:t xml:space="preserve"> </w:t>
      </w:r>
    </w:p>
    <w:p w14:paraId="01842381" w14:textId="77777777" w:rsidR="00C345E1" w:rsidRPr="008E3D97" w:rsidRDefault="00C345E1" w:rsidP="00FD61C0">
      <w:pPr>
        <w:jc w:val="right"/>
        <w:rPr>
          <w:rFonts w:cs="Arial"/>
          <w:color w:val="000000" w:themeColor="text1"/>
        </w:rPr>
      </w:pPr>
    </w:p>
    <w:p w14:paraId="77C3366E" w14:textId="77777777" w:rsidR="00124ED1" w:rsidRDefault="00D3603D" w:rsidP="00124ED1">
      <w:pPr>
        <w:jc w:val="right"/>
        <w:rPr>
          <w:rFonts w:cs="Arial"/>
          <w:color w:val="000000" w:themeColor="text1"/>
        </w:rPr>
      </w:pPr>
      <w:r>
        <w:rPr>
          <w:rFonts w:cs="Arial"/>
          <w:color w:val="000000" w:themeColor="text1"/>
        </w:rPr>
        <w:tab/>
      </w:r>
      <w:r>
        <w:rPr>
          <w:rFonts w:cs="Arial"/>
          <w:color w:val="000000" w:themeColor="text1"/>
        </w:rPr>
        <w:tab/>
      </w:r>
      <w:r w:rsidR="00124ED1">
        <w:rPr>
          <w:rFonts w:cs="Arial"/>
          <w:color w:val="000000" w:themeColor="text1"/>
        </w:rPr>
        <w:t>Hearing venue: Decided on Paper</w:t>
      </w:r>
    </w:p>
    <w:p w14:paraId="3001B9DD" w14:textId="6F86A12E" w:rsidR="00124ED1" w:rsidRPr="00124ED1" w:rsidRDefault="00124ED1" w:rsidP="00124ED1">
      <w:pPr>
        <w:jc w:val="right"/>
        <w:rPr>
          <w:rFonts w:cs="Arial"/>
          <w:bCs/>
          <w:color w:val="000000" w:themeColor="text1"/>
        </w:rPr>
      </w:pPr>
      <w:r>
        <w:rPr>
          <w:rFonts w:cs="Arial"/>
          <w:color w:val="000000" w:themeColor="text1"/>
        </w:rPr>
        <w:tab/>
      </w:r>
      <w:r>
        <w:rPr>
          <w:rFonts w:cs="Arial"/>
          <w:color w:val="000000" w:themeColor="text1"/>
        </w:rPr>
        <w:tab/>
      </w:r>
      <w:r>
        <w:rPr>
          <w:rFonts w:cs="Arial"/>
          <w:color w:val="000000" w:themeColor="text1"/>
        </w:rPr>
        <w:tab/>
      </w:r>
      <w:r w:rsidRPr="00124ED1">
        <w:rPr>
          <w:rFonts w:cs="Arial"/>
          <w:bCs/>
          <w:color w:val="000000" w:themeColor="text1"/>
        </w:rPr>
        <w:t xml:space="preserve">Judgment date: </w:t>
      </w:r>
      <w:r w:rsidR="00232487">
        <w:rPr>
          <w:rFonts w:cs="Arial"/>
          <w:bCs/>
          <w:color w:val="000000" w:themeColor="text1"/>
        </w:rPr>
        <w:t>27 June 2025</w:t>
      </w:r>
      <w:r w:rsidRPr="00124ED1">
        <w:rPr>
          <w:rFonts w:cs="Arial"/>
          <w:bCs/>
          <w:color w:val="000000" w:themeColor="text1"/>
        </w:rPr>
        <w:t xml:space="preserve">  </w:t>
      </w:r>
    </w:p>
    <w:p w14:paraId="4D442542" w14:textId="77777777" w:rsidR="00124ED1" w:rsidRPr="008E3D97" w:rsidRDefault="00124ED1" w:rsidP="00124ED1">
      <w:pPr>
        <w:jc w:val="right"/>
        <w:rPr>
          <w:rFonts w:cs="Arial"/>
          <w:b/>
          <w:color w:val="000000" w:themeColor="text1"/>
        </w:rPr>
      </w:pPr>
    </w:p>
    <w:p w14:paraId="5A5881B1" w14:textId="385D94AC" w:rsidR="008C04C1" w:rsidRPr="00657CB2" w:rsidRDefault="00657CB2" w:rsidP="00417182">
      <w:pPr>
        <w:jc w:val="both"/>
        <w:rPr>
          <w:rFonts w:cs="Arial"/>
          <w:bCs/>
          <w:i/>
          <w:iCs/>
          <w:color w:val="000000" w:themeColor="text1"/>
        </w:rPr>
      </w:pPr>
      <w:r>
        <w:rPr>
          <w:rFonts w:cs="Arial"/>
          <w:bCs/>
          <w:i/>
          <w:iCs/>
          <w:color w:val="000000" w:themeColor="text1"/>
        </w:rPr>
        <w:t>Financial Services – p</w:t>
      </w:r>
      <w:r w:rsidR="00124ED1" w:rsidRPr="00124ED1">
        <w:rPr>
          <w:rFonts w:cs="Arial"/>
          <w:bCs/>
          <w:i/>
          <w:iCs/>
          <w:color w:val="000000" w:themeColor="text1"/>
        </w:rPr>
        <w:t xml:space="preserve">rocedure – </w:t>
      </w:r>
      <w:r w:rsidR="00915FE5">
        <w:rPr>
          <w:rFonts w:cs="Arial"/>
          <w:bCs/>
          <w:i/>
          <w:iCs/>
          <w:color w:val="000000" w:themeColor="text1"/>
        </w:rPr>
        <w:t xml:space="preserve">Authority’s application to amend statement of case </w:t>
      </w:r>
      <w:r w:rsidR="008C2E4D">
        <w:rPr>
          <w:rFonts w:cs="Arial"/>
          <w:bCs/>
          <w:i/>
          <w:iCs/>
          <w:color w:val="000000" w:themeColor="text1"/>
        </w:rPr>
        <w:t>–</w:t>
      </w:r>
      <w:r w:rsidR="00915FE5">
        <w:rPr>
          <w:rFonts w:cs="Arial"/>
          <w:bCs/>
          <w:i/>
          <w:iCs/>
          <w:color w:val="000000" w:themeColor="text1"/>
        </w:rPr>
        <w:t xml:space="preserve"> </w:t>
      </w:r>
      <w:r w:rsidR="008C2E4D">
        <w:rPr>
          <w:rFonts w:cs="Arial"/>
          <w:bCs/>
          <w:i/>
          <w:iCs/>
          <w:color w:val="000000" w:themeColor="text1"/>
        </w:rPr>
        <w:t xml:space="preserve">withdrawal of penalty – whether required to serve notice of discontinuance </w:t>
      </w:r>
      <w:r w:rsidR="00F71070">
        <w:rPr>
          <w:rFonts w:cs="Arial"/>
          <w:bCs/>
          <w:i/>
          <w:iCs/>
          <w:color w:val="000000" w:themeColor="text1"/>
        </w:rPr>
        <w:t>under s</w:t>
      </w:r>
      <w:r w:rsidR="003D3223">
        <w:rPr>
          <w:rFonts w:cs="Arial"/>
          <w:bCs/>
          <w:i/>
          <w:iCs/>
          <w:color w:val="000000" w:themeColor="text1"/>
        </w:rPr>
        <w:t xml:space="preserve">ection </w:t>
      </w:r>
      <w:r w:rsidR="00F71070">
        <w:rPr>
          <w:rFonts w:cs="Arial"/>
          <w:bCs/>
          <w:i/>
          <w:iCs/>
          <w:color w:val="000000" w:themeColor="text1"/>
        </w:rPr>
        <w:t>389 FSMA 2000</w:t>
      </w:r>
      <w:r w:rsidR="003D3223">
        <w:rPr>
          <w:rFonts w:cs="Arial"/>
          <w:bCs/>
          <w:i/>
          <w:iCs/>
          <w:color w:val="000000" w:themeColor="text1"/>
        </w:rPr>
        <w:t xml:space="preserve"> – requirements of Rule 17(2) </w:t>
      </w:r>
      <w:r w:rsidR="00417182">
        <w:rPr>
          <w:rFonts w:cs="Arial"/>
          <w:bCs/>
          <w:i/>
          <w:iCs/>
          <w:color w:val="000000" w:themeColor="text1"/>
        </w:rPr>
        <w:t>in relation to withdrawal of part of the Auth</w:t>
      </w:r>
      <w:r>
        <w:rPr>
          <w:rFonts w:cs="Arial"/>
          <w:bCs/>
          <w:i/>
          <w:iCs/>
          <w:color w:val="000000" w:themeColor="text1"/>
        </w:rPr>
        <w:t>o</w:t>
      </w:r>
      <w:r w:rsidR="00417182">
        <w:rPr>
          <w:rFonts w:cs="Arial"/>
          <w:bCs/>
          <w:i/>
          <w:iCs/>
          <w:color w:val="000000" w:themeColor="text1"/>
        </w:rPr>
        <w:t>rity’s case.</w:t>
      </w:r>
      <w:r w:rsidR="00D3603D" w:rsidRPr="00124ED1">
        <w:rPr>
          <w:rFonts w:cs="Arial"/>
          <w:bCs/>
          <w:color w:val="000000" w:themeColor="text1"/>
        </w:rPr>
        <w:tab/>
      </w:r>
      <w:r w:rsidR="00D3603D" w:rsidRPr="00124ED1">
        <w:rPr>
          <w:rFonts w:cs="Arial"/>
          <w:bCs/>
          <w:color w:val="000000" w:themeColor="text1"/>
        </w:rPr>
        <w:tab/>
      </w:r>
      <w:r w:rsidR="00D3603D" w:rsidRPr="00124ED1">
        <w:rPr>
          <w:rFonts w:cs="Arial"/>
          <w:bCs/>
          <w:color w:val="000000" w:themeColor="text1"/>
        </w:rPr>
        <w:tab/>
      </w:r>
    </w:p>
    <w:p w14:paraId="0F7F156D" w14:textId="6588ECFA" w:rsidR="00491E0B" w:rsidRPr="008E3D97" w:rsidRDefault="00491E0B" w:rsidP="008C04C1">
      <w:pPr>
        <w:jc w:val="right"/>
        <w:rPr>
          <w:rFonts w:cs="Arial"/>
          <w:b/>
          <w:color w:val="000000" w:themeColor="text1"/>
        </w:rPr>
      </w:pPr>
    </w:p>
    <w:p w14:paraId="3D002F3F" w14:textId="77777777" w:rsidR="00A15234" w:rsidRPr="008E3D97" w:rsidRDefault="00207617" w:rsidP="00A15234">
      <w:pPr>
        <w:jc w:val="center"/>
        <w:rPr>
          <w:rFonts w:cs="Arial"/>
          <w:b/>
          <w:color w:val="000000" w:themeColor="text1"/>
        </w:rPr>
      </w:pPr>
      <w:r w:rsidRPr="008E3D97">
        <w:rPr>
          <w:rFonts w:cs="Arial"/>
          <w:b/>
          <w:color w:val="000000" w:themeColor="text1"/>
        </w:rPr>
        <w:t>Befo</w:t>
      </w:r>
      <w:r w:rsidR="00A15234" w:rsidRPr="008E3D97">
        <w:rPr>
          <w:rFonts w:cs="Arial"/>
          <w:b/>
          <w:color w:val="000000" w:themeColor="text1"/>
        </w:rPr>
        <w:t>re</w:t>
      </w:r>
    </w:p>
    <w:p w14:paraId="4B215C9A" w14:textId="77777777" w:rsidR="00A15234" w:rsidRPr="008E3D97" w:rsidRDefault="00A15234" w:rsidP="00A15234">
      <w:pPr>
        <w:jc w:val="center"/>
        <w:rPr>
          <w:rFonts w:cs="Arial"/>
          <w:b/>
          <w:color w:val="000000" w:themeColor="text1"/>
        </w:rPr>
      </w:pPr>
    </w:p>
    <w:p w14:paraId="59EA5C2E" w14:textId="2B658F78" w:rsidR="001B186A" w:rsidRDefault="0040599F" w:rsidP="00A15234">
      <w:pPr>
        <w:jc w:val="center"/>
        <w:rPr>
          <w:rFonts w:cs="Arial"/>
          <w:b/>
          <w:color w:val="000000" w:themeColor="text1"/>
        </w:rPr>
      </w:pPr>
      <w:r>
        <w:rPr>
          <w:rFonts w:cs="Arial"/>
          <w:b/>
          <w:color w:val="000000" w:themeColor="text1"/>
        </w:rPr>
        <w:t>JUDGE JONATHAN CANNAN</w:t>
      </w:r>
      <w:r w:rsidR="006227F6" w:rsidRPr="008E3D97">
        <w:rPr>
          <w:rFonts w:cs="Arial"/>
          <w:b/>
          <w:color w:val="000000" w:themeColor="text1"/>
        </w:rPr>
        <w:t xml:space="preserve"> </w:t>
      </w:r>
    </w:p>
    <w:p w14:paraId="79CBD6EE" w14:textId="77777777" w:rsidR="002A01E5" w:rsidRDefault="002A01E5" w:rsidP="00A15234">
      <w:pPr>
        <w:jc w:val="center"/>
        <w:rPr>
          <w:rFonts w:cs="Arial"/>
          <w:b/>
          <w:color w:val="000000" w:themeColor="text1"/>
        </w:rPr>
      </w:pPr>
    </w:p>
    <w:p w14:paraId="7B69E6E6" w14:textId="77777777" w:rsidR="002A01E5" w:rsidRPr="008E3D97" w:rsidRDefault="002A01E5" w:rsidP="00A15234">
      <w:pPr>
        <w:jc w:val="center"/>
        <w:rPr>
          <w:rFonts w:cs="Arial"/>
          <w:b/>
          <w:color w:val="000000" w:themeColor="text1"/>
        </w:rPr>
      </w:pPr>
    </w:p>
    <w:p w14:paraId="0EDF418E" w14:textId="77777777" w:rsidR="00D20757" w:rsidRPr="008E3D97" w:rsidRDefault="00D20757" w:rsidP="00A15234">
      <w:pPr>
        <w:jc w:val="center"/>
        <w:rPr>
          <w:rFonts w:cs="Arial"/>
          <w:b/>
          <w:color w:val="000000" w:themeColor="text1"/>
        </w:rPr>
      </w:pPr>
    </w:p>
    <w:p w14:paraId="25E2AD32" w14:textId="77777777" w:rsidR="00A845DC" w:rsidRPr="008E3D97" w:rsidRDefault="00A845DC" w:rsidP="00A15234">
      <w:pPr>
        <w:jc w:val="center"/>
        <w:rPr>
          <w:rFonts w:cs="Arial"/>
          <w:b/>
          <w:color w:val="000000" w:themeColor="text1"/>
        </w:rPr>
      </w:pPr>
      <w:r w:rsidRPr="008E3D97">
        <w:rPr>
          <w:rFonts w:cs="Arial"/>
          <w:b/>
          <w:color w:val="000000" w:themeColor="text1"/>
        </w:rPr>
        <w:t>Between</w:t>
      </w:r>
    </w:p>
    <w:p w14:paraId="041B0B05" w14:textId="77777777" w:rsidR="00A845DC" w:rsidRPr="008E3D97" w:rsidRDefault="00A845DC" w:rsidP="00A15234">
      <w:pPr>
        <w:jc w:val="center"/>
        <w:rPr>
          <w:rFonts w:cs="Arial"/>
          <w:b/>
          <w:color w:val="000000" w:themeColor="text1"/>
        </w:rPr>
      </w:pPr>
    </w:p>
    <w:p w14:paraId="10AE21D2" w14:textId="2A5420D0" w:rsidR="00704B61" w:rsidRPr="008E3D97" w:rsidRDefault="005A5D77" w:rsidP="00A15234">
      <w:pPr>
        <w:jc w:val="center"/>
        <w:rPr>
          <w:rFonts w:cs="Arial"/>
          <w:b/>
          <w:color w:val="000000" w:themeColor="text1"/>
        </w:rPr>
      </w:pPr>
      <w:r>
        <w:rPr>
          <w:rFonts w:cs="Arial"/>
          <w:b/>
          <w:color w:val="000000" w:themeColor="text1"/>
        </w:rPr>
        <w:t>NAILESH MANUBAI TERAIYA</w:t>
      </w:r>
    </w:p>
    <w:p w14:paraId="03542F70" w14:textId="73DD5517" w:rsidR="00704B61" w:rsidRPr="008E3D97" w:rsidRDefault="00704B61" w:rsidP="005A5D77">
      <w:pPr>
        <w:jc w:val="right"/>
      </w:pPr>
      <w:r w:rsidRPr="008E3D97">
        <w:t>App</w:t>
      </w:r>
      <w:r w:rsidR="005A5D77">
        <w:t>licant</w:t>
      </w:r>
    </w:p>
    <w:p w14:paraId="4FAC8D5D" w14:textId="77777777" w:rsidR="00704B61" w:rsidRPr="008E3D97" w:rsidRDefault="00DD5071" w:rsidP="00704B61">
      <w:pPr>
        <w:jc w:val="center"/>
        <w:rPr>
          <w:rFonts w:cs="Arial"/>
          <w:b/>
          <w:color w:val="000000" w:themeColor="text1"/>
        </w:rPr>
      </w:pPr>
      <w:r w:rsidRPr="008E3D97">
        <w:rPr>
          <w:rFonts w:cs="Arial"/>
          <w:b/>
          <w:color w:val="000000" w:themeColor="text1"/>
        </w:rPr>
        <w:t>and</w:t>
      </w:r>
    </w:p>
    <w:p w14:paraId="29B8130A" w14:textId="77777777" w:rsidR="00DD5071" w:rsidRPr="008E3D97" w:rsidRDefault="00DD5071" w:rsidP="00704B61">
      <w:pPr>
        <w:jc w:val="center"/>
        <w:rPr>
          <w:rFonts w:cs="Arial"/>
          <w:b/>
          <w:color w:val="000000" w:themeColor="text1"/>
        </w:rPr>
      </w:pPr>
    </w:p>
    <w:p w14:paraId="616B9F82" w14:textId="1B212F71" w:rsidR="005A5D77" w:rsidRPr="008E3D97" w:rsidRDefault="00BF1166" w:rsidP="005A5D77">
      <w:pPr>
        <w:jc w:val="center"/>
        <w:rPr>
          <w:rFonts w:cs="Arial"/>
          <w:b/>
          <w:caps/>
          <w:color w:val="000000" w:themeColor="text1"/>
        </w:rPr>
      </w:pPr>
      <w:r w:rsidRPr="008E3D97">
        <w:rPr>
          <w:rFonts w:cs="Arial"/>
          <w:b/>
          <w:caps/>
          <w:color w:val="000000" w:themeColor="text1"/>
        </w:rPr>
        <w:t xml:space="preserve">THE </w:t>
      </w:r>
      <w:r w:rsidR="005A5D77">
        <w:rPr>
          <w:rFonts w:cs="Arial"/>
          <w:b/>
          <w:caps/>
          <w:color w:val="000000" w:themeColor="text1"/>
        </w:rPr>
        <w:t>FINANCIAL CONDUCT AUTHORITY</w:t>
      </w:r>
    </w:p>
    <w:p w14:paraId="78D32506" w14:textId="544C556F" w:rsidR="00BF1166" w:rsidRPr="008E3D97" w:rsidRDefault="00BF1166" w:rsidP="00BF1166">
      <w:pPr>
        <w:jc w:val="center"/>
        <w:rPr>
          <w:rFonts w:cs="Arial"/>
          <w:b/>
          <w:caps/>
          <w:color w:val="000000" w:themeColor="text1"/>
        </w:rPr>
      </w:pPr>
    </w:p>
    <w:p w14:paraId="604DCAD9" w14:textId="77777777" w:rsidR="00DD5071" w:rsidRPr="008E3D97" w:rsidRDefault="00DD5071" w:rsidP="00704B61">
      <w:pPr>
        <w:jc w:val="center"/>
        <w:rPr>
          <w:rFonts w:cs="Arial"/>
          <w:b/>
          <w:color w:val="000000" w:themeColor="text1"/>
        </w:rPr>
      </w:pPr>
    </w:p>
    <w:p w14:paraId="236BE191" w14:textId="0D1646C0" w:rsidR="00DD5071" w:rsidRPr="008E3D97" w:rsidRDefault="00DD5071" w:rsidP="005A5D77">
      <w:pPr>
        <w:jc w:val="right"/>
      </w:pPr>
      <w:r w:rsidRPr="008E3D97">
        <w:t>Respondent</w:t>
      </w:r>
    </w:p>
    <w:p w14:paraId="7CB93F61" w14:textId="77777777" w:rsidR="00DD5071" w:rsidRPr="008E3D97" w:rsidRDefault="00DD5071" w:rsidP="00DD5071">
      <w:pPr>
        <w:rPr>
          <w:rFonts w:cs="Arial"/>
          <w:color w:val="000000" w:themeColor="text1"/>
          <w:u w:val="single"/>
        </w:rPr>
      </w:pPr>
    </w:p>
    <w:p w14:paraId="69C165EB" w14:textId="77777777" w:rsidR="00DD5071" w:rsidRPr="008E3D97" w:rsidRDefault="00DD5071" w:rsidP="00DD5071">
      <w:pPr>
        <w:rPr>
          <w:rFonts w:cs="Arial"/>
          <w:color w:val="000000" w:themeColor="text1"/>
          <w:u w:val="single"/>
        </w:rPr>
      </w:pPr>
    </w:p>
    <w:p w14:paraId="1C1D98C3" w14:textId="19587434" w:rsidR="00D02698" w:rsidRDefault="00D02698" w:rsidP="00F27E2C">
      <w:pPr>
        <w:tabs>
          <w:tab w:val="left" w:pos="2520"/>
        </w:tabs>
        <w:rPr>
          <w:rFonts w:cs="Arial"/>
          <w:color w:val="000000" w:themeColor="text1"/>
        </w:rPr>
      </w:pPr>
    </w:p>
    <w:p w14:paraId="4000D7A9" w14:textId="7414210D" w:rsidR="005A5D77" w:rsidRPr="008E3D97" w:rsidRDefault="00F542FF" w:rsidP="00F27E2C">
      <w:pPr>
        <w:tabs>
          <w:tab w:val="left" w:pos="2520"/>
        </w:tabs>
        <w:rPr>
          <w:rFonts w:cs="Arial"/>
          <w:color w:val="000000" w:themeColor="text1"/>
        </w:rPr>
      </w:pPr>
      <w:r>
        <w:rPr>
          <w:rFonts w:cs="Arial"/>
          <w:color w:val="000000" w:themeColor="text1"/>
        </w:rPr>
        <w:t xml:space="preserve">The application was decided on paper </w:t>
      </w:r>
      <w:proofErr w:type="gramStart"/>
      <w:r>
        <w:rPr>
          <w:rFonts w:cs="Arial"/>
          <w:color w:val="000000" w:themeColor="text1"/>
        </w:rPr>
        <w:t>on the basis of</w:t>
      </w:r>
      <w:proofErr w:type="gramEnd"/>
      <w:r>
        <w:rPr>
          <w:rFonts w:cs="Arial"/>
          <w:color w:val="000000" w:themeColor="text1"/>
        </w:rPr>
        <w:t xml:space="preserve"> written submissions by the parties</w:t>
      </w:r>
    </w:p>
    <w:p w14:paraId="6CB2A7AD" w14:textId="34CC0AB3" w:rsidR="00D02698" w:rsidRDefault="00D02698" w:rsidP="0069660F">
      <w:pPr>
        <w:jc w:val="center"/>
      </w:pPr>
      <w:r w:rsidRPr="00EF4FB5">
        <w:br w:type="page"/>
      </w:r>
      <w:r w:rsidR="009B63FD">
        <w:lastRenderedPageBreak/>
        <w:t>DECISION</w:t>
      </w:r>
    </w:p>
    <w:p w14:paraId="324DA797" w14:textId="77777777" w:rsidR="00F542FF" w:rsidRDefault="00F542FF" w:rsidP="0069660F">
      <w:pPr>
        <w:jc w:val="center"/>
      </w:pPr>
    </w:p>
    <w:p w14:paraId="2149AFED" w14:textId="2BA8B96B" w:rsidR="00DE4DE3" w:rsidRDefault="00DE4DE3" w:rsidP="00DE4DE3">
      <w:pPr>
        <w:pStyle w:val="Heading1"/>
      </w:pPr>
      <w:r>
        <w:t>Background</w:t>
      </w:r>
    </w:p>
    <w:p w14:paraId="75019E99" w14:textId="2ACA39DE" w:rsidR="007F30F1" w:rsidRDefault="00F542FF" w:rsidP="007F30F1">
      <w:pPr>
        <w:pStyle w:val="Bodytexttax1"/>
      </w:pPr>
      <w:r>
        <w:t>The A</w:t>
      </w:r>
      <w:r w:rsidR="001A72FF">
        <w:t xml:space="preserve">uthority </w:t>
      </w:r>
      <w:r w:rsidR="00CD5B9E">
        <w:t xml:space="preserve">has </w:t>
      </w:r>
      <w:r w:rsidR="00B84275">
        <w:t xml:space="preserve">made an application dated </w:t>
      </w:r>
      <w:r w:rsidR="001A72FF">
        <w:t xml:space="preserve">25 March 2025 </w:t>
      </w:r>
      <w:r w:rsidR="0016431E">
        <w:t xml:space="preserve">for </w:t>
      </w:r>
      <w:r w:rsidR="005A604F">
        <w:t xml:space="preserve">permission to amend its statement of case </w:t>
      </w:r>
      <w:r w:rsidR="000020DB">
        <w:t>and to amend the formulation of the preliminary issue in this case</w:t>
      </w:r>
      <w:r w:rsidR="00213836">
        <w:t>. The preliminary issue</w:t>
      </w:r>
      <w:r w:rsidR="000020DB">
        <w:t xml:space="preserve"> is listed to be heard on </w:t>
      </w:r>
      <w:r w:rsidR="006A2FE0">
        <w:t xml:space="preserve">29 July 2025. The Applicant has objected to both applications </w:t>
      </w:r>
      <w:r w:rsidR="00A46DDE">
        <w:t>in a reply dated 25 April 2025</w:t>
      </w:r>
      <w:r w:rsidR="002C7740">
        <w:t>. The Authority responded on 9 May 2025 and the Applica</w:t>
      </w:r>
      <w:r w:rsidR="000551E0">
        <w:t>nt</w:t>
      </w:r>
      <w:r w:rsidR="002C7740">
        <w:t xml:space="preserve"> </w:t>
      </w:r>
      <w:r w:rsidR="00735B96">
        <w:t xml:space="preserve">made a further reply on 16 May 2025. </w:t>
      </w:r>
      <w:r w:rsidR="00BC3FD8">
        <w:t>I have dealt with the application</w:t>
      </w:r>
      <w:r w:rsidR="00735B96">
        <w:t>s</w:t>
      </w:r>
      <w:r w:rsidR="00BC3FD8">
        <w:t xml:space="preserve"> on paper</w:t>
      </w:r>
      <w:r w:rsidR="00735B96">
        <w:t xml:space="preserve"> </w:t>
      </w:r>
      <w:proofErr w:type="gramStart"/>
      <w:r w:rsidR="00735B96">
        <w:t>taking into account</w:t>
      </w:r>
      <w:proofErr w:type="gramEnd"/>
      <w:r w:rsidR="00735B96">
        <w:t xml:space="preserve"> all the submissions made</w:t>
      </w:r>
      <w:r w:rsidR="00BC3FD8">
        <w:t>.</w:t>
      </w:r>
    </w:p>
    <w:p w14:paraId="7014DFBF" w14:textId="4B0325DB" w:rsidR="007F30F1" w:rsidRDefault="00344E9E" w:rsidP="001C1EF7">
      <w:pPr>
        <w:pStyle w:val="Bodytexttax1"/>
      </w:pPr>
      <w:r>
        <w:t xml:space="preserve">The Authority proposes to amend the statement of case </w:t>
      </w:r>
      <w:r w:rsidR="000D62EF">
        <w:t xml:space="preserve">to reflect the fact that </w:t>
      </w:r>
      <w:r w:rsidR="00B73F0F">
        <w:t xml:space="preserve">it no longer seeks to pursue a financial penalty against the Applicant. It has </w:t>
      </w:r>
      <w:r w:rsidR="00426308">
        <w:t xml:space="preserve">reached that decision following a request from the </w:t>
      </w:r>
      <w:r w:rsidR="00C96B11">
        <w:t>Danish Tax Authority</w:t>
      </w:r>
      <w:r w:rsidR="000762BC">
        <w:t xml:space="preserve">. The Danish Tax Authority has stated that if the Authority </w:t>
      </w:r>
      <w:r w:rsidR="00E02581">
        <w:t xml:space="preserve">pursues a financial penalty, its civil proceedings against the Applicant </w:t>
      </w:r>
      <w:r w:rsidR="00B5166A">
        <w:t xml:space="preserve">and others to recover </w:t>
      </w:r>
      <w:r w:rsidR="004A2841">
        <w:t xml:space="preserve">their losses could be prejudiced. </w:t>
      </w:r>
      <w:r w:rsidR="003C34E3">
        <w:t>In January 2025 the Danish Tax Authority obtained judgments against the Applicant in Dubai</w:t>
      </w:r>
      <w:r w:rsidR="0056109A">
        <w:t xml:space="preserve"> finding him </w:t>
      </w:r>
      <w:r w:rsidR="00652E22">
        <w:t xml:space="preserve">jointly and severally </w:t>
      </w:r>
      <w:r w:rsidR="0056109A">
        <w:t xml:space="preserve">liable for approximately £71m. </w:t>
      </w:r>
      <w:r w:rsidR="00E60149">
        <w:t xml:space="preserve">In the circumstances the Authority has determined that it is no longer in the public interest to pursue a penalty against the Applicant. </w:t>
      </w:r>
      <w:r w:rsidR="00393015">
        <w:t xml:space="preserve">The Authority has made clear that it has not altered its view of the Applicant’s conduct </w:t>
      </w:r>
      <w:r w:rsidR="00E84827">
        <w:t xml:space="preserve">or that he should be prohibited from </w:t>
      </w:r>
      <w:r w:rsidR="0047543A">
        <w:t xml:space="preserve">performing </w:t>
      </w:r>
      <w:r w:rsidR="00326BDF">
        <w:t>any function in relation to any regulated activities.</w:t>
      </w:r>
    </w:p>
    <w:p w14:paraId="1E321CAD" w14:textId="5E19F6EE" w:rsidR="000A7FC4" w:rsidRDefault="00B10527" w:rsidP="001C1EF7">
      <w:pPr>
        <w:pStyle w:val="Bodytexttax1"/>
      </w:pPr>
      <w:r>
        <w:t xml:space="preserve">The </w:t>
      </w:r>
      <w:r w:rsidR="0091558F">
        <w:t xml:space="preserve">Authority’s position </w:t>
      </w:r>
      <w:r w:rsidR="001A6085">
        <w:t xml:space="preserve">in relation to the prohibition and the financial penalty </w:t>
      </w:r>
      <w:r w:rsidR="0091558F">
        <w:t xml:space="preserve">is set out at </w:t>
      </w:r>
      <w:r w:rsidR="00F91C75">
        <w:t>[5A]</w:t>
      </w:r>
      <w:r w:rsidR="000A7FC4">
        <w:t xml:space="preserve"> </w:t>
      </w:r>
      <w:r w:rsidR="0091558F">
        <w:t xml:space="preserve">of </w:t>
      </w:r>
      <w:r w:rsidR="00655471">
        <w:t xml:space="preserve">the proposed amended statement of case </w:t>
      </w:r>
      <w:r w:rsidR="000A7FC4">
        <w:t>as follows:</w:t>
      </w:r>
    </w:p>
    <w:p w14:paraId="3E1BCE71" w14:textId="3F4B2AA6" w:rsidR="00655471" w:rsidRPr="00655471" w:rsidRDefault="00655471" w:rsidP="00655471">
      <w:pPr>
        <w:pStyle w:val="Bodytexttax1"/>
        <w:numPr>
          <w:ilvl w:val="0"/>
          <w:numId w:val="0"/>
        </w:numPr>
        <w:ind w:left="397"/>
        <w:rPr>
          <w:sz w:val="22"/>
          <w:szCs w:val="22"/>
        </w:rPr>
      </w:pPr>
      <w:r>
        <w:rPr>
          <w:sz w:val="22"/>
          <w:szCs w:val="22"/>
        </w:rPr>
        <w:t xml:space="preserve">The Authority seeks to maintain its order prohibiting the Applicant from </w:t>
      </w:r>
      <w:r w:rsidR="00D163CB">
        <w:rPr>
          <w:sz w:val="22"/>
          <w:szCs w:val="22"/>
        </w:rPr>
        <w:t>performing any regulated activities under section 56 of the Act. It no longer seeks to impose any financial penalty on the Applicant</w:t>
      </w:r>
    </w:p>
    <w:p w14:paraId="397F4AAE" w14:textId="3E278AEC" w:rsidR="00B10527" w:rsidRDefault="0089448D" w:rsidP="001C1EF7">
      <w:pPr>
        <w:pStyle w:val="Bodytexttax1"/>
      </w:pPr>
      <w:r>
        <w:t xml:space="preserve"> </w:t>
      </w:r>
      <w:r w:rsidR="00B5610A">
        <w:t>The proposed amendment removes r</w:t>
      </w:r>
      <w:r w:rsidR="00121A30">
        <w:t>eferences to section 66 F</w:t>
      </w:r>
      <w:r w:rsidR="00C8543B">
        <w:t xml:space="preserve">inancial </w:t>
      </w:r>
      <w:r w:rsidR="00121A30">
        <w:t>S</w:t>
      </w:r>
      <w:r w:rsidR="00C8543B">
        <w:t xml:space="preserve">ervices and </w:t>
      </w:r>
      <w:r w:rsidR="00121A30">
        <w:t>M</w:t>
      </w:r>
      <w:r w:rsidR="00C8543B">
        <w:t xml:space="preserve">arkets </w:t>
      </w:r>
      <w:r w:rsidR="00121A30">
        <w:t>A</w:t>
      </w:r>
      <w:r w:rsidR="00C8543B">
        <w:t>ct</w:t>
      </w:r>
      <w:r w:rsidR="00121A30">
        <w:t xml:space="preserve"> 2000</w:t>
      </w:r>
      <w:r w:rsidR="00C8543B">
        <w:t xml:space="preserve"> (“FSMA 2000”)</w:t>
      </w:r>
      <w:r w:rsidR="00121A30">
        <w:t xml:space="preserve"> </w:t>
      </w:r>
      <w:r w:rsidR="0049724F">
        <w:t xml:space="preserve">and </w:t>
      </w:r>
      <w:r w:rsidR="003F618D">
        <w:t xml:space="preserve">to </w:t>
      </w:r>
      <w:r w:rsidR="0049724F">
        <w:t>the Authority’s Statement of Principle 1</w:t>
      </w:r>
      <w:r w:rsidR="00325236">
        <w:t xml:space="preserve">. Allegations that the </w:t>
      </w:r>
      <w:r w:rsidR="00890F2A">
        <w:t xml:space="preserve">Applicant </w:t>
      </w:r>
      <w:r w:rsidR="00A92E33">
        <w:t>dishonestly participated in the Purported Trading are retained</w:t>
      </w:r>
      <w:r w:rsidR="00342DB4">
        <w:t xml:space="preserve"> as is the allegation that his conduct was dishonest and lacked integrity. The particulars of those allegations have not changed.</w:t>
      </w:r>
      <w:r w:rsidR="00235C44">
        <w:t xml:space="preserve"> References to a limitation issue in connection with the financial penalty have been removed </w:t>
      </w:r>
      <w:r w:rsidR="0042384E">
        <w:t>together with the basis on which the financial penalty had been calculated</w:t>
      </w:r>
      <w:r w:rsidR="00C36A7B">
        <w:t xml:space="preserve">. </w:t>
      </w:r>
      <w:r w:rsidR="004533D1">
        <w:t xml:space="preserve">In the conclusion at [139] the Authority invites the Tribunal to </w:t>
      </w:r>
      <w:r w:rsidR="00D67442">
        <w:t xml:space="preserve">take certain action. The amended statement of case removes a request that the Tribunal should determine that </w:t>
      </w:r>
      <w:r w:rsidR="001D1B32">
        <w:t>Principle 1 had been breached and that it was appropriate to impose a penalty of £5,</w:t>
      </w:r>
      <w:r w:rsidR="00CC2E19">
        <w:t xml:space="preserve">951,754. A request that the Tribunal should dismiss the reference in relation to the prohibition is maintained and </w:t>
      </w:r>
      <w:r w:rsidR="00931006">
        <w:t xml:space="preserve">a request is added that the Tribunal should direct the Authority </w:t>
      </w:r>
      <w:r w:rsidR="00931006" w:rsidRPr="00931006">
        <w:rPr>
          <w:u w:val="single"/>
        </w:rPr>
        <w:t>not</w:t>
      </w:r>
      <w:r w:rsidR="00931006">
        <w:t xml:space="preserve"> to </w:t>
      </w:r>
      <w:r w:rsidR="00F62EE9">
        <w:t>impose any penalty on the Applicant.</w:t>
      </w:r>
    </w:p>
    <w:p w14:paraId="74DCB406" w14:textId="017C1377" w:rsidR="004C1C12" w:rsidRDefault="00657A45" w:rsidP="004C1C12">
      <w:pPr>
        <w:pStyle w:val="Bodytexttax1"/>
      </w:pPr>
      <w:r>
        <w:t xml:space="preserve"> </w:t>
      </w:r>
      <w:r w:rsidR="00F62EE9">
        <w:t xml:space="preserve">The proposed amendment to the </w:t>
      </w:r>
      <w:r w:rsidR="00F325C7">
        <w:t xml:space="preserve">terms of the </w:t>
      </w:r>
      <w:r w:rsidR="00F62EE9">
        <w:t xml:space="preserve">preliminary issue </w:t>
      </w:r>
      <w:r w:rsidR="00F325C7">
        <w:t xml:space="preserve">set out in my direction released on </w:t>
      </w:r>
      <w:r w:rsidR="00C909EA">
        <w:t xml:space="preserve">18 February 2025 removes </w:t>
      </w:r>
      <w:r w:rsidR="00854F89">
        <w:t xml:space="preserve">the question of whether </w:t>
      </w:r>
      <w:r w:rsidR="007A3E40" w:rsidRPr="003964D6">
        <w:rPr>
          <w:lang w:eastAsia="en-GB"/>
        </w:rPr>
        <w:t xml:space="preserve">the </w:t>
      </w:r>
      <w:r w:rsidR="007A3E40">
        <w:rPr>
          <w:lang w:eastAsia="en-GB"/>
        </w:rPr>
        <w:t xml:space="preserve">Authority was </w:t>
      </w:r>
      <w:r w:rsidR="007A3E40" w:rsidRPr="003964D6">
        <w:rPr>
          <w:lang w:eastAsia="en-GB"/>
        </w:rPr>
        <w:t>acting as a Qualifications Body within the meaning of section 54 Equality Act 2010 when it purported to exercise its powers to</w:t>
      </w:r>
      <w:r w:rsidR="00673D55">
        <w:rPr>
          <w:lang w:eastAsia="en-GB"/>
        </w:rPr>
        <w:t xml:space="preserve"> </w:t>
      </w:r>
      <w:r w:rsidR="00673D55" w:rsidRPr="003964D6">
        <w:rPr>
          <w:lang w:eastAsia="en-GB"/>
        </w:rPr>
        <w:t>impose</w:t>
      </w:r>
      <w:r w:rsidR="00673D55">
        <w:rPr>
          <w:lang w:eastAsia="en-GB"/>
        </w:rPr>
        <w:t xml:space="preserve"> </w:t>
      </w:r>
      <w:r w:rsidR="00673D55" w:rsidRPr="003964D6">
        <w:rPr>
          <w:lang w:eastAsia="en-GB"/>
        </w:rPr>
        <w:t>a penalty on the Applicant pursuant to section 66 FSMA 2000 such that its actions fell within the restrictions on discrimination in section 53 Equality Act 2010</w:t>
      </w:r>
      <w:r w:rsidR="00716F07">
        <w:rPr>
          <w:lang w:eastAsia="en-GB"/>
        </w:rPr>
        <w:t>.</w:t>
      </w:r>
      <w:r w:rsidR="00444FFD">
        <w:rPr>
          <w:lang w:eastAsia="en-GB"/>
        </w:rPr>
        <w:t xml:space="preserve"> The amended preliminary issue would therefore read as follows:</w:t>
      </w:r>
    </w:p>
    <w:p w14:paraId="6D3D974E" w14:textId="475D0B2F" w:rsidR="00444FFD" w:rsidRPr="00DA741F" w:rsidRDefault="00DA741F" w:rsidP="00DA741F">
      <w:pPr>
        <w:pStyle w:val="Bodytexttax1"/>
        <w:numPr>
          <w:ilvl w:val="0"/>
          <w:numId w:val="0"/>
        </w:numPr>
        <w:ind w:left="425"/>
        <w:rPr>
          <w:sz w:val="22"/>
          <w:szCs w:val="22"/>
        </w:rPr>
      </w:pPr>
      <w:r w:rsidRPr="00DA741F">
        <w:rPr>
          <w:sz w:val="22"/>
          <w:szCs w:val="22"/>
          <w:lang w:eastAsia="en-GB"/>
        </w:rPr>
        <w:t>Was the Authority acting as a Qualifications Body within the meaning of section 54 Equality Act 2010 when it purported to exercise its powers to impose a prohibition order on the Applicant pursuant to section 56 Financial Services and Markets Act 2000</w:t>
      </w:r>
      <w:r w:rsidR="004535C0">
        <w:rPr>
          <w:sz w:val="22"/>
          <w:szCs w:val="22"/>
          <w:lang w:eastAsia="en-GB"/>
        </w:rPr>
        <w:t xml:space="preserve"> such that its actions fell within</w:t>
      </w:r>
      <w:r w:rsidR="003B0E32">
        <w:rPr>
          <w:sz w:val="22"/>
          <w:szCs w:val="22"/>
          <w:lang w:eastAsia="en-GB"/>
        </w:rPr>
        <w:t xml:space="preserve"> the restrictions on discrimination in section 53 Equality Act 2010</w:t>
      </w:r>
      <w:r w:rsidRPr="00DA741F">
        <w:rPr>
          <w:sz w:val="22"/>
          <w:szCs w:val="22"/>
          <w:lang w:eastAsia="en-GB"/>
        </w:rPr>
        <w:t>.</w:t>
      </w:r>
    </w:p>
    <w:p w14:paraId="45C365BF" w14:textId="5DCE565B" w:rsidR="00623C3E" w:rsidRDefault="00160F23" w:rsidP="00C62076">
      <w:pPr>
        <w:pStyle w:val="Bodytexttax1"/>
      </w:pPr>
      <w:r>
        <w:lastRenderedPageBreak/>
        <w:t>The Applicant objects to the Authority’s application to amend its statement of case and to its application to amend the preliminary issue.</w:t>
      </w:r>
      <w:r w:rsidR="00660D7F">
        <w:t xml:space="preserve"> I shall consider each objection separate</w:t>
      </w:r>
      <w:r w:rsidR="00B5275B">
        <w:t>ly.</w:t>
      </w:r>
    </w:p>
    <w:p w14:paraId="0C19F42C" w14:textId="79E64C29" w:rsidR="00B5275B" w:rsidRDefault="00B5275B" w:rsidP="00B5275B">
      <w:pPr>
        <w:pStyle w:val="Heading1"/>
      </w:pPr>
      <w:r>
        <w:t>Application to amend</w:t>
      </w:r>
      <w:r w:rsidR="009D1BA4">
        <w:t xml:space="preserve"> the statement of case</w:t>
      </w:r>
    </w:p>
    <w:p w14:paraId="1975265B" w14:textId="5E48E7A5" w:rsidR="00B5275B" w:rsidRDefault="00D34A1A" w:rsidP="00B5275B">
      <w:pPr>
        <w:pStyle w:val="Bodytexttax1"/>
      </w:pPr>
      <w:r>
        <w:t xml:space="preserve">The </w:t>
      </w:r>
      <w:r w:rsidR="00A66B82">
        <w:t>A</w:t>
      </w:r>
      <w:r w:rsidR="0007758F">
        <w:t>pplicant objects t</w:t>
      </w:r>
      <w:r>
        <w:t xml:space="preserve">o the proposed amendment </w:t>
      </w:r>
      <w:r w:rsidR="0007758F">
        <w:t>on t</w:t>
      </w:r>
      <w:r w:rsidR="00DE42FA">
        <w:t>hree</w:t>
      </w:r>
      <w:r w:rsidR="009D1BA4">
        <w:t xml:space="preserve"> broad</w:t>
      </w:r>
      <w:r w:rsidR="0007758F">
        <w:t xml:space="preserve"> grounds:</w:t>
      </w:r>
    </w:p>
    <w:p w14:paraId="3F065691" w14:textId="77777777" w:rsidR="001F4AE3" w:rsidRDefault="0007758F" w:rsidP="0007758F">
      <w:pPr>
        <w:pStyle w:val="Bodytexttax2"/>
      </w:pPr>
      <w:r>
        <w:t xml:space="preserve">That the Authority has failed to follow </w:t>
      </w:r>
      <w:r w:rsidR="00C8543B">
        <w:t>the procedure for discontinuance in</w:t>
      </w:r>
      <w:r w:rsidR="001F4AE3">
        <w:t xml:space="preserve"> FSMA 2000.</w:t>
      </w:r>
    </w:p>
    <w:p w14:paraId="044A3427" w14:textId="77777777" w:rsidR="004B0E9E" w:rsidRDefault="001F4AE3" w:rsidP="0007758F">
      <w:pPr>
        <w:pStyle w:val="Bodytexttax2"/>
      </w:pPr>
      <w:r>
        <w:t>The Authority has failed to follow its own policies and procedures</w:t>
      </w:r>
      <w:r w:rsidR="004B0E9E">
        <w:t xml:space="preserve"> having failed to publish the discontinuance of the penalty.</w:t>
      </w:r>
    </w:p>
    <w:p w14:paraId="0875EEB2" w14:textId="4C74EF98" w:rsidR="00340CD8" w:rsidRDefault="00340CD8" w:rsidP="0007758F">
      <w:pPr>
        <w:pStyle w:val="Bodytexttax2"/>
      </w:pPr>
      <w:r>
        <w:t xml:space="preserve">That the proposed amendments are </w:t>
      </w:r>
      <w:r w:rsidR="009B5E18">
        <w:t>inconsistent in that references to a failure to act with integrity</w:t>
      </w:r>
      <w:r w:rsidR="004A3842">
        <w:t xml:space="preserve"> and honesty </w:t>
      </w:r>
      <w:r w:rsidR="00072A93">
        <w:t xml:space="preserve">are removed from </w:t>
      </w:r>
      <w:r w:rsidR="004A3842">
        <w:t>some but not all parts of the statement of case.</w:t>
      </w:r>
    </w:p>
    <w:p w14:paraId="2C691362" w14:textId="084A372D" w:rsidR="00826756" w:rsidRDefault="00DC7A90" w:rsidP="00826756">
      <w:pPr>
        <w:pStyle w:val="Bodytexttax1"/>
      </w:pPr>
      <w:r>
        <w:t xml:space="preserve">The </w:t>
      </w:r>
      <w:r w:rsidR="00586C9C">
        <w:t xml:space="preserve">Applicant </w:t>
      </w:r>
      <w:r w:rsidR="00B95158">
        <w:t xml:space="preserve">also </w:t>
      </w:r>
      <w:r w:rsidR="00586C9C">
        <w:t xml:space="preserve">observes that the Authority has provided no evidence </w:t>
      </w:r>
      <w:r w:rsidR="00627294">
        <w:t>of discussions with the Danish Tax Authority</w:t>
      </w:r>
      <w:r w:rsidR="005F3884">
        <w:t xml:space="preserve"> or that it has decided not to </w:t>
      </w:r>
      <w:r w:rsidR="00BF709E">
        <w:t>impose a penalty</w:t>
      </w:r>
      <w:r w:rsidR="00627294">
        <w:t xml:space="preserve">. I do not consider </w:t>
      </w:r>
      <w:r w:rsidR="00EC5CFD">
        <w:t xml:space="preserve">that </w:t>
      </w:r>
      <w:r w:rsidR="00BF709E">
        <w:t xml:space="preserve">evidence </w:t>
      </w:r>
      <w:r w:rsidR="00072A93">
        <w:t>going</w:t>
      </w:r>
      <w:r w:rsidR="00BF709E">
        <w:t xml:space="preserve"> beyond what is said in the application</w:t>
      </w:r>
      <w:r w:rsidR="00627294">
        <w:t xml:space="preserve"> is necessary</w:t>
      </w:r>
      <w:r w:rsidR="00EC5CFD">
        <w:t>.</w:t>
      </w:r>
      <w:r w:rsidR="005A4EFF">
        <w:t xml:space="preserve"> I am prepared to accept at face value the reasons put forward by the Authority </w:t>
      </w:r>
      <w:r w:rsidR="00EC5CFD">
        <w:t xml:space="preserve">in the application </w:t>
      </w:r>
      <w:r w:rsidR="009075A3">
        <w:t>for seeking to withdraw the penalty decision.</w:t>
      </w:r>
      <w:r w:rsidR="00EC5CFD">
        <w:t xml:space="preserve"> That is consistent with the overriding objective of dealing with </w:t>
      </w:r>
      <w:r w:rsidR="00B34410">
        <w:t>cases</w:t>
      </w:r>
      <w:r w:rsidR="00EC5CFD">
        <w:t xml:space="preserve"> </w:t>
      </w:r>
      <w:r w:rsidR="00C37E00">
        <w:t xml:space="preserve">fairly and justly, which includes dealing with matters </w:t>
      </w:r>
      <w:r w:rsidR="00EC5CFD">
        <w:t xml:space="preserve">in </w:t>
      </w:r>
      <w:r w:rsidR="00C37E00">
        <w:t>a proportionate way.</w:t>
      </w:r>
    </w:p>
    <w:p w14:paraId="530FDA41" w14:textId="03BEFD04" w:rsidR="005A2DC7" w:rsidRDefault="00464FC5" w:rsidP="005A2DC7">
      <w:pPr>
        <w:pStyle w:val="Bodytexttax1"/>
      </w:pPr>
      <w:r>
        <w:t>S</w:t>
      </w:r>
      <w:r w:rsidR="00B95158">
        <w:t>ection 389 FSMA 2000 provides as follows:</w:t>
      </w:r>
    </w:p>
    <w:p w14:paraId="5FD60BBA" w14:textId="46F8D4FD" w:rsidR="00A90B58" w:rsidRPr="005A2DC7" w:rsidRDefault="00A90B58" w:rsidP="00464FC5">
      <w:pPr>
        <w:pStyle w:val="Bodytexttax1"/>
        <w:numPr>
          <w:ilvl w:val="0"/>
          <w:numId w:val="0"/>
        </w:numPr>
        <w:spacing w:after="120"/>
        <w:ind w:left="1134"/>
        <w:rPr>
          <w:b/>
          <w:bCs/>
          <w:sz w:val="22"/>
          <w:szCs w:val="22"/>
        </w:rPr>
      </w:pPr>
      <w:r w:rsidRPr="005A2DC7">
        <w:rPr>
          <w:rStyle w:val="legds"/>
          <w:b/>
          <w:bCs/>
          <w:color w:val="000000"/>
          <w:sz w:val="22"/>
          <w:szCs w:val="22"/>
        </w:rPr>
        <w:t>389 Notices of discontinuance.</w:t>
      </w:r>
    </w:p>
    <w:p w14:paraId="318CB81C" w14:textId="3D32BF8C" w:rsidR="00A90B58" w:rsidRPr="005A2DC7" w:rsidRDefault="00A90B58" w:rsidP="00464FC5">
      <w:pPr>
        <w:pStyle w:val="legclearfix"/>
        <w:shd w:val="clear" w:color="auto" w:fill="FFFFFF"/>
        <w:spacing w:before="0" w:beforeAutospacing="0" w:after="120" w:afterAutospacing="0"/>
        <w:ind w:left="1134"/>
        <w:rPr>
          <w:color w:val="1E1E1E"/>
          <w:sz w:val="22"/>
          <w:szCs w:val="22"/>
        </w:rPr>
      </w:pPr>
      <w:r w:rsidRPr="005A2DC7">
        <w:rPr>
          <w:rStyle w:val="legds"/>
          <w:color w:val="1E1E1E"/>
          <w:sz w:val="22"/>
          <w:szCs w:val="22"/>
        </w:rPr>
        <w:t>(1) If </w:t>
      </w:r>
      <w:r w:rsidRPr="005A2DC7">
        <w:rPr>
          <w:rStyle w:val="legsubstitution"/>
          <w:color w:val="1E1E1E"/>
          <w:sz w:val="22"/>
          <w:szCs w:val="22"/>
        </w:rPr>
        <w:t>a regulator</w:t>
      </w:r>
      <w:r w:rsidRPr="005A2DC7">
        <w:rPr>
          <w:rStyle w:val="legds"/>
          <w:color w:val="1E1E1E"/>
          <w:sz w:val="22"/>
          <w:szCs w:val="22"/>
        </w:rPr>
        <w:t> decides not to take —</w:t>
      </w:r>
    </w:p>
    <w:p w14:paraId="7E7FE655" w14:textId="59C9033E" w:rsidR="00A90B58" w:rsidRPr="005A2DC7" w:rsidRDefault="00A90B58" w:rsidP="00464FC5">
      <w:pPr>
        <w:pStyle w:val="legclearfix"/>
        <w:shd w:val="clear" w:color="auto" w:fill="FFFFFF"/>
        <w:spacing w:before="0" w:beforeAutospacing="0" w:after="120" w:afterAutospacing="0"/>
        <w:ind w:left="1446"/>
        <w:rPr>
          <w:color w:val="1E1E1E"/>
          <w:sz w:val="22"/>
          <w:szCs w:val="22"/>
        </w:rPr>
      </w:pPr>
      <w:r w:rsidRPr="005A2DC7">
        <w:rPr>
          <w:rStyle w:val="legds"/>
          <w:color w:val="1E1E1E"/>
          <w:sz w:val="22"/>
          <w:szCs w:val="22"/>
        </w:rPr>
        <w:t>(a) the action proposed in a warning notice </w:t>
      </w:r>
      <w:r w:rsidRPr="005A2DC7">
        <w:rPr>
          <w:rStyle w:val="legaddition"/>
          <w:color w:val="1E1E1E"/>
          <w:sz w:val="22"/>
          <w:szCs w:val="22"/>
        </w:rPr>
        <w:t>given by it</w:t>
      </w:r>
      <w:r w:rsidRPr="005A2DC7">
        <w:rPr>
          <w:rStyle w:val="legds"/>
          <w:color w:val="1E1E1E"/>
          <w:sz w:val="22"/>
          <w:szCs w:val="22"/>
        </w:rPr>
        <w:t>, or</w:t>
      </w:r>
    </w:p>
    <w:p w14:paraId="0BB434C2" w14:textId="11543D02" w:rsidR="00A90B58" w:rsidRPr="005A2DC7" w:rsidRDefault="00A90B58" w:rsidP="00464FC5">
      <w:pPr>
        <w:pStyle w:val="legclearfix"/>
        <w:shd w:val="clear" w:color="auto" w:fill="FFFFFF"/>
        <w:spacing w:before="0" w:beforeAutospacing="0" w:after="120" w:afterAutospacing="0"/>
        <w:ind w:left="1446"/>
        <w:rPr>
          <w:color w:val="1E1E1E"/>
          <w:sz w:val="22"/>
          <w:szCs w:val="22"/>
        </w:rPr>
      </w:pPr>
      <w:r w:rsidRPr="005A2DC7">
        <w:rPr>
          <w:rStyle w:val="legds"/>
          <w:color w:val="1E1E1E"/>
          <w:sz w:val="22"/>
          <w:szCs w:val="22"/>
        </w:rPr>
        <w:t>(b) the action to which a decision notice </w:t>
      </w:r>
      <w:r w:rsidRPr="005A2DC7">
        <w:rPr>
          <w:rStyle w:val="legaddition"/>
          <w:color w:val="1E1E1E"/>
          <w:sz w:val="22"/>
          <w:szCs w:val="22"/>
        </w:rPr>
        <w:t>given by it</w:t>
      </w:r>
      <w:r w:rsidRPr="005A2DC7">
        <w:rPr>
          <w:rStyle w:val="legds"/>
          <w:color w:val="1E1E1E"/>
          <w:sz w:val="22"/>
          <w:szCs w:val="22"/>
        </w:rPr>
        <w:t> relates,</w:t>
      </w:r>
    </w:p>
    <w:p w14:paraId="1B589CEB" w14:textId="77777777" w:rsidR="00A90B58" w:rsidRPr="005A2DC7" w:rsidRDefault="00A90B58" w:rsidP="00464FC5">
      <w:pPr>
        <w:pStyle w:val="legrhs"/>
        <w:shd w:val="clear" w:color="auto" w:fill="FFFFFF"/>
        <w:spacing w:before="0" w:beforeAutospacing="0" w:after="120" w:afterAutospacing="0"/>
        <w:ind w:left="1134"/>
        <w:jc w:val="both"/>
        <w:rPr>
          <w:color w:val="1E1E1E"/>
          <w:sz w:val="22"/>
          <w:szCs w:val="22"/>
        </w:rPr>
      </w:pPr>
      <w:r w:rsidRPr="005A2DC7">
        <w:rPr>
          <w:color w:val="1E1E1E"/>
          <w:sz w:val="22"/>
          <w:szCs w:val="22"/>
        </w:rPr>
        <w:t>it must give a notice of discontinuance to the person to whom the warning notice or decision notice was given.</w:t>
      </w:r>
    </w:p>
    <w:p w14:paraId="31889DD1" w14:textId="21DF571E" w:rsidR="00A90B58" w:rsidRPr="005A2DC7" w:rsidRDefault="00A90B58" w:rsidP="00464FC5">
      <w:pPr>
        <w:pStyle w:val="legclearfix"/>
        <w:shd w:val="clear" w:color="auto" w:fill="FFFFFF"/>
        <w:spacing w:before="0" w:beforeAutospacing="0" w:after="120" w:afterAutospacing="0"/>
        <w:ind w:left="1134"/>
        <w:rPr>
          <w:color w:val="1E1E1E"/>
          <w:sz w:val="22"/>
          <w:szCs w:val="22"/>
        </w:rPr>
      </w:pPr>
      <w:r w:rsidRPr="005A2DC7">
        <w:rPr>
          <w:color w:val="1E1E1E"/>
          <w:sz w:val="22"/>
          <w:szCs w:val="22"/>
        </w:rPr>
        <w:t>…</w:t>
      </w:r>
    </w:p>
    <w:p w14:paraId="611B287A" w14:textId="101DE129" w:rsidR="00A90B58" w:rsidRPr="005A2DC7" w:rsidRDefault="00A90B58" w:rsidP="00464FC5">
      <w:pPr>
        <w:pStyle w:val="legclearfix"/>
        <w:shd w:val="clear" w:color="auto" w:fill="FFFFFF"/>
        <w:spacing w:before="0" w:beforeAutospacing="0" w:after="120" w:afterAutospacing="0"/>
        <w:ind w:left="1134"/>
        <w:rPr>
          <w:color w:val="1E1E1E"/>
          <w:sz w:val="22"/>
          <w:szCs w:val="22"/>
        </w:rPr>
      </w:pPr>
      <w:r w:rsidRPr="005A2DC7">
        <w:rPr>
          <w:rStyle w:val="legds"/>
          <w:color w:val="1E1E1E"/>
          <w:sz w:val="22"/>
          <w:szCs w:val="22"/>
        </w:rPr>
        <w:t>(3) A notice of discontinuance must identify the proceedings which are being discontinued.</w:t>
      </w:r>
    </w:p>
    <w:p w14:paraId="0DC264AE" w14:textId="05CD8488" w:rsidR="00A90B58" w:rsidRDefault="00464FC5" w:rsidP="00DC7A90">
      <w:pPr>
        <w:pStyle w:val="Bodytexttax1"/>
      </w:pPr>
      <w:r>
        <w:t xml:space="preserve">The Applicant says that the Authority </w:t>
      </w:r>
      <w:r w:rsidR="00BA533D">
        <w:t xml:space="preserve">cannot discontinue enforcement proceedings in relation to the penalty without issuing </w:t>
      </w:r>
      <w:r w:rsidR="00C227E1">
        <w:t>a notice of discontinuance. It is also said that in the absence of a notice of discontinuance</w:t>
      </w:r>
      <w:r w:rsidR="00B426F2">
        <w:t xml:space="preserve">, the Tribunal has no power to consent to the proposed amendment to the statement of case. </w:t>
      </w:r>
      <w:r w:rsidR="00385467">
        <w:t>In the alternative, as a matter of discretion the Tribunal should refuse permission for the amendment because of the failure to follow</w:t>
      </w:r>
      <w:r w:rsidR="005E437E">
        <w:t xml:space="preserve"> section 389.</w:t>
      </w:r>
    </w:p>
    <w:p w14:paraId="22608A45" w14:textId="4574EB37" w:rsidR="005E437E" w:rsidRDefault="00934694" w:rsidP="00DC7A90">
      <w:pPr>
        <w:pStyle w:val="Bodytexttax1"/>
      </w:pPr>
      <w:r>
        <w:t xml:space="preserve">I </w:t>
      </w:r>
      <w:r w:rsidR="00F3512B">
        <w:t xml:space="preserve">agree with the Authority that </w:t>
      </w:r>
      <w:r w:rsidR="00A17696">
        <w:t xml:space="preserve">section 389, </w:t>
      </w:r>
      <w:r>
        <w:t>on its true construction</w:t>
      </w:r>
      <w:r w:rsidR="00A17696">
        <w:t xml:space="preserve">, requires the Authority to issue a notice of discontinuance </w:t>
      </w:r>
      <w:r w:rsidR="0078387A">
        <w:t>only where it decides not to take any action at all in relation to a decision notice.</w:t>
      </w:r>
      <w:r w:rsidR="00D565FE">
        <w:t xml:space="preserve"> In other words, where the proceedings are being discontinued in full.</w:t>
      </w:r>
      <w:r w:rsidR="006A0C29">
        <w:t xml:space="preserve"> </w:t>
      </w:r>
      <w:r w:rsidR="00B168E6">
        <w:t xml:space="preserve">The </w:t>
      </w:r>
      <w:r w:rsidR="004755C5">
        <w:t xml:space="preserve">section refers to </w:t>
      </w:r>
      <w:r w:rsidR="00763D59">
        <w:t>a decision by the Authority not to take “</w:t>
      </w:r>
      <w:r w:rsidR="00763D59" w:rsidRPr="00763D59">
        <w:rPr>
          <w:u w:val="single"/>
        </w:rPr>
        <w:t>the</w:t>
      </w:r>
      <w:r w:rsidR="00763D59">
        <w:t xml:space="preserve"> action” </w:t>
      </w:r>
      <w:r w:rsidR="0000516B">
        <w:t xml:space="preserve">to which the decision notice relates </w:t>
      </w:r>
      <w:r w:rsidR="004A14B0">
        <w:t>rather than “</w:t>
      </w:r>
      <w:r w:rsidR="004A14B0" w:rsidRPr="002875D1">
        <w:rPr>
          <w:u w:val="single"/>
        </w:rPr>
        <w:t>an</w:t>
      </w:r>
      <w:r w:rsidR="004A14B0">
        <w:t xml:space="preserve"> action”</w:t>
      </w:r>
      <w:r w:rsidR="00127A8C">
        <w:t xml:space="preserve">. That would be a </w:t>
      </w:r>
      <w:r w:rsidR="004A14B0">
        <w:t xml:space="preserve">more natural way of describing the position if the Applicant is right that </w:t>
      </w:r>
      <w:r w:rsidR="00127A8C">
        <w:t xml:space="preserve">a notice of discontinuance must be served if </w:t>
      </w:r>
      <w:r w:rsidR="00C5726E">
        <w:t>the Authority decides not to take one of the actions described in a decision notice whi</w:t>
      </w:r>
      <w:r w:rsidR="0041638B">
        <w:t xml:space="preserve">lst continuing with </w:t>
      </w:r>
      <w:r w:rsidR="00C5726E">
        <w:t>other actions</w:t>
      </w:r>
      <w:r w:rsidR="0041638B">
        <w:t xml:space="preserve"> described in the notice</w:t>
      </w:r>
      <w:r w:rsidR="00C5726E">
        <w:t>.</w:t>
      </w:r>
      <w:r w:rsidR="00CA6855">
        <w:t xml:space="preserve"> I also </w:t>
      </w:r>
      <w:proofErr w:type="gramStart"/>
      <w:r w:rsidR="00CA6855">
        <w:t>take into account</w:t>
      </w:r>
      <w:proofErr w:type="gramEnd"/>
      <w:r w:rsidR="00CA6855">
        <w:t xml:space="preserve"> that the provision appears under a heading “conclusion of proceedings” which </w:t>
      </w:r>
      <w:r w:rsidR="00EA7285">
        <w:t xml:space="preserve">at least </w:t>
      </w:r>
      <w:r w:rsidR="00CA6855">
        <w:t xml:space="preserve">suggests that </w:t>
      </w:r>
      <w:r w:rsidR="00AA1DDB">
        <w:t xml:space="preserve">it relates to decisions which have the effect of concluding not just one aspect of enforcement action being taken by the Authority but </w:t>
      </w:r>
      <w:r w:rsidR="00623462">
        <w:t xml:space="preserve">all the actions in a decision notice which may </w:t>
      </w:r>
      <w:r w:rsidR="00623462">
        <w:lastRenderedPageBreak/>
        <w:t>be said to comprise the proceedings.</w:t>
      </w:r>
      <w:r w:rsidR="00DC5597">
        <w:t xml:space="preserve"> In this case, whilst the Authority is not pursuing the </w:t>
      </w:r>
      <w:r w:rsidR="004F4859">
        <w:t>penalty, the proceedings will continue in relation to the prohibition referred to in the decision notice.</w:t>
      </w:r>
    </w:p>
    <w:p w14:paraId="5C9D1AD3" w14:textId="43A6BC9F" w:rsidR="008027C9" w:rsidRDefault="00BD0053" w:rsidP="00DC7A90">
      <w:pPr>
        <w:pStyle w:val="Bodytexttax1"/>
      </w:pPr>
      <w:r>
        <w:t xml:space="preserve">I do not </w:t>
      </w:r>
      <w:proofErr w:type="gramStart"/>
      <w:r>
        <w:t>consider  that</w:t>
      </w:r>
      <w:proofErr w:type="gramEnd"/>
      <w:r>
        <w:t xml:space="preserve"> this construction gives rise to any unfairness</w:t>
      </w:r>
      <w:r w:rsidR="0029641D">
        <w:t xml:space="preserve"> for </w:t>
      </w:r>
      <w:r w:rsidR="00C67C1A">
        <w:t xml:space="preserve">persons who are subject to enforcement action by way of decision notices. </w:t>
      </w:r>
      <w:r w:rsidR="00FA65FE">
        <w:t xml:space="preserve">The proceedings will effectively terminate if the Authority serves a notice of discontinuance, or </w:t>
      </w:r>
      <w:r w:rsidR="00F97465">
        <w:t>they will continue in respect of those actions which the Authority seeks to maintain by reference to the decision notice.</w:t>
      </w:r>
    </w:p>
    <w:p w14:paraId="356DBE97" w14:textId="181B7A47" w:rsidR="00BD0053" w:rsidRDefault="008027C9" w:rsidP="00DC7A90">
      <w:pPr>
        <w:pStyle w:val="Bodytexttax1"/>
      </w:pPr>
      <w:r>
        <w:t xml:space="preserve">The Applicant says that </w:t>
      </w:r>
      <w:r w:rsidR="007409BA">
        <w:t xml:space="preserve">the distinction is important in relation to how the Authority publicises </w:t>
      </w:r>
      <w:r w:rsidR="000C7E32">
        <w:t xml:space="preserve">a decision not to take the action specified in a decision notice. </w:t>
      </w:r>
      <w:r w:rsidR="008E6726">
        <w:t>Section 391 deals with publicity</w:t>
      </w:r>
      <w:r w:rsidR="00197196">
        <w:t>, both</w:t>
      </w:r>
      <w:r w:rsidR="008E6726">
        <w:t xml:space="preserve"> </w:t>
      </w:r>
      <w:r w:rsidR="00197196">
        <w:t>generally and specifically in relation to a notice of discontinuance:</w:t>
      </w:r>
    </w:p>
    <w:p w14:paraId="32942400" w14:textId="77777777" w:rsidR="00CF114E" w:rsidRPr="003514B7" w:rsidRDefault="00CF114E" w:rsidP="003514B7">
      <w:pPr>
        <w:pStyle w:val="Bodytexttax1"/>
        <w:numPr>
          <w:ilvl w:val="0"/>
          <w:numId w:val="0"/>
        </w:numPr>
        <w:ind w:left="425"/>
        <w:rPr>
          <w:rStyle w:val="legaddition"/>
          <w:b/>
          <w:bCs/>
          <w:color w:val="1E1E1E"/>
          <w:sz w:val="22"/>
          <w:szCs w:val="22"/>
        </w:rPr>
      </w:pPr>
      <w:r w:rsidRPr="003514B7">
        <w:rPr>
          <w:rStyle w:val="legaddition"/>
          <w:b/>
          <w:bCs/>
          <w:color w:val="1E1E1E"/>
          <w:sz w:val="22"/>
          <w:szCs w:val="22"/>
        </w:rPr>
        <w:t>391 Publication</w:t>
      </w:r>
    </w:p>
    <w:p w14:paraId="3E73A098" w14:textId="77777777" w:rsidR="00CF114E" w:rsidRPr="003514B7" w:rsidRDefault="00CF114E" w:rsidP="003514B7">
      <w:pPr>
        <w:pStyle w:val="Bodytexttax1"/>
        <w:numPr>
          <w:ilvl w:val="0"/>
          <w:numId w:val="0"/>
        </w:numPr>
        <w:ind w:left="425"/>
        <w:rPr>
          <w:rStyle w:val="legaddition"/>
          <w:color w:val="1E1E1E"/>
          <w:sz w:val="22"/>
          <w:szCs w:val="22"/>
        </w:rPr>
      </w:pPr>
      <w:r w:rsidRPr="003514B7">
        <w:rPr>
          <w:rStyle w:val="legaddition"/>
          <w:color w:val="1E1E1E"/>
          <w:sz w:val="22"/>
          <w:szCs w:val="22"/>
        </w:rPr>
        <w:t>…</w:t>
      </w:r>
    </w:p>
    <w:p w14:paraId="6A6F28D9" w14:textId="5C510143" w:rsidR="00197196" w:rsidRPr="003514B7" w:rsidRDefault="00197196" w:rsidP="003514B7">
      <w:pPr>
        <w:pStyle w:val="Bodytexttax1"/>
        <w:numPr>
          <w:ilvl w:val="0"/>
          <w:numId w:val="0"/>
        </w:numPr>
        <w:ind w:left="425"/>
        <w:rPr>
          <w:sz w:val="22"/>
          <w:szCs w:val="22"/>
        </w:rPr>
      </w:pPr>
      <w:r w:rsidRPr="003514B7">
        <w:rPr>
          <w:rStyle w:val="legaddition"/>
          <w:color w:val="1E1E1E"/>
          <w:sz w:val="22"/>
          <w:szCs w:val="22"/>
        </w:rPr>
        <w:t>(1A)</w:t>
      </w:r>
      <w:r w:rsidR="00CF114E" w:rsidRPr="003514B7">
        <w:rPr>
          <w:rStyle w:val="legaddition"/>
          <w:color w:val="1E1E1E"/>
          <w:sz w:val="22"/>
          <w:szCs w:val="22"/>
        </w:rPr>
        <w:t xml:space="preserve"> </w:t>
      </w:r>
      <w:r w:rsidRPr="003514B7">
        <w:rPr>
          <w:rStyle w:val="legaddition"/>
          <w:color w:val="1E1E1E"/>
          <w:sz w:val="22"/>
          <w:szCs w:val="22"/>
        </w:rPr>
        <w:t>A person to whom a decision notice is given or copied may not publish the notice or any details concerning it unless the </w:t>
      </w:r>
      <w:r w:rsidRPr="003514B7">
        <w:rPr>
          <w:rStyle w:val="legsubstitution"/>
          <w:color w:val="1E1E1E"/>
          <w:sz w:val="22"/>
          <w:szCs w:val="22"/>
        </w:rPr>
        <w:t>regulator giving the notice</w:t>
      </w:r>
      <w:r w:rsidRPr="003514B7">
        <w:rPr>
          <w:rStyle w:val="legaddition"/>
          <w:color w:val="1E1E1E"/>
          <w:sz w:val="22"/>
          <w:szCs w:val="22"/>
        </w:rPr>
        <w:t> has published the notice or those details.</w:t>
      </w:r>
    </w:p>
    <w:p w14:paraId="457F07CA" w14:textId="17B5D1B0" w:rsidR="00197196" w:rsidRPr="003514B7" w:rsidRDefault="00197196" w:rsidP="003514B7">
      <w:pPr>
        <w:pStyle w:val="Bodytexttax1"/>
        <w:numPr>
          <w:ilvl w:val="0"/>
          <w:numId w:val="0"/>
        </w:numPr>
        <w:ind w:left="425"/>
        <w:rPr>
          <w:sz w:val="22"/>
          <w:szCs w:val="22"/>
        </w:rPr>
      </w:pPr>
      <w:r w:rsidRPr="003514B7">
        <w:rPr>
          <w:rStyle w:val="legds"/>
          <w:color w:val="1E1E1E"/>
          <w:sz w:val="22"/>
          <w:szCs w:val="22"/>
        </w:rPr>
        <w:t>(2)</w:t>
      </w:r>
      <w:r w:rsidR="00CF114E" w:rsidRPr="003514B7">
        <w:rPr>
          <w:rStyle w:val="legds"/>
          <w:color w:val="1E1E1E"/>
          <w:sz w:val="22"/>
          <w:szCs w:val="22"/>
        </w:rPr>
        <w:t xml:space="preserve"> </w:t>
      </w:r>
      <w:r w:rsidRPr="003514B7">
        <w:rPr>
          <w:rStyle w:val="legds"/>
          <w:color w:val="1E1E1E"/>
          <w:sz w:val="22"/>
          <w:szCs w:val="22"/>
        </w:rPr>
        <w:t>A notice of discontinuance must state that, if the person to whom the notice is given consents, the</w:t>
      </w:r>
      <w:r w:rsidR="00CF114E" w:rsidRPr="003514B7">
        <w:rPr>
          <w:rStyle w:val="legds"/>
          <w:color w:val="1E1E1E"/>
          <w:sz w:val="22"/>
          <w:szCs w:val="22"/>
        </w:rPr>
        <w:t xml:space="preserve"> </w:t>
      </w:r>
      <w:r w:rsidRPr="003514B7">
        <w:rPr>
          <w:rStyle w:val="legsubstitution"/>
          <w:color w:val="1E1E1E"/>
          <w:sz w:val="22"/>
          <w:szCs w:val="22"/>
        </w:rPr>
        <w:t>regulator giving the notice</w:t>
      </w:r>
      <w:r w:rsidRPr="003514B7">
        <w:rPr>
          <w:rStyle w:val="legds"/>
          <w:color w:val="1E1E1E"/>
          <w:sz w:val="22"/>
          <w:szCs w:val="22"/>
        </w:rPr>
        <w:t> may publish such information as it considers appropriate about the matter to which the discontinued proceedings related.</w:t>
      </w:r>
    </w:p>
    <w:p w14:paraId="355AACFF" w14:textId="42AFA579" w:rsidR="00197196" w:rsidRPr="003514B7" w:rsidRDefault="00197196" w:rsidP="003514B7">
      <w:pPr>
        <w:pStyle w:val="Bodytexttax1"/>
        <w:numPr>
          <w:ilvl w:val="0"/>
          <w:numId w:val="0"/>
        </w:numPr>
        <w:ind w:left="425"/>
        <w:rPr>
          <w:sz w:val="22"/>
          <w:szCs w:val="22"/>
        </w:rPr>
      </w:pPr>
      <w:r w:rsidRPr="003514B7">
        <w:rPr>
          <w:rStyle w:val="legds"/>
          <w:color w:val="1E1E1E"/>
          <w:sz w:val="22"/>
          <w:szCs w:val="22"/>
        </w:rPr>
        <w:t>(3)</w:t>
      </w:r>
      <w:r w:rsidR="00CF114E" w:rsidRPr="003514B7">
        <w:rPr>
          <w:rStyle w:val="legds"/>
          <w:color w:val="1E1E1E"/>
          <w:sz w:val="22"/>
          <w:szCs w:val="22"/>
        </w:rPr>
        <w:t xml:space="preserve"> </w:t>
      </w:r>
      <w:r w:rsidRPr="003514B7">
        <w:rPr>
          <w:rStyle w:val="legds"/>
          <w:color w:val="1E1E1E"/>
          <w:sz w:val="22"/>
          <w:szCs w:val="22"/>
        </w:rPr>
        <w:t>A copy of a notice of discontinuance must be accompanied by a statement that, if the</w:t>
      </w:r>
      <w:r w:rsidR="003514B7" w:rsidRPr="003514B7">
        <w:rPr>
          <w:rStyle w:val="legds"/>
          <w:color w:val="1E1E1E"/>
          <w:sz w:val="22"/>
          <w:szCs w:val="22"/>
        </w:rPr>
        <w:t xml:space="preserve"> </w:t>
      </w:r>
      <w:r w:rsidRPr="003514B7">
        <w:rPr>
          <w:rStyle w:val="legds"/>
          <w:color w:val="1E1E1E"/>
          <w:sz w:val="22"/>
          <w:szCs w:val="22"/>
        </w:rPr>
        <w:t>person to whom the notice is copied consents, the </w:t>
      </w:r>
      <w:r w:rsidRPr="003514B7">
        <w:rPr>
          <w:rStyle w:val="legsubstitution"/>
          <w:color w:val="1E1E1E"/>
          <w:sz w:val="22"/>
          <w:szCs w:val="22"/>
        </w:rPr>
        <w:t>regulator giving the notice</w:t>
      </w:r>
      <w:r w:rsidRPr="003514B7">
        <w:rPr>
          <w:rStyle w:val="legds"/>
          <w:color w:val="1E1E1E"/>
          <w:sz w:val="22"/>
          <w:szCs w:val="22"/>
        </w:rPr>
        <w:t> may publish such information as it considers appropriate about the matter to which the discontinued proceedings related, so far as relevant to that person.</w:t>
      </w:r>
    </w:p>
    <w:p w14:paraId="72AB7997" w14:textId="0065DE32" w:rsidR="00197196" w:rsidRPr="003514B7" w:rsidRDefault="00197196" w:rsidP="003514B7">
      <w:pPr>
        <w:pStyle w:val="Bodytexttax1"/>
        <w:numPr>
          <w:ilvl w:val="0"/>
          <w:numId w:val="0"/>
        </w:numPr>
        <w:ind w:left="425"/>
        <w:rPr>
          <w:sz w:val="22"/>
          <w:szCs w:val="22"/>
        </w:rPr>
      </w:pPr>
      <w:r w:rsidRPr="003514B7">
        <w:rPr>
          <w:rStyle w:val="legds"/>
          <w:color w:val="1E1E1E"/>
          <w:sz w:val="22"/>
          <w:szCs w:val="22"/>
        </w:rPr>
        <w:t>(4)</w:t>
      </w:r>
      <w:r w:rsidR="003514B7" w:rsidRPr="003514B7">
        <w:rPr>
          <w:rStyle w:val="legsubstitution"/>
          <w:color w:val="1E1E1E"/>
          <w:sz w:val="22"/>
          <w:szCs w:val="22"/>
        </w:rPr>
        <w:t xml:space="preserve"> </w:t>
      </w:r>
      <w:r w:rsidRPr="003514B7">
        <w:rPr>
          <w:rStyle w:val="legsubstitution"/>
          <w:color w:val="1E1E1E"/>
          <w:sz w:val="22"/>
          <w:szCs w:val="22"/>
        </w:rPr>
        <w:t>The regulator giving a decision or final notice</w:t>
      </w:r>
      <w:r w:rsidRPr="003514B7">
        <w:rPr>
          <w:rStyle w:val="legds"/>
          <w:color w:val="1E1E1E"/>
          <w:sz w:val="22"/>
          <w:szCs w:val="22"/>
        </w:rPr>
        <w:t> must publish such information about the matter to which </w:t>
      </w:r>
      <w:r w:rsidRPr="003514B7">
        <w:rPr>
          <w:rStyle w:val="legsubstitution"/>
          <w:color w:val="1E1E1E"/>
          <w:sz w:val="22"/>
          <w:szCs w:val="22"/>
        </w:rPr>
        <w:t>the notice</w:t>
      </w:r>
      <w:r w:rsidRPr="003514B7">
        <w:rPr>
          <w:rStyle w:val="legds"/>
          <w:color w:val="1E1E1E"/>
          <w:sz w:val="22"/>
          <w:szCs w:val="22"/>
        </w:rPr>
        <w:t> relates as it considers appropriate.</w:t>
      </w:r>
    </w:p>
    <w:p w14:paraId="7E84680E" w14:textId="0FC3E01A" w:rsidR="000C14F8" w:rsidRDefault="00ED3302" w:rsidP="0080682A">
      <w:pPr>
        <w:pStyle w:val="Bodytexttax1"/>
      </w:pPr>
      <w:r>
        <w:t xml:space="preserve">I do not consider that the question of what is published in relation to a notice of discontinuance </w:t>
      </w:r>
      <w:r w:rsidR="00F17DA5">
        <w:t xml:space="preserve">has any bearing on how section 389 should be construed. </w:t>
      </w:r>
      <w:r w:rsidR="00844A01">
        <w:t xml:space="preserve">Where the Authority decides not to </w:t>
      </w:r>
      <w:r w:rsidR="000D3AFC">
        <w:t xml:space="preserve">take any of the action described in a decision notice, </w:t>
      </w:r>
      <w:r w:rsidR="004A369A">
        <w:t xml:space="preserve">then a notice of discontinuance must be issued and there is provision </w:t>
      </w:r>
      <w:r w:rsidR="000551E0">
        <w:t>in</w:t>
      </w:r>
      <w:r w:rsidR="004A369A">
        <w:t xml:space="preserve"> relation to publication</w:t>
      </w:r>
      <w:r w:rsidR="005F445B">
        <w:t xml:space="preserve">. If the decision is not to take some of the </w:t>
      </w:r>
      <w:proofErr w:type="gramStart"/>
      <w:r w:rsidR="005F445B">
        <w:t>action</w:t>
      </w:r>
      <w:proofErr w:type="gramEnd"/>
      <w:r w:rsidR="005F445B">
        <w:t xml:space="preserve"> then the proceedings will continue</w:t>
      </w:r>
      <w:r w:rsidR="00A57655">
        <w:t xml:space="preserve">. As I shall explain below, there can still be provision for publicity. There is no unfairness to the Applicant in </w:t>
      </w:r>
      <w:r w:rsidR="004B07A6">
        <w:t>relation to publicity on the Authority’s construction of section 389.</w:t>
      </w:r>
    </w:p>
    <w:p w14:paraId="2D7F8C1F" w14:textId="281F026B" w:rsidR="003D40B5" w:rsidRDefault="00896F60" w:rsidP="003D40B5">
      <w:pPr>
        <w:pStyle w:val="Bodytexttax1"/>
      </w:pPr>
      <w:r>
        <w:t xml:space="preserve">That is sufficient to </w:t>
      </w:r>
      <w:r w:rsidR="004B07A6">
        <w:t>address</w:t>
      </w:r>
      <w:r>
        <w:t xml:space="preserve"> the Applicant’s first objection. </w:t>
      </w:r>
      <w:r w:rsidR="00C47EA3">
        <w:t xml:space="preserve">The Authority </w:t>
      </w:r>
      <w:r>
        <w:t xml:space="preserve">also </w:t>
      </w:r>
      <w:r w:rsidR="00C47EA3">
        <w:t>submit</w:t>
      </w:r>
      <w:r>
        <w:t>ted</w:t>
      </w:r>
      <w:r w:rsidR="00C47EA3">
        <w:t xml:space="preserve"> in the alternative that</w:t>
      </w:r>
      <w:r>
        <w:t xml:space="preserve"> </w:t>
      </w:r>
      <w:r w:rsidR="003D40B5">
        <w:t xml:space="preserve">even if section 389 </w:t>
      </w:r>
      <w:r w:rsidR="00B55F34">
        <w:t xml:space="preserve">does </w:t>
      </w:r>
      <w:r w:rsidR="003D40B5">
        <w:t>require it to serve a notice of discontinuance, such a notice could only be served after the Tribunal had permitted the proposed amendments.</w:t>
      </w:r>
    </w:p>
    <w:p w14:paraId="3B59629E" w14:textId="41523052" w:rsidR="005E35B9" w:rsidRDefault="003D40B5" w:rsidP="003D40B5">
      <w:pPr>
        <w:pStyle w:val="Bodytexttax1"/>
      </w:pPr>
      <w:r>
        <w:t>It does not affect my conclusion on this aspect of the application, but I do not accept that submission.</w:t>
      </w:r>
      <w:r w:rsidR="00C47EA3">
        <w:t xml:space="preserve"> </w:t>
      </w:r>
      <w:r w:rsidR="00120A9B">
        <w:t xml:space="preserve">The provision states clearly that if </w:t>
      </w:r>
      <w:r w:rsidR="002C68AB">
        <w:t xml:space="preserve">the Authority decides not to take the action described in a decision </w:t>
      </w:r>
      <w:proofErr w:type="gramStart"/>
      <w:r w:rsidR="002C68AB">
        <w:t>notice</w:t>
      </w:r>
      <w:proofErr w:type="gramEnd"/>
      <w:r w:rsidR="002C68AB">
        <w:t xml:space="preserve"> then it “must” serve a notice of discontinuance. There is no suggestion that </w:t>
      </w:r>
      <w:r w:rsidR="00710902">
        <w:t>the position is any different where the decision notice has been referred to the Tribunal.</w:t>
      </w:r>
    </w:p>
    <w:p w14:paraId="73766FEB" w14:textId="2CE1662C" w:rsidR="00782B24" w:rsidRDefault="00782B24" w:rsidP="003D40B5">
      <w:pPr>
        <w:pStyle w:val="Bodytexttax1"/>
      </w:pPr>
      <w:r>
        <w:t xml:space="preserve">The Authority </w:t>
      </w:r>
      <w:r w:rsidR="00246343">
        <w:t>also submitted that once a decision notice had been referred to the Tribunal</w:t>
      </w:r>
      <w:r w:rsidR="00327D0A">
        <w:t xml:space="preserve">, the Tribunal assumed sole responsibility for determining what if any action ought to be taken in relation to the matter. </w:t>
      </w:r>
      <w:r w:rsidR="00BF5F35">
        <w:t>It relied on sect</w:t>
      </w:r>
      <w:r>
        <w:t xml:space="preserve">ion 133(5) FSMA 2000 which provides that </w:t>
      </w:r>
      <w:r w:rsidR="00D0304E">
        <w:t xml:space="preserve">on a disciplinary reference (such as a penalty), </w:t>
      </w:r>
      <w:r w:rsidR="001A6F2A">
        <w:t xml:space="preserve">the Tribunal must determine what action it is appropriate for the decision-maker </w:t>
      </w:r>
      <w:r w:rsidR="001A6F2A">
        <w:lastRenderedPageBreak/>
        <w:t>to take</w:t>
      </w:r>
      <w:r w:rsidR="009D0F4D">
        <w:t xml:space="preserve"> and remit the matter to the decision-</w:t>
      </w:r>
      <w:proofErr w:type="spellStart"/>
      <w:r w:rsidR="009D0F4D">
        <w:t>make</w:t>
      </w:r>
      <w:proofErr w:type="spellEnd"/>
      <w:r w:rsidR="009D0F4D">
        <w:t xml:space="preserve"> with appropriate directions. </w:t>
      </w:r>
      <w:r w:rsidR="006C6193">
        <w:t xml:space="preserve">Unilateral service of a notice of discontinuance would </w:t>
      </w:r>
      <w:r w:rsidR="003E6303">
        <w:t>usurp the role of the Tribunal.</w:t>
      </w:r>
    </w:p>
    <w:p w14:paraId="73E6682E" w14:textId="22B3709C" w:rsidR="00C47EA3" w:rsidRDefault="003E6303" w:rsidP="00C23034">
      <w:pPr>
        <w:pStyle w:val="Bodytexttax1"/>
      </w:pPr>
      <w:r>
        <w:t>I do not accept that submission.</w:t>
      </w:r>
      <w:r w:rsidR="00BD0BCA">
        <w:t xml:space="preserve"> </w:t>
      </w:r>
      <w:r w:rsidR="008738B7">
        <w:t xml:space="preserve">In circumstances where </w:t>
      </w:r>
      <w:r w:rsidR="00BD0BCA">
        <w:t>a</w:t>
      </w:r>
      <w:r w:rsidR="008738B7">
        <w:t xml:space="preserve"> decision notice has been referred to the Tribunal, </w:t>
      </w:r>
      <w:r w:rsidR="00DD7083">
        <w:t>Rule 17 of the Tribunal Procedure (Upper Tribunal) Rules</w:t>
      </w:r>
      <w:r w:rsidR="00941E55">
        <w:t xml:space="preserve"> 2008 makes separate provision for any party, including the Authority, to withdraw </w:t>
      </w:r>
      <w:r w:rsidR="00F46289">
        <w:t xml:space="preserve">its case before the Tribunal or any part of its </w:t>
      </w:r>
      <w:r w:rsidR="0053570E">
        <w:t>case:</w:t>
      </w:r>
    </w:p>
    <w:p w14:paraId="72E36AA4" w14:textId="02FC9B44" w:rsidR="0053570E" w:rsidRPr="00794952" w:rsidRDefault="0053570E" w:rsidP="00794952">
      <w:pPr>
        <w:pStyle w:val="Bodytexttax1"/>
        <w:numPr>
          <w:ilvl w:val="0"/>
          <w:numId w:val="0"/>
        </w:numPr>
        <w:ind w:left="567"/>
        <w:rPr>
          <w:b/>
          <w:bCs/>
          <w:sz w:val="22"/>
          <w:szCs w:val="22"/>
        </w:rPr>
      </w:pPr>
      <w:r w:rsidRPr="00794952">
        <w:rPr>
          <w:b/>
          <w:bCs/>
          <w:sz w:val="22"/>
          <w:szCs w:val="22"/>
        </w:rPr>
        <w:t>Withdrawal</w:t>
      </w:r>
    </w:p>
    <w:p w14:paraId="73D9B164" w14:textId="60E8D253" w:rsidR="0053570E" w:rsidRPr="00794952" w:rsidRDefault="0053570E" w:rsidP="00794952">
      <w:pPr>
        <w:pStyle w:val="Bodytexttax1"/>
        <w:numPr>
          <w:ilvl w:val="0"/>
          <w:numId w:val="0"/>
        </w:numPr>
        <w:ind w:left="567"/>
        <w:rPr>
          <w:sz w:val="22"/>
          <w:szCs w:val="22"/>
        </w:rPr>
      </w:pPr>
      <w:r w:rsidRPr="00794952">
        <w:rPr>
          <w:sz w:val="22"/>
          <w:szCs w:val="22"/>
        </w:rPr>
        <w:t xml:space="preserve">17(1) Subject to paragraph (2), a party may give notice of the withdrawal of its case, or any part of it — </w:t>
      </w:r>
    </w:p>
    <w:p w14:paraId="01774C28" w14:textId="77777777" w:rsidR="0053570E" w:rsidRPr="00794952" w:rsidRDefault="0053570E" w:rsidP="00794952">
      <w:pPr>
        <w:pStyle w:val="Bodytexttax1"/>
        <w:numPr>
          <w:ilvl w:val="0"/>
          <w:numId w:val="0"/>
        </w:numPr>
        <w:ind w:left="1134"/>
        <w:rPr>
          <w:sz w:val="22"/>
          <w:szCs w:val="22"/>
        </w:rPr>
      </w:pPr>
      <w:r w:rsidRPr="00794952">
        <w:rPr>
          <w:sz w:val="22"/>
          <w:szCs w:val="22"/>
        </w:rPr>
        <w:t xml:space="preserve">(a) by sending or delivering to the Upper Tribunal a written notice of withdrawal; or </w:t>
      </w:r>
    </w:p>
    <w:p w14:paraId="58B153B3" w14:textId="77777777" w:rsidR="0053570E" w:rsidRPr="00794952" w:rsidRDefault="0053570E" w:rsidP="00794952">
      <w:pPr>
        <w:pStyle w:val="Bodytexttax1"/>
        <w:numPr>
          <w:ilvl w:val="0"/>
          <w:numId w:val="0"/>
        </w:numPr>
        <w:ind w:left="1134"/>
        <w:rPr>
          <w:sz w:val="22"/>
          <w:szCs w:val="22"/>
        </w:rPr>
      </w:pPr>
      <w:r w:rsidRPr="00794952">
        <w:rPr>
          <w:sz w:val="22"/>
          <w:szCs w:val="22"/>
        </w:rPr>
        <w:t xml:space="preserve">(b) orally at a hearing. </w:t>
      </w:r>
    </w:p>
    <w:p w14:paraId="5A07C199" w14:textId="38B7D4C0" w:rsidR="0053570E" w:rsidRPr="00794952" w:rsidRDefault="0053570E" w:rsidP="00794952">
      <w:pPr>
        <w:pStyle w:val="Bodytexttax1"/>
        <w:numPr>
          <w:ilvl w:val="0"/>
          <w:numId w:val="0"/>
        </w:numPr>
        <w:ind w:left="567"/>
        <w:rPr>
          <w:sz w:val="22"/>
          <w:szCs w:val="22"/>
        </w:rPr>
      </w:pPr>
      <w:r w:rsidRPr="00794952">
        <w:rPr>
          <w:sz w:val="22"/>
          <w:szCs w:val="22"/>
        </w:rPr>
        <w:t xml:space="preserve">(2) Notice of withdrawal will not take effect unless the Upper Tribunal consents to the withdrawal except in relation to an application for permission to appeal. </w:t>
      </w:r>
    </w:p>
    <w:p w14:paraId="770B93F2" w14:textId="250055EB" w:rsidR="0053570E" w:rsidRPr="00794952" w:rsidRDefault="00587291" w:rsidP="00794952">
      <w:pPr>
        <w:pStyle w:val="Bodytexttax1"/>
        <w:numPr>
          <w:ilvl w:val="0"/>
          <w:numId w:val="0"/>
        </w:numPr>
        <w:ind w:left="567"/>
        <w:rPr>
          <w:sz w:val="22"/>
          <w:szCs w:val="22"/>
        </w:rPr>
      </w:pPr>
      <w:r w:rsidRPr="00794952">
        <w:rPr>
          <w:sz w:val="22"/>
          <w:szCs w:val="22"/>
        </w:rPr>
        <w:t>…</w:t>
      </w:r>
    </w:p>
    <w:p w14:paraId="7F16B210" w14:textId="5A027A1B" w:rsidR="0053570E" w:rsidRDefault="0053570E" w:rsidP="00794952">
      <w:pPr>
        <w:pStyle w:val="Bodytexttax1"/>
        <w:numPr>
          <w:ilvl w:val="0"/>
          <w:numId w:val="0"/>
        </w:numPr>
        <w:ind w:left="567"/>
      </w:pPr>
      <w:r w:rsidRPr="00794952">
        <w:rPr>
          <w:sz w:val="22"/>
          <w:szCs w:val="22"/>
        </w:rPr>
        <w:t>(5) The Upper Tribunal must notify each party in writing that a withdrawal has taken effect under this rule.</w:t>
      </w:r>
    </w:p>
    <w:p w14:paraId="5DBBBEC3" w14:textId="692AE44E" w:rsidR="00C41209" w:rsidRDefault="00827004" w:rsidP="00DC7A90">
      <w:pPr>
        <w:pStyle w:val="Bodytexttax1"/>
      </w:pPr>
      <w:r>
        <w:t xml:space="preserve">It seems to me that in </w:t>
      </w:r>
      <w:r w:rsidR="007D3A92">
        <w:t>withdrawing the penalty, the Authority is seeking to withdraw part of its case o</w:t>
      </w:r>
      <w:r w:rsidR="007C4C93">
        <w:t xml:space="preserve">n this reference. </w:t>
      </w:r>
      <w:r w:rsidR="00F67C2A">
        <w:t>The Authority did not reference Rule 17 in its application</w:t>
      </w:r>
      <w:r w:rsidR="00A8394C">
        <w:t xml:space="preserve">, </w:t>
      </w:r>
      <w:r w:rsidR="00637EA1">
        <w:t>and</w:t>
      </w:r>
      <w:r w:rsidR="00F67C2A">
        <w:t xml:space="preserve"> </w:t>
      </w:r>
      <w:r w:rsidR="007C4C93">
        <w:t xml:space="preserve">I agree with the Applicant that the Authority should have given a notice of withdrawal at the same time as applying to </w:t>
      </w:r>
      <w:r w:rsidR="009837F6">
        <w:t>amend its statement of case.</w:t>
      </w:r>
      <w:r w:rsidR="005C4E6B">
        <w:t xml:space="preserve"> </w:t>
      </w:r>
      <w:r w:rsidR="00637EA1">
        <w:t>It would then be a matter for the Tribunal</w:t>
      </w:r>
      <w:r w:rsidR="00473F85">
        <w:t xml:space="preserve"> whether it should consent to the withdraw</w:t>
      </w:r>
      <w:r w:rsidR="00EB543D">
        <w:t>al</w:t>
      </w:r>
      <w:r w:rsidR="00473F85">
        <w:t>. In</w:t>
      </w:r>
      <w:r w:rsidR="005C4E6B">
        <w:t xml:space="preserve"> practical terms</w:t>
      </w:r>
      <w:r w:rsidR="00473F85">
        <w:t>, however,</w:t>
      </w:r>
      <w:r w:rsidR="005C4E6B">
        <w:t xml:space="preserve"> </w:t>
      </w:r>
      <w:r w:rsidR="00094636">
        <w:t>no prejudice flows from the Authority’s failure to give notice of withdrawal of its case on the penalty.</w:t>
      </w:r>
      <w:r w:rsidR="00F112E1">
        <w:t xml:space="preserve"> The Authority requires permission from the Tribunal to amend its statement of case. </w:t>
      </w:r>
      <w:r w:rsidR="007D634D">
        <w:t xml:space="preserve">It also requires consent from the Tribunal to withdraw its case on the penalty. On the facts of this case, there is no reason to think that </w:t>
      </w:r>
      <w:r w:rsidR="00913043">
        <w:t xml:space="preserve">different factors would be relevant to the Tribunal’s discretion </w:t>
      </w:r>
      <w:r w:rsidR="004E2193">
        <w:t>on each procedure.</w:t>
      </w:r>
      <w:r w:rsidR="000D7E61">
        <w:t xml:space="preserve"> They would stand or fall together.</w:t>
      </w:r>
    </w:p>
    <w:p w14:paraId="4441378B" w14:textId="6A293FDC" w:rsidR="00C04739" w:rsidRDefault="00C04739" w:rsidP="00DC7A90">
      <w:pPr>
        <w:pStyle w:val="Bodytexttax1"/>
      </w:pPr>
      <w:r>
        <w:t xml:space="preserve">In </w:t>
      </w:r>
      <w:r w:rsidR="002660F3">
        <w:t>summary,</w:t>
      </w:r>
      <w:r>
        <w:t xml:space="preserve"> where </w:t>
      </w:r>
      <w:r w:rsidR="00064A74">
        <w:t xml:space="preserve">the Authority decides not to take any action </w:t>
      </w:r>
      <w:r w:rsidR="00692B2F">
        <w:t xml:space="preserve">in relation to a decision notice, it must serve a notice of discontinuance under section 389. It should at the same time serve a notice of withdrawal under </w:t>
      </w:r>
      <w:r w:rsidR="00D5206A">
        <w:t>Rule 17. The Tribunal will then consider whether to consent to the withdrawal</w:t>
      </w:r>
      <w:r w:rsidR="003B6F1C">
        <w:t>.</w:t>
      </w:r>
    </w:p>
    <w:p w14:paraId="7E31E52D" w14:textId="6B2007BF" w:rsidR="00BF4CF2" w:rsidRDefault="002660F3" w:rsidP="00DC7A90">
      <w:pPr>
        <w:pStyle w:val="Bodytexttax1"/>
      </w:pPr>
      <w:r>
        <w:t>T</w:t>
      </w:r>
      <w:r w:rsidR="008826B9">
        <w:t xml:space="preserve">he Authority </w:t>
      </w:r>
      <w:r w:rsidR="003B6F1C">
        <w:t xml:space="preserve">in the present proceedings </w:t>
      </w:r>
      <w:r>
        <w:t xml:space="preserve">should therefore </w:t>
      </w:r>
      <w:r w:rsidR="00CD5297">
        <w:t>serve a notice of withdrawal of its case on the penalty</w:t>
      </w:r>
      <w:r w:rsidR="0053640D">
        <w:t xml:space="preserve"> pursuant to Rule 17</w:t>
      </w:r>
      <w:r w:rsidR="00DE222A">
        <w:t xml:space="preserve">. </w:t>
      </w:r>
      <w:r w:rsidR="00A91599">
        <w:t xml:space="preserve">I hereby direct that </w:t>
      </w:r>
      <w:r w:rsidR="00DE222A">
        <w:t xml:space="preserve">should be done within 7 days of the date </w:t>
      </w:r>
      <w:r w:rsidR="00A91599">
        <w:t xml:space="preserve">on which </w:t>
      </w:r>
      <w:r w:rsidR="00DE222A">
        <w:t>this decision</w:t>
      </w:r>
      <w:r w:rsidR="00A91599">
        <w:t xml:space="preserve"> is released</w:t>
      </w:r>
      <w:r w:rsidR="00DE222A">
        <w:t>.</w:t>
      </w:r>
    </w:p>
    <w:p w14:paraId="04E8BAFE" w14:textId="1F0D6D1F" w:rsidR="00D74819" w:rsidRDefault="008C595D" w:rsidP="00D74819">
      <w:pPr>
        <w:pStyle w:val="Bodytexttax1"/>
      </w:pPr>
      <w:r>
        <w:t>Turning to t</w:t>
      </w:r>
      <w:r w:rsidR="00D333EC">
        <w:t>he Applicant’s second objection</w:t>
      </w:r>
      <w:r w:rsidR="00837348">
        <w:t>, he contends that the Authority ha</w:t>
      </w:r>
      <w:r w:rsidR="00A91599">
        <w:t>s</w:t>
      </w:r>
      <w:r w:rsidR="00837348">
        <w:t xml:space="preserve"> not </w:t>
      </w:r>
      <w:r w:rsidR="00F6182D">
        <w:t>followed its own policy in relation to the publication of notices of discontinuance</w:t>
      </w:r>
      <w:r w:rsidR="00D333EC">
        <w:t xml:space="preserve">. </w:t>
      </w:r>
      <w:r w:rsidR="006A0802">
        <w:t>At the time of the application, t</w:t>
      </w:r>
      <w:r w:rsidR="00DD3456">
        <w:t xml:space="preserve">he Authority’s </w:t>
      </w:r>
      <w:r w:rsidR="00F6182D">
        <w:t>H</w:t>
      </w:r>
      <w:r w:rsidR="00DD3456">
        <w:t>andbook state</w:t>
      </w:r>
      <w:r w:rsidR="006A0802">
        <w:t>d</w:t>
      </w:r>
      <w:r w:rsidR="00DD3456">
        <w:t xml:space="preserve"> as follows at EG 6.2.</w:t>
      </w:r>
      <w:r w:rsidR="002E3789">
        <w:t>16 and 6.2.</w:t>
      </w:r>
      <w:r w:rsidR="00DD3456">
        <w:t>19:</w:t>
      </w:r>
    </w:p>
    <w:p w14:paraId="7361A0C5" w14:textId="2F0781B2" w:rsidR="00D74819" w:rsidRPr="00D74819" w:rsidRDefault="00D74819" w:rsidP="00172613">
      <w:pPr>
        <w:pStyle w:val="Bodytexttax1"/>
        <w:numPr>
          <w:ilvl w:val="0"/>
          <w:numId w:val="0"/>
        </w:numPr>
        <w:ind w:left="425"/>
        <w:rPr>
          <w:sz w:val="22"/>
          <w:szCs w:val="22"/>
          <w:shd w:val="clear" w:color="auto" w:fill="FFFFFF"/>
        </w:rPr>
      </w:pPr>
      <w:r w:rsidRPr="00D74819">
        <w:rPr>
          <w:sz w:val="22"/>
          <w:szCs w:val="22"/>
          <w:shd w:val="clear" w:color="auto" w:fill="FFFFFF"/>
        </w:rPr>
        <w:t>6.2.16 Publishing notices is important to ensure the transparency of </w:t>
      </w:r>
      <w:hyperlink r:id="rId12" w:history="1">
        <w:r w:rsidRPr="00D74819">
          <w:rPr>
            <w:rStyle w:val="Hyperlink"/>
            <w:color w:val="auto"/>
            <w:sz w:val="22"/>
            <w:szCs w:val="22"/>
            <w:u w:val="none"/>
            <w:bdr w:val="none" w:sz="0" w:space="0" w:color="auto" w:frame="1"/>
            <w:shd w:val="clear" w:color="auto" w:fill="FFFFFF"/>
          </w:rPr>
          <w:t>FCA</w:t>
        </w:r>
      </w:hyperlink>
      <w:r w:rsidRPr="00D74819">
        <w:rPr>
          <w:sz w:val="22"/>
          <w:szCs w:val="22"/>
          <w:shd w:val="clear" w:color="auto" w:fill="FFFFFF"/>
        </w:rPr>
        <w:t> decision-making; it informs the public and helps to maximise the deterrent effect of enforcement action. The </w:t>
      </w:r>
      <w:hyperlink r:id="rId13" w:history="1">
        <w:r w:rsidRPr="00D74819">
          <w:rPr>
            <w:rStyle w:val="Hyperlink"/>
            <w:color w:val="auto"/>
            <w:sz w:val="22"/>
            <w:szCs w:val="22"/>
            <w:u w:val="none"/>
            <w:bdr w:val="none" w:sz="0" w:space="0" w:color="auto" w:frame="1"/>
            <w:shd w:val="clear" w:color="auto" w:fill="FFFFFF"/>
          </w:rPr>
          <w:t>FCA</w:t>
        </w:r>
      </w:hyperlink>
      <w:r w:rsidRPr="00D74819">
        <w:rPr>
          <w:sz w:val="22"/>
          <w:szCs w:val="22"/>
          <w:shd w:val="clear" w:color="auto" w:fill="FFFFFF"/>
        </w:rPr>
        <w:t> will upon request review warning notice statements, </w:t>
      </w:r>
      <w:hyperlink r:id="rId14" w:history="1">
        <w:r w:rsidRPr="00D74819">
          <w:rPr>
            <w:rStyle w:val="Hyperlink"/>
            <w:color w:val="auto"/>
            <w:sz w:val="22"/>
            <w:szCs w:val="22"/>
            <w:u w:val="none"/>
            <w:bdr w:val="none" w:sz="0" w:space="0" w:color="auto" w:frame="1"/>
            <w:shd w:val="clear" w:color="auto" w:fill="FFFFFF"/>
          </w:rPr>
          <w:t>decision notices</w:t>
        </w:r>
      </w:hyperlink>
      <w:r w:rsidRPr="00D74819">
        <w:rPr>
          <w:sz w:val="22"/>
          <w:szCs w:val="22"/>
          <w:shd w:val="clear" w:color="auto" w:fill="FFFFFF"/>
        </w:rPr>
        <w:t>, </w:t>
      </w:r>
      <w:hyperlink r:id="rId15" w:history="1">
        <w:r w:rsidRPr="00D74819">
          <w:rPr>
            <w:rStyle w:val="Hyperlink"/>
            <w:color w:val="auto"/>
            <w:sz w:val="22"/>
            <w:szCs w:val="22"/>
            <w:u w:val="none"/>
            <w:bdr w:val="none" w:sz="0" w:space="0" w:color="auto" w:frame="1"/>
            <w:shd w:val="clear" w:color="auto" w:fill="FFFFFF"/>
          </w:rPr>
          <w:t>final notices</w:t>
        </w:r>
      </w:hyperlink>
      <w:r w:rsidRPr="00D74819">
        <w:rPr>
          <w:sz w:val="22"/>
          <w:szCs w:val="22"/>
          <w:shd w:val="clear" w:color="auto" w:fill="FFFFFF"/>
        </w:rPr>
        <w:t> and related press releases that are published on the </w:t>
      </w:r>
      <w:hyperlink r:id="rId16" w:history="1">
        <w:r w:rsidRPr="00D74819">
          <w:rPr>
            <w:rStyle w:val="Hyperlink"/>
            <w:color w:val="auto"/>
            <w:sz w:val="22"/>
            <w:szCs w:val="22"/>
            <w:u w:val="none"/>
            <w:bdr w:val="none" w:sz="0" w:space="0" w:color="auto" w:frame="1"/>
            <w:shd w:val="clear" w:color="auto" w:fill="FFFFFF"/>
          </w:rPr>
          <w:t>FCA's</w:t>
        </w:r>
      </w:hyperlink>
      <w:r w:rsidRPr="00D74819">
        <w:rPr>
          <w:sz w:val="22"/>
          <w:szCs w:val="22"/>
          <w:shd w:val="clear" w:color="auto" w:fill="FFFFFF"/>
        </w:rPr>
        <w:t> website. The </w:t>
      </w:r>
      <w:hyperlink r:id="rId17" w:history="1">
        <w:r w:rsidRPr="00D74819">
          <w:rPr>
            <w:rStyle w:val="Hyperlink"/>
            <w:color w:val="auto"/>
            <w:sz w:val="22"/>
            <w:szCs w:val="22"/>
            <w:u w:val="none"/>
            <w:bdr w:val="none" w:sz="0" w:space="0" w:color="auto" w:frame="1"/>
            <w:shd w:val="clear" w:color="auto" w:fill="FFFFFF"/>
          </w:rPr>
          <w:t>FCA</w:t>
        </w:r>
      </w:hyperlink>
      <w:r w:rsidRPr="00D74819">
        <w:rPr>
          <w:sz w:val="22"/>
          <w:szCs w:val="22"/>
          <w:shd w:val="clear" w:color="auto" w:fill="FFFFFF"/>
        </w:rPr>
        <w:t> will determine at that time whether continued publication is appropriate, or whether notices and publicity should be removed or amended.</w:t>
      </w:r>
    </w:p>
    <w:p w14:paraId="05DFE421" w14:textId="1728C91A" w:rsidR="00DD3456" w:rsidRPr="00172613" w:rsidRDefault="00D74819" w:rsidP="00172613">
      <w:pPr>
        <w:pStyle w:val="Bodytexttax1"/>
        <w:numPr>
          <w:ilvl w:val="0"/>
          <w:numId w:val="0"/>
        </w:numPr>
        <w:ind w:left="425"/>
        <w:rPr>
          <w:sz w:val="22"/>
          <w:szCs w:val="22"/>
        </w:rPr>
      </w:pPr>
      <w:r>
        <w:rPr>
          <w:sz w:val="22"/>
          <w:szCs w:val="22"/>
          <w:shd w:val="clear" w:color="auto" w:fill="FFFFFF"/>
        </w:rPr>
        <w:t xml:space="preserve">6.2.19 </w:t>
      </w:r>
      <w:r w:rsidR="006A0802" w:rsidRPr="00172613">
        <w:rPr>
          <w:sz w:val="22"/>
          <w:szCs w:val="22"/>
          <w:shd w:val="clear" w:color="auto" w:fill="FFFFFF"/>
        </w:rPr>
        <w:t>In cases where the </w:t>
      </w:r>
      <w:hyperlink r:id="rId18" w:history="1">
        <w:r w:rsidR="006A0802" w:rsidRPr="00172613">
          <w:rPr>
            <w:rStyle w:val="Hyperlink"/>
            <w:color w:val="auto"/>
            <w:sz w:val="22"/>
            <w:szCs w:val="22"/>
            <w:u w:val="none"/>
            <w:bdr w:val="none" w:sz="0" w:space="0" w:color="auto" w:frame="1"/>
            <w:shd w:val="clear" w:color="auto" w:fill="FFFFFF"/>
          </w:rPr>
          <w:t>FCA</w:t>
        </w:r>
      </w:hyperlink>
      <w:r w:rsidR="006A0802" w:rsidRPr="00172613">
        <w:rPr>
          <w:sz w:val="22"/>
          <w:szCs w:val="22"/>
          <w:shd w:val="clear" w:color="auto" w:fill="FFFFFF"/>
        </w:rPr>
        <w:t> publishes a warning notice statement and the </w:t>
      </w:r>
      <w:hyperlink r:id="rId19" w:history="1">
        <w:r w:rsidR="006A0802" w:rsidRPr="00172613">
          <w:rPr>
            <w:rStyle w:val="Hyperlink"/>
            <w:color w:val="auto"/>
            <w:sz w:val="22"/>
            <w:szCs w:val="22"/>
            <w:u w:val="none"/>
            <w:bdr w:val="none" w:sz="0" w:space="0" w:color="auto" w:frame="1"/>
            <w:shd w:val="clear" w:color="auto" w:fill="FFFFFF"/>
          </w:rPr>
          <w:t>FCA</w:t>
        </w:r>
      </w:hyperlink>
      <w:r w:rsidR="006A0802" w:rsidRPr="00172613">
        <w:rPr>
          <w:sz w:val="22"/>
          <w:szCs w:val="22"/>
          <w:shd w:val="clear" w:color="auto" w:fill="FFFFFF"/>
        </w:rPr>
        <w:t> subsequently decides not to take any further action, or where it publishes a </w:t>
      </w:r>
      <w:hyperlink r:id="rId20" w:history="1">
        <w:r w:rsidR="006A0802" w:rsidRPr="00172613">
          <w:rPr>
            <w:rStyle w:val="Hyperlink"/>
            <w:color w:val="auto"/>
            <w:sz w:val="22"/>
            <w:szCs w:val="22"/>
            <w:u w:val="none"/>
            <w:bdr w:val="none" w:sz="0" w:space="0" w:color="auto" w:frame="1"/>
            <w:shd w:val="clear" w:color="auto" w:fill="FFFFFF"/>
          </w:rPr>
          <w:t>decision notice</w:t>
        </w:r>
      </w:hyperlink>
      <w:r w:rsidR="006A0802" w:rsidRPr="00172613">
        <w:rPr>
          <w:sz w:val="22"/>
          <w:szCs w:val="22"/>
          <w:shd w:val="clear" w:color="auto" w:fill="FFFFFF"/>
        </w:rPr>
        <w:t xml:space="preserve"> and the subject of enforcement action </w:t>
      </w:r>
      <w:r w:rsidR="006A0802" w:rsidRPr="00172613">
        <w:rPr>
          <w:sz w:val="22"/>
          <w:szCs w:val="22"/>
          <w:shd w:val="clear" w:color="auto" w:fill="FFFFFF"/>
        </w:rPr>
        <w:lastRenderedPageBreak/>
        <w:t>successfully refers the matter to the </w:t>
      </w:r>
      <w:hyperlink r:id="rId21" w:history="1">
        <w:r w:rsidR="006A0802" w:rsidRPr="00172613">
          <w:rPr>
            <w:rStyle w:val="Hyperlink"/>
            <w:color w:val="auto"/>
            <w:sz w:val="22"/>
            <w:szCs w:val="22"/>
            <w:u w:val="none"/>
            <w:bdr w:val="none" w:sz="0" w:space="0" w:color="auto" w:frame="1"/>
            <w:shd w:val="clear" w:color="auto" w:fill="FFFFFF"/>
          </w:rPr>
          <w:t>Tribunal,</w:t>
        </w:r>
      </w:hyperlink>
      <w:r w:rsidR="006A0802" w:rsidRPr="00172613">
        <w:rPr>
          <w:sz w:val="22"/>
          <w:szCs w:val="22"/>
          <w:shd w:val="clear" w:color="auto" w:fill="FFFFFF"/>
        </w:rPr>
        <w:t> the </w:t>
      </w:r>
      <w:hyperlink r:id="rId22" w:history="1">
        <w:r w:rsidR="006A0802" w:rsidRPr="00172613">
          <w:rPr>
            <w:rStyle w:val="Hyperlink"/>
            <w:color w:val="auto"/>
            <w:sz w:val="22"/>
            <w:szCs w:val="22"/>
            <w:u w:val="none"/>
            <w:bdr w:val="none" w:sz="0" w:space="0" w:color="auto" w:frame="1"/>
            <w:shd w:val="clear" w:color="auto" w:fill="FFFFFF"/>
          </w:rPr>
          <w:t>FCA</w:t>
        </w:r>
      </w:hyperlink>
      <w:r w:rsidR="006A0802" w:rsidRPr="00172613">
        <w:rPr>
          <w:sz w:val="22"/>
          <w:szCs w:val="22"/>
          <w:shd w:val="clear" w:color="auto" w:fill="FFFFFF"/>
        </w:rPr>
        <w:t> will make it clear on its website that the </w:t>
      </w:r>
      <w:hyperlink r:id="rId23" w:history="1">
        <w:r w:rsidR="006A0802" w:rsidRPr="00172613">
          <w:rPr>
            <w:rStyle w:val="Hyperlink"/>
            <w:color w:val="auto"/>
            <w:sz w:val="22"/>
            <w:szCs w:val="22"/>
            <w:u w:val="none"/>
            <w:bdr w:val="none" w:sz="0" w:space="0" w:color="auto" w:frame="1"/>
            <w:shd w:val="clear" w:color="auto" w:fill="FFFFFF"/>
          </w:rPr>
          <w:t>warning notice</w:t>
        </w:r>
      </w:hyperlink>
      <w:r w:rsidR="006A0802" w:rsidRPr="00172613">
        <w:rPr>
          <w:sz w:val="22"/>
          <w:szCs w:val="22"/>
          <w:shd w:val="clear" w:color="auto" w:fill="FFFFFF"/>
        </w:rPr>
        <w:t> or the </w:t>
      </w:r>
      <w:hyperlink r:id="rId24" w:history="1">
        <w:r w:rsidR="006A0802" w:rsidRPr="00172613">
          <w:rPr>
            <w:rStyle w:val="Hyperlink"/>
            <w:color w:val="auto"/>
            <w:sz w:val="22"/>
            <w:szCs w:val="22"/>
            <w:u w:val="none"/>
            <w:bdr w:val="none" w:sz="0" w:space="0" w:color="auto" w:frame="1"/>
            <w:shd w:val="clear" w:color="auto" w:fill="FFFFFF"/>
          </w:rPr>
          <w:t>decision notice</w:t>
        </w:r>
      </w:hyperlink>
      <w:r w:rsidR="006A0802" w:rsidRPr="00172613">
        <w:rPr>
          <w:sz w:val="22"/>
          <w:szCs w:val="22"/>
          <w:shd w:val="clear" w:color="auto" w:fill="FFFFFF"/>
        </w:rPr>
        <w:t> no longer applies. The </w:t>
      </w:r>
      <w:hyperlink r:id="rId25" w:history="1">
        <w:r w:rsidR="006A0802" w:rsidRPr="00172613">
          <w:rPr>
            <w:rStyle w:val="Hyperlink"/>
            <w:color w:val="auto"/>
            <w:sz w:val="22"/>
            <w:szCs w:val="22"/>
            <w:u w:val="none"/>
            <w:bdr w:val="none" w:sz="0" w:space="0" w:color="auto" w:frame="1"/>
            <w:shd w:val="clear" w:color="auto" w:fill="FFFFFF"/>
          </w:rPr>
          <w:t>FCA</w:t>
        </w:r>
      </w:hyperlink>
      <w:r w:rsidR="006A0802" w:rsidRPr="00172613">
        <w:rPr>
          <w:sz w:val="22"/>
          <w:szCs w:val="22"/>
          <w:shd w:val="clear" w:color="auto" w:fill="FFFFFF"/>
        </w:rPr>
        <w:t> will normally do this by publishing a </w:t>
      </w:r>
      <w:hyperlink r:id="rId26" w:history="1">
        <w:r w:rsidR="006A0802" w:rsidRPr="00172613">
          <w:rPr>
            <w:rStyle w:val="Hyperlink"/>
            <w:color w:val="auto"/>
            <w:sz w:val="22"/>
            <w:szCs w:val="22"/>
            <w:u w:val="none"/>
            <w:bdr w:val="none" w:sz="0" w:space="0" w:color="auto" w:frame="1"/>
            <w:shd w:val="clear" w:color="auto" w:fill="FFFFFF"/>
          </w:rPr>
          <w:t>notice of discontinuance</w:t>
        </w:r>
      </w:hyperlink>
      <w:r w:rsidR="006A0802" w:rsidRPr="00172613">
        <w:rPr>
          <w:sz w:val="22"/>
          <w:szCs w:val="22"/>
          <w:shd w:val="clear" w:color="auto" w:fill="FFFFFF"/>
        </w:rPr>
        <w:t> with the consent of the </w:t>
      </w:r>
      <w:hyperlink r:id="rId27" w:history="1">
        <w:r w:rsidR="006A0802" w:rsidRPr="00172613">
          <w:rPr>
            <w:rStyle w:val="Hyperlink"/>
            <w:color w:val="auto"/>
            <w:sz w:val="22"/>
            <w:szCs w:val="22"/>
            <w:u w:val="none"/>
            <w:bdr w:val="none" w:sz="0" w:space="0" w:color="auto" w:frame="1"/>
            <w:shd w:val="clear" w:color="auto" w:fill="FFFFFF"/>
          </w:rPr>
          <w:t>person</w:t>
        </w:r>
      </w:hyperlink>
      <w:r w:rsidR="006A0802" w:rsidRPr="00172613">
        <w:rPr>
          <w:sz w:val="22"/>
          <w:szCs w:val="22"/>
          <w:shd w:val="clear" w:color="auto" w:fill="FFFFFF"/>
        </w:rPr>
        <w:t> to whom the </w:t>
      </w:r>
      <w:hyperlink r:id="rId28" w:history="1">
        <w:r w:rsidR="006A0802" w:rsidRPr="00172613">
          <w:rPr>
            <w:rStyle w:val="Hyperlink"/>
            <w:color w:val="auto"/>
            <w:sz w:val="22"/>
            <w:szCs w:val="22"/>
            <w:u w:val="none"/>
            <w:bdr w:val="none" w:sz="0" w:space="0" w:color="auto" w:frame="1"/>
            <w:shd w:val="clear" w:color="auto" w:fill="FFFFFF"/>
          </w:rPr>
          <w:t>notice of discontinuance</w:t>
        </w:r>
      </w:hyperlink>
      <w:r w:rsidR="006A0802" w:rsidRPr="00172613">
        <w:rPr>
          <w:sz w:val="22"/>
          <w:szCs w:val="22"/>
          <w:shd w:val="clear" w:color="auto" w:fill="FFFFFF"/>
        </w:rPr>
        <w:t> has been copied.</w:t>
      </w:r>
    </w:p>
    <w:p w14:paraId="689869B9" w14:textId="0637434B" w:rsidR="00CB0645" w:rsidRDefault="005E437E" w:rsidP="00804951">
      <w:pPr>
        <w:pStyle w:val="Bodytexttax1"/>
      </w:pPr>
      <w:r>
        <w:t xml:space="preserve">The Applicant says that </w:t>
      </w:r>
      <w:r w:rsidR="00B92D63">
        <w:t xml:space="preserve">the Authority has </w:t>
      </w:r>
      <w:r w:rsidR="00DE5DEB">
        <w:t>not made clear on its website that it is discontinuing the penalty</w:t>
      </w:r>
      <w:r w:rsidR="003850E2">
        <w:t xml:space="preserve"> proceedings, nor has it sought the Applicant’s prior consent to publish a notice of discontinuance.</w:t>
      </w:r>
      <w:r w:rsidR="00AD131D">
        <w:t xml:space="preserve"> In applying for permission to amend its statement of case, the Authority is </w:t>
      </w:r>
      <w:r w:rsidR="00340CD8">
        <w:t>seeking to circumvent its own policy.</w:t>
      </w:r>
      <w:r w:rsidR="00CB0645">
        <w:t xml:space="preserve"> </w:t>
      </w:r>
      <w:r w:rsidR="005C166E">
        <w:t>The Applicant also says that the Authority has not complied with its obligations in relation to publication and consents in section 391(2).</w:t>
      </w:r>
    </w:p>
    <w:p w14:paraId="4A55733E" w14:textId="77777777" w:rsidR="00F30AC4" w:rsidRDefault="00F30AC4" w:rsidP="00F30AC4">
      <w:pPr>
        <w:pStyle w:val="Bodytexttax1"/>
      </w:pPr>
      <w:r>
        <w:t>The Authority says that the policy described in its Handbook is not engaged because the decision notice has not been successfully referred to the Tribunal. However, it acknowledges in the application that if it is permitted to amend its statement of case and if directed it will issue a further decision notice seeking only to impose a prohibition and will publish an update reflecting the change.</w:t>
      </w:r>
    </w:p>
    <w:p w14:paraId="1BF75BB4" w14:textId="1A5600E2" w:rsidR="005C166E" w:rsidRDefault="00CB0645" w:rsidP="00804951">
      <w:pPr>
        <w:pStyle w:val="Bodytexttax1"/>
      </w:pPr>
      <w:r>
        <w:t>F</w:t>
      </w:r>
      <w:r w:rsidR="005C166E">
        <w:t>or the reasons given above, there is no obligation on the Authority to issue a notice of discontinuance and therefore section 391(2) is not engaged.  Nor does the Tribunal have a supervisory jurisdiction in relation to the Authority’s application of its policy</w:t>
      </w:r>
      <w:r w:rsidR="00B82ADC">
        <w:t xml:space="preserve"> on publication of notices</w:t>
      </w:r>
      <w:r w:rsidR="00A01802">
        <w:t xml:space="preserve"> and whether previously published details should be amended</w:t>
      </w:r>
      <w:r w:rsidR="005C166E">
        <w:t>.</w:t>
      </w:r>
    </w:p>
    <w:p w14:paraId="37F7E5CE" w14:textId="77777777" w:rsidR="00B770C8" w:rsidRDefault="00FB566F" w:rsidP="00DC7A90">
      <w:pPr>
        <w:pStyle w:val="Bodytexttax1"/>
      </w:pPr>
      <w:r>
        <w:t xml:space="preserve">Whilst the Tribunal </w:t>
      </w:r>
      <w:r w:rsidR="00211BBC">
        <w:t xml:space="preserve">does not have any general supervisory power over the </w:t>
      </w:r>
      <w:r w:rsidR="007454D3">
        <w:t xml:space="preserve">Authority’s </w:t>
      </w:r>
      <w:r w:rsidR="009B1660">
        <w:t>enforcement actions</w:t>
      </w:r>
      <w:r>
        <w:t xml:space="preserve">, </w:t>
      </w:r>
      <w:r w:rsidR="00AB4EAE">
        <w:t xml:space="preserve">there is no reason why the Tribunal should not, in appropriate circumstances, require the Authority to publish </w:t>
      </w:r>
      <w:r w:rsidR="00C11EF9">
        <w:t>details of a withdrawal under Rule 17</w:t>
      </w:r>
      <w:r w:rsidR="001322F9">
        <w:t xml:space="preserve">. Effectively, that would be a condition of granting consent pursuant to Rule 17(2). </w:t>
      </w:r>
      <w:r w:rsidR="007A749C">
        <w:t>It seems to me that</w:t>
      </w:r>
      <w:r w:rsidR="006D6694">
        <w:t xml:space="preserve"> in exercising power </w:t>
      </w:r>
      <w:r w:rsidR="00475DD3">
        <w:t xml:space="preserve">to consent </w:t>
      </w:r>
      <w:r w:rsidR="006818DB">
        <w:t xml:space="preserve">under Rule 17(2) it would be in </w:t>
      </w:r>
      <w:r w:rsidR="007A749C">
        <w:t xml:space="preserve">accordance with the overriding objective of dealing with cases </w:t>
      </w:r>
      <w:r w:rsidR="006818DB">
        <w:t xml:space="preserve">fairly and justly </w:t>
      </w:r>
      <w:r w:rsidR="008C6B58">
        <w:t xml:space="preserve">to require the Authority </w:t>
      </w:r>
      <w:r w:rsidR="002C7DE1">
        <w:t xml:space="preserve">in this case </w:t>
      </w:r>
      <w:r w:rsidR="008C6B58">
        <w:t xml:space="preserve">to undertake to publish </w:t>
      </w:r>
      <w:r w:rsidR="00273E26">
        <w:t>its decision not to pursue the penalty as a condition for granting consent to the withdrawal of that aspect of its case.</w:t>
      </w:r>
    </w:p>
    <w:p w14:paraId="64D05717" w14:textId="0F365CFF" w:rsidR="00812C9E" w:rsidRDefault="00812C9E" w:rsidP="00DC7A90">
      <w:pPr>
        <w:pStyle w:val="Bodytexttax1"/>
      </w:pPr>
      <w:r>
        <w:t xml:space="preserve">The </w:t>
      </w:r>
      <w:r w:rsidR="001650E7">
        <w:t>Applicant’s third objection is that the proposed amendments are inconsistent</w:t>
      </w:r>
      <w:r w:rsidR="006163D7">
        <w:t xml:space="preserve"> because </w:t>
      </w:r>
      <w:r w:rsidR="009F299A">
        <w:t xml:space="preserve">allegations of </w:t>
      </w:r>
      <w:r w:rsidR="006163D7">
        <w:t xml:space="preserve">a failure to act with integrity and honesty </w:t>
      </w:r>
      <w:r w:rsidR="009F299A">
        <w:t xml:space="preserve">have been removed in </w:t>
      </w:r>
      <w:r w:rsidR="006163D7">
        <w:t>some parts of the statement of case</w:t>
      </w:r>
      <w:r w:rsidR="009F299A">
        <w:t xml:space="preserve"> but not all. </w:t>
      </w:r>
      <w:r w:rsidR="00C84D30">
        <w:t xml:space="preserve">I do not </w:t>
      </w:r>
      <w:r w:rsidR="00117853">
        <w:t>consider that objection is well-founde</w:t>
      </w:r>
      <w:r w:rsidR="00E91A81">
        <w:t>d</w:t>
      </w:r>
      <w:r w:rsidR="00C84D30">
        <w:t>. The Authority clearly relies on allegations of failure to act with integrity and honesty in relation to the prohibition</w:t>
      </w:r>
      <w:r w:rsidR="00C15D11">
        <w:t>. Those allegations remain in the amended statement of case.</w:t>
      </w:r>
    </w:p>
    <w:p w14:paraId="5513178A" w14:textId="75CC8321" w:rsidR="00F33689" w:rsidRDefault="00F33689" w:rsidP="00DC7A90">
      <w:pPr>
        <w:pStyle w:val="Bodytexttax1"/>
      </w:pPr>
      <w:r>
        <w:t xml:space="preserve">Overall, I am satisfied that it </w:t>
      </w:r>
      <w:r w:rsidR="00B12ED9">
        <w:t xml:space="preserve">would be </w:t>
      </w:r>
      <w:r w:rsidR="00107403">
        <w:t xml:space="preserve">consistent </w:t>
      </w:r>
      <w:r>
        <w:t xml:space="preserve">with the overriding objective to grant permission to </w:t>
      </w:r>
      <w:r w:rsidR="00107403">
        <w:t xml:space="preserve">the Authority to </w:t>
      </w:r>
      <w:r>
        <w:t xml:space="preserve">amend </w:t>
      </w:r>
      <w:r w:rsidR="00107403">
        <w:t xml:space="preserve">its statement of case in accordance with the draft </w:t>
      </w:r>
      <w:r w:rsidR="00B12ED9">
        <w:t xml:space="preserve">annexed to the application. The Authority should </w:t>
      </w:r>
      <w:r w:rsidR="00A52220">
        <w:t xml:space="preserve">lodge its notice of withdrawal pursuant to Rule 17(2) together with the undertaking referred to above within 7 days. </w:t>
      </w:r>
      <w:r w:rsidR="00E91A81">
        <w:t>The permission to amend shall take effect when consent is expressly granted</w:t>
      </w:r>
      <w:r w:rsidR="004108F0">
        <w:t xml:space="preserve"> by the Tribunal pursuant to Rule 17(2).</w:t>
      </w:r>
      <w:r w:rsidR="00B12ED9">
        <w:t xml:space="preserve"> </w:t>
      </w:r>
      <w:r>
        <w:t xml:space="preserve"> </w:t>
      </w:r>
    </w:p>
    <w:p w14:paraId="352654C9" w14:textId="11337379" w:rsidR="009D1BA4" w:rsidRDefault="009D1BA4" w:rsidP="009D1BA4">
      <w:pPr>
        <w:pStyle w:val="Heading1"/>
      </w:pPr>
      <w:r>
        <w:t>Amendment of the preliminary issue</w:t>
      </w:r>
    </w:p>
    <w:p w14:paraId="2A190437" w14:textId="2F038F58" w:rsidR="007D3D9D" w:rsidRDefault="00C8543B" w:rsidP="009D1BA4">
      <w:pPr>
        <w:pStyle w:val="Bodytexttax1"/>
      </w:pPr>
      <w:r>
        <w:t xml:space="preserve"> </w:t>
      </w:r>
      <w:r w:rsidR="009D1BA4">
        <w:tab/>
      </w:r>
      <w:r w:rsidR="009D1BA4">
        <w:tab/>
      </w:r>
      <w:r w:rsidR="007732D7">
        <w:t>This part of my decision should be read together with my decision to direct a preliminary issue</w:t>
      </w:r>
      <w:r w:rsidR="007D3D9D">
        <w:t>, published with neutral citation [202</w:t>
      </w:r>
      <w:r w:rsidR="005010D8">
        <w:t>5</w:t>
      </w:r>
      <w:r w:rsidR="007D3D9D">
        <w:t xml:space="preserve">] UKUT </w:t>
      </w:r>
      <w:r w:rsidR="005010D8">
        <w:t xml:space="preserve">00034 </w:t>
      </w:r>
      <w:r w:rsidR="007D3D9D">
        <w:t>(TCC).</w:t>
      </w:r>
    </w:p>
    <w:p w14:paraId="3BF7C658" w14:textId="7C18B312" w:rsidR="0007758F" w:rsidRDefault="009D1BA4" w:rsidP="009D1BA4">
      <w:pPr>
        <w:pStyle w:val="Bodytexttax1"/>
      </w:pPr>
      <w:r>
        <w:t xml:space="preserve">The </w:t>
      </w:r>
      <w:r w:rsidR="00A66B82">
        <w:t>A</w:t>
      </w:r>
      <w:r>
        <w:t xml:space="preserve">pplicant says that </w:t>
      </w:r>
      <w:r w:rsidR="003157DC">
        <w:t>the Authority’s decision not to pursue the penalty does not affect the scope of the preliminary issue</w:t>
      </w:r>
      <w:r w:rsidR="00520D28">
        <w:t xml:space="preserve"> even </w:t>
      </w:r>
      <w:r w:rsidR="004A0BC3">
        <w:t>if permission is granted to amend the statement of case</w:t>
      </w:r>
      <w:r w:rsidR="002A52EF">
        <w:t>.</w:t>
      </w:r>
      <w:r w:rsidR="002D7429">
        <w:t xml:space="preserve"> That is because the Applicant’s referral </w:t>
      </w:r>
      <w:r w:rsidR="009A1FA0">
        <w:t>and his reply to the Authority’s statement of case alleges that</w:t>
      </w:r>
      <w:r w:rsidR="00466946">
        <w:t xml:space="preserve"> the Authority discriminated against him in initiating and continuing </w:t>
      </w:r>
      <w:r w:rsidR="00584398">
        <w:t>the enforcement proceedings, including proceedings for the penalty.</w:t>
      </w:r>
      <w:r w:rsidR="003027C5">
        <w:t xml:space="preserve"> It remains the Applicant’s case that </w:t>
      </w:r>
      <w:r w:rsidR="009C1F8C">
        <w:t>the Authority breached the Equality Act 2010</w:t>
      </w:r>
      <w:r w:rsidR="008A4ED1">
        <w:t xml:space="preserve"> </w:t>
      </w:r>
      <w:r w:rsidR="003027C5">
        <w:t xml:space="preserve">by imposing the penalty and </w:t>
      </w:r>
      <w:r w:rsidR="004108F0">
        <w:t>in</w:t>
      </w:r>
      <w:r w:rsidR="009C1F8C">
        <w:t xml:space="preserve"> maintaining the penalty</w:t>
      </w:r>
      <w:r w:rsidR="008A4ED1">
        <w:t xml:space="preserve">. </w:t>
      </w:r>
      <w:r w:rsidR="00CB7302">
        <w:t xml:space="preserve">The discrimination alleged in relation to the penalty is not “undone” by the Authority’s decision not to pursue the penalty. </w:t>
      </w:r>
      <w:r w:rsidR="008A4ED1">
        <w:t xml:space="preserve">The </w:t>
      </w:r>
      <w:r w:rsidR="008A4ED1">
        <w:lastRenderedPageBreak/>
        <w:t xml:space="preserve">Tribunal will still have to determine as part of the reference </w:t>
      </w:r>
      <w:r w:rsidR="00A47430">
        <w:t>whether the Authority breached section 53 Equality Act</w:t>
      </w:r>
      <w:r w:rsidR="00CB7302">
        <w:t xml:space="preserve"> in this regard.</w:t>
      </w:r>
      <w:r w:rsidR="00A47430">
        <w:t xml:space="preserve"> </w:t>
      </w:r>
      <w:r w:rsidR="009C1F8C">
        <w:t xml:space="preserve"> </w:t>
      </w:r>
    </w:p>
    <w:p w14:paraId="3CB0F49B" w14:textId="0F8840F8" w:rsidR="00FF2F11" w:rsidRDefault="00B63BEB" w:rsidP="009D1BA4">
      <w:pPr>
        <w:pStyle w:val="Bodytexttax1"/>
      </w:pPr>
      <w:r>
        <w:t xml:space="preserve">In considering this application I shall assume that </w:t>
      </w:r>
      <w:r w:rsidR="006B1EB7">
        <w:t>per</w:t>
      </w:r>
      <w:r w:rsidR="00F81E30">
        <w:t xml:space="preserve">mission to amend </w:t>
      </w:r>
      <w:r w:rsidR="006B1EB7">
        <w:t xml:space="preserve">the Authority’s </w:t>
      </w:r>
      <w:r w:rsidR="00F81E30">
        <w:t xml:space="preserve">statement of case </w:t>
      </w:r>
      <w:r w:rsidR="006B1EB7">
        <w:t xml:space="preserve">has taken effect </w:t>
      </w:r>
      <w:r w:rsidR="00F81E30">
        <w:t xml:space="preserve">and </w:t>
      </w:r>
      <w:r w:rsidR="003E0EBE">
        <w:t xml:space="preserve">the Tribunal has </w:t>
      </w:r>
      <w:r w:rsidR="00F81E30">
        <w:t>consent</w:t>
      </w:r>
      <w:r w:rsidR="003E0EBE">
        <w:t>ed</w:t>
      </w:r>
      <w:r w:rsidR="00F81E30">
        <w:t xml:space="preserve"> to </w:t>
      </w:r>
      <w:r w:rsidR="003E0EBE">
        <w:t xml:space="preserve">the </w:t>
      </w:r>
      <w:r w:rsidR="00F81E30">
        <w:t>withdraw</w:t>
      </w:r>
      <w:r w:rsidR="003E0EBE">
        <w:t>al of</w:t>
      </w:r>
      <w:r w:rsidR="00F81E30">
        <w:t xml:space="preserve"> its case on the penalty.</w:t>
      </w:r>
      <w:r w:rsidR="00E57B94">
        <w:t xml:space="preserve"> </w:t>
      </w:r>
    </w:p>
    <w:p w14:paraId="6F18D8D6" w14:textId="77777777" w:rsidR="00122344" w:rsidRDefault="00E57B94" w:rsidP="009D1BA4">
      <w:pPr>
        <w:pStyle w:val="Bodytexttax1"/>
      </w:pPr>
      <w:r>
        <w:t xml:space="preserve">On the basis that the </w:t>
      </w:r>
      <w:r w:rsidR="00A66B82">
        <w:t>Authority is not pursuing the penalty</w:t>
      </w:r>
      <w:r>
        <w:t>,</w:t>
      </w:r>
      <w:r w:rsidR="00A66B82">
        <w:t xml:space="preserve"> it cannot be said that it is subjecting the Applicant to a detriment</w:t>
      </w:r>
      <w:r>
        <w:t xml:space="preserve"> which falls within section </w:t>
      </w:r>
      <w:r w:rsidR="006B68E9">
        <w:t>53(2)</w:t>
      </w:r>
      <w:r w:rsidR="0069722D">
        <w:t>(c)</w:t>
      </w:r>
      <w:r w:rsidR="006B68E9">
        <w:t xml:space="preserve"> Equality Act 2010</w:t>
      </w:r>
      <w:r w:rsidR="00D96C37">
        <w:t xml:space="preserve"> in relation to the penalty</w:t>
      </w:r>
      <w:r w:rsidR="006B68E9">
        <w:t>.</w:t>
      </w:r>
      <w:r w:rsidR="00FF2F11">
        <w:t xml:space="preserve"> </w:t>
      </w:r>
      <w:r w:rsidR="00CA711C">
        <w:t>It may be the case that it had sought to subject the Applicant to a detriment</w:t>
      </w:r>
      <w:r w:rsidR="0044039A">
        <w:t>, but that is now historical.</w:t>
      </w:r>
      <w:r w:rsidR="00F51C92">
        <w:t xml:space="preserve"> Unless the penalty is part of the proceedings, the Tribunal would have no jurisdiction to </w:t>
      </w:r>
      <w:r w:rsidR="00565A2E">
        <w:t xml:space="preserve">consider whether there had been a </w:t>
      </w:r>
      <w:r w:rsidR="005200FF">
        <w:t xml:space="preserve">breach of the Authority’s obligations </w:t>
      </w:r>
      <w:r w:rsidR="00630A84">
        <w:t xml:space="preserve">under </w:t>
      </w:r>
      <w:r w:rsidR="005200FF">
        <w:t>section 53(2)</w:t>
      </w:r>
      <w:r w:rsidR="00723E15">
        <w:t>(c)</w:t>
      </w:r>
      <w:r w:rsidR="00D96C37">
        <w:t xml:space="preserve"> in respect of the penalty</w:t>
      </w:r>
      <w:r w:rsidR="00FC23CB">
        <w:t xml:space="preserve">. The Tribunal has no freestanding jurisdiction under the Equality Act 2010 or otherwise to </w:t>
      </w:r>
      <w:r w:rsidR="00315D4E">
        <w:t>consider whether there has been a breach</w:t>
      </w:r>
      <w:r w:rsidR="004B05E8">
        <w:t xml:space="preserve">, to provide </w:t>
      </w:r>
      <w:r w:rsidR="006A104C">
        <w:t xml:space="preserve">a remedy </w:t>
      </w:r>
      <w:r w:rsidR="004B05E8">
        <w:t xml:space="preserve">for any breach </w:t>
      </w:r>
      <w:r w:rsidR="006A104C">
        <w:t xml:space="preserve">or </w:t>
      </w:r>
      <w:r w:rsidR="005366F3">
        <w:t xml:space="preserve">to </w:t>
      </w:r>
      <w:r w:rsidR="00315D4E">
        <w:t xml:space="preserve">make any declaration </w:t>
      </w:r>
      <w:r w:rsidR="006A104C">
        <w:t>in that regard.</w:t>
      </w:r>
      <w:r w:rsidR="00A73B45">
        <w:t xml:space="preserve"> I agree with the Authority that </w:t>
      </w:r>
      <w:r w:rsidR="00A168DE">
        <w:t>whether the Authority was acting as a “Qualifications Body” within section 5</w:t>
      </w:r>
      <w:r w:rsidR="002332CF">
        <w:t>4</w:t>
      </w:r>
      <w:r w:rsidR="00A168DE">
        <w:t xml:space="preserve"> in seeking to impose a </w:t>
      </w:r>
      <w:r w:rsidR="00CC39B1">
        <w:t>penalty</w:t>
      </w:r>
      <w:r w:rsidR="00140FA5">
        <w:t>,</w:t>
      </w:r>
      <w:r w:rsidR="00CC39B1">
        <w:t xml:space="preserve"> which it is now not pursuing</w:t>
      </w:r>
      <w:r w:rsidR="00140FA5">
        <w:t>,</w:t>
      </w:r>
      <w:r w:rsidR="00CC39B1">
        <w:t xml:space="preserve"> would be irrelevant to the question of whether it was acting as such </w:t>
      </w:r>
      <w:r w:rsidR="00140FA5">
        <w:t>and in breach of section 53(2)</w:t>
      </w:r>
      <w:r w:rsidR="00D96C37">
        <w:t xml:space="preserve"> </w:t>
      </w:r>
      <w:r w:rsidR="00CC39B1">
        <w:t xml:space="preserve">in </w:t>
      </w:r>
      <w:r w:rsidR="00723E15">
        <w:t>deciding to impose a prohibition.</w:t>
      </w:r>
      <w:r w:rsidR="00562C8F">
        <w:t xml:space="preserve"> </w:t>
      </w:r>
    </w:p>
    <w:p w14:paraId="7C563A99" w14:textId="7E074528" w:rsidR="002A52EF" w:rsidRDefault="00562C8F" w:rsidP="009D1BA4">
      <w:pPr>
        <w:pStyle w:val="Bodytexttax1"/>
      </w:pPr>
      <w:r>
        <w:t xml:space="preserve">I did not appreciate, until a draft of this decision was circulated to the parties, that </w:t>
      </w:r>
      <w:r w:rsidR="00122344">
        <w:t xml:space="preserve">if section 53 is engaged then the parties agree that a prohibition amounts to a detriment within section 53(2)(c) as well as the withdrawal of a qualification within section 53(2)(a). I amended paragraph 32 accordingly, but those amendments do not affect my reasoning.  </w:t>
      </w:r>
      <w:r>
        <w:t xml:space="preserve"> </w:t>
      </w:r>
    </w:p>
    <w:p w14:paraId="79DCDF5C" w14:textId="37E629F6" w:rsidR="001B7D04" w:rsidRDefault="003C108D" w:rsidP="00586724">
      <w:pPr>
        <w:pStyle w:val="Bodytexttax1"/>
      </w:pPr>
      <w:r>
        <w:t xml:space="preserve">The Applicant says this is </w:t>
      </w:r>
      <w:r w:rsidR="00B01054">
        <w:t>an “entirely conventional discrimination claim” and there is nothing hypothetical about i</w:t>
      </w:r>
      <w:r w:rsidR="004E625B">
        <w:t xml:space="preserve">t. I do not accept that submission. </w:t>
      </w:r>
      <w:r w:rsidR="00B57FE7">
        <w:t xml:space="preserve">In my view the question of whether the Applicant </w:t>
      </w:r>
      <w:r w:rsidR="00236322">
        <w:t xml:space="preserve">was acting as a “Qualifications Body” within </w:t>
      </w:r>
      <w:r w:rsidR="000551E0">
        <w:t xml:space="preserve">the meaning of </w:t>
      </w:r>
      <w:r w:rsidR="00236322">
        <w:t>section 5</w:t>
      </w:r>
      <w:r w:rsidR="00A948A2">
        <w:t>4</w:t>
      </w:r>
      <w:r w:rsidR="00236322">
        <w:t xml:space="preserve"> in seeking to impose a penalty is now of academic interest only</w:t>
      </w:r>
      <w:r w:rsidR="0091732A">
        <w:t xml:space="preserve"> in these proceedings</w:t>
      </w:r>
      <w:r w:rsidR="00236322">
        <w:t>.</w:t>
      </w:r>
      <w:r w:rsidR="00B92F25">
        <w:t xml:space="preserve"> </w:t>
      </w:r>
      <w:r w:rsidR="00A22637">
        <w:t xml:space="preserve">There is no </w:t>
      </w:r>
      <w:r w:rsidR="008524FC">
        <w:t xml:space="preserve">good reason to </w:t>
      </w:r>
      <w:r w:rsidR="00821763">
        <w:t>determin</w:t>
      </w:r>
      <w:r w:rsidR="008524FC">
        <w:t>e</w:t>
      </w:r>
      <w:r w:rsidR="00821763">
        <w:t xml:space="preserve"> </w:t>
      </w:r>
      <w:r w:rsidR="00F41F8E">
        <w:t>an</w:t>
      </w:r>
      <w:r w:rsidR="00821763">
        <w:t xml:space="preserve"> issue</w:t>
      </w:r>
      <w:r w:rsidR="00F41F8E">
        <w:t xml:space="preserve"> that has no relevance to the continuing proceedings against the prohibition</w:t>
      </w:r>
      <w:r w:rsidR="00821763">
        <w:t>.</w:t>
      </w:r>
    </w:p>
    <w:p w14:paraId="41234464" w14:textId="6CCB4447" w:rsidR="007A4939" w:rsidRDefault="007A4939" w:rsidP="009D1BA4">
      <w:pPr>
        <w:pStyle w:val="Bodytexttax1"/>
      </w:pPr>
      <w:r>
        <w:t xml:space="preserve">The Applicant says that </w:t>
      </w:r>
      <w:r w:rsidR="00F63C1D">
        <w:t xml:space="preserve">the past conduct of the Authority is bound to be relevant in determining whether the present reference is justified. I can accept that </w:t>
      </w:r>
      <w:r w:rsidR="008915A1">
        <w:t xml:space="preserve">if the Applicant is successful on the preliminary issue </w:t>
      </w:r>
      <w:r w:rsidR="00B45214">
        <w:t xml:space="preserve">in relation to the prohibition, then in establishing discrimination it may be that evidence of discrimination in relation to the penalty </w:t>
      </w:r>
      <w:r w:rsidR="003A5681">
        <w:t xml:space="preserve">is </w:t>
      </w:r>
      <w:r w:rsidR="00B45214">
        <w:t xml:space="preserve">relevant. However, that does not mean that </w:t>
      </w:r>
      <w:r w:rsidR="00D17757">
        <w:t xml:space="preserve">there is any need to determine whether the Authority was </w:t>
      </w:r>
      <w:r w:rsidR="008A1415">
        <w:t>acting as a Qualifications Body</w:t>
      </w:r>
      <w:r w:rsidR="006211EA">
        <w:t xml:space="preserve"> in purporting to impose the penalty on the Applicant.</w:t>
      </w:r>
    </w:p>
    <w:p w14:paraId="2BAE1B7E" w14:textId="0DE550F9" w:rsidR="00CE16A8" w:rsidRPr="00B5275B" w:rsidRDefault="00CE16A8" w:rsidP="009D1BA4">
      <w:pPr>
        <w:pStyle w:val="Bodytexttax1"/>
      </w:pPr>
      <w:r>
        <w:t>In the circumstances, I direct that the preliminary issue shall be amended</w:t>
      </w:r>
      <w:r w:rsidR="00360A5A">
        <w:t xml:space="preserve"> in accordance with the draft attached to the application.</w:t>
      </w:r>
    </w:p>
    <w:p w14:paraId="3A7F4599" w14:textId="15267484" w:rsidR="00E16E1D" w:rsidRDefault="00E16E1D" w:rsidP="00E16E1D">
      <w:pPr>
        <w:pStyle w:val="Heading1"/>
      </w:pPr>
      <w:r>
        <w:t>Conclusion</w:t>
      </w:r>
    </w:p>
    <w:p w14:paraId="58677C79" w14:textId="40781AE6" w:rsidR="004D2ED3" w:rsidRDefault="00E16E1D" w:rsidP="0013718B">
      <w:pPr>
        <w:pStyle w:val="Bodytexttax1"/>
      </w:pPr>
      <w:r>
        <w:t>For the reasons gi</w:t>
      </w:r>
      <w:r w:rsidR="00B665D4">
        <w:t>ven above</w:t>
      </w:r>
      <w:r w:rsidR="004C1C12">
        <w:t>,</w:t>
      </w:r>
      <w:r w:rsidR="00360A5A">
        <w:t xml:space="preserve"> I direct that the Authority </w:t>
      </w:r>
      <w:r w:rsidR="00F12646">
        <w:t>shall have permission to amend its statement of case on the terms described above</w:t>
      </w:r>
      <w:r w:rsidR="0065369B">
        <w:t xml:space="preserve"> and the form of the preliminary issue shall be amended as indicated</w:t>
      </w:r>
      <w:r w:rsidR="00236C23">
        <w:t xml:space="preserve"> at [</w:t>
      </w:r>
      <w:r w:rsidR="000551E0">
        <w:t>5</w:t>
      </w:r>
      <w:r w:rsidR="00236C23">
        <w:t>] above</w:t>
      </w:r>
      <w:r w:rsidR="00570AE5">
        <w:t>.</w:t>
      </w:r>
    </w:p>
    <w:p w14:paraId="12C33E4F" w14:textId="77777777" w:rsidR="00BC142A" w:rsidRDefault="00BC142A" w:rsidP="0069660F">
      <w:pPr>
        <w:jc w:val="center"/>
      </w:pPr>
    </w:p>
    <w:p w14:paraId="5963AF57" w14:textId="5CBA3DCE" w:rsidR="00C62076" w:rsidRDefault="00FC5A77" w:rsidP="00F542FF">
      <w:pPr>
        <w:pStyle w:val="Heading4"/>
        <w:ind w:left="2835" w:right="794"/>
        <w:jc w:val="left"/>
      </w:pPr>
      <w:r>
        <w:t xml:space="preserve">JUDGE </w:t>
      </w:r>
      <w:r w:rsidR="00F542FF">
        <w:t>JONATHAN CANNAN</w:t>
      </w:r>
    </w:p>
    <w:p w14:paraId="0F8BFAFD" w14:textId="77777777" w:rsidR="00F542FF" w:rsidRPr="00F542FF" w:rsidRDefault="00F542FF" w:rsidP="00F542FF">
      <w:pPr>
        <w:ind w:left="2835"/>
        <w:rPr>
          <w:lang w:eastAsia="en-US"/>
        </w:rPr>
      </w:pPr>
    </w:p>
    <w:p w14:paraId="2043812F" w14:textId="0A378740" w:rsidR="00943006" w:rsidRPr="00086AD2" w:rsidRDefault="00FC5A77" w:rsidP="00F542FF">
      <w:pPr>
        <w:pStyle w:val="Heading4"/>
        <w:ind w:left="2835"/>
        <w:jc w:val="left"/>
      </w:pPr>
      <w:r>
        <w:rPr>
          <w:noProof/>
          <w:lang w:eastAsia="en-GB"/>
        </w:rPr>
        <mc:AlternateContent>
          <mc:Choice Requires="wpi">
            <w:drawing>
              <wp:anchor distT="0" distB="0" distL="114300" distR="114300" simplePos="0" relativeHeight="251659264" behindDoc="0" locked="0" layoutInCell="1" allowOverlap="1" wp14:anchorId="6B6FB795" wp14:editId="37E2B6AE">
                <wp:simplePos x="0" y="0"/>
                <wp:positionH relativeFrom="column">
                  <wp:posOffset>-1828339</wp:posOffset>
                </wp:positionH>
                <wp:positionV relativeFrom="paragraph">
                  <wp:posOffset>1484510</wp:posOffset>
                </wp:positionV>
                <wp:extent cx="36720" cy="21960"/>
                <wp:effectExtent l="38100" t="38100" r="40005" b="35560"/>
                <wp:wrapNone/>
                <wp:docPr id="2" name="Ink 2"/>
                <wp:cNvGraphicFramePr/>
                <a:graphic xmlns:a="http://schemas.openxmlformats.org/drawingml/2006/main">
                  <a:graphicData uri="http://schemas.microsoft.com/office/word/2010/wordprocessingInk">
                    <w14:contentPart bwMode="auto" r:id="rId29">
                      <w14:nvContentPartPr>
                        <w14:cNvContentPartPr/>
                      </w14:nvContentPartPr>
                      <w14:xfrm>
                        <a:off x="0" y="0"/>
                        <a:ext cx="36720" cy="21960"/>
                      </w14:xfrm>
                    </w14:contentPart>
                  </a:graphicData>
                </a:graphic>
              </wp:anchor>
            </w:drawing>
          </mc:Choice>
          <mc:Fallback>
            <w:pict>
              <v:shapetype w14:anchorId="624C8D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44.4pt;margin-top:116.45pt;width:3.8pt;height: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">
                <v:imagedata r:id="rId30" o:title=""/>
              </v:shape>
            </w:pict>
          </mc:Fallback>
        </mc:AlternateContent>
      </w:r>
      <w:r>
        <w:t>R</w:t>
      </w:r>
      <w:r w:rsidR="00F542FF">
        <w:t>elease date:</w:t>
      </w:r>
      <w:r w:rsidR="00232487">
        <w:t xml:space="preserve"> 30 June 2025</w:t>
      </w:r>
    </w:p>
    <w:sectPr w:rsidR="00943006" w:rsidRPr="00086AD2" w:rsidSect="00776E97">
      <w:footerReference w:type="default" r:id="rId31"/>
      <w:headerReference w:type="first" r:id="rId32"/>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4F28" w14:textId="77777777" w:rsidR="00316522" w:rsidRDefault="00316522">
      <w:r>
        <w:separator/>
      </w:r>
    </w:p>
  </w:endnote>
  <w:endnote w:type="continuationSeparator" w:id="0">
    <w:p w14:paraId="16C48C5C" w14:textId="77777777" w:rsidR="00316522" w:rsidRDefault="0031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4687" w14:textId="77777777" w:rsidR="00B149FC" w:rsidRPr="009B7433" w:rsidRDefault="00B149FC" w:rsidP="00593795">
    <w:pPr>
      <w:pStyle w:val="Footer"/>
      <w:jc w:val="center"/>
      <w:rPr>
        <w:rFonts w:ascii="Book Antiqua" w:hAnsi="Book Antiqua" w:cs="Arial"/>
        <w:sz w:val="16"/>
        <w:szCs w:val="16"/>
      </w:rPr>
    </w:pPr>
    <w:r w:rsidRPr="009B7433">
      <w:rPr>
        <w:rStyle w:val="PageNumber"/>
        <w:rFonts w:ascii="Book Antiqua" w:hAnsi="Book Antiqua" w:cs="Arial"/>
        <w:sz w:val="16"/>
        <w:szCs w:val="16"/>
      </w:rPr>
      <w:fldChar w:fldCharType="begin"/>
    </w:r>
    <w:r w:rsidRPr="009B7433">
      <w:rPr>
        <w:rStyle w:val="PageNumber"/>
        <w:rFonts w:ascii="Book Antiqua" w:hAnsi="Book Antiqua" w:cs="Arial"/>
        <w:sz w:val="16"/>
        <w:szCs w:val="16"/>
      </w:rPr>
      <w:instrText xml:space="preserve"> PAGE </w:instrText>
    </w:r>
    <w:r w:rsidRPr="009B7433">
      <w:rPr>
        <w:rStyle w:val="PageNumber"/>
        <w:rFonts w:ascii="Book Antiqua" w:hAnsi="Book Antiqua" w:cs="Arial"/>
        <w:sz w:val="16"/>
        <w:szCs w:val="16"/>
      </w:rPr>
      <w:fldChar w:fldCharType="separate"/>
    </w:r>
    <w:r>
      <w:rPr>
        <w:rStyle w:val="PageNumber"/>
        <w:rFonts w:ascii="Book Antiqua" w:hAnsi="Book Antiqua" w:cs="Arial"/>
        <w:noProof/>
        <w:sz w:val="16"/>
        <w:szCs w:val="16"/>
      </w:rPr>
      <w:t>3</w:t>
    </w:r>
    <w:r w:rsidRPr="009B7433">
      <w:rPr>
        <w:rStyle w:val="PageNumber"/>
        <w:rFonts w:ascii="Book Antiqua" w:hAnsi="Book Antiqu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D449" w14:textId="77777777" w:rsidR="00316522" w:rsidRDefault="00316522">
      <w:r>
        <w:separator/>
      </w:r>
    </w:p>
  </w:footnote>
  <w:footnote w:type="continuationSeparator" w:id="0">
    <w:p w14:paraId="7342D275" w14:textId="77777777" w:rsidR="00316522" w:rsidRDefault="0031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8216" w14:textId="77777777" w:rsidR="00B149FC" w:rsidRPr="009B7433" w:rsidRDefault="00B149FC">
    <w:pPr>
      <w:pStyle w:val="Header"/>
      <w:rPr>
        <w:rFonts w:ascii="Book Antiqua" w:hAnsi="Book Antiqua"/>
      </w:rPr>
    </w:pPr>
    <w:r w:rsidRPr="009B7433">
      <w:rPr>
        <w:rFonts w:ascii="Book Antiqua" w:hAnsi="Book Antiq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3265"/>
    <w:multiLevelType w:val="hybridMultilevel"/>
    <w:tmpl w:val="42B69C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C7993"/>
    <w:multiLevelType w:val="hybridMultilevel"/>
    <w:tmpl w:val="C3FE9F54"/>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54A7CB8"/>
    <w:multiLevelType w:val="hybridMultilevel"/>
    <w:tmpl w:val="D6C4A3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416FB"/>
    <w:multiLevelType w:val="hybridMultilevel"/>
    <w:tmpl w:val="90628188"/>
    <w:lvl w:ilvl="0" w:tplc="D5B040C2">
      <w:start w:val="1"/>
      <w:numFmt w:val="decimal"/>
      <w:lvlText w:val="%1."/>
      <w:lvlJc w:val="left"/>
      <w:pPr>
        <w:tabs>
          <w:tab w:val="num" w:pos="1080"/>
        </w:tabs>
        <w:ind w:left="1080" w:hanging="72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143300F"/>
    <w:multiLevelType w:val="multilevel"/>
    <w:tmpl w:val="DBEEB33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E4705B"/>
    <w:multiLevelType w:val="hybridMultilevel"/>
    <w:tmpl w:val="BD724690"/>
    <w:lvl w:ilvl="0" w:tplc="0809000F">
      <w:start w:val="1"/>
      <w:numFmt w:val="decimal"/>
      <w:lvlText w:val="%1."/>
      <w:lvlJc w:val="left"/>
      <w:pPr>
        <w:ind w:left="720" w:hanging="360"/>
      </w:pPr>
    </w:lvl>
    <w:lvl w:ilvl="1" w:tplc="8D0A5C8A">
      <w:numFmt w:val="bullet"/>
      <w:lvlText w:val="–"/>
      <w:lvlJc w:val="left"/>
      <w:pPr>
        <w:ind w:left="1440" w:hanging="360"/>
      </w:pPr>
      <w:rPr>
        <w:rFonts w:ascii="Book Antiqua" w:eastAsia="Times New Roman" w:hAnsi="Book Antiqua"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B2F17"/>
    <w:multiLevelType w:val="multilevel"/>
    <w:tmpl w:val="DBEEB33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7B6193"/>
    <w:multiLevelType w:val="hybridMultilevel"/>
    <w:tmpl w:val="6A8A9634"/>
    <w:lvl w:ilvl="0" w:tplc="618C9B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2652C"/>
    <w:multiLevelType w:val="multilevel"/>
    <w:tmpl w:val="DBEEB33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3F83B66"/>
    <w:multiLevelType w:val="multilevel"/>
    <w:tmpl w:val="E3F02D48"/>
    <w:lvl w:ilvl="0">
      <w:start w:val="1"/>
      <w:numFmt w:val="lowerRoman"/>
      <w:lvlText w:val="%1."/>
      <w:lvlJc w:val="righ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B045C4"/>
    <w:multiLevelType w:val="multilevel"/>
    <w:tmpl w:val="9A2CF8A6"/>
    <w:lvl w:ilvl="0">
      <w:start w:val="1"/>
      <w:numFmt w:val="decimal"/>
      <w:pStyle w:val="Bodytexttax1"/>
      <w:lvlText w:val="%1."/>
      <w:lvlJc w:val="left"/>
      <w:pPr>
        <w:tabs>
          <w:tab w:val="num" w:pos="36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exttax2"/>
      <w:lvlText w:val="(%2)"/>
      <w:lvlJc w:val="left"/>
      <w:pPr>
        <w:tabs>
          <w:tab w:val="num" w:pos="1440"/>
        </w:tabs>
        <w:ind w:left="1080" w:firstLine="0"/>
      </w:pPr>
      <w:rPr>
        <w:rFonts w:hint="default"/>
      </w:rPr>
    </w:lvl>
    <w:lvl w:ilvl="2">
      <w:start w:val="1"/>
      <w:numFmt w:val="lowerLetter"/>
      <w:pStyle w:val="Bodytexttax4"/>
      <w:lvlText w:val="(%3)"/>
      <w:lvlJc w:val="left"/>
      <w:pPr>
        <w:tabs>
          <w:tab w:val="num" w:pos="2520"/>
        </w:tabs>
        <w:ind w:left="2160" w:firstLine="0"/>
      </w:pPr>
      <w:rPr>
        <w:rFonts w:hint="default"/>
      </w:rPr>
    </w:lvl>
    <w:lvl w:ilvl="3">
      <w:start w:val="1"/>
      <w:numFmt w:val="lowerLetter"/>
      <w:lvlText w:val="(%4)"/>
      <w:lvlJc w:val="left"/>
      <w:pPr>
        <w:tabs>
          <w:tab w:val="num" w:pos="4320"/>
        </w:tabs>
        <w:ind w:left="4320" w:hanging="720"/>
      </w:pPr>
      <w:rPr>
        <w:rFonts w:hint="default"/>
      </w:rPr>
    </w:lvl>
    <w:lvl w:ilvl="4">
      <w:start w:val="1"/>
      <w:numFmt w:val="lowerRoman"/>
      <w:lvlText w:val="(%5)"/>
      <w:lvlJc w:val="left"/>
      <w:pPr>
        <w:tabs>
          <w:tab w:val="num" w:pos="5040"/>
        </w:tabs>
        <w:ind w:left="5040" w:hanging="72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1" w15:restartNumberingAfterBreak="0">
    <w:nsid w:val="4D4765F3"/>
    <w:multiLevelType w:val="hybridMultilevel"/>
    <w:tmpl w:val="D52EC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213684"/>
    <w:multiLevelType w:val="hybridMultilevel"/>
    <w:tmpl w:val="57B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F52C7"/>
    <w:multiLevelType w:val="multilevel"/>
    <w:tmpl w:val="AAA86B00"/>
    <w:lvl w:ilvl="0">
      <w:start w:val="1"/>
      <w:numFmt w:val="lowerRoman"/>
      <w:lvlText w:val="%1."/>
      <w:lvlJc w:val="righ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E76A3A"/>
    <w:multiLevelType w:val="multilevel"/>
    <w:tmpl w:val="156E7BEE"/>
    <w:lvl w:ilvl="0">
      <w:start w:val="1"/>
      <w:numFmt w:val="decimal"/>
      <w:lvlText w:val="%1."/>
      <w:lvlJc w:val="left"/>
      <w:pPr>
        <w:tabs>
          <w:tab w:val="num" w:pos="1287"/>
        </w:tabs>
        <w:ind w:left="1287" w:hanging="360"/>
      </w:pPr>
    </w:lvl>
    <w:lvl w:ilvl="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5" w15:restartNumberingAfterBreak="0">
    <w:nsid w:val="6EAC146B"/>
    <w:multiLevelType w:val="hybridMultilevel"/>
    <w:tmpl w:val="0490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AA2A5D"/>
    <w:multiLevelType w:val="multilevel"/>
    <w:tmpl w:val="16786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5B45291"/>
    <w:multiLevelType w:val="multilevel"/>
    <w:tmpl w:val="9FA4C25E"/>
    <w:lvl w:ilvl="0">
      <w:start w:val="1"/>
      <w:numFmt w:val="lowerRoman"/>
      <w:lvlText w:val="%1."/>
      <w:lvlJc w:val="righ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ACB1666"/>
    <w:multiLevelType w:val="multilevel"/>
    <w:tmpl w:val="D79C2C6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1938F1"/>
    <w:multiLevelType w:val="multilevel"/>
    <w:tmpl w:val="46C454BC"/>
    <w:lvl w:ilvl="0">
      <w:start w:val="1"/>
      <w:numFmt w:val="lowerRoman"/>
      <w:lvlText w:val="%1."/>
      <w:lvlJc w:val="righ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0" w15:restartNumberingAfterBreak="0">
    <w:nsid w:val="7E66697D"/>
    <w:multiLevelType w:val="multilevel"/>
    <w:tmpl w:val="E3F02D48"/>
    <w:lvl w:ilvl="0">
      <w:start w:val="1"/>
      <w:numFmt w:val="lowerRoman"/>
      <w:lvlText w:val="%1."/>
      <w:lvlJc w:val="righ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88513073">
    <w:abstractNumId w:val="18"/>
  </w:num>
  <w:num w:numId="2" w16cid:durableId="338891772">
    <w:abstractNumId w:val="16"/>
  </w:num>
  <w:num w:numId="3" w16cid:durableId="2105109512">
    <w:abstractNumId w:val="3"/>
  </w:num>
  <w:num w:numId="4" w16cid:durableId="596254580">
    <w:abstractNumId w:val="5"/>
  </w:num>
  <w:num w:numId="5" w16cid:durableId="364716179">
    <w:abstractNumId w:val="0"/>
  </w:num>
  <w:num w:numId="6" w16cid:durableId="1547981818">
    <w:abstractNumId w:val="15"/>
  </w:num>
  <w:num w:numId="7" w16cid:durableId="20329207">
    <w:abstractNumId w:val="8"/>
  </w:num>
  <w:num w:numId="8" w16cid:durableId="303778890">
    <w:abstractNumId w:val="12"/>
  </w:num>
  <w:num w:numId="9" w16cid:durableId="649597571">
    <w:abstractNumId w:val="14"/>
  </w:num>
  <w:num w:numId="10" w16cid:durableId="796143175">
    <w:abstractNumId w:val="4"/>
  </w:num>
  <w:num w:numId="11" w16cid:durableId="177935659">
    <w:abstractNumId w:val="19"/>
  </w:num>
  <w:num w:numId="12" w16cid:durableId="864559344">
    <w:abstractNumId w:val="1"/>
  </w:num>
  <w:num w:numId="13" w16cid:durableId="1587301724">
    <w:abstractNumId w:val="2"/>
  </w:num>
  <w:num w:numId="14" w16cid:durableId="1429740147">
    <w:abstractNumId w:val="17"/>
  </w:num>
  <w:num w:numId="15" w16cid:durableId="746345699">
    <w:abstractNumId w:val="9"/>
  </w:num>
  <w:num w:numId="16" w16cid:durableId="103891171">
    <w:abstractNumId w:val="20"/>
  </w:num>
  <w:num w:numId="17" w16cid:durableId="309527412">
    <w:abstractNumId w:val="13"/>
  </w:num>
  <w:num w:numId="18" w16cid:durableId="1570843007">
    <w:abstractNumId w:val="11"/>
  </w:num>
  <w:num w:numId="19" w16cid:durableId="1510824894">
    <w:abstractNumId w:val="6"/>
  </w:num>
  <w:num w:numId="20" w16cid:durableId="435059105">
    <w:abstractNumId w:val="7"/>
  </w:num>
  <w:num w:numId="21" w16cid:durableId="282201356">
    <w:abstractNumId w:val="10"/>
  </w:num>
  <w:num w:numId="22" w16cid:durableId="1899239537">
    <w:abstractNumId w:val="10"/>
  </w:num>
  <w:num w:numId="23" w16cid:durableId="960377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B4"/>
    <w:rsid w:val="00000621"/>
    <w:rsid w:val="00001386"/>
    <w:rsid w:val="000020DB"/>
    <w:rsid w:val="000022F6"/>
    <w:rsid w:val="000036C2"/>
    <w:rsid w:val="0000516B"/>
    <w:rsid w:val="00005C29"/>
    <w:rsid w:val="00006C47"/>
    <w:rsid w:val="00012448"/>
    <w:rsid w:val="00016C1A"/>
    <w:rsid w:val="000172DB"/>
    <w:rsid w:val="000202E5"/>
    <w:rsid w:val="00022496"/>
    <w:rsid w:val="00026B3E"/>
    <w:rsid w:val="00030122"/>
    <w:rsid w:val="00033588"/>
    <w:rsid w:val="00033D3D"/>
    <w:rsid w:val="00037179"/>
    <w:rsid w:val="00037D0E"/>
    <w:rsid w:val="000410E2"/>
    <w:rsid w:val="000425E3"/>
    <w:rsid w:val="0004335D"/>
    <w:rsid w:val="0004776F"/>
    <w:rsid w:val="00050286"/>
    <w:rsid w:val="00050739"/>
    <w:rsid w:val="000516DD"/>
    <w:rsid w:val="00051744"/>
    <w:rsid w:val="00051CA5"/>
    <w:rsid w:val="00052895"/>
    <w:rsid w:val="000529E9"/>
    <w:rsid w:val="00053C15"/>
    <w:rsid w:val="00054306"/>
    <w:rsid w:val="000551E0"/>
    <w:rsid w:val="000578E8"/>
    <w:rsid w:val="00061137"/>
    <w:rsid w:val="0006292C"/>
    <w:rsid w:val="00062F02"/>
    <w:rsid w:val="000635FE"/>
    <w:rsid w:val="00064A74"/>
    <w:rsid w:val="00064FA3"/>
    <w:rsid w:val="00070DEA"/>
    <w:rsid w:val="00071A7E"/>
    <w:rsid w:val="00072A93"/>
    <w:rsid w:val="000733B8"/>
    <w:rsid w:val="000746C0"/>
    <w:rsid w:val="00074CA9"/>
    <w:rsid w:val="00074D1D"/>
    <w:rsid w:val="000762BC"/>
    <w:rsid w:val="0007758F"/>
    <w:rsid w:val="00080AEB"/>
    <w:rsid w:val="00082949"/>
    <w:rsid w:val="00084509"/>
    <w:rsid w:val="00086AD2"/>
    <w:rsid w:val="000907FC"/>
    <w:rsid w:val="00092580"/>
    <w:rsid w:val="000936C7"/>
    <w:rsid w:val="00093B62"/>
    <w:rsid w:val="00093D4D"/>
    <w:rsid w:val="000945EF"/>
    <w:rsid w:val="00094636"/>
    <w:rsid w:val="000A0743"/>
    <w:rsid w:val="000A7FC4"/>
    <w:rsid w:val="000B1F3A"/>
    <w:rsid w:val="000B6516"/>
    <w:rsid w:val="000B67E0"/>
    <w:rsid w:val="000B6E5C"/>
    <w:rsid w:val="000C14F8"/>
    <w:rsid w:val="000C7E32"/>
    <w:rsid w:val="000D0DC4"/>
    <w:rsid w:val="000D0E21"/>
    <w:rsid w:val="000D3AFC"/>
    <w:rsid w:val="000D5D94"/>
    <w:rsid w:val="000D62EF"/>
    <w:rsid w:val="000D7E61"/>
    <w:rsid w:val="000E0ECA"/>
    <w:rsid w:val="000E18EF"/>
    <w:rsid w:val="000E1D47"/>
    <w:rsid w:val="000E4EEB"/>
    <w:rsid w:val="000E5F80"/>
    <w:rsid w:val="000F0DEB"/>
    <w:rsid w:val="000F1A0E"/>
    <w:rsid w:val="000F2B3A"/>
    <w:rsid w:val="000F408F"/>
    <w:rsid w:val="00100F2B"/>
    <w:rsid w:val="001028FC"/>
    <w:rsid w:val="0010546F"/>
    <w:rsid w:val="00105E6B"/>
    <w:rsid w:val="00106E43"/>
    <w:rsid w:val="00107403"/>
    <w:rsid w:val="001075A8"/>
    <w:rsid w:val="001102C0"/>
    <w:rsid w:val="0011203D"/>
    <w:rsid w:val="001165A7"/>
    <w:rsid w:val="00117853"/>
    <w:rsid w:val="00120A9B"/>
    <w:rsid w:val="00121A30"/>
    <w:rsid w:val="00122344"/>
    <w:rsid w:val="00124ED1"/>
    <w:rsid w:val="00127A8C"/>
    <w:rsid w:val="00132262"/>
    <w:rsid w:val="001322F9"/>
    <w:rsid w:val="00134669"/>
    <w:rsid w:val="001346E2"/>
    <w:rsid w:val="00135BC9"/>
    <w:rsid w:val="00137550"/>
    <w:rsid w:val="00140FA5"/>
    <w:rsid w:val="00143560"/>
    <w:rsid w:val="0014374F"/>
    <w:rsid w:val="00146890"/>
    <w:rsid w:val="00147367"/>
    <w:rsid w:val="001514E9"/>
    <w:rsid w:val="001601E0"/>
    <w:rsid w:val="00160468"/>
    <w:rsid w:val="00160F23"/>
    <w:rsid w:val="00163039"/>
    <w:rsid w:val="0016431E"/>
    <w:rsid w:val="00164F6C"/>
    <w:rsid w:val="0016508E"/>
    <w:rsid w:val="001650E7"/>
    <w:rsid w:val="00165427"/>
    <w:rsid w:val="00166B3D"/>
    <w:rsid w:val="00166F0A"/>
    <w:rsid w:val="00167D3A"/>
    <w:rsid w:val="001701A2"/>
    <w:rsid w:val="001711DE"/>
    <w:rsid w:val="00172613"/>
    <w:rsid w:val="00172C24"/>
    <w:rsid w:val="00173F50"/>
    <w:rsid w:val="00175818"/>
    <w:rsid w:val="001818E4"/>
    <w:rsid w:val="00183008"/>
    <w:rsid w:val="0018331D"/>
    <w:rsid w:val="0018468C"/>
    <w:rsid w:val="00185986"/>
    <w:rsid w:val="00186869"/>
    <w:rsid w:val="00187575"/>
    <w:rsid w:val="00191A90"/>
    <w:rsid w:val="00192F07"/>
    <w:rsid w:val="001937A6"/>
    <w:rsid w:val="001940A0"/>
    <w:rsid w:val="00194D79"/>
    <w:rsid w:val="00197196"/>
    <w:rsid w:val="00197C5D"/>
    <w:rsid w:val="001A014E"/>
    <w:rsid w:val="001A2FD0"/>
    <w:rsid w:val="001A3082"/>
    <w:rsid w:val="001A3D4E"/>
    <w:rsid w:val="001A6085"/>
    <w:rsid w:val="001A6F2A"/>
    <w:rsid w:val="001A72FF"/>
    <w:rsid w:val="001B123D"/>
    <w:rsid w:val="001B161D"/>
    <w:rsid w:val="001B186A"/>
    <w:rsid w:val="001B2F75"/>
    <w:rsid w:val="001B7484"/>
    <w:rsid w:val="001B7D04"/>
    <w:rsid w:val="001C0ACB"/>
    <w:rsid w:val="001C1235"/>
    <w:rsid w:val="001C1237"/>
    <w:rsid w:val="001C3A71"/>
    <w:rsid w:val="001C3F98"/>
    <w:rsid w:val="001C6F5F"/>
    <w:rsid w:val="001C7827"/>
    <w:rsid w:val="001D1B32"/>
    <w:rsid w:val="001D20C0"/>
    <w:rsid w:val="001D4C76"/>
    <w:rsid w:val="001D6167"/>
    <w:rsid w:val="001E48E0"/>
    <w:rsid w:val="001E532D"/>
    <w:rsid w:val="001E5F17"/>
    <w:rsid w:val="001E634E"/>
    <w:rsid w:val="001E6A96"/>
    <w:rsid w:val="001E778D"/>
    <w:rsid w:val="001F2716"/>
    <w:rsid w:val="001F272E"/>
    <w:rsid w:val="001F3020"/>
    <w:rsid w:val="001F3AC0"/>
    <w:rsid w:val="001F3B1D"/>
    <w:rsid w:val="001F474A"/>
    <w:rsid w:val="001F4AE3"/>
    <w:rsid w:val="001F4C2A"/>
    <w:rsid w:val="001F5553"/>
    <w:rsid w:val="001F6036"/>
    <w:rsid w:val="00200085"/>
    <w:rsid w:val="002011F7"/>
    <w:rsid w:val="00202393"/>
    <w:rsid w:val="002033A9"/>
    <w:rsid w:val="00207617"/>
    <w:rsid w:val="00211BBC"/>
    <w:rsid w:val="00212BA9"/>
    <w:rsid w:val="00213836"/>
    <w:rsid w:val="00214DB2"/>
    <w:rsid w:val="002150CF"/>
    <w:rsid w:val="002158D9"/>
    <w:rsid w:val="00216FFF"/>
    <w:rsid w:val="00217F9D"/>
    <w:rsid w:val="002205F3"/>
    <w:rsid w:val="002234AE"/>
    <w:rsid w:val="0022637E"/>
    <w:rsid w:val="00230750"/>
    <w:rsid w:val="00230B42"/>
    <w:rsid w:val="0023134B"/>
    <w:rsid w:val="00232487"/>
    <w:rsid w:val="00232BDA"/>
    <w:rsid w:val="00232E2F"/>
    <w:rsid w:val="002332CF"/>
    <w:rsid w:val="00234373"/>
    <w:rsid w:val="00235C44"/>
    <w:rsid w:val="00236322"/>
    <w:rsid w:val="00236C23"/>
    <w:rsid w:val="00241C9F"/>
    <w:rsid w:val="00242DF3"/>
    <w:rsid w:val="00246343"/>
    <w:rsid w:val="00250549"/>
    <w:rsid w:val="00252E30"/>
    <w:rsid w:val="0025322A"/>
    <w:rsid w:val="002532C7"/>
    <w:rsid w:val="0025461B"/>
    <w:rsid w:val="0025797B"/>
    <w:rsid w:val="002613D5"/>
    <w:rsid w:val="00261D96"/>
    <w:rsid w:val="0026235D"/>
    <w:rsid w:val="00262E25"/>
    <w:rsid w:val="00263B96"/>
    <w:rsid w:val="00263C36"/>
    <w:rsid w:val="002660F3"/>
    <w:rsid w:val="0026731D"/>
    <w:rsid w:val="00270C0C"/>
    <w:rsid w:val="0027110A"/>
    <w:rsid w:val="00273E26"/>
    <w:rsid w:val="0027503A"/>
    <w:rsid w:val="002758E0"/>
    <w:rsid w:val="00280500"/>
    <w:rsid w:val="00283659"/>
    <w:rsid w:val="00283954"/>
    <w:rsid w:val="002875D1"/>
    <w:rsid w:val="00287BA4"/>
    <w:rsid w:val="00291EFB"/>
    <w:rsid w:val="002932E2"/>
    <w:rsid w:val="00294483"/>
    <w:rsid w:val="002945E3"/>
    <w:rsid w:val="00294D1D"/>
    <w:rsid w:val="0029641D"/>
    <w:rsid w:val="002A01E5"/>
    <w:rsid w:val="002A52EF"/>
    <w:rsid w:val="002B0A27"/>
    <w:rsid w:val="002B4004"/>
    <w:rsid w:val="002B5E77"/>
    <w:rsid w:val="002B6E38"/>
    <w:rsid w:val="002C0043"/>
    <w:rsid w:val="002C448F"/>
    <w:rsid w:val="002C68AB"/>
    <w:rsid w:val="002C6B56"/>
    <w:rsid w:val="002C6BD4"/>
    <w:rsid w:val="002C6E8C"/>
    <w:rsid w:val="002C7264"/>
    <w:rsid w:val="002C7740"/>
    <w:rsid w:val="002C7DE1"/>
    <w:rsid w:val="002D1A7F"/>
    <w:rsid w:val="002D2410"/>
    <w:rsid w:val="002D3285"/>
    <w:rsid w:val="002D328B"/>
    <w:rsid w:val="002D3313"/>
    <w:rsid w:val="002D50B0"/>
    <w:rsid w:val="002D68BF"/>
    <w:rsid w:val="002D7429"/>
    <w:rsid w:val="002E0D3C"/>
    <w:rsid w:val="002E1EF3"/>
    <w:rsid w:val="002E2A1C"/>
    <w:rsid w:val="002E3789"/>
    <w:rsid w:val="002E3E6A"/>
    <w:rsid w:val="002E4541"/>
    <w:rsid w:val="002E51BC"/>
    <w:rsid w:val="002F0EDB"/>
    <w:rsid w:val="002F2B7F"/>
    <w:rsid w:val="002F3F7C"/>
    <w:rsid w:val="002F6B98"/>
    <w:rsid w:val="00300434"/>
    <w:rsid w:val="003027C5"/>
    <w:rsid w:val="00304554"/>
    <w:rsid w:val="00305EB3"/>
    <w:rsid w:val="00306B52"/>
    <w:rsid w:val="003149B9"/>
    <w:rsid w:val="00314A0E"/>
    <w:rsid w:val="003157DC"/>
    <w:rsid w:val="00315D4E"/>
    <w:rsid w:val="0031647C"/>
    <w:rsid w:val="00316522"/>
    <w:rsid w:val="0031720C"/>
    <w:rsid w:val="00321A27"/>
    <w:rsid w:val="00321ECC"/>
    <w:rsid w:val="00323413"/>
    <w:rsid w:val="00324B73"/>
    <w:rsid w:val="00325236"/>
    <w:rsid w:val="00326BDF"/>
    <w:rsid w:val="00327643"/>
    <w:rsid w:val="00327D0A"/>
    <w:rsid w:val="00331797"/>
    <w:rsid w:val="003317A2"/>
    <w:rsid w:val="00332507"/>
    <w:rsid w:val="0033299B"/>
    <w:rsid w:val="00332FEE"/>
    <w:rsid w:val="00333638"/>
    <w:rsid w:val="00336CBF"/>
    <w:rsid w:val="00337F4F"/>
    <w:rsid w:val="00340CD8"/>
    <w:rsid w:val="00342D49"/>
    <w:rsid w:val="00342DB4"/>
    <w:rsid w:val="00343864"/>
    <w:rsid w:val="00343E83"/>
    <w:rsid w:val="00343FE3"/>
    <w:rsid w:val="00344E9E"/>
    <w:rsid w:val="00345A09"/>
    <w:rsid w:val="003514B7"/>
    <w:rsid w:val="00352A42"/>
    <w:rsid w:val="0035352B"/>
    <w:rsid w:val="003546C8"/>
    <w:rsid w:val="00355DD9"/>
    <w:rsid w:val="003607F2"/>
    <w:rsid w:val="00360A5A"/>
    <w:rsid w:val="00362429"/>
    <w:rsid w:val="00362627"/>
    <w:rsid w:val="00362A08"/>
    <w:rsid w:val="00372CDC"/>
    <w:rsid w:val="00376DD2"/>
    <w:rsid w:val="00376FBA"/>
    <w:rsid w:val="0037777D"/>
    <w:rsid w:val="0038176B"/>
    <w:rsid w:val="003825D4"/>
    <w:rsid w:val="003831A7"/>
    <w:rsid w:val="003850E2"/>
    <w:rsid w:val="00385467"/>
    <w:rsid w:val="0038699A"/>
    <w:rsid w:val="00390423"/>
    <w:rsid w:val="0039114C"/>
    <w:rsid w:val="00393015"/>
    <w:rsid w:val="00394C03"/>
    <w:rsid w:val="003954E1"/>
    <w:rsid w:val="0039722C"/>
    <w:rsid w:val="003A1433"/>
    <w:rsid w:val="003A4578"/>
    <w:rsid w:val="003A5681"/>
    <w:rsid w:val="003A64D0"/>
    <w:rsid w:val="003A7CF2"/>
    <w:rsid w:val="003B0E32"/>
    <w:rsid w:val="003B6DA5"/>
    <w:rsid w:val="003B6F1C"/>
    <w:rsid w:val="003C108D"/>
    <w:rsid w:val="003C2D34"/>
    <w:rsid w:val="003C34E3"/>
    <w:rsid w:val="003C3A55"/>
    <w:rsid w:val="003C534A"/>
    <w:rsid w:val="003C5845"/>
    <w:rsid w:val="003C5CE5"/>
    <w:rsid w:val="003C6E2F"/>
    <w:rsid w:val="003D0934"/>
    <w:rsid w:val="003D1DEF"/>
    <w:rsid w:val="003D25F1"/>
    <w:rsid w:val="003D3223"/>
    <w:rsid w:val="003D40B5"/>
    <w:rsid w:val="003D4862"/>
    <w:rsid w:val="003D5B1A"/>
    <w:rsid w:val="003D6FAD"/>
    <w:rsid w:val="003E0EBE"/>
    <w:rsid w:val="003E267B"/>
    <w:rsid w:val="003E419D"/>
    <w:rsid w:val="003E555D"/>
    <w:rsid w:val="003E5B37"/>
    <w:rsid w:val="003E6303"/>
    <w:rsid w:val="003E6868"/>
    <w:rsid w:val="003E7CD1"/>
    <w:rsid w:val="003F0D49"/>
    <w:rsid w:val="003F251C"/>
    <w:rsid w:val="003F2661"/>
    <w:rsid w:val="003F618D"/>
    <w:rsid w:val="003F6F8C"/>
    <w:rsid w:val="004011C0"/>
    <w:rsid w:val="00401E34"/>
    <w:rsid w:val="00402B9E"/>
    <w:rsid w:val="00404793"/>
    <w:rsid w:val="00404E74"/>
    <w:rsid w:val="0040599F"/>
    <w:rsid w:val="004108F0"/>
    <w:rsid w:val="00412AC3"/>
    <w:rsid w:val="00412B69"/>
    <w:rsid w:val="0041638B"/>
    <w:rsid w:val="00417182"/>
    <w:rsid w:val="00420CFE"/>
    <w:rsid w:val="00422368"/>
    <w:rsid w:val="0042384E"/>
    <w:rsid w:val="004249CB"/>
    <w:rsid w:val="00426308"/>
    <w:rsid w:val="00435A9D"/>
    <w:rsid w:val="00435C0A"/>
    <w:rsid w:val="00437590"/>
    <w:rsid w:val="00437627"/>
    <w:rsid w:val="0044039A"/>
    <w:rsid w:val="0044127D"/>
    <w:rsid w:val="004448DB"/>
    <w:rsid w:val="00444FFD"/>
    <w:rsid w:val="00445814"/>
    <w:rsid w:val="00446C9A"/>
    <w:rsid w:val="00452027"/>
    <w:rsid w:val="0045223D"/>
    <w:rsid w:val="00452559"/>
    <w:rsid w:val="00452F2B"/>
    <w:rsid w:val="004533D1"/>
    <w:rsid w:val="004535C0"/>
    <w:rsid w:val="00453921"/>
    <w:rsid w:val="00454E44"/>
    <w:rsid w:val="0046199D"/>
    <w:rsid w:val="00462DCE"/>
    <w:rsid w:val="00464FC5"/>
    <w:rsid w:val="004661A6"/>
    <w:rsid w:val="004662D2"/>
    <w:rsid w:val="00466946"/>
    <w:rsid w:val="00467F48"/>
    <w:rsid w:val="00471E5C"/>
    <w:rsid w:val="00473F85"/>
    <w:rsid w:val="00474E23"/>
    <w:rsid w:val="0047543A"/>
    <w:rsid w:val="004755C5"/>
    <w:rsid w:val="00475DD3"/>
    <w:rsid w:val="00477193"/>
    <w:rsid w:val="0047736A"/>
    <w:rsid w:val="0047779B"/>
    <w:rsid w:val="00483695"/>
    <w:rsid w:val="004868FB"/>
    <w:rsid w:val="00486A05"/>
    <w:rsid w:val="00486AB9"/>
    <w:rsid w:val="004911AF"/>
    <w:rsid w:val="00491E0B"/>
    <w:rsid w:val="00492E67"/>
    <w:rsid w:val="00492FDE"/>
    <w:rsid w:val="00493AD0"/>
    <w:rsid w:val="00494A41"/>
    <w:rsid w:val="0049724F"/>
    <w:rsid w:val="00497782"/>
    <w:rsid w:val="004A0BC3"/>
    <w:rsid w:val="004A14B0"/>
    <w:rsid w:val="004A1848"/>
    <w:rsid w:val="004A2841"/>
    <w:rsid w:val="004A2C2D"/>
    <w:rsid w:val="004A2D15"/>
    <w:rsid w:val="004A343F"/>
    <w:rsid w:val="004A369A"/>
    <w:rsid w:val="004A3842"/>
    <w:rsid w:val="004A534C"/>
    <w:rsid w:val="004A655A"/>
    <w:rsid w:val="004A6F4A"/>
    <w:rsid w:val="004B05E8"/>
    <w:rsid w:val="004B07A6"/>
    <w:rsid w:val="004B0E9E"/>
    <w:rsid w:val="004B70D7"/>
    <w:rsid w:val="004C0E1D"/>
    <w:rsid w:val="004C1C12"/>
    <w:rsid w:val="004C2E77"/>
    <w:rsid w:val="004C37F1"/>
    <w:rsid w:val="004C50F0"/>
    <w:rsid w:val="004C6608"/>
    <w:rsid w:val="004C6BA1"/>
    <w:rsid w:val="004D0B63"/>
    <w:rsid w:val="004D2ED3"/>
    <w:rsid w:val="004D5388"/>
    <w:rsid w:val="004D6B45"/>
    <w:rsid w:val="004E2193"/>
    <w:rsid w:val="004E3A70"/>
    <w:rsid w:val="004E4717"/>
    <w:rsid w:val="004E560A"/>
    <w:rsid w:val="004E625B"/>
    <w:rsid w:val="004F02F9"/>
    <w:rsid w:val="004F2676"/>
    <w:rsid w:val="004F3433"/>
    <w:rsid w:val="004F4859"/>
    <w:rsid w:val="004F4991"/>
    <w:rsid w:val="004F749E"/>
    <w:rsid w:val="0050004D"/>
    <w:rsid w:val="00500AD8"/>
    <w:rsid w:val="005010D8"/>
    <w:rsid w:val="00504107"/>
    <w:rsid w:val="00506D99"/>
    <w:rsid w:val="00507616"/>
    <w:rsid w:val="00507FEC"/>
    <w:rsid w:val="00510F0E"/>
    <w:rsid w:val="00511C28"/>
    <w:rsid w:val="00512835"/>
    <w:rsid w:val="00514C0F"/>
    <w:rsid w:val="00517714"/>
    <w:rsid w:val="005200FF"/>
    <w:rsid w:val="005205BA"/>
    <w:rsid w:val="00520D28"/>
    <w:rsid w:val="0052329E"/>
    <w:rsid w:val="00524CF0"/>
    <w:rsid w:val="00525359"/>
    <w:rsid w:val="00527E69"/>
    <w:rsid w:val="00533694"/>
    <w:rsid w:val="0053549F"/>
    <w:rsid w:val="0053570E"/>
    <w:rsid w:val="0053640D"/>
    <w:rsid w:val="005366F3"/>
    <w:rsid w:val="0054099E"/>
    <w:rsid w:val="00542D42"/>
    <w:rsid w:val="00542DF7"/>
    <w:rsid w:val="00543AE0"/>
    <w:rsid w:val="00544005"/>
    <w:rsid w:val="0054571A"/>
    <w:rsid w:val="00545DC5"/>
    <w:rsid w:val="005479E1"/>
    <w:rsid w:val="005513DD"/>
    <w:rsid w:val="00551FC8"/>
    <w:rsid w:val="00553028"/>
    <w:rsid w:val="0055393C"/>
    <w:rsid w:val="00553E0A"/>
    <w:rsid w:val="0055655A"/>
    <w:rsid w:val="005570FD"/>
    <w:rsid w:val="005575EA"/>
    <w:rsid w:val="00557C2C"/>
    <w:rsid w:val="00557C6E"/>
    <w:rsid w:val="0056109A"/>
    <w:rsid w:val="0056190F"/>
    <w:rsid w:val="00562C8F"/>
    <w:rsid w:val="00565A2E"/>
    <w:rsid w:val="00566BC0"/>
    <w:rsid w:val="00567D8F"/>
    <w:rsid w:val="00570162"/>
    <w:rsid w:val="005705FC"/>
    <w:rsid w:val="00570AE5"/>
    <w:rsid w:val="00571524"/>
    <w:rsid w:val="00573527"/>
    <w:rsid w:val="00576566"/>
    <w:rsid w:val="00576DF1"/>
    <w:rsid w:val="0057790C"/>
    <w:rsid w:val="005814E9"/>
    <w:rsid w:val="00581EFC"/>
    <w:rsid w:val="0058260C"/>
    <w:rsid w:val="00584398"/>
    <w:rsid w:val="00586C9C"/>
    <w:rsid w:val="005870C3"/>
    <w:rsid w:val="00587291"/>
    <w:rsid w:val="00587CC1"/>
    <w:rsid w:val="00590FFD"/>
    <w:rsid w:val="00591DFF"/>
    <w:rsid w:val="0059251E"/>
    <w:rsid w:val="00593795"/>
    <w:rsid w:val="005950CA"/>
    <w:rsid w:val="005959B2"/>
    <w:rsid w:val="00595E14"/>
    <w:rsid w:val="00596582"/>
    <w:rsid w:val="00597D46"/>
    <w:rsid w:val="005A130B"/>
    <w:rsid w:val="005A2DC7"/>
    <w:rsid w:val="005A4EFF"/>
    <w:rsid w:val="005A5D77"/>
    <w:rsid w:val="005A604F"/>
    <w:rsid w:val="005A75FF"/>
    <w:rsid w:val="005B1CEB"/>
    <w:rsid w:val="005B4863"/>
    <w:rsid w:val="005B7412"/>
    <w:rsid w:val="005C0E0C"/>
    <w:rsid w:val="005C166E"/>
    <w:rsid w:val="005C1764"/>
    <w:rsid w:val="005C4E6B"/>
    <w:rsid w:val="005D0432"/>
    <w:rsid w:val="005D06CD"/>
    <w:rsid w:val="005D10AB"/>
    <w:rsid w:val="005D30C4"/>
    <w:rsid w:val="005E35B9"/>
    <w:rsid w:val="005E437E"/>
    <w:rsid w:val="005E479F"/>
    <w:rsid w:val="005E4BD1"/>
    <w:rsid w:val="005E7F16"/>
    <w:rsid w:val="005F1271"/>
    <w:rsid w:val="005F1403"/>
    <w:rsid w:val="005F1B36"/>
    <w:rsid w:val="005F3884"/>
    <w:rsid w:val="005F445B"/>
    <w:rsid w:val="005F6F4D"/>
    <w:rsid w:val="005F710E"/>
    <w:rsid w:val="005F7CA0"/>
    <w:rsid w:val="00601851"/>
    <w:rsid w:val="00601882"/>
    <w:rsid w:val="00601D8F"/>
    <w:rsid w:val="006023BA"/>
    <w:rsid w:val="0060282F"/>
    <w:rsid w:val="00602AC3"/>
    <w:rsid w:val="0060332D"/>
    <w:rsid w:val="00605582"/>
    <w:rsid w:val="0061057E"/>
    <w:rsid w:val="006109F4"/>
    <w:rsid w:val="00611F34"/>
    <w:rsid w:val="0061393C"/>
    <w:rsid w:val="006139FE"/>
    <w:rsid w:val="006152F9"/>
    <w:rsid w:val="006163D7"/>
    <w:rsid w:val="00620859"/>
    <w:rsid w:val="006211EA"/>
    <w:rsid w:val="00621FE8"/>
    <w:rsid w:val="006227F6"/>
    <w:rsid w:val="00622F4C"/>
    <w:rsid w:val="0062308F"/>
    <w:rsid w:val="00623462"/>
    <w:rsid w:val="00623C3E"/>
    <w:rsid w:val="00623E00"/>
    <w:rsid w:val="006249D2"/>
    <w:rsid w:val="0062523E"/>
    <w:rsid w:val="00627294"/>
    <w:rsid w:val="00627FA9"/>
    <w:rsid w:val="006301B9"/>
    <w:rsid w:val="00630A84"/>
    <w:rsid w:val="0063116E"/>
    <w:rsid w:val="006314D9"/>
    <w:rsid w:val="00633210"/>
    <w:rsid w:val="00634A90"/>
    <w:rsid w:val="00634F18"/>
    <w:rsid w:val="006365D6"/>
    <w:rsid w:val="00637EA1"/>
    <w:rsid w:val="00640836"/>
    <w:rsid w:val="006434B6"/>
    <w:rsid w:val="006440CF"/>
    <w:rsid w:val="00644B90"/>
    <w:rsid w:val="00646A27"/>
    <w:rsid w:val="006476B9"/>
    <w:rsid w:val="00652E22"/>
    <w:rsid w:val="0065369B"/>
    <w:rsid w:val="00653E97"/>
    <w:rsid w:val="00655471"/>
    <w:rsid w:val="006564A3"/>
    <w:rsid w:val="00657A45"/>
    <w:rsid w:val="00657CB2"/>
    <w:rsid w:val="00660D7F"/>
    <w:rsid w:val="0066182F"/>
    <w:rsid w:val="006667DB"/>
    <w:rsid w:val="006679F0"/>
    <w:rsid w:val="0067079D"/>
    <w:rsid w:val="00671511"/>
    <w:rsid w:val="006723A1"/>
    <w:rsid w:val="00672D31"/>
    <w:rsid w:val="00673D55"/>
    <w:rsid w:val="00674768"/>
    <w:rsid w:val="00675336"/>
    <w:rsid w:val="006776D0"/>
    <w:rsid w:val="00677BBF"/>
    <w:rsid w:val="00677F41"/>
    <w:rsid w:val="006818DB"/>
    <w:rsid w:val="00681A22"/>
    <w:rsid w:val="00684481"/>
    <w:rsid w:val="00684A74"/>
    <w:rsid w:val="0068620A"/>
    <w:rsid w:val="006864B7"/>
    <w:rsid w:val="00686590"/>
    <w:rsid w:val="00690B8A"/>
    <w:rsid w:val="00692B2F"/>
    <w:rsid w:val="00695F74"/>
    <w:rsid w:val="0069660F"/>
    <w:rsid w:val="00697068"/>
    <w:rsid w:val="0069722D"/>
    <w:rsid w:val="00697BDB"/>
    <w:rsid w:val="006A0361"/>
    <w:rsid w:val="006A0802"/>
    <w:rsid w:val="006A0C29"/>
    <w:rsid w:val="006A104C"/>
    <w:rsid w:val="006A1265"/>
    <w:rsid w:val="006A2FE0"/>
    <w:rsid w:val="006B1A36"/>
    <w:rsid w:val="006B1EB7"/>
    <w:rsid w:val="006B2B3F"/>
    <w:rsid w:val="006B4F14"/>
    <w:rsid w:val="006B645D"/>
    <w:rsid w:val="006B68E9"/>
    <w:rsid w:val="006B75AF"/>
    <w:rsid w:val="006C33C3"/>
    <w:rsid w:val="006C4182"/>
    <w:rsid w:val="006C423D"/>
    <w:rsid w:val="006C6193"/>
    <w:rsid w:val="006C625F"/>
    <w:rsid w:val="006D1FC0"/>
    <w:rsid w:val="006D4F97"/>
    <w:rsid w:val="006D6553"/>
    <w:rsid w:val="006D6694"/>
    <w:rsid w:val="006D708F"/>
    <w:rsid w:val="006E26E6"/>
    <w:rsid w:val="006E2B24"/>
    <w:rsid w:val="006E379D"/>
    <w:rsid w:val="006E673A"/>
    <w:rsid w:val="006E7197"/>
    <w:rsid w:val="006E71C3"/>
    <w:rsid w:val="006E79E5"/>
    <w:rsid w:val="006F2CF1"/>
    <w:rsid w:val="006F30B7"/>
    <w:rsid w:val="006F3338"/>
    <w:rsid w:val="00700387"/>
    <w:rsid w:val="00701EC3"/>
    <w:rsid w:val="007038ED"/>
    <w:rsid w:val="00703BC3"/>
    <w:rsid w:val="007047A9"/>
    <w:rsid w:val="00704B61"/>
    <w:rsid w:val="00707689"/>
    <w:rsid w:val="00710902"/>
    <w:rsid w:val="007124A3"/>
    <w:rsid w:val="00715A64"/>
    <w:rsid w:val="00716F07"/>
    <w:rsid w:val="00717FF2"/>
    <w:rsid w:val="007205D7"/>
    <w:rsid w:val="007215C9"/>
    <w:rsid w:val="00721609"/>
    <w:rsid w:val="00723E15"/>
    <w:rsid w:val="00730B87"/>
    <w:rsid w:val="00730DA3"/>
    <w:rsid w:val="0073140A"/>
    <w:rsid w:val="00732254"/>
    <w:rsid w:val="00732C31"/>
    <w:rsid w:val="00735437"/>
    <w:rsid w:val="00735B96"/>
    <w:rsid w:val="007409BA"/>
    <w:rsid w:val="00740C1F"/>
    <w:rsid w:val="007410DD"/>
    <w:rsid w:val="00742B9F"/>
    <w:rsid w:val="00742BA0"/>
    <w:rsid w:val="007454D3"/>
    <w:rsid w:val="007461C1"/>
    <w:rsid w:val="00747DCA"/>
    <w:rsid w:val="0075071C"/>
    <w:rsid w:val="0075133B"/>
    <w:rsid w:val="00754D7C"/>
    <w:rsid w:val="007552A9"/>
    <w:rsid w:val="0075658A"/>
    <w:rsid w:val="00757E05"/>
    <w:rsid w:val="00760000"/>
    <w:rsid w:val="00761858"/>
    <w:rsid w:val="00763D59"/>
    <w:rsid w:val="00763DB8"/>
    <w:rsid w:val="00764AB3"/>
    <w:rsid w:val="00764D33"/>
    <w:rsid w:val="00767D59"/>
    <w:rsid w:val="007732D7"/>
    <w:rsid w:val="00773A34"/>
    <w:rsid w:val="00774E74"/>
    <w:rsid w:val="00775041"/>
    <w:rsid w:val="00776CDA"/>
    <w:rsid w:val="00776E97"/>
    <w:rsid w:val="0077749F"/>
    <w:rsid w:val="007809B6"/>
    <w:rsid w:val="00780F86"/>
    <w:rsid w:val="00782B24"/>
    <w:rsid w:val="0078387A"/>
    <w:rsid w:val="00783A7C"/>
    <w:rsid w:val="00783F9E"/>
    <w:rsid w:val="007845C5"/>
    <w:rsid w:val="007863F1"/>
    <w:rsid w:val="007912AD"/>
    <w:rsid w:val="00792728"/>
    <w:rsid w:val="00792DEA"/>
    <w:rsid w:val="00793581"/>
    <w:rsid w:val="0079386A"/>
    <w:rsid w:val="00793B24"/>
    <w:rsid w:val="00793CE4"/>
    <w:rsid w:val="00794952"/>
    <w:rsid w:val="00796940"/>
    <w:rsid w:val="007A06A7"/>
    <w:rsid w:val="007A3E40"/>
    <w:rsid w:val="007A4939"/>
    <w:rsid w:val="007A50ED"/>
    <w:rsid w:val="007A6E64"/>
    <w:rsid w:val="007A749C"/>
    <w:rsid w:val="007B0824"/>
    <w:rsid w:val="007B41C0"/>
    <w:rsid w:val="007B5D3C"/>
    <w:rsid w:val="007B5FAC"/>
    <w:rsid w:val="007B79B8"/>
    <w:rsid w:val="007C1442"/>
    <w:rsid w:val="007C2E69"/>
    <w:rsid w:val="007C3DF0"/>
    <w:rsid w:val="007C4453"/>
    <w:rsid w:val="007C4C93"/>
    <w:rsid w:val="007C5212"/>
    <w:rsid w:val="007C72CF"/>
    <w:rsid w:val="007D318C"/>
    <w:rsid w:val="007D3A92"/>
    <w:rsid w:val="007D3D9D"/>
    <w:rsid w:val="007D634D"/>
    <w:rsid w:val="007D7AAE"/>
    <w:rsid w:val="007E6BC3"/>
    <w:rsid w:val="007E7AAB"/>
    <w:rsid w:val="007F1BA8"/>
    <w:rsid w:val="007F279D"/>
    <w:rsid w:val="007F30F1"/>
    <w:rsid w:val="007F7346"/>
    <w:rsid w:val="007F75DC"/>
    <w:rsid w:val="008027C9"/>
    <w:rsid w:val="0080682A"/>
    <w:rsid w:val="00812C9E"/>
    <w:rsid w:val="00813C91"/>
    <w:rsid w:val="00815011"/>
    <w:rsid w:val="0081796E"/>
    <w:rsid w:val="00820453"/>
    <w:rsid w:val="00821763"/>
    <w:rsid w:val="00821B72"/>
    <w:rsid w:val="0082229E"/>
    <w:rsid w:val="00823EF2"/>
    <w:rsid w:val="008259A9"/>
    <w:rsid w:val="00825D5D"/>
    <w:rsid w:val="00826756"/>
    <w:rsid w:val="00826FBA"/>
    <w:rsid w:val="00827004"/>
    <w:rsid w:val="008303B8"/>
    <w:rsid w:val="00830DB6"/>
    <w:rsid w:val="0083252F"/>
    <w:rsid w:val="00832C57"/>
    <w:rsid w:val="008339AA"/>
    <w:rsid w:val="00833DCE"/>
    <w:rsid w:val="00833E86"/>
    <w:rsid w:val="00835D97"/>
    <w:rsid w:val="00835FF3"/>
    <w:rsid w:val="00837348"/>
    <w:rsid w:val="00837B7C"/>
    <w:rsid w:val="00844368"/>
    <w:rsid w:val="00844A01"/>
    <w:rsid w:val="00847754"/>
    <w:rsid w:val="00847DD4"/>
    <w:rsid w:val="008524FC"/>
    <w:rsid w:val="00852BAE"/>
    <w:rsid w:val="00852F87"/>
    <w:rsid w:val="00854F89"/>
    <w:rsid w:val="00864585"/>
    <w:rsid w:val="00865AF6"/>
    <w:rsid w:val="00866F4E"/>
    <w:rsid w:val="0087079E"/>
    <w:rsid w:val="00871057"/>
    <w:rsid w:val="00871D34"/>
    <w:rsid w:val="008738B7"/>
    <w:rsid w:val="00874BA6"/>
    <w:rsid w:val="00875929"/>
    <w:rsid w:val="00875BC9"/>
    <w:rsid w:val="00877489"/>
    <w:rsid w:val="00877A54"/>
    <w:rsid w:val="008826B9"/>
    <w:rsid w:val="00882908"/>
    <w:rsid w:val="00882CE6"/>
    <w:rsid w:val="0088521B"/>
    <w:rsid w:val="00887391"/>
    <w:rsid w:val="00887FBC"/>
    <w:rsid w:val="00890F2A"/>
    <w:rsid w:val="00891589"/>
    <w:rsid w:val="008915A1"/>
    <w:rsid w:val="00891757"/>
    <w:rsid w:val="0089448D"/>
    <w:rsid w:val="00896538"/>
    <w:rsid w:val="00896F60"/>
    <w:rsid w:val="00897DB5"/>
    <w:rsid w:val="008A1415"/>
    <w:rsid w:val="008A25EC"/>
    <w:rsid w:val="008A4ED1"/>
    <w:rsid w:val="008A6059"/>
    <w:rsid w:val="008B0235"/>
    <w:rsid w:val="008B270C"/>
    <w:rsid w:val="008B4173"/>
    <w:rsid w:val="008B5078"/>
    <w:rsid w:val="008C04C1"/>
    <w:rsid w:val="008C26D1"/>
    <w:rsid w:val="008C2E4D"/>
    <w:rsid w:val="008C3816"/>
    <w:rsid w:val="008C3D3D"/>
    <w:rsid w:val="008C4CC2"/>
    <w:rsid w:val="008C595D"/>
    <w:rsid w:val="008C6B58"/>
    <w:rsid w:val="008C6E26"/>
    <w:rsid w:val="008C71F2"/>
    <w:rsid w:val="008D4131"/>
    <w:rsid w:val="008D4AA8"/>
    <w:rsid w:val="008D54C1"/>
    <w:rsid w:val="008D5E3C"/>
    <w:rsid w:val="008E0C28"/>
    <w:rsid w:val="008E3D97"/>
    <w:rsid w:val="008E60C6"/>
    <w:rsid w:val="008E6726"/>
    <w:rsid w:val="008E7097"/>
    <w:rsid w:val="008E72E6"/>
    <w:rsid w:val="008F078F"/>
    <w:rsid w:val="008F18D9"/>
    <w:rsid w:val="008F1932"/>
    <w:rsid w:val="008F1D07"/>
    <w:rsid w:val="0090151B"/>
    <w:rsid w:val="00902D4F"/>
    <w:rsid w:val="009042A9"/>
    <w:rsid w:val="00906F47"/>
    <w:rsid w:val="009075A3"/>
    <w:rsid w:val="00913043"/>
    <w:rsid w:val="0091558F"/>
    <w:rsid w:val="00915FE5"/>
    <w:rsid w:val="0091732A"/>
    <w:rsid w:val="00920C2C"/>
    <w:rsid w:val="00921062"/>
    <w:rsid w:val="00924645"/>
    <w:rsid w:val="00924CA5"/>
    <w:rsid w:val="00930B71"/>
    <w:rsid w:val="00931006"/>
    <w:rsid w:val="00931243"/>
    <w:rsid w:val="00931CF9"/>
    <w:rsid w:val="00934694"/>
    <w:rsid w:val="0093656A"/>
    <w:rsid w:val="00937395"/>
    <w:rsid w:val="009376E5"/>
    <w:rsid w:val="00941E55"/>
    <w:rsid w:val="00942F9E"/>
    <w:rsid w:val="00943006"/>
    <w:rsid w:val="009435CF"/>
    <w:rsid w:val="00953177"/>
    <w:rsid w:val="009558DC"/>
    <w:rsid w:val="00957D52"/>
    <w:rsid w:val="00960831"/>
    <w:rsid w:val="0096352A"/>
    <w:rsid w:val="00964E89"/>
    <w:rsid w:val="0096636F"/>
    <w:rsid w:val="009722BC"/>
    <w:rsid w:val="00972679"/>
    <w:rsid w:val="009727A3"/>
    <w:rsid w:val="009769F3"/>
    <w:rsid w:val="009806D7"/>
    <w:rsid w:val="00982430"/>
    <w:rsid w:val="00982F3F"/>
    <w:rsid w:val="009834C9"/>
    <w:rsid w:val="009837F6"/>
    <w:rsid w:val="00984AF2"/>
    <w:rsid w:val="009861AE"/>
    <w:rsid w:val="00987774"/>
    <w:rsid w:val="00992A21"/>
    <w:rsid w:val="0099609C"/>
    <w:rsid w:val="00996E67"/>
    <w:rsid w:val="009A0755"/>
    <w:rsid w:val="009A11E8"/>
    <w:rsid w:val="009A1FA0"/>
    <w:rsid w:val="009A3EDE"/>
    <w:rsid w:val="009A48CB"/>
    <w:rsid w:val="009A7531"/>
    <w:rsid w:val="009B1660"/>
    <w:rsid w:val="009B170F"/>
    <w:rsid w:val="009B1AB7"/>
    <w:rsid w:val="009B416A"/>
    <w:rsid w:val="009B5293"/>
    <w:rsid w:val="009B5E18"/>
    <w:rsid w:val="009B63FD"/>
    <w:rsid w:val="009B7433"/>
    <w:rsid w:val="009B7D03"/>
    <w:rsid w:val="009C16DF"/>
    <w:rsid w:val="009C1F8C"/>
    <w:rsid w:val="009C3200"/>
    <w:rsid w:val="009C57C8"/>
    <w:rsid w:val="009C7B96"/>
    <w:rsid w:val="009C7BB1"/>
    <w:rsid w:val="009D0F4D"/>
    <w:rsid w:val="009D1BA4"/>
    <w:rsid w:val="009D2441"/>
    <w:rsid w:val="009D30F6"/>
    <w:rsid w:val="009D348A"/>
    <w:rsid w:val="009D35D5"/>
    <w:rsid w:val="009D49BC"/>
    <w:rsid w:val="009D6492"/>
    <w:rsid w:val="009E0579"/>
    <w:rsid w:val="009E1007"/>
    <w:rsid w:val="009E1AED"/>
    <w:rsid w:val="009E1EC0"/>
    <w:rsid w:val="009E2328"/>
    <w:rsid w:val="009E422F"/>
    <w:rsid w:val="009E5539"/>
    <w:rsid w:val="009E7731"/>
    <w:rsid w:val="009F05EE"/>
    <w:rsid w:val="009F1AF7"/>
    <w:rsid w:val="009F299A"/>
    <w:rsid w:val="009F2EFA"/>
    <w:rsid w:val="009F5220"/>
    <w:rsid w:val="00A01802"/>
    <w:rsid w:val="00A02736"/>
    <w:rsid w:val="00A03D65"/>
    <w:rsid w:val="00A0501A"/>
    <w:rsid w:val="00A07919"/>
    <w:rsid w:val="00A1205E"/>
    <w:rsid w:val="00A131F8"/>
    <w:rsid w:val="00A15234"/>
    <w:rsid w:val="00A168DE"/>
    <w:rsid w:val="00A172F5"/>
    <w:rsid w:val="00A17696"/>
    <w:rsid w:val="00A201AB"/>
    <w:rsid w:val="00A22637"/>
    <w:rsid w:val="00A23A05"/>
    <w:rsid w:val="00A23C38"/>
    <w:rsid w:val="00A24DB1"/>
    <w:rsid w:val="00A25A88"/>
    <w:rsid w:val="00A2750C"/>
    <w:rsid w:val="00A27AB4"/>
    <w:rsid w:val="00A31C8B"/>
    <w:rsid w:val="00A3214F"/>
    <w:rsid w:val="00A327FF"/>
    <w:rsid w:val="00A34958"/>
    <w:rsid w:val="00A35F0A"/>
    <w:rsid w:val="00A361E6"/>
    <w:rsid w:val="00A37A42"/>
    <w:rsid w:val="00A37BB3"/>
    <w:rsid w:val="00A40FA2"/>
    <w:rsid w:val="00A46DDE"/>
    <w:rsid w:val="00A47170"/>
    <w:rsid w:val="00A47430"/>
    <w:rsid w:val="00A47577"/>
    <w:rsid w:val="00A509FA"/>
    <w:rsid w:val="00A51F5E"/>
    <w:rsid w:val="00A52220"/>
    <w:rsid w:val="00A53A4B"/>
    <w:rsid w:val="00A53ED1"/>
    <w:rsid w:val="00A54787"/>
    <w:rsid w:val="00A55EEA"/>
    <w:rsid w:val="00A55F6D"/>
    <w:rsid w:val="00A57655"/>
    <w:rsid w:val="00A6265F"/>
    <w:rsid w:val="00A6302E"/>
    <w:rsid w:val="00A64330"/>
    <w:rsid w:val="00A664AC"/>
    <w:rsid w:val="00A66B82"/>
    <w:rsid w:val="00A674E4"/>
    <w:rsid w:val="00A71B59"/>
    <w:rsid w:val="00A73B45"/>
    <w:rsid w:val="00A75133"/>
    <w:rsid w:val="00A81E34"/>
    <w:rsid w:val="00A82518"/>
    <w:rsid w:val="00A82E2E"/>
    <w:rsid w:val="00A8394C"/>
    <w:rsid w:val="00A83A59"/>
    <w:rsid w:val="00A845DC"/>
    <w:rsid w:val="00A852B6"/>
    <w:rsid w:val="00A85665"/>
    <w:rsid w:val="00A864C6"/>
    <w:rsid w:val="00A90B58"/>
    <w:rsid w:val="00A91599"/>
    <w:rsid w:val="00A92D56"/>
    <w:rsid w:val="00A92E33"/>
    <w:rsid w:val="00A93B9B"/>
    <w:rsid w:val="00A948A2"/>
    <w:rsid w:val="00A9494B"/>
    <w:rsid w:val="00A94D45"/>
    <w:rsid w:val="00A96535"/>
    <w:rsid w:val="00AA145E"/>
    <w:rsid w:val="00AA1DDB"/>
    <w:rsid w:val="00AA4774"/>
    <w:rsid w:val="00AA5973"/>
    <w:rsid w:val="00AA5DDC"/>
    <w:rsid w:val="00AB0BA4"/>
    <w:rsid w:val="00AB3910"/>
    <w:rsid w:val="00AB4EAE"/>
    <w:rsid w:val="00AB549E"/>
    <w:rsid w:val="00AB592B"/>
    <w:rsid w:val="00AB5E6D"/>
    <w:rsid w:val="00AB7122"/>
    <w:rsid w:val="00AC5FEC"/>
    <w:rsid w:val="00AD131D"/>
    <w:rsid w:val="00AD1FD2"/>
    <w:rsid w:val="00AD2595"/>
    <w:rsid w:val="00AD2A9B"/>
    <w:rsid w:val="00AD2DDA"/>
    <w:rsid w:val="00AD68EE"/>
    <w:rsid w:val="00AD74F3"/>
    <w:rsid w:val="00AE1727"/>
    <w:rsid w:val="00AE298D"/>
    <w:rsid w:val="00AE68A3"/>
    <w:rsid w:val="00AE78BB"/>
    <w:rsid w:val="00AE7AE9"/>
    <w:rsid w:val="00AF1449"/>
    <w:rsid w:val="00AF2B00"/>
    <w:rsid w:val="00AF3664"/>
    <w:rsid w:val="00AF516C"/>
    <w:rsid w:val="00AF5F03"/>
    <w:rsid w:val="00AF72B6"/>
    <w:rsid w:val="00B01054"/>
    <w:rsid w:val="00B027F7"/>
    <w:rsid w:val="00B0337E"/>
    <w:rsid w:val="00B05F81"/>
    <w:rsid w:val="00B10527"/>
    <w:rsid w:val="00B11AC3"/>
    <w:rsid w:val="00B12ED9"/>
    <w:rsid w:val="00B149FC"/>
    <w:rsid w:val="00B168E6"/>
    <w:rsid w:val="00B20DC2"/>
    <w:rsid w:val="00B222A7"/>
    <w:rsid w:val="00B226C4"/>
    <w:rsid w:val="00B2373A"/>
    <w:rsid w:val="00B2383F"/>
    <w:rsid w:val="00B26AA2"/>
    <w:rsid w:val="00B32848"/>
    <w:rsid w:val="00B34410"/>
    <w:rsid w:val="00B3524D"/>
    <w:rsid w:val="00B404A2"/>
    <w:rsid w:val="00B40F36"/>
    <w:rsid w:val="00B40F69"/>
    <w:rsid w:val="00B426F2"/>
    <w:rsid w:val="00B44668"/>
    <w:rsid w:val="00B44C88"/>
    <w:rsid w:val="00B45214"/>
    <w:rsid w:val="00B46616"/>
    <w:rsid w:val="00B5075A"/>
    <w:rsid w:val="00B5097B"/>
    <w:rsid w:val="00B50C6A"/>
    <w:rsid w:val="00B5166A"/>
    <w:rsid w:val="00B51D9A"/>
    <w:rsid w:val="00B52583"/>
    <w:rsid w:val="00B5275B"/>
    <w:rsid w:val="00B528BB"/>
    <w:rsid w:val="00B5327F"/>
    <w:rsid w:val="00B55C66"/>
    <w:rsid w:val="00B55F34"/>
    <w:rsid w:val="00B5610A"/>
    <w:rsid w:val="00B578B8"/>
    <w:rsid w:val="00B57FE7"/>
    <w:rsid w:val="00B635BC"/>
    <w:rsid w:val="00B63BEB"/>
    <w:rsid w:val="00B658CD"/>
    <w:rsid w:val="00B65E2C"/>
    <w:rsid w:val="00B665D4"/>
    <w:rsid w:val="00B7040A"/>
    <w:rsid w:val="00B70673"/>
    <w:rsid w:val="00B70885"/>
    <w:rsid w:val="00B71454"/>
    <w:rsid w:val="00B72399"/>
    <w:rsid w:val="00B724B5"/>
    <w:rsid w:val="00B73F0F"/>
    <w:rsid w:val="00B76CD8"/>
    <w:rsid w:val="00B770C8"/>
    <w:rsid w:val="00B77861"/>
    <w:rsid w:val="00B80BC3"/>
    <w:rsid w:val="00B82ADC"/>
    <w:rsid w:val="00B82C01"/>
    <w:rsid w:val="00B83391"/>
    <w:rsid w:val="00B83810"/>
    <w:rsid w:val="00B83CFF"/>
    <w:rsid w:val="00B84275"/>
    <w:rsid w:val="00B87BBB"/>
    <w:rsid w:val="00B90F31"/>
    <w:rsid w:val="00B928F3"/>
    <w:rsid w:val="00B92D63"/>
    <w:rsid w:val="00B92F25"/>
    <w:rsid w:val="00B93925"/>
    <w:rsid w:val="00B93DDC"/>
    <w:rsid w:val="00B95158"/>
    <w:rsid w:val="00B95326"/>
    <w:rsid w:val="00B960E7"/>
    <w:rsid w:val="00BA26ED"/>
    <w:rsid w:val="00BA472B"/>
    <w:rsid w:val="00BA533D"/>
    <w:rsid w:val="00BA53D1"/>
    <w:rsid w:val="00BA7EE6"/>
    <w:rsid w:val="00BB127F"/>
    <w:rsid w:val="00BB5EB2"/>
    <w:rsid w:val="00BC142A"/>
    <w:rsid w:val="00BC2227"/>
    <w:rsid w:val="00BC2365"/>
    <w:rsid w:val="00BC2D97"/>
    <w:rsid w:val="00BC3FD8"/>
    <w:rsid w:val="00BC6555"/>
    <w:rsid w:val="00BC75FE"/>
    <w:rsid w:val="00BC77D9"/>
    <w:rsid w:val="00BD0053"/>
    <w:rsid w:val="00BD0232"/>
    <w:rsid w:val="00BD0BCA"/>
    <w:rsid w:val="00BD3D7A"/>
    <w:rsid w:val="00BD4196"/>
    <w:rsid w:val="00BD5CB1"/>
    <w:rsid w:val="00BE0A14"/>
    <w:rsid w:val="00BE2844"/>
    <w:rsid w:val="00BF1166"/>
    <w:rsid w:val="00BF22CA"/>
    <w:rsid w:val="00BF23BB"/>
    <w:rsid w:val="00BF3346"/>
    <w:rsid w:val="00BF33DA"/>
    <w:rsid w:val="00BF4CF2"/>
    <w:rsid w:val="00BF4D6D"/>
    <w:rsid w:val="00BF5525"/>
    <w:rsid w:val="00BF5F35"/>
    <w:rsid w:val="00BF64C4"/>
    <w:rsid w:val="00BF709E"/>
    <w:rsid w:val="00C00F28"/>
    <w:rsid w:val="00C04739"/>
    <w:rsid w:val="00C04F94"/>
    <w:rsid w:val="00C055A3"/>
    <w:rsid w:val="00C07B12"/>
    <w:rsid w:val="00C11A3B"/>
    <w:rsid w:val="00C11EF9"/>
    <w:rsid w:val="00C139F0"/>
    <w:rsid w:val="00C15D11"/>
    <w:rsid w:val="00C1619E"/>
    <w:rsid w:val="00C16AA1"/>
    <w:rsid w:val="00C227E1"/>
    <w:rsid w:val="00C22A2A"/>
    <w:rsid w:val="00C26032"/>
    <w:rsid w:val="00C27647"/>
    <w:rsid w:val="00C2785D"/>
    <w:rsid w:val="00C3067B"/>
    <w:rsid w:val="00C31BC4"/>
    <w:rsid w:val="00C32CED"/>
    <w:rsid w:val="00C345E1"/>
    <w:rsid w:val="00C358A8"/>
    <w:rsid w:val="00C36A7B"/>
    <w:rsid w:val="00C37E00"/>
    <w:rsid w:val="00C41209"/>
    <w:rsid w:val="00C41BD6"/>
    <w:rsid w:val="00C420C5"/>
    <w:rsid w:val="00C43BFD"/>
    <w:rsid w:val="00C44C2E"/>
    <w:rsid w:val="00C463A0"/>
    <w:rsid w:val="00C47817"/>
    <w:rsid w:val="00C47E26"/>
    <w:rsid w:val="00C47EA3"/>
    <w:rsid w:val="00C50DC1"/>
    <w:rsid w:val="00C524EF"/>
    <w:rsid w:val="00C57003"/>
    <w:rsid w:val="00C5726E"/>
    <w:rsid w:val="00C60301"/>
    <w:rsid w:val="00C6048A"/>
    <w:rsid w:val="00C6150B"/>
    <w:rsid w:val="00C61C5B"/>
    <w:rsid w:val="00C62076"/>
    <w:rsid w:val="00C64303"/>
    <w:rsid w:val="00C64B6F"/>
    <w:rsid w:val="00C653C3"/>
    <w:rsid w:val="00C65FC9"/>
    <w:rsid w:val="00C66E3F"/>
    <w:rsid w:val="00C67C1A"/>
    <w:rsid w:val="00C72DCB"/>
    <w:rsid w:val="00C763D2"/>
    <w:rsid w:val="00C811FB"/>
    <w:rsid w:val="00C81273"/>
    <w:rsid w:val="00C82D54"/>
    <w:rsid w:val="00C8487D"/>
    <w:rsid w:val="00C84D30"/>
    <w:rsid w:val="00C8543B"/>
    <w:rsid w:val="00C873F7"/>
    <w:rsid w:val="00C90355"/>
    <w:rsid w:val="00C909EA"/>
    <w:rsid w:val="00C96B11"/>
    <w:rsid w:val="00CA117C"/>
    <w:rsid w:val="00CA11BE"/>
    <w:rsid w:val="00CA131A"/>
    <w:rsid w:val="00CA13AF"/>
    <w:rsid w:val="00CA6855"/>
    <w:rsid w:val="00CA711C"/>
    <w:rsid w:val="00CB0609"/>
    <w:rsid w:val="00CB0645"/>
    <w:rsid w:val="00CB4C45"/>
    <w:rsid w:val="00CB6E35"/>
    <w:rsid w:val="00CB7302"/>
    <w:rsid w:val="00CC064D"/>
    <w:rsid w:val="00CC291B"/>
    <w:rsid w:val="00CC2E19"/>
    <w:rsid w:val="00CC39B1"/>
    <w:rsid w:val="00CC6AF5"/>
    <w:rsid w:val="00CC75FA"/>
    <w:rsid w:val="00CD068A"/>
    <w:rsid w:val="00CD2FCA"/>
    <w:rsid w:val="00CD5297"/>
    <w:rsid w:val="00CD5942"/>
    <w:rsid w:val="00CD5B9E"/>
    <w:rsid w:val="00CE09B1"/>
    <w:rsid w:val="00CE12A6"/>
    <w:rsid w:val="00CE16A8"/>
    <w:rsid w:val="00CE1A46"/>
    <w:rsid w:val="00CF064C"/>
    <w:rsid w:val="00CF0874"/>
    <w:rsid w:val="00CF114E"/>
    <w:rsid w:val="00CF2C4F"/>
    <w:rsid w:val="00CF5C07"/>
    <w:rsid w:val="00CF77F3"/>
    <w:rsid w:val="00CF7C2F"/>
    <w:rsid w:val="00D001F1"/>
    <w:rsid w:val="00D013AB"/>
    <w:rsid w:val="00D02698"/>
    <w:rsid w:val="00D0304E"/>
    <w:rsid w:val="00D05EA6"/>
    <w:rsid w:val="00D06D1A"/>
    <w:rsid w:val="00D0712D"/>
    <w:rsid w:val="00D10422"/>
    <w:rsid w:val="00D11CA6"/>
    <w:rsid w:val="00D1286B"/>
    <w:rsid w:val="00D13813"/>
    <w:rsid w:val="00D163CB"/>
    <w:rsid w:val="00D17757"/>
    <w:rsid w:val="00D20757"/>
    <w:rsid w:val="00D2147B"/>
    <w:rsid w:val="00D22636"/>
    <w:rsid w:val="00D22759"/>
    <w:rsid w:val="00D2453B"/>
    <w:rsid w:val="00D270D2"/>
    <w:rsid w:val="00D308F9"/>
    <w:rsid w:val="00D31BD4"/>
    <w:rsid w:val="00D32B91"/>
    <w:rsid w:val="00D333EC"/>
    <w:rsid w:val="00D34A1A"/>
    <w:rsid w:val="00D3603D"/>
    <w:rsid w:val="00D40C0A"/>
    <w:rsid w:val="00D40FD9"/>
    <w:rsid w:val="00D41DE6"/>
    <w:rsid w:val="00D42B9D"/>
    <w:rsid w:val="00D479E1"/>
    <w:rsid w:val="00D50C78"/>
    <w:rsid w:val="00D5126A"/>
    <w:rsid w:val="00D51378"/>
    <w:rsid w:val="00D5206A"/>
    <w:rsid w:val="00D52347"/>
    <w:rsid w:val="00D525C4"/>
    <w:rsid w:val="00D53769"/>
    <w:rsid w:val="00D54E73"/>
    <w:rsid w:val="00D55025"/>
    <w:rsid w:val="00D55079"/>
    <w:rsid w:val="00D5620C"/>
    <w:rsid w:val="00D565FE"/>
    <w:rsid w:val="00D5771F"/>
    <w:rsid w:val="00D5793A"/>
    <w:rsid w:val="00D57A0D"/>
    <w:rsid w:val="00D64356"/>
    <w:rsid w:val="00D658E5"/>
    <w:rsid w:val="00D6602D"/>
    <w:rsid w:val="00D6625B"/>
    <w:rsid w:val="00D66F67"/>
    <w:rsid w:val="00D67442"/>
    <w:rsid w:val="00D72329"/>
    <w:rsid w:val="00D735DE"/>
    <w:rsid w:val="00D739DE"/>
    <w:rsid w:val="00D74819"/>
    <w:rsid w:val="00D75BCC"/>
    <w:rsid w:val="00D80780"/>
    <w:rsid w:val="00D8191F"/>
    <w:rsid w:val="00D830E8"/>
    <w:rsid w:val="00D8334F"/>
    <w:rsid w:val="00D85C13"/>
    <w:rsid w:val="00D8648F"/>
    <w:rsid w:val="00D87926"/>
    <w:rsid w:val="00D9111A"/>
    <w:rsid w:val="00D91BE3"/>
    <w:rsid w:val="00D931FE"/>
    <w:rsid w:val="00D93933"/>
    <w:rsid w:val="00D949B7"/>
    <w:rsid w:val="00D94AFC"/>
    <w:rsid w:val="00D96C37"/>
    <w:rsid w:val="00D979C6"/>
    <w:rsid w:val="00DA07E5"/>
    <w:rsid w:val="00DA26BB"/>
    <w:rsid w:val="00DA2A91"/>
    <w:rsid w:val="00DA35AB"/>
    <w:rsid w:val="00DA3AF6"/>
    <w:rsid w:val="00DA6B34"/>
    <w:rsid w:val="00DA741F"/>
    <w:rsid w:val="00DB0765"/>
    <w:rsid w:val="00DB70AE"/>
    <w:rsid w:val="00DC2781"/>
    <w:rsid w:val="00DC4273"/>
    <w:rsid w:val="00DC45E4"/>
    <w:rsid w:val="00DC5597"/>
    <w:rsid w:val="00DC582D"/>
    <w:rsid w:val="00DC7A90"/>
    <w:rsid w:val="00DC7B3E"/>
    <w:rsid w:val="00DD027F"/>
    <w:rsid w:val="00DD3456"/>
    <w:rsid w:val="00DD5071"/>
    <w:rsid w:val="00DD5C39"/>
    <w:rsid w:val="00DD7083"/>
    <w:rsid w:val="00DE222A"/>
    <w:rsid w:val="00DE28B8"/>
    <w:rsid w:val="00DE41B9"/>
    <w:rsid w:val="00DE42FA"/>
    <w:rsid w:val="00DE4DE3"/>
    <w:rsid w:val="00DE5BF3"/>
    <w:rsid w:val="00DE5C2D"/>
    <w:rsid w:val="00DE5DEB"/>
    <w:rsid w:val="00DE618F"/>
    <w:rsid w:val="00DE65A9"/>
    <w:rsid w:val="00DE7DB7"/>
    <w:rsid w:val="00E00A0A"/>
    <w:rsid w:val="00E00EC7"/>
    <w:rsid w:val="00E01E84"/>
    <w:rsid w:val="00E02581"/>
    <w:rsid w:val="00E048CD"/>
    <w:rsid w:val="00E0627C"/>
    <w:rsid w:val="00E066DE"/>
    <w:rsid w:val="00E07F57"/>
    <w:rsid w:val="00E12BA5"/>
    <w:rsid w:val="00E1336A"/>
    <w:rsid w:val="00E134E1"/>
    <w:rsid w:val="00E13665"/>
    <w:rsid w:val="00E16A43"/>
    <w:rsid w:val="00E16E1D"/>
    <w:rsid w:val="00E17891"/>
    <w:rsid w:val="00E17B4B"/>
    <w:rsid w:val="00E22568"/>
    <w:rsid w:val="00E23ABC"/>
    <w:rsid w:val="00E240E1"/>
    <w:rsid w:val="00E2449A"/>
    <w:rsid w:val="00E2698E"/>
    <w:rsid w:val="00E30304"/>
    <w:rsid w:val="00E30364"/>
    <w:rsid w:val="00E3061D"/>
    <w:rsid w:val="00E30683"/>
    <w:rsid w:val="00E30C78"/>
    <w:rsid w:val="00E31EC0"/>
    <w:rsid w:val="00E32A2E"/>
    <w:rsid w:val="00E34516"/>
    <w:rsid w:val="00E370AB"/>
    <w:rsid w:val="00E42107"/>
    <w:rsid w:val="00E453D8"/>
    <w:rsid w:val="00E45D23"/>
    <w:rsid w:val="00E47A7C"/>
    <w:rsid w:val="00E5061B"/>
    <w:rsid w:val="00E50BCE"/>
    <w:rsid w:val="00E52172"/>
    <w:rsid w:val="00E52E10"/>
    <w:rsid w:val="00E55707"/>
    <w:rsid w:val="00E564AD"/>
    <w:rsid w:val="00E565F5"/>
    <w:rsid w:val="00E574BF"/>
    <w:rsid w:val="00E57B94"/>
    <w:rsid w:val="00E60149"/>
    <w:rsid w:val="00E61292"/>
    <w:rsid w:val="00E61CDE"/>
    <w:rsid w:val="00E62B80"/>
    <w:rsid w:val="00E62CFE"/>
    <w:rsid w:val="00E64180"/>
    <w:rsid w:val="00E65F7B"/>
    <w:rsid w:val="00E66663"/>
    <w:rsid w:val="00E66701"/>
    <w:rsid w:val="00E676F7"/>
    <w:rsid w:val="00E700B9"/>
    <w:rsid w:val="00E72125"/>
    <w:rsid w:val="00E7274A"/>
    <w:rsid w:val="00E7378D"/>
    <w:rsid w:val="00E741DB"/>
    <w:rsid w:val="00E7528E"/>
    <w:rsid w:val="00E77777"/>
    <w:rsid w:val="00E77C4D"/>
    <w:rsid w:val="00E77F87"/>
    <w:rsid w:val="00E80A0A"/>
    <w:rsid w:val="00E81D01"/>
    <w:rsid w:val="00E81EB4"/>
    <w:rsid w:val="00E83699"/>
    <w:rsid w:val="00E84827"/>
    <w:rsid w:val="00E87F0F"/>
    <w:rsid w:val="00E91A81"/>
    <w:rsid w:val="00E920F5"/>
    <w:rsid w:val="00E9608F"/>
    <w:rsid w:val="00E96789"/>
    <w:rsid w:val="00E96C59"/>
    <w:rsid w:val="00EA380B"/>
    <w:rsid w:val="00EA7285"/>
    <w:rsid w:val="00EB0D15"/>
    <w:rsid w:val="00EB143E"/>
    <w:rsid w:val="00EB26F1"/>
    <w:rsid w:val="00EB27DC"/>
    <w:rsid w:val="00EB485A"/>
    <w:rsid w:val="00EB543D"/>
    <w:rsid w:val="00EB614E"/>
    <w:rsid w:val="00EB7471"/>
    <w:rsid w:val="00EC0C2B"/>
    <w:rsid w:val="00EC33D3"/>
    <w:rsid w:val="00EC5CFD"/>
    <w:rsid w:val="00EC6D7A"/>
    <w:rsid w:val="00ED2B2B"/>
    <w:rsid w:val="00ED3302"/>
    <w:rsid w:val="00ED3732"/>
    <w:rsid w:val="00ED42D3"/>
    <w:rsid w:val="00ED53E0"/>
    <w:rsid w:val="00ED617F"/>
    <w:rsid w:val="00ED743D"/>
    <w:rsid w:val="00ED7C59"/>
    <w:rsid w:val="00EE1AEF"/>
    <w:rsid w:val="00EE1C90"/>
    <w:rsid w:val="00EE1CA2"/>
    <w:rsid w:val="00EE3089"/>
    <w:rsid w:val="00EE45D8"/>
    <w:rsid w:val="00EE5F76"/>
    <w:rsid w:val="00EE62B9"/>
    <w:rsid w:val="00EE7367"/>
    <w:rsid w:val="00EF059B"/>
    <w:rsid w:val="00EF0C97"/>
    <w:rsid w:val="00EF18B7"/>
    <w:rsid w:val="00EF4FB5"/>
    <w:rsid w:val="00EF5B15"/>
    <w:rsid w:val="00EF6C2F"/>
    <w:rsid w:val="00EF6ED7"/>
    <w:rsid w:val="00EF7FD0"/>
    <w:rsid w:val="00F00AF2"/>
    <w:rsid w:val="00F03490"/>
    <w:rsid w:val="00F06B6B"/>
    <w:rsid w:val="00F0750C"/>
    <w:rsid w:val="00F112E1"/>
    <w:rsid w:val="00F11334"/>
    <w:rsid w:val="00F118F3"/>
    <w:rsid w:val="00F12646"/>
    <w:rsid w:val="00F14C5D"/>
    <w:rsid w:val="00F15A8E"/>
    <w:rsid w:val="00F17DA5"/>
    <w:rsid w:val="00F20ADA"/>
    <w:rsid w:val="00F2143B"/>
    <w:rsid w:val="00F21EE1"/>
    <w:rsid w:val="00F22EDA"/>
    <w:rsid w:val="00F24D57"/>
    <w:rsid w:val="00F26084"/>
    <w:rsid w:val="00F26641"/>
    <w:rsid w:val="00F27E2C"/>
    <w:rsid w:val="00F30AC4"/>
    <w:rsid w:val="00F3222C"/>
    <w:rsid w:val="00F325C7"/>
    <w:rsid w:val="00F3297F"/>
    <w:rsid w:val="00F32EB0"/>
    <w:rsid w:val="00F33689"/>
    <w:rsid w:val="00F3512B"/>
    <w:rsid w:val="00F3701D"/>
    <w:rsid w:val="00F41F8E"/>
    <w:rsid w:val="00F4234E"/>
    <w:rsid w:val="00F43607"/>
    <w:rsid w:val="00F4428F"/>
    <w:rsid w:val="00F449A2"/>
    <w:rsid w:val="00F45513"/>
    <w:rsid w:val="00F46289"/>
    <w:rsid w:val="00F470D6"/>
    <w:rsid w:val="00F5020E"/>
    <w:rsid w:val="00F50CD2"/>
    <w:rsid w:val="00F5102D"/>
    <w:rsid w:val="00F51C92"/>
    <w:rsid w:val="00F537D3"/>
    <w:rsid w:val="00F542FF"/>
    <w:rsid w:val="00F54C4F"/>
    <w:rsid w:val="00F554D0"/>
    <w:rsid w:val="00F5570E"/>
    <w:rsid w:val="00F5589A"/>
    <w:rsid w:val="00F60DBE"/>
    <w:rsid w:val="00F60E95"/>
    <w:rsid w:val="00F6182D"/>
    <w:rsid w:val="00F62EE9"/>
    <w:rsid w:val="00F62F62"/>
    <w:rsid w:val="00F63C1D"/>
    <w:rsid w:val="00F6437C"/>
    <w:rsid w:val="00F65760"/>
    <w:rsid w:val="00F67C2A"/>
    <w:rsid w:val="00F67CE2"/>
    <w:rsid w:val="00F71070"/>
    <w:rsid w:val="00F71DC1"/>
    <w:rsid w:val="00F7369D"/>
    <w:rsid w:val="00F754CF"/>
    <w:rsid w:val="00F805DD"/>
    <w:rsid w:val="00F81E30"/>
    <w:rsid w:val="00F83BE8"/>
    <w:rsid w:val="00F8411A"/>
    <w:rsid w:val="00F85D48"/>
    <w:rsid w:val="00F90757"/>
    <w:rsid w:val="00F91C75"/>
    <w:rsid w:val="00F97465"/>
    <w:rsid w:val="00F978A5"/>
    <w:rsid w:val="00FA3E15"/>
    <w:rsid w:val="00FA61D0"/>
    <w:rsid w:val="00FA65FE"/>
    <w:rsid w:val="00FB043B"/>
    <w:rsid w:val="00FB0D85"/>
    <w:rsid w:val="00FB1859"/>
    <w:rsid w:val="00FB566F"/>
    <w:rsid w:val="00FB5860"/>
    <w:rsid w:val="00FC0590"/>
    <w:rsid w:val="00FC23CB"/>
    <w:rsid w:val="00FC317A"/>
    <w:rsid w:val="00FC40FA"/>
    <w:rsid w:val="00FC5A77"/>
    <w:rsid w:val="00FD003F"/>
    <w:rsid w:val="00FD3DD5"/>
    <w:rsid w:val="00FD446C"/>
    <w:rsid w:val="00FD61C0"/>
    <w:rsid w:val="00FD634A"/>
    <w:rsid w:val="00FD7A74"/>
    <w:rsid w:val="00FE249B"/>
    <w:rsid w:val="00FE4724"/>
    <w:rsid w:val="00FE6449"/>
    <w:rsid w:val="00FE6D6E"/>
    <w:rsid w:val="00FE6D8A"/>
    <w:rsid w:val="00FE7370"/>
    <w:rsid w:val="00FF0B8B"/>
    <w:rsid w:val="00FF2F11"/>
    <w:rsid w:val="00FF40F7"/>
    <w:rsid w:val="00FF561B"/>
    <w:rsid w:val="00FF5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6A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55D"/>
    <w:rPr>
      <w:sz w:val="24"/>
      <w:szCs w:val="24"/>
      <w:lang w:val="en-GB" w:eastAsia="en-GB"/>
    </w:rPr>
  </w:style>
  <w:style w:type="paragraph" w:styleId="Heading1">
    <w:name w:val="heading 1"/>
    <w:aliases w:val="Heading 1 tax"/>
    <w:basedOn w:val="Normal"/>
    <w:next w:val="Bodytexttax1"/>
    <w:link w:val="Heading1Char"/>
    <w:qFormat/>
    <w:rsid w:val="004F749E"/>
    <w:pPr>
      <w:keepNext/>
      <w:spacing w:before="240" w:after="60"/>
      <w:outlineLvl w:val="0"/>
    </w:pPr>
    <w:rPr>
      <w:b/>
      <w:szCs w:val="20"/>
      <w:lang w:eastAsia="en-US"/>
    </w:rPr>
  </w:style>
  <w:style w:type="paragraph" w:styleId="Heading2">
    <w:name w:val="heading 2"/>
    <w:aliases w:val="Heading 2 tax"/>
    <w:basedOn w:val="Normal"/>
    <w:next w:val="Bodytexttax1"/>
    <w:link w:val="Heading2Char"/>
    <w:qFormat/>
    <w:rsid w:val="004F749E"/>
    <w:pPr>
      <w:keepNext/>
      <w:spacing w:before="240" w:after="60"/>
      <w:outlineLvl w:val="1"/>
    </w:pPr>
    <w:rPr>
      <w:i/>
      <w:szCs w:val="20"/>
      <w:lang w:eastAsia="en-US"/>
    </w:rPr>
  </w:style>
  <w:style w:type="paragraph" w:styleId="Heading3">
    <w:name w:val="heading 3"/>
    <w:basedOn w:val="Normal"/>
    <w:next w:val="Normal"/>
    <w:link w:val="Heading3Char"/>
    <w:qFormat/>
    <w:rsid w:val="004F749E"/>
    <w:pPr>
      <w:keepNext/>
      <w:spacing w:before="240" w:after="60"/>
      <w:outlineLvl w:val="2"/>
    </w:pPr>
    <w:rPr>
      <w:rFonts w:ascii="Arial" w:hAnsi="Arial"/>
      <w:szCs w:val="20"/>
      <w:lang w:eastAsia="en-US"/>
    </w:rPr>
  </w:style>
  <w:style w:type="paragraph" w:styleId="Heading4">
    <w:name w:val="heading 4"/>
    <w:basedOn w:val="Normal"/>
    <w:next w:val="Normal"/>
    <w:link w:val="Heading4Char"/>
    <w:qFormat/>
    <w:rsid w:val="004F749E"/>
    <w:pPr>
      <w:keepNext/>
      <w:tabs>
        <w:tab w:val="center" w:pos="4050"/>
        <w:tab w:val="right" w:pos="5760"/>
        <w:tab w:val="right" w:pos="8190"/>
      </w:tabs>
      <w:ind w:right="793"/>
      <w:jc w:val="center"/>
      <w:outlineLvl w:val="3"/>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52A9"/>
    <w:pPr>
      <w:tabs>
        <w:tab w:val="center" w:pos="4153"/>
        <w:tab w:val="right" w:pos="8306"/>
      </w:tabs>
    </w:pPr>
  </w:style>
  <w:style w:type="paragraph" w:styleId="Footer">
    <w:name w:val="footer"/>
    <w:basedOn w:val="Normal"/>
    <w:rsid w:val="007552A9"/>
    <w:pPr>
      <w:tabs>
        <w:tab w:val="center" w:pos="4153"/>
        <w:tab w:val="right" w:pos="8306"/>
      </w:tabs>
    </w:pPr>
  </w:style>
  <w:style w:type="character" w:styleId="PageNumber">
    <w:name w:val="page number"/>
    <w:basedOn w:val="DefaultParagraphFont"/>
    <w:rsid w:val="007552A9"/>
  </w:style>
  <w:style w:type="table" w:styleId="TableGrid">
    <w:name w:val="Table Grid"/>
    <w:basedOn w:val="TableNormal"/>
    <w:rsid w:val="00D2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1D8F"/>
    <w:rPr>
      <w:rFonts w:ascii="Tahoma" w:hAnsi="Tahoma" w:cs="Tahoma"/>
      <w:sz w:val="16"/>
      <w:szCs w:val="16"/>
    </w:rPr>
  </w:style>
  <w:style w:type="character" w:styleId="Hyperlink">
    <w:name w:val="Hyperlink"/>
    <w:rsid w:val="00B95326"/>
    <w:rPr>
      <w:color w:val="0000FF"/>
      <w:u w:val="single"/>
    </w:rPr>
  </w:style>
  <w:style w:type="paragraph" w:styleId="ListParagraph">
    <w:name w:val="List Paragraph"/>
    <w:basedOn w:val="Normal"/>
    <w:uiPriority w:val="34"/>
    <w:qFormat/>
    <w:rsid w:val="00FD3DD5"/>
    <w:pPr>
      <w:ind w:left="720"/>
      <w:contextualSpacing/>
    </w:pPr>
  </w:style>
  <w:style w:type="character" w:customStyle="1" w:styleId="markedcontent">
    <w:name w:val="markedcontent"/>
    <w:basedOn w:val="DefaultParagraphFont"/>
    <w:rsid w:val="00A664AC"/>
  </w:style>
  <w:style w:type="paragraph" w:styleId="NormalWeb">
    <w:name w:val="Normal (Web)"/>
    <w:basedOn w:val="Normal"/>
    <w:uiPriority w:val="99"/>
    <w:unhideWhenUsed/>
    <w:rsid w:val="00A53ED1"/>
    <w:pPr>
      <w:spacing w:before="100" w:beforeAutospacing="1" w:after="100" w:afterAutospacing="1"/>
    </w:pPr>
  </w:style>
  <w:style w:type="character" w:styleId="CommentReference">
    <w:name w:val="annotation reference"/>
    <w:rsid w:val="00AB5E6D"/>
    <w:rPr>
      <w:sz w:val="16"/>
      <w:szCs w:val="16"/>
    </w:rPr>
  </w:style>
  <w:style w:type="paragraph" w:styleId="CommentText">
    <w:name w:val="annotation text"/>
    <w:basedOn w:val="Normal"/>
    <w:link w:val="CommentTextChar"/>
    <w:rsid w:val="00AB5E6D"/>
    <w:rPr>
      <w:sz w:val="20"/>
      <w:szCs w:val="20"/>
    </w:rPr>
  </w:style>
  <w:style w:type="character" w:customStyle="1" w:styleId="CommentTextChar">
    <w:name w:val="Comment Text Char"/>
    <w:basedOn w:val="DefaultParagraphFont"/>
    <w:link w:val="CommentText"/>
    <w:rsid w:val="00AB5E6D"/>
  </w:style>
  <w:style w:type="paragraph" w:styleId="CommentSubject">
    <w:name w:val="annotation subject"/>
    <w:basedOn w:val="CommentText"/>
    <w:next w:val="CommentText"/>
    <w:link w:val="CommentSubjectChar"/>
    <w:rsid w:val="00AB5E6D"/>
    <w:rPr>
      <w:b/>
      <w:bCs/>
    </w:rPr>
  </w:style>
  <w:style w:type="character" w:customStyle="1" w:styleId="CommentSubjectChar">
    <w:name w:val="Comment Subject Char"/>
    <w:link w:val="CommentSubject"/>
    <w:rsid w:val="00AB5E6D"/>
    <w:rPr>
      <w:b/>
      <w:bCs/>
    </w:rPr>
  </w:style>
  <w:style w:type="character" w:customStyle="1" w:styleId="Heading1Char">
    <w:name w:val="Heading 1 Char"/>
    <w:aliases w:val="Heading 1 tax Char"/>
    <w:basedOn w:val="DefaultParagraphFont"/>
    <w:link w:val="Heading1"/>
    <w:rsid w:val="004F749E"/>
    <w:rPr>
      <w:b/>
      <w:sz w:val="24"/>
      <w:lang w:val="en-GB"/>
    </w:rPr>
  </w:style>
  <w:style w:type="character" w:customStyle="1" w:styleId="Heading2Char">
    <w:name w:val="Heading 2 Char"/>
    <w:aliases w:val="Heading 2 tax Char"/>
    <w:basedOn w:val="DefaultParagraphFont"/>
    <w:link w:val="Heading2"/>
    <w:rsid w:val="004F749E"/>
    <w:rPr>
      <w:i/>
      <w:sz w:val="24"/>
      <w:lang w:val="en-GB"/>
    </w:rPr>
  </w:style>
  <w:style w:type="paragraph" w:customStyle="1" w:styleId="Bodytexttax1">
    <w:name w:val="Body text tax 1"/>
    <w:basedOn w:val="Normal"/>
    <w:rsid w:val="004F749E"/>
    <w:pPr>
      <w:numPr>
        <w:numId w:val="23"/>
      </w:numPr>
      <w:tabs>
        <w:tab w:val="left" w:pos="425"/>
      </w:tabs>
      <w:spacing w:after="240"/>
      <w:jc w:val="both"/>
    </w:pPr>
    <w:rPr>
      <w:szCs w:val="20"/>
      <w:lang w:eastAsia="en-US"/>
    </w:rPr>
  </w:style>
  <w:style w:type="paragraph" w:customStyle="1" w:styleId="Bodytexttax2">
    <w:name w:val="Body text tax 2"/>
    <w:basedOn w:val="Normal"/>
    <w:rsid w:val="004F749E"/>
    <w:pPr>
      <w:numPr>
        <w:ilvl w:val="1"/>
        <w:numId w:val="23"/>
      </w:numPr>
      <w:tabs>
        <w:tab w:val="left" w:pos="992"/>
      </w:tabs>
      <w:spacing w:after="120"/>
      <w:jc w:val="both"/>
    </w:pPr>
    <w:rPr>
      <w:szCs w:val="20"/>
      <w:lang w:eastAsia="en-US"/>
    </w:rPr>
  </w:style>
  <w:style w:type="paragraph" w:customStyle="1" w:styleId="Bodytexttax3">
    <w:name w:val="Body text tax 3"/>
    <w:basedOn w:val="Normal"/>
    <w:next w:val="Bodytexttax1"/>
    <w:rsid w:val="004F749E"/>
    <w:pPr>
      <w:spacing w:after="240"/>
      <w:jc w:val="both"/>
    </w:pPr>
    <w:rPr>
      <w:szCs w:val="20"/>
      <w:lang w:eastAsia="en-US"/>
    </w:rPr>
  </w:style>
  <w:style w:type="paragraph" w:customStyle="1" w:styleId="Bodytexttax4">
    <w:name w:val="Body text tax 4"/>
    <w:basedOn w:val="Normal"/>
    <w:rsid w:val="004F749E"/>
    <w:pPr>
      <w:numPr>
        <w:ilvl w:val="2"/>
        <w:numId w:val="23"/>
      </w:numPr>
      <w:tabs>
        <w:tab w:val="left" w:pos="1559"/>
      </w:tabs>
      <w:spacing w:after="120"/>
      <w:jc w:val="both"/>
    </w:pPr>
    <w:rPr>
      <w:szCs w:val="20"/>
      <w:lang w:eastAsia="en-US"/>
    </w:rPr>
  </w:style>
  <w:style w:type="paragraph" w:customStyle="1" w:styleId="Bodytexttaxindent">
    <w:name w:val="Body text tax indent"/>
    <w:basedOn w:val="Normal"/>
    <w:link w:val="BodytexttaxindentChar"/>
    <w:rsid w:val="004F749E"/>
    <w:pPr>
      <w:spacing w:after="120"/>
      <w:ind w:left="1440" w:right="567"/>
      <w:jc w:val="both"/>
    </w:pPr>
    <w:rPr>
      <w:sz w:val="22"/>
      <w:szCs w:val="20"/>
      <w:lang w:eastAsia="en-US"/>
    </w:rPr>
  </w:style>
  <w:style w:type="character" w:customStyle="1" w:styleId="BodytexttaxindentChar">
    <w:name w:val="Body text tax indent Char"/>
    <w:link w:val="Bodytexttaxindent"/>
    <w:rsid w:val="004F749E"/>
    <w:rPr>
      <w:sz w:val="22"/>
      <w:lang w:val="en-GB"/>
    </w:rPr>
  </w:style>
  <w:style w:type="character" w:customStyle="1" w:styleId="Heading3Char">
    <w:name w:val="Heading 3 Char"/>
    <w:basedOn w:val="DefaultParagraphFont"/>
    <w:link w:val="Heading3"/>
    <w:rsid w:val="004F749E"/>
    <w:rPr>
      <w:rFonts w:ascii="Arial" w:hAnsi="Arial"/>
      <w:sz w:val="24"/>
      <w:lang w:val="en-GB"/>
    </w:rPr>
  </w:style>
  <w:style w:type="character" w:customStyle="1" w:styleId="Heading4Char">
    <w:name w:val="Heading 4 Char"/>
    <w:basedOn w:val="DefaultParagraphFont"/>
    <w:link w:val="Heading4"/>
    <w:rsid w:val="004F749E"/>
    <w:rPr>
      <w:b/>
      <w:sz w:val="24"/>
      <w:lang w:val="en-GB"/>
    </w:rPr>
  </w:style>
  <w:style w:type="paragraph" w:customStyle="1" w:styleId="legclearfix">
    <w:name w:val="legclearfix"/>
    <w:basedOn w:val="Normal"/>
    <w:rsid w:val="00A35F0A"/>
    <w:pPr>
      <w:spacing w:before="100" w:beforeAutospacing="1" w:after="100" w:afterAutospacing="1"/>
    </w:pPr>
  </w:style>
  <w:style w:type="character" w:customStyle="1" w:styleId="legds">
    <w:name w:val="legds"/>
    <w:basedOn w:val="DefaultParagraphFont"/>
    <w:rsid w:val="00A35F0A"/>
  </w:style>
  <w:style w:type="paragraph" w:customStyle="1" w:styleId="Default">
    <w:name w:val="Default"/>
    <w:rsid w:val="00902D4F"/>
    <w:pPr>
      <w:autoSpaceDE w:val="0"/>
      <w:autoSpaceDN w:val="0"/>
      <w:adjustRightInd w:val="0"/>
    </w:pPr>
    <w:rPr>
      <w:color w:val="000000"/>
      <w:sz w:val="24"/>
      <w:szCs w:val="24"/>
      <w:lang w:val="en-GB"/>
    </w:rPr>
  </w:style>
  <w:style w:type="character" w:customStyle="1" w:styleId="legchangedelimiter">
    <w:name w:val="legchangedelimiter"/>
    <w:basedOn w:val="DefaultParagraphFont"/>
    <w:rsid w:val="00A90B58"/>
  </w:style>
  <w:style w:type="character" w:customStyle="1" w:styleId="legsubstitution">
    <w:name w:val="legsubstitution"/>
    <w:basedOn w:val="DefaultParagraphFont"/>
    <w:rsid w:val="00A90B58"/>
  </w:style>
  <w:style w:type="character" w:customStyle="1" w:styleId="legaddition">
    <w:name w:val="legaddition"/>
    <w:basedOn w:val="DefaultParagraphFont"/>
    <w:rsid w:val="00A90B58"/>
  </w:style>
  <w:style w:type="paragraph" w:customStyle="1" w:styleId="legrhs">
    <w:name w:val="legrhs"/>
    <w:basedOn w:val="Normal"/>
    <w:rsid w:val="00A90B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3717">
      <w:bodyDiv w:val="1"/>
      <w:marLeft w:val="0"/>
      <w:marRight w:val="0"/>
      <w:marTop w:val="0"/>
      <w:marBottom w:val="0"/>
      <w:divBdr>
        <w:top w:val="none" w:sz="0" w:space="0" w:color="auto"/>
        <w:left w:val="none" w:sz="0" w:space="0" w:color="auto"/>
        <w:bottom w:val="none" w:sz="0" w:space="0" w:color="auto"/>
        <w:right w:val="none" w:sz="0" w:space="0" w:color="auto"/>
      </w:divBdr>
    </w:div>
    <w:div w:id="502934788">
      <w:bodyDiv w:val="1"/>
      <w:marLeft w:val="0"/>
      <w:marRight w:val="0"/>
      <w:marTop w:val="0"/>
      <w:marBottom w:val="0"/>
      <w:divBdr>
        <w:top w:val="none" w:sz="0" w:space="0" w:color="auto"/>
        <w:left w:val="none" w:sz="0" w:space="0" w:color="auto"/>
        <w:bottom w:val="none" w:sz="0" w:space="0" w:color="auto"/>
        <w:right w:val="none" w:sz="0" w:space="0" w:color="auto"/>
      </w:divBdr>
    </w:div>
    <w:div w:id="675887395">
      <w:bodyDiv w:val="1"/>
      <w:marLeft w:val="0"/>
      <w:marRight w:val="0"/>
      <w:marTop w:val="0"/>
      <w:marBottom w:val="0"/>
      <w:divBdr>
        <w:top w:val="none" w:sz="0" w:space="0" w:color="auto"/>
        <w:left w:val="none" w:sz="0" w:space="0" w:color="auto"/>
        <w:bottom w:val="none" w:sz="0" w:space="0" w:color="auto"/>
        <w:right w:val="none" w:sz="0" w:space="0" w:color="auto"/>
      </w:divBdr>
    </w:div>
    <w:div w:id="968047698">
      <w:bodyDiv w:val="1"/>
      <w:marLeft w:val="0"/>
      <w:marRight w:val="0"/>
      <w:marTop w:val="0"/>
      <w:marBottom w:val="0"/>
      <w:divBdr>
        <w:top w:val="none" w:sz="0" w:space="0" w:color="auto"/>
        <w:left w:val="none" w:sz="0" w:space="0" w:color="auto"/>
        <w:bottom w:val="none" w:sz="0" w:space="0" w:color="auto"/>
        <w:right w:val="none" w:sz="0" w:space="0" w:color="auto"/>
      </w:divBdr>
    </w:div>
    <w:div w:id="1103960537">
      <w:bodyDiv w:val="1"/>
      <w:marLeft w:val="0"/>
      <w:marRight w:val="0"/>
      <w:marTop w:val="0"/>
      <w:marBottom w:val="0"/>
      <w:divBdr>
        <w:top w:val="none" w:sz="0" w:space="0" w:color="auto"/>
        <w:left w:val="none" w:sz="0" w:space="0" w:color="auto"/>
        <w:bottom w:val="none" w:sz="0" w:space="0" w:color="auto"/>
        <w:right w:val="none" w:sz="0" w:space="0" w:color="auto"/>
      </w:divBdr>
    </w:div>
    <w:div w:id="1111164940">
      <w:bodyDiv w:val="1"/>
      <w:marLeft w:val="0"/>
      <w:marRight w:val="0"/>
      <w:marTop w:val="0"/>
      <w:marBottom w:val="0"/>
      <w:divBdr>
        <w:top w:val="none" w:sz="0" w:space="0" w:color="auto"/>
        <w:left w:val="none" w:sz="0" w:space="0" w:color="auto"/>
        <w:bottom w:val="none" w:sz="0" w:space="0" w:color="auto"/>
        <w:right w:val="none" w:sz="0" w:space="0" w:color="auto"/>
      </w:divBdr>
    </w:div>
    <w:div w:id="1172991859">
      <w:bodyDiv w:val="1"/>
      <w:marLeft w:val="0"/>
      <w:marRight w:val="0"/>
      <w:marTop w:val="0"/>
      <w:marBottom w:val="0"/>
      <w:divBdr>
        <w:top w:val="none" w:sz="0" w:space="0" w:color="auto"/>
        <w:left w:val="none" w:sz="0" w:space="0" w:color="auto"/>
        <w:bottom w:val="none" w:sz="0" w:space="0" w:color="auto"/>
        <w:right w:val="none" w:sz="0" w:space="0" w:color="auto"/>
      </w:divBdr>
    </w:div>
    <w:div w:id="1369180818">
      <w:bodyDiv w:val="1"/>
      <w:marLeft w:val="0"/>
      <w:marRight w:val="0"/>
      <w:marTop w:val="0"/>
      <w:marBottom w:val="0"/>
      <w:divBdr>
        <w:top w:val="none" w:sz="0" w:space="0" w:color="auto"/>
        <w:left w:val="none" w:sz="0" w:space="0" w:color="auto"/>
        <w:bottom w:val="none" w:sz="0" w:space="0" w:color="auto"/>
        <w:right w:val="none" w:sz="0" w:space="0" w:color="auto"/>
      </w:divBdr>
    </w:div>
    <w:div w:id="1454520725">
      <w:bodyDiv w:val="1"/>
      <w:marLeft w:val="0"/>
      <w:marRight w:val="0"/>
      <w:marTop w:val="0"/>
      <w:marBottom w:val="0"/>
      <w:divBdr>
        <w:top w:val="none" w:sz="0" w:space="0" w:color="auto"/>
        <w:left w:val="none" w:sz="0" w:space="0" w:color="auto"/>
        <w:bottom w:val="none" w:sz="0" w:space="0" w:color="auto"/>
        <w:right w:val="none" w:sz="0" w:space="0" w:color="auto"/>
      </w:divBdr>
    </w:div>
    <w:div w:id="1524858715">
      <w:bodyDiv w:val="1"/>
      <w:marLeft w:val="0"/>
      <w:marRight w:val="0"/>
      <w:marTop w:val="0"/>
      <w:marBottom w:val="0"/>
      <w:divBdr>
        <w:top w:val="none" w:sz="0" w:space="0" w:color="auto"/>
        <w:left w:val="none" w:sz="0" w:space="0" w:color="auto"/>
        <w:bottom w:val="none" w:sz="0" w:space="0" w:color="auto"/>
        <w:right w:val="none" w:sz="0" w:space="0" w:color="auto"/>
      </w:divBdr>
    </w:div>
    <w:div w:id="1695377299">
      <w:bodyDiv w:val="1"/>
      <w:marLeft w:val="0"/>
      <w:marRight w:val="0"/>
      <w:marTop w:val="0"/>
      <w:marBottom w:val="0"/>
      <w:divBdr>
        <w:top w:val="none" w:sz="0" w:space="0" w:color="auto"/>
        <w:left w:val="none" w:sz="0" w:space="0" w:color="auto"/>
        <w:bottom w:val="none" w:sz="0" w:space="0" w:color="auto"/>
        <w:right w:val="none" w:sz="0" w:space="0" w:color="auto"/>
      </w:divBdr>
    </w:div>
    <w:div w:id="1721779818">
      <w:bodyDiv w:val="1"/>
      <w:marLeft w:val="0"/>
      <w:marRight w:val="0"/>
      <w:marTop w:val="0"/>
      <w:marBottom w:val="0"/>
      <w:divBdr>
        <w:top w:val="none" w:sz="0" w:space="0" w:color="auto"/>
        <w:left w:val="none" w:sz="0" w:space="0" w:color="auto"/>
        <w:bottom w:val="none" w:sz="0" w:space="0" w:color="auto"/>
        <w:right w:val="none" w:sz="0" w:space="0" w:color="auto"/>
      </w:divBdr>
    </w:div>
    <w:div w:id="2030131896">
      <w:bodyDiv w:val="1"/>
      <w:marLeft w:val="0"/>
      <w:marRight w:val="0"/>
      <w:marTop w:val="0"/>
      <w:marBottom w:val="0"/>
      <w:divBdr>
        <w:top w:val="none" w:sz="0" w:space="0" w:color="auto"/>
        <w:left w:val="none" w:sz="0" w:space="0" w:color="auto"/>
        <w:bottom w:val="none" w:sz="0" w:space="0" w:color="auto"/>
        <w:right w:val="none" w:sz="0" w:space="0" w:color="auto"/>
      </w:divBdr>
    </w:div>
    <w:div w:id="2054885371">
      <w:bodyDiv w:val="1"/>
      <w:marLeft w:val="0"/>
      <w:marRight w:val="0"/>
      <w:marTop w:val="0"/>
      <w:marBottom w:val="0"/>
      <w:divBdr>
        <w:top w:val="none" w:sz="0" w:space="0" w:color="auto"/>
        <w:left w:val="none" w:sz="0" w:space="0" w:color="auto"/>
        <w:bottom w:val="none" w:sz="0" w:space="0" w:color="auto"/>
        <w:right w:val="none" w:sz="0" w:space="0" w:color="auto"/>
      </w:divBdr>
    </w:div>
    <w:div w:id="21453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andbook.fca.org.uk/handbook/glossary/G2974.html?date=2025-06-02" TargetMode="External"/><Relationship Id="rId18" Type="http://schemas.openxmlformats.org/officeDocument/2006/relationships/hyperlink" Target="https://www.handbook.fca.org.uk/handbook/glossary/G2974.html?date=2025-06-02" TargetMode="External"/><Relationship Id="rId26" Type="http://schemas.openxmlformats.org/officeDocument/2006/relationships/hyperlink" Target="https://www.handbook.fca.org.uk/handbook/glossary/G771.html?date=2025-06-02" TargetMode="External"/><Relationship Id="rId3" Type="http://schemas.openxmlformats.org/officeDocument/2006/relationships/customXml" Target="../customXml/item3.xml"/><Relationship Id="rId21" Type="http://schemas.openxmlformats.org/officeDocument/2006/relationships/hyperlink" Target="https://www.handbook.fca.org.uk/handbook/glossary/G1192.html?date=2025-06-0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ndbook.fca.org.uk/handbook/glossary/G2974.html?date=2025-06-02" TargetMode="External"/><Relationship Id="rId17" Type="http://schemas.openxmlformats.org/officeDocument/2006/relationships/hyperlink" Target="https://www.handbook.fca.org.uk/handbook/glossary/G2974.html?date=2025-06-02" TargetMode="External"/><Relationship Id="rId25" Type="http://schemas.openxmlformats.org/officeDocument/2006/relationships/hyperlink" Target="https://www.handbook.fca.org.uk/handbook/glossary/G2974.html?date=2025-06-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andbook.fca.org.uk/handbook/glossary/G2974.html?date=2025-06-02" TargetMode="External"/><Relationship Id="rId20" Type="http://schemas.openxmlformats.org/officeDocument/2006/relationships/hyperlink" Target="https://www.handbook.fca.org.uk/handbook/glossary/G269.html?date=2025-06-02" TargetMode="External"/><Relationship Id="rId29"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andbook.fca.org.uk/handbook/glossary/G269.html?date=2025-06-02"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ndbook.fca.org.uk/handbook/glossary/G410.html?date=2025-06-02" TargetMode="External"/><Relationship Id="rId23" Type="http://schemas.openxmlformats.org/officeDocument/2006/relationships/hyperlink" Target="https://www.handbook.fca.org.uk/handbook/glossary/G1251.html?date=2025-06-02" TargetMode="External"/><Relationship Id="rId28" Type="http://schemas.openxmlformats.org/officeDocument/2006/relationships/hyperlink" Target="https://www.handbook.fca.org.uk/handbook/glossary/G771.html?date=2025-06-02" TargetMode="External"/><Relationship Id="rId10" Type="http://schemas.openxmlformats.org/officeDocument/2006/relationships/endnotes" Target="endnotes.xml"/><Relationship Id="rId19" Type="http://schemas.openxmlformats.org/officeDocument/2006/relationships/hyperlink" Target="https://www.handbook.fca.org.uk/handbook/glossary/G2974.html?date=2025-06-0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dbook.fca.org.uk/handbook/glossary/G269.html?date=2025-06-02" TargetMode="External"/><Relationship Id="rId22" Type="http://schemas.openxmlformats.org/officeDocument/2006/relationships/hyperlink" Target="https://www.handbook.fca.org.uk/handbook/glossary/G2974.html?date=2025-06-02" TargetMode="External"/><Relationship Id="rId27" Type="http://schemas.openxmlformats.org/officeDocument/2006/relationships/hyperlink" Target="https://www.handbook.fca.org.uk/handbook/glossary/G869.html?date=2025-06-02" TargetMode="External"/><Relationship Id="rId30" Type="http://schemas.openxmlformats.org/officeDocument/2006/relationships/image" Target="media/image2.png"/><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14T09:47:00.796"/>
    </inkml:context>
    <inkml:brush xml:id="br0">
      <inkml:brushProperty name="width" value="0.03057" units="cm"/>
      <inkml:brushProperty name="height" value="0.03057" units="cm"/>
    </inkml:brush>
  </inkml:definitions>
  <inkml:trace contextRef="#ctx0" brushRef="#br0">1 0 32767,'0'0'0,"0"0"0,0 0 0,0 0 0,47 21 0,-47-21 0,0 0 0,53 38 0,-53-38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B637F0A849B479CA0237685205CCE" ma:contentTypeVersion="6" ma:contentTypeDescription="Create a new document." ma:contentTypeScope="" ma:versionID="3e42a9a0b855f679fe52e5c06904d8f7">
  <xsd:schema xmlns:xsd="http://www.w3.org/2001/XMLSchema" xmlns:xs="http://www.w3.org/2001/XMLSchema" xmlns:p="http://schemas.microsoft.com/office/2006/metadata/properties" xmlns:ns2="45d386d8-5b20-4d92-ac99-2fc467752fad" xmlns:ns3="a9690156-c543-421f-82f2-4de19d0e9753" targetNamespace="http://schemas.microsoft.com/office/2006/metadata/properties" ma:root="true" ma:fieldsID="ff78333a879f0aaa514bfb93c3c8eaba" ns2:_="" ns3:_="">
    <xsd:import namespace="45d386d8-5b20-4d92-ac99-2fc467752fad"/>
    <xsd:import namespace="a9690156-c543-421f-82f2-4de19d0e97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86d8-5b20-4d92-ac99-2fc467752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90156-c543-421f-82f2-4de19d0e97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79C0-8C77-47C5-9569-A4522025F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672C4-C4F2-4D86-A323-56BD425D9D10}">
  <ds:schemaRefs>
    <ds:schemaRef ds:uri="http://schemas.microsoft.com/sharepoint/v3/contenttype/forms"/>
  </ds:schemaRefs>
</ds:datastoreItem>
</file>

<file path=customXml/itemProps3.xml><?xml version="1.0" encoding="utf-8"?>
<ds:datastoreItem xmlns:ds="http://schemas.openxmlformats.org/officeDocument/2006/customXml" ds:itemID="{177CB6BA-C9A0-4069-95DA-DA3364A6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386d8-5b20-4d92-ac99-2fc467752fad"/>
    <ds:schemaRef ds:uri="a9690156-c543-421f-82f2-4de19d0e9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4DC97-DECE-4BE9-B428-B0727E34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3591</Words>
  <Characters>19554</Characters>
  <Application>Microsoft Office Word</Application>
  <DocSecurity>4</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2025-06-30T08:40:00Z</dcterms:created>
  <dcterms:modified xsi:type="dcterms:W3CDTF">2025-06-30T08:40:00Z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0x010100DA1B637F0A849B479CA0237685205CCE</vt:lpwstr>
  </property>
</Properties>
</file>