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64" w:type="dxa"/>
        <w:tblLook w:val="01E0" w:firstRow="1" w:lastRow="1" w:firstColumn="1" w:lastColumn="1" w:noHBand="0" w:noVBand="0"/>
      </w:tblPr>
      <w:tblGrid>
        <w:gridCol w:w="2692"/>
        <w:gridCol w:w="463"/>
        <w:gridCol w:w="5209"/>
      </w:tblGrid>
      <w:tr w:rsidR="00724F05" w:rsidRPr="007F1C70" w14:paraId="10042309" w14:textId="77777777" w:rsidTr="001F0332">
        <w:trPr>
          <w:trHeight w:val="1008"/>
        </w:trPr>
        <w:tc>
          <w:tcPr>
            <w:tcW w:w="2692" w:type="dxa"/>
            <w:shd w:val="clear" w:color="auto" w:fill="auto"/>
            <w:vAlign w:val="center"/>
          </w:tcPr>
          <w:p w14:paraId="41CD49F9" w14:textId="66015545" w:rsidR="00724F05" w:rsidRPr="007F1C70" w:rsidRDefault="00636135" w:rsidP="007F1C70">
            <w:pPr>
              <w:tabs>
                <w:tab w:val="left" w:pos="2880"/>
              </w:tabs>
              <w:spacing w:before="240" w:after="240"/>
              <w:rPr>
                <w:rFonts w:ascii="Georgia" w:hAnsi="Georgia" w:cs="Arial"/>
                <w:b/>
                <w:bCs/>
              </w:rPr>
            </w:pPr>
            <w:r w:rsidRPr="007F1C70">
              <w:rPr>
                <w:rFonts w:ascii="Georgia" w:hAnsi="Georgia"/>
                <w:noProof/>
              </w:rPr>
              <w:drawing>
                <wp:inline distT="0" distB="0" distL="0" distR="0" wp14:anchorId="1CD27019" wp14:editId="3EDAABE5">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463" w:type="dxa"/>
            <w:shd w:val="clear" w:color="auto" w:fill="auto"/>
            <w:vAlign w:val="center"/>
          </w:tcPr>
          <w:p w14:paraId="7B9B9BBD" w14:textId="77777777" w:rsidR="00724F05" w:rsidRPr="007F1C70" w:rsidRDefault="00724F05" w:rsidP="007F1C70">
            <w:pPr>
              <w:tabs>
                <w:tab w:val="left" w:pos="2880"/>
              </w:tabs>
              <w:spacing w:before="240" w:after="240"/>
              <w:rPr>
                <w:rFonts w:ascii="Georgia" w:hAnsi="Georgia" w:cs="Arial"/>
                <w:b/>
                <w:bCs/>
              </w:rPr>
            </w:pPr>
          </w:p>
        </w:tc>
        <w:tc>
          <w:tcPr>
            <w:tcW w:w="5209" w:type="dxa"/>
            <w:shd w:val="clear" w:color="auto" w:fill="auto"/>
            <w:vAlign w:val="center"/>
          </w:tcPr>
          <w:p w14:paraId="1BB28A0A" w14:textId="77777777" w:rsidR="00724F05" w:rsidRPr="007F1C70" w:rsidRDefault="00724F05" w:rsidP="007F1C70">
            <w:pPr>
              <w:pStyle w:val="Title"/>
              <w:ind w:left="3600" w:hanging="3600"/>
              <w:jc w:val="left"/>
              <w:rPr>
                <w:rFonts w:ascii="Georgia" w:hAnsi="Georgia"/>
              </w:rPr>
            </w:pPr>
            <w:r w:rsidRPr="007F1C70">
              <w:rPr>
                <w:rFonts w:ascii="Georgia" w:hAnsi="Georgia"/>
                <w:sz w:val="24"/>
              </w:rPr>
              <w:t>FIRST-TIER TRIBUNAL</w:t>
            </w:r>
          </w:p>
          <w:p w14:paraId="2FA0430F" w14:textId="77777777" w:rsidR="0050502C" w:rsidRDefault="00724F05" w:rsidP="007F1C70">
            <w:pPr>
              <w:tabs>
                <w:tab w:val="left" w:pos="2880"/>
              </w:tabs>
              <w:rPr>
                <w:rFonts w:ascii="Georgia" w:hAnsi="Georgia"/>
                <w:b/>
              </w:rPr>
            </w:pPr>
            <w:r w:rsidRPr="007F1C70">
              <w:rPr>
                <w:rFonts w:ascii="Georgia" w:hAnsi="Georgia"/>
                <w:b/>
              </w:rPr>
              <w:t xml:space="preserve">PROPERTY CHAMBER </w:t>
            </w:r>
          </w:p>
          <w:p w14:paraId="2B665629" w14:textId="13DD660A" w:rsidR="00724F05" w:rsidRPr="007F1C70" w:rsidRDefault="00724F05" w:rsidP="007F1C70">
            <w:pPr>
              <w:tabs>
                <w:tab w:val="left" w:pos="2880"/>
              </w:tabs>
              <w:rPr>
                <w:rFonts w:ascii="Georgia" w:hAnsi="Georgia" w:cs="Arial"/>
                <w:b/>
                <w:bCs/>
              </w:rPr>
            </w:pPr>
            <w:r w:rsidRPr="007F1C70">
              <w:rPr>
                <w:rFonts w:ascii="Georgia" w:hAnsi="Georgia"/>
                <w:b/>
              </w:rPr>
              <w:t>(RESIDENTIAL PROPERTY)</w:t>
            </w:r>
          </w:p>
        </w:tc>
      </w:tr>
      <w:tr w:rsidR="00724F05" w:rsidRPr="007F1C70" w14:paraId="1C38F89F" w14:textId="77777777" w:rsidTr="001F0332">
        <w:tc>
          <w:tcPr>
            <w:tcW w:w="2692" w:type="dxa"/>
            <w:shd w:val="clear" w:color="auto" w:fill="auto"/>
            <w:vAlign w:val="center"/>
          </w:tcPr>
          <w:p w14:paraId="09C0D655"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Case </w:t>
            </w:r>
            <w:r w:rsidR="00DE413A" w:rsidRPr="007F1C70">
              <w:rPr>
                <w:rFonts w:ascii="Georgia" w:hAnsi="Georgia" w:cs="Arial"/>
                <w:b/>
                <w:bCs/>
              </w:rPr>
              <w:t>r</w:t>
            </w:r>
            <w:r w:rsidRPr="007F1C70">
              <w:rPr>
                <w:rFonts w:ascii="Georgia" w:hAnsi="Georgia" w:cs="Arial"/>
                <w:b/>
                <w:bCs/>
              </w:rPr>
              <w:t>eference</w:t>
            </w:r>
          </w:p>
        </w:tc>
        <w:tc>
          <w:tcPr>
            <w:tcW w:w="463" w:type="dxa"/>
            <w:shd w:val="clear" w:color="auto" w:fill="auto"/>
            <w:vAlign w:val="center"/>
          </w:tcPr>
          <w:p w14:paraId="45EB27F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969D5B9" w14:textId="2010F2F2" w:rsidR="00724F05" w:rsidRPr="007F1C70" w:rsidRDefault="00FC40B6" w:rsidP="76040189">
            <w:pPr>
              <w:tabs>
                <w:tab w:val="left" w:pos="2880"/>
              </w:tabs>
              <w:rPr>
                <w:rFonts w:ascii="Georgia" w:eastAsia="Georgia" w:hAnsi="Georgia" w:cs="Georgia"/>
                <w:b/>
                <w:bCs/>
              </w:rPr>
            </w:pPr>
            <w:r w:rsidRPr="00FC40B6">
              <w:rPr>
                <w:rFonts w:ascii="Georgia" w:eastAsia="Georgia" w:hAnsi="Georgia" w:cs="Georgia"/>
                <w:b/>
                <w:bCs/>
              </w:rPr>
              <w:t>CAM/00MD/HNA/2024/0611</w:t>
            </w:r>
          </w:p>
        </w:tc>
      </w:tr>
      <w:tr w:rsidR="00724F05" w:rsidRPr="007F1C70" w14:paraId="50D7B201" w14:textId="77777777" w:rsidTr="001F0332">
        <w:tc>
          <w:tcPr>
            <w:tcW w:w="2692" w:type="dxa"/>
            <w:shd w:val="clear" w:color="auto" w:fill="auto"/>
            <w:vAlign w:val="center"/>
          </w:tcPr>
          <w:p w14:paraId="50A69A24"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Property</w:t>
            </w:r>
          </w:p>
        </w:tc>
        <w:tc>
          <w:tcPr>
            <w:tcW w:w="463" w:type="dxa"/>
            <w:shd w:val="clear" w:color="auto" w:fill="auto"/>
            <w:vAlign w:val="center"/>
          </w:tcPr>
          <w:p w14:paraId="227441A1"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1067C34" w14:textId="62C025F5" w:rsidR="00724F05" w:rsidRPr="007F1C70" w:rsidRDefault="00E075D8" w:rsidP="007F1C70">
            <w:pPr>
              <w:tabs>
                <w:tab w:val="left" w:pos="2880"/>
              </w:tabs>
              <w:rPr>
                <w:rFonts w:ascii="Georgia" w:hAnsi="Georgia" w:cs="Arial"/>
                <w:b/>
                <w:bCs/>
              </w:rPr>
            </w:pPr>
            <w:r w:rsidRPr="00E075D8">
              <w:rPr>
                <w:rFonts w:ascii="Georgia" w:hAnsi="Georgia" w:cs="Arial"/>
                <w:b/>
                <w:bCs/>
              </w:rPr>
              <w:t>96 Bath Road, Slough, SL1 3SY</w:t>
            </w:r>
          </w:p>
        </w:tc>
      </w:tr>
      <w:tr w:rsidR="00724F05" w:rsidRPr="007F1C70" w14:paraId="561AE161" w14:textId="77777777" w:rsidTr="001F0332">
        <w:tc>
          <w:tcPr>
            <w:tcW w:w="2692" w:type="dxa"/>
            <w:shd w:val="clear" w:color="auto" w:fill="auto"/>
            <w:vAlign w:val="center"/>
          </w:tcPr>
          <w:p w14:paraId="7DD4A567"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Applicant</w:t>
            </w:r>
          </w:p>
        </w:tc>
        <w:tc>
          <w:tcPr>
            <w:tcW w:w="463" w:type="dxa"/>
            <w:shd w:val="clear" w:color="auto" w:fill="auto"/>
            <w:vAlign w:val="center"/>
          </w:tcPr>
          <w:p w14:paraId="61DA66D6"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12A81ADA" w14:textId="11966889" w:rsidR="00724F05" w:rsidRPr="007F1C70" w:rsidRDefault="0075624F" w:rsidP="007F1C70">
            <w:pPr>
              <w:tabs>
                <w:tab w:val="left" w:pos="2880"/>
              </w:tabs>
              <w:rPr>
                <w:rFonts w:ascii="Georgia" w:hAnsi="Georgia" w:cs="Arial"/>
                <w:b/>
                <w:bCs/>
              </w:rPr>
            </w:pPr>
            <w:r>
              <w:rPr>
                <w:rFonts w:ascii="Georgia" w:hAnsi="Georgia" w:cs="Arial"/>
                <w:b/>
                <w:bCs/>
              </w:rPr>
              <w:t>AMPM Estates Limited</w:t>
            </w:r>
          </w:p>
        </w:tc>
      </w:tr>
      <w:tr w:rsidR="00724F05" w:rsidRPr="007F1C70" w14:paraId="07C97A69" w14:textId="77777777" w:rsidTr="001F0332">
        <w:tc>
          <w:tcPr>
            <w:tcW w:w="2692" w:type="dxa"/>
            <w:shd w:val="clear" w:color="auto" w:fill="auto"/>
            <w:vAlign w:val="center"/>
          </w:tcPr>
          <w:p w14:paraId="60452B51"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Representative</w:t>
            </w:r>
          </w:p>
        </w:tc>
        <w:tc>
          <w:tcPr>
            <w:tcW w:w="463" w:type="dxa"/>
            <w:shd w:val="clear" w:color="auto" w:fill="auto"/>
            <w:vAlign w:val="center"/>
          </w:tcPr>
          <w:p w14:paraId="589B9D8A"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4F78C2D" w14:textId="4721706F" w:rsidR="00724F05" w:rsidRPr="007F1C70" w:rsidRDefault="009370BB" w:rsidP="007F1C70">
            <w:pPr>
              <w:tabs>
                <w:tab w:val="left" w:pos="2880"/>
              </w:tabs>
              <w:rPr>
                <w:rFonts w:ascii="Georgia" w:hAnsi="Georgia" w:cs="Arial"/>
                <w:b/>
                <w:bCs/>
              </w:rPr>
            </w:pPr>
            <w:r>
              <w:rPr>
                <w:rFonts w:ascii="Georgia" w:hAnsi="Georgia" w:cs="Arial"/>
                <w:b/>
                <w:bCs/>
              </w:rPr>
              <w:t xml:space="preserve">Mr G Atkinson, </w:t>
            </w:r>
            <w:r w:rsidR="00704BA0">
              <w:rPr>
                <w:rFonts w:ascii="Georgia" w:hAnsi="Georgia" w:cs="Arial"/>
                <w:b/>
                <w:bCs/>
              </w:rPr>
              <w:t>C</w:t>
            </w:r>
            <w:r>
              <w:rPr>
                <w:rFonts w:ascii="Georgia" w:hAnsi="Georgia" w:cs="Arial"/>
                <w:b/>
                <w:bCs/>
              </w:rPr>
              <w:t>ounsel</w:t>
            </w:r>
          </w:p>
        </w:tc>
      </w:tr>
      <w:tr w:rsidR="00724F05" w:rsidRPr="007F1C70" w14:paraId="4DB14D83" w14:textId="77777777" w:rsidTr="001F0332">
        <w:tc>
          <w:tcPr>
            <w:tcW w:w="2692" w:type="dxa"/>
            <w:shd w:val="clear" w:color="auto" w:fill="auto"/>
            <w:vAlign w:val="center"/>
          </w:tcPr>
          <w:p w14:paraId="5769BC60"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Respondent</w:t>
            </w:r>
          </w:p>
        </w:tc>
        <w:tc>
          <w:tcPr>
            <w:tcW w:w="463" w:type="dxa"/>
            <w:shd w:val="clear" w:color="auto" w:fill="auto"/>
            <w:vAlign w:val="center"/>
          </w:tcPr>
          <w:p w14:paraId="0E6C8B7D"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530015D" w14:textId="75592898" w:rsidR="00724F05" w:rsidRPr="007F1C70" w:rsidRDefault="009370BB" w:rsidP="007F1C70">
            <w:pPr>
              <w:tabs>
                <w:tab w:val="left" w:pos="2880"/>
              </w:tabs>
              <w:rPr>
                <w:rFonts w:ascii="Georgia" w:hAnsi="Georgia" w:cs="Arial"/>
                <w:b/>
                <w:bCs/>
              </w:rPr>
            </w:pPr>
            <w:r>
              <w:rPr>
                <w:rFonts w:ascii="Georgia" w:hAnsi="Georgia" w:cs="Arial"/>
                <w:b/>
                <w:bCs/>
              </w:rPr>
              <w:t>Slough Borough Council</w:t>
            </w:r>
          </w:p>
        </w:tc>
      </w:tr>
      <w:tr w:rsidR="00724F05" w:rsidRPr="007F1C70" w14:paraId="6F2C783C" w14:textId="77777777" w:rsidTr="001F0332">
        <w:tc>
          <w:tcPr>
            <w:tcW w:w="2692" w:type="dxa"/>
            <w:shd w:val="clear" w:color="auto" w:fill="auto"/>
            <w:vAlign w:val="center"/>
          </w:tcPr>
          <w:p w14:paraId="25F776D4"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Representative</w:t>
            </w:r>
          </w:p>
        </w:tc>
        <w:tc>
          <w:tcPr>
            <w:tcW w:w="463" w:type="dxa"/>
            <w:shd w:val="clear" w:color="auto" w:fill="auto"/>
            <w:vAlign w:val="center"/>
          </w:tcPr>
          <w:p w14:paraId="21966D7F"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22F369BF" w14:textId="7066BECE" w:rsidR="00724F05" w:rsidRPr="007F1C70" w:rsidRDefault="009370BB" w:rsidP="007F1C70">
            <w:pPr>
              <w:tabs>
                <w:tab w:val="left" w:pos="2880"/>
              </w:tabs>
              <w:rPr>
                <w:rFonts w:ascii="Georgia" w:hAnsi="Georgia" w:cs="Arial"/>
                <w:b/>
                <w:bCs/>
              </w:rPr>
            </w:pPr>
            <w:r>
              <w:rPr>
                <w:rFonts w:ascii="Georgia" w:hAnsi="Georgia" w:cs="Arial"/>
                <w:b/>
                <w:bCs/>
              </w:rPr>
              <w:t>Ms</w:t>
            </w:r>
            <w:r w:rsidR="00C775A6">
              <w:rPr>
                <w:rFonts w:ascii="Georgia" w:hAnsi="Georgia" w:cs="Arial"/>
                <w:b/>
                <w:bCs/>
              </w:rPr>
              <w:t xml:space="preserve"> O Davies, </w:t>
            </w:r>
            <w:r w:rsidR="00704BA0">
              <w:rPr>
                <w:rFonts w:ascii="Georgia" w:hAnsi="Georgia" w:cs="Arial"/>
                <w:b/>
                <w:bCs/>
              </w:rPr>
              <w:t>C</w:t>
            </w:r>
            <w:r w:rsidR="00C775A6">
              <w:rPr>
                <w:rFonts w:ascii="Georgia" w:hAnsi="Georgia" w:cs="Arial"/>
                <w:b/>
                <w:bCs/>
              </w:rPr>
              <w:t>ounsel</w:t>
            </w:r>
          </w:p>
        </w:tc>
      </w:tr>
      <w:tr w:rsidR="00724F05" w:rsidRPr="007F1C70" w14:paraId="7966B3DB" w14:textId="77777777" w:rsidTr="001F0332">
        <w:tc>
          <w:tcPr>
            <w:tcW w:w="2692" w:type="dxa"/>
            <w:shd w:val="clear" w:color="auto" w:fill="auto"/>
            <w:vAlign w:val="center"/>
          </w:tcPr>
          <w:p w14:paraId="180D8A50"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Type of </w:t>
            </w:r>
            <w:r w:rsidR="00DE413A" w:rsidRPr="007F1C70">
              <w:rPr>
                <w:rFonts w:ascii="Georgia" w:hAnsi="Georgia" w:cs="Arial"/>
                <w:b/>
                <w:bCs/>
              </w:rPr>
              <w:t>a</w:t>
            </w:r>
            <w:r w:rsidRPr="007F1C70">
              <w:rPr>
                <w:rFonts w:ascii="Georgia" w:hAnsi="Georgia" w:cs="Arial"/>
                <w:b/>
                <w:bCs/>
              </w:rPr>
              <w:t>pplication</w:t>
            </w:r>
          </w:p>
        </w:tc>
        <w:tc>
          <w:tcPr>
            <w:tcW w:w="463" w:type="dxa"/>
            <w:shd w:val="clear" w:color="auto" w:fill="auto"/>
            <w:vAlign w:val="center"/>
          </w:tcPr>
          <w:p w14:paraId="5A7FE3E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757ABCC" w14:textId="7DFE7BDC" w:rsidR="00724F05" w:rsidRPr="007F1C70" w:rsidRDefault="00C775A6" w:rsidP="007F1C70">
            <w:pPr>
              <w:tabs>
                <w:tab w:val="left" w:pos="2880"/>
              </w:tabs>
              <w:spacing w:before="120" w:after="120"/>
              <w:rPr>
                <w:rFonts w:ascii="Georgia" w:hAnsi="Georgia" w:cs="Arial"/>
                <w:b/>
                <w:bCs/>
              </w:rPr>
            </w:pPr>
            <w:r>
              <w:rPr>
                <w:rFonts w:ascii="Georgia" w:hAnsi="Georgia" w:cs="Arial"/>
                <w:b/>
                <w:bCs/>
              </w:rPr>
              <w:t xml:space="preserve">Appeal against financial penalties </w:t>
            </w:r>
            <w:r w:rsidR="00306C32">
              <w:rPr>
                <w:rFonts w:ascii="Georgia" w:hAnsi="Georgia" w:cs="Arial"/>
                <w:b/>
                <w:bCs/>
              </w:rPr>
              <w:t>under section 249A &amp; Schedule 13A to the Housing Act 2004</w:t>
            </w:r>
          </w:p>
        </w:tc>
      </w:tr>
      <w:tr w:rsidR="00964F35" w:rsidRPr="007F1C70" w14:paraId="33747599" w14:textId="77777777" w:rsidTr="001F0332">
        <w:tc>
          <w:tcPr>
            <w:tcW w:w="2692" w:type="dxa"/>
            <w:shd w:val="clear" w:color="auto" w:fill="auto"/>
            <w:vAlign w:val="center"/>
          </w:tcPr>
          <w:p w14:paraId="740ED769" w14:textId="77777777" w:rsidR="00964F35" w:rsidRPr="007F1C70" w:rsidRDefault="00964F35" w:rsidP="007F1C70">
            <w:pPr>
              <w:tabs>
                <w:tab w:val="left" w:pos="2880"/>
              </w:tabs>
              <w:rPr>
                <w:rFonts w:ascii="Georgia" w:hAnsi="Georgia" w:cs="Arial"/>
                <w:b/>
                <w:bCs/>
              </w:rPr>
            </w:pPr>
            <w:r w:rsidRPr="007F1C70">
              <w:rPr>
                <w:rFonts w:ascii="Georgia" w:hAnsi="Georgia" w:cs="Arial"/>
                <w:b/>
                <w:bCs/>
              </w:rPr>
              <w:t>Tribunal members</w:t>
            </w:r>
          </w:p>
        </w:tc>
        <w:tc>
          <w:tcPr>
            <w:tcW w:w="463" w:type="dxa"/>
            <w:shd w:val="clear" w:color="auto" w:fill="auto"/>
            <w:vAlign w:val="center"/>
          </w:tcPr>
          <w:p w14:paraId="786AC4E9" w14:textId="77777777" w:rsidR="00964F35" w:rsidRPr="007F1C70" w:rsidRDefault="00964F3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0DE03FF7" w14:textId="77777777" w:rsidR="00964F35" w:rsidRDefault="004059EA" w:rsidP="007F1C70">
            <w:pPr>
              <w:tabs>
                <w:tab w:val="left" w:pos="2880"/>
              </w:tabs>
              <w:spacing w:before="120" w:after="120"/>
              <w:rPr>
                <w:rFonts w:ascii="Georgia" w:hAnsi="Georgia" w:cs="Arial"/>
                <w:b/>
                <w:bCs/>
              </w:rPr>
            </w:pPr>
            <w:r>
              <w:rPr>
                <w:rFonts w:ascii="Georgia" w:hAnsi="Georgia" w:cs="Arial"/>
                <w:b/>
                <w:bCs/>
              </w:rPr>
              <w:t>First-tier Tribunal Judge K Neave</w:t>
            </w:r>
          </w:p>
          <w:p w14:paraId="331122E5" w14:textId="78B887BA" w:rsidR="004059EA" w:rsidRPr="007F1C70" w:rsidRDefault="004059EA" w:rsidP="007F1C70">
            <w:pPr>
              <w:tabs>
                <w:tab w:val="left" w:pos="2880"/>
              </w:tabs>
              <w:spacing w:before="120" w:after="120"/>
              <w:rPr>
                <w:rFonts w:ascii="Georgia" w:hAnsi="Georgia" w:cs="Arial"/>
                <w:b/>
                <w:bCs/>
              </w:rPr>
            </w:pPr>
            <w:r>
              <w:rPr>
                <w:rFonts w:ascii="Georgia" w:hAnsi="Georgia" w:cs="Arial"/>
                <w:b/>
                <w:bCs/>
              </w:rPr>
              <w:t xml:space="preserve">Mr G Smith </w:t>
            </w:r>
            <w:r w:rsidR="00556B08">
              <w:rPr>
                <w:rFonts w:ascii="Georgia" w:hAnsi="Georgia" w:cs="Arial"/>
                <w:b/>
                <w:bCs/>
              </w:rPr>
              <w:t>M</w:t>
            </w:r>
            <w:r>
              <w:rPr>
                <w:rFonts w:ascii="Georgia" w:hAnsi="Georgia" w:cs="Arial"/>
                <w:b/>
                <w:bCs/>
              </w:rPr>
              <w:t>RICS</w:t>
            </w:r>
          </w:p>
        </w:tc>
      </w:tr>
      <w:tr w:rsidR="00724F05" w:rsidRPr="007F1C70" w14:paraId="138DD45E" w14:textId="77777777" w:rsidTr="001F0332">
        <w:tc>
          <w:tcPr>
            <w:tcW w:w="2692" w:type="dxa"/>
            <w:shd w:val="clear" w:color="auto" w:fill="auto"/>
            <w:vAlign w:val="center"/>
          </w:tcPr>
          <w:p w14:paraId="15D03039" w14:textId="77777777" w:rsidR="00724F05" w:rsidRPr="007F1C70" w:rsidRDefault="00964F35" w:rsidP="007F1C70">
            <w:pPr>
              <w:tabs>
                <w:tab w:val="left" w:pos="2880"/>
              </w:tabs>
              <w:rPr>
                <w:rFonts w:ascii="Georgia" w:hAnsi="Georgia" w:cs="Arial"/>
                <w:b/>
                <w:bCs/>
              </w:rPr>
            </w:pPr>
            <w:r w:rsidRPr="007F1C70">
              <w:rPr>
                <w:rFonts w:ascii="Georgia" w:hAnsi="Georgia" w:cs="Arial"/>
                <w:b/>
                <w:bCs/>
              </w:rPr>
              <w:t>V</w:t>
            </w:r>
            <w:r w:rsidR="00724F05" w:rsidRPr="007F1C70">
              <w:rPr>
                <w:rFonts w:ascii="Georgia" w:hAnsi="Georgia" w:cs="Arial"/>
                <w:b/>
                <w:bCs/>
              </w:rPr>
              <w:t>enue</w:t>
            </w:r>
          </w:p>
        </w:tc>
        <w:tc>
          <w:tcPr>
            <w:tcW w:w="463" w:type="dxa"/>
            <w:shd w:val="clear" w:color="auto" w:fill="auto"/>
            <w:vAlign w:val="center"/>
          </w:tcPr>
          <w:p w14:paraId="6ED6B2AD"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3D918AFD" w14:textId="1E0CA58F" w:rsidR="00724F05" w:rsidRPr="007F1C70" w:rsidRDefault="00764313" w:rsidP="007F1C70">
            <w:pPr>
              <w:tabs>
                <w:tab w:val="left" w:pos="2880"/>
              </w:tabs>
              <w:rPr>
                <w:rFonts w:ascii="Georgia" w:hAnsi="Georgia" w:cs="Arial"/>
                <w:b/>
                <w:bCs/>
              </w:rPr>
            </w:pPr>
            <w:r>
              <w:rPr>
                <w:rFonts w:ascii="Georgia" w:hAnsi="Georgia" w:cs="Arial"/>
                <w:b/>
                <w:bCs/>
              </w:rPr>
              <w:t>Remote hearing by CVP</w:t>
            </w:r>
          </w:p>
        </w:tc>
      </w:tr>
      <w:tr w:rsidR="00724F05" w:rsidRPr="007F1C70" w14:paraId="44D9F2D7" w14:textId="77777777" w:rsidTr="001F0332">
        <w:tc>
          <w:tcPr>
            <w:tcW w:w="2692" w:type="dxa"/>
            <w:shd w:val="clear" w:color="auto" w:fill="auto"/>
            <w:vAlign w:val="center"/>
          </w:tcPr>
          <w:p w14:paraId="4318E66D"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Date of </w:t>
            </w:r>
            <w:r w:rsidR="00DE413A" w:rsidRPr="007F1C70">
              <w:rPr>
                <w:rFonts w:ascii="Georgia" w:hAnsi="Georgia" w:cs="Arial"/>
                <w:b/>
                <w:bCs/>
              </w:rPr>
              <w:t>d</w:t>
            </w:r>
            <w:r w:rsidRPr="007F1C70">
              <w:rPr>
                <w:rFonts w:ascii="Georgia" w:hAnsi="Georgia" w:cs="Arial"/>
                <w:b/>
                <w:bCs/>
              </w:rPr>
              <w:t>ecision</w:t>
            </w:r>
          </w:p>
        </w:tc>
        <w:tc>
          <w:tcPr>
            <w:tcW w:w="463" w:type="dxa"/>
            <w:shd w:val="clear" w:color="auto" w:fill="auto"/>
            <w:vAlign w:val="center"/>
          </w:tcPr>
          <w:p w14:paraId="2D4CB9FE"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388094E" w14:textId="5C7E5D7D" w:rsidR="00724F05" w:rsidRPr="007F1C70" w:rsidRDefault="00764313" w:rsidP="007F1C70">
            <w:pPr>
              <w:tabs>
                <w:tab w:val="left" w:pos="2880"/>
              </w:tabs>
              <w:rPr>
                <w:rFonts w:ascii="Georgia" w:hAnsi="Georgia" w:cs="Arial"/>
                <w:b/>
                <w:bCs/>
              </w:rPr>
            </w:pPr>
            <w:r>
              <w:rPr>
                <w:rFonts w:ascii="Georgia" w:hAnsi="Georgia" w:cs="Arial"/>
                <w:b/>
                <w:bCs/>
              </w:rPr>
              <w:t>1</w:t>
            </w:r>
            <w:r w:rsidR="000654E8">
              <w:rPr>
                <w:rFonts w:ascii="Georgia" w:hAnsi="Georgia" w:cs="Arial"/>
                <w:b/>
                <w:bCs/>
              </w:rPr>
              <w:t>7</w:t>
            </w:r>
            <w:r>
              <w:rPr>
                <w:rFonts w:ascii="Georgia" w:hAnsi="Georgia" w:cs="Arial"/>
                <w:b/>
                <w:bCs/>
              </w:rPr>
              <w:t xml:space="preserve"> June 2025</w:t>
            </w:r>
          </w:p>
        </w:tc>
      </w:tr>
    </w:tbl>
    <w:p w14:paraId="314F3409" w14:textId="77777777" w:rsidR="00C27ECE" w:rsidRDefault="00C27ECE" w:rsidP="00724F05">
      <w:pPr>
        <w:jc w:val="both"/>
        <w:rPr>
          <w:szCs w:val="20"/>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C27ECE" w:rsidRPr="007F1C70" w14:paraId="03041107" w14:textId="77777777" w:rsidTr="00F109B2">
        <w:trPr>
          <w:trHeight w:val="811"/>
        </w:trPr>
        <w:tc>
          <w:tcPr>
            <w:tcW w:w="8364" w:type="dxa"/>
            <w:tcBorders>
              <w:left w:val="nil"/>
              <w:right w:val="nil"/>
            </w:tcBorders>
            <w:shd w:val="clear" w:color="auto" w:fill="auto"/>
            <w:vAlign w:val="center"/>
          </w:tcPr>
          <w:p w14:paraId="468BFA09" w14:textId="77777777" w:rsidR="00C27ECE" w:rsidRPr="007F1C70" w:rsidRDefault="00C27ECE" w:rsidP="007F1C70">
            <w:pPr>
              <w:jc w:val="center"/>
              <w:rPr>
                <w:szCs w:val="20"/>
              </w:rPr>
            </w:pPr>
            <w:r w:rsidRPr="007F1C70">
              <w:rPr>
                <w:rFonts w:ascii="Georgia" w:hAnsi="Georgia" w:cs="Arial"/>
                <w:b/>
                <w:bCs/>
              </w:rPr>
              <w:t>DECISION</w:t>
            </w:r>
          </w:p>
        </w:tc>
      </w:tr>
    </w:tbl>
    <w:p w14:paraId="4E0DE048" w14:textId="77777777" w:rsidR="00C27ECE" w:rsidRPr="00092C14" w:rsidRDefault="00C27ECE" w:rsidP="00724F05">
      <w:pPr>
        <w:jc w:val="both"/>
        <w:rPr>
          <w:rFonts w:ascii="Georgia" w:hAnsi="Georgia"/>
          <w:szCs w:val="20"/>
        </w:rPr>
      </w:pPr>
    </w:p>
    <w:p w14:paraId="3C301FD1" w14:textId="77777777" w:rsidR="0046328F" w:rsidRDefault="0046328F">
      <w:pPr>
        <w:rPr>
          <w:rFonts w:ascii="Calibri" w:eastAsia="Calibri" w:hAnsi="Calibri" w:cs="Calibri"/>
          <w:color w:val="000000" w:themeColor="text1"/>
        </w:rPr>
      </w:pPr>
      <w:r w:rsidRPr="1E63E3C2">
        <w:rPr>
          <w:rFonts w:ascii="Calibri" w:eastAsia="Calibri" w:hAnsi="Calibri" w:cs="Calibri"/>
          <w:color w:val="000000" w:themeColor="text1"/>
        </w:rPr>
        <w:br w:type="page"/>
      </w:r>
    </w:p>
    <w:p w14:paraId="2782FA87" w14:textId="77777777" w:rsidR="000927B4" w:rsidRDefault="000927B4" w:rsidP="00C663E1">
      <w:pPr>
        <w:autoSpaceDE w:val="0"/>
        <w:autoSpaceDN w:val="0"/>
        <w:adjustRightInd w:val="0"/>
        <w:spacing w:after="360"/>
        <w:jc w:val="both"/>
        <w:rPr>
          <w:rFonts w:ascii="Georgia" w:hAnsi="Georgia" w:cs="Arial"/>
          <w:b/>
          <w:u w:val="single"/>
        </w:rPr>
      </w:pPr>
      <w:bookmarkStart w:id="0" w:name="_Hlk50729776"/>
      <w:r w:rsidRPr="007548FA">
        <w:rPr>
          <w:rFonts w:ascii="Georgia" w:hAnsi="Georgia" w:cs="Arial"/>
          <w:b/>
          <w:u w:val="single"/>
        </w:rPr>
        <w:lastRenderedPageBreak/>
        <w:t>Decisions of the tribunal</w:t>
      </w:r>
    </w:p>
    <w:p w14:paraId="3F57C3EF" w14:textId="5EF22FE7" w:rsidR="0082418D" w:rsidRPr="0082418D" w:rsidRDefault="0082418D" w:rsidP="0082418D">
      <w:pPr>
        <w:pStyle w:val="ListParagraph"/>
        <w:numPr>
          <w:ilvl w:val="0"/>
          <w:numId w:val="15"/>
        </w:numPr>
        <w:autoSpaceDE w:val="0"/>
        <w:autoSpaceDN w:val="0"/>
        <w:adjustRightInd w:val="0"/>
        <w:spacing w:after="360"/>
        <w:jc w:val="both"/>
        <w:rPr>
          <w:rFonts w:ascii="Georgia" w:hAnsi="Georgia" w:cs="Arial"/>
          <w:bCs/>
        </w:rPr>
      </w:pPr>
      <w:r>
        <w:rPr>
          <w:rFonts w:ascii="Georgia" w:hAnsi="Georgia" w:cs="Arial"/>
        </w:rPr>
        <w:t xml:space="preserve">The tribunal varies the Respondent’s notice imposing a financial penalty. The total financial penalty is varied to: </w:t>
      </w:r>
      <w:r w:rsidRPr="00CF7FEA">
        <w:rPr>
          <w:rFonts w:ascii="Georgia" w:hAnsi="Georgia" w:cs="Arial"/>
          <w:u w:val="single"/>
        </w:rPr>
        <w:t>£66,550.00.</w:t>
      </w:r>
    </w:p>
    <w:bookmarkEnd w:id="0"/>
    <w:p w14:paraId="53767E8F" w14:textId="77777777" w:rsidR="000927B4" w:rsidRPr="007548FA" w:rsidRDefault="000927B4" w:rsidP="004C4AF3">
      <w:pPr>
        <w:autoSpaceDE w:val="0"/>
        <w:autoSpaceDN w:val="0"/>
        <w:adjustRightInd w:val="0"/>
        <w:spacing w:after="360" w:line="276" w:lineRule="auto"/>
        <w:jc w:val="both"/>
        <w:rPr>
          <w:rFonts w:ascii="Georgia" w:hAnsi="Georgia" w:cs="Arial"/>
          <w:b/>
          <w:u w:val="single"/>
        </w:rPr>
      </w:pPr>
      <w:r w:rsidRPr="007548FA">
        <w:rPr>
          <w:rFonts w:ascii="Georgia" w:hAnsi="Georgia" w:cs="Arial"/>
          <w:b/>
          <w:u w:val="single"/>
        </w:rPr>
        <w:t>The application</w:t>
      </w:r>
    </w:p>
    <w:p w14:paraId="4E3E1967" w14:textId="112D8023" w:rsidR="004C4AF3" w:rsidRPr="004C4AF3" w:rsidRDefault="00764313" w:rsidP="004C4AF3">
      <w:pPr>
        <w:pStyle w:val="ListParagraph"/>
        <w:numPr>
          <w:ilvl w:val="0"/>
          <w:numId w:val="14"/>
        </w:numPr>
        <w:autoSpaceDE w:val="0"/>
        <w:autoSpaceDN w:val="0"/>
        <w:adjustRightInd w:val="0"/>
        <w:spacing w:after="360" w:line="276" w:lineRule="auto"/>
        <w:jc w:val="both"/>
        <w:rPr>
          <w:rFonts w:ascii="Georgia" w:hAnsi="Georgia" w:cs="Arial"/>
          <w:b/>
          <w:u w:val="single"/>
        </w:rPr>
      </w:pPr>
      <w:r w:rsidRPr="004C4AF3">
        <w:rPr>
          <w:rFonts w:ascii="Georgia" w:hAnsi="Georgia" w:cs="Arial"/>
        </w:rPr>
        <w:t xml:space="preserve">By an application dated </w:t>
      </w:r>
      <w:r w:rsidR="00430662" w:rsidRPr="004C4AF3">
        <w:rPr>
          <w:rFonts w:ascii="Georgia" w:hAnsi="Georgia" w:cs="Arial"/>
        </w:rPr>
        <w:t xml:space="preserve">11 April 2024, the Appellant </w:t>
      </w:r>
      <w:r w:rsidR="009E1E3C" w:rsidRPr="004C4AF3">
        <w:rPr>
          <w:rFonts w:ascii="Georgia" w:hAnsi="Georgia" w:cs="Arial"/>
        </w:rPr>
        <w:t>appea</w:t>
      </w:r>
      <w:r w:rsidR="00E54EF9" w:rsidRPr="004C4AF3">
        <w:rPr>
          <w:rFonts w:ascii="Georgia" w:hAnsi="Georgia" w:cs="Arial"/>
        </w:rPr>
        <w:t>ls a</w:t>
      </w:r>
      <w:r w:rsidR="009E1E3C" w:rsidRPr="004C4AF3">
        <w:rPr>
          <w:rFonts w:ascii="Georgia" w:hAnsi="Georgia" w:cs="Arial"/>
        </w:rPr>
        <w:t xml:space="preserve"> financial penalty issued by the Respondent </w:t>
      </w:r>
      <w:r w:rsidR="00FB390D" w:rsidRPr="004C4AF3">
        <w:rPr>
          <w:rFonts w:ascii="Georgia" w:hAnsi="Georgia" w:cs="Arial"/>
        </w:rPr>
        <w:t xml:space="preserve">on 10 April 2024 in </w:t>
      </w:r>
      <w:r w:rsidR="00E54EF9" w:rsidRPr="004C4AF3">
        <w:rPr>
          <w:rFonts w:ascii="Georgia" w:hAnsi="Georgia" w:cs="Arial"/>
        </w:rPr>
        <w:t>the sum of £77,925 for offences under Regulation</w:t>
      </w:r>
      <w:r w:rsidR="008B74E9">
        <w:rPr>
          <w:rFonts w:ascii="Georgia" w:hAnsi="Georgia" w:cs="Arial"/>
        </w:rPr>
        <w:t>s</w:t>
      </w:r>
      <w:r w:rsidR="00E54EF9" w:rsidRPr="004C4AF3">
        <w:rPr>
          <w:rFonts w:ascii="Georgia" w:hAnsi="Georgia" w:cs="Arial"/>
        </w:rPr>
        <w:t xml:space="preserve"> 4, 7 and 8 of The Management of Houses in Multiple Occupation (England) Regulations 2006.</w:t>
      </w:r>
      <w:r w:rsidR="004C4AF3" w:rsidRPr="004C4AF3">
        <w:rPr>
          <w:rFonts w:ascii="Georgia" w:hAnsi="Georgia" w:cs="Arial"/>
          <w:b/>
          <w:u w:val="single"/>
        </w:rPr>
        <w:t xml:space="preserve"> </w:t>
      </w:r>
    </w:p>
    <w:p w14:paraId="6DA49082" w14:textId="46127C79" w:rsidR="004C4AF3" w:rsidRPr="007548FA" w:rsidRDefault="004C4AF3" w:rsidP="004C4AF3">
      <w:pPr>
        <w:autoSpaceDE w:val="0"/>
        <w:autoSpaceDN w:val="0"/>
        <w:adjustRightInd w:val="0"/>
        <w:spacing w:after="360"/>
        <w:jc w:val="both"/>
        <w:rPr>
          <w:rFonts w:ascii="Georgia" w:hAnsi="Georgia" w:cs="Arial"/>
          <w:b/>
          <w:u w:val="single"/>
        </w:rPr>
      </w:pPr>
      <w:r w:rsidRPr="007548FA">
        <w:rPr>
          <w:rFonts w:ascii="Georgia" w:hAnsi="Georgia" w:cs="Arial"/>
          <w:b/>
          <w:u w:val="single"/>
        </w:rPr>
        <w:t>The background</w:t>
      </w:r>
    </w:p>
    <w:p w14:paraId="3B3C5917" w14:textId="15C3A015" w:rsidR="00BD6323" w:rsidRDefault="001C2DED" w:rsidP="00CE5B17">
      <w:pPr>
        <w:pStyle w:val="ListParagraph"/>
        <w:numPr>
          <w:ilvl w:val="0"/>
          <w:numId w:val="14"/>
        </w:numPr>
        <w:autoSpaceDE w:val="0"/>
        <w:autoSpaceDN w:val="0"/>
        <w:adjustRightInd w:val="0"/>
        <w:spacing w:after="360"/>
        <w:jc w:val="both"/>
        <w:rPr>
          <w:rFonts w:ascii="Georgia" w:hAnsi="Georgia" w:cs="Arial"/>
        </w:rPr>
      </w:pPr>
      <w:r w:rsidRPr="00CE5B17">
        <w:rPr>
          <w:rFonts w:ascii="Georgia" w:hAnsi="Georgia" w:cs="Arial"/>
        </w:rPr>
        <w:t xml:space="preserve">The </w:t>
      </w:r>
      <w:r w:rsidR="0084616D">
        <w:rPr>
          <w:rFonts w:ascii="Georgia" w:hAnsi="Georgia" w:cs="Arial"/>
        </w:rPr>
        <w:t>subject property</w:t>
      </w:r>
      <w:r w:rsidRPr="00CE5B17">
        <w:rPr>
          <w:rFonts w:ascii="Georgia" w:hAnsi="Georgia" w:cs="Arial"/>
        </w:rPr>
        <w:t xml:space="preserve"> is </w:t>
      </w:r>
      <w:r w:rsidR="00704D89">
        <w:rPr>
          <w:rFonts w:ascii="Georgia" w:hAnsi="Georgia" w:cs="Arial"/>
        </w:rPr>
        <w:t xml:space="preserve">a </w:t>
      </w:r>
      <w:r w:rsidR="00A1674A">
        <w:rPr>
          <w:rFonts w:ascii="Georgia" w:hAnsi="Georgia" w:cs="Arial"/>
        </w:rPr>
        <w:t>three-bedroom terraced house in Slough which has been converted into a six-bedroom HMO</w:t>
      </w:r>
      <w:r w:rsidR="00BD6323">
        <w:rPr>
          <w:rFonts w:ascii="Georgia" w:hAnsi="Georgia" w:cs="Arial"/>
        </w:rPr>
        <w:t xml:space="preserve">. </w:t>
      </w:r>
    </w:p>
    <w:p w14:paraId="4F28B1D3" w14:textId="77777777" w:rsidR="00BD6323" w:rsidRDefault="00BD6323" w:rsidP="00BD6323">
      <w:pPr>
        <w:pStyle w:val="ListParagraph"/>
        <w:autoSpaceDE w:val="0"/>
        <w:autoSpaceDN w:val="0"/>
        <w:adjustRightInd w:val="0"/>
        <w:spacing w:after="360"/>
        <w:jc w:val="both"/>
        <w:rPr>
          <w:rFonts w:ascii="Georgia" w:hAnsi="Georgia" w:cs="Arial"/>
        </w:rPr>
      </w:pPr>
    </w:p>
    <w:p w14:paraId="6552B36B" w14:textId="6F8CAFF8" w:rsidR="000507D9" w:rsidRPr="008F3938" w:rsidRDefault="00CE5B17" w:rsidP="008F3938">
      <w:pPr>
        <w:pStyle w:val="ListParagraph"/>
        <w:numPr>
          <w:ilvl w:val="0"/>
          <w:numId w:val="14"/>
        </w:numPr>
        <w:autoSpaceDE w:val="0"/>
        <w:autoSpaceDN w:val="0"/>
        <w:adjustRightInd w:val="0"/>
        <w:spacing w:after="360"/>
        <w:jc w:val="both"/>
        <w:rPr>
          <w:rFonts w:ascii="Georgia" w:hAnsi="Georgia" w:cs="Arial"/>
        </w:rPr>
      </w:pPr>
      <w:r>
        <w:rPr>
          <w:rFonts w:ascii="Georgia" w:hAnsi="Georgia" w:cs="Arial"/>
        </w:rPr>
        <w:t>The background to this appeal is set out in the</w:t>
      </w:r>
      <w:r w:rsidR="001C2DED">
        <w:rPr>
          <w:rFonts w:ascii="Georgia" w:hAnsi="Georgia" w:cs="Arial"/>
        </w:rPr>
        <w:t xml:space="preserve"> 549</w:t>
      </w:r>
      <w:r>
        <w:rPr>
          <w:rFonts w:ascii="Georgia" w:hAnsi="Georgia" w:cs="Arial"/>
        </w:rPr>
        <w:t xml:space="preserve"> page hearing </w:t>
      </w:r>
      <w:r w:rsidR="001C2DED">
        <w:rPr>
          <w:rFonts w:ascii="Georgia" w:hAnsi="Georgia" w:cs="Arial"/>
        </w:rPr>
        <w:t>bundle, which the representatives confirmed contained the relevant documents and which we have considered in detail.</w:t>
      </w:r>
      <w:r w:rsidR="00BD6323">
        <w:rPr>
          <w:rFonts w:ascii="Georgia" w:hAnsi="Georgia" w:cs="Arial"/>
        </w:rPr>
        <w:t xml:space="preserve"> In summary, </w:t>
      </w:r>
      <w:r w:rsidR="00451ED1">
        <w:rPr>
          <w:rFonts w:ascii="Georgia" w:hAnsi="Georgia" w:cs="Arial"/>
        </w:rPr>
        <w:t>on</w:t>
      </w:r>
      <w:r w:rsidR="007A33F1">
        <w:rPr>
          <w:rFonts w:ascii="Georgia" w:hAnsi="Georgia" w:cs="Arial"/>
        </w:rPr>
        <w:t xml:space="preserve"> 13 June 2023,</w:t>
      </w:r>
      <w:r w:rsidR="00451ED1">
        <w:rPr>
          <w:rFonts w:ascii="Georgia" w:hAnsi="Georgia" w:cs="Arial"/>
        </w:rPr>
        <w:t xml:space="preserve"> 12 July 2023 and 15 August 2023, the Respondent Local Authority visited the property and </w:t>
      </w:r>
      <w:r w:rsidR="006428E0">
        <w:rPr>
          <w:rFonts w:ascii="Georgia" w:hAnsi="Georgia" w:cs="Arial"/>
        </w:rPr>
        <w:t xml:space="preserve">found evidence of breach of the HMO management regulations, including </w:t>
      </w:r>
      <w:r w:rsidR="00E56482">
        <w:rPr>
          <w:rFonts w:ascii="Georgia" w:hAnsi="Georgia" w:cs="Arial"/>
        </w:rPr>
        <w:t xml:space="preserve">fire safety breaches and issues relating to the </w:t>
      </w:r>
      <w:r w:rsidR="003F26DD">
        <w:rPr>
          <w:rFonts w:ascii="Georgia" w:hAnsi="Georgia" w:cs="Arial"/>
        </w:rPr>
        <w:t>cleanliness and repair of the property. On 8 January 2024, it gave the Appellant notice of its intention to i</w:t>
      </w:r>
      <w:r w:rsidR="00B93BA2">
        <w:rPr>
          <w:rFonts w:ascii="Georgia" w:hAnsi="Georgia" w:cs="Arial"/>
        </w:rPr>
        <w:t xml:space="preserve">mpose a financial penalty, and, having considered the Appellant’s representations, on </w:t>
      </w:r>
      <w:r w:rsidR="004A5C62">
        <w:rPr>
          <w:rFonts w:ascii="Georgia" w:hAnsi="Georgia" w:cs="Arial"/>
        </w:rPr>
        <w:t xml:space="preserve">10 April 2024 </w:t>
      </w:r>
      <w:r w:rsidR="000507D9">
        <w:rPr>
          <w:rFonts w:ascii="Georgia" w:hAnsi="Georgia" w:cs="Arial"/>
        </w:rPr>
        <w:t>imposed a financial penalty of £77,925 in respect of th</w:t>
      </w:r>
      <w:r w:rsidR="00C663FC">
        <w:rPr>
          <w:rFonts w:ascii="Georgia" w:hAnsi="Georgia" w:cs="Arial"/>
        </w:rPr>
        <w:t>e</w:t>
      </w:r>
      <w:r w:rsidR="000507D9">
        <w:rPr>
          <w:rFonts w:ascii="Georgia" w:hAnsi="Georgia" w:cs="Arial"/>
        </w:rPr>
        <w:t xml:space="preserve"> breaches</w:t>
      </w:r>
      <w:r w:rsidR="00C663FC">
        <w:rPr>
          <w:rFonts w:ascii="Georgia" w:hAnsi="Georgia" w:cs="Arial"/>
        </w:rPr>
        <w:t xml:space="preserve"> of the re</w:t>
      </w:r>
      <w:r w:rsidR="00D25324">
        <w:rPr>
          <w:rFonts w:ascii="Georgia" w:hAnsi="Georgia" w:cs="Arial"/>
        </w:rPr>
        <w:t>gulations that it found to be made out</w:t>
      </w:r>
      <w:r w:rsidR="000507D9">
        <w:rPr>
          <w:rFonts w:ascii="Georgia" w:hAnsi="Georgia" w:cs="Arial"/>
        </w:rPr>
        <w:t xml:space="preserve">. </w:t>
      </w:r>
    </w:p>
    <w:p w14:paraId="1CE6CBC1"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The hearing</w:t>
      </w:r>
    </w:p>
    <w:p w14:paraId="35B361B2" w14:textId="7F0285EB" w:rsidR="000927B4" w:rsidRPr="007548FA" w:rsidRDefault="000927B4" w:rsidP="00CE5B17">
      <w:pPr>
        <w:numPr>
          <w:ilvl w:val="0"/>
          <w:numId w:val="14"/>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 xml:space="preserve">The Applicant </w:t>
      </w:r>
      <w:r w:rsidR="00E713AD">
        <w:rPr>
          <w:rFonts w:ascii="Georgia" w:hAnsi="Georgia" w:cs="Arial"/>
        </w:rPr>
        <w:t xml:space="preserve">was represented by Mr Atkinson and the Respondent by Ms Davies. We </w:t>
      </w:r>
      <w:r w:rsidR="008F3938">
        <w:rPr>
          <w:rFonts w:ascii="Georgia" w:hAnsi="Georgia" w:cs="Arial"/>
        </w:rPr>
        <w:t>heard oral evidence from Ms Natalie Worley</w:t>
      </w:r>
      <w:r w:rsidR="00DC2655">
        <w:rPr>
          <w:rFonts w:ascii="Georgia" w:hAnsi="Georgia" w:cs="Arial"/>
        </w:rPr>
        <w:t xml:space="preserve">, a Housing Regulation Officer employed by the Respondent. She was briefly cross-examined by Mr Atkinson. </w:t>
      </w:r>
      <w:r w:rsidR="00990642">
        <w:rPr>
          <w:rFonts w:ascii="Georgia" w:hAnsi="Georgia" w:cs="Arial"/>
        </w:rPr>
        <w:t>No</w:t>
      </w:r>
      <w:r w:rsidR="00CD3C31">
        <w:rPr>
          <w:rFonts w:ascii="Georgia" w:hAnsi="Georgia" w:cs="Arial"/>
        </w:rPr>
        <w:t xml:space="preserve"> written or oral witness</w:t>
      </w:r>
      <w:r w:rsidR="00990642">
        <w:rPr>
          <w:rFonts w:ascii="Georgia" w:hAnsi="Georgia" w:cs="Arial"/>
        </w:rPr>
        <w:t xml:space="preserve"> evidence was produced by or on behalf of the Appellant. </w:t>
      </w:r>
      <w:r w:rsidR="00DC2655">
        <w:rPr>
          <w:rFonts w:ascii="Georgia" w:hAnsi="Georgia" w:cs="Arial"/>
        </w:rPr>
        <w:t xml:space="preserve">Both representatives made helpful submissions for which we were grateful. We reserved our decision. </w:t>
      </w:r>
    </w:p>
    <w:p w14:paraId="53F3367B"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The issues</w:t>
      </w:r>
    </w:p>
    <w:p w14:paraId="2D54D5FB" w14:textId="52144C34" w:rsidR="000927B4" w:rsidRPr="00990642" w:rsidRDefault="00DC2655" w:rsidP="00F560F8">
      <w:pPr>
        <w:numPr>
          <w:ilvl w:val="0"/>
          <w:numId w:val="14"/>
        </w:numPr>
        <w:tabs>
          <w:tab w:val="num" w:pos="1778"/>
        </w:tabs>
        <w:autoSpaceDE w:val="0"/>
        <w:autoSpaceDN w:val="0"/>
        <w:adjustRightInd w:val="0"/>
        <w:spacing w:after="360"/>
        <w:ind w:left="709" w:hanging="709"/>
        <w:jc w:val="both"/>
        <w:rPr>
          <w:rFonts w:ascii="Georgia" w:hAnsi="Georgia" w:cs="Arial"/>
        </w:rPr>
      </w:pPr>
      <w:r>
        <w:rPr>
          <w:rFonts w:ascii="Georgia" w:hAnsi="Georgia" w:cs="Arial"/>
        </w:rPr>
        <w:t xml:space="preserve">The representatives agreed at the outset of the hearing that the sole issue in dispute was </w:t>
      </w:r>
      <w:r w:rsidR="00990642">
        <w:rPr>
          <w:rFonts w:ascii="Georgia" w:hAnsi="Georgia" w:cs="Arial"/>
        </w:rPr>
        <w:t xml:space="preserve">the level of fine imposed by the Respondent. </w:t>
      </w:r>
    </w:p>
    <w:p w14:paraId="1BD07DFE" w14:textId="6860CA6D" w:rsidR="000927B4" w:rsidRPr="00F560F8" w:rsidRDefault="000927B4" w:rsidP="00F560F8">
      <w:pPr>
        <w:numPr>
          <w:ilvl w:val="0"/>
          <w:numId w:val="14"/>
        </w:numPr>
        <w:tabs>
          <w:tab w:val="num" w:pos="1778"/>
        </w:tabs>
        <w:autoSpaceDE w:val="0"/>
        <w:autoSpaceDN w:val="0"/>
        <w:adjustRightInd w:val="0"/>
        <w:spacing w:after="360"/>
        <w:ind w:left="709" w:hanging="709"/>
        <w:jc w:val="both"/>
        <w:rPr>
          <w:rFonts w:ascii="Georgia" w:hAnsi="Georgia" w:cs="Arial"/>
        </w:rPr>
      </w:pPr>
      <w:r w:rsidRPr="007548FA">
        <w:rPr>
          <w:rFonts w:ascii="Georgia" w:hAnsi="Georgia" w:cs="Arial"/>
        </w:rPr>
        <w:t xml:space="preserve">Having heard evidence and submissions from the parties and considered all of the documents provided, the tribunal </w:t>
      </w:r>
      <w:r w:rsidR="0084616D">
        <w:rPr>
          <w:rFonts w:ascii="Georgia" w:hAnsi="Georgia" w:cs="Arial"/>
        </w:rPr>
        <w:t>makes the following findings and decisions</w:t>
      </w:r>
      <w:r w:rsidRPr="007548FA">
        <w:rPr>
          <w:rFonts w:ascii="Georgia" w:hAnsi="Georgia" w:cs="Arial"/>
        </w:rPr>
        <w:t>.</w:t>
      </w:r>
    </w:p>
    <w:p w14:paraId="0E4D937B" w14:textId="06E5111A" w:rsidR="000927B4" w:rsidRPr="007548FA" w:rsidRDefault="00F560F8" w:rsidP="00F560F8">
      <w:pPr>
        <w:autoSpaceDE w:val="0"/>
        <w:autoSpaceDN w:val="0"/>
        <w:adjustRightInd w:val="0"/>
        <w:spacing w:after="360"/>
        <w:jc w:val="both"/>
        <w:rPr>
          <w:rFonts w:ascii="Georgia" w:hAnsi="Georgia" w:cs="Arial"/>
        </w:rPr>
      </w:pPr>
      <w:r>
        <w:rPr>
          <w:rFonts w:ascii="Georgia" w:hAnsi="Georgia" w:cs="Arial"/>
          <w:b/>
          <w:u w:val="single"/>
        </w:rPr>
        <w:lastRenderedPageBreak/>
        <w:t>Decision and reasons</w:t>
      </w:r>
    </w:p>
    <w:p w14:paraId="339E77DA" w14:textId="2FB66E74" w:rsidR="000927B4" w:rsidRDefault="00F035CC" w:rsidP="00CE5B17">
      <w:pPr>
        <w:numPr>
          <w:ilvl w:val="0"/>
          <w:numId w:val="14"/>
        </w:numPr>
        <w:tabs>
          <w:tab w:val="num" w:pos="1778"/>
        </w:tabs>
        <w:autoSpaceDE w:val="0"/>
        <w:autoSpaceDN w:val="0"/>
        <w:adjustRightInd w:val="0"/>
        <w:spacing w:after="360"/>
        <w:ind w:left="709" w:hanging="709"/>
        <w:jc w:val="both"/>
        <w:rPr>
          <w:rFonts w:ascii="Georgia" w:hAnsi="Georgia" w:cs="Arial"/>
        </w:rPr>
      </w:pPr>
      <w:r>
        <w:rPr>
          <w:rFonts w:ascii="Georgia" w:hAnsi="Georgia" w:cs="Arial"/>
        </w:rPr>
        <w:t>The Appellant’s appeal in relation to the level of</w:t>
      </w:r>
      <w:r w:rsidR="00CD3C31">
        <w:rPr>
          <w:rFonts w:ascii="Georgia" w:hAnsi="Georgia" w:cs="Arial"/>
        </w:rPr>
        <w:t xml:space="preserve"> the penalty</w:t>
      </w:r>
      <w:r>
        <w:rPr>
          <w:rFonts w:ascii="Georgia" w:hAnsi="Georgia" w:cs="Arial"/>
        </w:rPr>
        <w:t xml:space="preserve"> is advanced on the following bases:</w:t>
      </w:r>
    </w:p>
    <w:p w14:paraId="5AE159F0" w14:textId="0DCAD13E" w:rsidR="00F035CC" w:rsidRDefault="006D0013" w:rsidP="00F035CC">
      <w:pPr>
        <w:numPr>
          <w:ilvl w:val="1"/>
          <w:numId w:val="14"/>
        </w:numPr>
        <w:tabs>
          <w:tab w:val="num" w:pos="2722"/>
        </w:tabs>
        <w:autoSpaceDE w:val="0"/>
        <w:autoSpaceDN w:val="0"/>
        <w:adjustRightInd w:val="0"/>
        <w:spacing w:after="360"/>
        <w:jc w:val="both"/>
        <w:rPr>
          <w:rFonts w:ascii="Georgia" w:hAnsi="Georgia" w:cs="Arial"/>
        </w:rPr>
      </w:pPr>
      <w:r>
        <w:rPr>
          <w:rFonts w:ascii="Georgia" w:hAnsi="Georgia" w:cs="Arial"/>
        </w:rPr>
        <w:t xml:space="preserve">The Respondent </w:t>
      </w:r>
      <w:r w:rsidR="002C562C">
        <w:rPr>
          <w:rFonts w:ascii="Georgia" w:hAnsi="Georgia" w:cs="Arial"/>
        </w:rPr>
        <w:t xml:space="preserve">failed to properly </w:t>
      </w:r>
      <w:r w:rsidR="007A50E3">
        <w:rPr>
          <w:rFonts w:ascii="Georgia" w:hAnsi="Georgia" w:cs="Arial"/>
        </w:rPr>
        <w:t>consider</w:t>
      </w:r>
      <w:r w:rsidR="002C562C">
        <w:rPr>
          <w:rFonts w:ascii="Georgia" w:hAnsi="Georgia" w:cs="Arial"/>
        </w:rPr>
        <w:t xml:space="preserve"> the Appellant’s culpability </w:t>
      </w:r>
      <w:r w:rsidR="007A50E3">
        <w:rPr>
          <w:rFonts w:ascii="Georgia" w:hAnsi="Georgia" w:cs="Arial"/>
        </w:rPr>
        <w:t xml:space="preserve">and the harm caused to the occupiers of the property </w:t>
      </w:r>
      <w:r w:rsidR="002C562C">
        <w:rPr>
          <w:rFonts w:ascii="Georgia" w:hAnsi="Georgia" w:cs="Arial"/>
        </w:rPr>
        <w:t>wh</w:t>
      </w:r>
      <w:r w:rsidR="003B5250">
        <w:rPr>
          <w:rFonts w:ascii="Georgia" w:hAnsi="Georgia" w:cs="Arial"/>
        </w:rPr>
        <w:t xml:space="preserve">en determining the amount of the penalty. </w:t>
      </w:r>
    </w:p>
    <w:p w14:paraId="1CDEF83F" w14:textId="77777777" w:rsidR="001E69B7" w:rsidRDefault="003B5250" w:rsidP="00F035CC">
      <w:pPr>
        <w:numPr>
          <w:ilvl w:val="1"/>
          <w:numId w:val="14"/>
        </w:numPr>
        <w:tabs>
          <w:tab w:val="num" w:pos="2722"/>
        </w:tabs>
        <w:autoSpaceDE w:val="0"/>
        <w:autoSpaceDN w:val="0"/>
        <w:adjustRightInd w:val="0"/>
        <w:spacing w:after="360"/>
        <w:jc w:val="both"/>
        <w:rPr>
          <w:rFonts w:ascii="Georgia" w:hAnsi="Georgia" w:cs="Arial"/>
        </w:rPr>
      </w:pPr>
      <w:r>
        <w:rPr>
          <w:rFonts w:ascii="Georgia" w:hAnsi="Georgia" w:cs="Arial"/>
        </w:rPr>
        <w:t xml:space="preserve">The Respondent </w:t>
      </w:r>
      <w:r w:rsidR="007A50E3">
        <w:rPr>
          <w:rFonts w:ascii="Georgia" w:hAnsi="Georgia" w:cs="Arial"/>
        </w:rPr>
        <w:t>failed to properly consider</w:t>
      </w:r>
      <w:r w:rsidR="001E69B7">
        <w:rPr>
          <w:rFonts w:ascii="Georgia" w:hAnsi="Georgia" w:cs="Arial"/>
        </w:rPr>
        <w:t>:</w:t>
      </w:r>
    </w:p>
    <w:p w14:paraId="016392B4" w14:textId="2596DE4F" w:rsidR="001E69B7" w:rsidRDefault="007A50E3" w:rsidP="001E69B7">
      <w:pPr>
        <w:numPr>
          <w:ilvl w:val="2"/>
          <w:numId w:val="14"/>
        </w:numPr>
        <w:autoSpaceDE w:val="0"/>
        <w:autoSpaceDN w:val="0"/>
        <w:adjustRightInd w:val="0"/>
        <w:spacing w:after="360"/>
        <w:jc w:val="both"/>
        <w:rPr>
          <w:rFonts w:ascii="Georgia" w:hAnsi="Georgia" w:cs="Arial"/>
        </w:rPr>
      </w:pPr>
      <w:r>
        <w:rPr>
          <w:rFonts w:ascii="Georgia" w:hAnsi="Georgia" w:cs="Arial"/>
        </w:rPr>
        <w:t>the Appellant’s cooperation</w:t>
      </w:r>
      <w:r w:rsidR="00314BF0">
        <w:rPr>
          <w:rFonts w:ascii="Georgia" w:hAnsi="Georgia" w:cs="Arial"/>
        </w:rPr>
        <w:t xml:space="preserve"> with the Respondent</w:t>
      </w:r>
      <w:r>
        <w:rPr>
          <w:rFonts w:ascii="Georgia" w:hAnsi="Georgia" w:cs="Arial"/>
        </w:rPr>
        <w:t xml:space="preserve"> </w:t>
      </w:r>
      <w:r w:rsidR="00C15A80">
        <w:rPr>
          <w:rFonts w:ascii="Georgia" w:hAnsi="Georgia" w:cs="Arial"/>
        </w:rPr>
        <w:t xml:space="preserve">when taking account </w:t>
      </w:r>
      <w:r w:rsidR="00BD2D13">
        <w:rPr>
          <w:rFonts w:ascii="Georgia" w:hAnsi="Georgia" w:cs="Arial"/>
        </w:rPr>
        <w:t>mitigating factors</w:t>
      </w:r>
      <w:r w:rsidR="00314BF0">
        <w:rPr>
          <w:rFonts w:ascii="Georgia" w:hAnsi="Georgia" w:cs="Arial"/>
        </w:rPr>
        <w:t>;</w:t>
      </w:r>
      <w:r w:rsidR="001E69B7">
        <w:rPr>
          <w:rFonts w:ascii="Georgia" w:hAnsi="Georgia" w:cs="Arial"/>
        </w:rPr>
        <w:t xml:space="preserve"> and</w:t>
      </w:r>
    </w:p>
    <w:p w14:paraId="4DB989DD" w14:textId="1BD813C2" w:rsidR="003B5250" w:rsidRDefault="001E69B7" w:rsidP="001E69B7">
      <w:pPr>
        <w:numPr>
          <w:ilvl w:val="2"/>
          <w:numId w:val="14"/>
        </w:numPr>
        <w:autoSpaceDE w:val="0"/>
        <w:autoSpaceDN w:val="0"/>
        <w:adjustRightInd w:val="0"/>
        <w:spacing w:after="360"/>
        <w:jc w:val="both"/>
        <w:rPr>
          <w:rFonts w:ascii="Georgia" w:hAnsi="Georgia" w:cs="Arial"/>
        </w:rPr>
      </w:pPr>
      <w:r>
        <w:rPr>
          <w:rFonts w:ascii="Georgia" w:hAnsi="Georgia" w:cs="Arial"/>
        </w:rPr>
        <w:t>the lack of aggravating factors.</w:t>
      </w:r>
      <w:r w:rsidR="00BD2D13">
        <w:rPr>
          <w:rFonts w:ascii="Georgia" w:hAnsi="Georgia" w:cs="Arial"/>
        </w:rPr>
        <w:t xml:space="preserve"> </w:t>
      </w:r>
    </w:p>
    <w:p w14:paraId="34E7B0C2" w14:textId="6EF5F909" w:rsidR="00BD2D13" w:rsidRDefault="00050418" w:rsidP="00F035CC">
      <w:pPr>
        <w:numPr>
          <w:ilvl w:val="1"/>
          <w:numId w:val="14"/>
        </w:numPr>
        <w:tabs>
          <w:tab w:val="num" w:pos="2722"/>
        </w:tabs>
        <w:autoSpaceDE w:val="0"/>
        <w:autoSpaceDN w:val="0"/>
        <w:adjustRightInd w:val="0"/>
        <w:spacing w:after="360"/>
        <w:jc w:val="both"/>
        <w:rPr>
          <w:rFonts w:ascii="Georgia" w:hAnsi="Georgia" w:cs="Arial"/>
        </w:rPr>
      </w:pPr>
      <w:r>
        <w:rPr>
          <w:rFonts w:ascii="Georgia" w:hAnsi="Georgia" w:cs="Arial"/>
        </w:rPr>
        <w:t>In relation to</w:t>
      </w:r>
      <w:r w:rsidR="00314BF0">
        <w:rPr>
          <w:rFonts w:ascii="Georgia" w:hAnsi="Georgia" w:cs="Arial"/>
        </w:rPr>
        <w:t xml:space="preserve"> some of the particular offences committed, t</w:t>
      </w:r>
      <w:r>
        <w:rPr>
          <w:rFonts w:ascii="Georgia" w:hAnsi="Georgia" w:cs="Arial"/>
        </w:rPr>
        <w:t xml:space="preserve">hat the Respondent has failed to properly apply its own </w:t>
      </w:r>
      <w:r w:rsidR="00056D15">
        <w:rPr>
          <w:rFonts w:ascii="Georgia" w:hAnsi="Georgia" w:cs="Arial"/>
        </w:rPr>
        <w:t>policy</w:t>
      </w:r>
      <w:r w:rsidR="00C94400">
        <w:rPr>
          <w:rFonts w:ascii="Georgia" w:hAnsi="Georgia" w:cs="Arial"/>
        </w:rPr>
        <w:t xml:space="preserve"> in coming to a decision on the level of the </w:t>
      </w:r>
      <w:r w:rsidR="00CD3C31">
        <w:rPr>
          <w:rFonts w:ascii="Georgia" w:hAnsi="Georgia" w:cs="Arial"/>
        </w:rPr>
        <w:t>penalty</w:t>
      </w:r>
      <w:r w:rsidR="00C94400">
        <w:rPr>
          <w:rFonts w:ascii="Georgia" w:hAnsi="Georgia" w:cs="Arial"/>
        </w:rPr>
        <w:t xml:space="preserve">. </w:t>
      </w:r>
    </w:p>
    <w:p w14:paraId="7216BEE4" w14:textId="3F2DFA9D" w:rsidR="00C94400" w:rsidRPr="00C94400" w:rsidRDefault="00C94400" w:rsidP="00C94400">
      <w:pPr>
        <w:autoSpaceDE w:val="0"/>
        <w:autoSpaceDN w:val="0"/>
        <w:adjustRightInd w:val="0"/>
        <w:spacing w:after="360"/>
        <w:jc w:val="both"/>
        <w:rPr>
          <w:rFonts w:ascii="Georgia" w:hAnsi="Georgia" w:cs="Arial"/>
          <w:u w:val="single"/>
        </w:rPr>
      </w:pPr>
      <w:r>
        <w:rPr>
          <w:rFonts w:ascii="Georgia" w:hAnsi="Georgia" w:cs="Arial"/>
          <w:u w:val="single"/>
        </w:rPr>
        <w:t>Culpability</w:t>
      </w:r>
    </w:p>
    <w:p w14:paraId="5D770CC3" w14:textId="07AB9C26" w:rsidR="00C94400" w:rsidRDefault="003E6AD4" w:rsidP="007B244E">
      <w:pPr>
        <w:numPr>
          <w:ilvl w:val="0"/>
          <w:numId w:val="14"/>
        </w:numPr>
        <w:autoSpaceDE w:val="0"/>
        <w:autoSpaceDN w:val="0"/>
        <w:adjustRightInd w:val="0"/>
        <w:spacing w:after="360"/>
        <w:jc w:val="both"/>
        <w:rPr>
          <w:rFonts w:ascii="Georgia" w:hAnsi="Georgia" w:cs="Arial"/>
        </w:rPr>
      </w:pPr>
      <w:r>
        <w:rPr>
          <w:rFonts w:ascii="Georgia" w:hAnsi="Georgia" w:cs="Arial"/>
        </w:rPr>
        <w:t xml:space="preserve">We bear in mind the decision in </w:t>
      </w:r>
      <w:r w:rsidR="007B244E" w:rsidRPr="007B244E">
        <w:rPr>
          <w:rFonts w:ascii="Georgia" w:hAnsi="Georgia" w:cs="Arial"/>
        </w:rPr>
        <w:t>Waltham Forest LBC v Marshall</w:t>
      </w:r>
      <w:r w:rsidR="00A8600D" w:rsidRPr="00A8600D">
        <w:rPr>
          <w:rFonts w:ascii="Source Sans Pro" w:hAnsi="Source Sans Pro"/>
          <w:color w:val="3D3D3D"/>
          <w:shd w:val="clear" w:color="auto" w:fill="FFFFFF"/>
        </w:rPr>
        <w:t xml:space="preserve"> </w:t>
      </w:r>
      <w:r w:rsidR="00A8600D" w:rsidRPr="00A8600D">
        <w:rPr>
          <w:rFonts w:ascii="Georgia" w:hAnsi="Georgia" w:cs="Arial"/>
        </w:rPr>
        <w:t>[2020] UKUT 35 (LC)</w:t>
      </w:r>
      <w:r w:rsidR="00A8600D">
        <w:rPr>
          <w:rFonts w:ascii="Georgia" w:hAnsi="Georgia" w:cs="Arial"/>
        </w:rPr>
        <w:t xml:space="preserve"> </w:t>
      </w:r>
      <w:r w:rsidR="00617E99">
        <w:rPr>
          <w:rFonts w:ascii="Georgia" w:hAnsi="Georgia" w:cs="Arial"/>
        </w:rPr>
        <w:t xml:space="preserve">and give </w:t>
      </w:r>
      <w:r w:rsidR="008E451E">
        <w:rPr>
          <w:rFonts w:ascii="Georgia" w:hAnsi="Georgia" w:cs="Arial"/>
        </w:rPr>
        <w:t xml:space="preserve">weight to the decision under appeal. </w:t>
      </w:r>
    </w:p>
    <w:p w14:paraId="45F8DC7C" w14:textId="21C422F8" w:rsidR="008E451E" w:rsidRDefault="008E451E" w:rsidP="007B244E">
      <w:pPr>
        <w:numPr>
          <w:ilvl w:val="0"/>
          <w:numId w:val="14"/>
        </w:numPr>
        <w:autoSpaceDE w:val="0"/>
        <w:autoSpaceDN w:val="0"/>
        <w:adjustRightInd w:val="0"/>
        <w:spacing w:after="360"/>
        <w:jc w:val="both"/>
        <w:rPr>
          <w:rFonts w:ascii="Georgia" w:hAnsi="Georgia" w:cs="Arial"/>
        </w:rPr>
      </w:pPr>
      <w:r>
        <w:rPr>
          <w:rFonts w:ascii="Georgia" w:hAnsi="Georgia" w:cs="Arial"/>
        </w:rPr>
        <w:t xml:space="preserve">Mr </w:t>
      </w:r>
      <w:r w:rsidR="00EB5B16">
        <w:rPr>
          <w:rFonts w:ascii="Georgia" w:hAnsi="Georgia" w:cs="Arial"/>
        </w:rPr>
        <w:t xml:space="preserve">Atkinson </w:t>
      </w:r>
      <w:r w:rsidR="00B262F6">
        <w:rPr>
          <w:rFonts w:ascii="Georgia" w:hAnsi="Georgia" w:cs="Arial"/>
        </w:rPr>
        <w:t>referred us to</w:t>
      </w:r>
      <w:r w:rsidR="00F01BF2">
        <w:rPr>
          <w:rFonts w:ascii="Georgia" w:hAnsi="Georgia" w:cs="Arial"/>
        </w:rPr>
        <w:t xml:space="preserve"> paragraph 4.3 II </w:t>
      </w:r>
      <w:r w:rsidR="005837D9">
        <w:rPr>
          <w:rFonts w:ascii="Georgia" w:hAnsi="Georgia" w:cs="Arial"/>
        </w:rPr>
        <w:t>of the Respondent’s policy and procedure on civil pen</w:t>
      </w:r>
      <w:r w:rsidR="003A5E20">
        <w:rPr>
          <w:rFonts w:ascii="Georgia" w:hAnsi="Georgia" w:cs="Arial"/>
        </w:rPr>
        <w:t xml:space="preserve">alties. He asserted that the </w:t>
      </w:r>
      <w:r w:rsidR="00F01BF2">
        <w:rPr>
          <w:rFonts w:ascii="Georgia" w:hAnsi="Georgia" w:cs="Arial"/>
        </w:rPr>
        <w:t xml:space="preserve">Respondent </w:t>
      </w:r>
      <w:r w:rsidR="007C58DB">
        <w:rPr>
          <w:rFonts w:ascii="Georgia" w:hAnsi="Georgia" w:cs="Arial"/>
        </w:rPr>
        <w:t xml:space="preserve">has failed to </w:t>
      </w:r>
      <w:r w:rsidR="007F083F">
        <w:rPr>
          <w:rFonts w:ascii="Georgia" w:hAnsi="Georgia" w:cs="Arial"/>
        </w:rPr>
        <w:t>properly consider the culpability factors set out in paragraph 4.3 II b</w:t>
      </w:r>
      <w:r w:rsidR="00360DED">
        <w:rPr>
          <w:rFonts w:ascii="Georgia" w:hAnsi="Georgia" w:cs="Arial"/>
        </w:rPr>
        <w:t xml:space="preserve">, in particular that the </w:t>
      </w:r>
      <w:r w:rsidR="00B0162F">
        <w:rPr>
          <w:rFonts w:ascii="Georgia" w:hAnsi="Georgia" w:cs="Arial"/>
        </w:rPr>
        <w:t>property had been used by squatters</w:t>
      </w:r>
      <w:r w:rsidR="00C64F0E">
        <w:rPr>
          <w:rFonts w:ascii="Georgia" w:hAnsi="Georgia" w:cs="Arial"/>
        </w:rPr>
        <w:t>, such that there was no premeditation or planning</w:t>
      </w:r>
      <w:r w:rsidR="00CD3C31">
        <w:rPr>
          <w:rFonts w:ascii="Georgia" w:hAnsi="Georgia" w:cs="Arial"/>
        </w:rPr>
        <w:t xml:space="preserve"> to the offending</w:t>
      </w:r>
      <w:r w:rsidR="00C64F0E">
        <w:rPr>
          <w:rFonts w:ascii="Georgia" w:hAnsi="Georgia" w:cs="Arial"/>
        </w:rPr>
        <w:t xml:space="preserve"> </w:t>
      </w:r>
      <w:r w:rsidR="00B61ED2">
        <w:rPr>
          <w:rFonts w:ascii="Georgia" w:hAnsi="Georgia" w:cs="Arial"/>
        </w:rPr>
        <w:t>on the part of the Appellant, who had</w:t>
      </w:r>
      <w:r w:rsidR="00DD259C">
        <w:rPr>
          <w:rFonts w:ascii="Georgia" w:hAnsi="Georgia" w:cs="Arial"/>
        </w:rPr>
        <w:t xml:space="preserve"> essentially</w:t>
      </w:r>
      <w:r w:rsidR="00B61ED2">
        <w:rPr>
          <w:rFonts w:ascii="Georgia" w:hAnsi="Georgia" w:cs="Arial"/>
        </w:rPr>
        <w:t xml:space="preserve"> lost control of </w:t>
      </w:r>
      <w:r w:rsidR="00CD3C31">
        <w:rPr>
          <w:rFonts w:ascii="Georgia" w:hAnsi="Georgia" w:cs="Arial"/>
        </w:rPr>
        <w:t xml:space="preserve">the </w:t>
      </w:r>
      <w:r w:rsidR="00B61ED2">
        <w:rPr>
          <w:rFonts w:ascii="Georgia" w:hAnsi="Georgia" w:cs="Arial"/>
        </w:rPr>
        <w:t>common parts of the property</w:t>
      </w:r>
      <w:r w:rsidR="002974EC">
        <w:rPr>
          <w:rFonts w:ascii="Georgia" w:hAnsi="Georgia" w:cs="Arial"/>
        </w:rPr>
        <w:t>. Further, he asserted that the Appellant</w:t>
      </w:r>
      <w:r w:rsidR="009F5606">
        <w:rPr>
          <w:rFonts w:ascii="Georgia" w:hAnsi="Georgia" w:cs="Arial"/>
        </w:rPr>
        <w:t xml:space="preserve"> managing agent of the property</w:t>
      </w:r>
      <w:r w:rsidR="000A0CD3">
        <w:rPr>
          <w:rFonts w:ascii="Georgia" w:hAnsi="Georgia" w:cs="Arial"/>
        </w:rPr>
        <w:t xml:space="preserve"> </w:t>
      </w:r>
      <w:r w:rsidR="00B432EA">
        <w:rPr>
          <w:rFonts w:ascii="Georgia" w:hAnsi="Georgia" w:cs="Arial"/>
        </w:rPr>
        <w:t xml:space="preserve">had only derived around £8000 in revenue over the course of its management. </w:t>
      </w:r>
    </w:p>
    <w:p w14:paraId="116D1F85" w14:textId="11151D3B" w:rsidR="00B432EA" w:rsidRDefault="007E51A0" w:rsidP="007B244E">
      <w:pPr>
        <w:numPr>
          <w:ilvl w:val="0"/>
          <w:numId w:val="14"/>
        </w:numPr>
        <w:autoSpaceDE w:val="0"/>
        <w:autoSpaceDN w:val="0"/>
        <w:adjustRightInd w:val="0"/>
        <w:spacing w:after="360"/>
        <w:jc w:val="both"/>
        <w:rPr>
          <w:rFonts w:ascii="Georgia" w:hAnsi="Georgia" w:cs="Arial"/>
        </w:rPr>
      </w:pPr>
      <w:r>
        <w:rPr>
          <w:rFonts w:ascii="Georgia" w:hAnsi="Georgia" w:cs="Arial"/>
        </w:rPr>
        <w:t>We note that paragraph 4.3 II of the Respondent’s policy is not directed to the level of</w:t>
      </w:r>
      <w:r w:rsidR="00FD10E3">
        <w:rPr>
          <w:rFonts w:ascii="Georgia" w:hAnsi="Georgia" w:cs="Arial"/>
        </w:rPr>
        <w:t xml:space="preserve"> sanction, but rather to </w:t>
      </w:r>
      <w:r w:rsidR="000A0CD3">
        <w:rPr>
          <w:rFonts w:ascii="Georgia" w:hAnsi="Georgia" w:cs="Arial"/>
        </w:rPr>
        <w:t>whether the imposition</w:t>
      </w:r>
      <w:r w:rsidR="001D2CCE">
        <w:rPr>
          <w:rFonts w:ascii="Georgia" w:hAnsi="Georgia" w:cs="Arial"/>
        </w:rPr>
        <w:t xml:space="preserve"> of a civil penalty is justified in the public interest. </w:t>
      </w:r>
      <w:r w:rsidR="00810635">
        <w:rPr>
          <w:rFonts w:ascii="Georgia" w:hAnsi="Georgia" w:cs="Arial"/>
        </w:rPr>
        <w:t xml:space="preserve">There is no dispute in this case </w:t>
      </w:r>
      <w:r w:rsidR="008A5C3A">
        <w:rPr>
          <w:rFonts w:ascii="Georgia" w:hAnsi="Georgia" w:cs="Arial"/>
        </w:rPr>
        <w:t xml:space="preserve">that the Respondent was justified in issuing a penalty – the </w:t>
      </w:r>
      <w:r w:rsidR="00E80ED5">
        <w:rPr>
          <w:rFonts w:ascii="Georgia" w:hAnsi="Georgia" w:cs="Arial"/>
        </w:rPr>
        <w:t xml:space="preserve">issue is the level of the penalty imposed. </w:t>
      </w:r>
    </w:p>
    <w:p w14:paraId="79D8852D" w14:textId="37ACDAC7" w:rsidR="00B440FB" w:rsidRDefault="00E80ED5" w:rsidP="00B440FB">
      <w:pPr>
        <w:numPr>
          <w:ilvl w:val="0"/>
          <w:numId w:val="14"/>
        </w:numPr>
        <w:autoSpaceDE w:val="0"/>
        <w:autoSpaceDN w:val="0"/>
        <w:adjustRightInd w:val="0"/>
        <w:spacing w:after="360"/>
        <w:jc w:val="both"/>
        <w:rPr>
          <w:rFonts w:ascii="Georgia" w:hAnsi="Georgia" w:cs="Arial"/>
        </w:rPr>
      </w:pPr>
      <w:r>
        <w:rPr>
          <w:rFonts w:ascii="Georgia" w:hAnsi="Georgia" w:cs="Arial"/>
        </w:rPr>
        <w:t>In any event, we</w:t>
      </w:r>
      <w:r w:rsidR="000A0CD3">
        <w:rPr>
          <w:rFonts w:ascii="Georgia" w:hAnsi="Georgia" w:cs="Arial"/>
        </w:rPr>
        <w:t xml:space="preserve"> do not find </w:t>
      </w:r>
      <w:r>
        <w:rPr>
          <w:rFonts w:ascii="Georgia" w:hAnsi="Georgia" w:cs="Arial"/>
        </w:rPr>
        <w:t>that the Appellant</w:t>
      </w:r>
      <w:r w:rsidR="008B5102">
        <w:rPr>
          <w:rFonts w:ascii="Georgia" w:hAnsi="Georgia" w:cs="Arial"/>
        </w:rPr>
        <w:t xml:space="preserve">’s culpability is low </w:t>
      </w:r>
      <w:r w:rsidR="00AE08BD">
        <w:rPr>
          <w:rFonts w:ascii="Georgia" w:hAnsi="Georgia" w:cs="Arial"/>
        </w:rPr>
        <w:t xml:space="preserve">as </w:t>
      </w:r>
      <w:r w:rsidR="008B5102">
        <w:rPr>
          <w:rFonts w:ascii="Georgia" w:hAnsi="Georgia" w:cs="Arial"/>
        </w:rPr>
        <w:t>Mr Atkinson</w:t>
      </w:r>
      <w:r w:rsidR="00AE08BD">
        <w:rPr>
          <w:rFonts w:ascii="Georgia" w:hAnsi="Georgia" w:cs="Arial"/>
        </w:rPr>
        <w:t xml:space="preserve"> asserts</w:t>
      </w:r>
      <w:r w:rsidR="008B5102">
        <w:rPr>
          <w:rFonts w:ascii="Georgia" w:hAnsi="Georgia" w:cs="Arial"/>
        </w:rPr>
        <w:t xml:space="preserve">. First, </w:t>
      </w:r>
      <w:r w:rsidR="00D871B9">
        <w:rPr>
          <w:rFonts w:ascii="Georgia" w:hAnsi="Georgia" w:cs="Arial"/>
        </w:rPr>
        <w:t>there was no</w:t>
      </w:r>
      <w:r w:rsidR="000A0CD3">
        <w:rPr>
          <w:rFonts w:ascii="Georgia" w:hAnsi="Georgia" w:cs="Arial"/>
        </w:rPr>
        <w:t xml:space="preserve"> sufficient</w:t>
      </w:r>
      <w:r w:rsidR="00D871B9">
        <w:rPr>
          <w:rFonts w:ascii="Georgia" w:hAnsi="Georgia" w:cs="Arial"/>
        </w:rPr>
        <w:t xml:space="preserve"> evidence to support the assertion that the common parts of the property had been taken </w:t>
      </w:r>
      <w:r w:rsidR="00403818">
        <w:rPr>
          <w:rFonts w:ascii="Georgia" w:hAnsi="Georgia" w:cs="Arial"/>
        </w:rPr>
        <w:t>over by squatters</w:t>
      </w:r>
      <w:r w:rsidR="00ED5DBD">
        <w:rPr>
          <w:rFonts w:ascii="Georgia" w:hAnsi="Georgia" w:cs="Arial"/>
        </w:rPr>
        <w:t xml:space="preserve"> such as to prevent the Appellant from managing the property</w:t>
      </w:r>
      <w:r w:rsidR="00703505">
        <w:rPr>
          <w:rFonts w:ascii="Georgia" w:hAnsi="Georgia" w:cs="Arial"/>
        </w:rPr>
        <w:t xml:space="preserve"> or to lose control of </w:t>
      </w:r>
      <w:r w:rsidR="000A0CD3">
        <w:rPr>
          <w:rFonts w:ascii="Georgia" w:hAnsi="Georgia" w:cs="Arial"/>
        </w:rPr>
        <w:t>it</w:t>
      </w:r>
      <w:r w:rsidR="00ED5DBD">
        <w:rPr>
          <w:rFonts w:ascii="Georgia" w:hAnsi="Georgia" w:cs="Arial"/>
        </w:rPr>
        <w:t xml:space="preserve">. </w:t>
      </w:r>
      <w:r w:rsidR="00883B7A">
        <w:rPr>
          <w:rFonts w:ascii="Georgia" w:hAnsi="Georgia" w:cs="Arial"/>
        </w:rPr>
        <w:t xml:space="preserve">As set out above, the Appellant provided no </w:t>
      </w:r>
      <w:r w:rsidR="000A0CD3">
        <w:rPr>
          <w:rFonts w:ascii="Georgia" w:hAnsi="Georgia" w:cs="Arial"/>
        </w:rPr>
        <w:t xml:space="preserve">written or oral witness </w:t>
      </w:r>
      <w:r w:rsidR="00883B7A">
        <w:rPr>
          <w:rFonts w:ascii="Georgia" w:hAnsi="Georgia" w:cs="Arial"/>
        </w:rPr>
        <w:t xml:space="preserve">evidence in support of this appeal. </w:t>
      </w:r>
      <w:r w:rsidR="001466A4">
        <w:rPr>
          <w:rFonts w:ascii="Georgia" w:hAnsi="Georgia" w:cs="Arial"/>
        </w:rPr>
        <w:t xml:space="preserve">Ms Worley’s </w:t>
      </w:r>
      <w:r w:rsidR="001466A4">
        <w:rPr>
          <w:rFonts w:ascii="Georgia" w:hAnsi="Georgia" w:cs="Arial"/>
        </w:rPr>
        <w:lastRenderedPageBreak/>
        <w:t xml:space="preserve">evidence was that </w:t>
      </w:r>
      <w:r w:rsidR="00243A5E">
        <w:rPr>
          <w:rFonts w:ascii="Georgia" w:hAnsi="Georgia" w:cs="Arial"/>
        </w:rPr>
        <w:t xml:space="preserve">she was only aware of one individual in the property </w:t>
      </w:r>
      <w:r w:rsidR="000E270E">
        <w:rPr>
          <w:rFonts w:ascii="Georgia" w:hAnsi="Georgia" w:cs="Arial"/>
        </w:rPr>
        <w:t>who</w:t>
      </w:r>
      <w:r w:rsidR="0049490D">
        <w:rPr>
          <w:rFonts w:ascii="Georgia" w:hAnsi="Georgia" w:cs="Arial"/>
        </w:rPr>
        <w:t>m</w:t>
      </w:r>
      <w:r w:rsidR="000E270E">
        <w:rPr>
          <w:rFonts w:ascii="Georgia" w:hAnsi="Georgia" w:cs="Arial"/>
        </w:rPr>
        <w:t xml:space="preserve"> </w:t>
      </w:r>
      <w:r w:rsidR="002E1347">
        <w:rPr>
          <w:rFonts w:ascii="Georgia" w:hAnsi="Georgia" w:cs="Arial"/>
        </w:rPr>
        <w:t>she believed to be a</w:t>
      </w:r>
      <w:r w:rsidR="00243A5E">
        <w:rPr>
          <w:rFonts w:ascii="Georgia" w:hAnsi="Georgia" w:cs="Arial"/>
        </w:rPr>
        <w:t xml:space="preserve"> squatter</w:t>
      </w:r>
      <w:r w:rsidR="00CA7ABA">
        <w:rPr>
          <w:rFonts w:ascii="Georgia" w:hAnsi="Georgia" w:cs="Arial"/>
        </w:rPr>
        <w:t>. She said</w:t>
      </w:r>
      <w:r w:rsidR="000E270E">
        <w:rPr>
          <w:rFonts w:ascii="Georgia" w:hAnsi="Georgia" w:cs="Arial"/>
        </w:rPr>
        <w:t xml:space="preserve"> that she had only encountered him</w:t>
      </w:r>
      <w:r w:rsidR="00CA7ABA">
        <w:rPr>
          <w:rFonts w:ascii="Georgia" w:hAnsi="Georgia" w:cs="Arial"/>
        </w:rPr>
        <w:t xml:space="preserve"> at the property</w:t>
      </w:r>
      <w:r w:rsidR="000E270E">
        <w:rPr>
          <w:rFonts w:ascii="Georgia" w:hAnsi="Georgia" w:cs="Arial"/>
        </w:rPr>
        <w:t xml:space="preserve"> on one occasion.</w:t>
      </w:r>
      <w:r w:rsidR="00243A5E">
        <w:rPr>
          <w:rFonts w:ascii="Georgia" w:hAnsi="Georgia" w:cs="Arial"/>
        </w:rPr>
        <w:t xml:space="preserve"> She said clearly that the property was otherwise occupied by tenants and that </w:t>
      </w:r>
      <w:r w:rsidR="00724692">
        <w:rPr>
          <w:rFonts w:ascii="Georgia" w:hAnsi="Georgia" w:cs="Arial"/>
        </w:rPr>
        <w:t>it</w:t>
      </w:r>
      <w:r w:rsidR="002E1347">
        <w:rPr>
          <w:rFonts w:ascii="Georgia" w:hAnsi="Georgia" w:cs="Arial"/>
        </w:rPr>
        <w:t xml:space="preserve"> was</w:t>
      </w:r>
      <w:r w:rsidR="00243A5E">
        <w:rPr>
          <w:rFonts w:ascii="Georgia" w:hAnsi="Georgia" w:cs="Arial"/>
        </w:rPr>
        <w:t xml:space="preserve"> not a house full of squatters</w:t>
      </w:r>
      <w:r w:rsidR="000E270E">
        <w:rPr>
          <w:rFonts w:ascii="Georgia" w:hAnsi="Georgia" w:cs="Arial"/>
        </w:rPr>
        <w:t xml:space="preserve">. We found Ms Worley </w:t>
      </w:r>
      <w:r w:rsidR="002E1347">
        <w:rPr>
          <w:rFonts w:ascii="Georgia" w:hAnsi="Georgia" w:cs="Arial"/>
        </w:rPr>
        <w:t xml:space="preserve">to be a </w:t>
      </w:r>
      <w:r w:rsidR="00DF0238">
        <w:rPr>
          <w:rFonts w:ascii="Georgia" w:hAnsi="Georgia" w:cs="Arial"/>
        </w:rPr>
        <w:t xml:space="preserve">compelling witness. Her evidence was given in a clear and straightforward manner and it was clear to us that she </w:t>
      </w:r>
      <w:r w:rsidR="0036606D">
        <w:rPr>
          <w:rFonts w:ascii="Georgia" w:hAnsi="Georgia" w:cs="Arial"/>
        </w:rPr>
        <w:t xml:space="preserve">had detailed knowledge of this property and </w:t>
      </w:r>
      <w:r w:rsidR="00205927">
        <w:rPr>
          <w:rFonts w:ascii="Georgia" w:hAnsi="Georgia" w:cs="Arial"/>
        </w:rPr>
        <w:t xml:space="preserve">the circumstances that gave rise </w:t>
      </w:r>
      <w:r w:rsidR="00333852">
        <w:rPr>
          <w:rFonts w:ascii="Georgia" w:hAnsi="Georgia" w:cs="Arial"/>
        </w:rPr>
        <w:t xml:space="preserve">to the </w:t>
      </w:r>
      <w:r w:rsidR="0007707C">
        <w:rPr>
          <w:rFonts w:ascii="Georgia" w:hAnsi="Georgia" w:cs="Arial"/>
        </w:rPr>
        <w:t>imposition</w:t>
      </w:r>
      <w:r w:rsidR="00333852">
        <w:rPr>
          <w:rFonts w:ascii="Georgia" w:hAnsi="Georgia" w:cs="Arial"/>
        </w:rPr>
        <w:t xml:space="preserve"> of a financial penalty in this case. We accept </w:t>
      </w:r>
      <w:r w:rsidR="0007707C">
        <w:rPr>
          <w:rFonts w:ascii="Georgia" w:hAnsi="Georgia" w:cs="Arial"/>
        </w:rPr>
        <w:t xml:space="preserve">her evidence </w:t>
      </w:r>
      <w:r w:rsidR="00333852">
        <w:rPr>
          <w:rFonts w:ascii="Georgia" w:hAnsi="Georgia" w:cs="Arial"/>
        </w:rPr>
        <w:t>and find that there was only one squatter in the property</w:t>
      </w:r>
      <w:r w:rsidR="0007707C">
        <w:rPr>
          <w:rFonts w:ascii="Georgia" w:hAnsi="Georgia" w:cs="Arial"/>
        </w:rPr>
        <w:t xml:space="preserve"> at the material times</w:t>
      </w:r>
      <w:r w:rsidR="00333852">
        <w:rPr>
          <w:rFonts w:ascii="Georgia" w:hAnsi="Georgia" w:cs="Arial"/>
        </w:rPr>
        <w:t xml:space="preserve">. </w:t>
      </w:r>
    </w:p>
    <w:p w14:paraId="01A9A8A9" w14:textId="3ED89C08" w:rsidR="00B440FB" w:rsidRPr="00B440FB" w:rsidRDefault="00413F0C" w:rsidP="00B440FB">
      <w:pPr>
        <w:numPr>
          <w:ilvl w:val="0"/>
          <w:numId w:val="14"/>
        </w:numPr>
        <w:autoSpaceDE w:val="0"/>
        <w:autoSpaceDN w:val="0"/>
        <w:adjustRightInd w:val="0"/>
        <w:spacing w:after="360"/>
        <w:jc w:val="both"/>
        <w:rPr>
          <w:rFonts w:ascii="Georgia" w:hAnsi="Georgia" w:cs="Arial"/>
        </w:rPr>
      </w:pPr>
      <w:r>
        <w:rPr>
          <w:rFonts w:ascii="Georgia" w:hAnsi="Georgia" w:cs="Arial"/>
        </w:rPr>
        <w:t xml:space="preserve">Further and in any event, there was no evidence before us </w:t>
      </w:r>
      <w:r w:rsidR="00E55B44">
        <w:rPr>
          <w:rFonts w:ascii="Georgia" w:hAnsi="Georgia" w:cs="Arial"/>
        </w:rPr>
        <w:t>relating to when the Appellant first became aware of the unlawful occupation of the property nor what it did about it. It would, for example, have been open to the Appellant to seek the assistance of the p</w:t>
      </w:r>
      <w:r w:rsidR="00423D2A">
        <w:rPr>
          <w:rFonts w:ascii="Georgia" w:hAnsi="Georgia" w:cs="Arial"/>
        </w:rPr>
        <w:t xml:space="preserve">olice or the county court in order to remove the squatter. There is no clear evidence that the Appellant took any such steps in a timely fashion. </w:t>
      </w:r>
      <w:r w:rsidR="004651FB">
        <w:rPr>
          <w:rFonts w:ascii="Georgia" w:hAnsi="Georgia" w:cs="Arial"/>
        </w:rPr>
        <w:t xml:space="preserve">Indeed, Ms Worley’s clear evidence, which we accept for the reasons set out above, was that the </w:t>
      </w:r>
      <w:r w:rsidR="007420EE">
        <w:rPr>
          <w:rFonts w:ascii="Georgia" w:hAnsi="Georgia" w:cs="Arial"/>
        </w:rPr>
        <w:t xml:space="preserve">police had </w:t>
      </w:r>
      <w:r w:rsidR="00E0394D">
        <w:rPr>
          <w:rFonts w:ascii="Georgia" w:hAnsi="Georgia" w:cs="Arial"/>
        </w:rPr>
        <w:t>been unable to reach the Appellant to discuss the issue and had been forced</w:t>
      </w:r>
      <w:r w:rsidR="005B3932">
        <w:rPr>
          <w:rFonts w:ascii="Georgia" w:hAnsi="Georgia" w:cs="Arial"/>
        </w:rPr>
        <w:t xml:space="preserve"> to</w:t>
      </w:r>
      <w:r w:rsidR="00E0394D">
        <w:rPr>
          <w:rFonts w:ascii="Georgia" w:hAnsi="Georgia" w:cs="Arial"/>
        </w:rPr>
        <w:t xml:space="preserve"> ask Ms Worley for </w:t>
      </w:r>
      <w:r w:rsidR="000D2C81">
        <w:rPr>
          <w:rFonts w:ascii="Georgia" w:hAnsi="Georgia" w:cs="Arial"/>
        </w:rPr>
        <w:t>assistance in contacting the Appellant.</w:t>
      </w:r>
    </w:p>
    <w:p w14:paraId="28A7091D" w14:textId="2E864F53" w:rsidR="00E114B6" w:rsidRDefault="00E114B6" w:rsidP="007B244E">
      <w:pPr>
        <w:numPr>
          <w:ilvl w:val="0"/>
          <w:numId w:val="14"/>
        </w:numPr>
        <w:autoSpaceDE w:val="0"/>
        <w:autoSpaceDN w:val="0"/>
        <w:adjustRightInd w:val="0"/>
        <w:spacing w:after="360"/>
        <w:jc w:val="both"/>
        <w:rPr>
          <w:rFonts w:ascii="Georgia" w:hAnsi="Georgia" w:cs="Arial"/>
        </w:rPr>
      </w:pPr>
      <w:r>
        <w:rPr>
          <w:rFonts w:ascii="Georgia" w:hAnsi="Georgia" w:cs="Arial"/>
        </w:rPr>
        <w:t>Secondly, we were not provided with any financial information from the Appellant to support</w:t>
      </w:r>
      <w:r w:rsidR="00D90B52">
        <w:rPr>
          <w:rFonts w:ascii="Georgia" w:hAnsi="Georgia" w:cs="Arial"/>
        </w:rPr>
        <w:t xml:space="preserve"> its assertions about the revenue it </w:t>
      </w:r>
      <w:r w:rsidR="00817C3D">
        <w:rPr>
          <w:rFonts w:ascii="Georgia" w:hAnsi="Georgia" w:cs="Arial"/>
        </w:rPr>
        <w:t xml:space="preserve">says it </w:t>
      </w:r>
      <w:r w:rsidR="00D90B52">
        <w:rPr>
          <w:rFonts w:ascii="Georgia" w:hAnsi="Georgia" w:cs="Arial"/>
        </w:rPr>
        <w:t>received from its management of the property.</w:t>
      </w:r>
      <w:r w:rsidR="00235125">
        <w:rPr>
          <w:rFonts w:ascii="Georgia" w:hAnsi="Georgia" w:cs="Arial"/>
        </w:rPr>
        <w:t xml:space="preserve"> </w:t>
      </w:r>
      <w:r w:rsidR="000C78D3">
        <w:rPr>
          <w:rFonts w:ascii="Georgia" w:hAnsi="Georgia" w:cs="Arial"/>
        </w:rPr>
        <w:t>As the Respondent noted in its</w:t>
      </w:r>
      <w:r w:rsidR="00FF79A4">
        <w:rPr>
          <w:rFonts w:ascii="Georgia" w:hAnsi="Georgia" w:cs="Arial"/>
        </w:rPr>
        <w:t xml:space="preserve"> decision form, the Appellant</w:t>
      </w:r>
      <w:r w:rsidR="006A787B">
        <w:rPr>
          <w:rFonts w:ascii="Georgia" w:hAnsi="Georgia" w:cs="Arial"/>
        </w:rPr>
        <w:t xml:space="preserve">’s 2022 accounts state that it holds net assets of </w:t>
      </w:r>
      <w:r w:rsidR="00B737E0" w:rsidRPr="00B737E0">
        <w:rPr>
          <w:rFonts w:ascii="Georgia" w:hAnsi="Georgia" w:cs="Arial"/>
        </w:rPr>
        <w:t>£1,039,012</w:t>
      </w:r>
      <w:r w:rsidR="00B737E0">
        <w:rPr>
          <w:rFonts w:ascii="Georgia" w:hAnsi="Georgia" w:cs="Arial"/>
        </w:rPr>
        <w:t>.</w:t>
      </w:r>
      <w:r w:rsidR="000C78D3">
        <w:rPr>
          <w:rFonts w:ascii="Georgia" w:hAnsi="Georgia" w:cs="Arial"/>
        </w:rPr>
        <w:t xml:space="preserve"> </w:t>
      </w:r>
      <w:r w:rsidR="00F5794A">
        <w:rPr>
          <w:rFonts w:ascii="Georgia" w:hAnsi="Georgia" w:cs="Arial"/>
        </w:rPr>
        <w:t xml:space="preserve">Further, the Appellant accepted in </w:t>
      </w:r>
      <w:r w:rsidR="002B154E">
        <w:rPr>
          <w:rFonts w:ascii="Georgia" w:hAnsi="Georgia" w:cs="Arial"/>
        </w:rPr>
        <w:t xml:space="preserve">an interview under caution conducted by the Respondent that it manages a large number of properties, including </w:t>
      </w:r>
      <w:r w:rsidR="000D0243">
        <w:rPr>
          <w:rFonts w:ascii="Georgia" w:hAnsi="Georgia" w:cs="Arial"/>
        </w:rPr>
        <w:t>at least 8 HMOs. The Appellan</w:t>
      </w:r>
      <w:r w:rsidR="007B5F32">
        <w:rPr>
          <w:rFonts w:ascii="Georgia" w:hAnsi="Georgia" w:cs="Arial"/>
        </w:rPr>
        <w:t>t ought</w:t>
      </w:r>
      <w:r w:rsidR="005756A8">
        <w:rPr>
          <w:rFonts w:ascii="Georgia" w:hAnsi="Georgia" w:cs="Arial"/>
        </w:rPr>
        <w:t xml:space="preserve"> in our judgment</w:t>
      </w:r>
      <w:r w:rsidR="007B5F32">
        <w:rPr>
          <w:rFonts w:ascii="Georgia" w:hAnsi="Georgia" w:cs="Arial"/>
        </w:rPr>
        <w:t xml:space="preserve"> to have been aware of the </w:t>
      </w:r>
      <w:r w:rsidR="00AB74CA">
        <w:rPr>
          <w:rFonts w:ascii="Georgia" w:hAnsi="Georgia" w:cs="Arial"/>
        </w:rPr>
        <w:t>regulations applicable to its business</w:t>
      </w:r>
      <w:r w:rsidR="00722D90">
        <w:rPr>
          <w:rFonts w:ascii="Georgia" w:hAnsi="Georgia" w:cs="Arial"/>
        </w:rPr>
        <w:t>. It</w:t>
      </w:r>
      <w:r w:rsidR="00562295">
        <w:rPr>
          <w:rFonts w:ascii="Georgia" w:hAnsi="Georgia" w:cs="Arial"/>
        </w:rPr>
        <w:t xml:space="preserve"> was for the Appellant </w:t>
      </w:r>
      <w:r w:rsidR="00722D90">
        <w:rPr>
          <w:rFonts w:ascii="Georgia" w:hAnsi="Georgia" w:cs="Arial"/>
        </w:rPr>
        <w:t xml:space="preserve">to set an appropriate management fee in light of the work and risk involved in </w:t>
      </w:r>
      <w:r w:rsidR="00DF1379">
        <w:rPr>
          <w:rFonts w:ascii="Georgia" w:hAnsi="Georgia" w:cs="Arial"/>
        </w:rPr>
        <w:t xml:space="preserve">its management </w:t>
      </w:r>
      <w:r w:rsidR="00F403DB">
        <w:rPr>
          <w:rFonts w:ascii="Georgia" w:hAnsi="Georgia" w:cs="Arial"/>
        </w:rPr>
        <w:t>activities</w:t>
      </w:r>
      <w:r w:rsidR="00DF1379">
        <w:rPr>
          <w:rFonts w:ascii="Georgia" w:hAnsi="Georgia" w:cs="Arial"/>
        </w:rPr>
        <w:t xml:space="preserve">. </w:t>
      </w:r>
    </w:p>
    <w:p w14:paraId="2748AB4B" w14:textId="799C18CB" w:rsidR="00D355A3" w:rsidRPr="000D54B6" w:rsidRDefault="00C879E7"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Furthermore, we are satisfied that the Respondent did indeed consider these factors and </w:t>
      </w:r>
      <w:r w:rsidR="00094AFF">
        <w:rPr>
          <w:rFonts w:ascii="Georgia" w:hAnsi="Georgia" w:cs="Arial"/>
        </w:rPr>
        <w:t>give them adequate weight. For example, when considering the Appellant’s representations following</w:t>
      </w:r>
      <w:r w:rsidR="00D3143C">
        <w:rPr>
          <w:rFonts w:ascii="Georgia" w:hAnsi="Georgia" w:cs="Arial"/>
        </w:rPr>
        <w:t xml:space="preserve"> service of</w:t>
      </w:r>
      <w:r w:rsidR="00094AFF">
        <w:rPr>
          <w:rFonts w:ascii="Georgia" w:hAnsi="Georgia" w:cs="Arial"/>
        </w:rPr>
        <w:t xml:space="preserve"> the Respondent’s notice of intention, the Respondent</w:t>
      </w:r>
      <w:r w:rsidR="004148CB">
        <w:rPr>
          <w:rFonts w:ascii="Georgia" w:hAnsi="Georgia" w:cs="Arial"/>
        </w:rPr>
        <w:t xml:space="preserve"> considered the Appellant’s </w:t>
      </w:r>
      <w:r w:rsidR="00D355A3">
        <w:rPr>
          <w:rFonts w:ascii="Georgia" w:hAnsi="Georgia" w:cs="Arial"/>
        </w:rPr>
        <w:t>assertions about the presence of squatters in the property but found that there was “</w:t>
      </w:r>
      <w:r w:rsidR="00D355A3" w:rsidRPr="00D355A3">
        <w:rPr>
          <w:rFonts w:ascii="Georgia" w:hAnsi="Georgia" w:cs="Arial"/>
          <w:i/>
          <w:iCs/>
        </w:rPr>
        <w:t>no evidence provided of their programme for inspecting properties. No evidence provided that details what policies they have in place for when they suspect a room is being squatted</w:t>
      </w:r>
      <w:r w:rsidR="007327CC">
        <w:rPr>
          <w:rFonts w:ascii="Georgia" w:hAnsi="Georgia" w:cs="Arial"/>
          <w:i/>
          <w:iCs/>
        </w:rPr>
        <w:t>…</w:t>
      </w:r>
      <w:r w:rsidR="00A168EE" w:rsidRPr="00A168EE">
        <w:t xml:space="preserve"> </w:t>
      </w:r>
      <w:r w:rsidR="00A168EE" w:rsidRPr="00A168EE">
        <w:rPr>
          <w:rFonts w:ascii="Georgia" w:hAnsi="Georgia" w:cs="Arial"/>
          <w:i/>
          <w:iCs/>
        </w:rPr>
        <w:t>No evidence provided of steps taken to removed squatters and prevent re-entry.  No evidence provided of court application.  No evidence provided by them of reports to the Police to request assistance in removal of squatte</w:t>
      </w:r>
      <w:r w:rsidR="00A168EE">
        <w:rPr>
          <w:rFonts w:ascii="Georgia" w:hAnsi="Georgia" w:cs="Arial"/>
          <w:i/>
          <w:iCs/>
        </w:rPr>
        <w:t>rs</w:t>
      </w:r>
      <w:r w:rsidR="00D355A3" w:rsidRPr="00A168EE">
        <w:rPr>
          <w:rFonts w:ascii="Georgia" w:hAnsi="Georgia" w:cs="Arial"/>
        </w:rPr>
        <w:t xml:space="preserve">”. </w:t>
      </w:r>
      <w:r w:rsidR="007327CC" w:rsidRPr="00A168EE">
        <w:rPr>
          <w:rFonts w:ascii="Georgia" w:hAnsi="Georgia" w:cs="Arial"/>
        </w:rPr>
        <w:t>For the reasons set out above, we agree with the Respondent’s assessment of this issue.</w:t>
      </w:r>
    </w:p>
    <w:p w14:paraId="77617399" w14:textId="74C50155" w:rsidR="000D54B6" w:rsidRPr="00056D15" w:rsidRDefault="00833300"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We are also satisfied that </w:t>
      </w:r>
      <w:r w:rsidR="003C5874">
        <w:rPr>
          <w:rFonts w:ascii="Georgia" w:hAnsi="Georgia" w:cs="Arial"/>
        </w:rPr>
        <w:t>the Respondent considered and gave appropriate weight to the Appellant’s lack of previous convictions</w:t>
      </w:r>
      <w:r w:rsidR="0000155C">
        <w:rPr>
          <w:rFonts w:ascii="Georgia" w:hAnsi="Georgia" w:cs="Arial"/>
        </w:rPr>
        <w:t xml:space="preserve">, lack </w:t>
      </w:r>
      <w:r w:rsidR="0000155C">
        <w:rPr>
          <w:rFonts w:ascii="Georgia" w:hAnsi="Georgia" w:cs="Arial"/>
        </w:rPr>
        <w:lastRenderedPageBreak/>
        <w:t>of historic non-compliance,</w:t>
      </w:r>
      <w:r w:rsidR="003C5874">
        <w:rPr>
          <w:rFonts w:ascii="Georgia" w:hAnsi="Georgia" w:cs="Arial"/>
        </w:rPr>
        <w:t xml:space="preserve"> and </w:t>
      </w:r>
      <w:r w:rsidR="003C4E08">
        <w:rPr>
          <w:rFonts w:ascii="Georgia" w:hAnsi="Georgia" w:cs="Arial"/>
        </w:rPr>
        <w:t xml:space="preserve">likelihood of </w:t>
      </w:r>
      <w:r w:rsidR="00FE680B">
        <w:rPr>
          <w:rFonts w:ascii="Georgia" w:hAnsi="Georgia" w:cs="Arial"/>
        </w:rPr>
        <w:t xml:space="preserve">future offending. The Respondent addressed this point specifically </w:t>
      </w:r>
      <w:r w:rsidR="00BB586D">
        <w:rPr>
          <w:rFonts w:ascii="Georgia" w:hAnsi="Georgia" w:cs="Arial"/>
        </w:rPr>
        <w:t xml:space="preserve">in the first section of its decision form </w:t>
      </w:r>
      <w:r w:rsidR="009D53E8">
        <w:rPr>
          <w:rFonts w:ascii="Georgia" w:hAnsi="Georgia" w:cs="Arial"/>
        </w:rPr>
        <w:t xml:space="preserve">but considered that the Appellant had displayed a poor </w:t>
      </w:r>
      <w:r w:rsidR="003B491D">
        <w:rPr>
          <w:rFonts w:ascii="Georgia" w:hAnsi="Georgia" w:cs="Arial"/>
        </w:rPr>
        <w:t xml:space="preserve">understanding of </w:t>
      </w:r>
      <w:r w:rsidR="003D32B1">
        <w:rPr>
          <w:rFonts w:ascii="Georgia" w:hAnsi="Georgia" w:cs="Arial"/>
        </w:rPr>
        <w:t>its r</w:t>
      </w:r>
      <w:r w:rsidR="003B491D">
        <w:rPr>
          <w:rFonts w:ascii="Georgia" w:hAnsi="Georgia" w:cs="Arial"/>
        </w:rPr>
        <w:t xml:space="preserve">esponsibilities under the 2004 Act despite </w:t>
      </w:r>
      <w:r w:rsidR="003D32B1">
        <w:rPr>
          <w:rFonts w:ascii="Georgia" w:hAnsi="Georgia" w:cs="Arial"/>
        </w:rPr>
        <w:t xml:space="preserve">its </w:t>
      </w:r>
      <w:r w:rsidR="003B491D">
        <w:rPr>
          <w:rFonts w:ascii="Georgia" w:hAnsi="Georgia" w:cs="Arial"/>
        </w:rPr>
        <w:t xml:space="preserve">management of a large </w:t>
      </w:r>
      <w:r w:rsidR="00DD6F4C">
        <w:rPr>
          <w:rFonts w:ascii="Georgia" w:hAnsi="Georgia" w:cs="Arial"/>
        </w:rPr>
        <w:t>portfolio of properties. We agree with this assessment</w:t>
      </w:r>
      <w:r w:rsidR="00135C28">
        <w:rPr>
          <w:rFonts w:ascii="Georgia" w:hAnsi="Georgia" w:cs="Arial"/>
        </w:rPr>
        <w:t xml:space="preserve"> of the Appellant’s conduct and culpability.</w:t>
      </w:r>
      <w:r w:rsidR="005A2700">
        <w:rPr>
          <w:rFonts w:ascii="Georgia" w:hAnsi="Georgia" w:cs="Arial"/>
        </w:rPr>
        <w:t xml:space="preserve"> </w:t>
      </w:r>
      <w:r w:rsidR="00594D72">
        <w:rPr>
          <w:rFonts w:ascii="Georgia" w:hAnsi="Georgia" w:cs="Arial"/>
        </w:rPr>
        <w:t>Ms Worley was not asked any questions about this element of the Respondent’s decision during cross-examination. In our judgment, t</w:t>
      </w:r>
      <w:r w:rsidR="005A2700">
        <w:rPr>
          <w:rFonts w:ascii="Georgia" w:hAnsi="Georgia" w:cs="Arial"/>
        </w:rPr>
        <w:t>hough the Appellant may not have deliberately breached the rules, it nevertheless ought</w:t>
      </w:r>
      <w:r w:rsidR="003D32B1">
        <w:rPr>
          <w:rFonts w:ascii="Georgia" w:hAnsi="Georgia" w:cs="Arial"/>
        </w:rPr>
        <w:t xml:space="preserve"> </w:t>
      </w:r>
      <w:r w:rsidR="005A2700">
        <w:rPr>
          <w:rFonts w:ascii="Georgia" w:hAnsi="Georgia" w:cs="Arial"/>
        </w:rPr>
        <w:t>to</w:t>
      </w:r>
      <w:r w:rsidR="00BB2C75">
        <w:rPr>
          <w:rFonts w:ascii="Georgia" w:hAnsi="Georgia" w:cs="Arial"/>
        </w:rPr>
        <w:t xml:space="preserve"> have</w:t>
      </w:r>
      <w:r w:rsidR="005A2700">
        <w:rPr>
          <w:rFonts w:ascii="Georgia" w:hAnsi="Georgia" w:cs="Arial"/>
        </w:rPr>
        <w:t xml:space="preserve"> be</w:t>
      </w:r>
      <w:r w:rsidR="00BB2C75">
        <w:rPr>
          <w:rFonts w:ascii="Georgia" w:hAnsi="Georgia" w:cs="Arial"/>
        </w:rPr>
        <w:t>en</w:t>
      </w:r>
      <w:r w:rsidR="005A2700">
        <w:rPr>
          <w:rFonts w:ascii="Georgia" w:hAnsi="Georgia" w:cs="Arial"/>
        </w:rPr>
        <w:t xml:space="preserve"> aware of its responsibilities</w:t>
      </w:r>
      <w:r w:rsidR="003D32B1">
        <w:rPr>
          <w:rFonts w:ascii="Georgia" w:hAnsi="Georgia" w:cs="Arial"/>
        </w:rPr>
        <w:t xml:space="preserve"> as a professional managing agent in the business of letting property</w:t>
      </w:r>
      <w:r w:rsidR="00BB2C75">
        <w:rPr>
          <w:rFonts w:ascii="Georgia" w:hAnsi="Georgia" w:cs="Arial"/>
        </w:rPr>
        <w:t xml:space="preserve">. </w:t>
      </w:r>
    </w:p>
    <w:p w14:paraId="325DA44D" w14:textId="4F4A73E1" w:rsidR="00056D15" w:rsidRPr="00056D15" w:rsidRDefault="00056D15" w:rsidP="00AA4D46">
      <w:pPr>
        <w:autoSpaceDE w:val="0"/>
        <w:autoSpaceDN w:val="0"/>
        <w:adjustRightInd w:val="0"/>
        <w:spacing w:after="360"/>
        <w:jc w:val="both"/>
        <w:rPr>
          <w:rFonts w:ascii="Georgia" w:hAnsi="Georgia" w:cs="Arial"/>
          <w:i/>
          <w:iCs/>
          <w:u w:val="single"/>
        </w:rPr>
      </w:pPr>
      <w:r>
        <w:rPr>
          <w:rFonts w:ascii="Georgia" w:hAnsi="Georgia" w:cs="Arial"/>
          <w:u w:val="single"/>
        </w:rPr>
        <w:t>Harm</w:t>
      </w:r>
    </w:p>
    <w:p w14:paraId="6BEC7526" w14:textId="24E00489" w:rsidR="00117CBB" w:rsidRPr="00A020F4" w:rsidRDefault="005E5ED9"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The Appellant asserts that the offending has not </w:t>
      </w:r>
      <w:r w:rsidR="00953625">
        <w:rPr>
          <w:rFonts w:ascii="Georgia" w:hAnsi="Georgia" w:cs="Arial"/>
        </w:rPr>
        <w:t xml:space="preserve">caused any serious risk to the occupiers of the property. Having considered the </w:t>
      </w:r>
      <w:r w:rsidR="00E066D5">
        <w:rPr>
          <w:rFonts w:ascii="Georgia" w:hAnsi="Georgia" w:cs="Arial"/>
        </w:rPr>
        <w:t>Respondent’s decision form</w:t>
      </w:r>
      <w:r w:rsidR="00C3554E">
        <w:rPr>
          <w:rFonts w:ascii="Georgia" w:hAnsi="Georgia" w:cs="Arial"/>
        </w:rPr>
        <w:t xml:space="preserve">, we are satisfied that the Respondent has properly assessed the harm </w:t>
      </w:r>
      <w:r w:rsidR="00102121">
        <w:rPr>
          <w:rFonts w:ascii="Georgia" w:hAnsi="Georgia" w:cs="Arial"/>
        </w:rPr>
        <w:t xml:space="preserve">caused to the occupants. It acknowledged in </w:t>
      </w:r>
      <w:r w:rsidR="002E5A4C">
        <w:rPr>
          <w:rFonts w:ascii="Georgia" w:hAnsi="Georgia" w:cs="Arial"/>
        </w:rPr>
        <w:t xml:space="preserve">section 1 </w:t>
      </w:r>
      <w:r w:rsidR="003D32B1">
        <w:rPr>
          <w:rFonts w:ascii="Georgia" w:hAnsi="Georgia" w:cs="Arial"/>
        </w:rPr>
        <w:t xml:space="preserve">of </w:t>
      </w:r>
      <w:r w:rsidR="002E5A4C">
        <w:rPr>
          <w:rFonts w:ascii="Georgia" w:hAnsi="Georgia" w:cs="Arial"/>
        </w:rPr>
        <w:t>its decision that “</w:t>
      </w:r>
      <w:r w:rsidR="002E5A4C">
        <w:rPr>
          <w:rFonts w:ascii="Georgia" w:hAnsi="Georgia" w:cs="Arial"/>
          <w:i/>
          <w:iCs/>
        </w:rPr>
        <w:t>no breaches were identified that posed an imminent or serious risk to the occupiers</w:t>
      </w:r>
      <w:r w:rsidR="002E5A4C">
        <w:rPr>
          <w:rFonts w:ascii="Georgia" w:hAnsi="Georgia" w:cs="Arial"/>
        </w:rPr>
        <w:t xml:space="preserve">”. </w:t>
      </w:r>
      <w:r w:rsidR="003D32B1">
        <w:rPr>
          <w:rFonts w:ascii="Georgia" w:hAnsi="Georgia" w:cs="Arial"/>
        </w:rPr>
        <w:t>The Responden</w:t>
      </w:r>
      <w:r w:rsidR="001247D1">
        <w:rPr>
          <w:rFonts w:ascii="Georgia" w:hAnsi="Georgia" w:cs="Arial"/>
        </w:rPr>
        <w:t xml:space="preserve">t gave detailed reasons for finding in relation to each offence that the harm was either low </w:t>
      </w:r>
      <w:r w:rsidR="00A020F4">
        <w:rPr>
          <w:rFonts w:ascii="Georgia" w:hAnsi="Georgia" w:cs="Arial"/>
        </w:rPr>
        <w:t xml:space="preserve">or moderate. </w:t>
      </w:r>
    </w:p>
    <w:p w14:paraId="61652F04" w14:textId="7E0C9BA1" w:rsidR="00A020F4" w:rsidRPr="00F31DE7" w:rsidRDefault="00F31DE7" w:rsidP="00A020F4">
      <w:pPr>
        <w:autoSpaceDE w:val="0"/>
        <w:autoSpaceDN w:val="0"/>
        <w:adjustRightInd w:val="0"/>
        <w:spacing w:after="360"/>
        <w:jc w:val="both"/>
        <w:rPr>
          <w:rFonts w:ascii="Georgia" w:hAnsi="Georgia" w:cs="Arial"/>
          <w:i/>
          <w:iCs/>
          <w:u w:val="single"/>
        </w:rPr>
      </w:pPr>
      <w:r>
        <w:rPr>
          <w:rFonts w:ascii="Georgia" w:hAnsi="Georgia" w:cs="Arial"/>
          <w:u w:val="single"/>
        </w:rPr>
        <w:t>Mitigating and aggravating factors</w:t>
      </w:r>
    </w:p>
    <w:p w14:paraId="0CBE33EE" w14:textId="2EE9D0AD" w:rsidR="00F5268E" w:rsidRPr="00F5268E" w:rsidRDefault="006B148A"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Mr Atkinson submitted that the Respondent had failed to give appropriate weight to what he said was the Appellant’s “</w:t>
      </w:r>
      <w:r w:rsidR="00EC66C7">
        <w:rPr>
          <w:rFonts w:ascii="Georgia" w:hAnsi="Georgia" w:cs="Arial"/>
        </w:rPr>
        <w:t>high level of cooperation” with the Respondent’s investigation, which he says arises from the Appellant’s acceptance of</w:t>
      </w:r>
      <w:r w:rsidR="003D32B1">
        <w:rPr>
          <w:rFonts w:ascii="Georgia" w:hAnsi="Georgia" w:cs="Arial"/>
        </w:rPr>
        <w:t xml:space="preserve"> its</w:t>
      </w:r>
      <w:r w:rsidR="00EC66C7">
        <w:rPr>
          <w:rFonts w:ascii="Georgia" w:hAnsi="Georgia" w:cs="Arial"/>
        </w:rPr>
        <w:t xml:space="preserve"> </w:t>
      </w:r>
      <w:r w:rsidR="005712FB">
        <w:rPr>
          <w:rFonts w:ascii="Georgia" w:hAnsi="Georgia" w:cs="Arial"/>
        </w:rPr>
        <w:t xml:space="preserve">offending and responsibility at interview. We do not agree. </w:t>
      </w:r>
      <w:r w:rsidR="0072751F">
        <w:rPr>
          <w:rFonts w:ascii="Georgia" w:hAnsi="Georgia" w:cs="Arial"/>
        </w:rPr>
        <w:t xml:space="preserve">Admitting offending at an early opportunity when an offence has clearly been committed </w:t>
      </w:r>
      <w:r w:rsidR="00AB06E4">
        <w:rPr>
          <w:rFonts w:ascii="Georgia" w:hAnsi="Georgia" w:cs="Arial"/>
        </w:rPr>
        <w:t>does</w:t>
      </w:r>
      <w:r w:rsidR="0072751F">
        <w:rPr>
          <w:rFonts w:ascii="Georgia" w:hAnsi="Georgia" w:cs="Arial"/>
        </w:rPr>
        <w:t xml:space="preserve"> not in </w:t>
      </w:r>
      <w:r w:rsidR="00F43CEC">
        <w:rPr>
          <w:rFonts w:ascii="Georgia" w:hAnsi="Georgia" w:cs="Arial"/>
        </w:rPr>
        <w:t>our judgment</w:t>
      </w:r>
      <w:r w:rsidR="00AB06E4">
        <w:rPr>
          <w:rFonts w:ascii="Georgia" w:hAnsi="Georgia" w:cs="Arial"/>
        </w:rPr>
        <w:t xml:space="preserve"> amount to a high level of cooperation. It is the minimum to be expected in the circumstances. </w:t>
      </w:r>
      <w:r w:rsidR="005E170C">
        <w:rPr>
          <w:rFonts w:ascii="Georgia" w:hAnsi="Georgia" w:cs="Arial"/>
        </w:rPr>
        <w:t xml:space="preserve">We note that </w:t>
      </w:r>
      <w:r w:rsidR="00D04CA8">
        <w:rPr>
          <w:rFonts w:ascii="Georgia" w:hAnsi="Georgia" w:cs="Arial"/>
        </w:rPr>
        <w:t xml:space="preserve">the Appellant did not provide </w:t>
      </w:r>
      <w:r w:rsidR="00EC4902">
        <w:rPr>
          <w:rFonts w:ascii="Georgia" w:hAnsi="Georgia" w:cs="Arial"/>
        </w:rPr>
        <w:t xml:space="preserve">documents requested by the Respondent on 14 June 2023 within the timescales set by the Respondent </w:t>
      </w:r>
      <w:r w:rsidR="00180856">
        <w:rPr>
          <w:rFonts w:ascii="Georgia" w:hAnsi="Georgia" w:cs="Arial"/>
        </w:rPr>
        <w:t>and that</w:t>
      </w:r>
      <w:r w:rsidR="001243CE">
        <w:rPr>
          <w:rFonts w:ascii="Georgia" w:hAnsi="Georgia" w:cs="Arial"/>
        </w:rPr>
        <w:t>, at an inspection on 15 August 2023, the Respondent found that</w:t>
      </w:r>
      <w:r w:rsidR="00180856">
        <w:rPr>
          <w:rFonts w:ascii="Georgia" w:hAnsi="Georgia" w:cs="Arial"/>
        </w:rPr>
        <w:t xml:space="preserve"> </w:t>
      </w:r>
      <w:r w:rsidR="008A5EBA">
        <w:rPr>
          <w:rFonts w:ascii="Georgia" w:hAnsi="Georgia" w:cs="Arial"/>
        </w:rPr>
        <w:t>minimal</w:t>
      </w:r>
      <w:r w:rsidR="00180856">
        <w:rPr>
          <w:rFonts w:ascii="Georgia" w:hAnsi="Georgia" w:cs="Arial"/>
        </w:rPr>
        <w:t xml:space="preserve"> work </w:t>
      </w:r>
      <w:r w:rsidR="001243CE">
        <w:rPr>
          <w:rFonts w:ascii="Georgia" w:hAnsi="Georgia" w:cs="Arial"/>
        </w:rPr>
        <w:t>had been</w:t>
      </w:r>
      <w:r w:rsidR="00180856">
        <w:rPr>
          <w:rFonts w:ascii="Georgia" w:hAnsi="Georgia" w:cs="Arial"/>
        </w:rPr>
        <w:t xml:space="preserve"> carried out to remedy the </w:t>
      </w:r>
      <w:r w:rsidR="001243CE">
        <w:rPr>
          <w:rFonts w:ascii="Georgia" w:hAnsi="Georgia" w:cs="Arial"/>
        </w:rPr>
        <w:t>breaches identified in June</w:t>
      </w:r>
      <w:r w:rsidR="003D32B1">
        <w:rPr>
          <w:rFonts w:ascii="Georgia" w:hAnsi="Georgia" w:cs="Arial"/>
        </w:rPr>
        <w:t xml:space="preserve"> and July</w:t>
      </w:r>
      <w:r w:rsidR="001243CE">
        <w:rPr>
          <w:rFonts w:ascii="Georgia" w:hAnsi="Georgia" w:cs="Arial"/>
        </w:rPr>
        <w:t xml:space="preserve">. </w:t>
      </w:r>
      <w:r w:rsidR="004323C0">
        <w:rPr>
          <w:rFonts w:ascii="Georgia" w:hAnsi="Georgia" w:cs="Arial"/>
        </w:rPr>
        <w:t xml:space="preserve">In the circumstances, we do not consider that the Appellant can be said to have cooperated with the Respondent to a high level. </w:t>
      </w:r>
    </w:p>
    <w:p w14:paraId="0CA75BFD" w14:textId="505BF248" w:rsidR="00A020F4" w:rsidRPr="004323C0" w:rsidRDefault="00B301B0"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It is clear from the decision form that the Respondent took account, as a mitigating factor, that the </w:t>
      </w:r>
      <w:r w:rsidR="00F5268E">
        <w:rPr>
          <w:rFonts w:ascii="Georgia" w:hAnsi="Georgia" w:cs="Arial"/>
        </w:rPr>
        <w:t xml:space="preserve">Appellant accepted responsibility for the offending. </w:t>
      </w:r>
    </w:p>
    <w:p w14:paraId="6A25AEB8" w14:textId="77777777" w:rsidR="00EA34DD" w:rsidRPr="00EA34DD" w:rsidRDefault="002C5055"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Mr Atkinson accepted that the</w:t>
      </w:r>
      <w:r w:rsidR="00D82E6C">
        <w:rPr>
          <w:rFonts w:ascii="Georgia" w:hAnsi="Georgia" w:cs="Arial"/>
        </w:rPr>
        <w:t xml:space="preserve"> offending </w:t>
      </w:r>
      <w:r w:rsidR="00D77522">
        <w:rPr>
          <w:rFonts w:ascii="Georgia" w:hAnsi="Georgia" w:cs="Arial"/>
        </w:rPr>
        <w:t xml:space="preserve">had caused a wider community impact as the property was being used as a base for anti-social behaviour. We do not agree, for the reasons set out above, that </w:t>
      </w:r>
      <w:r w:rsidR="00CD1DC6">
        <w:rPr>
          <w:rFonts w:ascii="Georgia" w:hAnsi="Georgia" w:cs="Arial"/>
        </w:rPr>
        <w:t xml:space="preserve">this was something that was </w:t>
      </w:r>
      <w:proofErr w:type="spellStart"/>
      <w:r w:rsidR="00CD1DC6">
        <w:rPr>
          <w:rFonts w:ascii="Georgia" w:hAnsi="Georgia" w:cs="Arial"/>
        </w:rPr>
        <w:t>outwith</w:t>
      </w:r>
      <w:proofErr w:type="spellEnd"/>
      <w:r w:rsidR="00CD1DC6">
        <w:rPr>
          <w:rFonts w:ascii="Georgia" w:hAnsi="Georgia" w:cs="Arial"/>
        </w:rPr>
        <w:t xml:space="preserve"> the control of the Appellant. </w:t>
      </w:r>
    </w:p>
    <w:p w14:paraId="4629233B" w14:textId="2F1AAF29" w:rsidR="004323C0" w:rsidRPr="000951F3" w:rsidRDefault="00CD1DC6"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lastRenderedPageBreak/>
        <w:t>In the circumstances, we consider that the</w:t>
      </w:r>
      <w:r w:rsidR="00EA34DD">
        <w:rPr>
          <w:rFonts w:ascii="Georgia" w:hAnsi="Georgia" w:cs="Arial"/>
        </w:rPr>
        <w:t xml:space="preserve"> Respondent’s decision to impose a 10% increase in the penalty</w:t>
      </w:r>
      <w:r w:rsidR="004C397F">
        <w:rPr>
          <w:rFonts w:ascii="Georgia" w:hAnsi="Georgia" w:cs="Arial"/>
        </w:rPr>
        <w:t xml:space="preserve"> properly took into account the aggravating and mitigating factors present in this case. </w:t>
      </w:r>
    </w:p>
    <w:p w14:paraId="012D6E1B" w14:textId="368EC26B" w:rsidR="000951F3" w:rsidRPr="000951F3" w:rsidRDefault="000951F3" w:rsidP="000951F3">
      <w:pPr>
        <w:autoSpaceDE w:val="0"/>
        <w:autoSpaceDN w:val="0"/>
        <w:adjustRightInd w:val="0"/>
        <w:spacing w:after="360"/>
        <w:jc w:val="both"/>
        <w:rPr>
          <w:rFonts w:ascii="Georgia" w:hAnsi="Georgia" w:cs="Arial"/>
          <w:i/>
          <w:iCs/>
          <w:u w:val="single"/>
        </w:rPr>
      </w:pPr>
      <w:r>
        <w:rPr>
          <w:rFonts w:ascii="Georgia" w:hAnsi="Georgia" w:cs="Arial"/>
          <w:u w:val="single"/>
        </w:rPr>
        <w:t>Particular off</w:t>
      </w:r>
      <w:r w:rsidR="004136BF">
        <w:rPr>
          <w:rFonts w:ascii="Georgia" w:hAnsi="Georgia" w:cs="Arial"/>
          <w:u w:val="single"/>
        </w:rPr>
        <w:t>ences</w:t>
      </w:r>
    </w:p>
    <w:p w14:paraId="00FE2116" w14:textId="465704EB" w:rsidR="004C397F" w:rsidRPr="006844D3" w:rsidRDefault="000C47AF" w:rsidP="00A168EE">
      <w:pPr>
        <w:numPr>
          <w:ilvl w:val="0"/>
          <w:numId w:val="14"/>
        </w:numPr>
        <w:autoSpaceDE w:val="0"/>
        <w:autoSpaceDN w:val="0"/>
        <w:adjustRightInd w:val="0"/>
        <w:spacing w:after="360"/>
        <w:jc w:val="both"/>
        <w:rPr>
          <w:rFonts w:ascii="Georgia" w:hAnsi="Georgia" w:cs="Arial"/>
          <w:i/>
          <w:iCs/>
        </w:rPr>
      </w:pPr>
      <w:r>
        <w:rPr>
          <w:rFonts w:ascii="Georgia" w:hAnsi="Georgia" w:cs="Arial"/>
          <w:u w:val="single"/>
        </w:rPr>
        <w:t>Offence 1</w:t>
      </w:r>
      <w:r>
        <w:rPr>
          <w:rFonts w:ascii="Georgia" w:hAnsi="Georgia" w:cs="Arial"/>
        </w:rPr>
        <w:t xml:space="preserve">: Mr Atkinson </w:t>
      </w:r>
      <w:r w:rsidR="00096BE1">
        <w:rPr>
          <w:rFonts w:ascii="Georgia" w:hAnsi="Georgia" w:cs="Arial"/>
        </w:rPr>
        <w:t xml:space="preserve">accepts that </w:t>
      </w:r>
      <w:r w:rsidR="008830A7">
        <w:rPr>
          <w:rFonts w:ascii="Georgia" w:hAnsi="Georgia" w:cs="Arial"/>
        </w:rPr>
        <w:t xml:space="preserve">the Respondent properly assessed the harm in relation to this offending at Level 2, but asserts that </w:t>
      </w:r>
      <w:r w:rsidR="00323DA4">
        <w:rPr>
          <w:rFonts w:ascii="Georgia" w:hAnsi="Georgia" w:cs="Arial"/>
        </w:rPr>
        <w:t xml:space="preserve">the Appellant’s culpability is low because the occupants of the property contributed to the breach by </w:t>
      </w:r>
      <w:r w:rsidR="006844D3">
        <w:rPr>
          <w:rFonts w:ascii="Georgia" w:hAnsi="Georgia" w:cs="Arial"/>
        </w:rPr>
        <w:t xml:space="preserve">leaving a bicycle in the hallway between the bedrooms and the fire exit. </w:t>
      </w:r>
    </w:p>
    <w:p w14:paraId="5A7850EB" w14:textId="1F47C179" w:rsidR="006844D3" w:rsidRPr="00A03FE3" w:rsidRDefault="00A32A9F"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In our judgment, the Respondent has properly assessed th</w:t>
      </w:r>
      <w:r w:rsidR="00FB3AFE">
        <w:rPr>
          <w:rFonts w:ascii="Georgia" w:hAnsi="Georgia" w:cs="Arial"/>
        </w:rPr>
        <w:t>is offence</w:t>
      </w:r>
      <w:r>
        <w:rPr>
          <w:rFonts w:ascii="Georgia" w:hAnsi="Georgia" w:cs="Arial"/>
        </w:rPr>
        <w:t xml:space="preserve"> as </w:t>
      </w:r>
      <w:r w:rsidR="004C402F">
        <w:rPr>
          <w:rFonts w:ascii="Georgia" w:hAnsi="Georgia" w:cs="Arial"/>
        </w:rPr>
        <w:t xml:space="preserve">medium culpability. Though the bicycle was the property of an occupier, there was </w:t>
      </w:r>
      <w:r w:rsidR="00DD653F">
        <w:rPr>
          <w:rFonts w:ascii="Georgia" w:hAnsi="Georgia" w:cs="Arial"/>
        </w:rPr>
        <w:t xml:space="preserve">no evidence that the Appellant had any system in place to inspect or manage the property in order to </w:t>
      </w:r>
      <w:r w:rsidR="009255CB">
        <w:rPr>
          <w:rFonts w:ascii="Georgia" w:hAnsi="Georgia" w:cs="Arial"/>
        </w:rPr>
        <w:t xml:space="preserve">address </w:t>
      </w:r>
      <w:r w:rsidR="00871712">
        <w:rPr>
          <w:rFonts w:ascii="Georgia" w:hAnsi="Georgia" w:cs="Arial"/>
        </w:rPr>
        <w:t>the issue and remove obstructions</w:t>
      </w:r>
      <w:r w:rsidR="00A9342F">
        <w:rPr>
          <w:rFonts w:ascii="Georgia" w:hAnsi="Georgia" w:cs="Arial"/>
        </w:rPr>
        <w:t xml:space="preserve">, </w:t>
      </w:r>
      <w:r w:rsidR="00FB3AFE">
        <w:rPr>
          <w:rFonts w:ascii="Georgia" w:hAnsi="Georgia" w:cs="Arial"/>
        </w:rPr>
        <w:t>n</w:t>
      </w:r>
      <w:r w:rsidR="00A9342F">
        <w:rPr>
          <w:rFonts w:ascii="Georgia" w:hAnsi="Georgia" w:cs="Arial"/>
        </w:rPr>
        <w:t xml:space="preserve">or </w:t>
      </w:r>
      <w:r w:rsidR="00FB3AFE">
        <w:rPr>
          <w:rFonts w:ascii="Georgia" w:hAnsi="Georgia" w:cs="Arial"/>
        </w:rPr>
        <w:t>did it</w:t>
      </w:r>
      <w:r w:rsidR="00A9342F">
        <w:rPr>
          <w:rFonts w:ascii="Georgia" w:hAnsi="Georgia" w:cs="Arial"/>
        </w:rPr>
        <w:t xml:space="preserve"> address the problem once it was raised by the Respondent</w:t>
      </w:r>
      <w:r w:rsidR="00871712">
        <w:rPr>
          <w:rFonts w:ascii="Georgia" w:hAnsi="Georgia" w:cs="Arial"/>
        </w:rPr>
        <w:t xml:space="preserve">. </w:t>
      </w:r>
      <w:r w:rsidR="00A9342F">
        <w:rPr>
          <w:rFonts w:ascii="Georgia" w:hAnsi="Georgia" w:cs="Arial"/>
        </w:rPr>
        <w:t xml:space="preserve">Indeed, </w:t>
      </w:r>
      <w:r w:rsidR="00871712">
        <w:rPr>
          <w:rFonts w:ascii="Georgia" w:hAnsi="Georgia" w:cs="Arial"/>
        </w:rPr>
        <w:t>the o</w:t>
      </w:r>
      <w:r w:rsidR="00706127">
        <w:rPr>
          <w:rFonts w:ascii="Georgia" w:hAnsi="Georgia" w:cs="Arial"/>
        </w:rPr>
        <w:t>bstruction was present on each occasion that the Respondent inspected the property</w:t>
      </w:r>
      <w:r w:rsidR="00A03FE3">
        <w:rPr>
          <w:rFonts w:ascii="Georgia" w:hAnsi="Georgia" w:cs="Arial"/>
        </w:rPr>
        <w:t>. We find</w:t>
      </w:r>
      <w:r w:rsidR="00706127">
        <w:rPr>
          <w:rFonts w:ascii="Georgia" w:hAnsi="Georgia" w:cs="Arial"/>
        </w:rPr>
        <w:t xml:space="preserve"> that this was not an isolated inciden</w:t>
      </w:r>
      <w:r w:rsidR="00A03FE3">
        <w:rPr>
          <w:rFonts w:ascii="Georgia" w:hAnsi="Georgia" w:cs="Arial"/>
        </w:rPr>
        <w:t xml:space="preserve">t and the Appellant failed to take adequate steps to remedy the problem despite the Respondent’s warnings. </w:t>
      </w:r>
    </w:p>
    <w:p w14:paraId="5564CD15" w14:textId="206E5D2D" w:rsidR="00A03FE3" w:rsidRPr="00026429" w:rsidRDefault="00A03FE3" w:rsidP="00A168EE">
      <w:pPr>
        <w:numPr>
          <w:ilvl w:val="0"/>
          <w:numId w:val="14"/>
        </w:numPr>
        <w:autoSpaceDE w:val="0"/>
        <w:autoSpaceDN w:val="0"/>
        <w:adjustRightInd w:val="0"/>
        <w:spacing w:after="360"/>
        <w:jc w:val="both"/>
        <w:rPr>
          <w:rFonts w:ascii="Georgia" w:hAnsi="Georgia" w:cs="Arial"/>
          <w:i/>
          <w:iCs/>
        </w:rPr>
      </w:pPr>
      <w:r>
        <w:rPr>
          <w:rFonts w:ascii="Georgia" w:hAnsi="Georgia" w:cs="Arial"/>
          <w:u w:val="single"/>
        </w:rPr>
        <w:t xml:space="preserve">Offence </w:t>
      </w:r>
      <w:r w:rsidR="008E4E46">
        <w:rPr>
          <w:rFonts w:ascii="Georgia" w:hAnsi="Georgia" w:cs="Arial"/>
          <w:u w:val="single"/>
        </w:rPr>
        <w:t>2</w:t>
      </w:r>
      <w:r w:rsidR="008E4E46">
        <w:rPr>
          <w:rFonts w:ascii="Georgia" w:hAnsi="Georgia" w:cs="Arial"/>
        </w:rPr>
        <w:t xml:space="preserve">: Mr Atkinson </w:t>
      </w:r>
      <w:r w:rsidR="004136BF">
        <w:rPr>
          <w:rFonts w:ascii="Georgia" w:hAnsi="Georgia" w:cs="Arial"/>
        </w:rPr>
        <w:t xml:space="preserve">accepts that the Respondent properly assessed the harm in relation to this offending at Level 2, but asserts that the Appellant’s culpability is low because the occupants of the property contributed to the breach </w:t>
      </w:r>
      <w:r w:rsidR="00DC4EBE">
        <w:rPr>
          <w:rFonts w:ascii="Georgia" w:hAnsi="Georgia" w:cs="Arial"/>
        </w:rPr>
        <w:t xml:space="preserve">by covering up the smoke </w:t>
      </w:r>
      <w:r w:rsidR="00026429">
        <w:rPr>
          <w:rFonts w:ascii="Georgia" w:hAnsi="Georgia" w:cs="Arial"/>
        </w:rPr>
        <w:t xml:space="preserve">detectors. </w:t>
      </w:r>
    </w:p>
    <w:p w14:paraId="6AED62AC" w14:textId="3381880A" w:rsidR="00026429" w:rsidRPr="000F10A1" w:rsidRDefault="00026429"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For similar reasons as set out immediately above, we consider that the Respondent has properly assessed th</w:t>
      </w:r>
      <w:r w:rsidR="00FB3AFE">
        <w:rPr>
          <w:rFonts w:ascii="Georgia" w:hAnsi="Georgia" w:cs="Arial"/>
        </w:rPr>
        <w:t>is offence</w:t>
      </w:r>
      <w:r>
        <w:rPr>
          <w:rFonts w:ascii="Georgia" w:hAnsi="Georgia" w:cs="Arial"/>
        </w:rPr>
        <w:t xml:space="preserve"> as medium culpability. </w:t>
      </w:r>
      <w:r w:rsidR="00C157C7">
        <w:rPr>
          <w:rFonts w:ascii="Georgia" w:hAnsi="Georgia" w:cs="Arial"/>
        </w:rPr>
        <w:t xml:space="preserve">There was no evidence of any system of inspection </w:t>
      </w:r>
      <w:r w:rsidR="00AF3DB1">
        <w:rPr>
          <w:rFonts w:ascii="Georgia" w:hAnsi="Georgia" w:cs="Arial"/>
        </w:rPr>
        <w:t xml:space="preserve">or management of the property which would have identified </w:t>
      </w:r>
      <w:r w:rsidR="009B122F">
        <w:rPr>
          <w:rFonts w:ascii="Georgia" w:hAnsi="Georgia" w:cs="Arial"/>
        </w:rPr>
        <w:t xml:space="preserve">or did identify </w:t>
      </w:r>
      <w:r w:rsidR="00AF3DB1">
        <w:rPr>
          <w:rFonts w:ascii="Georgia" w:hAnsi="Georgia" w:cs="Arial"/>
        </w:rPr>
        <w:t xml:space="preserve">the issue with the smoke detectors being covered by the occupants. </w:t>
      </w:r>
      <w:r w:rsidR="00FB0072">
        <w:rPr>
          <w:rFonts w:ascii="Georgia" w:hAnsi="Georgia" w:cs="Arial"/>
        </w:rPr>
        <w:t xml:space="preserve">There was no evidence that the </w:t>
      </w:r>
      <w:r w:rsidR="003A2779">
        <w:rPr>
          <w:rFonts w:ascii="Georgia" w:hAnsi="Georgia" w:cs="Arial"/>
        </w:rPr>
        <w:t xml:space="preserve">Appellant had taken any </w:t>
      </w:r>
      <w:r w:rsidR="0006199E">
        <w:rPr>
          <w:rFonts w:ascii="Georgia" w:hAnsi="Georgia" w:cs="Arial"/>
        </w:rPr>
        <w:t>adequate steps to address the issue, even when the Respondent poi</w:t>
      </w:r>
      <w:r w:rsidR="00E85ECA">
        <w:rPr>
          <w:rFonts w:ascii="Georgia" w:hAnsi="Georgia" w:cs="Arial"/>
        </w:rPr>
        <w:t>nted it out to the Appellant. Smoke detectors were covered by some method</w:t>
      </w:r>
      <w:r w:rsidR="00FB3AFE">
        <w:rPr>
          <w:rFonts w:ascii="Georgia" w:hAnsi="Georgia" w:cs="Arial"/>
        </w:rPr>
        <w:t xml:space="preserve"> or other</w:t>
      </w:r>
      <w:r w:rsidR="00E85ECA">
        <w:rPr>
          <w:rFonts w:ascii="Georgia" w:hAnsi="Georgia" w:cs="Arial"/>
        </w:rPr>
        <w:t xml:space="preserve"> </w:t>
      </w:r>
      <w:r w:rsidR="000F10A1">
        <w:rPr>
          <w:rFonts w:ascii="Georgia" w:hAnsi="Georgia" w:cs="Arial"/>
        </w:rPr>
        <w:t>on various inspections carried out by the Respondent. We find that this was not an isolated incident and the Appellant failed to take adequate steps to remedy the problem despite the Respondent’s warnings.</w:t>
      </w:r>
    </w:p>
    <w:p w14:paraId="51495787" w14:textId="0B4CB171" w:rsidR="009614B0" w:rsidRPr="009614B0" w:rsidRDefault="000F10A1" w:rsidP="00A168EE">
      <w:pPr>
        <w:numPr>
          <w:ilvl w:val="0"/>
          <w:numId w:val="14"/>
        </w:numPr>
        <w:autoSpaceDE w:val="0"/>
        <w:autoSpaceDN w:val="0"/>
        <w:adjustRightInd w:val="0"/>
        <w:spacing w:after="360"/>
        <w:jc w:val="both"/>
        <w:rPr>
          <w:rFonts w:ascii="Georgia" w:hAnsi="Georgia" w:cs="Arial"/>
          <w:i/>
          <w:iCs/>
        </w:rPr>
      </w:pPr>
      <w:r>
        <w:rPr>
          <w:rFonts w:ascii="Georgia" w:hAnsi="Georgia" w:cs="Arial"/>
          <w:u w:val="single"/>
        </w:rPr>
        <w:t>Offence 4</w:t>
      </w:r>
      <w:r w:rsidR="00442D0B">
        <w:rPr>
          <w:rFonts w:ascii="Georgia" w:hAnsi="Georgia" w:cs="Arial"/>
        </w:rPr>
        <w:t xml:space="preserve">: This </w:t>
      </w:r>
      <w:r w:rsidR="001D533C">
        <w:rPr>
          <w:rFonts w:ascii="Georgia" w:hAnsi="Georgia" w:cs="Arial"/>
        </w:rPr>
        <w:t xml:space="preserve">offence relates to the </w:t>
      </w:r>
      <w:r w:rsidR="00C912C1">
        <w:rPr>
          <w:rFonts w:ascii="Georgia" w:hAnsi="Georgia" w:cs="Arial"/>
        </w:rPr>
        <w:t xml:space="preserve">dirty communal areas of the property, </w:t>
      </w:r>
      <w:r w:rsidR="004B196A">
        <w:rPr>
          <w:rFonts w:ascii="Georgia" w:hAnsi="Georgia" w:cs="Arial"/>
        </w:rPr>
        <w:t xml:space="preserve">including marked doors and walls, and what Ms Worley considered might have been blood </w:t>
      </w:r>
      <w:r w:rsidR="00D239A7">
        <w:rPr>
          <w:rFonts w:ascii="Georgia" w:hAnsi="Georgia" w:cs="Arial"/>
        </w:rPr>
        <w:t>spatters to the floor and walls (but accepted that this assessment resulted only from her visu</w:t>
      </w:r>
      <w:r w:rsidR="009614B0">
        <w:rPr>
          <w:rFonts w:ascii="Georgia" w:hAnsi="Georgia" w:cs="Arial"/>
        </w:rPr>
        <w:t>al assessment and that no testing of the marks had been carried out</w:t>
      </w:r>
      <w:r w:rsidR="00FB3AFE">
        <w:rPr>
          <w:rFonts w:ascii="Georgia" w:hAnsi="Georgia" w:cs="Arial"/>
        </w:rPr>
        <w:t>)</w:t>
      </w:r>
      <w:r w:rsidR="009614B0">
        <w:rPr>
          <w:rFonts w:ascii="Georgia" w:hAnsi="Georgia" w:cs="Arial"/>
        </w:rPr>
        <w:t xml:space="preserve">. </w:t>
      </w:r>
    </w:p>
    <w:p w14:paraId="42B2FC33" w14:textId="3DAF4E2A" w:rsidR="000F10A1" w:rsidRPr="0052790D" w:rsidRDefault="00442D0B"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Mr Atkinson accepts that the Respondent properly assessed the harm in relation to this offending at Level 2, but asserts that the Appellant’s culpability is low because the occupants of the property contributed to </w:t>
      </w:r>
      <w:r>
        <w:rPr>
          <w:rFonts w:ascii="Georgia" w:hAnsi="Georgia" w:cs="Arial"/>
        </w:rPr>
        <w:lastRenderedPageBreak/>
        <w:t>the breach</w:t>
      </w:r>
      <w:r w:rsidR="00E23E51">
        <w:rPr>
          <w:rFonts w:ascii="Georgia" w:hAnsi="Georgia" w:cs="Arial"/>
          <w:i/>
          <w:iCs/>
        </w:rPr>
        <w:t xml:space="preserve"> </w:t>
      </w:r>
      <w:r w:rsidR="00E23E51">
        <w:rPr>
          <w:rFonts w:ascii="Georgia" w:hAnsi="Georgia" w:cs="Arial"/>
        </w:rPr>
        <w:t xml:space="preserve">by </w:t>
      </w:r>
      <w:r w:rsidR="00341DE3">
        <w:rPr>
          <w:rFonts w:ascii="Georgia" w:hAnsi="Georgia" w:cs="Arial"/>
        </w:rPr>
        <w:t xml:space="preserve">causing the marks and keeping the property in a dirty condition. </w:t>
      </w:r>
    </w:p>
    <w:p w14:paraId="5513A762" w14:textId="24EA56C9" w:rsidR="0052790D" w:rsidRPr="00B86879" w:rsidRDefault="0052790D"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However, </w:t>
      </w:r>
      <w:r w:rsidR="00701865">
        <w:rPr>
          <w:rFonts w:ascii="Georgia" w:hAnsi="Georgia" w:cs="Arial"/>
        </w:rPr>
        <w:t xml:space="preserve">the Appellant is obliged by the regulations to ensure that the common parts of the property are maintained in good and </w:t>
      </w:r>
      <w:r w:rsidR="005C176C">
        <w:rPr>
          <w:rFonts w:ascii="Georgia" w:hAnsi="Georgia" w:cs="Arial"/>
        </w:rPr>
        <w:t xml:space="preserve">clean decorative repair. As set out above, there was no evidence of any inspection regime which would have identified </w:t>
      </w:r>
      <w:r w:rsidR="007370DA">
        <w:rPr>
          <w:rFonts w:ascii="Georgia" w:hAnsi="Georgia" w:cs="Arial"/>
        </w:rPr>
        <w:t xml:space="preserve">or did identify </w:t>
      </w:r>
      <w:r w:rsidR="005C176C">
        <w:rPr>
          <w:rFonts w:ascii="Georgia" w:hAnsi="Georgia" w:cs="Arial"/>
        </w:rPr>
        <w:t xml:space="preserve">these </w:t>
      </w:r>
      <w:r w:rsidR="00CE4EC0">
        <w:rPr>
          <w:rFonts w:ascii="Georgia" w:hAnsi="Georgia" w:cs="Arial"/>
        </w:rPr>
        <w:t>issues, nor steps taken by the Appellant to identify the person responsible and take appropriate action</w:t>
      </w:r>
      <w:r w:rsidR="00BF283F">
        <w:rPr>
          <w:rFonts w:ascii="Georgia" w:hAnsi="Georgia" w:cs="Arial"/>
        </w:rPr>
        <w:t xml:space="preserve"> against them</w:t>
      </w:r>
      <w:r w:rsidR="00FB3AFE">
        <w:rPr>
          <w:rFonts w:ascii="Georgia" w:hAnsi="Georgia" w:cs="Arial"/>
        </w:rPr>
        <w:t>.</w:t>
      </w:r>
      <w:r w:rsidR="00022EA4">
        <w:rPr>
          <w:rFonts w:ascii="Georgia" w:hAnsi="Georgia" w:cs="Arial"/>
        </w:rPr>
        <w:t xml:space="preserve"> Further, </w:t>
      </w:r>
      <w:r w:rsidR="000916C2">
        <w:rPr>
          <w:rFonts w:ascii="Georgia" w:hAnsi="Georgia" w:cs="Arial"/>
        </w:rPr>
        <w:t>no work was carried out by the Appellant to remedy the condition of the common parts</w:t>
      </w:r>
      <w:r w:rsidR="000D3B53">
        <w:rPr>
          <w:rFonts w:ascii="Georgia" w:hAnsi="Georgia" w:cs="Arial"/>
        </w:rPr>
        <w:t xml:space="preserve"> after the </w:t>
      </w:r>
      <w:r w:rsidR="007370DA">
        <w:rPr>
          <w:rFonts w:ascii="Georgia" w:hAnsi="Georgia" w:cs="Arial"/>
        </w:rPr>
        <w:t xml:space="preserve">problem </w:t>
      </w:r>
      <w:r w:rsidR="000D3B53">
        <w:rPr>
          <w:rFonts w:ascii="Georgia" w:hAnsi="Georgia" w:cs="Arial"/>
        </w:rPr>
        <w:t>was identified by the Respondent. The property was in the same condition when it was inspected</w:t>
      </w:r>
      <w:r w:rsidR="001F71F5">
        <w:rPr>
          <w:rFonts w:ascii="Georgia" w:hAnsi="Georgia" w:cs="Arial"/>
        </w:rPr>
        <w:t xml:space="preserve"> again</w:t>
      </w:r>
      <w:r w:rsidR="000D3B53">
        <w:rPr>
          <w:rFonts w:ascii="Georgia" w:hAnsi="Georgia" w:cs="Arial"/>
        </w:rPr>
        <w:t xml:space="preserve"> in August 2023</w:t>
      </w:r>
      <w:r w:rsidR="001F71F5">
        <w:rPr>
          <w:rFonts w:ascii="Georgia" w:hAnsi="Georgia" w:cs="Arial"/>
        </w:rPr>
        <w:t>.</w:t>
      </w:r>
      <w:r w:rsidR="0060437E">
        <w:rPr>
          <w:rFonts w:ascii="Georgia" w:hAnsi="Georgia" w:cs="Arial"/>
        </w:rPr>
        <w:t xml:space="preserve"> We find that the Appellant failed to </w:t>
      </w:r>
      <w:r w:rsidR="007370DA">
        <w:rPr>
          <w:rFonts w:ascii="Georgia" w:hAnsi="Georgia" w:cs="Arial"/>
        </w:rPr>
        <w:t xml:space="preserve">make </w:t>
      </w:r>
      <w:r w:rsidR="003A079F">
        <w:rPr>
          <w:rFonts w:ascii="Georgia" w:hAnsi="Georgia" w:cs="Arial"/>
        </w:rPr>
        <w:t xml:space="preserve">adequate </w:t>
      </w:r>
      <w:r w:rsidR="00350DC8">
        <w:rPr>
          <w:rFonts w:ascii="Georgia" w:hAnsi="Georgia" w:cs="Arial"/>
        </w:rPr>
        <w:t xml:space="preserve">efforts to address the risk, did not take adequate measures to prevent further breaches </w:t>
      </w:r>
      <w:r w:rsidR="00B86879">
        <w:rPr>
          <w:rFonts w:ascii="Georgia" w:hAnsi="Georgia" w:cs="Arial"/>
        </w:rPr>
        <w:t>and failed to heed the warnings and advice given by the Respondent. We are satisfied that the Respondent has properly assessed the offen</w:t>
      </w:r>
      <w:r w:rsidR="007370DA">
        <w:rPr>
          <w:rFonts w:ascii="Georgia" w:hAnsi="Georgia" w:cs="Arial"/>
        </w:rPr>
        <w:t xml:space="preserve">ce </w:t>
      </w:r>
      <w:r w:rsidR="00B86879">
        <w:rPr>
          <w:rFonts w:ascii="Georgia" w:hAnsi="Georgia" w:cs="Arial"/>
        </w:rPr>
        <w:t>as medium culpability.</w:t>
      </w:r>
    </w:p>
    <w:p w14:paraId="6A3C8B0E" w14:textId="6183DF9E" w:rsidR="00B86879" w:rsidRPr="008A071C" w:rsidRDefault="00B86879" w:rsidP="00A168EE">
      <w:pPr>
        <w:numPr>
          <w:ilvl w:val="0"/>
          <w:numId w:val="14"/>
        </w:numPr>
        <w:autoSpaceDE w:val="0"/>
        <w:autoSpaceDN w:val="0"/>
        <w:adjustRightInd w:val="0"/>
        <w:spacing w:after="360"/>
        <w:jc w:val="both"/>
        <w:rPr>
          <w:rFonts w:ascii="Georgia" w:hAnsi="Georgia" w:cs="Arial"/>
          <w:i/>
          <w:iCs/>
        </w:rPr>
      </w:pPr>
      <w:r>
        <w:rPr>
          <w:rFonts w:ascii="Georgia" w:hAnsi="Georgia" w:cs="Arial"/>
          <w:u w:val="single"/>
        </w:rPr>
        <w:t>Offence 8</w:t>
      </w:r>
      <w:r>
        <w:rPr>
          <w:rFonts w:ascii="Georgia" w:hAnsi="Georgia" w:cs="Arial"/>
        </w:rPr>
        <w:t>:</w:t>
      </w:r>
      <w:r w:rsidR="00792379">
        <w:rPr>
          <w:rFonts w:ascii="Georgia" w:hAnsi="Georgia" w:cs="Arial"/>
        </w:rPr>
        <w:t xml:space="preserve"> This offence relates to </w:t>
      </w:r>
      <w:r w:rsidR="00B6550E">
        <w:rPr>
          <w:rFonts w:ascii="Georgia" w:hAnsi="Georgia" w:cs="Arial"/>
        </w:rPr>
        <w:t xml:space="preserve">the </w:t>
      </w:r>
      <w:r w:rsidR="00651540">
        <w:rPr>
          <w:rFonts w:ascii="Georgia" w:hAnsi="Georgia" w:cs="Arial"/>
        </w:rPr>
        <w:t xml:space="preserve">cooker hobs in the kitchen which were not working. </w:t>
      </w:r>
      <w:r w:rsidR="009B1E17">
        <w:rPr>
          <w:rFonts w:ascii="Georgia" w:hAnsi="Georgia" w:cs="Arial"/>
        </w:rPr>
        <w:t xml:space="preserve">The Respondent assessed this offending at level 2 harm because </w:t>
      </w:r>
      <w:r w:rsidR="007370DA">
        <w:rPr>
          <w:rFonts w:ascii="Georgia" w:hAnsi="Georgia" w:cs="Arial"/>
        </w:rPr>
        <w:t xml:space="preserve">(it said) </w:t>
      </w:r>
      <w:r w:rsidR="005913B5">
        <w:rPr>
          <w:rFonts w:ascii="Georgia" w:hAnsi="Georgia" w:cs="Arial"/>
        </w:rPr>
        <w:t xml:space="preserve">the fact that the occupants were unable to cook food increased the risk of the spread of disease and </w:t>
      </w:r>
      <w:r w:rsidR="00DD2019">
        <w:rPr>
          <w:rFonts w:ascii="Georgia" w:hAnsi="Georgia" w:cs="Arial"/>
        </w:rPr>
        <w:t>foodborne illness. Mr Atkinson s</w:t>
      </w:r>
      <w:r w:rsidR="007370DA">
        <w:rPr>
          <w:rFonts w:ascii="Georgia" w:hAnsi="Georgia" w:cs="Arial"/>
        </w:rPr>
        <w:t xml:space="preserve">ubmitted </w:t>
      </w:r>
      <w:r w:rsidR="00DD2019">
        <w:rPr>
          <w:rFonts w:ascii="Georgia" w:hAnsi="Georgia" w:cs="Arial"/>
        </w:rPr>
        <w:t xml:space="preserve">that this assessment overstated the harm as there was no evidence </w:t>
      </w:r>
      <w:r w:rsidR="001C54D3">
        <w:rPr>
          <w:rFonts w:ascii="Georgia" w:hAnsi="Georgia" w:cs="Arial"/>
        </w:rPr>
        <w:t>that the lack of a working cooker hob would mean</w:t>
      </w:r>
      <w:r w:rsidR="00CB77BD">
        <w:rPr>
          <w:rFonts w:ascii="Georgia" w:hAnsi="Georgia" w:cs="Arial"/>
        </w:rPr>
        <w:t xml:space="preserve"> that the occupants would eat uncooked food </w:t>
      </w:r>
      <w:r w:rsidR="00082DDA">
        <w:rPr>
          <w:rFonts w:ascii="Georgia" w:hAnsi="Georgia" w:cs="Arial"/>
        </w:rPr>
        <w:t xml:space="preserve">leading to illness. Ms Davies did not press upon us any submission that </w:t>
      </w:r>
      <w:r w:rsidR="00D70CAE">
        <w:rPr>
          <w:rFonts w:ascii="Georgia" w:hAnsi="Georgia" w:cs="Arial"/>
        </w:rPr>
        <w:t xml:space="preserve">level 2 harm was </w:t>
      </w:r>
      <w:r w:rsidR="00BD3704">
        <w:rPr>
          <w:rFonts w:ascii="Georgia" w:hAnsi="Georgia" w:cs="Arial"/>
        </w:rPr>
        <w:t>made out</w:t>
      </w:r>
      <w:r w:rsidR="00D70CAE">
        <w:rPr>
          <w:rFonts w:ascii="Georgia" w:hAnsi="Georgia" w:cs="Arial"/>
        </w:rPr>
        <w:t xml:space="preserve"> in </w:t>
      </w:r>
      <w:r w:rsidR="00BD3704">
        <w:rPr>
          <w:rFonts w:ascii="Georgia" w:hAnsi="Georgia" w:cs="Arial"/>
        </w:rPr>
        <w:t>relation to this offence</w:t>
      </w:r>
      <w:r w:rsidR="00D70CAE">
        <w:rPr>
          <w:rFonts w:ascii="Georgia" w:hAnsi="Georgia" w:cs="Arial"/>
        </w:rPr>
        <w:t>. We agree with Mr Atkinson that this offending should properly have been assessed at level 3 harm. We think it unlikely that the occupants would be at</w:t>
      </w:r>
      <w:r w:rsidR="00BE1E3A">
        <w:rPr>
          <w:rFonts w:ascii="Georgia" w:hAnsi="Georgia" w:cs="Arial"/>
        </w:rPr>
        <w:t xml:space="preserve"> potential</w:t>
      </w:r>
      <w:r w:rsidR="00D70CAE">
        <w:rPr>
          <w:rFonts w:ascii="Georgia" w:hAnsi="Georgia" w:cs="Arial"/>
        </w:rPr>
        <w:t xml:space="preserve"> risk from food</w:t>
      </w:r>
      <w:r w:rsidR="00BE1E3A">
        <w:rPr>
          <w:rFonts w:ascii="Georgia" w:hAnsi="Georgia" w:cs="Arial"/>
        </w:rPr>
        <w:t>borne illness as a result of th</w:t>
      </w:r>
      <w:r w:rsidR="004D792A">
        <w:rPr>
          <w:rFonts w:ascii="Georgia" w:hAnsi="Georgia" w:cs="Arial"/>
        </w:rPr>
        <w:t xml:space="preserve">e broken cooker hobs. We think it more likely that they would eat food that did not need to be heated on </w:t>
      </w:r>
      <w:r w:rsidR="001E1122">
        <w:rPr>
          <w:rFonts w:ascii="Georgia" w:hAnsi="Georgia" w:cs="Arial"/>
        </w:rPr>
        <w:t>a</w:t>
      </w:r>
      <w:r w:rsidR="004D792A">
        <w:rPr>
          <w:rFonts w:ascii="Georgia" w:hAnsi="Georgia" w:cs="Arial"/>
        </w:rPr>
        <w:t xml:space="preserve"> hob. </w:t>
      </w:r>
    </w:p>
    <w:p w14:paraId="4D3C1C46" w14:textId="0809FB01" w:rsidR="008A071C" w:rsidRPr="00131263" w:rsidRDefault="008A071C" w:rsidP="00A168EE">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Accordingly, </w:t>
      </w:r>
      <w:r w:rsidR="00E805AB">
        <w:rPr>
          <w:rFonts w:ascii="Georgia" w:hAnsi="Georgia" w:cs="Arial"/>
        </w:rPr>
        <w:t xml:space="preserve">the offence is one of low harm and medium culpability. According to the Respondent’s policy document, this means that the offence falls into band 2, </w:t>
      </w:r>
      <w:r w:rsidR="00E00235">
        <w:rPr>
          <w:rFonts w:ascii="Georgia" w:hAnsi="Georgia" w:cs="Arial"/>
        </w:rPr>
        <w:t>the starting point for which is £3750</w:t>
      </w:r>
      <w:r w:rsidR="00E530B0">
        <w:rPr>
          <w:rFonts w:ascii="Georgia" w:hAnsi="Georgia" w:cs="Arial"/>
        </w:rPr>
        <w:t>.00</w:t>
      </w:r>
      <w:r w:rsidR="000B3A00">
        <w:rPr>
          <w:rFonts w:ascii="Georgia" w:hAnsi="Georgia" w:cs="Arial"/>
        </w:rPr>
        <w:t xml:space="preserve"> which we adopt (not having been asked to do otherwise by the parties). </w:t>
      </w:r>
    </w:p>
    <w:p w14:paraId="4F7A2DC7" w14:textId="566910B4" w:rsidR="00B2770F" w:rsidRPr="00B2770F" w:rsidRDefault="00131263" w:rsidP="00B2770F">
      <w:pPr>
        <w:numPr>
          <w:ilvl w:val="0"/>
          <w:numId w:val="14"/>
        </w:numPr>
        <w:autoSpaceDE w:val="0"/>
        <w:autoSpaceDN w:val="0"/>
        <w:adjustRightInd w:val="0"/>
        <w:spacing w:after="360"/>
        <w:jc w:val="both"/>
        <w:rPr>
          <w:rFonts w:ascii="Georgia" w:hAnsi="Georgia" w:cs="Arial"/>
          <w:i/>
          <w:iCs/>
        </w:rPr>
      </w:pPr>
      <w:r>
        <w:rPr>
          <w:rFonts w:ascii="Georgia" w:hAnsi="Georgia" w:cs="Arial"/>
        </w:rPr>
        <w:t xml:space="preserve">Accordingly, </w:t>
      </w:r>
      <w:r w:rsidR="00496053">
        <w:rPr>
          <w:rFonts w:ascii="Georgia" w:hAnsi="Georgia" w:cs="Arial"/>
        </w:rPr>
        <w:t xml:space="preserve">the </w:t>
      </w:r>
      <w:r w:rsidR="004579CC">
        <w:rPr>
          <w:rFonts w:ascii="Georgia" w:hAnsi="Georgia" w:cs="Arial"/>
        </w:rPr>
        <w:t>penalty</w:t>
      </w:r>
      <w:r w:rsidR="00DC1661">
        <w:rPr>
          <w:rFonts w:ascii="Georgia" w:hAnsi="Georgia" w:cs="Arial"/>
        </w:rPr>
        <w:t xml:space="preserve"> starting point total </w:t>
      </w:r>
      <w:r w:rsidR="00B2770F">
        <w:rPr>
          <w:rFonts w:ascii="Georgia" w:hAnsi="Georgia" w:cs="Arial"/>
        </w:rPr>
        <w:t>is now £</w:t>
      </w:r>
      <w:r w:rsidR="007C0BCA">
        <w:rPr>
          <w:rFonts w:ascii="Georgia" w:hAnsi="Georgia" w:cs="Arial"/>
        </w:rPr>
        <w:t>55</w:t>
      </w:r>
      <w:r w:rsidR="00A40472">
        <w:rPr>
          <w:rFonts w:ascii="Georgia" w:hAnsi="Georgia" w:cs="Arial"/>
        </w:rPr>
        <w:t>,000.00</w:t>
      </w:r>
      <w:r w:rsidR="000654E8">
        <w:rPr>
          <w:rFonts w:ascii="Georgia" w:hAnsi="Georgia" w:cs="Arial"/>
        </w:rPr>
        <w:t xml:space="preserve"> (being £67,500 the original Stage 1 penalty, less £3750 for Offence 5 which the Respondent agreed to remove before this appeal, less £8750 for Offence 8)</w:t>
      </w:r>
      <w:r w:rsidR="00A40472">
        <w:rPr>
          <w:rFonts w:ascii="Georgia" w:hAnsi="Georgia" w:cs="Arial"/>
        </w:rPr>
        <w:t>.</w:t>
      </w:r>
    </w:p>
    <w:p w14:paraId="408BBB10" w14:textId="3B6B920D" w:rsidR="00B2770F" w:rsidRPr="00B2770F" w:rsidRDefault="00B2770F" w:rsidP="00B2770F">
      <w:pPr>
        <w:numPr>
          <w:ilvl w:val="0"/>
          <w:numId w:val="14"/>
        </w:numPr>
        <w:autoSpaceDE w:val="0"/>
        <w:autoSpaceDN w:val="0"/>
        <w:adjustRightInd w:val="0"/>
        <w:spacing w:after="360"/>
        <w:jc w:val="both"/>
        <w:rPr>
          <w:rFonts w:ascii="Georgia" w:hAnsi="Georgia" w:cs="Arial"/>
          <w:i/>
          <w:iCs/>
        </w:rPr>
      </w:pPr>
      <w:r>
        <w:rPr>
          <w:rFonts w:ascii="Georgia" w:hAnsi="Georgia" w:cs="Arial"/>
        </w:rPr>
        <w:t>For the reasons set out above, we agree with the</w:t>
      </w:r>
      <w:r w:rsidR="00706F85">
        <w:rPr>
          <w:rFonts w:ascii="Georgia" w:hAnsi="Georgia" w:cs="Arial"/>
        </w:rPr>
        <w:t xml:space="preserve"> Respondent’s decision to add a 10% increase in the penalty at stages 2 and </w:t>
      </w:r>
      <w:r w:rsidR="005D404C">
        <w:rPr>
          <w:rFonts w:ascii="Georgia" w:hAnsi="Georgia" w:cs="Arial"/>
        </w:rPr>
        <w:t xml:space="preserve">3. </w:t>
      </w:r>
      <w:r w:rsidR="00A1745D">
        <w:rPr>
          <w:rFonts w:ascii="Georgia" w:hAnsi="Georgia" w:cs="Arial"/>
        </w:rPr>
        <w:t xml:space="preserve">This brings the stage 2 </w:t>
      </w:r>
      <w:r w:rsidR="004579CC">
        <w:rPr>
          <w:rFonts w:ascii="Georgia" w:hAnsi="Georgia" w:cs="Arial"/>
        </w:rPr>
        <w:t xml:space="preserve">penalty </w:t>
      </w:r>
      <w:r w:rsidR="00B90639">
        <w:rPr>
          <w:rFonts w:ascii="Georgia" w:hAnsi="Georgia" w:cs="Arial"/>
        </w:rPr>
        <w:t>to £</w:t>
      </w:r>
      <w:r w:rsidR="002F1CDE">
        <w:rPr>
          <w:rFonts w:ascii="Georgia" w:hAnsi="Georgia" w:cs="Arial"/>
        </w:rPr>
        <w:t xml:space="preserve">60,500 </w:t>
      </w:r>
      <w:r w:rsidR="00B90639">
        <w:rPr>
          <w:rFonts w:ascii="Georgia" w:hAnsi="Georgia" w:cs="Arial"/>
        </w:rPr>
        <w:t xml:space="preserve">and the stage 3 (and final) </w:t>
      </w:r>
      <w:r w:rsidR="004579CC">
        <w:rPr>
          <w:rFonts w:ascii="Georgia" w:hAnsi="Georgia" w:cs="Arial"/>
        </w:rPr>
        <w:t>penalty</w:t>
      </w:r>
      <w:r w:rsidR="00B90639">
        <w:rPr>
          <w:rFonts w:ascii="Georgia" w:hAnsi="Georgia" w:cs="Arial"/>
        </w:rPr>
        <w:t xml:space="preserve"> to </w:t>
      </w:r>
      <w:r w:rsidR="001F4BC4">
        <w:rPr>
          <w:rFonts w:ascii="Georgia" w:hAnsi="Georgia" w:cs="Arial"/>
        </w:rPr>
        <w:t>£</w:t>
      </w:r>
      <w:r w:rsidR="002F1CDE">
        <w:rPr>
          <w:rFonts w:ascii="Georgia" w:hAnsi="Georgia" w:cs="Arial"/>
        </w:rPr>
        <w:t>66,550.00</w:t>
      </w:r>
      <w:r w:rsidR="001F4BC4">
        <w:rPr>
          <w:rFonts w:ascii="Georgia" w:hAnsi="Georgia" w:cs="Arial"/>
        </w:rPr>
        <w:t>.</w:t>
      </w:r>
    </w:p>
    <w:p w14:paraId="13FF9802" w14:textId="2BF588ED" w:rsidR="0082566B" w:rsidRPr="0082566B" w:rsidRDefault="0082566B" w:rsidP="0082566B">
      <w:pPr>
        <w:autoSpaceDE w:val="0"/>
        <w:autoSpaceDN w:val="0"/>
        <w:adjustRightInd w:val="0"/>
        <w:spacing w:after="360"/>
        <w:jc w:val="both"/>
        <w:rPr>
          <w:rFonts w:ascii="Georgia" w:hAnsi="Georgia" w:cs="Arial"/>
          <w:i/>
          <w:iCs/>
          <w:u w:val="single"/>
        </w:rPr>
      </w:pPr>
      <w:r>
        <w:rPr>
          <w:rFonts w:ascii="Georgia" w:hAnsi="Georgia" w:cs="Arial"/>
          <w:u w:val="single"/>
        </w:rPr>
        <w:t>Conclusions</w:t>
      </w:r>
    </w:p>
    <w:p w14:paraId="2FD864A1" w14:textId="3BD6C6FA" w:rsidR="000927B4" w:rsidRPr="0082418D" w:rsidRDefault="0082566B" w:rsidP="00C663E1">
      <w:pPr>
        <w:numPr>
          <w:ilvl w:val="0"/>
          <w:numId w:val="14"/>
        </w:numPr>
        <w:autoSpaceDE w:val="0"/>
        <w:autoSpaceDN w:val="0"/>
        <w:adjustRightInd w:val="0"/>
        <w:spacing w:after="360"/>
        <w:jc w:val="both"/>
        <w:rPr>
          <w:rFonts w:ascii="Georgia" w:hAnsi="Georgia" w:cs="Arial"/>
          <w:i/>
          <w:iCs/>
        </w:rPr>
      </w:pPr>
      <w:r>
        <w:rPr>
          <w:rFonts w:ascii="Georgia" w:hAnsi="Georgia" w:cs="Arial"/>
        </w:rPr>
        <w:lastRenderedPageBreak/>
        <w:t>It follows that</w:t>
      </w:r>
      <w:r w:rsidR="0065455E">
        <w:rPr>
          <w:rFonts w:ascii="Georgia" w:hAnsi="Georgia" w:cs="Arial"/>
        </w:rPr>
        <w:t xml:space="preserve"> we vary the Respondent’s notice imposing a financial penalty to </w:t>
      </w:r>
      <w:r w:rsidR="001E1122">
        <w:rPr>
          <w:rFonts w:ascii="Georgia" w:hAnsi="Georgia" w:cs="Arial"/>
        </w:rPr>
        <w:t>reflect our findings in relation to the level of harm</w:t>
      </w:r>
      <w:r w:rsidR="003115AB">
        <w:rPr>
          <w:rFonts w:ascii="Georgia" w:hAnsi="Georgia" w:cs="Arial"/>
        </w:rPr>
        <w:t xml:space="preserve"> arising from offence 8. </w:t>
      </w:r>
      <w:r w:rsidR="00D87D9E">
        <w:rPr>
          <w:rFonts w:ascii="Georgia" w:hAnsi="Georgia" w:cs="Arial"/>
        </w:rPr>
        <w:t xml:space="preserve">The total financial penalty is </w:t>
      </w:r>
      <w:r w:rsidR="000B597E">
        <w:rPr>
          <w:rFonts w:ascii="Georgia" w:hAnsi="Georgia" w:cs="Arial"/>
        </w:rPr>
        <w:t xml:space="preserve">varied to: </w:t>
      </w:r>
      <w:r w:rsidR="00CF7FEA" w:rsidRPr="00CF7FEA">
        <w:rPr>
          <w:rFonts w:ascii="Georgia" w:hAnsi="Georgia" w:cs="Arial"/>
          <w:u w:val="single"/>
        </w:rPr>
        <w:t>£66,550.00.</w:t>
      </w:r>
    </w:p>
    <w:tbl>
      <w:tblPr>
        <w:tblW w:w="8595" w:type="dxa"/>
        <w:tblLook w:val="01E0" w:firstRow="1" w:lastRow="1" w:firstColumn="1" w:lastColumn="1" w:noHBand="0" w:noVBand="0"/>
      </w:tblPr>
      <w:tblGrid>
        <w:gridCol w:w="1134"/>
        <w:gridCol w:w="3402"/>
        <w:gridCol w:w="1111"/>
        <w:gridCol w:w="2948"/>
      </w:tblGrid>
      <w:tr w:rsidR="000927B4" w:rsidRPr="007F1C70" w14:paraId="158E832F" w14:textId="77777777" w:rsidTr="00B756E3">
        <w:trPr>
          <w:trHeight w:val="587"/>
        </w:trPr>
        <w:tc>
          <w:tcPr>
            <w:tcW w:w="1134" w:type="dxa"/>
            <w:shd w:val="clear" w:color="auto" w:fill="auto"/>
            <w:vAlign w:val="center"/>
          </w:tcPr>
          <w:p w14:paraId="1B994F87" w14:textId="77777777" w:rsidR="000927B4" w:rsidRPr="007F1C70" w:rsidRDefault="000927B4" w:rsidP="00C663E1">
            <w:pPr>
              <w:rPr>
                <w:rFonts w:ascii="Georgia" w:hAnsi="Georgia" w:cs="Arial"/>
                <w:b/>
              </w:rPr>
            </w:pPr>
            <w:r w:rsidRPr="007F1C70">
              <w:rPr>
                <w:rFonts w:ascii="Georgia" w:hAnsi="Georgia" w:cs="Arial"/>
                <w:b/>
              </w:rPr>
              <w:t>Name:</w:t>
            </w:r>
          </w:p>
        </w:tc>
        <w:tc>
          <w:tcPr>
            <w:tcW w:w="3402" w:type="dxa"/>
            <w:shd w:val="clear" w:color="auto" w:fill="auto"/>
            <w:vAlign w:val="center"/>
          </w:tcPr>
          <w:p w14:paraId="638CBC1E" w14:textId="48B000FF" w:rsidR="000927B4" w:rsidRPr="007F1C70" w:rsidRDefault="00857E04" w:rsidP="00C663E1">
            <w:pPr>
              <w:rPr>
                <w:rFonts w:ascii="Georgia" w:hAnsi="Georgia" w:cs="Arial"/>
              </w:rPr>
            </w:pPr>
            <w:r>
              <w:rPr>
                <w:rFonts w:ascii="Georgia" w:hAnsi="Georgia" w:cs="Arial"/>
              </w:rPr>
              <w:t>First-tier Tribunal Judge N</w:t>
            </w:r>
            <w:r w:rsidR="00950DB2">
              <w:rPr>
                <w:rFonts w:ascii="Georgia" w:hAnsi="Georgia" w:cs="Arial"/>
              </w:rPr>
              <w:t>eave</w:t>
            </w:r>
          </w:p>
        </w:tc>
        <w:tc>
          <w:tcPr>
            <w:tcW w:w="1111" w:type="dxa"/>
            <w:shd w:val="clear" w:color="auto" w:fill="auto"/>
            <w:vAlign w:val="center"/>
          </w:tcPr>
          <w:p w14:paraId="2919AF14" w14:textId="77777777" w:rsidR="000927B4" w:rsidRPr="007F1C70" w:rsidRDefault="000927B4" w:rsidP="00C663E1">
            <w:pPr>
              <w:rPr>
                <w:rFonts w:ascii="Georgia" w:hAnsi="Georgia" w:cs="Arial"/>
                <w:b/>
              </w:rPr>
            </w:pPr>
            <w:r w:rsidRPr="007F1C70">
              <w:rPr>
                <w:rFonts w:ascii="Georgia" w:hAnsi="Georgia" w:cs="Arial"/>
                <w:b/>
              </w:rPr>
              <w:t>Date:</w:t>
            </w:r>
          </w:p>
        </w:tc>
        <w:tc>
          <w:tcPr>
            <w:tcW w:w="2948" w:type="dxa"/>
            <w:shd w:val="clear" w:color="auto" w:fill="auto"/>
            <w:vAlign w:val="center"/>
          </w:tcPr>
          <w:p w14:paraId="595E667C" w14:textId="75424FC0" w:rsidR="000927B4" w:rsidRPr="007F1C70" w:rsidRDefault="00950DB2" w:rsidP="00C663E1">
            <w:pPr>
              <w:rPr>
                <w:rFonts w:ascii="Georgia" w:hAnsi="Georgia" w:cs="Arial"/>
              </w:rPr>
            </w:pPr>
            <w:r>
              <w:rPr>
                <w:rFonts w:ascii="Georgia" w:hAnsi="Georgia" w:cs="Arial"/>
              </w:rPr>
              <w:t>1</w:t>
            </w:r>
            <w:r w:rsidR="000654E8">
              <w:rPr>
                <w:rFonts w:ascii="Georgia" w:hAnsi="Georgia" w:cs="Arial"/>
              </w:rPr>
              <w:t>7</w:t>
            </w:r>
            <w:r>
              <w:rPr>
                <w:rFonts w:ascii="Georgia" w:hAnsi="Georgia" w:cs="Arial"/>
              </w:rPr>
              <w:t xml:space="preserve"> June 2025</w:t>
            </w:r>
          </w:p>
        </w:tc>
      </w:tr>
    </w:tbl>
    <w:p w14:paraId="174B5747" w14:textId="77777777" w:rsidR="000927B4" w:rsidRPr="00D274B6" w:rsidRDefault="000927B4" w:rsidP="0046328F">
      <w:pPr>
        <w:spacing w:after="240"/>
        <w:rPr>
          <w:rFonts w:ascii="Georgia" w:hAnsi="Georgia"/>
        </w:rPr>
      </w:pPr>
    </w:p>
    <w:p w14:paraId="3BAA5511" w14:textId="77777777" w:rsidR="00624111" w:rsidRPr="005710A8" w:rsidRDefault="00624111" w:rsidP="0046328F">
      <w:pPr>
        <w:spacing w:after="240"/>
        <w:jc w:val="center"/>
        <w:rPr>
          <w:rFonts w:ascii="Georgia" w:hAnsi="Georgia"/>
          <w:b/>
          <w:u w:val="single"/>
        </w:rPr>
      </w:pPr>
      <w:r w:rsidRPr="005710A8">
        <w:rPr>
          <w:rFonts w:ascii="Georgia" w:hAnsi="Georgia"/>
          <w:b/>
          <w:u w:val="single"/>
        </w:rPr>
        <w:t xml:space="preserve">Rights </w:t>
      </w:r>
      <w:r>
        <w:rPr>
          <w:rFonts w:ascii="Georgia" w:hAnsi="Georgia"/>
          <w:b/>
          <w:u w:val="single"/>
        </w:rPr>
        <w:t>o</w:t>
      </w:r>
      <w:r w:rsidRPr="005710A8">
        <w:rPr>
          <w:rFonts w:ascii="Georgia" w:hAnsi="Georgia"/>
          <w:b/>
          <w:u w:val="single"/>
        </w:rPr>
        <w:t xml:space="preserve">f </w:t>
      </w:r>
      <w:r>
        <w:rPr>
          <w:rFonts w:ascii="Georgia" w:hAnsi="Georgia"/>
          <w:b/>
          <w:u w:val="single"/>
        </w:rPr>
        <w:t>a</w:t>
      </w:r>
      <w:r w:rsidRPr="005710A8">
        <w:rPr>
          <w:rFonts w:ascii="Georgia" w:hAnsi="Georgia"/>
          <w:b/>
          <w:u w:val="single"/>
        </w:rPr>
        <w:t>ppeal</w:t>
      </w:r>
    </w:p>
    <w:p w14:paraId="3CD43B4C" w14:textId="77777777" w:rsidR="00624111" w:rsidRPr="009150F9" w:rsidRDefault="00624111" w:rsidP="0046328F">
      <w:pPr>
        <w:tabs>
          <w:tab w:val="left" w:pos="720"/>
        </w:tabs>
        <w:spacing w:after="240"/>
        <w:jc w:val="both"/>
        <w:rPr>
          <w:rFonts w:ascii="Georgia" w:hAnsi="Georgia"/>
        </w:rPr>
      </w:pPr>
      <w:r w:rsidRPr="009150F9">
        <w:rPr>
          <w:rFonts w:ascii="Georgia" w:hAnsi="Georgia"/>
        </w:rPr>
        <w:t>By rule 36(2) of the Tribunal Procedure (First-tier Tribunal) (Property Chamber) Rules 2013, the tribunal is required to notify the parties about any right of appeal</w:t>
      </w:r>
      <w:r>
        <w:rPr>
          <w:rFonts w:ascii="Georgia" w:hAnsi="Georgia"/>
        </w:rPr>
        <w:t xml:space="preserve"> they may have</w:t>
      </w:r>
      <w:r w:rsidRPr="009150F9">
        <w:rPr>
          <w:rFonts w:ascii="Georgia" w:hAnsi="Georgia"/>
        </w:rPr>
        <w:t>.</w:t>
      </w:r>
    </w:p>
    <w:p w14:paraId="34F3B764" w14:textId="77777777" w:rsidR="00624111" w:rsidRPr="005710A8" w:rsidRDefault="00624111" w:rsidP="0046328F">
      <w:pPr>
        <w:tabs>
          <w:tab w:val="left" w:pos="720"/>
        </w:tabs>
        <w:spacing w:after="240"/>
        <w:jc w:val="both"/>
        <w:rPr>
          <w:rFonts w:ascii="Georgia" w:hAnsi="Georgia"/>
        </w:rPr>
      </w:pPr>
      <w:r>
        <w:rPr>
          <w:rFonts w:ascii="Georgia" w:hAnsi="Georgia"/>
        </w:rPr>
        <w:t>If a party wishes</w:t>
      </w:r>
      <w:r w:rsidRPr="005710A8">
        <w:rPr>
          <w:rFonts w:ascii="Georgia" w:hAnsi="Georgia"/>
        </w:rPr>
        <w:t xml:space="preserve"> to appeal this decision to the Upper Tribunal (Lands Chamber)</w:t>
      </w:r>
      <w:r>
        <w:rPr>
          <w:rFonts w:ascii="Georgia" w:hAnsi="Georgia"/>
        </w:rPr>
        <w:t>,</w:t>
      </w:r>
      <w:r w:rsidRPr="005710A8">
        <w:rPr>
          <w:rFonts w:ascii="Georgia" w:hAnsi="Georgia"/>
        </w:rPr>
        <w:t xml:space="preserve"> </w:t>
      </w:r>
      <w:r>
        <w:rPr>
          <w:rFonts w:ascii="Georgia" w:hAnsi="Georgia"/>
        </w:rPr>
        <w:t>then a written application for permission must be made</w:t>
      </w:r>
      <w:r w:rsidRPr="005710A8">
        <w:rPr>
          <w:rFonts w:ascii="Georgia" w:hAnsi="Georgia"/>
        </w:rPr>
        <w:t xml:space="preserve"> to the First-tier Tribunal at the </w:t>
      </w:r>
      <w:r>
        <w:rPr>
          <w:rFonts w:ascii="Georgia" w:hAnsi="Georgia"/>
        </w:rPr>
        <w:t>r</w:t>
      </w:r>
      <w:r w:rsidRPr="005710A8">
        <w:rPr>
          <w:rFonts w:ascii="Georgia" w:hAnsi="Georgia"/>
        </w:rPr>
        <w:t>egional office which</w:t>
      </w:r>
      <w:r>
        <w:rPr>
          <w:rFonts w:ascii="Georgia" w:hAnsi="Georgia"/>
        </w:rPr>
        <w:t xml:space="preserve"> has been dealing with the case.</w:t>
      </w:r>
    </w:p>
    <w:p w14:paraId="04CF3692" w14:textId="77777777" w:rsidR="00624111" w:rsidRPr="005710A8" w:rsidRDefault="00624111" w:rsidP="0046328F">
      <w:pPr>
        <w:tabs>
          <w:tab w:val="left" w:pos="720"/>
        </w:tabs>
        <w:spacing w:after="240"/>
        <w:jc w:val="both"/>
        <w:rPr>
          <w:rFonts w:ascii="Georgia" w:hAnsi="Georgia"/>
        </w:rPr>
      </w:pPr>
      <w:r w:rsidRPr="005710A8">
        <w:rPr>
          <w:rFonts w:ascii="Georgia" w:hAnsi="Georgia"/>
        </w:rPr>
        <w:t>The applica</w:t>
      </w:r>
      <w:r>
        <w:rPr>
          <w:rFonts w:ascii="Georgia" w:hAnsi="Georgia"/>
        </w:rPr>
        <w:t>tion for permission to appeal must arrive at the regional office</w:t>
      </w:r>
      <w:r w:rsidRPr="005710A8">
        <w:rPr>
          <w:rFonts w:ascii="Georgia" w:hAnsi="Georgia"/>
        </w:rPr>
        <w:t xml:space="preserve"> within 28 days after the </w:t>
      </w:r>
      <w:r>
        <w:rPr>
          <w:rFonts w:ascii="Georgia" w:hAnsi="Georgia"/>
        </w:rPr>
        <w:t>t</w:t>
      </w:r>
      <w:r w:rsidRPr="005710A8">
        <w:rPr>
          <w:rFonts w:ascii="Georgia" w:hAnsi="Georgia"/>
        </w:rPr>
        <w:t xml:space="preserve">ribunal sends </w:t>
      </w:r>
      <w:r>
        <w:rPr>
          <w:rFonts w:ascii="Georgia" w:hAnsi="Georgia"/>
        </w:rPr>
        <w:t xml:space="preserve">written reasons for the decision </w:t>
      </w:r>
      <w:r w:rsidRPr="005710A8">
        <w:rPr>
          <w:rFonts w:ascii="Georgia" w:hAnsi="Georgia"/>
        </w:rPr>
        <w:t>to th</w:t>
      </w:r>
      <w:r>
        <w:rPr>
          <w:rFonts w:ascii="Georgia" w:hAnsi="Georgia"/>
        </w:rPr>
        <w:t>e person making the application</w:t>
      </w:r>
      <w:r w:rsidRPr="005710A8">
        <w:rPr>
          <w:rFonts w:ascii="Georgia" w:hAnsi="Georgia"/>
        </w:rPr>
        <w:t>.</w:t>
      </w:r>
    </w:p>
    <w:p w14:paraId="1C6D3E35" w14:textId="77777777" w:rsidR="00624111" w:rsidRPr="005710A8" w:rsidRDefault="00624111" w:rsidP="0046328F">
      <w:pPr>
        <w:tabs>
          <w:tab w:val="left" w:pos="720"/>
        </w:tabs>
        <w:spacing w:after="240"/>
        <w:jc w:val="both"/>
        <w:rPr>
          <w:rFonts w:ascii="Georgia" w:hAnsi="Georgia"/>
        </w:rPr>
      </w:pPr>
      <w:r w:rsidRPr="005710A8">
        <w:rPr>
          <w:rFonts w:ascii="Georgia" w:hAnsi="Georgia"/>
        </w:rPr>
        <w:t xml:space="preserve">If the </w:t>
      </w:r>
      <w:r>
        <w:rPr>
          <w:rFonts w:ascii="Georgia" w:hAnsi="Georgia"/>
        </w:rPr>
        <w:t>application is not made within</w:t>
      </w:r>
      <w:r w:rsidRPr="005710A8">
        <w:rPr>
          <w:rFonts w:ascii="Georgia" w:hAnsi="Georgia"/>
        </w:rPr>
        <w:t xml:space="preserve"> the 28</w:t>
      </w:r>
      <w:r w:rsidR="00C213DB">
        <w:rPr>
          <w:rFonts w:ascii="Georgia" w:hAnsi="Georgia"/>
        </w:rPr>
        <w:t>-</w:t>
      </w:r>
      <w:r>
        <w:rPr>
          <w:rFonts w:ascii="Georgia" w:hAnsi="Georgia"/>
        </w:rPr>
        <w:t>day time limit, such application must include</w:t>
      </w:r>
      <w:r w:rsidRPr="005710A8">
        <w:rPr>
          <w:rFonts w:ascii="Georgia" w:hAnsi="Georgia"/>
        </w:rPr>
        <w:t xml:space="preserve"> a request for an extension of time and the reason for not complying with the 28</w:t>
      </w:r>
      <w:r w:rsidR="00C213DB">
        <w:rPr>
          <w:rFonts w:ascii="Georgia" w:hAnsi="Georgia"/>
        </w:rPr>
        <w:t>-</w:t>
      </w:r>
      <w:r w:rsidRPr="005710A8">
        <w:rPr>
          <w:rFonts w:ascii="Georgia" w:hAnsi="Georgia"/>
        </w:rPr>
        <w:t xml:space="preserve">day time limit; the </w:t>
      </w:r>
      <w:r>
        <w:rPr>
          <w:rFonts w:ascii="Georgia" w:hAnsi="Georgia"/>
        </w:rPr>
        <w:t>t</w:t>
      </w:r>
      <w:r w:rsidRPr="005710A8">
        <w:rPr>
          <w:rFonts w:ascii="Georgia" w:hAnsi="Georgia"/>
        </w:rPr>
        <w:t>ribunal will then</w:t>
      </w:r>
      <w:r>
        <w:rPr>
          <w:rFonts w:ascii="Georgia" w:hAnsi="Georgia"/>
        </w:rPr>
        <w:t xml:space="preserve"> look at such reason(s) and</w:t>
      </w:r>
      <w:r w:rsidRPr="005710A8">
        <w:rPr>
          <w:rFonts w:ascii="Georgia" w:hAnsi="Georgia"/>
        </w:rPr>
        <w:t xml:space="preserve"> deci</w:t>
      </w:r>
      <w:r>
        <w:rPr>
          <w:rFonts w:ascii="Georgia" w:hAnsi="Georgia"/>
        </w:rPr>
        <w:t>de whether</w:t>
      </w:r>
      <w:r w:rsidRPr="005710A8">
        <w:rPr>
          <w:rFonts w:ascii="Georgia" w:hAnsi="Georgia"/>
        </w:rPr>
        <w:t xml:space="preserve"> to allow the application for permission to appeal to proceed</w:t>
      </w:r>
      <w:r>
        <w:rPr>
          <w:rFonts w:ascii="Georgia" w:hAnsi="Georgia"/>
        </w:rPr>
        <w:t>, despite not being within the time limit</w:t>
      </w:r>
      <w:r w:rsidRPr="005710A8">
        <w:rPr>
          <w:rFonts w:ascii="Georgia" w:hAnsi="Georgia"/>
        </w:rPr>
        <w:t>.</w:t>
      </w:r>
    </w:p>
    <w:p w14:paraId="25F82F74" w14:textId="77777777" w:rsidR="00624111" w:rsidRDefault="00624111" w:rsidP="0046328F">
      <w:pPr>
        <w:tabs>
          <w:tab w:val="left" w:pos="720"/>
        </w:tabs>
        <w:spacing w:after="240"/>
        <w:jc w:val="both"/>
        <w:rPr>
          <w:rFonts w:ascii="Georgia" w:hAnsi="Georgia"/>
        </w:rPr>
      </w:pPr>
      <w:r w:rsidRPr="005710A8">
        <w:rPr>
          <w:rFonts w:ascii="Georgia" w:hAnsi="Georgia"/>
        </w:rPr>
        <w:t xml:space="preserve">The application for permission to appeal must identify the decision of the </w:t>
      </w:r>
      <w:r>
        <w:rPr>
          <w:rFonts w:ascii="Georgia" w:hAnsi="Georgia"/>
        </w:rPr>
        <w:t>t</w:t>
      </w:r>
      <w:r w:rsidRPr="005710A8">
        <w:rPr>
          <w:rFonts w:ascii="Georgia" w:hAnsi="Georgia"/>
        </w:rPr>
        <w:t>ribunal to which it relates</w:t>
      </w:r>
      <w:r>
        <w:rPr>
          <w:rFonts w:ascii="Georgia" w:hAnsi="Georgia"/>
        </w:rPr>
        <w:t xml:space="preserve"> (i.e. give the date, the property and the case number), state the grounds of appeal</w:t>
      </w:r>
      <w:r w:rsidRPr="005710A8">
        <w:rPr>
          <w:rFonts w:ascii="Georgia" w:hAnsi="Georgia"/>
        </w:rPr>
        <w:t xml:space="preserve"> and state the result the party making the application is seeking</w:t>
      </w:r>
      <w:r>
        <w:rPr>
          <w:rFonts w:ascii="Georgia" w:hAnsi="Georgia"/>
        </w:rPr>
        <w:t>.</w:t>
      </w:r>
    </w:p>
    <w:p w14:paraId="3D413175" w14:textId="77777777" w:rsidR="006B47DA" w:rsidRDefault="006B47DA" w:rsidP="0046328F">
      <w:pPr>
        <w:tabs>
          <w:tab w:val="left" w:pos="720"/>
        </w:tabs>
        <w:spacing w:after="240"/>
        <w:jc w:val="both"/>
        <w:rPr>
          <w:rFonts w:ascii="Georgia" w:hAnsi="Georgia"/>
        </w:rPr>
      </w:pPr>
      <w:r>
        <w:rPr>
          <w:rFonts w:ascii="Georgia" w:hAnsi="Georgia"/>
        </w:rPr>
        <w:t xml:space="preserve">If the tribunal refuses to grant permission to appeal, </w:t>
      </w:r>
      <w:r w:rsidRPr="00FE0873">
        <w:rPr>
          <w:rFonts w:ascii="Georgia" w:hAnsi="Georgia"/>
        </w:rPr>
        <w:t xml:space="preserve">a further application for permission may be made </w:t>
      </w:r>
      <w:r>
        <w:rPr>
          <w:rFonts w:ascii="Georgia" w:hAnsi="Georgia"/>
        </w:rPr>
        <w:t>to the Upper Tribunal (Lands Chamber).</w:t>
      </w:r>
    </w:p>
    <w:sectPr w:rsidR="006B47DA" w:rsidSect="005A327A">
      <w:headerReference w:type="even" r:id="rId12"/>
      <w:footerReference w:type="even" r:id="rId13"/>
      <w:footerReference w:type="defaul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3852" w14:textId="77777777" w:rsidR="008A597B" w:rsidRDefault="008A597B">
      <w:r>
        <w:separator/>
      </w:r>
    </w:p>
  </w:endnote>
  <w:endnote w:type="continuationSeparator" w:id="0">
    <w:p w14:paraId="47603374" w14:textId="77777777" w:rsidR="008A597B" w:rsidRDefault="008A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BT">
    <w:altName w:val="Lucida Sans Unicode"/>
    <w:charset w:val="00"/>
    <w:family w:val="swiss"/>
    <w:pitch w:val="variable"/>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9B0D" w14:textId="77777777" w:rsidR="00BD1D27" w:rsidRDefault="00BD1D27"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E0E72" w14:textId="77777777" w:rsidR="00BD1D27" w:rsidRDefault="00BD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1E25" w14:textId="7CAE8781" w:rsidR="00BD1D27" w:rsidRPr="005A327A" w:rsidRDefault="00BD1D27" w:rsidP="00C27ECE">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sidR="00360047">
      <w:rPr>
        <w:rStyle w:val="PageNumber"/>
        <w:rFonts w:ascii="Georgia" w:hAnsi="Georgia"/>
        <w:noProof/>
      </w:rPr>
      <w:t>5</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EF93" w14:textId="77777777" w:rsidR="00BD1D27" w:rsidRPr="005620EA" w:rsidRDefault="00BD1D27" w:rsidP="005A327A">
    <w:pPr>
      <w:jc w:val="center"/>
      <w:rPr>
        <w:rFonts w:ascii="Georgia" w:hAnsi="Georgia"/>
        <w:sz w:val="20"/>
        <w:szCs w:val="20"/>
      </w:rPr>
    </w:pPr>
    <w:r w:rsidRPr="005620EA">
      <w:rPr>
        <w:rFonts w:ascii="Georgia" w:hAnsi="Georgia"/>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76F2" w14:textId="77777777" w:rsidR="008A597B" w:rsidRDefault="008A597B">
      <w:r>
        <w:separator/>
      </w:r>
    </w:p>
  </w:footnote>
  <w:footnote w:type="continuationSeparator" w:id="0">
    <w:p w14:paraId="077F64F9" w14:textId="77777777" w:rsidR="008A597B" w:rsidRDefault="008A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2696" w14:textId="77777777" w:rsidR="00BD1D27" w:rsidRDefault="00BD1D27"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2209" w14:textId="77777777" w:rsidR="00BD1D27" w:rsidRDefault="00BD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B543BB"/>
    <w:multiLevelType w:val="hybridMultilevel"/>
    <w:tmpl w:val="4F782DCA"/>
    <w:lvl w:ilvl="0" w:tplc="EF82FF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2938F9"/>
    <w:multiLevelType w:val="hybridMultilevel"/>
    <w:tmpl w:val="93F6D6DC"/>
    <w:lvl w:ilvl="0" w:tplc="50AC39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5" w15:restartNumberingAfterBreak="0">
    <w:nsid w:val="2B6C1BD8"/>
    <w:multiLevelType w:val="multilevel"/>
    <w:tmpl w:val="3368A46A"/>
    <w:lvl w:ilvl="0">
      <w:start w:val="1"/>
      <w:numFmt w:val="decimal"/>
      <w:lvlText w:val="%1."/>
      <w:lvlJc w:val="left"/>
      <w:pPr>
        <w:tabs>
          <w:tab w:val="num" w:pos="1778"/>
        </w:tabs>
        <w:ind w:left="1778" w:hanging="360"/>
      </w:pPr>
      <w:rPr>
        <w:rFonts w:ascii="Georgia" w:eastAsia="Times New Roman" w:hAnsi="Georgia" w:cs="Arial"/>
      </w:r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6"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A86A08"/>
    <w:multiLevelType w:val="hybridMultilevel"/>
    <w:tmpl w:val="13867364"/>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539665A"/>
    <w:multiLevelType w:val="hybridMultilevel"/>
    <w:tmpl w:val="BF56F776"/>
    <w:lvl w:ilvl="0" w:tplc="6C66DF76">
      <w:start w:val="1"/>
      <w:numFmt w:val="upperLetter"/>
      <w:lvlText w:val="(%1)"/>
      <w:lvlJc w:val="left"/>
      <w:pPr>
        <w:tabs>
          <w:tab w:val="num" w:pos="4034"/>
        </w:tabs>
        <w:ind w:left="4034" w:hanging="794"/>
      </w:pPr>
      <w:rPr>
        <w:rFonts w:ascii="Georgia" w:hAnsi="Georgia"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DA2150"/>
    <w:multiLevelType w:val="hybridMultilevel"/>
    <w:tmpl w:val="B42CA35A"/>
    <w:lvl w:ilvl="0" w:tplc="333499BE">
      <w:start w:val="1"/>
      <w:numFmt w:val="decimal"/>
      <w:lvlText w:val="%1."/>
      <w:lvlJc w:val="left"/>
      <w:pPr>
        <w:tabs>
          <w:tab w:val="num" w:pos="720"/>
        </w:tabs>
        <w:ind w:left="72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821553"/>
    <w:multiLevelType w:val="hybridMultilevel"/>
    <w:tmpl w:val="451466D4"/>
    <w:lvl w:ilvl="0" w:tplc="4A60BECE">
      <w:start w:val="1"/>
      <w:numFmt w:val="decimal"/>
      <w:lvlText w:val="%1."/>
      <w:lvlJc w:val="left"/>
      <w:pPr>
        <w:ind w:left="720" w:hanging="360"/>
      </w:pPr>
      <w:rPr>
        <w:rFonts w:hint="default"/>
        <w:b w:val="0"/>
        <w:i w:val="0"/>
        <w:iCs w:val="0"/>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83DEC"/>
    <w:multiLevelType w:val="hybridMultilevel"/>
    <w:tmpl w:val="AACE42CE"/>
    <w:lvl w:ilvl="0" w:tplc="048822FA">
      <w:start w:val="1"/>
      <w:numFmt w:val="lowerRoman"/>
      <w:lvlText w:val="(%1)"/>
      <w:lvlJc w:val="left"/>
      <w:pPr>
        <w:tabs>
          <w:tab w:val="num" w:pos="1493"/>
        </w:tabs>
        <w:ind w:left="1493"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4"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662387">
    <w:abstractNumId w:val="0"/>
  </w:num>
  <w:num w:numId="2" w16cid:durableId="2098331735">
    <w:abstractNumId w:val="14"/>
  </w:num>
  <w:num w:numId="3" w16cid:durableId="329216336">
    <w:abstractNumId w:val="6"/>
  </w:num>
  <w:num w:numId="4" w16cid:durableId="1144930280">
    <w:abstractNumId w:val="9"/>
  </w:num>
  <w:num w:numId="5" w16cid:durableId="2028751973">
    <w:abstractNumId w:val="4"/>
  </w:num>
  <w:num w:numId="6" w16cid:durableId="637339968">
    <w:abstractNumId w:val="11"/>
  </w:num>
  <w:num w:numId="7" w16cid:durableId="1195652919">
    <w:abstractNumId w:val="2"/>
  </w:num>
  <w:num w:numId="8" w16cid:durableId="1904488669">
    <w:abstractNumId w:val="5"/>
  </w:num>
  <w:num w:numId="9" w16cid:durableId="1775707101">
    <w:abstractNumId w:val="7"/>
  </w:num>
  <w:num w:numId="10" w16cid:durableId="2048139033">
    <w:abstractNumId w:val="13"/>
  </w:num>
  <w:num w:numId="11" w16cid:durableId="213003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7237681">
    <w:abstractNumId w:val="1"/>
  </w:num>
  <w:num w:numId="13" w16cid:durableId="1348557156">
    <w:abstractNumId w:val="8"/>
  </w:num>
  <w:num w:numId="14" w16cid:durableId="1495872458">
    <w:abstractNumId w:val="12"/>
  </w:num>
  <w:num w:numId="15" w16cid:durableId="1609656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652A41-363A-4442-BC8C-A9F891F6876A}"/>
    <w:docVar w:name="dgnword-eventsink" w:val="501871712"/>
  </w:docVars>
  <w:rsids>
    <w:rsidRoot w:val="00CD3CD2"/>
    <w:rsid w:val="0000155C"/>
    <w:rsid w:val="00017D49"/>
    <w:rsid w:val="00022EA4"/>
    <w:rsid w:val="00026429"/>
    <w:rsid w:val="00044925"/>
    <w:rsid w:val="00050418"/>
    <w:rsid w:val="000507D9"/>
    <w:rsid w:val="00056D15"/>
    <w:rsid w:val="0006199E"/>
    <w:rsid w:val="000654E8"/>
    <w:rsid w:val="0007707C"/>
    <w:rsid w:val="00082DDA"/>
    <w:rsid w:val="000916C2"/>
    <w:rsid w:val="000927B4"/>
    <w:rsid w:val="00092C14"/>
    <w:rsid w:val="00094AFF"/>
    <w:rsid w:val="000951F3"/>
    <w:rsid w:val="00096BE1"/>
    <w:rsid w:val="000A0CD3"/>
    <w:rsid w:val="000B3A00"/>
    <w:rsid w:val="000B597E"/>
    <w:rsid w:val="000C2BA6"/>
    <w:rsid w:val="000C47AF"/>
    <w:rsid w:val="000C78D3"/>
    <w:rsid w:val="000D0243"/>
    <w:rsid w:val="000D1681"/>
    <w:rsid w:val="000D2C81"/>
    <w:rsid w:val="000D3B53"/>
    <w:rsid w:val="000D46FF"/>
    <w:rsid w:val="000D54B6"/>
    <w:rsid w:val="000E270E"/>
    <w:rsid w:val="000F10A1"/>
    <w:rsid w:val="00102121"/>
    <w:rsid w:val="00111AE3"/>
    <w:rsid w:val="00117CBB"/>
    <w:rsid w:val="001243CE"/>
    <w:rsid w:val="001247D1"/>
    <w:rsid w:val="00131263"/>
    <w:rsid w:val="00135C28"/>
    <w:rsid w:val="001466A4"/>
    <w:rsid w:val="0016173A"/>
    <w:rsid w:val="00180856"/>
    <w:rsid w:val="001A7546"/>
    <w:rsid w:val="001C2DED"/>
    <w:rsid w:val="001C54D3"/>
    <w:rsid w:val="001D2CCE"/>
    <w:rsid w:val="001D533C"/>
    <w:rsid w:val="001E1122"/>
    <w:rsid w:val="001E69B7"/>
    <w:rsid w:val="001F0332"/>
    <w:rsid w:val="001F4BC4"/>
    <w:rsid w:val="001F71F5"/>
    <w:rsid w:val="002034A5"/>
    <w:rsid w:val="00205927"/>
    <w:rsid w:val="00235125"/>
    <w:rsid w:val="00243A5E"/>
    <w:rsid w:val="00274B6A"/>
    <w:rsid w:val="002974EC"/>
    <w:rsid w:val="002A4653"/>
    <w:rsid w:val="002B154E"/>
    <w:rsid w:val="002C5055"/>
    <w:rsid w:val="002C562C"/>
    <w:rsid w:val="002E1347"/>
    <w:rsid w:val="002E2780"/>
    <w:rsid w:val="002E5A4C"/>
    <w:rsid w:val="002F0F0C"/>
    <w:rsid w:val="002F1CDE"/>
    <w:rsid w:val="002F6E08"/>
    <w:rsid w:val="00306C32"/>
    <w:rsid w:val="003115AB"/>
    <w:rsid w:val="00313A34"/>
    <w:rsid w:val="00314BF0"/>
    <w:rsid w:val="00323DA4"/>
    <w:rsid w:val="00332F68"/>
    <w:rsid w:val="00333852"/>
    <w:rsid w:val="00341DE3"/>
    <w:rsid w:val="00350DC8"/>
    <w:rsid w:val="00360047"/>
    <w:rsid w:val="00360DED"/>
    <w:rsid w:val="0036606D"/>
    <w:rsid w:val="00394897"/>
    <w:rsid w:val="003A079F"/>
    <w:rsid w:val="003A2779"/>
    <w:rsid w:val="003A5E20"/>
    <w:rsid w:val="003A6BD1"/>
    <w:rsid w:val="003B491D"/>
    <w:rsid w:val="003B5250"/>
    <w:rsid w:val="003C4E08"/>
    <w:rsid w:val="003C5874"/>
    <w:rsid w:val="003D12B8"/>
    <w:rsid w:val="003D32B1"/>
    <w:rsid w:val="003E6AD4"/>
    <w:rsid w:val="003F26DD"/>
    <w:rsid w:val="003F5AA6"/>
    <w:rsid w:val="00402C86"/>
    <w:rsid w:val="00403818"/>
    <w:rsid w:val="004059EA"/>
    <w:rsid w:val="004136BF"/>
    <w:rsid w:val="00413F0C"/>
    <w:rsid w:val="004148CB"/>
    <w:rsid w:val="00417092"/>
    <w:rsid w:val="00423D2A"/>
    <w:rsid w:val="00430662"/>
    <w:rsid w:val="004323C0"/>
    <w:rsid w:val="00442D0B"/>
    <w:rsid w:val="004457BA"/>
    <w:rsid w:val="00451ED1"/>
    <w:rsid w:val="004579CC"/>
    <w:rsid w:val="0046328F"/>
    <w:rsid w:val="004651FB"/>
    <w:rsid w:val="00490CC3"/>
    <w:rsid w:val="0049490D"/>
    <w:rsid w:val="00496053"/>
    <w:rsid w:val="004A0FB6"/>
    <w:rsid w:val="004A5C62"/>
    <w:rsid w:val="004B196A"/>
    <w:rsid w:val="004B2A2D"/>
    <w:rsid w:val="004C397F"/>
    <w:rsid w:val="004C402F"/>
    <w:rsid w:val="004C4AF3"/>
    <w:rsid w:val="004D792A"/>
    <w:rsid w:val="0050502C"/>
    <w:rsid w:val="0052790D"/>
    <w:rsid w:val="00545A41"/>
    <w:rsid w:val="00556B08"/>
    <w:rsid w:val="005620EA"/>
    <w:rsid w:val="00562295"/>
    <w:rsid w:val="00567E44"/>
    <w:rsid w:val="005712FB"/>
    <w:rsid w:val="005756A8"/>
    <w:rsid w:val="005837D9"/>
    <w:rsid w:val="005913B5"/>
    <w:rsid w:val="00594D72"/>
    <w:rsid w:val="005A1FDA"/>
    <w:rsid w:val="005A2700"/>
    <w:rsid w:val="005A327A"/>
    <w:rsid w:val="005B3932"/>
    <w:rsid w:val="005C176C"/>
    <w:rsid w:val="005C4AE6"/>
    <w:rsid w:val="005D404C"/>
    <w:rsid w:val="005E170C"/>
    <w:rsid w:val="005E3FFB"/>
    <w:rsid w:val="005E5ED9"/>
    <w:rsid w:val="0060437E"/>
    <w:rsid w:val="00617940"/>
    <w:rsid w:val="00617E99"/>
    <w:rsid w:val="006240B7"/>
    <w:rsid w:val="00624111"/>
    <w:rsid w:val="00631885"/>
    <w:rsid w:val="00636135"/>
    <w:rsid w:val="006428E0"/>
    <w:rsid w:val="00651540"/>
    <w:rsid w:val="00652B1C"/>
    <w:rsid w:val="0065455E"/>
    <w:rsid w:val="00657238"/>
    <w:rsid w:val="006604A4"/>
    <w:rsid w:val="00666235"/>
    <w:rsid w:val="006715D2"/>
    <w:rsid w:val="006717D4"/>
    <w:rsid w:val="006844D3"/>
    <w:rsid w:val="00694C56"/>
    <w:rsid w:val="006A787B"/>
    <w:rsid w:val="006A7F90"/>
    <w:rsid w:val="006B148A"/>
    <w:rsid w:val="006B47DA"/>
    <w:rsid w:val="006D0013"/>
    <w:rsid w:val="00701865"/>
    <w:rsid w:val="00703505"/>
    <w:rsid w:val="00704BA0"/>
    <w:rsid w:val="00704D89"/>
    <w:rsid w:val="00706127"/>
    <w:rsid w:val="00706F85"/>
    <w:rsid w:val="00722D90"/>
    <w:rsid w:val="00724692"/>
    <w:rsid w:val="00724F05"/>
    <w:rsid w:val="0072751F"/>
    <w:rsid w:val="007300D6"/>
    <w:rsid w:val="007327CC"/>
    <w:rsid w:val="007370DA"/>
    <w:rsid w:val="007420EE"/>
    <w:rsid w:val="0075624F"/>
    <w:rsid w:val="00764313"/>
    <w:rsid w:val="007669C9"/>
    <w:rsid w:val="00783FE9"/>
    <w:rsid w:val="00785CA6"/>
    <w:rsid w:val="00792379"/>
    <w:rsid w:val="0079391F"/>
    <w:rsid w:val="007A33F1"/>
    <w:rsid w:val="007A50E3"/>
    <w:rsid w:val="007B244E"/>
    <w:rsid w:val="007B5F32"/>
    <w:rsid w:val="007C0BCA"/>
    <w:rsid w:val="007C58DB"/>
    <w:rsid w:val="007E51A0"/>
    <w:rsid w:val="007F083F"/>
    <w:rsid w:val="007F1C70"/>
    <w:rsid w:val="007F43CA"/>
    <w:rsid w:val="007F43D6"/>
    <w:rsid w:val="008073B5"/>
    <w:rsid w:val="00810635"/>
    <w:rsid w:val="00817C3D"/>
    <w:rsid w:val="0082418D"/>
    <w:rsid w:val="0082566B"/>
    <w:rsid w:val="00830FCB"/>
    <w:rsid w:val="00833300"/>
    <w:rsid w:val="0084616D"/>
    <w:rsid w:val="00857E04"/>
    <w:rsid w:val="00867960"/>
    <w:rsid w:val="00871712"/>
    <w:rsid w:val="008830A7"/>
    <w:rsid w:val="00883B7A"/>
    <w:rsid w:val="00891C79"/>
    <w:rsid w:val="008931C3"/>
    <w:rsid w:val="008A071C"/>
    <w:rsid w:val="008A597B"/>
    <w:rsid w:val="008A5C3A"/>
    <w:rsid w:val="008A5EBA"/>
    <w:rsid w:val="008B5102"/>
    <w:rsid w:val="008B74E9"/>
    <w:rsid w:val="008C46CC"/>
    <w:rsid w:val="008E451E"/>
    <w:rsid w:val="008E4E46"/>
    <w:rsid w:val="008F3938"/>
    <w:rsid w:val="009012FD"/>
    <w:rsid w:val="009255CB"/>
    <w:rsid w:val="00932BB2"/>
    <w:rsid w:val="009370BB"/>
    <w:rsid w:val="00950DB2"/>
    <w:rsid w:val="00953625"/>
    <w:rsid w:val="009614B0"/>
    <w:rsid w:val="00964F35"/>
    <w:rsid w:val="00985B5B"/>
    <w:rsid w:val="00990642"/>
    <w:rsid w:val="009B122F"/>
    <w:rsid w:val="009B1E17"/>
    <w:rsid w:val="009B776E"/>
    <w:rsid w:val="009D53E8"/>
    <w:rsid w:val="009E1E3C"/>
    <w:rsid w:val="009F5606"/>
    <w:rsid w:val="00A020F4"/>
    <w:rsid w:val="00A03FE3"/>
    <w:rsid w:val="00A1674A"/>
    <w:rsid w:val="00A168EE"/>
    <w:rsid w:val="00A16D8D"/>
    <w:rsid w:val="00A1745D"/>
    <w:rsid w:val="00A17C77"/>
    <w:rsid w:val="00A2450A"/>
    <w:rsid w:val="00A32A9F"/>
    <w:rsid w:val="00A40472"/>
    <w:rsid w:val="00A411E1"/>
    <w:rsid w:val="00A4530C"/>
    <w:rsid w:val="00A45E2D"/>
    <w:rsid w:val="00A464C2"/>
    <w:rsid w:val="00A50057"/>
    <w:rsid w:val="00A8600D"/>
    <w:rsid w:val="00A9342F"/>
    <w:rsid w:val="00AA3914"/>
    <w:rsid w:val="00AA4D46"/>
    <w:rsid w:val="00AA52AB"/>
    <w:rsid w:val="00AB06E4"/>
    <w:rsid w:val="00AB38FF"/>
    <w:rsid w:val="00AB74CA"/>
    <w:rsid w:val="00AE08BD"/>
    <w:rsid w:val="00AE1557"/>
    <w:rsid w:val="00AF3DB1"/>
    <w:rsid w:val="00B0162F"/>
    <w:rsid w:val="00B262F6"/>
    <w:rsid w:val="00B2770F"/>
    <w:rsid w:val="00B301B0"/>
    <w:rsid w:val="00B34850"/>
    <w:rsid w:val="00B34AE4"/>
    <w:rsid w:val="00B432EA"/>
    <w:rsid w:val="00B440FB"/>
    <w:rsid w:val="00B61ED2"/>
    <w:rsid w:val="00B63FFF"/>
    <w:rsid w:val="00B6550E"/>
    <w:rsid w:val="00B72684"/>
    <w:rsid w:val="00B737E0"/>
    <w:rsid w:val="00B756E3"/>
    <w:rsid w:val="00B86575"/>
    <w:rsid w:val="00B86879"/>
    <w:rsid w:val="00B90639"/>
    <w:rsid w:val="00B93BA2"/>
    <w:rsid w:val="00B93C8D"/>
    <w:rsid w:val="00BB2C75"/>
    <w:rsid w:val="00BB586D"/>
    <w:rsid w:val="00BD1D27"/>
    <w:rsid w:val="00BD2D13"/>
    <w:rsid w:val="00BD3704"/>
    <w:rsid w:val="00BD6323"/>
    <w:rsid w:val="00BE1E3A"/>
    <w:rsid w:val="00BF283F"/>
    <w:rsid w:val="00C157C7"/>
    <w:rsid w:val="00C15A80"/>
    <w:rsid w:val="00C213DB"/>
    <w:rsid w:val="00C27ECE"/>
    <w:rsid w:val="00C3554E"/>
    <w:rsid w:val="00C64F0E"/>
    <w:rsid w:val="00C663E1"/>
    <w:rsid w:val="00C663FC"/>
    <w:rsid w:val="00C67A4B"/>
    <w:rsid w:val="00C775A6"/>
    <w:rsid w:val="00C80CE7"/>
    <w:rsid w:val="00C879E7"/>
    <w:rsid w:val="00C912C1"/>
    <w:rsid w:val="00C94400"/>
    <w:rsid w:val="00CA7ABA"/>
    <w:rsid w:val="00CB77BD"/>
    <w:rsid w:val="00CD1DC6"/>
    <w:rsid w:val="00CD3C31"/>
    <w:rsid w:val="00CD3CD2"/>
    <w:rsid w:val="00CE4EC0"/>
    <w:rsid w:val="00CE5B17"/>
    <w:rsid w:val="00CF7FEA"/>
    <w:rsid w:val="00D04CA8"/>
    <w:rsid w:val="00D16EC5"/>
    <w:rsid w:val="00D239A7"/>
    <w:rsid w:val="00D25324"/>
    <w:rsid w:val="00D3143C"/>
    <w:rsid w:val="00D355A3"/>
    <w:rsid w:val="00D43EAA"/>
    <w:rsid w:val="00D64A93"/>
    <w:rsid w:val="00D70CAE"/>
    <w:rsid w:val="00D77522"/>
    <w:rsid w:val="00D82E6C"/>
    <w:rsid w:val="00D84341"/>
    <w:rsid w:val="00D871B9"/>
    <w:rsid w:val="00D87D9E"/>
    <w:rsid w:val="00D90B52"/>
    <w:rsid w:val="00DC1661"/>
    <w:rsid w:val="00DC2655"/>
    <w:rsid w:val="00DC4EBE"/>
    <w:rsid w:val="00DC71AC"/>
    <w:rsid w:val="00DD2019"/>
    <w:rsid w:val="00DD259C"/>
    <w:rsid w:val="00DD653F"/>
    <w:rsid w:val="00DD6F4C"/>
    <w:rsid w:val="00DE413A"/>
    <w:rsid w:val="00DF0238"/>
    <w:rsid w:val="00DF1379"/>
    <w:rsid w:val="00E00235"/>
    <w:rsid w:val="00E016A5"/>
    <w:rsid w:val="00E0394D"/>
    <w:rsid w:val="00E066D5"/>
    <w:rsid w:val="00E075D8"/>
    <w:rsid w:val="00E114B6"/>
    <w:rsid w:val="00E23E51"/>
    <w:rsid w:val="00E530B0"/>
    <w:rsid w:val="00E54EF9"/>
    <w:rsid w:val="00E55B44"/>
    <w:rsid w:val="00E56482"/>
    <w:rsid w:val="00E713AD"/>
    <w:rsid w:val="00E805AB"/>
    <w:rsid w:val="00E80ED5"/>
    <w:rsid w:val="00E85ECA"/>
    <w:rsid w:val="00EA23BA"/>
    <w:rsid w:val="00EA34DD"/>
    <w:rsid w:val="00EB5645"/>
    <w:rsid w:val="00EB5B16"/>
    <w:rsid w:val="00EC256E"/>
    <w:rsid w:val="00EC4902"/>
    <w:rsid w:val="00EC66C7"/>
    <w:rsid w:val="00ED5DBD"/>
    <w:rsid w:val="00EF728F"/>
    <w:rsid w:val="00F01BF2"/>
    <w:rsid w:val="00F035CC"/>
    <w:rsid w:val="00F109B2"/>
    <w:rsid w:val="00F31DE7"/>
    <w:rsid w:val="00F403DB"/>
    <w:rsid w:val="00F43CEC"/>
    <w:rsid w:val="00F5268E"/>
    <w:rsid w:val="00F560F8"/>
    <w:rsid w:val="00F5794A"/>
    <w:rsid w:val="00F67B73"/>
    <w:rsid w:val="00F7791E"/>
    <w:rsid w:val="00F82ABB"/>
    <w:rsid w:val="00F9399B"/>
    <w:rsid w:val="00FB0072"/>
    <w:rsid w:val="00FB390D"/>
    <w:rsid w:val="00FB3AFE"/>
    <w:rsid w:val="00FC40B6"/>
    <w:rsid w:val="00FD10E3"/>
    <w:rsid w:val="00FE680B"/>
    <w:rsid w:val="00FF79A4"/>
    <w:rsid w:val="0609D2D5"/>
    <w:rsid w:val="0EA31633"/>
    <w:rsid w:val="15D45BAF"/>
    <w:rsid w:val="1AE3C1FB"/>
    <w:rsid w:val="1D9CC396"/>
    <w:rsid w:val="1E2DB07D"/>
    <w:rsid w:val="1E63E3C2"/>
    <w:rsid w:val="1E8E2336"/>
    <w:rsid w:val="2092C19E"/>
    <w:rsid w:val="2314EECE"/>
    <w:rsid w:val="27ACC2E4"/>
    <w:rsid w:val="300E8D72"/>
    <w:rsid w:val="38426684"/>
    <w:rsid w:val="39A2A0F7"/>
    <w:rsid w:val="3A55B558"/>
    <w:rsid w:val="471E983C"/>
    <w:rsid w:val="49F8D74A"/>
    <w:rsid w:val="4E8245C2"/>
    <w:rsid w:val="4E99AD10"/>
    <w:rsid w:val="5B3511C6"/>
    <w:rsid w:val="66561C03"/>
    <w:rsid w:val="6B1F290F"/>
    <w:rsid w:val="6BE202CB"/>
    <w:rsid w:val="724C7D02"/>
    <w:rsid w:val="76040189"/>
    <w:rsid w:val="7AC0777C"/>
    <w:rsid w:val="7D4ED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956A0"/>
  <w15:chartTrackingRefBased/>
  <w15:docId w15:val="{72A5727C-E003-4D3C-AA51-411E122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paragraph" w:styleId="Heading3">
    <w:name w:val="heading 3"/>
    <w:basedOn w:val="Normal"/>
    <w:next w:val="Normal"/>
    <w:link w:val="Heading3Char"/>
    <w:semiHidden/>
    <w:unhideWhenUsed/>
    <w:qFormat/>
    <w:rsid w:val="007B24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0927B4"/>
    <w:pPr>
      <w:autoSpaceDE w:val="0"/>
      <w:autoSpaceDN w:val="0"/>
      <w:adjustRightInd w:val="0"/>
    </w:pPr>
    <w:rPr>
      <w:rFonts w:ascii="Verdana" w:hAnsi="Verdana"/>
      <w:lang w:val="en-US" w:eastAsia="en-US"/>
    </w:rPr>
  </w:style>
  <w:style w:type="paragraph" w:styleId="FootnoteText">
    <w:name w:val="footnote text"/>
    <w:basedOn w:val="Normal"/>
    <w:semiHidden/>
    <w:rsid w:val="000927B4"/>
    <w:rPr>
      <w:rFonts w:ascii="ZapfHumnst BT" w:hAnsi="ZapfHumnst BT"/>
      <w:sz w:val="20"/>
      <w:szCs w:val="20"/>
      <w:lang w:eastAsia="en-US"/>
    </w:rPr>
  </w:style>
  <w:style w:type="character" w:styleId="FootnoteReference">
    <w:name w:val="footnote reference"/>
    <w:semiHidden/>
    <w:rsid w:val="000927B4"/>
    <w:rPr>
      <w:vertAlign w:val="superscript"/>
    </w:rPr>
  </w:style>
  <w:style w:type="paragraph" w:styleId="ListParagraph">
    <w:name w:val="List Paragraph"/>
    <w:basedOn w:val="Normal"/>
    <w:uiPriority w:val="34"/>
    <w:qFormat/>
    <w:rsid w:val="00E54EF9"/>
    <w:pPr>
      <w:ind w:left="720"/>
      <w:contextualSpacing/>
    </w:pPr>
  </w:style>
  <w:style w:type="character" w:customStyle="1" w:styleId="Heading3Char">
    <w:name w:val="Heading 3 Char"/>
    <w:basedOn w:val="DefaultParagraphFont"/>
    <w:link w:val="Heading3"/>
    <w:semiHidden/>
    <w:rsid w:val="007B244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rsid w:val="007B244E"/>
    <w:rPr>
      <w:color w:val="0563C1" w:themeColor="hyperlink"/>
      <w:u w:val="single"/>
    </w:rPr>
  </w:style>
  <w:style w:type="character" w:styleId="UnresolvedMention">
    <w:name w:val="Unresolved Mention"/>
    <w:basedOn w:val="DefaultParagraphFont"/>
    <w:uiPriority w:val="99"/>
    <w:semiHidden/>
    <w:unhideWhenUsed/>
    <w:rsid w:val="007B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1492">
      <w:bodyDiv w:val="1"/>
      <w:marLeft w:val="0"/>
      <w:marRight w:val="0"/>
      <w:marTop w:val="0"/>
      <w:marBottom w:val="0"/>
      <w:divBdr>
        <w:top w:val="none" w:sz="0" w:space="0" w:color="auto"/>
        <w:left w:val="none" w:sz="0" w:space="0" w:color="auto"/>
        <w:bottom w:val="none" w:sz="0" w:space="0" w:color="auto"/>
        <w:right w:val="none" w:sz="0" w:space="0" w:color="auto"/>
      </w:divBdr>
    </w:div>
    <w:div w:id="13446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ation xmlns="872a79b5-d9d6-4593-a8a7-149981f7045e" xsi:nil="true"/>
    <_ip_UnifiedCompliancePolicyUIAction xmlns="http://schemas.microsoft.com/sharepoint/v3" xsi:nil="true"/>
    <_ip_UnifiedCompliancePolicyProperties xmlns="http://schemas.microsoft.com/sharepoint/v3" xsi:nil="true"/>
    <lcf76f155ced4ddcb4097134ff3c332f xmlns="872a79b5-d9d6-4593-a8a7-149981f7045e">
      <Terms xmlns="http://schemas.microsoft.com/office/infopath/2007/PartnerControls"/>
    </lcf76f155ced4ddcb4097134ff3c332f>
    <TaxCatchAll xmlns="2520a3a8-e6dc-4611-b3d5-a302db2a6b5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799E0FD73D3E4D84862663A4D33FCE" ma:contentTypeVersion="27" ma:contentTypeDescription="Create a new document." ma:contentTypeScope="" ma:versionID="92841620ef55a5f68716364495492551">
  <xsd:schema xmlns:xsd="http://www.w3.org/2001/XMLSchema" xmlns:xs="http://www.w3.org/2001/XMLSchema" xmlns:p="http://schemas.microsoft.com/office/2006/metadata/properties" xmlns:ns1="http://schemas.microsoft.com/sharepoint/v3" xmlns:ns2="872a79b5-d9d6-4593-a8a7-149981f7045e" xmlns:ns3="2520a3a8-e6dc-4611-b3d5-a302db2a6b56" targetNamespace="http://schemas.microsoft.com/office/2006/metadata/properties" ma:root="true" ma:fieldsID="1ea165276c1daad8872ea908328c752a" ns1:_="" ns2:_="" ns3:_="">
    <xsd:import namespace="http://schemas.microsoft.com/sharepoint/v3"/>
    <xsd:import namespace="872a79b5-d9d6-4593-a8a7-149981f7045e"/>
    <xsd:import namespace="2520a3a8-e6dc-4611-b3d5-a302db2a6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ocation" minOccurs="0"/>
                <xsd:element ref="ns2:e2cc5988-1fd5-414a-8d74-38cbf33f3316CountryOrRegion" minOccurs="0"/>
                <xsd:element ref="ns2:e2cc5988-1fd5-414a-8d74-38cbf33f3316State" minOccurs="0"/>
                <xsd:element ref="ns2:e2cc5988-1fd5-414a-8d74-38cbf33f3316City" minOccurs="0"/>
                <xsd:element ref="ns2:e2cc5988-1fd5-414a-8d74-38cbf33f3316PostalCode" minOccurs="0"/>
                <xsd:element ref="ns2:e2cc5988-1fd5-414a-8d74-38cbf33f3316Street" minOccurs="0"/>
                <xsd:element ref="ns2:e2cc5988-1fd5-414a-8d74-38cbf33f3316GeoLoc" minOccurs="0"/>
                <xsd:element ref="ns2:e2cc5988-1fd5-414a-8d74-38cbf33f3316DispNa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a79b5-d9d6-4593-a8a7-149981f7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tion" ma:index="12" nillable="true" ma:displayName="location" ma:format="Dropdown" ma:internalName="location">
      <xsd:simpleType>
        <xsd:restriction base="dms:Unknown"/>
      </xsd:simpleType>
    </xsd:element>
    <xsd:element name="e2cc5988-1fd5-414a-8d74-38cbf33f3316CountryOrRegion" ma:index="13" nillable="true" ma:displayName="location: Country/Region" ma:internalName="CountryOrRegion" ma:readOnly="true">
      <xsd:simpleType>
        <xsd:restriction base="dms:Text"/>
      </xsd:simpleType>
    </xsd:element>
    <xsd:element name="e2cc5988-1fd5-414a-8d74-38cbf33f3316State" ma:index="14" nillable="true" ma:displayName="location: State" ma:internalName="State" ma:readOnly="true">
      <xsd:simpleType>
        <xsd:restriction base="dms:Text"/>
      </xsd:simpleType>
    </xsd:element>
    <xsd:element name="e2cc5988-1fd5-414a-8d74-38cbf33f3316City" ma:index="15" nillable="true" ma:displayName="location: City" ma:internalName="City" ma:readOnly="true">
      <xsd:simpleType>
        <xsd:restriction base="dms:Text"/>
      </xsd:simpleType>
    </xsd:element>
    <xsd:element name="e2cc5988-1fd5-414a-8d74-38cbf33f3316PostalCode" ma:index="16" nillable="true" ma:displayName="location: Postal Code" ma:internalName="PostalCode" ma:readOnly="true">
      <xsd:simpleType>
        <xsd:restriction base="dms:Text"/>
      </xsd:simpleType>
    </xsd:element>
    <xsd:element name="e2cc5988-1fd5-414a-8d74-38cbf33f3316Street" ma:index="17" nillable="true" ma:displayName="location: Street" ma:internalName="Street" ma:readOnly="true">
      <xsd:simpleType>
        <xsd:restriction base="dms:Text"/>
      </xsd:simpleType>
    </xsd:element>
    <xsd:element name="e2cc5988-1fd5-414a-8d74-38cbf33f3316GeoLoc" ma:index="18" nillable="true" ma:displayName="location: Coordinates" ma:internalName="GeoLoc" ma:readOnly="true">
      <xsd:simpleType>
        <xsd:restriction base="dms:Unknown"/>
      </xsd:simpleType>
    </xsd:element>
    <xsd:element name="e2cc5988-1fd5-414a-8d74-38cbf33f3316DispName" ma:index="19" nillable="true" ma:displayName="location: Name" ma:internalName="DispNa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8ba0e65-2c90-4787-ac70-332a6a7478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a3a8-e6dc-4611-b3d5-a302db2a6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8afd9c5f-7bbf-49bb-b74a-6c96a817ca0a}" ma:internalName="TaxCatchAll" ma:showField="CatchAllData" ma:web="2520a3a8-e6dc-4611-b3d5-a302db2a6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88116-08E7-4660-A4F4-BBCFFBC7735E}">
  <ds:schemaRefs>
    <ds:schemaRef ds:uri="http://schemas.microsoft.com/sharepoint/v3/contenttype/forms"/>
  </ds:schemaRefs>
</ds:datastoreItem>
</file>

<file path=customXml/itemProps2.xml><?xml version="1.0" encoding="utf-8"?>
<ds:datastoreItem xmlns:ds="http://schemas.openxmlformats.org/officeDocument/2006/customXml" ds:itemID="{AD241C5D-6BC2-4A8C-A245-A19FC1C2369E}">
  <ds:schemaRefs>
    <ds:schemaRef ds:uri="http://schemas.microsoft.com/office/2006/metadata/properties"/>
    <ds:schemaRef ds:uri="http://schemas.microsoft.com/office/infopath/2007/PartnerControls"/>
    <ds:schemaRef ds:uri="872a79b5-d9d6-4593-a8a7-149981f7045e"/>
    <ds:schemaRef ds:uri="http://schemas.microsoft.com/sharepoint/v3"/>
    <ds:schemaRef ds:uri="2520a3a8-e6dc-4611-b3d5-a302db2a6b56"/>
  </ds:schemaRefs>
</ds:datastoreItem>
</file>

<file path=customXml/itemProps3.xml><?xml version="1.0" encoding="utf-8"?>
<ds:datastoreItem xmlns:ds="http://schemas.openxmlformats.org/officeDocument/2006/customXml" ds:itemID="{626C200E-C538-4670-86B2-79DE54CB9EC8}">
  <ds:schemaRefs>
    <ds:schemaRef ds:uri="http://schemas.microsoft.com/office/2006/metadata/longProperties"/>
  </ds:schemaRefs>
</ds:datastoreItem>
</file>

<file path=customXml/itemProps4.xml><?xml version="1.0" encoding="utf-8"?>
<ds:datastoreItem xmlns:ds="http://schemas.openxmlformats.org/officeDocument/2006/customXml" ds:itemID="{EAA7D1B6-5FD6-4465-A459-01F681D5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a79b5-d9d6-4593-a8a7-149981f7045e"/>
    <ds:schemaRef ds:uri="2520a3a8-e6dc-4611-b3d5-a302db2a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14457</Characters>
  <Application>Microsoft Office Word</Application>
  <DocSecurity>0</DocSecurity>
  <Lines>120</Lines>
  <Paragraphs>34</Paragraphs>
  <ScaleCrop>false</ScaleCrop>
  <Company>Ministry of Justice</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phu95p</dc:creator>
  <cp:keywords/>
  <dc:description/>
  <cp:lastModifiedBy>Katie Gray</cp:lastModifiedBy>
  <cp:revision>2</cp:revision>
  <cp:lastPrinted>2013-05-16T14:48:00Z</cp:lastPrinted>
  <dcterms:created xsi:type="dcterms:W3CDTF">2025-06-17T15:06:00Z</dcterms:created>
  <dcterms:modified xsi:type="dcterms:W3CDTF">2025-06-17T15:06:00Z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Vance, Deputy Regional Tribunal Judge Amran</vt:lpwstr>
  </property>
  <property fmtid="{D5CDD505-2E9C-101B-9397-08002B2CF9AE}" pid="3" name="display_urn:schemas-microsoft-com:office:office#Author">
    <vt:lpwstr>Vance, Deputy Regional Tribunal Judge Amran</vt:lpwstr>
  </property>
  <property fmtid="{D5CDD505-2E9C-101B-9397-08002B2CF9AE}" pid="4" name="Order">
    <vt:lpwstr>173900.000000000</vt:lpwstr>
  </property>
  <property fmtid="{D5CDD505-2E9C-101B-9397-08002B2CF9AE}" pid="5" name="ComplianceAssetId">
    <vt:lpwstr/>
  </property>
  <property fmtid="{D5CDD505-2E9C-101B-9397-08002B2CF9AE}" pid="6" name="ContentTypeId">
    <vt:lpwstr>0x010100A4799E0FD73D3E4D84862663A4D33FCE</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MediaServiceImageTags">
    <vt:lpwstr/>
  </property>
</Properties>
</file>