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90AA2" w:rsidRDefault="00000000">
      <w:pPr>
        <w:rPr>
          <w:b/>
          <w:color w:val="FF0000"/>
          <w:sz w:val="32"/>
          <w:szCs w:val="32"/>
        </w:rPr>
      </w:pPr>
      <w:bookmarkStart w:id="0" w:name="_gjdgxs" w:colFirst="0" w:colLast="0"/>
      <w:bookmarkEnd w:id="0"/>
      <w:r>
        <w:rPr>
          <w:noProof/>
        </w:rPr>
        <mc:AlternateContent>
          <mc:Choice Requires="wps">
            <w:drawing>
              <wp:anchor distT="91440" distB="91440" distL="114300" distR="114300" simplePos="0" relativeHeight="251658240" behindDoc="0" locked="0" layoutInCell="1" hidden="0" allowOverlap="1">
                <wp:simplePos x="0" y="0"/>
                <wp:positionH relativeFrom="column">
                  <wp:posOffset>4521200</wp:posOffset>
                </wp:positionH>
                <wp:positionV relativeFrom="paragraph">
                  <wp:posOffset>91440</wp:posOffset>
                </wp:positionV>
                <wp:extent cx="1828800" cy="2433638"/>
                <wp:effectExtent l="0" t="0" r="0" b="0"/>
                <wp:wrapSquare wrapText="bothSides" distT="91440" distB="91440" distL="114300" distR="114300"/>
                <wp:docPr id="1" name="Rectangle 1"/>
                <wp:cNvGraphicFramePr/>
                <a:graphic xmlns:a="http://schemas.openxmlformats.org/drawingml/2006/main">
                  <a:graphicData uri="http://schemas.microsoft.com/office/word/2010/wordprocessingShape">
                    <wps:wsp>
                      <wps:cNvSpPr/>
                      <wps:spPr>
                        <a:xfrm flipH="1">
                          <a:off x="4494783" y="2691293"/>
                          <a:ext cx="1702435" cy="2177415"/>
                        </a:xfrm>
                        <a:prstGeom prst="rect">
                          <a:avLst/>
                        </a:prstGeom>
                        <a:solidFill>
                          <a:srgbClr val="8B1007"/>
                        </a:solidFill>
                        <a:ln>
                          <a:noFill/>
                        </a:ln>
                      </wps:spPr>
                      <wps:txbx>
                        <w:txbxContent>
                          <w:p w:rsidR="00790AA2" w:rsidRDefault="00790AA2">
                            <w:pPr>
                              <w:spacing w:line="240" w:lineRule="auto"/>
                              <w:textDirection w:val="btLr"/>
                            </w:pPr>
                          </w:p>
                          <w:p w:rsidR="00790AA2" w:rsidRDefault="00790AA2">
                            <w:pPr>
                              <w:spacing w:line="240" w:lineRule="auto"/>
                              <w:textDirection w:val="btLr"/>
                            </w:pPr>
                          </w:p>
                          <w:p w:rsidR="00790AA2" w:rsidRDefault="00790AA2">
                            <w:pPr>
                              <w:spacing w:line="240" w:lineRule="auto"/>
                              <w:textDirection w:val="btLr"/>
                            </w:pPr>
                          </w:p>
                          <w:p w:rsidR="00790AA2" w:rsidRDefault="00790AA2">
                            <w:pPr>
                              <w:spacing w:line="240" w:lineRule="auto"/>
                              <w:textDirection w:val="btLr"/>
                            </w:pPr>
                          </w:p>
                          <w:p w:rsidR="00790AA2" w:rsidRDefault="00790AA2">
                            <w:pPr>
                              <w:spacing w:line="240" w:lineRule="auto"/>
                              <w:textDirection w:val="btLr"/>
                            </w:pPr>
                          </w:p>
                          <w:p w:rsidR="00790AA2" w:rsidRDefault="00000000">
                            <w:pPr>
                              <w:spacing w:line="275" w:lineRule="auto"/>
                              <w:textDirection w:val="btLr"/>
                            </w:pPr>
                            <w:r>
                              <w:rPr>
                                <w:b/>
                                <w:color w:val="FFFFFF"/>
                                <w:sz w:val="30"/>
                              </w:rPr>
                              <w:t>Committee on Standards in Public Life</w:t>
                            </w:r>
                          </w:p>
                          <w:p w:rsidR="00790AA2" w:rsidRDefault="00790AA2">
                            <w:pPr>
                              <w:spacing w:line="240" w:lineRule="auto"/>
                              <w:textDirection w:val="btLr"/>
                            </w:pPr>
                          </w:p>
                          <w:p w:rsidR="00790AA2" w:rsidRDefault="00790AA2">
                            <w:pPr>
                              <w:spacing w:line="240" w:lineRule="auto"/>
                              <w:textDirection w:val="btLr"/>
                            </w:pPr>
                          </w:p>
                          <w:p w:rsidR="00790AA2" w:rsidRDefault="00790AA2">
                            <w:pPr>
                              <w:spacing w:line="240" w:lineRule="auto"/>
                              <w:textDirection w:val="btLr"/>
                            </w:pPr>
                          </w:p>
                        </w:txbxContent>
                      </wps:txbx>
                      <wps:bodyPr spcFirstLastPara="1" wrap="square" lIns="91425" tIns="45700" rIns="91425" bIns="45700" anchor="t" anchorCtr="0">
                        <a:noAutofit/>
                      </wps:bodyPr>
                    </wps:wsp>
                  </a:graphicData>
                </a:graphic>
              </wp:anchor>
            </w:drawing>
          </mc:Choice>
          <mc:Fallback>
            <w:pict>
              <v:rect id="Rectangle 1" o:spid="_x0000_s1026" style="position:absolute;margin-left:356pt;margin-top:7.2pt;width:2in;height:191.65pt;flip:x;z-index:251658240;visibility:visible;mso-wrap-style:square;mso-wrap-distance-left:9pt;mso-wrap-distance-top:7.2pt;mso-wrap-distance-right:9pt;mso-wrap-distance-bottom:7.2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" fillcolor="#8b1007" stroked="f">
                <v:textbox inset="2.53958mm,1.2694mm,2.53958mm,1.2694mm">
                  <w:txbxContent>
                    <w:p w:rsidR="00790AA2" w:rsidRDefault="00790AA2">
                      <w:pPr>
                        <w:spacing w:line="240" w:lineRule="auto"/>
                        <w:textDirection w:val="btLr"/>
                      </w:pPr>
                    </w:p>
                    <w:p w:rsidR="00790AA2" w:rsidRDefault="00790AA2">
                      <w:pPr>
                        <w:spacing w:line="240" w:lineRule="auto"/>
                        <w:textDirection w:val="btLr"/>
                      </w:pPr>
                    </w:p>
                    <w:p w:rsidR="00790AA2" w:rsidRDefault="00790AA2">
                      <w:pPr>
                        <w:spacing w:line="240" w:lineRule="auto"/>
                        <w:textDirection w:val="btLr"/>
                      </w:pPr>
                    </w:p>
                    <w:p w:rsidR="00790AA2" w:rsidRDefault="00790AA2">
                      <w:pPr>
                        <w:spacing w:line="240" w:lineRule="auto"/>
                        <w:textDirection w:val="btLr"/>
                      </w:pPr>
                    </w:p>
                    <w:p w:rsidR="00790AA2" w:rsidRDefault="00790AA2">
                      <w:pPr>
                        <w:spacing w:line="240" w:lineRule="auto"/>
                        <w:textDirection w:val="btLr"/>
                      </w:pPr>
                    </w:p>
                    <w:p w:rsidR="00790AA2" w:rsidRDefault="00000000">
                      <w:pPr>
                        <w:spacing w:line="275" w:lineRule="auto"/>
                        <w:textDirection w:val="btLr"/>
                      </w:pPr>
                      <w:r>
                        <w:rPr>
                          <w:b/>
                          <w:color w:val="FFFFFF"/>
                          <w:sz w:val="30"/>
                        </w:rPr>
                        <w:t>Committee on Standards in Public Life</w:t>
                      </w:r>
                    </w:p>
                    <w:p w:rsidR="00790AA2" w:rsidRDefault="00790AA2">
                      <w:pPr>
                        <w:spacing w:line="240" w:lineRule="auto"/>
                        <w:textDirection w:val="btLr"/>
                      </w:pPr>
                    </w:p>
                    <w:p w:rsidR="00790AA2" w:rsidRDefault="00790AA2">
                      <w:pPr>
                        <w:spacing w:line="240" w:lineRule="auto"/>
                        <w:textDirection w:val="btLr"/>
                      </w:pPr>
                    </w:p>
                    <w:p w:rsidR="00790AA2" w:rsidRDefault="00790AA2">
                      <w:pPr>
                        <w:spacing w:line="240" w:lineRule="auto"/>
                        <w:textDirection w:val="btLr"/>
                      </w:pPr>
                    </w:p>
                  </w:txbxContent>
                </v:textbox>
                <w10:wrap type="square"/>
              </v:rect>
            </w:pict>
          </mc:Fallback>
        </mc:AlternateContent>
      </w:r>
    </w:p>
    <w:p w:rsidR="00790AA2" w:rsidRDefault="00000000">
      <w:pPr>
        <w:rPr>
          <w:b/>
        </w:rPr>
      </w:pPr>
      <w:r>
        <w:rPr>
          <w:b/>
        </w:rPr>
        <w:t>Room G.07</w:t>
      </w:r>
    </w:p>
    <w:p w:rsidR="00790AA2" w:rsidRDefault="00000000">
      <w:pPr>
        <w:rPr>
          <w:b/>
        </w:rPr>
      </w:pPr>
      <w:r>
        <w:rPr>
          <w:b/>
        </w:rPr>
        <w:t>1 Horse Guards Road</w:t>
      </w:r>
    </w:p>
    <w:p w:rsidR="00790AA2" w:rsidRDefault="00000000">
      <w:pPr>
        <w:rPr>
          <w:b/>
        </w:rPr>
      </w:pPr>
      <w:r>
        <w:rPr>
          <w:b/>
        </w:rPr>
        <w:t>London</w:t>
      </w:r>
    </w:p>
    <w:p w:rsidR="00790AA2" w:rsidRDefault="00000000">
      <w:pPr>
        <w:rPr>
          <w:b/>
        </w:rPr>
      </w:pPr>
      <w:r>
        <w:rPr>
          <w:b/>
        </w:rPr>
        <w:t>SW1A 2HQ</w:t>
      </w:r>
    </w:p>
    <w:p w:rsidR="00790AA2" w:rsidRDefault="00000000">
      <w:pPr>
        <w:rPr>
          <w:b/>
        </w:rPr>
      </w:pPr>
      <w:r>
        <w:rPr>
          <w:b/>
        </w:rPr>
        <w:t xml:space="preserve"> </w:t>
      </w:r>
    </w:p>
    <w:p w:rsidR="00790AA2" w:rsidRDefault="00000000">
      <w:pPr>
        <w:rPr>
          <w:b/>
          <w:color w:val="0000FF"/>
        </w:rPr>
      </w:pPr>
      <w:r>
        <w:rPr>
          <w:b/>
        </w:rPr>
        <w:t xml:space="preserve">Email: </w:t>
      </w:r>
      <w:r>
        <w:rPr>
          <w:b/>
          <w:color w:val="0000FF"/>
        </w:rPr>
        <w:t>public@public-standards.gov.uk</w:t>
      </w:r>
    </w:p>
    <w:p w:rsidR="00790AA2" w:rsidRDefault="00000000">
      <w:pPr>
        <w:rPr>
          <w:b/>
        </w:rPr>
      </w:pPr>
      <w:r>
        <w:rPr>
          <w:b/>
        </w:rPr>
        <w:t xml:space="preserve"> </w:t>
      </w:r>
    </w:p>
    <w:p w:rsidR="00790AA2" w:rsidRDefault="00000000">
      <w:pPr>
        <w:rPr>
          <w:b/>
        </w:rPr>
      </w:pPr>
      <w:r>
        <w:t>Sent by email</w:t>
      </w:r>
      <w:r>
        <w:rPr>
          <w:b/>
        </w:rPr>
        <w:t xml:space="preserve"> </w:t>
      </w:r>
    </w:p>
    <w:p w:rsidR="00790AA2" w:rsidRDefault="00000000">
      <w:pPr>
        <w:rPr>
          <w:b/>
        </w:rPr>
      </w:pPr>
      <w:r>
        <w:rPr>
          <w:b/>
        </w:rPr>
        <w:t xml:space="preserve"> </w:t>
      </w:r>
    </w:p>
    <w:p w:rsidR="00790AA2" w:rsidRDefault="00790AA2">
      <w:pPr>
        <w:shd w:val="clear" w:color="auto" w:fill="FFFFFF"/>
        <w:rPr>
          <w:b/>
        </w:rPr>
      </w:pPr>
    </w:p>
    <w:p w:rsidR="00790AA2" w:rsidRDefault="00000000">
      <w:pPr>
        <w:shd w:val="clear" w:color="auto" w:fill="FFFFFF"/>
        <w:rPr>
          <w:b/>
          <w:color w:val="222222"/>
        </w:rPr>
      </w:pPr>
      <w:r>
        <w:rPr>
          <w:b/>
          <w:color w:val="222222"/>
        </w:rPr>
        <w:tab/>
      </w:r>
      <w:r>
        <w:rPr>
          <w:b/>
          <w:color w:val="222222"/>
        </w:rPr>
        <w:tab/>
      </w:r>
      <w:r>
        <w:rPr>
          <w:b/>
          <w:color w:val="222222"/>
        </w:rPr>
        <w:tab/>
      </w:r>
      <w:r>
        <w:rPr>
          <w:b/>
          <w:color w:val="222222"/>
        </w:rPr>
        <w:tab/>
      </w:r>
      <w:r>
        <w:rPr>
          <w:b/>
          <w:color w:val="222222"/>
        </w:rPr>
        <w:tab/>
      </w:r>
      <w:r>
        <w:rPr>
          <w:b/>
          <w:color w:val="222222"/>
        </w:rPr>
        <w:tab/>
      </w:r>
      <w:r>
        <w:rPr>
          <w:b/>
          <w:color w:val="222222"/>
        </w:rPr>
        <w:tab/>
      </w:r>
      <w:r>
        <w:rPr>
          <w:b/>
          <w:color w:val="222222"/>
        </w:rPr>
        <w:tab/>
      </w:r>
      <w:r>
        <w:rPr>
          <w:b/>
          <w:color w:val="222222"/>
        </w:rPr>
        <w:tab/>
      </w:r>
    </w:p>
    <w:p w:rsidR="00790AA2" w:rsidRDefault="00790AA2">
      <w:pPr>
        <w:shd w:val="clear" w:color="auto" w:fill="FFFFFF"/>
        <w:jc w:val="right"/>
        <w:rPr>
          <w:color w:val="222222"/>
          <w:sz w:val="20"/>
          <w:szCs w:val="20"/>
        </w:rPr>
      </w:pPr>
    </w:p>
    <w:p w:rsidR="00790AA2" w:rsidRDefault="00000000">
      <w:pPr>
        <w:ind w:left="2160" w:firstLine="720"/>
        <w:jc w:val="right"/>
      </w:pPr>
      <w:r>
        <w:rPr>
          <w:b/>
          <w:color w:val="222222"/>
        </w:rPr>
        <w:tab/>
      </w:r>
      <w:r>
        <w:rPr>
          <w:b/>
          <w:color w:val="222222"/>
        </w:rPr>
        <w:tab/>
      </w:r>
      <w:r>
        <w:rPr>
          <w:b/>
          <w:color w:val="222222"/>
        </w:rPr>
        <w:tab/>
      </w:r>
    </w:p>
    <w:p w:rsidR="00790AA2" w:rsidRDefault="00000000">
      <w:pPr>
        <w:shd w:val="clear" w:color="auto" w:fill="FFFFFF"/>
        <w:jc w:val="center"/>
        <w:rPr>
          <w:b/>
          <w:color w:val="222222"/>
        </w:rPr>
      </w:pPr>
      <w:r>
        <w:rPr>
          <w:color w:val="222222"/>
          <w:sz w:val="20"/>
          <w:szCs w:val="20"/>
        </w:rPr>
        <w:t xml:space="preserve">                                    </w:t>
      </w:r>
      <w:r>
        <w:rPr>
          <w:color w:val="222222"/>
          <w:sz w:val="20"/>
          <w:szCs w:val="20"/>
        </w:rPr>
        <w:tab/>
        <w:t xml:space="preserve">                  </w:t>
      </w:r>
      <w:r>
        <w:rPr>
          <w:color w:val="222222"/>
        </w:rPr>
        <w:t xml:space="preserve">                               </w:t>
      </w:r>
      <w:r>
        <w:rPr>
          <w:color w:val="222222"/>
          <w:sz w:val="20"/>
          <w:szCs w:val="20"/>
        </w:rPr>
        <w:t xml:space="preserve">                                       </w:t>
      </w:r>
      <w:r>
        <w:rPr>
          <w:b/>
          <w:color w:val="222222"/>
        </w:rPr>
        <w:t xml:space="preserve"> </w:t>
      </w:r>
    </w:p>
    <w:p w:rsidR="00790AA2" w:rsidRDefault="00000000">
      <w:pPr>
        <w:jc w:val="right"/>
        <w:rPr>
          <w:b/>
          <w:color w:val="222222"/>
        </w:rPr>
      </w:pPr>
      <w:r>
        <w:rPr>
          <w:color w:val="222222"/>
        </w:rPr>
        <w:t xml:space="preserve">11 April 2025          </w:t>
      </w:r>
      <w:r>
        <w:rPr>
          <w:color w:val="222222"/>
          <w:sz w:val="20"/>
          <w:szCs w:val="20"/>
        </w:rPr>
        <w:t xml:space="preserve">                                       </w:t>
      </w:r>
      <w:r>
        <w:rPr>
          <w:b/>
          <w:color w:val="222222"/>
        </w:rPr>
        <w:t xml:space="preserve"> </w:t>
      </w:r>
    </w:p>
    <w:p w:rsidR="00790AA2" w:rsidRDefault="00790AA2">
      <w:pPr>
        <w:shd w:val="clear" w:color="auto" w:fill="FFFFFF"/>
        <w:rPr>
          <w:color w:val="222222"/>
        </w:rPr>
      </w:pPr>
      <w:bookmarkStart w:id="1" w:name="_30j0zll" w:colFirst="0" w:colLast="0"/>
      <w:bookmarkEnd w:id="1"/>
    </w:p>
    <w:p w:rsidR="00790AA2" w:rsidRDefault="00000000">
      <w:pPr>
        <w:spacing w:line="240" w:lineRule="auto"/>
      </w:pPr>
      <w:r>
        <w:t xml:space="preserve">Dear </w:t>
      </w:r>
    </w:p>
    <w:p w:rsidR="00790AA2" w:rsidRDefault="00790AA2">
      <w:pPr>
        <w:spacing w:line="240" w:lineRule="auto"/>
      </w:pPr>
    </w:p>
    <w:p w:rsidR="00790AA2" w:rsidRDefault="00000000">
      <w:pPr>
        <w:spacing w:line="240" w:lineRule="auto"/>
      </w:pPr>
      <w:r>
        <w:t>Thank you for your email of 11 April 2025 in which you made a request under the Freedom of Information Act 2000.  You asked for the following information:</w:t>
      </w:r>
    </w:p>
    <w:p w:rsidR="00790AA2" w:rsidRDefault="00790AA2">
      <w:pPr>
        <w:spacing w:line="240" w:lineRule="auto"/>
      </w:pPr>
    </w:p>
    <w:p w:rsidR="00790AA2" w:rsidRDefault="00000000">
      <w:pPr>
        <w:spacing w:line="240" w:lineRule="auto"/>
      </w:pPr>
      <w:r>
        <w:t xml:space="preserve">“This is an information request relating to staff expenses over £500. </w:t>
      </w:r>
    </w:p>
    <w:p w:rsidR="00790AA2" w:rsidRDefault="00000000">
      <w:pPr>
        <w:shd w:val="clear" w:color="auto" w:fill="FFFFFF"/>
        <w:spacing w:line="288" w:lineRule="auto"/>
        <w:jc w:val="both"/>
      </w:pPr>
      <w:r>
        <w:t xml:space="preserve"> </w:t>
      </w:r>
    </w:p>
    <w:p w:rsidR="00790AA2" w:rsidRDefault="00000000">
      <w:pPr>
        <w:shd w:val="clear" w:color="auto" w:fill="FFFFFF"/>
        <w:spacing w:line="288" w:lineRule="auto"/>
        <w:jc w:val="both"/>
      </w:pPr>
      <w:r>
        <w:t>Please include the following information for the last four financial years, 2021-22, 2022-23, and 2023-24:</w:t>
      </w:r>
    </w:p>
    <w:p w:rsidR="00790AA2" w:rsidRDefault="00000000">
      <w:pPr>
        <w:numPr>
          <w:ilvl w:val="0"/>
          <w:numId w:val="1"/>
        </w:numPr>
        <w:shd w:val="clear" w:color="auto" w:fill="FFFFFF"/>
        <w:spacing w:line="240" w:lineRule="auto"/>
        <w:ind w:left="940"/>
        <w:rPr>
          <w:color w:val="000000"/>
        </w:rPr>
      </w:pPr>
      <w:r>
        <w:t xml:space="preserve">The total amount claimed in expenses by senior staff annually. </w:t>
      </w:r>
    </w:p>
    <w:p w:rsidR="00790AA2" w:rsidRDefault="00000000">
      <w:pPr>
        <w:numPr>
          <w:ilvl w:val="0"/>
          <w:numId w:val="1"/>
        </w:numPr>
        <w:shd w:val="clear" w:color="auto" w:fill="FFFFFF"/>
        <w:spacing w:line="240" w:lineRule="auto"/>
        <w:ind w:left="940"/>
        <w:rPr>
          <w:color w:val="000000"/>
        </w:rPr>
      </w:pPr>
      <w:r>
        <w:t>A breakdown of expenses by category (e.g., travel, accommodation, meals, hospitality, subsistence, training, etc.).</w:t>
      </w:r>
    </w:p>
    <w:p w:rsidR="00790AA2" w:rsidRDefault="00000000">
      <w:pPr>
        <w:numPr>
          <w:ilvl w:val="0"/>
          <w:numId w:val="1"/>
        </w:numPr>
        <w:shd w:val="clear" w:color="auto" w:fill="FFFFFF"/>
        <w:spacing w:line="240" w:lineRule="auto"/>
        <w:ind w:left="940"/>
        <w:rPr>
          <w:color w:val="000000"/>
        </w:rPr>
      </w:pPr>
      <w:r>
        <w:t>The total amount claimed by the most expensive individual claimant (job title only) in each of those years.</w:t>
      </w:r>
    </w:p>
    <w:p w:rsidR="00790AA2" w:rsidRDefault="00000000">
      <w:pPr>
        <w:numPr>
          <w:ilvl w:val="0"/>
          <w:numId w:val="1"/>
        </w:numPr>
        <w:shd w:val="clear" w:color="auto" w:fill="FFFFFF"/>
        <w:spacing w:line="240" w:lineRule="auto"/>
        <w:ind w:left="940"/>
        <w:rPr>
          <w:color w:val="000000"/>
        </w:rPr>
      </w:pPr>
      <w:r>
        <w:t>If available, a breakdown of expenses for members of the senior leadership team (e.g., Chief Executive, Directors), including job titles and total expenses per individual per year.</w:t>
      </w:r>
    </w:p>
    <w:p w:rsidR="00790AA2" w:rsidRDefault="00000000">
      <w:pPr>
        <w:shd w:val="clear" w:color="auto" w:fill="FFFFFF"/>
        <w:spacing w:before="280" w:after="280" w:line="240" w:lineRule="auto"/>
      </w:pPr>
      <w:r>
        <w:t>If it is not possible to provide the information requested due to the information exceeding the cost of compliance limits identified in Section 12, please provide advice and assistance, under the Section 16 obligations of the Act, as to how I can refine my request”.</w:t>
      </w:r>
    </w:p>
    <w:p w:rsidR="00790AA2" w:rsidRDefault="00000000">
      <w:pPr>
        <w:shd w:val="clear" w:color="auto" w:fill="FFFFFF"/>
        <w:spacing w:line="240" w:lineRule="auto"/>
      </w:pPr>
      <w:r>
        <w:rPr>
          <w:highlight w:val="white"/>
        </w:rPr>
        <w:t xml:space="preserve">The CSPL is a non-departmental public body sponsored by the Cabinet Office and which provides CSPL’s budget. You may therefore wish to contact the Cabinet Office who may be able to assist you further at </w:t>
      </w:r>
      <w:hyperlink r:id="rId7">
        <w:r>
          <w:rPr>
            <w:color w:val="1155CC"/>
            <w:highlight w:val="white"/>
            <w:u w:val="single"/>
          </w:rPr>
          <w:t>foi-team@cabinetoffice.gov.uk</w:t>
        </w:r>
      </w:hyperlink>
      <w:r>
        <w:t>.</w:t>
      </w:r>
    </w:p>
    <w:p w:rsidR="00790AA2" w:rsidRDefault="00790AA2">
      <w:pPr>
        <w:shd w:val="clear" w:color="auto" w:fill="FFFFFF"/>
        <w:spacing w:line="240" w:lineRule="auto"/>
      </w:pPr>
    </w:p>
    <w:p w:rsidR="00790AA2" w:rsidRDefault="00000000">
      <w:pPr>
        <w:shd w:val="clear" w:color="auto" w:fill="FFFFFF"/>
        <w:spacing w:line="240" w:lineRule="auto"/>
      </w:pPr>
      <w:r>
        <w:t>If you are dissatisfied with the handling of your request, you have the right to ask for an internal review. Internal review requests should be submitted within two months of the date of receipt of the response to your original letter and should be addressed to: </w:t>
      </w:r>
    </w:p>
    <w:p w:rsidR="00790AA2" w:rsidRDefault="00790AA2">
      <w:pPr>
        <w:shd w:val="clear" w:color="auto" w:fill="FFFFFF"/>
        <w:spacing w:line="240" w:lineRule="auto"/>
      </w:pPr>
    </w:p>
    <w:p w:rsidR="00790AA2" w:rsidRDefault="00000000">
      <w:pPr>
        <w:shd w:val="clear" w:color="auto" w:fill="FFFFFF"/>
        <w:spacing w:line="240" w:lineRule="auto"/>
      </w:pPr>
      <w:r>
        <w:t>Internal Review Officer</w:t>
      </w:r>
      <w:r>
        <w:br/>
        <w:t>Committee on Standards in Public Life</w:t>
      </w:r>
      <w:r>
        <w:br/>
        <w:t>1 Horse Guards Road</w:t>
      </w:r>
      <w:r>
        <w:br/>
        <w:t>London SW1A 2HQ</w:t>
      </w:r>
      <w:r>
        <w:br/>
      </w:r>
      <w:hyperlink r:id="rId8">
        <w:r>
          <w:rPr>
            <w:u w:val="single"/>
          </w:rPr>
          <w:t>public@public-standards.gov.uk</w:t>
        </w:r>
      </w:hyperlink>
    </w:p>
    <w:p w:rsidR="00790AA2" w:rsidRDefault="00000000">
      <w:pPr>
        <w:shd w:val="clear" w:color="auto" w:fill="FFFFFF"/>
        <w:spacing w:line="240" w:lineRule="auto"/>
      </w:pPr>
      <w:r>
        <w:lastRenderedPageBreak/>
        <w:br/>
        <w:t xml:space="preserve">Please remember to quote reference number </w:t>
      </w:r>
      <w:r>
        <w:rPr>
          <w:b/>
        </w:rPr>
        <w:t>CSPL-FOI 2510</w:t>
      </w:r>
      <w:r>
        <w:t xml:space="preserve"> in any further correspondence relating to this request for information. </w:t>
      </w:r>
    </w:p>
    <w:p w:rsidR="00790AA2" w:rsidRDefault="00790AA2">
      <w:pPr>
        <w:shd w:val="clear" w:color="auto" w:fill="FFFFFF"/>
        <w:spacing w:line="240" w:lineRule="auto"/>
      </w:pPr>
    </w:p>
    <w:p w:rsidR="00790AA2" w:rsidRDefault="00000000">
      <w:pPr>
        <w:shd w:val="clear" w:color="auto" w:fill="FFFFFF"/>
        <w:spacing w:line="240" w:lineRule="auto"/>
      </w:pPr>
      <w:r>
        <w:t>If you are not content with the outcome of the internal review, you have the right to apply directly to the Information Commissioner for a decision. The Information Commissioner can be contacted at:</w:t>
      </w:r>
    </w:p>
    <w:p w:rsidR="00790AA2" w:rsidRDefault="00000000">
      <w:pPr>
        <w:shd w:val="clear" w:color="auto" w:fill="FFFFFF"/>
        <w:spacing w:line="240" w:lineRule="auto"/>
      </w:pPr>
      <w:r>
        <w:br/>
        <w:t>Information Commissioner’s Office</w:t>
      </w:r>
      <w:r>
        <w:br/>
        <w:t>Wycliffe House</w:t>
      </w:r>
      <w:r>
        <w:br/>
        <w:t>Water Lane</w:t>
      </w:r>
      <w:r>
        <w:br/>
        <w:t>Wilmslow, Cheshire</w:t>
      </w:r>
      <w:r>
        <w:br/>
        <w:t>SK9 5AF</w:t>
      </w:r>
    </w:p>
    <w:p w:rsidR="00790AA2" w:rsidRDefault="00000000">
      <w:pPr>
        <w:shd w:val="clear" w:color="auto" w:fill="FFFFFF"/>
        <w:spacing w:line="240" w:lineRule="auto"/>
      </w:pPr>
      <w:r>
        <w:br/>
      </w:r>
    </w:p>
    <w:p w:rsidR="00790AA2" w:rsidRDefault="00000000">
      <w:pPr>
        <w:shd w:val="clear" w:color="auto" w:fill="FFFFFF"/>
        <w:spacing w:line="240" w:lineRule="auto"/>
      </w:pPr>
      <w:r>
        <w:t>Yours sincerely</w:t>
      </w:r>
    </w:p>
    <w:p w:rsidR="00790AA2" w:rsidRDefault="00790AA2">
      <w:pPr>
        <w:spacing w:line="240" w:lineRule="auto"/>
      </w:pPr>
    </w:p>
    <w:p w:rsidR="00790AA2" w:rsidRDefault="00000000">
      <w:pPr>
        <w:spacing w:line="240" w:lineRule="auto"/>
      </w:pPr>
      <w:r>
        <w:rPr>
          <w:b/>
        </w:rPr>
        <w:t>CSPL Secretariat</w:t>
      </w:r>
    </w:p>
    <w:p w:rsidR="00790AA2" w:rsidRDefault="00790AA2">
      <w:pPr>
        <w:shd w:val="clear" w:color="auto" w:fill="FFFFFF"/>
        <w:rPr>
          <w:color w:val="222222"/>
        </w:rPr>
      </w:pPr>
      <w:bookmarkStart w:id="2" w:name="_1fob9te" w:colFirst="0" w:colLast="0"/>
      <w:bookmarkEnd w:id="2"/>
    </w:p>
    <w:p w:rsidR="00790AA2" w:rsidRDefault="00790AA2">
      <w:pPr>
        <w:shd w:val="clear" w:color="auto" w:fill="FFFFFF"/>
        <w:spacing w:line="240" w:lineRule="auto"/>
        <w:rPr>
          <w:color w:val="000000"/>
        </w:rPr>
      </w:pPr>
    </w:p>
    <w:p w:rsidR="00790AA2" w:rsidRDefault="00790AA2">
      <w:pPr>
        <w:jc w:val="right"/>
      </w:pPr>
    </w:p>
    <w:p w:rsidR="00790AA2" w:rsidRDefault="00790AA2"/>
    <w:p w:rsidR="00790AA2" w:rsidRDefault="00790AA2">
      <w:pPr>
        <w:jc w:val="center"/>
        <w:rPr>
          <w:b/>
        </w:rPr>
      </w:pPr>
    </w:p>
    <w:p w:rsidR="00790AA2" w:rsidRDefault="00790AA2"/>
    <w:sectPr w:rsidR="00790AA2">
      <w:headerReference w:type="default" r:id="rId9"/>
      <w:footerReference w:type="default" r:id="rId10"/>
      <w:pgSz w:w="11909" w:h="16834"/>
      <w:pgMar w:top="566" w:right="850" w:bottom="566" w:left="850" w:header="992"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167F6" w:rsidRDefault="00E167F6">
      <w:pPr>
        <w:spacing w:line="240" w:lineRule="auto"/>
      </w:pPr>
      <w:r>
        <w:separator/>
      </w:r>
    </w:p>
  </w:endnote>
  <w:endnote w:type="continuationSeparator" w:id="0">
    <w:p w:rsidR="00E167F6" w:rsidRDefault="00E167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0AA2" w:rsidRDefault="00790AA2">
    <w:pPr>
      <w:tabs>
        <w:tab w:val="center" w:pos="4680"/>
        <w:tab w:val="right" w:pos="9360"/>
      </w:tabs>
      <w:spacing w:line="240" w:lineRule="auto"/>
      <w:ind w:left="-860" w:right="180"/>
      <w:rPr>
        <w:b/>
        <w:color w:val="CC0000"/>
        <w:sz w:val="20"/>
        <w:szCs w:val="20"/>
      </w:rPr>
    </w:pPr>
  </w:p>
  <w:p w:rsidR="00790AA2" w:rsidRDefault="00000000">
    <w:pPr>
      <w:tabs>
        <w:tab w:val="center" w:pos="4680"/>
        <w:tab w:val="right" w:pos="9360"/>
      </w:tabs>
      <w:spacing w:line="240" w:lineRule="auto"/>
      <w:ind w:left="-860" w:right="180"/>
      <w:jc w:val="center"/>
      <w:rPr>
        <w:b/>
        <w:color w:val="CC0000"/>
        <w:sz w:val="20"/>
        <w:szCs w:val="20"/>
      </w:rPr>
    </w:pPr>
    <w:r>
      <w:rPr>
        <w:b/>
        <w:color w:val="CC0000"/>
        <w:sz w:val="20"/>
        <w:szCs w:val="20"/>
      </w:rPr>
      <w:t>Selflessness I Integrity I Objectivity I Accountability I Openness I Honesty I Leadership</w:t>
    </w:r>
  </w:p>
  <w:p w:rsidR="00790AA2" w:rsidRDefault="00790AA2">
    <w:pPr>
      <w:pBdr>
        <w:top w:val="nil"/>
        <w:left w:val="nil"/>
        <w:bottom w:val="nil"/>
        <w:right w:val="nil"/>
        <w:between w:val="nil"/>
      </w:pBdr>
      <w:tabs>
        <w:tab w:val="center" w:pos="4680"/>
        <w:tab w:val="right" w:pos="9360"/>
      </w:tabs>
      <w:spacing w:line="240" w:lineRule="auto"/>
      <w:jc w:val="center"/>
      <w:rPr>
        <w:color w:val="C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167F6" w:rsidRDefault="00E167F6">
      <w:pPr>
        <w:spacing w:line="240" w:lineRule="auto"/>
      </w:pPr>
      <w:r>
        <w:separator/>
      </w:r>
    </w:p>
  </w:footnote>
  <w:footnote w:type="continuationSeparator" w:id="0">
    <w:p w:rsidR="00E167F6" w:rsidRDefault="00E167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0AA2" w:rsidRDefault="00790A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A207AA"/>
    <w:multiLevelType w:val="multilevel"/>
    <w:tmpl w:val="71625DA6"/>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12727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AA2"/>
    <w:rsid w:val="00790AA2"/>
    <w:rsid w:val="00BE2539"/>
    <w:rsid w:val="00E167F6"/>
    <w:rsid w:val="00F33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BF220E3"/>
  <w15:docId w15:val="{73DF46EE-9EB0-BE48-B7B8-9A7ADF308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ublic@public-standards.gov.uk" TargetMode="External"/><Relationship Id="rId3" Type="http://schemas.openxmlformats.org/officeDocument/2006/relationships/settings" Target="settings.xml"/><Relationship Id="rId7" Type="http://schemas.openxmlformats.org/officeDocument/2006/relationships/hyperlink" Target="mailto:foi-team@cabinetoffice.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387</Words>
  <Characters>2207</Characters>
  <Application>Microsoft Office Word</Application>
  <DocSecurity>0</DocSecurity>
  <Lines>18</Lines>
  <Paragraphs>5</Paragraphs>
  <ScaleCrop>false</ScaleCrop>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Amy Austin</cp:lastModifiedBy>
  <cp:revision>2</cp:revision>
  <dcterms:created xsi:type="dcterms:W3CDTF">2025-04-23T09:54:00Z</dcterms:created>
  <dcterms:modified xsi:type="dcterms:W3CDTF">2025-04-23T09:54:00Z</dcterms:modified>
</cp:coreProperties>
</file>