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ACA6C" w14:textId="02C09E91" w:rsidR="006E43FB" w:rsidRPr="00440BF6" w:rsidRDefault="006E43FB" w:rsidP="006E43FB">
      <w:pPr>
        <w:jc w:val="right"/>
        <w:rPr>
          <w:rFonts w:ascii="Arial" w:eastAsiaTheme="majorEastAsia" w:hAnsi="Arial" w:cs="Arial"/>
          <w:b/>
          <w:bCs/>
          <w:sz w:val="22"/>
          <w:szCs w:val="22"/>
          <w:lang w:eastAsia="en-GB"/>
        </w:rPr>
      </w:pPr>
      <w:r w:rsidRPr="00440BF6">
        <w:rPr>
          <w:rFonts w:ascii="Arial" w:hAnsi="Arial" w:cs="Arial"/>
          <w:b/>
          <w:bCs/>
          <w:noProof/>
          <w:sz w:val="22"/>
          <w:szCs w:val="22"/>
        </w:rPr>
        <w:drawing>
          <wp:anchor distT="0" distB="0" distL="114300" distR="114300" simplePos="0" relativeHeight="251659264" behindDoc="1" locked="1" layoutInCell="1" allowOverlap="1" wp14:anchorId="5EB43D75" wp14:editId="041F5E65">
            <wp:simplePos x="0" y="0"/>
            <wp:positionH relativeFrom="page">
              <wp:posOffset>261620</wp:posOffset>
            </wp:positionH>
            <wp:positionV relativeFrom="topMargin">
              <wp:align>bottom</wp:align>
            </wp:positionV>
            <wp:extent cx="1543050" cy="728345"/>
            <wp:effectExtent l="0" t="0" r="0" b="0"/>
            <wp:wrapSquare wrapText="bothSides"/>
            <wp:docPr id="57" name="Picture 17" descr="Text&#10;&#10;Description automatically generated with low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Picture 17" descr="Text&#10;&#10;Description automatically generated with low confidence"/>
                    <pic:cNvPicPr>
                      <a:picLocks/>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543050" cy="728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40BF6" w:rsidRPr="00440BF6">
        <w:rPr>
          <w:rFonts w:ascii="Arial" w:eastAsiaTheme="majorEastAsia" w:hAnsi="Arial" w:cs="Arial"/>
          <w:b/>
          <w:bCs/>
          <w:sz w:val="22"/>
          <w:szCs w:val="22"/>
          <w:lang w:eastAsia="en-GB"/>
        </w:rPr>
        <w:t>SEARCH PROCEDURE</w:t>
      </w:r>
      <w:r w:rsidR="005E240F" w:rsidRPr="00440BF6">
        <w:rPr>
          <w:rFonts w:ascii="Arial" w:eastAsiaTheme="majorEastAsia" w:hAnsi="Arial" w:cs="Arial"/>
          <w:b/>
          <w:bCs/>
          <w:sz w:val="22"/>
          <w:szCs w:val="22"/>
          <w:lang w:eastAsia="en-GB"/>
        </w:rPr>
        <w:t xml:space="preserve"> ANNEX </w:t>
      </w:r>
      <w:r w:rsidR="000C1E4D" w:rsidRPr="00440BF6">
        <w:rPr>
          <w:rFonts w:ascii="Arial" w:eastAsiaTheme="majorEastAsia" w:hAnsi="Arial" w:cs="Arial"/>
          <w:b/>
          <w:bCs/>
          <w:sz w:val="22"/>
          <w:szCs w:val="22"/>
          <w:lang w:eastAsia="en-GB"/>
        </w:rPr>
        <w:t>C</w:t>
      </w:r>
    </w:p>
    <w:p w14:paraId="5546434D" w14:textId="77777777" w:rsidR="006E43FB" w:rsidRDefault="006E43FB" w:rsidP="006E43FB">
      <w:pPr>
        <w:jc w:val="right"/>
        <w:rPr>
          <w:rFonts w:ascii="Arial" w:eastAsiaTheme="majorEastAsia" w:hAnsi="Arial" w:cs="Arial"/>
          <w:b/>
          <w:bCs/>
          <w:lang w:eastAsia="en-GB"/>
        </w:rPr>
      </w:pPr>
    </w:p>
    <w:tbl>
      <w:tblPr>
        <w:tblStyle w:val="TableGrid"/>
        <w:tblW w:w="0" w:type="auto"/>
        <w:tblLook w:val="04A0" w:firstRow="1" w:lastRow="0" w:firstColumn="1" w:lastColumn="0" w:noHBand="0" w:noVBand="1"/>
      </w:tblPr>
      <w:tblGrid>
        <w:gridCol w:w="8918"/>
      </w:tblGrid>
      <w:tr w:rsidR="006E43FB" w:rsidRPr="00A02B7F" w14:paraId="25818679" w14:textId="77777777" w:rsidTr="00E760A7">
        <w:tc>
          <w:tcPr>
            <w:tcW w:w="8918" w:type="dxa"/>
            <w:shd w:val="clear" w:color="auto" w:fill="D9D9D9" w:themeFill="background1" w:themeFillShade="D9"/>
          </w:tcPr>
          <w:p w14:paraId="78746CDE" w14:textId="1D9709EC" w:rsidR="006E43FB" w:rsidRPr="00A02B7F" w:rsidRDefault="006E43FB" w:rsidP="00E760A7">
            <w:pPr>
              <w:pStyle w:val="Heading4"/>
              <w:outlineLvl w:val="3"/>
              <w:rPr>
                <w:highlight w:val="yellow"/>
              </w:rPr>
            </w:pPr>
            <w:bookmarkStart w:id="0" w:name="_SEARCH_PROCEDURE_-_1"/>
            <w:bookmarkEnd w:id="0"/>
            <w:r w:rsidRPr="00440BF6">
              <w:rPr>
                <w:color w:val="auto"/>
              </w:rPr>
              <w:t>SEARCH</w:t>
            </w:r>
            <w:r w:rsidR="00033B77">
              <w:rPr>
                <w:color w:val="auto"/>
              </w:rPr>
              <w:t xml:space="preserve"> INVOLVING A SQUAT</w:t>
            </w:r>
          </w:p>
        </w:tc>
      </w:tr>
    </w:tbl>
    <w:p w14:paraId="75109351" w14:textId="77777777" w:rsidR="006E43FB" w:rsidRPr="001D58EB" w:rsidRDefault="006E43FB" w:rsidP="006E43FB">
      <w:pPr>
        <w:spacing w:after="120"/>
        <w:contextualSpacing/>
        <w:rPr>
          <w:rFonts w:ascii="Arial" w:hAnsi="Arial"/>
          <w:b/>
          <w:bCs/>
          <w:color w:val="000000"/>
          <w:sz w:val="16"/>
          <w:szCs w:val="16"/>
          <w:highlight w:val="yellow"/>
          <w:lang w:eastAsia="en-GB"/>
        </w:rPr>
      </w:pPr>
    </w:p>
    <w:p w14:paraId="17F06F95" w14:textId="7F038FBC" w:rsidR="006E43FB" w:rsidRDefault="006E43FB" w:rsidP="006E43FB">
      <w:pPr>
        <w:spacing w:after="120"/>
        <w:contextualSpacing/>
        <w:rPr>
          <w:rFonts w:ascii="Arial" w:hAnsi="Arial" w:cs="Arial"/>
          <w:b/>
          <w:bCs/>
          <w:sz w:val="22"/>
          <w:szCs w:val="22"/>
          <w:lang w:eastAsia="en-GB"/>
        </w:rPr>
      </w:pPr>
      <w:r w:rsidRPr="00C93CC5">
        <w:rPr>
          <w:rFonts w:ascii="Arial" w:hAnsi="Arial"/>
          <w:b/>
          <w:bCs/>
          <w:color w:val="000000"/>
          <w:sz w:val="22"/>
          <w:szCs w:val="22"/>
          <w:lang w:eastAsia="en-GB"/>
        </w:rPr>
        <w:t xml:space="preserve">Searches </w:t>
      </w:r>
      <w:r w:rsidR="00033B77">
        <w:rPr>
          <w:rFonts w:ascii="Arial" w:hAnsi="Arial"/>
          <w:b/>
          <w:bCs/>
          <w:color w:val="000000"/>
          <w:sz w:val="22"/>
          <w:szCs w:val="22"/>
          <w:lang w:eastAsia="en-GB"/>
        </w:rPr>
        <w:t xml:space="preserve">involving a squat </w:t>
      </w:r>
      <w:r w:rsidRPr="00C93CC5">
        <w:rPr>
          <w:rFonts w:ascii="Arial" w:hAnsi="Arial"/>
          <w:b/>
          <w:bCs/>
          <w:color w:val="000000"/>
          <w:sz w:val="22"/>
          <w:szCs w:val="22"/>
          <w:lang w:eastAsia="en-GB"/>
        </w:rPr>
        <w:t xml:space="preserve">can only be applied to Prisoners in the Men’s Estate. </w:t>
      </w:r>
      <w:r w:rsidRPr="00C93CC5">
        <w:rPr>
          <w:rFonts w:ascii="Arial" w:hAnsi="Arial" w:cs="Arial"/>
          <w:sz w:val="22"/>
          <w:szCs w:val="22"/>
          <w:lang w:eastAsia="en-GB"/>
        </w:rPr>
        <w:t xml:space="preserve">Where a person refuses an order to squat, this </w:t>
      </w:r>
      <w:r>
        <w:rPr>
          <w:rFonts w:ascii="Arial" w:hAnsi="Arial" w:cs="Arial"/>
          <w:sz w:val="22"/>
          <w:szCs w:val="22"/>
          <w:lang w:eastAsia="en-GB"/>
        </w:rPr>
        <w:t>must</w:t>
      </w:r>
      <w:r w:rsidRPr="00C93CC5">
        <w:rPr>
          <w:rFonts w:ascii="Arial" w:hAnsi="Arial" w:cs="Arial"/>
          <w:sz w:val="22"/>
          <w:szCs w:val="22"/>
          <w:lang w:eastAsia="en-GB"/>
        </w:rPr>
        <w:t xml:space="preserve"> not be carried out using force. </w:t>
      </w:r>
      <w:r w:rsidRPr="00300CE7">
        <w:rPr>
          <w:rFonts w:ascii="Arial" w:hAnsi="Arial" w:cs="Arial"/>
          <w:sz w:val="22"/>
          <w:szCs w:val="22"/>
          <w:lang w:eastAsia="en-GB"/>
        </w:rPr>
        <w:t>There is no approved technique for the purpose of making a person squat if they do not comply.</w:t>
      </w:r>
      <w:r w:rsidRPr="00C93CC5">
        <w:rPr>
          <w:rFonts w:ascii="Arial" w:hAnsi="Arial" w:cs="Arial"/>
          <w:b/>
          <w:bCs/>
          <w:sz w:val="22"/>
          <w:szCs w:val="22"/>
          <w:lang w:eastAsia="en-GB"/>
        </w:rPr>
        <w:t xml:space="preserve"> </w:t>
      </w:r>
    </w:p>
    <w:p w14:paraId="4A73B623" w14:textId="541F391A" w:rsidR="00300CE7" w:rsidRDefault="00300CE7" w:rsidP="006E43FB">
      <w:pPr>
        <w:spacing w:after="120"/>
        <w:contextualSpacing/>
        <w:rPr>
          <w:rFonts w:ascii="Arial" w:hAnsi="Arial" w:cs="Arial"/>
          <w:b/>
          <w:bCs/>
          <w:sz w:val="22"/>
          <w:szCs w:val="22"/>
          <w:lang w:eastAsia="en-GB"/>
        </w:rPr>
      </w:pPr>
    </w:p>
    <w:p w14:paraId="4CDE72DC" w14:textId="3CD01019" w:rsidR="00300CE7" w:rsidRPr="000F1D3B" w:rsidRDefault="00300CE7" w:rsidP="006E43FB">
      <w:pPr>
        <w:spacing w:after="120"/>
        <w:contextualSpacing/>
        <w:rPr>
          <w:rFonts w:ascii="Arial" w:hAnsi="Arial" w:cs="Arial"/>
          <w:color w:val="000000" w:themeColor="text1"/>
          <w:sz w:val="22"/>
          <w:szCs w:val="22"/>
        </w:rPr>
      </w:pPr>
      <w:r w:rsidRPr="000F1D3B">
        <w:rPr>
          <w:rFonts w:ascii="Arial" w:hAnsi="Arial" w:cs="Arial"/>
          <w:sz w:val="22"/>
          <w:szCs w:val="22"/>
          <w:lang w:eastAsia="en-GB"/>
        </w:rPr>
        <w:t xml:space="preserve">Please see </w:t>
      </w:r>
      <w:r w:rsidRPr="000F1D3B">
        <w:rPr>
          <w:rFonts w:ascii="Arial" w:hAnsi="Arial" w:cs="Arial"/>
          <w:b/>
          <w:bCs/>
          <w:sz w:val="22"/>
          <w:szCs w:val="22"/>
          <w:lang w:eastAsia="en-GB"/>
        </w:rPr>
        <w:t xml:space="preserve">Annex </w:t>
      </w:r>
      <w:r w:rsidR="00054546">
        <w:rPr>
          <w:rFonts w:ascii="Arial" w:hAnsi="Arial" w:cs="Arial"/>
          <w:b/>
          <w:bCs/>
          <w:sz w:val="22"/>
          <w:szCs w:val="22"/>
          <w:lang w:eastAsia="en-GB"/>
        </w:rPr>
        <w:t>A</w:t>
      </w:r>
      <w:r w:rsidRPr="000F1D3B">
        <w:rPr>
          <w:rFonts w:ascii="Arial" w:hAnsi="Arial" w:cs="Arial"/>
          <w:sz w:val="22"/>
          <w:szCs w:val="22"/>
          <w:lang w:eastAsia="en-GB"/>
        </w:rPr>
        <w:t xml:space="preserve"> for transgender </w:t>
      </w:r>
      <w:r w:rsidR="000F1D3B" w:rsidRPr="000F1D3B">
        <w:rPr>
          <w:rFonts w:ascii="Arial" w:hAnsi="Arial" w:cs="Arial"/>
          <w:sz w:val="22"/>
          <w:szCs w:val="22"/>
          <w:lang w:eastAsia="en-GB"/>
        </w:rPr>
        <w:t>searching</w:t>
      </w:r>
      <w:r w:rsidR="005C7DF3">
        <w:rPr>
          <w:rFonts w:ascii="Arial" w:hAnsi="Arial" w:cs="Arial"/>
          <w:sz w:val="22"/>
          <w:szCs w:val="22"/>
          <w:lang w:eastAsia="en-GB"/>
        </w:rPr>
        <w:t xml:space="preserve"> involving a </w:t>
      </w:r>
      <w:proofErr w:type="gramStart"/>
      <w:r w:rsidR="005C7DF3">
        <w:rPr>
          <w:rFonts w:ascii="Arial" w:hAnsi="Arial" w:cs="Arial"/>
          <w:sz w:val="22"/>
          <w:szCs w:val="22"/>
          <w:lang w:eastAsia="en-GB"/>
        </w:rPr>
        <w:t>squat</w:t>
      </w:r>
      <w:r w:rsidR="000F1D3B">
        <w:rPr>
          <w:rFonts w:ascii="Arial" w:hAnsi="Arial" w:cs="Arial"/>
          <w:sz w:val="22"/>
          <w:szCs w:val="22"/>
          <w:lang w:eastAsia="en-GB"/>
        </w:rPr>
        <w:t xml:space="preserve"> arrangements</w:t>
      </w:r>
      <w:proofErr w:type="gramEnd"/>
      <w:r w:rsidR="000F1D3B" w:rsidRPr="000F1D3B">
        <w:rPr>
          <w:rFonts w:ascii="Arial" w:hAnsi="Arial" w:cs="Arial"/>
          <w:sz w:val="22"/>
          <w:szCs w:val="22"/>
          <w:lang w:eastAsia="en-GB"/>
        </w:rPr>
        <w:t xml:space="preserve">. </w:t>
      </w:r>
    </w:p>
    <w:p w14:paraId="7DF562FE" w14:textId="77777777" w:rsidR="006E43FB" w:rsidRPr="00A52541" w:rsidRDefault="006E43FB" w:rsidP="006E43FB">
      <w:pPr>
        <w:pStyle w:val="NoSpacing"/>
        <w:rPr>
          <w:rFonts w:ascii="Arial" w:hAnsi="Arial" w:cs="Arial"/>
          <w:color w:val="000000" w:themeColor="text1"/>
        </w:rPr>
      </w:pPr>
      <w:r w:rsidRPr="00A52541">
        <w:rPr>
          <w:rFonts w:ascii="Arial" w:hAnsi="Arial" w:cs="Arial"/>
          <w:color w:val="000000" w:themeColor="text1"/>
        </w:rPr>
        <w:t>If the prisoner refuses or is unable to remove/pass a suspected item</w:t>
      </w:r>
      <w:r>
        <w:rPr>
          <w:rFonts w:ascii="Arial" w:hAnsi="Arial" w:cs="Arial"/>
          <w:color w:val="000000" w:themeColor="text1"/>
        </w:rPr>
        <w:t xml:space="preserve"> following an order to do so</w:t>
      </w:r>
      <w:r w:rsidRPr="00A52541">
        <w:rPr>
          <w:rFonts w:ascii="Arial" w:hAnsi="Arial" w:cs="Arial"/>
          <w:color w:val="000000" w:themeColor="text1"/>
        </w:rPr>
        <w:t xml:space="preserve">, the prison must consider the risks presented by that prisoner to themselves and/or others. </w:t>
      </w:r>
    </w:p>
    <w:p w14:paraId="49E3AF7F" w14:textId="77777777" w:rsidR="006E43FB" w:rsidRPr="001D58EB" w:rsidRDefault="006E43FB" w:rsidP="006E43FB">
      <w:pPr>
        <w:pStyle w:val="NoSpacing"/>
        <w:rPr>
          <w:rFonts w:ascii="Arial" w:hAnsi="Arial" w:cs="Arial"/>
          <w:b/>
          <w:color w:val="FF0000"/>
          <w:sz w:val="16"/>
          <w:szCs w:val="16"/>
        </w:rPr>
      </w:pPr>
    </w:p>
    <w:p w14:paraId="3ED0737A" w14:textId="5816560D" w:rsidR="006E43FB" w:rsidRPr="00033B77" w:rsidRDefault="006E43FB" w:rsidP="006E43FB">
      <w:pPr>
        <w:pStyle w:val="NoSpacing"/>
        <w:numPr>
          <w:ilvl w:val="0"/>
          <w:numId w:val="1"/>
        </w:numPr>
        <w:rPr>
          <w:rFonts w:ascii="Arial" w:hAnsi="Arial" w:cs="Arial"/>
        </w:rPr>
      </w:pPr>
      <w:r w:rsidRPr="00033B77">
        <w:rPr>
          <w:rFonts w:ascii="Arial" w:hAnsi="Arial" w:cs="Arial"/>
        </w:rPr>
        <w:t xml:space="preserve">Where an item is clearly and fully visible, e.g., taped to the skin, </w:t>
      </w:r>
      <w:r w:rsidRPr="00033B77">
        <w:rPr>
          <w:rFonts w:ascii="Arial" w:hAnsi="Arial" w:cs="Arial"/>
          <w:u w:val="single"/>
        </w:rPr>
        <w:t>and</w:t>
      </w:r>
      <w:r w:rsidRPr="00033B77">
        <w:rPr>
          <w:rFonts w:ascii="Arial" w:hAnsi="Arial" w:cs="Arial"/>
        </w:rPr>
        <w:t xml:space="preserve"> removal can be undertaken without risk of injury, it may be removed without consent and by force if necessary. </w:t>
      </w:r>
      <w:r w:rsidR="00033B77" w:rsidRPr="00033B77">
        <w:rPr>
          <w:rFonts w:ascii="Arial" w:hAnsi="Arial" w:cs="Arial"/>
        </w:rPr>
        <w:t xml:space="preserve">This does not apply to any search of an intimate area. </w:t>
      </w:r>
    </w:p>
    <w:p w14:paraId="5DEAEF14" w14:textId="77777777" w:rsidR="006E43FB" w:rsidRPr="008D47AB" w:rsidRDefault="006E43FB" w:rsidP="006E43FB">
      <w:pPr>
        <w:pStyle w:val="NoSpacing"/>
        <w:numPr>
          <w:ilvl w:val="0"/>
          <w:numId w:val="1"/>
        </w:numPr>
        <w:rPr>
          <w:rFonts w:ascii="Arial" w:hAnsi="Arial" w:cs="Arial"/>
        </w:rPr>
      </w:pPr>
      <w:r w:rsidRPr="008D47AB">
        <w:rPr>
          <w:rFonts w:ascii="Arial" w:hAnsi="Arial" w:cs="Arial"/>
        </w:rPr>
        <w:t xml:space="preserve">Items that can visibly be seen protruding from the anus/genital area </w:t>
      </w:r>
      <w:r w:rsidRPr="008D47AB">
        <w:rPr>
          <w:rFonts w:ascii="Arial" w:hAnsi="Arial" w:cs="Arial"/>
          <w:b/>
        </w:rPr>
        <w:t>must not</w:t>
      </w:r>
      <w:r w:rsidRPr="008D47AB">
        <w:rPr>
          <w:rFonts w:ascii="Arial" w:hAnsi="Arial" w:cs="Arial"/>
        </w:rPr>
        <w:t xml:space="preserve"> be removed by staff under any circumstances. </w:t>
      </w:r>
      <w:bookmarkStart w:id="1" w:name="_1.15_Intimate_Searches"/>
      <w:bookmarkEnd w:id="1"/>
      <w:r w:rsidRPr="008D47AB">
        <w:rPr>
          <w:rFonts w:ascii="Arial" w:hAnsi="Arial" w:cs="Arial"/>
        </w:rPr>
        <w:t>Other measures can be undertaken in these circumstances:</w:t>
      </w:r>
    </w:p>
    <w:p w14:paraId="18E2B15A" w14:textId="77777777" w:rsidR="006E43FB" w:rsidRDefault="006E43FB" w:rsidP="006E43FB">
      <w:pPr>
        <w:pStyle w:val="CommentText"/>
        <w:numPr>
          <w:ilvl w:val="0"/>
          <w:numId w:val="2"/>
        </w:numPr>
        <w:rPr>
          <w:rFonts w:ascii="Arial" w:hAnsi="Arial" w:cs="Arial"/>
        </w:rPr>
      </w:pPr>
      <w:r>
        <w:rPr>
          <w:rFonts w:ascii="Arial" w:hAnsi="Arial" w:cs="Arial"/>
        </w:rPr>
        <w:t>Review of current location and consideration to</w:t>
      </w:r>
      <w:r w:rsidRPr="00EB7DB0">
        <w:rPr>
          <w:rFonts w:ascii="Arial" w:hAnsi="Arial" w:cs="Arial"/>
        </w:rPr>
        <w:t xml:space="preserve"> segregation.</w:t>
      </w:r>
    </w:p>
    <w:p w14:paraId="4BBA906D" w14:textId="35CBB38C" w:rsidR="006E43FB" w:rsidRDefault="006E43FB" w:rsidP="006E43FB">
      <w:pPr>
        <w:pStyle w:val="CommentText"/>
        <w:numPr>
          <w:ilvl w:val="0"/>
          <w:numId w:val="2"/>
        </w:numPr>
        <w:rPr>
          <w:rFonts w:ascii="Arial" w:hAnsi="Arial" w:cs="Arial"/>
        </w:rPr>
      </w:pPr>
      <w:r>
        <w:rPr>
          <w:rFonts w:ascii="Arial" w:hAnsi="Arial" w:cs="Arial"/>
        </w:rPr>
        <w:t>Dis</w:t>
      </w:r>
      <w:r w:rsidRPr="00EB7DB0">
        <w:rPr>
          <w:rFonts w:ascii="Arial" w:hAnsi="Arial" w:cs="Arial"/>
        </w:rPr>
        <w:t>obeying a lawful order under Prison Rule 51 (2</w:t>
      </w:r>
      <w:r w:rsidR="00033B77">
        <w:rPr>
          <w:rFonts w:ascii="Arial" w:hAnsi="Arial" w:cs="Arial"/>
        </w:rPr>
        <w:t>3</w:t>
      </w:r>
      <w:r w:rsidRPr="00EB7DB0">
        <w:rPr>
          <w:rFonts w:ascii="Arial" w:hAnsi="Arial" w:cs="Arial"/>
        </w:rPr>
        <w:t>) or YOI Rule 55 (2</w:t>
      </w:r>
      <w:r w:rsidR="00033B77">
        <w:rPr>
          <w:rFonts w:ascii="Arial" w:hAnsi="Arial" w:cs="Arial"/>
        </w:rPr>
        <w:t>6</w:t>
      </w:r>
      <w:r w:rsidRPr="00EB7DB0">
        <w:rPr>
          <w:rFonts w:ascii="Arial" w:hAnsi="Arial" w:cs="Arial"/>
        </w:rPr>
        <w:t>).</w:t>
      </w:r>
    </w:p>
    <w:p w14:paraId="4F43916B" w14:textId="3FD94A04" w:rsidR="006E43FB" w:rsidRDefault="006E43FB" w:rsidP="006E43FB">
      <w:pPr>
        <w:pStyle w:val="CommentText"/>
        <w:numPr>
          <w:ilvl w:val="0"/>
          <w:numId w:val="2"/>
        </w:numPr>
        <w:rPr>
          <w:rFonts w:ascii="Arial" w:hAnsi="Arial" w:cs="Arial"/>
        </w:rPr>
      </w:pPr>
      <w:r w:rsidRPr="00EB7DB0">
        <w:rPr>
          <w:rFonts w:ascii="Arial" w:hAnsi="Arial" w:cs="Arial"/>
        </w:rPr>
        <w:t>Closed visits may be imposed following a risk-assessment should the indication give rise to a risk that the prisoner may pass further items on visits</w:t>
      </w:r>
      <w:r w:rsidR="009812E8">
        <w:rPr>
          <w:rFonts w:ascii="Arial" w:hAnsi="Arial" w:cs="Arial"/>
        </w:rPr>
        <w:t xml:space="preserve">. </w:t>
      </w:r>
    </w:p>
    <w:p w14:paraId="0D7C9193" w14:textId="0B87E2F8" w:rsidR="006E43FB" w:rsidRPr="009812E8" w:rsidRDefault="006E43FB" w:rsidP="006E43FB">
      <w:pPr>
        <w:pStyle w:val="CommentText"/>
        <w:numPr>
          <w:ilvl w:val="0"/>
          <w:numId w:val="2"/>
        </w:numPr>
        <w:rPr>
          <w:rFonts w:ascii="Arial" w:hAnsi="Arial" w:cs="Arial"/>
          <w:color w:val="000000" w:themeColor="text1"/>
          <w:sz w:val="16"/>
          <w:szCs w:val="16"/>
        </w:rPr>
      </w:pPr>
      <w:r w:rsidRPr="009812E8">
        <w:rPr>
          <w:rFonts w:ascii="Arial" w:hAnsi="Arial" w:cs="Arial"/>
        </w:rPr>
        <w:t>Action may be initiated under the IEP scheme</w:t>
      </w:r>
      <w:r w:rsidR="009812E8">
        <w:rPr>
          <w:rFonts w:ascii="Arial" w:hAnsi="Arial" w:cs="Arial"/>
        </w:rPr>
        <w:t xml:space="preserve">. </w:t>
      </w:r>
    </w:p>
    <w:p w14:paraId="771B0DF8" w14:textId="77777777" w:rsidR="009812E8" w:rsidRPr="009812E8" w:rsidRDefault="009812E8" w:rsidP="009812E8">
      <w:pPr>
        <w:pStyle w:val="CommentText"/>
        <w:ind w:left="1080"/>
        <w:rPr>
          <w:rFonts w:ascii="Arial" w:hAnsi="Arial" w:cs="Arial"/>
          <w:color w:val="000000" w:themeColor="text1"/>
          <w:sz w:val="16"/>
          <w:szCs w:val="16"/>
        </w:rPr>
      </w:pPr>
    </w:p>
    <w:p w14:paraId="7EE96986" w14:textId="77777777" w:rsidR="006E43FB" w:rsidRPr="00A52541" w:rsidRDefault="006E43FB" w:rsidP="006E43FB">
      <w:pPr>
        <w:pStyle w:val="NoSpacing"/>
        <w:rPr>
          <w:rFonts w:ascii="Arial" w:hAnsi="Arial" w:cs="Arial"/>
          <w:color w:val="000000" w:themeColor="text1"/>
        </w:rPr>
      </w:pPr>
      <w:r w:rsidRPr="00A52541">
        <w:rPr>
          <w:rFonts w:ascii="Arial" w:hAnsi="Arial" w:cs="Arial"/>
          <w:color w:val="000000" w:themeColor="text1"/>
        </w:rPr>
        <w:t xml:space="preserve">A defensible decision must be made on any actions taken/not taken and recorded on NOMIS. This consideration should be in conjunction with advice from healthcare. </w:t>
      </w:r>
    </w:p>
    <w:p w14:paraId="5B823190" w14:textId="77777777" w:rsidR="006E43FB" w:rsidRPr="001D58EB" w:rsidRDefault="006E43FB" w:rsidP="006E43FB">
      <w:pPr>
        <w:pStyle w:val="NoSpacing"/>
        <w:ind w:left="720"/>
        <w:rPr>
          <w:rFonts w:ascii="Arial" w:hAnsi="Arial" w:cs="Arial"/>
          <w:sz w:val="16"/>
          <w:szCs w:val="16"/>
        </w:rPr>
      </w:pPr>
    </w:p>
    <w:tbl>
      <w:tblPr>
        <w:tblStyle w:val="TableGrid"/>
        <w:tblW w:w="9640" w:type="dxa"/>
        <w:tblInd w:w="-289" w:type="dxa"/>
        <w:tblLook w:val="04A0" w:firstRow="1" w:lastRow="0" w:firstColumn="1" w:lastColumn="0" w:noHBand="0" w:noVBand="1"/>
      </w:tblPr>
      <w:tblGrid>
        <w:gridCol w:w="3066"/>
        <w:gridCol w:w="6574"/>
      </w:tblGrid>
      <w:tr w:rsidR="006E43FB" w14:paraId="38721C3F" w14:textId="77777777" w:rsidTr="00E760A7">
        <w:tc>
          <w:tcPr>
            <w:tcW w:w="3066" w:type="dxa"/>
          </w:tcPr>
          <w:p w14:paraId="2CB45321" w14:textId="77777777" w:rsidR="006E43FB" w:rsidRPr="00A920B7" w:rsidRDefault="006E43FB" w:rsidP="00E760A7">
            <w:pPr>
              <w:spacing w:after="160" w:line="259" w:lineRule="auto"/>
              <w:rPr>
                <w:rFonts w:ascii="Arial" w:eastAsia="Calibri" w:hAnsi="Arial" w:cs="Arial"/>
                <w:sz w:val="22"/>
                <w:szCs w:val="22"/>
                <w:lang w:val="en-GB"/>
              </w:rPr>
            </w:pPr>
            <w:r w:rsidRPr="00F50FE1">
              <w:rPr>
                <w:rFonts w:ascii="Arial" w:eastAsia="Calibri" w:hAnsi="Arial" w:cs="Arial"/>
                <w:b/>
                <w:bCs/>
                <w:color w:val="7030A0"/>
                <w:sz w:val="22"/>
                <w:szCs w:val="22"/>
                <w:lang w:val="en-GB"/>
              </w:rPr>
              <w:t xml:space="preserve">STEP 1 </w:t>
            </w:r>
            <w:r>
              <w:rPr>
                <w:rFonts w:ascii="Arial" w:eastAsia="Calibri" w:hAnsi="Arial" w:cs="Arial"/>
                <w:b/>
                <w:bCs/>
                <w:color w:val="7030A0"/>
                <w:sz w:val="22"/>
                <w:szCs w:val="22"/>
                <w:lang w:val="en-GB"/>
              </w:rPr>
              <w:t>–</w:t>
            </w:r>
            <w:r w:rsidRPr="00F50FE1">
              <w:rPr>
                <w:rFonts w:ascii="Arial" w:eastAsia="Calibri" w:hAnsi="Arial" w:cs="Arial"/>
                <w:color w:val="7030A0"/>
                <w:sz w:val="22"/>
                <w:szCs w:val="22"/>
                <w:lang w:val="en-GB"/>
              </w:rPr>
              <w:t xml:space="preserve"> </w:t>
            </w:r>
            <w:r w:rsidRPr="00147808">
              <w:rPr>
                <w:rFonts w:ascii="Arial" w:eastAsia="Calibri" w:hAnsi="Arial" w:cs="Arial"/>
                <w:sz w:val="22"/>
                <w:szCs w:val="22"/>
                <w:lang w:val="en-GB"/>
              </w:rPr>
              <w:t xml:space="preserve">The prisoner will be asked to squat.  </w:t>
            </w:r>
            <w:r>
              <w:rPr>
                <w:rFonts w:ascii="Arial" w:hAnsi="Arial" w:cs="Arial"/>
                <w:noProof/>
                <w:color w:val="000000" w:themeColor="text1"/>
                <w:sz w:val="22"/>
                <w:szCs w:val="22"/>
                <w:lang w:val="en-GB"/>
              </w:rPr>
              <w:drawing>
                <wp:inline distT="0" distB="0" distL="0" distR="0" wp14:anchorId="7EDDEF7A" wp14:editId="233929B0">
                  <wp:extent cx="1805518" cy="1033462"/>
                  <wp:effectExtent l="0" t="0" r="4445" b="0"/>
                  <wp:docPr id="22" name="Picture 22" descr="A picture containing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picture containing silhouett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1832197" cy="1048733"/>
                          </a:xfrm>
                          <a:prstGeom prst="rect">
                            <a:avLst/>
                          </a:prstGeom>
                        </pic:spPr>
                      </pic:pic>
                    </a:graphicData>
                  </a:graphic>
                </wp:inline>
              </w:drawing>
            </w:r>
          </w:p>
        </w:tc>
        <w:tc>
          <w:tcPr>
            <w:tcW w:w="6574" w:type="dxa"/>
          </w:tcPr>
          <w:p w14:paraId="1CE5EF75" w14:textId="77777777" w:rsidR="006E43FB" w:rsidRPr="000437BF" w:rsidRDefault="006E43FB" w:rsidP="00E760A7">
            <w:pPr>
              <w:spacing w:after="160" w:line="259" w:lineRule="auto"/>
              <w:rPr>
                <w:rFonts w:ascii="Arial" w:eastAsia="Calibri" w:hAnsi="Arial" w:cs="Arial"/>
                <w:sz w:val="22"/>
                <w:szCs w:val="22"/>
                <w:lang w:val="en-GB"/>
              </w:rPr>
            </w:pPr>
            <w:r w:rsidRPr="000437BF">
              <w:rPr>
                <w:rFonts w:ascii="Arial" w:eastAsia="Calibri" w:hAnsi="Arial" w:cs="Arial"/>
                <w:sz w:val="22"/>
                <w:szCs w:val="22"/>
                <w:lang w:val="en-GB"/>
              </w:rPr>
              <w:t xml:space="preserve">Officers will visually examine the area around the anus more closely, using mirrors if necessary. Staff are reminded that in carrying out searches of this type they must take particular care to adopt an appropriate demeanour and to avoid inappropriate actions or comments.   </w:t>
            </w:r>
          </w:p>
          <w:p w14:paraId="3C202682" w14:textId="77777777" w:rsidR="006E43FB" w:rsidRPr="000437BF" w:rsidRDefault="006E43FB" w:rsidP="00E760A7">
            <w:pPr>
              <w:spacing w:after="120"/>
              <w:contextualSpacing/>
              <w:rPr>
                <w:rFonts w:ascii="Arial" w:hAnsi="Arial" w:cs="Arial"/>
                <w:sz w:val="22"/>
                <w:szCs w:val="22"/>
              </w:rPr>
            </w:pPr>
            <w:proofErr w:type="gramStart"/>
            <w:r w:rsidRPr="000437BF">
              <w:rPr>
                <w:rFonts w:ascii="Arial" w:hAnsi="Arial" w:cs="Arial"/>
                <w:sz w:val="22"/>
                <w:szCs w:val="22"/>
              </w:rPr>
              <w:t>In the event that</w:t>
            </w:r>
            <w:proofErr w:type="gramEnd"/>
            <w:r w:rsidRPr="000437BF">
              <w:rPr>
                <w:rFonts w:ascii="Arial" w:hAnsi="Arial" w:cs="Arial"/>
                <w:sz w:val="22"/>
                <w:szCs w:val="22"/>
              </w:rPr>
              <w:t xml:space="preserve"> an illicit item is handed over, the prison must retain all evidence in line with Evidence Policy Framework. The prison must also consider adjudication / police referral. </w:t>
            </w:r>
          </w:p>
        </w:tc>
      </w:tr>
      <w:tr w:rsidR="006E43FB" w14:paraId="22AFB07C" w14:textId="77777777" w:rsidTr="00E760A7">
        <w:trPr>
          <w:trHeight w:val="1576"/>
        </w:trPr>
        <w:tc>
          <w:tcPr>
            <w:tcW w:w="3066" w:type="dxa"/>
            <w:tcBorders>
              <w:bottom w:val="single" w:sz="4" w:space="0" w:color="auto"/>
            </w:tcBorders>
          </w:tcPr>
          <w:p w14:paraId="0CB2809F" w14:textId="77777777" w:rsidR="006E43FB" w:rsidRDefault="006E43FB" w:rsidP="00E760A7">
            <w:pPr>
              <w:spacing w:after="160" w:line="259" w:lineRule="auto"/>
              <w:rPr>
                <w:rFonts w:ascii="Arial" w:eastAsia="Calibri" w:hAnsi="Arial" w:cs="Arial"/>
                <w:b/>
                <w:bCs/>
                <w:sz w:val="22"/>
                <w:szCs w:val="22"/>
                <w:lang w:val="en-GB"/>
              </w:rPr>
            </w:pPr>
            <w:r w:rsidRPr="00F50FE1">
              <w:rPr>
                <w:rFonts w:ascii="Arial" w:eastAsia="Calibri" w:hAnsi="Arial" w:cs="Arial"/>
                <w:b/>
                <w:bCs/>
                <w:color w:val="7030A0"/>
                <w:sz w:val="22"/>
                <w:szCs w:val="22"/>
                <w:lang w:val="en-GB"/>
              </w:rPr>
              <w:t xml:space="preserve">STEP </w:t>
            </w:r>
            <w:r>
              <w:rPr>
                <w:rFonts w:ascii="Arial" w:eastAsia="Calibri" w:hAnsi="Arial" w:cs="Arial"/>
                <w:b/>
                <w:bCs/>
                <w:color w:val="7030A0"/>
                <w:sz w:val="22"/>
                <w:szCs w:val="22"/>
                <w:lang w:val="en-GB"/>
              </w:rPr>
              <w:t>2</w:t>
            </w:r>
            <w:r w:rsidRPr="00F50FE1">
              <w:rPr>
                <w:rFonts w:ascii="Arial" w:eastAsia="Calibri" w:hAnsi="Arial" w:cs="Arial"/>
                <w:b/>
                <w:bCs/>
                <w:color w:val="7030A0"/>
                <w:sz w:val="22"/>
                <w:szCs w:val="22"/>
                <w:lang w:val="en-GB"/>
              </w:rPr>
              <w:t xml:space="preserve"> -</w:t>
            </w:r>
            <w:r>
              <w:rPr>
                <w:rFonts w:ascii="Arial" w:eastAsia="Calibri" w:hAnsi="Arial" w:cs="Arial"/>
                <w:b/>
                <w:bCs/>
                <w:color w:val="7030A0"/>
                <w:sz w:val="22"/>
                <w:szCs w:val="22"/>
                <w:lang w:val="en-GB"/>
              </w:rPr>
              <w:t xml:space="preserve"> </w:t>
            </w:r>
            <w:r w:rsidRPr="00E759E5">
              <w:rPr>
                <w:rFonts w:ascii="Arial" w:eastAsia="Calibri" w:hAnsi="Arial" w:cs="Arial"/>
                <w:sz w:val="22"/>
                <w:szCs w:val="22"/>
                <w:lang w:val="en-GB"/>
              </w:rPr>
              <w:t xml:space="preserve">If </w:t>
            </w:r>
            <w:r w:rsidRPr="00E759E5">
              <w:rPr>
                <w:rFonts w:ascii="Arial" w:hAnsi="Arial" w:cs="Arial"/>
                <w:sz w:val="22"/>
                <w:szCs w:val="22"/>
                <w:lang w:val="en-GB"/>
              </w:rPr>
              <w:t>the</w:t>
            </w:r>
            <w:r w:rsidRPr="00D73A1B">
              <w:rPr>
                <w:rFonts w:ascii="Arial" w:hAnsi="Arial" w:cs="Arial"/>
                <w:sz w:val="22"/>
                <w:szCs w:val="22"/>
                <w:lang w:val="en-GB"/>
              </w:rPr>
              <w:t xml:space="preserve"> prisoner refuses to squat, </w:t>
            </w:r>
            <w:r>
              <w:rPr>
                <w:rFonts w:ascii="Arial" w:hAnsi="Arial" w:cs="Arial"/>
                <w:sz w:val="22"/>
                <w:szCs w:val="22"/>
                <w:lang w:val="en-GB"/>
              </w:rPr>
              <w:t xml:space="preserve">they are </w:t>
            </w:r>
            <w:r w:rsidRPr="00D73A1B">
              <w:rPr>
                <w:rFonts w:ascii="Arial" w:hAnsi="Arial" w:cs="Arial"/>
                <w:sz w:val="22"/>
                <w:szCs w:val="22"/>
                <w:lang w:val="en-GB"/>
              </w:rPr>
              <w:t>disobeying a lawful order</w:t>
            </w:r>
          </w:p>
        </w:tc>
        <w:tc>
          <w:tcPr>
            <w:tcW w:w="6574" w:type="dxa"/>
            <w:tcBorders>
              <w:bottom w:val="single" w:sz="4" w:space="0" w:color="auto"/>
            </w:tcBorders>
          </w:tcPr>
          <w:p w14:paraId="36FCFE2C" w14:textId="77777777" w:rsidR="006E43FB" w:rsidRPr="000437BF" w:rsidRDefault="006E43FB" w:rsidP="00E760A7">
            <w:pPr>
              <w:spacing w:after="160" w:line="259" w:lineRule="auto"/>
              <w:rPr>
                <w:rFonts w:ascii="Arial" w:eastAsia="Calibri" w:hAnsi="Arial" w:cs="Arial"/>
                <w:sz w:val="22"/>
                <w:szCs w:val="22"/>
                <w:lang w:val="en-GB"/>
              </w:rPr>
            </w:pPr>
            <w:r w:rsidRPr="000437BF">
              <w:rPr>
                <w:rFonts w:ascii="Arial" w:hAnsi="Arial" w:cs="Arial"/>
                <w:sz w:val="22"/>
                <w:szCs w:val="22"/>
              </w:rPr>
              <w:t>There is no approved technique for the purpose of making a person squat if they do not comply. The prisoner should be placed on report. W</w:t>
            </w:r>
            <w:r w:rsidRPr="000437BF">
              <w:rPr>
                <w:rFonts w:ascii="Arial" w:hAnsi="Arial" w:cs="Arial"/>
                <w:sz w:val="22"/>
                <w:szCs w:val="22"/>
                <w:lang w:val="en-GB"/>
              </w:rPr>
              <w:t xml:space="preserve">here there is intelligence or the search is following an observation of an item being secreted, the use of a </w:t>
            </w:r>
            <w:proofErr w:type="spellStart"/>
            <w:r w:rsidRPr="000437BF">
              <w:rPr>
                <w:rFonts w:ascii="Arial" w:hAnsi="Arial" w:cs="Arial"/>
                <w:sz w:val="22"/>
                <w:szCs w:val="22"/>
                <w:lang w:val="en-GB"/>
              </w:rPr>
              <w:t>bodyscanner</w:t>
            </w:r>
            <w:proofErr w:type="spellEnd"/>
            <w:r w:rsidRPr="000437BF">
              <w:rPr>
                <w:rFonts w:ascii="Arial" w:hAnsi="Arial" w:cs="Arial"/>
                <w:sz w:val="22"/>
                <w:szCs w:val="22"/>
                <w:lang w:val="en-GB"/>
              </w:rPr>
              <w:t xml:space="preserve"> can be considered. See </w:t>
            </w:r>
            <w:proofErr w:type="spellStart"/>
            <w:r w:rsidRPr="000437BF">
              <w:rPr>
                <w:rFonts w:ascii="Arial" w:hAnsi="Arial" w:cs="Arial"/>
                <w:sz w:val="22"/>
                <w:szCs w:val="22"/>
                <w:lang w:val="en-GB"/>
              </w:rPr>
              <w:t>Bodyscanner</w:t>
            </w:r>
            <w:proofErr w:type="spellEnd"/>
            <w:r w:rsidRPr="000437BF">
              <w:rPr>
                <w:rFonts w:ascii="Arial" w:hAnsi="Arial" w:cs="Arial"/>
                <w:sz w:val="22"/>
                <w:szCs w:val="22"/>
                <w:lang w:val="en-GB"/>
              </w:rPr>
              <w:t xml:space="preserve"> Policy Framework.</w:t>
            </w:r>
          </w:p>
        </w:tc>
      </w:tr>
      <w:tr w:rsidR="006E43FB" w14:paraId="5AFB1F41" w14:textId="77777777" w:rsidTr="00E760A7">
        <w:tc>
          <w:tcPr>
            <w:tcW w:w="9640" w:type="dxa"/>
            <w:gridSpan w:val="2"/>
            <w:shd w:val="clear" w:color="auto" w:fill="D9D9D9" w:themeFill="background1" w:themeFillShade="D9"/>
          </w:tcPr>
          <w:p w14:paraId="491237FF" w14:textId="77777777" w:rsidR="006E43FB" w:rsidRPr="00195E18" w:rsidRDefault="006E43FB" w:rsidP="00E760A7">
            <w:pPr>
              <w:jc w:val="center"/>
              <w:rPr>
                <w:rFonts w:ascii="Arial" w:eastAsiaTheme="majorEastAsia" w:hAnsi="Arial" w:cs="Arial"/>
                <w:b/>
                <w:bCs/>
                <w:sz w:val="22"/>
                <w:szCs w:val="22"/>
                <w:lang w:val="en-GB"/>
              </w:rPr>
            </w:pPr>
            <w:r w:rsidRPr="00195E18">
              <w:rPr>
                <w:rFonts w:ascii="Arial" w:eastAsiaTheme="majorEastAsia" w:hAnsi="Arial" w:cs="Arial"/>
                <w:b/>
                <w:bCs/>
                <w:sz w:val="22"/>
                <w:szCs w:val="22"/>
                <w:lang w:val="en-GB"/>
              </w:rPr>
              <w:t>The above steps have been completed but staff have reason to remain suspicious about an item hidden in/around the genitals</w:t>
            </w:r>
          </w:p>
        </w:tc>
      </w:tr>
      <w:tr w:rsidR="006E43FB" w:rsidRPr="009703E8" w14:paraId="5B07BC95" w14:textId="77777777" w:rsidTr="00E760A7">
        <w:tc>
          <w:tcPr>
            <w:tcW w:w="3066" w:type="dxa"/>
            <w:tcBorders>
              <w:bottom w:val="single" w:sz="4" w:space="0" w:color="auto"/>
            </w:tcBorders>
          </w:tcPr>
          <w:p w14:paraId="6EEAF6D9" w14:textId="77777777" w:rsidR="006E43FB" w:rsidRDefault="006E43FB" w:rsidP="00E760A7">
            <w:pPr>
              <w:spacing w:after="160" w:line="259" w:lineRule="auto"/>
              <w:rPr>
                <w:rFonts w:ascii="Arial" w:eastAsia="Calibri" w:hAnsi="Arial" w:cs="Arial"/>
                <w:b/>
                <w:bCs/>
                <w:sz w:val="22"/>
                <w:szCs w:val="22"/>
                <w:lang w:val="en-GB"/>
              </w:rPr>
            </w:pPr>
            <w:r w:rsidRPr="00F50FE1">
              <w:rPr>
                <w:rFonts w:ascii="Arial" w:eastAsia="Calibri" w:hAnsi="Arial" w:cs="Arial"/>
                <w:b/>
                <w:bCs/>
                <w:color w:val="7030A0"/>
                <w:sz w:val="22"/>
                <w:szCs w:val="22"/>
                <w:lang w:val="en-GB"/>
              </w:rPr>
              <w:t xml:space="preserve">STEP </w:t>
            </w:r>
            <w:r>
              <w:rPr>
                <w:rFonts w:ascii="Arial" w:eastAsia="Calibri" w:hAnsi="Arial" w:cs="Arial"/>
                <w:b/>
                <w:bCs/>
                <w:color w:val="7030A0"/>
                <w:sz w:val="22"/>
                <w:szCs w:val="22"/>
                <w:lang w:val="en-GB"/>
              </w:rPr>
              <w:t>3</w:t>
            </w:r>
            <w:r w:rsidRPr="00F50FE1">
              <w:rPr>
                <w:rFonts w:ascii="Arial" w:eastAsia="Calibri" w:hAnsi="Arial" w:cs="Arial"/>
                <w:b/>
                <w:bCs/>
                <w:color w:val="7030A0"/>
                <w:sz w:val="22"/>
                <w:szCs w:val="22"/>
                <w:lang w:val="en-GB"/>
              </w:rPr>
              <w:t xml:space="preserve"> -</w:t>
            </w:r>
            <w:r w:rsidRPr="00F50FE1">
              <w:rPr>
                <w:rFonts w:ascii="Arial" w:eastAsia="Calibri" w:hAnsi="Arial" w:cs="Arial"/>
                <w:color w:val="7030A0"/>
                <w:sz w:val="22"/>
                <w:szCs w:val="22"/>
                <w:lang w:val="en-GB"/>
              </w:rPr>
              <w:t xml:space="preserve"> </w:t>
            </w:r>
            <w:r w:rsidRPr="00633F55">
              <w:rPr>
                <w:rFonts w:ascii="Arial" w:hAnsi="Arial" w:cs="Arial"/>
                <w:sz w:val="22"/>
                <w:szCs w:val="22"/>
                <w:lang w:val="en-GB"/>
              </w:rPr>
              <w:t xml:space="preserve">The searcher may improve the effectiveness of visual inspection </w:t>
            </w:r>
          </w:p>
        </w:tc>
        <w:tc>
          <w:tcPr>
            <w:tcW w:w="6574" w:type="dxa"/>
            <w:tcBorders>
              <w:bottom w:val="single" w:sz="4" w:space="0" w:color="auto"/>
            </w:tcBorders>
          </w:tcPr>
          <w:p w14:paraId="470CD4CC" w14:textId="77777777" w:rsidR="006E43FB" w:rsidRPr="001D58EB" w:rsidRDefault="006E43FB" w:rsidP="00E760A7">
            <w:pPr>
              <w:pStyle w:val="NoSpacing"/>
              <w:rPr>
                <w:rFonts w:ascii="Arial" w:hAnsi="Arial" w:cs="Arial"/>
                <w:sz w:val="22"/>
                <w:szCs w:val="22"/>
              </w:rPr>
            </w:pPr>
            <w:r w:rsidRPr="001D58EB">
              <w:rPr>
                <w:rFonts w:ascii="Arial" w:hAnsi="Arial" w:cs="Arial"/>
                <w:sz w:val="22"/>
                <w:szCs w:val="22"/>
              </w:rPr>
              <w:t>Staff will ask the prisoner to lift the penis and/or scrotum, and/or ask the prisoner to pull back the foreskin.</w:t>
            </w:r>
          </w:p>
          <w:p w14:paraId="524C7A96" w14:textId="77777777" w:rsidR="006E43FB" w:rsidRPr="001D58EB" w:rsidRDefault="006E43FB" w:rsidP="00E760A7">
            <w:pPr>
              <w:pStyle w:val="NoSpacing"/>
              <w:rPr>
                <w:rFonts w:ascii="Arial" w:hAnsi="Arial" w:cs="Arial"/>
                <w:sz w:val="22"/>
                <w:szCs w:val="22"/>
              </w:rPr>
            </w:pPr>
            <w:r w:rsidRPr="001D58EB">
              <w:rPr>
                <w:rFonts w:ascii="Arial" w:hAnsi="Arial" w:cs="Arial"/>
                <w:sz w:val="22"/>
                <w:szCs w:val="22"/>
              </w:rPr>
              <w:t>Pulling back the foreskin does not meet the definition of an intimate search as it does not involve intrusion into an orifice.</w:t>
            </w:r>
          </w:p>
        </w:tc>
      </w:tr>
      <w:tr w:rsidR="006E43FB" w14:paraId="26BEC024" w14:textId="77777777" w:rsidTr="00E760A7">
        <w:tc>
          <w:tcPr>
            <w:tcW w:w="9640" w:type="dxa"/>
            <w:gridSpan w:val="2"/>
            <w:shd w:val="clear" w:color="auto" w:fill="D9D9D9" w:themeFill="background1" w:themeFillShade="D9"/>
          </w:tcPr>
          <w:p w14:paraId="52DA9624" w14:textId="77777777" w:rsidR="006E43FB" w:rsidRPr="005242CF" w:rsidRDefault="006E43FB" w:rsidP="00E760A7">
            <w:pPr>
              <w:pStyle w:val="NoSpacing"/>
              <w:jc w:val="center"/>
              <w:rPr>
                <w:rFonts w:ascii="Arial" w:hAnsi="Arial" w:cs="Arial"/>
                <w:b/>
                <w:bCs/>
                <w:sz w:val="22"/>
                <w:szCs w:val="22"/>
              </w:rPr>
            </w:pPr>
            <w:r w:rsidRPr="005242CF">
              <w:rPr>
                <w:rFonts w:ascii="Arial" w:hAnsi="Arial" w:cs="Arial"/>
                <w:b/>
                <w:bCs/>
                <w:sz w:val="22"/>
                <w:szCs w:val="22"/>
              </w:rPr>
              <w:t>If no item is visible there are no further grounds to continue this search and the full search must be completed in the normal manner. Records must be updated to include squat procedure.</w:t>
            </w:r>
          </w:p>
        </w:tc>
      </w:tr>
    </w:tbl>
    <w:p w14:paraId="42555D8E" w14:textId="77777777" w:rsidR="002040F7" w:rsidRDefault="002040F7"/>
    <w:sectPr w:rsidR="002040F7">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9C280" w14:textId="77777777" w:rsidR="0068421A" w:rsidRDefault="0068421A" w:rsidP="005E240F">
      <w:r>
        <w:separator/>
      </w:r>
    </w:p>
  </w:endnote>
  <w:endnote w:type="continuationSeparator" w:id="0">
    <w:p w14:paraId="24C4FD5F" w14:textId="77777777" w:rsidR="0068421A" w:rsidRDefault="0068421A" w:rsidP="005E2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32A74" w14:textId="77777777" w:rsidR="0068421A" w:rsidRDefault="0068421A" w:rsidP="005E240F">
      <w:r>
        <w:separator/>
      </w:r>
    </w:p>
  </w:footnote>
  <w:footnote w:type="continuationSeparator" w:id="0">
    <w:p w14:paraId="5AFF3209" w14:textId="77777777" w:rsidR="0068421A" w:rsidRDefault="0068421A" w:rsidP="005E24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297BB" w14:textId="58B30EA3" w:rsidR="005E240F" w:rsidRPr="005E240F" w:rsidRDefault="005E240F" w:rsidP="005E240F">
    <w:pPr>
      <w:pStyle w:val="Header"/>
      <w:jc w:val="center"/>
      <w:rPr>
        <w:rFonts w:ascii="Arial" w:hAnsi="Arial" w:cs="Arial"/>
        <w:sz w:val="18"/>
        <w:szCs w:val="18"/>
      </w:rPr>
    </w:pPr>
    <w:r w:rsidRPr="005E240F">
      <w:rPr>
        <w:rFonts w:ascii="Arial" w:hAnsi="Arial" w:cs="Arial"/>
        <w:sz w:val="18"/>
        <w:szCs w:val="18"/>
      </w:rPr>
      <w:t>NATIONAL SECURITY FRAMEWORK</w:t>
    </w:r>
  </w:p>
  <w:p w14:paraId="68455E83" w14:textId="2D995ABA" w:rsidR="005E240F" w:rsidRPr="005E240F" w:rsidRDefault="005E240F" w:rsidP="005E240F">
    <w:pPr>
      <w:pStyle w:val="Header"/>
      <w:jc w:val="center"/>
      <w:rPr>
        <w:rFonts w:ascii="Arial" w:hAnsi="Arial" w:cs="Arial"/>
        <w:sz w:val="18"/>
        <w:szCs w:val="18"/>
      </w:rPr>
    </w:pPr>
    <w:r w:rsidRPr="005E240F">
      <w:rPr>
        <w:rFonts w:ascii="Arial" w:hAnsi="Arial" w:cs="Arial"/>
        <w:sz w:val="18"/>
        <w:szCs w:val="18"/>
      </w:rPr>
      <w:t>SEARCHING POLICY FRAMEWORK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43DA0"/>
    <w:multiLevelType w:val="hybridMultilevel"/>
    <w:tmpl w:val="C4688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84879B2"/>
    <w:multiLevelType w:val="hybridMultilevel"/>
    <w:tmpl w:val="C5444C0A"/>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343746969">
    <w:abstractNumId w:val="0"/>
  </w:num>
  <w:num w:numId="2" w16cid:durableId="247226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3FB"/>
    <w:rsid w:val="00033B77"/>
    <w:rsid w:val="000437BF"/>
    <w:rsid w:val="00054546"/>
    <w:rsid w:val="000C1E4D"/>
    <w:rsid w:val="000F1D3B"/>
    <w:rsid w:val="002040F7"/>
    <w:rsid w:val="00300CE7"/>
    <w:rsid w:val="00440BF6"/>
    <w:rsid w:val="005C7DF3"/>
    <w:rsid w:val="005E240F"/>
    <w:rsid w:val="0068421A"/>
    <w:rsid w:val="006E43FB"/>
    <w:rsid w:val="009812E8"/>
    <w:rsid w:val="00CB66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D00D0"/>
  <w15:chartTrackingRefBased/>
  <w15:docId w15:val="{66BC7444-9A80-4435-87F1-B7932155A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43FB"/>
    <w:pPr>
      <w:spacing w:after="0" w:line="240" w:lineRule="auto"/>
    </w:pPr>
    <w:rPr>
      <w:rFonts w:ascii="Cambria" w:eastAsia="Times New Roman" w:hAnsi="Cambria" w:cs="Times New Roman"/>
      <w:sz w:val="24"/>
      <w:szCs w:val="24"/>
      <w:lang w:val="en-US"/>
    </w:rPr>
  </w:style>
  <w:style w:type="paragraph" w:styleId="Heading4">
    <w:name w:val="heading 4"/>
    <w:basedOn w:val="Normal"/>
    <w:next w:val="Normal"/>
    <w:link w:val="Heading4Char"/>
    <w:uiPriority w:val="99"/>
    <w:qFormat/>
    <w:rsid w:val="006E43FB"/>
    <w:pPr>
      <w:keepNext/>
      <w:jc w:val="center"/>
      <w:outlineLvl w:val="3"/>
    </w:pPr>
    <w:rPr>
      <w:rFonts w:ascii="Arial" w:hAnsi="Arial" w:cs="Arial"/>
      <w:b/>
      <w:bCs/>
      <w:color w:val="0000FF"/>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6E43FB"/>
    <w:rPr>
      <w:rFonts w:ascii="Arial" w:eastAsia="Times New Roman" w:hAnsi="Arial" w:cs="Arial"/>
      <w:b/>
      <w:bCs/>
      <w:color w:val="0000FF"/>
      <w:sz w:val="24"/>
      <w:szCs w:val="20"/>
      <w:lang w:val="en-US" w:eastAsia="en-GB"/>
    </w:rPr>
  </w:style>
  <w:style w:type="paragraph" w:styleId="NoSpacing">
    <w:name w:val="No Spacing"/>
    <w:uiPriority w:val="1"/>
    <w:qFormat/>
    <w:rsid w:val="006E43FB"/>
    <w:pPr>
      <w:spacing w:after="0" w:line="240" w:lineRule="auto"/>
    </w:pPr>
    <w:rPr>
      <w:rFonts w:ascii="Calibri" w:eastAsia="Calibri" w:hAnsi="Calibri" w:cs="Times New Roman"/>
    </w:rPr>
  </w:style>
  <w:style w:type="table" w:styleId="TableGrid">
    <w:name w:val="Table Grid"/>
    <w:basedOn w:val="TableNormal"/>
    <w:uiPriority w:val="99"/>
    <w:rsid w:val="006E43FB"/>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uiPriority w:val="99"/>
    <w:locked/>
    <w:rsid w:val="006E43FB"/>
    <w:rPr>
      <w:rFonts w:ascii="Times New Roman" w:hAnsi="Times New Roman"/>
      <w:lang w:val="en-US"/>
    </w:rPr>
  </w:style>
  <w:style w:type="paragraph" w:styleId="CommentText">
    <w:name w:val="annotation text"/>
    <w:basedOn w:val="Normal"/>
    <w:link w:val="CommentTextChar"/>
    <w:uiPriority w:val="99"/>
    <w:rsid w:val="006E43FB"/>
    <w:rPr>
      <w:rFonts w:ascii="Times New Roman" w:eastAsiaTheme="minorHAnsi" w:hAnsi="Times New Roman" w:cstheme="minorBidi"/>
      <w:sz w:val="22"/>
      <w:szCs w:val="22"/>
    </w:rPr>
  </w:style>
  <w:style w:type="character" w:customStyle="1" w:styleId="CommentTextChar1">
    <w:name w:val="Comment Text Char1"/>
    <w:basedOn w:val="DefaultParagraphFont"/>
    <w:uiPriority w:val="99"/>
    <w:semiHidden/>
    <w:rsid w:val="006E43FB"/>
    <w:rPr>
      <w:rFonts w:ascii="Cambria" w:eastAsia="Times New Roman" w:hAnsi="Cambria" w:cs="Times New Roman"/>
      <w:sz w:val="20"/>
      <w:szCs w:val="20"/>
      <w:lang w:val="en-US"/>
    </w:rPr>
  </w:style>
  <w:style w:type="paragraph" w:styleId="Header">
    <w:name w:val="header"/>
    <w:basedOn w:val="Normal"/>
    <w:link w:val="HeaderChar"/>
    <w:uiPriority w:val="99"/>
    <w:unhideWhenUsed/>
    <w:rsid w:val="005E240F"/>
    <w:pPr>
      <w:tabs>
        <w:tab w:val="center" w:pos="4513"/>
        <w:tab w:val="right" w:pos="9026"/>
      </w:tabs>
    </w:pPr>
  </w:style>
  <w:style w:type="character" w:customStyle="1" w:styleId="HeaderChar">
    <w:name w:val="Header Char"/>
    <w:basedOn w:val="DefaultParagraphFont"/>
    <w:link w:val="Header"/>
    <w:uiPriority w:val="99"/>
    <w:rsid w:val="005E240F"/>
    <w:rPr>
      <w:rFonts w:ascii="Cambria" w:eastAsia="Times New Roman" w:hAnsi="Cambria" w:cs="Times New Roman"/>
      <w:sz w:val="24"/>
      <w:szCs w:val="24"/>
      <w:lang w:val="en-US"/>
    </w:rPr>
  </w:style>
  <w:style w:type="paragraph" w:styleId="Footer">
    <w:name w:val="footer"/>
    <w:basedOn w:val="Normal"/>
    <w:link w:val="FooterChar"/>
    <w:uiPriority w:val="99"/>
    <w:unhideWhenUsed/>
    <w:rsid w:val="005E240F"/>
    <w:pPr>
      <w:tabs>
        <w:tab w:val="center" w:pos="4513"/>
        <w:tab w:val="right" w:pos="9026"/>
      </w:tabs>
    </w:pPr>
  </w:style>
  <w:style w:type="character" w:customStyle="1" w:styleId="FooterChar">
    <w:name w:val="Footer Char"/>
    <w:basedOn w:val="DefaultParagraphFont"/>
    <w:link w:val="Footer"/>
    <w:uiPriority w:val="99"/>
    <w:rsid w:val="005E240F"/>
    <w:rPr>
      <w:rFonts w:ascii="Cambria" w:eastAsia="Times New Roman" w:hAnsi="Cambri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453</Words>
  <Characters>2583</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Milne, Emma [HMPS]</dc:creator>
  <cp:keywords/>
  <dc:description/>
  <cp:lastModifiedBy>Tedder, Charlotte [NOMS]</cp:lastModifiedBy>
  <cp:revision>2</cp:revision>
  <dcterms:created xsi:type="dcterms:W3CDTF">2022-06-08T09:59:00Z</dcterms:created>
  <dcterms:modified xsi:type="dcterms:W3CDTF">2022-06-08T09:59:00Z</dcterms:modified>
</cp:coreProperties>
</file>