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D4D7B" w14:textId="44FC55F4" w:rsidR="00BA4587" w:rsidRPr="00762DC4" w:rsidRDefault="00BA4587" w:rsidP="00BA4587">
      <w:pPr>
        <w:pStyle w:val="ListParagraph"/>
        <w:jc w:val="right"/>
        <w:rPr>
          <w:rFonts w:ascii="Arial" w:hAnsi="Arial" w:cs="Arial"/>
          <w:b/>
          <w:bCs/>
          <w:sz w:val="22"/>
          <w:szCs w:val="22"/>
        </w:rPr>
      </w:pPr>
      <w:r w:rsidRPr="00762DC4">
        <w:rPr>
          <w:rFonts w:ascii="Arial" w:hAnsi="Arial" w:cs="Arial"/>
          <w:b/>
          <w:bCs/>
          <w:noProof/>
          <w:sz w:val="22"/>
          <w:szCs w:val="22"/>
        </w:rPr>
        <w:drawing>
          <wp:anchor distT="0" distB="0" distL="114300" distR="114300" simplePos="0" relativeHeight="251659264" behindDoc="1" locked="1" layoutInCell="1" allowOverlap="1" wp14:anchorId="55B4E2C1" wp14:editId="523545C7">
            <wp:simplePos x="0" y="0"/>
            <wp:positionH relativeFrom="page">
              <wp:posOffset>247650</wp:posOffset>
            </wp:positionH>
            <wp:positionV relativeFrom="topMargin">
              <wp:posOffset>191770</wp:posOffset>
            </wp:positionV>
            <wp:extent cx="1543050" cy="728345"/>
            <wp:effectExtent l="0" t="0" r="0" b="0"/>
            <wp:wrapSquare wrapText="bothSides"/>
            <wp:docPr id="486"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62DC4">
        <w:rPr>
          <w:rFonts w:ascii="Arial" w:hAnsi="Arial" w:cs="Arial"/>
          <w:b/>
          <w:bCs/>
          <w:sz w:val="22"/>
          <w:szCs w:val="22"/>
        </w:rPr>
        <w:t xml:space="preserve">SEARCH PROCEDURE </w:t>
      </w:r>
      <w:r w:rsidR="00762DC4" w:rsidRPr="00762DC4">
        <w:rPr>
          <w:rFonts w:ascii="Arial" w:hAnsi="Arial" w:cs="Arial"/>
          <w:b/>
          <w:bCs/>
          <w:sz w:val="22"/>
          <w:szCs w:val="22"/>
        </w:rPr>
        <w:t xml:space="preserve">ANNEX </w:t>
      </w:r>
      <w:r w:rsidR="00501C69">
        <w:rPr>
          <w:rFonts w:ascii="Arial" w:hAnsi="Arial" w:cs="Arial"/>
          <w:b/>
          <w:bCs/>
          <w:sz w:val="22"/>
          <w:szCs w:val="22"/>
        </w:rPr>
        <w:t>O</w:t>
      </w:r>
    </w:p>
    <w:p w14:paraId="7AC56D0E" w14:textId="77777777" w:rsidR="00BA4587" w:rsidRPr="007C11AA" w:rsidRDefault="00BA4587" w:rsidP="007C11AA">
      <w:pPr>
        <w:rPr>
          <w:rFonts w:ascii="Arial" w:hAnsi="Arial" w:cs="Arial"/>
          <w:b/>
          <w:bCs/>
        </w:rPr>
      </w:pPr>
    </w:p>
    <w:tbl>
      <w:tblPr>
        <w:tblStyle w:val="TableGrid"/>
        <w:tblW w:w="0" w:type="auto"/>
        <w:tblInd w:w="-5" w:type="dxa"/>
        <w:tblLook w:val="04A0" w:firstRow="1" w:lastRow="0" w:firstColumn="1" w:lastColumn="0" w:noHBand="0" w:noVBand="1"/>
      </w:tblPr>
      <w:tblGrid>
        <w:gridCol w:w="8923"/>
      </w:tblGrid>
      <w:tr w:rsidR="00BA4587" w14:paraId="257541D6" w14:textId="77777777" w:rsidTr="00E760A7">
        <w:tc>
          <w:tcPr>
            <w:tcW w:w="8923" w:type="dxa"/>
            <w:shd w:val="clear" w:color="auto" w:fill="D9D9D9" w:themeFill="background1" w:themeFillShade="D9"/>
          </w:tcPr>
          <w:p w14:paraId="02F5A987" w14:textId="77777777" w:rsidR="00BA4587" w:rsidRDefault="00BA4587" w:rsidP="00E760A7">
            <w:pPr>
              <w:pStyle w:val="Heading4"/>
              <w:outlineLvl w:val="3"/>
            </w:pPr>
            <w:bookmarkStart w:id="0" w:name="_INTERNAL_PERIMETER"/>
            <w:bookmarkEnd w:id="0"/>
            <w:r w:rsidRPr="00501C69">
              <w:rPr>
                <w:color w:val="auto"/>
              </w:rPr>
              <w:t>INTERNAL PERIMETER</w:t>
            </w:r>
          </w:p>
        </w:tc>
      </w:tr>
    </w:tbl>
    <w:p w14:paraId="1E6B8584" w14:textId="77777777" w:rsidR="00BA4587" w:rsidRDefault="00BA4587" w:rsidP="00BA4587">
      <w:pPr>
        <w:rPr>
          <w:lang w:val="en-GB" w:eastAsia="en-GB"/>
        </w:rPr>
      </w:pPr>
    </w:p>
    <w:tbl>
      <w:tblPr>
        <w:tblStyle w:val="TableGrid"/>
        <w:tblW w:w="0" w:type="auto"/>
        <w:tblLook w:val="04A0" w:firstRow="1" w:lastRow="0" w:firstColumn="1" w:lastColumn="0" w:noHBand="0" w:noVBand="1"/>
      </w:tblPr>
      <w:tblGrid>
        <w:gridCol w:w="1838"/>
        <w:gridCol w:w="7080"/>
      </w:tblGrid>
      <w:tr w:rsidR="00BA4587" w14:paraId="03FE6211" w14:textId="77777777" w:rsidTr="00E760A7">
        <w:tc>
          <w:tcPr>
            <w:tcW w:w="1838" w:type="dxa"/>
            <w:shd w:val="clear" w:color="auto" w:fill="BFBFBF" w:themeFill="background1" w:themeFillShade="BF"/>
          </w:tcPr>
          <w:p w14:paraId="1DEDCA1C" w14:textId="77777777" w:rsidR="00BA4587" w:rsidRPr="001234B7" w:rsidRDefault="00BA4587" w:rsidP="00E760A7">
            <w:pPr>
              <w:jc w:val="center"/>
              <w:rPr>
                <w:rFonts w:ascii="Arial" w:hAnsi="Arial" w:cs="Arial"/>
                <w:b/>
                <w:lang w:val="en-GB"/>
              </w:rPr>
            </w:pPr>
          </w:p>
          <w:p w14:paraId="466F4DA4" w14:textId="77777777" w:rsidR="00BA4587" w:rsidRPr="001234B7" w:rsidRDefault="00BA4587" w:rsidP="00E760A7">
            <w:pPr>
              <w:jc w:val="center"/>
              <w:rPr>
                <w:rFonts w:ascii="Arial" w:hAnsi="Arial" w:cs="Arial"/>
                <w:b/>
                <w:lang w:val="en-GB"/>
              </w:rPr>
            </w:pPr>
            <w:r w:rsidRPr="001234B7">
              <w:rPr>
                <w:rFonts w:ascii="Arial" w:hAnsi="Arial" w:cs="Arial"/>
                <w:b/>
                <w:lang w:val="en-GB"/>
              </w:rPr>
              <w:t>STEP</w:t>
            </w:r>
          </w:p>
          <w:p w14:paraId="370272A2" w14:textId="77777777" w:rsidR="00BA4587" w:rsidRPr="001234B7" w:rsidRDefault="00BA4587" w:rsidP="00E760A7">
            <w:pPr>
              <w:jc w:val="both"/>
              <w:rPr>
                <w:rFonts w:ascii="Arial" w:hAnsi="Arial" w:cs="Arial"/>
                <w:lang w:val="en-GB"/>
              </w:rPr>
            </w:pPr>
          </w:p>
        </w:tc>
        <w:tc>
          <w:tcPr>
            <w:tcW w:w="7080" w:type="dxa"/>
            <w:shd w:val="clear" w:color="auto" w:fill="BFBFBF" w:themeFill="background1" w:themeFillShade="BF"/>
          </w:tcPr>
          <w:p w14:paraId="73F47376" w14:textId="77777777" w:rsidR="00BA4587" w:rsidRPr="001234B7" w:rsidRDefault="00BA4587" w:rsidP="00E760A7">
            <w:pPr>
              <w:pStyle w:val="Heading3"/>
              <w:jc w:val="center"/>
              <w:outlineLvl w:val="2"/>
              <w:rPr>
                <w:rFonts w:ascii="Arial" w:hAnsi="Arial" w:cs="Arial"/>
                <w:sz w:val="24"/>
                <w:szCs w:val="24"/>
              </w:rPr>
            </w:pPr>
            <w:bookmarkStart w:id="1" w:name="_INTERNAL_PERIMETER_CHECK"/>
            <w:bookmarkStart w:id="2" w:name="_SEARCHING_PROCEDURE_24"/>
            <w:bookmarkEnd w:id="1"/>
            <w:bookmarkEnd w:id="2"/>
            <w:r w:rsidRPr="001234B7">
              <w:rPr>
                <w:rFonts w:ascii="Arial" w:hAnsi="Arial" w:cs="Arial"/>
                <w:sz w:val="24"/>
                <w:szCs w:val="24"/>
              </w:rPr>
              <w:t xml:space="preserve"> INTERNAL PERIMETER </w:t>
            </w:r>
          </w:p>
        </w:tc>
      </w:tr>
      <w:tr w:rsidR="00BA4587" w14:paraId="2050C6C4" w14:textId="77777777" w:rsidTr="00E760A7">
        <w:tc>
          <w:tcPr>
            <w:tcW w:w="1838" w:type="dxa"/>
          </w:tcPr>
          <w:p w14:paraId="5104E4BD" w14:textId="77777777" w:rsidR="00BA4587" w:rsidRDefault="00BA4587" w:rsidP="00E760A7">
            <w:pPr>
              <w:jc w:val="center"/>
              <w:rPr>
                <w:rFonts w:ascii="Arial" w:hAnsi="Arial" w:cs="Arial"/>
                <w:sz w:val="22"/>
                <w:szCs w:val="22"/>
                <w:lang w:val="en-GB"/>
              </w:rPr>
            </w:pPr>
            <w:r w:rsidRPr="00873815">
              <w:rPr>
                <w:rFonts w:ascii="Algerian" w:hAnsi="Algerian" w:cs="Arial"/>
                <w:sz w:val="40"/>
                <w:szCs w:val="40"/>
                <w:lang w:val="en-GB"/>
              </w:rPr>
              <w:t>1</w:t>
            </w:r>
          </w:p>
        </w:tc>
        <w:tc>
          <w:tcPr>
            <w:tcW w:w="7080" w:type="dxa"/>
          </w:tcPr>
          <w:p w14:paraId="43C81A33" w14:textId="77777777" w:rsidR="00BA4587" w:rsidRDefault="00BA4587" w:rsidP="00E760A7">
            <w:pPr>
              <w:rPr>
                <w:rFonts w:ascii="Arial" w:hAnsi="Arial" w:cs="Arial"/>
                <w:sz w:val="22"/>
                <w:szCs w:val="22"/>
              </w:rPr>
            </w:pPr>
            <w:r>
              <w:rPr>
                <w:rFonts w:ascii="Arial" w:hAnsi="Arial" w:cs="Arial"/>
                <w:sz w:val="22"/>
                <w:szCs w:val="22"/>
              </w:rPr>
              <w:t xml:space="preserve">Proceed round the inner perimeter until you return to the main gate. </w:t>
            </w:r>
          </w:p>
          <w:p w14:paraId="6EA1F3CF" w14:textId="77777777" w:rsidR="00BA4587" w:rsidRDefault="00BA4587" w:rsidP="00E760A7">
            <w:pPr>
              <w:rPr>
                <w:rFonts w:ascii="Arial" w:hAnsi="Arial" w:cs="Arial"/>
                <w:sz w:val="22"/>
                <w:szCs w:val="22"/>
              </w:rPr>
            </w:pPr>
          </w:p>
          <w:p w14:paraId="561351DF" w14:textId="77777777" w:rsidR="00BA4587" w:rsidRDefault="00BA4587" w:rsidP="00E760A7">
            <w:pPr>
              <w:rPr>
                <w:rFonts w:ascii="Arial" w:hAnsi="Arial" w:cs="Arial"/>
                <w:sz w:val="22"/>
                <w:szCs w:val="22"/>
              </w:rPr>
            </w:pPr>
            <w:r>
              <w:rPr>
                <w:rFonts w:ascii="Arial" w:hAnsi="Arial" w:cs="Arial"/>
                <w:sz w:val="22"/>
                <w:szCs w:val="22"/>
              </w:rPr>
              <w:t xml:space="preserve">Ensure that you have an evidence bag, sterile </w:t>
            </w:r>
            <w:proofErr w:type="gramStart"/>
            <w:r>
              <w:rPr>
                <w:rFonts w:ascii="Arial" w:hAnsi="Arial" w:cs="Arial"/>
                <w:sz w:val="22"/>
                <w:szCs w:val="22"/>
              </w:rPr>
              <w:t>gloves</w:t>
            </w:r>
            <w:proofErr w:type="gramEnd"/>
            <w:r>
              <w:rPr>
                <w:rFonts w:ascii="Arial" w:hAnsi="Arial" w:cs="Arial"/>
                <w:sz w:val="22"/>
                <w:szCs w:val="22"/>
              </w:rPr>
              <w:t xml:space="preserve"> and a radio in possession. </w:t>
            </w:r>
          </w:p>
          <w:p w14:paraId="3E38B3A6" w14:textId="77777777" w:rsidR="00BA4587" w:rsidRPr="002861FB" w:rsidRDefault="00BA4587" w:rsidP="00E760A7">
            <w:pPr>
              <w:rPr>
                <w:rFonts w:ascii="Arial" w:hAnsi="Arial" w:cs="Arial"/>
                <w:bCs/>
                <w:lang w:val="en-GB"/>
              </w:rPr>
            </w:pPr>
          </w:p>
        </w:tc>
      </w:tr>
      <w:tr w:rsidR="00BA4587" w14:paraId="2036F9A8" w14:textId="77777777" w:rsidTr="00E760A7">
        <w:tc>
          <w:tcPr>
            <w:tcW w:w="1838" w:type="dxa"/>
          </w:tcPr>
          <w:p w14:paraId="55E6106A" w14:textId="77777777" w:rsidR="00BA4587" w:rsidRDefault="00BA4587" w:rsidP="00E760A7">
            <w:pPr>
              <w:jc w:val="center"/>
              <w:rPr>
                <w:rFonts w:ascii="Arial" w:hAnsi="Arial" w:cs="Arial"/>
                <w:sz w:val="22"/>
                <w:szCs w:val="22"/>
                <w:lang w:val="en-GB"/>
              </w:rPr>
            </w:pPr>
            <w:r w:rsidRPr="00873815">
              <w:rPr>
                <w:rFonts w:ascii="Algerian" w:hAnsi="Algerian" w:cs="Arial"/>
                <w:sz w:val="40"/>
                <w:szCs w:val="40"/>
                <w:lang w:val="en-GB"/>
              </w:rPr>
              <w:t>2</w:t>
            </w:r>
          </w:p>
        </w:tc>
        <w:tc>
          <w:tcPr>
            <w:tcW w:w="7080" w:type="dxa"/>
          </w:tcPr>
          <w:p w14:paraId="761089B9" w14:textId="77777777" w:rsidR="00BA4587" w:rsidRDefault="00BA4587" w:rsidP="00E760A7">
            <w:pPr>
              <w:rPr>
                <w:sz w:val="22"/>
                <w:szCs w:val="22"/>
              </w:rPr>
            </w:pPr>
            <w:r>
              <w:rPr>
                <w:rFonts w:ascii="Arial" w:hAnsi="Arial" w:cs="Arial"/>
                <w:sz w:val="22"/>
                <w:szCs w:val="22"/>
              </w:rPr>
              <w:t xml:space="preserve">Observe the ground surface of the sterile area to ensure it is clear of excessive plant growth, which might muffle sound or obstruct visibility and reduce the effectiveness of microwave alarms (if fitted). </w:t>
            </w:r>
          </w:p>
          <w:p w14:paraId="73806887" w14:textId="77777777" w:rsidR="00BA4587" w:rsidRPr="002861FB" w:rsidRDefault="00BA4587" w:rsidP="00E760A7">
            <w:pPr>
              <w:rPr>
                <w:rFonts w:ascii="Arial" w:hAnsi="Arial" w:cs="Arial"/>
                <w:lang w:val="en-GB"/>
              </w:rPr>
            </w:pPr>
          </w:p>
        </w:tc>
      </w:tr>
      <w:tr w:rsidR="00BA4587" w14:paraId="7A8A7174" w14:textId="77777777" w:rsidTr="00E760A7">
        <w:tc>
          <w:tcPr>
            <w:tcW w:w="1838" w:type="dxa"/>
          </w:tcPr>
          <w:p w14:paraId="78146A2F" w14:textId="77777777" w:rsidR="00BA4587" w:rsidRDefault="00BA4587" w:rsidP="00E760A7">
            <w:pPr>
              <w:jc w:val="center"/>
              <w:rPr>
                <w:rFonts w:ascii="Arial" w:hAnsi="Arial" w:cs="Arial"/>
                <w:sz w:val="22"/>
                <w:szCs w:val="22"/>
                <w:lang w:val="en-GB"/>
              </w:rPr>
            </w:pPr>
            <w:r w:rsidRPr="00873815">
              <w:rPr>
                <w:rFonts w:ascii="Algerian" w:hAnsi="Algerian" w:cs="Arial"/>
                <w:sz w:val="40"/>
                <w:szCs w:val="40"/>
                <w:lang w:val="en-GB"/>
              </w:rPr>
              <w:t>3</w:t>
            </w:r>
          </w:p>
        </w:tc>
        <w:tc>
          <w:tcPr>
            <w:tcW w:w="7080" w:type="dxa"/>
          </w:tcPr>
          <w:p w14:paraId="423A8A34" w14:textId="77777777" w:rsidR="00BA4587" w:rsidRDefault="00BA4587" w:rsidP="00E760A7">
            <w:pPr>
              <w:rPr>
                <w:rFonts w:ascii="Arial" w:hAnsi="Arial" w:cs="Arial"/>
                <w:sz w:val="22"/>
                <w:szCs w:val="22"/>
              </w:rPr>
            </w:pPr>
            <w:r>
              <w:rPr>
                <w:rFonts w:ascii="Arial" w:hAnsi="Arial" w:cs="Arial"/>
                <w:sz w:val="22"/>
                <w:szCs w:val="22"/>
              </w:rPr>
              <w:t xml:space="preserve">Check the inner perimeter for any signs of damage or other interference </w:t>
            </w:r>
          </w:p>
          <w:p w14:paraId="5AD4D3EA" w14:textId="77777777" w:rsidR="00BA4587" w:rsidRDefault="00BA4587" w:rsidP="00E760A7">
            <w:pPr>
              <w:rPr>
                <w:rFonts w:ascii="Arial" w:hAnsi="Arial" w:cs="Arial"/>
                <w:sz w:val="22"/>
                <w:szCs w:val="22"/>
              </w:rPr>
            </w:pPr>
            <w:r>
              <w:rPr>
                <w:rFonts w:ascii="Arial" w:hAnsi="Arial" w:cs="Arial"/>
                <w:sz w:val="22"/>
                <w:szCs w:val="22"/>
              </w:rPr>
              <w:t xml:space="preserve">Ensure the area adjacent to the perimeter is free from obstruction or potential escape materials. </w:t>
            </w:r>
          </w:p>
          <w:p w14:paraId="31D2AED8" w14:textId="77777777" w:rsidR="00BA4587" w:rsidRPr="00034F0C" w:rsidRDefault="00BA4587" w:rsidP="00E760A7">
            <w:pPr>
              <w:rPr>
                <w:rFonts w:ascii="Arial" w:hAnsi="Arial" w:cs="Arial"/>
                <w:i/>
                <w:sz w:val="22"/>
                <w:szCs w:val="22"/>
              </w:rPr>
            </w:pPr>
          </w:p>
        </w:tc>
      </w:tr>
      <w:tr w:rsidR="00BA4587" w14:paraId="61FF1236" w14:textId="77777777" w:rsidTr="00E760A7">
        <w:tc>
          <w:tcPr>
            <w:tcW w:w="1838" w:type="dxa"/>
          </w:tcPr>
          <w:p w14:paraId="2C2F58F1" w14:textId="77777777" w:rsidR="00BA4587" w:rsidRDefault="00BA4587" w:rsidP="00E760A7">
            <w:pPr>
              <w:jc w:val="center"/>
              <w:rPr>
                <w:rFonts w:ascii="Arial" w:hAnsi="Arial" w:cs="Arial"/>
                <w:sz w:val="22"/>
                <w:szCs w:val="22"/>
                <w:lang w:val="en-GB"/>
              </w:rPr>
            </w:pPr>
            <w:r w:rsidRPr="00873815">
              <w:rPr>
                <w:rFonts w:ascii="Algerian" w:hAnsi="Algerian" w:cs="Arial"/>
                <w:sz w:val="40"/>
                <w:szCs w:val="40"/>
                <w:lang w:val="en-GB"/>
              </w:rPr>
              <w:t>4</w:t>
            </w:r>
          </w:p>
        </w:tc>
        <w:tc>
          <w:tcPr>
            <w:tcW w:w="7080" w:type="dxa"/>
          </w:tcPr>
          <w:p w14:paraId="2F73DB4F" w14:textId="77777777" w:rsidR="00BA4587" w:rsidRDefault="00BA4587" w:rsidP="00E760A7">
            <w:pPr>
              <w:rPr>
                <w:sz w:val="22"/>
                <w:szCs w:val="22"/>
              </w:rPr>
            </w:pPr>
            <w:r>
              <w:rPr>
                <w:rFonts w:ascii="Arial" w:hAnsi="Arial" w:cs="Arial"/>
                <w:sz w:val="22"/>
                <w:szCs w:val="22"/>
              </w:rPr>
              <w:t xml:space="preserve">Check that any fittings passing through the perimeter are secure (e.g., fuel lines to a boiler house). </w:t>
            </w:r>
          </w:p>
          <w:p w14:paraId="0AB143AA" w14:textId="77777777" w:rsidR="00BA4587" w:rsidRDefault="00BA4587" w:rsidP="00E760A7">
            <w:pPr>
              <w:rPr>
                <w:sz w:val="22"/>
                <w:szCs w:val="22"/>
              </w:rPr>
            </w:pPr>
            <w:r>
              <w:rPr>
                <w:rFonts w:ascii="Arial" w:hAnsi="Arial" w:cs="Arial"/>
                <w:sz w:val="22"/>
                <w:szCs w:val="22"/>
              </w:rPr>
              <w:t xml:space="preserve">On completion of the circuit of the sterile area return to the main gate. </w:t>
            </w:r>
          </w:p>
          <w:p w14:paraId="4D7D7BB1" w14:textId="77777777" w:rsidR="00BA4587" w:rsidRPr="00034F0C" w:rsidRDefault="00BA4587" w:rsidP="00E760A7">
            <w:pPr>
              <w:rPr>
                <w:rFonts w:ascii="Arial" w:hAnsi="Arial" w:cs="Arial"/>
                <w:sz w:val="22"/>
                <w:szCs w:val="22"/>
              </w:rPr>
            </w:pPr>
          </w:p>
        </w:tc>
      </w:tr>
      <w:tr w:rsidR="00BA4587" w14:paraId="26E9A538" w14:textId="77777777" w:rsidTr="00E760A7">
        <w:trPr>
          <w:trHeight w:val="722"/>
        </w:trPr>
        <w:tc>
          <w:tcPr>
            <w:tcW w:w="1838" w:type="dxa"/>
          </w:tcPr>
          <w:p w14:paraId="116A8473" w14:textId="77777777" w:rsidR="00BA4587" w:rsidRDefault="00BA4587" w:rsidP="00E760A7">
            <w:pPr>
              <w:jc w:val="center"/>
              <w:rPr>
                <w:rFonts w:ascii="Arial" w:hAnsi="Arial" w:cs="Arial"/>
                <w:sz w:val="22"/>
                <w:szCs w:val="22"/>
                <w:lang w:val="en-GB"/>
              </w:rPr>
            </w:pPr>
            <w:r w:rsidRPr="00873815">
              <w:rPr>
                <w:rFonts w:ascii="Algerian" w:hAnsi="Algerian" w:cs="Arial"/>
                <w:sz w:val="40"/>
                <w:szCs w:val="40"/>
                <w:lang w:val="en-GB"/>
              </w:rPr>
              <w:t>5</w:t>
            </w:r>
          </w:p>
        </w:tc>
        <w:tc>
          <w:tcPr>
            <w:tcW w:w="7080" w:type="dxa"/>
          </w:tcPr>
          <w:p w14:paraId="3E67F9A8" w14:textId="77777777" w:rsidR="00BA4587" w:rsidRDefault="00BA4587" w:rsidP="00E760A7">
            <w:pPr>
              <w:rPr>
                <w:rFonts w:ascii="Arial" w:hAnsi="Arial" w:cs="Arial"/>
                <w:sz w:val="22"/>
                <w:szCs w:val="22"/>
              </w:rPr>
            </w:pPr>
            <w:r>
              <w:rPr>
                <w:rFonts w:ascii="Arial" w:hAnsi="Arial" w:cs="Arial"/>
                <w:sz w:val="22"/>
                <w:szCs w:val="22"/>
              </w:rPr>
              <w:t xml:space="preserve">If a security breach is discovered at any point during the check, remain with it and summon assistance without drawing the attention of prisoners to the breach. </w:t>
            </w:r>
          </w:p>
          <w:p w14:paraId="35E17F9E" w14:textId="77777777" w:rsidR="00BA4587" w:rsidRPr="00034F0C" w:rsidRDefault="00BA4587" w:rsidP="00E760A7">
            <w:pPr>
              <w:rPr>
                <w:rFonts w:ascii="Arial" w:hAnsi="Arial" w:cs="Arial"/>
                <w:sz w:val="22"/>
                <w:szCs w:val="22"/>
              </w:rPr>
            </w:pPr>
          </w:p>
        </w:tc>
      </w:tr>
      <w:tr w:rsidR="00BA4587" w14:paraId="750B395A" w14:textId="77777777" w:rsidTr="00E760A7">
        <w:trPr>
          <w:trHeight w:val="70"/>
        </w:trPr>
        <w:tc>
          <w:tcPr>
            <w:tcW w:w="1838" w:type="dxa"/>
          </w:tcPr>
          <w:p w14:paraId="6C74207F" w14:textId="77777777" w:rsidR="00BA4587" w:rsidRDefault="00BA4587" w:rsidP="00E760A7">
            <w:pPr>
              <w:jc w:val="center"/>
              <w:rPr>
                <w:noProof/>
              </w:rPr>
            </w:pPr>
            <w:r w:rsidRPr="00873815">
              <w:rPr>
                <w:rFonts w:ascii="Algerian" w:hAnsi="Algerian"/>
                <w:noProof/>
                <w:sz w:val="40"/>
                <w:szCs w:val="40"/>
              </w:rPr>
              <w:t>6</w:t>
            </w:r>
          </w:p>
        </w:tc>
        <w:tc>
          <w:tcPr>
            <w:tcW w:w="7080" w:type="dxa"/>
          </w:tcPr>
          <w:p w14:paraId="3E0F8918" w14:textId="77777777" w:rsidR="00BA4587" w:rsidRPr="002861FB" w:rsidRDefault="00BA4587" w:rsidP="00E760A7">
            <w:pPr>
              <w:rPr>
                <w:rFonts w:ascii="Arial" w:hAnsi="Arial" w:cs="Arial"/>
                <w:bCs/>
                <w:lang w:val="en-GB"/>
              </w:rPr>
            </w:pPr>
            <w:r w:rsidRPr="001972E5">
              <w:rPr>
                <w:rFonts w:ascii="Arial" w:hAnsi="Arial" w:cs="Arial"/>
                <w:sz w:val="22"/>
                <w:szCs w:val="22"/>
                <w:lang w:val="en-GB"/>
              </w:rPr>
              <w:t>If an item is discovered (possible throw over) and it is safe to do so, secure it in an evidence bag ensuring you are wearing gloves. Check the area around out for any other items</w:t>
            </w:r>
          </w:p>
        </w:tc>
      </w:tr>
      <w:tr w:rsidR="00BA4587" w14:paraId="4ED83815" w14:textId="77777777" w:rsidTr="00E760A7">
        <w:trPr>
          <w:trHeight w:val="738"/>
        </w:trPr>
        <w:tc>
          <w:tcPr>
            <w:tcW w:w="1838" w:type="dxa"/>
          </w:tcPr>
          <w:p w14:paraId="4AA43784" w14:textId="77777777" w:rsidR="00BA4587" w:rsidRDefault="00BA4587" w:rsidP="00E760A7">
            <w:pPr>
              <w:jc w:val="center"/>
              <w:rPr>
                <w:rFonts w:ascii="Arial" w:hAnsi="Arial" w:cs="Arial"/>
                <w:sz w:val="22"/>
                <w:szCs w:val="22"/>
                <w:lang w:val="en-GB"/>
              </w:rPr>
            </w:pPr>
            <w:r w:rsidRPr="00873815">
              <w:rPr>
                <w:rFonts w:ascii="Algerian" w:hAnsi="Algerian" w:cs="Arial"/>
                <w:sz w:val="40"/>
                <w:szCs w:val="40"/>
                <w:lang w:val="en-GB"/>
              </w:rPr>
              <w:t>7</w:t>
            </w:r>
          </w:p>
        </w:tc>
        <w:tc>
          <w:tcPr>
            <w:tcW w:w="7080" w:type="dxa"/>
          </w:tcPr>
          <w:p w14:paraId="18F2ACAE" w14:textId="77777777" w:rsidR="00BA4587" w:rsidRDefault="00BA4587" w:rsidP="00E760A7">
            <w:pPr>
              <w:rPr>
                <w:rFonts w:ascii="Arial" w:hAnsi="Arial" w:cs="Arial"/>
                <w:sz w:val="22"/>
                <w:szCs w:val="22"/>
              </w:rPr>
            </w:pPr>
            <w:r>
              <w:rPr>
                <w:rFonts w:ascii="Arial" w:hAnsi="Arial" w:cs="Arial"/>
                <w:sz w:val="22"/>
                <w:szCs w:val="22"/>
              </w:rPr>
              <w:t>On completion of the check, complete the necessary records (sign for the check) and report any minor defects for repair and any potential security breaches to the security department immediately.</w:t>
            </w:r>
          </w:p>
          <w:p w14:paraId="30D74E01" w14:textId="77777777" w:rsidR="00BA4587" w:rsidRPr="001972E5" w:rsidRDefault="00BA4587" w:rsidP="00E760A7">
            <w:pPr>
              <w:tabs>
                <w:tab w:val="left" w:pos="0"/>
                <w:tab w:val="left" w:pos="720"/>
                <w:tab w:val="left" w:pos="2520"/>
              </w:tabs>
              <w:rPr>
                <w:rFonts w:ascii="Arial" w:hAnsi="Arial" w:cs="Arial"/>
                <w:sz w:val="22"/>
                <w:szCs w:val="22"/>
                <w:lang w:val="en-GB"/>
              </w:rPr>
            </w:pPr>
            <w:r>
              <w:rPr>
                <w:rFonts w:ascii="Arial" w:hAnsi="Arial" w:cs="Arial"/>
                <w:sz w:val="22"/>
                <w:szCs w:val="22"/>
              </w:rPr>
              <w:t>If required submit an intelligence report and inform Orderly Officer</w:t>
            </w:r>
          </w:p>
        </w:tc>
      </w:tr>
    </w:tbl>
    <w:p w14:paraId="57EC4E8D" w14:textId="77777777" w:rsidR="00BA4587" w:rsidRPr="001972E5" w:rsidRDefault="00BA4587" w:rsidP="00BA4587">
      <w:pPr>
        <w:rPr>
          <w:lang w:val="en-GB" w:eastAsia="en-GB"/>
        </w:rPr>
      </w:pPr>
    </w:p>
    <w:p w14:paraId="1F8E57A8" w14:textId="77777777" w:rsidR="00BA4587" w:rsidRPr="001234B7" w:rsidRDefault="00BA4587" w:rsidP="00BA4587">
      <w:pPr>
        <w:pStyle w:val="NoSpacing"/>
      </w:pPr>
    </w:p>
    <w:p w14:paraId="32C5991B" w14:textId="77777777" w:rsidR="00BA4587" w:rsidRPr="001234B7" w:rsidRDefault="00BA4587" w:rsidP="00BA4587">
      <w:pPr>
        <w:pStyle w:val="NoSpacing"/>
      </w:pPr>
      <w:r w:rsidRPr="001234B7">
        <w:tab/>
      </w:r>
    </w:p>
    <w:p w14:paraId="618F68D0" w14:textId="77777777" w:rsidR="00BA4587" w:rsidRPr="001234B7" w:rsidRDefault="00BA4587" w:rsidP="00BA4587">
      <w:pPr>
        <w:pStyle w:val="NoSpacing"/>
        <w:rPr>
          <w:highlight w:val="yellow"/>
        </w:rPr>
      </w:pPr>
      <w:bookmarkStart w:id="3" w:name="_ACCOMMODATION_FABRIC_&amp;"/>
      <w:bookmarkStart w:id="4" w:name="_SEARCHING_PROCEDURE_25"/>
      <w:bookmarkEnd w:id="3"/>
      <w:bookmarkEnd w:id="4"/>
    </w:p>
    <w:p w14:paraId="03F31E36" w14:textId="77777777" w:rsidR="002040F7" w:rsidRDefault="002040F7"/>
    <w:sectPr w:rsidR="002040F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A2DFC" w14:textId="77777777" w:rsidR="00762DC4" w:rsidRDefault="00762DC4" w:rsidP="00762DC4">
      <w:r>
        <w:separator/>
      </w:r>
    </w:p>
  </w:endnote>
  <w:endnote w:type="continuationSeparator" w:id="0">
    <w:p w14:paraId="38CCCF34" w14:textId="77777777" w:rsidR="00762DC4" w:rsidRDefault="00762DC4" w:rsidP="00762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F3D13" w14:textId="77777777" w:rsidR="00762DC4" w:rsidRDefault="00762DC4" w:rsidP="00762DC4">
      <w:r>
        <w:separator/>
      </w:r>
    </w:p>
  </w:footnote>
  <w:footnote w:type="continuationSeparator" w:id="0">
    <w:p w14:paraId="0E23D9DF" w14:textId="77777777" w:rsidR="00762DC4" w:rsidRDefault="00762DC4" w:rsidP="00762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44D71" w14:textId="78C91866" w:rsidR="00762DC4" w:rsidRDefault="00762DC4" w:rsidP="00762DC4">
    <w:pPr>
      <w:pStyle w:val="Header"/>
      <w:jc w:val="center"/>
      <w:rPr>
        <w:rFonts w:ascii="Arial" w:hAnsi="Arial" w:cs="Arial"/>
        <w:sz w:val="18"/>
        <w:szCs w:val="18"/>
      </w:rPr>
    </w:pPr>
    <w:r>
      <w:rPr>
        <w:rFonts w:ascii="Arial" w:hAnsi="Arial" w:cs="Arial"/>
        <w:sz w:val="18"/>
        <w:szCs w:val="18"/>
      </w:rPr>
      <w:t>NATIONAL SECURITY FRAM</w:t>
    </w:r>
    <w:r w:rsidR="006A68CF">
      <w:rPr>
        <w:rFonts w:ascii="Arial" w:hAnsi="Arial" w:cs="Arial"/>
        <w:sz w:val="18"/>
        <w:szCs w:val="18"/>
      </w:rPr>
      <w:t>EWORK</w:t>
    </w:r>
  </w:p>
  <w:p w14:paraId="55BA0B4C" w14:textId="06CB5376" w:rsidR="006A68CF" w:rsidRPr="00762DC4" w:rsidRDefault="006A68CF" w:rsidP="00762DC4">
    <w:pPr>
      <w:pStyle w:val="Header"/>
      <w:jc w:val="center"/>
      <w:rPr>
        <w:rFonts w:ascii="Arial" w:hAnsi="Arial" w:cs="Arial"/>
        <w:sz w:val="18"/>
        <w:szCs w:val="18"/>
      </w:rPr>
    </w:pPr>
    <w:r>
      <w:rPr>
        <w:rFonts w:ascii="Arial" w:hAnsi="Arial" w:cs="Arial"/>
        <w:sz w:val="18"/>
        <w:szCs w:val="18"/>
      </w:rPr>
      <w:t>SEARCHING POLICY FRAMEWORK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587"/>
    <w:rsid w:val="002040F7"/>
    <w:rsid w:val="00501C69"/>
    <w:rsid w:val="006A68CF"/>
    <w:rsid w:val="00762DC4"/>
    <w:rsid w:val="007C11AA"/>
    <w:rsid w:val="00BA4587"/>
    <w:rsid w:val="00F426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83B04"/>
  <w15:chartTrackingRefBased/>
  <w15:docId w15:val="{87ED00FA-9C78-4B3F-BFBD-24A93EFF4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587"/>
    <w:pPr>
      <w:spacing w:after="0" w:line="240" w:lineRule="auto"/>
    </w:pPr>
    <w:rPr>
      <w:rFonts w:ascii="Cambria" w:eastAsia="Times New Roman" w:hAnsi="Cambria" w:cs="Times New Roman"/>
      <w:sz w:val="24"/>
      <w:szCs w:val="24"/>
      <w:lang w:val="en-US"/>
    </w:rPr>
  </w:style>
  <w:style w:type="paragraph" w:styleId="Heading3">
    <w:name w:val="heading 3"/>
    <w:basedOn w:val="Normal"/>
    <w:next w:val="Normal"/>
    <w:link w:val="Heading3Char"/>
    <w:uiPriority w:val="99"/>
    <w:qFormat/>
    <w:rsid w:val="00BA4587"/>
    <w:pPr>
      <w:keepNext/>
      <w:spacing w:before="240" w:after="60"/>
      <w:outlineLvl w:val="2"/>
    </w:pPr>
    <w:rPr>
      <w:b/>
      <w:bCs/>
      <w:sz w:val="26"/>
      <w:szCs w:val="26"/>
      <w:lang w:val="en-GB" w:eastAsia="en-GB"/>
    </w:rPr>
  </w:style>
  <w:style w:type="paragraph" w:styleId="Heading4">
    <w:name w:val="heading 4"/>
    <w:basedOn w:val="Normal"/>
    <w:next w:val="Normal"/>
    <w:link w:val="Heading4Char"/>
    <w:uiPriority w:val="99"/>
    <w:qFormat/>
    <w:rsid w:val="00BA4587"/>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BA4587"/>
    <w:rPr>
      <w:rFonts w:ascii="Cambria" w:eastAsia="Times New Roman" w:hAnsi="Cambria" w:cs="Times New Roman"/>
      <w:b/>
      <w:bCs/>
      <w:sz w:val="26"/>
      <w:szCs w:val="26"/>
      <w:lang w:eastAsia="en-GB"/>
    </w:rPr>
  </w:style>
  <w:style w:type="character" w:customStyle="1" w:styleId="Heading4Char">
    <w:name w:val="Heading 4 Char"/>
    <w:basedOn w:val="DefaultParagraphFont"/>
    <w:link w:val="Heading4"/>
    <w:uiPriority w:val="99"/>
    <w:rsid w:val="00BA4587"/>
    <w:rPr>
      <w:rFonts w:ascii="Arial" w:eastAsia="Times New Roman" w:hAnsi="Arial" w:cs="Arial"/>
      <w:b/>
      <w:bCs/>
      <w:color w:val="0000FF"/>
      <w:sz w:val="24"/>
      <w:szCs w:val="20"/>
      <w:lang w:val="en-US" w:eastAsia="en-GB"/>
    </w:rPr>
  </w:style>
  <w:style w:type="paragraph" w:styleId="NoSpacing">
    <w:name w:val="No Spacing"/>
    <w:uiPriority w:val="1"/>
    <w:qFormat/>
    <w:rsid w:val="00BA4587"/>
    <w:pPr>
      <w:spacing w:after="0" w:line="240" w:lineRule="auto"/>
    </w:pPr>
    <w:rPr>
      <w:rFonts w:ascii="Calibri" w:eastAsia="Calibri" w:hAnsi="Calibri" w:cs="Times New Roman"/>
    </w:rPr>
  </w:style>
  <w:style w:type="table" w:styleId="TableGrid">
    <w:name w:val="Table Grid"/>
    <w:basedOn w:val="TableNormal"/>
    <w:uiPriority w:val="99"/>
    <w:rsid w:val="00BA4587"/>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L"/>
    <w:basedOn w:val="Normal"/>
    <w:link w:val="ListParagraphChar"/>
    <w:uiPriority w:val="34"/>
    <w:qFormat/>
    <w:rsid w:val="00BA4587"/>
    <w:pPr>
      <w:ind w:left="720"/>
      <w:contextualSpacing/>
    </w:p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BA4587"/>
    <w:rPr>
      <w:rFonts w:ascii="Cambria" w:eastAsia="Times New Roman" w:hAnsi="Cambria" w:cs="Times New Roman"/>
      <w:sz w:val="24"/>
      <w:szCs w:val="24"/>
      <w:lang w:val="en-US"/>
    </w:rPr>
  </w:style>
  <w:style w:type="paragraph" w:styleId="Header">
    <w:name w:val="header"/>
    <w:basedOn w:val="Normal"/>
    <w:link w:val="HeaderChar"/>
    <w:uiPriority w:val="99"/>
    <w:unhideWhenUsed/>
    <w:rsid w:val="00762DC4"/>
    <w:pPr>
      <w:tabs>
        <w:tab w:val="center" w:pos="4513"/>
        <w:tab w:val="right" w:pos="9026"/>
      </w:tabs>
    </w:pPr>
  </w:style>
  <w:style w:type="character" w:customStyle="1" w:styleId="HeaderChar">
    <w:name w:val="Header Char"/>
    <w:basedOn w:val="DefaultParagraphFont"/>
    <w:link w:val="Header"/>
    <w:uiPriority w:val="99"/>
    <w:rsid w:val="00762DC4"/>
    <w:rPr>
      <w:rFonts w:ascii="Cambria" w:eastAsia="Times New Roman" w:hAnsi="Cambria" w:cs="Times New Roman"/>
      <w:sz w:val="24"/>
      <w:szCs w:val="24"/>
      <w:lang w:val="en-US"/>
    </w:rPr>
  </w:style>
  <w:style w:type="paragraph" w:styleId="Footer">
    <w:name w:val="footer"/>
    <w:basedOn w:val="Normal"/>
    <w:link w:val="FooterChar"/>
    <w:uiPriority w:val="99"/>
    <w:unhideWhenUsed/>
    <w:rsid w:val="00762DC4"/>
    <w:pPr>
      <w:tabs>
        <w:tab w:val="center" w:pos="4513"/>
        <w:tab w:val="right" w:pos="9026"/>
      </w:tabs>
    </w:pPr>
  </w:style>
  <w:style w:type="character" w:customStyle="1" w:styleId="FooterChar">
    <w:name w:val="Footer Char"/>
    <w:basedOn w:val="DefaultParagraphFont"/>
    <w:link w:val="Footer"/>
    <w:uiPriority w:val="99"/>
    <w:rsid w:val="00762DC4"/>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Milne, Emma [HMPS]</cp:lastModifiedBy>
  <cp:revision>6</cp:revision>
  <dcterms:created xsi:type="dcterms:W3CDTF">2022-01-24T14:05:00Z</dcterms:created>
  <dcterms:modified xsi:type="dcterms:W3CDTF">2022-03-30T14:22:00Z</dcterms:modified>
</cp:coreProperties>
</file>