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40"/>
          <w:szCs w:val="40"/>
        </w:rPr>
      </w:pPr>
      <w:bookmarkStart w:colFirst="0" w:colLast="0" w:name="_4sczals9d29j" w:id="0"/>
      <w:bookmarkEnd w:id="0"/>
      <w:r w:rsidDel="00000000" w:rsidR="00000000" w:rsidRPr="00000000">
        <w:rPr>
          <w:rtl w:val="0"/>
        </w:rPr>
      </w:r>
    </w:p>
    <w:p w:rsidR="00000000" w:rsidDel="00000000" w:rsidP="00000000" w:rsidRDefault="00000000" w:rsidRPr="00000000" w14:paraId="00000002">
      <w:pPr>
        <w:pStyle w:val="Title"/>
        <w:rPr/>
      </w:pPr>
      <w:bookmarkStart w:colFirst="0" w:colLast="0" w:name="_6p1cmwdmz4f" w:id="1"/>
      <w:bookmarkEnd w:id="1"/>
      <w:r w:rsidDel="00000000" w:rsidR="00000000" w:rsidRPr="00000000">
        <w:rPr>
          <w:rtl w:val="0"/>
        </w:rPr>
        <w:t xml:space="preserve">Evaluation Task Force Output and Outcome Indicators (March 2025)</w:t>
      </w:r>
    </w:p>
    <w:p w:rsidR="00000000" w:rsidDel="00000000" w:rsidP="00000000" w:rsidRDefault="00000000" w:rsidRPr="00000000" w14:paraId="00000003">
      <w:pPr>
        <w:rPr>
          <w:color w:val="0b0c0c"/>
          <w:highlight w:val="white"/>
        </w:rPr>
      </w:pPr>
      <w:r w:rsidDel="00000000" w:rsidR="00000000" w:rsidRPr="00000000">
        <w:rPr>
          <w:rtl w:val="0"/>
        </w:rPr>
      </w:r>
    </w:p>
    <w:p w:rsidR="00000000" w:rsidDel="00000000" w:rsidP="00000000" w:rsidRDefault="00000000" w:rsidRPr="00000000" w14:paraId="00000004">
      <w:pPr>
        <w:shd w:fill="ffffff" w:val="clear"/>
        <w:spacing w:after="300" w:line="315.7896" w:lineRule="auto"/>
        <w:rPr>
          <w:color w:val="0b0c0c"/>
          <w:sz w:val="24"/>
          <w:szCs w:val="24"/>
          <w:highlight w:val="white"/>
        </w:rPr>
      </w:pPr>
      <w:r w:rsidDel="00000000" w:rsidR="00000000" w:rsidRPr="00000000">
        <w:rPr>
          <w:color w:val="0b0c0c"/>
          <w:sz w:val="24"/>
          <w:szCs w:val="24"/>
          <w:highlight w:val="white"/>
          <w:rtl w:val="0"/>
        </w:rPr>
        <w:t xml:space="preserve">This report provides an update on progress against the Evaluation Task Force’s (ETF) output and outcome indicators. As outlined in the </w:t>
      </w:r>
      <w:hyperlink r:id="rId6">
        <w:r w:rsidDel="00000000" w:rsidR="00000000" w:rsidRPr="00000000">
          <w:rPr>
            <w:color w:val="1d70b8"/>
            <w:sz w:val="24"/>
            <w:szCs w:val="24"/>
            <w:highlight w:val="white"/>
            <w:u w:val="single"/>
            <w:rtl w:val="0"/>
          </w:rPr>
          <w:t xml:space="preserve">Evaluation Task Force Strategy</w:t>
        </w:r>
      </w:hyperlink>
      <w:r w:rsidDel="00000000" w:rsidR="00000000" w:rsidRPr="00000000">
        <w:rPr>
          <w:color w:val="0b0c0c"/>
          <w:sz w:val="24"/>
          <w:szCs w:val="24"/>
          <w:highlight w:val="white"/>
          <w:rtl w:val="0"/>
        </w:rPr>
        <w:t xml:space="preserve">, the ETF monitors progress against a range of output and outcome indicators, which are designed to track activity across government that aims to:</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15.7896" w:lineRule="auto"/>
        <w:ind w:left="1020" w:hanging="360"/>
        <w:rPr>
          <w:sz w:val="24"/>
          <w:szCs w:val="24"/>
          <w:highlight w:val="white"/>
        </w:rPr>
      </w:pPr>
      <w:r w:rsidDel="00000000" w:rsidR="00000000" w:rsidRPr="00000000">
        <w:rPr>
          <w:color w:val="0b0c0c"/>
          <w:sz w:val="24"/>
          <w:szCs w:val="24"/>
          <w:highlight w:val="white"/>
          <w:rtl w:val="0"/>
        </w:rPr>
        <w:t xml:space="preserve">Improve the scale and quality of evaluation</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15.7896" w:lineRule="auto"/>
        <w:ind w:left="1020" w:hanging="360"/>
        <w:rPr>
          <w:sz w:val="24"/>
          <w:szCs w:val="24"/>
          <w:highlight w:val="white"/>
        </w:rPr>
      </w:pPr>
      <w:r w:rsidDel="00000000" w:rsidR="00000000" w:rsidRPr="00000000">
        <w:rPr>
          <w:color w:val="0b0c0c"/>
          <w:sz w:val="24"/>
          <w:szCs w:val="24"/>
          <w:highlight w:val="white"/>
          <w:rtl w:val="0"/>
        </w:rPr>
        <w:t xml:space="preserve">Increase transparency surrounding research and evaluation outputs</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460" w:line="315.7896" w:lineRule="auto"/>
        <w:ind w:left="1020" w:hanging="360"/>
        <w:rPr>
          <w:sz w:val="24"/>
          <w:szCs w:val="24"/>
          <w:highlight w:val="white"/>
        </w:rPr>
      </w:pPr>
      <w:r w:rsidDel="00000000" w:rsidR="00000000" w:rsidRPr="00000000">
        <w:rPr>
          <w:color w:val="0b0c0c"/>
          <w:sz w:val="24"/>
          <w:szCs w:val="24"/>
          <w:highlight w:val="white"/>
          <w:rtl w:val="0"/>
        </w:rPr>
        <w:t xml:space="preserve">Support evidence-informed decision making.</w:t>
      </w:r>
    </w:p>
    <w:p w:rsidR="00000000" w:rsidDel="00000000" w:rsidP="00000000" w:rsidRDefault="00000000" w:rsidRPr="00000000" w14:paraId="00000008">
      <w:pPr>
        <w:shd w:fill="ffffff" w:val="clear"/>
        <w:spacing w:after="300" w:line="315.7896" w:lineRule="auto"/>
        <w:rPr>
          <w:color w:val="0b0c0c"/>
          <w:sz w:val="24"/>
          <w:szCs w:val="24"/>
          <w:highlight w:val="white"/>
        </w:rPr>
      </w:pPr>
      <w:r w:rsidDel="00000000" w:rsidR="00000000" w:rsidRPr="00000000">
        <w:rPr>
          <w:color w:val="0b0c0c"/>
          <w:sz w:val="24"/>
          <w:szCs w:val="24"/>
          <w:highlight w:val="white"/>
          <w:rtl w:val="0"/>
        </w:rPr>
        <w:t xml:space="preserve">The ETF will report publicly on each priority indicator on an annual basis. </w:t>
      </w:r>
      <w:r w:rsidDel="00000000" w:rsidR="00000000" w:rsidRPr="00000000">
        <w:rPr>
          <w:sz w:val="24"/>
          <w:szCs w:val="24"/>
          <w:rtl w:val="0"/>
        </w:rPr>
        <w:t xml:space="preserve">Across indicators that note </w:t>
      </w:r>
      <w:r w:rsidDel="00000000" w:rsidR="00000000" w:rsidRPr="00000000">
        <w:rPr>
          <w:i w:val="1"/>
          <w:sz w:val="24"/>
          <w:szCs w:val="24"/>
          <w:rtl w:val="0"/>
        </w:rPr>
        <w:t xml:space="preserve">‘within the last 12 months’</w:t>
      </w:r>
      <w:r w:rsidDel="00000000" w:rsidR="00000000" w:rsidRPr="00000000">
        <w:rPr>
          <w:sz w:val="24"/>
          <w:szCs w:val="24"/>
          <w:rtl w:val="0"/>
        </w:rPr>
        <w:t xml:space="preserve"> this denotes financial years. In this round of reporting last 12 month figures cover 1st April 2024 to 31st March 2025. Where cumulative figures are reported, these are taken from the ETF inception (April 2021).</w:t>
      </w:r>
      <w:r w:rsidDel="00000000" w:rsidR="00000000" w:rsidRPr="00000000">
        <w:rPr>
          <w:rtl w:val="0"/>
        </w:rPr>
      </w:r>
    </w:p>
    <w:p w:rsidR="00000000" w:rsidDel="00000000" w:rsidP="00000000" w:rsidRDefault="00000000" w:rsidRPr="00000000" w14:paraId="00000009">
      <w:pPr>
        <w:shd w:fill="ffffff" w:val="clear"/>
        <w:spacing w:after="300" w:line="315.7896" w:lineRule="auto"/>
        <w:rPr>
          <w:color w:val="0b0c0c"/>
          <w:sz w:val="24"/>
          <w:szCs w:val="24"/>
        </w:rPr>
      </w:pPr>
      <w:r w:rsidDel="00000000" w:rsidR="00000000" w:rsidRPr="00000000">
        <w:rPr>
          <w:color w:val="0b0c0c"/>
          <w:sz w:val="24"/>
          <w:szCs w:val="24"/>
          <w:highlight w:val="white"/>
          <w:rtl w:val="0"/>
        </w:rPr>
        <w:t xml:space="preserve">The indicators are not wholly controlled or ‘owned’ by the ETF. Driving progress towards the targets outlined in the ETF Strategy will be dependent on cross-government partners working together to build an improved evaluation ecosystem.</w:t>
      </w:r>
      <w:r w:rsidDel="00000000" w:rsidR="00000000" w:rsidRPr="00000000">
        <w:rPr>
          <w:rtl w:val="0"/>
        </w:rPr>
      </w:r>
    </w:p>
    <w:tbl>
      <w:tblPr>
        <w:tblStyle w:val="Table1"/>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05"/>
        <w:gridCol w:w="1380"/>
        <w:gridCol w:w="1500"/>
        <w:tblGridChange w:id="0">
          <w:tblGrid>
            <w:gridCol w:w="6105"/>
            <w:gridCol w:w="1380"/>
            <w:gridCol w:w="1500"/>
          </w:tblGrid>
        </w:tblGridChange>
      </w:tblGrid>
      <w:tr>
        <w:trPr>
          <w:cantSplit w:val="0"/>
          <w:trHeight w:val="1365" w:hRule="atLeast"/>
          <w:tblHeader w:val="0"/>
        </w:trPr>
        <w:tc>
          <w:tcPr>
            <w:gridSpan w:val="3"/>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0A">
            <w:pPr>
              <w:pStyle w:val="Heading3"/>
              <w:keepNext w:val="0"/>
              <w:keepLines w:val="0"/>
              <w:shd w:fill="ffffff" w:val="clear"/>
              <w:spacing w:after="0" w:before="520" w:line="311.99999999999994" w:lineRule="auto"/>
              <w:rPr>
                <w:b w:val="1"/>
                <w:color w:val="0b0c0c"/>
                <w:sz w:val="24"/>
                <w:szCs w:val="24"/>
              </w:rPr>
            </w:pPr>
            <w:bookmarkStart w:colFirst="0" w:colLast="0" w:name="_1b85pbdgzx7r" w:id="2"/>
            <w:bookmarkEnd w:id="2"/>
            <w:r w:rsidDel="00000000" w:rsidR="00000000" w:rsidRPr="00000000">
              <w:rPr>
                <w:b w:val="1"/>
                <w:color w:val="0b0c0c"/>
                <w:sz w:val="24"/>
                <w:szCs w:val="24"/>
                <w:rtl w:val="0"/>
              </w:rPr>
              <w:t xml:space="preserve">Outcome 1: Government departments design and deliver robust and proportionate evaluation across their portfolio</w:t>
            </w:r>
          </w:p>
        </w:tc>
      </w:tr>
      <w:tr>
        <w:trPr>
          <w:cantSplit w:val="0"/>
          <w:trHeight w:val="46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color w:val="0b0c0c"/>
                <w:sz w:val="24"/>
                <w:szCs w:val="24"/>
              </w:rPr>
            </w:pPr>
            <w:r w:rsidDel="00000000" w:rsidR="00000000" w:rsidRPr="00000000">
              <w:rPr>
                <w:color w:val="0b0c0c"/>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rPr>
                <w:b w:val="1"/>
                <w:color w:val="0b0c0c"/>
                <w:sz w:val="24"/>
                <w:szCs w:val="24"/>
              </w:rPr>
            </w:pPr>
            <w:r w:rsidDel="00000000" w:rsidR="00000000" w:rsidRPr="00000000">
              <w:rPr>
                <w:b w:val="1"/>
                <w:color w:val="0b0c0c"/>
                <w:sz w:val="24"/>
                <w:szCs w:val="24"/>
                <w:rtl w:val="0"/>
              </w:rPr>
              <w:t xml:space="preserve">Target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b w:val="1"/>
                <w:color w:val="0b0c0c"/>
                <w:sz w:val="24"/>
                <w:szCs w:val="24"/>
              </w:rPr>
            </w:pPr>
            <w:r w:rsidDel="00000000" w:rsidR="00000000" w:rsidRPr="00000000">
              <w:rPr>
                <w:b w:val="1"/>
                <w:color w:val="0b0c0c"/>
                <w:sz w:val="24"/>
                <w:szCs w:val="24"/>
                <w:rtl w:val="0"/>
              </w:rPr>
              <w:t xml:space="preserve">Achieved</w:t>
            </w:r>
          </w:p>
        </w:tc>
      </w:tr>
      <w:tr>
        <w:trPr>
          <w:cantSplit w:val="0"/>
          <w:trHeight w:val="46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color w:val="0b0c0c"/>
                <w:sz w:val="24"/>
                <w:szCs w:val="24"/>
              </w:rPr>
            </w:pPr>
            <w:r w:rsidDel="00000000" w:rsidR="00000000" w:rsidRPr="00000000">
              <w:rPr>
                <w:color w:val="0b0c0c"/>
                <w:sz w:val="24"/>
                <w:szCs w:val="24"/>
                <w:rtl w:val="0"/>
              </w:rPr>
              <w:t xml:space="preserve">Number of evaluations ETF has advised on (cumulative), excluding SR bids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rPr>
                <w:color w:val="0b0c0c"/>
                <w:sz w:val="24"/>
                <w:szCs w:val="24"/>
              </w:rPr>
            </w:pPr>
            <w:r w:rsidDel="00000000" w:rsidR="00000000" w:rsidRPr="00000000">
              <w:rPr>
                <w:color w:val="0b0c0c"/>
                <w:sz w:val="24"/>
                <w:szCs w:val="24"/>
                <w:rtl w:val="0"/>
              </w:rPr>
              <w:t xml:space="preserve">300</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color w:val="0b0c0c"/>
                <w:sz w:val="24"/>
                <w:szCs w:val="24"/>
              </w:rPr>
            </w:pPr>
            <w:r w:rsidDel="00000000" w:rsidR="00000000" w:rsidRPr="00000000">
              <w:rPr>
                <w:color w:val="0b0c0c"/>
                <w:sz w:val="24"/>
                <w:szCs w:val="24"/>
                <w:rtl w:val="0"/>
              </w:rPr>
              <w:t xml:space="preserve">549</w:t>
            </w:r>
          </w:p>
        </w:tc>
      </w:tr>
      <w:tr>
        <w:trPr>
          <w:cantSplit w:val="0"/>
          <w:trHeight w:val="46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color w:val="0b0c0c"/>
                <w:sz w:val="24"/>
                <w:szCs w:val="24"/>
              </w:rPr>
            </w:pPr>
            <w:r w:rsidDel="00000000" w:rsidR="00000000" w:rsidRPr="00000000">
              <w:rPr>
                <w:color w:val="0b0c0c"/>
                <w:sz w:val="24"/>
                <w:szCs w:val="24"/>
                <w:rtl w:val="0"/>
              </w:rPr>
              <w:t xml:space="preserve">Value of programmes ETF has advised on (cumulative), excluding SR bids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color w:val="0b0c0c"/>
                <w:sz w:val="24"/>
                <w:szCs w:val="24"/>
              </w:rPr>
            </w:pPr>
            <w:r w:rsidDel="00000000" w:rsidR="00000000" w:rsidRPr="00000000">
              <w:rPr>
                <w:color w:val="0b0c0c"/>
                <w:sz w:val="24"/>
                <w:szCs w:val="24"/>
                <w:rtl w:val="0"/>
              </w:rPr>
              <w:t xml:space="preserve">£80 billion</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color w:val="0b0c0c"/>
                <w:sz w:val="24"/>
                <w:szCs w:val="24"/>
              </w:rPr>
            </w:pPr>
            <w:r w:rsidDel="00000000" w:rsidR="00000000" w:rsidRPr="00000000">
              <w:rPr>
                <w:color w:val="0b0c0c"/>
                <w:sz w:val="24"/>
                <w:szCs w:val="24"/>
                <w:rtl w:val="0"/>
              </w:rPr>
              <w:t xml:space="preserve">£554 billion</w:t>
            </w:r>
          </w:p>
        </w:tc>
      </w:tr>
      <w:tr>
        <w:trPr>
          <w:cantSplit w:val="0"/>
          <w:trHeight w:val="6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color w:val="0b0c0c"/>
                <w:sz w:val="24"/>
                <w:szCs w:val="24"/>
              </w:rPr>
            </w:pPr>
            <w:r w:rsidDel="00000000" w:rsidR="00000000" w:rsidRPr="00000000">
              <w:rPr>
                <w:color w:val="0b0c0c"/>
                <w:sz w:val="24"/>
                <w:szCs w:val="24"/>
                <w:rtl w:val="0"/>
              </w:rPr>
              <w:t xml:space="preserve">Number of evaluation awareness-raising opportunities ETF has led in past 12 months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color w:val="0b0c0c"/>
                <w:sz w:val="24"/>
                <w:szCs w:val="24"/>
              </w:rPr>
            </w:pPr>
            <w:r w:rsidDel="00000000" w:rsidR="00000000" w:rsidRPr="00000000">
              <w:rPr>
                <w:color w:val="0b0c0c"/>
                <w:sz w:val="24"/>
                <w:szCs w:val="24"/>
                <w:rtl w:val="0"/>
              </w:rPr>
              <w:t xml:space="preserve">24</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color w:val="0b0c0c"/>
                <w:sz w:val="24"/>
                <w:szCs w:val="24"/>
              </w:rPr>
            </w:pPr>
            <w:r w:rsidDel="00000000" w:rsidR="00000000" w:rsidRPr="00000000">
              <w:rPr>
                <w:color w:val="0b0c0c"/>
                <w:sz w:val="24"/>
                <w:szCs w:val="24"/>
                <w:rtl w:val="0"/>
              </w:rPr>
              <w:t xml:space="preserve">105</w:t>
            </w:r>
          </w:p>
        </w:tc>
      </w:tr>
      <w:tr>
        <w:trPr>
          <w:cantSplit w:val="0"/>
          <w:trHeight w:val="630" w:hRule="atLeast"/>
          <w:tblHeader w:val="0"/>
        </w:trPr>
        <w:tc>
          <w:tcPr>
            <w:gridSpan w:val="3"/>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b w:val="1"/>
                <w:color w:val="0b0c0c"/>
                <w:sz w:val="24"/>
                <w:szCs w:val="24"/>
              </w:rPr>
            </w:pPr>
            <w:r w:rsidDel="00000000" w:rsidR="00000000" w:rsidRPr="00000000">
              <w:rPr>
                <w:b w:val="1"/>
                <w:color w:val="0b0c0c"/>
                <w:sz w:val="24"/>
                <w:szCs w:val="24"/>
                <w:rtl w:val="0"/>
              </w:rPr>
              <w:t xml:space="preserve">OUTCOME TWO: Government departments have a transparent approach to their evaluation activity, publishing evaluation outputs in a timely fashion</w:t>
            </w:r>
          </w:p>
        </w:tc>
      </w:tr>
      <w:tr>
        <w:trPr>
          <w:cantSplit w:val="0"/>
          <w:trHeight w:val="6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after="460" w:line="315.7896" w:lineRule="auto"/>
              <w:rPr>
                <w:color w:val="0b0c0c"/>
                <w:sz w:val="24"/>
                <w:szCs w:val="24"/>
              </w:rPr>
            </w:pPr>
            <w:r w:rsidDel="00000000" w:rsidR="00000000" w:rsidRPr="00000000">
              <w:rPr>
                <w:color w:val="0b0c0c"/>
                <w:sz w:val="24"/>
                <w:szCs w:val="24"/>
                <w:rtl w:val="0"/>
              </w:rPr>
              <w:t xml:space="preserve">Number of planned or ongoing evaluations registered on the Evaluation Registry</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color w:val="0b0c0c"/>
                <w:sz w:val="24"/>
                <w:szCs w:val="24"/>
              </w:rPr>
            </w:pPr>
            <w:r w:rsidDel="00000000" w:rsidR="00000000" w:rsidRPr="00000000">
              <w:rPr>
                <w:color w:val="0b0c0c"/>
                <w:sz w:val="24"/>
                <w:szCs w:val="24"/>
                <w:rtl w:val="0"/>
              </w:rPr>
              <w:t xml:space="preserve">350</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color w:val="0b0c0c"/>
                <w:sz w:val="24"/>
                <w:szCs w:val="24"/>
              </w:rPr>
            </w:pPr>
            <w:r w:rsidDel="00000000" w:rsidR="00000000" w:rsidRPr="00000000">
              <w:rPr>
                <w:color w:val="0b0c0c"/>
                <w:sz w:val="24"/>
                <w:szCs w:val="24"/>
                <w:rtl w:val="0"/>
              </w:rPr>
              <w:t xml:space="preserve">353*</w:t>
            </w:r>
          </w:p>
        </w:tc>
      </w:tr>
      <w:tr>
        <w:trPr>
          <w:cantSplit w:val="0"/>
          <w:trHeight w:val="6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460" w:line="315.7896" w:lineRule="auto"/>
              <w:rPr>
                <w:color w:val="0b0c0c"/>
                <w:sz w:val="24"/>
                <w:szCs w:val="24"/>
              </w:rPr>
            </w:pPr>
            <w:r w:rsidDel="00000000" w:rsidR="00000000" w:rsidRPr="00000000">
              <w:rPr>
                <w:color w:val="0b0c0c"/>
                <w:sz w:val="24"/>
                <w:szCs w:val="24"/>
                <w:rtl w:val="0"/>
              </w:rPr>
              <w:t xml:space="preserve">Number of complete evaluations registered on the Evaluation Registry </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color w:val="0b0c0c"/>
                <w:sz w:val="24"/>
                <w:szCs w:val="24"/>
              </w:rPr>
            </w:pPr>
            <w:r w:rsidDel="00000000" w:rsidR="00000000" w:rsidRPr="00000000">
              <w:rPr>
                <w:color w:val="0b0c0c"/>
                <w:sz w:val="24"/>
                <w:szCs w:val="24"/>
                <w:rtl w:val="0"/>
              </w:rPr>
              <w:t xml:space="preserve">1,200</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color w:val="0b0c0c"/>
                <w:sz w:val="24"/>
                <w:szCs w:val="24"/>
              </w:rPr>
            </w:pPr>
            <w:r w:rsidDel="00000000" w:rsidR="00000000" w:rsidRPr="00000000">
              <w:rPr>
                <w:color w:val="0b0c0c"/>
                <w:sz w:val="24"/>
                <w:szCs w:val="24"/>
                <w:rtl w:val="0"/>
              </w:rPr>
              <w:t xml:space="preserve">1,281*</w:t>
            </w:r>
          </w:p>
        </w:tc>
      </w:tr>
      <w:tr>
        <w:trPr>
          <w:cantSplit w:val="0"/>
          <w:trHeight w:val="420" w:hRule="atLeast"/>
          <w:tblHeader w:val="0"/>
        </w:trPr>
        <w:tc>
          <w:tcPr>
            <w:gridSpan w:val="3"/>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b w:val="1"/>
                <w:color w:val="0b0c0c"/>
                <w:sz w:val="24"/>
                <w:szCs w:val="24"/>
              </w:rPr>
            </w:pPr>
            <w:r w:rsidDel="00000000" w:rsidR="00000000" w:rsidRPr="00000000">
              <w:rPr>
                <w:b w:val="1"/>
                <w:color w:val="0b0c0c"/>
                <w:sz w:val="24"/>
                <w:szCs w:val="24"/>
                <w:rtl w:val="0"/>
              </w:rPr>
              <w:t xml:space="preserve">OUTCOME THREE: Good quality evaluation evidence informs decision-making in government</w:t>
            </w:r>
          </w:p>
        </w:tc>
      </w:tr>
      <w:tr>
        <w:trPr>
          <w:cantSplit w:val="0"/>
          <w:trHeight w:val="6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color w:val="0b0c0c"/>
                <w:sz w:val="24"/>
                <w:szCs w:val="24"/>
              </w:rPr>
            </w:pPr>
            <w:r w:rsidDel="00000000" w:rsidR="00000000" w:rsidRPr="00000000">
              <w:rPr>
                <w:color w:val="0b0c0c"/>
                <w:sz w:val="24"/>
                <w:szCs w:val="24"/>
                <w:rtl w:val="0"/>
              </w:rPr>
              <w:t xml:space="preserve">Number of HMT business cases and spending review bids that the ETF has advised on (cumulative)</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color w:val="0b0c0c"/>
                <w:sz w:val="24"/>
                <w:szCs w:val="24"/>
              </w:rPr>
            </w:pPr>
            <w:r w:rsidDel="00000000" w:rsidR="00000000" w:rsidRPr="00000000">
              <w:rPr>
                <w:color w:val="0b0c0c"/>
                <w:sz w:val="24"/>
                <w:szCs w:val="24"/>
                <w:rtl w:val="0"/>
              </w:rPr>
              <w:t xml:space="preserve">n/a</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color w:val="0b0c0c"/>
                <w:sz w:val="24"/>
                <w:szCs w:val="24"/>
              </w:rPr>
            </w:pPr>
            <w:r w:rsidDel="00000000" w:rsidR="00000000" w:rsidRPr="00000000">
              <w:rPr>
                <w:color w:val="0b0c0c"/>
                <w:sz w:val="24"/>
                <w:szCs w:val="24"/>
                <w:rtl w:val="0"/>
              </w:rPr>
              <w:t xml:space="preserve">233</w:t>
            </w:r>
          </w:p>
        </w:tc>
      </w:tr>
      <w:tr>
        <w:trPr>
          <w:cantSplit w:val="0"/>
          <w:trHeight w:val="6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color w:val="0b0c0c"/>
                <w:sz w:val="24"/>
                <w:szCs w:val="24"/>
              </w:rPr>
            </w:pPr>
            <w:r w:rsidDel="00000000" w:rsidR="00000000" w:rsidRPr="00000000">
              <w:rPr>
                <w:color w:val="0b0c0c"/>
                <w:sz w:val="24"/>
                <w:szCs w:val="24"/>
                <w:rtl w:val="0"/>
              </w:rPr>
              <w:t xml:space="preserve">Proportion of senior evaluation stakeholders who agree evaluation evidence informs the design and delivery of policies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color w:val="0b0c0c"/>
                <w:sz w:val="24"/>
                <w:szCs w:val="24"/>
              </w:rPr>
            </w:pPr>
            <w:r w:rsidDel="00000000" w:rsidR="00000000" w:rsidRPr="00000000">
              <w:rPr>
                <w:color w:val="0b0c0c"/>
                <w:sz w:val="24"/>
                <w:szCs w:val="24"/>
                <w:rtl w:val="0"/>
              </w:rPr>
              <w:t xml:space="preserve">60%</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rPr>
                <w:color w:val="0b0c0c"/>
                <w:sz w:val="24"/>
                <w:szCs w:val="24"/>
              </w:rPr>
            </w:pPr>
            <w:r w:rsidDel="00000000" w:rsidR="00000000" w:rsidRPr="00000000">
              <w:rPr>
                <w:color w:val="0b0c0c"/>
                <w:sz w:val="24"/>
                <w:szCs w:val="24"/>
                <w:rtl w:val="0"/>
              </w:rPr>
              <w:t xml:space="preserve">70%</w:t>
            </w:r>
          </w:p>
        </w:tc>
      </w:tr>
      <w:tr>
        <w:trPr>
          <w:cantSplit w:val="0"/>
          <w:trHeight w:val="6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color w:val="0b0c0c"/>
                <w:sz w:val="24"/>
                <w:szCs w:val="24"/>
              </w:rPr>
            </w:pPr>
            <w:r w:rsidDel="00000000" w:rsidR="00000000" w:rsidRPr="00000000">
              <w:rPr>
                <w:color w:val="0b0c0c"/>
                <w:sz w:val="24"/>
                <w:szCs w:val="24"/>
                <w:rtl w:val="0"/>
              </w:rPr>
              <w:t xml:space="preserve">Proportion of senior evaluation stakeholders who agree their department needs to do more to ensure evaluation evidence informs spending decisions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color w:val="0b0c0c"/>
                <w:sz w:val="24"/>
                <w:szCs w:val="24"/>
              </w:rPr>
            </w:pPr>
            <w:r w:rsidDel="00000000" w:rsidR="00000000" w:rsidRPr="00000000">
              <w:rPr>
                <w:color w:val="0b0c0c"/>
                <w:sz w:val="24"/>
                <w:szCs w:val="24"/>
                <w:rtl w:val="0"/>
              </w:rPr>
              <w:t xml:space="preserve">20%</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color w:val="0b0c0c"/>
                <w:sz w:val="24"/>
                <w:szCs w:val="24"/>
              </w:rPr>
            </w:pPr>
            <w:r w:rsidDel="00000000" w:rsidR="00000000" w:rsidRPr="00000000">
              <w:rPr>
                <w:color w:val="0b0c0c"/>
                <w:sz w:val="24"/>
                <w:szCs w:val="24"/>
                <w:rtl w:val="0"/>
              </w:rPr>
              <w:t xml:space="preserve">83%</w:t>
            </w:r>
          </w:p>
        </w:tc>
      </w:tr>
      <w:tr>
        <w:trPr>
          <w:cantSplit w:val="0"/>
          <w:trHeight w:val="6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color w:val="0b0c0c"/>
                <w:sz w:val="24"/>
                <w:szCs w:val="24"/>
              </w:rPr>
            </w:pPr>
            <w:r w:rsidDel="00000000" w:rsidR="00000000" w:rsidRPr="00000000">
              <w:rPr>
                <w:color w:val="0b0c0c"/>
                <w:sz w:val="24"/>
                <w:szCs w:val="24"/>
                <w:rtl w:val="0"/>
              </w:rPr>
              <w:t xml:space="preserve">Proportion of senior evaluation stakeholders who agree that SCS support evaluation</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color w:val="0b0c0c"/>
                <w:sz w:val="24"/>
                <w:szCs w:val="24"/>
              </w:rPr>
            </w:pPr>
            <w:r w:rsidDel="00000000" w:rsidR="00000000" w:rsidRPr="00000000">
              <w:rPr>
                <w:color w:val="0b0c0c"/>
                <w:sz w:val="24"/>
                <w:szCs w:val="24"/>
                <w:rtl w:val="0"/>
              </w:rPr>
              <w:t xml:space="preserve">60%</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color w:val="0b0c0c"/>
                <w:sz w:val="24"/>
                <w:szCs w:val="24"/>
              </w:rPr>
            </w:pPr>
            <w:r w:rsidDel="00000000" w:rsidR="00000000" w:rsidRPr="00000000">
              <w:rPr>
                <w:color w:val="0b0c0c"/>
                <w:sz w:val="24"/>
                <w:szCs w:val="24"/>
                <w:rtl w:val="0"/>
              </w:rPr>
              <w:t xml:space="preserve">65%</w:t>
            </w:r>
          </w:p>
        </w:tc>
      </w:tr>
    </w:tbl>
    <w:p w:rsidR="00000000" w:rsidDel="00000000" w:rsidP="00000000" w:rsidRDefault="00000000" w:rsidRPr="00000000" w14:paraId="00000031">
      <w:pPr>
        <w:ind w:left="0" w:firstLine="0"/>
        <w:rPr>
          <w:color w:val="0b0c0c"/>
          <w:sz w:val="24"/>
          <w:szCs w:val="24"/>
        </w:rPr>
      </w:pPr>
      <w:r w:rsidDel="00000000" w:rsidR="00000000" w:rsidRPr="00000000">
        <w:rPr>
          <w:rtl w:val="0"/>
        </w:rPr>
      </w:r>
    </w:p>
    <w:p w:rsidR="00000000" w:rsidDel="00000000" w:rsidP="00000000" w:rsidRDefault="00000000" w:rsidRPr="00000000" w14:paraId="00000032">
      <w:pPr>
        <w:ind w:left="0" w:firstLine="0"/>
        <w:rPr>
          <w:sz w:val="24"/>
          <w:szCs w:val="24"/>
        </w:rPr>
      </w:pPr>
      <w:r w:rsidDel="00000000" w:rsidR="00000000" w:rsidRPr="00000000">
        <w:rPr>
          <w:sz w:val="24"/>
          <w:szCs w:val="24"/>
          <w:rtl w:val="0"/>
        </w:rPr>
        <w:t xml:space="preserve">*Please note that the Registry metrics were collected on 2nd April 2025 and therefore represent a slightly longer time period than other metrics, which were finalised on 31st March 2025. </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spacing w:line="240" w:lineRule="auto"/>
      <w:rPr/>
    </w:pPr>
    <w:r w:rsidDel="00000000" w:rsidR="00000000" w:rsidRPr="00000000">
      <w:rPr>
        <w:rFonts w:ascii="Cambria" w:cs="Cambria" w:eastAsia="Cambria" w:hAnsi="Cambria"/>
        <w:sz w:val="24"/>
        <w:szCs w:val="24"/>
      </w:rPr>
      <w:drawing>
        <wp:inline distB="114300" distT="114300" distL="114300" distR="114300">
          <wp:extent cx="2502263" cy="32060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2263" cy="3206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uk/government/publications/the-evaluation-task-force-strategy-2022-2025"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