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7D42" w:rsidRDefault="00000000">
      <w:pPr>
        <w:rPr>
          <w:b/>
          <w:color w:val="FF0000"/>
          <w:sz w:val="32"/>
          <w:szCs w:val="32"/>
        </w:rPr>
      </w:pPr>
      <w:bookmarkStart w:id="0" w:name="_heading=h.gjdgxs" w:colFirst="0" w:colLast="0"/>
      <w:bookmarkEnd w:id="0"/>
      <w:r>
        <w:rPr>
          <w:noProof/>
        </w:rPr>
        <mc:AlternateContent>
          <mc:Choice Requires="wps">
            <w:drawing>
              <wp:anchor distT="91440" distB="91440" distL="114300" distR="114300" simplePos="0" relativeHeight="251658240" behindDoc="0" locked="0" layoutInCell="1" hidden="0" allowOverlap="1">
                <wp:simplePos x="0" y="0"/>
                <wp:positionH relativeFrom="column">
                  <wp:posOffset>4508500</wp:posOffset>
                </wp:positionH>
                <wp:positionV relativeFrom="paragraph">
                  <wp:posOffset>91440</wp:posOffset>
                </wp:positionV>
                <wp:extent cx="1838325" cy="2443163"/>
                <wp:effectExtent l="0" t="0" r="0" b="0"/>
                <wp:wrapSquare wrapText="bothSides" distT="91440" distB="91440" distL="114300" distR="114300"/>
                <wp:docPr id="10" name="Rectangle 10"/>
                <wp:cNvGraphicFramePr/>
                <a:graphic xmlns:a="http://schemas.openxmlformats.org/drawingml/2006/main">
                  <a:graphicData uri="http://schemas.microsoft.com/office/word/2010/wordprocessingShape">
                    <wps:wsp>
                      <wps:cNvSpPr/>
                      <wps:spPr>
                        <a:xfrm flipH="1">
                          <a:off x="4494783" y="2691293"/>
                          <a:ext cx="1702435" cy="2177415"/>
                        </a:xfrm>
                        <a:prstGeom prst="rect">
                          <a:avLst/>
                        </a:prstGeom>
                        <a:solidFill>
                          <a:srgbClr val="8B1007"/>
                        </a:solidFill>
                        <a:ln>
                          <a:noFill/>
                        </a:ln>
                      </wps:spPr>
                      <wps:txbx>
                        <w:txbxContent>
                          <w:p w:rsidR="00007D42" w:rsidRDefault="00007D42">
                            <w:pPr>
                              <w:spacing w:line="240" w:lineRule="auto"/>
                              <w:textDirection w:val="btLr"/>
                            </w:pPr>
                          </w:p>
                          <w:p w:rsidR="00007D42" w:rsidRDefault="00007D42">
                            <w:pPr>
                              <w:spacing w:line="240" w:lineRule="auto"/>
                              <w:textDirection w:val="btLr"/>
                            </w:pPr>
                          </w:p>
                          <w:p w:rsidR="00007D42" w:rsidRDefault="00007D42">
                            <w:pPr>
                              <w:spacing w:line="240" w:lineRule="auto"/>
                              <w:textDirection w:val="btLr"/>
                            </w:pPr>
                          </w:p>
                          <w:p w:rsidR="00007D42" w:rsidRDefault="00007D42">
                            <w:pPr>
                              <w:spacing w:line="240" w:lineRule="auto"/>
                              <w:textDirection w:val="btLr"/>
                            </w:pPr>
                          </w:p>
                          <w:p w:rsidR="00007D42" w:rsidRDefault="00007D42">
                            <w:pPr>
                              <w:spacing w:line="240" w:lineRule="auto"/>
                              <w:textDirection w:val="btLr"/>
                            </w:pPr>
                          </w:p>
                          <w:p w:rsidR="00007D42" w:rsidRDefault="00000000">
                            <w:pPr>
                              <w:spacing w:line="275" w:lineRule="auto"/>
                              <w:textDirection w:val="btLr"/>
                            </w:pPr>
                            <w:r>
                              <w:rPr>
                                <w:b/>
                                <w:color w:val="FFFFFF"/>
                                <w:sz w:val="30"/>
                              </w:rPr>
                              <w:t>Committee on Standards in Public Life</w:t>
                            </w:r>
                          </w:p>
                          <w:p w:rsidR="00007D42" w:rsidRDefault="00007D42">
                            <w:pPr>
                              <w:spacing w:line="240" w:lineRule="auto"/>
                              <w:textDirection w:val="btLr"/>
                            </w:pPr>
                          </w:p>
                          <w:p w:rsidR="00007D42" w:rsidRDefault="00007D42">
                            <w:pPr>
                              <w:spacing w:line="240" w:lineRule="auto"/>
                              <w:textDirection w:val="btLr"/>
                            </w:pPr>
                          </w:p>
                          <w:p w:rsidR="00007D42" w:rsidRDefault="00007D42">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id="Rectangle 10" o:spid="_x0000_s1026" style="position:absolute;margin-left:355pt;margin-top:7.2pt;width:144.75pt;height:192.4pt;flip:x;z-index:251658240;visibility:visible;mso-wrap-style:square;mso-wrap-distance-left:9pt;mso-wrap-distance-top:7.2pt;mso-wrap-distance-right:9pt;mso-wrap-distance-bottom:7.2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" fillcolor="#8b1007" stroked="f">
                <v:textbox inset="2.53958mm,1.2694mm,2.53958mm,1.2694mm">
                  <w:txbxContent>
                    <w:p w:rsidR="00007D42" w:rsidRDefault="00007D42">
                      <w:pPr>
                        <w:spacing w:line="240" w:lineRule="auto"/>
                        <w:textDirection w:val="btLr"/>
                      </w:pPr>
                    </w:p>
                    <w:p w:rsidR="00007D42" w:rsidRDefault="00007D42">
                      <w:pPr>
                        <w:spacing w:line="240" w:lineRule="auto"/>
                        <w:textDirection w:val="btLr"/>
                      </w:pPr>
                    </w:p>
                    <w:p w:rsidR="00007D42" w:rsidRDefault="00007D42">
                      <w:pPr>
                        <w:spacing w:line="240" w:lineRule="auto"/>
                        <w:textDirection w:val="btLr"/>
                      </w:pPr>
                    </w:p>
                    <w:p w:rsidR="00007D42" w:rsidRDefault="00007D42">
                      <w:pPr>
                        <w:spacing w:line="240" w:lineRule="auto"/>
                        <w:textDirection w:val="btLr"/>
                      </w:pPr>
                    </w:p>
                    <w:p w:rsidR="00007D42" w:rsidRDefault="00007D42">
                      <w:pPr>
                        <w:spacing w:line="240" w:lineRule="auto"/>
                        <w:textDirection w:val="btLr"/>
                      </w:pPr>
                    </w:p>
                    <w:p w:rsidR="00007D42" w:rsidRDefault="00000000">
                      <w:pPr>
                        <w:spacing w:line="275" w:lineRule="auto"/>
                        <w:textDirection w:val="btLr"/>
                      </w:pPr>
                      <w:r>
                        <w:rPr>
                          <w:b/>
                          <w:color w:val="FFFFFF"/>
                          <w:sz w:val="30"/>
                        </w:rPr>
                        <w:t>Committee on Standards in Public Life</w:t>
                      </w:r>
                    </w:p>
                    <w:p w:rsidR="00007D42" w:rsidRDefault="00007D42">
                      <w:pPr>
                        <w:spacing w:line="240" w:lineRule="auto"/>
                        <w:textDirection w:val="btLr"/>
                      </w:pPr>
                    </w:p>
                    <w:p w:rsidR="00007D42" w:rsidRDefault="00007D42">
                      <w:pPr>
                        <w:spacing w:line="240" w:lineRule="auto"/>
                        <w:textDirection w:val="btLr"/>
                      </w:pPr>
                    </w:p>
                    <w:p w:rsidR="00007D42" w:rsidRDefault="00007D42">
                      <w:pPr>
                        <w:spacing w:line="240" w:lineRule="auto"/>
                        <w:textDirection w:val="btLr"/>
                      </w:pPr>
                    </w:p>
                  </w:txbxContent>
                </v:textbox>
                <w10:wrap type="square"/>
              </v:rect>
            </w:pict>
          </mc:Fallback>
        </mc:AlternateContent>
      </w:r>
    </w:p>
    <w:p w:rsidR="00007D42" w:rsidRDefault="00000000">
      <w:pPr>
        <w:rPr>
          <w:b/>
        </w:rPr>
      </w:pPr>
      <w:r>
        <w:rPr>
          <w:b/>
        </w:rPr>
        <w:t>Room G.07</w:t>
      </w:r>
    </w:p>
    <w:p w:rsidR="00007D42" w:rsidRDefault="00000000">
      <w:pPr>
        <w:rPr>
          <w:b/>
        </w:rPr>
      </w:pPr>
      <w:r>
        <w:rPr>
          <w:b/>
        </w:rPr>
        <w:t>1 Horse Guards Road</w:t>
      </w:r>
    </w:p>
    <w:p w:rsidR="00007D42" w:rsidRDefault="00000000">
      <w:pPr>
        <w:rPr>
          <w:b/>
        </w:rPr>
      </w:pPr>
      <w:r>
        <w:rPr>
          <w:b/>
        </w:rPr>
        <w:t>London</w:t>
      </w:r>
    </w:p>
    <w:p w:rsidR="00007D42" w:rsidRDefault="00000000">
      <w:pPr>
        <w:rPr>
          <w:b/>
        </w:rPr>
      </w:pPr>
      <w:r>
        <w:rPr>
          <w:b/>
        </w:rPr>
        <w:t>SW1A 2HQ</w:t>
      </w:r>
    </w:p>
    <w:p w:rsidR="00007D42" w:rsidRDefault="00000000">
      <w:pPr>
        <w:rPr>
          <w:b/>
        </w:rPr>
      </w:pPr>
      <w:r>
        <w:rPr>
          <w:b/>
        </w:rPr>
        <w:t xml:space="preserve"> </w:t>
      </w:r>
    </w:p>
    <w:p w:rsidR="00007D42" w:rsidRDefault="00000000">
      <w:pPr>
        <w:rPr>
          <w:b/>
          <w:color w:val="0000FF"/>
        </w:rPr>
      </w:pPr>
      <w:r>
        <w:rPr>
          <w:b/>
        </w:rPr>
        <w:t xml:space="preserve">Email: </w:t>
      </w:r>
      <w:r>
        <w:rPr>
          <w:b/>
          <w:color w:val="0000FF"/>
        </w:rPr>
        <w:t>public@public-standards.gov.uk</w:t>
      </w:r>
    </w:p>
    <w:p w:rsidR="00007D42" w:rsidRDefault="00000000">
      <w:pPr>
        <w:rPr>
          <w:b/>
        </w:rPr>
      </w:pPr>
      <w:r>
        <w:rPr>
          <w:b/>
        </w:rPr>
        <w:t xml:space="preserve"> </w:t>
      </w:r>
    </w:p>
    <w:p w:rsidR="00007D42" w:rsidRDefault="00000000">
      <w:pPr>
        <w:rPr>
          <w:b/>
        </w:rPr>
      </w:pPr>
      <w:r>
        <w:t>Sent by email</w:t>
      </w:r>
      <w:r>
        <w:rPr>
          <w:b/>
        </w:rPr>
        <w:t xml:space="preserve"> </w:t>
      </w:r>
    </w:p>
    <w:p w:rsidR="00007D42" w:rsidRDefault="00000000">
      <w:pPr>
        <w:rPr>
          <w:b/>
        </w:rPr>
      </w:pPr>
      <w:r>
        <w:rPr>
          <w:b/>
        </w:rPr>
        <w:t xml:space="preserve"> </w:t>
      </w:r>
    </w:p>
    <w:p w:rsidR="00007D42" w:rsidRDefault="00007D42">
      <w:pPr>
        <w:shd w:val="clear" w:color="auto" w:fill="FFFFFF"/>
        <w:rPr>
          <w:b/>
        </w:rPr>
      </w:pPr>
    </w:p>
    <w:p w:rsidR="00007D42" w:rsidRDefault="00000000">
      <w:pPr>
        <w:shd w:val="clear" w:color="auto" w:fill="FFFFFF"/>
        <w:rPr>
          <w:b/>
          <w:color w:val="222222"/>
        </w:rPr>
      </w:pP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p>
    <w:p w:rsidR="00007D42" w:rsidRDefault="00007D42">
      <w:pPr>
        <w:shd w:val="clear" w:color="auto" w:fill="FFFFFF"/>
        <w:jc w:val="right"/>
        <w:rPr>
          <w:color w:val="222222"/>
          <w:sz w:val="20"/>
          <w:szCs w:val="20"/>
        </w:rPr>
      </w:pPr>
    </w:p>
    <w:p w:rsidR="00007D42" w:rsidRDefault="00000000">
      <w:pPr>
        <w:ind w:left="2160" w:firstLine="720"/>
        <w:jc w:val="right"/>
      </w:pPr>
      <w:r>
        <w:rPr>
          <w:b/>
          <w:color w:val="222222"/>
        </w:rPr>
        <w:tab/>
      </w:r>
      <w:r>
        <w:rPr>
          <w:b/>
          <w:color w:val="222222"/>
        </w:rPr>
        <w:tab/>
      </w:r>
      <w:r>
        <w:rPr>
          <w:b/>
          <w:color w:val="222222"/>
        </w:rPr>
        <w:tab/>
      </w:r>
    </w:p>
    <w:p w:rsidR="00007D42" w:rsidRDefault="00000000">
      <w:pPr>
        <w:shd w:val="clear" w:color="auto" w:fill="FFFFFF"/>
        <w:jc w:val="center"/>
        <w:rPr>
          <w:b/>
          <w:color w:val="222222"/>
        </w:rPr>
      </w:pPr>
      <w:r>
        <w:rPr>
          <w:color w:val="222222"/>
          <w:sz w:val="20"/>
          <w:szCs w:val="20"/>
        </w:rPr>
        <w:t xml:space="preserve">                                    </w:t>
      </w:r>
      <w:r>
        <w:rPr>
          <w:color w:val="222222"/>
          <w:sz w:val="20"/>
          <w:szCs w:val="20"/>
        </w:rPr>
        <w:tab/>
        <w:t xml:space="preserve">                  </w:t>
      </w:r>
      <w:r>
        <w:rPr>
          <w:color w:val="222222"/>
        </w:rPr>
        <w:t xml:space="preserve">                                         19 February 2025          </w:t>
      </w:r>
      <w:r>
        <w:rPr>
          <w:color w:val="222222"/>
          <w:sz w:val="20"/>
          <w:szCs w:val="20"/>
        </w:rPr>
        <w:t xml:space="preserve">                                       </w:t>
      </w:r>
      <w:r>
        <w:rPr>
          <w:b/>
          <w:color w:val="222222"/>
        </w:rPr>
        <w:t xml:space="preserve"> </w:t>
      </w:r>
    </w:p>
    <w:p w:rsidR="00007D42" w:rsidRDefault="00007D42">
      <w:pPr>
        <w:ind w:left="7920"/>
        <w:rPr>
          <w:b/>
          <w:color w:val="222222"/>
        </w:rPr>
      </w:pPr>
    </w:p>
    <w:p w:rsidR="00007D42" w:rsidRDefault="00000000">
      <w:pPr>
        <w:shd w:val="clear" w:color="auto" w:fill="FFFFFF"/>
        <w:rPr>
          <w:color w:val="5F6368"/>
        </w:rPr>
      </w:pPr>
      <w:r>
        <w:rPr>
          <w:color w:val="222222"/>
        </w:rPr>
        <w:t xml:space="preserve">Dear </w:t>
      </w:r>
    </w:p>
    <w:p w:rsidR="00007D42" w:rsidRDefault="00007D42">
      <w:pPr>
        <w:shd w:val="clear" w:color="auto" w:fill="FFFFFF"/>
        <w:rPr>
          <w:color w:val="222222"/>
        </w:rPr>
      </w:pPr>
    </w:p>
    <w:p w:rsidR="00007D42" w:rsidRDefault="00007D42">
      <w:pPr>
        <w:shd w:val="clear" w:color="auto" w:fill="FFFFFF"/>
        <w:rPr>
          <w:color w:val="222222"/>
        </w:rPr>
      </w:pPr>
    </w:p>
    <w:p w:rsidR="00007D42" w:rsidRDefault="00000000">
      <w:pPr>
        <w:shd w:val="clear" w:color="auto" w:fill="FFFFFF"/>
        <w:spacing w:line="240" w:lineRule="auto"/>
        <w:rPr>
          <w:color w:val="000000"/>
        </w:rPr>
      </w:pPr>
      <w:r>
        <w:rPr>
          <w:color w:val="000000"/>
        </w:rPr>
        <w:t xml:space="preserve">Thank you for your email of </w:t>
      </w:r>
      <w:r>
        <w:t>19</w:t>
      </w:r>
      <w:r>
        <w:rPr>
          <w:color w:val="000000"/>
        </w:rPr>
        <w:t xml:space="preserve"> February 2025 in which you made a request under the Freedom of Information Act 2000</w:t>
      </w:r>
      <w:r>
        <w:t>.  You asked:</w:t>
      </w:r>
    </w:p>
    <w:p w:rsidR="00007D42" w:rsidRDefault="00007D42">
      <w:pPr>
        <w:shd w:val="clear" w:color="auto" w:fill="FFFFFF"/>
        <w:spacing w:line="240" w:lineRule="auto"/>
      </w:pPr>
    </w:p>
    <w:p w:rsidR="00007D42" w:rsidRDefault="00000000">
      <w:pPr>
        <w:shd w:val="clear" w:color="auto" w:fill="FFFFFF"/>
        <w:spacing w:line="240" w:lineRule="auto"/>
      </w:pPr>
      <w:r>
        <w:t>1. What are the biggest challenges your organisation currently faces in surveying and geospatial activity?</w:t>
      </w:r>
    </w:p>
    <w:p w:rsidR="00007D42" w:rsidRDefault="00007D42">
      <w:pPr>
        <w:shd w:val="clear" w:color="auto" w:fill="FFFFFF"/>
        <w:spacing w:line="240" w:lineRule="auto"/>
      </w:pPr>
    </w:p>
    <w:p w:rsidR="00007D42" w:rsidRDefault="00000000">
      <w:pPr>
        <w:shd w:val="clear" w:color="auto" w:fill="FFFFFF"/>
        <w:spacing w:line="240" w:lineRule="auto"/>
      </w:pPr>
      <w:r>
        <w:t>2. Are you confident in your full knowledge of the condition and knowledge of your impact on our local environment?</w:t>
      </w:r>
    </w:p>
    <w:p w:rsidR="00007D42" w:rsidRDefault="00007D42">
      <w:pPr>
        <w:shd w:val="clear" w:color="auto" w:fill="FFFFFF"/>
        <w:spacing w:line="240" w:lineRule="auto"/>
      </w:pPr>
    </w:p>
    <w:p w:rsidR="00007D42" w:rsidRDefault="00000000">
      <w:pPr>
        <w:shd w:val="clear" w:color="auto" w:fill="FFFFFF"/>
        <w:spacing w:line="240" w:lineRule="auto"/>
      </w:pPr>
      <w:r>
        <w:t>3. What are your organisation’s key strategic objectives for the next 12-24 months, and how does surveying and geospatial fit into these?</w:t>
      </w:r>
    </w:p>
    <w:p w:rsidR="00007D42" w:rsidRDefault="00007D42">
      <w:pPr>
        <w:shd w:val="clear" w:color="auto" w:fill="FFFFFF"/>
        <w:spacing w:line="240" w:lineRule="auto"/>
      </w:pPr>
    </w:p>
    <w:p w:rsidR="00007D42" w:rsidRDefault="00000000">
      <w:pPr>
        <w:shd w:val="clear" w:color="auto" w:fill="FFFFFF"/>
        <w:spacing w:line="240" w:lineRule="auto"/>
      </w:pPr>
      <w:r>
        <w:t>4. Please detail any planned development of sites or assets</w:t>
      </w:r>
      <w:r w:rsidR="007B693B">
        <w:t>.</w:t>
      </w:r>
    </w:p>
    <w:p w:rsidR="00007D42" w:rsidRDefault="00007D42">
      <w:pPr>
        <w:shd w:val="clear" w:color="auto" w:fill="FFFFFF"/>
        <w:spacing w:line="240" w:lineRule="auto"/>
      </w:pPr>
    </w:p>
    <w:p w:rsidR="00007D42" w:rsidRDefault="00000000">
      <w:pPr>
        <w:shd w:val="clear" w:color="auto" w:fill="FFFFFF"/>
        <w:spacing w:line="240" w:lineRule="auto"/>
      </w:pPr>
      <w:r>
        <w:t>5. Do you have a supplier for drainage mapping and surveying?</w:t>
      </w:r>
    </w:p>
    <w:p w:rsidR="00007D42" w:rsidRDefault="00007D42">
      <w:pPr>
        <w:shd w:val="clear" w:color="auto" w:fill="FFFFFF"/>
        <w:spacing w:line="240" w:lineRule="auto"/>
      </w:pPr>
    </w:p>
    <w:p w:rsidR="00007D42" w:rsidRDefault="00000000">
      <w:pPr>
        <w:shd w:val="clear" w:color="auto" w:fill="FFFFFF"/>
        <w:spacing w:line="240" w:lineRule="auto"/>
      </w:pPr>
      <w:r>
        <w:t>6. If so, please can you supply details of the contractual arrangements in place including date of award, details of any Framework used or link to the advertisement, contract value and duration</w:t>
      </w:r>
    </w:p>
    <w:p w:rsidR="00007D42" w:rsidRDefault="00007D42">
      <w:pPr>
        <w:shd w:val="clear" w:color="auto" w:fill="FFFFFF"/>
        <w:spacing w:line="240" w:lineRule="auto"/>
      </w:pPr>
    </w:p>
    <w:p w:rsidR="00007D42" w:rsidRDefault="00000000">
      <w:pPr>
        <w:shd w:val="clear" w:color="auto" w:fill="FFFFFF"/>
        <w:spacing w:line="240" w:lineRule="auto"/>
      </w:pPr>
      <w:r>
        <w:t>7. If not, please can you indicate what evaluation of the requirement for surveying and geospatial works have been undertaken?</w:t>
      </w:r>
    </w:p>
    <w:p w:rsidR="00007D42" w:rsidRDefault="00007D42">
      <w:pPr>
        <w:shd w:val="clear" w:color="auto" w:fill="FFFFFF"/>
        <w:spacing w:line="240" w:lineRule="auto"/>
      </w:pPr>
    </w:p>
    <w:p w:rsidR="00007D42" w:rsidRDefault="00000000">
      <w:pPr>
        <w:shd w:val="clear" w:color="auto" w:fill="FFFFFF"/>
        <w:spacing w:line="240" w:lineRule="auto"/>
      </w:pPr>
      <w:r>
        <w:t>8. Please share your planned procurement pipeline for surveying and geospatial works for the next 12 months</w:t>
      </w:r>
    </w:p>
    <w:p w:rsidR="00007D42" w:rsidRDefault="00007D42">
      <w:pPr>
        <w:shd w:val="clear" w:color="auto" w:fill="FFFFFF"/>
        <w:spacing w:line="240" w:lineRule="auto"/>
      </w:pPr>
    </w:p>
    <w:p w:rsidR="00007D42" w:rsidRDefault="00000000">
      <w:pPr>
        <w:shd w:val="clear" w:color="auto" w:fill="FFFFFF"/>
        <w:spacing w:line="240" w:lineRule="auto"/>
      </w:pPr>
      <w:r>
        <w:t>9. How do you engage with potential new suppliers—through open tenders, direct engagement, or supplier days?</w:t>
      </w:r>
    </w:p>
    <w:p w:rsidR="00007D42" w:rsidRDefault="00007D42">
      <w:pPr>
        <w:shd w:val="clear" w:color="auto" w:fill="FFFFFF"/>
        <w:spacing w:line="240" w:lineRule="auto"/>
      </w:pPr>
    </w:p>
    <w:p w:rsidR="00007D42" w:rsidRDefault="00000000">
      <w:pPr>
        <w:shd w:val="clear" w:color="auto" w:fill="FFFFFF"/>
        <w:spacing w:line="240" w:lineRule="auto"/>
      </w:pPr>
      <w:r>
        <w:t>10. Please can you confirm the individual responsible for managing your surveying and geospatial contracts or wider development contracts and provide their contact details and role title?</w:t>
      </w:r>
    </w:p>
    <w:p w:rsidR="00007D42" w:rsidRDefault="00007D42">
      <w:pPr>
        <w:shd w:val="clear" w:color="auto" w:fill="FFFFFF"/>
        <w:spacing w:line="240" w:lineRule="auto"/>
      </w:pPr>
    </w:p>
    <w:p w:rsidR="00007D42" w:rsidRDefault="00000000">
      <w:pPr>
        <w:shd w:val="clear" w:color="auto" w:fill="FFFFFF"/>
        <w:spacing w:line="240" w:lineRule="auto"/>
      </w:pPr>
      <w:r>
        <w:t>11. Please provide a list of frameworks that you procure related services through</w:t>
      </w:r>
    </w:p>
    <w:p w:rsidR="00007D42" w:rsidRDefault="00007D42">
      <w:pPr>
        <w:shd w:val="clear" w:color="auto" w:fill="FFFFFF"/>
        <w:spacing w:line="240" w:lineRule="auto"/>
      </w:pPr>
    </w:p>
    <w:p w:rsidR="00007D42" w:rsidRDefault="00000000">
      <w:pPr>
        <w:shd w:val="clear" w:color="auto" w:fill="FFFFFF"/>
        <w:spacing w:line="240" w:lineRule="auto"/>
      </w:pPr>
      <w:r>
        <w:lastRenderedPageBreak/>
        <w:t>12. Do you plan to repurpose any sites for renewable energy or solar farms?</w:t>
      </w:r>
    </w:p>
    <w:p w:rsidR="00007D42" w:rsidRDefault="00007D42">
      <w:pPr>
        <w:shd w:val="clear" w:color="auto" w:fill="FFFFFF"/>
        <w:spacing w:line="240" w:lineRule="auto"/>
      </w:pPr>
    </w:p>
    <w:p w:rsidR="00007D42" w:rsidRDefault="00000000">
      <w:pPr>
        <w:shd w:val="clear" w:color="auto" w:fill="FFFFFF"/>
        <w:spacing w:line="240" w:lineRule="auto"/>
      </w:pPr>
      <w:r>
        <w:t>13. Do you have any issues with subsidence in your properties? If so, where?</w:t>
      </w:r>
    </w:p>
    <w:p w:rsidR="00007D42" w:rsidRDefault="00007D42">
      <w:pPr>
        <w:shd w:val="clear" w:color="auto" w:fill="FFFFFF"/>
        <w:spacing w:line="240" w:lineRule="auto"/>
      </w:pPr>
    </w:p>
    <w:p w:rsidR="00007D42" w:rsidRDefault="00000000">
      <w:pPr>
        <w:shd w:val="clear" w:color="auto" w:fill="FFFFFF"/>
        <w:spacing w:line="240" w:lineRule="auto"/>
      </w:pPr>
      <w:r>
        <w:t>14. When developing/purchasing/selling a site, how do you verify that the boundaries are correct?</w:t>
      </w:r>
    </w:p>
    <w:p w:rsidR="00007D42" w:rsidRDefault="00007D42">
      <w:pPr>
        <w:shd w:val="clear" w:color="auto" w:fill="FFFFFF"/>
        <w:spacing w:line="240" w:lineRule="auto"/>
      </w:pPr>
    </w:p>
    <w:p w:rsidR="00007D42" w:rsidRDefault="00007D42">
      <w:pPr>
        <w:shd w:val="clear" w:color="auto" w:fill="FFFFFF"/>
        <w:spacing w:line="240" w:lineRule="auto"/>
      </w:pPr>
    </w:p>
    <w:p w:rsidR="00007D42" w:rsidRDefault="00000000">
      <w:pPr>
        <w:shd w:val="clear" w:color="auto" w:fill="FFFFFF"/>
        <w:spacing w:line="240" w:lineRule="auto"/>
        <w:rPr>
          <w:highlight w:val="white"/>
        </w:rPr>
      </w:pPr>
      <w:r>
        <w:rPr>
          <w:highlight w:val="white"/>
        </w:rPr>
        <w:t>The Committee on Standards in Public Life (CSPL) is a non-departmental public body sponsored by the Cabinet Office and we do not hold this information. You may therefore wish to contact the Cabinet Office who may be able to assist you further:</w:t>
      </w:r>
    </w:p>
    <w:p w:rsidR="00007D42" w:rsidRDefault="00007D42">
      <w:pPr>
        <w:shd w:val="clear" w:color="auto" w:fill="FFFFFF"/>
        <w:spacing w:line="240" w:lineRule="auto"/>
        <w:rPr>
          <w:highlight w:val="white"/>
        </w:rPr>
      </w:pPr>
    </w:p>
    <w:p w:rsidR="00007D42" w:rsidRDefault="00000000">
      <w:pPr>
        <w:shd w:val="clear" w:color="auto" w:fill="FFFFFF"/>
        <w:rPr>
          <w:color w:val="1155CC"/>
        </w:rPr>
      </w:pPr>
      <w:r>
        <w:rPr>
          <w:color w:val="1155CC"/>
        </w:rPr>
        <w:t>foi-team@cabinetoffice.gov.uk</w:t>
      </w:r>
    </w:p>
    <w:p w:rsidR="00007D42" w:rsidRDefault="00007D42">
      <w:pPr>
        <w:shd w:val="clear" w:color="auto" w:fill="FFFFFF"/>
        <w:spacing w:line="240" w:lineRule="auto"/>
      </w:pPr>
    </w:p>
    <w:p w:rsidR="00007D42" w:rsidRDefault="00000000">
      <w:pPr>
        <w:shd w:val="clear" w:color="auto" w:fill="FFFFFF"/>
        <w:spacing w:line="240" w:lineRule="auto"/>
        <w:rPr>
          <w:color w:val="000000"/>
        </w:rPr>
      </w:pPr>
      <w:r>
        <w:rPr>
          <w:color w:val="000000"/>
        </w:rPr>
        <w:t>If you are dissatisfied with the handling of your request, you have the right to ask for an internal review. Internal review requests should be submitted within two months of the date of receipt of the response to your original letter and should be addressed to: </w:t>
      </w:r>
    </w:p>
    <w:p w:rsidR="00007D42" w:rsidRDefault="00007D42">
      <w:pPr>
        <w:shd w:val="clear" w:color="auto" w:fill="FFFFFF"/>
        <w:spacing w:line="240" w:lineRule="auto"/>
        <w:rPr>
          <w:color w:val="000000"/>
        </w:rPr>
      </w:pPr>
    </w:p>
    <w:p w:rsidR="00007D42" w:rsidRDefault="00000000">
      <w:pPr>
        <w:shd w:val="clear" w:color="auto" w:fill="FFFFFF"/>
        <w:spacing w:line="240" w:lineRule="auto"/>
        <w:rPr>
          <w:color w:val="000000"/>
        </w:rPr>
      </w:pPr>
      <w:r>
        <w:rPr>
          <w:color w:val="000000"/>
        </w:rPr>
        <w:t>Internal Review Officer</w:t>
      </w:r>
      <w:r>
        <w:rPr>
          <w:color w:val="000000"/>
        </w:rPr>
        <w:br/>
        <w:t>Committee on Standards in Public Life</w:t>
      </w:r>
      <w:r>
        <w:rPr>
          <w:color w:val="000000"/>
        </w:rPr>
        <w:br/>
        <w:t>1 Horse Guards Road</w:t>
      </w:r>
      <w:r>
        <w:rPr>
          <w:color w:val="000000"/>
        </w:rPr>
        <w:br/>
        <w:t>London SW1A 2HQ</w:t>
      </w:r>
      <w:r>
        <w:rPr>
          <w:color w:val="000000"/>
        </w:rPr>
        <w:br/>
      </w:r>
      <w:hyperlink r:id="rId7">
        <w:r>
          <w:rPr>
            <w:color w:val="000000"/>
            <w:u w:val="single"/>
          </w:rPr>
          <w:t>public@public-standards.gov.uk</w:t>
        </w:r>
      </w:hyperlink>
    </w:p>
    <w:p w:rsidR="00007D42" w:rsidRDefault="00000000">
      <w:pPr>
        <w:shd w:val="clear" w:color="auto" w:fill="FFFFFF"/>
        <w:spacing w:line="240" w:lineRule="auto"/>
        <w:rPr>
          <w:color w:val="000000"/>
        </w:rPr>
      </w:pPr>
      <w:r>
        <w:rPr>
          <w:color w:val="000000"/>
        </w:rPr>
        <w:br/>
        <w:t xml:space="preserve">Please remember to quote reference number </w:t>
      </w:r>
      <w:r>
        <w:rPr>
          <w:b/>
          <w:color w:val="000000"/>
        </w:rPr>
        <w:t>CSPL-FOI 2504</w:t>
      </w:r>
      <w:r>
        <w:rPr>
          <w:color w:val="000000"/>
        </w:rPr>
        <w:t xml:space="preserve"> in any further correspondence relating to this request for information. </w:t>
      </w:r>
    </w:p>
    <w:p w:rsidR="00007D42" w:rsidRDefault="00007D42">
      <w:pPr>
        <w:shd w:val="clear" w:color="auto" w:fill="FFFFFF"/>
        <w:spacing w:line="240" w:lineRule="auto"/>
        <w:rPr>
          <w:color w:val="000000"/>
        </w:rPr>
      </w:pPr>
    </w:p>
    <w:p w:rsidR="00007D42" w:rsidRDefault="00000000">
      <w:pPr>
        <w:shd w:val="clear" w:color="auto" w:fill="FFFFFF"/>
        <w:spacing w:line="240" w:lineRule="auto"/>
        <w:rPr>
          <w:color w:val="000000"/>
        </w:rPr>
      </w:pPr>
      <w:r>
        <w:rPr>
          <w:color w:val="000000"/>
        </w:rPr>
        <w:t>If you are not content with the outcome of the internal review, you have the right to apply directly to the Information Commissioner for a decision. The Information Commissioner can be contacted at:</w:t>
      </w:r>
      <w:r>
        <w:rPr>
          <w:color w:val="000000"/>
        </w:rPr>
        <w:br/>
      </w:r>
      <w:r>
        <w:rPr>
          <w:color w:val="000000"/>
        </w:rPr>
        <w:br/>
        <w:t>Information Commissioner’s Office</w:t>
      </w:r>
      <w:r>
        <w:rPr>
          <w:color w:val="000000"/>
        </w:rPr>
        <w:br/>
        <w:t>Wycliffe House</w:t>
      </w:r>
      <w:r>
        <w:rPr>
          <w:color w:val="000000"/>
        </w:rPr>
        <w:br/>
        <w:t>Water Lane</w:t>
      </w:r>
      <w:r>
        <w:rPr>
          <w:color w:val="000000"/>
        </w:rPr>
        <w:br/>
        <w:t>Wilmslow, Cheshire</w:t>
      </w:r>
      <w:r>
        <w:rPr>
          <w:color w:val="000000"/>
        </w:rPr>
        <w:br/>
        <w:t>SK9 5AF</w:t>
      </w:r>
    </w:p>
    <w:p w:rsidR="00007D42" w:rsidRDefault="00007D42">
      <w:pPr>
        <w:shd w:val="clear" w:color="auto" w:fill="FFFFFF"/>
        <w:spacing w:line="240" w:lineRule="auto"/>
        <w:rPr>
          <w:color w:val="000000"/>
        </w:rPr>
      </w:pPr>
      <w:bookmarkStart w:id="1" w:name="_heading=h.30j0zll" w:colFirst="0" w:colLast="0"/>
      <w:bookmarkEnd w:id="1"/>
    </w:p>
    <w:p w:rsidR="00007D42" w:rsidRDefault="00000000">
      <w:pPr>
        <w:shd w:val="clear" w:color="auto" w:fill="FFFFFF"/>
        <w:spacing w:line="240" w:lineRule="auto"/>
        <w:rPr>
          <w:color w:val="000000"/>
        </w:rPr>
      </w:pPr>
      <w:r>
        <w:rPr>
          <w:color w:val="000000"/>
        </w:rPr>
        <w:t>Yours sincerely</w:t>
      </w:r>
    </w:p>
    <w:p w:rsidR="00007D42" w:rsidRDefault="00007D42"/>
    <w:p w:rsidR="00007D42" w:rsidRDefault="00000000">
      <w:pPr>
        <w:rPr>
          <w:b/>
        </w:rPr>
      </w:pPr>
      <w:r>
        <w:rPr>
          <w:b/>
        </w:rPr>
        <w:t>CSPL Secretariat</w:t>
      </w:r>
    </w:p>
    <w:p w:rsidR="00007D42" w:rsidRDefault="00007D42">
      <w:pPr>
        <w:rPr>
          <w:sz w:val="24"/>
          <w:szCs w:val="24"/>
        </w:rPr>
      </w:pPr>
    </w:p>
    <w:p w:rsidR="00007D42" w:rsidRDefault="00007D42">
      <w:pPr>
        <w:jc w:val="right"/>
      </w:pPr>
    </w:p>
    <w:p w:rsidR="00007D42" w:rsidRDefault="00007D42"/>
    <w:p w:rsidR="00007D42" w:rsidRDefault="00007D42">
      <w:pPr>
        <w:jc w:val="center"/>
        <w:rPr>
          <w:b/>
        </w:rPr>
      </w:pPr>
    </w:p>
    <w:p w:rsidR="00007D42" w:rsidRDefault="00007D42"/>
    <w:sectPr w:rsidR="00007D42">
      <w:headerReference w:type="default" r:id="rId8"/>
      <w:footerReference w:type="default" r:id="rId9"/>
      <w:pgSz w:w="11909" w:h="16834"/>
      <w:pgMar w:top="566" w:right="850" w:bottom="566" w:left="850" w:header="99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674A" w:rsidRDefault="00D0674A">
      <w:pPr>
        <w:spacing w:line="240" w:lineRule="auto"/>
      </w:pPr>
      <w:r>
        <w:separator/>
      </w:r>
    </w:p>
  </w:endnote>
  <w:endnote w:type="continuationSeparator" w:id="0">
    <w:p w:rsidR="00D0674A" w:rsidRDefault="00D067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D42" w:rsidRDefault="00007D42">
    <w:pPr>
      <w:tabs>
        <w:tab w:val="center" w:pos="4680"/>
        <w:tab w:val="right" w:pos="9360"/>
      </w:tabs>
      <w:spacing w:line="240" w:lineRule="auto"/>
      <w:ind w:left="-860" w:right="180"/>
      <w:rPr>
        <w:b/>
        <w:color w:val="CC0000"/>
        <w:sz w:val="20"/>
        <w:szCs w:val="20"/>
      </w:rPr>
    </w:pPr>
  </w:p>
  <w:p w:rsidR="00007D42" w:rsidRDefault="00000000">
    <w:pPr>
      <w:tabs>
        <w:tab w:val="center" w:pos="4680"/>
        <w:tab w:val="right" w:pos="9360"/>
      </w:tabs>
      <w:spacing w:line="240" w:lineRule="auto"/>
      <w:ind w:left="-860" w:right="180"/>
      <w:jc w:val="center"/>
      <w:rPr>
        <w:b/>
        <w:color w:val="CC0000"/>
        <w:sz w:val="20"/>
        <w:szCs w:val="20"/>
      </w:rPr>
    </w:pPr>
    <w:r>
      <w:rPr>
        <w:b/>
        <w:color w:val="CC0000"/>
        <w:sz w:val="20"/>
        <w:szCs w:val="20"/>
      </w:rPr>
      <w:t>Selflessness I Integrity I Objectivity I Accountability I Openness I Honesty I Leadership</w:t>
    </w:r>
  </w:p>
  <w:p w:rsidR="00007D42" w:rsidRDefault="00007D42">
    <w:pPr>
      <w:pBdr>
        <w:top w:val="nil"/>
        <w:left w:val="nil"/>
        <w:bottom w:val="nil"/>
        <w:right w:val="nil"/>
        <w:between w:val="nil"/>
      </w:pBdr>
      <w:tabs>
        <w:tab w:val="center" w:pos="4680"/>
        <w:tab w:val="right" w:pos="9360"/>
      </w:tabs>
      <w:spacing w:line="240" w:lineRule="auto"/>
      <w:jc w:val="center"/>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674A" w:rsidRDefault="00D0674A">
      <w:pPr>
        <w:spacing w:line="240" w:lineRule="auto"/>
      </w:pPr>
      <w:r>
        <w:separator/>
      </w:r>
    </w:p>
  </w:footnote>
  <w:footnote w:type="continuationSeparator" w:id="0">
    <w:p w:rsidR="00D0674A" w:rsidRDefault="00D067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D42" w:rsidRDefault="00007D4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D42"/>
    <w:rsid w:val="00007D42"/>
    <w:rsid w:val="007B693B"/>
    <w:rsid w:val="00D06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3C5EE3"/>
  <w15:docId w15:val="{9AB8CE86-ACE3-E24F-A790-419F27B9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85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ublic@public-standards.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Fdzjb7LgibEXj5/OJjQNrOqkaA==">CgMxLjAyCGguZ2pkZ3hzMgloLjMwajB6bGw4AHIhMUxQaUxDX2g3UlNXU1p1Szk4LU1fZHoxSVNYUkdNQnBD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Glanz</dc:creator>
  <cp:lastModifiedBy>Amy Austin</cp:lastModifiedBy>
  <cp:revision>2</cp:revision>
  <dcterms:created xsi:type="dcterms:W3CDTF">2025-03-07T15:12:00Z</dcterms:created>
  <dcterms:modified xsi:type="dcterms:W3CDTF">2025-03-07T15:12:00Z</dcterms:modified>
</cp:coreProperties>
</file>