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glossary/styles.xml" ContentType="application/vnd.openxmlformats-officedocument.wordprocessingml.styles+xml"/>
  <Override PartName="/customXml/itemProps8.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9.xml" ContentType="application/vnd.openxmlformats-officedocument.customXmlProperties+xml"/>
  <Override PartName="/customXml/itemProps10.xml" ContentType="application/vnd.openxmlformats-officedocument.customXmlProperties+xml"/>
  <Override PartName="/word/documenttasks/documenttasks1.xml" ContentType="application/vnd.ms-office.documenttask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Hlk45202585" w:displacedByCustomXml="next" w:id="0"/>
    <w:sdt>
      <w:sdtPr>
        <w:id w:val="-730926708"/>
        <w:docPartObj>
          <w:docPartGallery w:val="Cover Pages"/>
          <w:docPartUnique/>
        </w:docPartObj>
        <w:rPr>
          <w:b w:val="0"/>
          <w:bCs w:val="0"/>
          <w:color w:val="auto"/>
          <w:sz w:val="20"/>
          <w:szCs w:val="20"/>
        </w:rPr>
      </w:sdtPr>
      <w:sdtEndPr>
        <w:rPr>
          <w:b w:val="0"/>
          <w:bCs w:val="0"/>
          <w:color w:val="auto"/>
          <w:sz w:val="20"/>
          <w:szCs w:val="20"/>
        </w:rPr>
      </w:sdtEndPr>
      <w:sdtContent>
        <w:sdt>
          <w:sdtPr>
            <w:alias w:val="Document title"/>
            <w:tag w:val="Document title"/>
            <w:id w:val="-649592522"/>
            <w:placeholder>
              <w:docPart w:val="D778BEF39FB044859CC76C8646F48E77"/>
            </w:placeholder>
            <w:dataBinding w:xpath="/*[local-name()='root']/*[local-name()='DocumentTitle']" w:storeItemID="{8F33FB8F-8118-4915-86A8-F93B7C2B254E}"/>
            <w:text w:multiLine="1"/>
          </w:sdtPr>
          <w:sdtEndPr/>
          <w:sdtContent>
            <w:p w:rsidR="00372B54" w:rsidP="00163C29" w:rsidRDefault="00BC4A5D" w14:paraId="6FE54BF7" w14:textId="42BFD8A9">
              <w:pPr>
                <w:pStyle w:val="CoverHeading"/>
              </w:pPr>
              <w:r>
                <w:t xml:space="preserve">Maple Lodge </w:t>
              </w:r>
              <w:r w:rsidR="00997965">
                <w:t>STC Bioaerosol Risk Assessment</w:t>
              </w:r>
            </w:p>
          </w:sdtContent>
        </w:sdt>
        <w:p w:rsidR="00372B54" w:rsidP="00163C29" w:rsidRDefault="00372B54" w14:paraId="4AA0440E" w14:textId="276DE935">
          <w:pPr>
            <w:pStyle w:val="CoverInformation"/>
          </w:pPr>
          <w:bookmarkStart w:name="_Hlk50495291" w:id="1"/>
          <w:bookmarkEnd w:id="0"/>
          <w:r>
            <w:t xml:space="preserve">Document no: </w:t>
          </w:r>
          <w:sdt>
            <w:sdtPr>
              <w:alias w:val="Document number"/>
              <w:id w:val="-1351954336"/>
              <w:placeholder>
                <w:docPart w:val="EE4C177FB7614CB9BD3526C13CA63905"/>
              </w:placeholder>
              <w:dataBinding w:xpath="/*[local-name()='root']/*[local-name()='DocumentNumber']" w:storeItemID="{8F33FB8F-8118-4915-86A8-F93B7C2B254E}"/>
              <w:text/>
            </w:sdtPr>
            <w:sdtEndPr/>
            <w:sdtContent>
              <w:r w:rsidR="004C69E5">
                <w:t>TW_STC_BRA_08_v2</w:t>
              </w:r>
            </w:sdtContent>
          </w:sdt>
          <w:bookmarkEnd w:id="1"/>
          <w:r>
            <w:br/>
          </w:r>
          <w:r>
            <w:t xml:space="preserve">Revision no: </w:t>
          </w:r>
          <w:sdt>
            <w:sdtPr>
              <w:alias w:val="Revision number"/>
              <w:tag w:val="Revision number"/>
              <w:id w:val="1252776559"/>
              <w:placeholder>
                <w:docPart w:val="15C4FE8DEC91426890619924F8D0BF99"/>
              </w:placeholder>
              <w:dataBinding w:xpath="/*[local-name()='root']/*[local-name()='RevisionNumber']" w:storeItemID="{8F33FB8F-8118-4915-86A8-F93B7C2B254E}"/>
              <w:text/>
            </w:sdtPr>
            <w:sdtEndPr/>
            <w:sdtContent>
              <w:r w:rsidR="004C69E5">
                <w:t xml:space="preserve">Revision </w:t>
              </w:r>
              <w:r w:rsidR="00AA44F8">
                <w:t>2</w:t>
              </w:r>
            </w:sdtContent>
          </w:sdt>
        </w:p>
        <w:sdt>
          <w:sdtPr>
            <w:alias w:val="Client name"/>
            <w:tag w:val="Client name"/>
            <w:id w:val="1125356160"/>
            <w:placeholder>
              <w:docPart w:val="E7DE2B380E974FB589BA1D6380646DDC"/>
            </w:placeholder>
            <w:dataBinding w:xpath="/*[local-name()='root']/*[local-name()='ClientName']" w:storeItemID="{8F33FB8F-8118-4915-86A8-F93B7C2B254E}"/>
            <w:text/>
          </w:sdtPr>
          <w:sdtEndPr/>
          <w:sdtContent>
            <w:p w:rsidR="005516D1" w:rsidP="00163C29" w:rsidRDefault="00940735" w14:paraId="015FBAB6" w14:textId="77777777">
              <w:pPr>
                <w:pStyle w:val="CoverInformationBold"/>
              </w:pPr>
              <w:r>
                <w:t>Thames Water Utilities Ltd</w:t>
              </w:r>
            </w:p>
          </w:sdtContent>
        </w:sdt>
        <w:sdt>
          <w:sdtPr>
            <w:alias w:val="Client reference"/>
            <w:tag w:val="Client reference"/>
            <w:id w:val="-1898587030"/>
            <w:placeholder>
              <w:docPart w:val="96A2B08A3F754322BE28A7935FD8BF9F"/>
            </w:placeholder>
            <w:dataBinding w:xpath="/*[local-name()='root']/*[local-name()='ClientReference']" w:storeItemID="{8F33FB8F-8118-4915-86A8-F93B7C2B254E}"/>
            <w:text/>
          </w:sdtPr>
          <w:sdtEndPr/>
          <w:sdtContent>
            <w:p w:rsidR="00372B54" w:rsidP="00163C29" w:rsidRDefault="008D73CB" w14:paraId="508A81A0" w14:textId="48A86B01">
              <w:pPr>
                <w:pStyle w:val="CoverInformation"/>
                <w:tabs>
                  <w:tab w:val="left" w:pos="5783"/>
                </w:tabs>
              </w:pPr>
              <w:r>
                <w:t>EPR/</w:t>
              </w:r>
              <w:r w:rsidR="000873C9">
                <w:t>FP3435LA</w:t>
              </w:r>
            </w:p>
          </w:sdtContent>
        </w:sdt>
        <w:sdt>
          <w:sdtPr>
            <w:alias w:val="Project name"/>
            <w:tag w:val="Project name"/>
            <w:id w:val="-1280945525"/>
            <w:placeholder>
              <w:docPart w:val="C7BC36E7AFE54416869CE305905154FC"/>
            </w:placeholder>
            <w:dataBinding w:xpath="/*[local-name()='root']/*[local-name()='ProjectName']" w:storeItemID="{8F33FB8F-8118-4915-86A8-F93B7C2B254E}"/>
            <w:text/>
          </w:sdtPr>
          <w:sdtEndPr/>
          <w:sdtContent>
            <w:p w:rsidR="00372B54" w:rsidP="00163C29" w:rsidRDefault="00940735" w14:paraId="6C9BC917" w14:textId="77777777">
              <w:pPr>
                <w:pStyle w:val="CoverInformationBold"/>
              </w:pPr>
              <w:r>
                <w:t>IED STC Permitting</w:t>
              </w:r>
            </w:p>
          </w:sdtContent>
        </w:sdt>
        <w:sdt>
          <w:sdtPr>
            <w:alias w:val="Date"/>
            <w:tag w:val="&lt;?xml version=&quot;1.0&quot; encoding=&quot;utf-16&quot;?&gt;&#10;&lt;PrecedentInstruction&gt;&#10;  &lt;InitialiseRoutine&gt;InitialiseDateFormat&lt;/InitialiseRoutine&gt;&#10;  &lt;UpdateAfterVariables /&gt;&#10;&lt;/PrecedentInstruction&gt;"/>
            <w:id w:val="1564608130"/>
            <w:placeholder>
              <w:docPart w:val="DB724F4CBEF24B7E949D7E9DED1E5A47"/>
            </w:placeholder>
            <w:dataBinding w:xpath="/*[local-name()='root']/*[local-name()='Date']" w:storeItemID="{8F33FB8F-8118-4915-86A8-F93B7C2B254E}"/>
            <w:date w:fullDate="2023-03-10T00:00:00Z">
              <w:dateFormat w:val="d MMMM yyyy"/>
              <w:lid w:val="en-GB"/>
              <w:storeMappedDataAs w:val="dateTime"/>
              <w:calendar w:val="gregorian"/>
            </w:date>
          </w:sdtPr>
          <w:sdtEndPr/>
          <w:sdtContent>
            <w:p w:rsidRPr="002667C9" w:rsidR="00372B54" w:rsidP="00CB31BD" w:rsidRDefault="00AA44F8" w14:paraId="2F7E673A" w14:textId="73A798B9">
              <w:pPr>
                <w:pStyle w:val="CoverInformation"/>
                <w:contextualSpacing w:val="0"/>
              </w:pPr>
              <w:r>
                <w:rPr>
                  <w:rFonts w:ascii="Times New Roman" w:hAnsi="Times New Roman"/>
                </w:rPr>
                <w:t>10 March 2023</w:t>
              </w:r>
            </w:p>
          </w:sdtContent>
        </w:sdt>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1"/>
            <w:gridCol w:w="468"/>
            <w:gridCol w:w="7371"/>
            <w:gridCol w:w="579"/>
            <w:gridCol w:w="367"/>
          </w:tblGrid>
          <w:tr w:rsidR="004F3A07" w:rsidTr="004F3A07" w14:paraId="1A5C4630" w14:textId="77777777">
            <w:trPr>
              <w:trHeight w:val="6804" w:hRule="exact"/>
            </w:trPr>
            <w:tc>
              <w:tcPr>
                <w:tcW w:w="241" w:type="dxa"/>
                <w:shd w:val="clear" w:color="auto" w:fill="231EDC" w:themeFill="accent1"/>
              </w:tcPr>
              <w:p w:rsidR="004F3A07" w:rsidP="00CB31BD" w:rsidRDefault="004F3A07" w14:paraId="1F4AD6E4" w14:textId="77777777">
                <w:pPr>
                  <w:pStyle w:val="CoverInformation"/>
                </w:pPr>
                <w:bookmarkStart w:name="CoverPage" w:id="2"/>
                <w:bookmarkEnd w:id="2"/>
              </w:p>
            </w:tc>
            <w:tc>
              <w:tcPr>
                <w:tcW w:w="468" w:type="dxa"/>
                <w:shd w:val="clear" w:color="auto" w:fill="000000" w:themeFill="text1"/>
              </w:tcPr>
              <w:p w:rsidR="004F3A07" w:rsidP="00CB31BD" w:rsidRDefault="004F3A07" w14:paraId="1522B2DC" w14:textId="77777777">
                <w:pPr>
                  <w:pStyle w:val="CoverInformation"/>
                  <w:rPr>
                    <w:noProof/>
                  </w:rPr>
                </w:pPr>
              </w:p>
            </w:tc>
            <w:tc>
              <w:tcPr>
                <w:tcW w:w="7371" w:type="dxa"/>
                <w:shd w:val="clear" w:color="auto" w:fill="231EDC" w:themeFill="accent1"/>
              </w:tcPr>
              <w:p w:rsidR="004F3A07" w:rsidP="00CB31BD" w:rsidRDefault="004F3A07" w14:paraId="6F346714" w14:textId="626D79D2">
                <w:pPr>
                  <w:pStyle w:val="CoverInformation"/>
                  <w:rPr>
                    <w:noProof/>
                  </w:rPr>
                </w:pPr>
              </w:p>
            </w:tc>
            <w:tc>
              <w:tcPr>
                <w:tcW w:w="579" w:type="dxa"/>
                <w:shd w:val="clear" w:color="auto" w:fill="000000" w:themeFill="text1"/>
              </w:tcPr>
              <w:p w:rsidR="004F3A07" w:rsidP="00CB31BD" w:rsidRDefault="004F3A07" w14:paraId="48635D35" w14:textId="77777777">
                <w:pPr>
                  <w:pStyle w:val="CoverInformation"/>
                </w:pPr>
              </w:p>
            </w:tc>
            <w:tc>
              <w:tcPr>
                <w:tcW w:w="367" w:type="dxa"/>
                <w:shd w:val="clear" w:color="auto" w:fill="231EDC" w:themeFill="accent1"/>
              </w:tcPr>
              <w:p w:rsidR="004F3A07" w:rsidP="00CB31BD" w:rsidRDefault="004F3A07" w14:paraId="26FB864F" w14:textId="77777777">
                <w:pPr>
                  <w:pStyle w:val="CoverInformation"/>
                </w:pPr>
              </w:p>
            </w:tc>
          </w:tr>
        </w:tbl>
        <w:p w:rsidR="00372B54" w:rsidP="00C21589" w:rsidRDefault="001308DE" w14:paraId="60FD6FD5" w14:textId="095780D3">
          <w:pPr>
            <w:tabs>
              <w:tab w:val="left" w:pos="2171"/>
            </w:tabs>
            <w:sectPr w:rsidR="00372B54" w:rsidSect="00ED5407">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sdtContent>
    </w:sdt>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13" w:type="dxa"/>
          <w:right w:w="0" w:type="dxa"/>
        </w:tblCellMar>
        <w:tblLook w:val="04A0" w:firstRow="1" w:lastRow="0" w:firstColumn="1" w:lastColumn="0" w:noHBand="0" w:noVBand="1"/>
        <w:tblCaption w:val="Flysheet table"/>
      </w:tblPr>
      <w:tblGrid>
        <w:gridCol w:w="1498"/>
        <w:gridCol w:w="3024"/>
        <w:gridCol w:w="1497"/>
        <w:gridCol w:w="3007"/>
      </w:tblGrid>
      <w:tr w:rsidR="005E43B2" w:rsidTr="00942DAD" w14:paraId="37B31266" w14:textId="77777777">
        <w:trPr>
          <w:trHeight w:val="735"/>
        </w:trPr>
        <w:sdt>
          <w:sdtPr>
            <w:alias w:val="Document title"/>
            <w:tag w:val="Document title"/>
            <w:id w:val="-483083624"/>
            <w:placeholder>
              <w:docPart w:val="B9CCB5D541524E03B9286CC2ECF3C42F"/>
            </w:placeholder>
            <w:dataBinding w:xpath="/*[local-name()='root']/*[local-name()='DocumentTitle']" w:storeItemID="{8F33FB8F-8118-4915-86A8-F93B7C2B254E}"/>
            <w:text/>
          </w:sdtPr>
          <w:sdtEndPr/>
          <w:sdtContent>
            <w:tc>
              <w:tcPr>
                <w:tcW w:w="9026" w:type="dxa"/>
                <w:gridSpan w:val="4"/>
                <w:tcMar>
                  <w:top w:w="0" w:type="dxa"/>
                  <w:left w:w="0" w:type="dxa"/>
                  <w:bottom w:w="0" w:type="dxa"/>
                  <w:right w:w="0" w:type="dxa"/>
                </w:tcMar>
                <w:hideMark/>
              </w:tcPr>
              <w:p w:rsidR="005E43B2" w:rsidP="00942DAD" w:rsidRDefault="00BC4A5D" w14:paraId="75B83AC2" w14:textId="534AFC88">
                <w:pPr>
                  <w:pStyle w:val="DocumentSubject"/>
                </w:pPr>
                <w:r>
                  <w:t>Maple Lodge STC Bioaerosol Risk Assessment</w:t>
                </w:r>
              </w:p>
            </w:tc>
          </w:sdtContent>
        </w:sdt>
      </w:tr>
      <w:tr w:rsidRPr="00065CF0" w:rsidR="005E43B2" w:rsidTr="00942DAD" w14:paraId="0E48DB91" w14:textId="77777777">
        <w:tc>
          <w:tcPr>
            <w:tcW w:w="1498" w:type="dxa"/>
            <w:tcMar>
              <w:top w:w="29" w:type="dxa"/>
              <w:left w:w="0" w:type="dxa"/>
              <w:bottom w:w="29" w:type="dxa"/>
              <w:right w:w="0" w:type="dxa"/>
            </w:tcMar>
          </w:tcPr>
          <w:p w:rsidRPr="00065CF0" w:rsidR="005E43B2" w:rsidP="00942DAD" w:rsidRDefault="005E43B2" w14:paraId="6BD59883" w14:textId="77777777">
            <w:pPr>
              <w:pStyle w:val="TableTextBold"/>
            </w:pPr>
            <w:r w:rsidRPr="00065CF0">
              <w:t>Client name:</w:t>
            </w:r>
          </w:p>
        </w:tc>
        <w:tc>
          <w:tcPr>
            <w:tcW w:w="7528" w:type="dxa"/>
            <w:gridSpan w:val="3"/>
            <w:tcMar>
              <w:top w:w="29" w:type="dxa"/>
              <w:left w:w="0" w:type="dxa"/>
              <w:bottom w:w="29" w:type="dxa"/>
              <w:right w:w="0" w:type="dxa"/>
            </w:tcMar>
          </w:tcPr>
          <w:sdt>
            <w:sdtPr>
              <w:alias w:val="Client name"/>
              <w:tag w:val="Client name"/>
              <w:id w:val="-365833201"/>
              <w:placeholder>
                <w:docPart w:val="FE3C1EC4B58C4D9DBA8071A65CC10463"/>
              </w:placeholder>
              <w:dataBinding w:xpath="/*[local-name()='root']/*[local-name()='ClientName']" w:storeItemID="{8F33FB8F-8118-4915-86A8-F93B7C2B254E}"/>
              <w:text/>
            </w:sdtPr>
            <w:sdtEndPr/>
            <w:sdtContent>
              <w:p w:rsidRPr="00065CF0" w:rsidR="005E43B2" w:rsidP="00942DAD" w:rsidRDefault="00940735" w14:paraId="7C48C209" w14:textId="5F5C5B1A">
                <w:pPr>
                  <w:pStyle w:val="TableText"/>
                  <w:ind w:right="-6"/>
                </w:pPr>
                <w:r w:rsidRPr="00065CF0">
                  <w:t>Thames Water Utilities Ltd</w:t>
                </w:r>
              </w:p>
            </w:sdtContent>
          </w:sdt>
        </w:tc>
      </w:tr>
      <w:tr w:rsidRPr="00065CF0" w:rsidR="005E43B2" w:rsidTr="00942DAD" w14:paraId="4E0324C1" w14:textId="77777777">
        <w:tc>
          <w:tcPr>
            <w:tcW w:w="1498" w:type="dxa"/>
            <w:tcMar>
              <w:top w:w="29" w:type="dxa"/>
              <w:left w:w="0" w:type="dxa"/>
              <w:bottom w:w="29" w:type="dxa"/>
              <w:right w:w="0" w:type="dxa"/>
            </w:tcMar>
          </w:tcPr>
          <w:p w:rsidRPr="00065CF0" w:rsidR="005E43B2" w:rsidP="00942DAD" w:rsidRDefault="005E43B2" w14:paraId="1C1C0CBD" w14:textId="77777777">
            <w:pPr>
              <w:pStyle w:val="TableTextBold"/>
            </w:pPr>
            <w:r w:rsidRPr="00065CF0">
              <w:t>Project name:</w:t>
            </w:r>
          </w:p>
        </w:tc>
        <w:sdt>
          <w:sdtPr>
            <w:alias w:val="Project name"/>
            <w:tag w:val="Project name"/>
            <w:id w:val="734510314"/>
            <w:placeholder>
              <w:docPart w:val="3596BB349B0C49EFBE59A90EEE4B1FBB"/>
            </w:placeholder>
            <w:dataBinding w:xpath="/*[local-name()='root']/*[local-name()='ProjectName']" w:storeItemID="{8F33FB8F-8118-4915-86A8-F93B7C2B254E}"/>
            <w:text/>
          </w:sdtPr>
          <w:sdtEndPr/>
          <w:sdtContent>
            <w:tc>
              <w:tcPr>
                <w:tcW w:w="7528" w:type="dxa"/>
                <w:gridSpan w:val="3"/>
                <w:tcMar>
                  <w:top w:w="29" w:type="dxa"/>
                  <w:left w:w="0" w:type="dxa"/>
                  <w:bottom w:w="29" w:type="dxa"/>
                  <w:right w:w="0" w:type="dxa"/>
                </w:tcMar>
              </w:tcPr>
              <w:p w:rsidRPr="00065CF0" w:rsidR="005E43B2" w:rsidP="00942DAD" w:rsidRDefault="00940735" w14:paraId="7B2177F0" w14:textId="237FB687">
                <w:pPr>
                  <w:pStyle w:val="TableText"/>
                  <w:ind w:right="-6"/>
                </w:pPr>
                <w:r w:rsidRPr="00065CF0">
                  <w:t>IED STC Permitting</w:t>
                </w:r>
              </w:p>
            </w:tc>
          </w:sdtContent>
        </w:sdt>
      </w:tr>
      <w:tr w:rsidRPr="00065CF0" w:rsidR="005E43B2" w:rsidTr="00942DAD" w14:paraId="213851FB" w14:textId="77777777">
        <w:tc>
          <w:tcPr>
            <w:tcW w:w="1498" w:type="dxa"/>
            <w:tcMar>
              <w:top w:w="29" w:type="dxa"/>
              <w:left w:w="0" w:type="dxa"/>
              <w:bottom w:w="29" w:type="dxa"/>
              <w:right w:w="0" w:type="dxa"/>
            </w:tcMar>
          </w:tcPr>
          <w:p w:rsidRPr="00065CF0" w:rsidR="005E43B2" w:rsidP="00942DAD" w:rsidRDefault="005E43B2" w14:paraId="69A5CF9C" w14:textId="77777777">
            <w:pPr>
              <w:pStyle w:val="TableTextBold"/>
            </w:pPr>
            <w:r w:rsidRPr="00065CF0">
              <w:t>Client reference:</w:t>
            </w:r>
          </w:p>
        </w:tc>
        <w:tc>
          <w:tcPr>
            <w:tcW w:w="3024" w:type="dxa"/>
            <w:tcMar>
              <w:top w:w="29" w:type="dxa"/>
              <w:left w:w="0" w:type="dxa"/>
              <w:bottom w:w="29" w:type="dxa"/>
              <w:right w:w="0" w:type="dxa"/>
            </w:tcMar>
          </w:tcPr>
          <w:sdt>
            <w:sdtPr>
              <w:alias w:val="Client reference"/>
              <w:tag w:val="Client reference"/>
              <w:id w:val="1751770906"/>
              <w:placeholder>
                <w:docPart w:val="200906F531EB4E04BC4838C57E5E09AD"/>
              </w:placeholder>
              <w:dataBinding w:xpath="/*[local-name()='root']/*[local-name()='ClientReference']" w:storeItemID="{8F33FB8F-8118-4915-86A8-F93B7C2B254E}"/>
              <w:text/>
            </w:sdtPr>
            <w:sdtEndPr/>
            <w:sdtContent>
              <w:p w:rsidRPr="00065CF0" w:rsidR="005E43B2" w:rsidP="00942DAD" w:rsidRDefault="000873C9" w14:paraId="191A892A" w14:textId="14E900FD">
                <w:pPr>
                  <w:pStyle w:val="TableText"/>
                </w:pPr>
                <w:r>
                  <w:t>EPR/FP3435LA</w:t>
                </w:r>
              </w:p>
            </w:sdtContent>
          </w:sdt>
        </w:tc>
        <w:tc>
          <w:tcPr>
            <w:tcW w:w="1497" w:type="dxa"/>
            <w:tcMar>
              <w:top w:w="29" w:type="dxa"/>
              <w:left w:w="0" w:type="dxa"/>
              <w:bottom w:w="29" w:type="dxa"/>
              <w:right w:w="0" w:type="dxa"/>
            </w:tcMar>
            <w:hideMark/>
          </w:tcPr>
          <w:p w:rsidRPr="00065CF0" w:rsidR="005E43B2" w:rsidP="00942DAD" w:rsidRDefault="005E43B2" w14:paraId="2A0CBC8B" w14:textId="77777777">
            <w:pPr>
              <w:pStyle w:val="TableTextBold"/>
            </w:pPr>
            <w:r w:rsidRPr="00065CF0">
              <w:t>Project no:</w:t>
            </w:r>
          </w:p>
        </w:tc>
        <w:tc>
          <w:tcPr>
            <w:tcW w:w="3007" w:type="dxa"/>
            <w:tcMar>
              <w:top w:w="29" w:type="dxa"/>
              <w:left w:w="0" w:type="dxa"/>
              <w:bottom w:w="29" w:type="dxa"/>
              <w:right w:w="0" w:type="dxa"/>
            </w:tcMar>
          </w:tcPr>
          <w:sdt>
            <w:sdtPr>
              <w:alias w:val="Project number"/>
              <w:tag w:val="Project number"/>
              <w:id w:val="1709449970"/>
              <w:placeholder>
                <w:docPart w:val="9F7CAB4594CD4D0A9D432751DC129995"/>
              </w:placeholder>
              <w:dataBinding w:xpath="/*[local-name()='root']/*[local-name()='ProjectNumber']" w:storeItemID="{8F33FB8F-8118-4915-86A8-F93B7C2B254E}"/>
              <w:text/>
            </w:sdtPr>
            <w:sdtEndPr/>
            <w:sdtContent>
              <w:p w:rsidRPr="00065CF0" w:rsidR="005E43B2" w:rsidP="00942DAD" w:rsidRDefault="00940735" w14:paraId="45A9E162" w14:textId="59E0371D">
                <w:pPr>
                  <w:pStyle w:val="TableText"/>
                  <w:ind w:right="-6"/>
                </w:pPr>
                <w:r w:rsidRPr="00065CF0">
                  <w:t>B22849AM</w:t>
                </w:r>
              </w:p>
            </w:sdtContent>
          </w:sdt>
        </w:tc>
      </w:tr>
      <w:tr w:rsidRPr="00065CF0" w:rsidR="005E43B2" w:rsidTr="00942DAD" w14:paraId="11826737" w14:textId="77777777">
        <w:tc>
          <w:tcPr>
            <w:tcW w:w="1498" w:type="dxa"/>
            <w:tcMar>
              <w:top w:w="29" w:type="dxa"/>
              <w:left w:w="0" w:type="dxa"/>
              <w:bottom w:w="29" w:type="dxa"/>
              <w:right w:w="0" w:type="dxa"/>
            </w:tcMar>
            <w:hideMark/>
          </w:tcPr>
          <w:p w:rsidRPr="00065CF0" w:rsidR="005E43B2" w:rsidP="00942DAD" w:rsidRDefault="005E43B2" w14:paraId="08ADDACF" w14:textId="77777777">
            <w:pPr>
              <w:pStyle w:val="TableTextBold"/>
            </w:pPr>
            <w:r w:rsidRPr="00065CF0">
              <w:t>Document no:</w:t>
            </w:r>
          </w:p>
        </w:tc>
        <w:tc>
          <w:tcPr>
            <w:tcW w:w="3024" w:type="dxa"/>
            <w:tcMar>
              <w:top w:w="29" w:type="dxa"/>
              <w:left w:w="0" w:type="dxa"/>
              <w:bottom w:w="29" w:type="dxa"/>
              <w:right w:w="0" w:type="dxa"/>
            </w:tcMar>
            <w:hideMark/>
          </w:tcPr>
          <w:sdt>
            <w:sdtPr>
              <w:alias w:val="Document number"/>
              <w:tag w:val="Document number"/>
              <w:id w:val="-1966114682"/>
              <w:placeholder>
                <w:docPart w:val="55B36186782B4D3E854F5772A5D55BA4"/>
              </w:placeholder>
              <w:dataBinding w:xpath="/*[local-name()='root']/*[local-name()='DocumentNumber']" w:storeItemID="{8F33FB8F-8118-4915-86A8-F93B7C2B254E}"/>
              <w:text/>
            </w:sdtPr>
            <w:sdtEndPr/>
            <w:sdtContent>
              <w:p w:rsidRPr="00065CF0" w:rsidR="005E43B2" w:rsidP="00942DAD" w:rsidRDefault="004C69E5" w14:paraId="10AFFBC3" w14:textId="3DE1AC03">
                <w:pPr>
                  <w:pStyle w:val="TableText"/>
                </w:pPr>
                <w:r>
                  <w:t>TW_STC_BRA_08_v2</w:t>
                </w:r>
              </w:p>
            </w:sdtContent>
          </w:sdt>
        </w:tc>
        <w:tc>
          <w:tcPr>
            <w:tcW w:w="1497" w:type="dxa"/>
            <w:tcMar>
              <w:top w:w="29" w:type="dxa"/>
              <w:left w:w="0" w:type="dxa"/>
              <w:bottom w:w="29" w:type="dxa"/>
              <w:right w:w="0" w:type="dxa"/>
            </w:tcMar>
            <w:hideMark/>
          </w:tcPr>
          <w:p w:rsidRPr="00065CF0" w:rsidR="005E43B2" w:rsidP="00942DAD" w:rsidRDefault="005E43B2" w14:paraId="4A5A2308" w14:textId="77777777">
            <w:pPr>
              <w:pStyle w:val="TableTextBold"/>
            </w:pPr>
            <w:r w:rsidRPr="00065CF0">
              <w:t>Project manager:</w:t>
            </w:r>
          </w:p>
        </w:tc>
        <w:tc>
          <w:tcPr>
            <w:tcW w:w="3007" w:type="dxa"/>
            <w:tcMar>
              <w:top w:w="29" w:type="dxa"/>
              <w:left w:w="0" w:type="dxa"/>
              <w:bottom w:w="29" w:type="dxa"/>
              <w:right w:w="0" w:type="dxa"/>
            </w:tcMar>
            <w:hideMark/>
          </w:tcPr>
          <w:sdt>
            <w:sdtPr>
              <w:alias w:val="Project manager"/>
              <w:tag w:val="Project manager"/>
              <w:id w:val="283768701"/>
              <w:placeholder>
                <w:docPart w:val="174A50088DA74AE188E1F2244C7D752B"/>
              </w:placeholder>
              <w:dataBinding w:xpath="/*[local-name()='root']/*[local-name()='ProjectManager']/*[local-name()='FullName']" w:storeItemID="{8F33FB8F-8118-4915-86A8-F93B7C2B254E}"/>
              <w:text/>
            </w:sdtPr>
            <w:sdtEndPr/>
            <w:sdtContent>
              <w:p w:rsidRPr="00065CF0" w:rsidR="005E43B2" w:rsidP="00942DAD" w:rsidRDefault="00940735" w14:paraId="7EFED6C6" w14:textId="55E3F0DB">
                <w:pPr>
                  <w:pStyle w:val="TableText"/>
                </w:pPr>
                <w:r w:rsidRPr="00065CF0">
                  <w:t>Harindra HG Gunasinghe</w:t>
                </w:r>
              </w:p>
            </w:sdtContent>
          </w:sdt>
        </w:tc>
      </w:tr>
      <w:tr w:rsidRPr="00065CF0" w:rsidR="005E43B2" w:rsidTr="00942DAD" w14:paraId="1690FD22" w14:textId="77777777">
        <w:tc>
          <w:tcPr>
            <w:tcW w:w="1498" w:type="dxa"/>
            <w:tcMar>
              <w:top w:w="29" w:type="dxa"/>
              <w:left w:w="0" w:type="dxa"/>
              <w:bottom w:w="29" w:type="dxa"/>
              <w:right w:w="0" w:type="dxa"/>
            </w:tcMar>
            <w:hideMark/>
          </w:tcPr>
          <w:p w:rsidRPr="00065CF0" w:rsidR="005E43B2" w:rsidP="00942DAD" w:rsidRDefault="005E43B2" w14:paraId="52BE5111" w14:textId="77777777">
            <w:pPr>
              <w:pStyle w:val="TableTextBold"/>
            </w:pPr>
            <w:r w:rsidRPr="00065CF0">
              <w:t>Revision no:</w:t>
            </w:r>
          </w:p>
        </w:tc>
        <w:tc>
          <w:tcPr>
            <w:tcW w:w="3024" w:type="dxa"/>
            <w:tcMar>
              <w:top w:w="29" w:type="dxa"/>
              <w:left w:w="0" w:type="dxa"/>
              <w:bottom w:w="29" w:type="dxa"/>
              <w:right w:w="0" w:type="dxa"/>
            </w:tcMar>
            <w:hideMark/>
          </w:tcPr>
          <w:sdt>
            <w:sdtPr>
              <w:alias w:val="Revision number"/>
              <w:tag w:val="Revision"/>
              <w:id w:val="664976577"/>
              <w:placeholder>
                <w:docPart w:val="3187DE8DCFD44BCAA650E6CC64D8F936"/>
              </w:placeholder>
              <w:dataBinding w:xpath="/*[local-name()='root']/*[local-name()='RevisionNumber']" w:storeItemID="{8F33FB8F-8118-4915-86A8-F93B7C2B254E}"/>
              <w:text/>
            </w:sdtPr>
            <w:sdtEndPr/>
            <w:sdtContent>
              <w:p w:rsidRPr="00065CF0" w:rsidR="005E43B2" w:rsidP="00942DAD" w:rsidRDefault="00AA44F8" w14:paraId="6A38D9D5" w14:textId="08DF0E24">
                <w:pPr>
                  <w:pStyle w:val="TableText"/>
                </w:pPr>
                <w:r>
                  <w:t>Revision 2</w:t>
                </w:r>
              </w:p>
            </w:sdtContent>
          </w:sdt>
        </w:tc>
        <w:tc>
          <w:tcPr>
            <w:tcW w:w="1497" w:type="dxa"/>
            <w:tcMar>
              <w:top w:w="29" w:type="dxa"/>
              <w:left w:w="0" w:type="dxa"/>
              <w:bottom w:w="29" w:type="dxa"/>
              <w:right w:w="0" w:type="dxa"/>
            </w:tcMar>
            <w:hideMark/>
          </w:tcPr>
          <w:p w:rsidRPr="00065CF0" w:rsidR="005E43B2" w:rsidP="00942DAD" w:rsidRDefault="005E43B2" w14:paraId="2209A65C" w14:textId="77777777">
            <w:pPr>
              <w:pStyle w:val="TableTextBold"/>
            </w:pPr>
            <w:r w:rsidRPr="00065CF0">
              <w:t>Prepared by:</w:t>
            </w:r>
          </w:p>
        </w:tc>
        <w:tc>
          <w:tcPr>
            <w:tcW w:w="3007" w:type="dxa"/>
            <w:tcMar>
              <w:top w:w="29" w:type="dxa"/>
              <w:left w:w="0" w:type="dxa"/>
              <w:bottom w:w="29" w:type="dxa"/>
              <w:right w:w="0" w:type="dxa"/>
            </w:tcMar>
            <w:hideMark/>
          </w:tcPr>
          <w:sdt>
            <w:sdtPr>
              <w:alias w:val="Prepared by"/>
              <w:tag w:val="Prepared by"/>
              <w:id w:val="-962106934"/>
              <w:placeholder>
                <w:docPart w:val="ABB50EA02A364D8F923CC202DD623320"/>
              </w:placeholder>
              <w:dataBinding w:xpath="/*[local-name()='root']/*[local-name()='Sender']/*[local-name()='FullName']" w:storeItemID="{8F33FB8F-8118-4915-86A8-F93B7C2B254E}"/>
              <w:text/>
            </w:sdtPr>
            <w:sdtEndPr/>
            <w:sdtContent>
              <w:p w:rsidRPr="00065CF0" w:rsidR="005E43B2" w:rsidP="00942DAD" w:rsidRDefault="00940735" w14:paraId="673FD310" w14:textId="1F2E1684">
                <w:pPr>
                  <w:pStyle w:val="TableText"/>
                </w:pPr>
                <w:r w:rsidRPr="00065CF0">
                  <w:t>Mark MA McAree</w:t>
                </w:r>
              </w:p>
            </w:sdtContent>
          </w:sdt>
        </w:tc>
      </w:tr>
      <w:tr w:rsidRPr="00065CF0" w:rsidR="005E43B2" w:rsidTr="00942DAD" w14:paraId="2F3C898B" w14:textId="77777777">
        <w:tc>
          <w:tcPr>
            <w:tcW w:w="1498" w:type="dxa"/>
            <w:tcMar>
              <w:top w:w="29" w:type="dxa"/>
              <w:left w:w="0" w:type="dxa"/>
              <w:bottom w:w="29" w:type="dxa"/>
              <w:right w:w="0" w:type="dxa"/>
            </w:tcMar>
            <w:hideMark/>
          </w:tcPr>
          <w:p w:rsidRPr="00065CF0" w:rsidR="005E43B2" w:rsidP="00942DAD" w:rsidRDefault="005E43B2" w14:paraId="534BBF8B" w14:textId="77777777">
            <w:pPr>
              <w:pStyle w:val="TableTextBold"/>
            </w:pPr>
            <w:r w:rsidRPr="00065CF0">
              <w:t>Date</w:t>
            </w:r>
            <w:r w:rsidRPr="00065CF0">
              <w:rPr>
                <w:bCs/>
              </w:rPr>
              <w:t>:</w:t>
            </w:r>
          </w:p>
        </w:tc>
        <w:tc>
          <w:tcPr>
            <w:tcW w:w="3024" w:type="dxa"/>
            <w:tcMar>
              <w:top w:w="29" w:type="dxa"/>
              <w:left w:w="0" w:type="dxa"/>
              <w:bottom w:w="29" w:type="dxa"/>
              <w:right w:w="0" w:type="dxa"/>
            </w:tcMar>
            <w:hideMark/>
          </w:tcPr>
          <w:p w:rsidRPr="00065CF0" w:rsidR="005E43B2" w:rsidP="00942DAD" w:rsidRDefault="001308DE" w14:paraId="1C000832" w14:textId="4A7B1502">
            <w:pPr>
              <w:pStyle w:val="TableText"/>
            </w:pPr>
            <w:sdt>
              <w:sdtPr>
                <w:alias w:val="Date"/>
                <w:tag w:val="&lt;?xml version=&quot;1.0&quot; encoding=&quot;utf-16&quot;?&gt;&#10;&lt;PrecedentInstruction&gt;&#10;  &lt;InitialiseRoutine&gt;InitialiseDateFormat&lt;/InitialiseRoutine&gt;&#10;  &lt;UpdateAfterVariables /&gt;&#10;&lt;/PrecedentInstruction&gt;"/>
                <w:id w:val="978347123"/>
                <w:placeholder>
                  <w:docPart w:val="1FDA2871D37847C6BC23B6BE0A30255A"/>
                </w:placeholder>
                <w:dataBinding w:xpath="/*[local-name()='root']/*[local-name()='Date']" w:storeItemID="{8F33FB8F-8118-4915-86A8-F93B7C2B254E}"/>
                <w:date w:fullDate="2023-03-10T00:00:00Z">
                  <w:dateFormat w:val="d MMMM yyyy"/>
                  <w:lid w:val="en-GB"/>
                  <w:storeMappedDataAs w:val="dateTime"/>
                  <w:calendar w:val="gregorian"/>
                </w:date>
              </w:sdtPr>
              <w:sdtEndPr/>
              <w:sdtContent>
                <w:r w:rsidR="00AA44F8">
                  <w:rPr>
                    <w:rFonts w:ascii="Times New Roman" w:hAnsi="Times New Roman"/>
                  </w:rPr>
                  <w:t>10 March 2023</w:t>
                </w:r>
              </w:sdtContent>
            </w:sdt>
          </w:p>
        </w:tc>
        <w:tc>
          <w:tcPr>
            <w:tcW w:w="1497" w:type="dxa"/>
            <w:tcMar>
              <w:top w:w="29" w:type="dxa"/>
              <w:left w:w="0" w:type="dxa"/>
              <w:bottom w:w="29" w:type="dxa"/>
              <w:right w:w="0" w:type="dxa"/>
            </w:tcMar>
            <w:hideMark/>
          </w:tcPr>
          <w:p w:rsidRPr="00065CF0" w:rsidR="005E43B2" w:rsidP="00942DAD" w:rsidRDefault="005E43B2" w14:paraId="484731B1" w14:textId="77777777">
            <w:pPr>
              <w:pStyle w:val="TableTextBold"/>
            </w:pPr>
            <w:r w:rsidRPr="00065CF0">
              <w:t>File name:</w:t>
            </w:r>
          </w:p>
        </w:tc>
        <w:tc>
          <w:tcPr>
            <w:tcW w:w="3007" w:type="dxa"/>
            <w:tcMar>
              <w:top w:w="29" w:type="dxa"/>
              <w:left w:w="0" w:type="dxa"/>
              <w:bottom w:w="29" w:type="dxa"/>
              <w:right w:w="0" w:type="dxa"/>
            </w:tcMar>
            <w:hideMark/>
          </w:tcPr>
          <w:p w:rsidRPr="00065CF0" w:rsidR="005E43B2" w:rsidP="00942DAD" w:rsidRDefault="00E11DD5" w14:paraId="6E4A30BC" w14:textId="76526EA9">
            <w:pPr>
              <w:pStyle w:val="TableText"/>
            </w:pPr>
            <w:r>
              <w:fldChar w:fldCharType="begin"/>
            </w:r>
            <w:r>
              <w:instrText>FILENAME   \* MERGEFORMAT</w:instrText>
            </w:r>
            <w:r>
              <w:fldChar w:fldCharType="separate"/>
            </w:r>
            <w:r w:rsidR="001308DE">
              <w:rPr>
                <w:noProof/>
              </w:rPr>
              <w:t>TW_STC_EPR_03a_MPL_APPF.docx</w:t>
            </w:r>
            <w:r>
              <w:fldChar w:fldCharType="end"/>
            </w:r>
          </w:p>
        </w:tc>
      </w:tr>
      <w:tr w:rsidRPr="00065CF0" w:rsidR="005E43B2" w:rsidTr="00942DAD" w14:paraId="3441DA95" w14:textId="77777777">
        <w:tc>
          <w:tcPr>
            <w:tcW w:w="1498" w:type="dxa"/>
            <w:tcMar>
              <w:top w:w="29" w:type="dxa"/>
              <w:left w:w="0" w:type="dxa"/>
              <w:bottom w:w="29" w:type="dxa"/>
              <w:right w:w="0" w:type="dxa"/>
            </w:tcMar>
            <w:hideMark/>
          </w:tcPr>
          <w:p w:rsidRPr="00065CF0" w:rsidR="005E43B2" w:rsidP="00942DAD" w:rsidRDefault="005E43B2" w14:paraId="40756D0B" w14:textId="77777777">
            <w:pPr>
              <w:pStyle w:val="TableTextBold"/>
            </w:pPr>
            <w:r w:rsidRPr="00065CF0">
              <w:t>Doc status:</w:t>
            </w:r>
          </w:p>
        </w:tc>
        <w:tc>
          <w:tcPr>
            <w:tcW w:w="7528" w:type="dxa"/>
            <w:gridSpan w:val="3"/>
            <w:tcMar>
              <w:top w:w="29" w:type="dxa"/>
              <w:left w:w="0" w:type="dxa"/>
              <w:bottom w:w="29" w:type="dxa"/>
              <w:right w:w="0" w:type="dxa"/>
            </w:tcMar>
            <w:hideMark/>
          </w:tcPr>
          <w:sdt>
            <w:sdtPr>
              <w:id w:val="1301336219"/>
              <w:placeholder>
                <w:docPart w:val="9BBA76F476C84A1789928CD9F13B6397"/>
              </w:placeholder>
              <w:temporary/>
              <w:showingPlcHdr/>
              <w:text/>
            </w:sdtPr>
            <w:sdtEndPr/>
            <w:sdtContent>
              <w:p w:rsidRPr="00065CF0" w:rsidR="005E43B2" w:rsidP="00942DAD" w:rsidRDefault="005E43B2" w14:paraId="73E506C6" w14:textId="3178863A">
                <w:pPr>
                  <w:pStyle w:val="TableText"/>
                </w:pPr>
                <w:r w:rsidRPr="00065CF0">
                  <w:rPr>
                    <w:rStyle w:val="PlaceholderText"/>
                  </w:rPr>
                  <w:t>[Doc suitability – Delete row if not applicable]</w:t>
                </w:r>
              </w:p>
            </w:sdtContent>
          </w:sdt>
        </w:tc>
      </w:tr>
    </w:tbl>
    <w:p w:rsidR="005E43B2" w:rsidP="005E43B2" w:rsidRDefault="005E43B2" w14:paraId="5D6B5B52" w14:textId="77777777">
      <w:pPr>
        <w:pStyle w:val="DocumentSubject"/>
      </w:pPr>
      <w:r w:rsidRPr="00065CF0">
        <w:t>Document history and status</w:t>
      </w:r>
    </w:p>
    <w:tbl>
      <w:tblPr>
        <w:tblStyle w:val="TableGrid"/>
        <w:tblW w:w="5000" w:type="pct"/>
        <w:tblLook w:val="04A0" w:firstRow="1" w:lastRow="0" w:firstColumn="1" w:lastColumn="0" w:noHBand="0" w:noVBand="1"/>
      </w:tblPr>
      <w:tblGrid>
        <w:gridCol w:w="1007"/>
        <w:gridCol w:w="1242"/>
        <w:gridCol w:w="1844"/>
        <w:gridCol w:w="1172"/>
        <w:gridCol w:w="1223"/>
        <w:gridCol w:w="1258"/>
        <w:gridCol w:w="1270"/>
      </w:tblGrid>
      <w:tr w:rsidRPr="00392D1A" w:rsidR="00926692" w:rsidTr="00942DAD" w14:paraId="15429B3E" w14:textId="77777777">
        <w:tc>
          <w:tcPr>
            <w:tcW w:w="1007" w:type="dxa"/>
            <w:tcBorders>
              <w:top w:val="single" w:color="231EDC" w:themeColor="accent1" w:sz="4" w:space="0"/>
              <w:left w:val="single" w:color="231EDC" w:themeColor="accent1" w:sz="4" w:space="0"/>
              <w:bottom w:val="single" w:color="E6E6E6" w:sz="2" w:space="0"/>
              <w:right w:val="single" w:color="E6E6E6" w:sz="4" w:space="0"/>
            </w:tcBorders>
            <w:shd w:val="clear" w:color="auto" w:fill="231EDC" w:themeFill="accent1"/>
          </w:tcPr>
          <w:p w:rsidRPr="00392D1A" w:rsidR="005E43B2" w:rsidP="00942DAD" w:rsidRDefault="005E43B2" w14:paraId="7A9B46C8" w14:textId="77777777">
            <w:pPr>
              <w:pStyle w:val="TableHeadingWhite"/>
            </w:pPr>
            <w:r w:rsidRPr="00392D1A">
              <w:t>Revision</w:t>
            </w:r>
          </w:p>
        </w:tc>
        <w:tc>
          <w:tcPr>
            <w:tcW w:w="812"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Pr="00392D1A" w:rsidR="005E43B2" w:rsidP="00942DAD" w:rsidRDefault="005E43B2" w14:paraId="31F7595F" w14:textId="77777777">
            <w:pPr>
              <w:pStyle w:val="TableHeadingWhite"/>
            </w:pPr>
            <w:r w:rsidRPr="00392D1A">
              <w:t>Date</w:t>
            </w:r>
          </w:p>
        </w:tc>
        <w:tc>
          <w:tcPr>
            <w:tcW w:w="2034"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Pr="00392D1A" w:rsidR="005E43B2" w:rsidP="00942DAD" w:rsidRDefault="005E43B2" w14:paraId="792C6EF2" w14:textId="77777777">
            <w:pPr>
              <w:pStyle w:val="TableHeadingWhite"/>
            </w:pPr>
            <w:r w:rsidRPr="00392D1A">
              <w:t>Description</w:t>
            </w:r>
          </w:p>
        </w:tc>
        <w:tc>
          <w:tcPr>
            <w:tcW w:w="1256"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Pr="00392D1A" w:rsidR="005E43B2" w:rsidP="00942DAD" w:rsidRDefault="005E43B2" w14:paraId="38A92729" w14:textId="77777777">
            <w:pPr>
              <w:pStyle w:val="TableHeadingWhite"/>
            </w:pPr>
            <w:r w:rsidRPr="00392D1A">
              <w:t>Author</w:t>
            </w:r>
          </w:p>
        </w:tc>
        <w:tc>
          <w:tcPr>
            <w:tcW w:w="1289"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Pr="00392D1A" w:rsidR="005E43B2" w:rsidP="00942DAD" w:rsidRDefault="005E43B2" w14:paraId="4C502370" w14:textId="77777777">
            <w:pPr>
              <w:pStyle w:val="TableHeadingWhite"/>
            </w:pPr>
            <w:r w:rsidRPr="00392D1A">
              <w:t>Checked</w:t>
            </w:r>
          </w:p>
        </w:tc>
        <w:tc>
          <w:tcPr>
            <w:tcW w:w="1306"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Pr="00392D1A" w:rsidR="005E43B2" w:rsidP="00942DAD" w:rsidRDefault="005E43B2" w14:paraId="396C6DD5" w14:textId="77777777">
            <w:pPr>
              <w:pStyle w:val="TableHeadingWhite"/>
            </w:pPr>
            <w:r w:rsidRPr="00392D1A">
              <w:t xml:space="preserve">Reviewed </w:t>
            </w:r>
          </w:p>
        </w:tc>
        <w:tc>
          <w:tcPr>
            <w:tcW w:w="1312" w:type="dxa"/>
            <w:tcBorders>
              <w:top w:val="single" w:color="231EDC" w:themeColor="accent1" w:sz="4" w:space="0"/>
              <w:left w:val="single" w:color="E6E6E6" w:sz="4" w:space="0"/>
              <w:bottom w:val="single" w:color="E6E6E6" w:sz="2" w:space="0"/>
              <w:right w:val="single" w:color="231EDC" w:themeColor="accent1" w:sz="4" w:space="0"/>
            </w:tcBorders>
            <w:shd w:val="clear" w:color="auto" w:fill="231EDC" w:themeFill="accent1"/>
          </w:tcPr>
          <w:p w:rsidRPr="00392D1A" w:rsidR="005E43B2" w:rsidP="00942DAD" w:rsidRDefault="005E43B2" w14:paraId="0FBE5EAC" w14:textId="77777777">
            <w:pPr>
              <w:pStyle w:val="TableHeadingWhite"/>
            </w:pPr>
            <w:r w:rsidRPr="00392D1A">
              <w:t>Approved</w:t>
            </w:r>
          </w:p>
        </w:tc>
      </w:tr>
      <w:tr w:rsidRPr="00687DFD" w:rsidR="005E43B2" w:rsidTr="00942DAD" w14:paraId="6B9260DF" w14:textId="77777777">
        <w:tc>
          <w:tcPr>
            <w:tcW w:w="1007" w:type="dxa"/>
            <w:tcBorders>
              <w:top w:val="single" w:color="E6E6E6" w:sz="2" w:space="0"/>
              <w:left w:val="single" w:color="E6E6E6" w:sz="2" w:space="0"/>
              <w:bottom w:val="single" w:color="E6E6E6" w:sz="2" w:space="0"/>
              <w:right w:val="single" w:color="E6E6E6" w:sz="2" w:space="0"/>
            </w:tcBorders>
          </w:tcPr>
          <w:p w:rsidRPr="00687DFD" w:rsidR="005E43B2" w:rsidP="00942DAD" w:rsidRDefault="00926692" w14:paraId="374A5A30" w14:textId="41048E14">
            <w:pPr>
              <w:pStyle w:val="TableText"/>
            </w:pPr>
            <w:r>
              <w:t>R0</w:t>
            </w:r>
          </w:p>
        </w:tc>
        <w:tc>
          <w:tcPr>
            <w:tcW w:w="812" w:type="dxa"/>
            <w:tcBorders>
              <w:top w:val="single" w:color="E6E6E6" w:sz="2" w:space="0"/>
              <w:left w:val="single" w:color="E6E6E6" w:sz="2" w:space="0"/>
              <w:bottom w:val="single" w:color="E6E6E6" w:sz="2" w:space="0"/>
              <w:right w:val="single" w:color="E6E6E6" w:sz="2" w:space="0"/>
            </w:tcBorders>
          </w:tcPr>
          <w:p w:rsidRPr="00687DFD" w:rsidR="005E43B2" w:rsidP="00942DAD" w:rsidRDefault="00EE4697" w14:paraId="3A72B3E9" w14:textId="4547D46D">
            <w:pPr>
              <w:pStyle w:val="TableText"/>
            </w:pPr>
            <w:r>
              <w:t>0</w:t>
            </w:r>
            <w:r w:rsidR="00966DFC">
              <w:t>7</w:t>
            </w:r>
            <w:r w:rsidR="00926692">
              <w:t>.0</w:t>
            </w:r>
            <w:r w:rsidR="00966DFC">
              <w:t>7</w:t>
            </w:r>
            <w:r w:rsidR="00926692">
              <w:t>.2022</w:t>
            </w:r>
          </w:p>
        </w:tc>
        <w:tc>
          <w:tcPr>
            <w:tcW w:w="2034" w:type="dxa"/>
            <w:tcBorders>
              <w:top w:val="single" w:color="E6E6E6" w:sz="2" w:space="0"/>
              <w:left w:val="single" w:color="E6E6E6" w:sz="2" w:space="0"/>
              <w:bottom w:val="single" w:color="E6E6E6" w:sz="2" w:space="0"/>
              <w:right w:val="single" w:color="E6E6E6" w:sz="2" w:space="0"/>
            </w:tcBorders>
          </w:tcPr>
          <w:p w:rsidRPr="00687DFD" w:rsidR="005E43B2" w:rsidP="00942DAD" w:rsidRDefault="00966DFC" w14:paraId="5D6CCEA1" w14:textId="7E0E5A7B">
            <w:pPr>
              <w:pStyle w:val="TableText"/>
            </w:pPr>
            <w:r>
              <w:t>Maple Lodge</w:t>
            </w:r>
            <w:r w:rsidRPr="00926692" w:rsidR="00926692">
              <w:t xml:space="preserve"> STC Bioaerosol Risk Assessment</w:t>
            </w:r>
          </w:p>
        </w:tc>
        <w:tc>
          <w:tcPr>
            <w:tcW w:w="1256" w:type="dxa"/>
            <w:tcBorders>
              <w:top w:val="single" w:color="E6E6E6" w:sz="2" w:space="0"/>
              <w:left w:val="single" w:color="E6E6E6" w:sz="2" w:space="0"/>
              <w:bottom w:val="single" w:color="E6E6E6" w:sz="2" w:space="0"/>
              <w:right w:val="single" w:color="E6E6E6" w:sz="2" w:space="0"/>
            </w:tcBorders>
          </w:tcPr>
          <w:p w:rsidRPr="00687DFD" w:rsidR="005E43B2" w:rsidP="00942DAD" w:rsidRDefault="00926692" w14:paraId="323FE04A" w14:textId="2CBFBA2F">
            <w:pPr>
              <w:pStyle w:val="TableText"/>
            </w:pPr>
            <w:r>
              <w:t>Heather England-Kerr</w:t>
            </w:r>
          </w:p>
        </w:tc>
        <w:tc>
          <w:tcPr>
            <w:tcW w:w="1289"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578C3CA4" w14:textId="77777777">
            <w:pPr>
              <w:pStyle w:val="TableText"/>
            </w:pPr>
          </w:p>
        </w:tc>
        <w:tc>
          <w:tcPr>
            <w:tcW w:w="1306"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39FF3D8A" w14:textId="77777777">
            <w:pPr>
              <w:pStyle w:val="TableText"/>
            </w:pPr>
          </w:p>
        </w:tc>
        <w:tc>
          <w:tcPr>
            <w:tcW w:w="1312"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0FE8A86F" w14:textId="77777777">
            <w:pPr>
              <w:pStyle w:val="TableText"/>
            </w:pPr>
          </w:p>
        </w:tc>
      </w:tr>
      <w:tr w:rsidRPr="00687DFD" w:rsidR="005E43B2" w:rsidTr="00942DAD" w14:paraId="5E133750" w14:textId="77777777">
        <w:tc>
          <w:tcPr>
            <w:tcW w:w="1007" w:type="dxa"/>
            <w:tcBorders>
              <w:top w:val="single" w:color="E6E6E6" w:sz="2" w:space="0"/>
              <w:left w:val="single" w:color="E6E6E6" w:sz="2" w:space="0"/>
              <w:bottom w:val="single" w:color="E6E6E6" w:sz="2" w:space="0"/>
              <w:right w:val="single" w:color="E6E6E6" w:sz="2" w:space="0"/>
            </w:tcBorders>
          </w:tcPr>
          <w:p w:rsidRPr="00687DFD" w:rsidR="005E43B2" w:rsidP="00942DAD" w:rsidRDefault="00566AB5" w14:paraId="699B2DD7" w14:textId="4A748E68">
            <w:pPr>
              <w:pStyle w:val="TableText"/>
            </w:pPr>
            <w:r>
              <w:t>R1</w:t>
            </w:r>
          </w:p>
        </w:tc>
        <w:tc>
          <w:tcPr>
            <w:tcW w:w="812" w:type="dxa"/>
            <w:tcBorders>
              <w:top w:val="single" w:color="E6E6E6" w:sz="2" w:space="0"/>
              <w:left w:val="single" w:color="E6E6E6" w:sz="2" w:space="0"/>
              <w:bottom w:val="single" w:color="E6E6E6" w:sz="2" w:space="0"/>
              <w:right w:val="single" w:color="E6E6E6" w:sz="2" w:space="0"/>
            </w:tcBorders>
          </w:tcPr>
          <w:p w:rsidRPr="00687DFD" w:rsidR="005E43B2" w:rsidP="00942DAD" w:rsidRDefault="00566AB5" w14:paraId="013A816D" w14:textId="0DA347E9">
            <w:pPr>
              <w:pStyle w:val="TableText"/>
            </w:pPr>
            <w:r>
              <w:t>27/02/2023</w:t>
            </w:r>
          </w:p>
        </w:tc>
        <w:tc>
          <w:tcPr>
            <w:tcW w:w="2034" w:type="dxa"/>
            <w:tcBorders>
              <w:top w:val="single" w:color="E6E6E6" w:sz="2" w:space="0"/>
              <w:left w:val="single" w:color="E6E6E6" w:sz="2" w:space="0"/>
              <w:bottom w:val="single" w:color="E6E6E6" w:sz="2" w:space="0"/>
              <w:right w:val="single" w:color="E6E6E6" w:sz="2" w:space="0"/>
            </w:tcBorders>
          </w:tcPr>
          <w:p w:rsidRPr="00687DFD" w:rsidR="005E43B2" w:rsidP="00942DAD" w:rsidRDefault="002C628C" w14:paraId="3C83F0CA" w14:textId="5D8B5622">
            <w:pPr>
              <w:pStyle w:val="TableText"/>
            </w:pPr>
            <w:r>
              <w:t xml:space="preserve">Sampling locations added. Updates to document properties </w:t>
            </w:r>
          </w:p>
        </w:tc>
        <w:tc>
          <w:tcPr>
            <w:tcW w:w="1256" w:type="dxa"/>
            <w:tcBorders>
              <w:top w:val="single" w:color="E6E6E6" w:sz="2" w:space="0"/>
              <w:left w:val="single" w:color="E6E6E6" w:sz="2" w:space="0"/>
              <w:bottom w:val="single" w:color="E6E6E6" w:sz="2" w:space="0"/>
              <w:right w:val="single" w:color="E6E6E6" w:sz="2" w:space="0"/>
            </w:tcBorders>
          </w:tcPr>
          <w:p w:rsidRPr="00687DFD" w:rsidR="005E43B2" w:rsidP="00942DAD" w:rsidRDefault="002C628C" w14:paraId="2CB94615" w14:textId="1C498002">
            <w:pPr>
              <w:pStyle w:val="TableText"/>
            </w:pPr>
            <w:r>
              <w:t>James Killick</w:t>
            </w:r>
          </w:p>
        </w:tc>
        <w:tc>
          <w:tcPr>
            <w:tcW w:w="1289"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5AC26A9F" w14:textId="77777777">
            <w:pPr>
              <w:pStyle w:val="TableText"/>
            </w:pPr>
          </w:p>
        </w:tc>
        <w:tc>
          <w:tcPr>
            <w:tcW w:w="1306"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6F812B2D" w14:textId="77777777">
            <w:pPr>
              <w:pStyle w:val="TableText"/>
            </w:pPr>
          </w:p>
        </w:tc>
        <w:tc>
          <w:tcPr>
            <w:tcW w:w="1312"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4962603F" w14:textId="77777777">
            <w:pPr>
              <w:pStyle w:val="TableText"/>
            </w:pPr>
          </w:p>
        </w:tc>
      </w:tr>
      <w:tr w:rsidRPr="00687DFD" w:rsidR="005E43B2" w:rsidTr="00942DAD" w14:paraId="21C66170" w14:textId="77777777">
        <w:tc>
          <w:tcPr>
            <w:tcW w:w="1007"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223DDD84" w14:textId="77777777">
            <w:pPr>
              <w:pStyle w:val="TableText"/>
            </w:pPr>
          </w:p>
        </w:tc>
        <w:tc>
          <w:tcPr>
            <w:tcW w:w="812"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3A67E88C" w14:textId="77777777">
            <w:pPr>
              <w:pStyle w:val="TableText"/>
            </w:pPr>
          </w:p>
        </w:tc>
        <w:tc>
          <w:tcPr>
            <w:tcW w:w="2034"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3F51034C" w14:textId="77777777">
            <w:pPr>
              <w:pStyle w:val="TableText"/>
            </w:pPr>
          </w:p>
        </w:tc>
        <w:tc>
          <w:tcPr>
            <w:tcW w:w="1256"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21F85C8B" w14:textId="77777777">
            <w:pPr>
              <w:pStyle w:val="TableText"/>
            </w:pPr>
          </w:p>
        </w:tc>
        <w:tc>
          <w:tcPr>
            <w:tcW w:w="1289"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5003037B" w14:textId="77777777">
            <w:pPr>
              <w:pStyle w:val="TableText"/>
            </w:pPr>
          </w:p>
        </w:tc>
        <w:tc>
          <w:tcPr>
            <w:tcW w:w="1306"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1EA96E5C" w14:textId="77777777">
            <w:pPr>
              <w:pStyle w:val="TableText"/>
            </w:pPr>
          </w:p>
        </w:tc>
        <w:tc>
          <w:tcPr>
            <w:tcW w:w="1312" w:type="dxa"/>
            <w:tcBorders>
              <w:top w:val="single" w:color="E6E6E6" w:sz="2" w:space="0"/>
              <w:left w:val="single" w:color="E6E6E6" w:sz="2" w:space="0"/>
              <w:bottom w:val="single" w:color="E6E6E6" w:sz="2" w:space="0"/>
              <w:right w:val="single" w:color="E6E6E6" w:sz="2" w:space="0"/>
            </w:tcBorders>
          </w:tcPr>
          <w:p w:rsidRPr="00687DFD" w:rsidR="005E43B2" w:rsidP="00942DAD" w:rsidRDefault="005E43B2" w14:paraId="64FB8FBE" w14:textId="77777777">
            <w:pPr>
              <w:pStyle w:val="TableText"/>
            </w:pPr>
          </w:p>
        </w:tc>
      </w:tr>
    </w:tbl>
    <w:p w:rsidR="005E43B2" w:rsidP="005E43B2" w:rsidRDefault="005E43B2" w14:paraId="5294D15D" w14:textId="77777777">
      <w:pPr>
        <w:pStyle w:val="DocumentSubject"/>
      </w:pPr>
      <w:r>
        <w:t>Distribution of copies</w:t>
      </w:r>
    </w:p>
    <w:tbl>
      <w:tblPr>
        <w:tblStyle w:val="TableGrid"/>
        <w:tblW w:w="5000" w:type="pct"/>
        <w:tblLook w:val="04A0" w:firstRow="1" w:lastRow="0" w:firstColumn="1" w:lastColumn="0" w:noHBand="0" w:noVBand="1"/>
      </w:tblPr>
      <w:tblGrid>
        <w:gridCol w:w="1007"/>
        <w:gridCol w:w="1823"/>
        <w:gridCol w:w="1418"/>
        <w:gridCol w:w="1134"/>
        <w:gridCol w:w="3634"/>
      </w:tblGrid>
      <w:tr w:rsidR="005E43B2" w:rsidTr="00942DAD" w14:paraId="08CBAF3E" w14:textId="77777777">
        <w:tc>
          <w:tcPr>
            <w:tcW w:w="1007" w:type="dxa"/>
            <w:tcBorders>
              <w:top w:val="single" w:color="231EDC" w:themeColor="accent1" w:sz="4" w:space="0"/>
              <w:left w:val="single" w:color="231EDC" w:themeColor="accent1" w:sz="4" w:space="0"/>
              <w:bottom w:val="single" w:color="E6E6E6" w:sz="2" w:space="0"/>
              <w:right w:val="single" w:color="E6E6E6" w:sz="4" w:space="0"/>
            </w:tcBorders>
            <w:shd w:val="clear" w:color="auto" w:fill="231EDC" w:themeFill="accent1"/>
          </w:tcPr>
          <w:p w:rsidR="005E43B2" w:rsidP="00942DAD" w:rsidRDefault="005E43B2" w14:paraId="3230C829" w14:textId="77777777">
            <w:pPr>
              <w:pStyle w:val="TableHeadingWhite"/>
            </w:pPr>
            <w:r>
              <w:t>Revision</w:t>
            </w:r>
          </w:p>
        </w:tc>
        <w:tc>
          <w:tcPr>
            <w:tcW w:w="1823"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005E43B2" w:rsidP="00942DAD" w:rsidRDefault="005E43B2" w14:paraId="147B8B8A" w14:textId="77777777">
            <w:pPr>
              <w:pStyle w:val="TableHeadingWhite"/>
            </w:pPr>
            <w:r>
              <w:t>Issue approved</w:t>
            </w:r>
          </w:p>
        </w:tc>
        <w:tc>
          <w:tcPr>
            <w:tcW w:w="1418"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005E43B2" w:rsidP="00942DAD" w:rsidRDefault="005E43B2" w14:paraId="62A4DAEA" w14:textId="77777777">
            <w:pPr>
              <w:pStyle w:val="TableHeadingWhite"/>
            </w:pPr>
            <w:r>
              <w:t>Date issued</w:t>
            </w:r>
          </w:p>
        </w:tc>
        <w:tc>
          <w:tcPr>
            <w:tcW w:w="1134" w:type="dxa"/>
            <w:tcBorders>
              <w:top w:val="single" w:color="231EDC" w:themeColor="accent1" w:sz="4" w:space="0"/>
              <w:left w:val="single" w:color="E6E6E6" w:sz="4" w:space="0"/>
              <w:bottom w:val="single" w:color="E6E6E6" w:sz="2" w:space="0"/>
              <w:right w:val="single" w:color="E6E6E6" w:sz="4" w:space="0"/>
            </w:tcBorders>
            <w:shd w:val="clear" w:color="auto" w:fill="231EDC" w:themeFill="accent1"/>
          </w:tcPr>
          <w:p w:rsidR="005E43B2" w:rsidP="00942DAD" w:rsidRDefault="005E43B2" w14:paraId="696F1C2C" w14:textId="77777777">
            <w:pPr>
              <w:pStyle w:val="TableHeadingWhite"/>
            </w:pPr>
            <w:r>
              <w:t>Issued to</w:t>
            </w:r>
          </w:p>
        </w:tc>
        <w:tc>
          <w:tcPr>
            <w:tcW w:w="3634" w:type="dxa"/>
            <w:tcBorders>
              <w:top w:val="single" w:color="231EDC" w:themeColor="accent1" w:sz="4" w:space="0"/>
              <w:left w:val="single" w:color="E6E6E6" w:sz="4" w:space="0"/>
              <w:bottom w:val="single" w:color="E6E6E6" w:sz="2" w:space="0"/>
              <w:right w:val="single" w:color="231EDC" w:themeColor="accent1" w:sz="4" w:space="0"/>
            </w:tcBorders>
            <w:shd w:val="clear" w:color="auto" w:fill="231EDC" w:themeFill="accent1"/>
          </w:tcPr>
          <w:p w:rsidR="005E43B2" w:rsidP="00942DAD" w:rsidRDefault="005E43B2" w14:paraId="6698A3AA" w14:textId="77777777">
            <w:pPr>
              <w:pStyle w:val="TableHeadingWhite"/>
            </w:pPr>
            <w:r>
              <w:t>Comments</w:t>
            </w:r>
          </w:p>
        </w:tc>
      </w:tr>
      <w:tr w:rsidR="005E43B2" w:rsidTr="00942DAD" w14:paraId="706FECB7" w14:textId="77777777">
        <w:tc>
          <w:tcPr>
            <w:tcW w:w="1007" w:type="dxa"/>
            <w:tcBorders>
              <w:top w:val="single" w:color="E6E6E6" w:sz="2" w:space="0"/>
              <w:left w:val="single" w:color="E6E6E6" w:sz="2" w:space="0"/>
              <w:bottom w:val="single" w:color="E6E6E6" w:sz="2" w:space="0"/>
              <w:right w:val="single" w:color="E6E6E6" w:sz="2" w:space="0"/>
            </w:tcBorders>
          </w:tcPr>
          <w:p w:rsidR="005E43B2" w:rsidP="00942DAD" w:rsidRDefault="005E43B2" w14:paraId="090E8204" w14:textId="77777777">
            <w:pPr>
              <w:pStyle w:val="TableText"/>
            </w:pPr>
          </w:p>
        </w:tc>
        <w:tc>
          <w:tcPr>
            <w:tcW w:w="1823" w:type="dxa"/>
            <w:tcBorders>
              <w:top w:val="single" w:color="E6E6E6" w:sz="2" w:space="0"/>
              <w:left w:val="single" w:color="E6E6E6" w:sz="2" w:space="0"/>
              <w:bottom w:val="single" w:color="E6E6E6" w:sz="2" w:space="0"/>
              <w:right w:val="single" w:color="E6E6E6" w:sz="2" w:space="0"/>
            </w:tcBorders>
          </w:tcPr>
          <w:p w:rsidR="005E43B2" w:rsidP="00942DAD" w:rsidRDefault="005E43B2" w14:paraId="0C9E988A" w14:textId="77777777">
            <w:pPr>
              <w:pStyle w:val="TableText"/>
            </w:pPr>
          </w:p>
        </w:tc>
        <w:tc>
          <w:tcPr>
            <w:tcW w:w="1418" w:type="dxa"/>
            <w:tcBorders>
              <w:top w:val="single" w:color="E6E6E6" w:sz="2" w:space="0"/>
              <w:left w:val="single" w:color="E6E6E6" w:sz="2" w:space="0"/>
              <w:bottom w:val="single" w:color="E6E6E6" w:sz="2" w:space="0"/>
              <w:right w:val="single" w:color="E6E6E6" w:sz="2" w:space="0"/>
            </w:tcBorders>
          </w:tcPr>
          <w:p w:rsidR="005E43B2" w:rsidP="00942DAD" w:rsidRDefault="005E43B2" w14:paraId="3B4EABBE" w14:textId="77777777">
            <w:pPr>
              <w:pStyle w:val="TableText"/>
            </w:pPr>
          </w:p>
        </w:tc>
        <w:tc>
          <w:tcPr>
            <w:tcW w:w="1134" w:type="dxa"/>
            <w:tcBorders>
              <w:top w:val="single" w:color="E6E6E6" w:sz="2" w:space="0"/>
              <w:left w:val="single" w:color="E6E6E6" w:sz="2" w:space="0"/>
              <w:bottom w:val="single" w:color="E6E6E6" w:sz="2" w:space="0"/>
              <w:right w:val="single" w:color="E6E6E6" w:sz="2" w:space="0"/>
            </w:tcBorders>
          </w:tcPr>
          <w:p w:rsidR="005E43B2" w:rsidP="00942DAD" w:rsidRDefault="005E43B2" w14:paraId="541F680C" w14:textId="77777777">
            <w:pPr>
              <w:pStyle w:val="TableText"/>
            </w:pPr>
          </w:p>
        </w:tc>
        <w:tc>
          <w:tcPr>
            <w:tcW w:w="3634" w:type="dxa"/>
            <w:tcBorders>
              <w:top w:val="single" w:color="E6E6E6" w:sz="2" w:space="0"/>
              <w:left w:val="single" w:color="E6E6E6" w:sz="2" w:space="0"/>
              <w:bottom w:val="single" w:color="E6E6E6" w:sz="2" w:space="0"/>
              <w:right w:val="single" w:color="E6E6E6" w:sz="2" w:space="0"/>
            </w:tcBorders>
          </w:tcPr>
          <w:p w:rsidR="005E43B2" w:rsidP="00942DAD" w:rsidRDefault="005E43B2" w14:paraId="53E76DE6" w14:textId="77777777">
            <w:pPr>
              <w:pStyle w:val="TableText"/>
            </w:pPr>
          </w:p>
        </w:tc>
      </w:tr>
      <w:tr w:rsidR="005E43B2" w:rsidTr="00942DAD" w14:paraId="45D01844" w14:textId="77777777">
        <w:tc>
          <w:tcPr>
            <w:tcW w:w="1007" w:type="dxa"/>
            <w:tcBorders>
              <w:top w:val="single" w:color="E6E6E6" w:sz="2" w:space="0"/>
              <w:left w:val="single" w:color="E6E6E6" w:sz="2" w:space="0"/>
              <w:bottom w:val="single" w:color="E6E6E6" w:sz="2" w:space="0"/>
              <w:right w:val="single" w:color="E6E6E6" w:sz="2" w:space="0"/>
            </w:tcBorders>
          </w:tcPr>
          <w:p w:rsidR="005E43B2" w:rsidP="00942DAD" w:rsidRDefault="005E43B2" w14:paraId="10D9125B" w14:textId="77777777">
            <w:pPr>
              <w:pStyle w:val="TableText"/>
            </w:pPr>
          </w:p>
        </w:tc>
        <w:tc>
          <w:tcPr>
            <w:tcW w:w="1823" w:type="dxa"/>
            <w:tcBorders>
              <w:top w:val="single" w:color="E6E6E6" w:sz="2" w:space="0"/>
              <w:left w:val="single" w:color="E6E6E6" w:sz="2" w:space="0"/>
              <w:bottom w:val="single" w:color="E6E6E6" w:sz="2" w:space="0"/>
              <w:right w:val="single" w:color="E6E6E6" w:sz="2" w:space="0"/>
            </w:tcBorders>
          </w:tcPr>
          <w:p w:rsidR="005E43B2" w:rsidP="00942DAD" w:rsidRDefault="005E43B2" w14:paraId="72A1F9DB" w14:textId="77777777">
            <w:pPr>
              <w:pStyle w:val="TableText"/>
            </w:pPr>
          </w:p>
        </w:tc>
        <w:tc>
          <w:tcPr>
            <w:tcW w:w="1418" w:type="dxa"/>
            <w:tcBorders>
              <w:top w:val="single" w:color="E6E6E6" w:sz="2" w:space="0"/>
              <w:left w:val="single" w:color="E6E6E6" w:sz="2" w:space="0"/>
              <w:bottom w:val="single" w:color="E6E6E6" w:sz="2" w:space="0"/>
              <w:right w:val="single" w:color="E6E6E6" w:sz="2" w:space="0"/>
            </w:tcBorders>
          </w:tcPr>
          <w:p w:rsidR="005E43B2" w:rsidP="00942DAD" w:rsidRDefault="005E43B2" w14:paraId="4AFB4DBB" w14:textId="77777777">
            <w:pPr>
              <w:pStyle w:val="TableText"/>
            </w:pPr>
          </w:p>
        </w:tc>
        <w:tc>
          <w:tcPr>
            <w:tcW w:w="1134" w:type="dxa"/>
            <w:tcBorders>
              <w:top w:val="single" w:color="E6E6E6" w:sz="2" w:space="0"/>
              <w:left w:val="single" w:color="E6E6E6" w:sz="2" w:space="0"/>
              <w:bottom w:val="single" w:color="E6E6E6" w:sz="2" w:space="0"/>
              <w:right w:val="single" w:color="E6E6E6" w:sz="2" w:space="0"/>
            </w:tcBorders>
          </w:tcPr>
          <w:p w:rsidR="005E43B2" w:rsidP="00942DAD" w:rsidRDefault="005E43B2" w14:paraId="25E1CC7C" w14:textId="77777777">
            <w:pPr>
              <w:pStyle w:val="TableText"/>
            </w:pPr>
          </w:p>
        </w:tc>
        <w:tc>
          <w:tcPr>
            <w:tcW w:w="3634" w:type="dxa"/>
            <w:tcBorders>
              <w:top w:val="single" w:color="E6E6E6" w:sz="2" w:space="0"/>
              <w:left w:val="single" w:color="E6E6E6" w:sz="2" w:space="0"/>
              <w:bottom w:val="single" w:color="E6E6E6" w:sz="2" w:space="0"/>
              <w:right w:val="single" w:color="E6E6E6" w:sz="2" w:space="0"/>
            </w:tcBorders>
          </w:tcPr>
          <w:p w:rsidR="005E43B2" w:rsidP="00942DAD" w:rsidRDefault="005E43B2" w14:paraId="626E8ACF" w14:textId="77777777">
            <w:pPr>
              <w:pStyle w:val="TableText"/>
            </w:pPr>
          </w:p>
        </w:tc>
      </w:tr>
      <w:tr w:rsidR="005E43B2" w:rsidTr="00942DAD" w14:paraId="0B4DF21B" w14:textId="77777777">
        <w:tc>
          <w:tcPr>
            <w:tcW w:w="1007" w:type="dxa"/>
            <w:tcBorders>
              <w:top w:val="single" w:color="E6E6E6" w:sz="2" w:space="0"/>
              <w:left w:val="single" w:color="E6E6E6" w:sz="2" w:space="0"/>
              <w:bottom w:val="single" w:color="E6E6E6" w:sz="2" w:space="0"/>
              <w:right w:val="single" w:color="E6E6E6" w:sz="2" w:space="0"/>
            </w:tcBorders>
          </w:tcPr>
          <w:p w:rsidR="005E43B2" w:rsidP="00942DAD" w:rsidRDefault="005E43B2" w14:paraId="5B3FC636" w14:textId="77777777">
            <w:pPr>
              <w:pStyle w:val="TableText"/>
            </w:pPr>
          </w:p>
        </w:tc>
        <w:tc>
          <w:tcPr>
            <w:tcW w:w="1823" w:type="dxa"/>
            <w:tcBorders>
              <w:top w:val="single" w:color="E6E6E6" w:sz="2" w:space="0"/>
              <w:left w:val="single" w:color="E6E6E6" w:sz="2" w:space="0"/>
              <w:bottom w:val="single" w:color="E6E6E6" w:sz="2" w:space="0"/>
              <w:right w:val="single" w:color="E6E6E6" w:sz="2" w:space="0"/>
            </w:tcBorders>
          </w:tcPr>
          <w:p w:rsidR="005E43B2" w:rsidP="00942DAD" w:rsidRDefault="005E43B2" w14:paraId="38A3F9D5" w14:textId="77777777">
            <w:pPr>
              <w:pStyle w:val="TableText"/>
            </w:pPr>
          </w:p>
        </w:tc>
        <w:tc>
          <w:tcPr>
            <w:tcW w:w="1418" w:type="dxa"/>
            <w:tcBorders>
              <w:top w:val="single" w:color="E6E6E6" w:sz="2" w:space="0"/>
              <w:left w:val="single" w:color="E6E6E6" w:sz="2" w:space="0"/>
              <w:bottom w:val="single" w:color="E6E6E6" w:sz="2" w:space="0"/>
              <w:right w:val="single" w:color="E6E6E6" w:sz="2" w:space="0"/>
            </w:tcBorders>
          </w:tcPr>
          <w:p w:rsidR="005E43B2" w:rsidP="00942DAD" w:rsidRDefault="005E43B2" w14:paraId="05B42FA8" w14:textId="77777777">
            <w:pPr>
              <w:pStyle w:val="TableText"/>
            </w:pPr>
          </w:p>
        </w:tc>
        <w:tc>
          <w:tcPr>
            <w:tcW w:w="1134" w:type="dxa"/>
            <w:tcBorders>
              <w:top w:val="single" w:color="E6E6E6" w:sz="2" w:space="0"/>
              <w:left w:val="single" w:color="E6E6E6" w:sz="2" w:space="0"/>
              <w:bottom w:val="single" w:color="E6E6E6" w:sz="2" w:space="0"/>
              <w:right w:val="single" w:color="E6E6E6" w:sz="2" w:space="0"/>
            </w:tcBorders>
          </w:tcPr>
          <w:p w:rsidR="005E43B2" w:rsidP="00942DAD" w:rsidRDefault="005E43B2" w14:paraId="6C94FA40" w14:textId="77777777">
            <w:pPr>
              <w:pStyle w:val="TableText"/>
            </w:pPr>
          </w:p>
        </w:tc>
        <w:tc>
          <w:tcPr>
            <w:tcW w:w="3634" w:type="dxa"/>
            <w:tcBorders>
              <w:top w:val="single" w:color="E6E6E6" w:sz="2" w:space="0"/>
              <w:left w:val="single" w:color="E6E6E6" w:sz="2" w:space="0"/>
              <w:bottom w:val="single" w:color="E6E6E6" w:sz="2" w:space="0"/>
              <w:right w:val="single" w:color="E6E6E6" w:sz="2" w:space="0"/>
            </w:tcBorders>
          </w:tcPr>
          <w:p w:rsidR="005E43B2" w:rsidP="00942DAD" w:rsidRDefault="005E43B2" w14:paraId="2A514843" w14:textId="77777777">
            <w:pPr>
              <w:pStyle w:val="TableText"/>
            </w:pPr>
          </w:p>
        </w:tc>
      </w:tr>
    </w:tbl>
    <w:p w:rsidR="005E43B2" w:rsidP="005E43B2" w:rsidRDefault="005E43B2" w14:paraId="484DBF63" w14:textId="77777777">
      <w:pPr>
        <w:tabs>
          <w:tab w:val="left" w:pos="6000"/>
        </w:tabs>
      </w:pPr>
    </w:p>
    <w:tbl>
      <w:tblPr>
        <w:tblStyle w:val="TableGrid"/>
        <w:tblpPr w:leftFromText="181" w:rightFromText="181" w:horzAnchor="margin" w:tblpYSpec="bottom"/>
        <w:tblOverlap w:val="never"/>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13" w:type="dxa"/>
          <w:right w:w="0" w:type="dxa"/>
        </w:tblCellMar>
        <w:tblLook w:val="04A0" w:firstRow="1" w:lastRow="0" w:firstColumn="1" w:lastColumn="0" w:noHBand="0" w:noVBand="1"/>
        <w:tblCaption w:val="Legal Entity"/>
      </w:tblPr>
      <w:tblGrid>
        <w:gridCol w:w="5464"/>
        <w:gridCol w:w="3562"/>
      </w:tblGrid>
      <w:tr w:rsidRPr="0081318D" w:rsidR="005E43B2" w:rsidTr="00942DAD" w14:paraId="2C0DFDD8" w14:textId="77777777">
        <w:trPr>
          <w:trHeight w:val="284"/>
        </w:trPr>
        <w:tc>
          <w:tcPr>
            <w:tcW w:w="3027" w:type="pct"/>
            <w:tcBorders>
              <w:top w:val="single" w:color="231EDC" w:themeColor="accent1" w:sz="4" w:space="0"/>
            </w:tcBorders>
            <w:tcMar>
              <w:top w:w="113" w:type="dxa"/>
              <w:left w:w="0" w:type="dxa"/>
              <w:right w:w="113" w:type="dxa"/>
            </w:tcMar>
          </w:tcPr>
          <w:bookmarkStart w:name="LegalEntity" w:displacedByCustomXml="next" w:id="3"/>
          <w:sdt>
            <w:sdtPr>
              <w:alias w:val="[Legal entity]"/>
              <w:tag w:val="[Legal entity]"/>
              <w:id w:val="129451759"/>
              <w:placeholder>
                <w:docPart w:val="23BB8633E1EF40CFA8E2DB21DDFE495A"/>
              </w:placeholder>
              <w:dataBinding w:xpath="/*[local-name()='Entity']/*[local-name()='Name']" w:storeItemID="{E6A3563E-6F22-439C-9E07-C09FC7F95C0D}"/>
              <w:text/>
            </w:sdtPr>
            <w:sdtEndPr/>
            <w:sdtContent>
              <w:p w:rsidRPr="00076630" w:rsidR="005E43B2" w:rsidP="00942DAD" w:rsidRDefault="00940735" w14:paraId="69B4210A" w14:textId="77777777">
                <w:pPr>
                  <w:pStyle w:val="TableTextBold"/>
                  <w:rPr>
                    <w:rFonts w:asciiTheme="majorHAnsi" w:hAnsiTheme="majorHAnsi"/>
                    <w:b w:val="0"/>
                    <w:sz w:val="20"/>
                  </w:rPr>
                </w:pPr>
                <w:r>
                  <w:t>Jacobs U.K. Limited</w:t>
                </w:r>
              </w:p>
            </w:sdtContent>
          </w:sdt>
        </w:tc>
        <w:tc>
          <w:tcPr>
            <w:tcW w:w="1973" w:type="pct"/>
            <w:tcBorders>
              <w:top w:val="single" w:color="231EDC" w:themeColor="accent1" w:sz="4" w:space="0"/>
            </w:tcBorders>
            <w:tcMar>
              <w:top w:w="113" w:type="dxa"/>
              <w:left w:w="0" w:type="dxa"/>
              <w:right w:w="113" w:type="dxa"/>
            </w:tcMar>
          </w:tcPr>
          <w:p w:rsidRPr="001D34C7" w:rsidR="005E43B2" w:rsidP="00942DAD" w:rsidRDefault="005E43B2" w14:paraId="3E6461F0" w14:textId="77777777">
            <w:pPr>
              <w:pStyle w:val="TableText"/>
            </w:pPr>
          </w:p>
        </w:tc>
      </w:tr>
      <w:tr w:rsidRPr="0081318D" w:rsidR="005E43B2" w:rsidTr="00942DAD" w14:paraId="141CDBB6" w14:textId="77777777">
        <w:tc>
          <w:tcPr>
            <w:tcW w:w="3027" w:type="pct"/>
            <w:tcMar>
              <w:left w:w="0" w:type="dxa"/>
              <w:bottom w:w="113" w:type="dxa"/>
              <w:right w:w="113" w:type="dxa"/>
            </w:tcMar>
          </w:tcPr>
          <w:p w:rsidRPr="00002472" w:rsidR="005E43B2" w:rsidP="00942DAD" w:rsidRDefault="001308DE" w14:paraId="2FD01027" w14:textId="77777777">
            <w:pPr>
              <w:pStyle w:val="TableText"/>
            </w:pPr>
            <w:sdt>
              <w:sdtPr>
                <w:alias w:val="Address"/>
                <w:tag w:val="Address"/>
                <w:id w:val="1938176431"/>
                <w:placeholder>
                  <w:docPart w:val="30C9BADBCC4C424B890A9B5965783620"/>
                </w:placeholder>
                <w:dataBinding w:xpath="/*[local-name()='Office']/*[local-name()='MultilineAddress']" w:storeItemID="{26410CBF-B42F-4249-81DD-F873721049ED}"/>
                <w:text w:multiLine="1"/>
              </w:sdtPr>
              <w:sdtEndPr/>
              <w:sdtContent>
                <w:r w:rsidR="00940735">
                  <w:t>7th Floor, 2 Colmore Square</w:t>
                </w:r>
                <w:r w:rsidR="00940735">
                  <w:br/>
                </w:r>
                <w:r w:rsidR="00940735">
                  <w:t>38 Colmore Circus, Queensway</w:t>
                </w:r>
                <w:r w:rsidR="00940735">
                  <w:br/>
                </w:r>
                <w:r w:rsidR="00940735">
                  <w:t>Birmingham, B4 6BN</w:t>
                </w:r>
                <w:r w:rsidR="00940735">
                  <w:br/>
                </w:r>
                <w:r w:rsidR="00940735">
                  <w:t>United Kingdom</w:t>
                </w:r>
              </w:sdtContent>
            </w:sdt>
          </w:p>
        </w:tc>
        <w:tc>
          <w:tcPr>
            <w:tcW w:w="1973" w:type="pct"/>
            <w:tcMar>
              <w:left w:w="0" w:type="dxa"/>
              <w:right w:w="113" w:type="dxa"/>
            </w:tcMar>
          </w:tcPr>
          <w:p w:rsidR="00AD5B49" w:rsidP="00AD5B49" w:rsidRDefault="00AD5B49" w14:paraId="5C0862FC" w14:textId="77777777">
            <w:pPr>
              <w:pStyle w:val="TableText"/>
            </w:pPr>
            <w:r>
              <w:t xml:space="preserve">T </w:t>
            </w:r>
            <w:sdt>
              <w:sdtPr>
                <w:alias w:val="Phone number"/>
                <w:tag w:val="&lt;?xml version=&quot;1.0&quot; encoding=&quot;utf-16&quot;?&gt;&#10;&lt;PrecedentInstruction&gt;&#10;  &lt;Command&gt;DeleteLineIf&lt;/Command&gt;&#10;  &lt;DataNamespace&gt;http://schemas.macroview.com.au/office&lt;/DataNamespace&gt;&#10;  &lt;Expression&gt;string.IsNullOrEmpty(obj.PhoneNumber)&lt;/Expression&gt;&#10;  &lt;UpdateAfterVariables /&gt;&#10;&lt;/PrecedentInstruction&gt;"/>
                <w:id w:val="1492364429"/>
                <w:placeholder>
                  <w:docPart w:val="5AE64C71C8EA4C3DB7104E65556B2196"/>
                </w:placeholder>
                <w:dataBinding w:xpath="/*[local-name()='Office']/*[local-name()='PhoneNumber']" w:storeItemID="{26410CBF-B42F-4249-81DD-F873721049ED}"/>
                <w:text/>
              </w:sdtPr>
              <w:sdtEndPr/>
              <w:sdtContent>
                <w:r w:rsidR="00940735">
                  <w:t>+44 (0)121 237 4000</w:t>
                </w:r>
              </w:sdtContent>
            </w:sdt>
          </w:p>
          <w:sdt>
            <w:sdtPr>
              <w:alias w:val="[Website]"/>
              <w:id w:val="-1435738659"/>
              <w:placeholder>
                <w:docPart w:val="CC55E1F866F24DD78B43BB8B5591BFFB"/>
              </w:placeholder>
              <w:dataBinding w:xpath="/*[local-name()='Entity']/*[local-name()='Web']" w:storeItemID="{E6A3563E-6F22-439C-9E07-C09FC7F95C0D}"/>
              <w:text/>
            </w:sdtPr>
            <w:sdtEndPr/>
            <w:sdtContent>
              <w:p w:rsidRPr="001D34C7" w:rsidR="005E43B2" w:rsidP="00942DAD" w:rsidRDefault="00940735" w14:paraId="48CA4DF0" w14:textId="77777777">
                <w:pPr>
                  <w:pStyle w:val="TableText"/>
                </w:pPr>
                <w:r>
                  <w:t>www.jacobs.com</w:t>
                </w:r>
              </w:p>
            </w:sdtContent>
          </w:sdt>
        </w:tc>
      </w:tr>
      <w:tr w:rsidRPr="0081318D" w:rsidR="005E43B2" w:rsidTr="00942DAD" w14:paraId="29C49A7F" w14:textId="77777777">
        <w:trPr>
          <w:trHeight w:val="245"/>
        </w:trPr>
        <w:tc>
          <w:tcPr>
            <w:tcW w:w="5000" w:type="pct"/>
            <w:gridSpan w:val="2"/>
            <w:tcBorders>
              <w:top w:val="single" w:color="231EDC" w:themeColor="accent1" w:sz="4" w:space="0"/>
            </w:tcBorders>
            <w:tcMar>
              <w:left w:w="0" w:type="dxa"/>
              <w:right w:w="113" w:type="dxa"/>
            </w:tcMar>
          </w:tcPr>
          <w:p w:rsidRPr="00470CFD" w:rsidR="005E43B2" w:rsidP="00942DAD" w:rsidRDefault="005E43B2" w14:paraId="3225A1B2" w14:textId="18E1FC28">
            <w:pPr>
              <w:pStyle w:val="Disclaimer"/>
            </w:pPr>
            <w:r w:rsidRPr="00470CFD">
              <w:t xml:space="preserve">Copyright </w:t>
            </w:r>
            <w:sdt>
              <w:sdtPr>
                <w:rPr>
                  <w:bCs/>
                </w:rPr>
                <w:alias w:val="[Legal entity]"/>
                <w:tag w:val="[Legal entity]"/>
                <w:id w:val="-1408378300"/>
                <w:placeholder>
                  <w:docPart w:val="015E51819940465CB9ACDA028EBA1AA1"/>
                </w:placeholder>
                <w:dataBinding w:xpath="/*[local-name()='Entity']/*[local-name()='Name']" w:storeItemID="{E6A3563E-6F22-439C-9E07-C09FC7F95C0D}"/>
                <w:text/>
              </w:sdtPr>
              <w:sdtEndPr/>
              <w:sdtContent>
                <w:r w:rsidR="00940735">
                  <w:rPr>
                    <w:bCs/>
                  </w:rPr>
                  <w:t>Jacobs U.K. Limited</w:t>
                </w:r>
              </w:sdtContent>
            </w:sdt>
            <w:r w:rsidRPr="00470CFD">
              <w:t xml:space="preserve"> </w:t>
            </w:r>
            <w:r w:rsidR="00692540">
              <w:rPr>
                <w:rFonts w:cstheme="minorHAnsi"/>
              </w:rPr>
              <w:t>©</w:t>
            </w:r>
            <w:r w:rsidRPr="00470CFD">
              <w:t xml:space="preserve"> </w:t>
            </w:r>
            <w:r w:rsidRPr="00470CFD">
              <w:fldChar w:fldCharType="begin"/>
            </w:r>
            <w:r w:rsidRPr="00470CFD">
              <w:instrText xml:space="preserve"> DATE  \@ "YYYY" </w:instrText>
            </w:r>
            <w:r w:rsidRPr="00470CFD">
              <w:fldChar w:fldCharType="separate"/>
            </w:r>
            <w:r w:rsidR="001308DE">
              <w:rPr>
                <w:noProof/>
              </w:rPr>
              <w:t>2023</w:t>
            </w:r>
            <w:r w:rsidRPr="00470CFD">
              <w:fldChar w:fldCharType="end"/>
            </w:r>
            <w:r w:rsidRPr="00470CFD">
              <w:t>.</w:t>
            </w:r>
          </w:p>
          <w:p w:rsidRPr="000E3960" w:rsidR="000E3960" w:rsidP="000E3960" w:rsidRDefault="000E3960" w14:paraId="68B8F590" w14:textId="77777777">
            <w:pPr>
              <w:pStyle w:val="Disclaimer"/>
            </w:pPr>
            <w:r w:rsidRPr="000E3960">
              <w:t>All rights reserved. The concepts and information contained in this document are the property of the Jacobs group of companies. Use or copying of this document in whole or in part without the written permission of Jacobs constitutes an infringement of copyright. Jacobs, the Jacobs logo, and all other Jacobs trademarks are the property of Jacobs.</w:t>
            </w:r>
          </w:p>
          <w:p w:rsidRPr="001D34C7" w:rsidR="005E43B2" w:rsidP="00942DAD" w:rsidRDefault="005E43B2" w14:paraId="1AB19598" w14:textId="77777777">
            <w:pPr>
              <w:pStyle w:val="Disclaimer"/>
            </w:pPr>
            <w:r w:rsidRPr="00470CFD">
              <w:t>NOTICE: This document has been prepared exclusively for the use and benefit of Jacobs’ client.  Jacobs accepts no liability or responsibility for any use or reliance upon this document by any third party.</w:t>
            </w:r>
          </w:p>
        </w:tc>
      </w:tr>
      <w:bookmarkEnd w:id="3"/>
    </w:tbl>
    <w:p w:rsidRPr="00D10539" w:rsidR="00D25838" w:rsidP="00D10539" w:rsidRDefault="00D25838" w14:paraId="7667CF67" w14:textId="77777777">
      <w:pPr>
        <w:tabs>
          <w:tab w:val="left" w:pos="6000"/>
        </w:tabs>
        <w:sectPr w:rsidRPr="00D10539" w:rsidR="00D25838" w:rsidSect="00ED5407">
          <w:headerReference w:type="even" r:id="rId24"/>
          <w:headerReference w:type="default" r:id="rId25"/>
          <w:footerReference w:type="even" r:id="rId26"/>
          <w:footerReference w:type="default" r:id="rId27"/>
          <w:headerReference w:type="first" r:id="rId28"/>
          <w:footerReference w:type="first" r:id="rId29"/>
          <w:pgSz w:w="11906" w:h="16838" w:orient="portrait" w:code="9"/>
          <w:pgMar w:top="2302" w:right="1440" w:bottom="1134" w:left="1440" w:header="936" w:footer="0" w:gutter="0"/>
          <w:pgNumType w:fmt="lowerRoman"/>
          <w:cols w:space="720"/>
          <w:docGrid w:linePitch="360"/>
        </w:sectPr>
      </w:pPr>
    </w:p>
    <w:bookmarkStart w:name="_Toc41573217" w:displacedByCustomXml="next" w:id="4"/>
    <w:sdt>
      <w:sdtPr>
        <w:rPr>
          <w:b w:val="0"/>
          <w:color w:val="auto"/>
          <w:sz w:val="20"/>
        </w:rPr>
        <w:alias w:val="Table of contents"/>
        <w:tag w:val="Table of contents"/>
        <w:id w:val="-1093387899"/>
        <w:placeholder>
          <w:docPart w:val="BDE95CF206CB48A9BDD92F4402DDC7AC"/>
        </w:placeholder>
        <w:docPartList>
          <w:docPartGallery w:val="Custom 5"/>
          <w:docPartCategory w:val="Contents"/>
        </w:docPartList>
      </w:sdtPr>
      <w:sdtEndPr/>
      <w:sdtContent>
        <w:p w:rsidRPr="00F82533" w:rsidR="0020292F" w:rsidP="0020292F" w:rsidRDefault="0020292F" w14:paraId="6BA3B157" w14:textId="77777777">
          <w:pPr>
            <w:pStyle w:val="TOCHeading"/>
            <w:tabs>
              <w:tab w:val="right" w:pos="9972"/>
            </w:tabs>
          </w:pPr>
          <w:r>
            <w:t>Contents</w:t>
          </w:r>
        </w:p>
        <w:p w:rsidR="006E2E65" w:rsidRDefault="0020292F" w14:paraId="5BAB2813" w14:textId="21268604">
          <w:pPr>
            <w:pStyle w:val="TOC1"/>
            <w:tabs>
              <w:tab w:val="right" w:leader="dot" w:pos="9628"/>
            </w:tabs>
            <w:rPr>
              <w:rFonts w:asciiTheme="minorHAnsi" w:hAnsiTheme="minorHAnsi"/>
              <w:b w:val="0"/>
              <w:noProof/>
              <w:sz w:val="22"/>
              <w:szCs w:val="22"/>
            </w:rPr>
          </w:pPr>
          <w:r w:rsidRPr="005C4363">
            <w:fldChar w:fldCharType="begin"/>
          </w:r>
          <w:r w:rsidRPr="005C4363">
            <w:instrText xml:space="preserve"> TOC \h \t "Heading 1,1</w:instrText>
          </w:r>
          <w:r>
            <w:instrText>,</w:instrText>
          </w:r>
          <w:r w:rsidRPr="005C4363">
            <w:instrText xml:space="preserve">Heading </w:instrText>
          </w:r>
          <w:r>
            <w:instrText>2</w:instrText>
          </w:r>
          <w:r w:rsidRPr="005C4363">
            <w:instrText xml:space="preserve">,2, Heading </w:instrText>
          </w:r>
          <w:r>
            <w:instrText xml:space="preserve">(unnumbered) </w:instrText>
          </w:r>
          <w:r w:rsidRPr="005C4363">
            <w:instrText>1,1</w:instrText>
          </w:r>
          <w:r>
            <w:instrText>,Heading (unnumbered) 2,2</w:instrText>
          </w:r>
          <w:r w:rsidRPr="005C4363">
            <w:instrText xml:space="preserve">" </w:instrText>
          </w:r>
          <w:r w:rsidRPr="005C4363">
            <w:fldChar w:fldCharType="separate"/>
          </w:r>
          <w:hyperlink w:history="1" w:anchor="_Toc107998441">
            <w:r w:rsidRPr="0018708F" w:rsidR="006E2E65">
              <w:rPr>
                <w:rStyle w:val="Hyperlink"/>
                <w:noProof/>
              </w:rPr>
              <w:t>1.</w:t>
            </w:r>
            <w:r w:rsidR="006E2E65">
              <w:rPr>
                <w:rFonts w:asciiTheme="minorHAnsi" w:hAnsiTheme="minorHAnsi"/>
                <w:b w:val="0"/>
                <w:noProof/>
                <w:sz w:val="22"/>
                <w:szCs w:val="22"/>
              </w:rPr>
              <w:tab/>
            </w:r>
            <w:r w:rsidRPr="0018708F" w:rsidR="006E2E65">
              <w:rPr>
                <w:rStyle w:val="Hyperlink"/>
                <w:noProof/>
              </w:rPr>
              <w:t>Introduction</w:t>
            </w:r>
            <w:r w:rsidR="006E2E65">
              <w:rPr>
                <w:noProof/>
              </w:rPr>
              <w:tab/>
            </w:r>
            <w:r w:rsidR="006E2E65">
              <w:rPr>
                <w:noProof/>
              </w:rPr>
              <w:fldChar w:fldCharType="begin"/>
            </w:r>
            <w:r w:rsidR="006E2E65">
              <w:rPr>
                <w:noProof/>
              </w:rPr>
              <w:instrText xml:space="preserve"> PAGEREF _Toc107998441 \h </w:instrText>
            </w:r>
            <w:r w:rsidR="006E2E65">
              <w:rPr>
                <w:noProof/>
              </w:rPr>
            </w:r>
            <w:r w:rsidR="006E2E65">
              <w:rPr>
                <w:noProof/>
              </w:rPr>
              <w:fldChar w:fldCharType="separate"/>
            </w:r>
            <w:r w:rsidR="001308DE">
              <w:rPr>
                <w:noProof/>
              </w:rPr>
              <w:t>1</w:t>
            </w:r>
            <w:r w:rsidR="006E2E65">
              <w:rPr>
                <w:noProof/>
              </w:rPr>
              <w:fldChar w:fldCharType="end"/>
            </w:r>
          </w:hyperlink>
        </w:p>
        <w:p w:rsidR="006E2E65" w:rsidRDefault="001308DE" w14:paraId="502D35F2" w14:textId="126DCB1F">
          <w:pPr>
            <w:pStyle w:val="TOC2"/>
            <w:tabs>
              <w:tab w:val="left" w:pos="1134"/>
              <w:tab w:val="right" w:leader="dot" w:pos="9628"/>
            </w:tabs>
            <w:rPr>
              <w:rFonts w:asciiTheme="minorHAnsi" w:hAnsiTheme="minorHAnsi"/>
              <w:noProof/>
              <w:sz w:val="22"/>
              <w:szCs w:val="22"/>
            </w:rPr>
          </w:pPr>
          <w:hyperlink w:history="1" w:anchor="_Toc107998442">
            <w:r w:rsidRPr="0018708F" w:rsidR="006E2E65">
              <w:rPr>
                <w:rStyle w:val="Hyperlink"/>
                <w:noProof/>
              </w:rPr>
              <w:t>1.1</w:t>
            </w:r>
            <w:r w:rsidR="006E2E65">
              <w:rPr>
                <w:rFonts w:asciiTheme="minorHAnsi" w:hAnsiTheme="minorHAnsi"/>
                <w:noProof/>
                <w:sz w:val="22"/>
                <w:szCs w:val="22"/>
              </w:rPr>
              <w:tab/>
            </w:r>
            <w:r w:rsidRPr="0018708F" w:rsidR="006E2E65">
              <w:rPr>
                <w:rStyle w:val="Hyperlink"/>
                <w:noProof/>
              </w:rPr>
              <w:t>Site description</w:t>
            </w:r>
            <w:r w:rsidR="006E2E65">
              <w:rPr>
                <w:noProof/>
              </w:rPr>
              <w:tab/>
            </w:r>
            <w:r w:rsidR="006E2E65">
              <w:rPr>
                <w:noProof/>
              </w:rPr>
              <w:fldChar w:fldCharType="begin"/>
            </w:r>
            <w:r w:rsidR="006E2E65">
              <w:rPr>
                <w:noProof/>
              </w:rPr>
              <w:instrText xml:space="preserve"> PAGEREF _Toc107998442 \h </w:instrText>
            </w:r>
            <w:r w:rsidR="006E2E65">
              <w:rPr>
                <w:noProof/>
              </w:rPr>
            </w:r>
            <w:r w:rsidR="006E2E65">
              <w:rPr>
                <w:noProof/>
              </w:rPr>
              <w:fldChar w:fldCharType="separate"/>
            </w:r>
            <w:r>
              <w:rPr>
                <w:noProof/>
              </w:rPr>
              <w:t>1</w:t>
            </w:r>
            <w:r w:rsidR="006E2E65">
              <w:rPr>
                <w:noProof/>
              </w:rPr>
              <w:fldChar w:fldCharType="end"/>
            </w:r>
          </w:hyperlink>
        </w:p>
        <w:p w:rsidR="006E2E65" w:rsidRDefault="001308DE" w14:paraId="717B64F8" w14:textId="7D850D05">
          <w:pPr>
            <w:pStyle w:val="TOC2"/>
            <w:tabs>
              <w:tab w:val="left" w:pos="1134"/>
              <w:tab w:val="right" w:leader="dot" w:pos="9628"/>
            </w:tabs>
            <w:rPr>
              <w:rFonts w:asciiTheme="minorHAnsi" w:hAnsiTheme="minorHAnsi"/>
              <w:noProof/>
              <w:sz w:val="22"/>
              <w:szCs w:val="22"/>
            </w:rPr>
          </w:pPr>
          <w:hyperlink w:history="1" w:anchor="_Toc107998443">
            <w:r w:rsidRPr="0018708F" w:rsidR="006E2E65">
              <w:rPr>
                <w:rStyle w:val="Hyperlink"/>
                <w:noProof/>
              </w:rPr>
              <w:t>1.2</w:t>
            </w:r>
            <w:r w:rsidR="006E2E65">
              <w:rPr>
                <w:rFonts w:asciiTheme="minorHAnsi" w:hAnsiTheme="minorHAnsi"/>
                <w:noProof/>
                <w:sz w:val="22"/>
                <w:szCs w:val="22"/>
              </w:rPr>
              <w:tab/>
            </w:r>
            <w:r w:rsidRPr="0018708F" w:rsidR="006E2E65">
              <w:rPr>
                <w:rStyle w:val="Hyperlink"/>
                <w:noProof/>
              </w:rPr>
              <w:t>Site Activities</w:t>
            </w:r>
            <w:r w:rsidR="006E2E65">
              <w:rPr>
                <w:noProof/>
              </w:rPr>
              <w:tab/>
            </w:r>
            <w:r w:rsidR="006E2E65">
              <w:rPr>
                <w:noProof/>
              </w:rPr>
              <w:fldChar w:fldCharType="begin"/>
            </w:r>
            <w:r w:rsidR="006E2E65">
              <w:rPr>
                <w:noProof/>
              </w:rPr>
              <w:instrText xml:space="preserve"> PAGEREF _Toc107998443 \h </w:instrText>
            </w:r>
            <w:r w:rsidR="006E2E65">
              <w:rPr>
                <w:noProof/>
              </w:rPr>
            </w:r>
            <w:r w:rsidR="006E2E65">
              <w:rPr>
                <w:noProof/>
              </w:rPr>
              <w:fldChar w:fldCharType="separate"/>
            </w:r>
            <w:r>
              <w:rPr>
                <w:noProof/>
              </w:rPr>
              <w:t>1</w:t>
            </w:r>
            <w:r w:rsidR="006E2E65">
              <w:rPr>
                <w:noProof/>
              </w:rPr>
              <w:fldChar w:fldCharType="end"/>
            </w:r>
          </w:hyperlink>
        </w:p>
        <w:p w:rsidR="006E2E65" w:rsidRDefault="001308DE" w14:paraId="25DD790E" w14:textId="1E2CACA9">
          <w:pPr>
            <w:pStyle w:val="TOC2"/>
            <w:tabs>
              <w:tab w:val="left" w:pos="1134"/>
              <w:tab w:val="right" w:leader="dot" w:pos="9628"/>
            </w:tabs>
            <w:rPr>
              <w:rFonts w:asciiTheme="minorHAnsi" w:hAnsiTheme="minorHAnsi"/>
              <w:noProof/>
              <w:sz w:val="22"/>
              <w:szCs w:val="22"/>
            </w:rPr>
          </w:pPr>
          <w:hyperlink w:history="1" w:anchor="_Toc107998444">
            <w:r w:rsidRPr="0018708F" w:rsidR="006E2E65">
              <w:rPr>
                <w:rStyle w:val="Hyperlink"/>
                <w:noProof/>
              </w:rPr>
              <w:t>1.3</w:t>
            </w:r>
            <w:r w:rsidR="006E2E65">
              <w:rPr>
                <w:rFonts w:asciiTheme="minorHAnsi" w:hAnsiTheme="minorHAnsi"/>
                <w:noProof/>
                <w:sz w:val="22"/>
                <w:szCs w:val="22"/>
              </w:rPr>
              <w:tab/>
            </w:r>
            <w:r w:rsidRPr="0018708F" w:rsidR="006E2E65">
              <w:rPr>
                <w:rStyle w:val="Hyperlink"/>
                <w:noProof/>
              </w:rPr>
              <w:t>Regulatory requirements</w:t>
            </w:r>
            <w:r w:rsidR="006E2E65">
              <w:rPr>
                <w:noProof/>
              </w:rPr>
              <w:tab/>
            </w:r>
            <w:r w:rsidR="006E2E65">
              <w:rPr>
                <w:noProof/>
              </w:rPr>
              <w:fldChar w:fldCharType="begin"/>
            </w:r>
            <w:r w:rsidR="006E2E65">
              <w:rPr>
                <w:noProof/>
              </w:rPr>
              <w:instrText xml:space="preserve"> PAGEREF _Toc107998444 \h </w:instrText>
            </w:r>
            <w:r w:rsidR="006E2E65">
              <w:rPr>
                <w:noProof/>
              </w:rPr>
            </w:r>
            <w:r w:rsidR="006E2E65">
              <w:rPr>
                <w:noProof/>
              </w:rPr>
              <w:fldChar w:fldCharType="separate"/>
            </w:r>
            <w:r>
              <w:rPr>
                <w:noProof/>
              </w:rPr>
              <w:t>2</w:t>
            </w:r>
            <w:r w:rsidR="006E2E65">
              <w:rPr>
                <w:noProof/>
              </w:rPr>
              <w:fldChar w:fldCharType="end"/>
            </w:r>
          </w:hyperlink>
        </w:p>
        <w:p w:rsidR="006E2E65" w:rsidRDefault="001308DE" w14:paraId="3C79C469" w14:textId="13A4FC91">
          <w:pPr>
            <w:pStyle w:val="TOC2"/>
            <w:tabs>
              <w:tab w:val="left" w:pos="1134"/>
              <w:tab w:val="right" w:leader="dot" w:pos="9628"/>
            </w:tabs>
            <w:rPr>
              <w:rFonts w:asciiTheme="minorHAnsi" w:hAnsiTheme="minorHAnsi"/>
              <w:noProof/>
              <w:sz w:val="22"/>
              <w:szCs w:val="22"/>
            </w:rPr>
          </w:pPr>
          <w:hyperlink w:history="1" w:anchor="_Toc107998445">
            <w:r w:rsidRPr="0018708F" w:rsidR="006E2E65">
              <w:rPr>
                <w:rStyle w:val="Hyperlink"/>
                <w:noProof/>
              </w:rPr>
              <w:t>1.4</w:t>
            </w:r>
            <w:r w:rsidR="006E2E65">
              <w:rPr>
                <w:rFonts w:asciiTheme="minorHAnsi" w:hAnsiTheme="minorHAnsi"/>
                <w:noProof/>
                <w:sz w:val="22"/>
                <w:szCs w:val="22"/>
              </w:rPr>
              <w:tab/>
            </w:r>
            <w:r w:rsidRPr="0018708F" w:rsidR="006E2E65">
              <w:rPr>
                <w:rStyle w:val="Hyperlink"/>
                <w:noProof/>
              </w:rPr>
              <w:t>Bioaerosols</w:t>
            </w:r>
            <w:r w:rsidR="006E2E65">
              <w:rPr>
                <w:noProof/>
              </w:rPr>
              <w:tab/>
            </w:r>
            <w:r w:rsidR="006E2E65">
              <w:rPr>
                <w:noProof/>
              </w:rPr>
              <w:fldChar w:fldCharType="begin"/>
            </w:r>
            <w:r w:rsidR="006E2E65">
              <w:rPr>
                <w:noProof/>
              </w:rPr>
              <w:instrText xml:space="preserve"> PAGEREF _Toc107998445 \h </w:instrText>
            </w:r>
            <w:r w:rsidR="006E2E65">
              <w:rPr>
                <w:noProof/>
              </w:rPr>
            </w:r>
            <w:r w:rsidR="006E2E65">
              <w:rPr>
                <w:noProof/>
              </w:rPr>
              <w:fldChar w:fldCharType="separate"/>
            </w:r>
            <w:r>
              <w:rPr>
                <w:noProof/>
              </w:rPr>
              <w:t>2</w:t>
            </w:r>
            <w:r w:rsidR="006E2E65">
              <w:rPr>
                <w:noProof/>
              </w:rPr>
              <w:fldChar w:fldCharType="end"/>
            </w:r>
          </w:hyperlink>
        </w:p>
        <w:p w:rsidR="006E2E65" w:rsidRDefault="001308DE" w14:paraId="2670BE12" w14:textId="3D36156C">
          <w:pPr>
            <w:pStyle w:val="TOC1"/>
            <w:tabs>
              <w:tab w:val="right" w:leader="dot" w:pos="9628"/>
            </w:tabs>
            <w:rPr>
              <w:rFonts w:asciiTheme="minorHAnsi" w:hAnsiTheme="minorHAnsi"/>
              <w:b w:val="0"/>
              <w:noProof/>
              <w:sz w:val="22"/>
              <w:szCs w:val="22"/>
            </w:rPr>
          </w:pPr>
          <w:hyperlink w:history="1" w:anchor="_Toc107998446">
            <w:r w:rsidRPr="0018708F" w:rsidR="006E2E65">
              <w:rPr>
                <w:rStyle w:val="Hyperlink"/>
                <w:noProof/>
              </w:rPr>
              <w:t>2.</w:t>
            </w:r>
            <w:r w:rsidR="006E2E65">
              <w:rPr>
                <w:rFonts w:asciiTheme="minorHAnsi" w:hAnsiTheme="minorHAnsi"/>
                <w:b w:val="0"/>
                <w:noProof/>
                <w:sz w:val="22"/>
                <w:szCs w:val="22"/>
              </w:rPr>
              <w:tab/>
            </w:r>
            <w:r w:rsidRPr="0018708F" w:rsidR="006E2E65">
              <w:rPr>
                <w:rStyle w:val="Hyperlink"/>
                <w:noProof/>
              </w:rPr>
              <w:t>Bioaerosol risk assessment</w:t>
            </w:r>
            <w:r w:rsidR="006E2E65">
              <w:rPr>
                <w:noProof/>
              </w:rPr>
              <w:tab/>
            </w:r>
            <w:r w:rsidR="006E2E65">
              <w:rPr>
                <w:noProof/>
              </w:rPr>
              <w:fldChar w:fldCharType="begin"/>
            </w:r>
            <w:r w:rsidR="006E2E65">
              <w:rPr>
                <w:noProof/>
              </w:rPr>
              <w:instrText xml:space="preserve"> PAGEREF _Toc107998446 \h </w:instrText>
            </w:r>
            <w:r w:rsidR="006E2E65">
              <w:rPr>
                <w:noProof/>
              </w:rPr>
            </w:r>
            <w:r w:rsidR="006E2E65">
              <w:rPr>
                <w:noProof/>
              </w:rPr>
              <w:fldChar w:fldCharType="separate"/>
            </w:r>
            <w:r>
              <w:rPr>
                <w:noProof/>
              </w:rPr>
              <w:t>4</w:t>
            </w:r>
            <w:r w:rsidR="006E2E65">
              <w:rPr>
                <w:noProof/>
              </w:rPr>
              <w:fldChar w:fldCharType="end"/>
            </w:r>
          </w:hyperlink>
        </w:p>
        <w:p w:rsidR="006E2E65" w:rsidRDefault="001308DE" w14:paraId="4E388EC8" w14:textId="67A6E058">
          <w:pPr>
            <w:pStyle w:val="TOC2"/>
            <w:tabs>
              <w:tab w:val="left" w:pos="1134"/>
              <w:tab w:val="right" w:leader="dot" w:pos="9628"/>
            </w:tabs>
            <w:rPr>
              <w:rFonts w:asciiTheme="minorHAnsi" w:hAnsiTheme="minorHAnsi"/>
              <w:noProof/>
              <w:sz w:val="22"/>
              <w:szCs w:val="22"/>
            </w:rPr>
          </w:pPr>
          <w:hyperlink w:history="1" w:anchor="_Toc107998447">
            <w:r w:rsidRPr="0018708F" w:rsidR="006E2E65">
              <w:rPr>
                <w:rStyle w:val="Hyperlink"/>
                <w:noProof/>
              </w:rPr>
              <w:t>2.1</w:t>
            </w:r>
            <w:r w:rsidR="006E2E65">
              <w:rPr>
                <w:rFonts w:asciiTheme="minorHAnsi" w:hAnsiTheme="minorHAnsi"/>
                <w:noProof/>
                <w:sz w:val="22"/>
                <w:szCs w:val="22"/>
              </w:rPr>
              <w:tab/>
            </w:r>
            <w:r w:rsidRPr="0018708F" w:rsidR="006E2E65">
              <w:rPr>
                <w:rStyle w:val="Hyperlink"/>
                <w:noProof/>
              </w:rPr>
              <w:t>Introduction</w:t>
            </w:r>
            <w:r w:rsidR="006E2E65">
              <w:rPr>
                <w:noProof/>
              </w:rPr>
              <w:tab/>
            </w:r>
            <w:r w:rsidR="006E2E65">
              <w:rPr>
                <w:noProof/>
              </w:rPr>
              <w:fldChar w:fldCharType="begin"/>
            </w:r>
            <w:r w:rsidR="006E2E65">
              <w:rPr>
                <w:noProof/>
              </w:rPr>
              <w:instrText xml:space="preserve"> PAGEREF _Toc107998447 \h </w:instrText>
            </w:r>
            <w:r w:rsidR="006E2E65">
              <w:rPr>
                <w:noProof/>
              </w:rPr>
            </w:r>
            <w:r w:rsidR="006E2E65">
              <w:rPr>
                <w:noProof/>
              </w:rPr>
              <w:fldChar w:fldCharType="separate"/>
            </w:r>
            <w:r>
              <w:rPr>
                <w:noProof/>
              </w:rPr>
              <w:t>4</w:t>
            </w:r>
            <w:r w:rsidR="006E2E65">
              <w:rPr>
                <w:noProof/>
              </w:rPr>
              <w:fldChar w:fldCharType="end"/>
            </w:r>
          </w:hyperlink>
        </w:p>
        <w:p w:rsidR="006E2E65" w:rsidRDefault="001308DE" w14:paraId="6ACA6B1E" w14:textId="577F802C">
          <w:pPr>
            <w:pStyle w:val="TOC2"/>
            <w:tabs>
              <w:tab w:val="left" w:pos="1134"/>
              <w:tab w:val="right" w:leader="dot" w:pos="9628"/>
            </w:tabs>
            <w:rPr>
              <w:rFonts w:asciiTheme="minorHAnsi" w:hAnsiTheme="minorHAnsi"/>
              <w:noProof/>
              <w:sz w:val="22"/>
              <w:szCs w:val="22"/>
            </w:rPr>
          </w:pPr>
          <w:hyperlink w:history="1" w:anchor="_Toc107998448">
            <w:r w:rsidRPr="0018708F" w:rsidR="006E2E65">
              <w:rPr>
                <w:rStyle w:val="Hyperlink"/>
                <w:noProof/>
              </w:rPr>
              <w:t>2.2</w:t>
            </w:r>
            <w:r w:rsidR="006E2E65">
              <w:rPr>
                <w:rFonts w:asciiTheme="minorHAnsi" w:hAnsiTheme="minorHAnsi"/>
                <w:noProof/>
                <w:sz w:val="22"/>
                <w:szCs w:val="22"/>
              </w:rPr>
              <w:tab/>
            </w:r>
            <w:r w:rsidRPr="0018708F" w:rsidR="006E2E65">
              <w:rPr>
                <w:rStyle w:val="Hyperlink"/>
                <w:noProof/>
              </w:rPr>
              <w:t>Processing equipment and techniques</w:t>
            </w:r>
            <w:r w:rsidR="006E2E65">
              <w:rPr>
                <w:noProof/>
              </w:rPr>
              <w:tab/>
            </w:r>
            <w:r w:rsidR="006E2E65">
              <w:rPr>
                <w:noProof/>
              </w:rPr>
              <w:fldChar w:fldCharType="begin"/>
            </w:r>
            <w:r w:rsidR="006E2E65">
              <w:rPr>
                <w:noProof/>
              </w:rPr>
              <w:instrText xml:space="preserve"> PAGEREF _Toc107998448 \h </w:instrText>
            </w:r>
            <w:r w:rsidR="006E2E65">
              <w:rPr>
                <w:noProof/>
              </w:rPr>
            </w:r>
            <w:r w:rsidR="006E2E65">
              <w:rPr>
                <w:noProof/>
              </w:rPr>
              <w:fldChar w:fldCharType="separate"/>
            </w:r>
            <w:r>
              <w:rPr>
                <w:noProof/>
              </w:rPr>
              <w:t>4</w:t>
            </w:r>
            <w:r w:rsidR="006E2E65">
              <w:rPr>
                <w:noProof/>
              </w:rPr>
              <w:fldChar w:fldCharType="end"/>
            </w:r>
          </w:hyperlink>
        </w:p>
        <w:p w:rsidR="006E2E65" w:rsidRDefault="001308DE" w14:paraId="727C3D48" w14:textId="1AFE8D53">
          <w:pPr>
            <w:pStyle w:val="TOC2"/>
            <w:tabs>
              <w:tab w:val="left" w:pos="1134"/>
              <w:tab w:val="right" w:leader="dot" w:pos="9628"/>
            </w:tabs>
            <w:rPr>
              <w:rFonts w:asciiTheme="minorHAnsi" w:hAnsiTheme="minorHAnsi"/>
              <w:noProof/>
              <w:sz w:val="22"/>
              <w:szCs w:val="22"/>
            </w:rPr>
          </w:pPr>
          <w:hyperlink w:history="1" w:anchor="_Toc107998449">
            <w:r w:rsidRPr="0018708F" w:rsidR="006E2E65">
              <w:rPr>
                <w:rStyle w:val="Hyperlink"/>
                <w:noProof/>
              </w:rPr>
              <w:t>2.3</w:t>
            </w:r>
            <w:r w:rsidR="006E2E65">
              <w:rPr>
                <w:rFonts w:asciiTheme="minorHAnsi" w:hAnsiTheme="minorHAnsi"/>
                <w:noProof/>
                <w:sz w:val="22"/>
                <w:szCs w:val="22"/>
              </w:rPr>
              <w:tab/>
            </w:r>
            <w:r w:rsidRPr="0018708F" w:rsidR="006E2E65">
              <w:rPr>
                <w:rStyle w:val="Hyperlink"/>
                <w:noProof/>
              </w:rPr>
              <w:t>Potential Sources</w:t>
            </w:r>
            <w:r w:rsidR="006E2E65">
              <w:rPr>
                <w:noProof/>
              </w:rPr>
              <w:tab/>
            </w:r>
            <w:r w:rsidR="006E2E65">
              <w:rPr>
                <w:noProof/>
              </w:rPr>
              <w:fldChar w:fldCharType="begin"/>
            </w:r>
            <w:r w:rsidR="006E2E65">
              <w:rPr>
                <w:noProof/>
              </w:rPr>
              <w:instrText xml:space="preserve"> PAGEREF _Toc107998449 \h </w:instrText>
            </w:r>
            <w:r w:rsidR="006E2E65">
              <w:rPr>
                <w:noProof/>
              </w:rPr>
            </w:r>
            <w:r w:rsidR="006E2E65">
              <w:rPr>
                <w:noProof/>
              </w:rPr>
              <w:fldChar w:fldCharType="separate"/>
            </w:r>
            <w:r>
              <w:rPr>
                <w:noProof/>
              </w:rPr>
              <w:t>7</w:t>
            </w:r>
            <w:r w:rsidR="006E2E65">
              <w:rPr>
                <w:noProof/>
              </w:rPr>
              <w:fldChar w:fldCharType="end"/>
            </w:r>
          </w:hyperlink>
        </w:p>
        <w:p w:rsidR="006E2E65" w:rsidRDefault="001308DE" w14:paraId="2347D5D7" w14:textId="410C9525">
          <w:pPr>
            <w:pStyle w:val="TOC2"/>
            <w:tabs>
              <w:tab w:val="left" w:pos="1134"/>
              <w:tab w:val="right" w:leader="dot" w:pos="9628"/>
            </w:tabs>
            <w:rPr>
              <w:rFonts w:asciiTheme="minorHAnsi" w:hAnsiTheme="minorHAnsi"/>
              <w:noProof/>
              <w:sz w:val="22"/>
              <w:szCs w:val="22"/>
            </w:rPr>
          </w:pPr>
          <w:hyperlink w:history="1" w:anchor="_Toc107998450">
            <w:r w:rsidRPr="0018708F" w:rsidR="006E2E65">
              <w:rPr>
                <w:rStyle w:val="Hyperlink"/>
                <w:noProof/>
              </w:rPr>
              <w:t>2.4</w:t>
            </w:r>
            <w:r w:rsidR="006E2E65">
              <w:rPr>
                <w:rFonts w:asciiTheme="minorHAnsi" w:hAnsiTheme="minorHAnsi"/>
                <w:noProof/>
                <w:sz w:val="22"/>
                <w:szCs w:val="22"/>
              </w:rPr>
              <w:tab/>
            </w:r>
            <w:r w:rsidRPr="0018708F" w:rsidR="006E2E65">
              <w:rPr>
                <w:rStyle w:val="Hyperlink"/>
                <w:noProof/>
              </w:rPr>
              <w:t>Pathways</w:t>
            </w:r>
            <w:r w:rsidR="006E2E65">
              <w:rPr>
                <w:noProof/>
              </w:rPr>
              <w:tab/>
            </w:r>
            <w:r w:rsidR="006E2E65">
              <w:rPr>
                <w:noProof/>
              </w:rPr>
              <w:fldChar w:fldCharType="begin"/>
            </w:r>
            <w:r w:rsidR="006E2E65">
              <w:rPr>
                <w:noProof/>
              </w:rPr>
              <w:instrText xml:space="preserve"> PAGEREF _Toc107998450 \h </w:instrText>
            </w:r>
            <w:r w:rsidR="006E2E65">
              <w:rPr>
                <w:noProof/>
              </w:rPr>
            </w:r>
            <w:r w:rsidR="006E2E65">
              <w:rPr>
                <w:noProof/>
              </w:rPr>
              <w:fldChar w:fldCharType="separate"/>
            </w:r>
            <w:r>
              <w:rPr>
                <w:noProof/>
              </w:rPr>
              <w:t>8</w:t>
            </w:r>
            <w:r w:rsidR="006E2E65">
              <w:rPr>
                <w:noProof/>
              </w:rPr>
              <w:fldChar w:fldCharType="end"/>
            </w:r>
          </w:hyperlink>
        </w:p>
        <w:p w:rsidR="006E2E65" w:rsidRDefault="001308DE" w14:paraId="15E35520" w14:textId="06DEB2F5">
          <w:pPr>
            <w:pStyle w:val="TOC2"/>
            <w:tabs>
              <w:tab w:val="left" w:pos="1134"/>
              <w:tab w:val="right" w:leader="dot" w:pos="9628"/>
            </w:tabs>
            <w:rPr>
              <w:rFonts w:asciiTheme="minorHAnsi" w:hAnsiTheme="minorHAnsi"/>
              <w:noProof/>
              <w:sz w:val="22"/>
              <w:szCs w:val="22"/>
            </w:rPr>
          </w:pPr>
          <w:hyperlink w:history="1" w:anchor="_Toc107998451">
            <w:r w:rsidRPr="0018708F" w:rsidR="006E2E65">
              <w:rPr>
                <w:rStyle w:val="Hyperlink"/>
                <w:noProof/>
              </w:rPr>
              <w:t>2.5</w:t>
            </w:r>
            <w:r w:rsidR="006E2E65">
              <w:rPr>
                <w:rFonts w:asciiTheme="minorHAnsi" w:hAnsiTheme="minorHAnsi"/>
                <w:noProof/>
                <w:sz w:val="22"/>
                <w:szCs w:val="22"/>
              </w:rPr>
              <w:tab/>
            </w:r>
            <w:r w:rsidRPr="0018708F" w:rsidR="006E2E65">
              <w:rPr>
                <w:rStyle w:val="Hyperlink"/>
                <w:noProof/>
              </w:rPr>
              <w:t>Receptors</w:t>
            </w:r>
            <w:r w:rsidR="006E2E65">
              <w:rPr>
                <w:noProof/>
              </w:rPr>
              <w:tab/>
            </w:r>
            <w:r w:rsidR="006E2E65">
              <w:rPr>
                <w:noProof/>
              </w:rPr>
              <w:fldChar w:fldCharType="begin"/>
            </w:r>
            <w:r w:rsidR="006E2E65">
              <w:rPr>
                <w:noProof/>
              </w:rPr>
              <w:instrText xml:space="preserve"> PAGEREF _Toc107998451 \h </w:instrText>
            </w:r>
            <w:r w:rsidR="006E2E65">
              <w:rPr>
                <w:noProof/>
              </w:rPr>
            </w:r>
            <w:r w:rsidR="006E2E65">
              <w:rPr>
                <w:noProof/>
              </w:rPr>
              <w:fldChar w:fldCharType="separate"/>
            </w:r>
            <w:r>
              <w:rPr>
                <w:noProof/>
              </w:rPr>
              <w:t>10</w:t>
            </w:r>
            <w:r w:rsidR="006E2E65">
              <w:rPr>
                <w:noProof/>
              </w:rPr>
              <w:fldChar w:fldCharType="end"/>
            </w:r>
          </w:hyperlink>
        </w:p>
        <w:p w:rsidR="006E2E65" w:rsidRDefault="001308DE" w14:paraId="4D45730F" w14:textId="1DD65476">
          <w:pPr>
            <w:pStyle w:val="TOC2"/>
            <w:tabs>
              <w:tab w:val="left" w:pos="1134"/>
              <w:tab w:val="right" w:leader="dot" w:pos="9628"/>
            </w:tabs>
            <w:rPr>
              <w:rFonts w:asciiTheme="minorHAnsi" w:hAnsiTheme="minorHAnsi"/>
              <w:noProof/>
              <w:sz w:val="22"/>
              <w:szCs w:val="22"/>
            </w:rPr>
          </w:pPr>
          <w:hyperlink w:history="1" w:anchor="_Toc107998452">
            <w:r w:rsidRPr="0018708F" w:rsidR="006E2E65">
              <w:rPr>
                <w:rStyle w:val="Hyperlink"/>
                <w:noProof/>
              </w:rPr>
              <w:t>2.6</w:t>
            </w:r>
            <w:r w:rsidR="006E2E65">
              <w:rPr>
                <w:rFonts w:asciiTheme="minorHAnsi" w:hAnsiTheme="minorHAnsi"/>
                <w:noProof/>
                <w:sz w:val="22"/>
                <w:szCs w:val="22"/>
              </w:rPr>
              <w:tab/>
            </w:r>
            <w:r w:rsidRPr="0018708F" w:rsidR="006E2E65">
              <w:rPr>
                <w:rStyle w:val="Hyperlink"/>
                <w:noProof/>
              </w:rPr>
              <w:t>Risk Assessment</w:t>
            </w:r>
            <w:r w:rsidR="006E2E65">
              <w:rPr>
                <w:noProof/>
              </w:rPr>
              <w:tab/>
            </w:r>
            <w:r w:rsidR="006E2E65">
              <w:rPr>
                <w:noProof/>
              </w:rPr>
              <w:fldChar w:fldCharType="begin"/>
            </w:r>
            <w:r w:rsidR="006E2E65">
              <w:rPr>
                <w:noProof/>
              </w:rPr>
              <w:instrText xml:space="preserve"> PAGEREF _Toc107998452 \h </w:instrText>
            </w:r>
            <w:r w:rsidR="006E2E65">
              <w:rPr>
                <w:noProof/>
              </w:rPr>
            </w:r>
            <w:r w:rsidR="006E2E65">
              <w:rPr>
                <w:noProof/>
              </w:rPr>
              <w:fldChar w:fldCharType="separate"/>
            </w:r>
            <w:r>
              <w:rPr>
                <w:noProof/>
              </w:rPr>
              <w:t>11</w:t>
            </w:r>
            <w:r w:rsidR="006E2E65">
              <w:rPr>
                <w:noProof/>
              </w:rPr>
              <w:fldChar w:fldCharType="end"/>
            </w:r>
          </w:hyperlink>
        </w:p>
        <w:p w:rsidR="006E2E65" w:rsidRDefault="001308DE" w14:paraId="7C5BD665" w14:textId="59D090D0">
          <w:pPr>
            <w:pStyle w:val="TOC2"/>
            <w:tabs>
              <w:tab w:val="left" w:pos="1134"/>
              <w:tab w:val="right" w:leader="dot" w:pos="9628"/>
            </w:tabs>
            <w:rPr>
              <w:rFonts w:asciiTheme="minorHAnsi" w:hAnsiTheme="minorHAnsi"/>
              <w:noProof/>
              <w:sz w:val="22"/>
              <w:szCs w:val="22"/>
            </w:rPr>
          </w:pPr>
          <w:hyperlink w:history="1" w:anchor="_Toc107998453">
            <w:r w:rsidRPr="0018708F" w:rsidR="006E2E65">
              <w:rPr>
                <w:rStyle w:val="Hyperlink"/>
                <w:noProof/>
              </w:rPr>
              <w:t>2.7</w:t>
            </w:r>
            <w:r w:rsidR="006E2E65">
              <w:rPr>
                <w:rFonts w:asciiTheme="minorHAnsi" w:hAnsiTheme="minorHAnsi"/>
                <w:noProof/>
                <w:sz w:val="22"/>
                <w:szCs w:val="22"/>
              </w:rPr>
              <w:tab/>
            </w:r>
            <w:r w:rsidRPr="0018708F" w:rsidR="006E2E65">
              <w:rPr>
                <w:rStyle w:val="Hyperlink"/>
                <w:noProof/>
              </w:rPr>
              <w:t>Abnormal Situations</w:t>
            </w:r>
            <w:r w:rsidR="006E2E65">
              <w:rPr>
                <w:noProof/>
              </w:rPr>
              <w:tab/>
            </w:r>
            <w:r w:rsidR="006E2E65">
              <w:rPr>
                <w:noProof/>
              </w:rPr>
              <w:fldChar w:fldCharType="begin"/>
            </w:r>
            <w:r w:rsidR="006E2E65">
              <w:rPr>
                <w:noProof/>
              </w:rPr>
              <w:instrText xml:space="preserve"> PAGEREF _Toc107998453 \h </w:instrText>
            </w:r>
            <w:r w:rsidR="006E2E65">
              <w:rPr>
                <w:noProof/>
              </w:rPr>
            </w:r>
            <w:r w:rsidR="006E2E65">
              <w:rPr>
                <w:noProof/>
              </w:rPr>
              <w:fldChar w:fldCharType="separate"/>
            </w:r>
            <w:r>
              <w:rPr>
                <w:noProof/>
              </w:rPr>
              <w:t>14</w:t>
            </w:r>
            <w:r w:rsidR="006E2E65">
              <w:rPr>
                <w:noProof/>
              </w:rPr>
              <w:fldChar w:fldCharType="end"/>
            </w:r>
          </w:hyperlink>
        </w:p>
        <w:p w:rsidR="006E2E65" w:rsidRDefault="001308DE" w14:paraId="6A3CD9A0" w14:textId="03727CEF">
          <w:pPr>
            <w:pStyle w:val="TOC1"/>
            <w:tabs>
              <w:tab w:val="right" w:leader="dot" w:pos="9628"/>
            </w:tabs>
            <w:rPr>
              <w:rFonts w:asciiTheme="minorHAnsi" w:hAnsiTheme="minorHAnsi"/>
              <w:b w:val="0"/>
              <w:noProof/>
              <w:sz w:val="22"/>
              <w:szCs w:val="22"/>
            </w:rPr>
          </w:pPr>
          <w:hyperlink w:history="1" w:anchor="_Toc107998454">
            <w:r w:rsidRPr="0018708F" w:rsidR="006E2E65">
              <w:rPr>
                <w:rStyle w:val="Hyperlink"/>
                <w:noProof/>
              </w:rPr>
              <w:t>3.</w:t>
            </w:r>
            <w:r w:rsidR="006E2E65">
              <w:rPr>
                <w:rFonts w:asciiTheme="minorHAnsi" w:hAnsiTheme="minorHAnsi"/>
                <w:b w:val="0"/>
                <w:noProof/>
                <w:sz w:val="22"/>
                <w:szCs w:val="22"/>
              </w:rPr>
              <w:tab/>
            </w:r>
            <w:r w:rsidRPr="0018708F" w:rsidR="006E2E65">
              <w:rPr>
                <w:rStyle w:val="Hyperlink"/>
                <w:noProof/>
              </w:rPr>
              <w:t>Conclusions</w:t>
            </w:r>
            <w:r w:rsidR="006E2E65">
              <w:rPr>
                <w:noProof/>
              </w:rPr>
              <w:tab/>
            </w:r>
            <w:r w:rsidR="006E2E65">
              <w:rPr>
                <w:noProof/>
              </w:rPr>
              <w:fldChar w:fldCharType="begin"/>
            </w:r>
            <w:r w:rsidR="006E2E65">
              <w:rPr>
                <w:noProof/>
              </w:rPr>
              <w:instrText xml:space="preserve"> PAGEREF _Toc107998454 \h </w:instrText>
            </w:r>
            <w:r w:rsidR="006E2E65">
              <w:rPr>
                <w:noProof/>
              </w:rPr>
            </w:r>
            <w:r w:rsidR="006E2E65">
              <w:rPr>
                <w:noProof/>
              </w:rPr>
              <w:fldChar w:fldCharType="separate"/>
            </w:r>
            <w:r>
              <w:rPr>
                <w:noProof/>
              </w:rPr>
              <w:t>15</w:t>
            </w:r>
            <w:r w:rsidR="006E2E65">
              <w:rPr>
                <w:noProof/>
              </w:rPr>
              <w:fldChar w:fldCharType="end"/>
            </w:r>
          </w:hyperlink>
        </w:p>
        <w:p w:rsidRPr="005C4363" w:rsidR="0020292F" w:rsidP="0020292F" w:rsidRDefault="0020292F" w14:paraId="4519D1FE" w14:textId="3B75AF8F">
          <w:r w:rsidRPr="005C4363">
            <w:fldChar w:fldCharType="end"/>
          </w:r>
        </w:p>
        <w:p w:rsidR="0020292F" w:rsidP="0020292F" w:rsidRDefault="001308DE" w14:paraId="0A99E7E6" w14:textId="77777777"/>
      </w:sdtContent>
    </w:sdt>
    <w:sdt>
      <w:sdtPr>
        <w:rPr>
          <w:b w:val="0"/>
          <w:color w:val="auto"/>
          <w:sz w:val="20"/>
        </w:rPr>
        <w:alias w:val="Table of appendices"/>
        <w:tag w:val="Table of appendices"/>
        <w:id w:val="-1735307702"/>
        <w:placeholder>
          <w:docPart w:val="BDE95CF206CB48A9BDD92F4402DDC7AC"/>
        </w:placeholder>
        <w:docPartList>
          <w:docPartGallery w:val="Custom 5"/>
          <w:docPartCategory w:val="Appendices"/>
        </w:docPartList>
      </w:sdtPr>
      <w:sdtEndPr/>
      <w:sdtContent>
        <w:p w:rsidR="0020292F" w:rsidP="0020292F" w:rsidRDefault="0020292F" w14:paraId="4D62283D" w14:textId="77777777">
          <w:pPr>
            <w:pStyle w:val="TOCHeading"/>
          </w:pPr>
          <w:r>
            <w:t>Appendices</w:t>
          </w:r>
        </w:p>
        <w:p w:rsidR="00141419" w:rsidRDefault="0020292F" w14:paraId="2651448B" w14:textId="1C437126">
          <w:pPr>
            <w:pStyle w:val="TOC1"/>
            <w:tabs>
              <w:tab w:val="right" w:leader="dot" w:pos="9628"/>
            </w:tabs>
            <w:rPr>
              <w:rFonts w:asciiTheme="minorHAnsi" w:hAnsiTheme="minorHAnsi"/>
              <w:b w:val="0"/>
              <w:noProof/>
              <w:sz w:val="22"/>
              <w:szCs w:val="22"/>
            </w:rPr>
          </w:pPr>
          <w:r>
            <w:fldChar w:fldCharType="begin"/>
          </w:r>
          <w:r>
            <w:instrText xml:space="preserve"> TOC \h \t "Appendix</w:instrText>
          </w:r>
          <w:r w:rsidR="00DD49E3">
            <w:instrText xml:space="preserve"> Heading 1</w:instrText>
          </w:r>
          <w:r>
            <w:instrText xml:space="preserve">,1,Appendix Heading 2,2,Appendix Heading 3,3" </w:instrText>
          </w:r>
          <w:r>
            <w:fldChar w:fldCharType="separate"/>
          </w:r>
          <w:hyperlink w:history="1" w:anchor="_Toc107905900">
            <w:r w:rsidRPr="00B60123" w:rsidR="00141419">
              <w:rPr>
                <w:rStyle w:val="Hyperlink"/>
                <w:noProof/>
              </w:rPr>
              <w:t>Appendix A. Site Location Plan</w:t>
            </w:r>
            <w:r w:rsidR="00141419">
              <w:rPr>
                <w:noProof/>
              </w:rPr>
              <w:tab/>
            </w:r>
            <w:r w:rsidR="00141419">
              <w:rPr>
                <w:noProof/>
              </w:rPr>
              <w:fldChar w:fldCharType="begin"/>
            </w:r>
            <w:r w:rsidR="00141419">
              <w:rPr>
                <w:noProof/>
              </w:rPr>
              <w:instrText xml:space="preserve"> PAGEREF _Toc107905900 \h </w:instrText>
            </w:r>
            <w:r w:rsidR="00141419">
              <w:rPr>
                <w:noProof/>
              </w:rPr>
            </w:r>
            <w:r w:rsidR="00141419">
              <w:rPr>
                <w:noProof/>
              </w:rPr>
              <w:fldChar w:fldCharType="separate"/>
            </w:r>
            <w:r w:rsidR="001308DE">
              <w:rPr>
                <w:noProof/>
              </w:rPr>
              <w:t>17</w:t>
            </w:r>
            <w:r w:rsidR="00141419">
              <w:rPr>
                <w:noProof/>
              </w:rPr>
              <w:fldChar w:fldCharType="end"/>
            </w:r>
          </w:hyperlink>
        </w:p>
        <w:p w:rsidR="00141419" w:rsidRDefault="001308DE" w14:paraId="16BF529A" w14:textId="1A877653">
          <w:pPr>
            <w:pStyle w:val="TOC1"/>
            <w:tabs>
              <w:tab w:val="right" w:leader="dot" w:pos="9628"/>
            </w:tabs>
            <w:rPr>
              <w:rFonts w:asciiTheme="minorHAnsi" w:hAnsiTheme="minorHAnsi"/>
              <w:b w:val="0"/>
              <w:noProof/>
              <w:sz w:val="22"/>
              <w:szCs w:val="22"/>
            </w:rPr>
          </w:pPr>
          <w:hyperlink w:history="1" w:anchor="_Toc107905901">
            <w:r w:rsidRPr="00B60123" w:rsidR="00141419">
              <w:rPr>
                <w:rStyle w:val="Hyperlink"/>
                <w:noProof/>
              </w:rPr>
              <w:t>Appendix B. Potential Bioaerosol Emission Points</w:t>
            </w:r>
            <w:r w:rsidR="00141419">
              <w:rPr>
                <w:noProof/>
              </w:rPr>
              <w:tab/>
            </w:r>
            <w:r w:rsidR="00141419">
              <w:rPr>
                <w:noProof/>
              </w:rPr>
              <w:fldChar w:fldCharType="begin"/>
            </w:r>
            <w:r w:rsidR="00141419">
              <w:rPr>
                <w:noProof/>
              </w:rPr>
              <w:instrText xml:space="preserve"> PAGEREF _Toc107905901 \h </w:instrText>
            </w:r>
            <w:r w:rsidR="00141419">
              <w:rPr>
                <w:noProof/>
              </w:rPr>
            </w:r>
            <w:r w:rsidR="00141419">
              <w:rPr>
                <w:noProof/>
              </w:rPr>
              <w:fldChar w:fldCharType="separate"/>
            </w:r>
            <w:r>
              <w:rPr>
                <w:noProof/>
              </w:rPr>
              <w:t>18</w:t>
            </w:r>
            <w:r w:rsidR="00141419">
              <w:rPr>
                <w:noProof/>
              </w:rPr>
              <w:fldChar w:fldCharType="end"/>
            </w:r>
          </w:hyperlink>
        </w:p>
        <w:p w:rsidR="00141419" w:rsidRDefault="001308DE" w14:paraId="44D0AA13" w14:textId="7AA290A9">
          <w:pPr>
            <w:pStyle w:val="TOC1"/>
            <w:tabs>
              <w:tab w:val="right" w:leader="dot" w:pos="9628"/>
            </w:tabs>
            <w:rPr>
              <w:rFonts w:asciiTheme="minorHAnsi" w:hAnsiTheme="minorHAnsi"/>
              <w:b w:val="0"/>
              <w:noProof/>
              <w:sz w:val="22"/>
              <w:szCs w:val="22"/>
            </w:rPr>
          </w:pPr>
          <w:hyperlink w:history="1" w:anchor="_Toc107905902">
            <w:r w:rsidRPr="00B60123" w:rsidR="00141419">
              <w:rPr>
                <w:rStyle w:val="Hyperlink"/>
                <w:noProof/>
              </w:rPr>
              <w:t>Appendix C. Receptors within 250m of potential emission points</w:t>
            </w:r>
            <w:r w:rsidR="00141419">
              <w:rPr>
                <w:noProof/>
              </w:rPr>
              <w:tab/>
            </w:r>
            <w:r w:rsidR="00141419">
              <w:rPr>
                <w:noProof/>
              </w:rPr>
              <w:fldChar w:fldCharType="begin"/>
            </w:r>
            <w:r w:rsidR="00141419">
              <w:rPr>
                <w:noProof/>
              </w:rPr>
              <w:instrText xml:space="preserve"> PAGEREF _Toc107905902 \h </w:instrText>
            </w:r>
            <w:r w:rsidR="00141419">
              <w:rPr>
                <w:noProof/>
              </w:rPr>
            </w:r>
            <w:r w:rsidR="00141419">
              <w:rPr>
                <w:noProof/>
              </w:rPr>
              <w:fldChar w:fldCharType="separate"/>
            </w:r>
            <w:r>
              <w:rPr>
                <w:noProof/>
              </w:rPr>
              <w:t>19</w:t>
            </w:r>
            <w:r w:rsidR="00141419">
              <w:rPr>
                <w:noProof/>
              </w:rPr>
              <w:fldChar w:fldCharType="end"/>
            </w:r>
          </w:hyperlink>
        </w:p>
        <w:p w:rsidRPr="005C4363" w:rsidR="0020292F" w:rsidP="0020292F" w:rsidRDefault="0020292F" w14:paraId="46EA4496" w14:textId="1419635C">
          <w:r>
            <w:rPr>
              <w:b/>
              <w:bCs/>
              <w:noProof/>
            </w:rPr>
            <w:fldChar w:fldCharType="end"/>
          </w:r>
        </w:p>
        <w:p w:rsidR="0020292F" w:rsidP="0020292F" w:rsidRDefault="001308DE" w14:paraId="24560B08" w14:textId="77777777"/>
      </w:sdtContent>
    </w:sdt>
    <w:sdt>
      <w:sdtPr>
        <w:rPr>
          <w:b w:val="0"/>
          <w:color w:val="auto"/>
          <w:sz w:val="20"/>
        </w:rPr>
        <w:alias w:val="Table of tables"/>
        <w:tag w:val="Table of tables"/>
        <w:id w:val="711232997"/>
        <w:placeholder>
          <w:docPart w:val="BDE95CF206CB48A9BDD92F4402DDC7AC"/>
        </w:placeholder>
        <w:docPartList>
          <w:docPartGallery w:val="Custom 5"/>
          <w:docPartCategory w:val="Tables"/>
        </w:docPartList>
      </w:sdtPr>
      <w:sdtEndPr/>
      <w:sdtContent>
        <w:p w:rsidRPr="004E7F78" w:rsidR="000C019E" w:rsidP="009F3D06" w:rsidRDefault="000C019E" w14:paraId="13F1F1E6" w14:textId="77777777">
          <w:pPr>
            <w:pStyle w:val="TOCHeading"/>
          </w:pPr>
          <w:r>
            <w:t>Tables</w:t>
          </w:r>
        </w:p>
        <w:p w:rsidRPr="005C4363" w:rsidR="000C019E" w:rsidP="009F3D06" w:rsidRDefault="00E11DD5" w14:paraId="43D9BCAD" w14:textId="7C42F3D1">
          <w:r>
            <w:fldChar w:fldCharType="begin"/>
          </w:r>
          <w:r>
            <w:instrText> TOC \h \t "Table Caption,1" </w:instrText>
          </w:r>
          <w:r>
            <w:fldChar w:fldCharType="separate"/>
          </w:r>
          <w:r w:rsidR="001308DE">
            <w:rPr>
              <w:b/>
              <w:bCs/>
              <w:noProof/>
              <w:lang w:val="en-US"/>
            </w:rPr>
            <w:t>No table of contents entries found.</w:t>
          </w:r>
          <w:r>
            <w:fldChar w:fldCharType="end"/>
          </w:r>
        </w:p>
        <w:p w:rsidR="0020292F" w:rsidP="0020292F" w:rsidRDefault="001308DE" w14:paraId="13281490" w14:textId="77777777"/>
      </w:sdtContent>
    </w:sdt>
    <w:sdt>
      <w:sdtPr>
        <w:rPr>
          <w:b w:val="0"/>
          <w:color w:val="auto"/>
          <w:sz w:val="20"/>
        </w:rPr>
        <w:alias w:val="Table of figures"/>
        <w:tag w:val="Table of figures"/>
        <w:id w:val="-519778155"/>
        <w:placeholder>
          <w:docPart w:val="BDE95CF206CB48A9BDD92F4402DDC7AC"/>
        </w:placeholder>
        <w:docPartList>
          <w:docPartGallery w:val="Custom 5"/>
          <w:docPartCategory w:val="Figures"/>
        </w:docPartList>
      </w:sdtPr>
      <w:sdtEndPr/>
      <w:sdtContent>
        <w:p w:rsidRPr="00315F5F" w:rsidR="0020292F" w:rsidP="0020292F" w:rsidRDefault="0020292F" w14:paraId="03A99861" w14:textId="77777777">
          <w:pPr>
            <w:pStyle w:val="TOCHeading"/>
            <w:rPr>
              <w:rFonts w:cs="Jacobs Chronos"/>
              <w:b w:val="0"/>
              <w:sz w:val="24"/>
            </w:rPr>
          </w:pPr>
          <w:r>
            <w:t>Figures</w:t>
          </w:r>
        </w:p>
        <w:p w:rsidRPr="005C4363" w:rsidR="0020292F" w:rsidP="0020292F" w:rsidRDefault="00E11DD5" w14:paraId="1C478055" w14:textId="21332117">
          <w:r>
            <w:fldChar w:fldCharType="begin"/>
          </w:r>
          <w:r>
            <w:instrText> TOC \h \t "Figure Caption,1" </w:instrText>
          </w:r>
          <w:r>
            <w:fldChar w:fldCharType="separate"/>
          </w:r>
          <w:r w:rsidR="001308DE">
            <w:rPr>
              <w:b/>
              <w:bCs/>
              <w:noProof/>
              <w:lang w:val="en-US"/>
            </w:rPr>
            <w:t>No table of contents entries found.</w:t>
          </w:r>
          <w:r>
            <w:fldChar w:fldCharType="end"/>
          </w:r>
        </w:p>
        <w:p w:rsidR="0020292F" w:rsidP="0020292F" w:rsidRDefault="001308DE" w14:paraId="7E12EE1A" w14:textId="77777777"/>
      </w:sdtContent>
    </w:sdt>
    <w:p w:rsidR="008A6AF1" w:rsidP="00B46F37" w:rsidRDefault="008A6AF1" w14:paraId="3745689C" w14:textId="77777777"/>
    <w:p w:rsidR="00B46F37" w:rsidP="006659BF" w:rsidRDefault="00B46F37" w14:paraId="7CCB0A9A" w14:textId="77777777">
      <w:pPr>
        <w:pStyle w:val="BodyText"/>
        <w:sectPr w:rsidR="00B46F37" w:rsidSect="00773A7E">
          <w:headerReference w:type="default" r:id="rId30"/>
          <w:footerReference w:type="default" r:id="rId31"/>
          <w:pgSz w:w="11906" w:h="16838" w:orient="portrait" w:code="9"/>
          <w:pgMar w:top="1134" w:right="1134" w:bottom="567" w:left="1134" w:header="567" w:footer="0" w:gutter="0"/>
          <w:pgNumType w:fmt="lowerRoman"/>
          <w:cols w:space="720"/>
          <w:docGrid w:linePitch="360"/>
        </w:sectPr>
      </w:pPr>
    </w:p>
    <w:p w:rsidR="00725C13" w:rsidP="00455008" w:rsidRDefault="00D4218B" w14:paraId="79C55653" w14:textId="6CB8027E">
      <w:pPr>
        <w:pStyle w:val="Heading1"/>
      </w:pPr>
      <w:bookmarkStart w:name="_Toc42856228" w:id="5"/>
      <w:bookmarkStart w:name="_Toc42856071" w:id="6"/>
      <w:bookmarkStart w:name="_Toc41900238" w:id="7"/>
      <w:bookmarkStart w:name="_Toc41573219" w:id="8"/>
      <w:bookmarkStart w:name="_Toc43216295" w:id="9"/>
      <w:bookmarkStart w:name="_Toc70933335" w:id="10"/>
      <w:bookmarkStart w:name="_Toc89265640" w:id="11"/>
      <w:bookmarkStart w:name="_Toc89265663" w:id="12"/>
      <w:bookmarkStart w:name="_Toc89455708" w:id="13"/>
      <w:bookmarkStart w:name="_Toc107998441" w:id="14"/>
      <w:bookmarkEnd w:id="4"/>
      <w:r w:rsidRPr="00AF2D90">
        <w:t>Int</w:t>
      </w:r>
      <w:r w:rsidRPr="00AF2D90" w:rsidR="00725C13">
        <w:t>roduction</w:t>
      </w:r>
      <w:bookmarkEnd w:id="5"/>
      <w:bookmarkEnd w:id="6"/>
      <w:bookmarkEnd w:id="7"/>
      <w:bookmarkEnd w:id="8"/>
      <w:bookmarkEnd w:id="9"/>
      <w:bookmarkEnd w:id="10"/>
      <w:bookmarkEnd w:id="11"/>
      <w:bookmarkEnd w:id="12"/>
      <w:bookmarkEnd w:id="13"/>
      <w:bookmarkEnd w:id="14"/>
    </w:p>
    <w:p w:rsidR="00862EF1" w:rsidP="00862EF1" w:rsidRDefault="00862EF1" w14:paraId="792BA07E" w14:textId="30F371D4">
      <w:pPr>
        <w:pStyle w:val="BodyText"/>
      </w:pPr>
      <w:r>
        <w:t xml:space="preserve">The purpose of this Bioaerosols risk assessment is to provide supplementary information to support the </w:t>
      </w:r>
      <w:r w:rsidRPr="00DA12A5">
        <w:t xml:space="preserve">permit variation application for a bespoke installation permit for the </w:t>
      </w:r>
      <w:r w:rsidR="00966DFC">
        <w:t>Maple Lodge</w:t>
      </w:r>
      <w:r w:rsidRPr="00DA12A5">
        <w:t xml:space="preserve"> S</w:t>
      </w:r>
      <w:r w:rsidRPr="00DA12A5" w:rsidR="00D31DD5">
        <w:t>ludge</w:t>
      </w:r>
      <w:r w:rsidRPr="00DA12A5" w:rsidR="00116982">
        <w:t xml:space="preserve"> </w:t>
      </w:r>
      <w:r w:rsidRPr="00DA12A5">
        <w:t>T</w:t>
      </w:r>
      <w:r w:rsidRPr="00DA12A5" w:rsidR="00116982">
        <w:t xml:space="preserve">reatment </w:t>
      </w:r>
      <w:r w:rsidRPr="00DA12A5">
        <w:t>C</w:t>
      </w:r>
      <w:r w:rsidRPr="00DA12A5" w:rsidR="00116982">
        <w:t>entre (STC)</w:t>
      </w:r>
      <w:r w:rsidRPr="00DA12A5">
        <w:t>, EPR/</w:t>
      </w:r>
      <w:r w:rsidR="001A06D4">
        <w:t>FP</w:t>
      </w:r>
      <w:r w:rsidRPr="00DA12A5">
        <w:t>3</w:t>
      </w:r>
      <w:r w:rsidR="001A06D4">
        <w:t>4</w:t>
      </w:r>
      <w:r w:rsidRPr="00DA12A5" w:rsidR="00997965">
        <w:t>3</w:t>
      </w:r>
      <w:r w:rsidR="001A06D4">
        <w:t>5</w:t>
      </w:r>
      <w:r w:rsidRPr="00DA12A5">
        <w:t>L</w:t>
      </w:r>
      <w:r w:rsidR="001A06D4">
        <w:t>A</w:t>
      </w:r>
      <w:r w:rsidRPr="00DA12A5">
        <w:t>.</w:t>
      </w:r>
    </w:p>
    <w:p w:rsidR="00862EF1" w:rsidP="00862EF1" w:rsidRDefault="00862EF1" w14:paraId="19B8F1CB" w14:textId="0A0699FF">
      <w:pPr>
        <w:pStyle w:val="Heading2"/>
      </w:pPr>
      <w:bookmarkStart w:name="_Toc107998442" w:id="15"/>
      <w:r>
        <w:t>Site description</w:t>
      </w:r>
      <w:bookmarkEnd w:id="15"/>
      <w:r>
        <w:t xml:space="preserve"> </w:t>
      </w:r>
    </w:p>
    <w:p w:rsidR="00116982" w:rsidP="00116982" w:rsidRDefault="00045EAD" w14:paraId="7310AF14" w14:textId="074A0599">
      <w:pPr>
        <w:pStyle w:val="BodyText"/>
      </w:pPr>
      <w:r w:rsidRPr="00045EAD">
        <w:t>The Maple Lodge site is located to the east of the village of Maple Cross in Hertfordshire in a largely rural environment.  The site is bounded on the north and east by the River Colne</w:t>
      </w:r>
      <w:r w:rsidRPr="00DA12A5" w:rsidR="00116982">
        <w:t xml:space="preserve">. </w:t>
      </w:r>
      <w:r w:rsidRPr="00933A6F" w:rsidR="00933A6F">
        <w:t>To the south is Lynsters Lake and to the west is farmland and Maple Lodge Nature Reserve.</w:t>
      </w:r>
    </w:p>
    <w:p w:rsidRPr="00DA12A5" w:rsidR="00926EDA" w:rsidP="00926EDA" w:rsidRDefault="006C1644" w14:paraId="7D12DD41" w14:textId="74151120">
      <w:pPr>
        <w:pStyle w:val="BodyText"/>
      </w:pPr>
      <w:r>
        <w:t>The site location</w:t>
      </w:r>
      <w:r w:rsidR="00EE518B">
        <w:t xml:space="preserve"> plan</w:t>
      </w:r>
      <w:r>
        <w:t xml:space="preserve"> is shown in </w:t>
      </w:r>
      <w:r w:rsidR="007B2F27">
        <w:t>Appendix A</w:t>
      </w:r>
      <w:r>
        <w:t xml:space="preserve"> and the address </w:t>
      </w:r>
      <w:r w:rsidRPr="00DA12A5" w:rsidR="00926EDA">
        <w:t>of the installation is:</w:t>
      </w:r>
    </w:p>
    <w:p w:rsidRPr="00DA12A5" w:rsidR="00926EDA" w:rsidP="00926EDA" w:rsidRDefault="00966DFC" w14:paraId="57BEF13C" w14:textId="2EFC55DB">
      <w:pPr>
        <w:pStyle w:val="BodyText"/>
      </w:pPr>
      <w:r>
        <w:t>Maple Lodge</w:t>
      </w:r>
      <w:r w:rsidRPr="00DA12A5" w:rsidR="00926EDA">
        <w:t xml:space="preserve"> STW; </w:t>
      </w:r>
    </w:p>
    <w:p w:rsidR="00523AF5" w:rsidP="00523AF5" w:rsidRDefault="00523AF5" w14:paraId="6F013A4E" w14:textId="77777777">
      <w:pPr>
        <w:pStyle w:val="BodyText"/>
      </w:pPr>
      <w:r>
        <w:t>Denham Way</w:t>
      </w:r>
    </w:p>
    <w:p w:rsidR="00523AF5" w:rsidP="00523AF5" w:rsidRDefault="00523AF5" w14:paraId="1D26B581" w14:textId="77777777">
      <w:pPr>
        <w:pStyle w:val="BodyText"/>
      </w:pPr>
      <w:r>
        <w:t>Maple Lodge</w:t>
      </w:r>
    </w:p>
    <w:p w:rsidR="00523AF5" w:rsidP="00523AF5" w:rsidRDefault="00523AF5" w14:paraId="710DD061" w14:textId="77777777">
      <w:pPr>
        <w:pStyle w:val="BodyText"/>
      </w:pPr>
      <w:r>
        <w:t>Rickmansworth</w:t>
      </w:r>
    </w:p>
    <w:p w:rsidR="00523AF5" w:rsidP="00523AF5" w:rsidRDefault="00523AF5" w14:paraId="431760D8" w14:textId="77777777">
      <w:pPr>
        <w:pStyle w:val="BodyText"/>
      </w:pPr>
      <w:r>
        <w:t>WD3 9SQ</w:t>
      </w:r>
    </w:p>
    <w:p w:rsidR="00933A6F" w:rsidP="00523AF5" w:rsidRDefault="00933A6F" w14:paraId="4E53EF59" w14:textId="23F32D23">
      <w:pPr>
        <w:pStyle w:val="BodyText"/>
      </w:pPr>
      <w:r w:rsidRPr="00933A6F">
        <w:t>The site is not within an Air Quality Management Area (AQMA).  The nearest AQMA is more than 2.5 km to the south-west of the site</w:t>
      </w:r>
      <w:r w:rsidR="00C1566A">
        <w:t>.</w:t>
      </w:r>
    </w:p>
    <w:p w:rsidR="00C1566A" w:rsidP="00C1566A" w:rsidRDefault="00C1566A" w14:paraId="50EE1B5D" w14:textId="77777777">
      <w:pPr>
        <w:pStyle w:val="Para0"/>
        <w:jc w:val="both"/>
      </w:pPr>
      <w:r>
        <w:t xml:space="preserve">Part of the site benefits from flood defences on the River Colne but parts of the site sit within Flood Zones 3, including one sludge tank, one decommissioned tank and some of the sludge dewatering plant from within the permitted area; these assets are subject to </w:t>
      </w:r>
      <w:r w:rsidRPr="00B1077B">
        <w:t>a 1:100 or greater annual probability of river flooding</w:t>
      </w:r>
      <w:r>
        <w:t xml:space="preserve">.  Other areas of the site including import points, sludge thickening assets, sludge blending assets, some secondary digester tanks, boilers and standby generators are located within areas of Flood Zone 2 with </w:t>
      </w:r>
      <w:r w:rsidRPr="00B1077B">
        <w:t>between a 1:100 and 1:1000 annual probability of flooding</w:t>
      </w:r>
      <w:r>
        <w:t xml:space="preserve">.  Primary digesters, most of the secondary digesters, the cake pad and CHP engines all sit within Flood Zone 1 meaning that there is a less than </w:t>
      </w:r>
      <w:r w:rsidRPr="00B1077B">
        <w:t>1:1000 annual probability of flooding</w:t>
      </w:r>
      <w:r>
        <w:t xml:space="preserve"> in these areas.  </w:t>
      </w:r>
    </w:p>
    <w:p w:rsidR="00EB0A42" w:rsidP="00C1566A" w:rsidRDefault="00EB0A42" w14:paraId="19F181E9" w14:textId="7F06A1C5">
      <w:pPr>
        <w:pStyle w:val="Para0"/>
        <w:jc w:val="both"/>
      </w:pPr>
      <w:r w:rsidRPr="00B1077B">
        <w:t>There are a tot</w:t>
      </w:r>
      <w:r w:rsidRPr="00F0243F">
        <w:t>al</w:t>
      </w:r>
      <w:r w:rsidRPr="002D4486">
        <w:t xml:space="preserve"> </w:t>
      </w:r>
      <w:r w:rsidRPr="00CD0BEA">
        <w:t>of fi</w:t>
      </w:r>
      <w:r w:rsidRPr="00CD541E">
        <w:t>ve desi</w:t>
      </w:r>
      <w:r w:rsidRPr="00F624DE">
        <w:t>g</w:t>
      </w:r>
      <w:r w:rsidRPr="00CD48D2">
        <w:t>nat</w:t>
      </w:r>
      <w:r w:rsidRPr="0053620B">
        <w:t>ed</w:t>
      </w:r>
      <w:r w:rsidRPr="000F3A03">
        <w:t xml:space="preserve"> hab</w:t>
      </w:r>
      <w:r w:rsidRPr="00EA52AF">
        <w:t>it</w:t>
      </w:r>
      <w:r w:rsidRPr="00A7454B">
        <w:t>at s</w:t>
      </w:r>
      <w:r w:rsidRPr="00ED2A6B">
        <w:t>i</w:t>
      </w:r>
      <w:r w:rsidRPr="0078010E">
        <w:t>t</w:t>
      </w:r>
      <w:r w:rsidRPr="002F7063">
        <w:t>es wi</w:t>
      </w:r>
      <w:r w:rsidRPr="001A1144">
        <w:t>t</w:t>
      </w:r>
      <w:r w:rsidRPr="003F3FAD">
        <w:t>hin th</w:t>
      </w:r>
      <w:r w:rsidRPr="00BA4593">
        <w:t xml:space="preserve">e </w:t>
      </w:r>
      <w:r w:rsidRPr="00657812">
        <w:t>relevant d</w:t>
      </w:r>
      <w:r w:rsidRPr="00250950">
        <w:t>istance</w:t>
      </w:r>
      <w:r w:rsidRPr="00A641CB">
        <w:t xml:space="preserve">s </w:t>
      </w:r>
      <w:r w:rsidRPr="00E8597E">
        <w:t xml:space="preserve">of </w:t>
      </w:r>
      <w:r w:rsidRPr="00F9248C">
        <w:t xml:space="preserve">the </w:t>
      </w:r>
      <w:r w:rsidRPr="00303C43">
        <w:t>si</w:t>
      </w:r>
      <w:r w:rsidRPr="00CD643E">
        <w:t xml:space="preserve">te. </w:t>
      </w:r>
      <w:r w:rsidRPr="00041B9C">
        <w:t xml:space="preserve"> T</w:t>
      </w:r>
      <w:r w:rsidRPr="003807F5">
        <w:t>h</w:t>
      </w:r>
      <w:r w:rsidRPr="001451DB">
        <w:t xml:space="preserve">e </w:t>
      </w:r>
      <w:r w:rsidRPr="007A5885">
        <w:t>c</w:t>
      </w:r>
      <w:r w:rsidRPr="00477655">
        <w:t>losest</w:t>
      </w:r>
      <w:r w:rsidRPr="00DC24FD">
        <w:t xml:space="preserve"> </w:t>
      </w:r>
      <w:r w:rsidRPr="003F673B">
        <w:t xml:space="preserve">is the Old </w:t>
      </w:r>
      <w:r w:rsidRPr="00E373D3">
        <w:t xml:space="preserve">Park Wood </w:t>
      </w:r>
      <w:r>
        <w:t>Site of Special Scientific Interest (</w:t>
      </w:r>
      <w:r w:rsidRPr="00E238B8">
        <w:t>SSSI</w:t>
      </w:r>
      <w:r>
        <w:t xml:space="preserve">), </w:t>
      </w:r>
      <w:r w:rsidRPr="00E373D3">
        <w:t xml:space="preserve">which is </w:t>
      </w:r>
      <w:r>
        <w:t xml:space="preserve">located </w:t>
      </w:r>
      <w:r w:rsidRPr="00E373D3">
        <w:t>approximately 450</w:t>
      </w:r>
      <w:r>
        <w:t xml:space="preserve"> </w:t>
      </w:r>
      <w:r w:rsidRPr="00E373D3">
        <w:t xml:space="preserve">m </w:t>
      </w:r>
      <w:r>
        <w:t>to the S</w:t>
      </w:r>
      <w:r w:rsidRPr="002A4347">
        <w:t>o</w:t>
      </w:r>
      <w:r w:rsidRPr="007E5417">
        <w:t>uth-</w:t>
      </w:r>
      <w:r>
        <w:t>E</w:t>
      </w:r>
      <w:r w:rsidRPr="003A74EE">
        <w:t>ast</w:t>
      </w:r>
      <w:r w:rsidRPr="007B7EF7">
        <w:t xml:space="preserve"> of t</w:t>
      </w:r>
      <w:r w:rsidRPr="001F556C">
        <w:t>he site</w:t>
      </w:r>
      <w:r>
        <w:t>.</w:t>
      </w:r>
    </w:p>
    <w:p w:rsidR="00862EF1" w:rsidP="00862EF1" w:rsidRDefault="00862EF1" w14:paraId="7472DBAD" w14:textId="239D1C7D">
      <w:pPr>
        <w:pStyle w:val="Heading2"/>
      </w:pPr>
      <w:bookmarkStart w:name="_Toc107998443" w:id="16"/>
      <w:r>
        <w:t>Site Activities</w:t>
      </w:r>
      <w:bookmarkEnd w:id="16"/>
    </w:p>
    <w:p w:rsidRPr="009510C1" w:rsidR="00862EF1" w:rsidP="00862EF1" w:rsidRDefault="00966DFC" w14:paraId="56F59256" w14:textId="09C9691C">
      <w:pPr>
        <w:pStyle w:val="BodyText"/>
      </w:pPr>
      <w:r w:rsidRPr="009510C1">
        <w:t>Maple Lodge</w:t>
      </w:r>
      <w:r w:rsidRPr="009510C1" w:rsidR="00862EF1">
        <w:t xml:space="preserve"> Sludge Treatment Centre (STC), is located at the </w:t>
      </w:r>
      <w:r w:rsidRPr="009510C1">
        <w:t>Maple Lodge</w:t>
      </w:r>
      <w:r w:rsidRPr="009510C1" w:rsidR="00F07057">
        <w:t xml:space="preserve"> Sewage Treatment Works (STW), operated by Thames Water Utilities Ltd (Thames Water)</w:t>
      </w:r>
      <w:r w:rsidRPr="009510C1" w:rsidR="00862EF1">
        <w:t>.  The STC undertakes the biological treatment of sewage sludge, both indigenous and imported from other wastewater treatment sites, by anaerobic digestion, with a capacity above the relevant thresholds for requiring an environmental permit. It also includes the importation of specified wastes to the works inlet for treatment through the Urban Waste Water Treatment directive</w:t>
      </w:r>
      <w:r w:rsidRPr="009510C1" w:rsidR="007E409E">
        <w:t xml:space="preserve"> (UWWTD)</w:t>
      </w:r>
      <w:r w:rsidRPr="009510C1" w:rsidR="00862EF1">
        <w:t xml:space="preserve"> regulated works.</w:t>
      </w:r>
    </w:p>
    <w:p w:rsidRPr="00F37E61" w:rsidR="00862EF1" w:rsidP="00862EF1" w:rsidRDefault="00862EF1" w14:paraId="756273F4" w14:textId="52A5186B">
      <w:pPr>
        <w:pStyle w:val="BodyText"/>
      </w:pPr>
      <w:r w:rsidRPr="00F37E61">
        <w:t xml:space="preserve">There are a number of </w:t>
      </w:r>
      <w:r w:rsidRPr="00F37E61" w:rsidR="00B975B3">
        <w:t>Directly Associated Activities (DAA)</w:t>
      </w:r>
      <w:r w:rsidRPr="00F37E61">
        <w:t>, including the operation of a biogas fuelled CHP engine for the generation of electricity and heat at the site.</w:t>
      </w:r>
    </w:p>
    <w:p w:rsidRPr="00F37E61" w:rsidR="00862EF1" w:rsidP="00862EF1" w:rsidRDefault="00862EF1" w14:paraId="5D075E6F" w14:textId="072340C3">
      <w:pPr>
        <w:pStyle w:val="BodyText"/>
      </w:pPr>
      <w:r w:rsidRPr="00F37E61">
        <w:t>The site includes the following DAA</w:t>
      </w:r>
      <w:r w:rsidRPr="00F37E61" w:rsidR="00B975B3">
        <w:t>s</w:t>
      </w:r>
      <w:r w:rsidRPr="00F37E61">
        <w:t xml:space="preserve">: </w:t>
      </w:r>
    </w:p>
    <w:p w:rsidRPr="00FB7DDA" w:rsidR="00862EF1" w:rsidP="009A1ABC" w:rsidRDefault="00862EF1" w14:paraId="7EBEBFD5" w14:textId="7A7E6AEB">
      <w:pPr>
        <w:pStyle w:val="BulletLevel1"/>
      </w:pPr>
      <w:r w:rsidRPr="00FB7DDA">
        <w:t>Imports of waste, including sludge from other sewage treatment works</w:t>
      </w:r>
      <w:r w:rsidRPr="00FB7DDA" w:rsidR="006D6F1F">
        <w:t xml:space="preserve"> and imports of municipal liquid or sludges similar in composition to UWWTD derived materials</w:t>
      </w:r>
      <w:r w:rsidR="00A52FA7">
        <w:t>;</w:t>
      </w:r>
    </w:p>
    <w:p w:rsidRPr="00FB7DDA" w:rsidR="00862EF1" w:rsidP="009A1ABC" w:rsidRDefault="00862EF1" w14:paraId="76D243B7" w14:textId="3D289925">
      <w:pPr>
        <w:pStyle w:val="BulletLevel1"/>
      </w:pPr>
      <w:r w:rsidRPr="00FB7DDA">
        <w:t>Blending of indigenous sludges and imported waste</w:t>
      </w:r>
      <w:r w:rsidRPr="00FB7DDA" w:rsidR="006D6F1F">
        <w:t>s/waste sludge</w:t>
      </w:r>
      <w:r w:rsidRPr="00FB7DDA">
        <w:t xml:space="preserve"> prior to treatment</w:t>
      </w:r>
      <w:r w:rsidR="00A52FA7">
        <w:t>;</w:t>
      </w:r>
    </w:p>
    <w:p w:rsidRPr="00F47053" w:rsidR="00862EF1" w:rsidP="009A1ABC" w:rsidRDefault="00862EF1" w14:paraId="7B7CAEB3" w14:textId="44CFB643">
      <w:pPr>
        <w:pStyle w:val="BulletLevel1"/>
      </w:pPr>
      <w:r w:rsidRPr="00F47053">
        <w:t>Storage of digestate prior to de-watering</w:t>
      </w:r>
      <w:r w:rsidR="00A52FA7">
        <w:t>;</w:t>
      </w:r>
    </w:p>
    <w:p w:rsidRPr="00477B3C" w:rsidR="00862EF1" w:rsidP="009A1ABC" w:rsidRDefault="00862EF1" w14:paraId="79470687" w14:textId="02267698">
      <w:pPr>
        <w:pStyle w:val="BulletLevel1"/>
      </w:pPr>
      <w:r w:rsidRPr="00477B3C">
        <w:t>Dewatering of digested sewage sludge</w:t>
      </w:r>
      <w:r w:rsidR="00A52FA7">
        <w:t>;</w:t>
      </w:r>
      <w:r w:rsidRPr="00477B3C">
        <w:t xml:space="preserve"> </w:t>
      </w:r>
    </w:p>
    <w:p w:rsidRPr="00477B3C" w:rsidR="00862EF1" w:rsidP="009A1ABC" w:rsidRDefault="00862EF1" w14:paraId="34D272D6" w14:textId="5B51EC82">
      <w:pPr>
        <w:pStyle w:val="BulletLevel1"/>
      </w:pPr>
      <w:r w:rsidRPr="00477B3C">
        <w:t xml:space="preserve">Transfer of </w:t>
      </w:r>
      <w:r w:rsidRPr="00477B3C" w:rsidR="006D6F1F">
        <w:t xml:space="preserve">treated </w:t>
      </w:r>
      <w:r w:rsidRPr="00477B3C">
        <w:t xml:space="preserve">dewatering liquors </w:t>
      </w:r>
      <w:r w:rsidRPr="00477B3C" w:rsidR="006D6F1F">
        <w:t xml:space="preserve">via site drainage back to the head </w:t>
      </w:r>
      <w:r w:rsidRPr="00477B3C">
        <w:t>of the sewage treatment works</w:t>
      </w:r>
      <w:r w:rsidR="00A52FA7">
        <w:t>;</w:t>
      </w:r>
    </w:p>
    <w:p w:rsidRPr="00477B3C" w:rsidR="00862EF1" w:rsidP="009A1ABC" w:rsidRDefault="00862EF1" w14:paraId="088C5715" w14:textId="076A4ECA">
      <w:pPr>
        <w:pStyle w:val="BulletLevel1"/>
      </w:pPr>
      <w:r w:rsidRPr="00477B3C">
        <w:t>Transfer of surface water runoff back to the head of the sewage treatment works</w:t>
      </w:r>
      <w:r w:rsidR="00A52FA7">
        <w:t>;</w:t>
      </w:r>
    </w:p>
    <w:p w:rsidRPr="00477B3C" w:rsidR="00862EF1" w:rsidP="009A1ABC" w:rsidRDefault="00862EF1" w14:paraId="0AF58438" w14:textId="58CFB4CD">
      <w:pPr>
        <w:pStyle w:val="BulletLevel1"/>
      </w:pPr>
      <w:r w:rsidRPr="00477B3C">
        <w:t>Storage of dewatered digested sludge cake prior to offsite recovery</w:t>
      </w:r>
      <w:r w:rsidR="00A52FA7">
        <w:t>;</w:t>
      </w:r>
      <w:r w:rsidRPr="00477B3C">
        <w:t xml:space="preserve"> </w:t>
      </w:r>
    </w:p>
    <w:p w:rsidR="00862EF1" w:rsidP="009A1ABC" w:rsidRDefault="00862EF1" w14:paraId="07DE05AE" w14:textId="540C44A4">
      <w:pPr>
        <w:pStyle w:val="BulletLevel1"/>
      </w:pPr>
      <w:r w:rsidRPr="00477B3C">
        <w:t>Storage of biogas</w:t>
      </w:r>
      <w:r w:rsidR="00A52FA7">
        <w:t>;</w:t>
      </w:r>
      <w:r w:rsidRPr="00477B3C">
        <w:t xml:space="preserve"> </w:t>
      </w:r>
    </w:p>
    <w:p w:rsidRPr="00477B3C" w:rsidR="0091763E" w:rsidP="00152F48" w:rsidRDefault="0091763E" w14:paraId="022A3D1E" w14:textId="7AC6078C">
      <w:pPr>
        <w:pStyle w:val="BulletLevel1"/>
        <w:ind w:left="284" w:hanging="284"/>
      </w:pPr>
      <w:r>
        <w:t xml:space="preserve"> </w:t>
      </w:r>
      <w:r w:rsidRPr="0091763E">
        <w:t>Transfer of biogas condensate via site drainage back to the head of the sewage treatment works;</w:t>
      </w:r>
    </w:p>
    <w:p w:rsidRPr="00152F48" w:rsidR="00862EF1" w:rsidP="009A1ABC" w:rsidRDefault="00862EF1" w14:paraId="6B8C9390" w14:textId="271243D1">
      <w:pPr>
        <w:pStyle w:val="BulletLevel1"/>
      </w:pPr>
      <w:r w:rsidRPr="00152F48">
        <w:t>Combustion of biogas</w:t>
      </w:r>
      <w:r w:rsidRPr="00152F48" w:rsidR="00152F48">
        <w:t xml:space="preserve"> (or fuel oil)</w:t>
      </w:r>
      <w:r w:rsidRPr="00152F48">
        <w:t xml:space="preserve"> in </w:t>
      </w:r>
      <w:r w:rsidRPr="00152F48" w:rsidR="006D6F1F">
        <w:t>a Medium Combustion Plant Directive (</w:t>
      </w:r>
      <w:r w:rsidRPr="00152F48">
        <w:t>MCPD</w:t>
      </w:r>
      <w:r w:rsidRPr="00152F48" w:rsidR="006D6F1F">
        <w:t>)</w:t>
      </w:r>
      <w:r w:rsidRPr="00152F48">
        <w:t xml:space="preserve"> and S</w:t>
      </w:r>
      <w:r w:rsidRPr="00152F48" w:rsidR="006D6F1F">
        <w:t xml:space="preserve">pecified </w:t>
      </w:r>
      <w:r w:rsidRPr="00152F48">
        <w:t>G</w:t>
      </w:r>
      <w:r w:rsidRPr="00152F48" w:rsidR="006D6F1F">
        <w:t>enerator (SG)</w:t>
      </w:r>
      <w:r w:rsidRPr="00152F48">
        <w:t xml:space="preserve"> compliant biogas CHP </w:t>
      </w:r>
      <w:r w:rsidRPr="00152F48" w:rsidR="006D6F1F">
        <w:t>engine</w:t>
      </w:r>
      <w:r w:rsidRPr="00152F48">
        <w:t xml:space="preserve"> and boilers</w:t>
      </w:r>
      <w:r w:rsidRPr="00152F48" w:rsidR="006D6F1F">
        <w:t xml:space="preserve"> units</w:t>
      </w:r>
      <w:r w:rsidR="003A1AB4">
        <w:t>;</w:t>
      </w:r>
    </w:p>
    <w:p w:rsidRPr="002B77D9" w:rsidR="002B77D9" w:rsidP="002B77D9" w:rsidRDefault="003A1AB4" w14:paraId="7065FE7B" w14:textId="01990E0F">
      <w:pPr>
        <w:pStyle w:val="BulletLevel1"/>
        <w:ind w:left="284" w:hanging="284"/>
      </w:pPr>
      <w:r>
        <w:t xml:space="preserve"> </w:t>
      </w:r>
      <w:r w:rsidRPr="002B77D9" w:rsidR="002B77D9">
        <w:t>Combustion of fuel oil in a MCPD and SG compliant emergency standby generator (which operates less than 50 hours per annum)</w:t>
      </w:r>
      <w:r w:rsidR="00A52FA7">
        <w:t>;</w:t>
      </w:r>
    </w:p>
    <w:p w:rsidRPr="0063092A" w:rsidR="0063092A" w:rsidP="0063092A" w:rsidRDefault="00ED6743" w14:paraId="4857B1AE" w14:textId="77777777">
      <w:pPr>
        <w:pStyle w:val="BulletLevel1"/>
      </w:pPr>
      <w:r w:rsidRPr="0063092A">
        <w:t>Transfer of biogas condensate via site drainage back to the head of the sewage treatment works</w:t>
      </w:r>
    </w:p>
    <w:p w:rsidRPr="0063092A" w:rsidR="0063092A" w:rsidP="0063092A" w:rsidRDefault="0063092A" w14:paraId="2E13845B" w14:textId="77777777">
      <w:pPr>
        <w:pStyle w:val="BulletLevel1"/>
      </w:pPr>
      <w:r w:rsidRPr="0063092A">
        <w:t xml:space="preserve">Storage of oil; </w:t>
      </w:r>
    </w:p>
    <w:p w:rsidRPr="0063092A" w:rsidR="0063092A" w:rsidP="0063092A" w:rsidRDefault="0063092A" w14:paraId="5550085D" w14:textId="77777777">
      <w:pPr>
        <w:pStyle w:val="BulletLevel1"/>
      </w:pPr>
      <w:r w:rsidRPr="0063092A">
        <w:t>Storage of wastes; including waste oils;</w:t>
      </w:r>
    </w:p>
    <w:p w:rsidRPr="0063092A" w:rsidR="0063092A" w:rsidP="0063092A" w:rsidRDefault="0063092A" w14:paraId="620975FA" w14:textId="77777777">
      <w:pPr>
        <w:pStyle w:val="BulletLevel1"/>
      </w:pPr>
      <w:r w:rsidRPr="0063092A">
        <w:t>Operation of siloxane filter plant;</w:t>
      </w:r>
    </w:p>
    <w:p w:rsidRPr="0063092A" w:rsidR="0063092A" w:rsidP="0063092A" w:rsidRDefault="0063092A" w14:paraId="0C21FFDB" w14:textId="77777777">
      <w:pPr>
        <w:pStyle w:val="BulletLevel1"/>
      </w:pPr>
      <w:r w:rsidRPr="0063092A">
        <w:t>Operation of biogas flare stacks;</w:t>
      </w:r>
    </w:p>
    <w:p w:rsidRPr="0063092A" w:rsidR="0063092A" w:rsidP="0063092A" w:rsidRDefault="0063092A" w14:paraId="6A626B61" w14:textId="77777777">
      <w:pPr>
        <w:pStyle w:val="BulletLevel1"/>
      </w:pPr>
      <w:r w:rsidRPr="0063092A">
        <w:t>Storage of diesel;</w:t>
      </w:r>
    </w:p>
    <w:p w:rsidRPr="0063092A" w:rsidR="0063092A" w:rsidP="0063092A" w:rsidRDefault="0063092A" w14:paraId="30369AEB" w14:textId="77777777">
      <w:pPr>
        <w:pStyle w:val="BulletLevel1"/>
      </w:pPr>
      <w:r w:rsidRPr="0063092A">
        <w:t xml:space="preserve">Storage of fuel oil; and, </w:t>
      </w:r>
    </w:p>
    <w:p w:rsidRPr="0063092A" w:rsidR="0063092A" w:rsidP="0063092A" w:rsidRDefault="0063092A" w14:paraId="15606303" w14:textId="1B94A2CF">
      <w:pPr>
        <w:pStyle w:val="BulletLevel1"/>
      </w:pPr>
      <w:r w:rsidRPr="0063092A">
        <w:t>Storage of raw materials.</w:t>
      </w:r>
    </w:p>
    <w:p w:rsidRPr="00933A6F" w:rsidR="00862EF1" w:rsidP="00862EF1" w:rsidRDefault="00862EF1" w14:paraId="571B56C1" w14:textId="032B7333">
      <w:pPr>
        <w:pStyle w:val="BodyText"/>
        <w:rPr>
          <w:color w:val="1916A4" w:themeColor="accent1" w:themeShade="BF"/>
        </w:rPr>
      </w:pPr>
      <w:r w:rsidRPr="00190AD0">
        <w:t xml:space="preserve">The facility can treat up to </w:t>
      </w:r>
      <w:r w:rsidRPr="00190AD0" w:rsidR="00190AD0">
        <w:t>600</w:t>
      </w:r>
      <w:r w:rsidRPr="00190AD0">
        <w:t>,00</w:t>
      </w:r>
      <w:r w:rsidRPr="00190AD0" w:rsidR="00FD2335">
        <w:t>0</w:t>
      </w:r>
      <w:r w:rsidRPr="00190AD0">
        <w:t>m</w:t>
      </w:r>
      <w:r w:rsidRPr="00190AD0">
        <w:rPr>
          <w:vertAlign w:val="superscript"/>
        </w:rPr>
        <w:t>3</w:t>
      </w:r>
      <w:r w:rsidRPr="00190AD0">
        <w:t xml:space="preserve"> of sludge per year (equating to approximately </w:t>
      </w:r>
      <w:r w:rsidRPr="00190AD0" w:rsidR="00190AD0">
        <w:t>600</w:t>
      </w:r>
      <w:r w:rsidRPr="00190AD0">
        <w:t xml:space="preserve">,000 tonnes). </w:t>
      </w:r>
      <w:r w:rsidRPr="002E5B1A">
        <w:t xml:space="preserve">The sludge treatment facility has a total maximum treatment </w:t>
      </w:r>
      <w:r w:rsidRPr="002E5B1A" w:rsidR="00C35E2E">
        <w:t>input</w:t>
      </w:r>
      <w:r w:rsidRPr="002E5B1A">
        <w:t xml:space="preserve"> of </w:t>
      </w:r>
      <w:r w:rsidRPr="002E5B1A" w:rsidR="002E5B1A">
        <w:t>1500</w:t>
      </w:r>
      <w:r w:rsidRPr="002E5B1A">
        <w:t>m</w:t>
      </w:r>
      <w:r w:rsidRPr="002E5B1A">
        <w:rPr>
          <w:vertAlign w:val="superscript"/>
        </w:rPr>
        <w:t>3</w:t>
      </w:r>
      <w:r w:rsidRPr="002E5B1A">
        <w:t xml:space="preserve"> per day (equating to approximately </w:t>
      </w:r>
      <w:r w:rsidRPr="002E5B1A" w:rsidR="002E5B1A">
        <w:t>1500</w:t>
      </w:r>
      <w:r w:rsidRPr="002E5B1A">
        <w:t xml:space="preserve"> tonnes per day). </w:t>
      </w:r>
    </w:p>
    <w:p w:rsidRPr="00344976" w:rsidR="00C35E2E" w:rsidP="00862EF1" w:rsidRDefault="00862EF1" w14:paraId="796DADF2" w14:textId="0021F7D1">
      <w:pPr>
        <w:pStyle w:val="BodyText"/>
      </w:pPr>
      <w:r w:rsidRPr="00344976">
        <w:t xml:space="preserve">Some of this throughput is sludge, which is subject to dewatering and storage as treated sludge cake at the site prior to removal from site for application to land. </w:t>
      </w:r>
    </w:p>
    <w:p w:rsidRPr="00344976" w:rsidR="007C2BF8" w:rsidP="00862EF1" w:rsidRDefault="00862EF1" w14:paraId="228DB28E" w14:textId="446BDF98">
      <w:pPr>
        <w:pStyle w:val="BodyText"/>
      </w:pPr>
      <w:r w:rsidRPr="00344976">
        <w:t>The anaerobic digestion process gives rise to biogas, a mixture of biomethane and carbon dioxide, in a mixture with trace components. This biogas is combusted through CHP engines at the site with excess biogas being subject to flaring. The biogas handling system is equipped with a number of pressure relief valves (PRVs) which activate as a safety precaution when there is excess gas over what the CHP engine and flare can handle.</w:t>
      </w:r>
    </w:p>
    <w:p w:rsidR="00D202BD" w:rsidP="006C07BF" w:rsidRDefault="00D202BD" w14:paraId="07537B48" w14:textId="32825E18">
      <w:pPr>
        <w:pStyle w:val="Heading2"/>
      </w:pPr>
      <w:bookmarkStart w:name="_Toc107998444" w:id="17"/>
      <w:r>
        <w:t>Regulatory requirements</w:t>
      </w:r>
      <w:bookmarkEnd w:id="17"/>
    </w:p>
    <w:p w:rsidRPr="00035D58" w:rsidR="00D202BD" w:rsidP="00405455" w:rsidRDefault="00D202BD" w14:paraId="28AD2A76" w14:textId="6AF3FD87">
      <w:pPr>
        <w:pStyle w:val="BodyText"/>
      </w:pPr>
      <w:r w:rsidRPr="00035D58">
        <w:t>The sludge treatment activity has not previously required an environmental permit as the digested sewage sludge from the site is normally sent for recovery to land. However, a permit application has been submitted based on the Environment Agency’s recent conclusion that sewage sludge is a waste and therefore the treatment of sewage sludge by anaerobic digestion for recovery is a permittable activity under Schedule 1 of the EPR 2016, specifically Chapter 5, Section 5.4, Part A 1(b)(i)</w:t>
      </w:r>
      <w:r w:rsidRPr="00035D58" w:rsidR="00405455">
        <w:t xml:space="preserve"> and the treatment of liquors prior to disposal above the relevant threshold, Chapter 5, Section 5.4, Part A 1(a)(i).</w:t>
      </w:r>
    </w:p>
    <w:p w:rsidRPr="00035D58" w:rsidR="00D202BD" w:rsidP="00D202BD" w:rsidRDefault="00D202BD" w14:paraId="1642B847" w14:textId="6197D054">
      <w:pPr>
        <w:pStyle w:val="BodyText"/>
      </w:pPr>
      <w:r w:rsidRPr="00035D58">
        <w:t>For new permits, if the site is within 250m of sensitive receptors then there is a requirement to monitor bioaerosols in accordance with the EA technical guidance note</w:t>
      </w:r>
      <w:r w:rsidRPr="00035D58" w:rsidR="006C07BF">
        <w:rPr>
          <w:rStyle w:val="FootnoteReference"/>
        </w:rPr>
        <w:footnoteReference w:id="1"/>
      </w:r>
      <w:r w:rsidRPr="00035D58" w:rsidR="006C07BF">
        <w:t xml:space="preserve"> </w:t>
      </w:r>
      <w:r w:rsidRPr="00035D58">
        <w:t>‘</w:t>
      </w:r>
      <w:r w:rsidRPr="00035D58">
        <w:rPr>
          <w:i/>
          <w:iCs/>
        </w:rPr>
        <w:t>M9: environmental monitoring of bioaerosols at regulated facilities</w:t>
      </w:r>
      <w:r w:rsidRPr="00035D58">
        <w:t>’. M9 describes bioaerosols and the risks that they pose, as well as identifying potential sources within biological treatment facilities.</w:t>
      </w:r>
    </w:p>
    <w:p w:rsidRPr="005A62D1" w:rsidR="00D202BD" w:rsidP="00D202BD" w:rsidRDefault="00D202BD" w14:paraId="18A4333E" w14:textId="37B6AE78">
      <w:pPr>
        <w:pStyle w:val="BodyText"/>
      </w:pPr>
      <w:r w:rsidRPr="00344976">
        <w:t xml:space="preserve">The </w:t>
      </w:r>
      <w:r w:rsidRPr="00344976" w:rsidR="00966DFC">
        <w:t>Maple Lodge</w:t>
      </w:r>
      <w:r w:rsidRPr="00344976">
        <w:t xml:space="preserve"> Sludge Treatment </w:t>
      </w:r>
      <w:r w:rsidRPr="00344976" w:rsidR="00CA0DD0">
        <w:t xml:space="preserve">Centre </w:t>
      </w:r>
      <w:r w:rsidRPr="00344976">
        <w:t>installation is within 250m of sensitive receptors</w:t>
      </w:r>
      <w:r w:rsidRPr="00344976" w:rsidR="00F55EE1">
        <w:t>, as defined by M9</w:t>
      </w:r>
      <w:r w:rsidRPr="00344976" w:rsidR="00BD575B">
        <w:t>. T</w:t>
      </w:r>
      <w:r w:rsidRPr="00344976">
        <w:t>hese are detailed in Section 2.</w:t>
      </w:r>
      <w:r w:rsidRPr="00344976" w:rsidR="00065B35">
        <w:t>5</w:t>
      </w:r>
      <w:r w:rsidRPr="00344976">
        <w:t xml:space="preserve"> of this report.</w:t>
      </w:r>
    </w:p>
    <w:p w:rsidR="00D202BD" w:rsidP="006C07BF" w:rsidRDefault="00D202BD" w14:paraId="6E4E94E2" w14:textId="2F91BDBB">
      <w:pPr>
        <w:pStyle w:val="Heading2"/>
      </w:pPr>
      <w:bookmarkStart w:name="_Toc107998445" w:id="18"/>
      <w:r>
        <w:t>Bioaerosols</w:t>
      </w:r>
      <w:bookmarkEnd w:id="18"/>
      <w:r>
        <w:t xml:space="preserve"> </w:t>
      </w:r>
    </w:p>
    <w:p w:rsidR="00D202BD" w:rsidP="00D202BD" w:rsidRDefault="00D202BD" w14:paraId="57B28741" w14:textId="77777777">
      <w:pPr>
        <w:pStyle w:val="BodyText"/>
      </w:pPr>
      <w:r>
        <w:t xml:space="preserve">Bioaerosols are found naturally within the environment. They consist of airborne particles that contain living organisms, such as bacteria, fungi and viruses or parts of living organisms, such as plant pollen, spores and endotoxins from bacterial cells or mycotoxins from fungi. The components of a bioaerosol range in size from around 0.02 to 100 micrometres (µm) in diameter. The size, density and shape of a bioaerosol will affect its behaviour, survivability and ultimately its dispersion in the atmosphere.  </w:t>
      </w:r>
    </w:p>
    <w:p w:rsidR="00D202BD" w:rsidP="00D202BD" w:rsidRDefault="00D202BD" w14:paraId="76FBAAD7" w14:textId="77777777">
      <w:pPr>
        <w:pStyle w:val="BodyText"/>
      </w:pPr>
      <w:r>
        <w:t>Bioaerosols are easily breathed into the human respiratory system, potentially causing allergic responses and inflammation. They also have the potential to cause eye irritation, gastrointestinal illness and dermatitis.</w:t>
      </w:r>
    </w:p>
    <w:p w:rsidR="00D202BD" w:rsidP="00D202BD" w:rsidRDefault="00D202BD" w14:paraId="2FD5FF54" w14:textId="77777777">
      <w:pPr>
        <w:pStyle w:val="BodyText"/>
      </w:pPr>
      <w:r>
        <w:t>Bioaerosols are associated with composting, anaerobic digestion and mechanical biological treatment, which are the main processes used to treat organic wastes in the UK.  As organic waste material breaks down it goes through different temperature dependent stages that are dominated by certain groups of bacteria and fungi. Bacteria are the most numerous group of microorganisms. Aspergillus fumigatus is a mesophilic fungus that is thermotolerant and is present throughout the different stages of the organic breakdown process. This fungus can cause severe respiratory infection if inhaled.</w:t>
      </w:r>
    </w:p>
    <w:p w:rsidR="00D202BD" w:rsidP="00D202BD" w:rsidRDefault="00D202BD" w14:paraId="3FB111DB" w14:textId="44675051">
      <w:pPr>
        <w:pStyle w:val="BodyText"/>
      </w:pPr>
      <w:r>
        <w:t>The dependence on microorganisms to degrade organic material and the way in which the material is processed make biological treatment facilities a potential source of bioaerosols. However, we note that the 2012 EA guidance note</w:t>
      </w:r>
      <w:r w:rsidR="00F10A29">
        <w:rPr>
          <w:rStyle w:val="FootnoteReference"/>
        </w:rPr>
        <w:footnoteReference w:id="2"/>
      </w:r>
      <w:r>
        <w:t xml:space="preserve"> for developments requiring planning permission and environmental permits states that the EA do not consider bioaerosols from anaerobic digestion to be a serious concern. This is due to the fact, that anaerobic digestion is generally a wet process undertaken in enclosed tanks and equipment, whereas composting is often undertaken using open systems such as windrows and static piles. </w:t>
      </w:r>
    </w:p>
    <w:p w:rsidR="00D202BD" w:rsidP="00D202BD" w:rsidRDefault="00D202BD" w14:paraId="0706DE52" w14:textId="75F36897">
      <w:pPr>
        <w:pStyle w:val="BodyText"/>
      </w:pPr>
      <w:r>
        <w:t xml:space="preserve">The </w:t>
      </w:r>
      <w:r w:rsidR="00966DFC">
        <w:t>Maple Lodge</w:t>
      </w:r>
      <w:r>
        <w:t xml:space="preserve"> Sludge Treatment Facility does not undertake any </w:t>
      </w:r>
      <w:r w:rsidR="00592CED">
        <w:t xml:space="preserve">aerobic </w:t>
      </w:r>
      <w:r>
        <w:t>composting activities and the anaerobic digestion process</w:t>
      </w:r>
      <w:r w:rsidR="00A06641">
        <w:t xml:space="preserve"> on site</w:t>
      </w:r>
      <w:r>
        <w:t>, undertaken in the primary digesters, is an enclosed process</w:t>
      </w:r>
      <w:r w:rsidR="00592CED">
        <w:t xml:space="preserve"> with all produced gases captured within the biogas system</w:t>
      </w:r>
      <w:r>
        <w:t xml:space="preserve">. </w:t>
      </w:r>
    </w:p>
    <w:p w:rsidR="00CD0617" w:rsidP="00CD0617" w:rsidRDefault="00CD0617" w14:paraId="693C55EC" w14:textId="08392FA0">
      <w:pPr>
        <w:pStyle w:val="Heading3"/>
      </w:pPr>
      <w:r>
        <w:t>High Risk Activities</w:t>
      </w:r>
    </w:p>
    <w:p w:rsidRPr="00B93FF3" w:rsidR="00CB0793" w:rsidP="00CB0793" w:rsidRDefault="00D96DBC" w14:paraId="28BBDD1B" w14:textId="29B14244">
      <w:pPr>
        <w:pStyle w:val="BodyText"/>
      </w:pPr>
      <w:r w:rsidRPr="00B93FF3">
        <w:t>The M</w:t>
      </w:r>
      <w:r w:rsidRPr="00B93FF3" w:rsidR="00875380">
        <w:t>17 guidance document</w:t>
      </w:r>
      <w:r w:rsidRPr="00B93FF3" w:rsidR="00405455">
        <w:t xml:space="preserve"> (</w:t>
      </w:r>
      <w:r w:rsidRPr="00B93FF3" w:rsidR="00875380">
        <w:t>section 3.3</w:t>
      </w:r>
      <w:r w:rsidRPr="00B93FF3" w:rsidR="00700720">
        <w:t>.3</w:t>
      </w:r>
      <w:r w:rsidRPr="00B93FF3" w:rsidR="00405455">
        <w:t>)</w:t>
      </w:r>
      <w:r w:rsidRPr="00B93FF3" w:rsidR="00875380">
        <w:t xml:space="preserve">, outlines a number of potential sources </w:t>
      </w:r>
      <w:r w:rsidRPr="00B93FF3" w:rsidR="00DF01C2">
        <w:t xml:space="preserve">and release mechanisms </w:t>
      </w:r>
      <w:r w:rsidRPr="00B93FF3" w:rsidR="00875380">
        <w:t xml:space="preserve">of </w:t>
      </w:r>
      <w:r w:rsidRPr="00B93FF3" w:rsidR="00F16DB7">
        <w:t xml:space="preserve">particulate matter, including bioaerosols from waste management facilities. </w:t>
      </w:r>
      <w:r w:rsidRPr="00B93FF3" w:rsidR="00340407">
        <w:t>These</w:t>
      </w:r>
      <w:r w:rsidRPr="00B93FF3" w:rsidR="00F16DB7">
        <w:t xml:space="preserve"> potential sources are not graded for importance within M17,</w:t>
      </w:r>
      <w:r w:rsidRPr="00B93FF3" w:rsidR="00A67A0B">
        <w:t xml:space="preserve"> and include: the movement of waste to and from the facility; storage of waste (under certain conditions) on site; the handling and processing of waste materials e.g. shredding of green waste, turning of windrows, daily cover; and wind scouring of waste surfaces.</w:t>
      </w:r>
      <w:r w:rsidRPr="00B93FF3" w:rsidR="00225765">
        <w:t xml:space="preserve"> </w:t>
      </w:r>
    </w:p>
    <w:p w:rsidRPr="00B93FF3" w:rsidR="00C240B9" w:rsidRDefault="00225765" w14:paraId="1866C76B" w14:textId="2863BADA">
      <w:pPr>
        <w:pStyle w:val="BodyText"/>
      </w:pPr>
      <w:r w:rsidRPr="00B93FF3">
        <w:t xml:space="preserve">In terms of potential sources of bioaerosol release at the </w:t>
      </w:r>
      <w:r w:rsidRPr="00B93FF3" w:rsidR="00966DFC">
        <w:t>Maple Lodge</w:t>
      </w:r>
      <w:r w:rsidRPr="00B93FF3">
        <w:t xml:space="preserve"> STC, only the storage of sludge cake and export i.e. the handling and storage of waste (under certain conditions) and wind scouring of waste surfaces would apply.  Sewage waste to site is received via pipes and is contained and shredding of waste or turning of stockpiles is not undertaken</w:t>
      </w:r>
    </w:p>
    <w:p w:rsidR="003F44E3" w:rsidP="003806A5" w:rsidRDefault="003F44E3" w14:paraId="6D80C460" w14:textId="6CC9C0B9">
      <w:pPr>
        <w:pStyle w:val="Heading3"/>
      </w:pPr>
      <w:r>
        <w:t>Relevant Thresholds</w:t>
      </w:r>
    </w:p>
    <w:p w:rsidR="00492FBE" w:rsidP="00492FBE" w:rsidRDefault="00C240B9" w14:paraId="11A31075" w14:textId="5BF51C34">
      <w:pPr>
        <w:pStyle w:val="BodyText"/>
      </w:pPr>
      <w:r w:rsidRPr="00C240B9">
        <w:t>Based on the accepted Levels at sensitive receptors as set out in the Environment Agency M17 guidance</w:t>
      </w:r>
      <w:r w:rsidR="00D4769C">
        <w:rPr>
          <w:rStyle w:val="FootnoteReference"/>
        </w:rPr>
        <w:footnoteReference w:id="3"/>
      </w:r>
      <w:r w:rsidRPr="00C240B9">
        <w:t xml:space="preserve">  ‘M17 Monitoring of particulate matter in ambient air around waste facilities’, and in line with the Governments regulatory position statement (RPS) 209 outlining when a specific bioaerosol risk assessment and/or monitoring is required and use of the Environment Agency Technical Guidance Note M9</w:t>
      </w:r>
      <w:r w:rsidR="00761419">
        <w:rPr>
          <w:rStyle w:val="FootnoteReference"/>
        </w:rPr>
        <w:footnoteReference w:id="4"/>
      </w:r>
      <w:r w:rsidRPr="00C240B9">
        <w:t xml:space="preserve"> ; key bioaerosols of interest and their respective threshold Levels (including background) at sensitive receptors are outlined below:</w:t>
      </w:r>
    </w:p>
    <w:p w:rsidR="00492FBE" w:rsidP="009A1ABC" w:rsidRDefault="00492FBE" w14:paraId="7B157334" w14:textId="11586805">
      <w:pPr>
        <w:pStyle w:val="BulletLevel1"/>
      </w:pPr>
      <w:r>
        <w:t>Total bacteria: 1000 cfu/m</w:t>
      </w:r>
      <w:r w:rsidRPr="0015070D">
        <w:rPr>
          <w:vertAlign w:val="superscript"/>
        </w:rPr>
        <w:t>3</w:t>
      </w:r>
      <w:r>
        <w:t xml:space="preserve"> </w:t>
      </w:r>
    </w:p>
    <w:p w:rsidRPr="003F44E3" w:rsidR="003F44E3" w:rsidP="009A1ABC" w:rsidRDefault="00492FBE" w14:paraId="12F36F72" w14:textId="695B3C9F">
      <w:pPr>
        <w:pStyle w:val="BulletLevel1"/>
      </w:pPr>
      <w:r>
        <w:t>Aspergillus Fumigatus: 500 cfu/m</w:t>
      </w:r>
      <w:r w:rsidRPr="0015070D">
        <w:rPr>
          <w:vertAlign w:val="superscript"/>
        </w:rPr>
        <w:t>3</w:t>
      </w:r>
    </w:p>
    <w:p w:rsidR="00D202BD" w:rsidP="00A06641" w:rsidRDefault="00D202BD" w14:paraId="61CC7052" w14:textId="5D4EF43F">
      <w:pPr>
        <w:pStyle w:val="Heading1"/>
      </w:pPr>
      <w:bookmarkStart w:name="_Toc107998446" w:id="19"/>
      <w:r w:rsidRPr="00A06641">
        <w:rPr>
          <w:rStyle w:val="Heading1Char"/>
        </w:rPr>
        <w:t>Bioaerosol risk assessment</w:t>
      </w:r>
      <w:bookmarkEnd w:id="19"/>
    </w:p>
    <w:p w:rsidR="00D202BD" w:rsidP="00A06641" w:rsidRDefault="00D202BD" w14:paraId="7AFDE59C" w14:textId="52D7ADFA">
      <w:pPr>
        <w:pStyle w:val="Heading2"/>
      </w:pPr>
      <w:bookmarkStart w:name="_Toc107998447" w:id="20"/>
      <w:r>
        <w:t>Introduction</w:t>
      </w:r>
      <w:bookmarkEnd w:id="20"/>
    </w:p>
    <w:p w:rsidR="00D202BD" w:rsidP="00D202BD" w:rsidRDefault="00A06641" w14:paraId="795E7A1E" w14:textId="592B237C">
      <w:pPr>
        <w:pStyle w:val="BodyText"/>
      </w:pPr>
      <w:r w:rsidRPr="00A06641">
        <w:t xml:space="preserve">A source-pathway-receptor risk assessment has been undertaken to appraise the potential for risk to human health at sensitive receptors within the relevant distance from operations at the </w:t>
      </w:r>
      <w:r w:rsidR="00966DFC">
        <w:t>Maple Lodge</w:t>
      </w:r>
      <w:r w:rsidRPr="00A06641">
        <w:t xml:space="preserve"> Sludge Treatment Facility.</w:t>
      </w:r>
      <w:r>
        <w:t xml:space="preserve">  </w:t>
      </w:r>
      <w:r w:rsidR="00D202BD">
        <w:t>This risk assessment follows a standardised approach, namely:</w:t>
      </w:r>
    </w:p>
    <w:p w:rsidR="00D202BD" w:rsidP="009A1ABC" w:rsidRDefault="00D202BD" w14:paraId="387FD932" w14:textId="434B3BB1">
      <w:pPr>
        <w:pStyle w:val="BulletLevel1"/>
      </w:pPr>
      <w:r>
        <w:t>Hazard identification: what sources of bioaerosols are present</w:t>
      </w:r>
      <w:r w:rsidR="009A3E5B">
        <w:t xml:space="preserve"> on site</w:t>
      </w:r>
      <w:r>
        <w:t>.</w:t>
      </w:r>
    </w:p>
    <w:p w:rsidR="00D202BD" w:rsidP="009A1ABC" w:rsidRDefault="00D202BD" w14:paraId="1BBC163A" w14:textId="628A9364">
      <w:pPr>
        <w:pStyle w:val="BulletLevel1"/>
      </w:pPr>
      <w:r>
        <w:t>Exposure assessment: what are the mechanisms or pathways allowing bioaerosols to migrate off site and reach a</w:t>
      </w:r>
      <w:r w:rsidR="009A3E5B">
        <w:t xml:space="preserve"> sensitive</w:t>
      </w:r>
      <w:r>
        <w:t xml:space="preserve"> receptor; and</w:t>
      </w:r>
    </w:p>
    <w:p w:rsidR="00D202BD" w:rsidP="009A1ABC" w:rsidRDefault="00D202BD" w14:paraId="19AD785A" w14:textId="07F9FDAD">
      <w:pPr>
        <w:pStyle w:val="BulletLevel1"/>
      </w:pPr>
      <w:r>
        <w:t xml:space="preserve">Risk evaluation: who is potentially exposed to bioaerosols; what is the probability, magnitude, and duration of </w:t>
      </w:r>
      <w:r w:rsidR="009A3E5B">
        <w:t xml:space="preserve">that </w:t>
      </w:r>
      <w:r>
        <w:t xml:space="preserve">exposure. </w:t>
      </w:r>
    </w:p>
    <w:p w:rsidR="00D202BD" w:rsidP="00D202BD" w:rsidRDefault="00D202BD" w14:paraId="2EEEE0E6" w14:textId="77777777">
      <w:pPr>
        <w:pStyle w:val="BodyText"/>
      </w:pPr>
      <w:r>
        <w:t xml:space="preserve">The assessment describes: </w:t>
      </w:r>
    </w:p>
    <w:p w:rsidR="00D202BD" w:rsidP="009A1ABC" w:rsidRDefault="00D202BD" w14:paraId="1D36A6FB" w14:textId="459581C5">
      <w:pPr>
        <w:pStyle w:val="BulletLevel1"/>
      </w:pPr>
      <w:r>
        <w:t>The processing techniques and equipment used</w:t>
      </w:r>
      <w:r w:rsidR="009A3E5B">
        <w:t xml:space="preserve"> with</w:t>
      </w:r>
      <w:r w:rsidR="00F91D83">
        <w:t>in the installation</w:t>
      </w:r>
      <w:r>
        <w:t xml:space="preserve">. </w:t>
      </w:r>
    </w:p>
    <w:p w:rsidR="00D202BD" w:rsidP="009A1ABC" w:rsidRDefault="00D202BD" w14:paraId="54B0B357" w14:textId="4EC7126C">
      <w:pPr>
        <w:pStyle w:val="BulletLevel1"/>
      </w:pPr>
      <w:r>
        <w:t xml:space="preserve">Feedstock, tonnages processed and any seasonal variations. </w:t>
      </w:r>
    </w:p>
    <w:p w:rsidR="00D202BD" w:rsidP="009A1ABC" w:rsidRDefault="00F91D83" w14:paraId="19DCE760" w14:textId="55BBF363">
      <w:pPr>
        <w:pStyle w:val="BulletLevel1"/>
      </w:pPr>
      <w:r>
        <w:t>Potential s</w:t>
      </w:r>
      <w:r w:rsidR="00D202BD">
        <w:t xml:space="preserve">ources of bioaerosols. </w:t>
      </w:r>
    </w:p>
    <w:p w:rsidR="00D202BD" w:rsidP="009A1ABC" w:rsidRDefault="00D202BD" w14:paraId="4AA50E63" w14:textId="5C39C5D3">
      <w:pPr>
        <w:pStyle w:val="BulletLevel1"/>
      </w:pPr>
      <w:r>
        <w:t xml:space="preserve">The site layout, including </w:t>
      </w:r>
      <w:r w:rsidR="007652CD">
        <w:t>vegetation</w:t>
      </w:r>
      <w:r>
        <w:t xml:space="preserve"> around the site. </w:t>
      </w:r>
    </w:p>
    <w:p w:rsidR="00D202BD" w:rsidP="00C8735B" w:rsidRDefault="00D202BD" w14:paraId="3925D4DD" w14:textId="2F6710C3">
      <w:pPr>
        <w:pStyle w:val="BulletLevel1"/>
      </w:pPr>
      <w:r>
        <w:t>What is beyond the site boundaries and the location of sensitive receptors</w:t>
      </w:r>
      <w:r w:rsidR="00C8735B">
        <w:t>; and</w:t>
      </w:r>
    </w:p>
    <w:p w:rsidR="00D202BD" w:rsidP="009A1ABC" w:rsidRDefault="00D202BD" w14:paraId="7B640783" w14:textId="1FFACBE7">
      <w:pPr>
        <w:pStyle w:val="BulletLevel1"/>
      </w:pPr>
      <w:r>
        <w:t>Local wind direction data</w:t>
      </w:r>
      <w:r w:rsidR="00C8735B">
        <w:t>.</w:t>
      </w:r>
      <w:r>
        <w:t xml:space="preserve"> </w:t>
      </w:r>
    </w:p>
    <w:p w:rsidR="00D202BD" w:rsidP="00F91D83" w:rsidRDefault="00D202BD" w14:paraId="3E280188" w14:textId="1D5F8211">
      <w:pPr>
        <w:pStyle w:val="Heading2"/>
      </w:pPr>
      <w:bookmarkStart w:name="_Toc105503724" w:id="21"/>
      <w:bookmarkStart w:name="_Toc107998448" w:id="22"/>
      <w:bookmarkEnd w:id="21"/>
      <w:r>
        <w:t>Processing equipment and techniques</w:t>
      </w:r>
      <w:bookmarkEnd w:id="22"/>
    </w:p>
    <w:p w:rsidR="00D202BD" w:rsidP="00F91D83" w:rsidRDefault="00D202BD" w14:paraId="1FCF86CA" w14:textId="1D3E5244">
      <w:pPr>
        <w:pStyle w:val="Heading3"/>
      </w:pPr>
      <w:r>
        <w:t>Waste Reception</w:t>
      </w:r>
    </w:p>
    <w:p w:rsidR="00BF6AF0" w:rsidP="00D202BD" w:rsidRDefault="00BF6AF0" w14:paraId="31F12EEA" w14:textId="32021866">
      <w:pPr>
        <w:pStyle w:val="BodyText"/>
      </w:pPr>
      <w:r w:rsidRPr="009174A0">
        <w:t>The STC comprises an offloading point for permitted imported wastes which can be found at the entrance to the wider STW, outside of the perimeter fence.  These wastes are imported by road, normally from tankers and tanker vehicles, and consist of liquids and associated sludges from domestic and municipal sources that are similar in composition to those materials derived from the sewer network and managed via the UWWTD route</w:t>
      </w:r>
      <w:r w:rsidR="002E5F3C">
        <w:t>.</w:t>
      </w:r>
    </w:p>
    <w:p w:rsidRPr="00A76879" w:rsidR="002E5F3C" w:rsidP="002E5F3C" w:rsidRDefault="002E5F3C" w14:paraId="3E4C73E8" w14:textId="77777777">
      <w:pPr>
        <w:pStyle w:val="Para0"/>
        <w:jc w:val="both"/>
        <w:rPr>
          <w:rFonts w:asciiTheme="majorHAnsi" w:hAnsiTheme="majorHAnsi" w:cstheme="minorBidi"/>
          <w:szCs w:val="20"/>
          <w:lang w:eastAsia="en-GB"/>
        </w:rPr>
      </w:pPr>
      <w:r w:rsidRPr="00A76879">
        <w:rPr>
          <w:rFonts w:asciiTheme="majorHAnsi" w:hAnsiTheme="majorHAnsi" w:cstheme="minorBidi"/>
          <w:szCs w:val="20"/>
          <w:lang w:eastAsia="en-GB"/>
        </w:rPr>
        <w:t xml:space="preserve">The UWWTD treatment process is then followed, where the imported material passes through an inline muncher and passes through both a stone trap and screen in order to remove stones and inorganic material before entering a wet well.  The imported material then joins the incoming Maple Cross sewer before all of the material is pumped via the adjacent pumping station to the works inlet via a below ground sewer to a rising main at the head of the sewage treatment works.  The wet well is connected to an Odour Control Unit (OCU) to abate malodorous air generated.  </w:t>
      </w:r>
    </w:p>
    <w:p w:rsidR="00BF6AF0" w:rsidP="00D202BD" w:rsidRDefault="002C1C47" w14:paraId="2E3A46CD" w14:textId="41C9E752">
      <w:pPr>
        <w:pStyle w:val="BodyText"/>
      </w:pPr>
      <w:r w:rsidRPr="002C1C47">
        <w:t>At the head of the works, sewer derived materials from other pumping stations joins with the Maple Cross sewer and returns from the site drainage, passing through four screens which remove rags and other inorganic materials that are discharged into skips for offsite disposal, passes through detritors to remove grit and then passes into the Primary Settlement Tanks (PSTs) where it is subject to aerobic treatment.</w:t>
      </w:r>
    </w:p>
    <w:p w:rsidR="00BF6AF0" w:rsidP="00D202BD" w:rsidRDefault="005E4217" w14:paraId="7A4A6E49" w14:textId="071A9960">
      <w:pPr>
        <w:pStyle w:val="BodyText"/>
      </w:pPr>
      <w:r w:rsidR="005E4217">
        <w:rPr/>
        <w:t>Primary sludge is removed from the PSTs and can follow two routes for thickening</w:t>
      </w:r>
      <w:r w:rsidR="005E4217">
        <w:rPr/>
        <w:t xml:space="preserve">.  </w:t>
      </w:r>
      <w:r w:rsidR="005E4217">
        <w:rPr/>
        <w:t xml:space="preserve">The normal route is for sludge from the PSTs to be pumped through </w:t>
      </w:r>
      <w:r w:rsidR="005E4217">
        <w:rPr/>
        <w:t>a mainly aboveground</w:t>
      </w:r>
      <w:r w:rsidR="005E4217">
        <w:rPr/>
        <w:t xml:space="preserve"> sludge pipe to one of four Picket Fence Thickeners (PFTs) via a high-level distribution chamber</w:t>
      </w:r>
      <w:r w:rsidR="005E4217">
        <w:rPr/>
        <w:t xml:space="preserve">.  </w:t>
      </w:r>
      <w:r w:rsidR="00725B29">
        <w:rPr/>
        <w:t>Sludge gravitates from the high-level distribution chamber evenly between the four PFTs which are above ground tanks with a volume of 430 m3 each, are of steel construction on a raised concrete base</w:t>
      </w:r>
      <w:r w:rsidR="00725B29">
        <w:rPr/>
        <w:t xml:space="preserve">.  </w:t>
      </w:r>
      <w:r w:rsidR="00725B29">
        <w:rPr/>
        <w:t>The tanks are uncovered</w:t>
      </w:r>
      <w:r w:rsidR="00725B29">
        <w:rPr/>
        <w:t>.</w:t>
      </w:r>
      <w:r w:rsidR="0085220D">
        <w:rPr/>
        <w:t xml:space="preserve"> A rotating fence moves around the inside of the tank and sludge gravitates to the bottom of the tank where it is removed and pumped via a </w:t>
      </w:r>
      <w:r w:rsidR="0085220D">
        <w:rPr/>
        <w:t>muncher</w:t>
      </w:r>
      <w:r w:rsidR="0085220D">
        <w:rPr/>
        <w:t xml:space="preserve"> into the sludge reception tank through a partially subsurface sludge pipe</w:t>
      </w:r>
      <w:r w:rsidR="0085220D">
        <w:rPr/>
        <w:t xml:space="preserve">. </w:t>
      </w:r>
      <w:r w:rsidR="0085220D">
        <w:rPr/>
        <w:t xml:space="preserve"> </w:t>
      </w:r>
      <w:r w:rsidR="0085220D">
        <w:rPr>
          <w:rPrChange w:author="Carol Getting" w:date="2024-07-22T09:30:58.358Z" w:id="968659851"/>
        </w:rPr>
        <w:t>Sludge is then pumped by chopper pumps</w:t>
      </w:r>
      <w:r w:rsidR="0085220D">
        <w:rPr/>
        <w:t xml:space="preserve"> </w:t>
      </w:r>
      <w:r w:rsidR="0085220D">
        <w:rPr/>
        <w:t xml:space="preserve">to screens that remove </w:t>
      </w:r>
      <w:r w:rsidR="0085220D">
        <w:rPr/>
        <w:t>additional</w:t>
      </w:r>
      <w:r w:rsidR="0085220D">
        <w:rPr/>
        <w:t xml:space="preserve"> rag and inorganic material, and then the sludge passes into the sludge blending tank</w:t>
      </w:r>
      <w:r w:rsidR="0085220D">
        <w:rPr/>
        <w:t xml:space="preserve">.  </w:t>
      </w:r>
      <w:r w:rsidR="0085220D">
        <w:rPr/>
        <w:t>Sludge can also be pumped directly to the blending tank, if required</w:t>
      </w:r>
      <w:r w:rsidR="0085220D">
        <w:rPr/>
        <w:t xml:space="preserve">.  </w:t>
      </w:r>
      <w:r w:rsidR="0085220D">
        <w:rPr/>
        <w:t>Liquor from the tank weirs out of the tank and gravitates via site drainage to the inlet, downstream of the storm weir and is treated through the STW</w:t>
      </w:r>
      <w:r w:rsidR="0085220D">
        <w:rPr/>
        <w:t xml:space="preserve">.  </w:t>
      </w:r>
    </w:p>
    <w:p w:rsidR="0085220D" w:rsidP="00D202BD" w:rsidRDefault="00D329E8" w14:paraId="6D6576F4" w14:textId="5B8B6ACC">
      <w:pPr>
        <w:pStyle w:val="BodyText"/>
      </w:pPr>
      <w:r w:rsidRPr="00D329E8">
        <w:t xml:space="preserve">A second route for primary sludge, used when there is excess sludge being handled, is via a sludge buffer tank where sludge is sent to either the PFTs or to a drum thickener.  Some sludge is pumped to a drum thickener, </w:t>
      </w:r>
      <w:r w:rsidRPr="00D329E8">
        <w:t>which is located adjacent to the sludge buffer tank, and is dewatered with the addition of a polymer (from an Integrated Bulk Container (IBC)) to aid coagulation.  The liquors drain to the site drainage system where they are returned to the works for additional treatment.  Dewatered sludge is pumped to the sludge reception tank where it mixes with imported sludges.  Dewatered sludge can also be sent directly to the sludge blending tank, bypassing the sludge screens and sludge reception tank.  Some sludge is pumped to the PFTs with operations taking place as described above.</w:t>
      </w:r>
    </w:p>
    <w:p w:rsidR="001C6D7B" w:rsidP="00D202BD" w:rsidRDefault="001C6D7B" w14:paraId="56D0A0A1" w14:textId="376C3548">
      <w:pPr>
        <w:pStyle w:val="BodyText"/>
      </w:pPr>
      <w:r w:rsidRPr="001C6D7B">
        <w:t xml:space="preserve">SAS from the aeration lanes is pumped from the Return Activated Sludge (RAS) well to a SAS tank, where the sludge is drawn off the bottom and pumped to one of three belt thickeners located within the SAS dewatering building.  Liquors from the SAS tank weir over the tank and return to the RAS well.  The SAS belt thickeners dewater SAS with the addition of a polymer (from an IBC) to aid coagulation; polymer is made up in a polymer silo and is pumped to each belt separately.  Liquors from the process drain to a sump and are pumped back to the works for additional treatment.  Dewatered SAS is pumped to the sludge blending tank where it mixes with indigenous primary sludges and imported sludge.  </w:t>
      </w:r>
    </w:p>
    <w:p w:rsidRPr="006B4837" w:rsidR="00D202BD" w:rsidP="00D20DF0" w:rsidRDefault="00D202BD" w14:paraId="260CEE28" w14:textId="3B7D03CD">
      <w:pPr>
        <w:pStyle w:val="Heading3"/>
      </w:pPr>
      <w:r w:rsidRPr="006B4837">
        <w:t>Waste Treatment</w:t>
      </w:r>
    </w:p>
    <w:p w:rsidR="00455B95" w:rsidP="00D202BD" w:rsidRDefault="00455B95" w14:paraId="4D5DF1A1" w14:textId="4782754F">
      <w:pPr>
        <w:pStyle w:val="BodyText"/>
      </w:pPr>
      <w:r>
        <w:t>The permitted anaerobic digestion process begins where imported sludge, normally with a dry solid content greater than 2%, from other waste water treatment sites is imported via two import lines through a sludge logger and into the top of an imported sludge reception tank.</w:t>
      </w:r>
      <w:r w:rsidRPr="007A0EC5" w:rsidR="007A0EC5">
        <w:t xml:space="preserve"> The reception tank has a useable volume of 525m</w:t>
      </w:r>
      <w:r w:rsidRPr="174EE813" w:rsidR="00661A1A">
        <w:rPr>
          <w:vertAlign w:val="superscript"/>
        </w:rPr>
        <w:t>3</w:t>
      </w:r>
      <w:r w:rsidRPr="007A0EC5" w:rsidR="007A0EC5">
        <w:t xml:space="preserve">, is an aboveground tank of steel construction.  The </w:t>
      </w:r>
      <w:r w:rsidRPr="00B63744" w:rsidR="007A0EC5">
        <w:t>reception tank is uncovered and not connected to any odour abatement.</w:t>
      </w:r>
      <w:r w:rsidRPr="007A0EC5" w:rsidR="007A0EC5">
        <w:t xml:space="preserve">  Sludge is then pumped through chopper pumps to screens which removes additional rag and inorganic material and then the sludge passes into the sludge blending tank.  </w:t>
      </w:r>
    </w:p>
    <w:p w:rsidR="00455B95" w:rsidP="00D202BD" w:rsidRDefault="00CB3427" w14:paraId="5F0E1F45" w14:textId="175631F2">
      <w:pPr>
        <w:pStyle w:val="BodyText"/>
      </w:pPr>
      <w:r w:rsidRPr="00CB3427">
        <w:t>The sludge blending tank is an aboveground, uncovered tank of steel construction that receives indigenous primary sludge, SAS and imported sludge fitted with air mixing to prevent settling of sludge.  It has a useable volume of 1,050m</w:t>
      </w:r>
      <w:r w:rsidRPr="174EE813" w:rsidR="00661A1A">
        <w:rPr>
          <w:vertAlign w:val="superscript"/>
        </w:rPr>
        <w:t>3</w:t>
      </w:r>
      <w:r w:rsidRPr="00CB3427">
        <w:t xml:space="preserve">.  Sludge is received into the top of the tank and is removed via pumps from a sump in the base of the tank.  There are three pumps which transfers sludge via a subsurface pipe with one duty pump for primary digester tanks 1-4, one duty pump for primary digester tanks 5-8 and one standby pump that can be configured to feed either set of digesters.  </w:t>
      </w:r>
    </w:p>
    <w:p w:rsidR="00455B95" w:rsidP="00D202BD" w:rsidRDefault="009F4D1E" w14:paraId="44062D5D" w14:textId="262B3426">
      <w:pPr>
        <w:pStyle w:val="BodyText"/>
      </w:pPr>
      <w:r>
        <w:t>There are eight floating roof primary digester tanks at Maple Cross STC with an operational digester volume of 3,407m</w:t>
      </w:r>
      <w:r w:rsidRPr="174EE813">
        <w:rPr>
          <w:vertAlign w:val="superscript"/>
        </w:rPr>
        <w:t>3</w:t>
      </w:r>
      <w:r>
        <w:t xml:space="preserve"> each, giving a total digester volume of 27,256m</w:t>
      </w:r>
      <w:r w:rsidRPr="174EE813">
        <w:rPr>
          <w:vertAlign w:val="superscript"/>
        </w:rPr>
        <w:t>3</w:t>
      </w:r>
      <w:r>
        <w:t xml:space="preserve">.  </w:t>
      </w:r>
      <w:r w:rsidR="00430D5C">
        <w:t>All eight tanks are of concrete construction that extend slightly subsurface with a slightly conical base.</w:t>
      </w:r>
    </w:p>
    <w:p w:rsidR="00E649A3" w:rsidP="00D202BD" w:rsidRDefault="00E649A3" w14:paraId="1DC35FCC" w14:textId="5AF33FB6">
      <w:pPr>
        <w:pStyle w:val="BodyText"/>
      </w:pPr>
      <w:r>
        <w:t xml:space="preserve">Sludge is pumped from the </w:t>
      </w:r>
      <w:r w:rsidRPr="003549D6">
        <w:t>sludge blending tank in turn into the bottom of each tank in turn via a subsurface sludge line, controlled by the SCADA system, to a maximum of 190m</w:t>
      </w:r>
      <w:r w:rsidRPr="003549D6">
        <w:rPr>
          <w:vertAlign w:val="superscript"/>
        </w:rPr>
        <w:t xml:space="preserve">3 </w:t>
      </w:r>
      <w:r w:rsidRPr="003549D6">
        <w:t>of sludge per day.  Sludge pumped to digester tanks 5-8 passes above an engineered surface water channel (known as ‘Flakes Channel’, which was the former STW outfall) within a sludge pipeline.  External heat is supplied via four heat exchanges per digester tank to maintain digester temperatures, with the heat normally supplied via heat from the CHP engines but this can be supplemented by heat from auxiliary boilers, as required</w:t>
      </w:r>
      <w:r>
        <w:t>.</w:t>
      </w:r>
    </w:p>
    <w:p w:rsidRPr="003549D6" w:rsidR="00AB6889" w:rsidP="00AB6889" w:rsidRDefault="00AB6889" w14:paraId="5DA527FE" w14:textId="77777777">
      <w:pPr>
        <w:pStyle w:val="Para0"/>
        <w:jc w:val="both"/>
      </w:pPr>
      <w:r w:rsidRPr="003549D6">
        <w:t xml:space="preserve">After approximately 21 days residence time, digested sludge weirs out of each tank, gravitates to Pumping Station 2 and is pumped to the secondary digester tanks via a subsurface sludge pipe.  Sludge from digester tanks 5-8 passes back above an engineered surface water channel in a sludge pipeline.  </w:t>
      </w:r>
    </w:p>
    <w:p w:rsidR="00AB6889" w:rsidP="00D202BD" w:rsidRDefault="00A03DE6" w14:paraId="0260FBB6" w14:textId="17AA2599">
      <w:pPr>
        <w:pStyle w:val="BodyText"/>
      </w:pPr>
      <w:r w:rsidRPr="00A03DE6">
        <w:t xml:space="preserve">There are a total of 14 tanks (in two rows of seven), of which nine are routinely used as secondary digester tanks, two are routinely used as centrifuge holding tanks and three are not normally used.  </w:t>
      </w:r>
      <w:r w:rsidRPr="00D9369C" w:rsidR="00D9369C">
        <w:t>Sludge has a residence time of approximately six days and is subject to air mixing.  Each tank is an aboveground, concrete tank that is unenclosed and extends slightly subsurface.  Dewatering valves are present on the sides of the tanks but have been decommissioned</w:t>
      </w:r>
      <w:r w:rsidR="009B0E2E">
        <w:t>.</w:t>
      </w:r>
    </w:p>
    <w:p w:rsidR="00211F56" w:rsidP="00D202BD" w:rsidRDefault="009B0E2E" w14:paraId="0D6DBAD4" w14:textId="625F3E9D">
      <w:pPr>
        <w:pStyle w:val="BodyText"/>
      </w:pPr>
      <w:r w:rsidRPr="009B0E2E">
        <w:t xml:space="preserve">After the appropriate duration to ensure the necessary level of pathogen removal, sludge is automatically discharged from the tank via gravity to tank number 5 – this is hydraulically link with tank number 7 – and the sludge is evenly distributed between tanks numbers 5 and 7.  Digested sludge is pumped from tank number 7 to the site centrifuges for dewatering.  </w:t>
      </w:r>
    </w:p>
    <w:p w:rsidR="00211F56" w:rsidP="00D202BD" w:rsidRDefault="00211F56" w14:paraId="67C9D2DB" w14:textId="61F1E4AE">
      <w:pPr>
        <w:pStyle w:val="BodyText"/>
      </w:pPr>
      <w:r w:rsidRPr="00211F56">
        <w:t xml:space="preserve">Pumps feed sludge, via macerators, through a common line to the duty centrifuge which is manually selected by the Process Controller.  There are two centrifuges which operate independently to dewater digested sludge with the use of a polymer to aid coagulation.  Polymer powder is delivered by bulk tankers and blown into a </w:t>
      </w:r>
      <w:r w:rsidRPr="00211F56">
        <w:t xml:space="preserve">25 tonne bunded bulk polymer silo.  It is then mixed with water within a mixing tank and stored in a dosing tank before being pumped to each centrifuge individually.  </w:t>
      </w:r>
    </w:p>
    <w:p w:rsidRPr="00ED148D" w:rsidR="00ED148D" w:rsidP="00ED148D" w:rsidRDefault="00ED148D" w14:paraId="47FA80D0" w14:textId="77777777">
      <w:pPr>
        <w:pStyle w:val="BodyText"/>
        <w:rPr>
          <w:color w:val="7875EC" w:themeColor="accent1" w:themeTint="99"/>
        </w:rPr>
      </w:pPr>
      <w:r w:rsidRPr="00ED148D">
        <w:t>Biogas is combusted within one of the two CHP engines at the site, generated electricity is used within the site and exported to the National Grid.  Heat generated by the CHP engines is used to maintain primary digester temperatures via heat exchange with auxiliary boilers available to provide additional heating as required.  Boilers are dual fuelled by both biogas and fuel oil.  CHP engines are classified as ‘existing’ combustion plant under the Medium Combustion Plant Directive.  In the event there is excess biogas, i.e. more than the CHP engines or boilers can utilise, or in the event that the CHP engines or boilers are unavailable, there are two ground mounted emergency flares. These are utilised under 10% of the year or less than 876 hours per year</w:t>
      </w:r>
      <w:r w:rsidRPr="00ED148D">
        <w:rPr>
          <w:color w:val="7875EC" w:themeColor="accent1" w:themeTint="99"/>
        </w:rPr>
        <w:t>.</w:t>
      </w:r>
    </w:p>
    <w:p w:rsidRPr="00ED148D" w:rsidR="00ED148D" w:rsidP="00ED148D" w:rsidRDefault="00ED148D" w14:paraId="4EE2B535" w14:textId="77777777">
      <w:pPr>
        <w:pStyle w:val="BodyText"/>
      </w:pPr>
      <w:r w:rsidRPr="00ED148D">
        <w:t>Two gas oil fuelled standby generators are available at the site to provide back-up electricity in the case of failure of the grid.  They operate less than 50 hours per year and are currently permitted as a ‘new’ Medium Combustion Plant, although they are excluded generators.</w:t>
      </w:r>
    </w:p>
    <w:p w:rsidRPr="003C1613" w:rsidR="008A07D4" w:rsidP="003C1613" w:rsidRDefault="00D202BD" w14:paraId="2730FF01" w14:textId="37CC68B3">
      <w:pPr>
        <w:pStyle w:val="BodyText"/>
      </w:pPr>
      <w:r w:rsidRPr="003C1613">
        <w:t xml:space="preserve">Odorous air from </w:t>
      </w:r>
      <w:r w:rsidRPr="003C1613" w:rsidR="00ED148D">
        <w:t>the wet well</w:t>
      </w:r>
      <w:r w:rsidRPr="003C1613" w:rsidR="00A27DF7">
        <w:t>/cess tank</w:t>
      </w:r>
      <w:r w:rsidRPr="003C1613" w:rsidR="00FC180E">
        <w:t>er</w:t>
      </w:r>
      <w:r w:rsidRPr="003C1613" w:rsidR="008A07D4">
        <w:t xml:space="preserve"> is </w:t>
      </w:r>
      <w:r w:rsidRPr="003C1613">
        <w:t xml:space="preserve">continuously extracted to an Odour Control Unit (OCU). </w:t>
      </w:r>
      <w:r w:rsidRPr="003C1613" w:rsidR="003C1613">
        <w:t xml:space="preserve">Air is filtered through an irrigated lava rock bio-filter using one direct drive fan pre-bio-filter, and then passes up a short stack. Extraction is from the pump station outside the front gate </w:t>
      </w:r>
      <w:r w:rsidRPr="003C1613">
        <w:t xml:space="preserve">before it is released to the atmosphere. </w:t>
      </w:r>
    </w:p>
    <w:p w:rsidRPr="003C1613" w:rsidR="0045544E" w:rsidP="008A07D4" w:rsidRDefault="0045544E" w14:paraId="69CBEFB8" w14:textId="080DF89A">
      <w:pPr>
        <w:pStyle w:val="BodyText"/>
      </w:pPr>
      <w:r w:rsidRPr="003C1613">
        <w:t>Biofilters are considered to be a potential emission source for bioaerosols. Scrubbers are unable to remove 100% of bioaerosols, so in any location where there is a biofilter there is still the potential for bioaerosol emission, however it is expected to be minimal.</w:t>
      </w:r>
    </w:p>
    <w:p w:rsidRPr="00911FF8" w:rsidR="00D202BD" w:rsidP="007E55D2" w:rsidRDefault="00D202BD" w14:paraId="16C8F8D2" w14:textId="58BC853C">
      <w:pPr>
        <w:pStyle w:val="Heading3"/>
      </w:pPr>
      <w:r w:rsidRPr="00911FF8">
        <w:t>Digest</w:t>
      </w:r>
      <w:r w:rsidRPr="00911FF8" w:rsidR="00B7761A">
        <w:t>ed</w:t>
      </w:r>
      <w:r w:rsidRPr="00911FF8">
        <w:t xml:space="preserve"> cake</w:t>
      </w:r>
    </w:p>
    <w:p w:rsidR="006D7247" w:rsidP="006D7247" w:rsidRDefault="00122C51" w14:paraId="065708FD" w14:textId="77777777">
      <w:pPr>
        <w:pStyle w:val="BodyText"/>
      </w:pPr>
      <w:r w:rsidRPr="00122C51">
        <w:t xml:space="preserve">Digested sludge cake is conveyed to the adjacent open cake pad, dropping off the conveyor and being moved by shovel loading vehicles to the far side of the cake pad as required.  Centrate drains from the centrifuge to a wet well.  </w:t>
      </w:r>
      <w:r w:rsidR="006D7247">
        <w:t xml:space="preserve">The cake pad is an engineered concrete pad that is enclosed on all sides by a low-level wall but open to the air.  </w:t>
      </w:r>
    </w:p>
    <w:p w:rsidR="006D7247" w:rsidP="006D7247" w:rsidRDefault="006D7247" w14:paraId="35E6F7A9" w14:textId="77777777">
      <w:pPr>
        <w:pStyle w:val="BodyText"/>
      </w:pPr>
      <w:r>
        <w:t xml:space="preserve">Gully drainage channels prevent run off through the vehicle entrance/exit and the pad falls towards the far side where drainage holes direct runoff to the centrate sump, where along with centrate from the two centrifuges, liquors are pumped back to the works inlet for further treatment through the aerobic process.  </w:t>
      </w:r>
    </w:p>
    <w:p w:rsidR="006D7247" w:rsidP="006D7247" w:rsidRDefault="006D7247" w14:paraId="4002123D" w14:textId="77777777">
      <w:pPr>
        <w:pStyle w:val="BodyText"/>
      </w:pPr>
      <w:r>
        <w:t xml:space="preserve">Digested sludge cake is removed from the site by lorry and is subject to removal from site under the Sludge Use in Agriculture Regulations 1989 (SUiAR), and in accordance with the BAS. Digested sludge cake is collected from site every few days and the exiting lorries pass through a wheel wash before leaving the cake pad area and wider STW.  </w:t>
      </w:r>
    </w:p>
    <w:p w:rsidR="006D7247" w:rsidP="006D7247" w:rsidRDefault="006D7247" w14:paraId="51C5B25D" w14:textId="77777777">
      <w:pPr>
        <w:pStyle w:val="BodyText"/>
      </w:pPr>
      <w:r>
        <w:t xml:space="preserve">The risk of bioaerosols from the cake pad is considered to be low due to the lack of proximity of sensitive receptors where people live or work for more than 6 hours at a time.  Although there are commercial premises (a visitors building for the TWUL owned adjacent nature reserve) and the cess/waste import point within 250 m of the cake pad, receptors will only be at these locations for short durations of time.  The nearest residential receptors are over 400 m away.  </w:t>
      </w:r>
    </w:p>
    <w:p w:rsidR="00122C51" w:rsidP="001F57B0" w:rsidRDefault="006D7247" w14:paraId="361D47BD" w14:textId="1516091B">
      <w:pPr>
        <w:pStyle w:val="BodyText"/>
      </w:pPr>
      <w:r>
        <w:t>Anaerobic digestion of sludge takes place within a closed system, so the risk of bioaerosols from this source is low.</w:t>
      </w:r>
    </w:p>
    <w:p w:rsidR="000574F4" w:rsidP="000574F4" w:rsidRDefault="000574F4" w14:paraId="7AF06295" w14:textId="0BAE4403">
      <w:pPr>
        <w:pStyle w:val="Heading3"/>
      </w:pPr>
      <w:r>
        <w:t>Odour Control Units</w:t>
      </w:r>
    </w:p>
    <w:p w:rsidR="000574F4" w:rsidP="000574F4" w:rsidRDefault="000574F4" w14:paraId="3773CC1B" w14:textId="7950754B">
      <w:pPr>
        <w:pStyle w:val="BodyText"/>
      </w:pPr>
      <w:r>
        <w:t>Sewage treatment works have a number of potentially odorous sources within the</w:t>
      </w:r>
      <w:r w:rsidR="003F1202">
        <w:t>ir boundary. During site assessment and design, some of these sources may be linked to odour control units</w:t>
      </w:r>
      <w:r w:rsidR="00585ED5">
        <w:t xml:space="preserve"> (OCUs)</w:t>
      </w:r>
      <w:r w:rsidR="003F1202">
        <w:t xml:space="preserve"> to treat potentially odorous compounds given off by the process. These units take air extracted from above tanks or process areas, and treat </w:t>
      </w:r>
      <w:r w:rsidR="00720EF5">
        <w:t xml:space="preserve">the odours compounds by means of different methodologies dependent upon the nature of the odours compounds. Treatment </w:t>
      </w:r>
      <w:r w:rsidRPr="006A2C36" w:rsidR="00720EF5">
        <w:t>methodologies include activated carbon systems</w:t>
      </w:r>
      <w:r w:rsidRPr="006A2C36" w:rsidR="00585ED5">
        <w:t>;</w:t>
      </w:r>
      <w:r w:rsidRPr="006A2C36" w:rsidR="00720EF5">
        <w:t xml:space="preserve"> biofilters or other</w:t>
      </w:r>
      <w:r w:rsidRPr="006A2C36" w:rsidR="00585ED5">
        <w:t xml:space="preserve"> biological treatment; and chemical scrubbing</w:t>
      </w:r>
      <w:r w:rsidR="00585ED5">
        <w:t>. Individual OCUs may use one or more of these methodologies in series.</w:t>
      </w:r>
    </w:p>
    <w:p w:rsidR="00585ED5" w:rsidP="000574F4" w:rsidRDefault="00585ED5" w14:paraId="1EB0BD2D" w14:textId="6E4CBF64">
      <w:pPr>
        <w:pStyle w:val="BodyText"/>
      </w:pPr>
      <w:r>
        <w:t xml:space="preserve">Under the M9 guidance documents, the Environment Agency has identified that biofilters may give rise </w:t>
      </w:r>
      <w:r w:rsidR="00BA0D60">
        <w:t xml:space="preserve">to bioaerosols during operation. </w:t>
      </w:r>
      <w:r w:rsidR="00A0052B">
        <w:t xml:space="preserve"> Biofilters are considered to be a potential emission source for bioaerosols, whether used in isolation or with a second methodology.</w:t>
      </w:r>
    </w:p>
    <w:p w:rsidR="00B7761A" w:rsidP="00B7761A" w:rsidRDefault="00B7761A" w14:paraId="0F1B08AE" w14:textId="77777777">
      <w:pPr>
        <w:pStyle w:val="Heading3"/>
      </w:pPr>
      <w:r>
        <w:t>Seasonality</w:t>
      </w:r>
    </w:p>
    <w:p w:rsidR="00B7761A" w:rsidP="00B7761A" w:rsidRDefault="00B7761A" w14:paraId="1B28B92E" w14:textId="36BECA47">
      <w:pPr>
        <w:pStyle w:val="BodyText"/>
      </w:pPr>
      <w:r>
        <w:t xml:space="preserve">Sewage treatment is undertaken at the STC on a continuous </w:t>
      </w:r>
      <w:r w:rsidRPr="00A0052B">
        <w:t xml:space="preserve">basis, 24 hours a day 365 days of </w:t>
      </w:r>
      <w:r>
        <w:t xml:space="preserve">the year. </w:t>
      </w:r>
      <w:r w:rsidR="007F7C54">
        <w:t xml:space="preserve">Digested sludge </w:t>
      </w:r>
      <w:r>
        <w:t>cake is, therefore, produced daily and at similar levels across the whole year.</w:t>
      </w:r>
    </w:p>
    <w:p w:rsidR="00B7761A" w:rsidP="00B7761A" w:rsidRDefault="00B7761A" w14:paraId="51D0A6F5" w14:textId="21BCF4C2">
      <w:pPr>
        <w:pStyle w:val="BodyText"/>
      </w:pPr>
      <w:r>
        <w:t xml:space="preserve">However, </w:t>
      </w:r>
      <w:r w:rsidR="007F7C54">
        <w:t xml:space="preserve">digested sludge </w:t>
      </w:r>
      <w:r>
        <w:t xml:space="preserve">cake storage on site, both in relation to duration and volume, varies across time. </w:t>
      </w:r>
      <w:r w:rsidR="007F7C54">
        <w:t xml:space="preserve">Digested sludge cake </w:t>
      </w:r>
      <w:r>
        <w:t>is removed from site for spreading to land. Land spreading is controlled under the Biosolids Assurance Scheme and Sludge Use in Agriculture Regulations (1989)</w:t>
      </w:r>
      <w:r w:rsidR="001E1F6D">
        <w:t xml:space="preserve">, as well as the Farming Rules for Water. As such, </w:t>
      </w:r>
      <w:r w:rsidR="007F7C54">
        <w:t xml:space="preserve">digested </w:t>
      </w:r>
      <w:r w:rsidR="001E1F6D">
        <w:t xml:space="preserve">sludge </w:t>
      </w:r>
      <w:r w:rsidR="007F7C54">
        <w:t xml:space="preserve">cake </w:t>
      </w:r>
      <w:r w:rsidR="001E1F6D">
        <w:t xml:space="preserve">will remain on site longer during wet periods and </w:t>
      </w:r>
      <w:r w:rsidR="009C72F0">
        <w:t xml:space="preserve">during autumn and winter periods where there would be limited uptake of </w:t>
      </w:r>
      <w:r w:rsidR="007D6CF5">
        <w:t xml:space="preserve">nutrients from the solids. This means that there will be more </w:t>
      </w:r>
      <w:r w:rsidR="007F7C54">
        <w:t xml:space="preserve">digested sludge </w:t>
      </w:r>
      <w:r w:rsidR="007D6CF5">
        <w:t>cake within the storage bays during the autumn and winter, under normal conditions, than during the summer period.</w:t>
      </w:r>
    </w:p>
    <w:p w:rsidR="00D202BD" w:rsidP="00B7761A" w:rsidRDefault="00244CAB" w14:paraId="29BF775A" w14:textId="64E00FC2">
      <w:pPr>
        <w:pStyle w:val="Heading2"/>
      </w:pPr>
      <w:bookmarkStart w:name="_Toc107998449" w:id="23"/>
      <w:r>
        <w:t xml:space="preserve">Potential </w:t>
      </w:r>
      <w:r w:rsidR="00D202BD">
        <w:t>Sources</w:t>
      </w:r>
      <w:bookmarkEnd w:id="23"/>
    </w:p>
    <w:p w:rsidR="00D202BD" w:rsidP="00D202BD" w:rsidRDefault="00D202BD" w14:paraId="315281F3" w14:textId="2C916D83">
      <w:pPr>
        <w:pStyle w:val="BodyText"/>
      </w:pPr>
      <w:r>
        <w:t xml:space="preserve">There are </w:t>
      </w:r>
      <w:r w:rsidR="00F54A3A">
        <w:t>thirteen</w:t>
      </w:r>
      <w:r>
        <w:t xml:space="preserve"> point-source emissions to air from the process</w:t>
      </w:r>
      <w:r w:rsidR="001B716A">
        <w:t>es within the installation boundary</w:t>
      </w:r>
      <w:r>
        <w:t>, at the following locations</w:t>
      </w:r>
      <w:r w:rsidR="00865602">
        <w:t xml:space="preserve"> as described in the main permit</w:t>
      </w:r>
      <w:r w:rsidR="001B716A">
        <w:t xml:space="preserve">. </w:t>
      </w:r>
      <w:r w:rsidRPr="00C1760D" w:rsidR="001B716A">
        <w:t xml:space="preserve">The </w:t>
      </w:r>
      <w:r w:rsidRPr="00C1760D" w:rsidR="00CB4902">
        <w:t>references and source descriptions match those in the permit</w:t>
      </w:r>
      <w:r w:rsidRPr="00C1760D">
        <w:t>:</w:t>
      </w:r>
      <w:r>
        <w:t xml:space="preserve"> </w:t>
      </w:r>
    </w:p>
    <w:p w:rsidR="007F0DCE" w:rsidP="00D202BD" w:rsidRDefault="007F0DCE" w14:paraId="3A66F4FA" w14:textId="0BA6636E">
      <w:pPr>
        <w:pStyle w:val="BodyText"/>
      </w:pPr>
      <w:r>
        <w:t>Table 1: Point source emissions to air</w:t>
      </w:r>
    </w:p>
    <w:tbl>
      <w:tblPr>
        <w:tblStyle w:val="JacobsTable1accentprimarythemes"/>
        <w:tblW w:w="5000" w:type="pct"/>
        <w:tblLook w:val="04A0" w:firstRow="1" w:lastRow="0" w:firstColumn="1" w:lastColumn="0" w:noHBand="0" w:noVBand="1"/>
      </w:tblPr>
      <w:tblGrid>
        <w:gridCol w:w="2224"/>
        <w:gridCol w:w="3707"/>
        <w:gridCol w:w="3707"/>
      </w:tblGrid>
      <w:tr w:rsidRPr="009A1ABC" w:rsidR="00403D0C" w:rsidTr="00403D0C" w14:paraId="091660A7" w14:textId="73C26A5D">
        <w:trPr>
          <w:cnfStyle w:val="100000000000" w:firstRow="1" w:lastRow="0" w:firstColumn="0" w:lastColumn="0" w:oddVBand="0" w:evenVBand="0" w:oddHBand="0" w:evenHBand="0" w:firstRowFirstColumn="0" w:firstRowLastColumn="0" w:lastRowFirstColumn="0" w:lastRowLastColumn="0"/>
        </w:trPr>
        <w:tc>
          <w:tcPr>
            <w:tcW w:w="1154" w:type="pct"/>
          </w:tcPr>
          <w:p w:rsidRPr="009A1ABC" w:rsidR="00403D0C" w:rsidP="00D202BD" w:rsidRDefault="00403D0C" w14:paraId="0D56CA5E" w14:textId="0810A2CC">
            <w:pPr>
              <w:pStyle w:val="BodyText"/>
              <w:rPr>
                <w:rFonts w:cstheme="minorHAnsi"/>
                <w:sz w:val="20"/>
              </w:rPr>
            </w:pPr>
            <w:r w:rsidRPr="009A1ABC">
              <w:rPr>
                <w:rFonts w:cstheme="minorHAnsi"/>
                <w:sz w:val="20"/>
              </w:rPr>
              <w:t>Air emission reference</w:t>
            </w:r>
          </w:p>
        </w:tc>
        <w:tc>
          <w:tcPr>
            <w:tcW w:w="1923" w:type="pct"/>
          </w:tcPr>
          <w:p w:rsidRPr="009A1ABC" w:rsidR="00403D0C" w:rsidP="00D202BD" w:rsidRDefault="00403D0C" w14:paraId="559E3B48" w14:textId="6C659B5D">
            <w:pPr>
              <w:pStyle w:val="BodyText"/>
              <w:rPr>
                <w:rFonts w:cstheme="minorHAnsi"/>
                <w:sz w:val="20"/>
              </w:rPr>
            </w:pPr>
            <w:r w:rsidRPr="009A1ABC">
              <w:rPr>
                <w:rFonts w:cstheme="minorHAnsi"/>
                <w:sz w:val="20"/>
              </w:rPr>
              <w:t>Source</w:t>
            </w:r>
          </w:p>
        </w:tc>
        <w:tc>
          <w:tcPr>
            <w:tcW w:w="1923" w:type="pct"/>
          </w:tcPr>
          <w:p w:rsidRPr="009A1ABC" w:rsidR="00403D0C" w:rsidP="00D202BD" w:rsidRDefault="00403D0C" w14:paraId="0477560B" w14:textId="57B01AFB">
            <w:pPr>
              <w:pStyle w:val="BodyText"/>
              <w:rPr>
                <w:rFonts w:cstheme="minorHAnsi"/>
              </w:rPr>
            </w:pPr>
            <w:r>
              <w:rPr>
                <w:rFonts w:cstheme="minorHAnsi"/>
              </w:rPr>
              <w:t>In scope</w:t>
            </w:r>
            <w:r w:rsidR="00A0052B">
              <w:rPr>
                <w:rFonts w:cstheme="minorHAnsi"/>
              </w:rPr>
              <w:t xml:space="preserve"> as a source</w:t>
            </w:r>
            <w:r>
              <w:rPr>
                <w:rFonts w:cstheme="minorHAnsi"/>
              </w:rPr>
              <w:t>?</w:t>
            </w:r>
          </w:p>
        </w:tc>
      </w:tr>
      <w:tr w:rsidRPr="009A1ABC" w:rsidR="00403D0C" w:rsidTr="00403D0C" w14:paraId="65D7B9BE" w14:textId="3CFDD4E4">
        <w:tc>
          <w:tcPr>
            <w:tcW w:w="1154" w:type="pct"/>
          </w:tcPr>
          <w:p w:rsidRPr="009A1ABC" w:rsidR="00403D0C" w:rsidP="00A77110" w:rsidRDefault="00403D0C" w14:paraId="672C4E75" w14:textId="47586809">
            <w:pPr>
              <w:pStyle w:val="BodyText"/>
              <w:rPr>
                <w:rFonts w:cstheme="minorHAnsi"/>
                <w:sz w:val="20"/>
              </w:rPr>
            </w:pPr>
            <w:r w:rsidRPr="009A1ABC">
              <w:rPr>
                <w:rFonts w:cstheme="minorHAnsi"/>
                <w:sz w:val="20"/>
              </w:rPr>
              <w:t>A</w:t>
            </w:r>
            <w:r w:rsidR="00F54A3A">
              <w:rPr>
                <w:rFonts w:cstheme="minorHAnsi"/>
                <w:sz w:val="20"/>
              </w:rPr>
              <w:t>5a</w:t>
            </w:r>
          </w:p>
        </w:tc>
        <w:tc>
          <w:tcPr>
            <w:tcW w:w="1923" w:type="pct"/>
          </w:tcPr>
          <w:p w:rsidRPr="009A1ABC" w:rsidR="00403D0C" w:rsidP="00A77110" w:rsidRDefault="00587EA0" w14:paraId="29CACFCC" w14:textId="697846BE">
            <w:pPr>
              <w:pStyle w:val="BodyText"/>
              <w:rPr>
                <w:rFonts w:cstheme="minorHAnsi"/>
                <w:sz w:val="20"/>
              </w:rPr>
            </w:pPr>
            <w:r>
              <w:rPr>
                <w:rFonts w:cstheme="minorHAnsi"/>
                <w:sz w:val="20"/>
              </w:rPr>
              <w:t>Boiler 2a</w:t>
            </w:r>
          </w:p>
        </w:tc>
        <w:tc>
          <w:tcPr>
            <w:tcW w:w="1923" w:type="pct"/>
          </w:tcPr>
          <w:p w:rsidRPr="001460D8" w:rsidR="00403D0C" w:rsidP="001460D8" w:rsidRDefault="000B49CE" w14:paraId="70DCF99B" w14:textId="4734F97E">
            <w:pPr>
              <w:pStyle w:val="BodyText"/>
              <w:jc w:val="center"/>
              <w:rPr>
                <w:rFonts w:cstheme="minorHAnsi"/>
                <w:b/>
                <w:bCs/>
              </w:rPr>
            </w:pPr>
            <w:r>
              <w:rPr>
                <w:rFonts w:cstheme="minorHAnsi"/>
                <w:b/>
                <w:bCs/>
              </w:rPr>
              <w:t>x</w:t>
            </w:r>
          </w:p>
        </w:tc>
      </w:tr>
      <w:tr w:rsidRPr="009A1ABC" w:rsidR="00587EA0" w:rsidTr="00403D0C" w14:paraId="587D792F" w14:textId="4B4CE60E">
        <w:tc>
          <w:tcPr>
            <w:tcW w:w="1154" w:type="pct"/>
          </w:tcPr>
          <w:p w:rsidRPr="009A1ABC" w:rsidR="00587EA0" w:rsidP="00587EA0" w:rsidRDefault="00587EA0" w14:paraId="1FFDA4C9" w14:textId="00745423">
            <w:pPr>
              <w:pStyle w:val="BodyText"/>
              <w:rPr>
                <w:rFonts w:cstheme="minorHAnsi"/>
                <w:sz w:val="20"/>
              </w:rPr>
            </w:pPr>
            <w:r w:rsidRPr="009A1ABC">
              <w:rPr>
                <w:rFonts w:cstheme="minorHAnsi"/>
                <w:sz w:val="20"/>
              </w:rPr>
              <w:t>A</w:t>
            </w:r>
            <w:r w:rsidR="00535180">
              <w:rPr>
                <w:rFonts w:cstheme="minorHAnsi"/>
                <w:sz w:val="20"/>
              </w:rPr>
              <w:t>5b</w:t>
            </w:r>
          </w:p>
        </w:tc>
        <w:tc>
          <w:tcPr>
            <w:tcW w:w="1923" w:type="pct"/>
          </w:tcPr>
          <w:p w:rsidRPr="00C94A43" w:rsidR="00587EA0" w:rsidP="00587EA0" w:rsidRDefault="00587EA0" w14:paraId="60A78909" w14:textId="09CC75E5">
            <w:pPr>
              <w:pStyle w:val="BodyText"/>
              <w:rPr>
                <w:rFonts w:cstheme="minorHAnsi"/>
                <w:color w:val="92D050"/>
                <w:sz w:val="20"/>
              </w:rPr>
            </w:pPr>
            <w:r>
              <w:rPr>
                <w:rFonts w:cstheme="minorHAnsi"/>
                <w:sz w:val="20"/>
              </w:rPr>
              <w:t>Boiler 2b</w:t>
            </w:r>
          </w:p>
        </w:tc>
        <w:tc>
          <w:tcPr>
            <w:tcW w:w="1923" w:type="pct"/>
          </w:tcPr>
          <w:p w:rsidRPr="001460D8" w:rsidR="00587EA0" w:rsidP="00587EA0" w:rsidRDefault="000B49CE" w14:paraId="60228006" w14:textId="2203B88F">
            <w:pPr>
              <w:pStyle w:val="BodyText"/>
              <w:jc w:val="center"/>
              <w:rPr>
                <w:rFonts w:cstheme="minorHAnsi"/>
                <w:b/>
                <w:bCs/>
              </w:rPr>
            </w:pPr>
            <w:r>
              <w:rPr>
                <w:rFonts w:cstheme="minorHAnsi"/>
                <w:b/>
                <w:bCs/>
              </w:rPr>
              <w:t>x</w:t>
            </w:r>
          </w:p>
        </w:tc>
      </w:tr>
      <w:tr w:rsidRPr="009A1ABC" w:rsidR="000B49CE" w:rsidTr="00403D0C" w14:paraId="37CC41DA" w14:textId="635625CB">
        <w:tc>
          <w:tcPr>
            <w:tcW w:w="1154" w:type="pct"/>
          </w:tcPr>
          <w:p w:rsidRPr="009A1ABC" w:rsidR="000B49CE" w:rsidP="000B49CE" w:rsidRDefault="000B49CE" w14:paraId="609EE18E" w14:textId="6E6CCDE4">
            <w:pPr>
              <w:pStyle w:val="BodyText"/>
              <w:rPr>
                <w:rFonts w:cstheme="minorHAnsi"/>
                <w:sz w:val="20"/>
              </w:rPr>
            </w:pPr>
            <w:r w:rsidRPr="009A1ABC">
              <w:rPr>
                <w:rFonts w:cstheme="minorHAnsi"/>
                <w:sz w:val="20"/>
              </w:rPr>
              <w:t>A</w:t>
            </w:r>
            <w:r w:rsidR="00535180">
              <w:rPr>
                <w:rFonts w:cstheme="minorHAnsi"/>
                <w:sz w:val="20"/>
              </w:rPr>
              <w:t>5c</w:t>
            </w:r>
          </w:p>
        </w:tc>
        <w:tc>
          <w:tcPr>
            <w:tcW w:w="1923" w:type="pct"/>
          </w:tcPr>
          <w:p w:rsidRPr="00C94A43" w:rsidR="000B49CE" w:rsidP="000B49CE" w:rsidRDefault="000B49CE" w14:paraId="4A3FEA7D" w14:textId="395C4554">
            <w:pPr>
              <w:pStyle w:val="BodyText"/>
              <w:rPr>
                <w:rFonts w:cstheme="minorHAnsi"/>
                <w:color w:val="92D050"/>
                <w:sz w:val="20"/>
              </w:rPr>
            </w:pPr>
            <w:r>
              <w:rPr>
                <w:rFonts w:cstheme="minorHAnsi"/>
                <w:sz w:val="20"/>
              </w:rPr>
              <w:t xml:space="preserve">Boiler </w:t>
            </w:r>
            <w:r w:rsidR="00F40BB4">
              <w:rPr>
                <w:rFonts w:cstheme="minorHAnsi"/>
                <w:sz w:val="20"/>
              </w:rPr>
              <w:t>2c</w:t>
            </w:r>
          </w:p>
        </w:tc>
        <w:tc>
          <w:tcPr>
            <w:tcW w:w="1923" w:type="pct"/>
          </w:tcPr>
          <w:p w:rsidRPr="001460D8" w:rsidR="000B49CE" w:rsidP="000B49CE" w:rsidRDefault="000B49CE" w14:paraId="7AF4D2C1" w14:textId="0F8CCD72">
            <w:pPr>
              <w:pStyle w:val="BodyText"/>
              <w:jc w:val="center"/>
              <w:rPr>
                <w:rFonts w:cstheme="minorHAnsi"/>
                <w:b/>
                <w:bCs/>
              </w:rPr>
            </w:pPr>
            <w:r>
              <w:rPr>
                <w:rFonts w:cstheme="minorHAnsi"/>
                <w:b/>
                <w:bCs/>
              </w:rPr>
              <w:t>x</w:t>
            </w:r>
          </w:p>
        </w:tc>
      </w:tr>
      <w:tr w:rsidRPr="009A1ABC" w:rsidR="000B49CE" w:rsidTr="00403D0C" w14:paraId="391FC0FD" w14:textId="49578883">
        <w:tc>
          <w:tcPr>
            <w:tcW w:w="1154" w:type="pct"/>
          </w:tcPr>
          <w:p w:rsidRPr="009A1ABC" w:rsidR="000B49CE" w:rsidP="000B49CE" w:rsidRDefault="000B49CE" w14:paraId="2ACAB181" w14:textId="5F23A467">
            <w:pPr>
              <w:pStyle w:val="BodyText"/>
              <w:rPr>
                <w:rFonts w:cstheme="minorHAnsi"/>
                <w:sz w:val="20"/>
              </w:rPr>
            </w:pPr>
            <w:r w:rsidRPr="009A1ABC">
              <w:rPr>
                <w:rFonts w:cstheme="minorHAnsi"/>
                <w:sz w:val="20"/>
              </w:rPr>
              <w:t>A5</w:t>
            </w:r>
            <w:r w:rsidR="00535180">
              <w:rPr>
                <w:rFonts w:cstheme="minorHAnsi"/>
                <w:sz w:val="20"/>
              </w:rPr>
              <w:t>d</w:t>
            </w:r>
          </w:p>
        </w:tc>
        <w:tc>
          <w:tcPr>
            <w:tcW w:w="1923" w:type="pct"/>
          </w:tcPr>
          <w:p w:rsidRPr="009A1ABC" w:rsidR="000B49CE" w:rsidP="000B49CE" w:rsidRDefault="00F40BB4" w14:paraId="3D08648D" w14:textId="08884655">
            <w:pPr>
              <w:pStyle w:val="BodyText"/>
              <w:rPr>
                <w:rFonts w:cstheme="minorHAnsi"/>
                <w:sz w:val="20"/>
              </w:rPr>
            </w:pPr>
            <w:r>
              <w:rPr>
                <w:rFonts w:cstheme="minorHAnsi"/>
                <w:sz w:val="20"/>
              </w:rPr>
              <w:t>Boiler 2d</w:t>
            </w:r>
          </w:p>
        </w:tc>
        <w:tc>
          <w:tcPr>
            <w:tcW w:w="1923" w:type="pct"/>
          </w:tcPr>
          <w:p w:rsidRPr="001460D8" w:rsidR="000B49CE" w:rsidP="000B49CE" w:rsidRDefault="000B49CE" w14:paraId="3E1CDFAF" w14:textId="7B5787DA">
            <w:pPr>
              <w:pStyle w:val="BodyText"/>
              <w:jc w:val="center"/>
              <w:rPr>
                <w:rFonts w:cstheme="minorHAnsi"/>
                <w:b/>
                <w:bCs/>
              </w:rPr>
            </w:pPr>
            <w:r>
              <w:rPr>
                <w:rFonts w:cstheme="minorHAnsi"/>
                <w:b/>
                <w:bCs/>
              </w:rPr>
              <w:t>x</w:t>
            </w:r>
          </w:p>
        </w:tc>
      </w:tr>
      <w:tr w:rsidRPr="009A1ABC" w:rsidR="000B49CE" w:rsidTr="00403D0C" w14:paraId="2AA16D19" w14:textId="152DF2B0">
        <w:tc>
          <w:tcPr>
            <w:tcW w:w="1154" w:type="pct"/>
          </w:tcPr>
          <w:p w:rsidRPr="009A1ABC" w:rsidR="000B49CE" w:rsidP="000B49CE" w:rsidRDefault="000B49CE" w14:paraId="123B7777" w14:textId="271B6BB0">
            <w:pPr>
              <w:pStyle w:val="BodyText"/>
              <w:rPr>
                <w:rFonts w:cstheme="minorHAnsi"/>
                <w:sz w:val="20"/>
              </w:rPr>
            </w:pPr>
            <w:r w:rsidRPr="009A1ABC">
              <w:rPr>
                <w:rFonts w:cstheme="minorHAnsi"/>
                <w:sz w:val="20"/>
              </w:rPr>
              <w:t>A6</w:t>
            </w:r>
          </w:p>
        </w:tc>
        <w:tc>
          <w:tcPr>
            <w:tcW w:w="1923" w:type="pct"/>
          </w:tcPr>
          <w:p w:rsidRPr="009A1ABC" w:rsidR="000B49CE" w:rsidP="000B49CE" w:rsidRDefault="00E501FC" w14:paraId="0E62C3A2" w14:textId="62743490">
            <w:pPr>
              <w:pStyle w:val="BodyText"/>
              <w:rPr>
                <w:rFonts w:cstheme="minorHAnsi"/>
                <w:sz w:val="20"/>
              </w:rPr>
            </w:pPr>
            <w:r>
              <w:rPr>
                <w:rFonts w:cstheme="minorHAnsi"/>
                <w:sz w:val="20"/>
              </w:rPr>
              <w:t xml:space="preserve">Biogas </w:t>
            </w:r>
            <w:r w:rsidRPr="005138C0" w:rsidR="000B49CE">
              <w:rPr>
                <w:rFonts w:cstheme="minorHAnsi"/>
                <w:sz w:val="20"/>
              </w:rPr>
              <w:t xml:space="preserve">Flare </w:t>
            </w:r>
          </w:p>
        </w:tc>
        <w:tc>
          <w:tcPr>
            <w:tcW w:w="1923" w:type="pct"/>
          </w:tcPr>
          <w:p w:rsidRPr="001460D8" w:rsidR="000B49CE" w:rsidP="000B49CE" w:rsidRDefault="000B49CE" w14:paraId="1EC40CED" w14:textId="38E05F71">
            <w:pPr>
              <w:pStyle w:val="BodyText"/>
              <w:jc w:val="center"/>
              <w:rPr>
                <w:rFonts w:cstheme="minorHAnsi"/>
                <w:b/>
                <w:bCs/>
              </w:rPr>
            </w:pPr>
            <w:r>
              <w:rPr>
                <w:rFonts w:cstheme="minorHAnsi"/>
                <w:b/>
                <w:bCs/>
              </w:rPr>
              <w:t>x</w:t>
            </w:r>
          </w:p>
        </w:tc>
      </w:tr>
      <w:tr w:rsidRPr="009A1ABC" w:rsidR="000B49CE" w:rsidTr="00403D0C" w14:paraId="406F74C4" w14:textId="0F0ED8A5">
        <w:tc>
          <w:tcPr>
            <w:tcW w:w="1154" w:type="pct"/>
          </w:tcPr>
          <w:p w:rsidRPr="009A1ABC" w:rsidR="000B49CE" w:rsidP="000B49CE" w:rsidRDefault="000B49CE" w14:paraId="0DE325F0" w14:textId="0E6E4946">
            <w:pPr>
              <w:pStyle w:val="BodyText"/>
              <w:rPr>
                <w:rFonts w:cstheme="minorHAnsi"/>
                <w:sz w:val="20"/>
              </w:rPr>
            </w:pPr>
            <w:r w:rsidRPr="009A1ABC">
              <w:rPr>
                <w:rFonts w:cstheme="minorHAnsi"/>
                <w:sz w:val="20"/>
              </w:rPr>
              <w:t>A</w:t>
            </w:r>
            <w:r w:rsidR="00E501FC">
              <w:rPr>
                <w:rFonts w:cstheme="minorHAnsi"/>
                <w:sz w:val="20"/>
              </w:rPr>
              <w:t>7</w:t>
            </w:r>
          </w:p>
        </w:tc>
        <w:tc>
          <w:tcPr>
            <w:tcW w:w="1923" w:type="pct"/>
          </w:tcPr>
          <w:p w:rsidRPr="009A1ABC" w:rsidR="000B49CE" w:rsidP="000B49CE" w:rsidRDefault="00E501FC" w14:paraId="5E331119" w14:textId="3B1D3150">
            <w:pPr>
              <w:pStyle w:val="BodyText"/>
              <w:rPr>
                <w:rFonts w:cstheme="minorHAnsi"/>
                <w:sz w:val="20"/>
              </w:rPr>
            </w:pPr>
            <w:r>
              <w:rPr>
                <w:rFonts w:cstheme="minorHAnsi"/>
                <w:sz w:val="20"/>
              </w:rPr>
              <w:t xml:space="preserve">Biogas </w:t>
            </w:r>
            <w:r w:rsidRPr="005138C0">
              <w:rPr>
                <w:rFonts w:cstheme="minorHAnsi"/>
                <w:sz w:val="20"/>
              </w:rPr>
              <w:t>Flare</w:t>
            </w:r>
          </w:p>
        </w:tc>
        <w:tc>
          <w:tcPr>
            <w:tcW w:w="1923" w:type="pct"/>
          </w:tcPr>
          <w:p w:rsidRPr="001460D8" w:rsidR="000B49CE" w:rsidP="000B49CE" w:rsidRDefault="000B49CE" w14:paraId="4799FDB2" w14:textId="101AFA36">
            <w:pPr>
              <w:pStyle w:val="BodyText"/>
              <w:jc w:val="center"/>
              <w:rPr>
                <w:rFonts w:cstheme="minorHAnsi"/>
                <w:b/>
                <w:bCs/>
              </w:rPr>
            </w:pPr>
            <w:r>
              <w:rPr>
                <w:rFonts w:cstheme="minorHAnsi"/>
                <w:b/>
                <w:bCs/>
              </w:rPr>
              <w:t>x</w:t>
            </w:r>
          </w:p>
        </w:tc>
      </w:tr>
      <w:tr w:rsidRPr="009A1ABC" w:rsidR="000B49CE" w:rsidTr="00403D0C" w14:paraId="6D5E3608" w14:textId="3F30D076">
        <w:tc>
          <w:tcPr>
            <w:tcW w:w="1154" w:type="pct"/>
          </w:tcPr>
          <w:p w:rsidRPr="009A1ABC" w:rsidR="000B49CE" w:rsidP="000B49CE" w:rsidRDefault="000B49CE" w14:paraId="5EBF6FC0" w14:textId="07A29EB2">
            <w:pPr>
              <w:pStyle w:val="BodyText"/>
              <w:rPr>
                <w:rFonts w:cstheme="minorHAnsi"/>
                <w:sz w:val="20"/>
              </w:rPr>
            </w:pPr>
            <w:r w:rsidRPr="009A1ABC">
              <w:rPr>
                <w:rFonts w:cstheme="minorHAnsi"/>
                <w:sz w:val="20"/>
              </w:rPr>
              <w:t>A</w:t>
            </w:r>
            <w:r w:rsidR="00095D78">
              <w:rPr>
                <w:rFonts w:cstheme="minorHAnsi"/>
                <w:sz w:val="20"/>
              </w:rPr>
              <w:t>8a</w:t>
            </w:r>
          </w:p>
        </w:tc>
        <w:tc>
          <w:tcPr>
            <w:tcW w:w="1923" w:type="pct"/>
          </w:tcPr>
          <w:p w:rsidRPr="009A1ABC" w:rsidR="000B49CE" w:rsidP="000B49CE" w:rsidRDefault="00095D78" w14:paraId="712F0A44" w14:textId="64D650B2">
            <w:pPr>
              <w:pStyle w:val="BodyText"/>
              <w:rPr>
                <w:rFonts w:cstheme="minorHAnsi"/>
                <w:sz w:val="20"/>
              </w:rPr>
            </w:pPr>
            <w:r>
              <w:rPr>
                <w:rFonts w:cstheme="minorHAnsi"/>
                <w:sz w:val="20"/>
              </w:rPr>
              <w:t>CHP Engine 2a</w:t>
            </w:r>
          </w:p>
        </w:tc>
        <w:tc>
          <w:tcPr>
            <w:tcW w:w="1923" w:type="pct"/>
          </w:tcPr>
          <w:p w:rsidRPr="001460D8" w:rsidR="000B49CE" w:rsidP="000B49CE" w:rsidRDefault="000B49CE" w14:paraId="4EBA1B8E" w14:textId="414D34F6">
            <w:pPr>
              <w:pStyle w:val="BodyText"/>
              <w:jc w:val="center"/>
              <w:rPr>
                <w:rFonts w:cstheme="minorHAnsi"/>
                <w:b/>
                <w:bCs/>
              </w:rPr>
            </w:pPr>
            <w:r>
              <w:rPr>
                <w:rFonts w:cstheme="minorHAnsi"/>
                <w:b/>
                <w:bCs/>
              </w:rPr>
              <w:t>x</w:t>
            </w:r>
          </w:p>
        </w:tc>
      </w:tr>
      <w:tr w:rsidRPr="009A1ABC" w:rsidR="000B49CE" w:rsidTr="00403D0C" w14:paraId="237629C2" w14:textId="23681692">
        <w:tc>
          <w:tcPr>
            <w:tcW w:w="1154" w:type="pct"/>
          </w:tcPr>
          <w:p w:rsidRPr="009A1ABC" w:rsidR="000B49CE" w:rsidP="000B49CE" w:rsidRDefault="000B49CE" w14:paraId="32072C60" w14:textId="5FB89911">
            <w:pPr>
              <w:pStyle w:val="BodyText"/>
              <w:rPr>
                <w:rFonts w:cstheme="minorHAnsi"/>
                <w:sz w:val="20"/>
              </w:rPr>
            </w:pPr>
            <w:r w:rsidRPr="009A1ABC">
              <w:rPr>
                <w:rFonts w:cstheme="minorHAnsi"/>
                <w:sz w:val="20"/>
              </w:rPr>
              <w:t>A</w:t>
            </w:r>
            <w:r w:rsidR="00095D78">
              <w:rPr>
                <w:rFonts w:cstheme="minorHAnsi"/>
                <w:sz w:val="20"/>
              </w:rPr>
              <w:t>8b</w:t>
            </w:r>
          </w:p>
        </w:tc>
        <w:tc>
          <w:tcPr>
            <w:tcW w:w="1923" w:type="pct"/>
          </w:tcPr>
          <w:p w:rsidRPr="009A1ABC" w:rsidR="000B49CE" w:rsidP="000B49CE" w:rsidRDefault="00095D78" w14:paraId="583E3318" w14:textId="028BC298">
            <w:pPr>
              <w:pStyle w:val="BodyText"/>
              <w:rPr>
                <w:rFonts w:cstheme="minorHAnsi"/>
                <w:sz w:val="20"/>
              </w:rPr>
            </w:pPr>
            <w:r>
              <w:rPr>
                <w:rFonts w:cstheme="minorHAnsi"/>
                <w:sz w:val="20"/>
              </w:rPr>
              <w:t>CHP Engine 2b</w:t>
            </w:r>
          </w:p>
        </w:tc>
        <w:tc>
          <w:tcPr>
            <w:tcW w:w="1923" w:type="pct"/>
          </w:tcPr>
          <w:p w:rsidRPr="001460D8" w:rsidR="000B49CE" w:rsidP="000B49CE" w:rsidRDefault="000B49CE" w14:paraId="6B3698A8" w14:textId="6B565432">
            <w:pPr>
              <w:pStyle w:val="BodyText"/>
              <w:jc w:val="center"/>
              <w:rPr>
                <w:rFonts w:cstheme="minorHAnsi"/>
                <w:b/>
                <w:bCs/>
              </w:rPr>
            </w:pPr>
            <w:r>
              <w:rPr>
                <w:rFonts w:cstheme="minorHAnsi"/>
                <w:b/>
                <w:bCs/>
              </w:rPr>
              <w:t>x</w:t>
            </w:r>
          </w:p>
        </w:tc>
      </w:tr>
      <w:tr w:rsidRPr="009A1ABC" w:rsidR="000B49CE" w:rsidTr="00403D0C" w14:paraId="13F9F689" w14:textId="11F2E8CF">
        <w:tc>
          <w:tcPr>
            <w:tcW w:w="1154" w:type="pct"/>
          </w:tcPr>
          <w:p w:rsidRPr="009A1ABC" w:rsidR="000B49CE" w:rsidP="000B49CE" w:rsidRDefault="000B49CE" w14:paraId="072CCFF8" w14:textId="10C06D99">
            <w:pPr>
              <w:pStyle w:val="BodyText"/>
              <w:rPr>
                <w:rFonts w:cstheme="minorHAnsi"/>
                <w:sz w:val="20"/>
              </w:rPr>
            </w:pPr>
            <w:r w:rsidRPr="009A1ABC">
              <w:rPr>
                <w:rFonts w:cstheme="minorHAnsi"/>
                <w:sz w:val="20"/>
              </w:rPr>
              <w:t>A</w:t>
            </w:r>
            <w:r w:rsidR="00095D78">
              <w:rPr>
                <w:rFonts w:cstheme="minorHAnsi"/>
                <w:sz w:val="20"/>
              </w:rPr>
              <w:t>9</w:t>
            </w:r>
          </w:p>
        </w:tc>
        <w:tc>
          <w:tcPr>
            <w:tcW w:w="1923" w:type="pct"/>
          </w:tcPr>
          <w:p w:rsidRPr="009A1ABC" w:rsidR="000B49CE" w:rsidP="000B49CE" w:rsidRDefault="00095D78" w14:paraId="5D33246D" w14:textId="5A0BAD65">
            <w:pPr>
              <w:pStyle w:val="BodyText"/>
              <w:rPr>
                <w:rFonts w:cstheme="minorHAnsi"/>
                <w:sz w:val="20"/>
              </w:rPr>
            </w:pPr>
            <w:r>
              <w:rPr>
                <w:rFonts w:cstheme="minorHAnsi"/>
                <w:sz w:val="20"/>
              </w:rPr>
              <w:t xml:space="preserve">Biogas </w:t>
            </w:r>
            <w:r w:rsidRPr="005138C0">
              <w:rPr>
                <w:rFonts w:cstheme="minorHAnsi"/>
                <w:sz w:val="20"/>
              </w:rPr>
              <w:t>Flare</w:t>
            </w:r>
          </w:p>
        </w:tc>
        <w:tc>
          <w:tcPr>
            <w:tcW w:w="1923" w:type="pct"/>
          </w:tcPr>
          <w:p w:rsidRPr="006E67C3" w:rsidR="000B49CE" w:rsidP="000B49CE" w:rsidRDefault="000B49CE" w14:paraId="2EDA04B9" w14:textId="3318C839">
            <w:pPr>
              <w:pStyle w:val="BodyText"/>
              <w:jc w:val="center"/>
              <w:rPr>
                <w:rFonts w:cstheme="minorHAnsi"/>
                <w:b/>
                <w:bCs/>
              </w:rPr>
            </w:pPr>
            <w:r>
              <w:rPr>
                <w:rFonts w:cstheme="minorHAnsi"/>
                <w:b/>
                <w:bCs/>
              </w:rPr>
              <w:t>x</w:t>
            </w:r>
          </w:p>
        </w:tc>
      </w:tr>
      <w:tr w:rsidRPr="009A1ABC" w:rsidR="000B49CE" w:rsidTr="00403D0C" w14:paraId="1F9B2F70" w14:textId="6DA65200">
        <w:tc>
          <w:tcPr>
            <w:tcW w:w="1154" w:type="pct"/>
          </w:tcPr>
          <w:p w:rsidRPr="009A1ABC" w:rsidR="000B49CE" w:rsidP="000B49CE" w:rsidRDefault="000B49CE" w14:paraId="7773A42F" w14:textId="01F3646F">
            <w:pPr>
              <w:pStyle w:val="BodyText"/>
              <w:rPr>
                <w:rFonts w:cstheme="minorHAnsi"/>
                <w:sz w:val="20"/>
              </w:rPr>
            </w:pPr>
            <w:r w:rsidRPr="009A1ABC">
              <w:rPr>
                <w:rFonts w:cstheme="minorHAnsi"/>
                <w:sz w:val="20"/>
              </w:rPr>
              <w:t>A1</w:t>
            </w:r>
            <w:r w:rsidR="00095D78">
              <w:rPr>
                <w:rFonts w:cstheme="minorHAnsi"/>
                <w:sz w:val="20"/>
              </w:rPr>
              <w:t>0</w:t>
            </w:r>
          </w:p>
        </w:tc>
        <w:tc>
          <w:tcPr>
            <w:tcW w:w="1923" w:type="pct"/>
          </w:tcPr>
          <w:p w:rsidRPr="009A1ABC" w:rsidR="000B49CE" w:rsidP="000B49CE" w:rsidRDefault="00095D78" w14:paraId="2A6E84AE" w14:textId="743FBB25">
            <w:pPr>
              <w:pStyle w:val="BodyText"/>
              <w:tabs>
                <w:tab w:val="center" w:pos="1745"/>
              </w:tabs>
              <w:rPr>
                <w:rFonts w:cstheme="minorHAnsi"/>
                <w:sz w:val="20"/>
              </w:rPr>
            </w:pPr>
            <w:r>
              <w:rPr>
                <w:rFonts w:cstheme="minorHAnsi"/>
                <w:sz w:val="20"/>
              </w:rPr>
              <w:t>OCU</w:t>
            </w:r>
            <w:r w:rsidR="00A85669">
              <w:rPr>
                <w:rFonts w:cstheme="minorHAnsi"/>
                <w:sz w:val="20"/>
              </w:rPr>
              <w:t xml:space="preserve"> (wet well)</w:t>
            </w:r>
          </w:p>
        </w:tc>
        <w:tc>
          <w:tcPr>
            <w:tcW w:w="1923" w:type="pct"/>
          </w:tcPr>
          <w:p w:rsidRPr="006E67C3" w:rsidR="000B49CE" w:rsidP="000B49CE" w:rsidRDefault="00095D78" w14:paraId="20A4C4BC" w14:textId="121839E3">
            <w:pPr>
              <w:pStyle w:val="BodyText"/>
              <w:jc w:val="center"/>
              <w:rPr>
                <w:rFonts w:cstheme="minorHAnsi"/>
                <w:b/>
                <w:bCs/>
              </w:rPr>
            </w:pPr>
            <w:r w:rsidRPr="006E67C3">
              <w:rPr>
                <w:rFonts w:cstheme="minorHAnsi"/>
                <w:b/>
                <w:bCs/>
              </w:rPr>
              <w:t>✓</w:t>
            </w:r>
          </w:p>
        </w:tc>
      </w:tr>
      <w:tr w:rsidRPr="009A1ABC" w:rsidR="000B49CE" w:rsidTr="00403D0C" w14:paraId="5C7A1D82" w14:textId="3C03C3BF">
        <w:tc>
          <w:tcPr>
            <w:tcW w:w="1154" w:type="pct"/>
          </w:tcPr>
          <w:p w:rsidRPr="009A1ABC" w:rsidR="000B49CE" w:rsidP="000B49CE" w:rsidRDefault="000B49CE" w14:paraId="0FD577BB" w14:textId="0A3356CB">
            <w:pPr>
              <w:pStyle w:val="BodyText"/>
              <w:rPr>
                <w:rFonts w:cstheme="minorHAnsi"/>
                <w:sz w:val="20"/>
              </w:rPr>
            </w:pPr>
            <w:r w:rsidRPr="009A1ABC">
              <w:rPr>
                <w:rFonts w:cstheme="minorHAnsi"/>
                <w:sz w:val="20"/>
              </w:rPr>
              <w:t>A1</w:t>
            </w:r>
            <w:r w:rsidR="00095D78">
              <w:rPr>
                <w:rFonts w:cstheme="minorHAnsi"/>
                <w:sz w:val="20"/>
              </w:rPr>
              <w:t>1</w:t>
            </w:r>
          </w:p>
        </w:tc>
        <w:tc>
          <w:tcPr>
            <w:tcW w:w="1923" w:type="pct"/>
          </w:tcPr>
          <w:p w:rsidRPr="009A1ABC" w:rsidR="000B49CE" w:rsidP="000B49CE" w:rsidRDefault="00095D78" w14:paraId="0B5F014D" w14:textId="73713725">
            <w:pPr>
              <w:pStyle w:val="BodyText"/>
              <w:rPr>
                <w:rFonts w:cstheme="minorHAnsi"/>
                <w:sz w:val="20"/>
              </w:rPr>
            </w:pPr>
            <w:r>
              <w:rPr>
                <w:rFonts w:cstheme="minorHAnsi"/>
                <w:sz w:val="20"/>
              </w:rPr>
              <w:t>Standby Engine 1</w:t>
            </w:r>
          </w:p>
        </w:tc>
        <w:tc>
          <w:tcPr>
            <w:tcW w:w="1923" w:type="pct"/>
          </w:tcPr>
          <w:p w:rsidRPr="006E67C3" w:rsidR="000B49CE" w:rsidP="000B49CE" w:rsidRDefault="000B49CE" w14:paraId="7779455C" w14:textId="55786C2D">
            <w:pPr>
              <w:pStyle w:val="BodyText"/>
              <w:jc w:val="center"/>
              <w:rPr>
                <w:rFonts w:cstheme="minorHAnsi"/>
                <w:b/>
                <w:bCs/>
              </w:rPr>
            </w:pPr>
            <w:r>
              <w:rPr>
                <w:rFonts w:cstheme="minorHAnsi"/>
                <w:b/>
                <w:bCs/>
              </w:rPr>
              <w:t>x</w:t>
            </w:r>
          </w:p>
        </w:tc>
      </w:tr>
      <w:tr w:rsidRPr="009A1ABC" w:rsidR="00095D78" w:rsidTr="00403D0C" w14:paraId="2C6D01F6" w14:textId="133BFB41">
        <w:tc>
          <w:tcPr>
            <w:tcW w:w="1154" w:type="pct"/>
          </w:tcPr>
          <w:p w:rsidRPr="009A1ABC" w:rsidR="00095D78" w:rsidP="00095D78" w:rsidRDefault="00095D78" w14:paraId="0A2ECFCC" w14:textId="733D2457">
            <w:pPr>
              <w:pStyle w:val="BodyText"/>
              <w:rPr>
                <w:rFonts w:cstheme="minorHAnsi"/>
                <w:sz w:val="20"/>
              </w:rPr>
            </w:pPr>
            <w:r w:rsidRPr="009A1ABC">
              <w:rPr>
                <w:rFonts w:cstheme="minorHAnsi"/>
                <w:sz w:val="20"/>
              </w:rPr>
              <w:t>A1</w:t>
            </w:r>
            <w:r>
              <w:rPr>
                <w:rFonts w:cstheme="minorHAnsi"/>
                <w:sz w:val="20"/>
              </w:rPr>
              <w:t>2</w:t>
            </w:r>
          </w:p>
        </w:tc>
        <w:tc>
          <w:tcPr>
            <w:tcW w:w="1923" w:type="pct"/>
          </w:tcPr>
          <w:p w:rsidRPr="009A1ABC" w:rsidR="00095D78" w:rsidP="00095D78" w:rsidRDefault="00095D78" w14:paraId="40E677B0" w14:textId="7C9BD75D">
            <w:pPr>
              <w:pStyle w:val="BodyText"/>
              <w:rPr>
                <w:rFonts w:cstheme="minorHAnsi"/>
                <w:sz w:val="20"/>
              </w:rPr>
            </w:pPr>
            <w:r>
              <w:rPr>
                <w:rFonts w:cstheme="minorHAnsi"/>
                <w:sz w:val="20"/>
              </w:rPr>
              <w:t>Standby Engine 2</w:t>
            </w:r>
          </w:p>
        </w:tc>
        <w:tc>
          <w:tcPr>
            <w:tcW w:w="1923" w:type="pct"/>
          </w:tcPr>
          <w:p w:rsidRPr="006E67C3" w:rsidR="00095D78" w:rsidP="00095D78" w:rsidRDefault="00095D78" w14:paraId="7F22A70E" w14:textId="5C344928">
            <w:pPr>
              <w:pStyle w:val="BodyText"/>
              <w:jc w:val="center"/>
              <w:rPr>
                <w:rFonts w:cstheme="minorHAnsi"/>
                <w:b/>
                <w:bCs/>
              </w:rPr>
            </w:pPr>
            <w:r>
              <w:rPr>
                <w:rFonts w:cstheme="minorHAnsi"/>
                <w:b/>
                <w:bCs/>
              </w:rPr>
              <w:t>x</w:t>
            </w:r>
          </w:p>
        </w:tc>
      </w:tr>
      <w:tr w:rsidRPr="009A1ABC" w:rsidR="00095D78" w:rsidTr="00403D0C" w14:paraId="2D468CFD" w14:textId="189D56DB">
        <w:tc>
          <w:tcPr>
            <w:tcW w:w="1154" w:type="pct"/>
          </w:tcPr>
          <w:p w:rsidRPr="009A1ABC" w:rsidR="00095D78" w:rsidP="00095D78" w:rsidRDefault="00095D78" w14:paraId="6CF10418" w14:textId="0045D807">
            <w:pPr>
              <w:pStyle w:val="BodyText"/>
              <w:rPr>
                <w:rFonts w:cstheme="minorHAnsi"/>
                <w:sz w:val="20"/>
              </w:rPr>
            </w:pPr>
            <w:r w:rsidRPr="009A1ABC">
              <w:rPr>
                <w:rFonts w:cstheme="minorHAnsi"/>
                <w:sz w:val="20"/>
              </w:rPr>
              <w:t>A1</w:t>
            </w:r>
            <w:r w:rsidR="00194796">
              <w:rPr>
                <w:rFonts w:cstheme="minorHAnsi"/>
                <w:sz w:val="20"/>
              </w:rPr>
              <w:t>3 – A20</w:t>
            </w:r>
          </w:p>
        </w:tc>
        <w:tc>
          <w:tcPr>
            <w:tcW w:w="1923" w:type="pct"/>
          </w:tcPr>
          <w:p w:rsidRPr="00BF76DB" w:rsidR="00095D78" w:rsidP="00095D78" w:rsidRDefault="00194796" w14:paraId="753702BA" w14:textId="1DDCD758">
            <w:pPr>
              <w:pStyle w:val="BodyText"/>
              <w:rPr>
                <w:rFonts w:cstheme="minorHAnsi"/>
                <w:b/>
                <w:bCs/>
                <w:sz w:val="20"/>
              </w:rPr>
            </w:pPr>
            <w:r w:rsidRPr="009A1ABC">
              <w:rPr>
                <w:rFonts w:cstheme="minorHAnsi"/>
                <w:sz w:val="20"/>
              </w:rPr>
              <w:t>Digester PRV</w:t>
            </w:r>
            <w:r>
              <w:rPr>
                <w:rFonts w:cstheme="minorHAnsi"/>
                <w:sz w:val="20"/>
              </w:rPr>
              <w:t>s</w:t>
            </w:r>
          </w:p>
        </w:tc>
        <w:tc>
          <w:tcPr>
            <w:tcW w:w="1923" w:type="pct"/>
          </w:tcPr>
          <w:p w:rsidRPr="006E67C3" w:rsidR="00095D78" w:rsidP="00095D78" w:rsidRDefault="00095D78" w14:paraId="6719C98D" w14:textId="34406850">
            <w:pPr>
              <w:pStyle w:val="BodyText"/>
              <w:jc w:val="center"/>
              <w:rPr>
                <w:rFonts w:cstheme="minorHAnsi"/>
                <w:b/>
                <w:bCs/>
              </w:rPr>
            </w:pPr>
            <w:r>
              <w:rPr>
                <w:rFonts w:cstheme="minorHAnsi"/>
                <w:b/>
                <w:bCs/>
              </w:rPr>
              <w:t>x</w:t>
            </w:r>
          </w:p>
        </w:tc>
      </w:tr>
    </w:tbl>
    <w:p w:rsidR="00D202BD" w:rsidP="00D202BD" w:rsidRDefault="00D202BD" w14:paraId="483DE8C1" w14:textId="02AE4DF8">
      <w:pPr>
        <w:pStyle w:val="BodyText"/>
      </w:pPr>
      <w:r>
        <w:t xml:space="preserve">The location of these </w:t>
      </w:r>
      <w:r w:rsidR="00D5082D">
        <w:t xml:space="preserve">emission </w:t>
      </w:r>
      <w:r>
        <w:t xml:space="preserve">points is shown on the site layout plan at the emission plan in Appendix </w:t>
      </w:r>
      <w:r w:rsidR="00865602">
        <w:t>B</w:t>
      </w:r>
      <w:r>
        <w:t xml:space="preserve">. </w:t>
      </w:r>
    </w:p>
    <w:p w:rsidR="00C1760D" w:rsidP="00D202BD" w:rsidRDefault="00604BB4" w14:paraId="66BAB45E" w14:textId="0AC436DD">
      <w:pPr>
        <w:pStyle w:val="BodyText"/>
      </w:pPr>
      <w:r>
        <w:t xml:space="preserve">The cake pad and storage area </w:t>
      </w:r>
      <w:r w:rsidR="00D5082D">
        <w:t>are</w:t>
      </w:r>
      <w:r>
        <w:t xml:space="preserve"> also</w:t>
      </w:r>
      <w:r w:rsidR="004A40A1">
        <w:t xml:space="preserve"> considered </w:t>
      </w:r>
      <w:r w:rsidR="00A95F44">
        <w:t>source of</w:t>
      </w:r>
      <w:r w:rsidR="004A40A1">
        <w:t xml:space="preserve"> </w:t>
      </w:r>
      <w:r w:rsidR="00A95F44">
        <w:t>bioaerosols</w:t>
      </w:r>
      <w:r w:rsidR="004A40A1">
        <w:t xml:space="preserve"> </w:t>
      </w:r>
      <w:r w:rsidR="00A95F44">
        <w:t xml:space="preserve">emissions </w:t>
      </w:r>
      <w:r w:rsidR="004A40A1">
        <w:t>and is sh</w:t>
      </w:r>
      <w:r w:rsidR="00A95F44">
        <w:t xml:space="preserve">own on </w:t>
      </w:r>
      <w:r w:rsidR="00536613">
        <w:t>the plan in Appendix B, however this is considered a diffuse source and not a point source and is therefore not included within the above table.</w:t>
      </w:r>
    </w:p>
    <w:p w:rsidR="00244CAB" w:rsidP="00244CAB" w:rsidRDefault="00244CAB" w14:paraId="04CFFBC7" w14:textId="7BCDA8EB">
      <w:pPr>
        <w:pStyle w:val="Heading3"/>
      </w:pPr>
      <w:r>
        <w:t>Source Assessment</w:t>
      </w:r>
    </w:p>
    <w:p w:rsidR="00D202BD" w:rsidP="00D202BD" w:rsidRDefault="00D202BD" w14:paraId="0A170B42" w14:textId="24267DC7">
      <w:pPr>
        <w:pStyle w:val="BodyText"/>
      </w:pPr>
      <w:r>
        <w:t>The CHP engine</w:t>
      </w:r>
      <w:r w:rsidR="008E2DDC">
        <w:t>s</w:t>
      </w:r>
      <w:r>
        <w:t>, boiler</w:t>
      </w:r>
      <w:r w:rsidR="004F28F2">
        <w:t>s</w:t>
      </w:r>
      <w:r>
        <w:t xml:space="preserve"> and </w:t>
      </w:r>
      <w:r w:rsidR="007D6CF5">
        <w:t xml:space="preserve">emergency </w:t>
      </w:r>
      <w:r>
        <w:t>flare</w:t>
      </w:r>
      <w:r w:rsidR="00502249">
        <w:t>s</w:t>
      </w:r>
      <w:r>
        <w:t xml:space="preserve"> combust</w:t>
      </w:r>
      <w:r w:rsidR="005267D8">
        <w:t xml:space="preserve"> the produced</w:t>
      </w:r>
      <w:r>
        <w:t xml:space="preserve"> biogas at high temperatures (</w:t>
      </w:r>
      <w:r w:rsidR="007D6CF5">
        <w:t>i</w:t>
      </w:r>
      <w:r>
        <w:t>n excess of 450</w:t>
      </w:r>
      <w:r w:rsidRPr="007D6CF5" w:rsidR="007D6CF5">
        <w:rPr>
          <w:rFonts w:cstheme="majorHAnsi"/>
          <w:vertAlign w:val="superscript"/>
        </w:rPr>
        <w:t>o</w:t>
      </w:r>
      <w:r>
        <w:t>C)</w:t>
      </w:r>
      <w:r w:rsidR="007D6CF5">
        <w:t>.</w:t>
      </w:r>
      <w:r>
        <w:t xml:space="preserve"> </w:t>
      </w:r>
      <w:r w:rsidR="005267D8">
        <w:t xml:space="preserve">Due to the combustion of the biogas, these points can be </w:t>
      </w:r>
      <w:r>
        <w:t>discounted as sources of bioaerosols emissions.</w:t>
      </w:r>
    </w:p>
    <w:p w:rsidR="005267D8" w:rsidP="00D202BD" w:rsidRDefault="00CD00E7" w14:paraId="41A7BBA0" w14:textId="71C19D1E">
      <w:pPr>
        <w:pStyle w:val="BodyText"/>
      </w:pPr>
      <w:r>
        <w:t>Other engines using</w:t>
      </w:r>
      <w:r w:rsidRPr="005267D8" w:rsidR="005267D8">
        <w:t xml:space="preserve"> diesel</w:t>
      </w:r>
      <w:r w:rsidR="00CB4902">
        <w:t xml:space="preserve"> fuelled</w:t>
      </w:r>
      <w:r w:rsidRPr="005267D8" w:rsidR="005267D8">
        <w:t xml:space="preserve"> are not linked to any source of bioaerosols.</w:t>
      </w:r>
      <w:r w:rsidR="004F28F2">
        <w:t xml:space="preserve"> The boilers may also be operated on diesel, which again excludes them as a source of bioaerosols.</w:t>
      </w:r>
    </w:p>
    <w:p w:rsidR="002D30F9" w:rsidP="002D30F9" w:rsidRDefault="005267D8" w14:paraId="19037109" w14:textId="452C5B9F">
      <w:pPr>
        <w:pStyle w:val="BodyText"/>
      </w:pPr>
      <w:r w:rsidRPr="005267D8">
        <w:t xml:space="preserve">There </w:t>
      </w:r>
      <w:r w:rsidR="00CD00E7">
        <w:t>is one</w:t>
      </w:r>
      <w:r w:rsidRPr="005267D8">
        <w:t xml:space="preserve"> odour control unit</w:t>
      </w:r>
      <w:r w:rsidR="00C77FD9">
        <w:t>s</w:t>
      </w:r>
      <w:r w:rsidRPr="005267D8">
        <w:t xml:space="preserve"> (OCU)</w:t>
      </w:r>
      <w:r w:rsidR="00244CAB">
        <w:t xml:space="preserve"> </w:t>
      </w:r>
      <w:r w:rsidRPr="00244CAB" w:rsidR="00244CAB">
        <w:t xml:space="preserve">(point </w:t>
      </w:r>
      <w:r w:rsidR="00CD00E7">
        <w:t>A10)</w:t>
      </w:r>
      <w:r w:rsidRPr="005267D8">
        <w:t xml:space="preserve"> </w:t>
      </w:r>
      <w:r w:rsidR="007B4B24">
        <w:t>located at the Cess/Waste Import point</w:t>
      </w:r>
      <w:r w:rsidR="002D30F9">
        <w:t xml:space="preserve">, treating odours from cess tanker discharges. The OCU is fitted with forced ventilation that removes foul air from beneath the covers of the wet well. Air is filtered through an irrigated lava rock bio-filter using one direct drive fan pre-bio-filter, and then passes up a short stack. Extraction is from the pump station outside the front gate. A sampling point is provided. </w:t>
      </w:r>
    </w:p>
    <w:p w:rsidR="002D30F9" w:rsidP="00D202BD" w:rsidRDefault="002D30F9" w14:paraId="0FE5705F" w14:textId="0EAD2B49">
      <w:pPr>
        <w:pStyle w:val="BodyText"/>
      </w:pPr>
      <w:r>
        <w:t>The OCU is maintained monthly by a Framework agreed contractor</w:t>
      </w:r>
      <w:r w:rsidR="005C1FCF">
        <w:t>.</w:t>
      </w:r>
    </w:p>
    <w:p w:rsidR="000B49CE" w:rsidP="00D202BD" w:rsidRDefault="000B49CE" w14:paraId="52C32A2C" w14:textId="6CD33E46">
      <w:pPr>
        <w:pStyle w:val="BodyText"/>
      </w:pPr>
      <w:r>
        <w:t>Biofilters are considered to be a potential emission source for bioaerosols, whether used in isolation or with a second methodology.</w:t>
      </w:r>
    </w:p>
    <w:p w:rsidR="00D202BD" w:rsidP="00D202BD" w:rsidRDefault="00D202BD" w14:paraId="31179FF8" w14:textId="4C71926D">
      <w:pPr>
        <w:pStyle w:val="BodyText"/>
      </w:pPr>
      <w:r>
        <w:t>The Pressure Relief Values (PRV</w:t>
      </w:r>
      <w:r w:rsidR="005267D8">
        <w:t>s</w:t>
      </w:r>
      <w:r>
        <w:t>)</w:t>
      </w:r>
      <w:r w:rsidR="005267D8">
        <w:t xml:space="preserve"> (points A1</w:t>
      </w:r>
      <w:r w:rsidR="006E3F53">
        <w:t>3</w:t>
      </w:r>
      <w:r w:rsidR="005267D8">
        <w:t xml:space="preserve"> – A2</w:t>
      </w:r>
      <w:r w:rsidR="006E3DCE">
        <w:t>0</w:t>
      </w:r>
      <w:r w:rsidR="005267D8">
        <w:t>)</w:t>
      </w:r>
      <w:r>
        <w:t xml:space="preserve"> are normally closed and do not emit to atmosphere</w:t>
      </w:r>
      <w:r w:rsidR="002B568A">
        <w:t>.</w:t>
      </w:r>
      <w:r>
        <w:t xml:space="preserve"> </w:t>
      </w:r>
      <w:r w:rsidR="002B568A">
        <w:t>H</w:t>
      </w:r>
      <w:r>
        <w:t>owever</w:t>
      </w:r>
      <w:r w:rsidR="002B568A">
        <w:t>,</w:t>
      </w:r>
      <w:r>
        <w:t xml:space="preserve"> in the event of an abnormal situation such as the failure of the flare stack and/or CHP, the PRV’s would open</w:t>
      </w:r>
      <w:r w:rsidR="002B568A">
        <w:t xml:space="preserve"> to relief excess biogas pressure</w:t>
      </w:r>
      <w:r>
        <w:t>, potentially resulting in the release of bioaerosols, while the problem is rectified. While the problem is rectified, biogas generation is reduced by reducing or inhibiting the digester feed.  These abnormal events are unlikely, temporary</w:t>
      </w:r>
      <w:r w:rsidR="00FC49A0">
        <w:t>,</w:t>
      </w:r>
      <w:r>
        <w:t xml:space="preserve"> and infrequent due to the extensive monitoring and maintenance programmes undertaken at the </w:t>
      </w:r>
      <w:r w:rsidR="00FC49A0">
        <w:t>s</w:t>
      </w:r>
      <w:r>
        <w:t>ite as well as the procedures and warning systems in place.</w:t>
      </w:r>
    </w:p>
    <w:p w:rsidR="0067177A" w:rsidP="00D202BD" w:rsidRDefault="0067177A" w14:paraId="75D76E49" w14:textId="3CBEDCDA">
      <w:pPr>
        <w:pStyle w:val="BodyText"/>
      </w:pPr>
      <w:r>
        <w:t xml:space="preserve">In addition to the point sources identified above, there is also an unchanneled </w:t>
      </w:r>
      <w:r w:rsidR="00BA1BCB">
        <w:t>potential release</w:t>
      </w:r>
      <w:r w:rsidR="00C1760D">
        <w:t xml:space="preserve"> (diffuse source)</w:t>
      </w:r>
      <w:r w:rsidR="00BA1BCB">
        <w:t xml:space="preserve"> </w:t>
      </w:r>
      <w:r w:rsidR="003F03C0">
        <w:t>from treated, dewatered sewage cake which is stored on the cake pad at the site.</w:t>
      </w:r>
    </w:p>
    <w:p w:rsidR="003F03C0" w:rsidP="003F03C0" w:rsidRDefault="003F03C0" w14:paraId="0C6E5C78" w14:textId="566E4DB9">
      <w:pPr>
        <w:pStyle w:val="Heading3"/>
      </w:pPr>
      <w:r>
        <w:t>Risk</w:t>
      </w:r>
    </w:p>
    <w:p w:rsidRPr="00135C6B" w:rsidR="003F03C0" w:rsidP="00D202BD" w:rsidRDefault="00D202BD" w14:paraId="3F534009" w14:textId="13343238">
      <w:pPr>
        <w:pStyle w:val="BodyText"/>
      </w:pPr>
      <w:r w:rsidRPr="00135C6B">
        <w:t xml:space="preserve">The overall treatment process is considered to be a low source of bioaerosols as discussed above, there are a number of control measures in place at the </w:t>
      </w:r>
      <w:r w:rsidRPr="00135C6B" w:rsidR="0067177A">
        <w:t>s</w:t>
      </w:r>
      <w:r w:rsidRPr="00135C6B">
        <w:t xml:space="preserve">ite to reduce and contain emissions of bioaerosols. These control measures are regularly maintained to sustain their efficacy and reduce the risk of equipment failure. The greatest probability of exposure from bioaerosols emitted from the </w:t>
      </w:r>
      <w:r w:rsidRPr="00135C6B" w:rsidR="003F03C0">
        <w:t>s</w:t>
      </w:r>
      <w:r w:rsidRPr="00135C6B">
        <w:t xml:space="preserve">ite is from uncovered operations such as the cake </w:t>
      </w:r>
      <w:r w:rsidRPr="00135C6B" w:rsidR="00F14F44">
        <w:t>pad</w:t>
      </w:r>
      <w:r w:rsidRPr="00135C6B">
        <w:t>.</w:t>
      </w:r>
    </w:p>
    <w:p w:rsidR="00135C6B" w:rsidP="00135C6B" w:rsidRDefault="00D66E82" w14:paraId="5E1A48E5" w14:textId="77777777">
      <w:pPr>
        <w:pStyle w:val="BodyText"/>
      </w:pPr>
      <w:r>
        <w:t xml:space="preserve">Digested sludge cake is conveyed to the adjacent open cake pad, dropping off the conveyor and being moved by shovel loading vehicles to the far side of the cake pad as required.  Centrate drains from the centrifuge to a wet well.  </w:t>
      </w:r>
    </w:p>
    <w:p w:rsidRPr="00135C6B" w:rsidR="00135C6B" w:rsidP="00135C6B" w:rsidRDefault="00135C6B" w14:paraId="4C73955B" w14:textId="2D602FE6">
      <w:pPr>
        <w:pStyle w:val="BodyText"/>
      </w:pPr>
      <w:r w:rsidRPr="00135C6B">
        <w:t>Digested sludge cake retains a high moisture content and is not prone to being dusty.  A wheel wash is used for vehicles exiting the digested sludge cake pad and roads will be maintained to avoid the production of dust.</w:t>
      </w:r>
    </w:p>
    <w:p w:rsidR="00613F1D" w:rsidP="00135C6B" w:rsidRDefault="00135C6B" w14:paraId="7F7FFE4B" w14:textId="0F27F45A">
      <w:pPr>
        <w:pStyle w:val="BodyText"/>
      </w:pPr>
      <w:r w:rsidRPr="00135C6B">
        <w:t>An</w:t>
      </w:r>
      <w:r w:rsidR="00264E38">
        <w:t>a</w:t>
      </w:r>
      <w:r w:rsidRPr="00135C6B">
        <w:t xml:space="preserve">erobic digestion of sludge takes place within a closed system.  </w:t>
      </w:r>
    </w:p>
    <w:p w:rsidR="00613F1D" w:rsidP="00135C6B" w:rsidRDefault="00135C6B" w14:paraId="2854E0A5" w14:textId="249EEECF">
      <w:pPr>
        <w:pStyle w:val="BodyText"/>
        <w:rPr>
          <w:rFonts w:eastAsia="Times New Roman" w:cs="Times New Roman"/>
          <w:sz w:val="18"/>
          <w:szCs w:val="18"/>
          <w:lang w:val="en-AU"/>
        </w:rPr>
      </w:pPr>
      <w:r w:rsidRPr="00135C6B">
        <w:t xml:space="preserve">Digested sludge cake is stored on the cake pad on the north-western </w:t>
      </w:r>
      <w:r w:rsidR="00D46657">
        <w:t xml:space="preserve">corner </w:t>
      </w:r>
      <w:r w:rsidRPr="00135C6B">
        <w:t xml:space="preserve">of the site, more than </w:t>
      </w:r>
      <w:r w:rsidR="000F6F61">
        <w:t>100m</w:t>
      </w:r>
      <w:r w:rsidRPr="00135C6B">
        <w:t xml:space="preserve"> away from sensitive receptors and the risk from bioaerosols is </w:t>
      </w:r>
      <w:r w:rsidR="000F6F61">
        <w:t xml:space="preserve">considered to be </w:t>
      </w:r>
      <w:r w:rsidRPr="00135C6B">
        <w:t>low</w:t>
      </w:r>
      <w:r w:rsidR="000F6F61">
        <w:rPr>
          <w:rFonts w:eastAsia="Times New Roman" w:cs="Times New Roman"/>
          <w:sz w:val="18"/>
          <w:szCs w:val="18"/>
          <w:lang w:val="en-AU"/>
        </w:rPr>
        <w:t>.</w:t>
      </w:r>
    </w:p>
    <w:p w:rsidRPr="00633DAF" w:rsidR="00D202BD" w:rsidP="00D202BD" w:rsidRDefault="00D202BD" w14:paraId="04E7DA12" w14:textId="06A8C7D0">
      <w:pPr>
        <w:pStyle w:val="BodyText"/>
      </w:pPr>
      <w:r w:rsidRPr="00633DAF">
        <w:t>In addition,</w:t>
      </w:r>
      <w:r w:rsidRPr="00633DAF" w:rsidR="00613F1D">
        <w:t xml:space="preserve"> </w:t>
      </w:r>
      <w:r w:rsidR="005A6061">
        <w:t>the majority of</w:t>
      </w:r>
      <w:r w:rsidRPr="00633DAF">
        <w:t xml:space="preserve"> storage tanks, treatment tanks and associated pipework are enclosed. The wet wells used to receive incoming sludge </w:t>
      </w:r>
      <w:r w:rsidRPr="00633DAF" w:rsidR="00613F1D">
        <w:t>has an OCU associated with it</w:t>
      </w:r>
      <w:r w:rsidRPr="00633DAF" w:rsidR="00633DAF">
        <w:t xml:space="preserve"> and the</w:t>
      </w:r>
      <w:r w:rsidRPr="00633DAF">
        <w:t xml:space="preserve"> PRVs are only open</w:t>
      </w:r>
      <w:r w:rsidRPr="00633DAF" w:rsidR="00856C61">
        <w:t>ed</w:t>
      </w:r>
      <w:r w:rsidRPr="00633DAF">
        <w:t xml:space="preserve"> in abnormal situations which are temporary and unlikely. </w:t>
      </w:r>
    </w:p>
    <w:p w:rsidR="00D202BD" w:rsidP="00F92C7B" w:rsidRDefault="00D202BD" w14:paraId="4DA5959E" w14:textId="4A79F25E">
      <w:pPr>
        <w:pStyle w:val="Heading2"/>
      </w:pPr>
      <w:bookmarkStart w:name="_Toc107998450" w:id="24"/>
      <w:r>
        <w:t>Pathways</w:t>
      </w:r>
      <w:bookmarkEnd w:id="24"/>
    </w:p>
    <w:p w:rsidR="00FB3FD0" w:rsidP="00D202BD" w:rsidRDefault="00D202BD" w14:paraId="111A1EDB" w14:textId="395DB205">
      <w:pPr>
        <w:pStyle w:val="BodyText"/>
      </w:pPr>
      <w:r>
        <w:t xml:space="preserve">Bioaerosols are very small and light in weight so can easily be transported by the wind from their source to a </w:t>
      </w:r>
      <w:r w:rsidR="00FB3FD0">
        <w:t xml:space="preserve">human health </w:t>
      </w:r>
      <w:r>
        <w:t>receptor</w:t>
      </w:r>
      <w:r w:rsidR="00FB3FD0">
        <w:t xml:space="preserve"> where they may be inhaled.</w:t>
      </w:r>
      <w:r>
        <w:t xml:space="preserve"> </w:t>
      </w:r>
    </w:p>
    <w:p w:rsidR="00D202BD" w:rsidP="00D202BD" w:rsidRDefault="00D202BD" w14:paraId="6469A743" w14:textId="1B4B3EFB">
      <w:pPr>
        <w:pStyle w:val="BodyText"/>
      </w:pPr>
      <w:r>
        <w:t>The 2019 wind rose for the most representative meteorological site, Heathrow airport (located approximately 1</w:t>
      </w:r>
      <w:r w:rsidR="00C742C3">
        <w:t>5</w:t>
      </w:r>
      <w:r w:rsidR="00EB545A">
        <w:t>.</w:t>
      </w:r>
      <w:r w:rsidR="00C742C3">
        <w:t>9</w:t>
      </w:r>
      <w:r>
        <w:t xml:space="preserve"> km </w:t>
      </w:r>
      <w:r w:rsidR="00EB545A">
        <w:t>South</w:t>
      </w:r>
      <w:r>
        <w:t xml:space="preserve"> of the Site), is shown in </w:t>
      </w:r>
      <w:r w:rsidR="00FB3FD0">
        <w:t>F</w:t>
      </w:r>
      <w:r>
        <w:t>igure 1.</w:t>
      </w:r>
    </w:p>
    <w:p w:rsidR="009B09F1" w:rsidP="00D202BD" w:rsidRDefault="00D202BD" w14:paraId="5A26425F" w14:textId="211757C6">
      <w:pPr>
        <w:pStyle w:val="BodyText"/>
        <w:sectPr w:rsidR="009B09F1" w:rsidSect="004104B3">
          <w:headerReference w:type="default" r:id="rId32"/>
          <w:pgSz w:w="11906" w:h="16838" w:orient="portrait" w:code="9"/>
          <w:pgMar w:top="1134" w:right="1134" w:bottom="567" w:left="1134" w:header="567" w:footer="0" w:gutter="0"/>
          <w:pgNumType w:start="1"/>
          <w:cols w:space="720"/>
          <w:docGrid w:linePitch="360"/>
        </w:sectPr>
      </w:pPr>
      <w:r>
        <w:t xml:space="preserve">The wind rose data shows that the site experiences strong prevailing south westerly winds, predominantly in excess of 6 knots. </w:t>
      </w:r>
    </w:p>
    <w:p w:rsidR="009B09F1" w:rsidP="00D202BD" w:rsidRDefault="009B09F1" w14:paraId="291F8102" w14:textId="2677B9F9">
      <w:pPr>
        <w:pStyle w:val="BodyText"/>
      </w:pPr>
    </w:p>
    <w:p w:rsidR="00D202BD" w:rsidP="00E5787E" w:rsidRDefault="00D202BD" w14:paraId="4AEE4D30" w14:textId="6D2F705F">
      <w:pPr>
        <w:pStyle w:val="TableHeading2"/>
      </w:pPr>
      <w:r>
        <w:t>Figure 1 – Heathrow</w:t>
      </w:r>
      <w:r w:rsidR="00E5787E">
        <w:t xml:space="preserve"> Airport</w:t>
      </w:r>
      <w:r>
        <w:t xml:space="preserve"> Wind rose (201</w:t>
      </w:r>
      <w:r w:rsidR="00E5787E">
        <w:t>9</w:t>
      </w:r>
      <w:r>
        <w:t>)</w:t>
      </w:r>
    </w:p>
    <w:p w:rsidR="00202947" w:rsidP="00E5787E" w:rsidRDefault="00202947" w14:paraId="4FF6EC1D" w14:textId="77777777">
      <w:pPr>
        <w:pStyle w:val="TableHeading2"/>
      </w:pPr>
    </w:p>
    <w:p w:rsidR="00D202BD" w:rsidP="00862EF1" w:rsidRDefault="0031618C" w14:paraId="5420E58A" w14:textId="601375C8">
      <w:pPr>
        <w:pStyle w:val="BodyText"/>
      </w:pPr>
      <w:r w:rsidRPr="0031618C">
        <w:rPr>
          <w:rFonts w:ascii="Jacobs Chronos" w:hAnsi="Jacobs Chronos" w:eastAsia="SimSun" w:cs="Jacobs Chronos"/>
          <w:noProof/>
          <w:sz w:val="22"/>
          <w:szCs w:val="22"/>
          <w:lang w:eastAsia="en-US"/>
        </w:rPr>
        <w:drawing>
          <wp:inline distT="0" distB="0" distL="0" distR="0" wp14:anchorId="659A7104" wp14:editId="70EE8DDA">
            <wp:extent cx="3576119" cy="34509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t="5698" r="2277"/>
                    <a:stretch/>
                  </pic:blipFill>
                  <pic:spPr bwMode="auto">
                    <a:xfrm>
                      <a:off x="0" y="0"/>
                      <a:ext cx="3678498" cy="3549715"/>
                    </a:xfrm>
                    <a:prstGeom prst="rect">
                      <a:avLst/>
                    </a:prstGeom>
                    <a:noFill/>
                    <a:ln>
                      <a:noFill/>
                    </a:ln>
                    <a:extLst>
                      <a:ext uri="{53640926-AAD7-44D8-BBD7-CCE9431645EC}">
                        <a14:shadowObscured xmlns:a14="http://schemas.microsoft.com/office/drawing/2010/main"/>
                      </a:ext>
                    </a:extLst>
                  </pic:spPr>
                </pic:pic>
              </a:graphicData>
            </a:graphic>
          </wp:inline>
        </w:drawing>
      </w:r>
    </w:p>
    <w:p w:rsidR="00E5787E" w:rsidP="00E5787E" w:rsidRDefault="00E5787E" w14:paraId="367A507A" w14:textId="56430AB1">
      <w:pPr>
        <w:pStyle w:val="BodyText"/>
      </w:pPr>
      <w:r>
        <w:t>Because of the dilution effect in open air, bioaerosol concentrations fall away rapidly with distance from the source.  It has been shown by research</w:t>
      </w:r>
      <w:r w:rsidR="002D6CE6">
        <w:t xml:space="preserve"> by the HSE</w:t>
      </w:r>
      <w:r>
        <w:rPr>
          <w:rStyle w:val="FootnoteReference"/>
        </w:rPr>
        <w:footnoteReference w:id="5"/>
      </w:r>
      <w:r>
        <w:t xml:space="preserve"> that by 100 to 200m away, the bioaerosol concentration has mostly returned to background levels. </w:t>
      </w:r>
      <w:r w:rsidR="00E53127">
        <w:t>Between</w:t>
      </w:r>
      <w:r>
        <w:t xml:space="preserve"> 50m and 100m distances downwind of the process, bioaerosol concentrations were substantially reduced by comparison to those level measurements at source. RR786 confirmed previous published studies which showed that at a distance of 250m from composting activity, in most cases, the bioaerosol concentrations will be reduced to background levels.</w:t>
      </w:r>
      <w:r w:rsidR="002D6CE6">
        <w:t xml:space="preserve"> Note that this research was undertaken on aerobic composting sites, which generate higher levels of bioaerosols than anaerobic digestion sites, </w:t>
      </w:r>
      <w:r w:rsidR="00E46A35">
        <w:t>although the 250m separation distance has been retained.</w:t>
      </w:r>
    </w:p>
    <w:p w:rsidRPr="007C7D54" w:rsidR="007C7D54" w:rsidP="007C7D54" w:rsidRDefault="007C7D54" w14:paraId="754D106F" w14:textId="77777777">
      <w:pPr>
        <w:pStyle w:val="BodyText"/>
        <w:rPr>
          <w:rFonts w:eastAsiaTheme="majorEastAsia" w:cstheme="majorBidi"/>
          <w:b/>
          <w:sz w:val="28"/>
          <w:szCs w:val="26"/>
        </w:rPr>
      </w:pPr>
      <w:r w:rsidRPr="007C7D54">
        <w:t>At present, Thames Water do not have quantitative data for the levels of bioaerosols that might be associated with the potential sources at their sludge treatment centres. As a responsible operator, Thames Water are arranging for bioaerosol monitoring at a number of typical STC’s in order to confirm that the understanding of the wider waste water treatment industry, that sewage sludge treatment processes do not give rise to elevated levels of bioaerosols, is correct. The sampling will be in accordance with the requirements of M9 and M17, and consist of a series of agar gel plates being placed downwind and upwind of the cake pad, including sampling points both directly upwind of the downwind sampling point and additional samples in the direction of the nearest sensitive receptors.</w:t>
      </w:r>
    </w:p>
    <w:p w:rsidRPr="00262B56" w:rsidR="00E5787E" w:rsidP="00262B56" w:rsidRDefault="00E5787E" w14:paraId="569B6B2C" w14:textId="1189FA1E">
      <w:pPr>
        <w:pStyle w:val="Heading2"/>
      </w:pPr>
      <w:bookmarkStart w:name="_Toc107998451" w:id="25"/>
      <w:r w:rsidRPr="00262B56">
        <w:rPr>
          <w:rStyle w:val="Heading2Char"/>
          <w:b/>
        </w:rPr>
        <w:t>Receptors</w:t>
      </w:r>
      <w:bookmarkEnd w:id="25"/>
    </w:p>
    <w:p w:rsidR="00E5787E" w:rsidP="00E5787E" w:rsidRDefault="00E5787E" w14:paraId="236B4908" w14:textId="30CACB8E">
      <w:pPr>
        <w:pStyle w:val="BodyText"/>
      </w:pPr>
      <w:r>
        <w:t xml:space="preserve">Environment Agency guidance note M9 recommends a screening distance of 250m from bioaerosol emission sources to static receptor locations. Sensitive receptors are defined as: ‘permitted activities where people are likely to be for prolonged periods’. This term would therefore apply to dwellings (including any associated gardens) and to many types of workplaces. We would not normally regard a place where people are likely to be present for less than 6 hours at one time as being a sensitive receptor. The term does not apply to those controlling the permitted facility, their staff when they are at work or to visitors to the facility, as their health </w:t>
      </w:r>
      <w:r>
        <w:t>is covered by Health and Safety at Work legislation but would apply to dwellings</w:t>
      </w:r>
      <w:r w:rsidR="007106EC">
        <w:t>, commercial or industrial premises nearby where people might be exposed for the requisite period.</w:t>
      </w:r>
    </w:p>
    <w:p w:rsidR="007106EC" w:rsidP="00E5787E" w:rsidRDefault="00E5787E" w14:paraId="721BAA4E" w14:textId="57FF7F40">
      <w:pPr>
        <w:pStyle w:val="BodyText"/>
      </w:pPr>
      <w:r w:rsidRPr="000B49CE">
        <w:t xml:space="preserve">There are </w:t>
      </w:r>
      <w:r w:rsidR="00C1760D">
        <w:t xml:space="preserve">three </w:t>
      </w:r>
      <w:r w:rsidRPr="000B49CE">
        <w:t xml:space="preserve">sensitive receptors found within 250m of potential bioaerosol emission sources at the </w:t>
      </w:r>
      <w:r w:rsidRPr="000B49CE" w:rsidR="007106EC">
        <w:t>s</w:t>
      </w:r>
      <w:r w:rsidR="00C1760D">
        <w:t>ite, as shown on the</w:t>
      </w:r>
      <w:r w:rsidRPr="000B49CE">
        <w:t xml:space="preserve"> site plan found </w:t>
      </w:r>
      <w:r>
        <w:t xml:space="preserve">in Appendix </w:t>
      </w:r>
      <w:r w:rsidR="007B2F27">
        <w:t>C.</w:t>
      </w:r>
    </w:p>
    <w:p w:rsidR="00E5787E" w:rsidP="00E5787E" w:rsidRDefault="00E5787E" w14:paraId="65DD8DC6" w14:textId="09BC24A6">
      <w:pPr>
        <w:pStyle w:val="BodyText"/>
      </w:pPr>
      <w:r>
        <w:t xml:space="preserve">For each of these </w:t>
      </w:r>
      <w:r w:rsidR="00FF23A0">
        <w:t>receptors</w:t>
      </w:r>
      <w:r>
        <w:t xml:space="preserve">, the distance and direction from each potential bioaerosol emission source to the </w:t>
      </w:r>
      <w:r w:rsidRPr="00FF23A0">
        <w:t xml:space="preserve">closest sensitive receptor has been identified. Where multiple assets exist for the same process, such as cake bays, only the closest location has been presented. The receptor closest to a potential emission source </w:t>
      </w:r>
      <w:r w:rsidRPr="00FF23A0" w:rsidR="00FF23A0">
        <w:t xml:space="preserve">are </w:t>
      </w:r>
      <w:r w:rsidR="00401292">
        <w:t xml:space="preserve">buildings associated with </w:t>
      </w:r>
      <w:r w:rsidR="00D46657">
        <w:t>Maple Lodge Nature Reserve</w:t>
      </w:r>
      <w:r w:rsidRPr="00FF23A0">
        <w:t xml:space="preserve">, </w:t>
      </w:r>
      <w:r w:rsidRPr="00FF23A0" w:rsidR="00FF23A0">
        <w:t xml:space="preserve">approximately </w:t>
      </w:r>
      <w:r w:rsidR="00D46657">
        <w:t>2</w:t>
      </w:r>
      <w:r w:rsidRPr="00FF23A0" w:rsidR="00FF23A0">
        <w:t xml:space="preserve">0m </w:t>
      </w:r>
      <w:r w:rsidR="00D46657">
        <w:t>West</w:t>
      </w:r>
      <w:r w:rsidR="00FB3FD0">
        <w:t xml:space="preserve"> </w:t>
      </w:r>
      <w:r w:rsidRPr="00FF23A0" w:rsidR="00FF23A0">
        <w:t>of the Odour Control Unit</w:t>
      </w:r>
      <w:r w:rsidRPr="00FF23A0">
        <w:t>.</w:t>
      </w:r>
    </w:p>
    <w:p w:rsidR="00FF23A0" w:rsidP="00E5787E" w:rsidRDefault="00FF23A0" w14:paraId="193B4214" w14:textId="77777777">
      <w:pPr>
        <w:pStyle w:val="BodyText"/>
      </w:pPr>
    </w:p>
    <w:p w:rsidR="0035215F" w:rsidP="00D677F8" w:rsidRDefault="0035215F" w14:paraId="3BACF673" w14:textId="6191D4ED">
      <w:pPr>
        <w:pStyle w:val="TableHeading2"/>
      </w:pPr>
      <w:r w:rsidRPr="0035215F">
        <w:t xml:space="preserve">Table 2: Static Receptors within 250m of Potential Bioaerosol Sources </w:t>
      </w:r>
    </w:p>
    <w:tbl>
      <w:tblPr>
        <w:tblStyle w:val="JacobsTable1accentprimarythemes"/>
        <w:tblW w:w="5000" w:type="pct"/>
        <w:tblLook w:val="04A0" w:firstRow="1" w:lastRow="0" w:firstColumn="1" w:lastColumn="0" w:noHBand="0" w:noVBand="1"/>
      </w:tblPr>
      <w:tblGrid>
        <w:gridCol w:w="1275"/>
        <w:gridCol w:w="2410"/>
        <w:gridCol w:w="1845"/>
        <w:gridCol w:w="2180"/>
        <w:gridCol w:w="1928"/>
      </w:tblGrid>
      <w:tr w:rsidRPr="009A1ABC" w:rsidR="007D20E4" w:rsidTr="00D768DF" w14:paraId="1D5F1690" w14:textId="77777777">
        <w:trPr>
          <w:cnfStyle w:val="100000000000" w:firstRow="1" w:lastRow="0" w:firstColumn="0" w:lastColumn="0" w:oddVBand="0" w:evenVBand="0" w:oddHBand="0" w:evenHBand="0" w:firstRowFirstColumn="0" w:firstRowLastColumn="0" w:lastRowFirstColumn="0" w:lastRowLastColumn="0"/>
        </w:trPr>
        <w:tc>
          <w:tcPr>
            <w:tcW w:w="661" w:type="pct"/>
          </w:tcPr>
          <w:p w:rsidRPr="009A1ABC" w:rsidR="007D20E4" w:rsidP="007D20E4" w:rsidRDefault="007D20E4" w14:paraId="0A6EF150" w14:textId="0E42E1EA">
            <w:pPr>
              <w:pStyle w:val="BodyText"/>
              <w:rPr>
                <w:sz w:val="20"/>
              </w:rPr>
            </w:pPr>
            <w:r w:rsidRPr="009A1ABC">
              <w:rPr>
                <w:sz w:val="20"/>
              </w:rPr>
              <w:t xml:space="preserve">Receptor </w:t>
            </w:r>
          </w:p>
        </w:tc>
        <w:tc>
          <w:tcPr>
            <w:tcW w:w="1250" w:type="pct"/>
          </w:tcPr>
          <w:p w:rsidRPr="009A1ABC" w:rsidR="007D20E4" w:rsidP="007D20E4" w:rsidRDefault="007D20E4" w14:paraId="5D2C501E" w14:textId="36E18E72">
            <w:pPr>
              <w:pStyle w:val="BodyText"/>
              <w:rPr>
                <w:sz w:val="20"/>
              </w:rPr>
            </w:pPr>
            <w:r w:rsidRPr="009A1ABC">
              <w:rPr>
                <w:sz w:val="20"/>
              </w:rPr>
              <w:t>Description</w:t>
            </w:r>
          </w:p>
        </w:tc>
        <w:tc>
          <w:tcPr>
            <w:tcW w:w="957" w:type="pct"/>
          </w:tcPr>
          <w:p w:rsidRPr="009A1ABC" w:rsidR="007D20E4" w:rsidP="007D20E4" w:rsidRDefault="007D20E4" w14:paraId="080A88BC" w14:textId="06228D59">
            <w:pPr>
              <w:pStyle w:val="BodyText"/>
              <w:rPr>
                <w:sz w:val="20"/>
              </w:rPr>
            </w:pPr>
            <w:r w:rsidRPr="009A1ABC">
              <w:rPr>
                <w:sz w:val="20"/>
              </w:rPr>
              <w:t>Source</w:t>
            </w:r>
          </w:p>
        </w:tc>
        <w:tc>
          <w:tcPr>
            <w:tcW w:w="1131" w:type="pct"/>
          </w:tcPr>
          <w:p w:rsidRPr="009A1ABC" w:rsidR="007D20E4" w:rsidP="007D20E4" w:rsidRDefault="007D20E4" w14:paraId="172C551D" w14:textId="76955251">
            <w:pPr>
              <w:pStyle w:val="BodyText"/>
              <w:rPr>
                <w:sz w:val="20"/>
              </w:rPr>
            </w:pPr>
            <w:r w:rsidRPr="009A1ABC">
              <w:rPr>
                <w:sz w:val="20"/>
              </w:rPr>
              <w:t>Distance from closest source (m)</w:t>
            </w:r>
          </w:p>
        </w:tc>
        <w:tc>
          <w:tcPr>
            <w:tcW w:w="1000" w:type="pct"/>
          </w:tcPr>
          <w:p w:rsidRPr="009A1ABC" w:rsidR="007D20E4" w:rsidP="007D20E4" w:rsidRDefault="007D20E4" w14:paraId="1AC9F196" w14:textId="287C73BA">
            <w:pPr>
              <w:pStyle w:val="BodyText"/>
              <w:rPr>
                <w:sz w:val="20"/>
              </w:rPr>
            </w:pPr>
            <w:r w:rsidRPr="009A1ABC">
              <w:rPr>
                <w:sz w:val="20"/>
              </w:rPr>
              <w:t xml:space="preserve">Direction from the </w:t>
            </w:r>
            <w:r w:rsidR="004F3CA1">
              <w:rPr>
                <w:sz w:val="20"/>
              </w:rPr>
              <w:t>Source</w:t>
            </w:r>
          </w:p>
        </w:tc>
      </w:tr>
      <w:tr w:rsidRPr="009A1ABC" w:rsidR="00D768DF" w:rsidTr="00D768DF" w14:paraId="39E22932" w14:textId="77777777">
        <w:tc>
          <w:tcPr>
            <w:tcW w:w="661" w:type="pct"/>
            <w:vMerge w:val="restart"/>
          </w:tcPr>
          <w:p w:rsidRPr="009D7025" w:rsidR="00D768DF" w:rsidP="00D768DF" w:rsidRDefault="00D768DF" w14:paraId="67F837CE" w14:textId="59E746C5">
            <w:pPr>
              <w:pStyle w:val="BodyText"/>
              <w:rPr>
                <w:rFonts w:cstheme="minorHAnsi"/>
                <w:sz w:val="20"/>
              </w:rPr>
            </w:pPr>
            <w:r w:rsidRPr="009D7025">
              <w:rPr>
                <w:rStyle w:val="eop"/>
                <w:rFonts w:eastAsiaTheme="majorEastAsia" w:cstheme="minorHAnsi"/>
                <w:sz w:val="20"/>
              </w:rPr>
              <w:t>R</w:t>
            </w:r>
            <w:r w:rsidRPr="009D7025" w:rsidR="00110FC1">
              <w:rPr>
                <w:rStyle w:val="eop"/>
                <w:rFonts w:eastAsiaTheme="majorEastAsia" w:cstheme="minorHAnsi"/>
                <w:sz w:val="20"/>
              </w:rPr>
              <w:t>1</w:t>
            </w:r>
          </w:p>
        </w:tc>
        <w:tc>
          <w:tcPr>
            <w:tcW w:w="1250" w:type="pct"/>
            <w:vMerge w:val="restart"/>
          </w:tcPr>
          <w:p w:rsidRPr="009D7025" w:rsidR="005E2B00" w:rsidP="0056655C" w:rsidRDefault="0056655C" w14:paraId="6E8728FF" w14:textId="77777777">
            <w:pPr>
              <w:pStyle w:val="paragraph"/>
              <w:textAlignment w:val="baseline"/>
              <w:rPr>
                <w:rFonts w:asciiTheme="minorHAnsi" w:hAnsiTheme="minorHAnsi" w:cstheme="minorHAnsi"/>
                <w:sz w:val="20"/>
                <w:szCs w:val="20"/>
              </w:rPr>
            </w:pPr>
            <w:r w:rsidRPr="009D7025">
              <w:rPr>
                <w:rFonts w:asciiTheme="minorHAnsi" w:hAnsiTheme="minorHAnsi" w:cstheme="minorHAnsi"/>
                <w:sz w:val="20"/>
                <w:szCs w:val="20"/>
              </w:rPr>
              <w:t xml:space="preserve">Recreational: </w:t>
            </w:r>
          </w:p>
          <w:p w:rsidRPr="009D7025" w:rsidR="005E2B00" w:rsidP="005E2B00" w:rsidRDefault="0056655C" w14:paraId="3881BFAA" w14:textId="30608D8B">
            <w:pPr>
              <w:pStyle w:val="paragraph"/>
              <w:textAlignment w:val="baseline"/>
              <w:rPr>
                <w:rFonts w:asciiTheme="minorHAnsi" w:hAnsiTheme="minorHAnsi" w:eastAsiaTheme="majorEastAsia" w:cstheme="minorHAnsi"/>
                <w:sz w:val="20"/>
                <w:szCs w:val="20"/>
              </w:rPr>
            </w:pPr>
            <w:r w:rsidRPr="009D7025">
              <w:rPr>
                <w:rFonts w:asciiTheme="minorHAnsi" w:hAnsiTheme="minorHAnsi" w:eastAsiaTheme="majorEastAsia" w:cstheme="minorHAnsi"/>
                <w:sz w:val="20"/>
                <w:szCs w:val="20"/>
              </w:rPr>
              <w:t>Springwell Reedbed</w:t>
            </w:r>
            <w:r w:rsidRPr="009D7025" w:rsidR="00E36C68">
              <w:rPr>
                <w:rFonts w:asciiTheme="minorHAnsi" w:hAnsiTheme="minorHAnsi" w:eastAsiaTheme="majorEastAsia" w:cstheme="minorHAnsi"/>
                <w:sz w:val="20"/>
                <w:szCs w:val="20"/>
              </w:rPr>
              <w:t>/Lake*</w:t>
            </w:r>
          </w:p>
        </w:tc>
        <w:tc>
          <w:tcPr>
            <w:tcW w:w="957" w:type="pct"/>
          </w:tcPr>
          <w:p w:rsidRPr="009D7025" w:rsidR="00D768DF" w:rsidP="00D768DF" w:rsidRDefault="00F53C6E" w14:paraId="64A2B0D3" w14:textId="5966260D">
            <w:pPr>
              <w:pStyle w:val="BodyText"/>
              <w:rPr>
                <w:sz w:val="20"/>
              </w:rPr>
            </w:pPr>
            <w:r w:rsidRPr="009D7025">
              <w:rPr>
                <w:sz w:val="20"/>
              </w:rPr>
              <w:t>Cake pad</w:t>
            </w:r>
          </w:p>
        </w:tc>
        <w:tc>
          <w:tcPr>
            <w:tcW w:w="1131" w:type="pct"/>
          </w:tcPr>
          <w:p w:rsidRPr="009D7025" w:rsidR="00D768DF" w:rsidP="00D768DF" w:rsidRDefault="00F53C6E" w14:paraId="50668736" w14:textId="677614B0">
            <w:pPr>
              <w:pStyle w:val="BodyText"/>
              <w:rPr>
                <w:sz w:val="20"/>
              </w:rPr>
            </w:pPr>
            <w:r w:rsidRPr="009D7025">
              <w:rPr>
                <w:sz w:val="20"/>
              </w:rPr>
              <w:t>100m</w:t>
            </w:r>
          </w:p>
        </w:tc>
        <w:tc>
          <w:tcPr>
            <w:tcW w:w="1000" w:type="pct"/>
          </w:tcPr>
          <w:p w:rsidRPr="009D7025" w:rsidR="00D768DF" w:rsidP="00D768DF" w:rsidRDefault="00F53C6E" w14:paraId="085E066D" w14:textId="15B2D28E">
            <w:pPr>
              <w:pStyle w:val="BodyText"/>
              <w:rPr>
                <w:sz w:val="20"/>
              </w:rPr>
            </w:pPr>
            <w:r w:rsidRPr="009D7025">
              <w:rPr>
                <w:sz w:val="20"/>
              </w:rPr>
              <w:t>North</w:t>
            </w:r>
            <w:r w:rsidRPr="009D7025" w:rsidR="00D348C9">
              <w:rPr>
                <w:sz w:val="20"/>
              </w:rPr>
              <w:t>- East</w:t>
            </w:r>
          </w:p>
        </w:tc>
      </w:tr>
      <w:tr w:rsidRPr="009A1ABC" w:rsidR="00D768DF" w:rsidTr="00110FC1" w14:paraId="7345A5B3" w14:textId="77777777">
        <w:trPr>
          <w:trHeight w:val="821"/>
        </w:trPr>
        <w:tc>
          <w:tcPr>
            <w:tcW w:w="661" w:type="pct"/>
            <w:vMerge/>
          </w:tcPr>
          <w:p w:rsidRPr="009D7025" w:rsidR="00D768DF" w:rsidP="00D768DF" w:rsidRDefault="00D768DF" w14:paraId="7C808E09" w14:textId="77777777">
            <w:pPr>
              <w:pStyle w:val="BodyText"/>
              <w:rPr>
                <w:rFonts w:cstheme="minorHAnsi"/>
                <w:sz w:val="20"/>
              </w:rPr>
            </w:pPr>
          </w:p>
        </w:tc>
        <w:tc>
          <w:tcPr>
            <w:tcW w:w="1250" w:type="pct"/>
            <w:vMerge/>
          </w:tcPr>
          <w:p w:rsidRPr="009D7025" w:rsidR="00D768DF" w:rsidP="00D768DF" w:rsidRDefault="00D768DF" w14:paraId="6AD5E581" w14:textId="77777777">
            <w:pPr>
              <w:pStyle w:val="BodyText"/>
              <w:rPr>
                <w:rFonts w:cstheme="minorHAnsi"/>
                <w:sz w:val="20"/>
              </w:rPr>
            </w:pPr>
          </w:p>
        </w:tc>
        <w:tc>
          <w:tcPr>
            <w:tcW w:w="957" w:type="pct"/>
          </w:tcPr>
          <w:p w:rsidRPr="009D7025" w:rsidR="00110FC1" w:rsidP="00110FC1" w:rsidRDefault="00143D81" w14:paraId="2AD277FB" w14:textId="70951E5A">
            <w:pPr>
              <w:pStyle w:val="BodyText"/>
              <w:rPr>
                <w:sz w:val="20"/>
              </w:rPr>
            </w:pPr>
            <w:r w:rsidRPr="009D7025">
              <w:rPr>
                <w:sz w:val="20"/>
              </w:rPr>
              <w:t>OCU</w:t>
            </w:r>
          </w:p>
        </w:tc>
        <w:tc>
          <w:tcPr>
            <w:tcW w:w="1131" w:type="pct"/>
          </w:tcPr>
          <w:p w:rsidRPr="009D7025" w:rsidR="00110FC1" w:rsidP="00110FC1" w:rsidRDefault="008F59D9" w14:paraId="6751A43C" w14:textId="72AAF478">
            <w:pPr>
              <w:pStyle w:val="BodyText"/>
              <w:rPr>
                <w:rFonts w:eastAsiaTheme="majorEastAsia" w:cstheme="minorHAnsi"/>
                <w:sz w:val="20"/>
              </w:rPr>
            </w:pPr>
            <w:r w:rsidRPr="009D7025">
              <w:rPr>
                <w:rFonts w:eastAsiaTheme="majorEastAsia" w:cstheme="minorHAnsi"/>
                <w:sz w:val="20"/>
              </w:rPr>
              <w:t>220m</w:t>
            </w:r>
          </w:p>
        </w:tc>
        <w:tc>
          <w:tcPr>
            <w:tcW w:w="1000" w:type="pct"/>
          </w:tcPr>
          <w:p w:rsidRPr="009D7025" w:rsidR="00110FC1" w:rsidP="00110FC1" w:rsidRDefault="00143D81" w14:paraId="421679A6" w14:textId="6EE03F42">
            <w:pPr>
              <w:pStyle w:val="BodyText"/>
              <w:rPr>
                <w:rFonts w:cstheme="minorHAnsi"/>
                <w:sz w:val="20"/>
              </w:rPr>
            </w:pPr>
            <w:r w:rsidRPr="009D7025">
              <w:rPr>
                <w:rFonts w:cstheme="minorHAnsi"/>
                <w:sz w:val="20"/>
              </w:rPr>
              <w:t>East</w:t>
            </w:r>
          </w:p>
        </w:tc>
      </w:tr>
      <w:tr w:rsidRPr="009A1ABC" w:rsidR="007D34A1" w:rsidTr="00D768DF" w14:paraId="4D670B7E" w14:textId="77777777">
        <w:tc>
          <w:tcPr>
            <w:tcW w:w="661" w:type="pct"/>
            <w:vMerge w:val="restart"/>
          </w:tcPr>
          <w:p w:rsidRPr="009D7025" w:rsidR="007D34A1" w:rsidP="00D768DF" w:rsidRDefault="007D34A1" w14:paraId="49A4F44E" w14:textId="75B26C0B">
            <w:pPr>
              <w:pStyle w:val="BodyText"/>
              <w:rPr>
                <w:rFonts w:cstheme="minorHAnsi"/>
                <w:sz w:val="20"/>
              </w:rPr>
            </w:pPr>
            <w:r w:rsidRPr="009D7025">
              <w:rPr>
                <w:rFonts w:cstheme="minorHAnsi"/>
                <w:sz w:val="20"/>
              </w:rPr>
              <w:t>R</w:t>
            </w:r>
            <w:r w:rsidR="00AF128B">
              <w:rPr>
                <w:rFonts w:cstheme="minorHAnsi"/>
                <w:sz w:val="20"/>
              </w:rPr>
              <w:t>2</w:t>
            </w:r>
          </w:p>
        </w:tc>
        <w:tc>
          <w:tcPr>
            <w:tcW w:w="1250" w:type="pct"/>
            <w:vMerge w:val="restart"/>
          </w:tcPr>
          <w:p w:rsidRPr="009D7025" w:rsidR="007D34A1" w:rsidP="008B7468" w:rsidRDefault="007D34A1" w14:paraId="583D20FD" w14:textId="11321476">
            <w:pPr>
              <w:pStyle w:val="BodyText"/>
              <w:rPr>
                <w:rFonts w:cstheme="minorHAnsi"/>
                <w:sz w:val="20"/>
              </w:rPr>
            </w:pPr>
            <w:r w:rsidRPr="009D7025">
              <w:rPr>
                <w:rFonts w:cstheme="minorHAnsi"/>
                <w:sz w:val="20"/>
              </w:rPr>
              <w:t>Recreational: Maple Lodge Nature Reserve**</w:t>
            </w:r>
          </w:p>
        </w:tc>
        <w:tc>
          <w:tcPr>
            <w:tcW w:w="957" w:type="pct"/>
          </w:tcPr>
          <w:p w:rsidRPr="009D7025" w:rsidR="007D34A1" w:rsidP="00D768DF" w:rsidRDefault="007D34A1" w14:paraId="3C275CC8" w14:textId="222171BB">
            <w:pPr>
              <w:pStyle w:val="BodyText"/>
              <w:rPr>
                <w:sz w:val="20"/>
              </w:rPr>
            </w:pPr>
            <w:r w:rsidRPr="009D7025">
              <w:rPr>
                <w:sz w:val="20"/>
              </w:rPr>
              <w:t>Cake Pad</w:t>
            </w:r>
          </w:p>
        </w:tc>
        <w:tc>
          <w:tcPr>
            <w:tcW w:w="1131" w:type="pct"/>
          </w:tcPr>
          <w:p w:rsidRPr="009D7025" w:rsidR="007D34A1" w:rsidP="00D768DF" w:rsidRDefault="007D34A1" w14:paraId="4D1F3A73" w14:textId="0AD575A2">
            <w:pPr>
              <w:pStyle w:val="BodyText"/>
              <w:rPr>
                <w:sz w:val="20"/>
              </w:rPr>
            </w:pPr>
            <w:r w:rsidRPr="009D7025">
              <w:rPr>
                <w:sz w:val="20"/>
              </w:rPr>
              <w:t xml:space="preserve">115m </w:t>
            </w:r>
          </w:p>
        </w:tc>
        <w:tc>
          <w:tcPr>
            <w:tcW w:w="1000" w:type="pct"/>
          </w:tcPr>
          <w:p w:rsidRPr="009D7025" w:rsidR="007D34A1" w:rsidP="00D768DF" w:rsidRDefault="007D34A1" w14:paraId="421226CB" w14:textId="46896A58">
            <w:pPr>
              <w:pStyle w:val="BodyText"/>
              <w:rPr>
                <w:sz w:val="20"/>
              </w:rPr>
            </w:pPr>
            <w:r w:rsidRPr="009D7025">
              <w:rPr>
                <w:sz w:val="20"/>
              </w:rPr>
              <w:t>West</w:t>
            </w:r>
          </w:p>
        </w:tc>
      </w:tr>
      <w:tr w:rsidRPr="009A1ABC" w:rsidR="007D34A1" w:rsidTr="00D768DF" w14:paraId="6C146AF6" w14:textId="77777777">
        <w:tc>
          <w:tcPr>
            <w:tcW w:w="661" w:type="pct"/>
            <w:vMerge/>
          </w:tcPr>
          <w:p w:rsidRPr="009D7025" w:rsidR="007D34A1" w:rsidP="00D768DF" w:rsidRDefault="007D34A1" w14:paraId="3B4452AF" w14:textId="77777777">
            <w:pPr>
              <w:pStyle w:val="BodyText"/>
              <w:rPr>
                <w:rFonts w:cstheme="minorHAnsi"/>
                <w:sz w:val="20"/>
              </w:rPr>
            </w:pPr>
          </w:p>
        </w:tc>
        <w:tc>
          <w:tcPr>
            <w:tcW w:w="1250" w:type="pct"/>
            <w:vMerge/>
          </w:tcPr>
          <w:p w:rsidRPr="009D7025" w:rsidR="007D34A1" w:rsidP="008B7468" w:rsidRDefault="007D34A1" w14:paraId="4724DC24" w14:textId="77777777">
            <w:pPr>
              <w:pStyle w:val="BodyText"/>
              <w:rPr>
                <w:rFonts w:cstheme="minorHAnsi"/>
                <w:sz w:val="20"/>
              </w:rPr>
            </w:pPr>
          </w:p>
        </w:tc>
        <w:tc>
          <w:tcPr>
            <w:tcW w:w="957" w:type="pct"/>
          </w:tcPr>
          <w:p w:rsidRPr="009D7025" w:rsidR="007D34A1" w:rsidP="00D768DF" w:rsidRDefault="007D34A1" w14:paraId="6C1E1F60" w14:textId="1D571D8F">
            <w:pPr>
              <w:pStyle w:val="BodyText"/>
              <w:rPr>
                <w:sz w:val="20"/>
              </w:rPr>
            </w:pPr>
            <w:r w:rsidRPr="009D7025">
              <w:rPr>
                <w:sz w:val="20"/>
              </w:rPr>
              <w:t>OCU</w:t>
            </w:r>
          </w:p>
        </w:tc>
        <w:tc>
          <w:tcPr>
            <w:tcW w:w="1131" w:type="pct"/>
          </w:tcPr>
          <w:p w:rsidRPr="009D7025" w:rsidR="007D34A1" w:rsidP="00D768DF" w:rsidRDefault="007D34A1" w14:paraId="5AA69EF5" w14:textId="11891D9D">
            <w:pPr>
              <w:pStyle w:val="BodyText"/>
              <w:rPr>
                <w:sz w:val="20"/>
              </w:rPr>
            </w:pPr>
            <w:r w:rsidRPr="009D7025">
              <w:rPr>
                <w:sz w:val="20"/>
              </w:rPr>
              <w:t>20m</w:t>
            </w:r>
          </w:p>
        </w:tc>
        <w:tc>
          <w:tcPr>
            <w:tcW w:w="1000" w:type="pct"/>
          </w:tcPr>
          <w:p w:rsidRPr="009D7025" w:rsidR="007D34A1" w:rsidP="00D768DF" w:rsidRDefault="007D34A1" w14:paraId="452D0B39" w14:textId="4BF5B705">
            <w:pPr>
              <w:pStyle w:val="BodyText"/>
              <w:rPr>
                <w:sz w:val="20"/>
              </w:rPr>
            </w:pPr>
            <w:r w:rsidRPr="009D7025">
              <w:rPr>
                <w:sz w:val="20"/>
              </w:rPr>
              <w:t>West</w:t>
            </w:r>
          </w:p>
        </w:tc>
      </w:tr>
      <w:tr w:rsidRPr="009A1ABC" w:rsidR="00FB6ECD" w:rsidTr="00D768DF" w14:paraId="219E9086" w14:textId="77777777">
        <w:tc>
          <w:tcPr>
            <w:tcW w:w="661" w:type="pct"/>
          </w:tcPr>
          <w:p w:rsidRPr="009D7025" w:rsidR="00FB6ECD" w:rsidP="00D768DF" w:rsidRDefault="00AF128B" w14:paraId="422DC403" w14:textId="53FB9226">
            <w:pPr>
              <w:pStyle w:val="BodyText"/>
              <w:rPr>
                <w:rFonts w:cstheme="minorHAnsi"/>
                <w:sz w:val="20"/>
              </w:rPr>
            </w:pPr>
            <w:r>
              <w:rPr>
                <w:rFonts w:cstheme="minorHAnsi"/>
                <w:sz w:val="20"/>
              </w:rPr>
              <w:t>R3</w:t>
            </w:r>
          </w:p>
        </w:tc>
        <w:tc>
          <w:tcPr>
            <w:tcW w:w="1250" w:type="pct"/>
          </w:tcPr>
          <w:p w:rsidRPr="009D7025" w:rsidR="005E2B00" w:rsidP="008B7468" w:rsidRDefault="005E2B00" w14:paraId="7F6F15C1" w14:textId="77777777">
            <w:pPr>
              <w:pStyle w:val="BodyText"/>
              <w:rPr>
                <w:rFonts w:cstheme="minorHAnsi"/>
                <w:sz w:val="20"/>
              </w:rPr>
            </w:pPr>
            <w:r w:rsidRPr="009D7025">
              <w:rPr>
                <w:rFonts w:cstheme="minorHAnsi"/>
                <w:sz w:val="20"/>
              </w:rPr>
              <w:t>Residential:</w:t>
            </w:r>
          </w:p>
          <w:p w:rsidRPr="009D7025" w:rsidR="00FB6ECD" w:rsidP="008B7468" w:rsidRDefault="00FB6ECD" w14:paraId="70C58725" w14:textId="72CA82E5">
            <w:pPr>
              <w:pStyle w:val="BodyText"/>
              <w:rPr>
                <w:rFonts w:cstheme="minorHAnsi"/>
                <w:sz w:val="20"/>
              </w:rPr>
            </w:pPr>
            <w:r w:rsidRPr="009D7025">
              <w:rPr>
                <w:rFonts w:cstheme="minorHAnsi"/>
                <w:sz w:val="20"/>
              </w:rPr>
              <w:t>M</w:t>
            </w:r>
            <w:r w:rsidRPr="009D7025">
              <w:rPr>
                <w:sz w:val="20"/>
              </w:rPr>
              <w:t>aple Lodge Close</w:t>
            </w:r>
            <w:r w:rsidRPr="009D7025" w:rsidR="007A58DC">
              <w:rPr>
                <w:sz w:val="20"/>
              </w:rPr>
              <w:t xml:space="preserve"> (taken as closest building</w:t>
            </w:r>
            <w:r w:rsidR="0055306C">
              <w:rPr>
                <w:sz w:val="20"/>
              </w:rPr>
              <w:t>)</w:t>
            </w:r>
          </w:p>
        </w:tc>
        <w:tc>
          <w:tcPr>
            <w:tcW w:w="957" w:type="pct"/>
          </w:tcPr>
          <w:p w:rsidRPr="009D7025" w:rsidR="00FB6ECD" w:rsidP="00D768DF" w:rsidRDefault="007A58DC" w14:paraId="64DE9166" w14:textId="0792240D">
            <w:pPr>
              <w:pStyle w:val="BodyText"/>
              <w:rPr>
                <w:sz w:val="20"/>
              </w:rPr>
            </w:pPr>
            <w:r w:rsidRPr="009D7025">
              <w:rPr>
                <w:sz w:val="20"/>
              </w:rPr>
              <w:t>OCU</w:t>
            </w:r>
          </w:p>
        </w:tc>
        <w:tc>
          <w:tcPr>
            <w:tcW w:w="1131" w:type="pct"/>
          </w:tcPr>
          <w:p w:rsidRPr="009D7025" w:rsidR="00FB6ECD" w:rsidP="00D768DF" w:rsidRDefault="005337E1" w14:paraId="497CD2BE" w14:textId="2DA4E6FA">
            <w:pPr>
              <w:pStyle w:val="BodyText"/>
              <w:rPr>
                <w:sz w:val="20"/>
              </w:rPr>
            </w:pPr>
            <w:r w:rsidRPr="009D7025">
              <w:rPr>
                <w:sz w:val="20"/>
              </w:rPr>
              <w:t>125m</w:t>
            </w:r>
          </w:p>
        </w:tc>
        <w:tc>
          <w:tcPr>
            <w:tcW w:w="1000" w:type="pct"/>
          </w:tcPr>
          <w:p w:rsidRPr="009D7025" w:rsidR="00FB6ECD" w:rsidP="00D768DF" w:rsidRDefault="007A58DC" w14:paraId="54AD90F3" w14:textId="49A970AB">
            <w:pPr>
              <w:pStyle w:val="BodyText"/>
              <w:rPr>
                <w:sz w:val="20"/>
              </w:rPr>
            </w:pPr>
            <w:r w:rsidRPr="009D7025">
              <w:rPr>
                <w:sz w:val="20"/>
              </w:rPr>
              <w:t>North-West</w:t>
            </w:r>
          </w:p>
        </w:tc>
      </w:tr>
    </w:tbl>
    <w:p w:rsidR="00E36C68" w:rsidP="00E36C68" w:rsidRDefault="00E36C68" w14:paraId="6C202AC6" w14:textId="6FBB0712">
      <w:pPr>
        <w:pStyle w:val="BodyText"/>
      </w:pPr>
      <w:r>
        <w:t>*</w:t>
      </w:r>
      <w:r w:rsidR="008C7076">
        <w:t>The relevant receptor here would be anglers, which may have the potential to pe present for &gt;6hours in one location on the bank of the lake, and so the closest point of the lake has been used to measure the distance to the receptor.</w:t>
      </w:r>
    </w:p>
    <w:p w:rsidR="00E76A4F" w:rsidP="00E36C68" w:rsidRDefault="00E76A4F" w14:paraId="627E4C83" w14:textId="132E7696">
      <w:pPr>
        <w:pStyle w:val="BodyText"/>
      </w:pPr>
      <w:r>
        <w:t>** The Maple Lodge Nature Reserve has been included as a receptor as there is the possibility that</w:t>
      </w:r>
      <w:r w:rsidR="0041160A">
        <w:t xml:space="preserve"> people may stay here for a number of hours</w:t>
      </w:r>
      <w:r w:rsidR="00883519">
        <w:t xml:space="preserve"> given that eve</w:t>
      </w:r>
      <w:r w:rsidR="00337314">
        <w:t>n</w:t>
      </w:r>
      <w:r w:rsidR="00883519">
        <w:t>ts are organised here</w:t>
      </w:r>
      <w:r w:rsidR="00D343CB">
        <w:t xml:space="preserve"> and manned for the day by the conservation society.</w:t>
      </w:r>
      <w:r w:rsidR="009043B3">
        <w:t xml:space="preserve"> The distance taken </w:t>
      </w:r>
      <w:r w:rsidR="00337314">
        <w:t xml:space="preserve">from the cake pad is the closest path, the distance from the </w:t>
      </w:r>
      <w:r w:rsidR="00D24A0B">
        <w:t>O</w:t>
      </w:r>
      <w:r w:rsidR="00337314">
        <w:t xml:space="preserve">CU </w:t>
      </w:r>
      <w:r w:rsidR="00EB4008">
        <w:t xml:space="preserve">is </w:t>
      </w:r>
      <w:r w:rsidR="00337314">
        <w:t>members building to the north</w:t>
      </w:r>
      <w:r w:rsidR="00EB4008">
        <w:t>.</w:t>
      </w:r>
    </w:p>
    <w:p w:rsidR="009A6770" w:rsidP="00E36C68" w:rsidRDefault="009A6770" w14:paraId="10E7A301" w14:textId="53418E6B">
      <w:pPr>
        <w:pStyle w:val="BodyText"/>
      </w:pPr>
      <w:r>
        <w:t>The Grand Union Canal is home to a number of housebo</w:t>
      </w:r>
      <w:r w:rsidR="00A8044B">
        <w:t>a</w:t>
      </w:r>
      <w:r>
        <w:t xml:space="preserve">ts with residents who </w:t>
      </w:r>
      <w:r w:rsidR="00A8044B">
        <w:t xml:space="preserve">permanently live in the location, the closest point </w:t>
      </w:r>
      <w:r w:rsidR="00782D4E">
        <w:t>of the canal to sources is &gt;250m and so these have been excluded from the assessment</w:t>
      </w:r>
      <w:r w:rsidR="00682502">
        <w:t>.</w:t>
      </w:r>
    </w:p>
    <w:p w:rsidR="00E76A4F" w:rsidP="00E36C68" w:rsidRDefault="00682502" w14:paraId="239A3DB5" w14:textId="094D74A0">
      <w:pPr>
        <w:pStyle w:val="BodyText"/>
      </w:pPr>
      <w:r>
        <w:t xml:space="preserve">The River Colne is located close to the site and aerial photography shows </w:t>
      </w:r>
      <w:r w:rsidR="005A4DBC">
        <w:t>boats along the stretch of river near the site, however these appear disused, and so this location has been excluded as a receptor.</w:t>
      </w:r>
    </w:p>
    <w:p w:rsidR="00E5787E" w:rsidP="008E7198" w:rsidRDefault="0026353A" w14:paraId="56458AD3" w14:textId="0322E10C">
      <w:pPr>
        <w:pStyle w:val="Heading2"/>
      </w:pPr>
      <w:bookmarkStart w:name="_Toc107998452" w:id="26"/>
      <w:r>
        <w:t>Risk Assessment</w:t>
      </w:r>
      <w:bookmarkEnd w:id="26"/>
    </w:p>
    <w:p w:rsidR="00E5787E" w:rsidP="00E5787E" w:rsidRDefault="00E5787E" w14:paraId="44EBAC66" w14:textId="1D1BB67C">
      <w:pPr>
        <w:pStyle w:val="BodyText"/>
      </w:pPr>
      <w:r>
        <w:t>The method used for this bioaerosol risk assessment is adapted from the EA’s</w:t>
      </w:r>
      <w:r w:rsidR="009A1ABC">
        <w:t xml:space="preserve"> standard guidance on risk assessments for environmental permitting, which </w:t>
      </w:r>
      <w:r>
        <w:t>recommends using a Source-Pathway-Receptor model</w:t>
      </w:r>
      <w:r w:rsidR="00D66667">
        <w:t xml:space="preserve"> </w:t>
      </w:r>
      <w:r w:rsidR="00D66667">
        <w:rPr>
          <w:rStyle w:val="FootnoteReference"/>
        </w:rPr>
        <w:footnoteReference w:id="6"/>
      </w:r>
      <w:r>
        <w:t xml:space="preserve">to help determine the magnitude of the risk associated with bioaerosol emissions from a facility. </w:t>
      </w:r>
    </w:p>
    <w:p w:rsidR="00E5787E" w:rsidP="00E5787E" w:rsidRDefault="00E5787E" w14:paraId="788CFD1D" w14:textId="284A5F31">
      <w:pPr>
        <w:pStyle w:val="BodyText"/>
      </w:pPr>
      <w:r>
        <w:t xml:space="preserve">There are </w:t>
      </w:r>
      <w:r w:rsidR="000B5F58">
        <w:t>two</w:t>
      </w:r>
      <w:r>
        <w:t xml:space="preserve"> potential sources of bioaerosols release within 250m of static receptors: </w:t>
      </w:r>
    </w:p>
    <w:p w:rsidRPr="000B5F58" w:rsidR="00E5787E" w:rsidP="009A1ABC" w:rsidRDefault="00E5787E" w14:paraId="1731F5C8" w14:textId="7B7FE66D">
      <w:pPr>
        <w:pStyle w:val="BulletLevel1"/>
      </w:pPr>
      <w:r w:rsidRPr="000B5F58">
        <w:t>Odour Control Unit</w:t>
      </w:r>
      <w:r w:rsidRPr="000B5F58" w:rsidR="000B5F58">
        <w:t xml:space="preserve"> </w:t>
      </w:r>
    </w:p>
    <w:p w:rsidRPr="003806A5" w:rsidR="000B5F58" w:rsidP="007C7D54" w:rsidRDefault="00E84F42" w14:paraId="1FBBDB27" w14:textId="3F027463">
      <w:pPr>
        <w:pStyle w:val="BulletLevel1"/>
        <w:rPr>
          <w:color w:val="005CC6" w:themeColor="accent2" w:themeShade="BF"/>
        </w:rPr>
      </w:pPr>
      <w:r>
        <w:t>Cake Pad</w:t>
      </w:r>
    </w:p>
    <w:p w:rsidR="00442027" w:rsidP="00E5787E" w:rsidRDefault="00E5787E" w14:paraId="5F62B157" w14:textId="10340D22">
      <w:pPr>
        <w:pStyle w:val="BodyText"/>
      </w:pPr>
      <w:r>
        <w:t xml:space="preserve">The receptors are situated to </w:t>
      </w:r>
      <w:r w:rsidRPr="00442027">
        <w:t>the</w:t>
      </w:r>
      <w:r w:rsidRPr="00442027" w:rsidR="00442027">
        <w:t xml:space="preserve"> </w:t>
      </w:r>
      <w:r w:rsidR="004F3CA1">
        <w:t>North</w:t>
      </w:r>
      <w:r w:rsidR="00F810C5">
        <w:t>-</w:t>
      </w:r>
      <w:r w:rsidR="004F3CA1">
        <w:t xml:space="preserve">East, </w:t>
      </w:r>
      <w:r w:rsidR="002D508A">
        <w:t xml:space="preserve">North-West, </w:t>
      </w:r>
      <w:r w:rsidR="004F3CA1">
        <w:t>East</w:t>
      </w:r>
      <w:r w:rsidR="002D508A">
        <w:t xml:space="preserve"> and West</w:t>
      </w:r>
      <w:r w:rsidR="004F3CA1">
        <w:t xml:space="preserve"> </w:t>
      </w:r>
      <w:r w:rsidRPr="00442027">
        <w:t xml:space="preserve">of the release </w:t>
      </w:r>
      <w:r>
        <w:t>points and the prevailing wind direction is from the South</w:t>
      </w:r>
      <w:r w:rsidR="00797F56">
        <w:t>-</w:t>
      </w:r>
      <w:r>
        <w:t xml:space="preserve">west. </w:t>
      </w:r>
      <w:r w:rsidR="00442027">
        <w:t xml:space="preserve"> T</w:t>
      </w:r>
      <w:r>
        <w:t>here is potential for wind-borne transportation of bioaerosols</w:t>
      </w:r>
      <w:r w:rsidR="00442027">
        <w:t xml:space="preserve">, more so in the direction of </w:t>
      </w:r>
      <w:r w:rsidR="00BE67B4">
        <w:t>Receptors</w:t>
      </w:r>
      <w:r w:rsidR="00442027">
        <w:t xml:space="preserve"> R</w:t>
      </w:r>
      <w:r w:rsidR="001605B3">
        <w:t>1</w:t>
      </w:r>
      <w:r w:rsidR="00442027">
        <w:t xml:space="preserve">, less so for </w:t>
      </w:r>
      <w:r w:rsidR="001605B3">
        <w:t>R</w:t>
      </w:r>
      <w:r w:rsidR="00AF128B">
        <w:t>2</w:t>
      </w:r>
      <w:r w:rsidR="00C6469E">
        <w:t xml:space="preserve"> and R</w:t>
      </w:r>
      <w:r w:rsidR="00AF128B">
        <w:t>3</w:t>
      </w:r>
      <w:r w:rsidR="00442027">
        <w:t>.</w:t>
      </w:r>
    </w:p>
    <w:p w:rsidR="00E5787E" w:rsidP="00E5787E" w:rsidRDefault="00E5787E" w14:paraId="33A95B2A" w14:textId="448BD5CC">
      <w:pPr>
        <w:pStyle w:val="BodyText"/>
      </w:pPr>
      <w:r>
        <w:t xml:space="preserve">Most storage tanks, treatment tanks and associated pipework are enclosed. Where tanks are not gas tight and vent to atmosphere, these are </w:t>
      </w:r>
      <w:r w:rsidR="0057373E">
        <w:t xml:space="preserve">either </w:t>
      </w:r>
      <w:r>
        <w:t xml:space="preserve">connected to an </w:t>
      </w:r>
      <w:r w:rsidR="003806A5">
        <w:t>OCU</w:t>
      </w:r>
      <w:r w:rsidR="007575B8">
        <w:t xml:space="preserve">, or the moisture content is not low enough that there is </w:t>
      </w:r>
      <w:r w:rsidR="003338CD">
        <w:t xml:space="preserve">not </w:t>
      </w:r>
      <w:r w:rsidR="007575B8">
        <w:t xml:space="preserve">considered to be a risk of release </w:t>
      </w:r>
      <w:r w:rsidR="00266869">
        <w:t>of</w:t>
      </w:r>
      <w:r w:rsidR="007575B8">
        <w:t xml:space="preserve"> </w:t>
      </w:r>
      <w:r w:rsidR="00266869">
        <w:t>bioaerosols</w:t>
      </w:r>
      <w:r w:rsidR="007575B8">
        <w:t>.</w:t>
      </w:r>
      <w:r>
        <w:t xml:space="preserve"> </w:t>
      </w:r>
    </w:p>
    <w:p w:rsidRPr="00B67734" w:rsidR="00B67734" w:rsidP="00E5787E" w:rsidRDefault="00E5787E" w14:paraId="463EBF8E" w14:textId="5EA2AE30">
      <w:pPr>
        <w:pStyle w:val="BodyText"/>
      </w:pPr>
      <w:r w:rsidRPr="00B67734">
        <w:t xml:space="preserve">The maximum daily throughput of sludge is </w:t>
      </w:r>
      <w:r w:rsidRPr="00096F38" w:rsidR="00096F38">
        <w:t>1500</w:t>
      </w:r>
      <w:r w:rsidRPr="00096F38">
        <w:t>m</w:t>
      </w:r>
      <w:r w:rsidRPr="00096F38">
        <w:rPr>
          <w:vertAlign w:val="superscript"/>
        </w:rPr>
        <w:t>3</w:t>
      </w:r>
      <w:r w:rsidRPr="00096F38">
        <w:t>/</w:t>
      </w:r>
      <w:r w:rsidRPr="00B67734">
        <w:t xml:space="preserve">day. </w:t>
      </w:r>
    </w:p>
    <w:p w:rsidRPr="004573B4" w:rsidR="00972024" w:rsidP="00E5787E" w:rsidRDefault="008F3414" w14:paraId="542E2D85" w14:textId="0AD55424">
      <w:pPr>
        <w:pStyle w:val="BodyText"/>
      </w:pPr>
      <w:r w:rsidRPr="004573B4">
        <w:t>Maple Lodge Nature Reserve</w:t>
      </w:r>
      <w:r w:rsidR="00B04593">
        <w:t xml:space="preserve"> members building</w:t>
      </w:r>
      <w:r w:rsidR="00E57F85">
        <w:t xml:space="preserve"> (R5) </w:t>
      </w:r>
      <w:r w:rsidRPr="004573B4">
        <w:t xml:space="preserve">is the closest receptor which is located 20m West of the </w:t>
      </w:r>
      <w:r w:rsidRPr="004573B4" w:rsidR="00972024">
        <w:t xml:space="preserve">wet well OCU.  </w:t>
      </w:r>
      <w:r w:rsidRPr="004573B4" w:rsidR="004C410D">
        <w:t xml:space="preserve">The workers and visitors at this location are </w:t>
      </w:r>
      <w:r w:rsidRPr="004573B4" w:rsidR="008A0FB1">
        <w:t xml:space="preserve">very close to the potential emission source of the OCU, however whilst the possibility of an OCU releasing </w:t>
      </w:r>
      <w:r w:rsidRPr="004573B4" w:rsidR="004E150B">
        <w:t>bioaerosols</w:t>
      </w:r>
      <w:r w:rsidRPr="004573B4" w:rsidR="008A0FB1">
        <w:t xml:space="preserve"> cannot be </w:t>
      </w:r>
      <w:r w:rsidRPr="004573B4" w:rsidR="00F23200">
        <w:t xml:space="preserve">ruled out, the </w:t>
      </w:r>
      <w:r w:rsidRPr="004573B4" w:rsidR="00370536">
        <w:t xml:space="preserve">likelihood and magnitude of any </w:t>
      </w:r>
      <w:r w:rsidRPr="004573B4" w:rsidR="0007544C">
        <w:t>bioaerosol</w:t>
      </w:r>
      <w:r w:rsidR="00F41120">
        <w:t xml:space="preserve"> release</w:t>
      </w:r>
      <w:r w:rsidRPr="004573B4" w:rsidR="00370536">
        <w:t xml:space="preserve"> is likely to be low.</w:t>
      </w:r>
      <w:r w:rsidR="001B502C">
        <w:t xml:space="preserve"> The cake pad is also approximately 1</w:t>
      </w:r>
      <w:r w:rsidR="00C21D59">
        <w:t>80</w:t>
      </w:r>
      <w:r w:rsidR="001B502C">
        <w:t xml:space="preserve">m South-East of </w:t>
      </w:r>
      <w:r w:rsidR="00E57F85">
        <w:t>R</w:t>
      </w:r>
      <w:r w:rsidR="009A7AB8">
        <w:t>2</w:t>
      </w:r>
      <w:r w:rsidR="00895627">
        <w:t>, however there is some vegetation in between which may provide some protection.</w:t>
      </w:r>
      <w:r w:rsidRPr="004573B4" w:rsidR="008929D4">
        <w:t xml:space="preserve"> The prevailing wind is also not blowing in </w:t>
      </w:r>
      <w:r w:rsidR="00895627">
        <w:t>the</w:t>
      </w:r>
      <w:r w:rsidRPr="004573B4" w:rsidR="008929D4">
        <w:t xml:space="preserve"> direction </w:t>
      </w:r>
      <w:r w:rsidR="00895627">
        <w:t xml:space="preserve">of </w:t>
      </w:r>
      <w:r w:rsidR="00B04593">
        <w:t xml:space="preserve">the members building </w:t>
      </w:r>
      <w:r w:rsidRPr="004573B4" w:rsidR="008929D4">
        <w:t>which may provide some protection.</w:t>
      </w:r>
    </w:p>
    <w:p w:rsidRPr="001C364B" w:rsidR="00E5787E" w:rsidP="00E5787E" w:rsidRDefault="00473105" w14:paraId="7A66F515" w14:textId="629092F6">
      <w:pPr>
        <w:pStyle w:val="BodyText"/>
      </w:pPr>
      <w:r w:rsidRPr="001C364B">
        <w:t xml:space="preserve">The cake pad is approximately 100m from the Springwell lake </w:t>
      </w:r>
      <w:r w:rsidRPr="001C364B" w:rsidR="00CD7955">
        <w:t xml:space="preserve">(R1) </w:t>
      </w:r>
      <w:r w:rsidRPr="001C364B">
        <w:t xml:space="preserve">at the closest point. </w:t>
      </w:r>
      <w:r w:rsidRPr="001C364B" w:rsidR="00CD7955">
        <w:t xml:space="preserve">This is downwind from the potential emission source </w:t>
      </w:r>
      <w:r w:rsidRPr="001C364B" w:rsidR="008205DB">
        <w:t xml:space="preserve">however </w:t>
      </w:r>
      <w:r w:rsidRPr="001C364B" w:rsidR="00641ED7">
        <w:t>vegetation</w:t>
      </w:r>
      <w:r w:rsidRPr="001C364B" w:rsidR="00A02D27">
        <w:t xml:space="preserve"> is likely to provide significant protection </w:t>
      </w:r>
      <w:r w:rsidRPr="001C364B" w:rsidR="000F0AC5">
        <w:t xml:space="preserve">against any </w:t>
      </w:r>
      <w:r w:rsidRPr="001C364B" w:rsidR="001C364B">
        <w:t xml:space="preserve">bioaerosols. </w:t>
      </w:r>
      <w:r w:rsidRPr="001C364B" w:rsidR="00A02D27">
        <w:t xml:space="preserve"> </w:t>
      </w:r>
      <w:r w:rsidRPr="001C364B" w:rsidR="00641ED7">
        <w:t xml:space="preserve"> </w:t>
      </w:r>
      <w:r w:rsidRPr="001C364B" w:rsidR="001C364B">
        <w:t xml:space="preserve">The </w:t>
      </w:r>
      <w:r w:rsidRPr="001C364B" w:rsidR="003806A5">
        <w:t>probability of</w:t>
      </w:r>
      <w:r w:rsidRPr="001C364B" w:rsidR="00E5787E">
        <w:t xml:space="preserve"> exposure to </w:t>
      </w:r>
      <w:r w:rsidRPr="001C364B" w:rsidR="001C364B">
        <w:t>users of the lake</w:t>
      </w:r>
      <w:r w:rsidRPr="001C364B" w:rsidR="00E5787E">
        <w:t xml:space="preserve"> from bioaerosols emitted from the site is likely to be </w:t>
      </w:r>
      <w:r w:rsidRPr="001C364B" w:rsidR="00E5787E">
        <w:rPr>
          <w:b/>
          <w:bCs/>
        </w:rPr>
        <w:t>low</w:t>
      </w:r>
      <w:r w:rsidRPr="001C364B" w:rsidR="003806A5">
        <w:t xml:space="preserve"> (if releases occur at all).</w:t>
      </w:r>
    </w:p>
    <w:p w:rsidRPr="003854AD" w:rsidR="004F3CA1" w:rsidP="00E5787E" w:rsidRDefault="006D4682" w14:paraId="388DC764" w14:textId="5A4F93C2">
      <w:pPr>
        <w:pStyle w:val="BodyText"/>
      </w:pPr>
      <w:r w:rsidRPr="005A6953">
        <w:t>Residential receptors (R</w:t>
      </w:r>
      <w:r w:rsidR="009A7AB8">
        <w:t>3</w:t>
      </w:r>
      <w:r w:rsidRPr="005A6953">
        <w:t xml:space="preserve">) </w:t>
      </w:r>
      <w:r w:rsidRPr="005A6953" w:rsidR="00E5787E">
        <w:t xml:space="preserve">have been identified, </w:t>
      </w:r>
      <w:r w:rsidRPr="005A6953" w:rsidR="00F82934">
        <w:t xml:space="preserve">potentially </w:t>
      </w:r>
      <w:r w:rsidRPr="005A6953">
        <w:t>1</w:t>
      </w:r>
      <w:r w:rsidRPr="005A6953" w:rsidR="00F82934">
        <w:t>2</w:t>
      </w:r>
      <w:r w:rsidRPr="005A6953">
        <w:t xml:space="preserve">5m </w:t>
      </w:r>
      <w:r w:rsidRPr="005A6953" w:rsidR="00F82934">
        <w:t>North-West</w:t>
      </w:r>
      <w:r w:rsidRPr="005A6953" w:rsidR="00E5787E">
        <w:t xml:space="preserve"> </w:t>
      </w:r>
      <w:r w:rsidRPr="005A6953">
        <w:t>of</w:t>
      </w:r>
      <w:r w:rsidRPr="005A6953" w:rsidR="00E5787E">
        <w:t xml:space="preserve"> the identified potential sources</w:t>
      </w:r>
      <w:r w:rsidRPr="005A6953" w:rsidR="005916CA">
        <w:t xml:space="preserve"> at the closest point</w:t>
      </w:r>
      <w:r w:rsidRPr="005A6953" w:rsidR="00E5787E">
        <w:t>.</w:t>
      </w:r>
      <w:r w:rsidRPr="005A6953" w:rsidR="005916CA">
        <w:t xml:space="preserve"> A building with car park is seen at this distance from the OCU, </w:t>
      </w:r>
      <w:r w:rsidRPr="005A6953" w:rsidR="005A6953">
        <w:t>it is not possible to confirm the use, although residential is assumed as a conservative approach</w:t>
      </w:r>
      <w:r w:rsidRPr="003854AD" w:rsidR="005A6953">
        <w:t xml:space="preserve">. </w:t>
      </w:r>
      <w:r w:rsidRPr="003854AD" w:rsidR="00E5787E">
        <w:t xml:space="preserve"> </w:t>
      </w:r>
      <w:r w:rsidRPr="003854AD">
        <w:t>G</w:t>
      </w:r>
      <w:r w:rsidRPr="003854AD" w:rsidR="00E5787E">
        <w:t xml:space="preserve">iven that the identified potential sources are considered to represent a low risk and the intervening distance, </w:t>
      </w:r>
      <w:r w:rsidRPr="003854AD" w:rsidR="003854AD">
        <w:t>t</w:t>
      </w:r>
      <w:r w:rsidRPr="003854AD" w:rsidR="004F3CA1">
        <w:t>he screening provided by the vegetation,</w:t>
      </w:r>
      <w:r w:rsidRPr="003854AD" w:rsidR="003854AD">
        <w:t xml:space="preserve"> and that the prevailing wind does not blow in this direction,</w:t>
      </w:r>
      <w:r w:rsidRPr="003854AD" w:rsidR="004F3CA1">
        <w:t xml:space="preserve"> </w:t>
      </w:r>
      <w:r w:rsidRPr="003854AD" w:rsidR="00E5787E">
        <w:t xml:space="preserve">it is considered that the </w:t>
      </w:r>
      <w:r w:rsidRPr="003854AD" w:rsidR="00245076">
        <w:t xml:space="preserve">probability of exposure </w:t>
      </w:r>
      <w:r w:rsidRPr="003854AD" w:rsidR="00E5787E">
        <w:t xml:space="preserve">at </w:t>
      </w:r>
      <w:r w:rsidRPr="003854AD" w:rsidR="00183B6D">
        <w:t>these locations</w:t>
      </w:r>
      <w:r w:rsidRPr="003854AD" w:rsidR="00E5787E">
        <w:t xml:space="preserve"> from bioaerosols emitted from the site is also</w:t>
      </w:r>
      <w:r w:rsidRPr="003854AD" w:rsidR="00245076">
        <w:t xml:space="preserve"> likely to be</w:t>
      </w:r>
      <w:r w:rsidRPr="003854AD" w:rsidR="00E5787E">
        <w:t xml:space="preserve"> </w:t>
      </w:r>
      <w:r w:rsidRPr="003854AD" w:rsidR="00E5787E">
        <w:rPr>
          <w:b/>
          <w:bCs/>
        </w:rPr>
        <w:t>low</w:t>
      </w:r>
      <w:r w:rsidRPr="003854AD" w:rsidR="00245076">
        <w:t xml:space="preserve"> (if releases occur at all).</w:t>
      </w:r>
    </w:p>
    <w:p w:rsidRPr="0057373E" w:rsidR="0057373E" w:rsidP="00E5787E" w:rsidRDefault="0057373E" w14:paraId="5D0512B0" w14:textId="57CED92E">
      <w:pPr>
        <w:pStyle w:val="BodyText"/>
      </w:pPr>
      <w:r w:rsidRPr="00CE26D8">
        <w:t xml:space="preserve">The </w:t>
      </w:r>
      <w:r>
        <w:rPr>
          <w:b/>
          <w:bCs/>
        </w:rPr>
        <w:t>likelihood</w:t>
      </w:r>
      <w:r>
        <w:t xml:space="preserve"> of </w:t>
      </w:r>
      <w:r w:rsidRPr="00CE26D8">
        <w:t xml:space="preserve">bioaerosols </w:t>
      </w:r>
      <w:r>
        <w:t xml:space="preserve">being emitted </w:t>
      </w:r>
      <w:r w:rsidRPr="00CE26D8">
        <w:t xml:space="preserve">from the permitted processes on site is </w:t>
      </w:r>
      <w:r>
        <w:t xml:space="preserve">considered to be </w:t>
      </w:r>
      <w:r>
        <w:rPr>
          <w:b/>
          <w:bCs/>
        </w:rPr>
        <w:t xml:space="preserve">low, </w:t>
      </w:r>
      <w:r w:rsidRPr="007C7D54">
        <w:t>and taking</w:t>
      </w:r>
      <w:r w:rsidRPr="001A4825">
        <w:t xml:space="preserve"> into</w:t>
      </w:r>
      <w:r>
        <w:t xml:space="preserve"> account the location of receptors, their distance from source, and the control measures in place the overall risk is considered to be </w:t>
      </w:r>
      <w:r>
        <w:rPr>
          <w:b/>
          <w:bCs/>
        </w:rPr>
        <w:t>l</w:t>
      </w:r>
      <w:r w:rsidRPr="00B500F8">
        <w:rPr>
          <w:b/>
          <w:bCs/>
        </w:rPr>
        <w:t>ow</w:t>
      </w:r>
      <w:r>
        <w:rPr>
          <w:b/>
          <w:bCs/>
        </w:rPr>
        <w:t xml:space="preserve"> </w:t>
      </w:r>
      <w:r w:rsidRPr="00637848">
        <w:t xml:space="preserve">or </w:t>
      </w:r>
      <w:r>
        <w:rPr>
          <w:b/>
          <w:bCs/>
        </w:rPr>
        <w:t>minimal</w:t>
      </w:r>
      <w:r>
        <w:t>.</w:t>
      </w:r>
    </w:p>
    <w:p w:rsidRPr="008F3414" w:rsidR="004F3CA1" w:rsidP="00E5787E" w:rsidRDefault="004F3CA1" w14:paraId="20A1B6A7" w14:textId="3AEAE5A1">
      <w:pPr>
        <w:pStyle w:val="BodyText"/>
      </w:pPr>
      <w:bookmarkStart w:name="_Hlk105602499" w:id="28"/>
      <w:r w:rsidRPr="008F3414">
        <w:t>Planned monitoring of bioaerosol emissions by Thames Water is expected to validate the assumption that process contributions from sewage sludge treatment works would comply with the ‘acceptable level’ thresholds.</w:t>
      </w:r>
    </w:p>
    <w:bookmarkEnd w:id="28"/>
    <w:p w:rsidRPr="008F3414" w:rsidR="004F3CA1" w:rsidP="004F3CA1" w:rsidRDefault="004F3CA1" w14:paraId="091ADABD" w14:textId="77777777">
      <w:pPr>
        <w:pStyle w:val="BodyText"/>
      </w:pPr>
      <w:r w:rsidRPr="008F3414">
        <w:t xml:space="preserve">Table 3 summaries the risk assessment. </w:t>
      </w:r>
    </w:p>
    <w:p w:rsidRPr="00266869" w:rsidR="00A57E95" w:rsidP="00E5787E" w:rsidRDefault="00A57E95" w14:paraId="3C7174BD" w14:textId="67985511">
      <w:pPr>
        <w:pStyle w:val="BodyText"/>
        <w:rPr>
          <w:color w:val="1916A4" w:themeColor="accent1" w:themeShade="BF"/>
        </w:rPr>
      </w:pPr>
    </w:p>
    <w:p w:rsidR="00A57E95" w:rsidP="00E5787E" w:rsidRDefault="00A57E95" w14:paraId="2BCAE027" w14:textId="77777777">
      <w:pPr>
        <w:pStyle w:val="BodyText"/>
        <w:sectPr w:rsidR="00A57E95" w:rsidSect="0093169E">
          <w:pgSz w:w="11906" w:h="16838" w:orient="portrait" w:code="9"/>
          <w:pgMar w:top="1134" w:right="1134" w:bottom="567" w:left="1134" w:header="567" w:footer="0" w:gutter="0"/>
          <w:cols w:space="720"/>
          <w:docGrid w:linePitch="360"/>
        </w:sectPr>
      </w:pPr>
    </w:p>
    <w:p w:rsidRPr="00A57E95" w:rsidR="002C0D59" w:rsidP="00A57E95" w:rsidRDefault="00A57E95" w14:paraId="17DD4CBF" w14:textId="3812DC75">
      <w:pPr>
        <w:pStyle w:val="TableHeading2"/>
      </w:pPr>
      <w:r w:rsidRPr="00A57E95">
        <w:t xml:space="preserve">Table </w:t>
      </w:r>
      <w:r w:rsidR="00245076">
        <w:t>3</w:t>
      </w:r>
      <w:r w:rsidRPr="00A57E95">
        <w:t xml:space="preserve">: </w:t>
      </w:r>
      <w:r w:rsidRPr="00A57E95" w:rsidR="00245076">
        <w:t xml:space="preserve">Risk </w:t>
      </w:r>
      <w:r w:rsidR="00245076">
        <w:t xml:space="preserve">Assessment </w:t>
      </w:r>
      <w:r w:rsidRPr="00A57E95" w:rsidR="00245076">
        <w:t>of Potential Bioaerosols Sources</w:t>
      </w:r>
      <w:r w:rsidRPr="00A57E95" w:rsidDel="00245076" w:rsidR="00245076">
        <w:t xml:space="preserve"> </w:t>
      </w:r>
    </w:p>
    <w:tbl>
      <w:tblPr>
        <w:tblStyle w:val="JacobsTable1accentprimarythemes1"/>
        <w:tblW w:w="14175" w:type="dxa"/>
        <w:tblLook w:val="04A0" w:firstRow="1" w:lastRow="0" w:firstColumn="1" w:lastColumn="0" w:noHBand="0" w:noVBand="1"/>
      </w:tblPr>
      <w:tblGrid>
        <w:gridCol w:w="1805"/>
        <w:gridCol w:w="1323"/>
        <w:gridCol w:w="998"/>
        <w:gridCol w:w="3323"/>
        <w:gridCol w:w="130"/>
        <w:gridCol w:w="1253"/>
        <w:gridCol w:w="3678"/>
        <w:gridCol w:w="1665"/>
      </w:tblGrid>
      <w:tr w:rsidRPr="00FA4B84" w:rsidR="00FB3FD0" w:rsidTr="00FB3FD0" w14:paraId="46DA35DA" w14:textId="77777777">
        <w:trPr>
          <w:cnfStyle w:val="100000000000" w:firstRow="1" w:lastRow="0" w:firstColumn="0" w:lastColumn="0" w:oddVBand="0" w:evenVBand="0" w:oddHBand="0" w:evenHBand="0" w:firstRowFirstColumn="0" w:firstRowLastColumn="0" w:lastRowFirstColumn="0" w:lastRowLastColumn="0"/>
        </w:trPr>
        <w:tc>
          <w:tcPr>
            <w:tcW w:w="1807" w:type="dxa"/>
            <w:vAlign w:val="center"/>
          </w:tcPr>
          <w:p w:rsidR="0078096C" w:rsidP="0078096C" w:rsidRDefault="0078096C" w14:paraId="7E93E0A9" w14:textId="77777777">
            <w:pPr>
              <w:pStyle w:val="BodyText"/>
              <w:jc w:val="center"/>
              <w:rPr>
                <w:rFonts w:cstheme="minorHAnsi"/>
                <w:b/>
                <w:bCs/>
                <w:szCs w:val="18"/>
              </w:rPr>
            </w:pPr>
            <w:bookmarkStart w:name="_Hlk105577694" w:id="29"/>
            <w:r w:rsidRPr="00C018F1">
              <w:rPr>
                <w:rFonts w:cstheme="minorHAnsi"/>
                <w:b/>
                <w:bCs/>
                <w:sz w:val="18"/>
                <w:szCs w:val="18"/>
              </w:rPr>
              <w:t>What has the potential to cause harm?</w:t>
            </w:r>
          </w:p>
          <w:p w:rsidRPr="00C018F1" w:rsidR="0078096C" w:rsidP="0078096C" w:rsidRDefault="0078096C" w14:paraId="0A1EAC55" w14:textId="77777777">
            <w:pPr>
              <w:pStyle w:val="BodyText"/>
              <w:jc w:val="center"/>
              <w:rPr>
                <w:rFonts w:cstheme="minorHAnsi"/>
                <w:b/>
                <w:bCs/>
                <w:sz w:val="18"/>
                <w:szCs w:val="18"/>
              </w:rPr>
            </w:pPr>
            <w:r>
              <w:rPr>
                <w:rFonts w:cstheme="minorHAnsi"/>
                <w:b/>
                <w:bCs/>
                <w:sz w:val="18"/>
                <w:szCs w:val="18"/>
              </w:rPr>
              <w:t>Source</w:t>
            </w:r>
          </w:p>
        </w:tc>
        <w:tc>
          <w:tcPr>
            <w:tcW w:w="1323" w:type="dxa"/>
            <w:vAlign w:val="center"/>
          </w:tcPr>
          <w:p w:rsidR="0078096C" w:rsidP="0078096C" w:rsidRDefault="0078096C" w14:paraId="55C5F2F3" w14:textId="77777777">
            <w:pPr>
              <w:pStyle w:val="BodyText"/>
              <w:jc w:val="center"/>
              <w:rPr>
                <w:rFonts w:cstheme="minorHAnsi"/>
                <w:b/>
                <w:bCs/>
                <w:szCs w:val="18"/>
              </w:rPr>
            </w:pPr>
            <w:r w:rsidRPr="00C018F1">
              <w:rPr>
                <w:rFonts w:cstheme="minorHAnsi"/>
                <w:b/>
                <w:bCs/>
                <w:sz w:val="18"/>
                <w:szCs w:val="18"/>
              </w:rPr>
              <w:t>How can the source reach the receptor?</w:t>
            </w:r>
          </w:p>
          <w:p w:rsidRPr="00C018F1" w:rsidR="0078096C" w:rsidP="0078096C" w:rsidRDefault="0078096C" w14:paraId="2606255A" w14:textId="77777777">
            <w:pPr>
              <w:pStyle w:val="BodyText"/>
              <w:jc w:val="center"/>
              <w:rPr>
                <w:rFonts w:cstheme="minorHAnsi"/>
                <w:b/>
                <w:bCs/>
                <w:sz w:val="18"/>
                <w:szCs w:val="18"/>
              </w:rPr>
            </w:pPr>
            <w:r>
              <w:rPr>
                <w:rFonts w:cstheme="minorHAnsi"/>
                <w:b/>
                <w:bCs/>
                <w:sz w:val="18"/>
                <w:szCs w:val="18"/>
              </w:rPr>
              <w:t>Pathway</w:t>
            </w:r>
          </w:p>
        </w:tc>
        <w:tc>
          <w:tcPr>
            <w:tcW w:w="981" w:type="dxa"/>
            <w:vAlign w:val="center"/>
          </w:tcPr>
          <w:p w:rsidR="0078096C" w:rsidP="0078096C" w:rsidRDefault="0078096C" w14:paraId="54D3B5B3" w14:textId="77777777">
            <w:pPr>
              <w:pStyle w:val="BodyText"/>
              <w:jc w:val="center"/>
              <w:rPr>
                <w:rFonts w:cstheme="minorHAnsi"/>
                <w:b/>
                <w:bCs/>
                <w:szCs w:val="18"/>
              </w:rPr>
            </w:pPr>
            <w:r w:rsidRPr="00C018F1">
              <w:rPr>
                <w:rFonts w:cstheme="minorHAnsi"/>
                <w:b/>
                <w:bCs/>
                <w:sz w:val="18"/>
                <w:szCs w:val="18"/>
              </w:rPr>
              <w:t>Who can be affected?</w:t>
            </w:r>
          </w:p>
          <w:p w:rsidRPr="00C018F1" w:rsidR="0078096C" w:rsidP="0078096C" w:rsidRDefault="0078096C" w14:paraId="58EE8338" w14:textId="77777777">
            <w:pPr>
              <w:pStyle w:val="BodyText"/>
              <w:jc w:val="center"/>
              <w:rPr>
                <w:rFonts w:cstheme="minorHAnsi"/>
                <w:b/>
                <w:bCs/>
                <w:sz w:val="18"/>
                <w:szCs w:val="18"/>
              </w:rPr>
            </w:pPr>
            <w:r>
              <w:rPr>
                <w:rFonts w:cstheme="minorHAnsi"/>
                <w:b/>
                <w:bCs/>
                <w:sz w:val="18"/>
                <w:szCs w:val="18"/>
              </w:rPr>
              <w:t>Receptors</w:t>
            </w:r>
          </w:p>
        </w:tc>
        <w:tc>
          <w:tcPr>
            <w:tcW w:w="3329" w:type="dxa"/>
            <w:tcBorders>
              <w:bottom w:val="single" w:color="231EDC" w:themeColor="accent1" w:sz="4" w:space="0"/>
            </w:tcBorders>
            <w:vAlign w:val="center"/>
          </w:tcPr>
          <w:p w:rsidR="0078096C" w:rsidP="0078096C" w:rsidRDefault="0078096C" w14:paraId="7A9A1AB9" w14:textId="77777777">
            <w:pPr>
              <w:pStyle w:val="BodyText"/>
              <w:jc w:val="center"/>
              <w:rPr>
                <w:rFonts w:cstheme="minorHAnsi"/>
                <w:b/>
                <w:bCs/>
                <w:szCs w:val="18"/>
              </w:rPr>
            </w:pPr>
            <w:r w:rsidRPr="00C018F1">
              <w:rPr>
                <w:rFonts w:cstheme="minorHAnsi"/>
                <w:b/>
                <w:bCs/>
                <w:sz w:val="18"/>
                <w:szCs w:val="18"/>
              </w:rPr>
              <w:t>Assessing the risk</w:t>
            </w:r>
          </w:p>
          <w:p w:rsidRPr="00C018F1" w:rsidR="0078096C" w:rsidP="0078096C" w:rsidRDefault="0078096C" w14:paraId="0500171C" w14:textId="39DAE1A4">
            <w:pPr>
              <w:pStyle w:val="BodyText"/>
              <w:jc w:val="center"/>
              <w:rPr>
                <w:rFonts w:cstheme="minorHAnsi"/>
                <w:b/>
                <w:bCs/>
                <w:sz w:val="18"/>
                <w:szCs w:val="18"/>
              </w:rPr>
            </w:pPr>
            <w:r>
              <w:rPr>
                <w:rFonts w:cstheme="minorHAnsi"/>
                <w:b/>
                <w:bCs/>
                <w:sz w:val="18"/>
                <w:szCs w:val="18"/>
              </w:rPr>
              <w:t xml:space="preserve">Probability of Exposure </w:t>
            </w:r>
          </w:p>
        </w:tc>
        <w:tc>
          <w:tcPr>
            <w:tcW w:w="1383" w:type="dxa"/>
            <w:gridSpan w:val="2"/>
            <w:tcBorders>
              <w:bottom w:val="single" w:color="231EDC" w:themeColor="accent1" w:sz="4" w:space="0"/>
            </w:tcBorders>
            <w:vAlign w:val="center"/>
          </w:tcPr>
          <w:p w:rsidRPr="00C018F1" w:rsidR="0078096C" w:rsidP="0078096C" w:rsidRDefault="0078096C" w14:paraId="6F832FDC" w14:textId="77777777">
            <w:pPr>
              <w:pStyle w:val="BodyText"/>
              <w:jc w:val="center"/>
              <w:rPr>
                <w:rFonts w:cstheme="minorHAnsi"/>
                <w:b/>
                <w:bCs/>
                <w:sz w:val="18"/>
                <w:szCs w:val="18"/>
              </w:rPr>
            </w:pPr>
            <w:r w:rsidRPr="00C018F1">
              <w:rPr>
                <w:rFonts w:cstheme="minorHAnsi"/>
                <w:b/>
                <w:bCs/>
                <w:sz w:val="18"/>
                <w:szCs w:val="18"/>
              </w:rPr>
              <w:t>Consequence (what is the harm that can be caused)</w:t>
            </w:r>
          </w:p>
        </w:tc>
        <w:tc>
          <w:tcPr>
            <w:tcW w:w="3686" w:type="dxa"/>
            <w:tcBorders>
              <w:bottom w:val="single" w:color="231EDC" w:themeColor="accent1" w:sz="4" w:space="0"/>
            </w:tcBorders>
            <w:vAlign w:val="center"/>
          </w:tcPr>
          <w:p w:rsidR="0078096C" w:rsidP="0078096C" w:rsidRDefault="0078096C" w14:paraId="424A950F" w14:textId="77777777">
            <w:pPr>
              <w:pStyle w:val="BodyText"/>
              <w:jc w:val="center"/>
              <w:rPr>
                <w:rFonts w:cstheme="minorHAnsi"/>
                <w:b/>
                <w:bCs/>
                <w:szCs w:val="18"/>
              </w:rPr>
            </w:pPr>
            <w:r w:rsidRPr="00C018F1">
              <w:rPr>
                <w:rFonts w:cstheme="minorHAnsi"/>
                <w:b/>
                <w:bCs/>
                <w:sz w:val="18"/>
                <w:szCs w:val="18"/>
              </w:rPr>
              <w:t>Managing the risk</w:t>
            </w:r>
          </w:p>
          <w:p w:rsidRPr="00C018F1" w:rsidR="0078096C" w:rsidP="0078096C" w:rsidRDefault="00A751B8" w14:paraId="5409DCED" w14:textId="0D67028F">
            <w:pPr>
              <w:pStyle w:val="BodyText"/>
              <w:jc w:val="center"/>
              <w:rPr>
                <w:rFonts w:cstheme="minorHAnsi"/>
                <w:b/>
                <w:bCs/>
                <w:sz w:val="18"/>
                <w:szCs w:val="18"/>
              </w:rPr>
            </w:pPr>
            <w:r>
              <w:rPr>
                <w:rFonts w:cstheme="minorHAnsi"/>
                <w:b/>
                <w:bCs/>
                <w:sz w:val="18"/>
                <w:szCs w:val="18"/>
              </w:rPr>
              <w:t>(</w:t>
            </w:r>
            <w:r w:rsidR="0078096C">
              <w:rPr>
                <w:rFonts w:cstheme="minorHAnsi"/>
                <w:b/>
                <w:bCs/>
                <w:sz w:val="18"/>
                <w:szCs w:val="18"/>
              </w:rPr>
              <w:t>Control Measures</w:t>
            </w:r>
            <w:r>
              <w:rPr>
                <w:rFonts w:cstheme="minorHAnsi"/>
                <w:b/>
                <w:bCs/>
                <w:sz w:val="18"/>
                <w:szCs w:val="18"/>
              </w:rPr>
              <w:t>)</w:t>
            </w:r>
          </w:p>
        </w:tc>
        <w:tc>
          <w:tcPr>
            <w:tcW w:w="1666" w:type="dxa"/>
            <w:tcBorders>
              <w:bottom w:val="single" w:color="231EDC" w:themeColor="accent1" w:sz="4" w:space="0"/>
            </w:tcBorders>
            <w:vAlign w:val="center"/>
          </w:tcPr>
          <w:p w:rsidRPr="00C018F1" w:rsidR="0078096C" w:rsidP="0078096C" w:rsidRDefault="00FB3FD0" w14:paraId="16D00EF3" w14:textId="0001CFC8">
            <w:pPr>
              <w:pStyle w:val="BodyText"/>
              <w:jc w:val="center"/>
              <w:rPr>
                <w:rFonts w:cstheme="minorHAnsi"/>
                <w:b/>
                <w:bCs/>
                <w:sz w:val="18"/>
                <w:szCs w:val="18"/>
              </w:rPr>
            </w:pPr>
            <w:r>
              <w:rPr>
                <w:rFonts w:cstheme="minorHAnsi"/>
                <w:b/>
                <w:bCs/>
                <w:sz w:val="18"/>
                <w:szCs w:val="18"/>
              </w:rPr>
              <w:t>Overall/residual risk</w:t>
            </w:r>
          </w:p>
        </w:tc>
      </w:tr>
      <w:tr w:rsidRPr="00FA4B84" w:rsidR="00300E0C" w:rsidTr="00300E0C" w14:paraId="79C502C7" w14:textId="77777777">
        <w:tc>
          <w:tcPr>
            <w:tcW w:w="1807" w:type="dxa"/>
          </w:tcPr>
          <w:p w:rsidRPr="003854AD" w:rsidR="0078096C" w:rsidP="0078096C" w:rsidRDefault="0078096C" w14:paraId="5F7341D0" w14:textId="58613150">
            <w:pPr>
              <w:pStyle w:val="BulletLevel1"/>
              <w:numPr>
                <w:ilvl w:val="0"/>
                <w:numId w:val="0"/>
              </w:numPr>
              <w:rPr>
                <w:sz w:val="20"/>
              </w:rPr>
            </w:pPr>
            <w:r w:rsidRPr="003854AD">
              <w:rPr>
                <w:sz w:val="20"/>
              </w:rPr>
              <w:t xml:space="preserve">Odour Control Unit </w:t>
            </w:r>
            <w:r w:rsidRPr="003854AD" w:rsidR="003854AD">
              <w:rPr>
                <w:sz w:val="20"/>
              </w:rPr>
              <w:t>-wet well</w:t>
            </w:r>
          </w:p>
          <w:p w:rsidRPr="003854AD" w:rsidR="0078096C" w:rsidP="0078096C" w:rsidRDefault="0078096C" w14:paraId="3C50C12A" w14:textId="2E3918A5">
            <w:pPr>
              <w:pStyle w:val="BodyText"/>
              <w:rPr>
                <w:rFonts w:cstheme="minorHAnsi"/>
                <w:szCs w:val="18"/>
              </w:rPr>
            </w:pPr>
          </w:p>
        </w:tc>
        <w:tc>
          <w:tcPr>
            <w:tcW w:w="1323" w:type="dxa"/>
          </w:tcPr>
          <w:p w:rsidRPr="003854AD" w:rsidR="0078096C" w:rsidP="0078096C" w:rsidRDefault="0078096C" w14:paraId="010F415A" w14:textId="77777777">
            <w:pPr>
              <w:pStyle w:val="BodyText"/>
              <w:rPr>
                <w:rFonts w:cstheme="minorHAnsi"/>
                <w:szCs w:val="18"/>
              </w:rPr>
            </w:pPr>
            <w:r w:rsidRPr="003854AD">
              <w:t>Inhalation via wind-borne transportation</w:t>
            </w:r>
          </w:p>
        </w:tc>
        <w:tc>
          <w:tcPr>
            <w:tcW w:w="981" w:type="dxa"/>
          </w:tcPr>
          <w:p w:rsidRPr="003854AD" w:rsidR="0078096C" w:rsidP="0078096C" w:rsidRDefault="0078096C" w14:paraId="414ACC0C" w14:textId="38695515">
            <w:pPr>
              <w:pStyle w:val="BodyText"/>
              <w:rPr>
                <w:rFonts w:cstheme="minorHAnsi"/>
                <w:szCs w:val="18"/>
              </w:rPr>
            </w:pPr>
            <w:r w:rsidRPr="003854AD">
              <w:t>R1, R</w:t>
            </w:r>
            <w:r w:rsidR="009A7AB8">
              <w:t>2</w:t>
            </w:r>
            <w:r w:rsidRPr="003854AD">
              <w:t>, R</w:t>
            </w:r>
            <w:r w:rsidR="009A7AB8">
              <w:t>3</w:t>
            </w:r>
          </w:p>
        </w:tc>
        <w:tc>
          <w:tcPr>
            <w:tcW w:w="3459" w:type="dxa"/>
            <w:gridSpan w:val="2"/>
            <w:shd w:val="clear" w:color="auto" w:fill="92D050"/>
          </w:tcPr>
          <w:p w:rsidRPr="00B261DD" w:rsidR="0078096C" w:rsidP="0078096C" w:rsidRDefault="005E3DA3" w14:paraId="6B7877B9" w14:textId="71442D4C">
            <w:pPr>
              <w:pStyle w:val="BodyText"/>
              <w:rPr>
                <w:rFonts w:cstheme="minorHAnsi"/>
                <w:szCs w:val="18"/>
              </w:rPr>
            </w:pPr>
            <w:r w:rsidRPr="00B261DD">
              <w:rPr>
                <w:rFonts w:cstheme="minorHAnsi"/>
                <w:szCs w:val="18"/>
              </w:rPr>
              <w:t>The majority of receptors are</w:t>
            </w:r>
            <w:r w:rsidRPr="00B261DD" w:rsidR="0078096C">
              <w:rPr>
                <w:rFonts w:cstheme="minorHAnsi"/>
                <w:szCs w:val="18"/>
              </w:rPr>
              <w:t xml:space="preserve"> &gt;1</w:t>
            </w:r>
            <w:r w:rsidRPr="00B261DD" w:rsidR="005A2A25">
              <w:rPr>
                <w:rFonts w:cstheme="minorHAnsi"/>
                <w:szCs w:val="18"/>
              </w:rPr>
              <w:t>25</w:t>
            </w:r>
            <w:r w:rsidRPr="00B261DD" w:rsidR="0078096C">
              <w:rPr>
                <w:rFonts w:cstheme="minorHAnsi"/>
                <w:szCs w:val="18"/>
              </w:rPr>
              <w:t>m away</w:t>
            </w:r>
            <w:r w:rsidRPr="00B261DD" w:rsidR="005A2A25">
              <w:rPr>
                <w:rFonts w:cstheme="minorHAnsi"/>
                <w:szCs w:val="18"/>
              </w:rPr>
              <w:t>,</w:t>
            </w:r>
            <w:r w:rsidR="00B261DD">
              <w:rPr>
                <w:rFonts w:cstheme="minorHAnsi"/>
                <w:szCs w:val="18"/>
              </w:rPr>
              <w:t xml:space="preserve"> and also</w:t>
            </w:r>
            <w:r w:rsidRPr="00B261DD" w:rsidR="005A2A25">
              <w:rPr>
                <w:rFonts w:cstheme="minorHAnsi"/>
                <w:szCs w:val="18"/>
              </w:rPr>
              <w:t xml:space="preserve"> screened by vegetation</w:t>
            </w:r>
            <w:r w:rsidR="00B261DD">
              <w:rPr>
                <w:rFonts w:cstheme="minorHAnsi"/>
                <w:szCs w:val="18"/>
              </w:rPr>
              <w:t>.</w:t>
            </w:r>
          </w:p>
          <w:p w:rsidRPr="00026FCF" w:rsidR="00026FCF" w:rsidP="00026FCF" w:rsidRDefault="0078096C" w14:paraId="2FE7F3BC" w14:textId="77777777">
            <w:pPr>
              <w:pStyle w:val="BodyText"/>
              <w:rPr>
                <w:rFonts w:cstheme="minorHAnsi"/>
                <w:szCs w:val="18"/>
              </w:rPr>
            </w:pPr>
            <w:r w:rsidRPr="00026FCF">
              <w:rPr>
                <w:rFonts w:cstheme="minorHAnsi"/>
                <w:szCs w:val="18"/>
              </w:rPr>
              <w:t xml:space="preserve">The closest receptor is approximately </w:t>
            </w:r>
            <w:r w:rsidRPr="00026FCF" w:rsidR="004C227A">
              <w:rPr>
                <w:rFonts w:cstheme="minorHAnsi"/>
                <w:szCs w:val="18"/>
              </w:rPr>
              <w:t>2</w:t>
            </w:r>
            <w:r w:rsidRPr="00026FCF">
              <w:rPr>
                <w:rFonts w:cstheme="minorHAnsi"/>
                <w:szCs w:val="18"/>
              </w:rPr>
              <w:t>0m</w:t>
            </w:r>
            <w:r w:rsidRPr="00026FCF" w:rsidR="00026FCF">
              <w:rPr>
                <w:rFonts w:cstheme="minorHAnsi"/>
                <w:szCs w:val="18"/>
              </w:rPr>
              <w:t xml:space="preserve"> West</w:t>
            </w:r>
            <w:r w:rsidRPr="00026FCF">
              <w:rPr>
                <w:rFonts w:cstheme="minorHAnsi"/>
                <w:szCs w:val="18"/>
              </w:rPr>
              <w:t xml:space="preserve">, however this is not in the direction of the prevailing </w:t>
            </w:r>
            <w:r w:rsidRPr="00026FCF" w:rsidR="00026FCF">
              <w:rPr>
                <w:rFonts w:cstheme="minorHAnsi"/>
                <w:szCs w:val="18"/>
              </w:rPr>
              <w:t>which may provide some protection</w:t>
            </w:r>
            <w:r w:rsidRPr="00026FCF">
              <w:rPr>
                <w:rFonts w:cstheme="minorHAnsi"/>
                <w:szCs w:val="18"/>
              </w:rPr>
              <w:t xml:space="preserve">.  </w:t>
            </w:r>
          </w:p>
          <w:p w:rsidRPr="00517264" w:rsidR="00FB3FD0" w:rsidP="00026FCF" w:rsidRDefault="00FB3FD0" w14:paraId="52374839" w14:textId="47CA1DD9">
            <w:pPr>
              <w:pStyle w:val="BodyText"/>
              <w:rPr>
                <w:rFonts w:cstheme="minorHAnsi"/>
                <w:color w:val="005CC6" w:themeColor="accent2" w:themeShade="BF"/>
                <w:szCs w:val="18"/>
              </w:rPr>
            </w:pPr>
            <w:r w:rsidRPr="009627AC">
              <w:rPr>
                <w:rFonts w:cstheme="minorHAnsi"/>
                <w:szCs w:val="18"/>
              </w:rPr>
              <w:t xml:space="preserve">Probability of exposure from </w:t>
            </w:r>
            <w:r w:rsidRPr="009627AC" w:rsidR="009627AC">
              <w:rPr>
                <w:rFonts w:cstheme="minorHAnsi"/>
                <w:szCs w:val="18"/>
              </w:rPr>
              <w:t>the OCU is</w:t>
            </w:r>
            <w:r w:rsidRPr="009627AC">
              <w:rPr>
                <w:rFonts w:cstheme="minorHAnsi"/>
                <w:szCs w:val="18"/>
              </w:rPr>
              <w:t xml:space="preserve"> considered to be </w:t>
            </w:r>
            <w:r w:rsidRPr="009627AC">
              <w:rPr>
                <w:rFonts w:cstheme="minorHAnsi"/>
                <w:b/>
                <w:bCs/>
                <w:szCs w:val="18"/>
              </w:rPr>
              <w:t>low</w:t>
            </w:r>
            <w:r w:rsidRPr="009627AC">
              <w:rPr>
                <w:rFonts w:cstheme="minorHAnsi"/>
                <w:szCs w:val="18"/>
              </w:rPr>
              <w:t>.</w:t>
            </w:r>
          </w:p>
        </w:tc>
        <w:tc>
          <w:tcPr>
            <w:tcW w:w="0" w:type="dxa"/>
          </w:tcPr>
          <w:p w:rsidRPr="003854AD" w:rsidR="0078096C" w:rsidDel="00D063B9" w:rsidP="0078096C" w:rsidRDefault="0078096C" w14:paraId="2DDA90AB" w14:textId="7682AF74">
            <w:pPr>
              <w:pStyle w:val="BodyText"/>
              <w:rPr>
                <w:rFonts w:cstheme="minorHAnsi"/>
                <w:szCs w:val="18"/>
              </w:rPr>
            </w:pPr>
            <w:r w:rsidRPr="003854AD">
              <w:rPr>
                <w:rFonts w:cstheme="minorHAnsi"/>
                <w:szCs w:val="18"/>
              </w:rPr>
              <w:t>Impact on human health</w:t>
            </w:r>
            <w:r w:rsidRPr="003854AD" w:rsidR="00FB3FD0">
              <w:rPr>
                <w:rFonts w:cstheme="minorHAnsi"/>
                <w:szCs w:val="18"/>
              </w:rPr>
              <w:t xml:space="preserve"> (considered to be a sensitive receptor).</w:t>
            </w:r>
          </w:p>
        </w:tc>
        <w:tc>
          <w:tcPr>
            <w:tcW w:w="3686" w:type="dxa"/>
          </w:tcPr>
          <w:p w:rsidRPr="00EB4232" w:rsidR="0078096C" w:rsidP="0078096C" w:rsidRDefault="0078096C" w14:paraId="7638AAC6" w14:textId="6B98E403">
            <w:pPr>
              <w:pStyle w:val="BodyText"/>
              <w:rPr>
                <w:rFonts w:cstheme="minorHAnsi"/>
                <w:szCs w:val="18"/>
              </w:rPr>
            </w:pPr>
            <w:r w:rsidRPr="00EB4232">
              <w:rPr>
                <w:rFonts w:cstheme="minorHAnsi"/>
                <w:szCs w:val="18"/>
              </w:rPr>
              <w:t xml:space="preserve">Most storage tanks, treatment tanks and associated pipework are enclosed. </w:t>
            </w:r>
            <w:r w:rsidRPr="00EB4232" w:rsidR="00FD0677">
              <w:rPr>
                <w:rFonts w:cstheme="minorHAnsi"/>
                <w:szCs w:val="18"/>
              </w:rPr>
              <w:t xml:space="preserve">Given the type </w:t>
            </w:r>
            <w:r w:rsidRPr="00EB4232">
              <w:rPr>
                <w:rFonts w:cstheme="minorHAnsi"/>
                <w:szCs w:val="18"/>
              </w:rPr>
              <w:t>of OCU, the likelihood of bioaerosol release is anticipated to be minima</w:t>
            </w:r>
            <w:r w:rsidRPr="00EB4232" w:rsidR="00414834">
              <w:rPr>
                <w:rFonts w:cstheme="minorHAnsi"/>
                <w:szCs w:val="18"/>
              </w:rPr>
              <w:t>l.</w:t>
            </w:r>
          </w:p>
          <w:p w:rsidRPr="00EB4232" w:rsidR="0078096C" w:rsidP="0078096C" w:rsidRDefault="00414834" w14:paraId="13974CE2" w14:textId="4B71B046">
            <w:pPr>
              <w:pStyle w:val="BodyText"/>
              <w:rPr>
                <w:rFonts w:cstheme="minorHAnsi"/>
                <w:szCs w:val="18"/>
              </w:rPr>
            </w:pPr>
            <w:r w:rsidRPr="00EB4232">
              <w:rPr>
                <w:rFonts w:cstheme="minorHAnsi"/>
                <w:szCs w:val="18"/>
              </w:rPr>
              <w:t xml:space="preserve">The OCU is maintained monthly by a Framework agreed contractor </w:t>
            </w:r>
            <w:r w:rsidRPr="00EB4232" w:rsidR="00EB4232">
              <w:rPr>
                <w:rFonts w:cstheme="minorHAnsi"/>
                <w:szCs w:val="18"/>
              </w:rPr>
              <w:t>to</w:t>
            </w:r>
            <w:r w:rsidRPr="00EB4232" w:rsidR="0078096C">
              <w:rPr>
                <w:rFonts w:cstheme="minorHAnsi"/>
                <w:szCs w:val="18"/>
              </w:rPr>
              <w:t xml:space="preserve"> reduce the risk of equipment failure</w:t>
            </w:r>
            <w:r w:rsidRPr="00EB4232" w:rsidR="00A751B8">
              <w:rPr>
                <w:rFonts w:cstheme="minorHAnsi"/>
                <w:szCs w:val="18"/>
              </w:rPr>
              <w:t>.</w:t>
            </w:r>
          </w:p>
        </w:tc>
        <w:tc>
          <w:tcPr>
            <w:tcW w:w="1666" w:type="dxa"/>
            <w:shd w:val="clear" w:color="auto" w:fill="92D050"/>
          </w:tcPr>
          <w:p w:rsidRPr="00554965" w:rsidR="0078096C" w:rsidP="0078096C" w:rsidRDefault="0078096C" w14:paraId="34ECC16B" w14:textId="196D5D0C">
            <w:pPr>
              <w:pStyle w:val="BodyText"/>
              <w:rPr>
                <w:rFonts w:cstheme="minorHAnsi"/>
                <w:szCs w:val="18"/>
              </w:rPr>
            </w:pPr>
            <w:r w:rsidRPr="00554965">
              <w:rPr>
                <w:rFonts w:cstheme="minorHAnsi"/>
                <w:szCs w:val="18"/>
              </w:rPr>
              <w:t>Low</w:t>
            </w:r>
          </w:p>
        </w:tc>
      </w:tr>
      <w:tr w:rsidRPr="00FA4B84" w:rsidR="00300E0C" w:rsidTr="00300E0C" w14:paraId="25171653" w14:textId="77777777">
        <w:tc>
          <w:tcPr>
            <w:tcW w:w="1807" w:type="dxa"/>
          </w:tcPr>
          <w:p w:rsidRPr="003854AD" w:rsidR="0078096C" w:rsidP="0078096C" w:rsidRDefault="003854AD" w14:paraId="1608957D" w14:textId="07F93BBF">
            <w:pPr>
              <w:pStyle w:val="BodyText"/>
              <w:rPr>
                <w:rFonts w:cstheme="minorHAnsi"/>
                <w:szCs w:val="18"/>
              </w:rPr>
            </w:pPr>
            <w:r w:rsidRPr="003854AD">
              <w:rPr>
                <w:sz w:val="20"/>
              </w:rPr>
              <w:t>Cake Pad</w:t>
            </w:r>
          </w:p>
        </w:tc>
        <w:tc>
          <w:tcPr>
            <w:tcW w:w="1323" w:type="dxa"/>
          </w:tcPr>
          <w:p w:rsidRPr="003854AD" w:rsidR="0078096C" w:rsidP="0078096C" w:rsidRDefault="0078096C" w14:paraId="625BA65D" w14:textId="77777777">
            <w:pPr>
              <w:pStyle w:val="BodyText"/>
              <w:rPr>
                <w:rFonts w:cstheme="minorHAnsi"/>
                <w:szCs w:val="18"/>
              </w:rPr>
            </w:pPr>
            <w:r w:rsidRPr="003854AD">
              <w:rPr>
                <w:rFonts w:cstheme="minorHAnsi"/>
                <w:szCs w:val="18"/>
              </w:rPr>
              <w:t>Inhalation via wind-borne transportation</w:t>
            </w:r>
          </w:p>
        </w:tc>
        <w:tc>
          <w:tcPr>
            <w:tcW w:w="981" w:type="dxa"/>
          </w:tcPr>
          <w:p w:rsidRPr="003854AD" w:rsidR="0078096C" w:rsidP="0078096C" w:rsidRDefault="003854AD" w14:paraId="710A2256" w14:textId="4ACF9B29">
            <w:pPr>
              <w:pStyle w:val="BodyText"/>
              <w:rPr>
                <w:rFonts w:cstheme="minorHAnsi"/>
                <w:szCs w:val="18"/>
              </w:rPr>
            </w:pPr>
            <w:r w:rsidRPr="003854AD">
              <w:t>R1, R</w:t>
            </w:r>
            <w:r w:rsidR="009A7AB8">
              <w:t>2</w:t>
            </w:r>
          </w:p>
        </w:tc>
        <w:tc>
          <w:tcPr>
            <w:tcW w:w="3459" w:type="dxa"/>
            <w:gridSpan w:val="2"/>
            <w:shd w:val="clear" w:color="auto" w:fill="92D050"/>
          </w:tcPr>
          <w:p w:rsidRPr="0079319E" w:rsidR="0078096C" w:rsidP="0078096C" w:rsidRDefault="0078096C" w14:paraId="30EC0055" w14:textId="7E980816">
            <w:pPr>
              <w:pStyle w:val="BodyText"/>
              <w:rPr>
                <w:rFonts w:cstheme="minorHAnsi"/>
                <w:szCs w:val="18"/>
              </w:rPr>
            </w:pPr>
            <w:r w:rsidRPr="00416663">
              <w:rPr>
                <w:rFonts w:cstheme="minorHAnsi"/>
                <w:szCs w:val="18"/>
              </w:rPr>
              <w:t>Receptors downwind are &gt;1</w:t>
            </w:r>
            <w:r w:rsidRPr="00416663" w:rsidR="003D396D">
              <w:rPr>
                <w:rFonts w:cstheme="minorHAnsi"/>
                <w:szCs w:val="18"/>
              </w:rPr>
              <w:t>00</w:t>
            </w:r>
            <w:r w:rsidRPr="00416663">
              <w:rPr>
                <w:rFonts w:cstheme="minorHAnsi"/>
                <w:szCs w:val="18"/>
              </w:rPr>
              <w:t xml:space="preserve">m away </w:t>
            </w:r>
            <w:r w:rsidRPr="00416663" w:rsidR="003D396D">
              <w:rPr>
                <w:rFonts w:cstheme="minorHAnsi"/>
                <w:szCs w:val="18"/>
              </w:rPr>
              <w:t xml:space="preserve">from the cake pad </w:t>
            </w:r>
            <w:r w:rsidRPr="0079319E">
              <w:rPr>
                <w:rFonts w:cstheme="minorHAnsi"/>
                <w:szCs w:val="18"/>
              </w:rPr>
              <w:t xml:space="preserve">and </w:t>
            </w:r>
            <w:r w:rsidRPr="0079319E" w:rsidR="00AE6CF6">
              <w:rPr>
                <w:rFonts w:cstheme="minorHAnsi"/>
                <w:szCs w:val="18"/>
              </w:rPr>
              <w:t xml:space="preserve">generally screened by </w:t>
            </w:r>
            <w:r w:rsidRPr="0079319E" w:rsidR="00416663">
              <w:rPr>
                <w:rFonts w:cstheme="minorHAnsi"/>
                <w:szCs w:val="18"/>
              </w:rPr>
              <w:t>vegetation.</w:t>
            </w:r>
            <w:r w:rsidRPr="0079319E" w:rsidR="007E7B47">
              <w:rPr>
                <w:rFonts w:cstheme="minorHAnsi"/>
                <w:szCs w:val="18"/>
              </w:rPr>
              <w:t xml:space="preserve"> </w:t>
            </w:r>
            <w:r w:rsidRPr="0079319E" w:rsidR="0079319E">
              <w:rPr>
                <w:rFonts w:cstheme="minorHAnsi"/>
                <w:szCs w:val="18"/>
              </w:rPr>
              <w:t>Only the lake</w:t>
            </w:r>
            <w:r w:rsidR="003056EA">
              <w:rPr>
                <w:rFonts w:cstheme="minorHAnsi"/>
                <w:szCs w:val="18"/>
              </w:rPr>
              <w:t xml:space="preserve"> </w:t>
            </w:r>
            <w:r w:rsidRPr="0079319E" w:rsidR="0079319E">
              <w:rPr>
                <w:rFonts w:cstheme="minorHAnsi"/>
                <w:szCs w:val="18"/>
              </w:rPr>
              <w:t>is in the direction of the prevailing wind</w:t>
            </w:r>
            <w:r w:rsidR="00D77143">
              <w:rPr>
                <w:rFonts w:cstheme="minorHAnsi"/>
                <w:szCs w:val="18"/>
              </w:rPr>
              <w:t xml:space="preserve">, however visitors (such as anglers) should be well protected by </w:t>
            </w:r>
            <w:r w:rsidR="00436EEF">
              <w:rPr>
                <w:rFonts w:cstheme="minorHAnsi"/>
                <w:szCs w:val="18"/>
              </w:rPr>
              <w:t>vegetation covering most of the intervening distance.</w:t>
            </w:r>
          </w:p>
          <w:p w:rsidRPr="00517264" w:rsidR="00FB3FD0" w:rsidP="0078096C" w:rsidRDefault="00FB3FD0" w14:paraId="36EBBD4B" w14:textId="5E6F6350">
            <w:pPr>
              <w:pStyle w:val="BodyText"/>
              <w:rPr>
                <w:rFonts w:cstheme="minorHAnsi"/>
                <w:color w:val="005CC6" w:themeColor="accent2" w:themeShade="BF"/>
                <w:szCs w:val="18"/>
                <w:highlight w:val="yellow"/>
              </w:rPr>
            </w:pPr>
            <w:r w:rsidRPr="0079319E">
              <w:rPr>
                <w:rFonts w:cstheme="minorHAnsi"/>
                <w:szCs w:val="18"/>
              </w:rPr>
              <w:t xml:space="preserve">Probability of exposure from </w:t>
            </w:r>
            <w:r w:rsidRPr="0079319E" w:rsidR="009627AC">
              <w:rPr>
                <w:rFonts w:cstheme="minorHAnsi"/>
                <w:szCs w:val="18"/>
              </w:rPr>
              <w:t xml:space="preserve">the cake </w:t>
            </w:r>
            <w:r w:rsidRPr="009627AC" w:rsidR="009627AC">
              <w:rPr>
                <w:rFonts w:cstheme="minorHAnsi"/>
                <w:szCs w:val="18"/>
              </w:rPr>
              <w:t>pad is</w:t>
            </w:r>
            <w:r w:rsidRPr="009627AC">
              <w:rPr>
                <w:rFonts w:cstheme="minorHAnsi"/>
                <w:szCs w:val="18"/>
              </w:rPr>
              <w:t xml:space="preserve"> considered to be </w:t>
            </w:r>
            <w:r w:rsidRPr="009627AC">
              <w:rPr>
                <w:rFonts w:cstheme="minorHAnsi"/>
                <w:b/>
                <w:bCs/>
                <w:szCs w:val="18"/>
              </w:rPr>
              <w:t>low</w:t>
            </w:r>
            <w:r w:rsidRPr="009627AC">
              <w:rPr>
                <w:rFonts w:cstheme="minorHAnsi"/>
                <w:szCs w:val="18"/>
              </w:rPr>
              <w:t>.</w:t>
            </w:r>
          </w:p>
        </w:tc>
        <w:tc>
          <w:tcPr>
            <w:tcW w:w="0" w:type="dxa"/>
          </w:tcPr>
          <w:p w:rsidRPr="003854AD" w:rsidR="0078096C" w:rsidP="0078096C" w:rsidRDefault="00FB3FD0" w14:paraId="0CC9C2B6" w14:textId="2737011D">
            <w:pPr>
              <w:pStyle w:val="BodyText"/>
              <w:rPr>
                <w:rFonts w:cstheme="minorHAnsi"/>
                <w:szCs w:val="18"/>
              </w:rPr>
            </w:pPr>
            <w:r w:rsidRPr="003854AD">
              <w:rPr>
                <w:rFonts w:cstheme="minorHAnsi"/>
                <w:szCs w:val="18"/>
              </w:rPr>
              <w:t>Impact on human health (considered to be a sensitive receptor).</w:t>
            </w:r>
          </w:p>
        </w:tc>
        <w:tc>
          <w:tcPr>
            <w:tcW w:w="3686" w:type="dxa"/>
          </w:tcPr>
          <w:p w:rsidRPr="00517264" w:rsidR="0078096C" w:rsidP="0078096C" w:rsidRDefault="008423E0" w14:paraId="30E710FF" w14:textId="68DEB11A">
            <w:pPr>
              <w:pStyle w:val="BodyText"/>
              <w:rPr>
                <w:rFonts w:cstheme="minorHAnsi"/>
                <w:color w:val="005CC6" w:themeColor="accent2" w:themeShade="BF"/>
                <w:szCs w:val="18"/>
              </w:rPr>
            </w:pPr>
            <w:r w:rsidRPr="00554965">
              <w:rPr>
                <w:rFonts w:cstheme="minorHAnsi"/>
                <w:szCs w:val="18"/>
              </w:rPr>
              <w:t xml:space="preserve">The cake pad is </w:t>
            </w:r>
            <w:r w:rsidRPr="00554965" w:rsidR="0073357C">
              <w:rPr>
                <w:rFonts w:cstheme="minorHAnsi"/>
                <w:szCs w:val="18"/>
              </w:rPr>
              <w:t xml:space="preserve">enclosed on all sides by a low level wall to protect from the wind.  </w:t>
            </w:r>
            <w:r w:rsidRPr="00554965" w:rsidR="00993A39">
              <w:rPr>
                <w:rFonts w:eastAsia="Times New Roman" w:cs="Times New Roman"/>
                <w:szCs w:val="18"/>
                <w:lang w:val="en-AU"/>
              </w:rPr>
              <w:t xml:space="preserve">Digested sludge cake retains a high moisture content and is not prone to being dusty.  </w:t>
            </w:r>
            <w:r w:rsidRPr="00554965" w:rsidR="00C421EA">
              <w:rPr>
                <w:rFonts w:cstheme="minorHAnsi"/>
                <w:szCs w:val="18"/>
              </w:rPr>
              <w:t xml:space="preserve">Digested cake is removed from the pad every few days </w:t>
            </w:r>
            <w:r w:rsidRPr="00554965" w:rsidR="00E37BAB">
              <w:rPr>
                <w:rFonts w:cstheme="minorHAnsi"/>
                <w:szCs w:val="18"/>
              </w:rPr>
              <w:t>with lorries passing through a wheel wash</w:t>
            </w:r>
            <w:r w:rsidRPr="00554965" w:rsidR="00993A39">
              <w:rPr>
                <w:rFonts w:eastAsia="Times New Roman" w:cs="Times New Roman"/>
                <w:szCs w:val="18"/>
                <w:lang w:val="en-AU"/>
              </w:rPr>
              <w:t xml:space="preserve"> to avoid the production of dust.</w:t>
            </w:r>
          </w:p>
        </w:tc>
        <w:tc>
          <w:tcPr>
            <w:tcW w:w="1666" w:type="dxa"/>
            <w:shd w:val="clear" w:color="auto" w:fill="92D050"/>
          </w:tcPr>
          <w:p w:rsidRPr="00554965" w:rsidR="0078096C" w:rsidP="0078096C" w:rsidRDefault="0078096C" w14:paraId="333F7924" w14:textId="2E6D446F">
            <w:pPr>
              <w:pStyle w:val="BodyText"/>
              <w:rPr>
                <w:rFonts w:cstheme="minorHAnsi"/>
                <w:szCs w:val="18"/>
              </w:rPr>
            </w:pPr>
            <w:r w:rsidRPr="00554965">
              <w:rPr>
                <w:rFonts w:cstheme="minorHAnsi"/>
                <w:szCs w:val="18"/>
              </w:rPr>
              <w:t>Low</w:t>
            </w:r>
          </w:p>
        </w:tc>
      </w:tr>
      <w:bookmarkEnd w:id="29"/>
    </w:tbl>
    <w:p w:rsidR="00E5787E" w:rsidP="00E5787E" w:rsidRDefault="00E5787E" w14:paraId="38A4F697" w14:textId="77777777">
      <w:pPr>
        <w:pStyle w:val="BodyText"/>
      </w:pPr>
    </w:p>
    <w:p w:rsidR="002C0D59" w:rsidP="00E5787E" w:rsidRDefault="002C0D59" w14:paraId="50E45B6F" w14:textId="77777777">
      <w:pPr>
        <w:pStyle w:val="BodyText"/>
        <w:sectPr w:rsidR="002C0D59" w:rsidSect="0093169E">
          <w:pgSz w:w="16838" w:h="11906" w:orient="landscape" w:code="9"/>
          <w:pgMar w:top="1134" w:right="1134" w:bottom="1134" w:left="567" w:header="567" w:footer="0" w:gutter="0"/>
          <w:cols w:space="720"/>
          <w:docGrid w:linePitch="360"/>
        </w:sectPr>
      </w:pPr>
    </w:p>
    <w:p w:rsidR="00E5787E" w:rsidP="00E5787E" w:rsidRDefault="00E5787E" w14:paraId="0766E08E" w14:textId="7FE6B616">
      <w:pPr>
        <w:pStyle w:val="BodyText"/>
      </w:pPr>
    </w:p>
    <w:p w:rsidRPr="00A57E95" w:rsidR="00E5787E" w:rsidP="00A57E95" w:rsidRDefault="00E5787E" w14:paraId="3BA7B2C6" w14:textId="76757E0E">
      <w:pPr>
        <w:pStyle w:val="Heading2"/>
      </w:pPr>
      <w:bookmarkStart w:name="_Toc107998453" w:id="30"/>
      <w:r w:rsidRPr="00A57E95">
        <w:t>Abnormal Situations</w:t>
      </w:r>
      <w:bookmarkEnd w:id="30"/>
    </w:p>
    <w:p w:rsidR="00E5787E" w:rsidP="00E5787E" w:rsidRDefault="00E5787E" w14:paraId="2B823551" w14:textId="77777777">
      <w:pPr>
        <w:pStyle w:val="BodyText"/>
      </w:pPr>
      <w:r>
        <w:t>In the event of plant failures or abnormal situations, an alarm would be raised on the Site Supervisory Control and Data Acquisition (SCADA) or telemetry systems, which will be reacted to by on-site or regional control room operators and Duty Managers. Depending upon the nature of the fault or emergency, where required, an operator would contact a mechanical or electrical technician, both of whom are on-call 24-hours, to attend site as soon as practicable.</w:t>
      </w:r>
    </w:p>
    <w:p w:rsidR="00E5787E" w:rsidP="00E5787E" w:rsidRDefault="00E5787E" w14:paraId="3D4420AB" w14:textId="77777777">
      <w:pPr>
        <w:pStyle w:val="BodyText"/>
      </w:pPr>
      <w:r>
        <w:t>If the on-call technicians are already engaged upon other response work, there is the facility to access staff from other TW geographic divisions, coordinated by the Duty Manager. All faults, breakdowns and emergencies are logged electronically together with records of the action taken and the solutions reached. One such abnormal event would be failure of the flare stack and/or CHP. Such an event would result in releases of biogas from the PRV’s located on the roofs of the digesters and in the gas holder compound, which would release bioaerosols. This occurs to prevent over pressurisation of the digesters and gas systems. While the problem is rectified, biogas generation is reduced by reducing or inhibiting the digester feed.</w:t>
      </w:r>
    </w:p>
    <w:p w:rsidRPr="00A57E95" w:rsidR="00E5787E" w:rsidP="00A57E95" w:rsidRDefault="00E5787E" w14:paraId="79A61B75" w14:textId="4FB02DEE">
      <w:pPr>
        <w:pStyle w:val="Heading1"/>
      </w:pPr>
      <w:bookmarkStart w:name="_Toc107998454" w:id="31"/>
      <w:r w:rsidRPr="00A57E95">
        <w:t>Conclusions</w:t>
      </w:r>
      <w:bookmarkEnd w:id="31"/>
      <w:r w:rsidRPr="00A57E95">
        <w:t xml:space="preserve"> </w:t>
      </w:r>
    </w:p>
    <w:p w:rsidR="00E5787E" w:rsidP="00E5787E" w:rsidRDefault="00E5787E" w14:paraId="74784173" w14:textId="1855AAA2">
      <w:pPr>
        <w:pStyle w:val="BodyText"/>
      </w:pPr>
      <w:r>
        <w:t xml:space="preserve">A source-pathway-receptor risk assessment has been undertaken to appraise the potential for risk to human health in dwellings and other nearby buildings from bioaerosols arising from operations at the </w:t>
      </w:r>
      <w:r w:rsidR="00966DFC">
        <w:t>Maple Lodge</w:t>
      </w:r>
      <w:r w:rsidR="005E1E1C">
        <w:t xml:space="preserve"> </w:t>
      </w:r>
      <w:r w:rsidR="00990C48">
        <w:t>STC</w:t>
      </w:r>
      <w:r>
        <w:t>. The risk assessment followed a standardised approach, namely:</w:t>
      </w:r>
    </w:p>
    <w:p w:rsidR="00E5787E" w:rsidP="00A57E95" w:rsidRDefault="00E5787E" w14:paraId="2A71F147" w14:textId="6469A9D1">
      <w:pPr>
        <w:pStyle w:val="BulletLevel1"/>
      </w:pPr>
      <w:r>
        <w:t>Hazard identification: what sources of bioaerosols are present;</w:t>
      </w:r>
    </w:p>
    <w:p w:rsidR="00E5787E" w:rsidP="00A57E95" w:rsidRDefault="00E5787E" w14:paraId="70420190" w14:textId="218EED1C">
      <w:pPr>
        <w:pStyle w:val="BulletLevel1"/>
      </w:pPr>
      <w:r>
        <w:t>Exposure assessment: what are the mechanisms or pathways allowing bioaerosols to migrate off site and reach a receptor; and</w:t>
      </w:r>
    </w:p>
    <w:p w:rsidR="00E5787E" w:rsidP="00A57E95" w:rsidRDefault="00E5787E" w14:paraId="2F42EA2C" w14:textId="11E17AA2">
      <w:pPr>
        <w:pStyle w:val="BulletLevel1"/>
      </w:pPr>
      <w:r>
        <w:t xml:space="preserve">Risk evaluation: what is the probability of exposure. This considered control measures in place to reduce the probability or magnitude of release. </w:t>
      </w:r>
    </w:p>
    <w:p w:rsidR="00A57E95" w:rsidP="00E5787E" w:rsidRDefault="00A57E95" w14:paraId="4D200148" w14:textId="19804BCA">
      <w:pPr>
        <w:pStyle w:val="BodyText"/>
      </w:pPr>
      <w:r>
        <w:t>A small number of</w:t>
      </w:r>
      <w:r w:rsidR="007C3534">
        <w:t xml:space="preserve"> </w:t>
      </w:r>
      <w:r>
        <w:t xml:space="preserve">potential sources of </w:t>
      </w:r>
      <w:r w:rsidRPr="00A751B8">
        <w:t xml:space="preserve">bioaerosols within the site processes have been identified, </w:t>
      </w:r>
      <w:r w:rsidRPr="00300E0C" w:rsidR="001735C4">
        <w:t xml:space="preserve">however only two </w:t>
      </w:r>
      <w:r w:rsidRPr="00A751B8" w:rsidR="00FB3FD0">
        <w:t xml:space="preserve">are </w:t>
      </w:r>
      <w:r w:rsidRPr="00300E0C" w:rsidR="001735C4">
        <w:t>within 250m of a static receptor</w:t>
      </w:r>
      <w:r w:rsidR="00E019A5">
        <w:t xml:space="preserve">, the OCU </w:t>
      </w:r>
      <w:r w:rsidR="003C4740">
        <w:t>and the cake pad</w:t>
      </w:r>
      <w:r w:rsidRPr="00300E0C" w:rsidR="001735C4">
        <w:t xml:space="preserve">.  </w:t>
      </w:r>
      <w:bookmarkStart w:name="_Hlk105579829" w:id="32"/>
      <w:bookmarkStart w:name="_Hlk105613183" w:id="33"/>
      <w:r w:rsidRPr="00300E0C" w:rsidR="00FB3FD0">
        <w:t>However</w:t>
      </w:r>
      <w:r w:rsidR="00300E0C">
        <w:t>,</w:t>
      </w:r>
      <w:r w:rsidRPr="00300E0C" w:rsidR="00FB3FD0">
        <w:t xml:space="preserve"> given the distance from the emission point</w:t>
      </w:r>
      <w:r w:rsidR="003C4740">
        <w:t xml:space="preserve">s, </w:t>
      </w:r>
      <w:r w:rsidRPr="00300E0C" w:rsidR="00FB3FD0">
        <w:t xml:space="preserve">the </w:t>
      </w:r>
      <w:r w:rsidRPr="00300E0C" w:rsidR="00A751B8">
        <w:t>trees and vegetation which are likely to be protective of the receptor</w:t>
      </w:r>
      <w:r w:rsidR="003C4740">
        <w:t>s</w:t>
      </w:r>
      <w:r w:rsidRPr="00300E0C" w:rsidR="00A751B8">
        <w:t xml:space="preserve"> and the control measures in place to contain </w:t>
      </w:r>
      <w:r w:rsidRPr="00430A38" w:rsidR="00430A38">
        <w:t>bioaerosols</w:t>
      </w:r>
      <w:r w:rsidR="00BE105D">
        <w:t xml:space="preserve">, meaning their release is likely to be minimal, </w:t>
      </w:r>
      <w:r w:rsidRPr="00300E0C" w:rsidR="00A751B8">
        <w:t>the overall (residual risk) to receptors is considered to be low.</w:t>
      </w:r>
      <w:bookmarkEnd w:id="32"/>
    </w:p>
    <w:p w:rsidR="00740E04" w:rsidP="00A751B8" w:rsidRDefault="00F97DA0" w14:paraId="20D19F26" w14:textId="77777777">
      <w:pPr>
        <w:pStyle w:val="BodyText"/>
      </w:pPr>
      <w:bookmarkStart w:name="_Hlk105579842" w:id="34"/>
      <w:bookmarkEnd w:id="33"/>
      <w:r>
        <w:t xml:space="preserve">Thames Water confirms it will use MCERTS accredited providers or equivalent for the sampling of bioaerosols from location TQ 03755 92551 (NGR for the OCU stack). Samples will be delivered to the testing laboratory within 24 hours of sampling. In addition, sampling will also take place in relation to TQ 03923 92407 (approx. NGR of centre of cake pad) which is a diffuse source and hence will be monitored purely by agar plates. </w:t>
      </w:r>
    </w:p>
    <w:p w:rsidR="00740E04" w:rsidP="00A751B8" w:rsidRDefault="00F97DA0" w14:paraId="2E3889A7" w14:textId="77777777">
      <w:pPr>
        <w:pStyle w:val="BodyText"/>
      </w:pPr>
      <w:r>
        <w:t xml:space="preserve">Downwind samples will tend to be towards the north of the site, as the closest receptors to the cake pad is point R1. The prevailing wind is from the SW, so receptors R2 and R3 are less likely to be impacted. </w:t>
      </w:r>
    </w:p>
    <w:p w:rsidR="00CC3FD6" w:rsidP="00A751B8" w:rsidRDefault="00F97DA0" w14:paraId="5389CA6C" w14:textId="77777777">
      <w:pPr>
        <w:pStyle w:val="BodyText"/>
      </w:pPr>
      <w:r>
        <w:t xml:space="preserve">In line with M9, ambient sampling will be conducted to identify background emissions. A sampling round, consisting of four individual sampling points, each with its own agar plate will be carried out. One point will be located upwind of the OCU stack to give a background concentration, and one OCU specific point will be located downwind. Other downwind locations are covered by the monitoring points for the cake pad: </w:t>
      </w:r>
    </w:p>
    <w:p w:rsidR="00CC3FD6" w:rsidP="33B96017" w:rsidRDefault="00F97DA0" w14:paraId="125F78E5" w14:textId="77777777">
      <w:pPr>
        <w:pStyle w:val="BodyText"/>
        <w:numPr>
          <w:ilvl w:val="0"/>
          <w:numId w:val="46"/>
        </w:numPr>
        <w:rPr>
          <w:highlight w:val="yellow"/>
          <w:rPrChange w:author="Carol Getting" w:date="2024-08-30T15:41:10.436Z" w:id="1526137050"/>
        </w:rPr>
      </w:pPr>
      <w:r w:rsidRPr="33B96017" w:rsidR="00F97DA0">
        <w:rPr>
          <w:highlight w:val="yellow"/>
          <w:rPrChange w:author="Carol Getting" w:date="2024-08-30T15:41:10.434Z" w:id="62076184"/>
        </w:rPr>
        <w:t>Upwind sample location (approx.) which is 25-50m SW of the OCU: TQ 0373 9252*</w:t>
      </w:r>
      <w:r w:rsidR="00F97DA0">
        <w:rPr/>
        <w:t xml:space="preserve"> </w:t>
      </w:r>
    </w:p>
    <w:p w:rsidR="00CC3FD6" w:rsidP="00CC3FD6" w:rsidRDefault="00F97DA0" w14:paraId="01460DD7" w14:textId="77777777">
      <w:pPr>
        <w:pStyle w:val="BodyText"/>
        <w:numPr>
          <w:ilvl w:val="0"/>
          <w:numId w:val="46"/>
        </w:numPr>
      </w:pPr>
      <w:r>
        <w:t xml:space="preserve">Downwind sample location which is approx. 145m NW of the OCU: TQ 0362 9261 </w:t>
      </w:r>
    </w:p>
    <w:p w:rsidR="00CC3FD6" w:rsidP="00CC3FD6" w:rsidRDefault="00F97DA0" w14:paraId="6BFF7DFE" w14:textId="77777777">
      <w:pPr>
        <w:pStyle w:val="BodyText"/>
        <w:numPr>
          <w:ilvl w:val="0"/>
          <w:numId w:val="46"/>
        </w:numPr>
      </w:pPr>
      <w:r>
        <w:t xml:space="preserve">Downwind sample location which is approx. 185m N of the OCU: TQ 0376 9273 </w:t>
      </w:r>
    </w:p>
    <w:p w:rsidR="00CC3FD6" w:rsidP="33B96017" w:rsidRDefault="00F97DA0" w14:paraId="4158AA99" w14:textId="77777777">
      <w:pPr>
        <w:pStyle w:val="BodyText"/>
        <w:numPr>
          <w:ilvl w:val="0"/>
          <w:numId w:val="46"/>
        </w:numPr>
        <w:rPr>
          <w:highlight w:val="yellow"/>
          <w:rPrChange w:author="Carol Getting" w:date="2024-08-30T15:42:12.286Z" w:id="670133836"/>
        </w:rPr>
      </w:pPr>
      <w:r w:rsidRPr="33B96017" w:rsidR="00F97DA0">
        <w:rPr>
          <w:highlight w:val="yellow"/>
          <w:rPrChange w:author="Carol Getting" w:date="2024-08-30T15:42:12.282Z" w:id="704775990"/>
        </w:rPr>
        <w:t>Downwind sample location which is approx. 250m E of the OCU: TQ 0399 9253*</w:t>
      </w:r>
      <w:r w:rsidR="00BF45E4">
        <w:rPr/>
        <w:t xml:space="preserve"> </w:t>
      </w:r>
    </w:p>
    <w:p w:rsidR="00E61A9C" w:rsidP="00A751B8" w:rsidRDefault="00BF45E4" w14:paraId="4DD44CD5" w14:textId="77777777">
      <w:pPr>
        <w:pStyle w:val="BodyText"/>
      </w:pPr>
      <w:r>
        <w:t xml:space="preserve">Distances to sampling points at Maple Lodge are restricted by the presence of woodland which may inhibit some sampling points being used. Therefore, NGR’s for sampling locations are only 8 digits at present, to allow the contractor flexibility as to precise location, taking into account access (and security) for the sampling plates. </w:t>
      </w:r>
    </w:p>
    <w:p w:rsidR="00E61A9C" w:rsidP="00A751B8" w:rsidRDefault="00BF45E4" w14:paraId="3F9C7580" w14:textId="77777777">
      <w:pPr>
        <w:pStyle w:val="BodyText"/>
      </w:pPr>
      <w:r>
        <w:t xml:space="preserve">Cake pad </w:t>
      </w:r>
    </w:p>
    <w:p w:rsidR="00E61A9C" w:rsidP="33B96017" w:rsidRDefault="00BF45E4" w14:paraId="3BF4FB9D" w14:textId="77777777">
      <w:pPr>
        <w:pStyle w:val="BodyText"/>
        <w:numPr>
          <w:ilvl w:val="0"/>
          <w:numId w:val="47"/>
        </w:numPr>
        <w:rPr>
          <w:highlight w:val="yellow"/>
          <w:rPrChange w:author="Carol Getting" w:date="2024-08-30T15:41:57.114Z" w:id="1612308183"/>
        </w:rPr>
      </w:pPr>
      <w:r w:rsidRPr="33B96017" w:rsidR="00BF45E4">
        <w:rPr>
          <w:highlight w:val="yellow"/>
          <w:rPrChange w:author="Carol Getting" w:date="2024-08-30T15:41:57.113Z" w:id="2070494286"/>
        </w:rPr>
        <w:t>Upwind sample location which is approx. 50m SW of the cake pad: TQ 0385 9234</w:t>
      </w:r>
      <w:r w:rsidR="00BF45E4">
        <w:rPr/>
        <w:t xml:space="preserve"> </w:t>
      </w:r>
    </w:p>
    <w:p w:rsidR="00E61A9C" w:rsidP="33B96017" w:rsidRDefault="00BF45E4" w14:paraId="24CF427D" w14:textId="77777777">
      <w:pPr>
        <w:pStyle w:val="BodyText"/>
        <w:numPr>
          <w:ilvl w:val="0"/>
          <w:numId w:val="47"/>
        </w:numPr>
        <w:rPr>
          <w:highlight w:val="yellow"/>
          <w:rPrChange w:author="Carol Getting" w:date="2024-08-30T15:42:17.021Z" w:id="520477335"/>
        </w:rPr>
      </w:pPr>
      <w:r w:rsidRPr="33B96017" w:rsidR="00BF45E4">
        <w:rPr>
          <w:highlight w:val="yellow"/>
          <w:rPrChange w:author="Carol Getting" w:date="2024-08-30T15:42:17.011Z" w:id="200425495"/>
        </w:rPr>
        <w:t>Downwind sample location 1 which is approx. 110m N of the pad: TQ 0399 9253*</w:t>
      </w:r>
      <w:r w:rsidR="00BF45E4">
        <w:rPr/>
        <w:t xml:space="preserve"> </w:t>
      </w:r>
    </w:p>
    <w:p w:rsidR="00E61A9C" w:rsidP="00E61A9C" w:rsidRDefault="00BF45E4" w14:paraId="6E4B466C" w14:textId="77777777">
      <w:pPr>
        <w:pStyle w:val="BodyText"/>
        <w:numPr>
          <w:ilvl w:val="0"/>
          <w:numId w:val="47"/>
        </w:numPr>
      </w:pPr>
      <w:r>
        <w:t xml:space="preserve">Downwind sample location 2 which is approx. 85m NE of the pad: TQ 0402 9248 </w:t>
      </w:r>
    </w:p>
    <w:p w:rsidR="00E61A9C" w:rsidP="00E61A9C" w:rsidRDefault="00BF45E4" w14:paraId="23B4E8F7" w14:textId="77777777">
      <w:pPr>
        <w:pStyle w:val="BodyText"/>
        <w:numPr>
          <w:ilvl w:val="0"/>
          <w:numId w:val="47"/>
        </w:numPr>
        <w:rPr/>
      </w:pPr>
      <w:r w:rsidRPr="33B96017" w:rsidR="00BF45E4">
        <w:rPr>
          <w:highlight w:val="yellow"/>
          <w:rPrChange w:author="Carol Getting" w:date="2024-08-30T15:41:16.263Z" w:id="1201184611"/>
        </w:rPr>
        <w:t>Downwind sample location 3 which is approx. 185 NW of the pad: TQ 0373 9252*</w:t>
      </w:r>
      <w:r w:rsidR="00BF45E4">
        <w:rPr/>
        <w:t xml:space="preserve"> </w:t>
      </w:r>
    </w:p>
    <w:p w:rsidR="00E61A9C" w:rsidP="00A751B8" w:rsidRDefault="00BF45E4" w14:paraId="6502C6F0" w14:textId="77777777">
      <w:pPr>
        <w:pStyle w:val="BodyText"/>
      </w:pPr>
      <w:r>
        <w:t xml:space="preserve">NGR’s for sampling locations are 8 digits at present, to allow the contractor flexibility as to precise location, taking into account access (and security) for the sampling plates. </w:t>
      </w:r>
    </w:p>
    <w:p w:rsidR="00E61A9C" w:rsidP="00A751B8" w:rsidRDefault="00BF45E4" w14:paraId="57E8B01B" w14:textId="77777777">
      <w:pPr>
        <w:pStyle w:val="BodyText"/>
      </w:pPr>
      <w:r>
        <w:t>*shared sampling points.</w:t>
      </w:r>
    </w:p>
    <w:p w:rsidR="00E61A9C" w:rsidP="00A751B8" w:rsidRDefault="00E61A9C" w14:paraId="5E97ACA0" w14:textId="77777777">
      <w:pPr>
        <w:pStyle w:val="BodyText"/>
      </w:pPr>
    </w:p>
    <w:bookmarkEnd w:id="34"/>
    <w:p w:rsidR="00A751B8" w:rsidP="00E5787E" w:rsidRDefault="00A751B8" w14:paraId="191F64D8" w14:textId="0AFA20E7">
      <w:pPr>
        <w:pStyle w:val="BodyText"/>
      </w:pPr>
    </w:p>
    <w:p w:rsidR="00E5787E" w:rsidP="00E5787E" w:rsidRDefault="00E5787E" w14:paraId="7A06C932" w14:textId="77777777">
      <w:pPr>
        <w:pStyle w:val="BodyText"/>
      </w:pPr>
    </w:p>
    <w:p w:rsidR="00E5787E" w:rsidP="009824AA" w:rsidRDefault="00E35294" w14:paraId="6FE9DBBD" w14:textId="38734853">
      <w:pPr>
        <w:pStyle w:val="Heading9"/>
      </w:pPr>
      <w:bookmarkStart w:name="_Toc107905900" w:id="35"/>
      <w:r>
        <w:t>Site Location Plan</w:t>
      </w:r>
      <w:bookmarkEnd w:id="35"/>
    </w:p>
    <w:p w:rsidRPr="00E35294" w:rsidR="00E35294" w:rsidP="00E35294" w:rsidRDefault="00E35294" w14:paraId="39AA657B" w14:textId="7C3271FF">
      <w:pPr>
        <w:pStyle w:val="Heading9"/>
      </w:pPr>
      <w:bookmarkStart w:name="_Toc107905901" w:id="36"/>
      <w:r>
        <w:t xml:space="preserve">Potential </w:t>
      </w:r>
      <w:r w:rsidR="00BB37FD">
        <w:t xml:space="preserve">Bioaerosol </w:t>
      </w:r>
      <w:r>
        <w:t>Emission Points</w:t>
      </w:r>
      <w:bookmarkEnd w:id="36"/>
    </w:p>
    <w:p w:rsidR="00E5787E" w:rsidP="009824AA" w:rsidRDefault="00E5787E" w14:paraId="580D1C2B" w14:textId="7A9EEE84">
      <w:pPr>
        <w:pStyle w:val="BodyText"/>
      </w:pPr>
    </w:p>
    <w:p w:rsidR="0084062E" w:rsidP="009824AA" w:rsidRDefault="0084062E" w14:paraId="3E313BAF" w14:textId="01CB7AA0">
      <w:pPr>
        <w:pStyle w:val="BodyText"/>
      </w:pPr>
    </w:p>
    <w:p w:rsidRPr="009824AA" w:rsidR="0084062E" w:rsidP="009824AA" w:rsidRDefault="0084062E" w14:paraId="762BFBA0" w14:textId="77777777">
      <w:pPr>
        <w:pStyle w:val="BodyText"/>
      </w:pPr>
    </w:p>
    <w:p w:rsidR="00E5787E" w:rsidP="00E5787E" w:rsidRDefault="00E5787E" w14:paraId="09FE92E3" w14:textId="5FD6C286">
      <w:pPr>
        <w:pStyle w:val="BodyText"/>
      </w:pPr>
    </w:p>
    <w:p w:rsidR="00E5787E" w:rsidP="00E5787E" w:rsidRDefault="00E5787E" w14:paraId="0655CC36" w14:textId="77777777">
      <w:pPr>
        <w:pStyle w:val="BodyText"/>
      </w:pPr>
      <w:r>
        <w:t xml:space="preserve"> </w:t>
      </w:r>
    </w:p>
    <w:p w:rsidR="00E5787E" w:rsidP="00E5787E" w:rsidRDefault="00E5787E" w14:paraId="2487DA82" w14:textId="77777777">
      <w:pPr>
        <w:pStyle w:val="BodyText"/>
      </w:pPr>
    </w:p>
    <w:p w:rsidR="00E5787E" w:rsidP="00E5787E" w:rsidRDefault="00E5787E" w14:paraId="0AD66B1F" w14:textId="77777777">
      <w:pPr>
        <w:pStyle w:val="BodyText"/>
      </w:pPr>
    </w:p>
    <w:p w:rsidR="00E5787E" w:rsidP="00BB37FD" w:rsidRDefault="00BB37FD" w14:paraId="5ED83916" w14:textId="29C77508">
      <w:pPr>
        <w:pStyle w:val="Heading9"/>
      </w:pPr>
      <w:bookmarkStart w:name="_Toc107905902" w:id="37"/>
      <w:r>
        <w:t>Receptors within 250</w:t>
      </w:r>
      <w:r w:rsidR="009F7AAE">
        <w:t>m</w:t>
      </w:r>
      <w:r>
        <w:t xml:space="preserve"> of </w:t>
      </w:r>
      <w:r w:rsidR="009F7AAE">
        <w:t xml:space="preserve">potential </w:t>
      </w:r>
      <w:r w:rsidR="00202947">
        <w:t>emission points</w:t>
      </w:r>
      <w:bookmarkEnd w:id="37"/>
    </w:p>
    <w:p w:rsidR="00E5787E" w:rsidP="00E5787E" w:rsidRDefault="00E5787E" w14:paraId="2812DD02" w14:textId="77777777">
      <w:pPr>
        <w:pStyle w:val="BodyText"/>
      </w:pPr>
    </w:p>
    <w:p w:rsidR="00D202BD" w:rsidP="00862EF1" w:rsidRDefault="00D202BD" w14:paraId="2437A425" w14:textId="05A0EECB">
      <w:pPr>
        <w:pStyle w:val="BodyText"/>
      </w:pPr>
    </w:p>
    <w:p w:rsidR="00D202BD" w:rsidP="00862EF1" w:rsidRDefault="00D202BD" w14:paraId="09F5A2F0" w14:textId="2F7885B7">
      <w:pPr>
        <w:pStyle w:val="BodyText"/>
      </w:pPr>
    </w:p>
    <w:p w:rsidR="00D202BD" w:rsidP="00862EF1" w:rsidRDefault="00D202BD" w14:paraId="3DAE7D9F" w14:textId="6A1602D1">
      <w:pPr>
        <w:pStyle w:val="BodyText"/>
      </w:pPr>
    </w:p>
    <w:p w:rsidR="00D202BD" w:rsidP="00862EF1" w:rsidRDefault="00D202BD" w14:paraId="697705C2" w14:textId="1624CAA8">
      <w:pPr>
        <w:pStyle w:val="BodyText"/>
      </w:pPr>
    </w:p>
    <w:p w:rsidR="00D202BD" w:rsidP="00862EF1" w:rsidRDefault="00D202BD" w14:paraId="1C7F4715" w14:textId="59D69F02">
      <w:pPr>
        <w:pStyle w:val="BodyText"/>
      </w:pPr>
    </w:p>
    <w:p w:rsidR="00D202BD" w:rsidP="00862EF1" w:rsidRDefault="00D202BD" w14:paraId="199EFA47" w14:textId="77777777">
      <w:pPr>
        <w:pStyle w:val="BodyText"/>
      </w:pPr>
    </w:p>
    <w:p w:rsidR="003D71CE" w:rsidP="00151F2C" w:rsidRDefault="003D71CE" w14:paraId="4E81B0DB" w14:textId="77777777">
      <w:pPr>
        <w:pStyle w:val="BodyText"/>
        <w:rPr>
          <w:rFonts w:eastAsiaTheme="majorEastAsia" w:cstheme="majorBidi"/>
          <w:b/>
          <w:iCs/>
          <w:sz w:val="22"/>
        </w:rPr>
      </w:pPr>
    </w:p>
    <w:sectPr w:rsidR="003D71CE" w:rsidSect="0064586A">
      <w:headerReference w:type="default" r:id="rId34"/>
      <w:footerReference w:type="default" r:id="rId35"/>
      <w:pgSz w:w="11906" w:h="16838" w:orient="portrait"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80B" w:rsidP="00066DE7" w:rsidRDefault="00A1080B" w14:paraId="58CC8CE7" w14:textId="77777777">
      <w:r>
        <w:separator/>
      </w:r>
    </w:p>
    <w:p w:rsidR="00A1080B" w:rsidRDefault="00A1080B" w14:paraId="3A4655DB" w14:textId="77777777"/>
  </w:endnote>
  <w:endnote w:type="continuationSeparator" w:id="0">
    <w:p w:rsidR="00A1080B" w:rsidP="00066DE7" w:rsidRDefault="00A1080B" w14:paraId="5A541F22" w14:textId="77777777">
      <w:r>
        <w:continuationSeparator/>
      </w:r>
    </w:p>
    <w:p w:rsidR="00A1080B" w:rsidRDefault="00A1080B" w14:paraId="683B3411" w14:textId="77777777"/>
    <w:p w:rsidR="00A1080B" w:rsidRDefault="00A1080B" w14:paraId="42494C6A" w14:textId="77777777"/>
    <w:p w:rsidR="00A1080B" w:rsidRDefault="00A1080B" w14:paraId="110548FD" w14:textId="77777777"/>
    <w:p w:rsidR="00A1080B" w:rsidRDefault="00A1080B" w14:paraId="12CDDA85" w14:textId="77777777"/>
    <w:p w:rsidR="00A1080B" w:rsidRDefault="00A1080B" w14:paraId="7E44D42A" w14:textId="77777777"/>
    <w:p w:rsidR="00A1080B" w:rsidRDefault="00A1080B" w14:paraId="318C43C6" w14:textId="77777777"/>
    <w:p w:rsidR="00A1080B" w:rsidRDefault="00A1080B" w14:paraId="6D10C7C9" w14:textId="77777777"/>
    <w:p w:rsidR="00A1080B" w:rsidRDefault="00A1080B" w14:paraId="37CD677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w:fontKey="{9FD371D3-CEF8-4839-9E9E-5FDBBE8807ED}" r:id="rId1"/>
    <w:embedBold w:fontKey="{C68F15C3-52FD-40AF-8297-60479D3912CC}" r:id="rId2"/>
    <w:embedItalic w:fontKey="{AFFF6495-63E4-4D38-B7E6-BA0695DBB23B}" r:id="rId3"/>
    <w:embedBoldItalic w:fontKey="{BB1662EA-0A40-45F4-A1B9-3BC8859C39A4}" r:id="rId4"/>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w:fontKey="{18F4ADE5-DFC2-4394-9C05-DD16BCC7E0ED}" r:id="rId5"/>
    <w:embedBold w:fontKey="{F292DC09-98F3-45C4-8316-2A04866434C3}" r:id="rId6"/>
    <w:embedItalic w:fontKey="{BC02A4A9-0257-478B-B015-653747614519}" r:id="rId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97521D83-DF70-49F6-8FE5-7070B6C139AC}" r:id="rId8"/>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9A6C6780-2A61-45CC-ABEF-B2FE27A77E5C}" r:id="rId9"/>
  </w:font>
  <w:font w:name="Consolas">
    <w:panose1 w:val="020B0609020204030204"/>
    <w:charset w:val="00"/>
    <w:family w:val="modern"/>
    <w:pitch w:val="fixed"/>
    <w:sig w:usb0="E00006FF" w:usb1="0000FCFF" w:usb2="00000001" w:usb3="00000000" w:csb0="0000019F" w:csb1="00000000"/>
    <w:embedRegular w:fontKey="{750F73C8-1AEE-4346-9144-18C8C8020FAC}" r:id="rId1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08DE" w:rsidRDefault="001308DE" w14:paraId="33A2B73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08DE" w:rsidRDefault="001308DE" w14:paraId="61B34D3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08DE" w:rsidRDefault="001308DE" w14:paraId="2E1F27C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516D1" w:rsidR="005516D1" w:rsidP="003E5FDF" w:rsidRDefault="005516D1" w14:paraId="276199F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516D1" w:rsidR="005516D1" w:rsidP="003E5FDF" w:rsidRDefault="005516D1" w14:paraId="0D494DA0"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516D1" w:rsidR="005516D1" w:rsidP="003E5FDF" w:rsidRDefault="005516D1" w14:paraId="6573BECD"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none" w:color="auto" w:sz="0" w:space="0"/>
        <w:right w:val="none" w:color="auto" w:sz="0" w:space="0"/>
        <w:insideH w:val="single" w:color="231EDC" w:sz="2" w:space="0"/>
        <w:insideV w:val="none" w:color="auto" w:sz="0" w:space="0"/>
      </w:tblBorders>
      <w:tblCellMar>
        <w:top w:w="113" w:type="dxa"/>
      </w:tblCellMar>
      <w:tblLook w:val="04A0" w:firstRow="1" w:lastRow="0" w:firstColumn="1" w:lastColumn="0" w:noHBand="0" w:noVBand="1"/>
    </w:tblPr>
    <w:tblGrid>
      <w:gridCol w:w="12334"/>
      <w:gridCol w:w="2803"/>
    </w:tblGrid>
    <w:tr w:rsidR="00704ADC" w:rsidTr="006F3D5B" w14:paraId="7D67532E" w14:textId="77777777">
      <w:trPr>
        <w:trHeight w:val="170"/>
      </w:trPr>
      <w:tc>
        <w:tcPr>
          <w:tcW w:w="4074" w:type="pct"/>
          <w:tcBorders>
            <w:top w:val="nil"/>
            <w:bottom w:val="single" w:color="231EDC" w:themeColor="accent1" w:sz="2" w:space="0"/>
          </w:tcBorders>
          <w:tcMar>
            <w:top w:w="0" w:type="dxa"/>
            <w:left w:w="0" w:type="dxa"/>
            <w:right w:w="0" w:type="dxa"/>
          </w:tcMar>
          <w:vAlign w:val="center"/>
        </w:tcPr>
        <w:p w:rsidR="00704ADC" w:rsidP="008E4358" w:rsidRDefault="00704ADC" w14:paraId="2E532418" w14:textId="77777777">
          <w:pPr>
            <w:pStyle w:val="Footer"/>
            <w:ind w:right="568"/>
          </w:pPr>
        </w:p>
      </w:tc>
      <w:tc>
        <w:tcPr>
          <w:tcW w:w="926" w:type="pct"/>
          <w:tcBorders>
            <w:top w:val="nil"/>
            <w:bottom w:val="single" w:color="231EDC" w:themeColor="accent1" w:sz="2" w:space="0"/>
          </w:tcBorders>
          <w:tcMar>
            <w:top w:w="0" w:type="dxa"/>
            <w:right w:w="0" w:type="dxa"/>
          </w:tcMar>
          <w:vAlign w:val="center"/>
        </w:tcPr>
        <w:p w:rsidRPr="00C36AD8" w:rsidR="00704ADC" w:rsidP="008E4358" w:rsidRDefault="00704ADC" w14:paraId="469C8356" w14:textId="77777777">
          <w:pPr>
            <w:pStyle w:val="Footer"/>
            <w:ind w:left="3131" w:hanging="3131"/>
            <w:jc w:val="right"/>
            <w:rPr>
              <w:sz w:val="22"/>
            </w:rPr>
          </w:pPr>
        </w:p>
      </w:tc>
    </w:tr>
    <w:tr w:rsidRPr="00360972" w:rsidR="00704ADC" w:rsidTr="00ED7BC5" w14:paraId="24A34565" w14:textId="77777777">
      <w:trPr>
        <w:trHeight w:val="737"/>
      </w:trPr>
      <w:tc>
        <w:tcPr>
          <w:tcW w:w="4074" w:type="pct"/>
          <w:tcBorders>
            <w:top w:val="single" w:color="231EDC" w:themeColor="accent1" w:sz="2" w:space="0"/>
          </w:tcBorders>
          <w:tcMar>
            <w:top w:w="113" w:type="dxa"/>
            <w:left w:w="0" w:type="dxa"/>
            <w:right w:w="0" w:type="dxa"/>
          </w:tcMar>
        </w:tcPr>
        <w:sdt>
          <w:sdtPr>
            <w:alias w:val="Document number"/>
            <w:tag w:val="&lt;?xml version=&quot;1.0&quot; encoding=&quot;utf-16&quot;?&gt;&#10;&lt;PrecedentInstruction&gt;&#10;  &lt;UpdateAfterVariables /&gt;&#10;&lt;/PrecedentInstruction&gt;"/>
            <w:id w:val="-1144736089"/>
            <w:placeholder>
              <w:docPart w:val="56081B5F2C3E49F6A1C12318084E47CC"/>
            </w:placeholder>
            <w:dataBinding w:xpath="/*[local-name()='root']/*[local-name()='DocumentNumber']" w:storeItemID="{8F33FB8F-8118-4915-86A8-F93B7C2B254E}"/>
            <w:text/>
          </w:sdtPr>
          <w:sdtEndPr/>
          <w:sdtContent>
            <w:p w:rsidR="00704ADC" w:rsidP="00FC5F07" w:rsidRDefault="004C69E5" w14:paraId="7FEEFCD9" w14:textId="0B8E6034">
              <w:pPr>
                <w:pStyle w:val="Footer"/>
              </w:pPr>
              <w:r>
                <w:t>TW_STC_BRA_08_v2</w:t>
              </w:r>
            </w:p>
          </w:sdtContent>
        </w:sdt>
      </w:tc>
      <w:tc>
        <w:tcPr>
          <w:tcW w:w="926" w:type="pct"/>
          <w:tcBorders>
            <w:top w:val="single" w:color="231EDC" w:themeColor="accent1" w:sz="2" w:space="0"/>
          </w:tcBorders>
          <w:tcMar>
            <w:top w:w="113" w:type="dxa"/>
            <w:right w:w="0" w:type="dxa"/>
          </w:tcMar>
        </w:tcPr>
        <w:p w:rsidRPr="00661DA6" w:rsidR="00704ADC" w:rsidP="008E4358" w:rsidRDefault="00704ADC" w14:paraId="0E671BD4" w14:textId="77777777">
          <w:pPr>
            <w:pStyle w:val="Footer"/>
            <w:jc w:val="right"/>
          </w:pPr>
          <w:r>
            <w:fldChar w:fldCharType="begin"/>
          </w:r>
          <w:r>
            <w:instrText xml:space="preserve"> PAGE   \* MERGEFORMAT </w:instrText>
          </w:r>
          <w:r>
            <w:fldChar w:fldCharType="separate"/>
          </w:r>
          <w:r>
            <w:t>1</w:t>
          </w:r>
          <w:r>
            <w:rPr>
              <w:noProof/>
            </w:rPr>
            <w:fldChar w:fldCharType="end"/>
          </w:r>
        </w:p>
      </w:tc>
    </w:tr>
  </w:tbl>
  <w:p w:rsidRPr="006902C0" w:rsidR="00704ADC" w:rsidP="00A61F0D" w:rsidRDefault="00704ADC" w14:paraId="26AA0211" w14:textId="77777777">
    <w:pPr>
      <w:pStyle w:val="Header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none" w:color="auto" w:sz="0" w:space="0"/>
        <w:right w:val="none" w:color="auto" w:sz="0" w:space="0"/>
        <w:insideH w:val="single" w:color="231EDC" w:sz="2" w:space="0"/>
        <w:insideV w:val="none" w:color="auto" w:sz="0" w:space="0"/>
      </w:tblBorders>
      <w:tblCellMar>
        <w:top w:w="113" w:type="dxa"/>
      </w:tblCellMar>
      <w:tblLook w:val="04A0" w:firstRow="1" w:lastRow="0" w:firstColumn="1" w:lastColumn="0" w:noHBand="0" w:noVBand="1"/>
    </w:tblPr>
    <w:tblGrid>
      <w:gridCol w:w="7853"/>
      <w:gridCol w:w="1785"/>
    </w:tblGrid>
    <w:tr w:rsidR="00704ADC" w:rsidTr="00961D5A" w14:paraId="2DC7B4E7" w14:textId="77777777">
      <w:trPr>
        <w:trHeight w:val="170"/>
      </w:trPr>
      <w:tc>
        <w:tcPr>
          <w:tcW w:w="4074" w:type="pct"/>
          <w:tcBorders>
            <w:top w:val="nil"/>
            <w:bottom w:val="single" w:color="231EDC" w:themeColor="accent1" w:sz="2" w:space="0"/>
          </w:tcBorders>
          <w:tcMar>
            <w:top w:w="0" w:type="dxa"/>
            <w:left w:w="0" w:type="dxa"/>
            <w:right w:w="0" w:type="dxa"/>
          </w:tcMar>
          <w:vAlign w:val="center"/>
        </w:tcPr>
        <w:p w:rsidR="00704ADC" w:rsidP="008E4358" w:rsidRDefault="00704ADC" w14:paraId="467CFD9A" w14:textId="77777777">
          <w:pPr>
            <w:pStyle w:val="Footer"/>
            <w:ind w:right="568"/>
          </w:pPr>
        </w:p>
      </w:tc>
      <w:tc>
        <w:tcPr>
          <w:tcW w:w="926" w:type="pct"/>
          <w:tcBorders>
            <w:top w:val="nil"/>
            <w:bottom w:val="single" w:color="231EDC" w:themeColor="accent1" w:sz="2" w:space="0"/>
          </w:tcBorders>
          <w:tcMar>
            <w:top w:w="0" w:type="dxa"/>
            <w:right w:w="0" w:type="dxa"/>
          </w:tcMar>
          <w:vAlign w:val="center"/>
        </w:tcPr>
        <w:p w:rsidRPr="00C36AD8" w:rsidR="00704ADC" w:rsidP="008E4358" w:rsidRDefault="00704ADC" w14:paraId="4419D330" w14:textId="77777777">
          <w:pPr>
            <w:pStyle w:val="Footer"/>
            <w:ind w:left="3131" w:hanging="3131"/>
            <w:jc w:val="right"/>
            <w:rPr>
              <w:sz w:val="22"/>
            </w:rPr>
          </w:pPr>
        </w:p>
      </w:tc>
    </w:tr>
    <w:tr w:rsidRPr="00360972" w:rsidR="00704ADC" w:rsidTr="00ED7BC5" w14:paraId="764F2615" w14:textId="77777777">
      <w:trPr>
        <w:trHeight w:val="737"/>
      </w:trPr>
      <w:tc>
        <w:tcPr>
          <w:tcW w:w="4074" w:type="pct"/>
          <w:tcBorders>
            <w:top w:val="single" w:color="231EDC" w:themeColor="accent1" w:sz="2" w:space="0"/>
          </w:tcBorders>
          <w:tcMar>
            <w:top w:w="113" w:type="dxa"/>
            <w:left w:w="0" w:type="dxa"/>
            <w:right w:w="0" w:type="dxa"/>
          </w:tcMar>
        </w:tcPr>
        <w:sdt>
          <w:sdtPr>
            <w:alias w:val="Document number"/>
            <w:tag w:val="&lt;?xml version=&quot;1.0&quot; encoding=&quot;utf-16&quot;?&gt;&#10;&lt;PrecedentInstruction&gt;&#10;  &lt;UpdateAfterVariables /&gt;&#10;&lt;/PrecedentInstruction&gt;"/>
            <w:id w:val="545032016"/>
            <w:placeholder>
              <w:docPart w:val="4BABAFC41DD342E59B25F3B846921C3E"/>
            </w:placeholder>
            <w:dataBinding w:xpath="/*[local-name()='root']/*[local-name()='DocumentNumber']" w:storeItemID="{8F33FB8F-8118-4915-86A8-F93B7C2B254E}"/>
            <w:text/>
          </w:sdtPr>
          <w:sdtEndPr/>
          <w:sdtContent>
            <w:p w:rsidR="00704ADC" w:rsidP="00FC5F07" w:rsidRDefault="004C69E5" w14:paraId="6173BAF0" w14:textId="0181293A">
              <w:pPr>
                <w:pStyle w:val="Footer"/>
              </w:pPr>
              <w:r>
                <w:t>TW_STC_BRA_08_v2</w:t>
              </w:r>
            </w:p>
          </w:sdtContent>
        </w:sdt>
      </w:tc>
      <w:tc>
        <w:tcPr>
          <w:tcW w:w="926" w:type="pct"/>
          <w:tcBorders>
            <w:top w:val="single" w:color="231EDC" w:themeColor="accent1" w:sz="2" w:space="0"/>
          </w:tcBorders>
          <w:tcMar>
            <w:top w:w="113" w:type="dxa"/>
            <w:right w:w="0" w:type="dxa"/>
          </w:tcMar>
        </w:tcPr>
        <w:p w:rsidRPr="00661DA6" w:rsidR="00704ADC" w:rsidP="008E4358" w:rsidRDefault="00704ADC" w14:paraId="2FD76BCB" w14:textId="77777777">
          <w:pPr>
            <w:pStyle w:val="Footer"/>
            <w:jc w:val="right"/>
          </w:pPr>
          <w:r>
            <w:fldChar w:fldCharType="begin"/>
          </w:r>
          <w:r>
            <w:instrText xml:space="preserve"> PAGE   \* MERGEFORMAT </w:instrText>
          </w:r>
          <w:r>
            <w:fldChar w:fldCharType="separate"/>
          </w:r>
          <w:r>
            <w:t>1</w:t>
          </w:r>
          <w:r>
            <w:rPr>
              <w:noProof/>
            </w:rPr>
            <w:fldChar w:fldCharType="end"/>
          </w:r>
        </w:p>
      </w:tc>
    </w:tr>
  </w:tbl>
  <w:p w:rsidRPr="006902C0" w:rsidR="00704ADC" w:rsidP="00A61F0D" w:rsidRDefault="00704ADC" w14:paraId="5574DD94" w14:textId="77777777">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80B" w:rsidP="00066DE7" w:rsidRDefault="00A1080B" w14:paraId="3C767B7B" w14:textId="77777777">
      <w:r>
        <w:separator/>
      </w:r>
    </w:p>
    <w:p w:rsidR="00A1080B" w:rsidRDefault="00A1080B" w14:paraId="286BF56D" w14:textId="77777777"/>
  </w:footnote>
  <w:footnote w:type="continuationSeparator" w:id="0">
    <w:p w:rsidR="00A1080B" w:rsidP="00066DE7" w:rsidRDefault="00A1080B" w14:paraId="039E3E26" w14:textId="77777777">
      <w:r>
        <w:continuationSeparator/>
      </w:r>
    </w:p>
    <w:p w:rsidR="00A1080B" w:rsidRDefault="00A1080B" w14:paraId="68C2FB8A" w14:textId="77777777"/>
    <w:p w:rsidR="00A1080B" w:rsidRDefault="00A1080B" w14:paraId="1B38BEC4" w14:textId="77777777"/>
    <w:p w:rsidR="00A1080B" w:rsidRDefault="00A1080B" w14:paraId="6AFB32AD" w14:textId="77777777"/>
    <w:p w:rsidR="00A1080B" w:rsidRDefault="00A1080B" w14:paraId="41D41002" w14:textId="77777777"/>
    <w:p w:rsidR="00A1080B" w:rsidRDefault="00A1080B" w14:paraId="7F76EB9F" w14:textId="77777777"/>
    <w:p w:rsidR="00A1080B" w:rsidRDefault="00A1080B" w14:paraId="103A3D3C" w14:textId="77777777"/>
    <w:p w:rsidR="00A1080B" w:rsidRDefault="00A1080B" w14:paraId="254BCDB0" w14:textId="77777777"/>
    <w:p w:rsidR="00A1080B" w:rsidRDefault="00A1080B" w14:paraId="681E96D3" w14:textId="77777777"/>
  </w:footnote>
  <w:footnote w:id="1">
    <w:p w:rsidR="006C07BF" w:rsidRDefault="006C07BF" w14:paraId="18202226" w14:textId="679DBEE5">
      <w:pPr>
        <w:pStyle w:val="FootnoteText"/>
      </w:pPr>
      <w:r>
        <w:rPr>
          <w:rStyle w:val="FootnoteReference"/>
        </w:rPr>
        <w:footnoteRef/>
      </w:r>
      <w:r>
        <w:t xml:space="preserve"> </w:t>
      </w:r>
      <w:r w:rsidRPr="00C35E2E" w:rsidR="00C35E2E">
        <w:t>Environment Agency. July 201</w:t>
      </w:r>
      <w:r w:rsidR="00A5249A">
        <w:t>8</w:t>
      </w:r>
      <w:r w:rsidRPr="00C35E2E" w:rsidR="00C35E2E">
        <w:t>. M9: Environmental monitoring of bioaerosols at regulated facilities</w:t>
      </w:r>
      <w:r w:rsidR="002C521E">
        <w:t xml:space="preserve"> v2</w:t>
      </w:r>
      <w:r w:rsidR="00FB5332">
        <w:t>, July 2018</w:t>
      </w:r>
    </w:p>
  </w:footnote>
  <w:footnote w:id="2">
    <w:p w:rsidR="00F10A29" w:rsidRDefault="00F10A29" w14:paraId="4A8118A7" w14:textId="12D11A15">
      <w:pPr>
        <w:pStyle w:val="FootnoteText"/>
      </w:pPr>
      <w:r>
        <w:rPr>
          <w:rStyle w:val="FootnoteReference"/>
        </w:rPr>
        <w:footnoteRef/>
      </w:r>
      <w:r>
        <w:t xml:space="preserve"> </w:t>
      </w:r>
      <w:r w:rsidRPr="00592CED" w:rsidR="00592CED">
        <w:t>Environment Agency. October 2012. Guidance for developments requiring planning permission and environmental permits</w:t>
      </w:r>
    </w:p>
  </w:footnote>
  <w:footnote w:id="3">
    <w:p w:rsidR="00D4769C" w:rsidRDefault="00D4769C" w14:paraId="26142B95" w14:textId="4ECD45B8">
      <w:pPr>
        <w:pStyle w:val="FootnoteText"/>
      </w:pPr>
      <w:r>
        <w:rPr>
          <w:rStyle w:val="FootnoteReference"/>
        </w:rPr>
        <w:footnoteRef/>
      </w:r>
      <w:r>
        <w:t xml:space="preserve"> </w:t>
      </w:r>
      <w:r w:rsidR="00761419">
        <w:t>Environment Agency. 2013. Technical Guidance Note (Monitoring) M17: M</w:t>
      </w:r>
      <w:r w:rsidRPr="00F723AF" w:rsidR="00761419">
        <w:t xml:space="preserve">onitoring </w:t>
      </w:r>
      <w:r w:rsidR="00761419">
        <w:t>P</w:t>
      </w:r>
      <w:r w:rsidRPr="00F723AF" w:rsidR="00761419">
        <w:t xml:space="preserve">articulate </w:t>
      </w:r>
      <w:r w:rsidR="00761419">
        <w:t>M</w:t>
      </w:r>
      <w:r w:rsidRPr="00F723AF" w:rsidR="00761419">
        <w:t xml:space="preserve">atter in </w:t>
      </w:r>
      <w:r w:rsidR="00761419">
        <w:t>A</w:t>
      </w:r>
      <w:r w:rsidRPr="00F723AF" w:rsidR="00761419">
        <w:t xml:space="preserve">mbient </w:t>
      </w:r>
      <w:r w:rsidR="00761419">
        <w:t>A</w:t>
      </w:r>
      <w:r w:rsidRPr="00F723AF" w:rsidR="00761419">
        <w:t xml:space="preserve">ir around </w:t>
      </w:r>
      <w:r w:rsidR="00761419">
        <w:t>W</w:t>
      </w:r>
      <w:r w:rsidRPr="00F723AF" w:rsidR="00761419">
        <w:t xml:space="preserve">aste </w:t>
      </w:r>
      <w:r w:rsidR="00761419">
        <w:t>F</w:t>
      </w:r>
      <w:r w:rsidRPr="00F723AF" w:rsidR="00761419">
        <w:t>acilities</w:t>
      </w:r>
      <w:r w:rsidR="00761419">
        <w:t xml:space="preserve">, v2, July 2013 </w:t>
      </w:r>
      <w:hyperlink w:history="1" r:id="rId1">
        <w:r w:rsidRPr="000501BE" w:rsidR="00761419">
          <w:rPr>
            <w:rStyle w:val="Hyperlink"/>
          </w:rPr>
          <w:t>https://www.gov.uk/government/publications/m17-monitoring-of-particulate-matter-in-ambient-air-around-waste-facilities</w:t>
        </w:r>
      </w:hyperlink>
    </w:p>
  </w:footnote>
  <w:footnote w:id="4">
    <w:p w:rsidR="00761419" w:rsidRDefault="00761419" w14:paraId="64CF6347" w14:textId="4AA80049">
      <w:pPr>
        <w:pStyle w:val="FootnoteText"/>
      </w:pPr>
      <w:r>
        <w:rPr>
          <w:rStyle w:val="FootnoteReference"/>
        </w:rPr>
        <w:footnoteRef/>
      </w:r>
      <w:r>
        <w:t xml:space="preserve"> </w:t>
      </w:r>
      <w:r w:rsidR="00F80EFB">
        <w:t>Environment Agency. 2018. Technical Guidance Note (Monitoring) M9: Environmental monitoring of Bioaerosols at regulated facilities, v2, July 2018</w:t>
      </w:r>
    </w:p>
  </w:footnote>
  <w:footnote w:id="5">
    <w:p w:rsidR="00E5787E" w:rsidRDefault="00E5787E" w14:paraId="117E02E3" w14:textId="0ADEBD43">
      <w:pPr>
        <w:pStyle w:val="FootnoteText"/>
      </w:pPr>
      <w:r>
        <w:rPr>
          <w:rStyle w:val="FootnoteReference"/>
        </w:rPr>
        <w:footnoteRef/>
      </w:r>
      <w:r>
        <w:t xml:space="preserve"> </w:t>
      </w:r>
      <w:r w:rsidRPr="00E5787E">
        <w:t>R</w:t>
      </w:r>
      <w:r w:rsidR="001E2086">
        <w:t xml:space="preserve">esearch </w:t>
      </w:r>
      <w:r w:rsidRPr="00E5787E">
        <w:t>R</w:t>
      </w:r>
      <w:r w:rsidR="00B359DA">
        <w:t xml:space="preserve">eport </w:t>
      </w:r>
      <w:r w:rsidRPr="00E5787E">
        <w:t>786 - Bioaerosol emissions from waste composting and the potential for workers' exposure</w:t>
      </w:r>
      <w:r w:rsidR="00F83672">
        <w:t xml:space="preserve"> </w:t>
      </w:r>
      <w:hyperlink w:history="1" r:id="rId2">
        <w:r w:rsidRPr="00080CBB" w:rsidR="00F83672">
          <w:rPr>
            <w:rStyle w:val="Hyperlink"/>
          </w:rPr>
          <w:t>https://www.hse.gov.uk/research/rrhtm/rr786.htm</w:t>
        </w:r>
      </w:hyperlink>
      <w:r w:rsidR="00F83672">
        <w:t xml:space="preserve"> </w:t>
      </w:r>
    </w:p>
  </w:footnote>
  <w:footnote w:id="6">
    <w:p w:rsidR="00D66667" w:rsidRDefault="00D66667" w14:paraId="7E9AB8FE" w14:textId="30BB6398">
      <w:pPr>
        <w:pStyle w:val="FootnoteText"/>
      </w:pPr>
      <w:r>
        <w:rPr>
          <w:rStyle w:val="FootnoteReference"/>
        </w:rPr>
        <w:footnoteRef/>
      </w:r>
      <w:r>
        <w:t xml:space="preserve"> </w:t>
      </w:r>
      <w:bookmarkStart w:name="_Hlk105599615" w:id="27"/>
      <w:r w:rsidR="007B1186">
        <w:t xml:space="preserve"> </w:t>
      </w:r>
      <w:hyperlink w:history="1" w:anchor="how-to-do-RA" r:id="rId3">
        <w:r w:rsidR="007B1186">
          <w:rPr>
            <w:rStyle w:val="Hyperlink"/>
          </w:rPr>
          <w:t>Risk assessments for your environmental permit - GOV.UK (www.gov.uk)</w:t>
        </w:r>
      </w:hyperlink>
      <w:bookmarkEnd w:id="2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72B54" w:rsidP="002A0C7E" w:rsidRDefault="00372B54" w14:paraId="0FCC4337" w14:textId="77777777">
    <w:r>
      <w:rPr>
        <w:noProof/>
      </w:rPr>
      <w:drawing>
        <wp:inline distT="0" distB="0" distL="0" distR="0" wp14:anchorId="0F8C3A14" wp14:editId="119CD5D4">
          <wp:extent cx="1371600" cy="32110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08DE" w:rsidRDefault="001308DE" w14:paraId="35D7354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72B54" w:rsidP="00533941" w:rsidRDefault="00940735" w14:paraId="212B86ED" w14:textId="77777777">
    <w:pPr>
      <w:pStyle w:val="Header"/>
      <w:tabs>
        <w:tab w:val="left" w:pos="3829"/>
        <w:tab w:val="left" w:pos="4150"/>
      </w:tabs>
      <w:jc w:val="right"/>
    </w:pPr>
    <w:r>
      <w:rPr>
        <w:noProof/>
      </w:rPr>
      <w:drawing>
        <wp:inline distT="0" distB="0" distL="0" distR="0" wp14:anchorId="48C3E135" wp14:editId="1DA39B21">
          <wp:extent cx="1978152" cy="457200"/>
          <wp:effectExtent l="0" t="0" r="3175" b="0"/>
          <wp:docPr id="5" name="Picture 5"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rsidR="00372B54" w:rsidP="00D676D9" w:rsidRDefault="00372B54" w14:paraId="1DE3EB58" w14:textId="77777777">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8503A" w:rsidR="00A8503A" w:rsidP="00F916F3" w:rsidRDefault="00940735" w14:paraId="7B01A81E" w14:textId="77777777">
    <w:pPr>
      <w:pStyle w:val="Header"/>
      <w:jc w:val="right"/>
    </w:pPr>
    <w:r>
      <w:rPr>
        <w:noProof/>
      </w:rPr>
      <w:drawing>
        <wp:inline distT="0" distB="0" distL="0" distR="0" wp14:anchorId="6CCEC9F7" wp14:editId="5426F274">
          <wp:extent cx="1978152" cy="457200"/>
          <wp:effectExtent l="0" t="0" r="3175" b="0"/>
          <wp:docPr id="7" name="Picture 7" descr="Brand Cover Logo"/>
          <wp:cNvGraphicFramePr/>
          <a:graphic xmlns:a="http://schemas.openxmlformats.org/drawingml/2006/main">
            <a:graphicData uri="http://schemas.openxmlformats.org/drawingml/2006/picture">
              <pic:pic xmlns:pic="http://schemas.openxmlformats.org/drawingml/2006/picture">
                <pic:nvPicPr>
                  <pic:cNvPr id="1" name="Picture 1"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rsidRPr="00A8503A" w:rsidR="00A8503A" w:rsidP="00A8503A" w:rsidRDefault="00A8503A" w14:paraId="099B91E5"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4C74" w:rsidP="00046B55" w:rsidRDefault="00940735" w14:paraId="09B4426B" w14:textId="77777777">
    <w:pPr>
      <w:pStyle w:val="HeaderSpacer"/>
      <w:jc w:val="right"/>
    </w:pPr>
    <w:r>
      <w:rPr>
        <w:noProof/>
      </w:rPr>
      <w:drawing>
        <wp:inline distT="0" distB="0" distL="0" distR="0" wp14:anchorId="7530315E" wp14:editId="54E2CC32">
          <wp:extent cx="1978152" cy="457200"/>
          <wp:effectExtent l="0" t="0" r="3175" b="0"/>
          <wp:docPr id="8" name="Picture 8" descr="Brand Cover Logo"/>
          <wp:cNvGraphicFramePr/>
          <a:graphic xmlns:a="http://schemas.openxmlformats.org/drawingml/2006/main">
            <a:graphicData uri="http://schemas.openxmlformats.org/drawingml/2006/picture">
              <pic:pic xmlns:pic="http://schemas.openxmlformats.org/drawingml/2006/picture">
                <pic:nvPicPr>
                  <pic:cNvPr id="3" name="Picture 3"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rsidRPr="00017D9E" w:rsidR="00894C74" w:rsidP="00A8503A" w:rsidRDefault="00894C74" w14:paraId="6364B632"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516D1" w:rsidR="00547F9A" w:rsidP="003E5FDF" w:rsidRDefault="00547F9A" w14:paraId="66E4A6A0"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single" w:color="231EDC" w:themeColor="accent1" w:sz="2" w:space="0"/>
        <w:right w:val="none" w:color="auto" w:sz="0" w:space="0"/>
        <w:insideH w:val="none" w:color="auto" w:sz="0" w:space="0"/>
        <w:insideV w:val="none" w:color="auto" w:sz="0" w:space="0"/>
      </w:tblBorders>
      <w:tblCellMar>
        <w:bottom w:w="108" w:type="dxa"/>
      </w:tblCellMar>
      <w:tblLook w:val="04A0" w:firstRow="1" w:lastRow="0" w:firstColumn="1" w:lastColumn="0" w:noHBand="0" w:noVBand="1"/>
    </w:tblPr>
    <w:tblGrid>
      <w:gridCol w:w="9026"/>
    </w:tblGrid>
    <w:tr w:rsidR="00704ADC" w:rsidTr="004D778B" w14:paraId="403A4522" w14:textId="77777777">
      <w:trPr>
        <w:trHeight w:val="851"/>
      </w:trPr>
      <w:tc>
        <w:tcPr>
          <w:tcW w:w="5000" w:type="pct"/>
          <w:tcMar>
            <w:left w:w="0" w:type="dxa"/>
          </w:tcMar>
          <w:vAlign w:val="bottom"/>
        </w:tcPr>
        <w:p w:rsidRPr="00934315" w:rsidR="00704ADC" w:rsidP="00E2425F" w:rsidRDefault="001308DE" w14:paraId="63C2B8D9" w14:textId="2C8E59C6">
          <w:pPr>
            <w:pStyle w:val="Header"/>
          </w:pPr>
          <w:sdt>
            <w:sdtPr>
              <w:alias w:val="Document title"/>
              <w:tag w:val="Document title"/>
              <w:id w:val="696896672"/>
              <w:placeholder>
                <w:docPart w:val="4AD2827722224C609E8F8C357B2F237B"/>
              </w:placeholder>
              <w:dataBinding w:xpath="/*[local-name()='root']/*[local-name()='DocumentTitle']" w:storeItemID="{8F33FB8F-8118-4915-86A8-F93B7C2B254E}"/>
              <w:text/>
            </w:sdtPr>
            <w:sdtEndPr/>
            <w:sdtContent>
              <w:r w:rsidR="00BC4A5D">
                <w:t>Maple Lodge STC Bioaerosol Risk Assessment</w:t>
              </w:r>
            </w:sdtContent>
          </w:sdt>
        </w:p>
      </w:tc>
    </w:tr>
  </w:tbl>
  <w:p w:rsidRPr="00E52712" w:rsidR="00704ADC" w:rsidP="00063D4D" w:rsidRDefault="00704ADC" w14:paraId="167AFD33" w14:textId="77777777">
    <w:pPr>
      <w:pStyle w:val="Header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single" w:color="231EDC" w:themeColor="accent1" w:sz="2" w:space="0"/>
        <w:right w:val="none" w:color="auto" w:sz="0" w:space="0"/>
        <w:insideH w:val="none" w:color="auto" w:sz="0" w:space="0"/>
        <w:insideV w:val="none" w:color="auto" w:sz="0" w:space="0"/>
      </w:tblBorders>
      <w:tblCellMar>
        <w:bottom w:w="108" w:type="dxa"/>
      </w:tblCellMar>
      <w:tblLook w:val="04A0" w:firstRow="1" w:lastRow="0" w:firstColumn="1" w:lastColumn="0" w:noHBand="0" w:noVBand="1"/>
    </w:tblPr>
    <w:tblGrid>
      <w:gridCol w:w="15137"/>
    </w:tblGrid>
    <w:tr w:rsidR="00C61A1D" w:rsidTr="00614918" w14:paraId="2F8B8C26" w14:textId="77777777">
      <w:trPr>
        <w:trHeight w:val="851"/>
      </w:trPr>
      <w:tc>
        <w:tcPr>
          <w:tcW w:w="5000" w:type="pct"/>
          <w:tcMar>
            <w:left w:w="0" w:type="dxa"/>
          </w:tcMar>
          <w:vAlign w:val="bottom"/>
        </w:tcPr>
        <w:p w:rsidRPr="00934315" w:rsidR="00C61A1D" w:rsidP="00E2425F" w:rsidRDefault="001308DE" w14:paraId="62569B2A" w14:textId="414426BA">
          <w:pPr>
            <w:pStyle w:val="Header"/>
          </w:pPr>
          <w:sdt>
            <w:sdtPr>
              <w:alias w:val="Document title"/>
              <w:tag w:val="Document title"/>
              <w:id w:val="1298253118"/>
              <w:placeholder>
                <w:docPart w:val="1CD02F48D30949D180B0F77D1E57221F"/>
              </w:placeholder>
              <w:dataBinding w:xpath="/*[local-name()='root']/*[local-name()='DocumentTitle']" w:storeItemID="{8F33FB8F-8118-4915-86A8-F93B7C2B254E}"/>
              <w:text/>
            </w:sdtPr>
            <w:sdtEndPr/>
            <w:sdtContent>
              <w:r w:rsidR="00BC4A5D">
                <w:t>Maple Lodge STC Bioaerosol Risk Assessment</w:t>
              </w:r>
            </w:sdtContent>
          </w:sdt>
        </w:p>
      </w:tc>
    </w:tr>
  </w:tbl>
  <w:p w:rsidRPr="00E52712" w:rsidR="00C61A1D" w:rsidP="00063D4D" w:rsidRDefault="00C61A1D" w14:paraId="178C6B3E" w14:textId="77777777">
    <w:pPr>
      <w:pStyle w:val="HeaderSpac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single" w:color="231EDC" w:themeColor="accent1" w:sz="2" w:space="0"/>
        <w:right w:val="none" w:color="auto" w:sz="0" w:space="0"/>
        <w:insideH w:val="none" w:color="auto" w:sz="0" w:space="0"/>
        <w:insideV w:val="none" w:color="auto" w:sz="0" w:space="0"/>
      </w:tblBorders>
      <w:tblCellMar>
        <w:bottom w:w="108" w:type="dxa"/>
      </w:tblCellMar>
      <w:tblLook w:val="04A0" w:firstRow="1" w:lastRow="0" w:firstColumn="1" w:lastColumn="0" w:noHBand="0" w:noVBand="1"/>
    </w:tblPr>
    <w:tblGrid>
      <w:gridCol w:w="9026"/>
    </w:tblGrid>
    <w:tr w:rsidR="00704ADC" w:rsidTr="003D4237" w14:paraId="20A055D0" w14:textId="77777777">
      <w:trPr>
        <w:trHeight w:val="851"/>
      </w:trPr>
      <w:tc>
        <w:tcPr>
          <w:tcW w:w="5000" w:type="pct"/>
          <w:tcMar>
            <w:left w:w="0" w:type="dxa"/>
          </w:tcMar>
          <w:vAlign w:val="bottom"/>
        </w:tcPr>
        <w:p w:rsidRPr="00934315" w:rsidR="00704ADC" w:rsidP="00E2425F" w:rsidRDefault="001308DE" w14:paraId="319AF471" w14:textId="69F6BAF5">
          <w:pPr>
            <w:pStyle w:val="Header"/>
          </w:pPr>
          <w:sdt>
            <w:sdtPr>
              <w:alias w:val="Document title"/>
              <w:tag w:val="Document title"/>
              <w:id w:val="332272327"/>
              <w:placeholder>
                <w:docPart w:val="E9DB9BE913B149B986B4ADFC199F8688"/>
              </w:placeholder>
              <w:dataBinding w:xpath="/*[local-name()='root']/*[local-name()='DocumentTitle']" w:storeItemID="{8F33FB8F-8118-4915-86A8-F93B7C2B254E}"/>
              <w:text/>
            </w:sdtPr>
            <w:sdtEndPr/>
            <w:sdtContent>
              <w:r w:rsidR="00BC4A5D">
                <w:t>Maple Lodge STC Bioaerosol Risk Assessment</w:t>
              </w:r>
            </w:sdtContent>
          </w:sdt>
        </w:p>
      </w:tc>
    </w:tr>
  </w:tbl>
  <w:p w:rsidRPr="00E52712" w:rsidR="00704ADC" w:rsidP="00063D4D" w:rsidRDefault="00704ADC" w14:paraId="4208E055" w14:textId="7777777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hint="default" w:ascii="Jacobs Chronos" w:hAnsi="Jacobs Chronos"/>
        <w:b/>
        <w:i w:val="0"/>
        <w:sz w:val="32"/>
      </w:rPr>
    </w:lvl>
    <w:lvl w:ilvl="1">
      <w:start w:val="1"/>
      <w:numFmt w:val="decimal"/>
      <w:lvlText w:val="%1.%2"/>
      <w:lvlJc w:val="left"/>
      <w:pPr>
        <w:ind w:left="1134" w:hanging="1134"/>
      </w:pPr>
      <w:rPr>
        <w:rFonts w:hint="default" w:ascii="Jacobs Chronos" w:hAnsi="Jacobs Chronos"/>
        <w:b/>
        <w:i w:val="0"/>
        <w:sz w:val="30"/>
      </w:rPr>
    </w:lvl>
    <w:lvl w:ilvl="2">
      <w:start w:val="1"/>
      <w:numFmt w:val="decimal"/>
      <w:lvlRestart w:val="1"/>
      <w:lvlText w:val="%1.%2.%3"/>
      <w:lvlJc w:val="left"/>
      <w:pPr>
        <w:ind w:left="1134" w:hanging="1134"/>
      </w:pPr>
      <w:rPr>
        <w:rFonts w:hint="default" w:ascii="Jacobs Chronos" w:hAnsi="Jacobs Chronos"/>
        <w:b/>
        <w:i w:val="0"/>
        <w:sz w:val="28"/>
      </w:rPr>
    </w:lvl>
    <w:lvl w:ilvl="3">
      <w:start w:val="1"/>
      <w:numFmt w:val="decimal"/>
      <w:lvlText w:val="%1.%2.%3.%4"/>
      <w:lvlJc w:val="left"/>
      <w:pPr>
        <w:ind w:left="1134" w:hanging="1134"/>
      </w:pPr>
      <w:rPr>
        <w:rFonts w:hint="default" w:ascii="Jacobs Chronos Light" w:hAnsi="Jacobs Chronos Light"/>
        <w:b/>
        <w:i w:val="0"/>
        <w:sz w:val="26"/>
      </w:rPr>
    </w:lvl>
    <w:lvl w:ilvl="4">
      <w:start w:val="1"/>
      <w:numFmt w:val="decimal"/>
      <w:lvlText w:val="%1.%2.%3.%4.%5"/>
      <w:lvlJc w:val="left"/>
      <w:pPr>
        <w:ind w:left="1134" w:hanging="1134"/>
      </w:pPr>
      <w:rPr>
        <w:rFonts w:hint="default" w:ascii="Jacobs Chronos Light" w:hAnsi="Jacobs Chronos Light"/>
        <w:b/>
        <w:i w:val="0"/>
        <w:sz w:val="24"/>
      </w:rPr>
    </w:lvl>
    <w:lvl w:ilvl="5">
      <w:start w:val="1"/>
      <w:numFmt w:val="decimal"/>
      <w:lvlText w:val="%1.%2.%3.%4.%5.%6"/>
      <w:lvlJc w:val="left"/>
      <w:pPr>
        <w:ind w:left="1134" w:hanging="1134"/>
      </w:pPr>
      <w:rPr>
        <w:rFonts w:hint="default" w:ascii="Jacobs Chronos Light" w:hAnsi="Jacobs Chronos Ligh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pStyle w:val="TableBullet"/>
      <w:lvlText w:val=""/>
      <w:lvlJc w:val="left"/>
      <w:pPr>
        <w:ind w:left="284" w:hanging="284"/>
      </w:pPr>
      <w:rPr>
        <w:rFonts w:hint="default" w:ascii="Wingdings" w:hAnsi="Wingdings" w:cs="Times New Roman"/>
      </w:rPr>
    </w:lvl>
    <w:lvl w:ilvl="1">
      <w:start w:val="1"/>
      <w:numFmt w:val="bullet"/>
      <w:pStyle w:val="TableBullet2"/>
      <w:lvlText w:val="-"/>
      <w:lvlJc w:val="left"/>
      <w:pPr>
        <w:ind w:left="567" w:hanging="283"/>
      </w:pPr>
      <w:rPr>
        <w:rFonts w:hint="default" w:ascii="Arial" w:hAnsi="Arial" w:cs="Arial"/>
      </w:rPr>
    </w:lvl>
    <w:lvl w:ilvl="2">
      <w:start w:val="1"/>
      <w:numFmt w:val="bullet"/>
      <w:pStyle w:val="TableBullet3"/>
      <w:lvlText w:val=""/>
      <w:lvlJc w:val="left"/>
      <w:pPr>
        <w:ind w:left="851" w:hanging="284"/>
      </w:pPr>
      <w:rPr>
        <w:rFonts w:hint="default" w:ascii="Wingdings" w:hAnsi="Wingdings" w:cs="Times New Roman"/>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hint="default" w:asciiTheme="minorHAnsi" w:hAnsiTheme="minorHAnsi"/>
        <w:b w:val="0"/>
        <w:i w:val="0"/>
        <w:color w:val="auto"/>
        <w:sz w:val="18"/>
      </w:rPr>
    </w:lvl>
    <w:lvl w:ilvl="1">
      <w:start w:val="1"/>
      <w:numFmt w:val="lowerLetter"/>
      <w:pStyle w:val="TableText2Letter"/>
      <w:lvlText w:val="%2. "/>
      <w:lvlJc w:val="left"/>
      <w:pPr>
        <w:tabs>
          <w:tab w:val="num" w:pos="284"/>
        </w:tabs>
        <w:ind w:left="567" w:hanging="283"/>
      </w:pPr>
      <w:rPr>
        <w:rFonts w:hint="default" w:asciiTheme="minorHAnsi" w:hAnsiTheme="minorHAnsi"/>
        <w:b w:val="0"/>
        <w:i w:val="0"/>
        <w:color w:val="auto"/>
        <w:sz w:val="18"/>
      </w:rPr>
    </w:lvl>
    <w:lvl w:ilvl="2">
      <w:start w:val="1"/>
      <w:numFmt w:val="lowerRoman"/>
      <w:pStyle w:val="TableText3Roman"/>
      <w:lvlText w:val="%3"/>
      <w:lvlJc w:val="left"/>
      <w:pPr>
        <w:tabs>
          <w:tab w:val="num" w:pos="567"/>
        </w:tabs>
        <w:ind w:left="851" w:hanging="284"/>
      </w:pPr>
      <w:rPr>
        <w:rFonts w:hint="default" w:asciiTheme="minorHAnsi" w:hAnsiTheme="minorHAnsi"/>
        <w:b w:val="0"/>
        <w:i w:val="0"/>
        <w:sz w:val="18"/>
      </w:rPr>
    </w:lvl>
    <w:lvl w:ilvl="3">
      <w:start w:val="1"/>
      <w:numFmt w:val="none"/>
      <w:lvlText w:val=""/>
      <w:lvlJc w:val="left"/>
      <w:pPr>
        <w:ind w:left="0" w:firstLine="0"/>
      </w:pPr>
      <w:rPr>
        <w:rFonts w:hint="default" w:asciiTheme="minorHAnsi" w:hAnsiTheme="minorHAnsi"/>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pPr>
        <w:ind w:left="851" w:hanging="851"/>
      </w:pPr>
      <w:rPr>
        <w:rFonts w:hint="default" w:asciiTheme="majorHAnsi" w:hAnsiTheme="majorHAnsi"/>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hint="default" w:asciiTheme="majorHAnsi" w:hAnsiTheme="majorHAnsi"/>
        <w:b w:val="0"/>
        <w:i w:val="0"/>
        <w:sz w:val="20"/>
      </w:rPr>
    </w:lvl>
    <w:lvl w:ilvl="2">
      <w:start w:val="1"/>
      <w:numFmt w:val="lowerRoman"/>
      <w:lvlText w:val="%3."/>
      <w:lvlJc w:val="left"/>
      <w:pPr>
        <w:tabs>
          <w:tab w:val="num" w:pos="714"/>
        </w:tabs>
        <w:ind w:left="1072" w:hanging="358"/>
      </w:pPr>
      <w:rPr>
        <w:rFonts w:hint="default" w:asciiTheme="majorHAnsi" w:hAnsiTheme="majorHAnsi"/>
        <w:b w:val="0"/>
        <w:i w:val="0"/>
        <w:sz w:val="20"/>
      </w:rPr>
    </w:lvl>
    <w:lvl w:ilvl="3">
      <w:start w:val="1"/>
      <w:numFmt w:val="decimal"/>
      <w:lvlText w:val="%4)"/>
      <w:lvlJc w:val="left"/>
      <w:pPr>
        <w:tabs>
          <w:tab w:val="num" w:pos="1072"/>
        </w:tabs>
        <w:ind w:left="1429" w:hanging="357"/>
      </w:pPr>
      <w:rPr>
        <w:rFonts w:hint="default" w:asciiTheme="majorHAnsi" w:hAnsiTheme="majorHAnsi"/>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hint="default" w:asciiTheme="majorHAnsi" w:hAnsiTheme="majorHAnsi"/>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813282"/>
    <w:multiLevelType w:val="multilevel"/>
    <w:tmpl w:val="AFE0CE1E"/>
    <w:lvl w:ilvl="0">
      <w:start w:val="1"/>
      <w:numFmt w:val="bullet"/>
      <w:pStyle w:val="CVResumeBullet"/>
      <w:lvlText w:val=""/>
      <w:lvlJc w:val="left"/>
      <w:pPr>
        <w:ind w:left="360" w:hanging="360"/>
      </w:pPr>
      <w:rPr>
        <w:rFonts w:hint="default" w:ascii="Wingdings" w:hAnsi="Wingdings"/>
        <w:color w:val="auto"/>
        <w:sz w:val="14"/>
      </w:rPr>
    </w:lvl>
    <w:lvl w:ilvl="1">
      <w:start w:val="1"/>
      <w:numFmt w:val="bullet"/>
      <w:lvlRestart w:val="0"/>
      <w:lvlText w:val=""/>
      <w:lvlJc w:val="left"/>
      <w:pPr>
        <w:ind w:left="3799" w:hanging="3601"/>
      </w:pPr>
      <w:rPr>
        <w:rFonts w:hint="default" w:ascii="Symbol" w:hAnsi="Symbol"/>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9" w15:restartNumberingAfterBreak="0">
    <w:nsid w:val="0D983731"/>
    <w:multiLevelType w:val="multilevel"/>
    <w:tmpl w:val="19567D56"/>
    <w:styleLink w:val="JacobsTableNumberTitle"/>
    <w:lvl w:ilvl="0">
      <w:start w:val="1"/>
      <w:numFmt w:val="decimal"/>
      <w:lvlText w:val="Table %1: "/>
      <w:lvlJc w:val="left"/>
      <w:pPr>
        <w:ind w:left="907" w:hanging="907"/>
      </w:pPr>
      <w:rPr>
        <w:rFonts w:hint="default" w:asciiTheme="majorHAnsi" w:hAnsiTheme="majorHAnsi"/>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hint="default" w:ascii="Calibri" w:hAnsi="Calibri" w:cs="Times New Roman"/>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925DD9"/>
    <w:multiLevelType w:val="multilevel"/>
    <w:tmpl w:val="6726B982"/>
    <w:styleLink w:val="FigureNumberTitle"/>
    <w:lvl w:ilvl="0">
      <w:start w:val="1"/>
      <w:numFmt w:val="decimal"/>
      <w:lvlText w:val="Figure %1: "/>
      <w:lvlJc w:val="left"/>
      <w:pPr>
        <w:ind w:left="964" w:hanging="964"/>
      </w:pPr>
      <w:rPr>
        <w:rFonts w:hint="default" w:asciiTheme="majorHAnsi" w:hAnsiTheme="majorHAnsi"/>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24030D"/>
    <w:multiLevelType w:val="hybridMultilevel"/>
    <w:tmpl w:val="690C85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hint="default" w:ascii="Wingdings" w:hAnsi="Wingdings" w:cs="Times New Roman"/>
      </w:rPr>
    </w:lvl>
    <w:lvl w:ilvl="1">
      <w:start w:val="1"/>
      <w:numFmt w:val="bullet"/>
      <w:pStyle w:val="ProjectBullet2ndLevel"/>
      <w:lvlText w:val="-"/>
      <w:lvlJc w:val="left"/>
      <w:pPr>
        <w:ind w:left="340" w:hanging="170"/>
      </w:pPr>
      <w:rPr>
        <w:rFonts w:hint="default" w:ascii="Arial" w:hAnsi="Arial"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hint="default" w:ascii="Jacobs Chronos" w:hAnsi="Jacobs Chronos"/>
        <w14:numSpacing w14:val="tabul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C1E617B"/>
    <w:multiLevelType w:val="multilevel"/>
    <w:tmpl w:val="808E483A"/>
    <w:numStyleLink w:val="Headings"/>
  </w:abstractNum>
  <w:abstractNum w:abstractNumId="18" w15:restartNumberingAfterBreak="0">
    <w:nsid w:val="1C6634C9"/>
    <w:multiLevelType w:val="multilevel"/>
    <w:tmpl w:val="89946BBA"/>
    <w:styleLink w:val="Bullets"/>
    <w:lvl w:ilvl="0">
      <w:start w:val="1"/>
      <w:numFmt w:val="bullet"/>
      <w:pStyle w:val="BulletLevel1"/>
      <w:lvlText w:val=""/>
      <w:lvlJc w:val="left"/>
      <w:pPr>
        <w:ind w:left="284" w:hanging="284"/>
      </w:pPr>
      <w:rPr>
        <w:rFonts w:hint="default" w:ascii="Wingdings" w:hAnsi="Wingdings" w:cs="Times New Roman"/>
      </w:rPr>
    </w:lvl>
    <w:lvl w:ilvl="1">
      <w:start w:val="1"/>
      <w:numFmt w:val="bullet"/>
      <w:pStyle w:val="BulletLevel2"/>
      <w:lvlText w:val="-"/>
      <w:lvlJc w:val="left"/>
      <w:pPr>
        <w:ind w:left="567" w:hanging="283"/>
      </w:pPr>
      <w:rPr>
        <w:rFonts w:hint="default" w:ascii="Jacobs Chronos" w:hAnsi="Jacobs Chronos" w:cs="Times New Roman"/>
      </w:rPr>
    </w:lvl>
    <w:lvl w:ilvl="2">
      <w:start w:val="1"/>
      <w:numFmt w:val="bullet"/>
      <w:pStyle w:val="BulletLevel3"/>
      <w:lvlText w:val=""/>
      <w:lvlJc w:val="left"/>
      <w:pPr>
        <w:ind w:left="851" w:hanging="284"/>
      </w:pPr>
      <w:rPr>
        <w:rFonts w:hint="default" w:ascii="Wingdings" w:hAnsi="Wingdings" w:cs="Times New Roman"/>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hint="default" w:ascii="Wingdings" w:hAnsi="Wingdings" w:cs="Times New Roman"/>
      </w:rPr>
    </w:lvl>
    <w:lvl w:ilvl="1">
      <w:start w:val="1"/>
      <w:numFmt w:val="bullet"/>
      <w:pStyle w:val="CapabilityBullet2ndLevel"/>
      <w:lvlText w:val="-"/>
      <w:lvlJc w:val="left"/>
      <w:pPr>
        <w:ind w:left="340" w:hanging="170"/>
      </w:pPr>
      <w:rPr>
        <w:rFonts w:hint="default" w:ascii="Arial" w:hAnsi="Arial"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C85EAA"/>
    <w:multiLevelType w:val="hybridMultilevel"/>
    <w:tmpl w:val="EF7892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2F26927"/>
    <w:multiLevelType w:val="hybridMultilevel"/>
    <w:tmpl w:val="7FE62C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397085C"/>
    <w:multiLevelType w:val="multilevel"/>
    <w:tmpl w:val="D64CD9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5100D0F"/>
    <w:multiLevelType w:val="hybridMultilevel"/>
    <w:tmpl w:val="37C01B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79D771B"/>
    <w:multiLevelType w:val="multilevel"/>
    <w:tmpl w:val="AF42FE90"/>
    <w:styleLink w:val="REMOVE"/>
    <w:lvl w:ilvl="0">
      <w:start w:val="1"/>
      <w:numFmt w:val="decimal"/>
      <w:lvlText w:val="%1."/>
      <w:lvlJc w:val="left"/>
      <w:pPr>
        <w:ind w:left="1134" w:hanging="1134"/>
      </w:pPr>
      <w:rPr>
        <w:rFonts w:hint="default" w:ascii="Jacobs Chronos" w:hAnsi="Jacobs Chronos"/>
        <w:b/>
        <w:i w:val="0"/>
        <w:color w:val="231EDC" w:themeColor="accent1"/>
        <w:sz w:val="32"/>
      </w:rPr>
    </w:lvl>
    <w:lvl w:ilvl="1">
      <w:start w:val="1"/>
      <w:numFmt w:val="decimal"/>
      <w:lvlText w:val="%1.%2."/>
      <w:lvlJc w:val="left"/>
      <w:pPr>
        <w:ind w:left="1134" w:hanging="1134"/>
      </w:pPr>
      <w:rPr>
        <w:rFonts w:hint="default" w:ascii="Jacobs Chronos" w:hAnsi="Jacobs Chronos"/>
        <w:b/>
        <w:i w:val="0"/>
        <w:color w:val="auto"/>
        <w:sz w:val="30"/>
      </w:rPr>
    </w:lvl>
    <w:lvl w:ilvl="2">
      <w:start w:val="1"/>
      <w:numFmt w:val="decimal"/>
      <w:lvlText w:val="%3.%1.%2"/>
      <w:lvlJc w:val="left"/>
      <w:pPr>
        <w:ind w:left="1134" w:hanging="1134"/>
      </w:pPr>
      <w:rPr>
        <w:rFonts w:hint="default" w:ascii="Jacobs Chronos" w:hAnsi="Jacobs Chronos"/>
        <w:b/>
        <w:i w:val="0"/>
        <w:color w:val="auto"/>
        <w:sz w:val="28"/>
      </w:rPr>
    </w:lvl>
    <w:lvl w:ilvl="3">
      <w:start w:val="1"/>
      <w:numFmt w:val="decimal"/>
      <w:lvlText w:val="%4.%1.%2.%3"/>
      <w:lvlJc w:val="left"/>
      <w:pPr>
        <w:ind w:left="1134" w:hanging="1134"/>
      </w:pPr>
      <w:rPr>
        <w:rFonts w:hint="default" w:ascii="Jacobs Chronos" w:hAnsi="Jacobs Chronos"/>
        <w:b/>
        <w:i w:val="0"/>
        <w:color w:val="auto"/>
        <w:sz w:val="26"/>
      </w:rPr>
    </w:lvl>
    <w:lvl w:ilvl="4">
      <w:start w:val="1"/>
      <w:numFmt w:val="decimal"/>
      <w:lvlText w:val="%5.%1.%2.%3.%4"/>
      <w:lvlJc w:val="left"/>
      <w:pPr>
        <w:ind w:left="1134" w:hanging="1134"/>
      </w:pPr>
      <w:rPr>
        <w:rFonts w:hint="default" w:ascii="Jacobs Chronos Light" w:hAnsi="Jacobs Chronos Light"/>
        <w:b/>
        <w:i w:val="0"/>
        <w:color w:val="auto"/>
        <w:sz w:val="24"/>
      </w:rPr>
    </w:lvl>
    <w:lvl w:ilvl="5">
      <w:start w:val="1"/>
      <w:numFmt w:val="decimal"/>
      <w:lvlText w:val="%6.%1.%2."/>
      <w:lvlJc w:val="left"/>
      <w:pPr>
        <w:ind w:left="-32767" w:firstLine="32767"/>
      </w:pPr>
      <w:rPr>
        <w:rFonts w:hint="default" w:ascii="Jacobs Chronos Light" w:hAnsi="Jacobs Chronos Ligh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6" w15:restartNumberingAfterBreak="0">
    <w:nsid w:val="333F47C0"/>
    <w:multiLevelType w:val="multilevel"/>
    <w:tmpl w:val="E9E46496"/>
    <w:numStyleLink w:val="TableBullets"/>
  </w:abstractNum>
  <w:abstractNum w:abstractNumId="27" w15:restartNumberingAfterBreak="0">
    <w:nsid w:val="33AA413B"/>
    <w:multiLevelType w:val="hybridMultilevel"/>
    <w:tmpl w:val="88F217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9C02F23"/>
    <w:multiLevelType w:val="hybridMultilevel"/>
    <w:tmpl w:val="09E61F80"/>
    <w:lvl w:ilvl="0" w:tplc="E31E9090">
      <w:start w:val="1"/>
      <w:numFmt w:val="bullet"/>
      <w:pStyle w:val="TableBullet2ndLevel"/>
      <w:lvlText w:val="-"/>
      <w:lvlJc w:val="left"/>
      <w:pPr>
        <w:ind w:left="890" w:hanging="360"/>
      </w:pPr>
      <w:rPr>
        <w:rFonts w:hint="default" w:ascii="Jacobs Chronos" w:hAnsi="Jacobs Chronos"/>
      </w:rPr>
    </w:lvl>
    <w:lvl w:ilvl="1" w:tplc="AD8C6614" w:tentative="1">
      <w:start w:val="1"/>
      <w:numFmt w:val="bullet"/>
      <w:lvlText w:val="o"/>
      <w:lvlJc w:val="left"/>
      <w:pPr>
        <w:ind w:left="1610" w:hanging="360"/>
      </w:pPr>
      <w:rPr>
        <w:rFonts w:hint="default" w:ascii="Courier New" w:hAnsi="Courier New" w:cs="Courier New"/>
      </w:rPr>
    </w:lvl>
    <w:lvl w:ilvl="2" w:tplc="79F08AC2" w:tentative="1">
      <w:start w:val="1"/>
      <w:numFmt w:val="bullet"/>
      <w:lvlText w:val=""/>
      <w:lvlJc w:val="left"/>
      <w:pPr>
        <w:ind w:left="2330" w:hanging="360"/>
      </w:pPr>
      <w:rPr>
        <w:rFonts w:hint="default" w:ascii="Wingdings" w:hAnsi="Wingdings"/>
      </w:rPr>
    </w:lvl>
    <w:lvl w:ilvl="3" w:tplc="A8C04D1A" w:tentative="1">
      <w:start w:val="1"/>
      <w:numFmt w:val="bullet"/>
      <w:lvlText w:val=""/>
      <w:lvlJc w:val="left"/>
      <w:pPr>
        <w:ind w:left="3050" w:hanging="360"/>
      </w:pPr>
      <w:rPr>
        <w:rFonts w:hint="default" w:ascii="Symbol" w:hAnsi="Symbol"/>
      </w:rPr>
    </w:lvl>
    <w:lvl w:ilvl="4" w:tplc="573C031C" w:tentative="1">
      <w:start w:val="1"/>
      <w:numFmt w:val="bullet"/>
      <w:lvlText w:val="o"/>
      <w:lvlJc w:val="left"/>
      <w:pPr>
        <w:ind w:left="3770" w:hanging="360"/>
      </w:pPr>
      <w:rPr>
        <w:rFonts w:hint="default" w:ascii="Courier New" w:hAnsi="Courier New" w:cs="Courier New"/>
      </w:rPr>
    </w:lvl>
    <w:lvl w:ilvl="5" w:tplc="A31E4A58" w:tentative="1">
      <w:start w:val="1"/>
      <w:numFmt w:val="bullet"/>
      <w:lvlText w:val=""/>
      <w:lvlJc w:val="left"/>
      <w:pPr>
        <w:ind w:left="4490" w:hanging="360"/>
      </w:pPr>
      <w:rPr>
        <w:rFonts w:hint="default" w:ascii="Wingdings" w:hAnsi="Wingdings"/>
      </w:rPr>
    </w:lvl>
    <w:lvl w:ilvl="6" w:tplc="6E5ADCBA" w:tentative="1">
      <w:start w:val="1"/>
      <w:numFmt w:val="bullet"/>
      <w:lvlText w:val=""/>
      <w:lvlJc w:val="left"/>
      <w:pPr>
        <w:ind w:left="5210" w:hanging="360"/>
      </w:pPr>
      <w:rPr>
        <w:rFonts w:hint="default" w:ascii="Symbol" w:hAnsi="Symbol"/>
      </w:rPr>
    </w:lvl>
    <w:lvl w:ilvl="7" w:tplc="79ECEFC6" w:tentative="1">
      <w:start w:val="1"/>
      <w:numFmt w:val="bullet"/>
      <w:lvlText w:val="o"/>
      <w:lvlJc w:val="left"/>
      <w:pPr>
        <w:ind w:left="5930" w:hanging="360"/>
      </w:pPr>
      <w:rPr>
        <w:rFonts w:hint="default" w:ascii="Courier New" w:hAnsi="Courier New" w:cs="Courier New"/>
      </w:rPr>
    </w:lvl>
    <w:lvl w:ilvl="8" w:tplc="03DC882A" w:tentative="1">
      <w:start w:val="1"/>
      <w:numFmt w:val="bullet"/>
      <w:lvlText w:val=""/>
      <w:lvlJc w:val="left"/>
      <w:pPr>
        <w:ind w:left="6650" w:hanging="360"/>
      </w:pPr>
      <w:rPr>
        <w:rFonts w:hint="default" w:ascii="Wingdings" w:hAnsi="Wingdings"/>
      </w:rPr>
    </w:lvl>
  </w:abstractNum>
  <w:abstractNum w:abstractNumId="29"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hint="default" w:asciiTheme="majorHAnsi" w:hAnsiTheme="majorHAnsi"/>
        <w:b/>
        <w:i w:val="0"/>
        <w:sz w:val="28"/>
      </w:rPr>
    </w:lvl>
    <w:lvl w:ilvl="2">
      <w:start w:val="1"/>
      <w:numFmt w:val="decimal"/>
      <w:lvlRestart w:val="1"/>
      <w:lvlText w:val="%1.%2.%3"/>
      <w:lvlJc w:val="left"/>
      <w:pPr>
        <w:ind w:left="1134" w:hanging="1134"/>
      </w:pPr>
      <w:rPr>
        <w:rFonts w:hint="default" w:asciiTheme="majorHAnsi" w:hAnsiTheme="majorHAnsi"/>
        <w:b/>
        <w:i w:val="0"/>
        <w:sz w:val="26"/>
      </w:rPr>
    </w:lvl>
    <w:lvl w:ilvl="3">
      <w:start w:val="1"/>
      <w:numFmt w:val="decimal"/>
      <w:lvlText w:val="%1.%2.%3.%4"/>
      <w:lvlJc w:val="left"/>
      <w:pPr>
        <w:ind w:left="1134" w:hanging="1134"/>
      </w:pPr>
      <w:rPr>
        <w:rFonts w:hint="default" w:asciiTheme="minorHAnsi" w:hAnsiTheme="minorHAnsi"/>
        <w:b/>
        <w:i w:val="0"/>
        <w:sz w:val="24"/>
      </w:rPr>
    </w:lvl>
    <w:lvl w:ilvl="4">
      <w:start w:val="1"/>
      <w:numFmt w:val="decimal"/>
      <w:lvlText w:val="%1.%2.%3.%4.%5"/>
      <w:lvlJc w:val="left"/>
      <w:pPr>
        <w:ind w:left="1134" w:hanging="1134"/>
      </w:pPr>
      <w:rPr>
        <w:rFonts w:hint="default" w:asciiTheme="minorHAnsi" w:hAnsiTheme="minorHAnsi"/>
        <w:b/>
        <w:i w:val="0"/>
        <w:sz w:val="22"/>
      </w:rPr>
    </w:lvl>
    <w:lvl w:ilvl="5">
      <w:start w:val="1"/>
      <w:numFmt w:val="decimal"/>
      <w:lvlText w:val="%1.%2.%3.%4.%5.%6"/>
      <w:lvlJc w:val="left"/>
      <w:pPr>
        <w:ind w:left="1134" w:hanging="1134"/>
      </w:pPr>
      <w:rPr>
        <w:rFonts w:hint="default" w:asciiTheme="minorHAnsi" w:hAnsiTheme="minorHAnsi"/>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0"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AB7BBD"/>
    <w:multiLevelType w:val="hybridMultilevel"/>
    <w:tmpl w:val="D144A650"/>
    <w:lvl w:ilvl="0" w:tplc="8B20F716">
      <w:start w:val="1"/>
      <w:numFmt w:val="bullet"/>
      <w:pStyle w:val="TableBullet3rdLevel"/>
      <w:lvlText w:val=""/>
      <w:lvlJc w:val="left"/>
      <w:pPr>
        <w:ind w:left="700" w:hanging="360"/>
      </w:pPr>
      <w:rPr>
        <w:rFonts w:hint="default" w:ascii="Wingdings" w:hAnsi="Wingdings"/>
      </w:rPr>
    </w:lvl>
    <w:lvl w:ilvl="1" w:tplc="04090003" w:tentative="1">
      <w:start w:val="1"/>
      <w:numFmt w:val="bullet"/>
      <w:lvlText w:val="o"/>
      <w:lvlJc w:val="left"/>
      <w:pPr>
        <w:ind w:left="1780" w:hanging="360"/>
      </w:pPr>
      <w:rPr>
        <w:rFonts w:hint="default" w:ascii="Courier New" w:hAnsi="Courier New" w:cs="Courier New"/>
      </w:rPr>
    </w:lvl>
    <w:lvl w:ilvl="2" w:tplc="04090005" w:tentative="1">
      <w:start w:val="1"/>
      <w:numFmt w:val="bullet"/>
      <w:lvlText w:val=""/>
      <w:lvlJc w:val="left"/>
      <w:pPr>
        <w:ind w:left="2500" w:hanging="360"/>
      </w:pPr>
      <w:rPr>
        <w:rFonts w:hint="default" w:ascii="Wingdings" w:hAnsi="Wingdings"/>
      </w:rPr>
    </w:lvl>
    <w:lvl w:ilvl="3" w:tplc="04090001" w:tentative="1">
      <w:start w:val="1"/>
      <w:numFmt w:val="bullet"/>
      <w:lvlText w:val=""/>
      <w:lvlJc w:val="left"/>
      <w:pPr>
        <w:ind w:left="3220" w:hanging="360"/>
      </w:pPr>
      <w:rPr>
        <w:rFonts w:hint="default" w:ascii="Symbol" w:hAnsi="Symbol"/>
      </w:rPr>
    </w:lvl>
    <w:lvl w:ilvl="4" w:tplc="04090003" w:tentative="1">
      <w:start w:val="1"/>
      <w:numFmt w:val="bullet"/>
      <w:lvlText w:val="o"/>
      <w:lvlJc w:val="left"/>
      <w:pPr>
        <w:ind w:left="3940" w:hanging="360"/>
      </w:pPr>
      <w:rPr>
        <w:rFonts w:hint="default" w:ascii="Courier New" w:hAnsi="Courier New" w:cs="Courier New"/>
      </w:rPr>
    </w:lvl>
    <w:lvl w:ilvl="5" w:tplc="04090005" w:tentative="1">
      <w:start w:val="1"/>
      <w:numFmt w:val="bullet"/>
      <w:lvlText w:val=""/>
      <w:lvlJc w:val="left"/>
      <w:pPr>
        <w:ind w:left="4660" w:hanging="360"/>
      </w:pPr>
      <w:rPr>
        <w:rFonts w:hint="default" w:ascii="Wingdings" w:hAnsi="Wingdings"/>
      </w:rPr>
    </w:lvl>
    <w:lvl w:ilvl="6" w:tplc="04090001" w:tentative="1">
      <w:start w:val="1"/>
      <w:numFmt w:val="bullet"/>
      <w:lvlText w:val=""/>
      <w:lvlJc w:val="left"/>
      <w:pPr>
        <w:ind w:left="5380" w:hanging="360"/>
      </w:pPr>
      <w:rPr>
        <w:rFonts w:hint="default" w:ascii="Symbol" w:hAnsi="Symbol"/>
      </w:rPr>
    </w:lvl>
    <w:lvl w:ilvl="7" w:tplc="04090003" w:tentative="1">
      <w:start w:val="1"/>
      <w:numFmt w:val="bullet"/>
      <w:lvlText w:val="o"/>
      <w:lvlJc w:val="left"/>
      <w:pPr>
        <w:ind w:left="6100" w:hanging="360"/>
      </w:pPr>
      <w:rPr>
        <w:rFonts w:hint="default" w:ascii="Courier New" w:hAnsi="Courier New" w:cs="Courier New"/>
      </w:rPr>
    </w:lvl>
    <w:lvl w:ilvl="8" w:tplc="04090005" w:tentative="1">
      <w:start w:val="1"/>
      <w:numFmt w:val="bullet"/>
      <w:lvlText w:val=""/>
      <w:lvlJc w:val="left"/>
      <w:pPr>
        <w:ind w:left="6820" w:hanging="360"/>
      </w:pPr>
      <w:rPr>
        <w:rFonts w:hint="default" w:ascii="Wingdings" w:hAnsi="Wingdings"/>
      </w:rPr>
    </w:lvl>
  </w:abstractNum>
  <w:abstractNum w:abstractNumId="32"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hint="default" w:asciiTheme="majorHAnsi" w:hAnsiTheme="majorHAnsi"/>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hint="default" w:asciiTheme="majorHAnsi" w:hAnsiTheme="majorHAnsi"/>
        <w:b/>
        <w:i w:val="0"/>
        <w:caps w:val="0"/>
        <w:strike w:val="0"/>
        <w:dstrike w:val="0"/>
        <w:vanish w:val="0"/>
        <w:color w:val="000000" w:themeColor="text1"/>
        <w:sz w:val="28"/>
        <w:vertAlign w:val="baseline"/>
      </w:rPr>
    </w:lvl>
    <w:lvl w:ilvl="2">
      <w:start w:val="1"/>
      <w:numFmt w:val="decimal"/>
      <w:lvlText w:val="%1.%2.%3"/>
      <w:lvlJc w:val="left"/>
      <w:pPr>
        <w:ind w:left="1134" w:hanging="1134"/>
      </w:pPr>
      <w:rPr>
        <w:rFonts w:hint="default" w:asciiTheme="majorHAnsi" w:hAnsiTheme="majorHAnsi"/>
        <w:b/>
        <w:i w:val="0"/>
        <w:caps w:val="0"/>
        <w:strike w:val="0"/>
        <w:dstrike w:val="0"/>
        <w:vanish w:val="0"/>
        <w:color w:val="000000" w:themeColor="text1"/>
        <w:sz w:val="24"/>
        <w:vertAlign w:val="baseline"/>
      </w:rPr>
    </w:lvl>
    <w:lvl w:ilvl="3">
      <w:start w:val="1"/>
      <w:numFmt w:val="decimal"/>
      <w:lvlText w:val="%1.%2.%3.%4"/>
      <w:lvlJc w:val="left"/>
      <w:pPr>
        <w:ind w:left="1134" w:hanging="1134"/>
      </w:pPr>
      <w:rPr>
        <w:rFonts w:hint="default" w:asciiTheme="majorHAnsi" w:hAnsiTheme="majorHAnsi"/>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3"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FB56D5"/>
    <w:multiLevelType w:val="multilevel"/>
    <w:tmpl w:val="556A30FC"/>
    <w:numStyleLink w:val="SingleSequentialNumbering"/>
  </w:abstractNum>
  <w:abstractNum w:abstractNumId="36" w15:restartNumberingAfterBreak="0">
    <w:nsid w:val="5BE3695C"/>
    <w:multiLevelType w:val="hybridMultilevel"/>
    <w:tmpl w:val="8F60BF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230E7C"/>
    <w:multiLevelType w:val="hybridMultilevel"/>
    <w:tmpl w:val="1988CF56"/>
    <w:lvl w:ilvl="0" w:tplc="A348698E">
      <w:start w:val="1"/>
      <w:numFmt w:val="decimal"/>
      <w:pStyle w:val="Footnote"/>
      <w:lvlText w:val="%1"/>
      <w:lvlJc w:val="left"/>
      <w:pPr>
        <w:ind w:left="360" w:hanging="360"/>
      </w:pPr>
      <w:rPr>
        <w:rFonts w:hint="default" w:ascii="Jacobs Chronos Light" w:hAnsi="Jacobs Chronos Ligh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9" w15:restartNumberingAfterBreak="0">
    <w:nsid w:val="69E24B6B"/>
    <w:multiLevelType w:val="multilevel"/>
    <w:tmpl w:val="0D049A4A"/>
    <w:lvl w:ilvl="0">
      <w:start w:val="1"/>
      <w:numFmt w:val="decimal"/>
      <w:pStyle w:val="PhotologNumber"/>
      <w:suff w:val="space"/>
      <w:lvlText w:val="Photograph %1:"/>
      <w:lvlJc w:val="left"/>
      <w:pPr>
        <w:ind w:left="0" w:firstLine="0"/>
      </w:pPr>
      <w:rPr>
        <w:rFonts w:hint="default" w:asciiTheme="majorHAnsi" w:hAnsiTheme="majorHAnsi"/>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474AC8"/>
    <w:multiLevelType w:val="hybridMultilevel"/>
    <w:tmpl w:val="1B109F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8274333"/>
    <w:multiLevelType w:val="multilevel"/>
    <w:tmpl w:val="531CB01E"/>
    <w:numStyleLink w:val="TableNumbers"/>
  </w:abstractNum>
  <w:abstractNum w:abstractNumId="42" w15:restartNumberingAfterBreak="0">
    <w:nsid w:val="7BD455B9"/>
    <w:multiLevelType w:val="multilevel"/>
    <w:tmpl w:val="1BE694E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34394518">
    <w:abstractNumId w:val="4"/>
  </w:num>
  <w:num w:numId="2" w16cid:durableId="667707741">
    <w:abstractNumId w:val="5"/>
  </w:num>
  <w:num w:numId="3" w16cid:durableId="408356775">
    <w:abstractNumId w:val="33"/>
  </w:num>
  <w:num w:numId="4" w16cid:durableId="188568052">
    <w:abstractNumId w:val="38"/>
  </w:num>
  <w:num w:numId="5" w16cid:durableId="1182667861">
    <w:abstractNumId w:val="25"/>
  </w:num>
  <w:num w:numId="6" w16cid:durableId="1507592998">
    <w:abstractNumId w:val="28"/>
  </w:num>
  <w:num w:numId="7" w16cid:durableId="975569156">
    <w:abstractNumId w:val="1"/>
  </w:num>
  <w:num w:numId="8" w16cid:durableId="1637372114">
    <w:abstractNumId w:val="3"/>
  </w:num>
  <w:num w:numId="9" w16cid:durableId="1389304750">
    <w:abstractNumId w:val="32"/>
  </w:num>
  <w:num w:numId="10" w16cid:durableId="688262743">
    <w:abstractNumId w:val="29"/>
  </w:num>
  <w:num w:numId="11" w16cid:durableId="2030401076">
    <w:abstractNumId w:val="31"/>
  </w:num>
  <w:num w:numId="12" w16cid:durableId="851916699">
    <w:abstractNumId w:val="9"/>
  </w:num>
  <w:num w:numId="13" w16cid:durableId="1381201635">
    <w:abstractNumId w:val="11"/>
  </w:num>
  <w:num w:numId="14" w16cid:durableId="20085153">
    <w:abstractNumId w:val="0"/>
  </w:num>
  <w:num w:numId="15" w16cid:durableId="1911697499">
    <w:abstractNumId w:val="34"/>
  </w:num>
  <w:num w:numId="16" w16cid:durableId="136728053">
    <w:abstractNumId w:val="30"/>
  </w:num>
  <w:num w:numId="17" w16cid:durableId="1837185254">
    <w:abstractNumId w:val="13"/>
  </w:num>
  <w:num w:numId="18" w16cid:durableId="10842986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724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6604855">
    <w:abstractNumId w:val="6"/>
  </w:num>
  <w:num w:numId="21" w16cid:durableId="1059136100">
    <w:abstractNumId w:val="2"/>
  </w:num>
  <w:num w:numId="22" w16cid:durableId="468785107">
    <w:abstractNumId w:val="17"/>
  </w:num>
  <w:num w:numId="23" w16cid:durableId="7361728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65495989">
    <w:abstractNumId w:val="8"/>
  </w:num>
  <w:num w:numId="25" w16cid:durableId="864056621">
    <w:abstractNumId w:val="16"/>
  </w:num>
  <w:num w:numId="26" w16cid:durableId="1990599406">
    <w:abstractNumId w:val="7"/>
  </w:num>
  <w:num w:numId="27" w16cid:durableId="451675040">
    <w:abstractNumId w:val="15"/>
  </w:num>
  <w:num w:numId="28" w16cid:durableId="1303659108">
    <w:abstractNumId w:val="39"/>
  </w:num>
  <w:num w:numId="29" w16cid:durableId="341208758">
    <w:abstractNumId w:val="12"/>
  </w:num>
  <w:num w:numId="30" w16cid:durableId="1872573973">
    <w:abstractNumId w:val="35"/>
  </w:num>
  <w:num w:numId="31" w16cid:durableId="496070286">
    <w:abstractNumId w:val="41"/>
  </w:num>
  <w:num w:numId="32" w16cid:durableId="1059325938">
    <w:abstractNumId w:val="18"/>
    <w:lvlOverride w:ilvl="0">
      <w:lvl w:ilvl="0">
        <w:start w:val="1"/>
        <w:numFmt w:val="bullet"/>
        <w:pStyle w:val="BulletLevel1"/>
        <w:lvlText w:val=""/>
        <w:lvlJc w:val="left"/>
        <w:pPr>
          <w:ind w:left="284" w:hanging="284"/>
        </w:pPr>
        <w:rPr>
          <w:rFonts w:hint="default" w:ascii="Wingdings" w:hAnsi="Wingdings" w:cs="Times New Roman"/>
          <w:color w:val="auto"/>
        </w:rPr>
      </w:lvl>
    </w:lvlOverride>
  </w:num>
  <w:num w:numId="33" w16cid:durableId="1504275798">
    <w:abstractNumId w:val="19"/>
  </w:num>
  <w:num w:numId="34" w16cid:durableId="305009164">
    <w:abstractNumId w:val="10"/>
  </w:num>
  <w:num w:numId="35" w16cid:durableId="1164974834">
    <w:abstractNumId w:val="26"/>
  </w:num>
  <w:num w:numId="36" w16cid:durableId="978220172">
    <w:abstractNumId w:val="23"/>
  </w:num>
  <w:num w:numId="37" w16cid:durableId="867252878">
    <w:abstractNumId w:val="20"/>
  </w:num>
  <w:num w:numId="38" w16cid:durableId="893394970">
    <w:abstractNumId w:val="37"/>
  </w:num>
  <w:num w:numId="39" w16cid:durableId="1232084480">
    <w:abstractNumId w:val="42"/>
  </w:num>
  <w:num w:numId="40" w16cid:durableId="346177180">
    <w:abstractNumId w:val="21"/>
  </w:num>
  <w:num w:numId="41" w16cid:durableId="365329245">
    <w:abstractNumId w:val="22"/>
  </w:num>
  <w:num w:numId="42" w16cid:durableId="239948716">
    <w:abstractNumId w:val="24"/>
  </w:num>
  <w:num w:numId="43" w16cid:durableId="1966882335">
    <w:abstractNumId w:val="27"/>
  </w:num>
  <w:num w:numId="44" w16cid:durableId="1574243110">
    <w:abstractNumId w:val="36"/>
  </w:num>
  <w:num w:numId="45" w16cid:durableId="2081906331">
    <w:abstractNumId w:val="18"/>
  </w:num>
  <w:num w:numId="46" w16cid:durableId="353386427">
    <w:abstractNumId w:val="14"/>
  </w:num>
  <w:num w:numId="47" w16cid:durableId="1165703504">
    <w:abstractNumId w:val="40"/>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true"/>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940735"/>
    <w:rsid w:val="00000004"/>
    <w:rsid w:val="0000134C"/>
    <w:rsid w:val="00001FD9"/>
    <w:rsid w:val="00002088"/>
    <w:rsid w:val="000025F2"/>
    <w:rsid w:val="0000271B"/>
    <w:rsid w:val="00002D39"/>
    <w:rsid w:val="00003E2F"/>
    <w:rsid w:val="00004BA2"/>
    <w:rsid w:val="00005237"/>
    <w:rsid w:val="000058A6"/>
    <w:rsid w:val="00011C24"/>
    <w:rsid w:val="0001212E"/>
    <w:rsid w:val="0001236B"/>
    <w:rsid w:val="00012940"/>
    <w:rsid w:val="000144C5"/>
    <w:rsid w:val="00014BA8"/>
    <w:rsid w:val="00015AD9"/>
    <w:rsid w:val="0001754F"/>
    <w:rsid w:val="00017912"/>
    <w:rsid w:val="00017B6A"/>
    <w:rsid w:val="00017D9E"/>
    <w:rsid w:val="00020196"/>
    <w:rsid w:val="00020DB3"/>
    <w:rsid w:val="000214FF"/>
    <w:rsid w:val="00021CB2"/>
    <w:rsid w:val="0002443C"/>
    <w:rsid w:val="000248E6"/>
    <w:rsid w:val="000252D8"/>
    <w:rsid w:val="00025ACF"/>
    <w:rsid w:val="00026FCF"/>
    <w:rsid w:val="0002782F"/>
    <w:rsid w:val="00027BCB"/>
    <w:rsid w:val="00031BE3"/>
    <w:rsid w:val="00034336"/>
    <w:rsid w:val="0003480A"/>
    <w:rsid w:val="00034DBF"/>
    <w:rsid w:val="00035D58"/>
    <w:rsid w:val="00040549"/>
    <w:rsid w:val="00041F6C"/>
    <w:rsid w:val="00043CAA"/>
    <w:rsid w:val="00043EF2"/>
    <w:rsid w:val="00044920"/>
    <w:rsid w:val="000449AA"/>
    <w:rsid w:val="00045D54"/>
    <w:rsid w:val="00045EAD"/>
    <w:rsid w:val="00046130"/>
    <w:rsid w:val="000464CA"/>
    <w:rsid w:val="00046B55"/>
    <w:rsid w:val="000470D0"/>
    <w:rsid w:val="00047FAE"/>
    <w:rsid w:val="00052C5D"/>
    <w:rsid w:val="00053A43"/>
    <w:rsid w:val="000552B0"/>
    <w:rsid w:val="000562C7"/>
    <w:rsid w:val="00056878"/>
    <w:rsid w:val="000574F4"/>
    <w:rsid w:val="000578C5"/>
    <w:rsid w:val="00060223"/>
    <w:rsid w:val="000608F9"/>
    <w:rsid w:val="00060C7A"/>
    <w:rsid w:val="00061B53"/>
    <w:rsid w:val="00061BD9"/>
    <w:rsid w:val="00063687"/>
    <w:rsid w:val="00063973"/>
    <w:rsid w:val="0006489E"/>
    <w:rsid w:val="00064CE3"/>
    <w:rsid w:val="00065515"/>
    <w:rsid w:val="00065B35"/>
    <w:rsid w:val="00065CF0"/>
    <w:rsid w:val="00066DE7"/>
    <w:rsid w:val="000705AB"/>
    <w:rsid w:val="0007079A"/>
    <w:rsid w:val="00071A27"/>
    <w:rsid w:val="00071FDF"/>
    <w:rsid w:val="0007244D"/>
    <w:rsid w:val="0007262D"/>
    <w:rsid w:val="0007292A"/>
    <w:rsid w:val="00072CFE"/>
    <w:rsid w:val="0007371B"/>
    <w:rsid w:val="00073E8E"/>
    <w:rsid w:val="00074886"/>
    <w:rsid w:val="000753C4"/>
    <w:rsid w:val="0007544C"/>
    <w:rsid w:val="000761D9"/>
    <w:rsid w:val="000773B9"/>
    <w:rsid w:val="00080BB2"/>
    <w:rsid w:val="00081BA9"/>
    <w:rsid w:val="00081C55"/>
    <w:rsid w:val="000822F4"/>
    <w:rsid w:val="00082319"/>
    <w:rsid w:val="000825AA"/>
    <w:rsid w:val="00084A35"/>
    <w:rsid w:val="000869ED"/>
    <w:rsid w:val="000873C9"/>
    <w:rsid w:val="00090AF4"/>
    <w:rsid w:val="00090C5F"/>
    <w:rsid w:val="000913C5"/>
    <w:rsid w:val="00091CED"/>
    <w:rsid w:val="0009246B"/>
    <w:rsid w:val="000938ED"/>
    <w:rsid w:val="00095532"/>
    <w:rsid w:val="00095D78"/>
    <w:rsid w:val="0009618B"/>
    <w:rsid w:val="00096F38"/>
    <w:rsid w:val="000A254F"/>
    <w:rsid w:val="000A3C09"/>
    <w:rsid w:val="000A487E"/>
    <w:rsid w:val="000A5B6B"/>
    <w:rsid w:val="000B03DD"/>
    <w:rsid w:val="000B0ED1"/>
    <w:rsid w:val="000B132D"/>
    <w:rsid w:val="000B15CD"/>
    <w:rsid w:val="000B25A0"/>
    <w:rsid w:val="000B2C7C"/>
    <w:rsid w:val="000B36A8"/>
    <w:rsid w:val="000B37E1"/>
    <w:rsid w:val="000B3904"/>
    <w:rsid w:val="000B3FC3"/>
    <w:rsid w:val="000B4645"/>
    <w:rsid w:val="000B49CE"/>
    <w:rsid w:val="000B5F58"/>
    <w:rsid w:val="000B64EE"/>
    <w:rsid w:val="000B67BF"/>
    <w:rsid w:val="000C019E"/>
    <w:rsid w:val="000C2275"/>
    <w:rsid w:val="000C29F2"/>
    <w:rsid w:val="000C4415"/>
    <w:rsid w:val="000C56DD"/>
    <w:rsid w:val="000C6A83"/>
    <w:rsid w:val="000C74ED"/>
    <w:rsid w:val="000C7C60"/>
    <w:rsid w:val="000C7EE0"/>
    <w:rsid w:val="000D0335"/>
    <w:rsid w:val="000D2D8B"/>
    <w:rsid w:val="000D3FC4"/>
    <w:rsid w:val="000D4976"/>
    <w:rsid w:val="000D6FF3"/>
    <w:rsid w:val="000E07DF"/>
    <w:rsid w:val="000E3960"/>
    <w:rsid w:val="000E3EF6"/>
    <w:rsid w:val="000E5853"/>
    <w:rsid w:val="000E62FF"/>
    <w:rsid w:val="000E7DC0"/>
    <w:rsid w:val="000F0AC5"/>
    <w:rsid w:val="000F197C"/>
    <w:rsid w:val="000F1991"/>
    <w:rsid w:val="000F3761"/>
    <w:rsid w:val="000F55EB"/>
    <w:rsid w:val="000F6DA5"/>
    <w:rsid w:val="000F6F61"/>
    <w:rsid w:val="000F7236"/>
    <w:rsid w:val="000F7A9F"/>
    <w:rsid w:val="00100310"/>
    <w:rsid w:val="00100C07"/>
    <w:rsid w:val="001027E8"/>
    <w:rsid w:val="00103BF0"/>
    <w:rsid w:val="00103C78"/>
    <w:rsid w:val="001045FF"/>
    <w:rsid w:val="0010641A"/>
    <w:rsid w:val="00106706"/>
    <w:rsid w:val="00110248"/>
    <w:rsid w:val="00110FC1"/>
    <w:rsid w:val="001112C2"/>
    <w:rsid w:val="00111658"/>
    <w:rsid w:val="00111D53"/>
    <w:rsid w:val="00111E71"/>
    <w:rsid w:val="0011206B"/>
    <w:rsid w:val="00112305"/>
    <w:rsid w:val="00113E36"/>
    <w:rsid w:val="00114737"/>
    <w:rsid w:val="00115166"/>
    <w:rsid w:val="0011559D"/>
    <w:rsid w:val="00116982"/>
    <w:rsid w:val="00117E89"/>
    <w:rsid w:val="00120563"/>
    <w:rsid w:val="0012117E"/>
    <w:rsid w:val="0012290C"/>
    <w:rsid w:val="00122C51"/>
    <w:rsid w:val="0012301A"/>
    <w:rsid w:val="00125468"/>
    <w:rsid w:val="001264DF"/>
    <w:rsid w:val="00126638"/>
    <w:rsid w:val="001277DA"/>
    <w:rsid w:val="00127850"/>
    <w:rsid w:val="0012785F"/>
    <w:rsid w:val="00130240"/>
    <w:rsid w:val="001308DE"/>
    <w:rsid w:val="00130BEC"/>
    <w:rsid w:val="0013485A"/>
    <w:rsid w:val="00135334"/>
    <w:rsid w:val="00135C6B"/>
    <w:rsid w:val="00136205"/>
    <w:rsid w:val="00137C6A"/>
    <w:rsid w:val="00141007"/>
    <w:rsid w:val="00141419"/>
    <w:rsid w:val="00141E02"/>
    <w:rsid w:val="0014332E"/>
    <w:rsid w:val="001436DD"/>
    <w:rsid w:val="00143D81"/>
    <w:rsid w:val="0014421B"/>
    <w:rsid w:val="00144C5A"/>
    <w:rsid w:val="001460D8"/>
    <w:rsid w:val="001465F2"/>
    <w:rsid w:val="0014665D"/>
    <w:rsid w:val="0014698C"/>
    <w:rsid w:val="00146DF9"/>
    <w:rsid w:val="00147074"/>
    <w:rsid w:val="00147BC5"/>
    <w:rsid w:val="00147BE1"/>
    <w:rsid w:val="00147C51"/>
    <w:rsid w:val="0015070D"/>
    <w:rsid w:val="00151007"/>
    <w:rsid w:val="00151348"/>
    <w:rsid w:val="00151F2C"/>
    <w:rsid w:val="00152F48"/>
    <w:rsid w:val="00153A92"/>
    <w:rsid w:val="00155D41"/>
    <w:rsid w:val="0015625F"/>
    <w:rsid w:val="0015726B"/>
    <w:rsid w:val="001575B1"/>
    <w:rsid w:val="001605B3"/>
    <w:rsid w:val="00162741"/>
    <w:rsid w:val="00162FA5"/>
    <w:rsid w:val="0016410C"/>
    <w:rsid w:val="0016416C"/>
    <w:rsid w:val="00164AEF"/>
    <w:rsid w:val="00165C0A"/>
    <w:rsid w:val="001661E6"/>
    <w:rsid w:val="001674EA"/>
    <w:rsid w:val="001674ED"/>
    <w:rsid w:val="00167D32"/>
    <w:rsid w:val="0017168F"/>
    <w:rsid w:val="00171E08"/>
    <w:rsid w:val="00172256"/>
    <w:rsid w:val="00172EFF"/>
    <w:rsid w:val="001735C4"/>
    <w:rsid w:val="0017508F"/>
    <w:rsid w:val="00181EB8"/>
    <w:rsid w:val="00182D93"/>
    <w:rsid w:val="00183AE5"/>
    <w:rsid w:val="00183B6D"/>
    <w:rsid w:val="00186011"/>
    <w:rsid w:val="0018700A"/>
    <w:rsid w:val="001870A7"/>
    <w:rsid w:val="001872E8"/>
    <w:rsid w:val="00190AD0"/>
    <w:rsid w:val="0019163F"/>
    <w:rsid w:val="00194796"/>
    <w:rsid w:val="001954A3"/>
    <w:rsid w:val="00195D2F"/>
    <w:rsid w:val="00195FD8"/>
    <w:rsid w:val="00197013"/>
    <w:rsid w:val="001A0019"/>
    <w:rsid w:val="001A06D4"/>
    <w:rsid w:val="001A119B"/>
    <w:rsid w:val="001A1566"/>
    <w:rsid w:val="001A16EE"/>
    <w:rsid w:val="001A294E"/>
    <w:rsid w:val="001A29C0"/>
    <w:rsid w:val="001A2A7F"/>
    <w:rsid w:val="001A3136"/>
    <w:rsid w:val="001A3F47"/>
    <w:rsid w:val="001A4825"/>
    <w:rsid w:val="001A4D66"/>
    <w:rsid w:val="001B0645"/>
    <w:rsid w:val="001B0667"/>
    <w:rsid w:val="001B3EB2"/>
    <w:rsid w:val="001B423D"/>
    <w:rsid w:val="001B502C"/>
    <w:rsid w:val="001B5641"/>
    <w:rsid w:val="001B5A6C"/>
    <w:rsid w:val="001B65D3"/>
    <w:rsid w:val="001B672C"/>
    <w:rsid w:val="001B68BA"/>
    <w:rsid w:val="001B716A"/>
    <w:rsid w:val="001B7227"/>
    <w:rsid w:val="001C03EB"/>
    <w:rsid w:val="001C251B"/>
    <w:rsid w:val="001C364B"/>
    <w:rsid w:val="001C542B"/>
    <w:rsid w:val="001C5700"/>
    <w:rsid w:val="001C5BE9"/>
    <w:rsid w:val="001C602D"/>
    <w:rsid w:val="001C6D7B"/>
    <w:rsid w:val="001C6E4A"/>
    <w:rsid w:val="001D0418"/>
    <w:rsid w:val="001D084C"/>
    <w:rsid w:val="001D15EE"/>
    <w:rsid w:val="001D34C7"/>
    <w:rsid w:val="001D3A7A"/>
    <w:rsid w:val="001D5396"/>
    <w:rsid w:val="001D54A9"/>
    <w:rsid w:val="001D6876"/>
    <w:rsid w:val="001D7D35"/>
    <w:rsid w:val="001E1A72"/>
    <w:rsid w:val="001E1F6D"/>
    <w:rsid w:val="001E2086"/>
    <w:rsid w:val="001E271B"/>
    <w:rsid w:val="001E2A26"/>
    <w:rsid w:val="001E310A"/>
    <w:rsid w:val="001E316A"/>
    <w:rsid w:val="001E3DB8"/>
    <w:rsid w:val="001E3DD9"/>
    <w:rsid w:val="001E3E9E"/>
    <w:rsid w:val="001E4D95"/>
    <w:rsid w:val="001F0084"/>
    <w:rsid w:val="001F2281"/>
    <w:rsid w:val="001F2B52"/>
    <w:rsid w:val="001F381A"/>
    <w:rsid w:val="001F422E"/>
    <w:rsid w:val="001F4527"/>
    <w:rsid w:val="001F45E5"/>
    <w:rsid w:val="001F5219"/>
    <w:rsid w:val="001F57B0"/>
    <w:rsid w:val="001F64C0"/>
    <w:rsid w:val="001F66EC"/>
    <w:rsid w:val="001F6B32"/>
    <w:rsid w:val="001F6DCD"/>
    <w:rsid w:val="001F77B3"/>
    <w:rsid w:val="001F7AD7"/>
    <w:rsid w:val="00200144"/>
    <w:rsid w:val="00202128"/>
    <w:rsid w:val="0020292F"/>
    <w:rsid w:val="00202947"/>
    <w:rsid w:val="002051D6"/>
    <w:rsid w:val="002052C0"/>
    <w:rsid w:val="0021064A"/>
    <w:rsid w:val="00210D06"/>
    <w:rsid w:val="00211A29"/>
    <w:rsid w:val="00211F56"/>
    <w:rsid w:val="00213687"/>
    <w:rsid w:val="002149D0"/>
    <w:rsid w:val="0021564E"/>
    <w:rsid w:val="0021587F"/>
    <w:rsid w:val="002173E0"/>
    <w:rsid w:val="00220778"/>
    <w:rsid w:val="00220AFD"/>
    <w:rsid w:val="00222F00"/>
    <w:rsid w:val="00222F57"/>
    <w:rsid w:val="00223A3A"/>
    <w:rsid w:val="00224F74"/>
    <w:rsid w:val="0022502A"/>
    <w:rsid w:val="00225765"/>
    <w:rsid w:val="002259FD"/>
    <w:rsid w:val="00226F76"/>
    <w:rsid w:val="0023016D"/>
    <w:rsid w:val="00230C64"/>
    <w:rsid w:val="00230C7D"/>
    <w:rsid w:val="00231399"/>
    <w:rsid w:val="00231833"/>
    <w:rsid w:val="00231870"/>
    <w:rsid w:val="00231AA0"/>
    <w:rsid w:val="00232471"/>
    <w:rsid w:val="00233F55"/>
    <w:rsid w:val="00235444"/>
    <w:rsid w:val="00236C1E"/>
    <w:rsid w:val="002376B9"/>
    <w:rsid w:val="002379D5"/>
    <w:rsid w:val="002400DB"/>
    <w:rsid w:val="00240974"/>
    <w:rsid w:val="002426FE"/>
    <w:rsid w:val="00242B7E"/>
    <w:rsid w:val="002446C0"/>
    <w:rsid w:val="002449C2"/>
    <w:rsid w:val="00244CAB"/>
    <w:rsid w:val="00245076"/>
    <w:rsid w:val="002471A3"/>
    <w:rsid w:val="002500F5"/>
    <w:rsid w:val="00250342"/>
    <w:rsid w:val="00252FCD"/>
    <w:rsid w:val="0025344C"/>
    <w:rsid w:val="00253F47"/>
    <w:rsid w:val="00254DDE"/>
    <w:rsid w:val="002564F8"/>
    <w:rsid w:val="00256892"/>
    <w:rsid w:val="0026116E"/>
    <w:rsid w:val="00261760"/>
    <w:rsid w:val="00261D77"/>
    <w:rsid w:val="002627A6"/>
    <w:rsid w:val="00262B56"/>
    <w:rsid w:val="0026353A"/>
    <w:rsid w:val="00263E34"/>
    <w:rsid w:val="00264E38"/>
    <w:rsid w:val="00265993"/>
    <w:rsid w:val="002667C9"/>
    <w:rsid w:val="00266869"/>
    <w:rsid w:val="00266BD5"/>
    <w:rsid w:val="00266C2E"/>
    <w:rsid w:val="00267FA8"/>
    <w:rsid w:val="00270055"/>
    <w:rsid w:val="00270235"/>
    <w:rsid w:val="00270C5E"/>
    <w:rsid w:val="00271B2E"/>
    <w:rsid w:val="00271BBA"/>
    <w:rsid w:val="00272A4F"/>
    <w:rsid w:val="002734C3"/>
    <w:rsid w:val="002779C6"/>
    <w:rsid w:val="00277B66"/>
    <w:rsid w:val="002826B8"/>
    <w:rsid w:val="00283157"/>
    <w:rsid w:val="002844EB"/>
    <w:rsid w:val="002858E3"/>
    <w:rsid w:val="00285E35"/>
    <w:rsid w:val="00286484"/>
    <w:rsid w:val="00286AB4"/>
    <w:rsid w:val="002870B9"/>
    <w:rsid w:val="00287783"/>
    <w:rsid w:val="00287A8A"/>
    <w:rsid w:val="00290D1E"/>
    <w:rsid w:val="0029179C"/>
    <w:rsid w:val="00291C58"/>
    <w:rsid w:val="00291EBB"/>
    <w:rsid w:val="00292C09"/>
    <w:rsid w:val="00292F2C"/>
    <w:rsid w:val="0029379B"/>
    <w:rsid w:val="0029464D"/>
    <w:rsid w:val="00294874"/>
    <w:rsid w:val="0029594E"/>
    <w:rsid w:val="00296AFD"/>
    <w:rsid w:val="00296BEE"/>
    <w:rsid w:val="002972FE"/>
    <w:rsid w:val="002978C8"/>
    <w:rsid w:val="002A0442"/>
    <w:rsid w:val="002A0C7E"/>
    <w:rsid w:val="002A0CF6"/>
    <w:rsid w:val="002A20D6"/>
    <w:rsid w:val="002A30D1"/>
    <w:rsid w:val="002A3B29"/>
    <w:rsid w:val="002A4456"/>
    <w:rsid w:val="002A6287"/>
    <w:rsid w:val="002B0272"/>
    <w:rsid w:val="002B0836"/>
    <w:rsid w:val="002B11D3"/>
    <w:rsid w:val="002B1721"/>
    <w:rsid w:val="002B1C5C"/>
    <w:rsid w:val="002B22AE"/>
    <w:rsid w:val="002B3522"/>
    <w:rsid w:val="002B38F3"/>
    <w:rsid w:val="002B3AE6"/>
    <w:rsid w:val="002B453B"/>
    <w:rsid w:val="002B568A"/>
    <w:rsid w:val="002B5A44"/>
    <w:rsid w:val="002B6869"/>
    <w:rsid w:val="002B74C4"/>
    <w:rsid w:val="002B77D9"/>
    <w:rsid w:val="002C0D59"/>
    <w:rsid w:val="002C1C47"/>
    <w:rsid w:val="002C2088"/>
    <w:rsid w:val="002C21B7"/>
    <w:rsid w:val="002C2BF2"/>
    <w:rsid w:val="002C521E"/>
    <w:rsid w:val="002C5D6A"/>
    <w:rsid w:val="002C628C"/>
    <w:rsid w:val="002C6DEE"/>
    <w:rsid w:val="002C6ED1"/>
    <w:rsid w:val="002C721D"/>
    <w:rsid w:val="002C74EF"/>
    <w:rsid w:val="002D03CC"/>
    <w:rsid w:val="002D06C6"/>
    <w:rsid w:val="002D117F"/>
    <w:rsid w:val="002D30F9"/>
    <w:rsid w:val="002D508A"/>
    <w:rsid w:val="002D6A9D"/>
    <w:rsid w:val="002D6CE6"/>
    <w:rsid w:val="002D7A04"/>
    <w:rsid w:val="002E11F3"/>
    <w:rsid w:val="002E1B03"/>
    <w:rsid w:val="002E28FC"/>
    <w:rsid w:val="002E29AA"/>
    <w:rsid w:val="002E31FF"/>
    <w:rsid w:val="002E5899"/>
    <w:rsid w:val="002E5B1A"/>
    <w:rsid w:val="002E5F3C"/>
    <w:rsid w:val="002E6BAE"/>
    <w:rsid w:val="002E6DCB"/>
    <w:rsid w:val="002E731B"/>
    <w:rsid w:val="002F0DA3"/>
    <w:rsid w:val="002F1642"/>
    <w:rsid w:val="002F3483"/>
    <w:rsid w:val="002F4502"/>
    <w:rsid w:val="002F5029"/>
    <w:rsid w:val="00300E0C"/>
    <w:rsid w:val="00301938"/>
    <w:rsid w:val="003025B2"/>
    <w:rsid w:val="003025E7"/>
    <w:rsid w:val="003031E0"/>
    <w:rsid w:val="003032FC"/>
    <w:rsid w:val="003034A6"/>
    <w:rsid w:val="00303B3C"/>
    <w:rsid w:val="00303B8A"/>
    <w:rsid w:val="00304131"/>
    <w:rsid w:val="003046E1"/>
    <w:rsid w:val="0030530B"/>
    <w:rsid w:val="003056EA"/>
    <w:rsid w:val="00307BA7"/>
    <w:rsid w:val="00310C00"/>
    <w:rsid w:val="00310E2F"/>
    <w:rsid w:val="003122A6"/>
    <w:rsid w:val="00312C82"/>
    <w:rsid w:val="00313082"/>
    <w:rsid w:val="0031571C"/>
    <w:rsid w:val="00315F5F"/>
    <w:rsid w:val="003160DC"/>
    <w:rsid w:val="0031618C"/>
    <w:rsid w:val="003166A2"/>
    <w:rsid w:val="00316882"/>
    <w:rsid w:val="00316B15"/>
    <w:rsid w:val="00317CBA"/>
    <w:rsid w:val="00321125"/>
    <w:rsid w:val="003212F2"/>
    <w:rsid w:val="003224F2"/>
    <w:rsid w:val="00324B89"/>
    <w:rsid w:val="00324D86"/>
    <w:rsid w:val="003253F8"/>
    <w:rsid w:val="003260DA"/>
    <w:rsid w:val="00326981"/>
    <w:rsid w:val="00327B5B"/>
    <w:rsid w:val="00330D6D"/>
    <w:rsid w:val="0033229D"/>
    <w:rsid w:val="00332FFB"/>
    <w:rsid w:val="003338CD"/>
    <w:rsid w:val="003339BC"/>
    <w:rsid w:val="00335D26"/>
    <w:rsid w:val="003361A6"/>
    <w:rsid w:val="00337314"/>
    <w:rsid w:val="00340407"/>
    <w:rsid w:val="003407B6"/>
    <w:rsid w:val="0034410A"/>
    <w:rsid w:val="00344976"/>
    <w:rsid w:val="0034654A"/>
    <w:rsid w:val="003465F4"/>
    <w:rsid w:val="0034762E"/>
    <w:rsid w:val="003513B7"/>
    <w:rsid w:val="00351987"/>
    <w:rsid w:val="0035215F"/>
    <w:rsid w:val="00352F6C"/>
    <w:rsid w:val="00353872"/>
    <w:rsid w:val="003542FD"/>
    <w:rsid w:val="0035447E"/>
    <w:rsid w:val="003562B2"/>
    <w:rsid w:val="00357E73"/>
    <w:rsid w:val="00357FBD"/>
    <w:rsid w:val="00360205"/>
    <w:rsid w:val="00360972"/>
    <w:rsid w:val="00361395"/>
    <w:rsid w:val="003613D5"/>
    <w:rsid w:val="00362498"/>
    <w:rsid w:val="003634F6"/>
    <w:rsid w:val="00363E6F"/>
    <w:rsid w:val="003647C7"/>
    <w:rsid w:val="00364C05"/>
    <w:rsid w:val="00365787"/>
    <w:rsid w:val="00365DF3"/>
    <w:rsid w:val="003664FA"/>
    <w:rsid w:val="003677A5"/>
    <w:rsid w:val="00370536"/>
    <w:rsid w:val="0037106C"/>
    <w:rsid w:val="003725B2"/>
    <w:rsid w:val="00372AF0"/>
    <w:rsid w:val="00372B54"/>
    <w:rsid w:val="00372C15"/>
    <w:rsid w:val="00372C7C"/>
    <w:rsid w:val="0037521A"/>
    <w:rsid w:val="0037649D"/>
    <w:rsid w:val="003801FC"/>
    <w:rsid w:val="003806A5"/>
    <w:rsid w:val="00382647"/>
    <w:rsid w:val="00382C71"/>
    <w:rsid w:val="00383136"/>
    <w:rsid w:val="0038375D"/>
    <w:rsid w:val="00383E96"/>
    <w:rsid w:val="003854AD"/>
    <w:rsid w:val="0038612B"/>
    <w:rsid w:val="0038698D"/>
    <w:rsid w:val="00387F31"/>
    <w:rsid w:val="00391007"/>
    <w:rsid w:val="00392CA7"/>
    <w:rsid w:val="00392D1A"/>
    <w:rsid w:val="003939EE"/>
    <w:rsid w:val="00396331"/>
    <w:rsid w:val="00397208"/>
    <w:rsid w:val="003973D0"/>
    <w:rsid w:val="00397732"/>
    <w:rsid w:val="00397B94"/>
    <w:rsid w:val="00397F27"/>
    <w:rsid w:val="003A0B66"/>
    <w:rsid w:val="003A1AB4"/>
    <w:rsid w:val="003A3AB4"/>
    <w:rsid w:val="003A3FFE"/>
    <w:rsid w:val="003A4A28"/>
    <w:rsid w:val="003A4B95"/>
    <w:rsid w:val="003A566D"/>
    <w:rsid w:val="003A723D"/>
    <w:rsid w:val="003A785C"/>
    <w:rsid w:val="003A7EF0"/>
    <w:rsid w:val="003B0B5E"/>
    <w:rsid w:val="003B23EB"/>
    <w:rsid w:val="003B58E1"/>
    <w:rsid w:val="003B5FDF"/>
    <w:rsid w:val="003B6A28"/>
    <w:rsid w:val="003B6A50"/>
    <w:rsid w:val="003B76F9"/>
    <w:rsid w:val="003C0061"/>
    <w:rsid w:val="003C0634"/>
    <w:rsid w:val="003C12CA"/>
    <w:rsid w:val="003C1613"/>
    <w:rsid w:val="003C1E27"/>
    <w:rsid w:val="003C30B3"/>
    <w:rsid w:val="003C3F34"/>
    <w:rsid w:val="003C3FB3"/>
    <w:rsid w:val="003C4740"/>
    <w:rsid w:val="003C4A70"/>
    <w:rsid w:val="003C5225"/>
    <w:rsid w:val="003C5B93"/>
    <w:rsid w:val="003C6D93"/>
    <w:rsid w:val="003D0724"/>
    <w:rsid w:val="003D0F0B"/>
    <w:rsid w:val="003D1674"/>
    <w:rsid w:val="003D2544"/>
    <w:rsid w:val="003D2552"/>
    <w:rsid w:val="003D2FCC"/>
    <w:rsid w:val="003D396D"/>
    <w:rsid w:val="003D4237"/>
    <w:rsid w:val="003D71CE"/>
    <w:rsid w:val="003E0128"/>
    <w:rsid w:val="003E1A01"/>
    <w:rsid w:val="003E4DDB"/>
    <w:rsid w:val="003E53A0"/>
    <w:rsid w:val="003E5FDF"/>
    <w:rsid w:val="003E6CCB"/>
    <w:rsid w:val="003E7657"/>
    <w:rsid w:val="003E7769"/>
    <w:rsid w:val="003E7F5C"/>
    <w:rsid w:val="003F03C0"/>
    <w:rsid w:val="003F108B"/>
    <w:rsid w:val="003F1202"/>
    <w:rsid w:val="003F1213"/>
    <w:rsid w:val="003F1609"/>
    <w:rsid w:val="003F1741"/>
    <w:rsid w:val="003F2494"/>
    <w:rsid w:val="003F30F6"/>
    <w:rsid w:val="003F3D36"/>
    <w:rsid w:val="003F44E3"/>
    <w:rsid w:val="003F6119"/>
    <w:rsid w:val="00400086"/>
    <w:rsid w:val="004004B6"/>
    <w:rsid w:val="00401292"/>
    <w:rsid w:val="00401FB7"/>
    <w:rsid w:val="0040202A"/>
    <w:rsid w:val="00402611"/>
    <w:rsid w:val="00402DA1"/>
    <w:rsid w:val="00403D0C"/>
    <w:rsid w:val="00404206"/>
    <w:rsid w:val="00404685"/>
    <w:rsid w:val="00405455"/>
    <w:rsid w:val="004064BF"/>
    <w:rsid w:val="00407496"/>
    <w:rsid w:val="004104B3"/>
    <w:rsid w:val="0041160A"/>
    <w:rsid w:val="00412698"/>
    <w:rsid w:val="00412C03"/>
    <w:rsid w:val="004140A5"/>
    <w:rsid w:val="00414541"/>
    <w:rsid w:val="004145F3"/>
    <w:rsid w:val="00414834"/>
    <w:rsid w:val="00414E37"/>
    <w:rsid w:val="00414F27"/>
    <w:rsid w:val="0041598E"/>
    <w:rsid w:val="00416663"/>
    <w:rsid w:val="004200FB"/>
    <w:rsid w:val="00421E04"/>
    <w:rsid w:val="00422AF0"/>
    <w:rsid w:val="004253AD"/>
    <w:rsid w:val="00430A38"/>
    <w:rsid w:val="00430D5C"/>
    <w:rsid w:val="00433E92"/>
    <w:rsid w:val="0043429D"/>
    <w:rsid w:val="00436EEF"/>
    <w:rsid w:val="0044095B"/>
    <w:rsid w:val="00442027"/>
    <w:rsid w:val="004425FC"/>
    <w:rsid w:val="00444AC2"/>
    <w:rsid w:val="0044500E"/>
    <w:rsid w:val="00445670"/>
    <w:rsid w:val="004464AC"/>
    <w:rsid w:val="00446A0B"/>
    <w:rsid w:val="00447D59"/>
    <w:rsid w:val="00451692"/>
    <w:rsid w:val="004519FD"/>
    <w:rsid w:val="004526C2"/>
    <w:rsid w:val="00455008"/>
    <w:rsid w:val="0045516F"/>
    <w:rsid w:val="0045544E"/>
    <w:rsid w:val="00455B95"/>
    <w:rsid w:val="00455CF1"/>
    <w:rsid w:val="004569EB"/>
    <w:rsid w:val="004573B4"/>
    <w:rsid w:val="00457493"/>
    <w:rsid w:val="004646EA"/>
    <w:rsid w:val="00465CD6"/>
    <w:rsid w:val="00466630"/>
    <w:rsid w:val="004674E7"/>
    <w:rsid w:val="00467719"/>
    <w:rsid w:val="004678CC"/>
    <w:rsid w:val="00471861"/>
    <w:rsid w:val="0047268F"/>
    <w:rsid w:val="00472A73"/>
    <w:rsid w:val="00473105"/>
    <w:rsid w:val="0047496C"/>
    <w:rsid w:val="00474DE1"/>
    <w:rsid w:val="004759F6"/>
    <w:rsid w:val="00477B3C"/>
    <w:rsid w:val="004805B8"/>
    <w:rsid w:val="00482251"/>
    <w:rsid w:val="00482E2B"/>
    <w:rsid w:val="00483A1E"/>
    <w:rsid w:val="00484D20"/>
    <w:rsid w:val="004851C6"/>
    <w:rsid w:val="0048653E"/>
    <w:rsid w:val="00487485"/>
    <w:rsid w:val="00487AEE"/>
    <w:rsid w:val="00492FBE"/>
    <w:rsid w:val="004933BB"/>
    <w:rsid w:val="00493F4C"/>
    <w:rsid w:val="00496C30"/>
    <w:rsid w:val="00496ED2"/>
    <w:rsid w:val="00497036"/>
    <w:rsid w:val="00497219"/>
    <w:rsid w:val="004A0406"/>
    <w:rsid w:val="004A044F"/>
    <w:rsid w:val="004A08F5"/>
    <w:rsid w:val="004A2CD8"/>
    <w:rsid w:val="004A40A1"/>
    <w:rsid w:val="004A4AB4"/>
    <w:rsid w:val="004A4B76"/>
    <w:rsid w:val="004A4F86"/>
    <w:rsid w:val="004A5C6D"/>
    <w:rsid w:val="004A5D86"/>
    <w:rsid w:val="004A5FD6"/>
    <w:rsid w:val="004A6AB0"/>
    <w:rsid w:val="004B068B"/>
    <w:rsid w:val="004B086F"/>
    <w:rsid w:val="004B2105"/>
    <w:rsid w:val="004B5601"/>
    <w:rsid w:val="004B581D"/>
    <w:rsid w:val="004B6282"/>
    <w:rsid w:val="004B62FC"/>
    <w:rsid w:val="004B6B68"/>
    <w:rsid w:val="004B6C96"/>
    <w:rsid w:val="004C126F"/>
    <w:rsid w:val="004C227A"/>
    <w:rsid w:val="004C2F10"/>
    <w:rsid w:val="004C2F52"/>
    <w:rsid w:val="004C3049"/>
    <w:rsid w:val="004C3C03"/>
    <w:rsid w:val="004C410D"/>
    <w:rsid w:val="004C4B3B"/>
    <w:rsid w:val="004C5650"/>
    <w:rsid w:val="004C69E5"/>
    <w:rsid w:val="004D0559"/>
    <w:rsid w:val="004D05AC"/>
    <w:rsid w:val="004D16FE"/>
    <w:rsid w:val="004D21CF"/>
    <w:rsid w:val="004D2F12"/>
    <w:rsid w:val="004D4CDD"/>
    <w:rsid w:val="004D56F4"/>
    <w:rsid w:val="004D778B"/>
    <w:rsid w:val="004E010B"/>
    <w:rsid w:val="004E0A31"/>
    <w:rsid w:val="004E150B"/>
    <w:rsid w:val="004E2FD8"/>
    <w:rsid w:val="004E648E"/>
    <w:rsid w:val="004E76E8"/>
    <w:rsid w:val="004E7F78"/>
    <w:rsid w:val="004E7FFC"/>
    <w:rsid w:val="004F0035"/>
    <w:rsid w:val="004F28F2"/>
    <w:rsid w:val="004F2DE5"/>
    <w:rsid w:val="004F3A07"/>
    <w:rsid w:val="004F3CA1"/>
    <w:rsid w:val="004F3EC5"/>
    <w:rsid w:val="00500994"/>
    <w:rsid w:val="0050166B"/>
    <w:rsid w:val="005021BC"/>
    <w:rsid w:val="00502249"/>
    <w:rsid w:val="00503632"/>
    <w:rsid w:val="00505462"/>
    <w:rsid w:val="0051052A"/>
    <w:rsid w:val="00512148"/>
    <w:rsid w:val="00512898"/>
    <w:rsid w:val="005138C0"/>
    <w:rsid w:val="00517264"/>
    <w:rsid w:val="005173A4"/>
    <w:rsid w:val="00517536"/>
    <w:rsid w:val="00521AA7"/>
    <w:rsid w:val="00521F54"/>
    <w:rsid w:val="00523011"/>
    <w:rsid w:val="00523AF5"/>
    <w:rsid w:val="00524D2B"/>
    <w:rsid w:val="005254A5"/>
    <w:rsid w:val="005267D8"/>
    <w:rsid w:val="00526E5C"/>
    <w:rsid w:val="005337E1"/>
    <w:rsid w:val="00535180"/>
    <w:rsid w:val="00535462"/>
    <w:rsid w:val="0053550D"/>
    <w:rsid w:val="0053634A"/>
    <w:rsid w:val="005363B6"/>
    <w:rsid w:val="00536613"/>
    <w:rsid w:val="005368E5"/>
    <w:rsid w:val="00537311"/>
    <w:rsid w:val="00537B5E"/>
    <w:rsid w:val="00541403"/>
    <w:rsid w:val="00541413"/>
    <w:rsid w:val="005417D5"/>
    <w:rsid w:val="005420E0"/>
    <w:rsid w:val="005421DE"/>
    <w:rsid w:val="005434B2"/>
    <w:rsid w:val="00543F8B"/>
    <w:rsid w:val="00545220"/>
    <w:rsid w:val="005458C1"/>
    <w:rsid w:val="00546404"/>
    <w:rsid w:val="00547ED0"/>
    <w:rsid w:val="00547F9A"/>
    <w:rsid w:val="005505AA"/>
    <w:rsid w:val="00550E24"/>
    <w:rsid w:val="005516D1"/>
    <w:rsid w:val="00551982"/>
    <w:rsid w:val="00552B1D"/>
    <w:rsid w:val="0055306C"/>
    <w:rsid w:val="00553853"/>
    <w:rsid w:val="00554965"/>
    <w:rsid w:val="00556F73"/>
    <w:rsid w:val="00557AC2"/>
    <w:rsid w:val="00562AA1"/>
    <w:rsid w:val="00563405"/>
    <w:rsid w:val="00563E3A"/>
    <w:rsid w:val="00563E66"/>
    <w:rsid w:val="00564231"/>
    <w:rsid w:val="00564E19"/>
    <w:rsid w:val="0056522F"/>
    <w:rsid w:val="0056636F"/>
    <w:rsid w:val="0056655C"/>
    <w:rsid w:val="00566AB5"/>
    <w:rsid w:val="00566BE7"/>
    <w:rsid w:val="00567FD2"/>
    <w:rsid w:val="005706BA"/>
    <w:rsid w:val="00573493"/>
    <w:rsid w:val="005734D6"/>
    <w:rsid w:val="0057373E"/>
    <w:rsid w:val="00575EBC"/>
    <w:rsid w:val="005772EC"/>
    <w:rsid w:val="0057759F"/>
    <w:rsid w:val="00577B1A"/>
    <w:rsid w:val="00577B2F"/>
    <w:rsid w:val="005837F2"/>
    <w:rsid w:val="00583A2E"/>
    <w:rsid w:val="00584DA0"/>
    <w:rsid w:val="005855B7"/>
    <w:rsid w:val="00585843"/>
    <w:rsid w:val="00585ED5"/>
    <w:rsid w:val="005864F5"/>
    <w:rsid w:val="00587EA0"/>
    <w:rsid w:val="005904A9"/>
    <w:rsid w:val="005916CA"/>
    <w:rsid w:val="00591DFD"/>
    <w:rsid w:val="00592364"/>
    <w:rsid w:val="00592CED"/>
    <w:rsid w:val="00594592"/>
    <w:rsid w:val="00595320"/>
    <w:rsid w:val="0059649A"/>
    <w:rsid w:val="00596C1F"/>
    <w:rsid w:val="00597093"/>
    <w:rsid w:val="005979B5"/>
    <w:rsid w:val="005A194B"/>
    <w:rsid w:val="005A2A25"/>
    <w:rsid w:val="005A4474"/>
    <w:rsid w:val="005A4CD0"/>
    <w:rsid w:val="005A4DBC"/>
    <w:rsid w:val="005A5056"/>
    <w:rsid w:val="005A5E44"/>
    <w:rsid w:val="005A6061"/>
    <w:rsid w:val="005A61D3"/>
    <w:rsid w:val="005A62D1"/>
    <w:rsid w:val="005A63B0"/>
    <w:rsid w:val="005A6953"/>
    <w:rsid w:val="005A7997"/>
    <w:rsid w:val="005B0141"/>
    <w:rsid w:val="005B077C"/>
    <w:rsid w:val="005B0CAC"/>
    <w:rsid w:val="005B3450"/>
    <w:rsid w:val="005B4C7B"/>
    <w:rsid w:val="005B652E"/>
    <w:rsid w:val="005C0B21"/>
    <w:rsid w:val="005C14F1"/>
    <w:rsid w:val="005C1A1D"/>
    <w:rsid w:val="005C1EF7"/>
    <w:rsid w:val="005C1FCF"/>
    <w:rsid w:val="005C35CC"/>
    <w:rsid w:val="005C37B5"/>
    <w:rsid w:val="005C3E79"/>
    <w:rsid w:val="005C41CC"/>
    <w:rsid w:val="005C4363"/>
    <w:rsid w:val="005C44AB"/>
    <w:rsid w:val="005C4681"/>
    <w:rsid w:val="005C4B4D"/>
    <w:rsid w:val="005C74B1"/>
    <w:rsid w:val="005D09B0"/>
    <w:rsid w:val="005D3E29"/>
    <w:rsid w:val="005D4279"/>
    <w:rsid w:val="005D60D6"/>
    <w:rsid w:val="005D68A5"/>
    <w:rsid w:val="005D78C5"/>
    <w:rsid w:val="005E17D5"/>
    <w:rsid w:val="005E1E1C"/>
    <w:rsid w:val="005E2B00"/>
    <w:rsid w:val="005E31F8"/>
    <w:rsid w:val="005E383C"/>
    <w:rsid w:val="005E3DA3"/>
    <w:rsid w:val="005E3E9A"/>
    <w:rsid w:val="005E4217"/>
    <w:rsid w:val="005E42FB"/>
    <w:rsid w:val="005E43B2"/>
    <w:rsid w:val="005E4439"/>
    <w:rsid w:val="005E539F"/>
    <w:rsid w:val="005E5F8B"/>
    <w:rsid w:val="005E64A3"/>
    <w:rsid w:val="005E69FE"/>
    <w:rsid w:val="005F0A24"/>
    <w:rsid w:val="005F0AF7"/>
    <w:rsid w:val="005F2386"/>
    <w:rsid w:val="005F585E"/>
    <w:rsid w:val="005F6508"/>
    <w:rsid w:val="005F7FF4"/>
    <w:rsid w:val="00600186"/>
    <w:rsid w:val="006014A7"/>
    <w:rsid w:val="006021DD"/>
    <w:rsid w:val="00604770"/>
    <w:rsid w:val="00604BB4"/>
    <w:rsid w:val="00604FFD"/>
    <w:rsid w:val="00610CC1"/>
    <w:rsid w:val="00610E8A"/>
    <w:rsid w:val="00610FE9"/>
    <w:rsid w:val="00611126"/>
    <w:rsid w:val="0061157A"/>
    <w:rsid w:val="006128AD"/>
    <w:rsid w:val="00613ED4"/>
    <w:rsid w:val="00613F1D"/>
    <w:rsid w:val="00614918"/>
    <w:rsid w:val="00614B3E"/>
    <w:rsid w:val="00615C41"/>
    <w:rsid w:val="006175CB"/>
    <w:rsid w:val="006207B9"/>
    <w:rsid w:val="00620886"/>
    <w:rsid w:val="00622CBB"/>
    <w:rsid w:val="00623BE5"/>
    <w:rsid w:val="00623C95"/>
    <w:rsid w:val="00624148"/>
    <w:rsid w:val="0062429F"/>
    <w:rsid w:val="006249F8"/>
    <w:rsid w:val="00625BAE"/>
    <w:rsid w:val="00625F1D"/>
    <w:rsid w:val="00627030"/>
    <w:rsid w:val="006300F4"/>
    <w:rsid w:val="006306A6"/>
    <w:rsid w:val="0063092A"/>
    <w:rsid w:val="00633DAF"/>
    <w:rsid w:val="0063569E"/>
    <w:rsid w:val="006367EF"/>
    <w:rsid w:val="00636D46"/>
    <w:rsid w:val="00636F1A"/>
    <w:rsid w:val="00637848"/>
    <w:rsid w:val="006408FC"/>
    <w:rsid w:val="00641449"/>
    <w:rsid w:val="00641749"/>
    <w:rsid w:val="00641ED7"/>
    <w:rsid w:val="0064385B"/>
    <w:rsid w:val="006447C2"/>
    <w:rsid w:val="00644E2C"/>
    <w:rsid w:val="0064586A"/>
    <w:rsid w:val="0064696E"/>
    <w:rsid w:val="006473A4"/>
    <w:rsid w:val="00651071"/>
    <w:rsid w:val="0065110C"/>
    <w:rsid w:val="006512C6"/>
    <w:rsid w:val="0065141C"/>
    <w:rsid w:val="0065170B"/>
    <w:rsid w:val="00651741"/>
    <w:rsid w:val="00652390"/>
    <w:rsid w:val="00654DEA"/>
    <w:rsid w:val="00655816"/>
    <w:rsid w:val="00656C53"/>
    <w:rsid w:val="006574DB"/>
    <w:rsid w:val="00657A2B"/>
    <w:rsid w:val="00661A1A"/>
    <w:rsid w:val="00661D11"/>
    <w:rsid w:val="00661D36"/>
    <w:rsid w:val="00661DA6"/>
    <w:rsid w:val="00663948"/>
    <w:rsid w:val="0066409A"/>
    <w:rsid w:val="006659BF"/>
    <w:rsid w:val="006663A5"/>
    <w:rsid w:val="00666B81"/>
    <w:rsid w:val="0066733F"/>
    <w:rsid w:val="006673EC"/>
    <w:rsid w:val="00670E57"/>
    <w:rsid w:val="0067177A"/>
    <w:rsid w:val="00674C2B"/>
    <w:rsid w:val="006773A8"/>
    <w:rsid w:val="006774A1"/>
    <w:rsid w:val="00677B7C"/>
    <w:rsid w:val="006804FF"/>
    <w:rsid w:val="00681162"/>
    <w:rsid w:val="00681285"/>
    <w:rsid w:val="00682502"/>
    <w:rsid w:val="00685463"/>
    <w:rsid w:val="0068552A"/>
    <w:rsid w:val="00685A62"/>
    <w:rsid w:val="0068684B"/>
    <w:rsid w:val="0068692C"/>
    <w:rsid w:val="0068704B"/>
    <w:rsid w:val="00687DFD"/>
    <w:rsid w:val="006902C0"/>
    <w:rsid w:val="00692540"/>
    <w:rsid w:val="00692720"/>
    <w:rsid w:val="006931FF"/>
    <w:rsid w:val="00693913"/>
    <w:rsid w:val="00693EBD"/>
    <w:rsid w:val="00694B5E"/>
    <w:rsid w:val="0069623E"/>
    <w:rsid w:val="00697243"/>
    <w:rsid w:val="00697CAE"/>
    <w:rsid w:val="006A0A6F"/>
    <w:rsid w:val="006A21AB"/>
    <w:rsid w:val="006A2C36"/>
    <w:rsid w:val="006A3444"/>
    <w:rsid w:val="006A4230"/>
    <w:rsid w:val="006A4BCE"/>
    <w:rsid w:val="006A57B8"/>
    <w:rsid w:val="006A6038"/>
    <w:rsid w:val="006A7B81"/>
    <w:rsid w:val="006B05DD"/>
    <w:rsid w:val="006B0E48"/>
    <w:rsid w:val="006B1FAD"/>
    <w:rsid w:val="006B347A"/>
    <w:rsid w:val="006B421C"/>
    <w:rsid w:val="006B4837"/>
    <w:rsid w:val="006B511A"/>
    <w:rsid w:val="006B6A98"/>
    <w:rsid w:val="006B6CC6"/>
    <w:rsid w:val="006B6DBC"/>
    <w:rsid w:val="006B6EA1"/>
    <w:rsid w:val="006B7196"/>
    <w:rsid w:val="006C07BF"/>
    <w:rsid w:val="006C14B1"/>
    <w:rsid w:val="006C1644"/>
    <w:rsid w:val="006C25B3"/>
    <w:rsid w:val="006C27D3"/>
    <w:rsid w:val="006C429F"/>
    <w:rsid w:val="006C45C3"/>
    <w:rsid w:val="006C53EE"/>
    <w:rsid w:val="006C5736"/>
    <w:rsid w:val="006C691B"/>
    <w:rsid w:val="006C762E"/>
    <w:rsid w:val="006D0C60"/>
    <w:rsid w:val="006D0D50"/>
    <w:rsid w:val="006D1475"/>
    <w:rsid w:val="006D229D"/>
    <w:rsid w:val="006D42D3"/>
    <w:rsid w:val="006D43D0"/>
    <w:rsid w:val="006D4682"/>
    <w:rsid w:val="006D59C0"/>
    <w:rsid w:val="006D5FC3"/>
    <w:rsid w:val="006D6F1F"/>
    <w:rsid w:val="006D7247"/>
    <w:rsid w:val="006E04C5"/>
    <w:rsid w:val="006E13CB"/>
    <w:rsid w:val="006E211A"/>
    <w:rsid w:val="006E25C8"/>
    <w:rsid w:val="006E2973"/>
    <w:rsid w:val="006E2E65"/>
    <w:rsid w:val="006E3DCE"/>
    <w:rsid w:val="006E3F53"/>
    <w:rsid w:val="006E548A"/>
    <w:rsid w:val="006E5E25"/>
    <w:rsid w:val="006E65F5"/>
    <w:rsid w:val="006E67C3"/>
    <w:rsid w:val="006E74FB"/>
    <w:rsid w:val="006E7691"/>
    <w:rsid w:val="006F157A"/>
    <w:rsid w:val="006F1613"/>
    <w:rsid w:val="006F17E2"/>
    <w:rsid w:val="006F19BF"/>
    <w:rsid w:val="006F3D5B"/>
    <w:rsid w:val="006F4F9A"/>
    <w:rsid w:val="006F6A29"/>
    <w:rsid w:val="006F7F1B"/>
    <w:rsid w:val="00700720"/>
    <w:rsid w:val="00703414"/>
    <w:rsid w:val="00704ADC"/>
    <w:rsid w:val="00705825"/>
    <w:rsid w:val="00706223"/>
    <w:rsid w:val="007063A9"/>
    <w:rsid w:val="00707328"/>
    <w:rsid w:val="007103C3"/>
    <w:rsid w:val="007106EC"/>
    <w:rsid w:val="00710A77"/>
    <w:rsid w:val="00711226"/>
    <w:rsid w:val="00712362"/>
    <w:rsid w:val="007139F3"/>
    <w:rsid w:val="00717EA0"/>
    <w:rsid w:val="00720EF5"/>
    <w:rsid w:val="00723C24"/>
    <w:rsid w:val="00724030"/>
    <w:rsid w:val="00725B29"/>
    <w:rsid w:val="00725C13"/>
    <w:rsid w:val="00725FC9"/>
    <w:rsid w:val="007266F4"/>
    <w:rsid w:val="007302D5"/>
    <w:rsid w:val="0073169B"/>
    <w:rsid w:val="00732AAD"/>
    <w:rsid w:val="0073357C"/>
    <w:rsid w:val="007341AE"/>
    <w:rsid w:val="00734A43"/>
    <w:rsid w:val="00734F26"/>
    <w:rsid w:val="00735E07"/>
    <w:rsid w:val="007377FA"/>
    <w:rsid w:val="00740E04"/>
    <w:rsid w:val="00741457"/>
    <w:rsid w:val="00741BAF"/>
    <w:rsid w:val="00742BA7"/>
    <w:rsid w:val="007440A3"/>
    <w:rsid w:val="0074446D"/>
    <w:rsid w:val="00747D12"/>
    <w:rsid w:val="0075145F"/>
    <w:rsid w:val="00752FBF"/>
    <w:rsid w:val="00753949"/>
    <w:rsid w:val="00754863"/>
    <w:rsid w:val="007549E9"/>
    <w:rsid w:val="00754ACB"/>
    <w:rsid w:val="00755B2D"/>
    <w:rsid w:val="007575B8"/>
    <w:rsid w:val="00761051"/>
    <w:rsid w:val="00761419"/>
    <w:rsid w:val="00762D56"/>
    <w:rsid w:val="007639A4"/>
    <w:rsid w:val="007652CD"/>
    <w:rsid w:val="007657E5"/>
    <w:rsid w:val="00766031"/>
    <w:rsid w:val="00767E98"/>
    <w:rsid w:val="007711F9"/>
    <w:rsid w:val="007713F8"/>
    <w:rsid w:val="00771654"/>
    <w:rsid w:val="00773A7E"/>
    <w:rsid w:val="00774D68"/>
    <w:rsid w:val="00777D77"/>
    <w:rsid w:val="0078083B"/>
    <w:rsid w:val="0078096C"/>
    <w:rsid w:val="007817EB"/>
    <w:rsid w:val="00781CA0"/>
    <w:rsid w:val="00782D4E"/>
    <w:rsid w:val="00783945"/>
    <w:rsid w:val="007847D1"/>
    <w:rsid w:val="00785840"/>
    <w:rsid w:val="007879AF"/>
    <w:rsid w:val="00787F7A"/>
    <w:rsid w:val="00790881"/>
    <w:rsid w:val="00790BDB"/>
    <w:rsid w:val="0079319E"/>
    <w:rsid w:val="00794D4D"/>
    <w:rsid w:val="00794D96"/>
    <w:rsid w:val="0079508D"/>
    <w:rsid w:val="00795A44"/>
    <w:rsid w:val="0079681A"/>
    <w:rsid w:val="007968E7"/>
    <w:rsid w:val="00796CFF"/>
    <w:rsid w:val="00797778"/>
    <w:rsid w:val="00797F56"/>
    <w:rsid w:val="007A0EC5"/>
    <w:rsid w:val="007A3589"/>
    <w:rsid w:val="007A3D17"/>
    <w:rsid w:val="007A4309"/>
    <w:rsid w:val="007A563F"/>
    <w:rsid w:val="007A58DC"/>
    <w:rsid w:val="007A6807"/>
    <w:rsid w:val="007B0473"/>
    <w:rsid w:val="007B1186"/>
    <w:rsid w:val="007B15E3"/>
    <w:rsid w:val="007B1DA2"/>
    <w:rsid w:val="007B1EB5"/>
    <w:rsid w:val="007B2F27"/>
    <w:rsid w:val="007B3EF0"/>
    <w:rsid w:val="007B4352"/>
    <w:rsid w:val="007B4B24"/>
    <w:rsid w:val="007B4BF9"/>
    <w:rsid w:val="007B506D"/>
    <w:rsid w:val="007B6B8C"/>
    <w:rsid w:val="007C046D"/>
    <w:rsid w:val="007C1210"/>
    <w:rsid w:val="007C2BF8"/>
    <w:rsid w:val="007C3534"/>
    <w:rsid w:val="007C4997"/>
    <w:rsid w:val="007C54FB"/>
    <w:rsid w:val="007C5D58"/>
    <w:rsid w:val="007C7D54"/>
    <w:rsid w:val="007D1199"/>
    <w:rsid w:val="007D20E4"/>
    <w:rsid w:val="007D2968"/>
    <w:rsid w:val="007D2B8E"/>
    <w:rsid w:val="007D34A1"/>
    <w:rsid w:val="007D4215"/>
    <w:rsid w:val="007D45BF"/>
    <w:rsid w:val="007D6CF5"/>
    <w:rsid w:val="007D731B"/>
    <w:rsid w:val="007D75D1"/>
    <w:rsid w:val="007D7730"/>
    <w:rsid w:val="007D784C"/>
    <w:rsid w:val="007D7B1E"/>
    <w:rsid w:val="007E0B3F"/>
    <w:rsid w:val="007E0F38"/>
    <w:rsid w:val="007E1126"/>
    <w:rsid w:val="007E22D5"/>
    <w:rsid w:val="007E2998"/>
    <w:rsid w:val="007E409E"/>
    <w:rsid w:val="007E55D2"/>
    <w:rsid w:val="007E60FD"/>
    <w:rsid w:val="007E725B"/>
    <w:rsid w:val="007E7B47"/>
    <w:rsid w:val="007F0DCE"/>
    <w:rsid w:val="007F3D7D"/>
    <w:rsid w:val="007F414F"/>
    <w:rsid w:val="007F49D7"/>
    <w:rsid w:val="007F612D"/>
    <w:rsid w:val="007F6B41"/>
    <w:rsid w:val="007F6F74"/>
    <w:rsid w:val="007F7C54"/>
    <w:rsid w:val="00801D61"/>
    <w:rsid w:val="00801FA0"/>
    <w:rsid w:val="008044BB"/>
    <w:rsid w:val="008064BE"/>
    <w:rsid w:val="00812EC1"/>
    <w:rsid w:val="0081318D"/>
    <w:rsid w:val="00813976"/>
    <w:rsid w:val="00815738"/>
    <w:rsid w:val="00815BA4"/>
    <w:rsid w:val="00816A98"/>
    <w:rsid w:val="00817B77"/>
    <w:rsid w:val="00817E19"/>
    <w:rsid w:val="008205DB"/>
    <w:rsid w:val="00822819"/>
    <w:rsid w:val="00823526"/>
    <w:rsid w:val="008245EE"/>
    <w:rsid w:val="00825162"/>
    <w:rsid w:val="00825E0C"/>
    <w:rsid w:val="00826493"/>
    <w:rsid w:val="0082653B"/>
    <w:rsid w:val="008265C4"/>
    <w:rsid w:val="00827D37"/>
    <w:rsid w:val="00830046"/>
    <w:rsid w:val="0083162A"/>
    <w:rsid w:val="00831E5C"/>
    <w:rsid w:val="008341B4"/>
    <w:rsid w:val="00834B46"/>
    <w:rsid w:val="00835580"/>
    <w:rsid w:val="00835B94"/>
    <w:rsid w:val="00836E02"/>
    <w:rsid w:val="00836E10"/>
    <w:rsid w:val="0083700B"/>
    <w:rsid w:val="0084062E"/>
    <w:rsid w:val="008423E0"/>
    <w:rsid w:val="00842745"/>
    <w:rsid w:val="00843756"/>
    <w:rsid w:val="00843BEF"/>
    <w:rsid w:val="00844139"/>
    <w:rsid w:val="00844A7D"/>
    <w:rsid w:val="0085099D"/>
    <w:rsid w:val="00850E59"/>
    <w:rsid w:val="00850EA8"/>
    <w:rsid w:val="0085220D"/>
    <w:rsid w:val="00856C61"/>
    <w:rsid w:val="00857630"/>
    <w:rsid w:val="00860CE4"/>
    <w:rsid w:val="008619CD"/>
    <w:rsid w:val="00861C7E"/>
    <w:rsid w:val="00862EF1"/>
    <w:rsid w:val="0086330F"/>
    <w:rsid w:val="00864BD8"/>
    <w:rsid w:val="00865602"/>
    <w:rsid w:val="00865737"/>
    <w:rsid w:val="008657CC"/>
    <w:rsid w:val="00865FCF"/>
    <w:rsid w:val="00870478"/>
    <w:rsid w:val="00871491"/>
    <w:rsid w:val="00871B29"/>
    <w:rsid w:val="00871FFD"/>
    <w:rsid w:val="0087288A"/>
    <w:rsid w:val="00872A8B"/>
    <w:rsid w:val="00875380"/>
    <w:rsid w:val="008758C7"/>
    <w:rsid w:val="00875A22"/>
    <w:rsid w:val="008766CD"/>
    <w:rsid w:val="0087755B"/>
    <w:rsid w:val="0087772C"/>
    <w:rsid w:val="00881FE0"/>
    <w:rsid w:val="00883519"/>
    <w:rsid w:val="008842E3"/>
    <w:rsid w:val="00884FCD"/>
    <w:rsid w:val="00885F52"/>
    <w:rsid w:val="00886650"/>
    <w:rsid w:val="00886F42"/>
    <w:rsid w:val="00886FA5"/>
    <w:rsid w:val="00887C17"/>
    <w:rsid w:val="008917AC"/>
    <w:rsid w:val="00891A7C"/>
    <w:rsid w:val="008924DD"/>
    <w:rsid w:val="00892792"/>
    <w:rsid w:val="008929D4"/>
    <w:rsid w:val="00893862"/>
    <w:rsid w:val="00894ACB"/>
    <w:rsid w:val="00894C74"/>
    <w:rsid w:val="00894C7D"/>
    <w:rsid w:val="008953AC"/>
    <w:rsid w:val="00895627"/>
    <w:rsid w:val="00895921"/>
    <w:rsid w:val="00895F50"/>
    <w:rsid w:val="008962DC"/>
    <w:rsid w:val="0089713E"/>
    <w:rsid w:val="008A07D4"/>
    <w:rsid w:val="008A0969"/>
    <w:rsid w:val="008A0FB1"/>
    <w:rsid w:val="008A2766"/>
    <w:rsid w:val="008A45D7"/>
    <w:rsid w:val="008A4CEE"/>
    <w:rsid w:val="008A6AF1"/>
    <w:rsid w:val="008A6D8B"/>
    <w:rsid w:val="008A7E24"/>
    <w:rsid w:val="008B3347"/>
    <w:rsid w:val="008B3669"/>
    <w:rsid w:val="008B377B"/>
    <w:rsid w:val="008B458D"/>
    <w:rsid w:val="008B45C7"/>
    <w:rsid w:val="008B49B4"/>
    <w:rsid w:val="008B7468"/>
    <w:rsid w:val="008B748E"/>
    <w:rsid w:val="008C215C"/>
    <w:rsid w:val="008C2A2A"/>
    <w:rsid w:val="008C4E1E"/>
    <w:rsid w:val="008C7076"/>
    <w:rsid w:val="008D10C2"/>
    <w:rsid w:val="008D36DC"/>
    <w:rsid w:val="008D39C0"/>
    <w:rsid w:val="008D41BD"/>
    <w:rsid w:val="008D4C7D"/>
    <w:rsid w:val="008D5270"/>
    <w:rsid w:val="008D5DEA"/>
    <w:rsid w:val="008D6779"/>
    <w:rsid w:val="008D73CB"/>
    <w:rsid w:val="008D76DE"/>
    <w:rsid w:val="008E02D5"/>
    <w:rsid w:val="008E0318"/>
    <w:rsid w:val="008E08DB"/>
    <w:rsid w:val="008E199E"/>
    <w:rsid w:val="008E1B7C"/>
    <w:rsid w:val="008E2DDC"/>
    <w:rsid w:val="008E3576"/>
    <w:rsid w:val="008E484D"/>
    <w:rsid w:val="008E58C1"/>
    <w:rsid w:val="008E6DF5"/>
    <w:rsid w:val="008E7198"/>
    <w:rsid w:val="008E7432"/>
    <w:rsid w:val="008F0039"/>
    <w:rsid w:val="008F07FC"/>
    <w:rsid w:val="008F0A37"/>
    <w:rsid w:val="008F1243"/>
    <w:rsid w:val="008F1724"/>
    <w:rsid w:val="008F237D"/>
    <w:rsid w:val="008F2567"/>
    <w:rsid w:val="008F2A63"/>
    <w:rsid w:val="008F307E"/>
    <w:rsid w:val="008F3414"/>
    <w:rsid w:val="008F3439"/>
    <w:rsid w:val="008F3526"/>
    <w:rsid w:val="008F48AA"/>
    <w:rsid w:val="008F5361"/>
    <w:rsid w:val="008F59D9"/>
    <w:rsid w:val="008F59E2"/>
    <w:rsid w:val="008F5DF9"/>
    <w:rsid w:val="009043B3"/>
    <w:rsid w:val="009048A4"/>
    <w:rsid w:val="00904A6A"/>
    <w:rsid w:val="009055C0"/>
    <w:rsid w:val="009059BF"/>
    <w:rsid w:val="00905D55"/>
    <w:rsid w:val="009069B7"/>
    <w:rsid w:val="00906CF0"/>
    <w:rsid w:val="00907689"/>
    <w:rsid w:val="00907C07"/>
    <w:rsid w:val="00911FF8"/>
    <w:rsid w:val="009129AC"/>
    <w:rsid w:val="00912B36"/>
    <w:rsid w:val="00912CF7"/>
    <w:rsid w:val="00913AF8"/>
    <w:rsid w:val="00914F52"/>
    <w:rsid w:val="00915102"/>
    <w:rsid w:val="00916749"/>
    <w:rsid w:val="00916AEE"/>
    <w:rsid w:val="00917168"/>
    <w:rsid w:val="0091763E"/>
    <w:rsid w:val="009201EC"/>
    <w:rsid w:val="00920442"/>
    <w:rsid w:val="00920B66"/>
    <w:rsid w:val="009236A0"/>
    <w:rsid w:val="00924C42"/>
    <w:rsid w:val="00924D05"/>
    <w:rsid w:val="00926043"/>
    <w:rsid w:val="00926692"/>
    <w:rsid w:val="00926B7F"/>
    <w:rsid w:val="00926EDA"/>
    <w:rsid w:val="0093169E"/>
    <w:rsid w:val="00931C5B"/>
    <w:rsid w:val="00931F5C"/>
    <w:rsid w:val="00931F99"/>
    <w:rsid w:val="0093225D"/>
    <w:rsid w:val="00933A6F"/>
    <w:rsid w:val="00933E8C"/>
    <w:rsid w:val="00933F21"/>
    <w:rsid w:val="00934315"/>
    <w:rsid w:val="0093485A"/>
    <w:rsid w:val="009352DD"/>
    <w:rsid w:val="00935F50"/>
    <w:rsid w:val="00940735"/>
    <w:rsid w:val="00941042"/>
    <w:rsid w:val="00943188"/>
    <w:rsid w:val="00943BFD"/>
    <w:rsid w:val="00944680"/>
    <w:rsid w:val="00945C2C"/>
    <w:rsid w:val="00947507"/>
    <w:rsid w:val="00947E1B"/>
    <w:rsid w:val="009510C1"/>
    <w:rsid w:val="00951C73"/>
    <w:rsid w:val="009520CF"/>
    <w:rsid w:val="0095443A"/>
    <w:rsid w:val="00954D4E"/>
    <w:rsid w:val="0095592B"/>
    <w:rsid w:val="00955B07"/>
    <w:rsid w:val="0095611B"/>
    <w:rsid w:val="0095620A"/>
    <w:rsid w:val="009563D0"/>
    <w:rsid w:val="0096006B"/>
    <w:rsid w:val="00960FEC"/>
    <w:rsid w:val="00961D5A"/>
    <w:rsid w:val="009621E7"/>
    <w:rsid w:val="009623E3"/>
    <w:rsid w:val="009627AC"/>
    <w:rsid w:val="00963A8D"/>
    <w:rsid w:val="00963DDB"/>
    <w:rsid w:val="00964BEF"/>
    <w:rsid w:val="00965ACD"/>
    <w:rsid w:val="00965D72"/>
    <w:rsid w:val="00965DCF"/>
    <w:rsid w:val="009661BD"/>
    <w:rsid w:val="00966DFC"/>
    <w:rsid w:val="009713B9"/>
    <w:rsid w:val="00971750"/>
    <w:rsid w:val="00971D01"/>
    <w:rsid w:val="00972024"/>
    <w:rsid w:val="00972B55"/>
    <w:rsid w:val="00972FF9"/>
    <w:rsid w:val="009740E6"/>
    <w:rsid w:val="00974D64"/>
    <w:rsid w:val="009824AA"/>
    <w:rsid w:val="0098294D"/>
    <w:rsid w:val="009838EC"/>
    <w:rsid w:val="00984C37"/>
    <w:rsid w:val="009853FB"/>
    <w:rsid w:val="00986140"/>
    <w:rsid w:val="00986999"/>
    <w:rsid w:val="00990C48"/>
    <w:rsid w:val="00993A39"/>
    <w:rsid w:val="00994348"/>
    <w:rsid w:val="0099507D"/>
    <w:rsid w:val="00996695"/>
    <w:rsid w:val="00996BE1"/>
    <w:rsid w:val="00997965"/>
    <w:rsid w:val="00997E85"/>
    <w:rsid w:val="009A1071"/>
    <w:rsid w:val="009A1ABC"/>
    <w:rsid w:val="009A1DAB"/>
    <w:rsid w:val="009A22CF"/>
    <w:rsid w:val="009A35C8"/>
    <w:rsid w:val="009A3E5B"/>
    <w:rsid w:val="009A6308"/>
    <w:rsid w:val="009A6770"/>
    <w:rsid w:val="009A7AB8"/>
    <w:rsid w:val="009B01DE"/>
    <w:rsid w:val="009B09F1"/>
    <w:rsid w:val="009B0E2E"/>
    <w:rsid w:val="009B175E"/>
    <w:rsid w:val="009B2AD4"/>
    <w:rsid w:val="009B2C18"/>
    <w:rsid w:val="009B2E81"/>
    <w:rsid w:val="009B3095"/>
    <w:rsid w:val="009C0939"/>
    <w:rsid w:val="009C31CC"/>
    <w:rsid w:val="009C67FE"/>
    <w:rsid w:val="009C72F0"/>
    <w:rsid w:val="009C73D0"/>
    <w:rsid w:val="009C7473"/>
    <w:rsid w:val="009D0D46"/>
    <w:rsid w:val="009D1E6C"/>
    <w:rsid w:val="009D441E"/>
    <w:rsid w:val="009D6100"/>
    <w:rsid w:val="009D6F8D"/>
    <w:rsid w:val="009D7025"/>
    <w:rsid w:val="009E023C"/>
    <w:rsid w:val="009E1B13"/>
    <w:rsid w:val="009E271E"/>
    <w:rsid w:val="009E2768"/>
    <w:rsid w:val="009E3055"/>
    <w:rsid w:val="009E3D29"/>
    <w:rsid w:val="009E428A"/>
    <w:rsid w:val="009E4472"/>
    <w:rsid w:val="009E45E3"/>
    <w:rsid w:val="009F07DF"/>
    <w:rsid w:val="009F09B6"/>
    <w:rsid w:val="009F12B8"/>
    <w:rsid w:val="009F24D5"/>
    <w:rsid w:val="009F3AAF"/>
    <w:rsid w:val="009F44D2"/>
    <w:rsid w:val="009F4512"/>
    <w:rsid w:val="009F4D1E"/>
    <w:rsid w:val="009F550B"/>
    <w:rsid w:val="009F597B"/>
    <w:rsid w:val="009F7AAE"/>
    <w:rsid w:val="00A0052B"/>
    <w:rsid w:val="00A0079A"/>
    <w:rsid w:val="00A01999"/>
    <w:rsid w:val="00A02590"/>
    <w:rsid w:val="00A02D27"/>
    <w:rsid w:val="00A02E46"/>
    <w:rsid w:val="00A034F7"/>
    <w:rsid w:val="00A03DE6"/>
    <w:rsid w:val="00A054D5"/>
    <w:rsid w:val="00A06453"/>
    <w:rsid w:val="00A06641"/>
    <w:rsid w:val="00A0716F"/>
    <w:rsid w:val="00A1080B"/>
    <w:rsid w:val="00A10BE7"/>
    <w:rsid w:val="00A10F0A"/>
    <w:rsid w:val="00A11571"/>
    <w:rsid w:val="00A12FA9"/>
    <w:rsid w:val="00A140D5"/>
    <w:rsid w:val="00A14965"/>
    <w:rsid w:val="00A20A85"/>
    <w:rsid w:val="00A22183"/>
    <w:rsid w:val="00A2367C"/>
    <w:rsid w:val="00A276F6"/>
    <w:rsid w:val="00A27DF7"/>
    <w:rsid w:val="00A309A1"/>
    <w:rsid w:val="00A31BC9"/>
    <w:rsid w:val="00A31C12"/>
    <w:rsid w:val="00A32E71"/>
    <w:rsid w:val="00A32F10"/>
    <w:rsid w:val="00A33026"/>
    <w:rsid w:val="00A3338F"/>
    <w:rsid w:val="00A346D1"/>
    <w:rsid w:val="00A357DA"/>
    <w:rsid w:val="00A358D8"/>
    <w:rsid w:val="00A36C8D"/>
    <w:rsid w:val="00A37F72"/>
    <w:rsid w:val="00A40856"/>
    <w:rsid w:val="00A4126F"/>
    <w:rsid w:val="00A412A6"/>
    <w:rsid w:val="00A41E1B"/>
    <w:rsid w:val="00A42247"/>
    <w:rsid w:val="00A42AB3"/>
    <w:rsid w:val="00A4329E"/>
    <w:rsid w:val="00A447DB"/>
    <w:rsid w:val="00A454B8"/>
    <w:rsid w:val="00A45834"/>
    <w:rsid w:val="00A45F88"/>
    <w:rsid w:val="00A46420"/>
    <w:rsid w:val="00A46CAE"/>
    <w:rsid w:val="00A47642"/>
    <w:rsid w:val="00A501E2"/>
    <w:rsid w:val="00A50C28"/>
    <w:rsid w:val="00A5249A"/>
    <w:rsid w:val="00A527EC"/>
    <w:rsid w:val="00A52807"/>
    <w:rsid w:val="00A52FA7"/>
    <w:rsid w:val="00A5442C"/>
    <w:rsid w:val="00A55AA3"/>
    <w:rsid w:val="00A56F26"/>
    <w:rsid w:val="00A57E95"/>
    <w:rsid w:val="00A61A42"/>
    <w:rsid w:val="00A61B0B"/>
    <w:rsid w:val="00A6205E"/>
    <w:rsid w:val="00A6226F"/>
    <w:rsid w:val="00A632E4"/>
    <w:rsid w:val="00A641A3"/>
    <w:rsid w:val="00A67A0B"/>
    <w:rsid w:val="00A67C06"/>
    <w:rsid w:val="00A717CF"/>
    <w:rsid w:val="00A71877"/>
    <w:rsid w:val="00A720D0"/>
    <w:rsid w:val="00A723E9"/>
    <w:rsid w:val="00A725AA"/>
    <w:rsid w:val="00A7274A"/>
    <w:rsid w:val="00A751B8"/>
    <w:rsid w:val="00A76879"/>
    <w:rsid w:val="00A76EA6"/>
    <w:rsid w:val="00A77110"/>
    <w:rsid w:val="00A8044B"/>
    <w:rsid w:val="00A80C7E"/>
    <w:rsid w:val="00A81889"/>
    <w:rsid w:val="00A81BFE"/>
    <w:rsid w:val="00A84992"/>
    <w:rsid w:val="00A84E99"/>
    <w:rsid w:val="00A84F72"/>
    <w:rsid w:val="00A8503A"/>
    <w:rsid w:val="00A85669"/>
    <w:rsid w:val="00A85BE4"/>
    <w:rsid w:val="00A86FC3"/>
    <w:rsid w:val="00A90659"/>
    <w:rsid w:val="00A92CA3"/>
    <w:rsid w:val="00A94363"/>
    <w:rsid w:val="00A9449E"/>
    <w:rsid w:val="00A95F44"/>
    <w:rsid w:val="00A964E0"/>
    <w:rsid w:val="00AA0092"/>
    <w:rsid w:val="00AA0390"/>
    <w:rsid w:val="00AA1EE9"/>
    <w:rsid w:val="00AA2524"/>
    <w:rsid w:val="00AA3AC7"/>
    <w:rsid w:val="00AA3BEA"/>
    <w:rsid w:val="00AA44F8"/>
    <w:rsid w:val="00AA459F"/>
    <w:rsid w:val="00AA4B46"/>
    <w:rsid w:val="00AA569B"/>
    <w:rsid w:val="00AA600E"/>
    <w:rsid w:val="00AB0218"/>
    <w:rsid w:val="00AB1BFE"/>
    <w:rsid w:val="00AB20E6"/>
    <w:rsid w:val="00AB2342"/>
    <w:rsid w:val="00AB311F"/>
    <w:rsid w:val="00AB3ED2"/>
    <w:rsid w:val="00AB3F69"/>
    <w:rsid w:val="00AB5DCE"/>
    <w:rsid w:val="00AB6889"/>
    <w:rsid w:val="00AC0020"/>
    <w:rsid w:val="00AC010D"/>
    <w:rsid w:val="00AC0AF8"/>
    <w:rsid w:val="00AC1EA2"/>
    <w:rsid w:val="00AC302F"/>
    <w:rsid w:val="00AC5643"/>
    <w:rsid w:val="00AC608B"/>
    <w:rsid w:val="00AC6A56"/>
    <w:rsid w:val="00AC6AF8"/>
    <w:rsid w:val="00AC6F92"/>
    <w:rsid w:val="00AC7B1C"/>
    <w:rsid w:val="00AD0229"/>
    <w:rsid w:val="00AD588D"/>
    <w:rsid w:val="00AD5B49"/>
    <w:rsid w:val="00AD6D4F"/>
    <w:rsid w:val="00AD6E46"/>
    <w:rsid w:val="00AD79F4"/>
    <w:rsid w:val="00AE077D"/>
    <w:rsid w:val="00AE14A7"/>
    <w:rsid w:val="00AE4B7A"/>
    <w:rsid w:val="00AE57EC"/>
    <w:rsid w:val="00AE5B7D"/>
    <w:rsid w:val="00AE6CF6"/>
    <w:rsid w:val="00AF0BE9"/>
    <w:rsid w:val="00AF128B"/>
    <w:rsid w:val="00AF2A19"/>
    <w:rsid w:val="00AF2D90"/>
    <w:rsid w:val="00AF4B69"/>
    <w:rsid w:val="00AF4D0F"/>
    <w:rsid w:val="00AF62DD"/>
    <w:rsid w:val="00AF6D4E"/>
    <w:rsid w:val="00AF792C"/>
    <w:rsid w:val="00B0025B"/>
    <w:rsid w:val="00B00E53"/>
    <w:rsid w:val="00B01E14"/>
    <w:rsid w:val="00B020F2"/>
    <w:rsid w:val="00B04593"/>
    <w:rsid w:val="00B063AB"/>
    <w:rsid w:val="00B0672F"/>
    <w:rsid w:val="00B0749F"/>
    <w:rsid w:val="00B07D98"/>
    <w:rsid w:val="00B12128"/>
    <w:rsid w:val="00B123E5"/>
    <w:rsid w:val="00B17244"/>
    <w:rsid w:val="00B17530"/>
    <w:rsid w:val="00B2192D"/>
    <w:rsid w:val="00B22550"/>
    <w:rsid w:val="00B24601"/>
    <w:rsid w:val="00B261DD"/>
    <w:rsid w:val="00B2668C"/>
    <w:rsid w:val="00B3004A"/>
    <w:rsid w:val="00B32B3C"/>
    <w:rsid w:val="00B338B7"/>
    <w:rsid w:val="00B359DA"/>
    <w:rsid w:val="00B36EB8"/>
    <w:rsid w:val="00B3725D"/>
    <w:rsid w:val="00B40292"/>
    <w:rsid w:val="00B41303"/>
    <w:rsid w:val="00B41950"/>
    <w:rsid w:val="00B425E0"/>
    <w:rsid w:val="00B42BDB"/>
    <w:rsid w:val="00B46D23"/>
    <w:rsid w:val="00B46F37"/>
    <w:rsid w:val="00B47178"/>
    <w:rsid w:val="00B4771B"/>
    <w:rsid w:val="00B478D5"/>
    <w:rsid w:val="00B47ECE"/>
    <w:rsid w:val="00B51E09"/>
    <w:rsid w:val="00B52095"/>
    <w:rsid w:val="00B522BF"/>
    <w:rsid w:val="00B53551"/>
    <w:rsid w:val="00B5482C"/>
    <w:rsid w:val="00B55D47"/>
    <w:rsid w:val="00B6063B"/>
    <w:rsid w:val="00B60B9E"/>
    <w:rsid w:val="00B621CE"/>
    <w:rsid w:val="00B6289D"/>
    <w:rsid w:val="00B628AD"/>
    <w:rsid w:val="00B62D01"/>
    <w:rsid w:val="00B63744"/>
    <w:rsid w:val="00B64A2E"/>
    <w:rsid w:val="00B64D1E"/>
    <w:rsid w:val="00B652A9"/>
    <w:rsid w:val="00B652F7"/>
    <w:rsid w:val="00B6543B"/>
    <w:rsid w:val="00B654D6"/>
    <w:rsid w:val="00B65A46"/>
    <w:rsid w:val="00B65EF2"/>
    <w:rsid w:val="00B670E3"/>
    <w:rsid w:val="00B6735D"/>
    <w:rsid w:val="00B67656"/>
    <w:rsid w:val="00B67734"/>
    <w:rsid w:val="00B67A92"/>
    <w:rsid w:val="00B705BF"/>
    <w:rsid w:val="00B707CE"/>
    <w:rsid w:val="00B70D59"/>
    <w:rsid w:val="00B7109E"/>
    <w:rsid w:val="00B7129A"/>
    <w:rsid w:val="00B716BC"/>
    <w:rsid w:val="00B71D81"/>
    <w:rsid w:val="00B71E6A"/>
    <w:rsid w:val="00B72163"/>
    <w:rsid w:val="00B72C27"/>
    <w:rsid w:val="00B73BE6"/>
    <w:rsid w:val="00B74A00"/>
    <w:rsid w:val="00B767EE"/>
    <w:rsid w:val="00B76DC1"/>
    <w:rsid w:val="00B7761A"/>
    <w:rsid w:val="00B776F4"/>
    <w:rsid w:val="00B77A13"/>
    <w:rsid w:val="00B80FF7"/>
    <w:rsid w:val="00B825DD"/>
    <w:rsid w:val="00B8299B"/>
    <w:rsid w:val="00B82AFD"/>
    <w:rsid w:val="00B84E0F"/>
    <w:rsid w:val="00B84ED3"/>
    <w:rsid w:val="00B85982"/>
    <w:rsid w:val="00B85B2C"/>
    <w:rsid w:val="00B85CB2"/>
    <w:rsid w:val="00B87C1F"/>
    <w:rsid w:val="00B906D2"/>
    <w:rsid w:val="00B90B1A"/>
    <w:rsid w:val="00B91690"/>
    <w:rsid w:val="00B91F5B"/>
    <w:rsid w:val="00B927FB"/>
    <w:rsid w:val="00B92B5E"/>
    <w:rsid w:val="00B92E92"/>
    <w:rsid w:val="00B93025"/>
    <w:rsid w:val="00B9371E"/>
    <w:rsid w:val="00B93FF3"/>
    <w:rsid w:val="00B945D7"/>
    <w:rsid w:val="00B95749"/>
    <w:rsid w:val="00B96B25"/>
    <w:rsid w:val="00B975B3"/>
    <w:rsid w:val="00B97873"/>
    <w:rsid w:val="00BA02E8"/>
    <w:rsid w:val="00BA04C4"/>
    <w:rsid w:val="00BA04F8"/>
    <w:rsid w:val="00BA0D60"/>
    <w:rsid w:val="00BA17A9"/>
    <w:rsid w:val="00BA1BCB"/>
    <w:rsid w:val="00BA1FFD"/>
    <w:rsid w:val="00BA25F1"/>
    <w:rsid w:val="00BA3001"/>
    <w:rsid w:val="00BA35A5"/>
    <w:rsid w:val="00BA38BD"/>
    <w:rsid w:val="00BA5E06"/>
    <w:rsid w:val="00BA72B8"/>
    <w:rsid w:val="00BB12DE"/>
    <w:rsid w:val="00BB17D5"/>
    <w:rsid w:val="00BB37FD"/>
    <w:rsid w:val="00BB3981"/>
    <w:rsid w:val="00BB4904"/>
    <w:rsid w:val="00BB6CB4"/>
    <w:rsid w:val="00BB6D14"/>
    <w:rsid w:val="00BB7939"/>
    <w:rsid w:val="00BB7A32"/>
    <w:rsid w:val="00BC14E0"/>
    <w:rsid w:val="00BC2FA1"/>
    <w:rsid w:val="00BC31AE"/>
    <w:rsid w:val="00BC404C"/>
    <w:rsid w:val="00BC4A5D"/>
    <w:rsid w:val="00BC51B7"/>
    <w:rsid w:val="00BC549B"/>
    <w:rsid w:val="00BC5EAB"/>
    <w:rsid w:val="00BC730A"/>
    <w:rsid w:val="00BC7905"/>
    <w:rsid w:val="00BD0D97"/>
    <w:rsid w:val="00BD0F87"/>
    <w:rsid w:val="00BD1EDC"/>
    <w:rsid w:val="00BD2B70"/>
    <w:rsid w:val="00BD3279"/>
    <w:rsid w:val="00BD3EB3"/>
    <w:rsid w:val="00BD56BB"/>
    <w:rsid w:val="00BD575B"/>
    <w:rsid w:val="00BD5BE5"/>
    <w:rsid w:val="00BD5C9C"/>
    <w:rsid w:val="00BD6221"/>
    <w:rsid w:val="00BD7CB2"/>
    <w:rsid w:val="00BD7EBB"/>
    <w:rsid w:val="00BE001E"/>
    <w:rsid w:val="00BE105D"/>
    <w:rsid w:val="00BE67B4"/>
    <w:rsid w:val="00BE6BE0"/>
    <w:rsid w:val="00BE6E62"/>
    <w:rsid w:val="00BF168D"/>
    <w:rsid w:val="00BF188D"/>
    <w:rsid w:val="00BF2424"/>
    <w:rsid w:val="00BF2C69"/>
    <w:rsid w:val="00BF414F"/>
    <w:rsid w:val="00BF45E4"/>
    <w:rsid w:val="00BF4A3E"/>
    <w:rsid w:val="00BF57AC"/>
    <w:rsid w:val="00BF6246"/>
    <w:rsid w:val="00BF6AF0"/>
    <w:rsid w:val="00BF6D57"/>
    <w:rsid w:val="00BF76DB"/>
    <w:rsid w:val="00BF780F"/>
    <w:rsid w:val="00BF7FD7"/>
    <w:rsid w:val="00C02D49"/>
    <w:rsid w:val="00C04014"/>
    <w:rsid w:val="00C04428"/>
    <w:rsid w:val="00C046BE"/>
    <w:rsid w:val="00C06F26"/>
    <w:rsid w:val="00C07278"/>
    <w:rsid w:val="00C1566A"/>
    <w:rsid w:val="00C15ADA"/>
    <w:rsid w:val="00C1760D"/>
    <w:rsid w:val="00C176F7"/>
    <w:rsid w:val="00C20941"/>
    <w:rsid w:val="00C21589"/>
    <w:rsid w:val="00C21D59"/>
    <w:rsid w:val="00C21F89"/>
    <w:rsid w:val="00C231F1"/>
    <w:rsid w:val="00C23C36"/>
    <w:rsid w:val="00C240B9"/>
    <w:rsid w:val="00C254F9"/>
    <w:rsid w:val="00C27BED"/>
    <w:rsid w:val="00C32375"/>
    <w:rsid w:val="00C32845"/>
    <w:rsid w:val="00C33B84"/>
    <w:rsid w:val="00C35D65"/>
    <w:rsid w:val="00C35D78"/>
    <w:rsid w:val="00C35E2E"/>
    <w:rsid w:val="00C36AD8"/>
    <w:rsid w:val="00C420BF"/>
    <w:rsid w:val="00C421EA"/>
    <w:rsid w:val="00C45837"/>
    <w:rsid w:val="00C522E9"/>
    <w:rsid w:val="00C524C8"/>
    <w:rsid w:val="00C52AA6"/>
    <w:rsid w:val="00C53CC6"/>
    <w:rsid w:val="00C54011"/>
    <w:rsid w:val="00C56F47"/>
    <w:rsid w:val="00C6070F"/>
    <w:rsid w:val="00C60B9F"/>
    <w:rsid w:val="00C60F70"/>
    <w:rsid w:val="00C617EC"/>
    <w:rsid w:val="00C61A1D"/>
    <w:rsid w:val="00C6439E"/>
    <w:rsid w:val="00C6469E"/>
    <w:rsid w:val="00C655C2"/>
    <w:rsid w:val="00C65EDC"/>
    <w:rsid w:val="00C66B5F"/>
    <w:rsid w:val="00C671AD"/>
    <w:rsid w:val="00C704C4"/>
    <w:rsid w:val="00C70BC9"/>
    <w:rsid w:val="00C73156"/>
    <w:rsid w:val="00C742C3"/>
    <w:rsid w:val="00C748C0"/>
    <w:rsid w:val="00C74FF9"/>
    <w:rsid w:val="00C750C5"/>
    <w:rsid w:val="00C7530B"/>
    <w:rsid w:val="00C75640"/>
    <w:rsid w:val="00C764F0"/>
    <w:rsid w:val="00C76930"/>
    <w:rsid w:val="00C77FD9"/>
    <w:rsid w:val="00C80CD9"/>
    <w:rsid w:val="00C811D3"/>
    <w:rsid w:val="00C8157A"/>
    <w:rsid w:val="00C81B71"/>
    <w:rsid w:val="00C81D5A"/>
    <w:rsid w:val="00C8451E"/>
    <w:rsid w:val="00C85440"/>
    <w:rsid w:val="00C85A3B"/>
    <w:rsid w:val="00C85AE7"/>
    <w:rsid w:val="00C86049"/>
    <w:rsid w:val="00C86332"/>
    <w:rsid w:val="00C8735B"/>
    <w:rsid w:val="00C876F3"/>
    <w:rsid w:val="00C90797"/>
    <w:rsid w:val="00C90B98"/>
    <w:rsid w:val="00C92BD7"/>
    <w:rsid w:val="00C92DFA"/>
    <w:rsid w:val="00C93B4C"/>
    <w:rsid w:val="00C93B54"/>
    <w:rsid w:val="00C940FE"/>
    <w:rsid w:val="00C94A43"/>
    <w:rsid w:val="00C95DC4"/>
    <w:rsid w:val="00CA07ED"/>
    <w:rsid w:val="00CA0DD0"/>
    <w:rsid w:val="00CA10CF"/>
    <w:rsid w:val="00CA1EB4"/>
    <w:rsid w:val="00CA3097"/>
    <w:rsid w:val="00CA3392"/>
    <w:rsid w:val="00CA572A"/>
    <w:rsid w:val="00CA5A67"/>
    <w:rsid w:val="00CA5DA7"/>
    <w:rsid w:val="00CB0793"/>
    <w:rsid w:val="00CB0A0D"/>
    <w:rsid w:val="00CB15F2"/>
    <w:rsid w:val="00CB1FD1"/>
    <w:rsid w:val="00CB3427"/>
    <w:rsid w:val="00CB4902"/>
    <w:rsid w:val="00CB4912"/>
    <w:rsid w:val="00CB4EDE"/>
    <w:rsid w:val="00CC0990"/>
    <w:rsid w:val="00CC1560"/>
    <w:rsid w:val="00CC3F11"/>
    <w:rsid w:val="00CC3FD6"/>
    <w:rsid w:val="00CC4236"/>
    <w:rsid w:val="00CC51F0"/>
    <w:rsid w:val="00CC7096"/>
    <w:rsid w:val="00CC7657"/>
    <w:rsid w:val="00CC7D99"/>
    <w:rsid w:val="00CD00E7"/>
    <w:rsid w:val="00CD0617"/>
    <w:rsid w:val="00CD1036"/>
    <w:rsid w:val="00CD115F"/>
    <w:rsid w:val="00CD3435"/>
    <w:rsid w:val="00CD35F8"/>
    <w:rsid w:val="00CD40C8"/>
    <w:rsid w:val="00CD5B4A"/>
    <w:rsid w:val="00CD7001"/>
    <w:rsid w:val="00CD7955"/>
    <w:rsid w:val="00CE2655"/>
    <w:rsid w:val="00CE2F6B"/>
    <w:rsid w:val="00CE324C"/>
    <w:rsid w:val="00CE3633"/>
    <w:rsid w:val="00CE5F74"/>
    <w:rsid w:val="00CE61B5"/>
    <w:rsid w:val="00CE61F2"/>
    <w:rsid w:val="00CE65B9"/>
    <w:rsid w:val="00CF01CD"/>
    <w:rsid w:val="00CF15FD"/>
    <w:rsid w:val="00CF1DC7"/>
    <w:rsid w:val="00CF2411"/>
    <w:rsid w:val="00CF28BF"/>
    <w:rsid w:val="00CF3373"/>
    <w:rsid w:val="00CF3959"/>
    <w:rsid w:val="00CF4B11"/>
    <w:rsid w:val="00CF52AF"/>
    <w:rsid w:val="00CF5E82"/>
    <w:rsid w:val="00CF6FA9"/>
    <w:rsid w:val="00D00A48"/>
    <w:rsid w:val="00D01085"/>
    <w:rsid w:val="00D01942"/>
    <w:rsid w:val="00D046C7"/>
    <w:rsid w:val="00D06C7B"/>
    <w:rsid w:val="00D06FDE"/>
    <w:rsid w:val="00D0713B"/>
    <w:rsid w:val="00D10539"/>
    <w:rsid w:val="00D10A8C"/>
    <w:rsid w:val="00D1248E"/>
    <w:rsid w:val="00D12ADB"/>
    <w:rsid w:val="00D14237"/>
    <w:rsid w:val="00D14800"/>
    <w:rsid w:val="00D15B8F"/>
    <w:rsid w:val="00D15E3C"/>
    <w:rsid w:val="00D169FD"/>
    <w:rsid w:val="00D16CBF"/>
    <w:rsid w:val="00D202BD"/>
    <w:rsid w:val="00D20654"/>
    <w:rsid w:val="00D20DF0"/>
    <w:rsid w:val="00D215D5"/>
    <w:rsid w:val="00D23B79"/>
    <w:rsid w:val="00D24A05"/>
    <w:rsid w:val="00D24A0B"/>
    <w:rsid w:val="00D25740"/>
    <w:rsid w:val="00D25838"/>
    <w:rsid w:val="00D25F52"/>
    <w:rsid w:val="00D30071"/>
    <w:rsid w:val="00D30174"/>
    <w:rsid w:val="00D303A2"/>
    <w:rsid w:val="00D31DAC"/>
    <w:rsid w:val="00D31DD5"/>
    <w:rsid w:val="00D329E8"/>
    <w:rsid w:val="00D33259"/>
    <w:rsid w:val="00D33617"/>
    <w:rsid w:val="00D3410D"/>
    <w:rsid w:val="00D343CB"/>
    <w:rsid w:val="00D34857"/>
    <w:rsid w:val="00D348C9"/>
    <w:rsid w:val="00D34B25"/>
    <w:rsid w:val="00D35835"/>
    <w:rsid w:val="00D413F3"/>
    <w:rsid w:val="00D41BF9"/>
    <w:rsid w:val="00D41F99"/>
    <w:rsid w:val="00D41FCE"/>
    <w:rsid w:val="00D4218B"/>
    <w:rsid w:val="00D43F36"/>
    <w:rsid w:val="00D46657"/>
    <w:rsid w:val="00D46691"/>
    <w:rsid w:val="00D472EF"/>
    <w:rsid w:val="00D4756D"/>
    <w:rsid w:val="00D4769C"/>
    <w:rsid w:val="00D5082D"/>
    <w:rsid w:val="00D50C91"/>
    <w:rsid w:val="00D5108B"/>
    <w:rsid w:val="00D51309"/>
    <w:rsid w:val="00D5157A"/>
    <w:rsid w:val="00D53778"/>
    <w:rsid w:val="00D554DF"/>
    <w:rsid w:val="00D5559E"/>
    <w:rsid w:val="00D563ED"/>
    <w:rsid w:val="00D56DFB"/>
    <w:rsid w:val="00D579DC"/>
    <w:rsid w:val="00D57CF7"/>
    <w:rsid w:val="00D57EDC"/>
    <w:rsid w:val="00D60C8F"/>
    <w:rsid w:val="00D611BA"/>
    <w:rsid w:val="00D626A4"/>
    <w:rsid w:val="00D629AC"/>
    <w:rsid w:val="00D62D32"/>
    <w:rsid w:val="00D642E9"/>
    <w:rsid w:val="00D6510D"/>
    <w:rsid w:val="00D6538A"/>
    <w:rsid w:val="00D65EF3"/>
    <w:rsid w:val="00D66667"/>
    <w:rsid w:val="00D66E6D"/>
    <w:rsid w:val="00D66E82"/>
    <w:rsid w:val="00D676D9"/>
    <w:rsid w:val="00D677F8"/>
    <w:rsid w:val="00D67BBE"/>
    <w:rsid w:val="00D70702"/>
    <w:rsid w:val="00D7156D"/>
    <w:rsid w:val="00D71FF3"/>
    <w:rsid w:val="00D72201"/>
    <w:rsid w:val="00D73360"/>
    <w:rsid w:val="00D743AC"/>
    <w:rsid w:val="00D7653E"/>
    <w:rsid w:val="00D768DF"/>
    <w:rsid w:val="00D77143"/>
    <w:rsid w:val="00D774E9"/>
    <w:rsid w:val="00D77758"/>
    <w:rsid w:val="00D800F6"/>
    <w:rsid w:val="00D80F3E"/>
    <w:rsid w:val="00D811A2"/>
    <w:rsid w:val="00D8140A"/>
    <w:rsid w:val="00D82902"/>
    <w:rsid w:val="00D82923"/>
    <w:rsid w:val="00D82B1C"/>
    <w:rsid w:val="00D82FFB"/>
    <w:rsid w:val="00D847C8"/>
    <w:rsid w:val="00D865EC"/>
    <w:rsid w:val="00D86C29"/>
    <w:rsid w:val="00D901BC"/>
    <w:rsid w:val="00D921CC"/>
    <w:rsid w:val="00D924A1"/>
    <w:rsid w:val="00D926F9"/>
    <w:rsid w:val="00D92D75"/>
    <w:rsid w:val="00D9369C"/>
    <w:rsid w:val="00D94898"/>
    <w:rsid w:val="00D94BC1"/>
    <w:rsid w:val="00D94F7E"/>
    <w:rsid w:val="00D9503C"/>
    <w:rsid w:val="00D951D8"/>
    <w:rsid w:val="00D96A95"/>
    <w:rsid w:val="00D96DBC"/>
    <w:rsid w:val="00DA017F"/>
    <w:rsid w:val="00DA12A5"/>
    <w:rsid w:val="00DA1DE3"/>
    <w:rsid w:val="00DA53E4"/>
    <w:rsid w:val="00DA6E53"/>
    <w:rsid w:val="00DA74CC"/>
    <w:rsid w:val="00DA7753"/>
    <w:rsid w:val="00DB02A1"/>
    <w:rsid w:val="00DB02E6"/>
    <w:rsid w:val="00DB1433"/>
    <w:rsid w:val="00DB1BB2"/>
    <w:rsid w:val="00DB39DC"/>
    <w:rsid w:val="00DB4F81"/>
    <w:rsid w:val="00DB7E56"/>
    <w:rsid w:val="00DC0BA0"/>
    <w:rsid w:val="00DC0F07"/>
    <w:rsid w:val="00DC1DA8"/>
    <w:rsid w:val="00DC5358"/>
    <w:rsid w:val="00DC5461"/>
    <w:rsid w:val="00DC5898"/>
    <w:rsid w:val="00DC6E30"/>
    <w:rsid w:val="00DC74BF"/>
    <w:rsid w:val="00DC750B"/>
    <w:rsid w:val="00DD06C4"/>
    <w:rsid w:val="00DD0BA5"/>
    <w:rsid w:val="00DD14BA"/>
    <w:rsid w:val="00DD1B43"/>
    <w:rsid w:val="00DD21AF"/>
    <w:rsid w:val="00DD254D"/>
    <w:rsid w:val="00DD471A"/>
    <w:rsid w:val="00DD49E3"/>
    <w:rsid w:val="00DD570F"/>
    <w:rsid w:val="00DD7AF0"/>
    <w:rsid w:val="00DE033D"/>
    <w:rsid w:val="00DE06F7"/>
    <w:rsid w:val="00DE2216"/>
    <w:rsid w:val="00DE3512"/>
    <w:rsid w:val="00DE3B28"/>
    <w:rsid w:val="00DE4777"/>
    <w:rsid w:val="00DE5863"/>
    <w:rsid w:val="00DE7334"/>
    <w:rsid w:val="00DF01C2"/>
    <w:rsid w:val="00DF0DBC"/>
    <w:rsid w:val="00DF23AB"/>
    <w:rsid w:val="00DF45CC"/>
    <w:rsid w:val="00DF4CF0"/>
    <w:rsid w:val="00DF4E07"/>
    <w:rsid w:val="00DF4ECD"/>
    <w:rsid w:val="00DF503D"/>
    <w:rsid w:val="00DF5646"/>
    <w:rsid w:val="00DF65E1"/>
    <w:rsid w:val="00E01862"/>
    <w:rsid w:val="00E019A5"/>
    <w:rsid w:val="00E028EA"/>
    <w:rsid w:val="00E04287"/>
    <w:rsid w:val="00E056B0"/>
    <w:rsid w:val="00E058B1"/>
    <w:rsid w:val="00E05DC6"/>
    <w:rsid w:val="00E079E2"/>
    <w:rsid w:val="00E10850"/>
    <w:rsid w:val="00E109E4"/>
    <w:rsid w:val="00E11017"/>
    <w:rsid w:val="00E11DD5"/>
    <w:rsid w:val="00E11F8A"/>
    <w:rsid w:val="00E12B84"/>
    <w:rsid w:val="00E13B7E"/>
    <w:rsid w:val="00E140B0"/>
    <w:rsid w:val="00E167BC"/>
    <w:rsid w:val="00E2099A"/>
    <w:rsid w:val="00E23C74"/>
    <w:rsid w:val="00E23E0C"/>
    <w:rsid w:val="00E2507E"/>
    <w:rsid w:val="00E31B00"/>
    <w:rsid w:val="00E32E48"/>
    <w:rsid w:val="00E35098"/>
    <w:rsid w:val="00E35211"/>
    <w:rsid w:val="00E35237"/>
    <w:rsid w:val="00E35294"/>
    <w:rsid w:val="00E35A60"/>
    <w:rsid w:val="00E36C68"/>
    <w:rsid w:val="00E36CAD"/>
    <w:rsid w:val="00E37BAB"/>
    <w:rsid w:val="00E42282"/>
    <w:rsid w:val="00E4263A"/>
    <w:rsid w:val="00E42B08"/>
    <w:rsid w:val="00E44C11"/>
    <w:rsid w:val="00E45B07"/>
    <w:rsid w:val="00E45B5F"/>
    <w:rsid w:val="00E461F8"/>
    <w:rsid w:val="00E46A35"/>
    <w:rsid w:val="00E46BE7"/>
    <w:rsid w:val="00E46DB2"/>
    <w:rsid w:val="00E501FC"/>
    <w:rsid w:val="00E51830"/>
    <w:rsid w:val="00E51AFF"/>
    <w:rsid w:val="00E5205D"/>
    <w:rsid w:val="00E52599"/>
    <w:rsid w:val="00E525D6"/>
    <w:rsid w:val="00E52712"/>
    <w:rsid w:val="00E52D39"/>
    <w:rsid w:val="00E53127"/>
    <w:rsid w:val="00E53226"/>
    <w:rsid w:val="00E53767"/>
    <w:rsid w:val="00E53F7C"/>
    <w:rsid w:val="00E53FFD"/>
    <w:rsid w:val="00E55CF5"/>
    <w:rsid w:val="00E56704"/>
    <w:rsid w:val="00E5787E"/>
    <w:rsid w:val="00E57F85"/>
    <w:rsid w:val="00E6009D"/>
    <w:rsid w:val="00E61251"/>
    <w:rsid w:val="00E61A9C"/>
    <w:rsid w:val="00E61F9C"/>
    <w:rsid w:val="00E62CEA"/>
    <w:rsid w:val="00E6345A"/>
    <w:rsid w:val="00E63C99"/>
    <w:rsid w:val="00E649A3"/>
    <w:rsid w:val="00E65325"/>
    <w:rsid w:val="00E6774D"/>
    <w:rsid w:val="00E67976"/>
    <w:rsid w:val="00E70E0C"/>
    <w:rsid w:val="00E71CFA"/>
    <w:rsid w:val="00E72D42"/>
    <w:rsid w:val="00E7436A"/>
    <w:rsid w:val="00E758EC"/>
    <w:rsid w:val="00E75B86"/>
    <w:rsid w:val="00E76A16"/>
    <w:rsid w:val="00E76A4F"/>
    <w:rsid w:val="00E77223"/>
    <w:rsid w:val="00E77BD4"/>
    <w:rsid w:val="00E77D07"/>
    <w:rsid w:val="00E80613"/>
    <w:rsid w:val="00E8228E"/>
    <w:rsid w:val="00E825EF"/>
    <w:rsid w:val="00E84F42"/>
    <w:rsid w:val="00E85453"/>
    <w:rsid w:val="00E86691"/>
    <w:rsid w:val="00E90516"/>
    <w:rsid w:val="00E909BC"/>
    <w:rsid w:val="00E912AB"/>
    <w:rsid w:val="00E92BB4"/>
    <w:rsid w:val="00E9372E"/>
    <w:rsid w:val="00E93C63"/>
    <w:rsid w:val="00E94994"/>
    <w:rsid w:val="00E95B4B"/>
    <w:rsid w:val="00E9643F"/>
    <w:rsid w:val="00E9655D"/>
    <w:rsid w:val="00E96C45"/>
    <w:rsid w:val="00E97D2C"/>
    <w:rsid w:val="00EA0536"/>
    <w:rsid w:val="00EA1981"/>
    <w:rsid w:val="00EA22D3"/>
    <w:rsid w:val="00EA391B"/>
    <w:rsid w:val="00EA4F20"/>
    <w:rsid w:val="00EA6546"/>
    <w:rsid w:val="00EB06EF"/>
    <w:rsid w:val="00EB0A42"/>
    <w:rsid w:val="00EB150E"/>
    <w:rsid w:val="00EB1C1B"/>
    <w:rsid w:val="00EB22E3"/>
    <w:rsid w:val="00EB4008"/>
    <w:rsid w:val="00EB4232"/>
    <w:rsid w:val="00EB458A"/>
    <w:rsid w:val="00EB545A"/>
    <w:rsid w:val="00EB6426"/>
    <w:rsid w:val="00EB6E33"/>
    <w:rsid w:val="00EC15F6"/>
    <w:rsid w:val="00EC3712"/>
    <w:rsid w:val="00EC3DC4"/>
    <w:rsid w:val="00EC3ED1"/>
    <w:rsid w:val="00EC4980"/>
    <w:rsid w:val="00EC5540"/>
    <w:rsid w:val="00EC707D"/>
    <w:rsid w:val="00ED148D"/>
    <w:rsid w:val="00ED2240"/>
    <w:rsid w:val="00ED3923"/>
    <w:rsid w:val="00ED393B"/>
    <w:rsid w:val="00ED5407"/>
    <w:rsid w:val="00ED6743"/>
    <w:rsid w:val="00ED7BC5"/>
    <w:rsid w:val="00EE19C3"/>
    <w:rsid w:val="00EE23F7"/>
    <w:rsid w:val="00EE25E2"/>
    <w:rsid w:val="00EE3867"/>
    <w:rsid w:val="00EE4697"/>
    <w:rsid w:val="00EE483A"/>
    <w:rsid w:val="00EE518B"/>
    <w:rsid w:val="00EE60E4"/>
    <w:rsid w:val="00EF1E21"/>
    <w:rsid w:val="00EF2A5C"/>
    <w:rsid w:val="00EF2B87"/>
    <w:rsid w:val="00EF4BB6"/>
    <w:rsid w:val="00EF5F7B"/>
    <w:rsid w:val="00F0243A"/>
    <w:rsid w:val="00F02617"/>
    <w:rsid w:val="00F0562A"/>
    <w:rsid w:val="00F06269"/>
    <w:rsid w:val="00F07057"/>
    <w:rsid w:val="00F07B47"/>
    <w:rsid w:val="00F10A29"/>
    <w:rsid w:val="00F11EF9"/>
    <w:rsid w:val="00F1285E"/>
    <w:rsid w:val="00F1370C"/>
    <w:rsid w:val="00F14549"/>
    <w:rsid w:val="00F14F44"/>
    <w:rsid w:val="00F16DB7"/>
    <w:rsid w:val="00F178E0"/>
    <w:rsid w:val="00F23200"/>
    <w:rsid w:val="00F23522"/>
    <w:rsid w:val="00F2362D"/>
    <w:rsid w:val="00F236CA"/>
    <w:rsid w:val="00F23A55"/>
    <w:rsid w:val="00F23FC0"/>
    <w:rsid w:val="00F2580F"/>
    <w:rsid w:val="00F25F32"/>
    <w:rsid w:val="00F261A2"/>
    <w:rsid w:val="00F270E0"/>
    <w:rsid w:val="00F30348"/>
    <w:rsid w:val="00F31337"/>
    <w:rsid w:val="00F31B52"/>
    <w:rsid w:val="00F32340"/>
    <w:rsid w:val="00F331D7"/>
    <w:rsid w:val="00F3396B"/>
    <w:rsid w:val="00F33C0B"/>
    <w:rsid w:val="00F34F69"/>
    <w:rsid w:val="00F35690"/>
    <w:rsid w:val="00F357B6"/>
    <w:rsid w:val="00F35CDB"/>
    <w:rsid w:val="00F3732D"/>
    <w:rsid w:val="00F37DB6"/>
    <w:rsid w:val="00F37E61"/>
    <w:rsid w:val="00F403A7"/>
    <w:rsid w:val="00F40BB4"/>
    <w:rsid w:val="00F41120"/>
    <w:rsid w:val="00F415FC"/>
    <w:rsid w:val="00F41B42"/>
    <w:rsid w:val="00F421DB"/>
    <w:rsid w:val="00F42260"/>
    <w:rsid w:val="00F43018"/>
    <w:rsid w:val="00F43A73"/>
    <w:rsid w:val="00F4421A"/>
    <w:rsid w:val="00F44DCC"/>
    <w:rsid w:val="00F46F7B"/>
    <w:rsid w:val="00F47053"/>
    <w:rsid w:val="00F50371"/>
    <w:rsid w:val="00F51421"/>
    <w:rsid w:val="00F51AA6"/>
    <w:rsid w:val="00F51E61"/>
    <w:rsid w:val="00F52F31"/>
    <w:rsid w:val="00F53C6E"/>
    <w:rsid w:val="00F54A3A"/>
    <w:rsid w:val="00F55EE1"/>
    <w:rsid w:val="00F5614E"/>
    <w:rsid w:val="00F601A7"/>
    <w:rsid w:val="00F60262"/>
    <w:rsid w:val="00F60A7A"/>
    <w:rsid w:val="00F60D13"/>
    <w:rsid w:val="00F610EB"/>
    <w:rsid w:val="00F6137D"/>
    <w:rsid w:val="00F6201D"/>
    <w:rsid w:val="00F62484"/>
    <w:rsid w:val="00F67BD7"/>
    <w:rsid w:val="00F71361"/>
    <w:rsid w:val="00F718B1"/>
    <w:rsid w:val="00F723AF"/>
    <w:rsid w:val="00F72F2B"/>
    <w:rsid w:val="00F73AFB"/>
    <w:rsid w:val="00F7535C"/>
    <w:rsid w:val="00F75441"/>
    <w:rsid w:val="00F768BB"/>
    <w:rsid w:val="00F80EFB"/>
    <w:rsid w:val="00F810C5"/>
    <w:rsid w:val="00F81819"/>
    <w:rsid w:val="00F82533"/>
    <w:rsid w:val="00F82934"/>
    <w:rsid w:val="00F82DEF"/>
    <w:rsid w:val="00F835FF"/>
    <w:rsid w:val="00F83672"/>
    <w:rsid w:val="00F83D2C"/>
    <w:rsid w:val="00F84985"/>
    <w:rsid w:val="00F8501A"/>
    <w:rsid w:val="00F85DB0"/>
    <w:rsid w:val="00F8721C"/>
    <w:rsid w:val="00F916F3"/>
    <w:rsid w:val="00F91D83"/>
    <w:rsid w:val="00F92C7B"/>
    <w:rsid w:val="00F93116"/>
    <w:rsid w:val="00F93951"/>
    <w:rsid w:val="00F93BFE"/>
    <w:rsid w:val="00F94450"/>
    <w:rsid w:val="00F96E0B"/>
    <w:rsid w:val="00F970B5"/>
    <w:rsid w:val="00F9740B"/>
    <w:rsid w:val="00F97DA0"/>
    <w:rsid w:val="00FA2822"/>
    <w:rsid w:val="00FA2EF5"/>
    <w:rsid w:val="00FA41F0"/>
    <w:rsid w:val="00FA43B2"/>
    <w:rsid w:val="00FA4B84"/>
    <w:rsid w:val="00FA5C48"/>
    <w:rsid w:val="00FA7D81"/>
    <w:rsid w:val="00FA7F75"/>
    <w:rsid w:val="00FB1C2F"/>
    <w:rsid w:val="00FB1C5B"/>
    <w:rsid w:val="00FB3FD0"/>
    <w:rsid w:val="00FB4482"/>
    <w:rsid w:val="00FB465F"/>
    <w:rsid w:val="00FB4765"/>
    <w:rsid w:val="00FB5016"/>
    <w:rsid w:val="00FB5305"/>
    <w:rsid w:val="00FB5332"/>
    <w:rsid w:val="00FB6ECD"/>
    <w:rsid w:val="00FB757D"/>
    <w:rsid w:val="00FB7DDA"/>
    <w:rsid w:val="00FC180E"/>
    <w:rsid w:val="00FC199C"/>
    <w:rsid w:val="00FC23A2"/>
    <w:rsid w:val="00FC2B42"/>
    <w:rsid w:val="00FC33F8"/>
    <w:rsid w:val="00FC49A0"/>
    <w:rsid w:val="00FC5F07"/>
    <w:rsid w:val="00FC5FBA"/>
    <w:rsid w:val="00FC6A48"/>
    <w:rsid w:val="00FC77EB"/>
    <w:rsid w:val="00FD0677"/>
    <w:rsid w:val="00FD1028"/>
    <w:rsid w:val="00FD2335"/>
    <w:rsid w:val="00FD2D00"/>
    <w:rsid w:val="00FD36BD"/>
    <w:rsid w:val="00FD3B4A"/>
    <w:rsid w:val="00FD5345"/>
    <w:rsid w:val="00FD59ED"/>
    <w:rsid w:val="00FD6FE5"/>
    <w:rsid w:val="00FD7405"/>
    <w:rsid w:val="00FE05DD"/>
    <w:rsid w:val="00FE36BD"/>
    <w:rsid w:val="00FE3F54"/>
    <w:rsid w:val="00FE491F"/>
    <w:rsid w:val="00FE5EDF"/>
    <w:rsid w:val="00FE6D33"/>
    <w:rsid w:val="00FF0BAB"/>
    <w:rsid w:val="00FF19D5"/>
    <w:rsid w:val="00FF1D9B"/>
    <w:rsid w:val="00FF23A0"/>
    <w:rsid w:val="00FF4DF3"/>
    <w:rsid w:val="00FF4F2D"/>
    <w:rsid w:val="00FF50C4"/>
    <w:rsid w:val="00FF53DC"/>
    <w:rsid w:val="00FF6A5B"/>
    <w:rsid w:val="03041D12"/>
    <w:rsid w:val="04E8468F"/>
    <w:rsid w:val="09F2CF38"/>
    <w:rsid w:val="2756761E"/>
    <w:rsid w:val="321D83E3"/>
    <w:rsid w:val="33B96017"/>
    <w:rsid w:val="4274A00B"/>
    <w:rsid w:val="439DD7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2F18B"/>
  <w15:chartTrackingRefBased/>
  <w15:docId w15:val="{BFA21B0E-946A-487D-BBE7-1A3B655ABA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ajorHAnsi" w:hAnsiTheme="majorHAnsi" w:eastAsiaTheme="minorEastAsia"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locked="0" w:uiPriority="0" w:semiHidden="1" w:unhideWhenUsed="1" w:qFormat="1"/>
    <w:lsdException w:name="heading 7" w:semiHidden="1" w:unhideWhenUsed="1" w:qFormat="1"/>
    <w:lsdException w:name="heading 8"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styleId="Normal" w:default="1">
    <w:name w:val="Normal"/>
    <w:uiPriority w:val="99"/>
    <w:qFormat/>
    <w:rsid w:val="0007292A"/>
  </w:style>
  <w:style w:type="paragraph" w:styleId="Heading1">
    <w:name w:val="heading 1"/>
    <w:basedOn w:val="Normal"/>
    <w:next w:val="BodyText"/>
    <w:link w:val="Heading1Char"/>
    <w:qFormat/>
    <w:locked/>
    <w:rsid w:val="0007292A"/>
    <w:pPr>
      <w:keepNext/>
      <w:keepLines/>
      <w:pageBreakBefore/>
      <w:numPr>
        <w:numId w:val="22"/>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7292A"/>
    <w:pPr>
      <w:keepNext/>
      <w:keepLines/>
      <w:numPr>
        <w:ilvl w:val="1"/>
        <w:numId w:val="22"/>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7292A"/>
    <w:pPr>
      <w:keepNext/>
      <w:keepLines/>
      <w:numPr>
        <w:ilvl w:val="2"/>
        <w:numId w:val="22"/>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7292A"/>
    <w:pPr>
      <w:keepNext/>
      <w:keepLines/>
      <w:numPr>
        <w:ilvl w:val="3"/>
        <w:numId w:val="22"/>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7292A"/>
    <w:pPr>
      <w:keepNext/>
      <w:keepLines/>
      <w:numPr>
        <w:ilvl w:val="4"/>
        <w:numId w:val="22"/>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7292A"/>
    <w:pPr>
      <w:keepNext/>
      <w:keepLines/>
      <w:numPr>
        <w:ilvl w:val="5"/>
        <w:numId w:val="22"/>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7292A"/>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7292A"/>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Appendix Heading 1"/>
    <w:basedOn w:val="Normal"/>
    <w:next w:val="BodyText"/>
    <w:link w:val="Heading9Char"/>
    <w:uiPriority w:val="19"/>
    <w:locked/>
    <w:rsid w:val="0007292A"/>
    <w:pPr>
      <w:keepNext/>
      <w:keepLines/>
      <w:pageBreakBefore/>
      <w:numPr>
        <w:numId w:val="19"/>
      </w:numPr>
      <w:spacing w:before="240" w:after="120"/>
      <w:outlineLvl w:val="8"/>
    </w:pPr>
    <w:rPr>
      <w:rFonts w:eastAsiaTheme="majorEastAsia" w:cstheme="majorBidi"/>
      <w:b/>
      <w:iCs/>
      <w:color w:val="231EDC" w:themeColor="accent1"/>
      <w:sz w:val="3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7292A"/>
    <w:rPr>
      <w:rFonts w:asciiTheme="minorHAnsi" w:hAnsiTheme="minorHAnsi"/>
      <w:color w:val="333333" w:themeColor="text2"/>
      <w:sz w:val="24"/>
    </w:rPr>
  </w:style>
  <w:style w:type="character" w:styleId="HeaderChar" w:customStyle="1">
    <w:name w:val="Header Char"/>
    <w:basedOn w:val="DefaultParagraphFont"/>
    <w:link w:val="Header"/>
    <w:uiPriority w:val="99"/>
    <w:semiHidden/>
    <w:rsid w:val="0007292A"/>
    <w:rPr>
      <w:rFonts w:asciiTheme="minorHAnsi" w:hAnsiTheme="minorHAnsi"/>
      <w:color w:val="333333" w:themeColor="text2"/>
      <w:sz w:val="24"/>
    </w:rPr>
  </w:style>
  <w:style w:type="paragraph" w:styleId="Footer">
    <w:name w:val="footer"/>
    <w:basedOn w:val="Normal"/>
    <w:link w:val="FooterChar"/>
    <w:uiPriority w:val="99"/>
    <w:semiHidden/>
    <w:locked/>
    <w:rsid w:val="0007292A"/>
    <w:rPr>
      <w:rFonts w:asciiTheme="minorHAnsi" w:hAnsiTheme="minorHAnsi"/>
      <w:color w:val="333333" w:themeColor="text2"/>
      <w:sz w:val="16"/>
    </w:rPr>
  </w:style>
  <w:style w:type="character" w:styleId="FooterChar" w:customStyle="1">
    <w:name w:val="Footer Char"/>
    <w:basedOn w:val="DefaultParagraphFont"/>
    <w:link w:val="Footer"/>
    <w:uiPriority w:val="99"/>
    <w:semiHidden/>
    <w:rsid w:val="0007292A"/>
    <w:rPr>
      <w:rFonts w:asciiTheme="minorHAnsi" w:hAnsiTheme="minorHAnsi"/>
      <w:color w:val="333333" w:themeColor="text2"/>
      <w:sz w:val="16"/>
    </w:rPr>
  </w:style>
  <w:style w:type="table" w:styleId="TableGrid">
    <w:name w:val="Table Grid"/>
    <w:basedOn w:val="TableNormal"/>
    <w:uiPriority w:val="39"/>
    <w:locked/>
    <w:rsid w:val="0007292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1Number" w:customStyle="1">
    <w:name w:val="Body Text 1 Number"/>
    <w:basedOn w:val="Normal"/>
    <w:uiPriority w:val="2"/>
    <w:rsid w:val="0007292A"/>
    <w:pPr>
      <w:numPr>
        <w:numId w:val="23"/>
      </w:numPr>
      <w:spacing w:before="180" w:after="120"/>
      <w:ind w:left="357" w:hanging="357"/>
      <w:contextualSpacing/>
    </w:pPr>
  </w:style>
  <w:style w:type="paragraph" w:styleId="BodyText2Letter" w:customStyle="1">
    <w:name w:val="Body Text 2 Letter"/>
    <w:basedOn w:val="Normal"/>
    <w:uiPriority w:val="2"/>
    <w:rsid w:val="0007292A"/>
    <w:pPr>
      <w:numPr>
        <w:ilvl w:val="1"/>
        <w:numId w:val="23"/>
      </w:numPr>
      <w:spacing w:after="120"/>
      <w:ind w:left="714" w:hanging="357"/>
      <w:contextualSpacing/>
    </w:pPr>
  </w:style>
  <w:style w:type="paragraph" w:styleId="BodyText3Roman" w:customStyle="1">
    <w:name w:val="Body Text 3 Roman"/>
    <w:basedOn w:val="Normal"/>
    <w:uiPriority w:val="2"/>
    <w:rsid w:val="0007292A"/>
    <w:pPr>
      <w:numPr>
        <w:ilvl w:val="2"/>
        <w:numId w:val="23"/>
      </w:numPr>
      <w:spacing w:after="120"/>
      <w:ind w:left="1071" w:hanging="357"/>
      <w:contextualSpacing/>
    </w:pPr>
  </w:style>
  <w:style w:type="paragraph" w:styleId="TableText" w:customStyle="1">
    <w:name w:val="Table Text"/>
    <w:basedOn w:val="BodyText"/>
    <w:uiPriority w:val="4"/>
    <w:rsid w:val="0007292A"/>
    <w:pPr>
      <w:spacing w:before="40" w:after="40"/>
    </w:pPr>
    <w:rPr>
      <w:rFonts w:asciiTheme="minorHAnsi" w:hAnsiTheme="minorHAnsi"/>
      <w:sz w:val="18"/>
    </w:rPr>
  </w:style>
  <w:style w:type="character" w:styleId="Heading1Char" w:customStyle="1">
    <w:name w:val="Heading 1 Char"/>
    <w:basedOn w:val="DefaultParagraphFont"/>
    <w:link w:val="Heading1"/>
    <w:rsid w:val="0007292A"/>
    <w:rPr>
      <w:rFonts w:eastAsiaTheme="majorEastAsia" w:cstheme="majorBidi"/>
      <w:b/>
      <w:color w:val="231EDC" w:themeColor="accent1"/>
      <w:sz w:val="32"/>
      <w:szCs w:val="32"/>
    </w:rPr>
  </w:style>
  <w:style w:type="paragraph" w:styleId="BulletLevel1" w:customStyle="1">
    <w:name w:val="Bullet Level 1"/>
    <w:basedOn w:val="Normal"/>
    <w:uiPriority w:val="2"/>
    <w:rsid w:val="0007292A"/>
    <w:pPr>
      <w:numPr>
        <w:numId w:val="32"/>
      </w:numPr>
      <w:spacing w:before="120" w:after="60"/>
      <w:ind w:left="357" w:hanging="357"/>
      <w:contextualSpacing/>
    </w:pPr>
  </w:style>
  <w:style w:type="paragraph" w:styleId="TableHeading" w:customStyle="1">
    <w:name w:val="Table Heading"/>
    <w:basedOn w:val="Normal"/>
    <w:uiPriority w:val="3"/>
    <w:rsid w:val="0007292A"/>
    <w:pPr>
      <w:keepNext/>
      <w:spacing w:before="60" w:after="60"/>
    </w:pPr>
    <w:rPr>
      <w:rFonts w:asciiTheme="minorHAnsi" w:hAnsiTheme="minorHAnsi"/>
      <w:b/>
      <w:sz w:val="22"/>
    </w:rPr>
  </w:style>
  <w:style w:type="paragraph" w:styleId="BulletLevel2" w:customStyle="1">
    <w:name w:val="Bullet Level 2"/>
    <w:basedOn w:val="Normal"/>
    <w:uiPriority w:val="2"/>
    <w:rsid w:val="0007292A"/>
    <w:pPr>
      <w:numPr>
        <w:ilvl w:val="1"/>
        <w:numId w:val="32"/>
      </w:numPr>
      <w:spacing w:before="120" w:after="60"/>
      <w:ind w:left="714" w:hanging="357"/>
      <w:contextualSpacing/>
    </w:pPr>
  </w:style>
  <w:style w:type="paragraph" w:styleId="BulletLevel3" w:customStyle="1">
    <w:name w:val="Bullet Level 3"/>
    <w:basedOn w:val="Normal"/>
    <w:uiPriority w:val="2"/>
    <w:rsid w:val="0007292A"/>
    <w:pPr>
      <w:numPr>
        <w:ilvl w:val="2"/>
        <w:numId w:val="32"/>
      </w:numPr>
      <w:spacing w:before="120" w:after="60"/>
      <w:ind w:left="1071" w:hanging="357"/>
      <w:contextualSpacing/>
    </w:pPr>
  </w:style>
  <w:style w:type="character" w:styleId="Heading3Char" w:customStyle="1">
    <w:name w:val="Heading 3 Char"/>
    <w:basedOn w:val="DefaultParagraphFont"/>
    <w:link w:val="Heading3"/>
    <w:rsid w:val="0007292A"/>
    <w:rPr>
      <w:rFonts w:eastAsiaTheme="majorEastAsia" w:cstheme="majorBidi"/>
      <w:b/>
      <w:sz w:val="26"/>
      <w:szCs w:val="24"/>
    </w:rPr>
  </w:style>
  <w:style w:type="paragraph" w:styleId="AppendixHeading2" w:customStyle="1">
    <w:name w:val="Appendix Heading 2"/>
    <w:basedOn w:val="Normal"/>
    <w:next w:val="BodyText"/>
    <w:uiPriority w:val="20"/>
    <w:rsid w:val="0007292A"/>
    <w:pPr>
      <w:keepNext/>
      <w:numPr>
        <w:ilvl w:val="1"/>
        <w:numId w:val="19"/>
      </w:numPr>
      <w:spacing w:before="240" w:after="120"/>
      <w:outlineLvl w:val="1"/>
    </w:pPr>
    <w:rPr>
      <w:b/>
      <w:sz w:val="28"/>
    </w:rPr>
  </w:style>
  <w:style w:type="paragraph" w:styleId="AppendixHeading3" w:customStyle="1">
    <w:name w:val="Appendix Heading 3"/>
    <w:basedOn w:val="Normal"/>
    <w:next w:val="BodyText"/>
    <w:uiPriority w:val="20"/>
    <w:rsid w:val="0007292A"/>
    <w:pPr>
      <w:keepNext/>
      <w:numPr>
        <w:ilvl w:val="2"/>
        <w:numId w:val="19"/>
      </w:numPr>
      <w:spacing w:before="240" w:after="120"/>
      <w:outlineLvl w:val="2"/>
    </w:pPr>
    <w:rPr>
      <w:b/>
      <w:sz w:val="24"/>
    </w:rPr>
  </w:style>
  <w:style w:type="paragraph" w:styleId="AppendixHeading4" w:customStyle="1">
    <w:name w:val="Appendix Heading 4"/>
    <w:basedOn w:val="Normal"/>
    <w:next w:val="BodyText"/>
    <w:uiPriority w:val="20"/>
    <w:rsid w:val="0007292A"/>
    <w:pPr>
      <w:keepNext/>
      <w:numPr>
        <w:ilvl w:val="3"/>
        <w:numId w:val="19"/>
      </w:numPr>
      <w:spacing w:before="240" w:after="120"/>
      <w:outlineLvl w:val="3"/>
    </w:pPr>
    <w:rPr>
      <w:b/>
      <w:sz w:val="22"/>
    </w:rPr>
  </w:style>
  <w:style w:type="paragraph" w:styleId="TableBullet" w:customStyle="1">
    <w:name w:val="Table Bullet"/>
    <w:basedOn w:val="Normal"/>
    <w:uiPriority w:val="6"/>
    <w:rsid w:val="0007292A"/>
    <w:pPr>
      <w:numPr>
        <w:numId w:val="35"/>
      </w:numPr>
      <w:spacing w:before="40" w:after="40"/>
    </w:pPr>
    <w:rPr>
      <w:rFonts w:asciiTheme="minorHAnsi" w:hAnsiTheme="minorHAnsi"/>
      <w:sz w:val="18"/>
    </w:rPr>
  </w:style>
  <w:style w:type="paragraph" w:styleId="FigureNumberandTitle" w:customStyle="1">
    <w:name w:val="Figure Number and Title"/>
    <w:next w:val="FigureCaption"/>
    <w:uiPriority w:val="99"/>
    <w:semiHidden/>
    <w:rsid w:val="00552B1D"/>
    <w:pPr>
      <w:spacing w:before="120" w:after="40"/>
      <w:ind w:left="907" w:hanging="907"/>
    </w:pPr>
    <w:rPr>
      <w:b/>
    </w:rPr>
  </w:style>
  <w:style w:type="paragraph" w:styleId="Sourcecitation" w:customStyle="1">
    <w:name w:val="Source/citation"/>
    <w:next w:val="BodyText"/>
    <w:uiPriority w:val="99"/>
    <w:semiHidden/>
    <w:rsid w:val="004B2105"/>
    <w:pPr>
      <w:spacing w:before="40" w:after="40"/>
    </w:pPr>
    <w:rPr>
      <w:i/>
      <w:sz w:val="18"/>
    </w:rPr>
  </w:style>
  <w:style w:type="paragraph" w:styleId="CoverHeading" w:customStyle="1">
    <w:name w:val="Cover Heading"/>
    <w:basedOn w:val="Normal"/>
    <w:uiPriority w:val="99"/>
    <w:semiHidden/>
    <w:rsid w:val="0007292A"/>
    <w:pPr>
      <w:spacing w:before="240" w:after="1200"/>
    </w:pPr>
    <w:rPr>
      <w:b/>
      <w:color w:val="231EDC" w:themeColor="accent1"/>
      <w:sz w:val="52"/>
    </w:rPr>
  </w:style>
  <w:style w:type="paragraph" w:styleId="CoverInformationBold" w:customStyle="1">
    <w:name w:val="Cover Information Bold"/>
    <w:basedOn w:val="CoverInformation"/>
    <w:uiPriority w:val="99"/>
    <w:semiHidden/>
    <w:rsid w:val="00392D1A"/>
    <w:pPr>
      <w:spacing w:after="0"/>
    </w:pPr>
    <w:rPr>
      <w:b/>
      <w:bCs/>
    </w:rPr>
  </w:style>
  <w:style w:type="paragraph" w:styleId="CoverInformation" w:customStyle="1">
    <w:name w:val="Cover Information"/>
    <w:basedOn w:val="Normal"/>
    <w:uiPriority w:val="99"/>
    <w:semiHidden/>
    <w:rsid w:val="0007292A"/>
    <w:pPr>
      <w:spacing w:after="480"/>
      <w:contextualSpacing/>
    </w:pPr>
    <w:rPr>
      <w:rFonts w:asciiTheme="minorHAnsi" w:hAnsiTheme="minorHAnsi"/>
      <w:sz w:val="28"/>
    </w:rPr>
  </w:style>
  <w:style w:type="paragraph" w:styleId="TableText1Number" w:customStyle="1">
    <w:name w:val="Table Text 1 Number"/>
    <w:basedOn w:val="TableText"/>
    <w:uiPriority w:val="99"/>
    <w:semiHidden/>
    <w:rsid w:val="008E484D"/>
    <w:pPr>
      <w:numPr>
        <w:numId w:val="14"/>
      </w:numPr>
    </w:pPr>
  </w:style>
  <w:style w:type="paragraph" w:styleId="Disclaimer" w:customStyle="1">
    <w:name w:val="Disclaimer"/>
    <w:basedOn w:val="Normal"/>
    <w:uiPriority w:val="99"/>
    <w:semiHidden/>
    <w:rsid w:val="0007292A"/>
    <w:pPr>
      <w:spacing w:before="180"/>
    </w:pPr>
    <w:rPr>
      <w:rFonts w:asciiTheme="minorHAnsi" w:hAnsiTheme="minorHAnsi"/>
      <w:sz w:val="16"/>
    </w:rPr>
  </w:style>
  <w:style w:type="character" w:styleId="Heading2Char" w:customStyle="1">
    <w:name w:val="Heading 2 Char"/>
    <w:basedOn w:val="DefaultParagraphFont"/>
    <w:link w:val="Heading2"/>
    <w:rsid w:val="0007292A"/>
    <w:rPr>
      <w:rFonts w:eastAsiaTheme="majorEastAsia" w:cstheme="majorBidi"/>
      <w:b/>
      <w:sz w:val="28"/>
      <w:szCs w:val="26"/>
    </w:rPr>
  </w:style>
  <w:style w:type="paragraph" w:styleId="Divider" w:customStyle="1">
    <w:name w:val="Divider"/>
    <w:uiPriority w:val="99"/>
    <w:semiHidden/>
    <w:rsid w:val="00E13B7E"/>
    <w:pPr>
      <w:spacing w:before="4000" w:after="7000"/>
    </w:pPr>
    <w:rPr>
      <w:rFonts w:cs="Jacobs Chronos Light" w:eastAsiaTheme="majorEastAsia"/>
      <w:b/>
      <w:color w:val="231EDC" w:themeColor="accent1"/>
      <w:sz w:val="52"/>
      <w:szCs w:val="56"/>
    </w:rPr>
  </w:style>
  <w:style w:type="paragraph" w:styleId="Headingunnumbered1" w:customStyle="1">
    <w:name w:val="Heading (unnumbered) 1"/>
    <w:basedOn w:val="Normal"/>
    <w:next w:val="BodyText"/>
    <w:uiPriority w:val="1"/>
    <w:rsid w:val="0007292A"/>
    <w:pPr>
      <w:keepNext/>
      <w:spacing w:before="240" w:after="120"/>
      <w:outlineLvl w:val="0"/>
    </w:pPr>
    <w:rPr>
      <w:b/>
      <w:color w:val="231EDC" w:themeColor="accent1"/>
      <w:sz w:val="32"/>
    </w:rPr>
  </w:style>
  <w:style w:type="paragraph" w:styleId="Headingunnumbered2" w:customStyle="1">
    <w:name w:val="Heading (unnumbered) 2"/>
    <w:basedOn w:val="Normal"/>
    <w:next w:val="BodyText"/>
    <w:uiPriority w:val="1"/>
    <w:rsid w:val="0007292A"/>
    <w:pPr>
      <w:keepNext/>
      <w:spacing w:before="240" w:after="120"/>
      <w:outlineLvl w:val="1"/>
    </w:pPr>
    <w:rPr>
      <w:b/>
      <w:sz w:val="28"/>
    </w:rPr>
  </w:style>
  <w:style w:type="paragraph" w:styleId="Headingunnumbered3" w:customStyle="1">
    <w:name w:val="Heading (unnumbered) 3"/>
    <w:basedOn w:val="Normal"/>
    <w:next w:val="BodyText"/>
    <w:uiPriority w:val="1"/>
    <w:rsid w:val="0007292A"/>
    <w:pPr>
      <w:keepNext/>
      <w:spacing w:before="240" w:after="120"/>
      <w:outlineLvl w:val="2"/>
    </w:pPr>
    <w:rPr>
      <w:b/>
      <w:sz w:val="24"/>
    </w:rPr>
  </w:style>
  <w:style w:type="paragraph" w:styleId="TableText2Letter" w:customStyle="1">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7292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92A"/>
    <w:rPr>
      <w:rFonts w:ascii="Segoe UI" w:hAnsi="Segoe UI" w:cs="Segoe UI"/>
      <w:sz w:val="18"/>
      <w:szCs w:val="18"/>
    </w:rPr>
  </w:style>
  <w:style w:type="paragraph" w:styleId="SingleSequential" w:customStyle="1">
    <w:name w:val="Single Sequential"/>
    <w:basedOn w:val="Normal"/>
    <w:uiPriority w:val="2"/>
    <w:qFormat/>
    <w:rsid w:val="0007292A"/>
    <w:pPr>
      <w:numPr>
        <w:numId w:val="30"/>
      </w:numPr>
      <w:spacing w:before="180" w:after="60"/>
    </w:pPr>
    <w:rPr>
      <w:rFonts w:asciiTheme="minorHAnsi" w:hAnsiTheme="minorHAnsi"/>
    </w:rPr>
  </w:style>
  <w:style w:type="numbering" w:styleId="JacobsSingleSequentialList" w:customStyle="1">
    <w:name w:val="Jacobs Single Sequential List"/>
    <w:uiPriority w:val="99"/>
    <w:semiHidden/>
    <w:rsid w:val="00B46D23"/>
    <w:pPr>
      <w:numPr>
        <w:numId w:val="1"/>
      </w:numPr>
    </w:pPr>
  </w:style>
  <w:style w:type="numbering" w:styleId="JacobsParagraphLevels" w:customStyle="1">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7292A"/>
    <w:rPr>
      <w:sz w:val="16"/>
      <w:szCs w:val="16"/>
    </w:rPr>
  </w:style>
  <w:style w:type="paragraph" w:styleId="CommentText">
    <w:name w:val="annotation text"/>
    <w:basedOn w:val="Normal"/>
    <w:link w:val="CommentTextChar"/>
    <w:uiPriority w:val="99"/>
    <w:unhideWhenUsed/>
    <w:locked/>
    <w:rsid w:val="0007292A"/>
  </w:style>
  <w:style w:type="character" w:styleId="CommentTextChar" w:customStyle="1">
    <w:name w:val="Comment Text Char"/>
    <w:basedOn w:val="DefaultParagraphFont"/>
    <w:link w:val="CommentText"/>
    <w:uiPriority w:val="99"/>
    <w:rsid w:val="0007292A"/>
  </w:style>
  <w:style w:type="paragraph" w:styleId="CommentSubject">
    <w:name w:val="annotation subject"/>
    <w:basedOn w:val="CommentText"/>
    <w:next w:val="CommentText"/>
    <w:link w:val="CommentSubjectChar"/>
    <w:uiPriority w:val="99"/>
    <w:semiHidden/>
    <w:unhideWhenUsed/>
    <w:locked/>
    <w:rsid w:val="0007292A"/>
    <w:rPr>
      <w:b/>
      <w:bCs/>
    </w:rPr>
  </w:style>
  <w:style w:type="character" w:styleId="CommentSubjectChar" w:customStyle="1">
    <w:name w:val="Comment Subject Char"/>
    <w:basedOn w:val="CommentTextChar"/>
    <w:link w:val="CommentSubject"/>
    <w:uiPriority w:val="99"/>
    <w:semiHidden/>
    <w:rsid w:val="0007292A"/>
    <w:rPr>
      <w:b/>
      <w:bCs/>
    </w:rPr>
  </w:style>
  <w:style w:type="table" w:styleId="PlainTable1">
    <w:name w:val="Plain Table 1"/>
    <w:basedOn w:val="TableNormal"/>
    <w:uiPriority w:val="41"/>
    <w:locked/>
    <w:rsid w:val="0007292A"/>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7292A"/>
    <w:pPr>
      <w:spacing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tyle1" w:customStyle="1">
    <w:name w:val="Style1"/>
    <w:basedOn w:val="TableNormal"/>
    <w:uiPriority w:val="99"/>
    <w:semiHidden/>
    <w:rsid w:val="00FB4765"/>
    <w:pPr>
      <w:spacing w:line="240" w:lineRule="auto"/>
    </w:pPr>
    <w:tblPr/>
  </w:style>
  <w:style w:type="table" w:styleId="Style2" w:customStyle="1">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7292A"/>
    <w:pPr>
      <w:spacing w:line="240" w:lineRule="auto"/>
    </w:pPr>
    <w:tblPr>
      <w:tblStyleRowBandSize w:val="1"/>
      <w:tblStyleColBandSize w:val="1"/>
      <w:tblBorders>
        <w:top w:val="single" w:color="DEDEDE" w:themeColor="accent6" w:themeTint="99" w:sz="4" w:space="0"/>
        <w:left w:val="single" w:color="DEDEDE" w:themeColor="accent6" w:themeTint="99" w:sz="4" w:space="0"/>
        <w:bottom w:val="single" w:color="DEDEDE" w:themeColor="accent6" w:themeTint="99" w:sz="4" w:space="0"/>
        <w:right w:val="single" w:color="DEDEDE" w:themeColor="accent6" w:themeTint="99" w:sz="4" w:space="0"/>
        <w:insideH w:val="single" w:color="DEDEDE" w:themeColor="accent6" w:themeTint="99" w:sz="4" w:space="0"/>
        <w:insideV w:val="single" w:color="DEDEDE" w:themeColor="accent6" w:themeTint="99" w:sz="4" w:space="0"/>
      </w:tblBorders>
    </w:tblPr>
    <w:tblStylePr w:type="firstRow">
      <w:rPr>
        <w:b/>
        <w:bCs/>
        <w:color w:val="FFFFFF" w:themeColor="background1"/>
      </w:rPr>
      <w:tblPr/>
      <w:tcPr>
        <w:tcBorders>
          <w:top w:val="single" w:color="C8C8C8" w:themeColor="accent6" w:sz="4" w:space="0"/>
          <w:left w:val="single" w:color="C8C8C8" w:themeColor="accent6" w:sz="4" w:space="0"/>
          <w:bottom w:val="single" w:color="C8C8C8" w:themeColor="accent6" w:sz="4" w:space="0"/>
          <w:right w:val="single" w:color="C8C8C8" w:themeColor="accent6" w:sz="4" w:space="0"/>
          <w:insideH w:val="nil"/>
          <w:insideV w:val="nil"/>
        </w:tcBorders>
        <w:shd w:val="clear" w:color="auto" w:fill="C8C8C8" w:themeFill="accent6"/>
      </w:tcPr>
    </w:tblStylePr>
    <w:tblStylePr w:type="lastRow">
      <w:rPr>
        <w:b/>
        <w:bCs/>
      </w:rPr>
      <w:tblPr/>
      <w:tcPr>
        <w:tcBorders>
          <w:top w:val="double" w:color="C8C8C8" w:themeColor="accent6" w:sz="4" w:space="0"/>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styleId="TableText3Roman" w:customStyle="1">
    <w:name w:val="Table Text 3 Roman"/>
    <w:basedOn w:val="TableText"/>
    <w:uiPriority w:val="99"/>
    <w:semiHidden/>
    <w:rsid w:val="008E484D"/>
    <w:pPr>
      <w:numPr>
        <w:ilvl w:val="2"/>
        <w:numId w:val="14"/>
      </w:numPr>
    </w:pPr>
  </w:style>
  <w:style w:type="paragraph" w:styleId="BodyTextBold" w:customStyle="1">
    <w:name w:val="Body Text Bold"/>
    <w:basedOn w:val="BodyText"/>
    <w:next w:val="BodyText"/>
    <w:uiPriority w:val="99"/>
    <w:semiHidden/>
    <w:rsid w:val="00DF23AB"/>
    <w:rPr>
      <w:b/>
    </w:rPr>
  </w:style>
  <w:style w:type="paragraph" w:styleId="TableTextBold" w:customStyle="1">
    <w:name w:val="Table Text Bold"/>
    <w:basedOn w:val="TableText"/>
    <w:next w:val="TableText"/>
    <w:uiPriority w:val="99"/>
    <w:semiHidden/>
    <w:rsid w:val="00767E98"/>
    <w:rPr>
      <w:b/>
    </w:rPr>
  </w:style>
  <w:style w:type="paragraph" w:styleId="TableHeading2" w:customStyle="1">
    <w:name w:val="Table Heading 2"/>
    <w:basedOn w:val="Normal"/>
    <w:uiPriority w:val="4"/>
    <w:qFormat/>
    <w:rsid w:val="0007292A"/>
    <w:pPr>
      <w:spacing w:before="60" w:after="60"/>
    </w:pPr>
    <w:rPr>
      <w:b/>
    </w:rPr>
  </w:style>
  <w:style w:type="character" w:styleId="Hyperlink">
    <w:name w:val="Hyperlink"/>
    <w:basedOn w:val="DefaultParagraphFont"/>
    <w:uiPriority w:val="99"/>
    <w:unhideWhenUsed/>
    <w:locked/>
    <w:rsid w:val="0007292A"/>
    <w:rPr>
      <w:color w:val="231EDC" w:themeColor="hyperlink"/>
      <w:u w:val="single"/>
    </w:rPr>
  </w:style>
  <w:style w:type="paragraph" w:styleId="DocumentSubject" w:customStyle="1">
    <w:name w:val="Document Subject"/>
    <w:basedOn w:val="Normal"/>
    <w:uiPriority w:val="99"/>
    <w:semiHidden/>
    <w:rsid w:val="0007292A"/>
    <w:pPr>
      <w:spacing w:before="360" w:after="240"/>
    </w:pPr>
    <w:rPr>
      <w:rFonts w:asciiTheme="minorHAnsi" w:hAnsiTheme="minorHAnsi"/>
      <w:b/>
      <w:color w:val="231EDC" w:themeColor="accent1"/>
      <w:sz w:val="24"/>
    </w:rPr>
  </w:style>
  <w:style w:type="character" w:styleId="Heading4Char" w:customStyle="1">
    <w:name w:val="Heading 4 Char"/>
    <w:basedOn w:val="DefaultParagraphFont"/>
    <w:link w:val="Heading4"/>
    <w:rsid w:val="0007292A"/>
    <w:rPr>
      <w:rFonts w:eastAsiaTheme="majorEastAsia" w:cstheme="majorBidi"/>
      <w:b/>
      <w:iCs/>
      <w:sz w:val="24"/>
    </w:rPr>
  </w:style>
  <w:style w:type="character" w:styleId="Heading5Char" w:customStyle="1">
    <w:name w:val="Heading 5 Char"/>
    <w:basedOn w:val="DefaultParagraphFont"/>
    <w:link w:val="Heading5"/>
    <w:rsid w:val="0007292A"/>
    <w:rPr>
      <w:rFonts w:eastAsiaTheme="majorEastAsia" w:cstheme="majorBidi"/>
      <w:b/>
      <w:sz w:val="22"/>
    </w:rPr>
  </w:style>
  <w:style w:type="character" w:styleId="Heading6Char" w:customStyle="1">
    <w:name w:val="Heading 6 Char"/>
    <w:basedOn w:val="DefaultParagraphFont"/>
    <w:link w:val="Heading6"/>
    <w:rsid w:val="0007292A"/>
    <w:rPr>
      <w:rFonts w:eastAsiaTheme="majorEastAsia" w:cstheme="majorBidi"/>
      <w:b/>
    </w:rPr>
  </w:style>
  <w:style w:type="character" w:styleId="Heading7Char" w:customStyle="1">
    <w:name w:val="Heading 7 Char"/>
    <w:basedOn w:val="DefaultParagraphFont"/>
    <w:link w:val="Heading7"/>
    <w:uiPriority w:val="9"/>
    <w:semiHidden/>
    <w:rsid w:val="0007292A"/>
    <w:rPr>
      <w:rFonts w:eastAsiaTheme="majorEastAsia" w:cstheme="majorBidi"/>
      <w:i/>
      <w:iCs/>
      <w:color w:val="110F6D" w:themeColor="accent1" w:themeShade="7F"/>
    </w:rPr>
  </w:style>
  <w:style w:type="character" w:styleId="Heading8Char" w:customStyle="1">
    <w:name w:val="Heading 8 Char"/>
    <w:basedOn w:val="DefaultParagraphFont"/>
    <w:link w:val="Heading8"/>
    <w:uiPriority w:val="9"/>
    <w:semiHidden/>
    <w:rsid w:val="0007292A"/>
    <w:rPr>
      <w:rFonts w:eastAsiaTheme="majorEastAsia" w:cstheme="majorBidi"/>
      <w:color w:val="272727" w:themeColor="text1" w:themeTint="D8"/>
      <w:sz w:val="21"/>
      <w:szCs w:val="21"/>
    </w:rPr>
  </w:style>
  <w:style w:type="character" w:styleId="Heading9Char" w:customStyle="1">
    <w:name w:val="Heading 9 Char"/>
    <w:aliases w:val="Appendix Char,Appendix Heading 1 Char"/>
    <w:basedOn w:val="DefaultParagraphFont"/>
    <w:link w:val="Heading9"/>
    <w:uiPriority w:val="19"/>
    <w:rsid w:val="0007292A"/>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styleId="TableTextItalic" w:customStyle="1">
    <w:name w:val="Table Text Italic"/>
    <w:basedOn w:val="TableText"/>
    <w:uiPriority w:val="99"/>
    <w:semiHidden/>
    <w:rsid w:val="00767E98"/>
    <w:rPr>
      <w:i/>
    </w:rPr>
  </w:style>
  <w:style w:type="paragraph" w:styleId="CaptionSubText" w:customStyle="1">
    <w:name w:val="Caption Sub Text"/>
    <w:basedOn w:val="Caption"/>
    <w:next w:val="BodyText"/>
    <w:uiPriority w:val="99"/>
    <w:semiHidden/>
    <w:rsid w:val="004B2105"/>
    <w:rPr>
      <w:rFonts w:cs="Jacobs Chronos Light"/>
      <w:b w:val="0"/>
      <w:szCs w:val="16"/>
    </w:rPr>
  </w:style>
  <w:style w:type="paragraph" w:styleId="Footnote" w:customStyle="1">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styleId="QuoteText" w:customStyle="1">
    <w:name w:val="Quote Text"/>
    <w:basedOn w:val="Normal"/>
    <w:uiPriority w:val="7"/>
    <w:rsid w:val="0007292A"/>
    <w:pPr>
      <w:spacing w:before="60" w:after="40"/>
    </w:pPr>
    <w:rPr>
      <w:rFonts w:asciiTheme="minorHAnsi" w:hAnsiTheme="minorHAnsi"/>
      <w:i/>
      <w:color w:val="231EDC" w:themeColor="accent1"/>
    </w:rPr>
  </w:style>
  <w:style w:type="paragraph" w:styleId="QuoteAuthor" w:customStyle="1">
    <w:name w:val="Quote Author"/>
    <w:basedOn w:val="Normal"/>
    <w:uiPriority w:val="8"/>
    <w:rsid w:val="0007292A"/>
    <w:pPr>
      <w:spacing w:before="40" w:after="40"/>
    </w:pPr>
    <w:rPr>
      <w:rFonts w:asciiTheme="minorHAnsi" w:hAnsiTheme="minorHAnsi"/>
      <w:color w:val="333333" w:themeColor="text2"/>
    </w:rPr>
  </w:style>
  <w:style w:type="paragraph" w:styleId="QuoteAuthorTitle" w:customStyle="1">
    <w:name w:val="Quote Author Title"/>
    <w:basedOn w:val="Normal"/>
    <w:next w:val="BodyText"/>
    <w:uiPriority w:val="8"/>
    <w:rsid w:val="0007292A"/>
    <w:pPr>
      <w:spacing w:before="40" w:after="60"/>
    </w:pPr>
    <w:rPr>
      <w:rFonts w:asciiTheme="minorHAnsi" w:hAnsiTheme="minorHAnsi"/>
      <w:i/>
      <w:color w:val="333333" w:themeColor="text2"/>
      <w:sz w:val="16"/>
    </w:rPr>
  </w:style>
  <w:style w:type="paragraph" w:styleId="FigureCaption" w:customStyle="1">
    <w:name w:val="Figure Caption"/>
    <w:basedOn w:val="Caption"/>
    <w:next w:val="BodyText"/>
    <w:uiPriority w:val="99"/>
    <w:semiHidden/>
    <w:rsid w:val="0007292A"/>
  </w:style>
  <w:style w:type="paragraph" w:styleId="TableNumberandTitle" w:customStyle="1">
    <w:name w:val="Table Number and Title"/>
    <w:next w:val="TableCaption"/>
    <w:uiPriority w:val="99"/>
    <w:semiHidden/>
    <w:rsid w:val="00552B1D"/>
    <w:pPr>
      <w:keepNext/>
      <w:numPr>
        <w:numId w:val="15"/>
      </w:numPr>
      <w:spacing w:before="120" w:after="40"/>
    </w:pPr>
    <w:rPr>
      <w:b/>
      <w:color w:val="333333"/>
    </w:rPr>
  </w:style>
  <w:style w:type="paragraph" w:styleId="TableCaption" w:customStyle="1">
    <w:name w:val="Table Caption"/>
    <w:basedOn w:val="Caption"/>
    <w:next w:val="BodyText"/>
    <w:uiPriority w:val="99"/>
    <w:semiHidden/>
    <w:rsid w:val="0007292A"/>
  </w:style>
  <w:style w:type="numbering" w:styleId="JacobsNumberedHeadings" w:customStyle="1">
    <w:name w:val="Jacobs Numbered Headings"/>
    <w:uiPriority w:val="99"/>
    <w:semiHidden/>
    <w:rsid w:val="004B2105"/>
    <w:pPr>
      <w:numPr>
        <w:numId w:val="10"/>
      </w:numPr>
    </w:pPr>
  </w:style>
  <w:style w:type="numbering" w:styleId="JacobsAppendixHeadings" w:customStyle="1">
    <w:name w:val="Jacobs Appendix Headings"/>
    <w:uiPriority w:val="99"/>
    <w:semiHidden/>
    <w:rsid w:val="00D303A2"/>
    <w:pPr>
      <w:numPr>
        <w:numId w:val="9"/>
      </w:numPr>
    </w:pPr>
  </w:style>
  <w:style w:type="numbering" w:styleId="JacobsSequential111Format" w:customStyle="1">
    <w:name w:val="Jacobs Sequential 1.1.1 Format"/>
    <w:uiPriority w:val="99"/>
    <w:semiHidden/>
    <w:rsid w:val="002D7A04"/>
    <w:pPr>
      <w:numPr>
        <w:numId w:val="7"/>
      </w:numPr>
    </w:pPr>
  </w:style>
  <w:style w:type="paragraph" w:styleId="InstructionalText" w:customStyle="1">
    <w:name w:val="Instructional Text"/>
    <w:uiPriority w:val="99"/>
    <w:semiHidden/>
    <w:rsid w:val="004B2105"/>
    <w:pPr>
      <w:spacing w:before="120" w:after="120"/>
    </w:pPr>
    <w:rPr>
      <w:i/>
      <w:sz w:val="18"/>
    </w:rPr>
  </w:style>
  <w:style w:type="numbering" w:styleId="REMOVE" w:customStyle="1">
    <w:name w:val="REMOVE"/>
    <w:uiPriority w:val="99"/>
    <w:semiHidden/>
    <w:rsid w:val="00D743AC"/>
    <w:pPr>
      <w:numPr>
        <w:numId w:val="5"/>
      </w:numPr>
    </w:pPr>
  </w:style>
  <w:style w:type="paragraph" w:styleId="BodyText4Number" w:customStyle="1">
    <w:name w:val="Body Text 4 Number"/>
    <w:basedOn w:val="Normal"/>
    <w:uiPriority w:val="2"/>
    <w:rsid w:val="0007292A"/>
    <w:pPr>
      <w:numPr>
        <w:ilvl w:val="3"/>
        <w:numId w:val="23"/>
      </w:numPr>
      <w:spacing w:after="120"/>
      <w:contextualSpacing/>
    </w:pPr>
  </w:style>
  <w:style w:type="paragraph" w:styleId="TOC1">
    <w:name w:val="toc 1"/>
    <w:basedOn w:val="Normal"/>
    <w:next w:val="Normal"/>
    <w:autoRedefine/>
    <w:uiPriority w:val="39"/>
    <w:locked/>
    <w:rsid w:val="0007292A"/>
    <w:pPr>
      <w:spacing w:after="100"/>
      <w:ind w:left="567" w:hanging="567"/>
    </w:pPr>
    <w:rPr>
      <w:b/>
    </w:rPr>
  </w:style>
  <w:style w:type="paragraph" w:styleId="TOC2">
    <w:name w:val="toc 2"/>
    <w:basedOn w:val="Normal"/>
    <w:next w:val="Normal"/>
    <w:autoRedefine/>
    <w:uiPriority w:val="39"/>
    <w:locked/>
    <w:rsid w:val="0007292A"/>
    <w:pPr>
      <w:spacing w:after="100"/>
      <w:ind w:left="1134" w:hanging="567"/>
    </w:pPr>
  </w:style>
  <w:style w:type="paragraph" w:styleId="TOC3">
    <w:name w:val="toc 3"/>
    <w:basedOn w:val="Normal"/>
    <w:next w:val="Normal"/>
    <w:autoRedefine/>
    <w:uiPriority w:val="99"/>
    <w:semiHidden/>
    <w:locked/>
    <w:rsid w:val="0007292A"/>
    <w:pPr>
      <w:spacing w:after="100"/>
      <w:ind w:left="1701" w:hanging="567"/>
    </w:pPr>
  </w:style>
  <w:style w:type="paragraph" w:styleId="TOCHeading">
    <w:name w:val="TOC Heading"/>
    <w:basedOn w:val="Normal"/>
    <w:next w:val="Normal"/>
    <w:uiPriority w:val="99"/>
    <w:semiHidden/>
    <w:locked/>
    <w:rsid w:val="0007292A"/>
    <w:pPr>
      <w:spacing w:before="120" w:after="120"/>
      <w:outlineLvl w:val="0"/>
    </w:pPr>
    <w:rPr>
      <w:b/>
      <w:color w:val="231EDC" w:themeColor="accent1"/>
      <w:sz w:val="28"/>
    </w:rPr>
  </w:style>
  <w:style w:type="paragraph" w:styleId="TableBullet2ndLevel" w:customStyle="1">
    <w:name w:val="Table Bullet 2nd Level"/>
    <w:basedOn w:val="TableBullet"/>
    <w:uiPriority w:val="99"/>
    <w:semiHidden/>
    <w:rsid w:val="00025ACF"/>
    <w:pPr>
      <w:numPr>
        <w:numId w:val="6"/>
      </w:numPr>
      <w:ind w:left="340" w:hanging="170"/>
    </w:pPr>
  </w:style>
  <w:style w:type="numbering" w:styleId="JacobsTableNumbersList" w:customStyle="1">
    <w:name w:val="Jacobs Table Numbers List"/>
    <w:uiPriority w:val="99"/>
    <w:semiHidden/>
    <w:rsid w:val="008E484D"/>
    <w:pPr>
      <w:numPr>
        <w:numId w:val="8"/>
      </w:numPr>
    </w:pPr>
  </w:style>
  <w:style w:type="paragraph" w:styleId="FootnoteText">
    <w:name w:val="footnote text"/>
    <w:basedOn w:val="Normal"/>
    <w:link w:val="FootnoteTextChar"/>
    <w:uiPriority w:val="99"/>
    <w:semiHidden/>
    <w:locked/>
    <w:rsid w:val="0007292A"/>
    <w:pPr>
      <w:spacing w:before="60" w:after="60"/>
      <w:ind w:left="176" w:hanging="176"/>
    </w:pPr>
    <w:rPr>
      <w:sz w:val="16"/>
    </w:rPr>
  </w:style>
  <w:style w:type="character" w:styleId="FootnoteTextChar" w:customStyle="1">
    <w:name w:val="Footnote Text Char"/>
    <w:basedOn w:val="DefaultParagraphFont"/>
    <w:link w:val="FootnoteText"/>
    <w:uiPriority w:val="99"/>
    <w:semiHidden/>
    <w:rsid w:val="0007292A"/>
    <w:rPr>
      <w:sz w:val="16"/>
    </w:rPr>
  </w:style>
  <w:style w:type="paragraph" w:styleId="HeaderSpacer" w:customStyle="1">
    <w:name w:val="Header Spacer"/>
    <w:basedOn w:val="Header"/>
    <w:uiPriority w:val="99"/>
    <w:semiHidden/>
    <w:rsid w:val="0007292A"/>
    <w:rPr>
      <w:sz w:val="16"/>
    </w:rPr>
  </w:style>
  <w:style w:type="paragraph" w:styleId="AcronymText" w:customStyle="1">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7292A"/>
    <w:pPr>
      <w:spacing w:before="180" w:after="60"/>
    </w:pPr>
  </w:style>
  <w:style w:type="character" w:styleId="BodyTextChar" w:customStyle="1">
    <w:name w:val="Body Text Char"/>
    <w:basedOn w:val="DefaultParagraphFont"/>
    <w:link w:val="BodyText"/>
    <w:rsid w:val="0007292A"/>
  </w:style>
  <w:style w:type="paragraph" w:styleId="TableNotes" w:customStyle="1">
    <w:name w:val="Table Notes"/>
    <w:basedOn w:val="Normal"/>
    <w:uiPriority w:val="6"/>
    <w:qFormat/>
    <w:rsid w:val="0007292A"/>
    <w:pPr>
      <w:spacing w:before="80" w:after="80"/>
    </w:pPr>
    <w:rPr>
      <w:sz w:val="16"/>
    </w:rPr>
  </w:style>
  <w:style w:type="paragraph" w:styleId="Caption">
    <w:name w:val="caption"/>
    <w:basedOn w:val="Normal"/>
    <w:next w:val="BodyText"/>
    <w:uiPriority w:val="99"/>
    <w:semiHidden/>
    <w:qFormat/>
    <w:locked/>
    <w:rsid w:val="0007292A"/>
    <w:pPr>
      <w:keepNext/>
      <w:spacing w:before="120" w:after="40"/>
    </w:pPr>
    <w:rPr>
      <w:b/>
      <w:iCs/>
      <w:color w:val="333333" w:themeColor="text2"/>
      <w:szCs w:val="18"/>
    </w:rPr>
  </w:style>
  <w:style w:type="paragraph" w:styleId="TableNotesIndented" w:customStyle="1">
    <w:name w:val="Table Notes Indented"/>
    <w:basedOn w:val="Normal"/>
    <w:uiPriority w:val="6"/>
    <w:qFormat/>
    <w:rsid w:val="0007292A"/>
    <w:pPr>
      <w:spacing w:before="80" w:after="80"/>
      <w:ind w:left="113"/>
    </w:pPr>
    <w:rPr>
      <w:sz w:val="16"/>
    </w:rPr>
  </w:style>
  <w:style w:type="character" w:styleId="PlaceholderText">
    <w:name w:val="Placeholder Text"/>
    <w:basedOn w:val="DefaultParagraphFont"/>
    <w:uiPriority w:val="99"/>
    <w:semiHidden/>
    <w:locked/>
    <w:rsid w:val="0007292A"/>
    <w:rPr>
      <w:i/>
      <w:color w:val="auto"/>
      <w:bdr w:val="none" w:color="auto" w:sz="0" w:space="0"/>
      <w:shd w:val="clear" w:color="auto" w:fill="auto"/>
    </w:rPr>
  </w:style>
  <w:style w:type="paragraph" w:styleId="TableBullet3rdLevel" w:customStyle="1">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semiHidden/>
    <w:unhideWhenUsed/>
    <w:locked/>
    <w:rsid w:val="0007292A"/>
    <w:rPr>
      <w:vertAlign w:val="superscript"/>
    </w:rPr>
  </w:style>
  <w:style w:type="numbering" w:styleId="JacobsTableNumberTitle" w:customStyle="1">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7292A"/>
    <w:pPr>
      <w:spacing w:after="120"/>
    </w:pPr>
    <w:rPr>
      <w:sz w:val="16"/>
      <w:szCs w:val="16"/>
    </w:rPr>
  </w:style>
  <w:style w:type="character" w:styleId="BodyText3Char" w:customStyle="1">
    <w:name w:val="Body Text 3 Char"/>
    <w:basedOn w:val="DefaultParagraphFont"/>
    <w:link w:val="BodyText3"/>
    <w:uiPriority w:val="99"/>
    <w:semiHidden/>
    <w:rsid w:val="0007292A"/>
    <w:rPr>
      <w:sz w:val="16"/>
      <w:szCs w:val="16"/>
    </w:rPr>
  </w:style>
  <w:style w:type="numbering" w:styleId="FigureNumberTitle" w:customStyle="1">
    <w:name w:val="Figure Number &amp; Title"/>
    <w:uiPriority w:val="99"/>
    <w:semiHidden/>
    <w:rsid w:val="00552B1D"/>
    <w:pPr>
      <w:numPr>
        <w:numId w:val="13"/>
      </w:numPr>
    </w:pPr>
  </w:style>
  <w:style w:type="paragraph" w:styleId="TableHeadingWhite" w:customStyle="1">
    <w:name w:val="Table Heading White"/>
    <w:basedOn w:val="Normal"/>
    <w:uiPriority w:val="3"/>
    <w:qFormat/>
    <w:rsid w:val="0007292A"/>
    <w:pPr>
      <w:keepNext/>
      <w:spacing w:before="60" w:after="60"/>
    </w:pPr>
    <w:rPr>
      <w:rFonts w:asciiTheme="minorHAnsi" w:hAnsiTheme="minorHAnsi"/>
      <w:b/>
      <w:color w:val="FFFFFF" w:themeColor="background1"/>
      <w:sz w:val="22"/>
    </w:rPr>
  </w:style>
  <w:style w:type="paragraph" w:styleId="ListParagraph">
    <w:name w:val="List Paragraph"/>
    <w:basedOn w:val="Normal"/>
    <w:uiPriority w:val="99"/>
    <w:semiHidden/>
    <w:qFormat/>
    <w:locked/>
    <w:rsid w:val="0007292A"/>
    <w:pPr>
      <w:ind w:left="720"/>
      <w:contextualSpacing/>
    </w:pPr>
  </w:style>
  <w:style w:type="paragraph" w:styleId="BlankPage" w:customStyle="1">
    <w:name w:val="Blank Page"/>
    <w:basedOn w:val="Normal"/>
    <w:uiPriority w:val="99"/>
    <w:semiHidden/>
    <w:rsid w:val="0007292A"/>
    <w:rPr>
      <w:rFonts w:cs="Jacobs Chronos Light" w:eastAsiaTheme="majorEastAsia"/>
      <w:b/>
      <w:color w:val="231EDC" w:themeColor="accent1"/>
      <w:sz w:val="28"/>
      <w:szCs w:val="56"/>
    </w:rPr>
  </w:style>
  <w:style w:type="table" w:styleId="TableGrid1" w:customStyle="1">
    <w:name w:val="Table Grid1"/>
    <w:basedOn w:val="TableNormal"/>
    <w:next w:val="TableGrid"/>
    <w:uiPriority w:val="99"/>
    <w:semiHidden/>
    <w:locked/>
    <w:rsid w:val="00F2580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99"/>
    <w:semiHidden/>
    <w:qFormat/>
    <w:locked/>
    <w:rsid w:val="0007292A"/>
    <w:pPr>
      <w:spacing w:line="240" w:lineRule="auto"/>
    </w:pPr>
  </w:style>
  <w:style w:type="numbering" w:styleId="Headings" w:customStyle="1">
    <w:name w:val="Headings"/>
    <w:uiPriority w:val="99"/>
    <w:semiHidden/>
    <w:rsid w:val="0007292A"/>
    <w:pPr>
      <w:numPr>
        <w:numId w:val="20"/>
      </w:numPr>
    </w:pPr>
  </w:style>
  <w:style w:type="paragraph" w:styleId="TableNumber" w:customStyle="1">
    <w:name w:val="Table Number"/>
    <w:basedOn w:val="Normal"/>
    <w:uiPriority w:val="5"/>
    <w:rsid w:val="0007292A"/>
    <w:pPr>
      <w:numPr>
        <w:numId w:val="31"/>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7292A"/>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semiHidden/>
    <w:rsid w:val="0007292A"/>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7292A"/>
  </w:style>
  <w:style w:type="paragraph" w:styleId="BlockText">
    <w:name w:val="Block Text"/>
    <w:basedOn w:val="Normal"/>
    <w:uiPriority w:val="99"/>
    <w:semiHidden/>
    <w:unhideWhenUsed/>
    <w:locked/>
    <w:rsid w:val="0007292A"/>
    <w:pPr>
      <w:pBdr>
        <w:top w:val="single" w:color="231EDC" w:themeColor="accent1" w:sz="2" w:space="10" w:frame="1"/>
        <w:left w:val="single" w:color="231EDC" w:themeColor="accent1" w:sz="2" w:space="10" w:frame="1"/>
        <w:bottom w:val="single" w:color="231EDC" w:themeColor="accent1" w:sz="2" w:space="10" w:frame="1"/>
        <w:right w:val="single" w:color="231EDC" w:themeColor="accent1" w:sz="2" w:space="10"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7292A"/>
    <w:pPr>
      <w:spacing w:after="120" w:line="480" w:lineRule="auto"/>
    </w:pPr>
  </w:style>
  <w:style w:type="character" w:styleId="BodyText2Char" w:customStyle="1">
    <w:name w:val="Body Text 2 Char"/>
    <w:basedOn w:val="DefaultParagraphFont"/>
    <w:link w:val="BodyText2"/>
    <w:uiPriority w:val="99"/>
    <w:semiHidden/>
    <w:rsid w:val="0007292A"/>
  </w:style>
  <w:style w:type="paragraph" w:styleId="BodyTextFirstIndent">
    <w:name w:val="Body Text First Indent"/>
    <w:basedOn w:val="BodyText"/>
    <w:link w:val="BodyTextFirstIndentChar"/>
    <w:uiPriority w:val="99"/>
    <w:semiHidden/>
    <w:unhideWhenUsed/>
    <w:locked/>
    <w:rsid w:val="0007292A"/>
    <w:pPr>
      <w:spacing w:after="0"/>
      <w:ind w:firstLine="360"/>
    </w:pPr>
  </w:style>
  <w:style w:type="character" w:styleId="BodyTextFirstIndentChar" w:customStyle="1">
    <w:name w:val="Body Text First Indent Char"/>
    <w:basedOn w:val="BodyTextChar"/>
    <w:link w:val="BodyTextFirstIndent"/>
    <w:uiPriority w:val="99"/>
    <w:semiHidden/>
    <w:rsid w:val="0007292A"/>
  </w:style>
  <w:style w:type="paragraph" w:styleId="BodyTextIndent">
    <w:name w:val="Body Text Indent"/>
    <w:basedOn w:val="Normal"/>
    <w:link w:val="BodyTextIndentChar"/>
    <w:uiPriority w:val="99"/>
    <w:semiHidden/>
    <w:unhideWhenUsed/>
    <w:locked/>
    <w:rsid w:val="000449AA"/>
    <w:pPr>
      <w:spacing w:after="120"/>
      <w:ind w:left="283"/>
    </w:pPr>
  </w:style>
  <w:style w:type="character" w:styleId="BodyTextIndentChar" w:customStyle="1">
    <w:name w:val="Body Text Indent Char"/>
    <w:basedOn w:val="DefaultParagraphFont"/>
    <w:link w:val="BodyTextIndent"/>
    <w:uiPriority w:val="99"/>
    <w:semiHidden/>
    <w:rsid w:val="000449AA"/>
    <w:rPr>
      <w:rFonts w:ascii="Jacobs Chronos" w:hAnsi="Jacobs Chronos" w:eastAsiaTheme="minorEastAsia"/>
      <w:szCs w:val="22"/>
    </w:rPr>
  </w:style>
  <w:style w:type="paragraph" w:styleId="BodyTextFirstIndent2">
    <w:name w:val="Body Text First Indent 2"/>
    <w:basedOn w:val="Normal"/>
    <w:link w:val="BodyTextFirstIndent2Char"/>
    <w:uiPriority w:val="99"/>
    <w:semiHidden/>
    <w:unhideWhenUsed/>
    <w:locked/>
    <w:rsid w:val="0007292A"/>
    <w:pPr>
      <w:ind w:left="360" w:firstLine="360"/>
    </w:pPr>
  </w:style>
  <w:style w:type="character" w:styleId="BodyTextFirstIndent2Char" w:customStyle="1">
    <w:name w:val="Body Text First Indent 2 Char"/>
    <w:basedOn w:val="DefaultParagraphFont"/>
    <w:link w:val="BodyTextFirstIndent2"/>
    <w:uiPriority w:val="99"/>
    <w:semiHidden/>
    <w:rsid w:val="0007292A"/>
  </w:style>
  <w:style w:type="paragraph" w:styleId="BodyTextIndent2">
    <w:name w:val="Body Text Indent 2"/>
    <w:basedOn w:val="Normal"/>
    <w:link w:val="BodyTextIndent2Char"/>
    <w:uiPriority w:val="99"/>
    <w:semiHidden/>
    <w:unhideWhenUsed/>
    <w:locked/>
    <w:rsid w:val="0007292A"/>
    <w:pPr>
      <w:spacing w:after="120" w:line="276" w:lineRule="auto"/>
      <w:ind w:left="1418"/>
    </w:pPr>
  </w:style>
  <w:style w:type="character" w:styleId="BodyTextIndent2Char" w:customStyle="1">
    <w:name w:val="Body Text Indent 2 Char"/>
    <w:basedOn w:val="DefaultParagraphFont"/>
    <w:link w:val="BodyTextIndent2"/>
    <w:uiPriority w:val="99"/>
    <w:semiHidden/>
    <w:rsid w:val="0007292A"/>
  </w:style>
  <w:style w:type="paragraph" w:styleId="BodyTextIndent3">
    <w:name w:val="Body Text Indent 3"/>
    <w:basedOn w:val="Normal"/>
    <w:link w:val="BodyTextIndent3Char"/>
    <w:uiPriority w:val="99"/>
    <w:semiHidden/>
    <w:unhideWhenUsed/>
    <w:locked/>
    <w:rsid w:val="0007292A"/>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07292A"/>
    <w:rPr>
      <w:sz w:val="16"/>
      <w:szCs w:val="16"/>
    </w:rPr>
  </w:style>
  <w:style w:type="character" w:styleId="BookTitle">
    <w:name w:val="Book Title"/>
    <w:basedOn w:val="DefaultParagraphFont"/>
    <w:uiPriority w:val="99"/>
    <w:semiHidden/>
    <w:qFormat/>
    <w:locked/>
    <w:rsid w:val="0007292A"/>
    <w:rPr>
      <w:b/>
      <w:bCs/>
      <w:i/>
      <w:iCs/>
      <w:spacing w:val="5"/>
    </w:rPr>
  </w:style>
  <w:style w:type="paragraph" w:styleId="Closing">
    <w:name w:val="Closing"/>
    <w:basedOn w:val="Normal"/>
    <w:link w:val="ClosingChar"/>
    <w:uiPriority w:val="99"/>
    <w:semiHidden/>
    <w:unhideWhenUsed/>
    <w:locked/>
    <w:rsid w:val="0007292A"/>
    <w:pPr>
      <w:ind w:left="4252"/>
    </w:pPr>
  </w:style>
  <w:style w:type="character" w:styleId="ClosingChar" w:customStyle="1">
    <w:name w:val="Closing Char"/>
    <w:basedOn w:val="DefaultParagraphFont"/>
    <w:link w:val="Closing"/>
    <w:uiPriority w:val="99"/>
    <w:semiHidden/>
    <w:rsid w:val="0007292A"/>
  </w:style>
  <w:style w:type="table" w:styleId="ColorfulGrid">
    <w:name w:val="Colorful Grid"/>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7292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62D4" w:themeFill="accent2" w:themeFillShade="CC"/>
      </w:tcPr>
    </w:tblStylePr>
    <w:tblStylePr w:type="lastRow">
      <w:rPr>
        <w:b/>
        <w:bCs/>
        <w:color w:val="0062D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color="FFFFFF" w:themeColor="background1" w:sz="12" w:space="0"/>
        </w:tcBorders>
        <w:shd w:val="clear" w:color="auto" w:fill="0062D4" w:themeFill="accent2" w:themeFillShade="CC"/>
      </w:tcPr>
    </w:tblStylePr>
    <w:tblStylePr w:type="lastRow">
      <w:rPr>
        <w:b/>
        <w:bCs/>
        <w:color w:val="0062D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color="FFFFFF" w:themeColor="background1" w:sz="12" w:space="0"/>
        </w:tcBorders>
        <w:shd w:val="clear" w:color="auto" w:fill="0062D4" w:themeFill="accent2" w:themeFillShade="CC"/>
      </w:tcPr>
    </w:tblStylePr>
    <w:tblStylePr w:type="lastRow">
      <w:rPr>
        <w:b/>
        <w:bCs/>
        <w:color w:val="0062D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color="FFFFFF" w:themeColor="background1" w:sz="12" w:space="0"/>
        </w:tcBorders>
        <w:shd w:val="clear" w:color="auto" w:fill="001844" w:themeFill="accent4" w:themeFillShade="CC"/>
      </w:tcPr>
    </w:tblStylePr>
    <w:tblStylePr w:type="lastRow">
      <w:rPr>
        <w:b/>
        <w:bCs/>
        <w:color w:val="001844"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color="FFFFFF" w:themeColor="background1" w:sz="12" w:space="0"/>
        </w:tcBorders>
        <w:shd w:val="clear" w:color="auto" w:fill="15DBFF" w:themeFill="accent3" w:themeFillShade="CC"/>
      </w:tcPr>
    </w:tblStylePr>
    <w:tblStylePr w:type="lastRow">
      <w:rPr>
        <w:b/>
        <w:bCs/>
        <w:color w:val="15DBFF"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color="FFFFFF" w:themeColor="background1" w:sz="12" w:space="0"/>
        </w:tcBorders>
        <w:shd w:val="clear" w:color="auto" w:fill="A0A0A0" w:themeFill="accent6" w:themeFillShade="CC"/>
      </w:tcPr>
    </w:tblStylePr>
    <w:tblStylePr w:type="lastRow">
      <w:rPr>
        <w:b/>
        <w:bCs/>
        <w:color w:val="A0A0A0"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7292A"/>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color="FFFFFF" w:themeColor="background1" w:sz="12" w:space="0"/>
        </w:tcBorders>
        <w:shd w:val="clear" w:color="auto" w:fill="848484" w:themeFill="accent5" w:themeFillShade="CC"/>
      </w:tcPr>
    </w:tblStylePr>
    <w:tblStylePr w:type="lastRow">
      <w:rPr>
        <w:b/>
        <w:bCs/>
        <w:color w:val="848484"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0A7DFF"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A7DF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0A7DFF" w:themeColor="accent2" w:sz="24" w:space="0"/>
        <w:left w:val="single" w:color="231EDC" w:themeColor="accent1" w:sz="4" w:space="0"/>
        <w:bottom w:val="single" w:color="231EDC" w:themeColor="accent1" w:sz="4" w:space="0"/>
        <w:right w:val="single" w:color="231EDC" w:themeColor="accent1" w:sz="4" w:space="0"/>
        <w:insideH w:val="single" w:color="FFFFFF" w:themeColor="background1" w:sz="4" w:space="0"/>
        <w:insideV w:val="single" w:color="FFFFFF" w:themeColor="background1" w:sz="4" w:space="0"/>
      </w:tblBorders>
    </w:tblPr>
    <w:tcPr>
      <w:shd w:val="clear" w:color="auto" w:fill="E8E8FC" w:themeFill="accent1" w:themeFillTint="19"/>
    </w:tcPr>
    <w:tblStylePr w:type="firstRow">
      <w:rPr>
        <w:b/>
        <w:bCs/>
      </w:rPr>
      <w:tblPr/>
      <w:tcPr>
        <w:tcBorders>
          <w:top w:val="nil"/>
          <w:left w:val="nil"/>
          <w:bottom w:val="single" w:color="0A7DF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color="141283" w:themeColor="accent1" w:themeShade="99" w:sz="4" w:space="0"/>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0A7DFF" w:themeColor="accent2" w:sz="24" w:space="0"/>
        <w:left w:val="single" w:color="0A7DFF" w:themeColor="accent2" w:sz="4" w:space="0"/>
        <w:bottom w:val="single" w:color="0A7DFF" w:themeColor="accent2" w:sz="4" w:space="0"/>
        <w:right w:val="single" w:color="0A7DFF" w:themeColor="accent2" w:sz="4" w:space="0"/>
        <w:insideH w:val="single" w:color="FFFFFF" w:themeColor="background1" w:sz="4" w:space="0"/>
        <w:insideV w:val="single" w:color="FFFFFF" w:themeColor="background1" w:sz="4" w:space="0"/>
      </w:tblBorders>
    </w:tblPr>
    <w:tcPr>
      <w:shd w:val="clear" w:color="auto" w:fill="E6F2FF" w:themeFill="accent2" w:themeFillTint="19"/>
    </w:tcPr>
    <w:tblStylePr w:type="firstRow">
      <w:rPr>
        <w:b/>
        <w:bCs/>
      </w:rPr>
      <w:tblPr/>
      <w:tcPr>
        <w:tcBorders>
          <w:top w:val="nil"/>
          <w:left w:val="nil"/>
          <w:bottom w:val="single" w:color="0A7DF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color="004A9F" w:themeColor="accent2" w:themeShade="99" w:sz="4" w:space="0"/>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001E55" w:themeColor="accent4" w:sz="24" w:space="0"/>
        <w:left w:val="single" w:color="5AE6FF" w:themeColor="accent3" w:sz="4" w:space="0"/>
        <w:bottom w:val="single" w:color="5AE6FF" w:themeColor="accent3" w:sz="4" w:space="0"/>
        <w:right w:val="single" w:color="5AE6FF" w:themeColor="accent3" w:sz="4" w:space="0"/>
        <w:insideH w:val="single" w:color="FFFFFF" w:themeColor="background1" w:sz="4" w:space="0"/>
        <w:insideV w:val="single" w:color="FFFFFF" w:themeColor="background1" w:sz="4" w:space="0"/>
      </w:tblBorders>
    </w:tblPr>
    <w:tcPr>
      <w:shd w:val="clear" w:color="auto" w:fill="EEFCFF" w:themeFill="accent3" w:themeFillTint="19"/>
    </w:tcPr>
    <w:tblStylePr w:type="firstRow">
      <w:rPr>
        <w:b/>
        <w:bCs/>
      </w:rPr>
      <w:tblPr/>
      <w:tcPr>
        <w:tcBorders>
          <w:top w:val="nil"/>
          <w:left w:val="nil"/>
          <w:bottom w:val="single" w:color="001E55"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color="00AFCF" w:themeColor="accent3" w:themeShade="99" w:sz="4" w:space="0"/>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5AE6FF" w:themeColor="accent3" w:sz="24" w:space="0"/>
        <w:left w:val="single" w:color="001E55" w:themeColor="accent4" w:sz="4" w:space="0"/>
        <w:bottom w:val="single" w:color="001E55" w:themeColor="accent4" w:sz="4" w:space="0"/>
        <w:right w:val="single" w:color="001E55" w:themeColor="accent4" w:sz="4" w:space="0"/>
        <w:insideH w:val="single" w:color="FFFFFF" w:themeColor="background1" w:sz="4" w:space="0"/>
        <w:insideV w:val="single" w:color="FFFFFF" w:themeColor="background1" w:sz="4" w:space="0"/>
      </w:tblBorders>
    </w:tblPr>
    <w:tcPr>
      <w:shd w:val="clear" w:color="auto" w:fill="D5E4FF" w:themeFill="accent4" w:themeFillTint="19"/>
    </w:tcPr>
    <w:tblStylePr w:type="firstRow">
      <w:rPr>
        <w:b/>
        <w:bCs/>
      </w:rPr>
      <w:tblPr/>
      <w:tcPr>
        <w:tcBorders>
          <w:top w:val="nil"/>
          <w:left w:val="nil"/>
          <w:bottom w:val="single" w:color="5AE6FF"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color="001233" w:themeColor="accent4" w:themeShade="99" w:sz="4" w:space="0"/>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C8C8C8" w:themeColor="accent6" w:sz="24" w:space="0"/>
        <w:left w:val="single" w:color="A5A5A5" w:themeColor="accent5" w:sz="4" w:space="0"/>
        <w:bottom w:val="single" w:color="A5A5A5" w:themeColor="accent5" w:sz="4" w:space="0"/>
        <w:right w:val="single" w:color="A5A5A5" w:themeColor="accent5" w:sz="4" w:space="0"/>
        <w:insideH w:val="single" w:color="FFFFFF" w:themeColor="background1" w:sz="4" w:space="0"/>
        <w:insideV w:val="single" w:color="FFFFFF" w:themeColor="background1" w:sz="4" w:space="0"/>
      </w:tblBorders>
    </w:tblPr>
    <w:tcPr>
      <w:shd w:val="clear" w:color="auto" w:fill="F6F6F6" w:themeFill="accent5" w:themeFillTint="19"/>
    </w:tcPr>
    <w:tblStylePr w:type="firstRow">
      <w:rPr>
        <w:b/>
        <w:bCs/>
      </w:rPr>
      <w:tblPr/>
      <w:tcPr>
        <w:tcBorders>
          <w:top w:val="nil"/>
          <w:left w:val="nil"/>
          <w:bottom w:val="single" w:color="C8C8C8"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color="636363" w:themeColor="accent5" w:themeShade="99" w:sz="4" w:space="0"/>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7292A"/>
    <w:pPr>
      <w:spacing w:line="240" w:lineRule="auto"/>
    </w:pPr>
    <w:rPr>
      <w:color w:val="000000" w:themeColor="text1"/>
    </w:rPr>
    <w:tblPr>
      <w:tblStyleRowBandSize w:val="1"/>
      <w:tblStyleColBandSize w:val="1"/>
      <w:tblBorders>
        <w:top w:val="single" w:color="A5A5A5" w:themeColor="accent5" w:sz="24" w:space="0"/>
        <w:left w:val="single" w:color="C8C8C8" w:themeColor="accent6" w:sz="4" w:space="0"/>
        <w:bottom w:val="single" w:color="C8C8C8" w:themeColor="accent6" w:sz="4" w:space="0"/>
        <w:right w:val="single" w:color="C8C8C8" w:themeColor="accent6" w:sz="4" w:space="0"/>
        <w:insideH w:val="single" w:color="FFFFFF" w:themeColor="background1" w:sz="4" w:space="0"/>
        <w:insideV w:val="single" w:color="FFFFFF" w:themeColor="background1" w:sz="4" w:space="0"/>
      </w:tblBorders>
    </w:tblPr>
    <w:tcPr>
      <w:shd w:val="clear" w:color="auto" w:fill="F9F9F9" w:themeFill="accent6" w:themeFillTint="19"/>
    </w:tcPr>
    <w:tblStylePr w:type="firstRow">
      <w:rPr>
        <w:b/>
        <w:bCs/>
      </w:rPr>
      <w:tblPr/>
      <w:tcPr>
        <w:tcBorders>
          <w:top w:val="nil"/>
          <w:left w:val="nil"/>
          <w:bottom w:val="single" w:color="A5A5A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color="787878" w:themeColor="accent6" w:themeShade="99" w:sz="4" w:space="0"/>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1916A4"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5CC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3D8FF"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163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7292A"/>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95959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7292A"/>
  </w:style>
  <w:style w:type="character" w:styleId="DateChar" w:customStyle="1">
    <w:name w:val="Date Char"/>
    <w:basedOn w:val="DefaultParagraphFont"/>
    <w:link w:val="Date"/>
    <w:uiPriority w:val="99"/>
    <w:semiHidden/>
    <w:rsid w:val="0007292A"/>
  </w:style>
  <w:style w:type="paragraph" w:styleId="DocumentMap">
    <w:name w:val="Document Map"/>
    <w:basedOn w:val="Normal"/>
    <w:link w:val="DocumentMapChar"/>
    <w:uiPriority w:val="99"/>
    <w:semiHidden/>
    <w:unhideWhenUsed/>
    <w:locked/>
    <w:rsid w:val="0007292A"/>
    <w:rPr>
      <w:rFonts w:ascii="Segoe UI" w:hAnsi="Segoe UI" w:cs="Segoe UI"/>
      <w:sz w:val="16"/>
      <w:szCs w:val="16"/>
    </w:rPr>
  </w:style>
  <w:style w:type="character" w:styleId="DocumentMapChar" w:customStyle="1">
    <w:name w:val="Document Map Char"/>
    <w:basedOn w:val="DefaultParagraphFont"/>
    <w:link w:val="DocumentMap"/>
    <w:uiPriority w:val="99"/>
    <w:semiHidden/>
    <w:rsid w:val="0007292A"/>
    <w:rPr>
      <w:rFonts w:ascii="Segoe UI" w:hAnsi="Segoe UI" w:cs="Segoe UI"/>
      <w:sz w:val="16"/>
      <w:szCs w:val="16"/>
    </w:rPr>
  </w:style>
  <w:style w:type="paragraph" w:styleId="E-mailSignature">
    <w:name w:val="E-mail Signature"/>
    <w:basedOn w:val="Normal"/>
    <w:link w:val="E-mailSignatureChar"/>
    <w:uiPriority w:val="99"/>
    <w:semiHidden/>
    <w:locked/>
    <w:rsid w:val="0007292A"/>
    <w:pPr>
      <w:tabs>
        <w:tab w:val="left" w:pos="425"/>
      </w:tabs>
      <w:spacing w:after="120"/>
    </w:pPr>
    <w:rPr>
      <w:noProof/>
    </w:rPr>
  </w:style>
  <w:style w:type="character" w:styleId="E-mailSignatureChar" w:customStyle="1">
    <w:name w:val="E-mail Signature Char"/>
    <w:basedOn w:val="DefaultParagraphFont"/>
    <w:link w:val="E-mailSignature"/>
    <w:uiPriority w:val="99"/>
    <w:semiHidden/>
    <w:rsid w:val="0007292A"/>
    <w:rPr>
      <w:noProof/>
    </w:rPr>
  </w:style>
  <w:style w:type="character" w:styleId="Emphasis">
    <w:name w:val="Emphasis"/>
    <w:basedOn w:val="DefaultParagraphFont"/>
    <w:uiPriority w:val="99"/>
    <w:semiHidden/>
    <w:qFormat/>
    <w:locked/>
    <w:rsid w:val="0007292A"/>
    <w:rPr>
      <w:i/>
      <w:iCs/>
    </w:rPr>
  </w:style>
  <w:style w:type="character" w:styleId="EndnoteReference">
    <w:name w:val="endnote reference"/>
    <w:basedOn w:val="DefaultParagraphFont"/>
    <w:uiPriority w:val="99"/>
    <w:semiHidden/>
    <w:unhideWhenUsed/>
    <w:locked/>
    <w:rsid w:val="0007292A"/>
    <w:rPr>
      <w:vertAlign w:val="superscript"/>
    </w:rPr>
  </w:style>
  <w:style w:type="paragraph" w:styleId="EndnoteText">
    <w:name w:val="endnote text"/>
    <w:basedOn w:val="Normal"/>
    <w:link w:val="EndnoteTextChar"/>
    <w:uiPriority w:val="99"/>
    <w:semiHidden/>
    <w:unhideWhenUsed/>
    <w:locked/>
    <w:rsid w:val="0007292A"/>
  </w:style>
  <w:style w:type="character" w:styleId="EndnoteTextChar" w:customStyle="1">
    <w:name w:val="Endnote Text Char"/>
    <w:basedOn w:val="DefaultParagraphFont"/>
    <w:link w:val="EndnoteText"/>
    <w:uiPriority w:val="99"/>
    <w:semiHidden/>
    <w:rsid w:val="0007292A"/>
  </w:style>
  <w:style w:type="paragraph" w:styleId="EnvelopeAddress">
    <w:name w:val="envelope address"/>
    <w:basedOn w:val="Normal"/>
    <w:uiPriority w:val="99"/>
    <w:semiHidden/>
    <w:unhideWhenUsed/>
    <w:locked/>
    <w:rsid w:val="0007292A"/>
    <w:pPr>
      <w:framePr w:w="7920" w:h="1980" w:hSpace="180" w:wrap="auto" w:hAnchor="page" w:xAlign="center" w:yAlign="bottom" w:hRule="exact"/>
      <w:ind w:left="2880"/>
    </w:pPr>
    <w:rPr>
      <w:rFonts w:eastAsiaTheme="majorEastAsia" w:cstheme="majorBidi"/>
      <w:sz w:val="24"/>
      <w:szCs w:val="24"/>
    </w:rPr>
  </w:style>
  <w:style w:type="paragraph" w:styleId="EnvelopeReturn">
    <w:name w:val="envelope return"/>
    <w:basedOn w:val="Normal"/>
    <w:uiPriority w:val="99"/>
    <w:semiHidden/>
    <w:unhideWhenUsed/>
    <w:locked/>
    <w:rsid w:val="0007292A"/>
    <w:rPr>
      <w:rFonts w:eastAsiaTheme="majorEastAsia" w:cstheme="majorBidi"/>
    </w:rPr>
  </w:style>
  <w:style w:type="character" w:styleId="FollowedHyperlink">
    <w:name w:val="FollowedHyperlink"/>
    <w:basedOn w:val="DefaultParagraphFont"/>
    <w:uiPriority w:val="99"/>
    <w:semiHidden/>
    <w:unhideWhenUsed/>
    <w:locked/>
    <w:rsid w:val="0007292A"/>
    <w:rPr>
      <w:color w:val="0A7DFF" w:themeColor="accent2"/>
      <w:u w:val="single"/>
    </w:rPr>
  </w:style>
  <w:style w:type="table" w:styleId="GridTable1Light">
    <w:name w:val="Grid Table 1 Light"/>
    <w:basedOn w:val="TableNormal"/>
    <w:uiPriority w:val="46"/>
    <w:locked/>
    <w:rsid w:val="0007292A"/>
    <w:pPr>
      <w:spacing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7292A"/>
    <w:pPr>
      <w:spacing w:line="240" w:lineRule="auto"/>
    </w:pPr>
    <w:tblPr>
      <w:tblStyleRowBandSize w:val="1"/>
      <w:tblStyleColBandSize w:val="1"/>
      <w:tblBorders>
        <w:top w:val="single" w:color="A5A3F2" w:themeColor="accent1" w:themeTint="66" w:sz="4" w:space="0"/>
        <w:left w:val="single" w:color="A5A3F2" w:themeColor="accent1" w:themeTint="66" w:sz="4" w:space="0"/>
        <w:bottom w:val="single" w:color="A5A3F2" w:themeColor="accent1" w:themeTint="66" w:sz="4" w:space="0"/>
        <w:right w:val="single" w:color="A5A3F2" w:themeColor="accent1" w:themeTint="66" w:sz="4" w:space="0"/>
        <w:insideH w:val="single" w:color="A5A3F2" w:themeColor="accent1" w:themeTint="66" w:sz="4" w:space="0"/>
        <w:insideV w:val="single" w:color="A5A3F2" w:themeColor="accent1" w:themeTint="66" w:sz="4" w:space="0"/>
      </w:tblBorders>
    </w:tblPr>
    <w:tblStylePr w:type="firstRow">
      <w:rPr>
        <w:b/>
        <w:bCs/>
      </w:rPr>
      <w:tblPr/>
      <w:tcPr>
        <w:tcBorders>
          <w:bottom w:val="single" w:color="7875EC" w:themeColor="accent1" w:themeTint="99" w:sz="12" w:space="0"/>
        </w:tcBorders>
      </w:tcPr>
    </w:tblStylePr>
    <w:tblStylePr w:type="lastRow">
      <w:rPr>
        <w:b/>
        <w:bCs/>
      </w:rPr>
      <w:tblPr/>
      <w:tcPr>
        <w:tcBorders>
          <w:top w:val="double" w:color="7875EC"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7292A"/>
    <w:pPr>
      <w:spacing w:line="240" w:lineRule="auto"/>
    </w:pPr>
    <w:tblPr>
      <w:tblStyleRowBandSize w:val="1"/>
      <w:tblStyleColBandSize w:val="1"/>
      <w:tblBorders>
        <w:top w:val="single" w:color="9DCAFF" w:themeColor="accent2" w:themeTint="66" w:sz="4" w:space="0"/>
        <w:left w:val="single" w:color="9DCAFF" w:themeColor="accent2" w:themeTint="66" w:sz="4" w:space="0"/>
        <w:bottom w:val="single" w:color="9DCAFF" w:themeColor="accent2" w:themeTint="66" w:sz="4" w:space="0"/>
        <w:right w:val="single" w:color="9DCAFF" w:themeColor="accent2" w:themeTint="66" w:sz="4" w:space="0"/>
        <w:insideH w:val="single" w:color="9DCAFF" w:themeColor="accent2" w:themeTint="66" w:sz="4" w:space="0"/>
        <w:insideV w:val="single" w:color="9DCAFF" w:themeColor="accent2" w:themeTint="66" w:sz="4" w:space="0"/>
      </w:tblBorders>
    </w:tblPr>
    <w:tblStylePr w:type="firstRow">
      <w:rPr>
        <w:b/>
        <w:bCs/>
      </w:rPr>
      <w:tblPr/>
      <w:tcPr>
        <w:tcBorders>
          <w:bottom w:val="single" w:color="6CB0FF" w:themeColor="accent2" w:themeTint="99" w:sz="12" w:space="0"/>
        </w:tcBorders>
      </w:tcPr>
    </w:tblStylePr>
    <w:tblStylePr w:type="lastRow">
      <w:rPr>
        <w:b/>
        <w:bCs/>
      </w:rPr>
      <w:tblPr/>
      <w:tcPr>
        <w:tcBorders>
          <w:top w:val="double" w:color="6CB0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7292A"/>
    <w:pPr>
      <w:spacing w:line="240" w:lineRule="auto"/>
    </w:pPr>
    <w:tblPr>
      <w:tblStyleRowBandSize w:val="1"/>
      <w:tblStyleColBandSize w:val="1"/>
      <w:tblBorders>
        <w:top w:val="single" w:color="BDF4FF" w:themeColor="accent3" w:themeTint="66" w:sz="4" w:space="0"/>
        <w:left w:val="single" w:color="BDF4FF" w:themeColor="accent3" w:themeTint="66" w:sz="4" w:space="0"/>
        <w:bottom w:val="single" w:color="BDF4FF" w:themeColor="accent3" w:themeTint="66" w:sz="4" w:space="0"/>
        <w:right w:val="single" w:color="BDF4FF" w:themeColor="accent3" w:themeTint="66" w:sz="4" w:space="0"/>
        <w:insideH w:val="single" w:color="BDF4FF" w:themeColor="accent3" w:themeTint="66" w:sz="4" w:space="0"/>
        <w:insideV w:val="single" w:color="BDF4FF" w:themeColor="accent3" w:themeTint="66" w:sz="4" w:space="0"/>
      </w:tblBorders>
    </w:tblPr>
    <w:tblStylePr w:type="firstRow">
      <w:rPr>
        <w:b/>
        <w:bCs/>
      </w:rPr>
      <w:tblPr/>
      <w:tcPr>
        <w:tcBorders>
          <w:bottom w:val="single" w:color="9CEFFF" w:themeColor="accent3" w:themeTint="99" w:sz="12" w:space="0"/>
        </w:tcBorders>
      </w:tcPr>
    </w:tblStylePr>
    <w:tblStylePr w:type="lastRow">
      <w:rPr>
        <w:b/>
        <w:bCs/>
      </w:rPr>
      <w:tblPr/>
      <w:tcPr>
        <w:tcBorders>
          <w:top w:val="double" w:color="9CEFF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7292A"/>
    <w:pPr>
      <w:spacing w:line="240" w:lineRule="auto"/>
    </w:pPr>
    <w:tblPr>
      <w:tblStyleRowBandSize w:val="1"/>
      <w:tblStyleColBandSize w:val="1"/>
      <w:tblBorders>
        <w:top w:val="single" w:color="5591FF" w:themeColor="accent4" w:themeTint="66" w:sz="4" w:space="0"/>
        <w:left w:val="single" w:color="5591FF" w:themeColor="accent4" w:themeTint="66" w:sz="4" w:space="0"/>
        <w:bottom w:val="single" w:color="5591FF" w:themeColor="accent4" w:themeTint="66" w:sz="4" w:space="0"/>
        <w:right w:val="single" w:color="5591FF" w:themeColor="accent4" w:themeTint="66" w:sz="4" w:space="0"/>
        <w:insideH w:val="single" w:color="5591FF" w:themeColor="accent4" w:themeTint="66" w:sz="4" w:space="0"/>
        <w:insideV w:val="single" w:color="5591FF" w:themeColor="accent4" w:themeTint="66" w:sz="4" w:space="0"/>
      </w:tblBorders>
    </w:tblPr>
    <w:tblStylePr w:type="firstRow">
      <w:rPr>
        <w:b/>
        <w:bCs/>
      </w:rPr>
      <w:tblPr/>
      <w:tcPr>
        <w:tcBorders>
          <w:bottom w:val="single" w:color="005AFF" w:themeColor="accent4" w:themeTint="99" w:sz="12" w:space="0"/>
        </w:tcBorders>
      </w:tcPr>
    </w:tblStylePr>
    <w:tblStylePr w:type="lastRow">
      <w:rPr>
        <w:b/>
        <w:bCs/>
      </w:rPr>
      <w:tblPr/>
      <w:tcPr>
        <w:tcBorders>
          <w:top w:val="double" w:color="005AFF"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7292A"/>
    <w:pPr>
      <w:spacing w:line="240" w:lineRule="auto"/>
    </w:pPr>
    <w:tblPr>
      <w:tblStyleRowBandSize w:val="1"/>
      <w:tblStyleColBandSize w:val="1"/>
      <w:tblBorders>
        <w:top w:val="single" w:color="DBDBDB" w:themeColor="accent5" w:themeTint="66" w:sz="4" w:space="0"/>
        <w:left w:val="single" w:color="DBDBDB" w:themeColor="accent5" w:themeTint="66" w:sz="4" w:space="0"/>
        <w:bottom w:val="single" w:color="DBDBDB" w:themeColor="accent5" w:themeTint="66" w:sz="4" w:space="0"/>
        <w:right w:val="single" w:color="DBDBDB" w:themeColor="accent5" w:themeTint="66" w:sz="4" w:space="0"/>
        <w:insideH w:val="single" w:color="DBDBDB" w:themeColor="accent5" w:themeTint="66" w:sz="4" w:space="0"/>
        <w:insideV w:val="single" w:color="DBDBDB" w:themeColor="accent5" w:themeTint="66" w:sz="4" w:space="0"/>
      </w:tblBorders>
    </w:tblPr>
    <w:tblStylePr w:type="firstRow">
      <w:rPr>
        <w:b/>
        <w:bCs/>
      </w:rPr>
      <w:tblPr/>
      <w:tcPr>
        <w:tcBorders>
          <w:bottom w:val="single" w:color="C9C9C9" w:themeColor="accent5" w:themeTint="99" w:sz="12" w:space="0"/>
        </w:tcBorders>
      </w:tcPr>
    </w:tblStylePr>
    <w:tblStylePr w:type="lastRow">
      <w:rPr>
        <w:b/>
        <w:bCs/>
      </w:rPr>
      <w:tblPr/>
      <w:tcPr>
        <w:tcBorders>
          <w:top w:val="double" w:color="C9C9C9"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7292A"/>
    <w:pPr>
      <w:spacing w:line="240" w:lineRule="auto"/>
    </w:pPr>
    <w:tblPr>
      <w:tblStyleRowBandSize w:val="1"/>
      <w:tblStyleColBandSize w:val="1"/>
      <w:tblBorders>
        <w:top w:val="single" w:color="E9E9E9" w:themeColor="accent6" w:themeTint="66" w:sz="4" w:space="0"/>
        <w:left w:val="single" w:color="E9E9E9" w:themeColor="accent6" w:themeTint="66" w:sz="4" w:space="0"/>
        <w:bottom w:val="single" w:color="E9E9E9" w:themeColor="accent6" w:themeTint="66" w:sz="4" w:space="0"/>
        <w:right w:val="single" w:color="E9E9E9" w:themeColor="accent6" w:themeTint="66" w:sz="4" w:space="0"/>
        <w:insideH w:val="single" w:color="E9E9E9" w:themeColor="accent6" w:themeTint="66" w:sz="4" w:space="0"/>
        <w:insideV w:val="single" w:color="E9E9E9" w:themeColor="accent6" w:themeTint="66" w:sz="4" w:space="0"/>
      </w:tblBorders>
    </w:tblPr>
    <w:tblStylePr w:type="firstRow">
      <w:rPr>
        <w:b/>
        <w:bCs/>
      </w:rPr>
      <w:tblPr/>
      <w:tcPr>
        <w:tcBorders>
          <w:bottom w:val="single" w:color="DEDEDE" w:themeColor="accent6" w:themeTint="99" w:sz="12" w:space="0"/>
        </w:tcBorders>
      </w:tcPr>
    </w:tblStylePr>
    <w:tblStylePr w:type="lastRow">
      <w:rPr>
        <w:b/>
        <w:bCs/>
      </w:rPr>
      <w:tblPr/>
      <w:tcPr>
        <w:tcBorders>
          <w:top w:val="double" w:color="DEDEDE"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locked/>
    <w:rsid w:val="0007292A"/>
    <w:pPr>
      <w:spacing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7292A"/>
    <w:pPr>
      <w:spacing w:line="240" w:lineRule="auto"/>
    </w:pPr>
    <w:tblPr>
      <w:tblStyleRowBandSize w:val="1"/>
      <w:tblStyleColBandSize w:val="1"/>
      <w:tblBorders>
        <w:top w:val="single" w:color="7875EC" w:themeColor="accent1" w:themeTint="99" w:sz="2" w:space="0"/>
        <w:bottom w:val="single" w:color="7875EC" w:themeColor="accent1" w:themeTint="99" w:sz="2" w:space="0"/>
        <w:insideH w:val="single" w:color="7875EC" w:themeColor="accent1" w:themeTint="99" w:sz="2" w:space="0"/>
        <w:insideV w:val="single" w:color="7875EC" w:themeColor="accent1" w:themeTint="99" w:sz="2" w:space="0"/>
      </w:tblBorders>
    </w:tblPr>
    <w:tblStylePr w:type="firstRow">
      <w:rPr>
        <w:b/>
        <w:bCs/>
      </w:rPr>
      <w:tblPr/>
      <w:tcPr>
        <w:tcBorders>
          <w:top w:val="nil"/>
          <w:bottom w:val="single" w:color="7875EC" w:themeColor="accent1" w:themeTint="99" w:sz="12" w:space="0"/>
          <w:insideH w:val="nil"/>
          <w:insideV w:val="nil"/>
        </w:tcBorders>
        <w:shd w:val="clear" w:color="auto" w:fill="FFFFFF" w:themeFill="background1"/>
      </w:tcPr>
    </w:tblStylePr>
    <w:tblStylePr w:type="lastRow">
      <w:rPr>
        <w:b/>
        <w:bCs/>
      </w:rPr>
      <w:tblPr/>
      <w:tcPr>
        <w:tcBorders>
          <w:top w:val="double" w:color="7875EC"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7292A"/>
    <w:pPr>
      <w:spacing w:line="240" w:lineRule="auto"/>
    </w:pPr>
    <w:tblPr>
      <w:tblStyleRowBandSize w:val="1"/>
      <w:tblStyleColBandSize w:val="1"/>
      <w:tblBorders>
        <w:top w:val="single" w:color="6CB0FF" w:themeColor="accent2" w:themeTint="99" w:sz="2" w:space="0"/>
        <w:bottom w:val="single" w:color="6CB0FF" w:themeColor="accent2" w:themeTint="99" w:sz="2" w:space="0"/>
        <w:insideH w:val="single" w:color="6CB0FF" w:themeColor="accent2" w:themeTint="99" w:sz="2" w:space="0"/>
        <w:insideV w:val="single" w:color="6CB0FF" w:themeColor="accent2" w:themeTint="99" w:sz="2" w:space="0"/>
      </w:tblBorders>
    </w:tblPr>
    <w:tblStylePr w:type="firstRow">
      <w:rPr>
        <w:b/>
        <w:bCs/>
      </w:rPr>
      <w:tblPr/>
      <w:tcPr>
        <w:tcBorders>
          <w:top w:val="nil"/>
          <w:bottom w:val="single" w:color="6CB0FF" w:themeColor="accent2" w:themeTint="99" w:sz="12" w:space="0"/>
          <w:insideH w:val="nil"/>
          <w:insideV w:val="nil"/>
        </w:tcBorders>
        <w:shd w:val="clear" w:color="auto" w:fill="FFFFFF" w:themeFill="background1"/>
      </w:tcPr>
    </w:tblStylePr>
    <w:tblStylePr w:type="lastRow">
      <w:rPr>
        <w:b/>
        <w:bCs/>
      </w:rPr>
      <w:tblPr/>
      <w:tcPr>
        <w:tcBorders>
          <w:top w:val="double" w:color="6CB0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7292A"/>
    <w:pPr>
      <w:spacing w:line="240" w:lineRule="auto"/>
    </w:pPr>
    <w:tblPr>
      <w:tblStyleRowBandSize w:val="1"/>
      <w:tblStyleColBandSize w:val="1"/>
      <w:tblBorders>
        <w:top w:val="single" w:color="9CEFFF" w:themeColor="accent3" w:themeTint="99" w:sz="2" w:space="0"/>
        <w:bottom w:val="single" w:color="9CEFFF" w:themeColor="accent3" w:themeTint="99" w:sz="2" w:space="0"/>
        <w:insideH w:val="single" w:color="9CEFFF" w:themeColor="accent3" w:themeTint="99" w:sz="2" w:space="0"/>
        <w:insideV w:val="single" w:color="9CEFFF" w:themeColor="accent3" w:themeTint="99" w:sz="2" w:space="0"/>
      </w:tblBorders>
    </w:tblPr>
    <w:tblStylePr w:type="firstRow">
      <w:rPr>
        <w:b/>
        <w:bCs/>
      </w:rPr>
      <w:tblPr/>
      <w:tcPr>
        <w:tcBorders>
          <w:top w:val="nil"/>
          <w:bottom w:val="single" w:color="9CEFFF" w:themeColor="accent3" w:themeTint="99" w:sz="12" w:space="0"/>
          <w:insideH w:val="nil"/>
          <w:insideV w:val="nil"/>
        </w:tcBorders>
        <w:shd w:val="clear" w:color="auto" w:fill="FFFFFF" w:themeFill="background1"/>
      </w:tcPr>
    </w:tblStylePr>
    <w:tblStylePr w:type="lastRow">
      <w:rPr>
        <w:b/>
        <w:bCs/>
      </w:rPr>
      <w:tblPr/>
      <w:tcPr>
        <w:tcBorders>
          <w:top w:val="double" w:color="9CEFF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7292A"/>
    <w:pPr>
      <w:spacing w:line="240" w:lineRule="auto"/>
    </w:pPr>
    <w:tblPr>
      <w:tblStyleRowBandSize w:val="1"/>
      <w:tblStyleColBandSize w:val="1"/>
      <w:tblBorders>
        <w:top w:val="single" w:color="005AFF" w:themeColor="accent4" w:themeTint="99" w:sz="2" w:space="0"/>
        <w:bottom w:val="single" w:color="005AFF" w:themeColor="accent4" w:themeTint="99" w:sz="2" w:space="0"/>
        <w:insideH w:val="single" w:color="005AFF" w:themeColor="accent4" w:themeTint="99" w:sz="2" w:space="0"/>
        <w:insideV w:val="single" w:color="005AFF" w:themeColor="accent4" w:themeTint="99" w:sz="2" w:space="0"/>
      </w:tblBorders>
    </w:tblPr>
    <w:tblStylePr w:type="firstRow">
      <w:rPr>
        <w:b/>
        <w:bCs/>
      </w:rPr>
      <w:tblPr/>
      <w:tcPr>
        <w:tcBorders>
          <w:top w:val="nil"/>
          <w:bottom w:val="single" w:color="005AFF" w:themeColor="accent4" w:themeTint="99" w:sz="12" w:space="0"/>
          <w:insideH w:val="nil"/>
          <w:insideV w:val="nil"/>
        </w:tcBorders>
        <w:shd w:val="clear" w:color="auto" w:fill="FFFFFF" w:themeFill="background1"/>
      </w:tcPr>
    </w:tblStylePr>
    <w:tblStylePr w:type="lastRow">
      <w:rPr>
        <w:b/>
        <w:bCs/>
      </w:rPr>
      <w:tblPr/>
      <w:tcPr>
        <w:tcBorders>
          <w:top w:val="double" w:color="005AFF"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7292A"/>
    <w:pPr>
      <w:spacing w:line="240" w:lineRule="auto"/>
    </w:pPr>
    <w:tblPr>
      <w:tblStyleRowBandSize w:val="1"/>
      <w:tblStyleColBandSize w:val="1"/>
      <w:tblBorders>
        <w:top w:val="single" w:color="C9C9C9" w:themeColor="accent5" w:themeTint="99" w:sz="2" w:space="0"/>
        <w:bottom w:val="single" w:color="C9C9C9" w:themeColor="accent5" w:themeTint="99" w:sz="2" w:space="0"/>
        <w:insideH w:val="single" w:color="C9C9C9" w:themeColor="accent5" w:themeTint="99" w:sz="2" w:space="0"/>
        <w:insideV w:val="single" w:color="C9C9C9" w:themeColor="accent5" w:themeTint="99" w:sz="2" w:space="0"/>
      </w:tblBorders>
    </w:tblPr>
    <w:tblStylePr w:type="firstRow">
      <w:rPr>
        <w:b/>
        <w:bCs/>
      </w:rPr>
      <w:tblPr/>
      <w:tcPr>
        <w:tcBorders>
          <w:top w:val="nil"/>
          <w:bottom w:val="single" w:color="C9C9C9" w:themeColor="accent5" w:themeTint="99" w:sz="12" w:space="0"/>
          <w:insideH w:val="nil"/>
          <w:insideV w:val="nil"/>
        </w:tcBorders>
        <w:shd w:val="clear" w:color="auto" w:fill="FFFFFF" w:themeFill="background1"/>
      </w:tcPr>
    </w:tblStylePr>
    <w:tblStylePr w:type="lastRow">
      <w:rPr>
        <w:b/>
        <w:bCs/>
      </w:rPr>
      <w:tblPr/>
      <w:tcPr>
        <w:tcBorders>
          <w:top w:val="double" w:color="C9C9C9"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7292A"/>
    <w:pPr>
      <w:spacing w:line="240" w:lineRule="auto"/>
    </w:pPr>
    <w:tblPr>
      <w:tblStyleRowBandSize w:val="1"/>
      <w:tblStyleColBandSize w:val="1"/>
      <w:tblBorders>
        <w:top w:val="single" w:color="DEDEDE" w:themeColor="accent6" w:themeTint="99" w:sz="2" w:space="0"/>
        <w:bottom w:val="single" w:color="DEDEDE" w:themeColor="accent6" w:themeTint="99" w:sz="2" w:space="0"/>
        <w:insideH w:val="single" w:color="DEDEDE" w:themeColor="accent6" w:themeTint="99" w:sz="2" w:space="0"/>
        <w:insideV w:val="single" w:color="DEDEDE" w:themeColor="accent6" w:themeTint="99" w:sz="2" w:space="0"/>
      </w:tblBorders>
    </w:tblPr>
    <w:tblStylePr w:type="firstRow">
      <w:rPr>
        <w:b/>
        <w:bCs/>
      </w:rPr>
      <w:tblPr/>
      <w:tcPr>
        <w:tcBorders>
          <w:top w:val="nil"/>
          <w:bottom w:val="single" w:color="DEDEDE" w:themeColor="accent6" w:themeTint="99" w:sz="12" w:space="0"/>
          <w:insideH w:val="nil"/>
          <w:insideV w:val="nil"/>
        </w:tcBorders>
        <w:shd w:val="clear" w:color="auto" w:fill="FFFFFF" w:themeFill="background1"/>
      </w:tcPr>
    </w:tblStylePr>
    <w:tblStylePr w:type="lastRow">
      <w:rPr>
        <w:b/>
        <w:bCs/>
      </w:rPr>
      <w:tblPr/>
      <w:tcPr>
        <w:tcBorders>
          <w:top w:val="double" w:color="DEDEDE"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7292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locked/>
    <w:rsid w:val="0007292A"/>
    <w:pPr>
      <w:spacing w:line="240" w:lineRule="auto"/>
    </w:pPr>
    <w:tblPr>
      <w:tblStyleRowBandSize w:val="1"/>
      <w:tblStyleColBandSize w:val="1"/>
      <w:tblBorders>
        <w:top w:val="single" w:color="7875EC" w:themeColor="accent1" w:themeTint="99" w:sz="4" w:space="0"/>
        <w:left w:val="single" w:color="7875EC" w:themeColor="accent1" w:themeTint="99" w:sz="4" w:space="0"/>
        <w:bottom w:val="single" w:color="7875EC" w:themeColor="accent1" w:themeTint="99" w:sz="4" w:space="0"/>
        <w:right w:val="single" w:color="7875EC" w:themeColor="accent1" w:themeTint="99" w:sz="4" w:space="0"/>
        <w:insideH w:val="single" w:color="7875EC" w:themeColor="accent1" w:themeTint="99" w:sz="4" w:space="0"/>
        <w:insideV w:val="single" w:color="7875E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color="7875EC" w:themeColor="accent1" w:themeTint="99" w:sz="4" w:space="0"/>
        </w:tcBorders>
      </w:tcPr>
    </w:tblStylePr>
    <w:tblStylePr w:type="nwCell">
      <w:tblPr/>
      <w:tcPr>
        <w:tcBorders>
          <w:bottom w:val="single" w:color="7875EC" w:themeColor="accent1" w:themeTint="99" w:sz="4" w:space="0"/>
        </w:tcBorders>
      </w:tcPr>
    </w:tblStylePr>
    <w:tblStylePr w:type="seCell">
      <w:tblPr/>
      <w:tcPr>
        <w:tcBorders>
          <w:top w:val="single" w:color="7875EC" w:themeColor="accent1" w:themeTint="99" w:sz="4" w:space="0"/>
        </w:tcBorders>
      </w:tcPr>
    </w:tblStylePr>
    <w:tblStylePr w:type="swCell">
      <w:tblPr/>
      <w:tcPr>
        <w:tcBorders>
          <w:top w:val="single" w:color="7875EC" w:themeColor="accent1" w:themeTint="99" w:sz="4" w:space="0"/>
        </w:tcBorders>
      </w:tcPr>
    </w:tblStylePr>
  </w:style>
  <w:style w:type="table" w:styleId="GridTable3-Accent2">
    <w:name w:val="Grid Table 3 Accent 2"/>
    <w:basedOn w:val="TableNormal"/>
    <w:uiPriority w:val="48"/>
    <w:locked/>
    <w:rsid w:val="0007292A"/>
    <w:pPr>
      <w:spacing w:line="240" w:lineRule="auto"/>
    </w:pPr>
    <w:tblPr>
      <w:tblStyleRowBandSize w:val="1"/>
      <w:tblStyleColBandSize w:val="1"/>
      <w:tblBorders>
        <w:top w:val="single" w:color="6CB0FF" w:themeColor="accent2" w:themeTint="99" w:sz="4" w:space="0"/>
        <w:left w:val="single" w:color="6CB0FF" w:themeColor="accent2" w:themeTint="99" w:sz="4" w:space="0"/>
        <w:bottom w:val="single" w:color="6CB0FF" w:themeColor="accent2" w:themeTint="99" w:sz="4" w:space="0"/>
        <w:right w:val="single" w:color="6CB0FF" w:themeColor="accent2" w:themeTint="99" w:sz="4" w:space="0"/>
        <w:insideH w:val="single" w:color="6CB0FF" w:themeColor="accent2" w:themeTint="99" w:sz="4" w:space="0"/>
        <w:insideV w:val="single" w:color="6CB0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color="6CB0FF" w:themeColor="accent2" w:themeTint="99" w:sz="4" w:space="0"/>
        </w:tcBorders>
      </w:tcPr>
    </w:tblStylePr>
    <w:tblStylePr w:type="nwCell">
      <w:tblPr/>
      <w:tcPr>
        <w:tcBorders>
          <w:bottom w:val="single" w:color="6CB0FF" w:themeColor="accent2" w:themeTint="99" w:sz="4" w:space="0"/>
        </w:tcBorders>
      </w:tcPr>
    </w:tblStylePr>
    <w:tblStylePr w:type="seCell">
      <w:tblPr/>
      <w:tcPr>
        <w:tcBorders>
          <w:top w:val="single" w:color="6CB0FF" w:themeColor="accent2" w:themeTint="99" w:sz="4" w:space="0"/>
        </w:tcBorders>
      </w:tcPr>
    </w:tblStylePr>
    <w:tblStylePr w:type="swCell">
      <w:tblPr/>
      <w:tcPr>
        <w:tcBorders>
          <w:top w:val="single" w:color="6CB0FF" w:themeColor="accent2" w:themeTint="99" w:sz="4" w:space="0"/>
        </w:tcBorders>
      </w:tcPr>
    </w:tblStylePr>
  </w:style>
  <w:style w:type="table" w:styleId="GridTable3-Accent3">
    <w:name w:val="Grid Table 3 Accent 3"/>
    <w:basedOn w:val="TableNormal"/>
    <w:uiPriority w:val="48"/>
    <w:locked/>
    <w:rsid w:val="0007292A"/>
    <w:pPr>
      <w:spacing w:line="240" w:lineRule="auto"/>
    </w:pPr>
    <w:tblPr>
      <w:tblStyleRowBandSize w:val="1"/>
      <w:tblStyleColBandSize w:val="1"/>
      <w:tblBorders>
        <w:top w:val="single" w:color="9CEFFF" w:themeColor="accent3" w:themeTint="99" w:sz="4" w:space="0"/>
        <w:left w:val="single" w:color="9CEFFF" w:themeColor="accent3" w:themeTint="99" w:sz="4" w:space="0"/>
        <w:bottom w:val="single" w:color="9CEFFF" w:themeColor="accent3" w:themeTint="99" w:sz="4" w:space="0"/>
        <w:right w:val="single" w:color="9CEFFF" w:themeColor="accent3" w:themeTint="99" w:sz="4" w:space="0"/>
        <w:insideH w:val="single" w:color="9CEFFF" w:themeColor="accent3" w:themeTint="99" w:sz="4" w:space="0"/>
        <w:insideV w:val="single" w:color="9CEF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color="9CEFFF" w:themeColor="accent3" w:themeTint="99" w:sz="4" w:space="0"/>
        </w:tcBorders>
      </w:tcPr>
    </w:tblStylePr>
    <w:tblStylePr w:type="nwCell">
      <w:tblPr/>
      <w:tcPr>
        <w:tcBorders>
          <w:bottom w:val="single" w:color="9CEFFF" w:themeColor="accent3" w:themeTint="99" w:sz="4" w:space="0"/>
        </w:tcBorders>
      </w:tcPr>
    </w:tblStylePr>
    <w:tblStylePr w:type="seCell">
      <w:tblPr/>
      <w:tcPr>
        <w:tcBorders>
          <w:top w:val="single" w:color="9CEFFF" w:themeColor="accent3" w:themeTint="99" w:sz="4" w:space="0"/>
        </w:tcBorders>
      </w:tcPr>
    </w:tblStylePr>
    <w:tblStylePr w:type="swCell">
      <w:tblPr/>
      <w:tcPr>
        <w:tcBorders>
          <w:top w:val="single" w:color="9CEFFF" w:themeColor="accent3" w:themeTint="99" w:sz="4" w:space="0"/>
        </w:tcBorders>
      </w:tcPr>
    </w:tblStylePr>
  </w:style>
  <w:style w:type="table" w:styleId="GridTable3-Accent4">
    <w:name w:val="Grid Table 3 Accent 4"/>
    <w:basedOn w:val="TableNormal"/>
    <w:uiPriority w:val="48"/>
    <w:locked/>
    <w:rsid w:val="0007292A"/>
    <w:pPr>
      <w:spacing w:line="240" w:lineRule="auto"/>
    </w:pPr>
    <w:tblPr>
      <w:tblStyleRowBandSize w:val="1"/>
      <w:tblStyleColBandSize w:val="1"/>
      <w:tblBorders>
        <w:top w:val="single" w:color="005AFF" w:themeColor="accent4" w:themeTint="99" w:sz="4" w:space="0"/>
        <w:left w:val="single" w:color="005AFF" w:themeColor="accent4" w:themeTint="99" w:sz="4" w:space="0"/>
        <w:bottom w:val="single" w:color="005AFF" w:themeColor="accent4" w:themeTint="99" w:sz="4" w:space="0"/>
        <w:right w:val="single" w:color="005AFF" w:themeColor="accent4" w:themeTint="99" w:sz="4" w:space="0"/>
        <w:insideH w:val="single" w:color="005AFF" w:themeColor="accent4" w:themeTint="99" w:sz="4" w:space="0"/>
        <w:insideV w:val="single" w:color="005A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color="005AFF" w:themeColor="accent4" w:themeTint="99" w:sz="4" w:space="0"/>
        </w:tcBorders>
      </w:tcPr>
    </w:tblStylePr>
    <w:tblStylePr w:type="nwCell">
      <w:tblPr/>
      <w:tcPr>
        <w:tcBorders>
          <w:bottom w:val="single" w:color="005AFF" w:themeColor="accent4" w:themeTint="99" w:sz="4" w:space="0"/>
        </w:tcBorders>
      </w:tcPr>
    </w:tblStylePr>
    <w:tblStylePr w:type="seCell">
      <w:tblPr/>
      <w:tcPr>
        <w:tcBorders>
          <w:top w:val="single" w:color="005AFF" w:themeColor="accent4" w:themeTint="99" w:sz="4" w:space="0"/>
        </w:tcBorders>
      </w:tcPr>
    </w:tblStylePr>
    <w:tblStylePr w:type="swCell">
      <w:tblPr/>
      <w:tcPr>
        <w:tcBorders>
          <w:top w:val="single" w:color="005AFF" w:themeColor="accent4" w:themeTint="99" w:sz="4" w:space="0"/>
        </w:tcBorders>
      </w:tcPr>
    </w:tblStylePr>
  </w:style>
  <w:style w:type="table" w:styleId="GridTable3-Accent5">
    <w:name w:val="Grid Table 3 Accent 5"/>
    <w:basedOn w:val="TableNormal"/>
    <w:uiPriority w:val="48"/>
    <w:locked/>
    <w:rsid w:val="0007292A"/>
    <w:pPr>
      <w:spacing w:line="240" w:lineRule="auto"/>
    </w:pPr>
    <w:tblPr>
      <w:tblStyleRowBandSize w:val="1"/>
      <w:tblStyleColBandSize w:val="1"/>
      <w:tblBorders>
        <w:top w:val="single" w:color="C9C9C9" w:themeColor="accent5" w:themeTint="99" w:sz="4" w:space="0"/>
        <w:left w:val="single" w:color="C9C9C9" w:themeColor="accent5" w:themeTint="99" w:sz="4" w:space="0"/>
        <w:bottom w:val="single" w:color="C9C9C9" w:themeColor="accent5" w:themeTint="99" w:sz="4" w:space="0"/>
        <w:right w:val="single" w:color="C9C9C9" w:themeColor="accent5" w:themeTint="99" w:sz="4" w:space="0"/>
        <w:insideH w:val="single" w:color="C9C9C9" w:themeColor="accent5" w:themeTint="99" w:sz="4" w:space="0"/>
        <w:insideV w:val="single" w:color="C9C9C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color="C9C9C9" w:themeColor="accent5" w:themeTint="99" w:sz="4" w:space="0"/>
        </w:tcBorders>
      </w:tcPr>
    </w:tblStylePr>
    <w:tblStylePr w:type="nwCell">
      <w:tblPr/>
      <w:tcPr>
        <w:tcBorders>
          <w:bottom w:val="single" w:color="C9C9C9" w:themeColor="accent5" w:themeTint="99" w:sz="4" w:space="0"/>
        </w:tcBorders>
      </w:tcPr>
    </w:tblStylePr>
    <w:tblStylePr w:type="seCell">
      <w:tblPr/>
      <w:tcPr>
        <w:tcBorders>
          <w:top w:val="single" w:color="C9C9C9" w:themeColor="accent5" w:themeTint="99" w:sz="4" w:space="0"/>
        </w:tcBorders>
      </w:tcPr>
    </w:tblStylePr>
    <w:tblStylePr w:type="swCell">
      <w:tblPr/>
      <w:tcPr>
        <w:tcBorders>
          <w:top w:val="single" w:color="C9C9C9" w:themeColor="accent5" w:themeTint="99" w:sz="4" w:space="0"/>
        </w:tcBorders>
      </w:tcPr>
    </w:tblStylePr>
  </w:style>
  <w:style w:type="table" w:styleId="GridTable3-Accent6">
    <w:name w:val="Grid Table 3 Accent 6"/>
    <w:basedOn w:val="TableNormal"/>
    <w:uiPriority w:val="48"/>
    <w:locked/>
    <w:rsid w:val="0007292A"/>
    <w:pPr>
      <w:spacing w:line="240" w:lineRule="auto"/>
    </w:pPr>
    <w:tblPr>
      <w:tblStyleRowBandSize w:val="1"/>
      <w:tblStyleColBandSize w:val="1"/>
      <w:tblBorders>
        <w:top w:val="single" w:color="DEDEDE" w:themeColor="accent6" w:themeTint="99" w:sz="4" w:space="0"/>
        <w:left w:val="single" w:color="DEDEDE" w:themeColor="accent6" w:themeTint="99" w:sz="4" w:space="0"/>
        <w:bottom w:val="single" w:color="DEDEDE" w:themeColor="accent6" w:themeTint="99" w:sz="4" w:space="0"/>
        <w:right w:val="single" w:color="DEDEDE" w:themeColor="accent6" w:themeTint="99" w:sz="4" w:space="0"/>
        <w:insideH w:val="single" w:color="DEDEDE" w:themeColor="accent6" w:themeTint="99" w:sz="4" w:space="0"/>
        <w:insideV w:val="single" w:color="DEDED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color="DEDEDE" w:themeColor="accent6" w:themeTint="99" w:sz="4" w:space="0"/>
        </w:tcBorders>
      </w:tcPr>
    </w:tblStylePr>
    <w:tblStylePr w:type="nwCell">
      <w:tblPr/>
      <w:tcPr>
        <w:tcBorders>
          <w:bottom w:val="single" w:color="DEDEDE" w:themeColor="accent6" w:themeTint="99" w:sz="4" w:space="0"/>
        </w:tcBorders>
      </w:tcPr>
    </w:tblStylePr>
    <w:tblStylePr w:type="seCell">
      <w:tblPr/>
      <w:tcPr>
        <w:tcBorders>
          <w:top w:val="single" w:color="DEDEDE" w:themeColor="accent6" w:themeTint="99" w:sz="4" w:space="0"/>
        </w:tcBorders>
      </w:tcPr>
    </w:tblStylePr>
    <w:tblStylePr w:type="swCell">
      <w:tblPr/>
      <w:tcPr>
        <w:tcBorders>
          <w:top w:val="single" w:color="DEDEDE" w:themeColor="accent6" w:themeTint="99" w:sz="4" w:space="0"/>
        </w:tcBorders>
      </w:tcPr>
    </w:tblStylePr>
  </w:style>
  <w:style w:type="table" w:styleId="GridTable4">
    <w:name w:val="Grid Table 4"/>
    <w:basedOn w:val="TableNormal"/>
    <w:uiPriority w:val="49"/>
    <w:locked/>
    <w:rsid w:val="0007292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7292A"/>
    <w:pPr>
      <w:spacing w:line="240" w:lineRule="auto"/>
    </w:pPr>
    <w:tblPr>
      <w:tblStyleRowBandSize w:val="1"/>
      <w:tblStyleColBandSize w:val="1"/>
      <w:tblBorders>
        <w:top w:val="single" w:color="7875EC" w:themeColor="accent1" w:themeTint="99" w:sz="4" w:space="0"/>
        <w:left w:val="single" w:color="7875EC" w:themeColor="accent1" w:themeTint="99" w:sz="4" w:space="0"/>
        <w:bottom w:val="single" w:color="7875EC" w:themeColor="accent1" w:themeTint="99" w:sz="4" w:space="0"/>
        <w:right w:val="single" w:color="7875EC" w:themeColor="accent1" w:themeTint="99" w:sz="4" w:space="0"/>
        <w:insideH w:val="single" w:color="7875EC" w:themeColor="accent1" w:themeTint="99" w:sz="4" w:space="0"/>
        <w:insideV w:val="single" w:color="7875EC" w:themeColor="accent1" w:themeTint="99" w:sz="4" w:space="0"/>
      </w:tblBorders>
    </w:tblPr>
    <w:tblStylePr w:type="firstRow">
      <w:rPr>
        <w:b/>
        <w:bCs/>
        <w:color w:val="FFFFFF" w:themeColor="background1"/>
      </w:rPr>
      <w:tblPr/>
      <w:tcPr>
        <w:tcBorders>
          <w:top w:val="single" w:color="231EDC" w:themeColor="accent1" w:sz="4" w:space="0"/>
          <w:left w:val="single" w:color="231EDC" w:themeColor="accent1" w:sz="4" w:space="0"/>
          <w:bottom w:val="single" w:color="231EDC" w:themeColor="accent1" w:sz="4" w:space="0"/>
          <w:right w:val="single" w:color="231EDC" w:themeColor="accent1" w:sz="4" w:space="0"/>
          <w:insideH w:val="nil"/>
          <w:insideV w:val="nil"/>
        </w:tcBorders>
        <w:shd w:val="clear" w:color="auto" w:fill="231EDC" w:themeFill="accent1"/>
      </w:tcPr>
    </w:tblStylePr>
    <w:tblStylePr w:type="lastRow">
      <w:rPr>
        <w:b/>
        <w:bCs/>
      </w:rPr>
      <w:tblPr/>
      <w:tcPr>
        <w:tcBorders>
          <w:top w:val="double" w:color="231EDC" w:themeColor="accent1" w:sz="4" w:space="0"/>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7292A"/>
    <w:pPr>
      <w:spacing w:line="240" w:lineRule="auto"/>
    </w:pPr>
    <w:tblPr>
      <w:tblStyleRowBandSize w:val="1"/>
      <w:tblStyleColBandSize w:val="1"/>
      <w:tblBorders>
        <w:top w:val="single" w:color="6CB0FF" w:themeColor="accent2" w:themeTint="99" w:sz="4" w:space="0"/>
        <w:left w:val="single" w:color="6CB0FF" w:themeColor="accent2" w:themeTint="99" w:sz="4" w:space="0"/>
        <w:bottom w:val="single" w:color="6CB0FF" w:themeColor="accent2" w:themeTint="99" w:sz="4" w:space="0"/>
        <w:right w:val="single" w:color="6CB0FF" w:themeColor="accent2" w:themeTint="99" w:sz="4" w:space="0"/>
        <w:insideH w:val="single" w:color="6CB0FF" w:themeColor="accent2" w:themeTint="99" w:sz="4" w:space="0"/>
        <w:insideV w:val="single" w:color="6CB0FF" w:themeColor="accent2" w:themeTint="99" w:sz="4" w:space="0"/>
      </w:tblBorders>
    </w:tblPr>
    <w:tblStylePr w:type="firstRow">
      <w:rPr>
        <w:b/>
        <w:bCs/>
        <w:color w:val="FFFFFF" w:themeColor="background1"/>
      </w:rPr>
      <w:tblPr/>
      <w:tcPr>
        <w:tcBorders>
          <w:top w:val="single" w:color="0A7DFF" w:themeColor="accent2" w:sz="4" w:space="0"/>
          <w:left w:val="single" w:color="0A7DFF" w:themeColor="accent2" w:sz="4" w:space="0"/>
          <w:bottom w:val="single" w:color="0A7DFF" w:themeColor="accent2" w:sz="4" w:space="0"/>
          <w:right w:val="single" w:color="0A7DFF" w:themeColor="accent2" w:sz="4" w:space="0"/>
          <w:insideH w:val="nil"/>
          <w:insideV w:val="nil"/>
        </w:tcBorders>
        <w:shd w:val="clear" w:color="auto" w:fill="0A7DFF" w:themeFill="accent2"/>
      </w:tcPr>
    </w:tblStylePr>
    <w:tblStylePr w:type="lastRow">
      <w:rPr>
        <w:b/>
        <w:bCs/>
      </w:rPr>
      <w:tblPr/>
      <w:tcPr>
        <w:tcBorders>
          <w:top w:val="double" w:color="0A7DFF" w:themeColor="accent2" w:sz="4" w:space="0"/>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7292A"/>
    <w:pPr>
      <w:spacing w:line="240" w:lineRule="auto"/>
    </w:pPr>
    <w:tblPr>
      <w:tblStyleRowBandSize w:val="1"/>
      <w:tblStyleColBandSize w:val="1"/>
      <w:tblBorders>
        <w:top w:val="single" w:color="9CEFFF" w:themeColor="accent3" w:themeTint="99" w:sz="4" w:space="0"/>
        <w:left w:val="single" w:color="9CEFFF" w:themeColor="accent3" w:themeTint="99" w:sz="4" w:space="0"/>
        <w:bottom w:val="single" w:color="9CEFFF" w:themeColor="accent3" w:themeTint="99" w:sz="4" w:space="0"/>
        <w:right w:val="single" w:color="9CEFFF" w:themeColor="accent3" w:themeTint="99" w:sz="4" w:space="0"/>
        <w:insideH w:val="single" w:color="9CEFFF" w:themeColor="accent3" w:themeTint="99" w:sz="4" w:space="0"/>
        <w:insideV w:val="single" w:color="9CEFFF" w:themeColor="accent3" w:themeTint="99" w:sz="4" w:space="0"/>
      </w:tblBorders>
    </w:tblPr>
    <w:tblStylePr w:type="firstRow">
      <w:rPr>
        <w:b/>
        <w:bCs/>
        <w:color w:val="FFFFFF" w:themeColor="background1"/>
      </w:rPr>
      <w:tblPr/>
      <w:tcPr>
        <w:tcBorders>
          <w:top w:val="single" w:color="5AE6FF" w:themeColor="accent3" w:sz="4" w:space="0"/>
          <w:left w:val="single" w:color="5AE6FF" w:themeColor="accent3" w:sz="4" w:space="0"/>
          <w:bottom w:val="single" w:color="5AE6FF" w:themeColor="accent3" w:sz="4" w:space="0"/>
          <w:right w:val="single" w:color="5AE6FF" w:themeColor="accent3" w:sz="4" w:space="0"/>
          <w:insideH w:val="nil"/>
          <w:insideV w:val="nil"/>
        </w:tcBorders>
        <w:shd w:val="clear" w:color="auto" w:fill="5AE6FF" w:themeFill="accent3"/>
      </w:tcPr>
    </w:tblStylePr>
    <w:tblStylePr w:type="lastRow">
      <w:rPr>
        <w:b/>
        <w:bCs/>
      </w:rPr>
      <w:tblPr/>
      <w:tcPr>
        <w:tcBorders>
          <w:top w:val="double" w:color="5AE6FF" w:themeColor="accent3" w:sz="4" w:space="0"/>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7292A"/>
    <w:pPr>
      <w:spacing w:line="240" w:lineRule="auto"/>
    </w:pPr>
    <w:tblPr>
      <w:tblStyleRowBandSize w:val="1"/>
      <w:tblStyleColBandSize w:val="1"/>
      <w:tblBorders>
        <w:top w:val="single" w:color="005AFF" w:themeColor="accent4" w:themeTint="99" w:sz="4" w:space="0"/>
        <w:left w:val="single" w:color="005AFF" w:themeColor="accent4" w:themeTint="99" w:sz="4" w:space="0"/>
        <w:bottom w:val="single" w:color="005AFF" w:themeColor="accent4" w:themeTint="99" w:sz="4" w:space="0"/>
        <w:right w:val="single" w:color="005AFF" w:themeColor="accent4" w:themeTint="99" w:sz="4" w:space="0"/>
        <w:insideH w:val="single" w:color="005AFF" w:themeColor="accent4" w:themeTint="99" w:sz="4" w:space="0"/>
        <w:insideV w:val="single" w:color="005AFF" w:themeColor="accent4" w:themeTint="99" w:sz="4" w:space="0"/>
      </w:tblBorders>
    </w:tblPr>
    <w:tblStylePr w:type="firstRow">
      <w:rPr>
        <w:b/>
        <w:bCs/>
        <w:color w:val="FFFFFF" w:themeColor="background1"/>
      </w:rPr>
      <w:tblPr/>
      <w:tcPr>
        <w:tcBorders>
          <w:top w:val="single" w:color="001E55" w:themeColor="accent4" w:sz="4" w:space="0"/>
          <w:left w:val="single" w:color="001E55" w:themeColor="accent4" w:sz="4" w:space="0"/>
          <w:bottom w:val="single" w:color="001E55" w:themeColor="accent4" w:sz="4" w:space="0"/>
          <w:right w:val="single" w:color="001E55" w:themeColor="accent4" w:sz="4" w:space="0"/>
          <w:insideH w:val="nil"/>
          <w:insideV w:val="nil"/>
        </w:tcBorders>
        <w:shd w:val="clear" w:color="auto" w:fill="001E55" w:themeFill="accent4"/>
      </w:tcPr>
    </w:tblStylePr>
    <w:tblStylePr w:type="lastRow">
      <w:rPr>
        <w:b/>
        <w:bCs/>
      </w:rPr>
      <w:tblPr/>
      <w:tcPr>
        <w:tcBorders>
          <w:top w:val="double" w:color="001E55" w:themeColor="accent4" w:sz="4" w:space="0"/>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7292A"/>
    <w:pPr>
      <w:spacing w:line="240" w:lineRule="auto"/>
    </w:pPr>
    <w:tblPr>
      <w:tblStyleRowBandSize w:val="1"/>
      <w:tblStyleColBandSize w:val="1"/>
      <w:tblBorders>
        <w:top w:val="single" w:color="C9C9C9" w:themeColor="accent5" w:themeTint="99" w:sz="4" w:space="0"/>
        <w:left w:val="single" w:color="C9C9C9" w:themeColor="accent5" w:themeTint="99" w:sz="4" w:space="0"/>
        <w:bottom w:val="single" w:color="C9C9C9" w:themeColor="accent5" w:themeTint="99" w:sz="4" w:space="0"/>
        <w:right w:val="single" w:color="C9C9C9" w:themeColor="accent5" w:themeTint="99" w:sz="4" w:space="0"/>
        <w:insideH w:val="single" w:color="C9C9C9" w:themeColor="accent5" w:themeTint="99" w:sz="4" w:space="0"/>
        <w:insideV w:val="single" w:color="C9C9C9" w:themeColor="accent5" w:themeTint="99" w:sz="4" w:space="0"/>
      </w:tblBorders>
    </w:tblPr>
    <w:tblStylePr w:type="firstRow">
      <w:rPr>
        <w:b/>
        <w:bCs/>
        <w:color w:val="FFFFFF" w:themeColor="background1"/>
      </w:rPr>
      <w:tblPr/>
      <w:tcPr>
        <w:tcBorders>
          <w:top w:val="single" w:color="A5A5A5" w:themeColor="accent5" w:sz="4" w:space="0"/>
          <w:left w:val="single" w:color="A5A5A5" w:themeColor="accent5" w:sz="4" w:space="0"/>
          <w:bottom w:val="single" w:color="A5A5A5" w:themeColor="accent5" w:sz="4" w:space="0"/>
          <w:right w:val="single" w:color="A5A5A5" w:themeColor="accent5" w:sz="4" w:space="0"/>
          <w:insideH w:val="nil"/>
          <w:insideV w:val="nil"/>
        </w:tcBorders>
        <w:shd w:val="clear" w:color="auto" w:fill="A5A5A5" w:themeFill="accent5"/>
      </w:tcPr>
    </w:tblStylePr>
    <w:tblStylePr w:type="lastRow">
      <w:rPr>
        <w:b/>
        <w:bCs/>
      </w:rPr>
      <w:tblPr/>
      <w:tcPr>
        <w:tcBorders>
          <w:top w:val="double" w:color="A5A5A5" w:themeColor="accent5" w:sz="4" w:space="0"/>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2D1F8"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1EDC"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1EDC"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1EDC"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EE4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A7DFF"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A7DFF"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A7DFF"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F9F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AE6FF"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AE6FF"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AE6FF"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AC8FF"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1E55"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1E55"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1E55"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7292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F4F4"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8C8C8"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8C8C8"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8C8C8"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7292A"/>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7292A"/>
    <w:pPr>
      <w:spacing w:line="240" w:lineRule="auto"/>
    </w:pPr>
    <w:rPr>
      <w:color w:val="1916A4" w:themeColor="accent1" w:themeShade="BF"/>
    </w:rPr>
    <w:tblPr>
      <w:tblStyleRowBandSize w:val="1"/>
      <w:tblStyleColBandSize w:val="1"/>
      <w:tblBorders>
        <w:top w:val="single" w:color="7875EC" w:themeColor="accent1" w:themeTint="99" w:sz="4" w:space="0"/>
        <w:left w:val="single" w:color="7875EC" w:themeColor="accent1" w:themeTint="99" w:sz="4" w:space="0"/>
        <w:bottom w:val="single" w:color="7875EC" w:themeColor="accent1" w:themeTint="99" w:sz="4" w:space="0"/>
        <w:right w:val="single" w:color="7875EC" w:themeColor="accent1" w:themeTint="99" w:sz="4" w:space="0"/>
        <w:insideH w:val="single" w:color="7875EC" w:themeColor="accent1" w:themeTint="99" w:sz="4" w:space="0"/>
        <w:insideV w:val="single" w:color="7875EC" w:themeColor="accent1" w:themeTint="99" w:sz="4" w:space="0"/>
      </w:tblBorders>
    </w:tblPr>
    <w:tblStylePr w:type="firstRow">
      <w:rPr>
        <w:b/>
        <w:bCs/>
      </w:rPr>
      <w:tblPr/>
      <w:tcPr>
        <w:tcBorders>
          <w:bottom w:val="single" w:color="7875EC" w:themeColor="accent1" w:themeTint="99" w:sz="12" w:space="0"/>
        </w:tcBorders>
      </w:tcPr>
    </w:tblStylePr>
    <w:tblStylePr w:type="lastRow">
      <w:rPr>
        <w:b/>
        <w:bCs/>
      </w:rPr>
      <w:tblPr/>
      <w:tcPr>
        <w:tcBorders>
          <w:top w:val="double" w:color="7875EC" w:themeColor="accent1" w:themeTint="99" w:sz="4" w:space="0"/>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7292A"/>
    <w:pPr>
      <w:spacing w:line="240" w:lineRule="auto"/>
    </w:pPr>
    <w:rPr>
      <w:color w:val="005CC6" w:themeColor="accent2" w:themeShade="BF"/>
    </w:rPr>
    <w:tblPr>
      <w:tblStyleRowBandSize w:val="1"/>
      <w:tblStyleColBandSize w:val="1"/>
      <w:tblBorders>
        <w:top w:val="single" w:color="6CB0FF" w:themeColor="accent2" w:themeTint="99" w:sz="4" w:space="0"/>
        <w:left w:val="single" w:color="6CB0FF" w:themeColor="accent2" w:themeTint="99" w:sz="4" w:space="0"/>
        <w:bottom w:val="single" w:color="6CB0FF" w:themeColor="accent2" w:themeTint="99" w:sz="4" w:space="0"/>
        <w:right w:val="single" w:color="6CB0FF" w:themeColor="accent2" w:themeTint="99" w:sz="4" w:space="0"/>
        <w:insideH w:val="single" w:color="6CB0FF" w:themeColor="accent2" w:themeTint="99" w:sz="4" w:space="0"/>
        <w:insideV w:val="single" w:color="6CB0FF" w:themeColor="accent2" w:themeTint="99" w:sz="4" w:space="0"/>
      </w:tblBorders>
    </w:tblPr>
    <w:tblStylePr w:type="firstRow">
      <w:rPr>
        <w:b/>
        <w:bCs/>
      </w:rPr>
      <w:tblPr/>
      <w:tcPr>
        <w:tcBorders>
          <w:bottom w:val="single" w:color="6CB0FF" w:themeColor="accent2" w:themeTint="99" w:sz="12" w:space="0"/>
        </w:tcBorders>
      </w:tcPr>
    </w:tblStylePr>
    <w:tblStylePr w:type="lastRow">
      <w:rPr>
        <w:b/>
        <w:bCs/>
      </w:rPr>
      <w:tblPr/>
      <w:tcPr>
        <w:tcBorders>
          <w:top w:val="double" w:color="6CB0FF" w:themeColor="accent2" w:themeTint="99" w:sz="4" w:space="0"/>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7292A"/>
    <w:pPr>
      <w:spacing w:line="240" w:lineRule="auto"/>
    </w:pPr>
    <w:rPr>
      <w:color w:val="03D8FF" w:themeColor="accent3" w:themeShade="BF"/>
    </w:rPr>
    <w:tblPr>
      <w:tblStyleRowBandSize w:val="1"/>
      <w:tblStyleColBandSize w:val="1"/>
      <w:tblBorders>
        <w:top w:val="single" w:color="9CEFFF" w:themeColor="accent3" w:themeTint="99" w:sz="4" w:space="0"/>
        <w:left w:val="single" w:color="9CEFFF" w:themeColor="accent3" w:themeTint="99" w:sz="4" w:space="0"/>
        <w:bottom w:val="single" w:color="9CEFFF" w:themeColor="accent3" w:themeTint="99" w:sz="4" w:space="0"/>
        <w:right w:val="single" w:color="9CEFFF" w:themeColor="accent3" w:themeTint="99" w:sz="4" w:space="0"/>
        <w:insideH w:val="single" w:color="9CEFFF" w:themeColor="accent3" w:themeTint="99" w:sz="4" w:space="0"/>
        <w:insideV w:val="single" w:color="9CEFFF" w:themeColor="accent3" w:themeTint="99" w:sz="4" w:space="0"/>
      </w:tblBorders>
    </w:tblPr>
    <w:tblStylePr w:type="firstRow">
      <w:rPr>
        <w:b/>
        <w:bCs/>
      </w:rPr>
      <w:tblPr/>
      <w:tcPr>
        <w:tcBorders>
          <w:bottom w:val="single" w:color="9CEFFF" w:themeColor="accent3" w:themeTint="99" w:sz="12" w:space="0"/>
        </w:tcBorders>
      </w:tcPr>
    </w:tblStylePr>
    <w:tblStylePr w:type="lastRow">
      <w:rPr>
        <w:b/>
        <w:bCs/>
      </w:rPr>
      <w:tblPr/>
      <w:tcPr>
        <w:tcBorders>
          <w:top w:val="double" w:color="9CEFFF" w:themeColor="accent3" w:themeTint="99" w:sz="4" w:space="0"/>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7292A"/>
    <w:pPr>
      <w:spacing w:line="240" w:lineRule="auto"/>
    </w:pPr>
    <w:rPr>
      <w:color w:val="00163F" w:themeColor="accent4" w:themeShade="BF"/>
    </w:rPr>
    <w:tblPr>
      <w:tblStyleRowBandSize w:val="1"/>
      <w:tblStyleColBandSize w:val="1"/>
      <w:tblBorders>
        <w:top w:val="single" w:color="005AFF" w:themeColor="accent4" w:themeTint="99" w:sz="4" w:space="0"/>
        <w:left w:val="single" w:color="005AFF" w:themeColor="accent4" w:themeTint="99" w:sz="4" w:space="0"/>
        <w:bottom w:val="single" w:color="005AFF" w:themeColor="accent4" w:themeTint="99" w:sz="4" w:space="0"/>
        <w:right w:val="single" w:color="005AFF" w:themeColor="accent4" w:themeTint="99" w:sz="4" w:space="0"/>
        <w:insideH w:val="single" w:color="005AFF" w:themeColor="accent4" w:themeTint="99" w:sz="4" w:space="0"/>
        <w:insideV w:val="single" w:color="005AFF" w:themeColor="accent4" w:themeTint="99" w:sz="4" w:space="0"/>
      </w:tblBorders>
    </w:tblPr>
    <w:tblStylePr w:type="firstRow">
      <w:rPr>
        <w:b/>
        <w:bCs/>
      </w:rPr>
      <w:tblPr/>
      <w:tcPr>
        <w:tcBorders>
          <w:bottom w:val="single" w:color="005AFF" w:themeColor="accent4" w:themeTint="99" w:sz="12" w:space="0"/>
        </w:tcBorders>
      </w:tcPr>
    </w:tblStylePr>
    <w:tblStylePr w:type="lastRow">
      <w:rPr>
        <w:b/>
        <w:bCs/>
      </w:rPr>
      <w:tblPr/>
      <w:tcPr>
        <w:tcBorders>
          <w:top w:val="double" w:color="005AFF" w:themeColor="accent4" w:themeTint="99" w:sz="4" w:space="0"/>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7292A"/>
    <w:pPr>
      <w:spacing w:line="240" w:lineRule="auto"/>
    </w:pPr>
    <w:rPr>
      <w:color w:val="7B7B7B" w:themeColor="accent5" w:themeShade="BF"/>
    </w:rPr>
    <w:tblPr>
      <w:tblStyleRowBandSize w:val="1"/>
      <w:tblStyleColBandSize w:val="1"/>
      <w:tblBorders>
        <w:top w:val="single" w:color="C9C9C9" w:themeColor="accent5" w:themeTint="99" w:sz="4" w:space="0"/>
        <w:left w:val="single" w:color="C9C9C9" w:themeColor="accent5" w:themeTint="99" w:sz="4" w:space="0"/>
        <w:bottom w:val="single" w:color="C9C9C9" w:themeColor="accent5" w:themeTint="99" w:sz="4" w:space="0"/>
        <w:right w:val="single" w:color="C9C9C9" w:themeColor="accent5" w:themeTint="99" w:sz="4" w:space="0"/>
        <w:insideH w:val="single" w:color="C9C9C9" w:themeColor="accent5" w:themeTint="99" w:sz="4" w:space="0"/>
        <w:insideV w:val="single" w:color="C9C9C9" w:themeColor="accent5" w:themeTint="99" w:sz="4" w:space="0"/>
      </w:tblBorders>
    </w:tblPr>
    <w:tblStylePr w:type="firstRow">
      <w:rPr>
        <w:b/>
        <w:bCs/>
      </w:rPr>
      <w:tblPr/>
      <w:tcPr>
        <w:tcBorders>
          <w:bottom w:val="single" w:color="C9C9C9" w:themeColor="accent5" w:themeTint="99" w:sz="12" w:space="0"/>
        </w:tcBorders>
      </w:tcPr>
    </w:tblStylePr>
    <w:tblStylePr w:type="lastRow">
      <w:rPr>
        <w:b/>
        <w:bCs/>
      </w:rPr>
      <w:tblPr/>
      <w:tcPr>
        <w:tcBorders>
          <w:top w:val="double" w:color="C9C9C9" w:themeColor="accent5" w:themeTint="99" w:sz="4" w:space="0"/>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7292A"/>
    <w:pPr>
      <w:spacing w:line="240" w:lineRule="auto"/>
    </w:pPr>
    <w:rPr>
      <w:color w:val="959595" w:themeColor="accent6" w:themeShade="BF"/>
    </w:rPr>
    <w:tblPr>
      <w:tblStyleRowBandSize w:val="1"/>
      <w:tblStyleColBandSize w:val="1"/>
      <w:tblBorders>
        <w:top w:val="single" w:color="DEDEDE" w:themeColor="accent6" w:themeTint="99" w:sz="4" w:space="0"/>
        <w:left w:val="single" w:color="DEDEDE" w:themeColor="accent6" w:themeTint="99" w:sz="4" w:space="0"/>
        <w:bottom w:val="single" w:color="DEDEDE" w:themeColor="accent6" w:themeTint="99" w:sz="4" w:space="0"/>
        <w:right w:val="single" w:color="DEDEDE" w:themeColor="accent6" w:themeTint="99" w:sz="4" w:space="0"/>
        <w:insideH w:val="single" w:color="DEDEDE" w:themeColor="accent6" w:themeTint="99" w:sz="4" w:space="0"/>
        <w:insideV w:val="single" w:color="DEDEDE" w:themeColor="accent6" w:themeTint="99" w:sz="4" w:space="0"/>
      </w:tblBorders>
    </w:tblPr>
    <w:tblStylePr w:type="firstRow">
      <w:rPr>
        <w:b/>
        <w:bCs/>
      </w:rPr>
      <w:tblPr/>
      <w:tcPr>
        <w:tcBorders>
          <w:bottom w:val="single" w:color="DEDEDE" w:themeColor="accent6" w:themeTint="99" w:sz="12" w:space="0"/>
        </w:tcBorders>
      </w:tcPr>
    </w:tblStylePr>
    <w:tblStylePr w:type="lastRow">
      <w:rPr>
        <w:b/>
        <w:bCs/>
      </w:rPr>
      <w:tblPr/>
      <w:tcPr>
        <w:tcBorders>
          <w:top w:val="double" w:color="DEDEDE" w:themeColor="accent6" w:themeTint="99" w:sz="4" w:space="0"/>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7292A"/>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locked/>
    <w:rsid w:val="0007292A"/>
    <w:pPr>
      <w:spacing w:line="240" w:lineRule="auto"/>
    </w:pPr>
    <w:rPr>
      <w:color w:val="1916A4" w:themeColor="accent1" w:themeShade="BF"/>
    </w:rPr>
    <w:tblPr>
      <w:tblStyleRowBandSize w:val="1"/>
      <w:tblStyleColBandSize w:val="1"/>
      <w:tblBorders>
        <w:top w:val="single" w:color="7875EC" w:themeColor="accent1" w:themeTint="99" w:sz="4" w:space="0"/>
        <w:left w:val="single" w:color="7875EC" w:themeColor="accent1" w:themeTint="99" w:sz="4" w:space="0"/>
        <w:bottom w:val="single" w:color="7875EC" w:themeColor="accent1" w:themeTint="99" w:sz="4" w:space="0"/>
        <w:right w:val="single" w:color="7875EC" w:themeColor="accent1" w:themeTint="99" w:sz="4" w:space="0"/>
        <w:insideH w:val="single" w:color="7875EC" w:themeColor="accent1" w:themeTint="99" w:sz="4" w:space="0"/>
        <w:insideV w:val="single" w:color="7875E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color="7875EC" w:themeColor="accent1" w:themeTint="99" w:sz="4" w:space="0"/>
        </w:tcBorders>
      </w:tcPr>
    </w:tblStylePr>
    <w:tblStylePr w:type="nwCell">
      <w:tblPr/>
      <w:tcPr>
        <w:tcBorders>
          <w:bottom w:val="single" w:color="7875EC" w:themeColor="accent1" w:themeTint="99" w:sz="4" w:space="0"/>
        </w:tcBorders>
      </w:tcPr>
    </w:tblStylePr>
    <w:tblStylePr w:type="seCell">
      <w:tblPr/>
      <w:tcPr>
        <w:tcBorders>
          <w:top w:val="single" w:color="7875EC" w:themeColor="accent1" w:themeTint="99" w:sz="4" w:space="0"/>
        </w:tcBorders>
      </w:tcPr>
    </w:tblStylePr>
    <w:tblStylePr w:type="swCell">
      <w:tblPr/>
      <w:tcPr>
        <w:tcBorders>
          <w:top w:val="single" w:color="7875EC" w:themeColor="accent1" w:themeTint="99" w:sz="4" w:space="0"/>
        </w:tcBorders>
      </w:tcPr>
    </w:tblStylePr>
  </w:style>
  <w:style w:type="table" w:styleId="GridTable7Colorful-Accent2">
    <w:name w:val="Grid Table 7 Colorful Accent 2"/>
    <w:basedOn w:val="TableNormal"/>
    <w:uiPriority w:val="52"/>
    <w:locked/>
    <w:rsid w:val="0007292A"/>
    <w:pPr>
      <w:spacing w:line="240" w:lineRule="auto"/>
    </w:pPr>
    <w:rPr>
      <w:color w:val="005CC6" w:themeColor="accent2" w:themeShade="BF"/>
    </w:rPr>
    <w:tblPr>
      <w:tblStyleRowBandSize w:val="1"/>
      <w:tblStyleColBandSize w:val="1"/>
      <w:tblBorders>
        <w:top w:val="single" w:color="6CB0FF" w:themeColor="accent2" w:themeTint="99" w:sz="4" w:space="0"/>
        <w:left w:val="single" w:color="6CB0FF" w:themeColor="accent2" w:themeTint="99" w:sz="4" w:space="0"/>
        <w:bottom w:val="single" w:color="6CB0FF" w:themeColor="accent2" w:themeTint="99" w:sz="4" w:space="0"/>
        <w:right w:val="single" w:color="6CB0FF" w:themeColor="accent2" w:themeTint="99" w:sz="4" w:space="0"/>
        <w:insideH w:val="single" w:color="6CB0FF" w:themeColor="accent2" w:themeTint="99" w:sz="4" w:space="0"/>
        <w:insideV w:val="single" w:color="6CB0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color="6CB0FF" w:themeColor="accent2" w:themeTint="99" w:sz="4" w:space="0"/>
        </w:tcBorders>
      </w:tcPr>
    </w:tblStylePr>
    <w:tblStylePr w:type="nwCell">
      <w:tblPr/>
      <w:tcPr>
        <w:tcBorders>
          <w:bottom w:val="single" w:color="6CB0FF" w:themeColor="accent2" w:themeTint="99" w:sz="4" w:space="0"/>
        </w:tcBorders>
      </w:tcPr>
    </w:tblStylePr>
    <w:tblStylePr w:type="seCell">
      <w:tblPr/>
      <w:tcPr>
        <w:tcBorders>
          <w:top w:val="single" w:color="6CB0FF" w:themeColor="accent2" w:themeTint="99" w:sz="4" w:space="0"/>
        </w:tcBorders>
      </w:tcPr>
    </w:tblStylePr>
    <w:tblStylePr w:type="swCell">
      <w:tblPr/>
      <w:tcPr>
        <w:tcBorders>
          <w:top w:val="single" w:color="6CB0FF" w:themeColor="accent2" w:themeTint="99" w:sz="4" w:space="0"/>
        </w:tcBorders>
      </w:tcPr>
    </w:tblStylePr>
  </w:style>
  <w:style w:type="table" w:styleId="GridTable7Colorful-Accent3">
    <w:name w:val="Grid Table 7 Colorful Accent 3"/>
    <w:basedOn w:val="TableNormal"/>
    <w:uiPriority w:val="52"/>
    <w:locked/>
    <w:rsid w:val="0007292A"/>
    <w:pPr>
      <w:spacing w:line="240" w:lineRule="auto"/>
    </w:pPr>
    <w:rPr>
      <w:color w:val="03D8FF" w:themeColor="accent3" w:themeShade="BF"/>
    </w:rPr>
    <w:tblPr>
      <w:tblStyleRowBandSize w:val="1"/>
      <w:tblStyleColBandSize w:val="1"/>
      <w:tblBorders>
        <w:top w:val="single" w:color="9CEFFF" w:themeColor="accent3" w:themeTint="99" w:sz="4" w:space="0"/>
        <w:left w:val="single" w:color="9CEFFF" w:themeColor="accent3" w:themeTint="99" w:sz="4" w:space="0"/>
        <w:bottom w:val="single" w:color="9CEFFF" w:themeColor="accent3" w:themeTint="99" w:sz="4" w:space="0"/>
        <w:right w:val="single" w:color="9CEFFF" w:themeColor="accent3" w:themeTint="99" w:sz="4" w:space="0"/>
        <w:insideH w:val="single" w:color="9CEFFF" w:themeColor="accent3" w:themeTint="99" w:sz="4" w:space="0"/>
        <w:insideV w:val="single" w:color="9CEF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color="9CEFFF" w:themeColor="accent3" w:themeTint="99" w:sz="4" w:space="0"/>
        </w:tcBorders>
      </w:tcPr>
    </w:tblStylePr>
    <w:tblStylePr w:type="nwCell">
      <w:tblPr/>
      <w:tcPr>
        <w:tcBorders>
          <w:bottom w:val="single" w:color="9CEFFF" w:themeColor="accent3" w:themeTint="99" w:sz="4" w:space="0"/>
        </w:tcBorders>
      </w:tcPr>
    </w:tblStylePr>
    <w:tblStylePr w:type="seCell">
      <w:tblPr/>
      <w:tcPr>
        <w:tcBorders>
          <w:top w:val="single" w:color="9CEFFF" w:themeColor="accent3" w:themeTint="99" w:sz="4" w:space="0"/>
        </w:tcBorders>
      </w:tcPr>
    </w:tblStylePr>
    <w:tblStylePr w:type="swCell">
      <w:tblPr/>
      <w:tcPr>
        <w:tcBorders>
          <w:top w:val="single" w:color="9CEFFF" w:themeColor="accent3" w:themeTint="99" w:sz="4" w:space="0"/>
        </w:tcBorders>
      </w:tcPr>
    </w:tblStylePr>
  </w:style>
  <w:style w:type="table" w:styleId="GridTable7Colorful-Accent4">
    <w:name w:val="Grid Table 7 Colorful Accent 4"/>
    <w:basedOn w:val="TableNormal"/>
    <w:uiPriority w:val="52"/>
    <w:locked/>
    <w:rsid w:val="0007292A"/>
    <w:pPr>
      <w:spacing w:line="240" w:lineRule="auto"/>
    </w:pPr>
    <w:rPr>
      <w:color w:val="00163F" w:themeColor="accent4" w:themeShade="BF"/>
    </w:rPr>
    <w:tblPr>
      <w:tblStyleRowBandSize w:val="1"/>
      <w:tblStyleColBandSize w:val="1"/>
      <w:tblBorders>
        <w:top w:val="single" w:color="005AFF" w:themeColor="accent4" w:themeTint="99" w:sz="4" w:space="0"/>
        <w:left w:val="single" w:color="005AFF" w:themeColor="accent4" w:themeTint="99" w:sz="4" w:space="0"/>
        <w:bottom w:val="single" w:color="005AFF" w:themeColor="accent4" w:themeTint="99" w:sz="4" w:space="0"/>
        <w:right w:val="single" w:color="005AFF" w:themeColor="accent4" w:themeTint="99" w:sz="4" w:space="0"/>
        <w:insideH w:val="single" w:color="005AFF" w:themeColor="accent4" w:themeTint="99" w:sz="4" w:space="0"/>
        <w:insideV w:val="single" w:color="005A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color="005AFF" w:themeColor="accent4" w:themeTint="99" w:sz="4" w:space="0"/>
        </w:tcBorders>
      </w:tcPr>
    </w:tblStylePr>
    <w:tblStylePr w:type="nwCell">
      <w:tblPr/>
      <w:tcPr>
        <w:tcBorders>
          <w:bottom w:val="single" w:color="005AFF" w:themeColor="accent4" w:themeTint="99" w:sz="4" w:space="0"/>
        </w:tcBorders>
      </w:tcPr>
    </w:tblStylePr>
    <w:tblStylePr w:type="seCell">
      <w:tblPr/>
      <w:tcPr>
        <w:tcBorders>
          <w:top w:val="single" w:color="005AFF" w:themeColor="accent4" w:themeTint="99" w:sz="4" w:space="0"/>
        </w:tcBorders>
      </w:tcPr>
    </w:tblStylePr>
    <w:tblStylePr w:type="swCell">
      <w:tblPr/>
      <w:tcPr>
        <w:tcBorders>
          <w:top w:val="single" w:color="005AFF" w:themeColor="accent4" w:themeTint="99" w:sz="4" w:space="0"/>
        </w:tcBorders>
      </w:tcPr>
    </w:tblStylePr>
  </w:style>
  <w:style w:type="table" w:styleId="GridTable7Colorful-Accent5">
    <w:name w:val="Grid Table 7 Colorful Accent 5"/>
    <w:basedOn w:val="TableNormal"/>
    <w:uiPriority w:val="52"/>
    <w:locked/>
    <w:rsid w:val="0007292A"/>
    <w:pPr>
      <w:spacing w:line="240" w:lineRule="auto"/>
    </w:pPr>
    <w:rPr>
      <w:color w:val="7B7B7B" w:themeColor="accent5" w:themeShade="BF"/>
    </w:rPr>
    <w:tblPr>
      <w:tblStyleRowBandSize w:val="1"/>
      <w:tblStyleColBandSize w:val="1"/>
      <w:tblBorders>
        <w:top w:val="single" w:color="C9C9C9" w:themeColor="accent5" w:themeTint="99" w:sz="4" w:space="0"/>
        <w:left w:val="single" w:color="C9C9C9" w:themeColor="accent5" w:themeTint="99" w:sz="4" w:space="0"/>
        <w:bottom w:val="single" w:color="C9C9C9" w:themeColor="accent5" w:themeTint="99" w:sz="4" w:space="0"/>
        <w:right w:val="single" w:color="C9C9C9" w:themeColor="accent5" w:themeTint="99" w:sz="4" w:space="0"/>
        <w:insideH w:val="single" w:color="C9C9C9" w:themeColor="accent5" w:themeTint="99" w:sz="4" w:space="0"/>
        <w:insideV w:val="single" w:color="C9C9C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color="C9C9C9" w:themeColor="accent5" w:themeTint="99" w:sz="4" w:space="0"/>
        </w:tcBorders>
      </w:tcPr>
    </w:tblStylePr>
    <w:tblStylePr w:type="nwCell">
      <w:tblPr/>
      <w:tcPr>
        <w:tcBorders>
          <w:bottom w:val="single" w:color="C9C9C9" w:themeColor="accent5" w:themeTint="99" w:sz="4" w:space="0"/>
        </w:tcBorders>
      </w:tcPr>
    </w:tblStylePr>
    <w:tblStylePr w:type="seCell">
      <w:tblPr/>
      <w:tcPr>
        <w:tcBorders>
          <w:top w:val="single" w:color="C9C9C9" w:themeColor="accent5" w:themeTint="99" w:sz="4" w:space="0"/>
        </w:tcBorders>
      </w:tcPr>
    </w:tblStylePr>
    <w:tblStylePr w:type="swCell">
      <w:tblPr/>
      <w:tcPr>
        <w:tcBorders>
          <w:top w:val="single" w:color="C9C9C9" w:themeColor="accent5" w:themeTint="99" w:sz="4" w:space="0"/>
        </w:tcBorders>
      </w:tcPr>
    </w:tblStylePr>
  </w:style>
  <w:style w:type="table" w:styleId="GridTable7Colorful-Accent6">
    <w:name w:val="Grid Table 7 Colorful Accent 6"/>
    <w:basedOn w:val="TableNormal"/>
    <w:uiPriority w:val="52"/>
    <w:locked/>
    <w:rsid w:val="0007292A"/>
    <w:pPr>
      <w:spacing w:line="240" w:lineRule="auto"/>
    </w:pPr>
    <w:rPr>
      <w:color w:val="959595" w:themeColor="accent6" w:themeShade="BF"/>
    </w:rPr>
    <w:tblPr>
      <w:tblStyleRowBandSize w:val="1"/>
      <w:tblStyleColBandSize w:val="1"/>
      <w:tblBorders>
        <w:top w:val="single" w:color="DEDEDE" w:themeColor="accent6" w:themeTint="99" w:sz="4" w:space="0"/>
        <w:left w:val="single" w:color="DEDEDE" w:themeColor="accent6" w:themeTint="99" w:sz="4" w:space="0"/>
        <w:bottom w:val="single" w:color="DEDEDE" w:themeColor="accent6" w:themeTint="99" w:sz="4" w:space="0"/>
        <w:right w:val="single" w:color="DEDEDE" w:themeColor="accent6" w:themeTint="99" w:sz="4" w:space="0"/>
        <w:insideH w:val="single" w:color="DEDEDE" w:themeColor="accent6" w:themeTint="99" w:sz="4" w:space="0"/>
        <w:insideV w:val="single" w:color="DEDED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color="DEDEDE" w:themeColor="accent6" w:themeTint="99" w:sz="4" w:space="0"/>
        </w:tcBorders>
      </w:tcPr>
    </w:tblStylePr>
    <w:tblStylePr w:type="nwCell">
      <w:tblPr/>
      <w:tcPr>
        <w:tcBorders>
          <w:bottom w:val="single" w:color="DEDEDE" w:themeColor="accent6" w:themeTint="99" w:sz="4" w:space="0"/>
        </w:tcBorders>
      </w:tcPr>
    </w:tblStylePr>
    <w:tblStylePr w:type="seCell">
      <w:tblPr/>
      <w:tcPr>
        <w:tcBorders>
          <w:top w:val="single" w:color="DEDEDE" w:themeColor="accent6" w:themeTint="99" w:sz="4" w:space="0"/>
        </w:tcBorders>
      </w:tcPr>
    </w:tblStylePr>
    <w:tblStylePr w:type="swCell">
      <w:tblPr/>
      <w:tcPr>
        <w:tcBorders>
          <w:top w:val="single" w:color="DEDEDE" w:themeColor="accent6" w:themeTint="99" w:sz="4" w:space="0"/>
        </w:tcBorders>
      </w:tcPr>
    </w:tblStylePr>
  </w:style>
  <w:style w:type="character" w:styleId="Hashtag">
    <w:name w:val="Hashtag"/>
    <w:basedOn w:val="DefaultParagraphFont"/>
    <w:uiPriority w:val="99"/>
    <w:semiHidden/>
    <w:unhideWhenUsed/>
    <w:locked/>
    <w:rsid w:val="0007292A"/>
    <w:rPr>
      <w:color w:val="2B579A"/>
      <w:shd w:val="clear" w:color="auto" w:fill="E6E6E6"/>
    </w:rPr>
  </w:style>
  <w:style w:type="character" w:styleId="HTMLAcronym">
    <w:name w:val="HTML Acronym"/>
    <w:basedOn w:val="DefaultParagraphFont"/>
    <w:uiPriority w:val="99"/>
    <w:semiHidden/>
    <w:unhideWhenUsed/>
    <w:locked/>
    <w:rsid w:val="0007292A"/>
  </w:style>
  <w:style w:type="paragraph" w:styleId="HTMLAddress">
    <w:name w:val="HTML Address"/>
    <w:basedOn w:val="Normal"/>
    <w:link w:val="HTMLAddressChar"/>
    <w:uiPriority w:val="99"/>
    <w:semiHidden/>
    <w:unhideWhenUsed/>
    <w:locked/>
    <w:rsid w:val="0007292A"/>
    <w:rPr>
      <w:i/>
      <w:iCs/>
    </w:rPr>
  </w:style>
  <w:style w:type="character" w:styleId="HTMLAddressChar" w:customStyle="1">
    <w:name w:val="HTML Address Char"/>
    <w:basedOn w:val="DefaultParagraphFont"/>
    <w:link w:val="HTMLAddress"/>
    <w:uiPriority w:val="99"/>
    <w:semiHidden/>
    <w:rsid w:val="0007292A"/>
    <w:rPr>
      <w:i/>
      <w:iCs/>
    </w:rPr>
  </w:style>
  <w:style w:type="character" w:styleId="HTMLCite">
    <w:name w:val="HTML Cite"/>
    <w:basedOn w:val="DefaultParagraphFont"/>
    <w:uiPriority w:val="99"/>
    <w:semiHidden/>
    <w:unhideWhenUsed/>
    <w:locked/>
    <w:rsid w:val="0007292A"/>
    <w:rPr>
      <w:i/>
      <w:iCs/>
    </w:rPr>
  </w:style>
  <w:style w:type="character" w:styleId="HTMLCode">
    <w:name w:val="HTML Code"/>
    <w:basedOn w:val="DefaultParagraphFont"/>
    <w:uiPriority w:val="99"/>
    <w:semiHidden/>
    <w:unhideWhenUsed/>
    <w:locked/>
    <w:rsid w:val="0007292A"/>
    <w:rPr>
      <w:rFonts w:ascii="Consolas" w:hAnsi="Consolas"/>
      <w:sz w:val="20"/>
      <w:szCs w:val="20"/>
    </w:rPr>
  </w:style>
  <w:style w:type="character" w:styleId="HTMLDefinition">
    <w:name w:val="HTML Definition"/>
    <w:basedOn w:val="DefaultParagraphFont"/>
    <w:uiPriority w:val="99"/>
    <w:semiHidden/>
    <w:unhideWhenUsed/>
    <w:locked/>
    <w:rsid w:val="0007292A"/>
    <w:rPr>
      <w:i/>
      <w:iCs/>
    </w:rPr>
  </w:style>
  <w:style w:type="character" w:styleId="HTMLKeyboard">
    <w:name w:val="HTML Keyboard"/>
    <w:basedOn w:val="DefaultParagraphFont"/>
    <w:uiPriority w:val="99"/>
    <w:semiHidden/>
    <w:unhideWhenUsed/>
    <w:locked/>
    <w:rsid w:val="0007292A"/>
    <w:rPr>
      <w:rFonts w:ascii="Consolas" w:hAnsi="Consolas"/>
      <w:sz w:val="20"/>
      <w:szCs w:val="20"/>
    </w:rPr>
  </w:style>
  <w:style w:type="paragraph" w:styleId="HTMLPreformatted">
    <w:name w:val="HTML Preformatted"/>
    <w:basedOn w:val="Normal"/>
    <w:link w:val="HTMLPreformattedChar"/>
    <w:uiPriority w:val="99"/>
    <w:semiHidden/>
    <w:unhideWhenUsed/>
    <w:locked/>
    <w:rsid w:val="0007292A"/>
    <w:rPr>
      <w:rFonts w:ascii="Consolas" w:hAnsi="Consolas"/>
    </w:rPr>
  </w:style>
  <w:style w:type="character" w:styleId="HTMLPreformattedChar" w:customStyle="1">
    <w:name w:val="HTML Preformatted Char"/>
    <w:basedOn w:val="DefaultParagraphFont"/>
    <w:link w:val="HTMLPreformatted"/>
    <w:uiPriority w:val="99"/>
    <w:semiHidden/>
    <w:rsid w:val="0007292A"/>
    <w:rPr>
      <w:rFonts w:ascii="Consolas" w:hAnsi="Consolas"/>
    </w:rPr>
  </w:style>
  <w:style w:type="character" w:styleId="HTMLSample">
    <w:name w:val="HTML Sample"/>
    <w:basedOn w:val="DefaultParagraphFont"/>
    <w:uiPriority w:val="99"/>
    <w:semiHidden/>
    <w:unhideWhenUsed/>
    <w:locked/>
    <w:rsid w:val="0007292A"/>
    <w:rPr>
      <w:rFonts w:ascii="Consolas" w:hAnsi="Consolas"/>
      <w:sz w:val="24"/>
      <w:szCs w:val="24"/>
    </w:rPr>
  </w:style>
  <w:style w:type="character" w:styleId="HTMLTypewriter">
    <w:name w:val="HTML Typewriter"/>
    <w:basedOn w:val="DefaultParagraphFont"/>
    <w:uiPriority w:val="99"/>
    <w:semiHidden/>
    <w:unhideWhenUsed/>
    <w:locked/>
    <w:rsid w:val="0007292A"/>
    <w:rPr>
      <w:rFonts w:ascii="Consolas" w:hAnsi="Consolas"/>
      <w:sz w:val="20"/>
      <w:szCs w:val="20"/>
    </w:rPr>
  </w:style>
  <w:style w:type="character" w:styleId="HTMLVariable">
    <w:name w:val="HTML Variable"/>
    <w:basedOn w:val="DefaultParagraphFont"/>
    <w:uiPriority w:val="99"/>
    <w:semiHidden/>
    <w:unhideWhenUsed/>
    <w:locked/>
    <w:rsid w:val="0007292A"/>
    <w:rPr>
      <w:i/>
      <w:iCs/>
    </w:rPr>
  </w:style>
  <w:style w:type="paragraph" w:styleId="Index1">
    <w:name w:val="index 1"/>
    <w:basedOn w:val="Normal"/>
    <w:next w:val="Normal"/>
    <w:autoRedefine/>
    <w:uiPriority w:val="99"/>
    <w:semiHidden/>
    <w:unhideWhenUsed/>
    <w:locked/>
    <w:rsid w:val="0007292A"/>
    <w:pPr>
      <w:ind w:left="220" w:hanging="220"/>
    </w:pPr>
  </w:style>
  <w:style w:type="paragraph" w:styleId="Index2">
    <w:name w:val="index 2"/>
    <w:basedOn w:val="Normal"/>
    <w:next w:val="Normal"/>
    <w:autoRedefine/>
    <w:uiPriority w:val="99"/>
    <w:semiHidden/>
    <w:unhideWhenUsed/>
    <w:locked/>
    <w:rsid w:val="0007292A"/>
    <w:pPr>
      <w:ind w:left="440" w:hanging="220"/>
    </w:pPr>
  </w:style>
  <w:style w:type="paragraph" w:styleId="Index3">
    <w:name w:val="index 3"/>
    <w:basedOn w:val="Normal"/>
    <w:next w:val="Normal"/>
    <w:autoRedefine/>
    <w:uiPriority w:val="99"/>
    <w:semiHidden/>
    <w:unhideWhenUsed/>
    <w:locked/>
    <w:rsid w:val="0007292A"/>
    <w:pPr>
      <w:ind w:left="660" w:hanging="220"/>
    </w:pPr>
  </w:style>
  <w:style w:type="paragraph" w:styleId="Index4">
    <w:name w:val="index 4"/>
    <w:basedOn w:val="Normal"/>
    <w:next w:val="Normal"/>
    <w:autoRedefine/>
    <w:uiPriority w:val="99"/>
    <w:semiHidden/>
    <w:unhideWhenUsed/>
    <w:locked/>
    <w:rsid w:val="0007292A"/>
    <w:pPr>
      <w:ind w:left="880" w:hanging="220"/>
    </w:pPr>
  </w:style>
  <w:style w:type="paragraph" w:styleId="Index5">
    <w:name w:val="index 5"/>
    <w:basedOn w:val="Normal"/>
    <w:next w:val="Normal"/>
    <w:autoRedefine/>
    <w:uiPriority w:val="99"/>
    <w:semiHidden/>
    <w:unhideWhenUsed/>
    <w:locked/>
    <w:rsid w:val="0007292A"/>
    <w:pPr>
      <w:ind w:left="1100" w:hanging="220"/>
    </w:pPr>
  </w:style>
  <w:style w:type="paragraph" w:styleId="Index6">
    <w:name w:val="index 6"/>
    <w:basedOn w:val="Normal"/>
    <w:next w:val="Normal"/>
    <w:autoRedefine/>
    <w:uiPriority w:val="99"/>
    <w:semiHidden/>
    <w:unhideWhenUsed/>
    <w:locked/>
    <w:rsid w:val="0007292A"/>
    <w:pPr>
      <w:ind w:left="1320" w:hanging="220"/>
    </w:pPr>
  </w:style>
  <w:style w:type="paragraph" w:styleId="Index7">
    <w:name w:val="index 7"/>
    <w:basedOn w:val="Normal"/>
    <w:next w:val="Normal"/>
    <w:autoRedefine/>
    <w:uiPriority w:val="99"/>
    <w:semiHidden/>
    <w:unhideWhenUsed/>
    <w:locked/>
    <w:rsid w:val="0007292A"/>
    <w:pPr>
      <w:ind w:left="1540" w:hanging="220"/>
    </w:pPr>
  </w:style>
  <w:style w:type="paragraph" w:styleId="Index8">
    <w:name w:val="index 8"/>
    <w:basedOn w:val="Normal"/>
    <w:next w:val="Normal"/>
    <w:autoRedefine/>
    <w:uiPriority w:val="99"/>
    <w:semiHidden/>
    <w:unhideWhenUsed/>
    <w:locked/>
    <w:rsid w:val="0007292A"/>
    <w:pPr>
      <w:ind w:left="1760" w:hanging="220"/>
    </w:pPr>
  </w:style>
  <w:style w:type="paragraph" w:styleId="Index9">
    <w:name w:val="index 9"/>
    <w:basedOn w:val="Normal"/>
    <w:next w:val="Normal"/>
    <w:autoRedefine/>
    <w:uiPriority w:val="99"/>
    <w:semiHidden/>
    <w:unhideWhenUsed/>
    <w:locked/>
    <w:rsid w:val="0007292A"/>
    <w:pPr>
      <w:ind w:left="1980" w:hanging="220"/>
    </w:pPr>
  </w:style>
  <w:style w:type="paragraph" w:styleId="IndexHeading">
    <w:name w:val="index heading"/>
    <w:basedOn w:val="Normal"/>
    <w:next w:val="Index1"/>
    <w:uiPriority w:val="99"/>
    <w:semiHidden/>
    <w:unhideWhenUsed/>
    <w:locked/>
    <w:rsid w:val="0007292A"/>
    <w:rPr>
      <w:rFonts w:eastAsiaTheme="majorEastAsia" w:cstheme="majorBidi"/>
      <w:b/>
      <w:bCs/>
    </w:rPr>
  </w:style>
  <w:style w:type="character" w:styleId="IntenseEmphasis">
    <w:name w:val="Intense Emphasis"/>
    <w:basedOn w:val="DefaultParagraphFont"/>
    <w:uiPriority w:val="99"/>
    <w:semiHidden/>
    <w:qFormat/>
    <w:locked/>
    <w:rsid w:val="0007292A"/>
    <w:rPr>
      <w:i/>
      <w:iCs/>
      <w:color w:val="231EDC" w:themeColor="accent1"/>
    </w:rPr>
  </w:style>
  <w:style w:type="paragraph" w:styleId="IntenseQuote">
    <w:name w:val="Intense Quote"/>
    <w:basedOn w:val="Normal"/>
    <w:next w:val="Normal"/>
    <w:link w:val="IntenseQuoteChar"/>
    <w:uiPriority w:val="99"/>
    <w:semiHidden/>
    <w:qFormat/>
    <w:locked/>
    <w:rsid w:val="0007292A"/>
    <w:pPr>
      <w:pBdr>
        <w:top w:val="single" w:color="231EDC" w:themeColor="accent1" w:sz="4" w:space="10"/>
        <w:bottom w:val="single" w:color="231EDC" w:themeColor="accent1" w:sz="4" w:space="10"/>
      </w:pBdr>
      <w:spacing w:before="360" w:after="360"/>
      <w:ind w:left="864" w:right="864"/>
      <w:jc w:val="center"/>
    </w:pPr>
    <w:rPr>
      <w:i/>
      <w:iCs/>
      <w:color w:val="231EDC" w:themeColor="accent1"/>
    </w:rPr>
  </w:style>
  <w:style w:type="character" w:styleId="IntenseQuoteChar" w:customStyle="1">
    <w:name w:val="Intense Quote Char"/>
    <w:basedOn w:val="DefaultParagraphFont"/>
    <w:link w:val="IntenseQuote"/>
    <w:uiPriority w:val="30"/>
    <w:semiHidden/>
    <w:rsid w:val="0007292A"/>
    <w:rPr>
      <w:i/>
      <w:iCs/>
      <w:color w:val="231EDC" w:themeColor="accent1"/>
    </w:rPr>
  </w:style>
  <w:style w:type="character" w:styleId="IntenseReference">
    <w:name w:val="Intense Reference"/>
    <w:basedOn w:val="DefaultParagraphFont"/>
    <w:uiPriority w:val="99"/>
    <w:semiHidden/>
    <w:qFormat/>
    <w:locked/>
    <w:rsid w:val="0007292A"/>
    <w:rPr>
      <w:b/>
      <w:bCs/>
      <w:smallCaps/>
      <w:color w:val="231EDC" w:themeColor="accent1"/>
      <w:spacing w:val="5"/>
    </w:rPr>
  </w:style>
  <w:style w:type="table" w:styleId="LightGrid">
    <w:name w:val="Light Grid"/>
    <w:basedOn w:val="TableNormal"/>
    <w:uiPriority w:val="62"/>
    <w:semiHidden/>
    <w:unhideWhenUsed/>
    <w:locked/>
    <w:rsid w:val="0007292A"/>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locked/>
    <w:rsid w:val="0007292A"/>
    <w:pPr>
      <w:spacing w:line="240" w:lineRule="auto"/>
    </w:pPr>
    <w:tblPr>
      <w:tblStyleRowBandSize w:val="1"/>
      <w:tblStyleColBandSize w:val="1"/>
      <w:tblBorders>
        <w:top w:val="single" w:color="231EDC" w:themeColor="accent1" w:sz="8" w:space="0"/>
        <w:left w:val="single" w:color="231EDC" w:themeColor="accent1" w:sz="8" w:space="0"/>
        <w:bottom w:val="single" w:color="231EDC" w:themeColor="accent1" w:sz="8" w:space="0"/>
        <w:right w:val="single" w:color="231EDC" w:themeColor="accent1" w:sz="8" w:space="0"/>
        <w:insideH w:val="single" w:color="231EDC" w:themeColor="accent1" w:sz="8" w:space="0"/>
        <w:insideV w:val="single" w:color="231ED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1EDC" w:themeColor="accent1" w:sz="8" w:space="0"/>
          <w:left w:val="single" w:color="231EDC" w:themeColor="accent1" w:sz="8" w:space="0"/>
          <w:bottom w:val="single" w:color="231EDC" w:themeColor="accent1" w:sz="18" w:space="0"/>
          <w:right w:val="single" w:color="231EDC" w:themeColor="accent1" w:sz="8" w:space="0"/>
          <w:insideH w:val="nil"/>
          <w:insideV w:val="single" w:color="231ED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1EDC" w:themeColor="accent1" w:sz="6" w:space="0"/>
          <w:left w:val="single" w:color="231EDC" w:themeColor="accent1" w:sz="8" w:space="0"/>
          <w:bottom w:val="single" w:color="231EDC" w:themeColor="accent1" w:sz="8" w:space="0"/>
          <w:right w:val="single" w:color="231EDC" w:themeColor="accent1" w:sz="8" w:space="0"/>
          <w:insideH w:val="nil"/>
          <w:insideV w:val="single" w:color="231ED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1EDC" w:themeColor="accent1" w:sz="8" w:space="0"/>
          <w:left w:val="single" w:color="231EDC" w:themeColor="accent1" w:sz="8" w:space="0"/>
          <w:bottom w:val="single" w:color="231EDC" w:themeColor="accent1" w:sz="8" w:space="0"/>
          <w:right w:val="single" w:color="231EDC" w:themeColor="accent1" w:sz="8" w:space="0"/>
        </w:tcBorders>
      </w:tcPr>
    </w:tblStylePr>
    <w:tblStylePr w:type="band1Vert">
      <w:tblPr/>
      <w:tcPr>
        <w:tcBorders>
          <w:top w:val="single" w:color="231EDC" w:themeColor="accent1" w:sz="8" w:space="0"/>
          <w:left w:val="single" w:color="231EDC" w:themeColor="accent1" w:sz="8" w:space="0"/>
          <w:bottom w:val="single" w:color="231EDC" w:themeColor="accent1" w:sz="8" w:space="0"/>
          <w:right w:val="single" w:color="231EDC" w:themeColor="accent1" w:sz="8" w:space="0"/>
        </w:tcBorders>
        <w:shd w:val="clear" w:color="auto" w:fill="C7C6F7" w:themeFill="accent1" w:themeFillTint="3F"/>
      </w:tcPr>
    </w:tblStylePr>
    <w:tblStylePr w:type="band1Horz">
      <w:tblPr/>
      <w:tcPr>
        <w:tcBorders>
          <w:top w:val="single" w:color="231EDC" w:themeColor="accent1" w:sz="8" w:space="0"/>
          <w:left w:val="single" w:color="231EDC" w:themeColor="accent1" w:sz="8" w:space="0"/>
          <w:bottom w:val="single" w:color="231EDC" w:themeColor="accent1" w:sz="8" w:space="0"/>
          <w:right w:val="single" w:color="231EDC" w:themeColor="accent1" w:sz="8" w:space="0"/>
          <w:insideV w:val="single" w:color="231EDC" w:themeColor="accent1" w:sz="8" w:space="0"/>
        </w:tcBorders>
        <w:shd w:val="clear" w:color="auto" w:fill="C7C6F7" w:themeFill="accent1" w:themeFillTint="3F"/>
      </w:tcPr>
    </w:tblStylePr>
    <w:tblStylePr w:type="band2Horz">
      <w:tblPr/>
      <w:tcPr>
        <w:tcBorders>
          <w:top w:val="single" w:color="231EDC" w:themeColor="accent1" w:sz="8" w:space="0"/>
          <w:left w:val="single" w:color="231EDC" w:themeColor="accent1" w:sz="8" w:space="0"/>
          <w:bottom w:val="single" w:color="231EDC" w:themeColor="accent1" w:sz="8" w:space="0"/>
          <w:right w:val="single" w:color="231EDC" w:themeColor="accent1" w:sz="8" w:space="0"/>
          <w:insideV w:val="single" w:color="231EDC" w:themeColor="accent1" w:sz="8" w:space="0"/>
        </w:tcBorders>
      </w:tcPr>
    </w:tblStylePr>
  </w:style>
  <w:style w:type="table" w:styleId="LightGrid-Accent2">
    <w:name w:val="Light Grid Accent 2"/>
    <w:basedOn w:val="TableNormal"/>
    <w:uiPriority w:val="62"/>
    <w:semiHidden/>
    <w:unhideWhenUsed/>
    <w:locked/>
    <w:rsid w:val="0007292A"/>
    <w:pPr>
      <w:spacing w:line="240" w:lineRule="auto"/>
    </w:pPr>
    <w:tblPr>
      <w:tblStyleRowBandSize w:val="1"/>
      <w:tblStyleColBandSize w:val="1"/>
      <w:tblBorders>
        <w:top w:val="single" w:color="0A7DFF" w:themeColor="accent2" w:sz="8" w:space="0"/>
        <w:left w:val="single" w:color="0A7DFF" w:themeColor="accent2" w:sz="8" w:space="0"/>
        <w:bottom w:val="single" w:color="0A7DFF" w:themeColor="accent2" w:sz="8" w:space="0"/>
        <w:right w:val="single" w:color="0A7DFF" w:themeColor="accent2" w:sz="8" w:space="0"/>
        <w:insideH w:val="single" w:color="0A7DFF" w:themeColor="accent2" w:sz="8" w:space="0"/>
        <w:insideV w:val="single" w:color="0A7DFF"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A7DFF" w:themeColor="accent2" w:sz="8" w:space="0"/>
          <w:left w:val="single" w:color="0A7DFF" w:themeColor="accent2" w:sz="8" w:space="0"/>
          <w:bottom w:val="single" w:color="0A7DFF" w:themeColor="accent2" w:sz="18" w:space="0"/>
          <w:right w:val="single" w:color="0A7DFF" w:themeColor="accent2" w:sz="8" w:space="0"/>
          <w:insideH w:val="nil"/>
          <w:insideV w:val="single" w:color="0A7DFF"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A7DFF" w:themeColor="accent2" w:sz="6" w:space="0"/>
          <w:left w:val="single" w:color="0A7DFF" w:themeColor="accent2" w:sz="8" w:space="0"/>
          <w:bottom w:val="single" w:color="0A7DFF" w:themeColor="accent2" w:sz="8" w:space="0"/>
          <w:right w:val="single" w:color="0A7DFF" w:themeColor="accent2" w:sz="8" w:space="0"/>
          <w:insideH w:val="nil"/>
          <w:insideV w:val="single" w:color="0A7DFF"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A7DFF" w:themeColor="accent2" w:sz="8" w:space="0"/>
          <w:left w:val="single" w:color="0A7DFF" w:themeColor="accent2" w:sz="8" w:space="0"/>
          <w:bottom w:val="single" w:color="0A7DFF" w:themeColor="accent2" w:sz="8" w:space="0"/>
          <w:right w:val="single" w:color="0A7DFF" w:themeColor="accent2" w:sz="8" w:space="0"/>
        </w:tcBorders>
      </w:tcPr>
    </w:tblStylePr>
    <w:tblStylePr w:type="band1Vert">
      <w:tblPr/>
      <w:tcPr>
        <w:tcBorders>
          <w:top w:val="single" w:color="0A7DFF" w:themeColor="accent2" w:sz="8" w:space="0"/>
          <w:left w:val="single" w:color="0A7DFF" w:themeColor="accent2" w:sz="8" w:space="0"/>
          <w:bottom w:val="single" w:color="0A7DFF" w:themeColor="accent2" w:sz="8" w:space="0"/>
          <w:right w:val="single" w:color="0A7DFF" w:themeColor="accent2" w:sz="8" w:space="0"/>
        </w:tcBorders>
        <w:shd w:val="clear" w:color="auto" w:fill="C2DEFF" w:themeFill="accent2" w:themeFillTint="3F"/>
      </w:tcPr>
    </w:tblStylePr>
    <w:tblStylePr w:type="band1Horz">
      <w:tblPr/>
      <w:tcPr>
        <w:tcBorders>
          <w:top w:val="single" w:color="0A7DFF" w:themeColor="accent2" w:sz="8" w:space="0"/>
          <w:left w:val="single" w:color="0A7DFF" w:themeColor="accent2" w:sz="8" w:space="0"/>
          <w:bottom w:val="single" w:color="0A7DFF" w:themeColor="accent2" w:sz="8" w:space="0"/>
          <w:right w:val="single" w:color="0A7DFF" w:themeColor="accent2" w:sz="8" w:space="0"/>
          <w:insideV w:val="single" w:color="0A7DFF" w:themeColor="accent2" w:sz="8" w:space="0"/>
        </w:tcBorders>
        <w:shd w:val="clear" w:color="auto" w:fill="C2DEFF" w:themeFill="accent2" w:themeFillTint="3F"/>
      </w:tcPr>
    </w:tblStylePr>
    <w:tblStylePr w:type="band2Horz">
      <w:tblPr/>
      <w:tcPr>
        <w:tcBorders>
          <w:top w:val="single" w:color="0A7DFF" w:themeColor="accent2" w:sz="8" w:space="0"/>
          <w:left w:val="single" w:color="0A7DFF" w:themeColor="accent2" w:sz="8" w:space="0"/>
          <w:bottom w:val="single" w:color="0A7DFF" w:themeColor="accent2" w:sz="8" w:space="0"/>
          <w:right w:val="single" w:color="0A7DFF" w:themeColor="accent2" w:sz="8" w:space="0"/>
          <w:insideV w:val="single" w:color="0A7DFF" w:themeColor="accent2" w:sz="8" w:space="0"/>
        </w:tcBorders>
      </w:tcPr>
    </w:tblStylePr>
  </w:style>
  <w:style w:type="table" w:styleId="LightGrid-Accent3">
    <w:name w:val="Light Grid Accent 3"/>
    <w:basedOn w:val="TableNormal"/>
    <w:uiPriority w:val="62"/>
    <w:semiHidden/>
    <w:unhideWhenUsed/>
    <w:locked/>
    <w:rsid w:val="0007292A"/>
    <w:pPr>
      <w:spacing w:line="240" w:lineRule="auto"/>
    </w:pPr>
    <w:tblPr>
      <w:tblStyleRowBandSize w:val="1"/>
      <w:tblStyleColBandSize w:val="1"/>
      <w:tblBorders>
        <w:top w:val="single" w:color="5AE6FF" w:themeColor="accent3" w:sz="8" w:space="0"/>
        <w:left w:val="single" w:color="5AE6FF" w:themeColor="accent3" w:sz="8" w:space="0"/>
        <w:bottom w:val="single" w:color="5AE6FF" w:themeColor="accent3" w:sz="8" w:space="0"/>
        <w:right w:val="single" w:color="5AE6FF" w:themeColor="accent3" w:sz="8" w:space="0"/>
        <w:insideH w:val="single" w:color="5AE6FF" w:themeColor="accent3" w:sz="8" w:space="0"/>
        <w:insideV w:val="single" w:color="5AE6FF"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AE6FF" w:themeColor="accent3" w:sz="8" w:space="0"/>
          <w:left w:val="single" w:color="5AE6FF" w:themeColor="accent3" w:sz="8" w:space="0"/>
          <w:bottom w:val="single" w:color="5AE6FF" w:themeColor="accent3" w:sz="18" w:space="0"/>
          <w:right w:val="single" w:color="5AE6FF" w:themeColor="accent3" w:sz="8" w:space="0"/>
          <w:insideH w:val="nil"/>
          <w:insideV w:val="single" w:color="5AE6FF"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AE6FF" w:themeColor="accent3" w:sz="6" w:space="0"/>
          <w:left w:val="single" w:color="5AE6FF" w:themeColor="accent3" w:sz="8" w:space="0"/>
          <w:bottom w:val="single" w:color="5AE6FF" w:themeColor="accent3" w:sz="8" w:space="0"/>
          <w:right w:val="single" w:color="5AE6FF" w:themeColor="accent3" w:sz="8" w:space="0"/>
          <w:insideH w:val="nil"/>
          <w:insideV w:val="single" w:color="5AE6FF"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AE6FF" w:themeColor="accent3" w:sz="8" w:space="0"/>
          <w:left w:val="single" w:color="5AE6FF" w:themeColor="accent3" w:sz="8" w:space="0"/>
          <w:bottom w:val="single" w:color="5AE6FF" w:themeColor="accent3" w:sz="8" w:space="0"/>
          <w:right w:val="single" w:color="5AE6FF" w:themeColor="accent3" w:sz="8" w:space="0"/>
        </w:tcBorders>
      </w:tcPr>
    </w:tblStylePr>
    <w:tblStylePr w:type="band1Vert">
      <w:tblPr/>
      <w:tcPr>
        <w:tcBorders>
          <w:top w:val="single" w:color="5AE6FF" w:themeColor="accent3" w:sz="8" w:space="0"/>
          <w:left w:val="single" w:color="5AE6FF" w:themeColor="accent3" w:sz="8" w:space="0"/>
          <w:bottom w:val="single" w:color="5AE6FF" w:themeColor="accent3" w:sz="8" w:space="0"/>
          <w:right w:val="single" w:color="5AE6FF" w:themeColor="accent3" w:sz="8" w:space="0"/>
        </w:tcBorders>
        <w:shd w:val="clear" w:color="auto" w:fill="D6F8FF" w:themeFill="accent3" w:themeFillTint="3F"/>
      </w:tcPr>
    </w:tblStylePr>
    <w:tblStylePr w:type="band1Horz">
      <w:tblPr/>
      <w:tcPr>
        <w:tcBorders>
          <w:top w:val="single" w:color="5AE6FF" w:themeColor="accent3" w:sz="8" w:space="0"/>
          <w:left w:val="single" w:color="5AE6FF" w:themeColor="accent3" w:sz="8" w:space="0"/>
          <w:bottom w:val="single" w:color="5AE6FF" w:themeColor="accent3" w:sz="8" w:space="0"/>
          <w:right w:val="single" w:color="5AE6FF" w:themeColor="accent3" w:sz="8" w:space="0"/>
          <w:insideV w:val="single" w:color="5AE6FF" w:themeColor="accent3" w:sz="8" w:space="0"/>
        </w:tcBorders>
        <w:shd w:val="clear" w:color="auto" w:fill="D6F8FF" w:themeFill="accent3" w:themeFillTint="3F"/>
      </w:tcPr>
    </w:tblStylePr>
    <w:tblStylePr w:type="band2Horz">
      <w:tblPr/>
      <w:tcPr>
        <w:tcBorders>
          <w:top w:val="single" w:color="5AE6FF" w:themeColor="accent3" w:sz="8" w:space="0"/>
          <w:left w:val="single" w:color="5AE6FF" w:themeColor="accent3" w:sz="8" w:space="0"/>
          <w:bottom w:val="single" w:color="5AE6FF" w:themeColor="accent3" w:sz="8" w:space="0"/>
          <w:right w:val="single" w:color="5AE6FF" w:themeColor="accent3" w:sz="8" w:space="0"/>
          <w:insideV w:val="single" w:color="5AE6FF" w:themeColor="accent3" w:sz="8" w:space="0"/>
        </w:tcBorders>
      </w:tcPr>
    </w:tblStylePr>
  </w:style>
  <w:style w:type="table" w:styleId="LightGrid-Accent4">
    <w:name w:val="Light Grid Accent 4"/>
    <w:basedOn w:val="TableNormal"/>
    <w:uiPriority w:val="62"/>
    <w:semiHidden/>
    <w:unhideWhenUsed/>
    <w:locked/>
    <w:rsid w:val="0007292A"/>
    <w:pPr>
      <w:spacing w:line="240" w:lineRule="auto"/>
    </w:pPr>
    <w:tblPr>
      <w:tblStyleRowBandSize w:val="1"/>
      <w:tblStyleColBandSize w:val="1"/>
      <w:tblBorders>
        <w:top w:val="single" w:color="001E55" w:themeColor="accent4" w:sz="8" w:space="0"/>
        <w:left w:val="single" w:color="001E55" w:themeColor="accent4" w:sz="8" w:space="0"/>
        <w:bottom w:val="single" w:color="001E55" w:themeColor="accent4" w:sz="8" w:space="0"/>
        <w:right w:val="single" w:color="001E55" w:themeColor="accent4" w:sz="8" w:space="0"/>
        <w:insideH w:val="single" w:color="001E55" w:themeColor="accent4" w:sz="8" w:space="0"/>
        <w:insideV w:val="single" w:color="001E5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1E55" w:themeColor="accent4" w:sz="8" w:space="0"/>
          <w:left w:val="single" w:color="001E55" w:themeColor="accent4" w:sz="8" w:space="0"/>
          <w:bottom w:val="single" w:color="001E55" w:themeColor="accent4" w:sz="18" w:space="0"/>
          <w:right w:val="single" w:color="001E55" w:themeColor="accent4" w:sz="8" w:space="0"/>
          <w:insideH w:val="nil"/>
          <w:insideV w:val="single" w:color="001E55"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1E55" w:themeColor="accent4" w:sz="6" w:space="0"/>
          <w:left w:val="single" w:color="001E55" w:themeColor="accent4" w:sz="8" w:space="0"/>
          <w:bottom w:val="single" w:color="001E55" w:themeColor="accent4" w:sz="8" w:space="0"/>
          <w:right w:val="single" w:color="001E55" w:themeColor="accent4" w:sz="8" w:space="0"/>
          <w:insideH w:val="nil"/>
          <w:insideV w:val="single" w:color="001E55"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1E55" w:themeColor="accent4" w:sz="8" w:space="0"/>
          <w:left w:val="single" w:color="001E55" w:themeColor="accent4" w:sz="8" w:space="0"/>
          <w:bottom w:val="single" w:color="001E55" w:themeColor="accent4" w:sz="8" w:space="0"/>
          <w:right w:val="single" w:color="001E55" w:themeColor="accent4" w:sz="8" w:space="0"/>
        </w:tcBorders>
      </w:tcPr>
    </w:tblStylePr>
    <w:tblStylePr w:type="band1Vert">
      <w:tblPr/>
      <w:tcPr>
        <w:tcBorders>
          <w:top w:val="single" w:color="001E55" w:themeColor="accent4" w:sz="8" w:space="0"/>
          <w:left w:val="single" w:color="001E55" w:themeColor="accent4" w:sz="8" w:space="0"/>
          <w:bottom w:val="single" w:color="001E55" w:themeColor="accent4" w:sz="8" w:space="0"/>
          <w:right w:val="single" w:color="001E55" w:themeColor="accent4" w:sz="8" w:space="0"/>
        </w:tcBorders>
        <w:shd w:val="clear" w:color="auto" w:fill="96BBFF" w:themeFill="accent4" w:themeFillTint="3F"/>
      </w:tcPr>
    </w:tblStylePr>
    <w:tblStylePr w:type="band1Horz">
      <w:tblPr/>
      <w:tcPr>
        <w:tcBorders>
          <w:top w:val="single" w:color="001E55" w:themeColor="accent4" w:sz="8" w:space="0"/>
          <w:left w:val="single" w:color="001E55" w:themeColor="accent4" w:sz="8" w:space="0"/>
          <w:bottom w:val="single" w:color="001E55" w:themeColor="accent4" w:sz="8" w:space="0"/>
          <w:right w:val="single" w:color="001E55" w:themeColor="accent4" w:sz="8" w:space="0"/>
          <w:insideV w:val="single" w:color="001E55" w:themeColor="accent4" w:sz="8" w:space="0"/>
        </w:tcBorders>
        <w:shd w:val="clear" w:color="auto" w:fill="96BBFF" w:themeFill="accent4" w:themeFillTint="3F"/>
      </w:tcPr>
    </w:tblStylePr>
    <w:tblStylePr w:type="band2Horz">
      <w:tblPr/>
      <w:tcPr>
        <w:tcBorders>
          <w:top w:val="single" w:color="001E55" w:themeColor="accent4" w:sz="8" w:space="0"/>
          <w:left w:val="single" w:color="001E55" w:themeColor="accent4" w:sz="8" w:space="0"/>
          <w:bottom w:val="single" w:color="001E55" w:themeColor="accent4" w:sz="8" w:space="0"/>
          <w:right w:val="single" w:color="001E55" w:themeColor="accent4" w:sz="8" w:space="0"/>
          <w:insideV w:val="single" w:color="001E55" w:themeColor="accent4" w:sz="8" w:space="0"/>
        </w:tcBorders>
      </w:tcPr>
    </w:tblStylePr>
  </w:style>
  <w:style w:type="table" w:styleId="LightGrid-Accent5">
    <w:name w:val="Light Grid Accent 5"/>
    <w:basedOn w:val="TableNormal"/>
    <w:uiPriority w:val="62"/>
    <w:semiHidden/>
    <w:unhideWhenUsed/>
    <w:locked/>
    <w:rsid w:val="0007292A"/>
    <w:pPr>
      <w:spacing w:line="240" w:lineRule="auto"/>
    </w:pPr>
    <w:tblPr>
      <w:tblStyleRowBandSize w:val="1"/>
      <w:tblStyleColBandSize w:val="1"/>
      <w:tblBorders>
        <w:top w:val="single" w:color="A5A5A5" w:themeColor="accent5" w:sz="8" w:space="0"/>
        <w:left w:val="single" w:color="A5A5A5" w:themeColor="accent5" w:sz="8" w:space="0"/>
        <w:bottom w:val="single" w:color="A5A5A5" w:themeColor="accent5" w:sz="8" w:space="0"/>
        <w:right w:val="single" w:color="A5A5A5" w:themeColor="accent5" w:sz="8" w:space="0"/>
        <w:insideH w:val="single" w:color="A5A5A5" w:themeColor="accent5" w:sz="8" w:space="0"/>
        <w:insideV w:val="single" w:color="A5A5A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5" w:sz="8" w:space="0"/>
          <w:left w:val="single" w:color="A5A5A5" w:themeColor="accent5" w:sz="8" w:space="0"/>
          <w:bottom w:val="single" w:color="A5A5A5" w:themeColor="accent5" w:sz="18" w:space="0"/>
          <w:right w:val="single" w:color="A5A5A5" w:themeColor="accent5" w:sz="8" w:space="0"/>
          <w:insideH w:val="nil"/>
          <w:insideV w:val="single" w:color="A5A5A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5" w:sz="6" w:space="0"/>
          <w:left w:val="single" w:color="A5A5A5" w:themeColor="accent5" w:sz="8" w:space="0"/>
          <w:bottom w:val="single" w:color="A5A5A5" w:themeColor="accent5" w:sz="8" w:space="0"/>
          <w:right w:val="single" w:color="A5A5A5" w:themeColor="accent5" w:sz="8" w:space="0"/>
          <w:insideH w:val="nil"/>
          <w:insideV w:val="single" w:color="A5A5A5"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5" w:sz="8" w:space="0"/>
          <w:left w:val="single" w:color="A5A5A5" w:themeColor="accent5" w:sz="8" w:space="0"/>
          <w:bottom w:val="single" w:color="A5A5A5" w:themeColor="accent5" w:sz="8" w:space="0"/>
          <w:right w:val="single" w:color="A5A5A5" w:themeColor="accent5" w:sz="8" w:space="0"/>
        </w:tcBorders>
      </w:tcPr>
    </w:tblStylePr>
    <w:tblStylePr w:type="band1Vert">
      <w:tblPr/>
      <w:tcPr>
        <w:tcBorders>
          <w:top w:val="single" w:color="A5A5A5" w:themeColor="accent5" w:sz="8" w:space="0"/>
          <w:left w:val="single" w:color="A5A5A5" w:themeColor="accent5" w:sz="8" w:space="0"/>
          <w:bottom w:val="single" w:color="A5A5A5" w:themeColor="accent5" w:sz="8" w:space="0"/>
          <w:right w:val="single" w:color="A5A5A5" w:themeColor="accent5" w:sz="8" w:space="0"/>
        </w:tcBorders>
        <w:shd w:val="clear" w:color="auto" w:fill="E8E8E8" w:themeFill="accent5" w:themeFillTint="3F"/>
      </w:tcPr>
    </w:tblStylePr>
    <w:tblStylePr w:type="band1Horz">
      <w:tblPr/>
      <w:tcPr>
        <w:tcBorders>
          <w:top w:val="single" w:color="A5A5A5" w:themeColor="accent5" w:sz="8" w:space="0"/>
          <w:left w:val="single" w:color="A5A5A5" w:themeColor="accent5" w:sz="8" w:space="0"/>
          <w:bottom w:val="single" w:color="A5A5A5" w:themeColor="accent5" w:sz="8" w:space="0"/>
          <w:right w:val="single" w:color="A5A5A5" w:themeColor="accent5" w:sz="8" w:space="0"/>
          <w:insideV w:val="single" w:color="A5A5A5" w:themeColor="accent5" w:sz="8" w:space="0"/>
        </w:tcBorders>
        <w:shd w:val="clear" w:color="auto" w:fill="E8E8E8" w:themeFill="accent5" w:themeFillTint="3F"/>
      </w:tcPr>
    </w:tblStylePr>
    <w:tblStylePr w:type="band2Horz">
      <w:tblPr/>
      <w:tcPr>
        <w:tcBorders>
          <w:top w:val="single" w:color="A5A5A5" w:themeColor="accent5" w:sz="8" w:space="0"/>
          <w:left w:val="single" w:color="A5A5A5" w:themeColor="accent5" w:sz="8" w:space="0"/>
          <w:bottom w:val="single" w:color="A5A5A5" w:themeColor="accent5" w:sz="8" w:space="0"/>
          <w:right w:val="single" w:color="A5A5A5" w:themeColor="accent5" w:sz="8" w:space="0"/>
          <w:insideV w:val="single" w:color="A5A5A5" w:themeColor="accent5" w:sz="8" w:space="0"/>
        </w:tcBorders>
      </w:tcPr>
    </w:tblStylePr>
  </w:style>
  <w:style w:type="table" w:styleId="LightGrid-Accent6">
    <w:name w:val="Light Grid Accent 6"/>
    <w:basedOn w:val="TableNormal"/>
    <w:uiPriority w:val="62"/>
    <w:semiHidden/>
    <w:unhideWhenUsed/>
    <w:locked/>
    <w:rsid w:val="0007292A"/>
    <w:pPr>
      <w:spacing w:line="240" w:lineRule="auto"/>
    </w:pPr>
    <w:tblPr>
      <w:tblStyleRowBandSize w:val="1"/>
      <w:tblStyleColBandSize w:val="1"/>
      <w:tblBorders>
        <w:top w:val="single" w:color="C8C8C8" w:themeColor="accent6" w:sz="8" w:space="0"/>
        <w:left w:val="single" w:color="C8C8C8" w:themeColor="accent6" w:sz="8" w:space="0"/>
        <w:bottom w:val="single" w:color="C8C8C8" w:themeColor="accent6" w:sz="8" w:space="0"/>
        <w:right w:val="single" w:color="C8C8C8" w:themeColor="accent6" w:sz="8" w:space="0"/>
        <w:insideH w:val="single" w:color="C8C8C8" w:themeColor="accent6" w:sz="8" w:space="0"/>
        <w:insideV w:val="single" w:color="C8C8C8"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8C8C8" w:themeColor="accent6" w:sz="8" w:space="0"/>
          <w:left w:val="single" w:color="C8C8C8" w:themeColor="accent6" w:sz="8" w:space="0"/>
          <w:bottom w:val="single" w:color="C8C8C8" w:themeColor="accent6" w:sz="18" w:space="0"/>
          <w:right w:val="single" w:color="C8C8C8" w:themeColor="accent6" w:sz="8" w:space="0"/>
          <w:insideH w:val="nil"/>
          <w:insideV w:val="single" w:color="C8C8C8"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8C8C8" w:themeColor="accent6" w:sz="6" w:space="0"/>
          <w:left w:val="single" w:color="C8C8C8" w:themeColor="accent6" w:sz="8" w:space="0"/>
          <w:bottom w:val="single" w:color="C8C8C8" w:themeColor="accent6" w:sz="8" w:space="0"/>
          <w:right w:val="single" w:color="C8C8C8" w:themeColor="accent6" w:sz="8" w:space="0"/>
          <w:insideH w:val="nil"/>
          <w:insideV w:val="single" w:color="C8C8C8"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8C8C8" w:themeColor="accent6" w:sz="8" w:space="0"/>
          <w:left w:val="single" w:color="C8C8C8" w:themeColor="accent6" w:sz="8" w:space="0"/>
          <w:bottom w:val="single" w:color="C8C8C8" w:themeColor="accent6" w:sz="8" w:space="0"/>
          <w:right w:val="single" w:color="C8C8C8" w:themeColor="accent6" w:sz="8" w:space="0"/>
        </w:tcBorders>
      </w:tcPr>
    </w:tblStylePr>
    <w:tblStylePr w:type="band1Vert">
      <w:tblPr/>
      <w:tcPr>
        <w:tcBorders>
          <w:top w:val="single" w:color="C8C8C8" w:themeColor="accent6" w:sz="8" w:space="0"/>
          <w:left w:val="single" w:color="C8C8C8" w:themeColor="accent6" w:sz="8" w:space="0"/>
          <w:bottom w:val="single" w:color="C8C8C8" w:themeColor="accent6" w:sz="8" w:space="0"/>
          <w:right w:val="single" w:color="C8C8C8" w:themeColor="accent6" w:sz="8" w:space="0"/>
        </w:tcBorders>
        <w:shd w:val="clear" w:color="auto" w:fill="F1F1F1" w:themeFill="accent6" w:themeFillTint="3F"/>
      </w:tcPr>
    </w:tblStylePr>
    <w:tblStylePr w:type="band1Horz">
      <w:tblPr/>
      <w:tcPr>
        <w:tcBorders>
          <w:top w:val="single" w:color="C8C8C8" w:themeColor="accent6" w:sz="8" w:space="0"/>
          <w:left w:val="single" w:color="C8C8C8" w:themeColor="accent6" w:sz="8" w:space="0"/>
          <w:bottom w:val="single" w:color="C8C8C8" w:themeColor="accent6" w:sz="8" w:space="0"/>
          <w:right w:val="single" w:color="C8C8C8" w:themeColor="accent6" w:sz="8" w:space="0"/>
          <w:insideV w:val="single" w:color="C8C8C8" w:themeColor="accent6" w:sz="8" w:space="0"/>
        </w:tcBorders>
        <w:shd w:val="clear" w:color="auto" w:fill="F1F1F1" w:themeFill="accent6" w:themeFillTint="3F"/>
      </w:tcPr>
    </w:tblStylePr>
    <w:tblStylePr w:type="band2Horz">
      <w:tblPr/>
      <w:tcPr>
        <w:tcBorders>
          <w:top w:val="single" w:color="C8C8C8" w:themeColor="accent6" w:sz="8" w:space="0"/>
          <w:left w:val="single" w:color="C8C8C8" w:themeColor="accent6" w:sz="8" w:space="0"/>
          <w:bottom w:val="single" w:color="C8C8C8" w:themeColor="accent6" w:sz="8" w:space="0"/>
          <w:right w:val="single" w:color="C8C8C8" w:themeColor="accent6" w:sz="8" w:space="0"/>
          <w:insideV w:val="single" w:color="C8C8C8" w:themeColor="accent6" w:sz="8" w:space="0"/>
        </w:tcBorders>
      </w:tcPr>
    </w:tblStylePr>
  </w:style>
  <w:style w:type="table" w:styleId="LightList">
    <w:name w:val="Light List"/>
    <w:basedOn w:val="TableNormal"/>
    <w:uiPriority w:val="61"/>
    <w:semiHidden/>
    <w:unhideWhenUsed/>
    <w:locked/>
    <w:rsid w:val="0007292A"/>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locked/>
    <w:rsid w:val="0007292A"/>
    <w:pPr>
      <w:spacing w:line="240" w:lineRule="auto"/>
    </w:pPr>
    <w:tblPr>
      <w:tblStyleRowBandSize w:val="1"/>
      <w:tblStyleColBandSize w:val="1"/>
      <w:tblBorders>
        <w:top w:val="single" w:color="231EDC" w:themeColor="accent1" w:sz="8" w:space="0"/>
        <w:left w:val="single" w:color="231EDC" w:themeColor="accent1" w:sz="8" w:space="0"/>
        <w:bottom w:val="single" w:color="231EDC" w:themeColor="accent1" w:sz="8" w:space="0"/>
        <w:right w:val="single" w:color="231EDC" w:themeColor="accent1" w:sz="8" w:space="0"/>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color="231EDC" w:themeColor="accent1" w:sz="6" w:space="0"/>
          <w:left w:val="single" w:color="231EDC" w:themeColor="accent1" w:sz="8" w:space="0"/>
          <w:bottom w:val="single" w:color="231EDC" w:themeColor="accent1" w:sz="8" w:space="0"/>
          <w:right w:val="single" w:color="231EDC" w:themeColor="accent1" w:sz="8" w:space="0"/>
        </w:tcBorders>
      </w:tcPr>
    </w:tblStylePr>
    <w:tblStylePr w:type="firstCol">
      <w:rPr>
        <w:b/>
        <w:bCs/>
      </w:rPr>
    </w:tblStylePr>
    <w:tblStylePr w:type="lastCol">
      <w:rPr>
        <w:b/>
        <w:bCs/>
      </w:rPr>
    </w:tblStylePr>
    <w:tblStylePr w:type="band1Vert">
      <w:tblPr/>
      <w:tcPr>
        <w:tcBorders>
          <w:top w:val="single" w:color="231EDC" w:themeColor="accent1" w:sz="8" w:space="0"/>
          <w:left w:val="single" w:color="231EDC" w:themeColor="accent1" w:sz="8" w:space="0"/>
          <w:bottom w:val="single" w:color="231EDC" w:themeColor="accent1" w:sz="8" w:space="0"/>
          <w:right w:val="single" w:color="231EDC" w:themeColor="accent1" w:sz="8" w:space="0"/>
        </w:tcBorders>
      </w:tcPr>
    </w:tblStylePr>
    <w:tblStylePr w:type="band1Horz">
      <w:tblPr/>
      <w:tcPr>
        <w:tcBorders>
          <w:top w:val="single" w:color="231EDC" w:themeColor="accent1" w:sz="8" w:space="0"/>
          <w:left w:val="single" w:color="231EDC" w:themeColor="accent1" w:sz="8" w:space="0"/>
          <w:bottom w:val="single" w:color="231EDC" w:themeColor="accent1" w:sz="8" w:space="0"/>
          <w:right w:val="single" w:color="231EDC" w:themeColor="accent1" w:sz="8" w:space="0"/>
        </w:tcBorders>
      </w:tcPr>
    </w:tblStylePr>
  </w:style>
  <w:style w:type="table" w:styleId="LightList-Accent2">
    <w:name w:val="Light List Accent 2"/>
    <w:basedOn w:val="TableNormal"/>
    <w:uiPriority w:val="61"/>
    <w:semiHidden/>
    <w:unhideWhenUsed/>
    <w:locked/>
    <w:rsid w:val="0007292A"/>
    <w:pPr>
      <w:spacing w:line="240" w:lineRule="auto"/>
    </w:pPr>
    <w:tblPr>
      <w:tblStyleRowBandSize w:val="1"/>
      <w:tblStyleColBandSize w:val="1"/>
      <w:tblBorders>
        <w:top w:val="single" w:color="0A7DFF" w:themeColor="accent2" w:sz="8" w:space="0"/>
        <w:left w:val="single" w:color="0A7DFF" w:themeColor="accent2" w:sz="8" w:space="0"/>
        <w:bottom w:val="single" w:color="0A7DFF" w:themeColor="accent2" w:sz="8" w:space="0"/>
        <w:right w:val="single" w:color="0A7DFF" w:themeColor="accent2" w:sz="8" w:space="0"/>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color="0A7DFF" w:themeColor="accent2" w:sz="6" w:space="0"/>
          <w:left w:val="single" w:color="0A7DFF" w:themeColor="accent2" w:sz="8" w:space="0"/>
          <w:bottom w:val="single" w:color="0A7DFF" w:themeColor="accent2" w:sz="8" w:space="0"/>
          <w:right w:val="single" w:color="0A7DFF" w:themeColor="accent2" w:sz="8" w:space="0"/>
        </w:tcBorders>
      </w:tcPr>
    </w:tblStylePr>
    <w:tblStylePr w:type="firstCol">
      <w:rPr>
        <w:b/>
        <w:bCs/>
      </w:rPr>
    </w:tblStylePr>
    <w:tblStylePr w:type="lastCol">
      <w:rPr>
        <w:b/>
        <w:bCs/>
      </w:rPr>
    </w:tblStylePr>
    <w:tblStylePr w:type="band1Vert">
      <w:tblPr/>
      <w:tcPr>
        <w:tcBorders>
          <w:top w:val="single" w:color="0A7DFF" w:themeColor="accent2" w:sz="8" w:space="0"/>
          <w:left w:val="single" w:color="0A7DFF" w:themeColor="accent2" w:sz="8" w:space="0"/>
          <w:bottom w:val="single" w:color="0A7DFF" w:themeColor="accent2" w:sz="8" w:space="0"/>
          <w:right w:val="single" w:color="0A7DFF" w:themeColor="accent2" w:sz="8" w:space="0"/>
        </w:tcBorders>
      </w:tcPr>
    </w:tblStylePr>
    <w:tblStylePr w:type="band1Horz">
      <w:tblPr/>
      <w:tcPr>
        <w:tcBorders>
          <w:top w:val="single" w:color="0A7DFF" w:themeColor="accent2" w:sz="8" w:space="0"/>
          <w:left w:val="single" w:color="0A7DFF" w:themeColor="accent2" w:sz="8" w:space="0"/>
          <w:bottom w:val="single" w:color="0A7DFF" w:themeColor="accent2" w:sz="8" w:space="0"/>
          <w:right w:val="single" w:color="0A7DFF" w:themeColor="accent2" w:sz="8" w:space="0"/>
        </w:tcBorders>
      </w:tcPr>
    </w:tblStylePr>
  </w:style>
  <w:style w:type="table" w:styleId="LightList-Accent3">
    <w:name w:val="Light List Accent 3"/>
    <w:basedOn w:val="TableNormal"/>
    <w:uiPriority w:val="61"/>
    <w:semiHidden/>
    <w:unhideWhenUsed/>
    <w:locked/>
    <w:rsid w:val="0007292A"/>
    <w:pPr>
      <w:spacing w:line="240" w:lineRule="auto"/>
    </w:pPr>
    <w:tblPr>
      <w:tblStyleRowBandSize w:val="1"/>
      <w:tblStyleColBandSize w:val="1"/>
      <w:tblBorders>
        <w:top w:val="single" w:color="5AE6FF" w:themeColor="accent3" w:sz="8" w:space="0"/>
        <w:left w:val="single" w:color="5AE6FF" w:themeColor="accent3" w:sz="8" w:space="0"/>
        <w:bottom w:val="single" w:color="5AE6FF" w:themeColor="accent3" w:sz="8" w:space="0"/>
        <w:right w:val="single" w:color="5AE6FF" w:themeColor="accent3" w:sz="8" w:space="0"/>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color="5AE6FF" w:themeColor="accent3" w:sz="6" w:space="0"/>
          <w:left w:val="single" w:color="5AE6FF" w:themeColor="accent3" w:sz="8" w:space="0"/>
          <w:bottom w:val="single" w:color="5AE6FF" w:themeColor="accent3" w:sz="8" w:space="0"/>
          <w:right w:val="single" w:color="5AE6FF" w:themeColor="accent3" w:sz="8" w:space="0"/>
        </w:tcBorders>
      </w:tcPr>
    </w:tblStylePr>
    <w:tblStylePr w:type="firstCol">
      <w:rPr>
        <w:b/>
        <w:bCs/>
      </w:rPr>
    </w:tblStylePr>
    <w:tblStylePr w:type="lastCol">
      <w:rPr>
        <w:b/>
        <w:bCs/>
      </w:rPr>
    </w:tblStylePr>
    <w:tblStylePr w:type="band1Vert">
      <w:tblPr/>
      <w:tcPr>
        <w:tcBorders>
          <w:top w:val="single" w:color="5AE6FF" w:themeColor="accent3" w:sz="8" w:space="0"/>
          <w:left w:val="single" w:color="5AE6FF" w:themeColor="accent3" w:sz="8" w:space="0"/>
          <w:bottom w:val="single" w:color="5AE6FF" w:themeColor="accent3" w:sz="8" w:space="0"/>
          <w:right w:val="single" w:color="5AE6FF" w:themeColor="accent3" w:sz="8" w:space="0"/>
        </w:tcBorders>
      </w:tcPr>
    </w:tblStylePr>
    <w:tblStylePr w:type="band1Horz">
      <w:tblPr/>
      <w:tcPr>
        <w:tcBorders>
          <w:top w:val="single" w:color="5AE6FF" w:themeColor="accent3" w:sz="8" w:space="0"/>
          <w:left w:val="single" w:color="5AE6FF" w:themeColor="accent3" w:sz="8" w:space="0"/>
          <w:bottom w:val="single" w:color="5AE6FF" w:themeColor="accent3" w:sz="8" w:space="0"/>
          <w:right w:val="single" w:color="5AE6FF" w:themeColor="accent3" w:sz="8" w:space="0"/>
        </w:tcBorders>
      </w:tcPr>
    </w:tblStylePr>
  </w:style>
  <w:style w:type="table" w:styleId="LightList-Accent4">
    <w:name w:val="Light List Accent 4"/>
    <w:basedOn w:val="TableNormal"/>
    <w:uiPriority w:val="61"/>
    <w:semiHidden/>
    <w:unhideWhenUsed/>
    <w:locked/>
    <w:rsid w:val="0007292A"/>
    <w:pPr>
      <w:spacing w:line="240" w:lineRule="auto"/>
    </w:pPr>
    <w:tblPr>
      <w:tblStyleRowBandSize w:val="1"/>
      <w:tblStyleColBandSize w:val="1"/>
      <w:tblBorders>
        <w:top w:val="single" w:color="001E55" w:themeColor="accent4" w:sz="8" w:space="0"/>
        <w:left w:val="single" w:color="001E55" w:themeColor="accent4" w:sz="8" w:space="0"/>
        <w:bottom w:val="single" w:color="001E55" w:themeColor="accent4" w:sz="8" w:space="0"/>
        <w:right w:val="single" w:color="001E55" w:themeColor="accent4" w:sz="8" w:space="0"/>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color="001E55" w:themeColor="accent4" w:sz="6" w:space="0"/>
          <w:left w:val="single" w:color="001E55" w:themeColor="accent4" w:sz="8" w:space="0"/>
          <w:bottom w:val="single" w:color="001E55" w:themeColor="accent4" w:sz="8" w:space="0"/>
          <w:right w:val="single" w:color="001E55" w:themeColor="accent4" w:sz="8" w:space="0"/>
        </w:tcBorders>
      </w:tcPr>
    </w:tblStylePr>
    <w:tblStylePr w:type="firstCol">
      <w:rPr>
        <w:b/>
        <w:bCs/>
      </w:rPr>
    </w:tblStylePr>
    <w:tblStylePr w:type="lastCol">
      <w:rPr>
        <w:b/>
        <w:bCs/>
      </w:rPr>
    </w:tblStylePr>
    <w:tblStylePr w:type="band1Vert">
      <w:tblPr/>
      <w:tcPr>
        <w:tcBorders>
          <w:top w:val="single" w:color="001E55" w:themeColor="accent4" w:sz="8" w:space="0"/>
          <w:left w:val="single" w:color="001E55" w:themeColor="accent4" w:sz="8" w:space="0"/>
          <w:bottom w:val="single" w:color="001E55" w:themeColor="accent4" w:sz="8" w:space="0"/>
          <w:right w:val="single" w:color="001E55" w:themeColor="accent4" w:sz="8" w:space="0"/>
        </w:tcBorders>
      </w:tcPr>
    </w:tblStylePr>
    <w:tblStylePr w:type="band1Horz">
      <w:tblPr/>
      <w:tcPr>
        <w:tcBorders>
          <w:top w:val="single" w:color="001E55" w:themeColor="accent4" w:sz="8" w:space="0"/>
          <w:left w:val="single" w:color="001E55" w:themeColor="accent4" w:sz="8" w:space="0"/>
          <w:bottom w:val="single" w:color="001E55" w:themeColor="accent4" w:sz="8" w:space="0"/>
          <w:right w:val="single" w:color="001E55" w:themeColor="accent4" w:sz="8" w:space="0"/>
        </w:tcBorders>
      </w:tcPr>
    </w:tblStylePr>
  </w:style>
  <w:style w:type="table" w:styleId="LightList-Accent5">
    <w:name w:val="Light List Accent 5"/>
    <w:basedOn w:val="TableNormal"/>
    <w:uiPriority w:val="61"/>
    <w:semiHidden/>
    <w:unhideWhenUsed/>
    <w:locked/>
    <w:rsid w:val="0007292A"/>
    <w:pPr>
      <w:spacing w:line="240" w:lineRule="auto"/>
    </w:pPr>
    <w:tblPr>
      <w:tblStyleRowBandSize w:val="1"/>
      <w:tblStyleColBandSize w:val="1"/>
      <w:tblBorders>
        <w:top w:val="single" w:color="A5A5A5" w:themeColor="accent5" w:sz="8" w:space="0"/>
        <w:left w:val="single" w:color="A5A5A5" w:themeColor="accent5" w:sz="8" w:space="0"/>
        <w:bottom w:val="single" w:color="A5A5A5" w:themeColor="accent5" w:sz="8" w:space="0"/>
        <w:right w:val="single" w:color="A5A5A5" w:themeColor="accent5" w:sz="8" w:space="0"/>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color="A5A5A5" w:themeColor="accent5" w:sz="6" w:space="0"/>
          <w:left w:val="single" w:color="A5A5A5" w:themeColor="accent5" w:sz="8" w:space="0"/>
          <w:bottom w:val="single" w:color="A5A5A5" w:themeColor="accent5" w:sz="8" w:space="0"/>
          <w:right w:val="single" w:color="A5A5A5" w:themeColor="accent5" w:sz="8" w:space="0"/>
        </w:tcBorders>
      </w:tcPr>
    </w:tblStylePr>
    <w:tblStylePr w:type="firstCol">
      <w:rPr>
        <w:b/>
        <w:bCs/>
      </w:rPr>
    </w:tblStylePr>
    <w:tblStylePr w:type="lastCol">
      <w:rPr>
        <w:b/>
        <w:bCs/>
      </w:rPr>
    </w:tblStylePr>
    <w:tblStylePr w:type="band1Vert">
      <w:tblPr/>
      <w:tcPr>
        <w:tcBorders>
          <w:top w:val="single" w:color="A5A5A5" w:themeColor="accent5" w:sz="8" w:space="0"/>
          <w:left w:val="single" w:color="A5A5A5" w:themeColor="accent5" w:sz="8" w:space="0"/>
          <w:bottom w:val="single" w:color="A5A5A5" w:themeColor="accent5" w:sz="8" w:space="0"/>
          <w:right w:val="single" w:color="A5A5A5" w:themeColor="accent5" w:sz="8" w:space="0"/>
        </w:tcBorders>
      </w:tcPr>
    </w:tblStylePr>
    <w:tblStylePr w:type="band1Horz">
      <w:tblPr/>
      <w:tcPr>
        <w:tcBorders>
          <w:top w:val="single" w:color="A5A5A5" w:themeColor="accent5" w:sz="8" w:space="0"/>
          <w:left w:val="single" w:color="A5A5A5" w:themeColor="accent5" w:sz="8" w:space="0"/>
          <w:bottom w:val="single" w:color="A5A5A5" w:themeColor="accent5" w:sz="8" w:space="0"/>
          <w:right w:val="single" w:color="A5A5A5" w:themeColor="accent5" w:sz="8" w:space="0"/>
        </w:tcBorders>
      </w:tcPr>
    </w:tblStylePr>
  </w:style>
  <w:style w:type="table" w:styleId="LightList-Accent6">
    <w:name w:val="Light List Accent 6"/>
    <w:basedOn w:val="TableNormal"/>
    <w:uiPriority w:val="61"/>
    <w:semiHidden/>
    <w:unhideWhenUsed/>
    <w:locked/>
    <w:rsid w:val="0007292A"/>
    <w:pPr>
      <w:spacing w:line="240" w:lineRule="auto"/>
    </w:pPr>
    <w:tblPr>
      <w:tblStyleRowBandSize w:val="1"/>
      <w:tblStyleColBandSize w:val="1"/>
      <w:tblBorders>
        <w:top w:val="single" w:color="C8C8C8" w:themeColor="accent6" w:sz="8" w:space="0"/>
        <w:left w:val="single" w:color="C8C8C8" w:themeColor="accent6" w:sz="8" w:space="0"/>
        <w:bottom w:val="single" w:color="C8C8C8" w:themeColor="accent6" w:sz="8" w:space="0"/>
        <w:right w:val="single" w:color="C8C8C8" w:themeColor="accent6" w:sz="8" w:space="0"/>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color="C8C8C8" w:themeColor="accent6" w:sz="6" w:space="0"/>
          <w:left w:val="single" w:color="C8C8C8" w:themeColor="accent6" w:sz="8" w:space="0"/>
          <w:bottom w:val="single" w:color="C8C8C8" w:themeColor="accent6" w:sz="8" w:space="0"/>
          <w:right w:val="single" w:color="C8C8C8" w:themeColor="accent6" w:sz="8" w:space="0"/>
        </w:tcBorders>
      </w:tcPr>
    </w:tblStylePr>
    <w:tblStylePr w:type="firstCol">
      <w:rPr>
        <w:b/>
        <w:bCs/>
      </w:rPr>
    </w:tblStylePr>
    <w:tblStylePr w:type="lastCol">
      <w:rPr>
        <w:b/>
        <w:bCs/>
      </w:rPr>
    </w:tblStylePr>
    <w:tblStylePr w:type="band1Vert">
      <w:tblPr/>
      <w:tcPr>
        <w:tcBorders>
          <w:top w:val="single" w:color="C8C8C8" w:themeColor="accent6" w:sz="8" w:space="0"/>
          <w:left w:val="single" w:color="C8C8C8" w:themeColor="accent6" w:sz="8" w:space="0"/>
          <w:bottom w:val="single" w:color="C8C8C8" w:themeColor="accent6" w:sz="8" w:space="0"/>
          <w:right w:val="single" w:color="C8C8C8" w:themeColor="accent6" w:sz="8" w:space="0"/>
        </w:tcBorders>
      </w:tcPr>
    </w:tblStylePr>
    <w:tblStylePr w:type="band1Horz">
      <w:tblPr/>
      <w:tcPr>
        <w:tcBorders>
          <w:top w:val="single" w:color="C8C8C8" w:themeColor="accent6" w:sz="8" w:space="0"/>
          <w:left w:val="single" w:color="C8C8C8" w:themeColor="accent6" w:sz="8" w:space="0"/>
          <w:bottom w:val="single" w:color="C8C8C8" w:themeColor="accent6" w:sz="8" w:space="0"/>
          <w:right w:val="single" w:color="C8C8C8" w:themeColor="accent6" w:sz="8" w:space="0"/>
        </w:tcBorders>
      </w:tcPr>
    </w:tblStylePr>
  </w:style>
  <w:style w:type="table" w:styleId="LightShading">
    <w:name w:val="Light Shading"/>
    <w:basedOn w:val="TableNormal"/>
    <w:uiPriority w:val="60"/>
    <w:semiHidden/>
    <w:unhideWhenUsed/>
    <w:locked/>
    <w:rsid w:val="0007292A"/>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7292A"/>
    <w:pPr>
      <w:spacing w:line="240" w:lineRule="auto"/>
    </w:pPr>
    <w:rPr>
      <w:color w:val="1916A4" w:themeColor="accent1" w:themeShade="BF"/>
    </w:rPr>
    <w:tblPr>
      <w:tblStyleRowBandSize w:val="1"/>
      <w:tblStyleColBandSize w:val="1"/>
      <w:tblBorders>
        <w:top w:val="single" w:color="231EDC" w:themeColor="accent1" w:sz="8" w:space="0"/>
        <w:bottom w:val="single" w:color="231EDC" w:themeColor="accent1" w:sz="8" w:space="0"/>
      </w:tblBorders>
    </w:tblPr>
    <w:tblStylePr w:type="firstRow">
      <w:pPr>
        <w:spacing w:before="0" w:after="0" w:line="240" w:lineRule="auto"/>
      </w:pPr>
      <w:rPr>
        <w:b/>
        <w:bCs/>
      </w:rPr>
      <w:tblPr/>
      <w:tcPr>
        <w:tcBorders>
          <w:top w:val="single" w:color="231EDC" w:themeColor="accent1" w:sz="8" w:space="0"/>
          <w:left w:val="nil"/>
          <w:bottom w:val="single" w:color="231EDC" w:themeColor="accent1" w:sz="8" w:space="0"/>
          <w:right w:val="nil"/>
          <w:insideH w:val="nil"/>
          <w:insideV w:val="nil"/>
        </w:tcBorders>
      </w:tcPr>
    </w:tblStylePr>
    <w:tblStylePr w:type="lastRow">
      <w:pPr>
        <w:spacing w:before="0" w:after="0" w:line="240" w:lineRule="auto"/>
      </w:pPr>
      <w:rPr>
        <w:b/>
        <w:bCs/>
      </w:rPr>
      <w:tblPr/>
      <w:tcPr>
        <w:tcBorders>
          <w:top w:val="single" w:color="231EDC" w:themeColor="accent1" w:sz="8" w:space="0"/>
          <w:left w:val="nil"/>
          <w:bottom w:val="single" w:color="231ED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7292A"/>
    <w:pPr>
      <w:spacing w:line="240" w:lineRule="auto"/>
    </w:pPr>
    <w:rPr>
      <w:color w:val="005CC6" w:themeColor="accent2" w:themeShade="BF"/>
    </w:rPr>
    <w:tblPr>
      <w:tblStyleRowBandSize w:val="1"/>
      <w:tblStyleColBandSize w:val="1"/>
      <w:tblBorders>
        <w:top w:val="single" w:color="0A7DFF" w:themeColor="accent2" w:sz="8" w:space="0"/>
        <w:bottom w:val="single" w:color="0A7DFF" w:themeColor="accent2" w:sz="8" w:space="0"/>
      </w:tblBorders>
    </w:tblPr>
    <w:tblStylePr w:type="firstRow">
      <w:pPr>
        <w:spacing w:before="0" w:after="0" w:line="240" w:lineRule="auto"/>
      </w:pPr>
      <w:rPr>
        <w:b/>
        <w:bCs/>
      </w:rPr>
      <w:tblPr/>
      <w:tcPr>
        <w:tcBorders>
          <w:top w:val="single" w:color="0A7DFF" w:themeColor="accent2" w:sz="8" w:space="0"/>
          <w:left w:val="nil"/>
          <w:bottom w:val="single" w:color="0A7DFF" w:themeColor="accent2" w:sz="8" w:space="0"/>
          <w:right w:val="nil"/>
          <w:insideH w:val="nil"/>
          <w:insideV w:val="nil"/>
        </w:tcBorders>
      </w:tcPr>
    </w:tblStylePr>
    <w:tblStylePr w:type="lastRow">
      <w:pPr>
        <w:spacing w:before="0" w:after="0" w:line="240" w:lineRule="auto"/>
      </w:pPr>
      <w:rPr>
        <w:b/>
        <w:bCs/>
      </w:rPr>
      <w:tblPr/>
      <w:tcPr>
        <w:tcBorders>
          <w:top w:val="single" w:color="0A7DFF" w:themeColor="accent2" w:sz="8" w:space="0"/>
          <w:left w:val="nil"/>
          <w:bottom w:val="single" w:color="0A7DFF"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7292A"/>
    <w:pPr>
      <w:spacing w:line="240" w:lineRule="auto"/>
    </w:pPr>
    <w:rPr>
      <w:color w:val="03D8FF" w:themeColor="accent3" w:themeShade="BF"/>
    </w:rPr>
    <w:tblPr>
      <w:tblStyleRowBandSize w:val="1"/>
      <w:tblStyleColBandSize w:val="1"/>
      <w:tblBorders>
        <w:top w:val="single" w:color="5AE6FF" w:themeColor="accent3" w:sz="8" w:space="0"/>
        <w:bottom w:val="single" w:color="5AE6FF" w:themeColor="accent3" w:sz="8" w:space="0"/>
      </w:tblBorders>
    </w:tblPr>
    <w:tblStylePr w:type="firstRow">
      <w:pPr>
        <w:spacing w:before="0" w:after="0" w:line="240" w:lineRule="auto"/>
      </w:pPr>
      <w:rPr>
        <w:b/>
        <w:bCs/>
      </w:rPr>
      <w:tblPr/>
      <w:tcPr>
        <w:tcBorders>
          <w:top w:val="single" w:color="5AE6FF" w:themeColor="accent3" w:sz="8" w:space="0"/>
          <w:left w:val="nil"/>
          <w:bottom w:val="single" w:color="5AE6FF" w:themeColor="accent3" w:sz="8" w:space="0"/>
          <w:right w:val="nil"/>
          <w:insideH w:val="nil"/>
          <w:insideV w:val="nil"/>
        </w:tcBorders>
      </w:tcPr>
    </w:tblStylePr>
    <w:tblStylePr w:type="lastRow">
      <w:pPr>
        <w:spacing w:before="0" w:after="0" w:line="240" w:lineRule="auto"/>
      </w:pPr>
      <w:rPr>
        <w:b/>
        <w:bCs/>
      </w:rPr>
      <w:tblPr/>
      <w:tcPr>
        <w:tcBorders>
          <w:top w:val="single" w:color="5AE6FF" w:themeColor="accent3" w:sz="8" w:space="0"/>
          <w:left w:val="nil"/>
          <w:bottom w:val="single" w:color="5AE6FF"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7292A"/>
    <w:pPr>
      <w:spacing w:line="240" w:lineRule="auto"/>
    </w:pPr>
    <w:rPr>
      <w:color w:val="00163F" w:themeColor="accent4" w:themeShade="BF"/>
    </w:rPr>
    <w:tblPr>
      <w:tblStyleRowBandSize w:val="1"/>
      <w:tblStyleColBandSize w:val="1"/>
      <w:tblBorders>
        <w:top w:val="single" w:color="001E55" w:themeColor="accent4" w:sz="8" w:space="0"/>
        <w:bottom w:val="single" w:color="001E55" w:themeColor="accent4" w:sz="8" w:space="0"/>
      </w:tblBorders>
    </w:tblPr>
    <w:tblStylePr w:type="firstRow">
      <w:pPr>
        <w:spacing w:before="0" w:after="0" w:line="240" w:lineRule="auto"/>
      </w:pPr>
      <w:rPr>
        <w:b/>
        <w:bCs/>
      </w:rPr>
      <w:tblPr/>
      <w:tcPr>
        <w:tcBorders>
          <w:top w:val="single" w:color="001E55" w:themeColor="accent4" w:sz="8" w:space="0"/>
          <w:left w:val="nil"/>
          <w:bottom w:val="single" w:color="001E55" w:themeColor="accent4" w:sz="8" w:space="0"/>
          <w:right w:val="nil"/>
          <w:insideH w:val="nil"/>
          <w:insideV w:val="nil"/>
        </w:tcBorders>
      </w:tcPr>
    </w:tblStylePr>
    <w:tblStylePr w:type="lastRow">
      <w:pPr>
        <w:spacing w:before="0" w:after="0" w:line="240" w:lineRule="auto"/>
      </w:pPr>
      <w:rPr>
        <w:b/>
        <w:bCs/>
      </w:rPr>
      <w:tblPr/>
      <w:tcPr>
        <w:tcBorders>
          <w:top w:val="single" w:color="001E55" w:themeColor="accent4" w:sz="8" w:space="0"/>
          <w:left w:val="nil"/>
          <w:bottom w:val="single" w:color="001E5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7292A"/>
    <w:pPr>
      <w:spacing w:line="240" w:lineRule="auto"/>
    </w:pPr>
    <w:rPr>
      <w:color w:val="7B7B7B" w:themeColor="accent5" w:themeShade="BF"/>
    </w:rPr>
    <w:tblPr>
      <w:tblStyleRowBandSize w:val="1"/>
      <w:tblStyleColBandSize w:val="1"/>
      <w:tblBorders>
        <w:top w:val="single" w:color="A5A5A5" w:themeColor="accent5" w:sz="8" w:space="0"/>
        <w:bottom w:val="single" w:color="A5A5A5" w:themeColor="accent5" w:sz="8" w:space="0"/>
      </w:tblBorders>
    </w:tblPr>
    <w:tblStylePr w:type="firstRow">
      <w:pPr>
        <w:spacing w:before="0" w:after="0" w:line="240" w:lineRule="auto"/>
      </w:pPr>
      <w:rPr>
        <w:b/>
        <w:bCs/>
      </w:rPr>
      <w:tblPr/>
      <w:tcPr>
        <w:tcBorders>
          <w:top w:val="single" w:color="A5A5A5" w:themeColor="accent5" w:sz="8" w:space="0"/>
          <w:left w:val="nil"/>
          <w:bottom w:val="single" w:color="A5A5A5" w:themeColor="accent5" w:sz="8" w:space="0"/>
          <w:right w:val="nil"/>
          <w:insideH w:val="nil"/>
          <w:insideV w:val="nil"/>
        </w:tcBorders>
      </w:tcPr>
    </w:tblStylePr>
    <w:tblStylePr w:type="lastRow">
      <w:pPr>
        <w:spacing w:before="0" w:after="0" w:line="240" w:lineRule="auto"/>
      </w:pPr>
      <w:rPr>
        <w:b/>
        <w:bCs/>
      </w:rPr>
      <w:tblPr/>
      <w:tcPr>
        <w:tcBorders>
          <w:top w:val="single" w:color="A5A5A5" w:themeColor="accent5" w:sz="8" w:space="0"/>
          <w:left w:val="nil"/>
          <w:bottom w:val="single" w:color="A5A5A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7292A"/>
    <w:pPr>
      <w:spacing w:line="240" w:lineRule="auto"/>
    </w:pPr>
    <w:rPr>
      <w:color w:val="959595" w:themeColor="accent6" w:themeShade="BF"/>
    </w:rPr>
    <w:tblPr>
      <w:tblStyleRowBandSize w:val="1"/>
      <w:tblStyleColBandSize w:val="1"/>
      <w:tblBorders>
        <w:top w:val="single" w:color="C8C8C8" w:themeColor="accent6" w:sz="8" w:space="0"/>
        <w:bottom w:val="single" w:color="C8C8C8" w:themeColor="accent6" w:sz="8" w:space="0"/>
      </w:tblBorders>
    </w:tblPr>
    <w:tblStylePr w:type="firstRow">
      <w:pPr>
        <w:spacing w:before="0" w:after="0" w:line="240" w:lineRule="auto"/>
      </w:pPr>
      <w:rPr>
        <w:b/>
        <w:bCs/>
      </w:rPr>
      <w:tblPr/>
      <w:tcPr>
        <w:tcBorders>
          <w:top w:val="single" w:color="C8C8C8" w:themeColor="accent6" w:sz="8" w:space="0"/>
          <w:left w:val="nil"/>
          <w:bottom w:val="single" w:color="C8C8C8" w:themeColor="accent6" w:sz="8" w:space="0"/>
          <w:right w:val="nil"/>
          <w:insideH w:val="nil"/>
          <w:insideV w:val="nil"/>
        </w:tcBorders>
      </w:tcPr>
    </w:tblStylePr>
    <w:tblStylePr w:type="lastRow">
      <w:pPr>
        <w:spacing w:before="0" w:after="0" w:line="240" w:lineRule="auto"/>
      </w:pPr>
      <w:rPr>
        <w:b/>
        <w:bCs/>
      </w:rPr>
      <w:tblPr/>
      <w:tcPr>
        <w:tcBorders>
          <w:top w:val="single" w:color="C8C8C8" w:themeColor="accent6" w:sz="8" w:space="0"/>
          <w:left w:val="nil"/>
          <w:bottom w:val="single" w:color="C8C8C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7292A"/>
  </w:style>
  <w:style w:type="paragraph" w:styleId="List">
    <w:name w:val="List"/>
    <w:basedOn w:val="Normal"/>
    <w:uiPriority w:val="99"/>
    <w:semiHidden/>
    <w:unhideWhenUsed/>
    <w:locked/>
    <w:rsid w:val="0007292A"/>
    <w:pPr>
      <w:ind w:left="283" w:hanging="283"/>
      <w:contextualSpacing/>
    </w:pPr>
  </w:style>
  <w:style w:type="paragraph" w:styleId="List2">
    <w:name w:val="List 2"/>
    <w:basedOn w:val="Normal"/>
    <w:uiPriority w:val="99"/>
    <w:semiHidden/>
    <w:unhideWhenUsed/>
    <w:locked/>
    <w:rsid w:val="0007292A"/>
    <w:pPr>
      <w:ind w:left="566" w:hanging="283"/>
      <w:contextualSpacing/>
    </w:pPr>
  </w:style>
  <w:style w:type="paragraph" w:styleId="List3">
    <w:name w:val="List 3"/>
    <w:basedOn w:val="Normal"/>
    <w:uiPriority w:val="99"/>
    <w:semiHidden/>
    <w:unhideWhenUsed/>
    <w:locked/>
    <w:rsid w:val="0007292A"/>
    <w:pPr>
      <w:ind w:left="849" w:hanging="283"/>
      <w:contextualSpacing/>
    </w:pPr>
  </w:style>
  <w:style w:type="paragraph" w:styleId="List4">
    <w:name w:val="List 4"/>
    <w:basedOn w:val="Normal"/>
    <w:uiPriority w:val="99"/>
    <w:semiHidden/>
    <w:unhideWhenUsed/>
    <w:locked/>
    <w:rsid w:val="0007292A"/>
    <w:pPr>
      <w:ind w:left="1132" w:hanging="283"/>
      <w:contextualSpacing/>
    </w:pPr>
  </w:style>
  <w:style w:type="paragraph" w:styleId="List5">
    <w:name w:val="List 5"/>
    <w:basedOn w:val="Normal"/>
    <w:uiPriority w:val="99"/>
    <w:semiHidden/>
    <w:unhideWhenUsed/>
    <w:locked/>
    <w:rsid w:val="0007292A"/>
    <w:pPr>
      <w:ind w:left="1415" w:hanging="283"/>
      <w:contextualSpacing/>
    </w:pPr>
  </w:style>
  <w:style w:type="paragraph" w:styleId="ListBullet4">
    <w:name w:val="List Bullet 4"/>
    <w:basedOn w:val="Normal"/>
    <w:uiPriority w:val="99"/>
    <w:semiHidden/>
    <w:unhideWhenUsed/>
    <w:locked/>
    <w:rsid w:val="0007292A"/>
    <w:pPr>
      <w:tabs>
        <w:tab w:val="num" w:pos="1209"/>
      </w:tabs>
      <w:ind w:left="1209" w:hanging="360"/>
      <w:contextualSpacing/>
    </w:pPr>
  </w:style>
  <w:style w:type="paragraph" w:styleId="ListBullet5">
    <w:name w:val="List Bullet 5"/>
    <w:basedOn w:val="Normal"/>
    <w:uiPriority w:val="99"/>
    <w:semiHidden/>
    <w:unhideWhenUsed/>
    <w:locked/>
    <w:rsid w:val="0007292A"/>
    <w:pPr>
      <w:tabs>
        <w:tab w:val="num" w:pos="1492"/>
      </w:tabs>
      <w:ind w:left="1492" w:hanging="360"/>
      <w:contextualSpacing/>
    </w:pPr>
  </w:style>
  <w:style w:type="paragraph" w:styleId="ListContinue">
    <w:name w:val="List Continue"/>
    <w:basedOn w:val="Normal"/>
    <w:uiPriority w:val="99"/>
    <w:semiHidden/>
    <w:unhideWhenUsed/>
    <w:locked/>
    <w:rsid w:val="0007292A"/>
    <w:pPr>
      <w:spacing w:after="120"/>
      <w:ind w:left="283"/>
      <w:contextualSpacing/>
    </w:pPr>
  </w:style>
  <w:style w:type="paragraph" w:styleId="ListContinue2">
    <w:name w:val="List Continue 2"/>
    <w:basedOn w:val="Normal"/>
    <w:uiPriority w:val="99"/>
    <w:semiHidden/>
    <w:unhideWhenUsed/>
    <w:locked/>
    <w:rsid w:val="0007292A"/>
    <w:pPr>
      <w:spacing w:after="120"/>
      <w:ind w:left="566"/>
      <w:contextualSpacing/>
    </w:pPr>
  </w:style>
  <w:style w:type="paragraph" w:styleId="ListContinue3">
    <w:name w:val="List Continue 3"/>
    <w:basedOn w:val="Normal"/>
    <w:uiPriority w:val="99"/>
    <w:semiHidden/>
    <w:unhideWhenUsed/>
    <w:locked/>
    <w:rsid w:val="0007292A"/>
    <w:pPr>
      <w:spacing w:after="120"/>
      <w:ind w:left="849"/>
      <w:contextualSpacing/>
    </w:pPr>
  </w:style>
  <w:style w:type="paragraph" w:styleId="ListContinue4">
    <w:name w:val="List Continue 4"/>
    <w:basedOn w:val="Normal"/>
    <w:uiPriority w:val="99"/>
    <w:semiHidden/>
    <w:unhideWhenUsed/>
    <w:locked/>
    <w:rsid w:val="0007292A"/>
    <w:pPr>
      <w:spacing w:after="120"/>
      <w:ind w:left="1132"/>
      <w:contextualSpacing/>
    </w:pPr>
  </w:style>
  <w:style w:type="paragraph" w:styleId="ListContinue5">
    <w:name w:val="List Continue 5"/>
    <w:basedOn w:val="Normal"/>
    <w:uiPriority w:val="99"/>
    <w:semiHidden/>
    <w:unhideWhenUsed/>
    <w:locked/>
    <w:rsid w:val="0007292A"/>
    <w:pPr>
      <w:spacing w:after="120"/>
      <w:ind w:left="1415"/>
      <w:contextualSpacing/>
    </w:pPr>
  </w:style>
  <w:style w:type="paragraph" w:styleId="ListNumber5">
    <w:name w:val="List Number 5"/>
    <w:basedOn w:val="Normal"/>
    <w:uiPriority w:val="99"/>
    <w:semiHidden/>
    <w:unhideWhenUsed/>
    <w:locked/>
    <w:rsid w:val="0007292A"/>
    <w:pPr>
      <w:tabs>
        <w:tab w:val="num" w:pos="1492"/>
      </w:tabs>
      <w:ind w:left="1492" w:hanging="360"/>
      <w:contextualSpacing/>
    </w:pPr>
  </w:style>
  <w:style w:type="table" w:styleId="ListTable1Light">
    <w:name w:val="List Table 1 Light"/>
    <w:basedOn w:val="TableNormal"/>
    <w:uiPriority w:val="46"/>
    <w:locked/>
    <w:rsid w:val="0007292A"/>
    <w:pPr>
      <w:spacing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7292A"/>
    <w:pPr>
      <w:spacing w:line="240" w:lineRule="auto"/>
    </w:pPr>
    <w:tblPr>
      <w:tblStyleRowBandSize w:val="1"/>
      <w:tblStyleColBandSize w:val="1"/>
    </w:tblPr>
    <w:tblStylePr w:type="firstRow">
      <w:rPr>
        <w:b/>
        <w:bCs/>
      </w:rPr>
      <w:tblPr/>
      <w:tcPr>
        <w:tcBorders>
          <w:bottom w:val="single" w:color="7875EC" w:themeColor="accent1" w:themeTint="99" w:sz="4" w:space="0"/>
        </w:tcBorders>
      </w:tcPr>
    </w:tblStylePr>
    <w:tblStylePr w:type="lastRow">
      <w:rPr>
        <w:b/>
        <w:bCs/>
      </w:rPr>
      <w:tblPr/>
      <w:tcPr>
        <w:tcBorders>
          <w:top w:val="single" w:color="7875EC" w:themeColor="accent1" w:themeTint="99" w:sz="4" w:space="0"/>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7292A"/>
    <w:pPr>
      <w:spacing w:line="240" w:lineRule="auto"/>
    </w:pPr>
    <w:tblPr>
      <w:tblStyleRowBandSize w:val="1"/>
      <w:tblStyleColBandSize w:val="1"/>
    </w:tblPr>
    <w:tblStylePr w:type="firstRow">
      <w:rPr>
        <w:b/>
        <w:bCs/>
      </w:rPr>
      <w:tblPr/>
      <w:tcPr>
        <w:tcBorders>
          <w:bottom w:val="single" w:color="6CB0FF" w:themeColor="accent2" w:themeTint="99" w:sz="4" w:space="0"/>
        </w:tcBorders>
      </w:tcPr>
    </w:tblStylePr>
    <w:tblStylePr w:type="lastRow">
      <w:rPr>
        <w:b/>
        <w:bCs/>
      </w:rPr>
      <w:tblPr/>
      <w:tcPr>
        <w:tcBorders>
          <w:top w:val="single" w:color="6CB0FF" w:themeColor="accent2" w:themeTint="99" w:sz="4" w:space="0"/>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7292A"/>
    <w:pPr>
      <w:spacing w:line="240" w:lineRule="auto"/>
    </w:pPr>
    <w:tblPr>
      <w:tblStyleRowBandSize w:val="1"/>
      <w:tblStyleColBandSize w:val="1"/>
    </w:tblPr>
    <w:tblStylePr w:type="firstRow">
      <w:rPr>
        <w:b/>
        <w:bCs/>
      </w:rPr>
      <w:tblPr/>
      <w:tcPr>
        <w:tcBorders>
          <w:bottom w:val="single" w:color="9CEFFF" w:themeColor="accent3" w:themeTint="99" w:sz="4" w:space="0"/>
        </w:tcBorders>
      </w:tcPr>
    </w:tblStylePr>
    <w:tblStylePr w:type="lastRow">
      <w:rPr>
        <w:b/>
        <w:bCs/>
      </w:rPr>
      <w:tblPr/>
      <w:tcPr>
        <w:tcBorders>
          <w:top w:val="single" w:color="9CEFFF" w:themeColor="accent3" w:themeTint="99" w:sz="4" w:space="0"/>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7292A"/>
    <w:pPr>
      <w:spacing w:line="240" w:lineRule="auto"/>
    </w:pPr>
    <w:tblPr>
      <w:tblStyleRowBandSize w:val="1"/>
      <w:tblStyleColBandSize w:val="1"/>
    </w:tblPr>
    <w:tblStylePr w:type="firstRow">
      <w:rPr>
        <w:b/>
        <w:bCs/>
      </w:rPr>
      <w:tblPr/>
      <w:tcPr>
        <w:tcBorders>
          <w:bottom w:val="single" w:color="005AFF" w:themeColor="accent4" w:themeTint="99" w:sz="4" w:space="0"/>
        </w:tcBorders>
      </w:tcPr>
    </w:tblStylePr>
    <w:tblStylePr w:type="lastRow">
      <w:rPr>
        <w:b/>
        <w:bCs/>
      </w:rPr>
      <w:tblPr/>
      <w:tcPr>
        <w:tcBorders>
          <w:top w:val="single" w:color="005AFF" w:themeColor="accent4" w:themeTint="99" w:sz="4" w:space="0"/>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7292A"/>
    <w:pPr>
      <w:spacing w:line="240" w:lineRule="auto"/>
    </w:pPr>
    <w:tblPr>
      <w:tblStyleRowBandSize w:val="1"/>
      <w:tblStyleColBandSize w:val="1"/>
    </w:tblPr>
    <w:tblStylePr w:type="firstRow">
      <w:rPr>
        <w:b/>
        <w:bCs/>
      </w:rPr>
      <w:tblPr/>
      <w:tcPr>
        <w:tcBorders>
          <w:bottom w:val="single" w:color="C9C9C9" w:themeColor="accent5" w:themeTint="99" w:sz="4" w:space="0"/>
        </w:tcBorders>
      </w:tcPr>
    </w:tblStylePr>
    <w:tblStylePr w:type="lastRow">
      <w:rPr>
        <w:b/>
        <w:bCs/>
      </w:rPr>
      <w:tblPr/>
      <w:tcPr>
        <w:tcBorders>
          <w:top w:val="single" w:color="C9C9C9" w:themeColor="accent5" w:themeTint="99" w:sz="4" w:space="0"/>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7292A"/>
    <w:pPr>
      <w:spacing w:line="240" w:lineRule="auto"/>
    </w:pPr>
    <w:tblPr>
      <w:tblStyleRowBandSize w:val="1"/>
      <w:tblStyleColBandSize w:val="1"/>
    </w:tblPr>
    <w:tblStylePr w:type="firstRow">
      <w:rPr>
        <w:b/>
        <w:bCs/>
      </w:rPr>
      <w:tblPr/>
      <w:tcPr>
        <w:tcBorders>
          <w:bottom w:val="single" w:color="DEDEDE" w:themeColor="accent6" w:themeTint="99" w:sz="4" w:space="0"/>
        </w:tcBorders>
      </w:tcPr>
    </w:tblStylePr>
    <w:tblStylePr w:type="lastRow">
      <w:rPr>
        <w:b/>
        <w:bCs/>
      </w:rPr>
      <w:tblPr/>
      <w:tcPr>
        <w:tcBorders>
          <w:top w:val="single" w:color="DEDEDE" w:themeColor="accent6" w:themeTint="99" w:sz="4" w:space="0"/>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7292A"/>
    <w:pPr>
      <w:spacing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7292A"/>
    <w:pPr>
      <w:spacing w:line="240" w:lineRule="auto"/>
    </w:pPr>
    <w:tblPr>
      <w:tblStyleRowBandSize w:val="1"/>
      <w:tblStyleColBandSize w:val="1"/>
      <w:tblBorders>
        <w:top w:val="single" w:color="7875EC" w:themeColor="accent1" w:themeTint="99" w:sz="4" w:space="0"/>
        <w:bottom w:val="single" w:color="7875EC" w:themeColor="accent1" w:themeTint="99" w:sz="4" w:space="0"/>
        <w:insideH w:val="single" w:color="7875EC"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7292A"/>
    <w:pPr>
      <w:spacing w:line="240" w:lineRule="auto"/>
    </w:pPr>
    <w:tblPr>
      <w:tblStyleRowBandSize w:val="1"/>
      <w:tblStyleColBandSize w:val="1"/>
      <w:tblBorders>
        <w:top w:val="single" w:color="6CB0FF" w:themeColor="accent2" w:themeTint="99" w:sz="4" w:space="0"/>
        <w:bottom w:val="single" w:color="6CB0FF" w:themeColor="accent2" w:themeTint="99" w:sz="4" w:space="0"/>
        <w:insideH w:val="single" w:color="6CB0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7292A"/>
    <w:pPr>
      <w:spacing w:line="240" w:lineRule="auto"/>
    </w:pPr>
    <w:tblPr>
      <w:tblStyleRowBandSize w:val="1"/>
      <w:tblStyleColBandSize w:val="1"/>
      <w:tblBorders>
        <w:top w:val="single" w:color="9CEFFF" w:themeColor="accent3" w:themeTint="99" w:sz="4" w:space="0"/>
        <w:bottom w:val="single" w:color="9CEFFF" w:themeColor="accent3" w:themeTint="99" w:sz="4" w:space="0"/>
        <w:insideH w:val="single" w:color="9CEFF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7292A"/>
    <w:pPr>
      <w:spacing w:line="240" w:lineRule="auto"/>
    </w:pPr>
    <w:tblPr>
      <w:tblStyleRowBandSize w:val="1"/>
      <w:tblStyleColBandSize w:val="1"/>
      <w:tblBorders>
        <w:top w:val="single" w:color="005AFF" w:themeColor="accent4" w:themeTint="99" w:sz="4" w:space="0"/>
        <w:bottom w:val="single" w:color="005AFF" w:themeColor="accent4" w:themeTint="99" w:sz="4" w:space="0"/>
        <w:insideH w:val="single" w:color="005AFF"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7292A"/>
    <w:pPr>
      <w:spacing w:line="240" w:lineRule="auto"/>
    </w:pPr>
    <w:tblPr>
      <w:tblStyleRowBandSize w:val="1"/>
      <w:tblStyleColBandSize w:val="1"/>
      <w:tblBorders>
        <w:top w:val="single" w:color="C9C9C9" w:themeColor="accent5" w:themeTint="99" w:sz="4" w:space="0"/>
        <w:bottom w:val="single" w:color="C9C9C9" w:themeColor="accent5" w:themeTint="99" w:sz="4" w:space="0"/>
        <w:insideH w:val="single" w:color="C9C9C9"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7292A"/>
    <w:pPr>
      <w:spacing w:line="240" w:lineRule="auto"/>
    </w:pPr>
    <w:tblPr>
      <w:tblStyleRowBandSize w:val="1"/>
      <w:tblStyleColBandSize w:val="1"/>
      <w:tblBorders>
        <w:top w:val="single" w:color="DEDEDE" w:themeColor="accent6" w:themeTint="99" w:sz="4" w:space="0"/>
        <w:bottom w:val="single" w:color="DEDEDE" w:themeColor="accent6" w:themeTint="99" w:sz="4" w:space="0"/>
        <w:insideH w:val="single" w:color="DEDEDE"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7292A"/>
    <w:pPr>
      <w:spacing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locked/>
    <w:rsid w:val="0007292A"/>
    <w:pPr>
      <w:spacing w:line="240" w:lineRule="auto"/>
    </w:pPr>
    <w:tblPr>
      <w:tblStyleRowBandSize w:val="1"/>
      <w:tblStyleColBandSize w:val="1"/>
      <w:tblBorders>
        <w:top w:val="single" w:color="231EDC" w:themeColor="accent1" w:sz="4" w:space="0"/>
        <w:left w:val="single" w:color="231EDC" w:themeColor="accent1" w:sz="4" w:space="0"/>
        <w:bottom w:val="single" w:color="231EDC" w:themeColor="accent1" w:sz="4" w:space="0"/>
        <w:right w:val="single" w:color="231EDC" w:themeColor="accent1" w:sz="4" w:space="0"/>
      </w:tblBorders>
    </w:tblPr>
    <w:tblStylePr w:type="firstRow">
      <w:rPr>
        <w:b/>
        <w:bCs/>
        <w:color w:val="FFFFFF" w:themeColor="background1"/>
      </w:rPr>
      <w:tblPr/>
      <w:tcPr>
        <w:shd w:val="clear" w:color="auto" w:fill="231EDC" w:themeFill="accent1"/>
      </w:tcPr>
    </w:tblStylePr>
    <w:tblStylePr w:type="lastRow">
      <w:rPr>
        <w:b/>
        <w:bCs/>
      </w:rPr>
      <w:tblPr/>
      <w:tcPr>
        <w:tcBorders>
          <w:top w:val="double" w:color="231EDC"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1EDC" w:themeColor="accent1" w:sz="4" w:space="0"/>
          <w:right w:val="single" w:color="231EDC" w:themeColor="accent1" w:sz="4" w:space="0"/>
        </w:tcBorders>
      </w:tcPr>
    </w:tblStylePr>
    <w:tblStylePr w:type="band1Horz">
      <w:tblPr/>
      <w:tcPr>
        <w:tcBorders>
          <w:top w:val="single" w:color="231EDC" w:themeColor="accent1" w:sz="4" w:space="0"/>
          <w:bottom w:val="single" w:color="231EDC"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1EDC" w:themeColor="accent1" w:sz="4" w:space="0"/>
          <w:left w:val="nil"/>
        </w:tcBorders>
      </w:tcPr>
    </w:tblStylePr>
    <w:tblStylePr w:type="swCell">
      <w:tblPr/>
      <w:tcPr>
        <w:tcBorders>
          <w:top w:val="double" w:color="231EDC" w:themeColor="accent1" w:sz="4" w:space="0"/>
          <w:right w:val="nil"/>
        </w:tcBorders>
      </w:tcPr>
    </w:tblStylePr>
  </w:style>
  <w:style w:type="table" w:styleId="ListTable3-Accent2">
    <w:name w:val="List Table 3 Accent 2"/>
    <w:basedOn w:val="TableNormal"/>
    <w:uiPriority w:val="48"/>
    <w:locked/>
    <w:rsid w:val="0007292A"/>
    <w:pPr>
      <w:spacing w:line="240" w:lineRule="auto"/>
    </w:pPr>
    <w:tblPr>
      <w:tblStyleRowBandSize w:val="1"/>
      <w:tblStyleColBandSize w:val="1"/>
      <w:tblBorders>
        <w:top w:val="single" w:color="0A7DFF" w:themeColor="accent2" w:sz="4" w:space="0"/>
        <w:left w:val="single" w:color="0A7DFF" w:themeColor="accent2" w:sz="4" w:space="0"/>
        <w:bottom w:val="single" w:color="0A7DFF" w:themeColor="accent2" w:sz="4" w:space="0"/>
        <w:right w:val="single" w:color="0A7DFF" w:themeColor="accent2" w:sz="4" w:space="0"/>
      </w:tblBorders>
    </w:tblPr>
    <w:tblStylePr w:type="firstRow">
      <w:rPr>
        <w:b/>
        <w:bCs/>
        <w:color w:val="FFFFFF" w:themeColor="background1"/>
      </w:rPr>
      <w:tblPr/>
      <w:tcPr>
        <w:shd w:val="clear" w:color="auto" w:fill="0A7DFF" w:themeFill="accent2"/>
      </w:tcPr>
    </w:tblStylePr>
    <w:tblStylePr w:type="lastRow">
      <w:rPr>
        <w:b/>
        <w:bCs/>
      </w:rPr>
      <w:tblPr/>
      <w:tcPr>
        <w:tcBorders>
          <w:top w:val="double" w:color="0A7DFF"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A7DFF" w:themeColor="accent2" w:sz="4" w:space="0"/>
          <w:right w:val="single" w:color="0A7DFF" w:themeColor="accent2" w:sz="4" w:space="0"/>
        </w:tcBorders>
      </w:tcPr>
    </w:tblStylePr>
    <w:tblStylePr w:type="band1Horz">
      <w:tblPr/>
      <w:tcPr>
        <w:tcBorders>
          <w:top w:val="single" w:color="0A7DFF" w:themeColor="accent2" w:sz="4" w:space="0"/>
          <w:bottom w:val="single" w:color="0A7DFF"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A7DFF" w:themeColor="accent2" w:sz="4" w:space="0"/>
          <w:left w:val="nil"/>
        </w:tcBorders>
      </w:tcPr>
    </w:tblStylePr>
    <w:tblStylePr w:type="swCell">
      <w:tblPr/>
      <w:tcPr>
        <w:tcBorders>
          <w:top w:val="double" w:color="0A7DFF" w:themeColor="accent2" w:sz="4" w:space="0"/>
          <w:right w:val="nil"/>
        </w:tcBorders>
      </w:tcPr>
    </w:tblStylePr>
  </w:style>
  <w:style w:type="table" w:styleId="ListTable3-Accent3">
    <w:name w:val="List Table 3 Accent 3"/>
    <w:basedOn w:val="TableNormal"/>
    <w:uiPriority w:val="48"/>
    <w:locked/>
    <w:rsid w:val="0007292A"/>
    <w:pPr>
      <w:spacing w:line="240" w:lineRule="auto"/>
    </w:pPr>
    <w:tblPr>
      <w:tblStyleRowBandSize w:val="1"/>
      <w:tblStyleColBandSize w:val="1"/>
      <w:tblBorders>
        <w:top w:val="single" w:color="5AE6FF" w:themeColor="accent3" w:sz="4" w:space="0"/>
        <w:left w:val="single" w:color="5AE6FF" w:themeColor="accent3" w:sz="4" w:space="0"/>
        <w:bottom w:val="single" w:color="5AE6FF" w:themeColor="accent3" w:sz="4" w:space="0"/>
        <w:right w:val="single" w:color="5AE6FF" w:themeColor="accent3" w:sz="4" w:space="0"/>
      </w:tblBorders>
    </w:tblPr>
    <w:tblStylePr w:type="firstRow">
      <w:rPr>
        <w:b/>
        <w:bCs/>
        <w:color w:val="FFFFFF" w:themeColor="background1"/>
      </w:rPr>
      <w:tblPr/>
      <w:tcPr>
        <w:shd w:val="clear" w:color="auto" w:fill="5AE6FF" w:themeFill="accent3"/>
      </w:tcPr>
    </w:tblStylePr>
    <w:tblStylePr w:type="lastRow">
      <w:rPr>
        <w:b/>
        <w:bCs/>
      </w:rPr>
      <w:tblPr/>
      <w:tcPr>
        <w:tcBorders>
          <w:top w:val="double" w:color="5AE6FF"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AE6FF" w:themeColor="accent3" w:sz="4" w:space="0"/>
          <w:right w:val="single" w:color="5AE6FF" w:themeColor="accent3" w:sz="4" w:space="0"/>
        </w:tcBorders>
      </w:tcPr>
    </w:tblStylePr>
    <w:tblStylePr w:type="band1Horz">
      <w:tblPr/>
      <w:tcPr>
        <w:tcBorders>
          <w:top w:val="single" w:color="5AE6FF" w:themeColor="accent3" w:sz="4" w:space="0"/>
          <w:bottom w:val="single" w:color="5AE6FF"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AE6FF" w:themeColor="accent3" w:sz="4" w:space="0"/>
          <w:left w:val="nil"/>
        </w:tcBorders>
      </w:tcPr>
    </w:tblStylePr>
    <w:tblStylePr w:type="swCell">
      <w:tblPr/>
      <w:tcPr>
        <w:tcBorders>
          <w:top w:val="double" w:color="5AE6FF" w:themeColor="accent3" w:sz="4" w:space="0"/>
          <w:right w:val="nil"/>
        </w:tcBorders>
      </w:tcPr>
    </w:tblStylePr>
  </w:style>
  <w:style w:type="table" w:styleId="ListTable3-Accent4">
    <w:name w:val="List Table 3 Accent 4"/>
    <w:basedOn w:val="TableNormal"/>
    <w:uiPriority w:val="48"/>
    <w:locked/>
    <w:rsid w:val="0007292A"/>
    <w:pPr>
      <w:spacing w:line="240" w:lineRule="auto"/>
    </w:pPr>
    <w:tblPr>
      <w:tblStyleRowBandSize w:val="1"/>
      <w:tblStyleColBandSize w:val="1"/>
      <w:tblBorders>
        <w:top w:val="single" w:color="001E55" w:themeColor="accent4" w:sz="4" w:space="0"/>
        <w:left w:val="single" w:color="001E55" w:themeColor="accent4" w:sz="4" w:space="0"/>
        <w:bottom w:val="single" w:color="001E55" w:themeColor="accent4" w:sz="4" w:space="0"/>
        <w:right w:val="single" w:color="001E55" w:themeColor="accent4" w:sz="4" w:space="0"/>
      </w:tblBorders>
    </w:tblPr>
    <w:tblStylePr w:type="firstRow">
      <w:rPr>
        <w:b/>
        <w:bCs/>
        <w:color w:val="FFFFFF" w:themeColor="background1"/>
      </w:rPr>
      <w:tblPr/>
      <w:tcPr>
        <w:shd w:val="clear" w:color="auto" w:fill="001E55" w:themeFill="accent4"/>
      </w:tcPr>
    </w:tblStylePr>
    <w:tblStylePr w:type="lastRow">
      <w:rPr>
        <w:b/>
        <w:bCs/>
      </w:rPr>
      <w:tblPr/>
      <w:tcPr>
        <w:tcBorders>
          <w:top w:val="double" w:color="001E55"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1E55" w:themeColor="accent4" w:sz="4" w:space="0"/>
          <w:right w:val="single" w:color="001E55" w:themeColor="accent4" w:sz="4" w:space="0"/>
        </w:tcBorders>
      </w:tcPr>
    </w:tblStylePr>
    <w:tblStylePr w:type="band1Horz">
      <w:tblPr/>
      <w:tcPr>
        <w:tcBorders>
          <w:top w:val="single" w:color="001E55" w:themeColor="accent4" w:sz="4" w:space="0"/>
          <w:bottom w:val="single" w:color="001E55"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1E55" w:themeColor="accent4" w:sz="4" w:space="0"/>
          <w:left w:val="nil"/>
        </w:tcBorders>
      </w:tcPr>
    </w:tblStylePr>
    <w:tblStylePr w:type="swCell">
      <w:tblPr/>
      <w:tcPr>
        <w:tcBorders>
          <w:top w:val="double" w:color="001E55" w:themeColor="accent4" w:sz="4" w:space="0"/>
          <w:right w:val="nil"/>
        </w:tcBorders>
      </w:tcPr>
    </w:tblStylePr>
  </w:style>
  <w:style w:type="table" w:styleId="ListTable3-Accent5">
    <w:name w:val="List Table 3 Accent 5"/>
    <w:basedOn w:val="TableNormal"/>
    <w:uiPriority w:val="48"/>
    <w:locked/>
    <w:rsid w:val="0007292A"/>
    <w:pPr>
      <w:spacing w:line="240" w:lineRule="auto"/>
    </w:pPr>
    <w:tblPr>
      <w:tblStyleRowBandSize w:val="1"/>
      <w:tblStyleColBandSize w:val="1"/>
      <w:tblBorders>
        <w:top w:val="single" w:color="A5A5A5" w:themeColor="accent5" w:sz="4" w:space="0"/>
        <w:left w:val="single" w:color="A5A5A5" w:themeColor="accent5" w:sz="4" w:space="0"/>
        <w:bottom w:val="single" w:color="A5A5A5" w:themeColor="accent5" w:sz="4" w:space="0"/>
        <w:right w:val="single" w:color="A5A5A5" w:themeColor="accent5" w:sz="4" w:space="0"/>
      </w:tblBorders>
    </w:tblPr>
    <w:tblStylePr w:type="firstRow">
      <w:rPr>
        <w:b/>
        <w:bCs/>
        <w:color w:val="FFFFFF" w:themeColor="background1"/>
      </w:rPr>
      <w:tblPr/>
      <w:tcPr>
        <w:shd w:val="clear" w:color="auto" w:fill="A5A5A5" w:themeFill="accent5"/>
      </w:tcPr>
    </w:tblStylePr>
    <w:tblStylePr w:type="lastRow">
      <w:rPr>
        <w:b/>
        <w:bCs/>
      </w:rPr>
      <w:tblPr/>
      <w:tcPr>
        <w:tcBorders>
          <w:top w:val="double" w:color="A5A5A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5" w:sz="4" w:space="0"/>
          <w:right w:val="single" w:color="A5A5A5" w:themeColor="accent5" w:sz="4" w:space="0"/>
        </w:tcBorders>
      </w:tcPr>
    </w:tblStylePr>
    <w:tblStylePr w:type="band1Horz">
      <w:tblPr/>
      <w:tcPr>
        <w:tcBorders>
          <w:top w:val="single" w:color="A5A5A5" w:themeColor="accent5" w:sz="4" w:space="0"/>
          <w:bottom w:val="single" w:color="A5A5A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5" w:sz="4" w:space="0"/>
          <w:left w:val="nil"/>
        </w:tcBorders>
      </w:tcPr>
    </w:tblStylePr>
    <w:tblStylePr w:type="swCell">
      <w:tblPr/>
      <w:tcPr>
        <w:tcBorders>
          <w:top w:val="double" w:color="A5A5A5" w:themeColor="accent5" w:sz="4" w:space="0"/>
          <w:right w:val="nil"/>
        </w:tcBorders>
      </w:tcPr>
    </w:tblStylePr>
  </w:style>
  <w:style w:type="table" w:styleId="ListTable3-Accent6">
    <w:name w:val="List Table 3 Accent 6"/>
    <w:basedOn w:val="TableNormal"/>
    <w:uiPriority w:val="48"/>
    <w:locked/>
    <w:rsid w:val="0007292A"/>
    <w:pPr>
      <w:spacing w:line="240" w:lineRule="auto"/>
    </w:pPr>
    <w:tblPr>
      <w:tblStyleRowBandSize w:val="1"/>
      <w:tblStyleColBandSize w:val="1"/>
      <w:tblBorders>
        <w:top w:val="single" w:color="C8C8C8" w:themeColor="accent6" w:sz="4" w:space="0"/>
        <w:left w:val="single" w:color="C8C8C8" w:themeColor="accent6" w:sz="4" w:space="0"/>
        <w:bottom w:val="single" w:color="C8C8C8" w:themeColor="accent6" w:sz="4" w:space="0"/>
        <w:right w:val="single" w:color="C8C8C8" w:themeColor="accent6" w:sz="4" w:space="0"/>
      </w:tblBorders>
    </w:tblPr>
    <w:tblStylePr w:type="firstRow">
      <w:rPr>
        <w:b/>
        <w:bCs/>
        <w:color w:val="FFFFFF" w:themeColor="background1"/>
      </w:rPr>
      <w:tblPr/>
      <w:tcPr>
        <w:shd w:val="clear" w:color="auto" w:fill="C8C8C8" w:themeFill="accent6"/>
      </w:tcPr>
    </w:tblStylePr>
    <w:tblStylePr w:type="lastRow">
      <w:rPr>
        <w:b/>
        <w:bCs/>
      </w:rPr>
      <w:tblPr/>
      <w:tcPr>
        <w:tcBorders>
          <w:top w:val="double" w:color="C8C8C8"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8C8C8" w:themeColor="accent6" w:sz="4" w:space="0"/>
          <w:right w:val="single" w:color="C8C8C8" w:themeColor="accent6" w:sz="4" w:space="0"/>
        </w:tcBorders>
      </w:tcPr>
    </w:tblStylePr>
    <w:tblStylePr w:type="band1Horz">
      <w:tblPr/>
      <w:tcPr>
        <w:tcBorders>
          <w:top w:val="single" w:color="C8C8C8" w:themeColor="accent6" w:sz="4" w:space="0"/>
          <w:bottom w:val="single" w:color="C8C8C8"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8C8C8" w:themeColor="accent6" w:sz="4" w:space="0"/>
          <w:left w:val="nil"/>
        </w:tcBorders>
      </w:tcPr>
    </w:tblStylePr>
    <w:tblStylePr w:type="swCell">
      <w:tblPr/>
      <w:tcPr>
        <w:tcBorders>
          <w:top w:val="double" w:color="C8C8C8" w:themeColor="accent6" w:sz="4" w:space="0"/>
          <w:right w:val="nil"/>
        </w:tcBorders>
      </w:tcPr>
    </w:tblStylePr>
  </w:style>
  <w:style w:type="table" w:styleId="ListTable4">
    <w:name w:val="List Table 4"/>
    <w:basedOn w:val="TableNormal"/>
    <w:uiPriority w:val="49"/>
    <w:locked/>
    <w:rsid w:val="0007292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7292A"/>
    <w:pPr>
      <w:spacing w:line="240" w:lineRule="auto"/>
    </w:pPr>
    <w:tblPr>
      <w:tblStyleRowBandSize w:val="1"/>
      <w:tblStyleColBandSize w:val="1"/>
      <w:tblBorders>
        <w:top w:val="single" w:color="7875EC" w:themeColor="accent1" w:themeTint="99" w:sz="4" w:space="0"/>
        <w:left w:val="single" w:color="7875EC" w:themeColor="accent1" w:themeTint="99" w:sz="4" w:space="0"/>
        <w:bottom w:val="single" w:color="7875EC" w:themeColor="accent1" w:themeTint="99" w:sz="4" w:space="0"/>
        <w:right w:val="single" w:color="7875EC" w:themeColor="accent1" w:themeTint="99" w:sz="4" w:space="0"/>
        <w:insideH w:val="single" w:color="7875EC" w:themeColor="accent1" w:themeTint="99" w:sz="4" w:space="0"/>
      </w:tblBorders>
    </w:tblPr>
    <w:tblStylePr w:type="firstRow">
      <w:rPr>
        <w:b/>
        <w:bCs/>
        <w:color w:val="FFFFFF" w:themeColor="background1"/>
      </w:rPr>
      <w:tblPr/>
      <w:tcPr>
        <w:tcBorders>
          <w:top w:val="single" w:color="231EDC" w:themeColor="accent1" w:sz="4" w:space="0"/>
          <w:left w:val="single" w:color="231EDC" w:themeColor="accent1" w:sz="4" w:space="0"/>
          <w:bottom w:val="single" w:color="231EDC" w:themeColor="accent1" w:sz="4" w:space="0"/>
          <w:right w:val="single" w:color="231EDC" w:themeColor="accent1" w:sz="4" w:space="0"/>
          <w:insideH w:val="nil"/>
        </w:tcBorders>
        <w:shd w:val="clear" w:color="auto" w:fill="231EDC" w:themeFill="accent1"/>
      </w:tcPr>
    </w:tblStylePr>
    <w:tblStylePr w:type="lastRow">
      <w:rPr>
        <w:b/>
        <w:bCs/>
      </w:rPr>
      <w:tblPr/>
      <w:tcPr>
        <w:tcBorders>
          <w:top w:val="double" w:color="7875EC" w:themeColor="accent1" w:themeTint="99" w:sz="4" w:space="0"/>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7292A"/>
    <w:pPr>
      <w:spacing w:line="240" w:lineRule="auto"/>
    </w:pPr>
    <w:tblPr>
      <w:tblStyleRowBandSize w:val="1"/>
      <w:tblStyleColBandSize w:val="1"/>
      <w:tblBorders>
        <w:top w:val="single" w:color="6CB0FF" w:themeColor="accent2" w:themeTint="99" w:sz="4" w:space="0"/>
        <w:left w:val="single" w:color="6CB0FF" w:themeColor="accent2" w:themeTint="99" w:sz="4" w:space="0"/>
        <w:bottom w:val="single" w:color="6CB0FF" w:themeColor="accent2" w:themeTint="99" w:sz="4" w:space="0"/>
        <w:right w:val="single" w:color="6CB0FF" w:themeColor="accent2" w:themeTint="99" w:sz="4" w:space="0"/>
        <w:insideH w:val="single" w:color="6CB0FF" w:themeColor="accent2" w:themeTint="99" w:sz="4" w:space="0"/>
      </w:tblBorders>
    </w:tblPr>
    <w:tblStylePr w:type="firstRow">
      <w:rPr>
        <w:b/>
        <w:bCs/>
        <w:color w:val="FFFFFF" w:themeColor="background1"/>
      </w:rPr>
      <w:tblPr/>
      <w:tcPr>
        <w:tcBorders>
          <w:top w:val="single" w:color="0A7DFF" w:themeColor="accent2" w:sz="4" w:space="0"/>
          <w:left w:val="single" w:color="0A7DFF" w:themeColor="accent2" w:sz="4" w:space="0"/>
          <w:bottom w:val="single" w:color="0A7DFF" w:themeColor="accent2" w:sz="4" w:space="0"/>
          <w:right w:val="single" w:color="0A7DFF" w:themeColor="accent2" w:sz="4" w:space="0"/>
          <w:insideH w:val="nil"/>
        </w:tcBorders>
        <w:shd w:val="clear" w:color="auto" w:fill="0A7DFF" w:themeFill="accent2"/>
      </w:tcPr>
    </w:tblStylePr>
    <w:tblStylePr w:type="lastRow">
      <w:rPr>
        <w:b/>
        <w:bCs/>
      </w:rPr>
      <w:tblPr/>
      <w:tcPr>
        <w:tcBorders>
          <w:top w:val="double" w:color="6CB0FF" w:themeColor="accent2" w:themeTint="99" w:sz="4" w:space="0"/>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7292A"/>
    <w:pPr>
      <w:spacing w:line="240" w:lineRule="auto"/>
    </w:pPr>
    <w:tblPr>
      <w:tblStyleRowBandSize w:val="1"/>
      <w:tblStyleColBandSize w:val="1"/>
      <w:tblBorders>
        <w:top w:val="single" w:color="9CEFFF" w:themeColor="accent3" w:themeTint="99" w:sz="4" w:space="0"/>
        <w:left w:val="single" w:color="9CEFFF" w:themeColor="accent3" w:themeTint="99" w:sz="4" w:space="0"/>
        <w:bottom w:val="single" w:color="9CEFFF" w:themeColor="accent3" w:themeTint="99" w:sz="4" w:space="0"/>
        <w:right w:val="single" w:color="9CEFFF" w:themeColor="accent3" w:themeTint="99" w:sz="4" w:space="0"/>
        <w:insideH w:val="single" w:color="9CEFFF" w:themeColor="accent3" w:themeTint="99" w:sz="4" w:space="0"/>
      </w:tblBorders>
    </w:tblPr>
    <w:tblStylePr w:type="firstRow">
      <w:rPr>
        <w:b/>
        <w:bCs/>
        <w:color w:val="FFFFFF" w:themeColor="background1"/>
      </w:rPr>
      <w:tblPr/>
      <w:tcPr>
        <w:tcBorders>
          <w:top w:val="single" w:color="5AE6FF" w:themeColor="accent3" w:sz="4" w:space="0"/>
          <w:left w:val="single" w:color="5AE6FF" w:themeColor="accent3" w:sz="4" w:space="0"/>
          <w:bottom w:val="single" w:color="5AE6FF" w:themeColor="accent3" w:sz="4" w:space="0"/>
          <w:right w:val="single" w:color="5AE6FF" w:themeColor="accent3" w:sz="4" w:space="0"/>
          <w:insideH w:val="nil"/>
        </w:tcBorders>
        <w:shd w:val="clear" w:color="auto" w:fill="5AE6FF" w:themeFill="accent3"/>
      </w:tcPr>
    </w:tblStylePr>
    <w:tblStylePr w:type="lastRow">
      <w:rPr>
        <w:b/>
        <w:bCs/>
      </w:rPr>
      <w:tblPr/>
      <w:tcPr>
        <w:tcBorders>
          <w:top w:val="double" w:color="9CEFFF" w:themeColor="accent3" w:themeTint="99" w:sz="4" w:space="0"/>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7292A"/>
    <w:pPr>
      <w:spacing w:line="240" w:lineRule="auto"/>
    </w:pPr>
    <w:tblPr>
      <w:tblStyleRowBandSize w:val="1"/>
      <w:tblStyleColBandSize w:val="1"/>
      <w:tblBorders>
        <w:top w:val="single" w:color="005AFF" w:themeColor="accent4" w:themeTint="99" w:sz="4" w:space="0"/>
        <w:left w:val="single" w:color="005AFF" w:themeColor="accent4" w:themeTint="99" w:sz="4" w:space="0"/>
        <w:bottom w:val="single" w:color="005AFF" w:themeColor="accent4" w:themeTint="99" w:sz="4" w:space="0"/>
        <w:right w:val="single" w:color="005AFF" w:themeColor="accent4" w:themeTint="99" w:sz="4" w:space="0"/>
        <w:insideH w:val="single" w:color="005AFF" w:themeColor="accent4" w:themeTint="99" w:sz="4" w:space="0"/>
      </w:tblBorders>
    </w:tblPr>
    <w:tblStylePr w:type="firstRow">
      <w:rPr>
        <w:b/>
        <w:bCs/>
        <w:color w:val="FFFFFF" w:themeColor="background1"/>
      </w:rPr>
      <w:tblPr/>
      <w:tcPr>
        <w:tcBorders>
          <w:top w:val="single" w:color="001E55" w:themeColor="accent4" w:sz="4" w:space="0"/>
          <w:left w:val="single" w:color="001E55" w:themeColor="accent4" w:sz="4" w:space="0"/>
          <w:bottom w:val="single" w:color="001E55" w:themeColor="accent4" w:sz="4" w:space="0"/>
          <w:right w:val="single" w:color="001E55" w:themeColor="accent4" w:sz="4" w:space="0"/>
          <w:insideH w:val="nil"/>
        </w:tcBorders>
        <w:shd w:val="clear" w:color="auto" w:fill="001E55" w:themeFill="accent4"/>
      </w:tcPr>
    </w:tblStylePr>
    <w:tblStylePr w:type="lastRow">
      <w:rPr>
        <w:b/>
        <w:bCs/>
      </w:rPr>
      <w:tblPr/>
      <w:tcPr>
        <w:tcBorders>
          <w:top w:val="double" w:color="005AFF" w:themeColor="accent4" w:themeTint="99" w:sz="4" w:space="0"/>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7292A"/>
    <w:pPr>
      <w:spacing w:line="240" w:lineRule="auto"/>
    </w:pPr>
    <w:tblPr>
      <w:tblStyleRowBandSize w:val="1"/>
      <w:tblStyleColBandSize w:val="1"/>
      <w:tblBorders>
        <w:top w:val="single" w:color="C9C9C9" w:themeColor="accent5" w:themeTint="99" w:sz="4" w:space="0"/>
        <w:left w:val="single" w:color="C9C9C9" w:themeColor="accent5" w:themeTint="99" w:sz="4" w:space="0"/>
        <w:bottom w:val="single" w:color="C9C9C9" w:themeColor="accent5" w:themeTint="99" w:sz="4" w:space="0"/>
        <w:right w:val="single" w:color="C9C9C9" w:themeColor="accent5" w:themeTint="99" w:sz="4" w:space="0"/>
        <w:insideH w:val="single" w:color="C9C9C9" w:themeColor="accent5" w:themeTint="99" w:sz="4" w:space="0"/>
      </w:tblBorders>
    </w:tblPr>
    <w:tblStylePr w:type="firstRow">
      <w:rPr>
        <w:b/>
        <w:bCs/>
        <w:color w:val="FFFFFF" w:themeColor="background1"/>
      </w:rPr>
      <w:tblPr/>
      <w:tcPr>
        <w:tcBorders>
          <w:top w:val="single" w:color="A5A5A5" w:themeColor="accent5" w:sz="4" w:space="0"/>
          <w:left w:val="single" w:color="A5A5A5" w:themeColor="accent5" w:sz="4" w:space="0"/>
          <w:bottom w:val="single" w:color="A5A5A5" w:themeColor="accent5" w:sz="4" w:space="0"/>
          <w:right w:val="single" w:color="A5A5A5" w:themeColor="accent5" w:sz="4" w:space="0"/>
          <w:insideH w:val="nil"/>
        </w:tcBorders>
        <w:shd w:val="clear" w:color="auto" w:fill="A5A5A5" w:themeFill="accent5"/>
      </w:tcPr>
    </w:tblStylePr>
    <w:tblStylePr w:type="lastRow">
      <w:rPr>
        <w:b/>
        <w:bCs/>
      </w:rPr>
      <w:tblPr/>
      <w:tcPr>
        <w:tcBorders>
          <w:top w:val="double" w:color="C9C9C9" w:themeColor="accent5" w:themeTint="99" w:sz="4" w:space="0"/>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7292A"/>
    <w:pPr>
      <w:spacing w:line="240" w:lineRule="auto"/>
    </w:pPr>
    <w:tblPr>
      <w:tblStyleRowBandSize w:val="1"/>
      <w:tblStyleColBandSize w:val="1"/>
      <w:tblBorders>
        <w:top w:val="single" w:color="DEDEDE" w:themeColor="accent6" w:themeTint="99" w:sz="4" w:space="0"/>
        <w:left w:val="single" w:color="DEDEDE" w:themeColor="accent6" w:themeTint="99" w:sz="4" w:space="0"/>
        <w:bottom w:val="single" w:color="DEDEDE" w:themeColor="accent6" w:themeTint="99" w:sz="4" w:space="0"/>
        <w:right w:val="single" w:color="DEDEDE" w:themeColor="accent6" w:themeTint="99" w:sz="4" w:space="0"/>
        <w:insideH w:val="single" w:color="DEDEDE" w:themeColor="accent6" w:themeTint="99" w:sz="4" w:space="0"/>
      </w:tblBorders>
    </w:tblPr>
    <w:tblStylePr w:type="firstRow">
      <w:rPr>
        <w:b/>
        <w:bCs/>
        <w:color w:val="FFFFFF" w:themeColor="background1"/>
      </w:rPr>
      <w:tblPr/>
      <w:tcPr>
        <w:tcBorders>
          <w:top w:val="single" w:color="C8C8C8" w:themeColor="accent6" w:sz="4" w:space="0"/>
          <w:left w:val="single" w:color="C8C8C8" w:themeColor="accent6" w:sz="4" w:space="0"/>
          <w:bottom w:val="single" w:color="C8C8C8" w:themeColor="accent6" w:sz="4" w:space="0"/>
          <w:right w:val="single" w:color="C8C8C8" w:themeColor="accent6" w:sz="4" w:space="0"/>
          <w:insideH w:val="nil"/>
        </w:tcBorders>
        <w:shd w:val="clear" w:color="auto" w:fill="C8C8C8" w:themeFill="accent6"/>
      </w:tcPr>
    </w:tblStylePr>
    <w:tblStylePr w:type="lastRow">
      <w:rPr>
        <w:b/>
        <w:bCs/>
      </w:rPr>
      <w:tblPr/>
      <w:tcPr>
        <w:tcBorders>
          <w:top w:val="double" w:color="DEDEDE" w:themeColor="accent6" w:themeTint="99" w:sz="4" w:space="0"/>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7292A"/>
    <w:pPr>
      <w:spacing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7292A"/>
    <w:pPr>
      <w:spacing w:line="240" w:lineRule="auto"/>
    </w:pPr>
    <w:rPr>
      <w:color w:val="FFFFFF" w:themeColor="background1"/>
    </w:rPr>
    <w:tblPr>
      <w:tblStyleRowBandSize w:val="1"/>
      <w:tblStyleColBandSize w:val="1"/>
      <w:tblBorders>
        <w:top w:val="single" w:color="231EDC" w:themeColor="accent1" w:sz="24" w:space="0"/>
        <w:left w:val="single" w:color="231EDC" w:themeColor="accent1" w:sz="24" w:space="0"/>
        <w:bottom w:val="single" w:color="231EDC" w:themeColor="accent1" w:sz="24" w:space="0"/>
        <w:right w:val="single" w:color="231EDC" w:themeColor="accent1" w:sz="24" w:space="0"/>
      </w:tblBorders>
    </w:tblPr>
    <w:tcPr>
      <w:shd w:val="clear" w:color="auto" w:fill="231EDC"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7292A"/>
    <w:pPr>
      <w:spacing w:line="240" w:lineRule="auto"/>
    </w:pPr>
    <w:rPr>
      <w:color w:val="FFFFFF" w:themeColor="background1"/>
    </w:rPr>
    <w:tblPr>
      <w:tblStyleRowBandSize w:val="1"/>
      <w:tblStyleColBandSize w:val="1"/>
      <w:tblBorders>
        <w:top w:val="single" w:color="0A7DFF" w:themeColor="accent2" w:sz="24" w:space="0"/>
        <w:left w:val="single" w:color="0A7DFF" w:themeColor="accent2" w:sz="24" w:space="0"/>
        <w:bottom w:val="single" w:color="0A7DFF" w:themeColor="accent2" w:sz="24" w:space="0"/>
        <w:right w:val="single" w:color="0A7DFF" w:themeColor="accent2" w:sz="24" w:space="0"/>
      </w:tblBorders>
    </w:tblPr>
    <w:tcPr>
      <w:shd w:val="clear" w:color="auto" w:fill="0A7DF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7292A"/>
    <w:pPr>
      <w:spacing w:line="240" w:lineRule="auto"/>
    </w:pPr>
    <w:rPr>
      <w:color w:val="FFFFFF" w:themeColor="background1"/>
    </w:rPr>
    <w:tblPr>
      <w:tblStyleRowBandSize w:val="1"/>
      <w:tblStyleColBandSize w:val="1"/>
      <w:tblBorders>
        <w:top w:val="single" w:color="5AE6FF" w:themeColor="accent3" w:sz="24" w:space="0"/>
        <w:left w:val="single" w:color="5AE6FF" w:themeColor="accent3" w:sz="24" w:space="0"/>
        <w:bottom w:val="single" w:color="5AE6FF" w:themeColor="accent3" w:sz="24" w:space="0"/>
        <w:right w:val="single" w:color="5AE6FF" w:themeColor="accent3" w:sz="24" w:space="0"/>
      </w:tblBorders>
    </w:tblPr>
    <w:tcPr>
      <w:shd w:val="clear" w:color="auto" w:fill="5AE6FF"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7292A"/>
    <w:pPr>
      <w:spacing w:line="240" w:lineRule="auto"/>
    </w:pPr>
    <w:rPr>
      <w:color w:val="FFFFFF" w:themeColor="background1"/>
    </w:rPr>
    <w:tblPr>
      <w:tblStyleRowBandSize w:val="1"/>
      <w:tblStyleColBandSize w:val="1"/>
      <w:tblBorders>
        <w:top w:val="single" w:color="001E55" w:themeColor="accent4" w:sz="24" w:space="0"/>
        <w:left w:val="single" w:color="001E55" w:themeColor="accent4" w:sz="24" w:space="0"/>
        <w:bottom w:val="single" w:color="001E55" w:themeColor="accent4" w:sz="24" w:space="0"/>
        <w:right w:val="single" w:color="001E55" w:themeColor="accent4" w:sz="24" w:space="0"/>
      </w:tblBorders>
    </w:tblPr>
    <w:tcPr>
      <w:shd w:val="clear" w:color="auto" w:fill="001E55"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7292A"/>
    <w:pPr>
      <w:spacing w:line="240" w:lineRule="auto"/>
    </w:pPr>
    <w:rPr>
      <w:color w:val="FFFFFF" w:themeColor="background1"/>
    </w:rPr>
    <w:tblPr>
      <w:tblStyleRowBandSize w:val="1"/>
      <w:tblStyleColBandSize w:val="1"/>
      <w:tblBorders>
        <w:top w:val="single" w:color="A5A5A5" w:themeColor="accent5" w:sz="24" w:space="0"/>
        <w:left w:val="single" w:color="A5A5A5" w:themeColor="accent5" w:sz="24" w:space="0"/>
        <w:bottom w:val="single" w:color="A5A5A5" w:themeColor="accent5" w:sz="24" w:space="0"/>
        <w:right w:val="single" w:color="A5A5A5" w:themeColor="accent5" w:sz="24" w:space="0"/>
      </w:tblBorders>
    </w:tblPr>
    <w:tcPr>
      <w:shd w:val="clear" w:color="auto" w:fill="A5A5A5"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7292A"/>
    <w:pPr>
      <w:spacing w:line="240" w:lineRule="auto"/>
    </w:pPr>
    <w:rPr>
      <w:color w:val="FFFFFF" w:themeColor="background1"/>
    </w:rPr>
    <w:tblPr>
      <w:tblStyleRowBandSize w:val="1"/>
      <w:tblStyleColBandSize w:val="1"/>
      <w:tblBorders>
        <w:top w:val="single" w:color="C8C8C8" w:themeColor="accent6" w:sz="24" w:space="0"/>
        <w:left w:val="single" w:color="C8C8C8" w:themeColor="accent6" w:sz="24" w:space="0"/>
        <w:bottom w:val="single" w:color="C8C8C8" w:themeColor="accent6" w:sz="24" w:space="0"/>
        <w:right w:val="single" w:color="C8C8C8" w:themeColor="accent6" w:sz="24" w:space="0"/>
      </w:tblBorders>
    </w:tblPr>
    <w:tcPr>
      <w:shd w:val="clear" w:color="auto" w:fill="C8C8C8"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7292A"/>
    <w:pPr>
      <w:spacing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7292A"/>
    <w:pPr>
      <w:spacing w:line="240" w:lineRule="auto"/>
    </w:pPr>
    <w:rPr>
      <w:color w:val="1916A4" w:themeColor="accent1" w:themeShade="BF"/>
    </w:rPr>
    <w:tblPr>
      <w:tblStyleRowBandSize w:val="1"/>
      <w:tblStyleColBandSize w:val="1"/>
      <w:tblBorders>
        <w:top w:val="single" w:color="231EDC" w:themeColor="accent1" w:sz="4" w:space="0"/>
        <w:bottom w:val="single" w:color="231EDC" w:themeColor="accent1" w:sz="4" w:space="0"/>
      </w:tblBorders>
    </w:tblPr>
    <w:tblStylePr w:type="firstRow">
      <w:rPr>
        <w:b/>
        <w:bCs/>
      </w:rPr>
      <w:tblPr/>
      <w:tcPr>
        <w:tcBorders>
          <w:bottom w:val="single" w:color="231EDC" w:themeColor="accent1" w:sz="4" w:space="0"/>
        </w:tcBorders>
      </w:tcPr>
    </w:tblStylePr>
    <w:tblStylePr w:type="lastRow">
      <w:rPr>
        <w:b/>
        <w:bCs/>
      </w:rPr>
      <w:tblPr/>
      <w:tcPr>
        <w:tcBorders>
          <w:top w:val="double" w:color="231EDC" w:themeColor="accent1" w:sz="4" w:space="0"/>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7292A"/>
    <w:pPr>
      <w:spacing w:line="240" w:lineRule="auto"/>
    </w:pPr>
    <w:rPr>
      <w:color w:val="005CC6" w:themeColor="accent2" w:themeShade="BF"/>
    </w:rPr>
    <w:tblPr>
      <w:tblStyleRowBandSize w:val="1"/>
      <w:tblStyleColBandSize w:val="1"/>
      <w:tblBorders>
        <w:top w:val="single" w:color="0A7DFF" w:themeColor="accent2" w:sz="4" w:space="0"/>
        <w:bottom w:val="single" w:color="0A7DFF" w:themeColor="accent2" w:sz="4" w:space="0"/>
      </w:tblBorders>
    </w:tblPr>
    <w:tblStylePr w:type="firstRow">
      <w:rPr>
        <w:b/>
        <w:bCs/>
      </w:rPr>
      <w:tblPr/>
      <w:tcPr>
        <w:tcBorders>
          <w:bottom w:val="single" w:color="0A7DFF" w:themeColor="accent2" w:sz="4" w:space="0"/>
        </w:tcBorders>
      </w:tcPr>
    </w:tblStylePr>
    <w:tblStylePr w:type="lastRow">
      <w:rPr>
        <w:b/>
        <w:bCs/>
      </w:rPr>
      <w:tblPr/>
      <w:tcPr>
        <w:tcBorders>
          <w:top w:val="double" w:color="0A7DFF" w:themeColor="accent2" w:sz="4" w:space="0"/>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7292A"/>
    <w:pPr>
      <w:spacing w:line="240" w:lineRule="auto"/>
    </w:pPr>
    <w:rPr>
      <w:color w:val="03D8FF" w:themeColor="accent3" w:themeShade="BF"/>
    </w:rPr>
    <w:tblPr>
      <w:tblStyleRowBandSize w:val="1"/>
      <w:tblStyleColBandSize w:val="1"/>
      <w:tblBorders>
        <w:top w:val="single" w:color="5AE6FF" w:themeColor="accent3" w:sz="4" w:space="0"/>
        <w:bottom w:val="single" w:color="5AE6FF" w:themeColor="accent3" w:sz="4" w:space="0"/>
      </w:tblBorders>
    </w:tblPr>
    <w:tblStylePr w:type="firstRow">
      <w:rPr>
        <w:b/>
        <w:bCs/>
      </w:rPr>
      <w:tblPr/>
      <w:tcPr>
        <w:tcBorders>
          <w:bottom w:val="single" w:color="5AE6FF" w:themeColor="accent3" w:sz="4" w:space="0"/>
        </w:tcBorders>
      </w:tcPr>
    </w:tblStylePr>
    <w:tblStylePr w:type="lastRow">
      <w:rPr>
        <w:b/>
        <w:bCs/>
      </w:rPr>
      <w:tblPr/>
      <w:tcPr>
        <w:tcBorders>
          <w:top w:val="double" w:color="5AE6FF" w:themeColor="accent3" w:sz="4" w:space="0"/>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7292A"/>
    <w:pPr>
      <w:spacing w:line="240" w:lineRule="auto"/>
    </w:pPr>
    <w:rPr>
      <w:color w:val="00163F" w:themeColor="accent4" w:themeShade="BF"/>
    </w:rPr>
    <w:tblPr>
      <w:tblStyleRowBandSize w:val="1"/>
      <w:tblStyleColBandSize w:val="1"/>
      <w:tblBorders>
        <w:top w:val="single" w:color="001E55" w:themeColor="accent4" w:sz="4" w:space="0"/>
        <w:bottom w:val="single" w:color="001E55" w:themeColor="accent4" w:sz="4" w:space="0"/>
      </w:tblBorders>
    </w:tblPr>
    <w:tblStylePr w:type="firstRow">
      <w:rPr>
        <w:b/>
        <w:bCs/>
      </w:rPr>
      <w:tblPr/>
      <w:tcPr>
        <w:tcBorders>
          <w:bottom w:val="single" w:color="001E55" w:themeColor="accent4" w:sz="4" w:space="0"/>
        </w:tcBorders>
      </w:tcPr>
    </w:tblStylePr>
    <w:tblStylePr w:type="lastRow">
      <w:rPr>
        <w:b/>
        <w:bCs/>
      </w:rPr>
      <w:tblPr/>
      <w:tcPr>
        <w:tcBorders>
          <w:top w:val="double" w:color="001E55" w:themeColor="accent4" w:sz="4" w:space="0"/>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7292A"/>
    <w:pPr>
      <w:spacing w:line="240" w:lineRule="auto"/>
    </w:pPr>
    <w:rPr>
      <w:color w:val="7B7B7B" w:themeColor="accent5" w:themeShade="BF"/>
    </w:rPr>
    <w:tblPr>
      <w:tblStyleRowBandSize w:val="1"/>
      <w:tblStyleColBandSize w:val="1"/>
      <w:tblBorders>
        <w:top w:val="single" w:color="A5A5A5" w:themeColor="accent5" w:sz="4" w:space="0"/>
        <w:bottom w:val="single" w:color="A5A5A5" w:themeColor="accent5" w:sz="4" w:space="0"/>
      </w:tblBorders>
    </w:tblPr>
    <w:tblStylePr w:type="firstRow">
      <w:rPr>
        <w:b/>
        <w:bCs/>
      </w:rPr>
      <w:tblPr/>
      <w:tcPr>
        <w:tcBorders>
          <w:bottom w:val="single" w:color="A5A5A5" w:themeColor="accent5" w:sz="4" w:space="0"/>
        </w:tcBorders>
      </w:tcPr>
    </w:tblStylePr>
    <w:tblStylePr w:type="lastRow">
      <w:rPr>
        <w:b/>
        <w:bCs/>
      </w:rPr>
      <w:tblPr/>
      <w:tcPr>
        <w:tcBorders>
          <w:top w:val="double" w:color="A5A5A5" w:themeColor="accent5" w:sz="4" w:space="0"/>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7292A"/>
    <w:pPr>
      <w:spacing w:line="240" w:lineRule="auto"/>
    </w:pPr>
    <w:rPr>
      <w:color w:val="959595" w:themeColor="accent6" w:themeShade="BF"/>
    </w:rPr>
    <w:tblPr>
      <w:tblStyleRowBandSize w:val="1"/>
      <w:tblStyleColBandSize w:val="1"/>
      <w:tblBorders>
        <w:top w:val="single" w:color="C8C8C8" w:themeColor="accent6" w:sz="4" w:space="0"/>
        <w:bottom w:val="single" w:color="C8C8C8" w:themeColor="accent6" w:sz="4" w:space="0"/>
      </w:tblBorders>
    </w:tblPr>
    <w:tblStylePr w:type="firstRow">
      <w:rPr>
        <w:b/>
        <w:bCs/>
      </w:rPr>
      <w:tblPr/>
      <w:tcPr>
        <w:tcBorders>
          <w:bottom w:val="single" w:color="C8C8C8" w:themeColor="accent6" w:sz="4" w:space="0"/>
        </w:tcBorders>
      </w:tcPr>
    </w:tblStylePr>
    <w:tblStylePr w:type="lastRow">
      <w:rPr>
        <w:b/>
        <w:bCs/>
      </w:rPr>
      <w:tblPr/>
      <w:tcPr>
        <w:tcBorders>
          <w:top w:val="double" w:color="C8C8C8" w:themeColor="accent6" w:sz="4" w:space="0"/>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7292A"/>
    <w:pPr>
      <w:spacing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7292A"/>
    <w:pPr>
      <w:spacing w:line="240" w:lineRule="auto"/>
    </w:pPr>
    <w:rPr>
      <w:color w:val="1916A4"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31EDC"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1EDC"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1EDC"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1EDC" w:themeColor="accent1" w:sz="4" w:space="0"/>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7292A"/>
    <w:pPr>
      <w:spacing w:line="240" w:lineRule="auto"/>
    </w:pPr>
    <w:rPr>
      <w:color w:val="005CC6"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A7DFF"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A7DFF"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A7DFF"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A7DFF" w:themeColor="accent2" w:sz="4" w:space="0"/>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7292A"/>
    <w:pPr>
      <w:spacing w:line="240" w:lineRule="auto"/>
    </w:pPr>
    <w:rPr>
      <w:color w:val="03D8FF"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AE6FF"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AE6FF"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AE6FF"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AE6FF" w:themeColor="accent3" w:sz="4" w:space="0"/>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7292A"/>
    <w:pPr>
      <w:spacing w:line="240" w:lineRule="auto"/>
    </w:pPr>
    <w:rPr>
      <w:color w:val="00163F"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1E55"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1E55"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1E55"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1E55" w:themeColor="accent4" w:sz="4" w:space="0"/>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7292A"/>
    <w:pPr>
      <w:spacing w:line="240" w:lineRule="auto"/>
    </w:pPr>
    <w:rPr>
      <w:color w:val="7B7B7B"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5A5A5"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5A5A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5A5A5"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5A5A5" w:themeColor="accent5" w:sz="4" w:space="0"/>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7292A"/>
    <w:pPr>
      <w:spacing w:line="240" w:lineRule="auto"/>
    </w:pPr>
    <w:rPr>
      <w:color w:val="959595"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8C8C8"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8C8C8"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8C8C8"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8C8C8" w:themeColor="accent6" w:sz="4" w:space="0"/>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7292A"/>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styleId="MacroTextChar" w:customStyle="1">
    <w:name w:val="Macro Text Char"/>
    <w:basedOn w:val="DefaultParagraphFont"/>
    <w:link w:val="MacroText"/>
    <w:uiPriority w:val="99"/>
    <w:semiHidden/>
    <w:rsid w:val="0007292A"/>
    <w:rPr>
      <w:rFonts w:ascii="Consolas" w:hAnsi="Consolas"/>
    </w:rPr>
  </w:style>
  <w:style w:type="table" w:styleId="MediumGrid1">
    <w:name w:val="Medium Grid 1"/>
    <w:basedOn w:val="TableNormal"/>
    <w:uiPriority w:val="67"/>
    <w:semiHidden/>
    <w:unhideWhenUsed/>
    <w:locked/>
    <w:rsid w:val="0007292A"/>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7292A"/>
    <w:pPr>
      <w:spacing w:line="240" w:lineRule="auto"/>
    </w:pPr>
    <w:tblPr>
      <w:tblStyleRowBandSize w:val="1"/>
      <w:tblStyleColBandSize w:val="1"/>
      <w:tblBorders>
        <w:top w:val="single" w:color="5653E7" w:themeColor="accent1" w:themeTint="BF" w:sz="8" w:space="0"/>
        <w:left w:val="single" w:color="5653E7" w:themeColor="accent1" w:themeTint="BF" w:sz="8" w:space="0"/>
        <w:bottom w:val="single" w:color="5653E7" w:themeColor="accent1" w:themeTint="BF" w:sz="8" w:space="0"/>
        <w:right w:val="single" w:color="5653E7" w:themeColor="accent1" w:themeTint="BF" w:sz="8" w:space="0"/>
        <w:insideH w:val="single" w:color="5653E7" w:themeColor="accent1" w:themeTint="BF" w:sz="8" w:space="0"/>
        <w:insideV w:val="single" w:color="5653E7" w:themeColor="accent1" w:themeTint="BF" w:sz="8" w:space="0"/>
      </w:tblBorders>
    </w:tblPr>
    <w:tcPr>
      <w:shd w:val="clear" w:color="auto" w:fill="C7C6F7" w:themeFill="accent1" w:themeFillTint="3F"/>
    </w:tcPr>
    <w:tblStylePr w:type="firstRow">
      <w:rPr>
        <w:b/>
        <w:bCs/>
      </w:rPr>
    </w:tblStylePr>
    <w:tblStylePr w:type="lastRow">
      <w:rPr>
        <w:b/>
        <w:bCs/>
      </w:rPr>
      <w:tblPr/>
      <w:tcPr>
        <w:tcBorders>
          <w:top w:val="single" w:color="5653E7" w:themeColor="accent1" w:themeTint="BF" w:sz="18" w:space="0"/>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7292A"/>
    <w:pPr>
      <w:spacing w:line="240" w:lineRule="auto"/>
    </w:pPr>
    <w:tblPr>
      <w:tblStyleRowBandSize w:val="1"/>
      <w:tblStyleColBandSize w:val="1"/>
      <w:tblBorders>
        <w:top w:val="single" w:color="479DFF" w:themeColor="accent2" w:themeTint="BF" w:sz="8" w:space="0"/>
        <w:left w:val="single" w:color="479DFF" w:themeColor="accent2" w:themeTint="BF" w:sz="8" w:space="0"/>
        <w:bottom w:val="single" w:color="479DFF" w:themeColor="accent2" w:themeTint="BF" w:sz="8" w:space="0"/>
        <w:right w:val="single" w:color="479DFF" w:themeColor="accent2" w:themeTint="BF" w:sz="8" w:space="0"/>
        <w:insideH w:val="single" w:color="479DFF" w:themeColor="accent2" w:themeTint="BF" w:sz="8" w:space="0"/>
        <w:insideV w:val="single" w:color="479DFF" w:themeColor="accent2" w:themeTint="BF" w:sz="8" w:space="0"/>
      </w:tblBorders>
    </w:tblPr>
    <w:tcPr>
      <w:shd w:val="clear" w:color="auto" w:fill="C2DEFF" w:themeFill="accent2" w:themeFillTint="3F"/>
    </w:tcPr>
    <w:tblStylePr w:type="firstRow">
      <w:rPr>
        <w:b/>
        <w:bCs/>
      </w:rPr>
    </w:tblStylePr>
    <w:tblStylePr w:type="lastRow">
      <w:rPr>
        <w:b/>
        <w:bCs/>
      </w:rPr>
      <w:tblPr/>
      <w:tcPr>
        <w:tcBorders>
          <w:top w:val="single" w:color="479DFF" w:themeColor="accent2" w:themeTint="BF" w:sz="18" w:space="0"/>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7292A"/>
    <w:pPr>
      <w:spacing w:line="240" w:lineRule="auto"/>
    </w:pPr>
    <w:tblPr>
      <w:tblStyleRowBandSize w:val="1"/>
      <w:tblStyleColBandSize w:val="1"/>
      <w:tblBorders>
        <w:top w:val="single" w:color="83ECFF" w:themeColor="accent3" w:themeTint="BF" w:sz="8" w:space="0"/>
        <w:left w:val="single" w:color="83ECFF" w:themeColor="accent3" w:themeTint="BF" w:sz="8" w:space="0"/>
        <w:bottom w:val="single" w:color="83ECFF" w:themeColor="accent3" w:themeTint="BF" w:sz="8" w:space="0"/>
        <w:right w:val="single" w:color="83ECFF" w:themeColor="accent3" w:themeTint="BF" w:sz="8" w:space="0"/>
        <w:insideH w:val="single" w:color="83ECFF" w:themeColor="accent3" w:themeTint="BF" w:sz="8" w:space="0"/>
        <w:insideV w:val="single" w:color="83ECFF" w:themeColor="accent3" w:themeTint="BF" w:sz="8" w:space="0"/>
      </w:tblBorders>
    </w:tblPr>
    <w:tcPr>
      <w:shd w:val="clear" w:color="auto" w:fill="D6F8FF" w:themeFill="accent3" w:themeFillTint="3F"/>
    </w:tcPr>
    <w:tblStylePr w:type="firstRow">
      <w:rPr>
        <w:b/>
        <w:bCs/>
      </w:rPr>
    </w:tblStylePr>
    <w:tblStylePr w:type="lastRow">
      <w:rPr>
        <w:b/>
        <w:bCs/>
      </w:rPr>
      <w:tblPr/>
      <w:tcPr>
        <w:tcBorders>
          <w:top w:val="single" w:color="83ECFF" w:themeColor="accent3" w:themeTint="BF" w:sz="18" w:space="0"/>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7292A"/>
    <w:pPr>
      <w:spacing w:line="240" w:lineRule="auto"/>
    </w:pPr>
    <w:tblPr>
      <w:tblStyleRowBandSize w:val="1"/>
      <w:tblStyleColBandSize w:val="1"/>
      <w:tblBorders>
        <w:top w:val="single" w:color="0043BF" w:themeColor="accent4" w:themeTint="BF" w:sz="8" w:space="0"/>
        <w:left w:val="single" w:color="0043BF" w:themeColor="accent4" w:themeTint="BF" w:sz="8" w:space="0"/>
        <w:bottom w:val="single" w:color="0043BF" w:themeColor="accent4" w:themeTint="BF" w:sz="8" w:space="0"/>
        <w:right w:val="single" w:color="0043BF" w:themeColor="accent4" w:themeTint="BF" w:sz="8" w:space="0"/>
        <w:insideH w:val="single" w:color="0043BF" w:themeColor="accent4" w:themeTint="BF" w:sz="8" w:space="0"/>
        <w:insideV w:val="single" w:color="0043BF" w:themeColor="accent4" w:themeTint="BF" w:sz="8" w:space="0"/>
      </w:tblBorders>
    </w:tblPr>
    <w:tcPr>
      <w:shd w:val="clear" w:color="auto" w:fill="96BBFF" w:themeFill="accent4" w:themeFillTint="3F"/>
    </w:tcPr>
    <w:tblStylePr w:type="firstRow">
      <w:rPr>
        <w:b/>
        <w:bCs/>
      </w:rPr>
    </w:tblStylePr>
    <w:tblStylePr w:type="lastRow">
      <w:rPr>
        <w:b/>
        <w:bCs/>
      </w:rPr>
      <w:tblPr/>
      <w:tcPr>
        <w:tcBorders>
          <w:top w:val="single" w:color="0043BF" w:themeColor="accent4" w:themeTint="BF" w:sz="18" w:space="0"/>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7292A"/>
    <w:pPr>
      <w:spacing w:line="240" w:lineRule="auto"/>
    </w:pPr>
    <w:tblPr>
      <w:tblStyleRowBandSize w:val="1"/>
      <w:tblStyleColBandSize w:val="1"/>
      <w:tblBorders>
        <w:top w:val="single" w:color="BBBBBB" w:themeColor="accent5" w:themeTint="BF" w:sz="8" w:space="0"/>
        <w:left w:val="single" w:color="BBBBBB" w:themeColor="accent5" w:themeTint="BF" w:sz="8" w:space="0"/>
        <w:bottom w:val="single" w:color="BBBBBB" w:themeColor="accent5" w:themeTint="BF" w:sz="8" w:space="0"/>
        <w:right w:val="single" w:color="BBBBBB" w:themeColor="accent5" w:themeTint="BF" w:sz="8" w:space="0"/>
        <w:insideH w:val="single" w:color="BBBBBB" w:themeColor="accent5" w:themeTint="BF" w:sz="8" w:space="0"/>
        <w:insideV w:val="single" w:color="BBBBBB" w:themeColor="accent5" w:themeTint="BF" w:sz="8" w:space="0"/>
      </w:tblBorders>
    </w:tblPr>
    <w:tcPr>
      <w:shd w:val="clear" w:color="auto" w:fill="E8E8E8" w:themeFill="accent5" w:themeFillTint="3F"/>
    </w:tcPr>
    <w:tblStylePr w:type="firstRow">
      <w:rPr>
        <w:b/>
        <w:bCs/>
      </w:rPr>
    </w:tblStylePr>
    <w:tblStylePr w:type="lastRow">
      <w:rPr>
        <w:b/>
        <w:bCs/>
      </w:rPr>
      <w:tblPr/>
      <w:tcPr>
        <w:tcBorders>
          <w:top w:val="single" w:color="BBBBBB" w:themeColor="accent5" w:themeTint="BF" w:sz="18" w:space="0"/>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7292A"/>
    <w:pPr>
      <w:spacing w:line="240" w:lineRule="auto"/>
    </w:pPr>
    <w:tblPr>
      <w:tblStyleRowBandSize w:val="1"/>
      <w:tblStyleColBandSize w:val="1"/>
      <w:tblBorders>
        <w:top w:val="single" w:color="D5D5D5" w:themeColor="accent6" w:themeTint="BF" w:sz="8" w:space="0"/>
        <w:left w:val="single" w:color="D5D5D5" w:themeColor="accent6" w:themeTint="BF" w:sz="8" w:space="0"/>
        <w:bottom w:val="single" w:color="D5D5D5" w:themeColor="accent6" w:themeTint="BF" w:sz="8" w:space="0"/>
        <w:right w:val="single" w:color="D5D5D5" w:themeColor="accent6" w:themeTint="BF" w:sz="8" w:space="0"/>
        <w:insideH w:val="single" w:color="D5D5D5" w:themeColor="accent6" w:themeTint="BF" w:sz="8" w:space="0"/>
        <w:insideV w:val="single" w:color="D5D5D5" w:themeColor="accent6" w:themeTint="BF" w:sz="8" w:space="0"/>
      </w:tblBorders>
    </w:tblPr>
    <w:tcPr>
      <w:shd w:val="clear" w:color="auto" w:fill="F1F1F1" w:themeFill="accent6" w:themeFillTint="3F"/>
    </w:tcPr>
    <w:tblStylePr w:type="firstRow">
      <w:rPr>
        <w:b/>
        <w:bCs/>
      </w:rPr>
    </w:tblStylePr>
    <w:tblStylePr w:type="lastRow">
      <w:rPr>
        <w:b/>
        <w:bCs/>
      </w:rPr>
      <w:tblPr/>
      <w:tcPr>
        <w:tcBorders>
          <w:top w:val="single" w:color="D5D5D5" w:themeColor="accent6" w:themeTint="BF" w:sz="18" w:space="0"/>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231EDC" w:themeColor="accent1" w:sz="8" w:space="0"/>
        <w:left w:val="single" w:color="231EDC" w:themeColor="accent1" w:sz="8" w:space="0"/>
        <w:bottom w:val="single" w:color="231EDC" w:themeColor="accent1" w:sz="8" w:space="0"/>
        <w:right w:val="single" w:color="231EDC" w:themeColor="accent1" w:sz="8" w:space="0"/>
        <w:insideH w:val="single" w:color="231EDC" w:themeColor="accent1" w:sz="8" w:space="0"/>
        <w:insideV w:val="single" w:color="231EDC" w:themeColor="accent1" w:sz="8" w:space="0"/>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color="231EDC" w:themeColor="accent1" w:sz="6" w:space="0"/>
          <w:insideV w:val="single" w:color="231EDC" w:themeColor="accent1" w:sz="6" w:space="0"/>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A7DFF" w:themeColor="accent2" w:sz="8" w:space="0"/>
        <w:left w:val="single" w:color="0A7DFF" w:themeColor="accent2" w:sz="8" w:space="0"/>
        <w:bottom w:val="single" w:color="0A7DFF" w:themeColor="accent2" w:sz="8" w:space="0"/>
        <w:right w:val="single" w:color="0A7DFF" w:themeColor="accent2" w:sz="8" w:space="0"/>
        <w:insideH w:val="single" w:color="0A7DFF" w:themeColor="accent2" w:sz="8" w:space="0"/>
        <w:insideV w:val="single" w:color="0A7DFF" w:themeColor="accent2" w:sz="8" w:space="0"/>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color="0A7DFF" w:themeColor="accent2" w:sz="6" w:space="0"/>
          <w:insideV w:val="single" w:color="0A7DFF" w:themeColor="accent2" w:sz="6" w:space="0"/>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5AE6FF" w:themeColor="accent3" w:sz="8" w:space="0"/>
        <w:left w:val="single" w:color="5AE6FF" w:themeColor="accent3" w:sz="8" w:space="0"/>
        <w:bottom w:val="single" w:color="5AE6FF" w:themeColor="accent3" w:sz="8" w:space="0"/>
        <w:right w:val="single" w:color="5AE6FF" w:themeColor="accent3" w:sz="8" w:space="0"/>
        <w:insideH w:val="single" w:color="5AE6FF" w:themeColor="accent3" w:sz="8" w:space="0"/>
        <w:insideV w:val="single" w:color="5AE6FF" w:themeColor="accent3" w:sz="8" w:space="0"/>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color="5AE6FF" w:themeColor="accent3" w:sz="6" w:space="0"/>
          <w:insideV w:val="single" w:color="5AE6FF" w:themeColor="accent3" w:sz="6" w:space="0"/>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01E55" w:themeColor="accent4" w:sz="8" w:space="0"/>
        <w:left w:val="single" w:color="001E55" w:themeColor="accent4" w:sz="8" w:space="0"/>
        <w:bottom w:val="single" w:color="001E55" w:themeColor="accent4" w:sz="8" w:space="0"/>
        <w:right w:val="single" w:color="001E55" w:themeColor="accent4" w:sz="8" w:space="0"/>
        <w:insideH w:val="single" w:color="001E55" w:themeColor="accent4" w:sz="8" w:space="0"/>
        <w:insideV w:val="single" w:color="001E55" w:themeColor="accent4" w:sz="8" w:space="0"/>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color="001E55" w:themeColor="accent4" w:sz="6" w:space="0"/>
          <w:insideV w:val="single" w:color="001E55" w:themeColor="accent4" w:sz="6" w:space="0"/>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A5A5A5" w:themeColor="accent5" w:sz="8" w:space="0"/>
        <w:left w:val="single" w:color="A5A5A5" w:themeColor="accent5" w:sz="8" w:space="0"/>
        <w:bottom w:val="single" w:color="A5A5A5" w:themeColor="accent5" w:sz="8" w:space="0"/>
        <w:right w:val="single" w:color="A5A5A5" w:themeColor="accent5" w:sz="8" w:space="0"/>
        <w:insideH w:val="single" w:color="A5A5A5" w:themeColor="accent5" w:sz="8" w:space="0"/>
        <w:insideV w:val="single" w:color="A5A5A5" w:themeColor="accent5" w:sz="8" w:space="0"/>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color="A5A5A5" w:themeColor="accent5" w:sz="6" w:space="0"/>
          <w:insideV w:val="single" w:color="A5A5A5" w:themeColor="accent5" w:sz="6" w:space="0"/>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C8C8C8" w:themeColor="accent6" w:sz="8" w:space="0"/>
        <w:left w:val="single" w:color="C8C8C8" w:themeColor="accent6" w:sz="8" w:space="0"/>
        <w:bottom w:val="single" w:color="C8C8C8" w:themeColor="accent6" w:sz="8" w:space="0"/>
        <w:right w:val="single" w:color="C8C8C8" w:themeColor="accent6" w:sz="8" w:space="0"/>
        <w:insideH w:val="single" w:color="C8C8C8" w:themeColor="accent6" w:sz="8" w:space="0"/>
        <w:insideV w:val="single" w:color="C8C8C8" w:themeColor="accent6" w:sz="8" w:space="0"/>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color="C8C8C8" w:themeColor="accent6" w:sz="6" w:space="0"/>
          <w:insideV w:val="single" w:color="C8C8C8" w:themeColor="accent6" w:sz="6" w:space="0"/>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7C6F7"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1EDC"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1EDC"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1EDC"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1EDC"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F8CE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2DE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A7DFF"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A7DFF"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A7DFF"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A7DF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4BD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F8FF"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AE6FF"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AE6FF"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AE6FF"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AE6FF"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CF2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6BBF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1E55"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1E55"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1E55"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1E5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2B76F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5A5A5"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5A5A5"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7292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1F1F1"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8C8C8"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8C8C8"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8C8C8"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8C8C8"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3E3E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3E3E3" w:themeFill="accent6" w:themeFillTint="7F"/>
      </w:tcPr>
    </w:tblStylePr>
  </w:style>
  <w:style w:type="table" w:styleId="MediumList1">
    <w:name w:val="Medium List 1"/>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33333"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231EDC" w:themeColor="accent1" w:sz="8" w:space="0"/>
        <w:bottom w:val="single" w:color="231EDC" w:themeColor="accent1" w:sz="8" w:space="0"/>
      </w:tblBorders>
    </w:tblPr>
    <w:tblStylePr w:type="firstRow">
      <w:rPr>
        <w:rFonts w:asciiTheme="majorHAnsi" w:hAnsiTheme="majorHAnsi" w:eastAsiaTheme="majorEastAsia" w:cstheme="majorBidi"/>
      </w:rPr>
      <w:tblPr/>
      <w:tcPr>
        <w:tcBorders>
          <w:top w:val="nil"/>
          <w:bottom w:val="single" w:color="231EDC" w:themeColor="accent1" w:sz="8" w:space="0"/>
        </w:tcBorders>
      </w:tcPr>
    </w:tblStylePr>
    <w:tblStylePr w:type="lastRow">
      <w:rPr>
        <w:b/>
        <w:bCs/>
        <w:color w:val="333333" w:themeColor="text2"/>
      </w:rPr>
      <w:tblPr/>
      <w:tcPr>
        <w:tcBorders>
          <w:top w:val="single" w:color="231EDC" w:themeColor="accent1" w:sz="8" w:space="0"/>
          <w:bottom w:val="single" w:color="231EDC" w:themeColor="accent1" w:sz="8" w:space="0"/>
        </w:tcBorders>
      </w:tcPr>
    </w:tblStylePr>
    <w:tblStylePr w:type="firstCol">
      <w:rPr>
        <w:b/>
        <w:bCs/>
      </w:rPr>
    </w:tblStylePr>
    <w:tblStylePr w:type="lastCol">
      <w:rPr>
        <w:b/>
        <w:bCs/>
      </w:rPr>
      <w:tblPr/>
      <w:tcPr>
        <w:tcBorders>
          <w:top w:val="single" w:color="231EDC" w:themeColor="accent1" w:sz="8" w:space="0"/>
          <w:bottom w:val="single" w:color="231EDC" w:themeColor="accent1" w:sz="8" w:space="0"/>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0A7DFF" w:themeColor="accent2" w:sz="8" w:space="0"/>
        <w:bottom w:val="single" w:color="0A7DFF" w:themeColor="accent2" w:sz="8" w:space="0"/>
      </w:tblBorders>
    </w:tblPr>
    <w:tblStylePr w:type="firstRow">
      <w:rPr>
        <w:rFonts w:asciiTheme="majorHAnsi" w:hAnsiTheme="majorHAnsi" w:eastAsiaTheme="majorEastAsia" w:cstheme="majorBidi"/>
      </w:rPr>
      <w:tblPr/>
      <w:tcPr>
        <w:tcBorders>
          <w:top w:val="nil"/>
          <w:bottom w:val="single" w:color="0A7DFF" w:themeColor="accent2" w:sz="8" w:space="0"/>
        </w:tcBorders>
      </w:tcPr>
    </w:tblStylePr>
    <w:tblStylePr w:type="lastRow">
      <w:rPr>
        <w:b/>
        <w:bCs/>
        <w:color w:val="333333" w:themeColor="text2"/>
      </w:rPr>
      <w:tblPr/>
      <w:tcPr>
        <w:tcBorders>
          <w:top w:val="single" w:color="0A7DFF" w:themeColor="accent2" w:sz="8" w:space="0"/>
          <w:bottom w:val="single" w:color="0A7DFF" w:themeColor="accent2" w:sz="8" w:space="0"/>
        </w:tcBorders>
      </w:tcPr>
    </w:tblStylePr>
    <w:tblStylePr w:type="firstCol">
      <w:rPr>
        <w:b/>
        <w:bCs/>
      </w:rPr>
    </w:tblStylePr>
    <w:tblStylePr w:type="lastCol">
      <w:rPr>
        <w:b/>
        <w:bCs/>
      </w:rPr>
      <w:tblPr/>
      <w:tcPr>
        <w:tcBorders>
          <w:top w:val="single" w:color="0A7DFF" w:themeColor="accent2" w:sz="8" w:space="0"/>
          <w:bottom w:val="single" w:color="0A7DFF" w:themeColor="accent2" w:sz="8" w:space="0"/>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5AE6FF" w:themeColor="accent3" w:sz="8" w:space="0"/>
        <w:bottom w:val="single" w:color="5AE6FF" w:themeColor="accent3" w:sz="8" w:space="0"/>
      </w:tblBorders>
    </w:tblPr>
    <w:tblStylePr w:type="firstRow">
      <w:rPr>
        <w:rFonts w:asciiTheme="majorHAnsi" w:hAnsiTheme="majorHAnsi" w:eastAsiaTheme="majorEastAsia" w:cstheme="majorBidi"/>
      </w:rPr>
      <w:tblPr/>
      <w:tcPr>
        <w:tcBorders>
          <w:top w:val="nil"/>
          <w:bottom w:val="single" w:color="5AE6FF" w:themeColor="accent3" w:sz="8" w:space="0"/>
        </w:tcBorders>
      </w:tcPr>
    </w:tblStylePr>
    <w:tblStylePr w:type="lastRow">
      <w:rPr>
        <w:b/>
        <w:bCs/>
        <w:color w:val="333333" w:themeColor="text2"/>
      </w:rPr>
      <w:tblPr/>
      <w:tcPr>
        <w:tcBorders>
          <w:top w:val="single" w:color="5AE6FF" w:themeColor="accent3" w:sz="8" w:space="0"/>
          <w:bottom w:val="single" w:color="5AE6FF" w:themeColor="accent3" w:sz="8" w:space="0"/>
        </w:tcBorders>
      </w:tcPr>
    </w:tblStylePr>
    <w:tblStylePr w:type="firstCol">
      <w:rPr>
        <w:b/>
        <w:bCs/>
      </w:rPr>
    </w:tblStylePr>
    <w:tblStylePr w:type="lastCol">
      <w:rPr>
        <w:b/>
        <w:bCs/>
      </w:rPr>
      <w:tblPr/>
      <w:tcPr>
        <w:tcBorders>
          <w:top w:val="single" w:color="5AE6FF" w:themeColor="accent3" w:sz="8" w:space="0"/>
          <w:bottom w:val="single" w:color="5AE6FF" w:themeColor="accent3" w:sz="8" w:space="0"/>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001E55" w:themeColor="accent4" w:sz="8" w:space="0"/>
        <w:bottom w:val="single" w:color="001E55" w:themeColor="accent4" w:sz="8" w:space="0"/>
      </w:tblBorders>
    </w:tblPr>
    <w:tblStylePr w:type="firstRow">
      <w:rPr>
        <w:rFonts w:asciiTheme="majorHAnsi" w:hAnsiTheme="majorHAnsi" w:eastAsiaTheme="majorEastAsia" w:cstheme="majorBidi"/>
      </w:rPr>
      <w:tblPr/>
      <w:tcPr>
        <w:tcBorders>
          <w:top w:val="nil"/>
          <w:bottom w:val="single" w:color="001E55" w:themeColor="accent4" w:sz="8" w:space="0"/>
        </w:tcBorders>
      </w:tcPr>
    </w:tblStylePr>
    <w:tblStylePr w:type="lastRow">
      <w:rPr>
        <w:b/>
        <w:bCs/>
        <w:color w:val="333333" w:themeColor="text2"/>
      </w:rPr>
      <w:tblPr/>
      <w:tcPr>
        <w:tcBorders>
          <w:top w:val="single" w:color="001E55" w:themeColor="accent4" w:sz="8" w:space="0"/>
          <w:bottom w:val="single" w:color="001E55" w:themeColor="accent4" w:sz="8" w:space="0"/>
        </w:tcBorders>
      </w:tcPr>
    </w:tblStylePr>
    <w:tblStylePr w:type="firstCol">
      <w:rPr>
        <w:b/>
        <w:bCs/>
      </w:rPr>
    </w:tblStylePr>
    <w:tblStylePr w:type="lastCol">
      <w:rPr>
        <w:b/>
        <w:bCs/>
      </w:rPr>
      <w:tblPr/>
      <w:tcPr>
        <w:tcBorders>
          <w:top w:val="single" w:color="001E55" w:themeColor="accent4" w:sz="8" w:space="0"/>
          <w:bottom w:val="single" w:color="001E55" w:themeColor="accent4" w:sz="8" w:space="0"/>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A5A5A5" w:themeColor="accent5" w:sz="8" w:space="0"/>
        <w:bottom w:val="single" w:color="A5A5A5" w:themeColor="accent5" w:sz="8" w:space="0"/>
      </w:tblBorders>
    </w:tblPr>
    <w:tblStylePr w:type="firstRow">
      <w:rPr>
        <w:rFonts w:asciiTheme="majorHAnsi" w:hAnsiTheme="majorHAnsi" w:eastAsiaTheme="majorEastAsia" w:cstheme="majorBidi"/>
      </w:rPr>
      <w:tblPr/>
      <w:tcPr>
        <w:tcBorders>
          <w:top w:val="nil"/>
          <w:bottom w:val="single" w:color="A5A5A5" w:themeColor="accent5" w:sz="8" w:space="0"/>
        </w:tcBorders>
      </w:tcPr>
    </w:tblStylePr>
    <w:tblStylePr w:type="lastRow">
      <w:rPr>
        <w:b/>
        <w:bCs/>
        <w:color w:val="333333" w:themeColor="text2"/>
      </w:rPr>
      <w:tblPr/>
      <w:tcPr>
        <w:tcBorders>
          <w:top w:val="single" w:color="A5A5A5" w:themeColor="accent5" w:sz="8" w:space="0"/>
          <w:bottom w:val="single" w:color="A5A5A5" w:themeColor="accent5" w:sz="8" w:space="0"/>
        </w:tcBorders>
      </w:tcPr>
    </w:tblStylePr>
    <w:tblStylePr w:type="firstCol">
      <w:rPr>
        <w:b/>
        <w:bCs/>
      </w:rPr>
    </w:tblStylePr>
    <w:tblStylePr w:type="lastCol">
      <w:rPr>
        <w:b/>
        <w:bCs/>
      </w:rPr>
      <w:tblPr/>
      <w:tcPr>
        <w:tcBorders>
          <w:top w:val="single" w:color="A5A5A5" w:themeColor="accent5" w:sz="8" w:space="0"/>
          <w:bottom w:val="single" w:color="A5A5A5" w:themeColor="accent5" w:sz="8" w:space="0"/>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7292A"/>
    <w:pPr>
      <w:spacing w:line="240" w:lineRule="auto"/>
    </w:pPr>
    <w:rPr>
      <w:color w:val="000000" w:themeColor="text1"/>
    </w:rPr>
    <w:tblPr>
      <w:tblStyleRowBandSize w:val="1"/>
      <w:tblStyleColBandSize w:val="1"/>
      <w:tblBorders>
        <w:top w:val="single" w:color="C8C8C8" w:themeColor="accent6" w:sz="8" w:space="0"/>
        <w:bottom w:val="single" w:color="C8C8C8" w:themeColor="accent6" w:sz="8" w:space="0"/>
      </w:tblBorders>
    </w:tblPr>
    <w:tblStylePr w:type="firstRow">
      <w:rPr>
        <w:rFonts w:asciiTheme="majorHAnsi" w:hAnsiTheme="majorHAnsi" w:eastAsiaTheme="majorEastAsia" w:cstheme="majorBidi"/>
      </w:rPr>
      <w:tblPr/>
      <w:tcPr>
        <w:tcBorders>
          <w:top w:val="nil"/>
          <w:bottom w:val="single" w:color="C8C8C8" w:themeColor="accent6" w:sz="8" w:space="0"/>
        </w:tcBorders>
      </w:tcPr>
    </w:tblStylePr>
    <w:tblStylePr w:type="lastRow">
      <w:rPr>
        <w:b/>
        <w:bCs/>
        <w:color w:val="333333" w:themeColor="text2"/>
      </w:rPr>
      <w:tblPr/>
      <w:tcPr>
        <w:tcBorders>
          <w:top w:val="single" w:color="C8C8C8" w:themeColor="accent6" w:sz="8" w:space="0"/>
          <w:bottom w:val="single" w:color="C8C8C8" w:themeColor="accent6" w:sz="8" w:space="0"/>
        </w:tcBorders>
      </w:tcPr>
    </w:tblStylePr>
    <w:tblStylePr w:type="firstCol">
      <w:rPr>
        <w:b/>
        <w:bCs/>
      </w:rPr>
    </w:tblStylePr>
    <w:tblStylePr w:type="lastCol">
      <w:rPr>
        <w:b/>
        <w:bCs/>
      </w:rPr>
      <w:tblPr/>
      <w:tcPr>
        <w:tcBorders>
          <w:top w:val="single" w:color="C8C8C8" w:themeColor="accent6" w:sz="8" w:space="0"/>
          <w:bottom w:val="single" w:color="C8C8C8" w:themeColor="accent6" w:sz="8" w:space="0"/>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231EDC" w:themeColor="accent1" w:sz="8" w:space="0"/>
        <w:left w:val="single" w:color="231EDC" w:themeColor="accent1" w:sz="8" w:space="0"/>
        <w:bottom w:val="single" w:color="231EDC" w:themeColor="accent1" w:sz="8" w:space="0"/>
        <w:right w:val="single" w:color="231EDC" w:themeColor="accent1" w:sz="8" w:space="0"/>
      </w:tblBorders>
    </w:tblPr>
    <w:tblStylePr w:type="firstRow">
      <w:rPr>
        <w:sz w:val="24"/>
        <w:szCs w:val="24"/>
      </w:rPr>
      <w:tblPr/>
      <w:tcPr>
        <w:tcBorders>
          <w:top w:val="nil"/>
          <w:left w:val="nil"/>
          <w:bottom w:val="single" w:color="231EDC"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1EDC" w:themeColor="accent1" w:sz="8" w:space="0"/>
          <w:insideH w:val="nil"/>
          <w:insideV w:val="nil"/>
        </w:tcBorders>
        <w:shd w:val="clear" w:color="auto" w:fill="FFFFFF" w:themeFill="background1"/>
      </w:tcPr>
    </w:tblStylePr>
    <w:tblStylePr w:type="lastCol">
      <w:tblPr/>
      <w:tcPr>
        <w:tcBorders>
          <w:top w:val="nil"/>
          <w:left w:val="single" w:color="231EDC"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A7DFF" w:themeColor="accent2" w:sz="8" w:space="0"/>
        <w:left w:val="single" w:color="0A7DFF" w:themeColor="accent2" w:sz="8" w:space="0"/>
        <w:bottom w:val="single" w:color="0A7DFF" w:themeColor="accent2" w:sz="8" w:space="0"/>
        <w:right w:val="single" w:color="0A7DFF" w:themeColor="accent2" w:sz="8" w:space="0"/>
      </w:tblBorders>
    </w:tblPr>
    <w:tblStylePr w:type="firstRow">
      <w:rPr>
        <w:sz w:val="24"/>
        <w:szCs w:val="24"/>
      </w:rPr>
      <w:tblPr/>
      <w:tcPr>
        <w:tcBorders>
          <w:top w:val="nil"/>
          <w:left w:val="nil"/>
          <w:bottom w:val="single" w:color="0A7DFF"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A7DFF" w:themeColor="accent2" w:sz="8" w:space="0"/>
          <w:insideH w:val="nil"/>
          <w:insideV w:val="nil"/>
        </w:tcBorders>
        <w:shd w:val="clear" w:color="auto" w:fill="FFFFFF" w:themeFill="background1"/>
      </w:tcPr>
    </w:tblStylePr>
    <w:tblStylePr w:type="lastCol">
      <w:tblPr/>
      <w:tcPr>
        <w:tcBorders>
          <w:top w:val="nil"/>
          <w:left w:val="single" w:color="0A7DF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5AE6FF" w:themeColor="accent3" w:sz="8" w:space="0"/>
        <w:left w:val="single" w:color="5AE6FF" w:themeColor="accent3" w:sz="8" w:space="0"/>
        <w:bottom w:val="single" w:color="5AE6FF" w:themeColor="accent3" w:sz="8" w:space="0"/>
        <w:right w:val="single" w:color="5AE6FF" w:themeColor="accent3" w:sz="8" w:space="0"/>
      </w:tblBorders>
    </w:tblPr>
    <w:tblStylePr w:type="firstRow">
      <w:rPr>
        <w:sz w:val="24"/>
        <w:szCs w:val="24"/>
      </w:rPr>
      <w:tblPr/>
      <w:tcPr>
        <w:tcBorders>
          <w:top w:val="nil"/>
          <w:left w:val="nil"/>
          <w:bottom w:val="single" w:color="5AE6FF"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AE6FF" w:themeColor="accent3" w:sz="8" w:space="0"/>
          <w:insideH w:val="nil"/>
          <w:insideV w:val="nil"/>
        </w:tcBorders>
        <w:shd w:val="clear" w:color="auto" w:fill="FFFFFF" w:themeFill="background1"/>
      </w:tcPr>
    </w:tblStylePr>
    <w:tblStylePr w:type="lastCol">
      <w:tblPr/>
      <w:tcPr>
        <w:tcBorders>
          <w:top w:val="nil"/>
          <w:left w:val="single" w:color="5AE6FF"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001E55" w:themeColor="accent4" w:sz="8" w:space="0"/>
        <w:left w:val="single" w:color="001E55" w:themeColor="accent4" w:sz="8" w:space="0"/>
        <w:bottom w:val="single" w:color="001E55" w:themeColor="accent4" w:sz="8" w:space="0"/>
        <w:right w:val="single" w:color="001E55" w:themeColor="accent4" w:sz="8" w:space="0"/>
      </w:tblBorders>
    </w:tblPr>
    <w:tblStylePr w:type="firstRow">
      <w:rPr>
        <w:sz w:val="24"/>
        <w:szCs w:val="24"/>
      </w:rPr>
      <w:tblPr/>
      <w:tcPr>
        <w:tcBorders>
          <w:top w:val="nil"/>
          <w:left w:val="nil"/>
          <w:bottom w:val="single" w:color="001E55"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1E55" w:themeColor="accent4" w:sz="8" w:space="0"/>
          <w:insideH w:val="nil"/>
          <w:insideV w:val="nil"/>
        </w:tcBorders>
        <w:shd w:val="clear" w:color="auto" w:fill="FFFFFF" w:themeFill="background1"/>
      </w:tcPr>
    </w:tblStylePr>
    <w:tblStylePr w:type="lastCol">
      <w:tblPr/>
      <w:tcPr>
        <w:tcBorders>
          <w:top w:val="nil"/>
          <w:left w:val="single" w:color="001E5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A5A5A5" w:themeColor="accent5" w:sz="8" w:space="0"/>
        <w:left w:val="single" w:color="A5A5A5" w:themeColor="accent5" w:sz="8" w:space="0"/>
        <w:bottom w:val="single" w:color="A5A5A5" w:themeColor="accent5" w:sz="8" w:space="0"/>
        <w:right w:val="single" w:color="A5A5A5" w:themeColor="accent5" w:sz="8" w:space="0"/>
      </w:tblBorders>
    </w:tblPr>
    <w:tblStylePr w:type="firstRow">
      <w:rPr>
        <w:sz w:val="24"/>
        <w:szCs w:val="24"/>
      </w:rPr>
      <w:tblPr/>
      <w:tcPr>
        <w:tcBorders>
          <w:top w:val="nil"/>
          <w:left w:val="nil"/>
          <w:bottom w:val="single" w:color="A5A5A5"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5" w:sz="8" w:space="0"/>
          <w:insideH w:val="nil"/>
          <w:insideV w:val="nil"/>
        </w:tcBorders>
        <w:shd w:val="clear" w:color="auto" w:fill="FFFFFF" w:themeFill="background1"/>
      </w:tcPr>
    </w:tblStylePr>
    <w:tblStylePr w:type="lastCol">
      <w:tblPr/>
      <w:tcPr>
        <w:tcBorders>
          <w:top w:val="nil"/>
          <w:left w:val="single" w:color="A5A5A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7292A"/>
    <w:pPr>
      <w:spacing w:line="240" w:lineRule="auto"/>
    </w:pPr>
    <w:rPr>
      <w:rFonts w:eastAsiaTheme="majorEastAsia" w:cstheme="majorBidi"/>
      <w:color w:val="000000" w:themeColor="text1"/>
    </w:rPr>
    <w:tblPr>
      <w:tblStyleRowBandSize w:val="1"/>
      <w:tblStyleColBandSize w:val="1"/>
      <w:tblBorders>
        <w:top w:val="single" w:color="C8C8C8" w:themeColor="accent6" w:sz="8" w:space="0"/>
        <w:left w:val="single" w:color="C8C8C8" w:themeColor="accent6" w:sz="8" w:space="0"/>
        <w:bottom w:val="single" w:color="C8C8C8" w:themeColor="accent6" w:sz="8" w:space="0"/>
        <w:right w:val="single" w:color="C8C8C8" w:themeColor="accent6" w:sz="8" w:space="0"/>
      </w:tblBorders>
    </w:tblPr>
    <w:tblStylePr w:type="firstRow">
      <w:rPr>
        <w:sz w:val="24"/>
        <w:szCs w:val="24"/>
      </w:rPr>
      <w:tblPr/>
      <w:tcPr>
        <w:tcBorders>
          <w:top w:val="nil"/>
          <w:left w:val="nil"/>
          <w:bottom w:val="single" w:color="C8C8C8"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8C8C8" w:themeColor="accent6" w:sz="8" w:space="0"/>
          <w:insideH w:val="nil"/>
          <w:insideV w:val="nil"/>
        </w:tcBorders>
        <w:shd w:val="clear" w:color="auto" w:fill="FFFFFF" w:themeFill="background1"/>
      </w:tcPr>
    </w:tblStylePr>
    <w:tblStylePr w:type="lastCol">
      <w:tblPr/>
      <w:tcPr>
        <w:tcBorders>
          <w:top w:val="nil"/>
          <w:left w:val="single" w:color="C8C8C8"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7292A"/>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7292A"/>
    <w:pPr>
      <w:spacing w:line="240" w:lineRule="auto"/>
    </w:pPr>
    <w:tblPr>
      <w:tblStyleRowBandSize w:val="1"/>
      <w:tblStyleColBandSize w:val="1"/>
      <w:tblBorders>
        <w:top w:val="single" w:color="5653E7" w:themeColor="accent1" w:themeTint="BF" w:sz="8" w:space="0"/>
        <w:left w:val="single" w:color="5653E7" w:themeColor="accent1" w:themeTint="BF" w:sz="8" w:space="0"/>
        <w:bottom w:val="single" w:color="5653E7" w:themeColor="accent1" w:themeTint="BF" w:sz="8" w:space="0"/>
        <w:right w:val="single" w:color="5653E7" w:themeColor="accent1" w:themeTint="BF" w:sz="8" w:space="0"/>
        <w:insideH w:val="single" w:color="5653E7" w:themeColor="accent1" w:themeTint="BF" w:sz="8" w:space="0"/>
      </w:tblBorders>
    </w:tblPr>
    <w:tblStylePr w:type="firstRow">
      <w:pPr>
        <w:spacing w:before="0" w:after="0" w:line="240" w:lineRule="auto"/>
      </w:pPr>
      <w:rPr>
        <w:b/>
        <w:bCs/>
        <w:color w:val="FFFFFF" w:themeColor="background1"/>
      </w:rPr>
      <w:tblPr/>
      <w:tcPr>
        <w:tcBorders>
          <w:top w:val="single" w:color="5653E7" w:themeColor="accent1" w:themeTint="BF" w:sz="8" w:space="0"/>
          <w:left w:val="single" w:color="5653E7" w:themeColor="accent1" w:themeTint="BF" w:sz="8" w:space="0"/>
          <w:bottom w:val="single" w:color="5653E7" w:themeColor="accent1" w:themeTint="BF" w:sz="8" w:space="0"/>
          <w:right w:val="single" w:color="5653E7" w:themeColor="accent1" w:themeTint="BF" w:sz="8" w:space="0"/>
          <w:insideH w:val="nil"/>
          <w:insideV w:val="nil"/>
        </w:tcBorders>
        <w:shd w:val="clear" w:color="auto" w:fill="231EDC" w:themeFill="accent1"/>
      </w:tcPr>
    </w:tblStylePr>
    <w:tblStylePr w:type="lastRow">
      <w:pPr>
        <w:spacing w:before="0" w:after="0" w:line="240" w:lineRule="auto"/>
      </w:pPr>
      <w:rPr>
        <w:b/>
        <w:bCs/>
      </w:rPr>
      <w:tblPr/>
      <w:tcPr>
        <w:tcBorders>
          <w:top w:val="double" w:color="5653E7" w:themeColor="accent1" w:themeTint="BF" w:sz="6" w:space="0"/>
          <w:left w:val="single" w:color="5653E7" w:themeColor="accent1" w:themeTint="BF" w:sz="8" w:space="0"/>
          <w:bottom w:val="single" w:color="5653E7" w:themeColor="accent1" w:themeTint="BF" w:sz="8" w:space="0"/>
          <w:right w:val="single" w:color="5653E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7292A"/>
    <w:pPr>
      <w:spacing w:line="240" w:lineRule="auto"/>
    </w:pPr>
    <w:tblPr>
      <w:tblStyleRowBandSize w:val="1"/>
      <w:tblStyleColBandSize w:val="1"/>
      <w:tblBorders>
        <w:top w:val="single" w:color="479DFF" w:themeColor="accent2" w:themeTint="BF" w:sz="8" w:space="0"/>
        <w:left w:val="single" w:color="479DFF" w:themeColor="accent2" w:themeTint="BF" w:sz="8" w:space="0"/>
        <w:bottom w:val="single" w:color="479DFF" w:themeColor="accent2" w:themeTint="BF" w:sz="8" w:space="0"/>
        <w:right w:val="single" w:color="479DFF" w:themeColor="accent2" w:themeTint="BF" w:sz="8" w:space="0"/>
        <w:insideH w:val="single" w:color="479DFF" w:themeColor="accent2" w:themeTint="BF" w:sz="8" w:space="0"/>
      </w:tblBorders>
    </w:tblPr>
    <w:tblStylePr w:type="firstRow">
      <w:pPr>
        <w:spacing w:before="0" w:after="0" w:line="240" w:lineRule="auto"/>
      </w:pPr>
      <w:rPr>
        <w:b/>
        <w:bCs/>
        <w:color w:val="FFFFFF" w:themeColor="background1"/>
      </w:rPr>
      <w:tblPr/>
      <w:tcPr>
        <w:tcBorders>
          <w:top w:val="single" w:color="479DFF" w:themeColor="accent2" w:themeTint="BF" w:sz="8" w:space="0"/>
          <w:left w:val="single" w:color="479DFF" w:themeColor="accent2" w:themeTint="BF" w:sz="8" w:space="0"/>
          <w:bottom w:val="single" w:color="479DFF" w:themeColor="accent2" w:themeTint="BF" w:sz="8" w:space="0"/>
          <w:right w:val="single" w:color="479DFF" w:themeColor="accent2" w:themeTint="BF" w:sz="8" w:space="0"/>
          <w:insideH w:val="nil"/>
          <w:insideV w:val="nil"/>
        </w:tcBorders>
        <w:shd w:val="clear" w:color="auto" w:fill="0A7DFF" w:themeFill="accent2"/>
      </w:tcPr>
    </w:tblStylePr>
    <w:tblStylePr w:type="lastRow">
      <w:pPr>
        <w:spacing w:before="0" w:after="0" w:line="240" w:lineRule="auto"/>
      </w:pPr>
      <w:rPr>
        <w:b/>
        <w:bCs/>
      </w:rPr>
      <w:tblPr/>
      <w:tcPr>
        <w:tcBorders>
          <w:top w:val="double" w:color="479DFF" w:themeColor="accent2" w:themeTint="BF" w:sz="6" w:space="0"/>
          <w:left w:val="single" w:color="479DFF" w:themeColor="accent2" w:themeTint="BF" w:sz="8" w:space="0"/>
          <w:bottom w:val="single" w:color="479DFF" w:themeColor="accent2" w:themeTint="BF" w:sz="8" w:space="0"/>
          <w:right w:val="single" w:color="479DF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7292A"/>
    <w:pPr>
      <w:spacing w:line="240" w:lineRule="auto"/>
    </w:pPr>
    <w:tblPr>
      <w:tblStyleRowBandSize w:val="1"/>
      <w:tblStyleColBandSize w:val="1"/>
      <w:tblBorders>
        <w:top w:val="single" w:color="83ECFF" w:themeColor="accent3" w:themeTint="BF" w:sz="8" w:space="0"/>
        <w:left w:val="single" w:color="83ECFF" w:themeColor="accent3" w:themeTint="BF" w:sz="8" w:space="0"/>
        <w:bottom w:val="single" w:color="83ECFF" w:themeColor="accent3" w:themeTint="BF" w:sz="8" w:space="0"/>
        <w:right w:val="single" w:color="83ECFF" w:themeColor="accent3" w:themeTint="BF" w:sz="8" w:space="0"/>
        <w:insideH w:val="single" w:color="83ECFF" w:themeColor="accent3" w:themeTint="BF" w:sz="8" w:space="0"/>
      </w:tblBorders>
    </w:tblPr>
    <w:tblStylePr w:type="firstRow">
      <w:pPr>
        <w:spacing w:before="0" w:after="0" w:line="240" w:lineRule="auto"/>
      </w:pPr>
      <w:rPr>
        <w:b/>
        <w:bCs/>
        <w:color w:val="FFFFFF" w:themeColor="background1"/>
      </w:rPr>
      <w:tblPr/>
      <w:tcPr>
        <w:tcBorders>
          <w:top w:val="single" w:color="83ECFF" w:themeColor="accent3" w:themeTint="BF" w:sz="8" w:space="0"/>
          <w:left w:val="single" w:color="83ECFF" w:themeColor="accent3" w:themeTint="BF" w:sz="8" w:space="0"/>
          <w:bottom w:val="single" w:color="83ECFF" w:themeColor="accent3" w:themeTint="BF" w:sz="8" w:space="0"/>
          <w:right w:val="single" w:color="83ECFF" w:themeColor="accent3" w:themeTint="BF" w:sz="8" w:space="0"/>
          <w:insideH w:val="nil"/>
          <w:insideV w:val="nil"/>
        </w:tcBorders>
        <w:shd w:val="clear" w:color="auto" w:fill="5AE6FF" w:themeFill="accent3"/>
      </w:tcPr>
    </w:tblStylePr>
    <w:tblStylePr w:type="lastRow">
      <w:pPr>
        <w:spacing w:before="0" w:after="0" w:line="240" w:lineRule="auto"/>
      </w:pPr>
      <w:rPr>
        <w:b/>
        <w:bCs/>
      </w:rPr>
      <w:tblPr/>
      <w:tcPr>
        <w:tcBorders>
          <w:top w:val="double" w:color="83ECFF" w:themeColor="accent3" w:themeTint="BF" w:sz="6" w:space="0"/>
          <w:left w:val="single" w:color="83ECFF" w:themeColor="accent3" w:themeTint="BF" w:sz="8" w:space="0"/>
          <w:bottom w:val="single" w:color="83ECFF" w:themeColor="accent3" w:themeTint="BF" w:sz="8" w:space="0"/>
          <w:right w:val="single" w:color="83ECFF"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7292A"/>
    <w:pPr>
      <w:spacing w:line="240" w:lineRule="auto"/>
    </w:pPr>
    <w:tblPr>
      <w:tblStyleRowBandSize w:val="1"/>
      <w:tblStyleColBandSize w:val="1"/>
      <w:tblBorders>
        <w:top w:val="single" w:color="0043BF" w:themeColor="accent4" w:themeTint="BF" w:sz="8" w:space="0"/>
        <w:left w:val="single" w:color="0043BF" w:themeColor="accent4" w:themeTint="BF" w:sz="8" w:space="0"/>
        <w:bottom w:val="single" w:color="0043BF" w:themeColor="accent4" w:themeTint="BF" w:sz="8" w:space="0"/>
        <w:right w:val="single" w:color="0043BF" w:themeColor="accent4" w:themeTint="BF" w:sz="8" w:space="0"/>
        <w:insideH w:val="single" w:color="0043BF" w:themeColor="accent4" w:themeTint="BF" w:sz="8" w:space="0"/>
      </w:tblBorders>
    </w:tblPr>
    <w:tblStylePr w:type="firstRow">
      <w:pPr>
        <w:spacing w:before="0" w:after="0" w:line="240" w:lineRule="auto"/>
      </w:pPr>
      <w:rPr>
        <w:b/>
        <w:bCs/>
        <w:color w:val="FFFFFF" w:themeColor="background1"/>
      </w:rPr>
      <w:tblPr/>
      <w:tcPr>
        <w:tcBorders>
          <w:top w:val="single" w:color="0043BF" w:themeColor="accent4" w:themeTint="BF" w:sz="8" w:space="0"/>
          <w:left w:val="single" w:color="0043BF" w:themeColor="accent4" w:themeTint="BF" w:sz="8" w:space="0"/>
          <w:bottom w:val="single" w:color="0043BF" w:themeColor="accent4" w:themeTint="BF" w:sz="8" w:space="0"/>
          <w:right w:val="single" w:color="0043BF" w:themeColor="accent4" w:themeTint="BF" w:sz="8" w:space="0"/>
          <w:insideH w:val="nil"/>
          <w:insideV w:val="nil"/>
        </w:tcBorders>
        <w:shd w:val="clear" w:color="auto" w:fill="001E55" w:themeFill="accent4"/>
      </w:tcPr>
    </w:tblStylePr>
    <w:tblStylePr w:type="lastRow">
      <w:pPr>
        <w:spacing w:before="0" w:after="0" w:line="240" w:lineRule="auto"/>
      </w:pPr>
      <w:rPr>
        <w:b/>
        <w:bCs/>
      </w:rPr>
      <w:tblPr/>
      <w:tcPr>
        <w:tcBorders>
          <w:top w:val="double" w:color="0043BF" w:themeColor="accent4" w:themeTint="BF" w:sz="6" w:space="0"/>
          <w:left w:val="single" w:color="0043BF" w:themeColor="accent4" w:themeTint="BF" w:sz="8" w:space="0"/>
          <w:bottom w:val="single" w:color="0043BF" w:themeColor="accent4" w:themeTint="BF" w:sz="8" w:space="0"/>
          <w:right w:val="single" w:color="0043B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7292A"/>
    <w:pPr>
      <w:spacing w:line="240" w:lineRule="auto"/>
    </w:pPr>
    <w:tblPr>
      <w:tblStyleRowBandSize w:val="1"/>
      <w:tblStyleColBandSize w:val="1"/>
      <w:tblBorders>
        <w:top w:val="single" w:color="BBBBBB" w:themeColor="accent5" w:themeTint="BF" w:sz="8" w:space="0"/>
        <w:left w:val="single" w:color="BBBBBB" w:themeColor="accent5" w:themeTint="BF" w:sz="8" w:space="0"/>
        <w:bottom w:val="single" w:color="BBBBBB" w:themeColor="accent5" w:themeTint="BF" w:sz="8" w:space="0"/>
        <w:right w:val="single" w:color="BBBBBB" w:themeColor="accent5" w:themeTint="BF" w:sz="8" w:space="0"/>
        <w:insideH w:val="single" w:color="BBBBBB" w:themeColor="accent5" w:themeTint="BF" w:sz="8" w:space="0"/>
      </w:tblBorders>
    </w:tblPr>
    <w:tblStylePr w:type="firstRow">
      <w:pPr>
        <w:spacing w:before="0" w:after="0" w:line="240" w:lineRule="auto"/>
      </w:pPr>
      <w:rPr>
        <w:b/>
        <w:bCs/>
        <w:color w:val="FFFFFF" w:themeColor="background1"/>
      </w:rPr>
      <w:tblPr/>
      <w:tcPr>
        <w:tcBorders>
          <w:top w:val="single" w:color="BBBBBB" w:themeColor="accent5" w:themeTint="BF" w:sz="8" w:space="0"/>
          <w:left w:val="single" w:color="BBBBBB" w:themeColor="accent5" w:themeTint="BF" w:sz="8" w:space="0"/>
          <w:bottom w:val="single" w:color="BBBBBB" w:themeColor="accent5" w:themeTint="BF" w:sz="8" w:space="0"/>
          <w:right w:val="single" w:color="BBBBBB" w:themeColor="accent5" w:themeTint="BF" w:sz="8" w:space="0"/>
          <w:insideH w:val="nil"/>
          <w:insideV w:val="nil"/>
        </w:tcBorders>
        <w:shd w:val="clear" w:color="auto" w:fill="A5A5A5" w:themeFill="accent5"/>
      </w:tcPr>
    </w:tblStylePr>
    <w:tblStylePr w:type="lastRow">
      <w:pPr>
        <w:spacing w:before="0" w:after="0" w:line="240" w:lineRule="auto"/>
      </w:pPr>
      <w:rPr>
        <w:b/>
        <w:bCs/>
      </w:rPr>
      <w:tblPr/>
      <w:tcPr>
        <w:tcBorders>
          <w:top w:val="double" w:color="BBBBBB" w:themeColor="accent5" w:themeTint="BF" w:sz="6" w:space="0"/>
          <w:left w:val="single" w:color="BBBBBB" w:themeColor="accent5" w:themeTint="BF" w:sz="8" w:space="0"/>
          <w:bottom w:val="single" w:color="BBBBBB" w:themeColor="accent5" w:themeTint="BF" w:sz="8" w:space="0"/>
          <w:right w:val="single" w:color="BBBBB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7292A"/>
    <w:pPr>
      <w:spacing w:line="240" w:lineRule="auto"/>
    </w:pPr>
    <w:tblPr>
      <w:tblStyleRowBandSize w:val="1"/>
      <w:tblStyleColBandSize w:val="1"/>
      <w:tblBorders>
        <w:top w:val="single" w:color="D5D5D5" w:themeColor="accent6" w:themeTint="BF" w:sz="8" w:space="0"/>
        <w:left w:val="single" w:color="D5D5D5" w:themeColor="accent6" w:themeTint="BF" w:sz="8" w:space="0"/>
        <w:bottom w:val="single" w:color="D5D5D5" w:themeColor="accent6" w:themeTint="BF" w:sz="8" w:space="0"/>
        <w:right w:val="single" w:color="D5D5D5" w:themeColor="accent6" w:themeTint="BF" w:sz="8" w:space="0"/>
        <w:insideH w:val="single" w:color="D5D5D5" w:themeColor="accent6" w:themeTint="BF" w:sz="8" w:space="0"/>
      </w:tblBorders>
    </w:tblPr>
    <w:tblStylePr w:type="firstRow">
      <w:pPr>
        <w:spacing w:before="0" w:after="0" w:line="240" w:lineRule="auto"/>
      </w:pPr>
      <w:rPr>
        <w:b/>
        <w:bCs/>
        <w:color w:val="FFFFFF" w:themeColor="background1"/>
      </w:rPr>
      <w:tblPr/>
      <w:tcPr>
        <w:tcBorders>
          <w:top w:val="single" w:color="D5D5D5" w:themeColor="accent6" w:themeTint="BF" w:sz="8" w:space="0"/>
          <w:left w:val="single" w:color="D5D5D5" w:themeColor="accent6" w:themeTint="BF" w:sz="8" w:space="0"/>
          <w:bottom w:val="single" w:color="D5D5D5" w:themeColor="accent6" w:themeTint="BF" w:sz="8" w:space="0"/>
          <w:right w:val="single" w:color="D5D5D5" w:themeColor="accent6" w:themeTint="BF" w:sz="8" w:space="0"/>
          <w:insideH w:val="nil"/>
          <w:insideV w:val="nil"/>
        </w:tcBorders>
        <w:shd w:val="clear" w:color="auto" w:fill="C8C8C8" w:themeFill="accent6"/>
      </w:tcPr>
    </w:tblStylePr>
    <w:tblStylePr w:type="lastRow">
      <w:pPr>
        <w:spacing w:before="0" w:after="0" w:line="240" w:lineRule="auto"/>
      </w:pPr>
      <w:rPr>
        <w:b/>
        <w:bCs/>
      </w:rPr>
      <w:tblPr/>
      <w:tcPr>
        <w:tcBorders>
          <w:top w:val="double" w:color="D5D5D5" w:themeColor="accent6" w:themeTint="BF" w:sz="6" w:space="0"/>
          <w:left w:val="single" w:color="D5D5D5" w:themeColor="accent6" w:themeTint="BF" w:sz="8" w:space="0"/>
          <w:bottom w:val="single" w:color="D5D5D5" w:themeColor="accent6" w:themeTint="BF" w:sz="8" w:space="0"/>
          <w:right w:val="single" w:color="D5D5D5"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7292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character" w:styleId="Mention">
    <w:name w:val="Mention"/>
    <w:basedOn w:val="DefaultParagraphFont"/>
    <w:uiPriority w:val="99"/>
    <w:unhideWhenUsed/>
    <w:locked/>
    <w:rsid w:val="0007292A"/>
    <w:rPr>
      <w:color w:val="2B579A"/>
      <w:shd w:val="clear" w:color="auto" w:fill="E6E6E6"/>
    </w:rPr>
  </w:style>
  <w:style w:type="paragraph" w:styleId="MessageHeader">
    <w:name w:val="Message Header"/>
    <w:basedOn w:val="Normal"/>
    <w:link w:val="MessageHeaderChar"/>
    <w:uiPriority w:val="99"/>
    <w:semiHidden/>
    <w:unhideWhenUsed/>
    <w:locked/>
    <w:rsid w:val="0007292A"/>
    <w:pPr>
      <w:pBdr>
        <w:top w:val="single" w:color="auto" w:sz="6" w:space="1"/>
        <w:left w:val="single" w:color="auto" w:sz="6" w:space="1"/>
        <w:bottom w:val="single" w:color="auto" w:sz="6" w:space="1"/>
        <w:right w:val="single" w:color="auto" w:sz="6" w:space="1"/>
      </w:pBdr>
      <w:shd w:val="pct20" w:color="auto" w:fill="auto"/>
      <w:ind w:left="1134" w:hanging="1134"/>
    </w:pPr>
    <w:rPr>
      <w:rFonts w:eastAsiaTheme="majorEastAsia" w:cstheme="majorBidi"/>
      <w:sz w:val="24"/>
      <w:szCs w:val="24"/>
    </w:rPr>
  </w:style>
  <w:style w:type="character" w:styleId="MessageHeaderChar" w:customStyle="1">
    <w:name w:val="Message Header Char"/>
    <w:basedOn w:val="DefaultParagraphFont"/>
    <w:link w:val="MessageHeader"/>
    <w:uiPriority w:val="99"/>
    <w:semiHidden/>
    <w:rsid w:val="0007292A"/>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7292A"/>
    <w:rPr>
      <w:rFonts w:ascii="Times New Roman" w:hAnsi="Times New Roman" w:cs="Times New Roman"/>
      <w:sz w:val="24"/>
      <w:szCs w:val="24"/>
    </w:rPr>
  </w:style>
  <w:style w:type="paragraph" w:styleId="NormalIndent">
    <w:name w:val="Normal Indent"/>
    <w:basedOn w:val="Normal"/>
    <w:uiPriority w:val="99"/>
    <w:semiHidden/>
    <w:unhideWhenUsed/>
    <w:locked/>
    <w:rsid w:val="0007292A"/>
    <w:pPr>
      <w:ind w:left="720"/>
    </w:pPr>
  </w:style>
  <w:style w:type="paragraph" w:styleId="NoteHeading">
    <w:name w:val="Note Heading"/>
    <w:basedOn w:val="Normal"/>
    <w:next w:val="Normal"/>
    <w:link w:val="NoteHeadingChar"/>
    <w:uiPriority w:val="99"/>
    <w:semiHidden/>
    <w:unhideWhenUsed/>
    <w:locked/>
    <w:rsid w:val="0007292A"/>
  </w:style>
  <w:style w:type="character" w:styleId="NoteHeadingChar" w:customStyle="1">
    <w:name w:val="Note Heading Char"/>
    <w:basedOn w:val="DefaultParagraphFont"/>
    <w:link w:val="NoteHeading"/>
    <w:uiPriority w:val="99"/>
    <w:semiHidden/>
    <w:rsid w:val="0007292A"/>
  </w:style>
  <w:style w:type="character" w:styleId="PageNumber">
    <w:name w:val="page number"/>
    <w:basedOn w:val="DefaultParagraphFont"/>
    <w:uiPriority w:val="99"/>
    <w:semiHidden/>
    <w:unhideWhenUsed/>
    <w:locked/>
    <w:rsid w:val="0007292A"/>
  </w:style>
  <w:style w:type="table" w:styleId="PlainTable2">
    <w:name w:val="Plain Table 2"/>
    <w:basedOn w:val="TableNormal"/>
    <w:uiPriority w:val="42"/>
    <w:locked/>
    <w:rsid w:val="0007292A"/>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4">
    <w:name w:val="Plain Table 4"/>
    <w:basedOn w:val="TableNormal"/>
    <w:uiPriority w:val="44"/>
    <w:locked/>
    <w:rsid w:val="0007292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7292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7292A"/>
    <w:rPr>
      <w:rFonts w:ascii="Consolas" w:hAnsi="Consolas"/>
      <w:sz w:val="21"/>
      <w:szCs w:val="21"/>
    </w:rPr>
  </w:style>
  <w:style w:type="character" w:styleId="PlainTextChar" w:customStyle="1">
    <w:name w:val="Plain Text Char"/>
    <w:basedOn w:val="DefaultParagraphFont"/>
    <w:link w:val="PlainText"/>
    <w:uiPriority w:val="99"/>
    <w:semiHidden/>
    <w:rsid w:val="0007292A"/>
    <w:rPr>
      <w:rFonts w:ascii="Consolas" w:hAnsi="Consolas"/>
      <w:sz w:val="21"/>
      <w:szCs w:val="21"/>
    </w:rPr>
  </w:style>
  <w:style w:type="paragraph" w:styleId="Quote">
    <w:name w:val="Quote"/>
    <w:basedOn w:val="Normal"/>
    <w:next w:val="Normal"/>
    <w:link w:val="QuoteChar"/>
    <w:uiPriority w:val="99"/>
    <w:semiHidden/>
    <w:qFormat/>
    <w:locked/>
    <w:rsid w:val="0007292A"/>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semiHidden/>
    <w:rsid w:val="0007292A"/>
    <w:rPr>
      <w:i/>
      <w:iCs/>
      <w:color w:val="404040" w:themeColor="text1" w:themeTint="BF"/>
    </w:rPr>
  </w:style>
  <w:style w:type="paragraph" w:styleId="Salutation">
    <w:name w:val="Salutation"/>
    <w:basedOn w:val="Normal"/>
    <w:next w:val="Normal"/>
    <w:link w:val="SalutationChar"/>
    <w:uiPriority w:val="99"/>
    <w:semiHidden/>
    <w:unhideWhenUsed/>
    <w:locked/>
    <w:rsid w:val="0007292A"/>
  </w:style>
  <w:style w:type="character" w:styleId="SalutationChar" w:customStyle="1">
    <w:name w:val="Salutation Char"/>
    <w:basedOn w:val="DefaultParagraphFont"/>
    <w:link w:val="Salutation"/>
    <w:uiPriority w:val="99"/>
    <w:semiHidden/>
    <w:rsid w:val="0007292A"/>
  </w:style>
  <w:style w:type="paragraph" w:styleId="Signature">
    <w:name w:val="Signature"/>
    <w:basedOn w:val="Normal"/>
    <w:link w:val="SignatureChar"/>
    <w:uiPriority w:val="99"/>
    <w:semiHidden/>
    <w:unhideWhenUsed/>
    <w:locked/>
    <w:rsid w:val="0007292A"/>
    <w:pPr>
      <w:ind w:left="4252"/>
    </w:pPr>
  </w:style>
  <w:style w:type="character" w:styleId="SignatureChar" w:customStyle="1">
    <w:name w:val="Signature Char"/>
    <w:basedOn w:val="DefaultParagraphFont"/>
    <w:link w:val="Signature"/>
    <w:uiPriority w:val="99"/>
    <w:semiHidden/>
    <w:rsid w:val="0007292A"/>
  </w:style>
  <w:style w:type="character" w:styleId="SmartHyperlink">
    <w:name w:val="Smart Hyperlink"/>
    <w:basedOn w:val="DefaultParagraphFont"/>
    <w:uiPriority w:val="99"/>
    <w:semiHidden/>
    <w:unhideWhenUsed/>
    <w:locked/>
    <w:rsid w:val="0007292A"/>
    <w:rPr>
      <w:u w:val="dotted"/>
    </w:rPr>
  </w:style>
  <w:style w:type="character" w:styleId="Strong">
    <w:name w:val="Strong"/>
    <w:basedOn w:val="DefaultParagraphFont"/>
    <w:uiPriority w:val="99"/>
    <w:semiHidden/>
    <w:qFormat/>
    <w:locked/>
    <w:rsid w:val="0007292A"/>
    <w:rPr>
      <w:b/>
      <w:bCs/>
    </w:rPr>
  </w:style>
  <w:style w:type="paragraph" w:styleId="Subtitle">
    <w:name w:val="Subtitle"/>
    <w:basedOn w:val="Normal"/>
    <w:next w:val="Normal"/>
    <w:link w:val="SubtitleChar"/>
    <w:uiPriority w:val="99"/>
    <w:semiHidden/>
    <w:qFormat/>
    <w:locked/>
    <w:rsid w:val="0007292A"/>
    <w:pPr>
      <w:numPr>
        <w:ilvl w:val="1"/>
      </w:numPr>
      <w:spacing w:after="160"/>
    </w:pPr>
    <w:rPr>
      <w:color w:val="5A5A5A" w:themeColor="text1" w:themeTint="A5"/>
      <w:spacing w:val="15"/>
    </w:rPr>
  </w:style>
  <w:style w:type="character" w:styleId="SubtitleChar" w:customStyle="1">
    <w:name w:val="Subtitle Char"/>
    <w:basedOn w:val="DefaultParagraphFont"/>
    <w:link w:val="Subtitle"/>
    <w:uiPriority w:val="11"/>
    <w:semiHidden/>
    <w:rsid w:val="0007292A"/>
    <w:rPr>
      <w:color w:val="5A5A5A" w:themeColor="text1" w:themeTint="A5"/>
      <w:spacing w:val="15"/>
    </w:rPr>
  </w:style>
  <w:style w:type="character" w:styleId="SubtleEmphasis">
    <w:name w:val="Subtle Emphasis"/>
    <w:basedOn w:val="DefaultParagraphFont"/>
    <w:uiPriority w:val="99"/>
    <w:semiHidden/>
    <w:qFormat/>
    <w:locked/>
    <w:rsid w:val="0007292A"/>
    <w:rPr>
      <w:i/>
      <w:iCs/>
      <w:color w:val="404040" w:themeColor="text1" w:themeTint="BF"/>
    </w:rPr>
  </w:style>
  <w:style w:type="character" w:styleId="SubtleReference">
    <w:name w:val="Subtle Reference"/>
    <w:basedOn w:val="DefaultParagraphFont"/>
    <w:uiPriority w:val="99"/>
    <w:semiHidden/>
    <w:qFormat/>
    <w:locked/>
    <w:rsid w:val="0007292A"/>
    <w:rPr>
      <w:smallCaps/>
      <w:color w:val="5A5A5A" w:themeColor="text1" w:themeTint="A5"/>
    </w:rPr>
  </w:style>
  <w:style w:type="table" w:styleId="Table3Deffects1">
    <w:name w:val="Table 3D effects 1"/>
    <w:basedOn w:val="TableNormal"/>
    <w:uiPriority w:val="99"/>
    <w:semiHidden/>
    <w:unhideWhenUsed/>
    <w:locked/>
    <w:rsid w:val="0007292A"/>
    <w:pPr>
      <w:spacing w:line="240" w:lineRule="auto"/>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locked/>
    <w:rsid w:val="0007292A"/>
    <w:pPr>
      <w:spacing w:line="240" w:lineRule="auto"/>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locked/>
    <w:rsid w:val="0007292A"/>
    <w:pPr>
      <w:spacing w:line="240" w:lineRule="auto"/>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locked/>
    <w:rsid w:val="0007292A"/>
    <w:pPr>
      <w:spacing w:line="240" w:lineRule="auto"/>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locked/>
    <w:rsid w:val="0007292A"/>
    <w:pPr>
      <w:spacing w:line="240" w:lineRule="auto"/>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locked/>
    <w:rsid w:val="0007292A"/>
    <w:pPr>
      <w:spacing w:line="240" w:lineRule="auto"/>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locked/>
    <w:rsid w:val="0007292A"/>
    <w:pPr>
      <w:spacing w:line="240" w:lineRule="auto"/>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locked/>
    <w:rsid w:val="0007292A"/>
    <w:pPr>
      <w:spacing w:line="240"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locked/>
    <w:rsid w:val="0007292A"/>
    <w:pPr>
      <w:spacing w:line="240" w:lineRule="auto"/>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locked/>
    <w:rsid w:val="0007292A"/>
    <w:pPr>
      <w:spacing w:line="240" w:lineRule="auto"/>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locked/>
    <w:rsid w:val="0007292A"/>
    <w:pPr>
      <w:spacing w:line="240" w:lineRule="auto"/>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locked/>
    <w:rsid w:val="0007292A"/>
    <w:pPr>
      <w:spacing w:line="240" w:lineRule="auto"/>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locked/>
    <w:rsid w:val="0007292A"/>
    <w:pPr>
      <w:spacing w:line="240" w:lineRule="auto"/>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locked/>
    <w:rsid w:val="0007292A"/>
    <w:pPr>
      <w:spacing w:line="240" w:lineRule="auto"/>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7292A"/>
    <w:pPr>
      <w:spacing w:line="240" w:lineRule="auto"/>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7292A"/>
    <w:pPr>
      <w:spacing w:line="240" w:lineRule="auto"/>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locked/>
    <w:rsid w:val="0007292A"/>
    <w:pPr>
      <w:spacing w:line="240" w:lineRule="auto"/>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0">
    <w:name w:val="Table Grid 1"/>
    <w:basedOn w:val="TableNormal"/>
    <w:uiPriority w:val="99"/>
    <w:semiHidden/>
    <w:unhideWhenUsed/>
    <w:locked/>
    <w:rsid w:val="0007292A"/>
    <w:pPr>
      <w:spacing w:line="24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locked/>
    <w:rsid w:val="0007292A"/>
    <w:pPr>
      <w:spacing w:line="240" w:lineRule="auto"/>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locked/>
    <w:rsid w:val="0007292A"/>
    <w:pPr>
      <w:spacing w:line="240" w:lineRule="auto"/>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locked/>
    <w:rsid w:val="0007292A"/>
    <w:pPr>
      <w:spacing w:line="240" w:lineRule="auto"/>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locked/>
    <w:rsid w:val="0007292A"/>
    <w:pPr>
      <w:spacing w:line="240"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locked/>
    <w:rsid w:val="0007292A"/>
    <w:pPr>
      <w:spacing w:line="240" w:lineRule="auto"/>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locked/>
    <w:rsid w:val="0007292A"/>
    <w:pPr>
      <w:spacing w:line="240"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locked/>
    <w:rsid w:val="0007292A"/>
    <w:pPr>
      <w:spacing w:line="240" w:lineRule="auto"/>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locked/>
    <w:rsid w:val="0007292A"/>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locked/>
    <w:rsid w:val="0007292A"/>
    <w:pPr>
      <w:spacing w:line="240"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locked/>
    <w:rsid w:val="0007292A"/>
    <w:pPr>
      <w:spacing w:line="240" w:lineRule="auto"/>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locked/>
    <w:rsid w:val="0007292A"/>
    <w:pPr>
      <w:spacing w:line="240" w:lineRule="auto"/>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locked/>
    <w:rsid w:val="0007292A"/>
    <w:pPr>
      <w:spacing w:line="240" w:lineRule="auto"/>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locked/>
    <w:rsid w:val="0007292A"/>
    <w:pPr>
      <w:spacing w:line="240" w:lineRule="auto"/>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locked/>
    <w:rsid w:val="0007292A"/>
    <w:pPr>
      <w:spacing w:line="240" w:lineRule="auto"/>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locked/>
    <w:rsid w:val="0007292A"/>
    <w:pPr>
      <w:spacing w:line="240"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locked/>
    <w:rsid w:val="0007292A"/>
    <w:pPr>
      <w:spacing w:line="240"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locked/>
    <w:rsid w:val="0007292A"/>
    <w:pPr>
      <w:ind w:left="220" w:hanging="220"/>
    </w:pPr>
  </w:style>
  <w:style w:type="paragraph" w:styleId="TableofFigures">
    <w:name w:val="table of figures"/>
    <w:basedOn w:val="Normal"/>
    <w:next w:val="Normal"/>
    <w:uiPriority w:val="99"/>
    <w:semiHidden/>
    <w:unhideWhenUsed/>
    <w:locked/>
    <w:rsid w:val="0007292A"/>
  </w:style>
  <w:style w:type="table" w:styleId="TableProfessional">
    <w:name w:val="Table Professional"/>
    <w:basedOn w:val="TableNormal"/>
    <w:uiPriority w:val="99"/>
    <w:semiHidden/>
    <w:unhideWhenUsed/>
    <w:locked/>
    <w:rsid w:val="0007292A"/>
    <w:pPr>
      <w:spacing w:line="24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locked/>
    <w:rsid w:val="0007292A"/>
    <w:pPr>
      <w:spacing w:line="240" w:lineRule="auto"/>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locked/>
    <w:rsid w:val="0007292A"/>
    <w:pPr>
      <w:spacing w:line="240" w:lineRule="auto"/>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locked/>
    <w:rsid w:val="0007292A"/>
    <w:pPr>
      <w:spacing w:line="240" w:lineRule="auto"/>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locked/>
    <w:rsid w:val="0007292A"/>
    <w:pPr>
      <w:spacing w:line="240"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locked/>
    <w:rsid w:val="0007292A"/>
    <w:pPr>
      <w:spacing w:line="240"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locked/>
    <w:rsid w:val="0007292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locked/>
    <w:rsid w:val="0007292A"/>
    <w:pPr>
      <w:spacing w:line="240"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locked/>
    <w:rsid w:val="0007292A"/>
    <w:pPr>
      <w:spacing w:line="240" w:lineRule="auto"/>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locked/>
    <w:rsid w:val="0007292A"/>
    <w:pPr>
      <w:spacing w:line="240" w:lineRule="auto"/>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locked/>
    <w:rsid w:val="0007292A"/>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7292A"/>
    <w:pPr>
      <w:spacing w:after="100"/>
      <w:ind w:left="660"/>
    </w:pPr>
  </w:style>
  <w:style w:type="paragraph" w:styleId="TOC5">
    <w:name w:val="toc 5"/>
    <w:basedOn w:val="Normal"/>
    <w:next w:val="Normal"/>
    <w:autoRedefine/>
    <w:uiPriority w:val="99"/>
    <w:semiHidden/>
    <w:locked/>
    <w:rsid w:val="0007292A"/>
    <w:pPr>
      <w:spacing w:after="100"/>
      <w:ind w:left="880"/>
    </w:pPr>
  </w:style>
  <w:style w:type="paragraph" w:styleId="TOC6">
    <w:name w:val="toc 6"/>
    <w:basedOn w:val="Normal"/>
    <w:next w:val="Normal"/>
    <w:autoRedefine/>
    <w:uiPriority w:val="99"/>
    <w:semiHidden/>
    <w:locked/>
    <w:rsid w:val="0007292A"/>
    <w:pPr>
      <w:spacing w:after="100"/>
      <w:ind w:left="1100"/>
    </w:pPr>
  </w:style>
  <w:style w:type="paragraph" w:styleId="TOC7">
    <w:name w:val="toc 7"/>
    <w:basedOn w:val="Normal"/>
    <w:next w:val="Normal"/>
    <w:autoRedefine/>
    <w:uiPriority w:val="99"/>
    <w:semiHidden/>
    <w:locked/>
    <w:rsid w:val="0007292A"/>
    <w:pPr>
      <w:spacing w:after="100"/>
      <w:ind w:left="1320"/>
    </w:pPr>
  </w:style>
  <w:style w:type="paragraph" w:styleId="TOC8">
    <w:name w:val="toc 8"/>
    <w:basedOn w:val="Normal"/>
    <w:next w:val="Normal"/>
    <w:autoRedefine/>
    <w:uiPriority w:val="99"/>
    <w:semiHidden/>
    <w:locked/>
    <w:rsid w:val="0007292A"/>
    <w:pPr>
      <w:spacing w:after="100"/>
      <w:ind w:left="1540"/>
    </w:pPr>
  </w:style>
  <w:style w:type="paragraph" w:styleId="TOC9">
    <w:name w:val="toc 9"/>
    <w:basedOn w:val="Normal"/>
    <w:next w:val="Normal"/>
    <w:autoRedefine/>
    <w:uiPriority w:val="99"/>
    <w:semiHidden/>
    <w:locked/>
    <w:rsid w:val="0007292A"/>
    <w:pPr>
      <w:spacing w:after="100"/>
      <w:ind w:left="1760"/>
    </w:pPr>
  </w:style>
  <w:style w:type="character" w:styleId="UnresolvedMention">
    <w:name w:val="Unresolved Mention"/>
    <w:basedOn w:val="DefaultParagraphFont"/>
    <w:uiPriority w:val="99"/>
    <w:unhideWhenUsed/>
    <w:locked/>
    <w:rsid w:val="0007292A"/>
    <w:rPr>
      <w:color w:val="808080"/>
      <w:shd w:val="clear" w:color="auto" w:fill="E6E6E6"/>
    </w:rPr>
  </w:style>
  <w:style w:type="paragraph" w:styleId="TableNumber2" w:customStyle="1">
    <w:name w:val="Table Number 2"/>
    <w:basedOn w:val="Normal"/>
    <w:uiPriority w:val="5"/>
    <w:rsid w:val="0007292A"/>
    <w:pPr>
      <w:numPr>
        <w:ilvl w:val="1"/>
        <w:numId w:val="31"/>
      </w:numPr>
      <w:spacing w:before="40" w:after="40"/>
    </w:pPr>
    <w:rPr>
      <w:rFonts w:asciiTheme="minorHAnsi" w:hAnsiTheme="minorHAnsi"/>
      <w:sz w:val="18"/>
    </w:rPr>
  </w:style>
  <w:style w:type="paragraph" w:styleId="InstructionText" w:customStyle="1">
    <w:name w:val="Instruction Text"/>
    <w:basedOn w:val="Normal"/>
    <w:link w:val="InstructionTextChar"/>
    <w:uiPriority w:val="99"/>
    <w:semiHidden/>
    <w:rsid w:val="0007292A"/>
    <w:pPr>
      <w:spacing w:before="120" w:after="120"/>
    </w:pPr>
    <w:rPr>
      <w:rFonts w:ascii="Arial" w:hAnsi="Arial"/>
      <w:i/>
      <w:color w:val="231EDC" w:themeColor="accent1"/>
      <w:sz w:val="18"/>
    </w:rPr>
  </w:style>
  <w:style w:type="character" w:styleId="InstructionTextChar" w:customStyle="1">
    <w:name w:val="Instruction Text Char"/>
    <w:link w:val="InstructionText"/>
    <w:semiHidden/>
    <w:rsid w:val="0007292A"/>
    <w:rPr>
      <w:rFonts w:ascii="Arial" w:hAnsi="Arial"/>
      <w:i/>
      <w:color w:val="231EDC" w:themeColor="accent1"/>
      <w:sz w:val="18"/>
    </w:rPr>
  </w:style>
  <w:style w:type="character" w:styleId="AdaButton" w:customStyle="1">
    <w:name w:val="AdaButton"/>
    <w:basedOn w:val="DefaultParagraphFont"/>
    <w:uiPriority w:val="99"/>
    <w:semiHidden/>
    <w:qFormat/>
    <w:rsid w:val="0007292A"/>
    <w:rPr>
      <w:b w:val="0"/>
      <w:color w:val="CCFFCC"/>
      <w:sz w:val="40"/>
      <w:bdr w:val="single" w:color="44546A" w:sz="4" w:space="0"/>
      <w:shd w:val="clear" w:color="auto" w:fill="999999"/>
    </w:rPr>
  </w:style>
  <w:style w:type="paragraph" w:styleId="FooterHeading" w:customStyle="1">
    <w:name w:val="Footer Heading"/>
    <w:basedOn w:val="Footer"/>
    <w:next w:val="Footer"/>
    <w:uiPriority w:val="99"/>
    <w:semiHidden/>
    <w:qFormat/>
    <w:rsid w:val="0007292A"/>
    <w:rPr>
      <w:b/>
      <w:sz w:val="21"/>
    </w:rPr>
  </w:style>
  <w:style w:type="paragraph" w:styleId="Reference" w:customStyle="1">
    <w:name w:val="Reference"/>
    <w:basedOn w:val="Footer"/>
    <w:uiPriority w:val="99"/>
    <w:semiHidden/>
    <w:qFormat/>
    <w:rsid w:val="0007292A"/>
    <w:rPr>
      <w:sz w:val="13"/>
    </w:rPr>
  </w:style>
  <w:style w:type="paragraph" w:styleId="TableNumber3" w:customStyle="1">
    <w:name w:val="Table Number 3"/>
    <w:basedOn w:val="Normal"/>
    <w:uiPriority w:val="5"/>
    <w:rsid w:val="0007292A"/>
    <w:pPr>
      <w:numPr>
        <w:ilvl w:val="2"/>
        <w:numId w:val="31"/>
      </w:numPr>
      <w:spacing w:before="40" w:after="40"/>
    </w:pPr>
    <w:rPr>
      <w:rFonts w:asciiTheme="minorHAnsi" w:hAnsiTheme="minorHAnsi"/>
      <w:sz w:val="18"/>
    </w:rPr>
  </w:style>
  <w:style w:type="paragraph" w:styleId="TableBullet2" w:customStyle="1">
    <w:name w:val="Table Bullet 2"/>
    <w:basedOn w:val="Normal"/>
    <w:uiPriority w:val="6"/>
    <w:rsid w:val="0007292A"/>
    <w:pPr>
      <w:numPr>
        <w:ilvl w:val="1"/>
        <w:numId w:val="35"/>
      </w:numPr>
      <w:spacing w:before="40" w:after="40"/>
    </w:pPr>
    <w:rPr>
      <w:rFonts w:asciiTheme="minorHAnsi" w:hAnsiTheme="minorHAnsi"/>
      <w:sz w:val="18"/>
    </w:rPr>
  </w:style>
  <w:style w:type="paragraph" w:styleId="TableBullet3" w:customStyle="1">
    <w:name w:val="Table Bullet 3"/>
    <w:basedOn w:val="Normal"/>
    <w:uiPriority w:val="6"/>
    <w:rsid w:val="0007292A"/>
    <w:pPr>
      <w:numPr>
        <w:ilvl w:val="2"/>
        <w:numId w:val="35"/>
      </w:numPr>
      <w:spacing w:before="40" w:after="40"/>
    </w:pPr>
    <w:rPr>
      <w:rFonts w:asciiTheme="minorHAnsi" w:hAnsiTheme="minorHAnsi"/>
      <w:sz w:val="18"/>
    </w:rPr>
  </w:style>
  <w:style w:type="numbering" w:styleId="TableNumbers" w:customStyle="1">
    <w:name w:val="Table Numbers"/>
    <w:uiPriority w:val="99"/>
    <w:semiHidden/>
    <w:rsid w:val="0007292A"/>
    <w:pPr>
      <w:numPr>
        <w:numId w:val="37"/>
      </w:numPr>
    </w:pPr>
  </w:style>
  <w:style w:type="numbering" w:styleId="TableBullets" w:customStyle="1">
    <w:name w:val="Table Bullets"/>
    <w:uiPriority w:val="99"/>
    <w:semiHidden/>
    <w:rsid w:val="0007292A"/>
    <w:pPr>
      <w:numPr>
        <w:numId w:val="21"/>
      </w:numPr>
    </w:pPr>
  </w:style>
  <w:style w:type="numbering" w:styleId="AppendixHeadings" w:customStyle="1">
    <w:name w:val="Appendix Headings"/>
    <w:uiPriority w:val="99"/>
    <w:semiHidden/>
    <w:rsid w:val="0007292A"/>
    <w:pPr>
      <w:numPr>
        <w:numId w:val="39"/>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styleId="BodyTextNumbering" w:customStyle="1">
    <w:name w:val="Body Text Numbering"/>
    <w:uiPriority w:val="99"/>
    <w:semiHidden/>
    <w:rsid w:val="0007292A"/>
    <w:pPr>
      <w:numPr>
        <w:numId w:val="38"/>
      </w:numPr>
    </w:pPr>
  </w:style>
  <w:style w:type="numbering" w:styleId="Bullets" w:customStyle="1">
    <w:name w:val="Bullets"/>
    <w:uiPriority w:val="99"/>
    <w:semiHidden/>
    <w:rsid w:val="0007292A"/>
    <w:pPr>
      <w:numPr>
        <w:numId w:val="45"/>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styleId="LetterSubject" w:customStyle="1">
    <w:name w:val="Letter Subject"/>
    <w:next w:val="Normal"/>
    <w:uiPriority w:val="99"/>
    <w:semiHidden/>
    <w:rsid w:val="0007292A"/>
    <w:pPr>
      <w:spacing w:after="480"/>
    </w:pPr>
    <w:rPr>
      <w:rFonts w:eastAsiaTheme="majorEastAsia" w:cstheme="majorBidi"/>
      <w:b/>
      <w:szCs w:val="32"/>
    </w:rPr>
  </w:style>
  <w:style w:type="paragraph" w:styleId="ProjectDetails" w:customStyle="1">
    <w:name w:val="Project Details"/>
    <w:basedOn w:val="Normal"/>
    <w:next w:val="Normal"/>
    <w:uiPriority w:val="99"/>
    <w:semiHidden/>
    <w:qFormat/>
    <w:rsid w:val="0007292A"/>
    <w:pPr>
      <w:spacing w:after="480"/>
      <w:contextualSpacing/>
    </w:pPr>
    <w:rPr>
      <w:rFonts w:eastAsiaTheme="majorEastAsia" w:cstheme="majorBidi"/>
      <w:szCs w:val="32"/>
    </w:rPr>
  </w:style>
  <w:style w:type="paragraph" w:styleId="RecipientDetails" w:customStyle="1">
    <w:name w:val="Recipient Details"/>
    <w:basedOn w:val="Normal"/>
    <w:uiPriority w:val="99"/>
    <w:semiHidden/>
    <w:qFormat/>
    <w:rsid w:val="0007292A"/>
    <w:pPr>
      <w:spacing w:before="240" w:after="240"/>
      <w:contextualSpacing/>
    </w:pPr>
  </w:style>
  <w:style w:type="paragraph" w:styleId="LetterDate" w:customStyle="1">
    <w:name w:val="Letter Date"/>
    <w:basedOn w:val="Normal"/>
    <w:uiPriority w:val="99"/>
    <w:semiHidden/>
    <w:rsid w:val="0007292A"/>
    <w:pPr>
      <w:spacing w:after="240"/>
    </w:pPr>
  </w:style>
  <w:style w:type="paragraph" w:styleId="Copies" w:customStyle="1">
    <w:name w:val="Copies"/>
    <w:basedOn w:val="BodyText"/>
    <w:uiPriority w:val="99"/>
    <w:semiHidden/>
    <w:qFormat/>
    <w:rsid w:val="0007292A"/>
    <w:pPr>
      <w:ind w:left="1134" w:hanging="1134"/>
    </w:pPr>
  </w:style>
  <w:style w:type="paragraph" w:styleId="SenderDetails" w:customStyle="1">
    <w:name w:val="Sender Details"/>
    <w:basedOn w:val="Normal"/>
    <w:next w:val="BodyText"/>
    <w:uiPriority w:val="99"/>
    <w:semiHidden/>
    <w:qFormat/>
    <w:rsid w:val="0007292A"/>
    <w:pPr>
      <w:spacing w:before="180" w:after="60" w:line="240" w:lineRule="auto"/>
      <w:contextualSpacing/>
    </w:pPr>
  </w:style>
  <w:style w:type="paragraph" w:styleId="SenderContactDetails" w:customStyle="1">
    <w:name w:val="Sender Contact Details"/>
    <w:basedOn w:val="Normal"/>
    <w:next w:val="BodyText"/>
    <w:uiPriority w:val="99"/>
    <w:semiHidden/>
    <w:qFormat/>
    <w:rsid w:val="0007292A"/>
    <w:pPr>
      <w:spacing w:before="180" w:after="60"/>
      <w:contextualSpacing/>
    </w:pPr>
    <w:rPr>
      <w:sz w:val="16"/>
    </w:rPr>
  </w:style>
  <w:style w:type="paragraph" w:styleId="CVResumeBullet2ndLevel" w:customStyle="1">
    <w:name w:val="CV Resume Bullet 2nd Level"/>
    <w:basedOn w:val="CVResumeBullet"/>
    <w:uiPriority w:val="99"/>
    <w:semiHidden/>
    <w:rsid w:val="0007292A"/>
    <w:pPr>
      <w:numPr>
        <w:numId w:val="25"/>
      </w:numPr>
      <w:ind w:left="340" w:hanging="170"/>
    </w:pPr>
  </w:style>
  <w:style w:type="paragraph" w:styleId="CVResumeSubcategoryHeading" w:customStyle="1">
    <w:name w:val="CV Resume Subcategory Heading"/>
    <w:basedOn w:val="Normal"/>
    <w:next w:val="Normal"/>
    <w:uiPriority w:val="99"/>
    <w:semiHidden/>
    <w:rsid w:val="0007292A"/>
    <w:pPr>
      <w:spacing w:before="120" w:after="120"/>
    </w:pPr>
    <w:rPr>
      <w:color w:val="333333"/>
      <w:sz w:val="22"/>
    </w:rPr>
  </w:style>
  <w:style w:type="paragraph" w:styleId="CVResumeTableText" w:customStyle="1">
    <w:name w:val="CV Resume Table Text"/>
    <w:basedOn w:val="Normal"/>
    <w:uiPriority w:val="99"/>
    <w:semiHidden/>
    <w:rsid w:val="0007292A"/>
    <w:pPr>
      <w:spacing w:after="60"/>
    </w:pPr>
    <w:rPr>
      <w:rFonts w:ascii="Jacobs Chronos Light" w:hAnsi="Jacobs Chronos Light"/>
    </w:rPr>
  </w:style>
  <w:style w:type="paragraph" w:styleId="CVResumeName" w:customStyle="1">
    <w:name w:val="CV Resume Name"/>
    <w:uiPriority w:val="99"/>
    <w:semiHidden/>
    <w:rsid w:val="0007292A"/>
    <w:pPr>
      <w:spacing w:after="120"/>
    </w:pPr>
    <w:rPr>
      <w:rFonts w:cs="Jacobs Chronos"/>
      <w:b/>
      <w:color w:val="231EDC" w:themeColor="accent1"/>
      <w:sz w:val="32"/>
      <w:szCs w:val="24"/>
    </w:rPr>
  </w:style>
  <w:style w:type="paragraph" w:styleId="CVResumeTitleRole" w:customStyle="1">
    <w:name w:val="CV Resume Title Role"/>
    <w:next w:val="CVResumeHeading"/>
    <w:uiPriority w:val="99"/>
    <w:semiHidden/>
    <w:rsid w:val="0007292A"/>
    <w:rPr>
      <w:rFonts w:cs="Jacobs Chronos"/>
      <w:sz w:val="28"/>
      <w:szCs w:val="24"/>
    </w:rPr>
  </w:style>
  <w:style w:type="paragraph" w:styleId="CVResumeBullet" w:customStyle="1">
    <w:name w:val="CV Resume Bullet"/>
    <w:basedOn w:val="CVResumeTableText"/>
    <w:uiPriority w:val="99"/>
    <w:semiHidden/>
    <w:qFormat/>
    <w:rsid w:val="0007292A"/>
    <w:pPr>
      <w:numPr>
        <w:numId w:val="24"/>
      </w:numPr>
      <w:ind w:left="170" w:hanging="170"/>
    </w:pPr>
    <w:rPr>
      <w:rFonts w:asciiTheme="minorHAnsi" w:hAnsiTheme="minorHAnsi"/>
    </w:rPr>
  </w:style>
  <w:style w:type="paragraph" w:styleId="CVResumeTableHeading" w:customStyle="1">
    <w:name w:val="CV Resume Table Heading"/>
    <w:basedOn w:val="CVResumeTableText"/>
    <w:next w:val="CVResumeTableText"/>
    <w:uiPriority w:val="99"/>
    <w:semiHidden/>
    <w:rsid w:val="0007292A"/>
    <w:rPr>
      <w:rFonts w:cs="Jacobs Chronos Light" w:asciiTheme="minorHAnsi" w:hAnsiTheme="minorHAnsi"/>
      <w:b/>
      <w:color w:val="333333" w:themeColor="text2"/>
    </w:rPr>
  </w:style>
  <w:style w:type="paragraph" w:styleId="CVResumeHeading" w:customStyle="1">
    <w:name w:val="CV Resume Heading"/>
    <w:next w:val="BodyText"/>
    <w:uiPriority w:val="99"/>
    <w:semiHidden/>
    <w:qFormat/>
    <w:rsid w:val="0007292A"/>
    <w:pPr>
      <w:spacing w:before="120" w:after="120"/>
    </w:pPr>
    <w:rPr>
      <w:rFonts w:cs="Jacobs Chronos Light" w:asciiTheme="minorHAnsi" w:hAnsiTheme="minorHAnsi"/>
      <w:color w:val="231EDC" w:themeColor="accent1"/>
      <w:sz w:val="24"/>
      <w:szCs w:val="24"/>
    </w:rPr>
  </w:style>
  <w:style w:type="paragraph" w:styleId="CVResumeProjectHeading" w:customStyle="1">
    <w:name w:val="CV Resume Project Heading"/>
    <w:next w:val="BodyText"/>
    <w:uiPriority w:val="99"/>
    <w:semiHidden/>
    <w:rsid w:val="0007292A"/>
    <w:pPr>
      <w:spacing w:before="180" w:after="120"/>
    </w:pPr>
    <w:rPr>
      <w:rFonts w:cs="Jacobs Chronos" w:asciiTheme="minorHAnsi" w:hAnsiTheme="minorHAnsi"/>
      <w:b/>
      <w:color w:val="231EDC" w:themeColor="accent1"/>
      <w:sz w:val="22"/>
      <w:szCs w:val="24"/>
    </w:rPr>
  </w:style>
  <w:style w:type="paragraph" w:styleId="AddressText" w:customStyle="1">
    <w:name w:val="Address Text"/>
    <w:basedOn w:val="TableText"/>
    <w:uiPriority w:val="99"/>
    <w:semiHidden/>
    <w:qFormat/>
    <w:rsid w:val="0007292A"/>
    <w:pPr>
      <w:spacing w:before="60" w:after="60"/>
    </w:pPr>
  </w:style>
  <w:style w:type="paragraph" w:styleId="PhotologNumber" w:customStyle="1">
    <w:name w:val="Photolog Number"/>
    <w:basedOn w:val="BodyText"/>
    <w:uiPriority w:val="7"/>
    <w:rsid w:val="0007292A"/>
    <w:pPr>
      <w:numPr>
        <w:numId w:val="28"/>
      </w:numPr>
    </w:pPr>
    <w:rPr>
      <w:rFonts w:eastAsiaTheme="minorHAnsi"/>
      <w:b/>
    </w:rPr>
  </w:style>
  <w:style w:type="numbering" w:styleId="PhotologNumberList" w:customStyle="1">
    <w:name w:val="Photolog Number List"/>
    <w:uiPriority w:val="99"/>
    <w:semiHidden/>
    <w:rsid w:val="0007292A"/>
    <w:pPr>
      <w:numPr>
        <w:numId w:val="26"/>
      </w:numPr>
    </w:pPr>
  </w:style>
  <w:style w:type="paragraph" w:styleId="CapabilityBullet" w:customStyle="1">
    <w:name w:val="Capability Bullet"/>
    <w:uiPriority w:val="99"/>
    <w:semiHidden/>
    <w:qFormat/>
    <w:rsid w:val="0007292A"/>
    <w:pPr>
      <w:numPr>
        <w:numId w:val="33"/>
      </w:numPr>
      <w:spacing w:before="40" w:after="40"/>
    </w:pPr>
    <w:rPr>
      <w:rFonts w:cs="Jacobs Chronos"/>
      <w:szCs w:val="24"/>
    </w:rPr>
  </w:style>
  <w:style w:type="paragraph" w:styleId="CapabilityBullet2ndLevel" w:customStyle="1">
    <w:name w:val="Capability Bullet 2nd Level"/>
    <w:basedOn w:val="CapabilityBullet"/>
    <w:uiPriority w:val="99"/>
    <w:semiHidden/>
    <w:rsid w:val="0007292A"/>
    <w:pPr>
      <w:numPr>
        <w:ilvl w:val="1"/>
      </w:numPr>
    </w:pPr>
  </w:style>
  <w:style w:type="numbering" w:styleId="CapabilityBullets" w:customStyle="1">
    <w:name w:val="Capability Bullets"/>
    <w:uiPriority w:val="99"/>
    <w:semiHidden/>
    <w:rsid w:val="0007292A"/>
    <w:pPr>
      <w:numPr>
        <w:numId w:val="33"/>
      </w:numPr>
    </w:pPr>
  </w:style>
  <w:style w:type="paragraph" w:styleId="ProjectBullet" w:customStyle="1">
    <w:name w:val="Project Bullet"/>
    <w:uiPriority w:val="99"/>
    <w:semiHidden/>
    <w:qFormat/>
    <w:rsid w:val="0007292A"/>
    <w:pPr>
      <w:numPr>
        <w:numId w:val="27"/>
      </w:numPr>
      <w:spacing w:after="60"/>
    </w:pPr>
    <w:rPr>
      <w:rFonts w:cs="Jacobs Chronos"/>
      <w:szCs w:val="24"/>
    </w:rPr>
  </w:style>
  <w:style w:type="paragraph" w:styleId="ProjectBullet2ndLevel" w:customStyle="1">
    <w:name w:val="Project Bullet 2nd Level"/>
    <w:basedOn w:val="ProjectBullet"/>
    <w:uiPriority w:val="99"/>
    <w:semiHidden/>
    <w:rsid w:val="0007292A"/>
    <w:pPr>
      <w:numPr>
        <w:ilvl w:val="1"/>
      </w:numPr>
    </w:pPr>
  </w:style>
  <w:style w:type="numbering" w:styleId="ProjectBullets" w:customStyle="1">
    <w:name w:val="Project Bullets"/>
    <w:uiPriority w:val="99"/>
    <w:semiHidden/>
    <w:rsid w:val="0007292A"/>
    <w:pPr>
      <w:numPr>
        <w:numId w:val="27"/>
      </w:numPr>
    </w:pPr>
  </w:style>
  <w:style w:type="numbering" w:styleId="SingleSequentialNumbering" w:customStyle="1">
    <w:name w:val="Single Sequential Numbering"/>
    <w:uiPriority w:val="99"/>
    <w:semiHidden/>
    <w:rsid w:val="0007292A"/>
    <w:pPr>
      <w:numPr>
        <w:numId w:val="29"/>
      </w:numPr>
    </w:pPr>
  </w:style>
  <w:style w:type="paragraph" w:styleId="SourceCitation0" w:customStyle="1">
    <w:name w:val="Source/Citation"/>
    <w:basedOn w:val="Normal"/>
    <w:next w:val="BodyText"/>
    <w:uiPriority w:val="8"/>
    <w:qFormat/>
    <w:rsid w:val="0007292A"/>
    <w:pPr>
      <w:spacing w:before="40" w:after="40"/>
    </w:pPr>
    <w:rPr>
      <w:rFonts w:asciiTheme="minorHAnsi" w:hAnsiTheme="minorHAnsi"/>
      <w:i/>
      <w:sz w:val="18"/>
    </w:rPr>
  </w:style>
  <w:style w:type="paragraph" w:styleId="CoverDate" w:customStyle="1">
    <w:name w:val="Cover Date"/>
    <w:basedOn w:val="CoverInformation"/>
    <w:uiPriority w:val="99"/>
    <w:semiHidden/>
    <w:qFormat/>
    <w:rsid w:val="0007292A"/>
    <w:pPr>
      <w:spacing w:before="1080"/>
      <w:contextualSpacing w:val="0"/>
      <w:jc w:val="right"/>
    </w:pPr>
  </w:style>
  <w:style w:type="paragraph" w:styleId="CaptionNote" w:customStyle="1">
    <w:name w:val="Caption Note"/>
    <w:basedOn w:val="Normal"/>
    <w:next w:val="BodyText"/>
    <w:uiPriority w:val="99"/>
    <w:semiHidden/>
    <w:rsid w:val="0007292A"/>
    <w:pPr>
      <w:keepNext/>
      <w:spacing w:before="40" w:after="40"/>
    </w:pPr>
    <w:rPr>
      <w:rFonts w:asciiTheme="minorHAnsi" w:hAnsiTheme="minorHAnsi"/>
      <w:i/>
    </w:rPr>
  </w:style>
  <w:style w:type="paragraph" w:styleId="PictureCaption" w:customStyle="1">
    <w:name w:val="Picture Caption"/>
    <w:basedOn w:val="FigureCaption"/>
    <w:next w:val="BodyText"/>
    <w:uiPriority w:val="99"/>
    <w:semiHidden/>
    <w:rsid w:val="0007292A"/>
  </w:style>
  <w:style w:type="paragraph" w:styleId="Classification" w:customStyle="1">
    <w:name w:val="Classification"/>
    <w:basedOn w:val="HeaderSpacer"/>
    <w:uiPriority w:val="99"/>
    <w:semiHidden/>
    <w:rsid w:val="0007292A"/>
    <w:pPr>
      <w:jc w:val="center"/>
    </w:pPr>
  </w:style>
  <w:style w:type="paragraph" w:styleId="ProjectHeading" w:customStyle="1">
    <w:name w:val="Project Heading"/>
    <w:next w:val="Normal"/>
    <w:uiPriority w:val="99"/>
    <w:semiHidden/>
    <w:qFormat/>
    <w:rsid w:val="0007292A"/>
    <w:pPr>
      <w:spacing w:before="120" w:after="120"/>
    </w:pPr>
    <w:rPr>
      <w:rFonts w:cs="Jacobs Chronos Light" w:asciiTheme="minorHAnsi" w:hAnsiTheme="minorHAnsi"/>
      <w:color w:val="231EDC" w:themeColor="accent1"/>
      <w:sz w:val="24"/>
    </w:rPr>
  </w:style>
  <w:style w:type="paragraph" w:styleId="EgressHeaderStyleInternalOnlyIdOffice" w:customStyle="1">
    <w:name w:val="EgressHeaderStyleInternalOnlyIdOffice"/>
    <w:basedOn w:val="Normal"/>
    <w:uiPriority w:val="99"/>
    <w:semiHidden/>
    <w:rsid w:val="0007292A"/>
    <w:pPr>
      <w:spacing w:line="240" w:lineRule="auto"/>
      <w:jc w:val="center"/>
    </w:pPr>
    <w:rPr>
      <w:rFonts w:ascii="Arial" w:hAnsi="Arial" w:cs="Arial"/>
      <w:b/>
      <w:color w:val="000000"/>
      <w:sz w:val="24"/>
    </w:rPr>
  </w:style>
  <w:style w:type="paragraph" w:styleId="EgressFooterStyleInternalOnlyIdOffice" w:customStyle="1">
    <w:name w:val="EgressFooterStyleInternalOnlyIdOffice"/>
    <w:basedOn w:val="Normal"/>
    <w:uiPriority w:val="99"/>
    <w:semiHidden/>
    <w:rsid w:val="0007292A"/>
    <w:pPr>
      <w:spacing w:line="240" w:lineRule="auto"/>
      <w:jc w:val="center"/>
    </w:pPr>
    <w:rPr>
      <w:rFonts w:ascii="Arial" w:hAnsi="Arial" w:cs="Arial"/>
      <w:b/>
      <w:color w:val="000000"/>
      <w:sz w:val="24"/>
    </w:rPr>
  </w:style>
  <w:style w:type="table" w:styleId="JacobsTable1accentprimarythemes" w:customStyle="1">
    <w:name w:val="Jacobs Table 1 (accent &amp; primary themes)"/>
    <w:basedOn w:val="TableNormal"/>
    <w:uiPriority w:val="99"/>
    <w:rsid w:val="0007292A"/>
    <w:pPr>
      <w:spacing w:before="40" w:after="40"/>
    </w:pPr>
    <w:rPr>
      <w:rFonts w:asciiTheme="minorHAnsi" w:hAnsiTheme="minorHAnsi"/>
      <w:sz w:val="18"/>
    </w:rPr>
    <w:tblPr>
      <w:tblBorders>
        <w:top w:val="single" w:color="231EDC" w:themeColor="accent1" w:sz="4" w:space="0"/>
        <w:bottom w:val="single" w:color="231EDC" w:themeColor="accent1" w:sz="4" w:space="0"/>
        <w:insideH w:val="single" w:color="231EDC" w:themeColor="accent1" w:sz="4" w:space="0"/>
        <w:insideV w:val="single" w:color="231EDC" w:themeColor="accent1" w:sz="4" w:space="0"/>
      </w:tblBorders>
    </w:tblPr>
    <w:tcPr>
      <w:shd w:val="clear" w:color="auto" w:fill="auto"/>
    </w:tcPr>
    <w:tblStylePr w:type="firstRow">
      <w:pPr>
        <w:wordWrap/>
        <w:spacing w:before="60" w:beforeLines="0" w:beforeAutospacing="0" w:after="60" w:afterLines="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styleId="JacobsTable2accentthemes" w:customStyle="1">
    <w:name w:val="Jacobs Table 2 (accent themes)"/>
    <w:basedOn w:val="TableNormal"/>
    <w:uiPriority w:val="99"/>
    <w:rsid w:val="0007292A"/>
    <w:pPr>
      <w:spacing w:before="40" w:after="40"/>
    </w:pPr>
    <w:rPr>
      <w:rFonts w:asciiTheme="minorHAnsi" w:hAnsiTheme="minorHAnsi"/>
      <w:sz w:val="18"/>
    </w:rPr>
    <w:tblPr>
      <w:tblStyleRowBandSize w:val="1"/>
      <w:tblBorders>
        <w:top w:val="single" w:color="E6E6E6" w:themeColor="background2" w:sz="4" w:space="0"/>
        <w:bottom w:val="single" w:color="E6E6E6" w:themeColor="background2" w:sz="4" w:space="0"/>
        <w:insideH w:val="single" w:color="E6E6E6" w:themeColor="background2" w:sz="4" w:space="0"/>
        <w:insideV w:val="single" w:color="E6E6E6" w:themeColor="background2" w:sz="4" w:space="0"/>
      </w:tblBorders>
    </w:tblPr>
    <w:tcPr>
      <w:shd w:val="clear" w:color="auto" w:fill="auto"/>
    </w:tcPr>
    <w:tblStylePr w:type="firstRow">
      <w:pPr>
        <w:wordWrap/>
        <w:spacing w:before="60" w:beforeLines="0" w:beforeAutospacing="0" w:after="60" w:afterLines="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color="FFFFFF" w:themeColor="background1" w:sz="4" w:space="0"/>
        </w:tcBorders>
        <w:shd w:val="clear" w:color="auto" w:fill="E6E6E6" w:themeFill="background2"/>
      </w:tcPr>
    </w:tblStylePr>
  </w:style>
  <w:style w:type="table" w:styleId="JacobsTable3accentthemes" w:customStyle="1">
    <w:name w:val="Jacobs Table 3 (accent themes)"/>
    <w:basedOn w:val="TableNormal"/>
    <w:uiPriority w:val="99"/>
    <w:rsid w:val="0007292A"/>
    <w:pPr>
      <w:spacing w:before="40" w:after="40"/>
    </w:pPr>
    <w:rPr>
      <w:rFonts w:asciiTheme="minorHAnsi" w:hAnsiTheme="minorHAnsi"/>
      <w:sz w:val="18"/>
    </w:rPr>
    <w:tblPr>
      <w:tblStyleRowBandSize w:val="1"/>
      <w:tblBorders>
        <w:top w:val="single" w:color="5AE6FF" w:themeColor="accent3" w:sz="4" w:space="0"/>
        <w:bottom w:val="single" w:color="5AE6FF" w:themeColor="accent3" w:sz="4" w:space="0"/>
        <w:insideH w:val="single" w:color="5AE6FF" w:themeColor="accent3" w:sz="4" w:space="0"/>
        <w:insideV w:val="single" w:color="5AE6FF" w:themeColor="accent3" w:sz="4" w:space="0"/>
      </w:tblBorders>
    </w:tblPr>
    <w:tblStylePr w:type="firstRow">
      <w:pPr>
        <w:wordWrap/>
        <w:spacing w:before="60" w:beforeLines="0" w:beforeAutospacing="0" w:after="60" w:afterLines="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color="FFFFFF" w:themeColor="background1" w:sz="4" w:space="0"/>
        </w:tcBorders>
        <w:shd w:val="clear" w:color="auto" w:fill="5AE6FF" w:themeFill="accent3"/>
      </w:tcPr>
    </w:tblStylePr>
  </w:style>
  <w:style w:type="table" w:styleId="JacobsTable2primarythemes" w:customStyle="1">
    <w:name w:val="Jacobs Table 2 (primary themes)"/>
    <w:basedOn w:val="TableNormal"/>
    <w:uiPriority w:val="99"/>
    <w:rsid w:val="0007292A"/>
    <w:pPr>
      <w:spacing w:before="40" w:after="40"/>
    </w:pPr>
    <w:rPr>
      <w:rFonts w:asciiTheme="minorHAnsi" w:hAnsiTheme="minorHAnsi"/>
      <w:sz w:val="18"/>
    </w:rPr>
    <w:tblPr>
      <w:tblStyleRowBandSize w:val="1"/>
      <w:tblBorders>
        <w:top w:val="single" w:color="E6E6E6" w:themeColor="background2" w:sz="4" w:space="0"/>
        <w:bottom w:val="single" w:color="E6E6E6" w:themeColor="background2" w:sz="4" w:space="0"/>
        <w:insideH w:val="single" w:color="E6E6E6" w:themeColor="background2" w:sz="4" w:space="0"/>
        <w:insideV w:val="single" w:color="E6E6E6" w:themeColor="background2" w:sz="4" w:space="0"/>
      </w:tblBorders>
    </w:tblPr>
    <w:tcPr>
      <w:shd w:val="clear" w:color="auto" w:fill="auto"/>
    </w:tcPr>
    <w:tblStylePr w:type="firstRow">
      <w:pPr>
        <w:wordWrap/>
        <w:spacing w:before="60" w:beforeLines="0" w:beforeAutospacing="0" w:after="60" w:afterLines="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color="FFFFFF" w:themeColor="background1" w:sz="4" w:space="0"/>
        </w:tcBorders>
        <w:shd w:val="clear" w:color="auto" w:fill="E6E6E6" w:themeFill="background2"/>
      </w:tcPr>
    </w:tblStylePr>
  </w:style>
  <w:style w:type="table" w:styleId="JacobsTable3primarythemes" w:customStyle="1">
    <w:name w:val="Jacobs Table 3 (primary themes)"/>
    <w:basedOn w:val="TableNormal"/>
    <w:uiPriority w:val="99"/>
    <w:rsid w:val="0007292A"/>
    <w:pPr>
      <w:spacing w:before="40" w:after="40"/>
    </w:pPr>
    <w:rPr>
      <w:rFonts w:asciiTheme="minorHAnsi" w:hAnsiTheme="minorHAnsi"/>
      <w:sz w:val="18"/>
    </w:rPr>
    <w:tblPr>
      <w:tblStyleRowBandSize w:val="1"/>
      <w:tblBorders>
        <w:top w:val="single" w:color="231EDC" w:themeColor="accent1" w:sz="4" w:space="0"/>
        <w:bottom w:val="single" w:color="231EDC" w:themeColor="accent1" w:sz="4" w:space="0"/>
        <w:insideH w:val="single" w:color="231EDC" w:themeColor="accent1" w:sz="4" w:space="0"/>
        <w:insideV w:val="single" w:color="231EDC" w:themeColor="accent1" w:sz="4" w:space="0"/>
      </w:tblBorders>
    </w:tblPr>
    <w:tblStylePr w:type="firstRow">
      <w:pPr>
        <w:wordWrap/>
        <w:spacing w:before="60" w:beforeLines="0" w:beforeAutospacing="0" w:after="60" w:afterLines="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styleId="InstructionNumber" w:customStyle="1">
    <w:name w:val="Instruction Number"/>
    <w:basedOn w:val="InstructionText"/>
    <w:uiPriority w:val="99"/>
    <w:semiHidden/>
    <w:qFormat/>
    <w:rsid w:val="0007292A"/>
    <w:pPr>
      <w:numPr>
        <w:numId w:val="34"/>
      </w:numPr>
    </w:pPr>
  </w:style>
  <w:style w:type="paragraph" w:styleId="InstructionBullet" w:customStyle="1">
    <w:name w:val="Instruction Bullet"/>
    <w:basedOn w:val="InstructionText"/>
    <w:uiPriority w:val="99"/>
    <w:semiHidden/>
    <w:qFormat/>
    <w:rsid w:val="0007292A"/>
    <w:pPr>
      <w:numPr>
        <w:ilvl w:val="1"/>
        <w:numId w:val="34"/>
      </w:numPr>
    </w:pPr>
  </w:style>
  <w:style w:type="numbering" w:styleId="InstructionNumbering" w:customStyle="1">
    <w:name w:val="Instruction Numbering"/>
    <w:uiPriority w:val="99"/>
    <w:semiHidden/>
    <w:rsid w:val="0007292A"/>
    <w:pPr>
      <w:numPr>
        <w:numId w:val="34"/>
      </w:numPr>
    </w:pPr>
  </w:style>
  <w:style w:type="paragraph" w:styleId="ProjectTableText" w:customStyle="1">
    <w:name w:val="Project Table Text"/>
    <w:uiPriority w:val="99"/>
    <w:semiHidden/>
    <w:qFormat/>
    <w:rsid w:val="0007292A"/>
    <w:rPr>
      <w:rFonts w:asciiTheme="minorHAnsi" w:hAnsiTheme="minorHAnsi"/>
    </w:rPr>
  </w:style>
  <w:style w:type="paragraph" w:styleId="ProjectName" w:customStyle="1">
    <w:name w:val="Project Name"/>
    <w:uiPriority w:val="99"/>
    <w:semiHidden/>
    <w:rsid w:val="0007292A"/>
    <w:pPr>
      <w:spacing w:after="120"/>
    </w:pPr>
    <w:rPr>
      <w:rFonts w:cs="Jacobs Chronos"/>
      <w:b/>
      <w:color w:val="231EDC" w:themeColor="accent1"/>
      <w:sz w:val="32"/>
    </w:rPr>
  </w:style>
  <w:style w:type="paragraph" w:styleId="ProjectLocation" w:customStyle="1">
    <w:name w:val="Project Location"/>
    <w:next w:val="BodyText"/>
    <w:uiPriority w:val="99"/>
    <w:semiHidden/>
    <w:rsid w:val="0007292A"/>
    <w:rPr>
      <w:rFonts w:cs="Jacobs Chronos"/>
      <w:sz w:val="28"/>
    </w:rPr>
  </w:style>
  <w:style w:type="paragraph" w:styleId="ProjectSubcategoryHeading" w:customStyle="1">
    <w:name w:val="Project Subcategory Heading"/>
    <w:next w:val="BodyText"/>
    <w:uiPriority w:val="99"/>
    <w:semiHidden/>
    <w:rsid w:val="0007292A"/>
    <w:pPr>
      <w:spacing w:before="120" w:after="120"/>
    </w:pPr>
    <w:rPr>
      <w:rFonts w:cs="Jacobs Chronos"/>
      <w:color w:val="333333"/>
      <w:sz w:val="22"/>
    </w:rPr>
  </w:style>
  <w:style w:type="paragraph" w:styleId="ProjectTableHeading" w:customStyle="1">
    <w:name w:val="Project Table Heading"/>
    <w:basedOn w:val="Normal"/>
    <w:next w:val="Normal"/>
    <w:uiPriority w:val="99"/>
    <w:semiHidden/>
    <w:rsid w:val="0007292A"/>
    <w:pPr>
      <w:spacing w:after="60"/>
    </w:pPr>
    <w:rPr>
      <w:rFonts w:cs="Jacobs Chronos Light" w:asciiTheme="minorHAnsi" w:hAnsiTheme="minorHAnsi"/>
      <w:b/>
      <w:color w:val="333333" w:themeColor="text2"/>
    </w:rPr>
  </w:style>
  <w:style w:type="paragraph" w:styleId="CapabilityWhitePaperTitle" w:customStyle="1">
    <w:name w:val="Capability White Paper Title"/>
    <w:uiPriority w:val="99"/>
    <w:semiHidden/>
    <w:rsid w:val="0007292A"/>
    <w:pPr>
      <w:spacing w:after="120"/>
      <w:outlineLvl w:val="0"/>
    </w:pPr>
    <w:rPr>
      <w:rFonts w:cs="Jacobs Chronos"/>
      <w:b/>
      <w:color w:val="231EDC" w:themeColor="accent1"/>
      <w:sz w:val="32"/>
      <w:szCs w:val="22"/>
    </w:rPr>
  </w:style>
  <w:style w:type="paragraph" w:styleId="MarketSectorHeading" w:customStyle="1">
    <w:name w:val="Market Sector Heading"/>
    <w:basedOn w:val="Normal"/>
    <w:next w:val="BodyText"/>
    <w:uiPriority w:val="99"/>
    <w:semiHidden/>
    <w:rsid w:val="0007292A"/>
    <w:pPr>
      <w:spacing w:before="120" w:after="240"/>
    </w:pPr>
    <w:rPr>
      <w:sz w:val="28"/>
      <w:szCs w:val="22"/>
    </w:rPr>
  </w:style>
  <w:style w:type="paragraph" w:styleId="SubHeading2" w:customStyle="1">
    <w:name w:val="Sub Heading 2"/>
    <w:next w:val="BodyText"/>
    <w:uiPriority w:val="99"/>
    <w:semiHidden/>
    <w:rsid w:val="0007292A"/>
    <w:pPr>
      <w:spacing w:before="240" w:after="120"/>
      <w:outlineLvl w:val="1"/>
    </w:pPr>
    <w:rPr>
      <w:rFonts w:cs="Jacobs Chronos Light"/>
      <w:color w:val="333333"/>
      <w:sz w:val="22"/>
      <w:szCs w:val="22"/>
    </w:rPr>
  </w:style>
  <w:style w:type="paragraph" w:styleId="SubHeading" w:customStyle="1">
    <w:name w:val="Sub Heading"/>
    <w:next w:val="Normal"/>
    <w:uiPriority w:val="99"/>
    <w:semiHidden/>
    <w:qFormat/>
    <w:rsid w:val="0007292A"/>
    <w:pPr>
      <w:spacing w:before="120" w:after="120"/>
      <w:outlineLvl w:val="0"/>
    </w:pPr>
    <w:rPr>
      <w:rFonts w:cs="Jacobs Chronos Light" w:asciiTheme="minorHAnsi" w:hAnsiTheme="minorHAnsi"/>
      <w:color w:val="231EDC" w:themeColor="accent1"/>
      <w:sz w:val="24"/>
      <w:szCs w:val="22"/>
    </w:rPr>
  </w:style>
  <w:style w:type="paragraph" w:styleId="CapabilityTableHeading" w:customStyle="1">
    <w:name w:val="Capability Table Heading"/>
    <w:basedOn w:val="Normal"/>
    <w:uiPriority w:val="99"/>
    <w:semiHidden/>
    <w:rsid w:val="0007292A"/>
    <w:pPr>
      <w:framePr w:hSpace="180" w:wrap="around" w:hAnchor="text" w:vAnchor="text" w:y="-49"/>
      <w:spacing w:before="60" w:after="60"/>
    </w:pPr>
    <w:rPr>
      <w:rFonts w:asciiTheme="minorHAnsi" w:hAnsiTheme="minorHAnsi"/>
      <w:b/>
      <w:szCs w:val="22"/>
    </w:rPr>
  </w:style>
  <w:style w:type="paragraph" w:styleId="CapabilityTableText" w:customStyle="1">
    <w:name w:val="Capability Table Text"/>
    <w:basedOn w:val="BodyText"/>
    <w:uiPriority w:val="99"/>
    <w:semiHidden/>
    <w:rsid w:val="0007292A"/>
    <w:pPr>
      <w:spacing w:before="60"/>
    </w:pPr>
    <w:rPr>
      <w:rFonts w:asciiTheme="minorHAnsi" w:hAnsiTheme="minorHAnsi"/>
      <w:szCs w:val="22"/>
    </w:rPr>
  </w:style>
  <w:style w:type="paragraph" w:styleId="paragraph" w:customStyle="1">
    <w:name w:val="paragraph"/>
    <w:basedOn w:val="Normal"/>
    <w:rsid w:val="00D768DF"/>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D768DF"/>
  </w:style>
  <w:style w:type="paragraph" w:styleId="Para1" w:customStyle="1">
    <w:name w:val="Para 1"/>
    <w:basedOn w:val="Normal"/>
    <w:uiPriority w:val="5"/>
    <w:rsid w:val="00D768DF"/>
    <w:pPr>
      <w:spacing w:before="240" w:after="120" w:line="240" w:lineRule="atLeast"/>
      <w:ind w:left="425"/>
    </w:pPr>
    <w:rPr>
      <w:rFonts w:ascii="Jacobs Chronos" w:hAnsi="Jacobs Chronos" w:cs="Jacobs Chronos"/>
      <w:szCs w:val="24"/>
      <w:lang w:eastAsia="en-US"/>
    </w:rPr>
  </w:style>
  <w:style w:type="paragraph" w:styleId="Para0" w:customStyle="1">
    <w:name w:val="Para 0"/>
    <w:aliases w:val="Auto,After:  3 pt"/>
    <w:basedOn w:val="Normal"/>
    <w:link w:val="Para0Char"/>
    <w:uiPriority w:val="4"/>
    <w:qFormat/>
    <w:rsid w:val="008962DC"/>
    <w:pPr>
      <w:spacing w:before="240" w:after="120" w:line="240" w:lineRule="atLeast"/>
    </w:pPr>
    <w:rPr>
      <w:rFonts w:ascii="Jacobs Chronos" w:hAnsi="Jacobs Chronos" w:cs="Jacobs Chronos"/>
      <w:szCs w:val="24"/>
      <w:lang w:eastAsia="en-US"/>
    </w:rPr>
  </w:style>
  <w:style w:type="character" w:styleId="Para0Char" w:customStyle="1">
    <w:name w:val="Para 0 Char"/>
    <w:basedOn w:val="DefaultParagraphFont"/>
    <w:link w:val="Para0"/>
    <w:uiPriority w:val="4"/>
    <w:rsid w:val="008962DC"/>
    <w:rPr>
      <w:rFonts w:ascii="Jacobs Chronos" w:hAnsi="Jacobs Chronos" w:cs="Jacobs Chronos"/>
      <w:szCs w:val="24"/>
      <w:lang w:eastAsia="en-US"/>
    </w:rPr>
  </w:style>
  <w:style w:type="character" w:styleId="normaltextrun" w:customStyle="1">
    <w:name w:val="normaltextrun"/>
    <w:basedOn w:val="DefaultParagraphFont"/>
    <w:rsid w:val="008962DC"/>
  </w:style>
  <w:style w:type="paragraph" w:styleId="Revision">
    <w:name w:val="Revision"/>
    <w:hidden/>
    <w:uiPriority w:val="99"/>
    <w:semiHidden/>
    <w:rsid w:val="000B49CE"/>
    <w:pPr>
      <w:spacing w:line="240" w:lineRule="auto"/>
    </w:pPr>
  </w:style>
  <w:style w:type="table" w:styleId="JacobsTable1accentprimarythemes1" w:customStyle="1">
    <w:name w:val="Jacobs Table 1 (accent &amp; primary themes)1"/>
    <w:basedOn w:val="TableNormal"/>
    <w:uiPriority w:val="99"/>
    <w:rsid w:val="00245076"/>
    <w:pPr>
      <w:spacing w:before="40" w:after="40"/>
    </w:pPr>
    <w:rPr>
      <w:rFonts w:asciiTheme="minorHAnsi" w:hAnsiTheme="minorHAnsi"/>
      <w:sz w:val="18"/>
    </w:rPr>
    <w:tblPr>
      <w:tblBorders>
        <w:top w:val="single" w:color="231EDC" w:themeColor="accent1" w:sz="4" w:space="0"/>
        <w:bottom w:val="single" w:color="231EDC" w:themeColor="accent1" w:sz="4" w:space="0"/>
        <w:insideH w:val="single" w:color="231EDC" w:themeColor="accent1" w:sz="4" w:space="0"/>
        <w:insideV w:val="single" w:color="231EDC" w:themeColor="accent1" w:sz="4" w:space="0"/>
      </w:tblBorders>
    </w:tblPr>
    <w:tcPr>
      <w:shd w:val="clear" w:color="auto" w:fill="auto"/>
    </w:tcPr>
    <w:tblStylePr w:type="firstRow">
      <w:pPr>
        <w:wordWrap/>
        <w:spacing w:before="60" w:beforeLines="0" w:beforeAutospacing="0" w:after="60" w:afterLines="0" w:afterAutospacing="0"/>
      </w:pPr>
      <w:rPr>
        <w:rFonts w:asciiTheme="minorHAnsi" w:hAnsiTheme="minorHAnsi"/>
        <w:b w:val="0"/>
        <w:color w:val="FFFFFF" w:themeColor="background1"/>
        <w:sz w:val="22"/>
      </w:rPr>
      <w:tblPr/>
      <w:trPr>
        <w:tblHeader/>
      </w:trPr>
      <w:tcPr>
        <w:shd w:val="clear" w:color="auto" w:fill="231EDC"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4.xml"/><Relationship Id="rId39" Type="http://schemas.microsoft.com/office/2019/05/relationships/documenttasks" Target="documenttasks/documenttasks1.xml"/><Relationship Id="rId21" Type="http://schemas.openxmlformats.org/officeDocument/2006/relationships/footer" Target="footer2.xml"/><Relationship Id="rId34" Type="http://schemas.openxmlformats.org/officeDocument/2006/relationships/header" Target="header9.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33" Type="http://schemas.openxmlformats.org/officeDocument/2006/relationships/image" Target="media/image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glossaryDocument" Target="glossary/document.xml"/><Relationship Id="rId40" Type="http://schemas.openxmlformats.org/officeDocument/2006/relationships/customXml" Target="../customXml/item12.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risk-assessments-for-your-environmental-permit" TargetMode="External"/><Relationship Id="rId2" Type="http://schemas.openxmlformats.org/officeDocument/2006/relationships/hyperlink" Target="https://www.hse.gov.uk/research/rrhtm/rr786.htm" TargetMode="External"/><Relationship Id="rId1" Type="http://schemas.openxmlformats.org/officeDocument/2006/relationships/hyperlink" Target="https://www.gov.uk/government/publications/m17-monitoring-of-particulate-matter-in-ambient-air-around-waste-fac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llicj\AppData\Roaming\MacroView.Office\Files\Templates\Reports\Branding%20group%203\en\Report.dotx" TargetMode="External"/></Relationships>
</file>

<file path=word/documenttasks/documenttasks1.xml><?xml version="1.0" encoding="utf-8"?>
<t:Tasks xmlns:t="http://schemas.microsoft.com/office/tasks/2019/documenttasks" xmlns:oel="http://schemas.microsoft.com/office/2019/extlst">
  <t:Task id="{58B14626-03D2-4AA7-8D56-93AE6B754DD5}">
    <t:Anchor>
      <t:Comment id="1506428637"/>
    </t:Anchor>
    <t:History>
      <t:Event id="{59BD924A-E2A5-4C27-A234-D7F25BC0471C}" time="2022-04-21T16:18:06.322Z">
        <t:Attribution userId="S::nick.lutt@thameswater.co.uk::a35ae2f4-b0f6-4b98-b625-42922eefcbcc" userProvider="AD" userName="Nick Lutt"/>
        <t:Anchor>
          <t:Comment id="1506428637"/>
        </t:Anchor>
        <t:Create/>
      </t:Event>
      <t:Event id="{7C10CE54-20CC-490C-BC45-4810D45132C7}" time="2022-04-21T16:18:06.322Z">
        <t:Attribution userId="S::nick.lutt@thameswater.co.uk::a35ae2f4-b0f6-4b98-b625-42922eefcbcc" userProvider="AD" userName="Nick Lutt"/>
        <t:Anchor>
          <t:Comment id="1506428637"/>
        </t:Anchor>
        <t:Assign userId="S::David.Allen1@thameswater.co.uk::142b77ec-36fc-496d-b936-60549ee72387" userProvider="AD" userName="David Allen"/>
      </t:Event>
      <t:Event id="{66AA21A8-3183-40EB-91DA-032953732B00}" time="2022-04-21T16:18:06.322Z">
        <t:Attribution userId="S::nick.lutt@thameswater.co.uk::a35ae2f4-b0f6-4b98-b625-42922eefcbcc" userProvider="AD" userName="Nick Lutt"/>
        <t:Anchor>
          <t:Comment id="1506428637"/>
        </t:Anchor>
        <t:SetTitle title="@David Allen Hi Dave - the EA may ask for the timescales for completion here as discussed, i.e. &quot;currently considering' may constitute too weak a commitme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78BEF39FB044859CC76C8646F48E77"/>
        <w:category>
          <w:name w:val="General"/>
          <w:gallery w:val="placeholder"/>
        </w:category>
        <w:types>
          <w:type w:val="bbPlcHdr"/>
        </w:types>
        <w:behaviors>
          <w:behavior w:val="content"/>
        </w:behaviors>
        <w:guid w:val="{C4259B36-9534-4AA8-9CD7-F21FF7AB7D84}"/>
      </w:docPartPr>
      <w:docPartBody>
        <w:p xmlns:wp14="http://schemas.microsoft.com/office/word/2010/wordml" w:rsidR="008748F2" w:rsidRDefault="008C215C" w14:paraId="6B00D73C" wp14:textId="77777777">
          <w:pPr>
            <w:pStyle w:val="D778BEF39FB044859CC76C8646F48E77"/>
          </w:pPr>
          <w:r w:rsidRPr="00F96E0B">
            <w:rPr>
              <w:rStyle w:val="PlaceholderText"/>
            </w:rPr>
            <w:t>[Document title]</w:t>
          </w:r>
        </w:p>
      </w:docPartBody>
    </w:docPart>
    <w:docPart>
      <w:docPartPr>
        <w:name w:val="EE4C177FB7614CB9BD3526C13CA63905"/>
        <w:category>
          <w:name w:val="General"/>
          <w:gallery w:val="placeholder"/>
        </w:category>
        <w:types>
          <w:type w:val="bbPlcHdr"/>
        </w:types>
        <w:behaviors>
          <w:behavior w:val="content"/>
        </w:behaviors>
        <w:guid w:val="{28B32639-4285-4106-963B-0B9D229A6EDC}"/>
      </w:docPartPr>
      <w:docPartBody>
        <w:p xmlns:wp14="http://schemas.microsoft.com/office/word/2010/wordml" w:rsidR="008748F2" w:rsidRDefault="008C215C" w14:paraId="13477FFB" wp14:textId="77777777">
          <w:pPr>
            <w:pStyle w:val="EE4C177FB7614CB9BD3526C13CA63905"/>
          </w:pPr>
          <w:r w:rsidRPr="00183AE5">
            <w:rPr>
              <w:rStyle w:val="PlaceholderText"/>
            </w:rPr>
            <w:t xml:space="preserve">[Document </w:t>
          </w:r>
          <w:r>
            <w:rPr>
              <w:rStyle w:val="PlaceholderText"/>
            </w:rPr>
            <w:t>n</w:t>
          </w:r>
          <w:r w:rsidRPr="00183AE5">
            <w:rPr>
              <w:rStyle w:val="PlaceholderText"/>
            </w:rPr>
            <w:t>umber]</w:t>
          </w:r>
        </w:p>
      </w:docPartBody>
    </w:docPart>
    <w:docPart>
      <w:docPartPr>
        <w:name w:val="15C4FE8DEC91426890619924F8D0BF99"/>
        <w:category>
          <w:name w:val="General"/>
          <w:gallery w:val="placeholder"/>
        </w:category>
        <w:types>
          <w:type w:val="bbPlcHdr"/>
        </w:types>
        <w:behaviors>
          <w:behavior w:val="content"/>
        </w:behaviors>
        <w:guid w:val="{3A8E83A9-AB31-43C8-96A9-61ADE6E25C9D}"/>
      </w:docPartPr>
      <w:docPartBody>
        <w:p xmlns:wp14="http://schemas.microsoft.com/office/word/2010/wordml" w:rsidR="008748F2" w:rsidRDefault="008C215C" w14:paraId="33682867" wp14:textId="77777777">
          <w:pPr>
            <w:pStyle w:val="15C4FE8DEC91426890619924F8D0BF99"/>
          </w:pPr>
          <w:r w:rsidRPr="00BF319E">
            <w:rPr>
              <w:rStyle w:val="PlaceholderText"/>
            </w:rPr>
            <w:t xml:space="preserve">[Revision </w:t>
          </w:r>
          <w:r>
            <w:rPr>
              <w:rStyle w:val="PlaceholderText"/>
            </w:rPr>
            <w:t>number</w:t>
          </w:r>
          <w:r w:rsidRPr="00BF319E">
            <w:rPr>
              <w:rStyle w:val="PlaceholderText"/>
            </w:rPr>
            <w:t>]</w:t>
          </w:r>
        </w:p>
      </w:docPartBody>
    </w:docPart>
    <w:docPart>
      <w:docPartPr>
        <w:name w:val="E7DE2B380E974FB589BA1D6380646DDC"/>
        <w:category>
          <w:name w:val="General"/>
          <w:gallery w:val="placeholder"/>
        </w:category>
        <w:types>
          <w:type w:val="bbPlcHdr"/>
        </w:types>
        <w:behaviors>
          <w:behavior w:val="content"/>
        </w:behaviors>
        <w:guid w:val="{86CF03C5-19C7-48EA-86F9-9D0E5F456609}"/>
      </w:docPartPr>
      <w:docPartBody>
        <w:p xmlns:wp14="http://schemas.microsoft.com/office/word/2010/wordml" w:rsidR="008748F2" w:rsidRDefault="008C215C" w14:paraId="06892430" wp14:textId="77777777">
          <w:pPr>
            <w:pStyle w:val="E7DE2B380E974FB589BA1D6380646DDC"/>
          </w:pPr>
          <w:r w:rsidRPr="00BF319E">
            <w:rPr>
              <w:rStyle w:val="PlaceholderText"/>
            </w:rPr>
            <w:t xml:space="preserve">[Client </w:t>
          </w:r>
          <w:r>
            <w:rPr>
              <w:rStyle w:val="PlaceholderText"/>
            </w:rPr>
            <w:t>n</w:t>
          </w:r>
          <w:r w:rsidRPr="00BF319E">
            <w:rPr>
              <w:rStyle w:val="PlaceholderText"/>
            </w:rPr>
            <w:t>ame]</w:t>
          </w:r>
        </w:p>
      </w:docPartBody>
    </w:docPart>
    <w:docPart>
      <w:docPartPr>
        <w:name w:val="96A2B08A3F754322BE28A7935FD8BF9F"/>
        <w:category>
          <w:name w:val="General"/>
          <w:gallery w:val="placeholder"/>
        </w:category>
        <w:types>
          <w:type w:val="bbPlcHdr"/>
        </w:types>
        <w:behaviors>
          <w:behavior w:val="content"/>
        </w:behaviors>
        <w:guid w:val="{8ED52986-B471-4A2E-BC6D-77009413DA38}"/>
      </w:docPartPr>
      <w:docPartBody>
        <w:p xmlns:wp14="http://schemas.microsoft.com/office/word/2010/wordml" w:rsidR="008748F2" w:rsidRDefault="008C215C" w14:paraId="6AEB0EE2" wp14:textId="77777777">
          <w:pPr>
            <w:pStyle w:val="96A2B08A3F754322BE28A7935FD8BF9F"/>
          </w:pPr>
          <w:r w:rsidRPr="00BF319E">
            <w:rPr>
              <w:rStyle w:val="PlaceholderText"/>
            </w:rPr>
            <w:t xml:space="preserve">[Client </w:t>
          </w:r>
          <w:r>
            <w:rPr>
              <w:rStyle w:val="PlaceholderText"/>
            </w:rPr>
            <w:t>r</w:t>
          </w:r>
          <w:r w:rsidRPr="00BF319E">
            <w:rPr>
              <w:rStyle w:val="PlaceholderText"/>
            </w:rPr>
            <w:t>eference]</w:t>
          </w:r>
        </w:p>
      </w:docPartBody>
    </w:docPart>
    <w:docPart>
      <w:docPartPr>
        <w:name w:val="C7BC36E7AFE54416869CE305905154FC"/>
        <w:category>
          <w:name w:val="General"/>
          <w:gallery w:val="placeholder"/>
        </w:category>
        <w:types>
          <w:type w:val="bbPlcHdr"/>
        </w:types>
        <w:behaviors>
          <w:behavior w:val="content"/>
        </w:behaviors>
        <w:guid w:val="{37062BB3-BEC8-4744-B376-3F2856EC5F2E}"/>
      </w:docPartPr>
      <w:docPartBody>
        <w:p xmlns:wp14="http://schemas.microsoft.com/office/word/2010/wordml" w:rsidR="008748F2" w:rsidRDefault="008C215C" w14:paraId="7754C539" wp14:textId="77777777">
          <w:pPr>
            <w:pStyle w:val="C7BC36E7AFE54416869CE305905154FC"/>
          </w:pPr>
          <w:r>
            <w:rPr>
              <w:rStyle w:val="PlaceholderText"/>
            </w:rPr>
            <w:t>[</w:t>
          </w:r>
          <w:r w:rsidRPr="00B725EF">
            <w:rPr>
              <w:rStyle w:val="PlaceholderText"/>
            </w:rPr>
            <w:t>Project</w:t>
          </w:r>
          <w:r>
            <w:rPr>
              <w:rStyle w:val="PlaceholderText"/>
            </w:rPr>
            <w:t xml:space="preserve"> n</w:t>
          </w:r>
          <w:r w:rsidRPr="00B725EF">
            <w:rPr>
              <w:rStyle w:val="PlaceholderText"/>
            </w:rPr>
            <w:t>ame</w:t>
          </w:r>
          <w:r>
            <w:rPr>
              <w:rStyle w:val="PlaceholderText"/>
            </w:rPr>
            <w:t>]</w:t>
          </w:r>
        </w:p>
      </w:docPartBody>
    </w:docPart>
    <w:docPart>
      <w:docPartPr>
        <w:name w:val="DB724F4CBEF24B7E949D7E9DED1E5A47"/>
        <w:category>
          <w:name w:val="General"/>
          <w:gallery w:val="placeholder"/>
        </w:category>
        <w:types>
          <w:type w:val="bbPlcHdr"/>
        </w:types>
        <w:behaviors>
          <w:behavior w:val="content"/>
        </w:behaviors>
        <w:guid w:val="{0208B2E5-DCCE-4632-92A0-5E67C5C7E12A}"/>
      </w:docPartPr>
      <w:docPartBody>
        <w:p xmlns:wp14="http://schemas.microsoft.com/office/word/2010/wordml" w:rsidR="008748F2" w:rsidRDefault="008C215C" w14:paraId="52EDB151" wp14:textId="77777777">
          <w:pPr>
            <w:pStyle w:val="DB724F4CBEF24B7E949D7E9DED1E5A47"/>
          </w:pPr>
          <w:r w:rsidRPr="00294874">
            <w:rPr>
              <w:rStyle w:val="PlaceholderText"/>
            </w:rPr>
            <w:t>[Date]</w:t>
          </w:r>
        </w:p>
      </w:docPartBody>
    </w:docPart>
    <w:docPart>
      <w:docPartPr>
        <w:name w:val="B9CCB5D541524E03B9286CC2ECF3C42F"/>
        <w:category>
          <w:name w:val="General"/>
          <w:gallery w:val="placeholder"/>
        </w:category>
        <w:types>
          <w:type w:val="bbPlcHdr"/>
        </w:types>
        <w:behaviors>
          <w:behavior w:val="content"/>
        </w:behaviors>
        <w:guid w:val="{E5BE6F1F-8338-4546-835A-44D36D8DA682}"/>
      </w:docPartPr>
      <w:docPartBody>
        <w:p xmlns:wp14="http://schemas.microsoft.com/office/word/2010/wordml" w:rsidR="008748F2" w:rsidRDefault="008C215C" w14:paraId="4A5383B5" wp14:textId="77777777">
          <w:pPr>
            <w:pStyle w:val="B9CCB5D541524E03B9286CC2ECF3C42F"/>
          </w:pPr>
          <w:r>
            <w:rPr>
              <w:rStyle w:val="PlaceholderText"/>
            </w:rPr>
            <w:t>[</w:t>
          </w:r>
          <w:r w:rsidRPr="00E453EA">
            <w:rPr>
              <w:rStyle w:val="PlaceholderText"/>
            </w:rPr>
            <w:t>Document</w:t>
          </w:r>
          <w:r>
            <w:rPr>
              <w:rStyle w:val="PlaceholderText"/>
            </w:rPr>
            <w:t xml:space="preserve"> t</w:t>
          </w:r>
          <w:r w:rsidRPr="00E453EA">
            <w:rPr>
              <w:rStyle w:val="PlaceholderText"/>
            </w:rPr>
            <w:t>itle</w:t>
          </w:r>
          <w:r>
            <w:rPr>
              <w:rStyle w:val="PlaceholderText"/>
            </w:rPr>
            <w:t>]</w:t>
          </w:r>
        </w:p>
      </w:docPartBody>
    </w:docPart>
    <w:docPart>
      <w:docPartPr>
        <w:name w:val="FE3C1EC4B58C4D9DBA8071A65CC10463"/>
        <w:category>
          <w:name w:val="General"/>
          <w:gallery w:val="placeholder"/>
        </w:category>
        <w:types>
          <w:type w:val="bbPlcHdr"/>
        </w:types>
        <w:behaviors>
          <w:behavior w:val="content"/>
        </w:behaviors>
        <w:guid w:val="{A619C6C5-D823-4D19-B6C6-07A753995062}"/>
      </w:docPartPr>
      <w:docPartBody>
        <w:p xmlns:wp14="http://schemas.microsoft.com/office/word/2010/wordml" w:rsidR="008748F2" w:rsidRDefault="008C215C" w14:paraId="66305D73" wp14:textId="77777777">
          <w:pPr>
            <w:pStyle w:val="FE3C1EC4B58C4D9DBA8071A65CC10463"/>
          </w:pPr>
          <w:r>
            <w:rPr>
              <w:rStyle w:val="PlaceholderText"/>
            </w:rPr>
            <w:t>[Client name]</w:t>
          </w:r>
        </w:p>
      </w:docPartBody>
    </w:docPart>
    <w:docPart>
      <w:docPartPr>
        <w:name w:val="3596BB349B0C49EFBE59A90EEE4B1FBB"/>
        <w:category>
          <w:name w:val="General"/>
          <w:gallery w:val="placeholder"/>
        </w:category>
        <w:types>
          <w:type w:val="bbPlcHdr"/>
        </w:types>
        <w:behaviors>
          <w:behavior w:val="content"/>
        </w:behaviors>
        <w:guid w:val="{3E6F0CE6-6DC6-48BD-91A0-6E8D7A95DED1}"/>
      </w:docPartPr>
      <w:docPartBody>
        <w:p xmlns:wp14="http://schemas.microsoft.com/office/word/2010/wordml" w:rsidR="008748F2" w:rsidRDefault="008C215C" w14:paraId="62E976FF" wp14:textId="77777777">
          <w:pPr>
            <w:pStyle w:val="3596BB349B0C49EFBE59A90EEE4B1FBB"/>
          </w:pPr>
          <w:r>
            <w:rPr>
              <w:rStyle w:val="PlaceholderText"/>
            </w:rPr>
            <w:t>[</w:t>
          </w:r>
          <w:r w:rsidRPr="00E453EA">
            <w:rPr>
              <w:rStyle w:val="PlaceholderText"/>
            </w:rPr>
            <w:t>Project</w:t>
          </w:r>
          <w:r>
            <w:rPr>
              <w:rStyle w:val="PlaceholderText"/>
            </w:rPr>
            <w:t xml:space="preserve"> n</w:t>
          </w:r>
          <w:r w:rsidRPr="00E453EA">
            <w:rPr>
              <w:rStyle w:val="PlaceholderText"/>
            </w:rPr>
            <w:t>ame</w:t>
          </w:r>
          <w:r>
            <w:rPr>
              <w:rStyle w:val="PlaceholderText"/>
            </w:rPr>
            <w:t>]</w:t>
          </w:r>
        </w:p>
      </w:docPartBody>
    </w:docPart>
    <w:docPart>
      <w:docPartPr>
        <w:name w:val="200906F531EB4E04BC4838C57E5E09AD"/>
        <w:category>
          <w:name w:val="General"/>
          <w:gallery w:val="placeholder"/>
        </w:category>
        <w:types>
          <w:type w:val="bbPlcHdr"/>
        </w:types>
        <w:behaviors>
          <w:behavior w:val="content"/>
        </w:behaviors>
        <w:guid w:val="{1A58B29A-502B-4EE8-957E-1702EC9F251C}"/>
      </w:docPartPr>
      <w:docPartBody>
        <w:p xmlns:wp14="http://schemas.microsoft.com/office/word/2010/wordml" w:rsidR="008748F2" w:rsidRDefault="008C215C" w14:paraId="20ECACC3" wp14:textId="77777777">
          <w:pPr>
            <w:pStyle w:val="200906F531EB4E04BC4838C57E5E09AD"/>
          </w:pPr>
          <w:r>
            <w:rPr>
              <w:rStyle w:val="PlaceholderText"/>
            </w:rPr>
            <w:t>[Client reference]</w:t>
          </w:r>
        </w:p>
      </w:docPartBody>
    </w:docPart>
    <w:docPart>
      <w:docPartPr>
        <w:name w:val="9F7CAB4594CD4D0A9D432751DC129995"/>
        <w:category>
          <w:name w:val="General"/>
          <w:gallery w:val="placeholder"/>
        </w:category>
        <w:types>
          <w:type w:val="bbPlcHdr"/>
        </w:types>
        <w:behaviors>
          <w:behavior w:val="content"/>
        </w:behaviors>
        <w:guid w:val="{1F771B7D-77EC-4BE2-A0C8-364D3836275C}"/>
      </w:docPartPr>
      <w:docPartBody>
        <w:p xmlns:wp14="http://schemas.microsoft.com/office/word/2010/wordml" w:rsidR="008748F2" w:rsidRDefault="008C215C" w14:paraId="19639BE4" wp14:textId="77777777">
          <w:pPr>
            <w:pStyle w:val="9F7CAB4594CD4D0A9D432751DC129995"/>
          </w:pPr>
          <w:r>
            <w:rPr>
              <w:rStyle w:val="PlaceholderText"/>
            </w:rPr>
            <w:t>[Project number]</w:t>
          </w:r>
        </w:p>
      </w:docPartBody>
    </w:docPart>
    <w:docPart>
      <w:docPartPr>
        <w:name w:val="55B36186782B4D3E854F5772A5D55BA4"/>
        <w:category>
          <w:name w:val="General"/>
          <w:gallery w:val="placeholder"/>
        </w:category>
        <w:types>
          <w:type w:val="bbPlcHdr"/>
        </w:types>
        <w:behaviors>
          <w:behavior w:val="content"/>
        </w:behaviors>
        <w:guid w:val="{AA4C97DE-76E4-47FC-9B44-EA4917D2E0AB}"/>
      </w:docPartPr>
      <w:docPartBody>
        <w:p xmlns:wp14="http://schemas.microsoft.com/office/word/2010/wordml" w:rsidR="008748F2" w:rsidRDefault="008C215C" w14:paraId="3599278C" wp14:textId="77777777">
          <w:pPr>
            <w:pStyle w:val="55B36186782B4D3E854F5772A5D55BA4"/>
          </w:pPr>
          <w:r>
            <w:rPr>
              <w:rStyle w:val="PlaceholderText"/>
            </w:rPr>
            <w:t>[Document number]</w:t>
          </w:r>
        </w:p>
      </w:docPartBody>
    </w:docPart>
    <w:docPart>
      <w:docPartPr>
        <w:name w:val="174A50088DA74AE188E1F2244C7D752B"/>
        <w:category>
          <w:name w:val="General"/>
          <w:gallery w:val="placeholder"/>
        </w:category>
        <w:types>
          <w:type w:val="bbPlcHdr"/>
        </w:types>
        <w:behaviors>
          <w:behavior w:val="content"/>
        </w:behaviors>
        <w:guid w:val="{0681FD57-F95E-4798-BFAF-623658E0F472}"/>
      </w:docPartPr>
      <w:docPartBody>
        <w:p xmlns:wp14="http://schemas.microsoft.com/office/word/2010/wordml" w:rsidR="008748F2" w:rsidRDefault="008C215C" w14:paraId="46F1FFE9" wp14:textId="77777777">
          <w:pPr>
            <w:pStyle w:val="174A50088DA74AE188E1F2244C7D752B"/>
          </w:pPr>
          <w:r>
            <w:rPr>
              <w:rStyle w:val="PlaceholderText"/>
            </w:rPr>
            <w:t>[Project manager]</w:t>
          </w:r>
        </w:p>
      </w:docPartBody>
    </w:docPart>
    <w:docPart>
      <w:docPartPr>
        <w:name w:val="3187DE8DCFD44BCAA650E6CC64D8F936"/>
        <w:category>
          <w:name w:val="General"/>
          <w:gallery w:val="placeholder"/>
        </w:category>
        <w:types>
          <w:type w:val="bbPlcHdr"/>
        </w:types>
        <w:behaviors>
          <w:behavior w:val="content"/>
        </w:behaviors>
        <w:guid w:val="{E3A585CD-9EDE-4DDE-A5D1-E491464F5F51}"/>
      </w:docPartPr>
      <w:docPartBody>
        <w:p xmlns:wp14="http://schemas.microsoft.com/office/word/2010/wordml" w:rsidR="008748F2" w:rsidRDefault="008C215C" w14:paraId="59A11C67" wp14:textId="77777777">
          <w:pPr>
            <w:pStyle w:val="3187DE8DCFD44BCAA650E6CC64D8F936"/>
          </w:pPr>
          <w:r>
            <w:rPr>
              <w:rStyle w:val="PlaceholderText"/>
            </w:rPr>
            <w:t>[Revision number]</w:t>
          </w:r>
        </w:p>
      </w:docPartBody>
    </w:docPart>
    <w:docPart>
      <w:docPartPr>
        <w:name w:val="ABB50EA02A364D8F923CC202DD623320"/>
        <w:category>
          <w:name w:val="General"/>
          <w:gallery w:val="placeholder"/>
        </w:category>
        <w:types>
          <w:type w:val="bbPlcHdr"/>
        </w:types>
        <w:behaviors>
          <w:behavior w:val="content"/>
        </w:behaviors>
        <w:guid w:val="{A2248FF9-CE14-47BA-AC0A-B55492FDBE50}"/>
      </w:docPartPr>
      <w:docPartBody>
        <w:p xmlns:wp14="http://schemas.microsoft.com/office/word/2010/wordml" w:rsidR="008748F2" w:rsidRDefault="008C215C" w14:paraId="2643FFCD" wp14:textId="77777777">
          <w:pPr>
            <w:pStyle w:val="ABB50EA02A364D8F923CC202DD623320"/>
          </w:pPr>
          <w:r>
            <w:rPr>
              <w:rStyle w:val="PlaceholderText"/>
            </w:rPr>
            <w:t>[Prepared by]</w:t>
          </w:r>
        </w:p>
      </w:docPartBody>
    </w:docPart>
    <w:docPart>
      <w:docPartPr>
        <w:name w:val="1FDA2871D37847C6BC23B6BE0A30255A"/>
        <w:category>
          <w:name w:val="General"/>
          <w:gallery w:val="placeholder"/>
        </w:category>
        <w:types>
          <w:type w:val="bbPlcHdr"/>
        </w:types>
        <w:behaviors>
          <w:behavior w:val="content"/>
        </w:behaviors>
        <w:guid w:val="{B2436891-6B76-4850-8CBE-5A245DD6DD20}"/>
      </w:docPartPr>
      <w:docPartBody>
        <w:p xmlns:wp14="http://schemas.microsoft.com/office/word/2010/wordml" w:rsidR="008748F2" w:rsidRDefault="008C215C" w14:paraId="5F595201" wp14:textId="77777777">
          <w:pPr>
            <w:pStyle w:val="1FDA2871D37847C6BC23B6BE0A30255A"/>
          </w:pPr>
          <w:r>
            <w:rPr>
              <w:rStyle w:val="PlaceholderText"/>
            </w:rPr>
            <w:t>[Date]</w:t>
          </w:r>
        </w:p>
      </w:docPartBody>
    </w:docPart>
    <w:docPart>
      <w:docPartPr>
        <w:name w:val="9BBA76F476C84A1789928CD9F13B6397"/>
        <w:category>
          <w:name w:val="General"/>
          <w:gallery w:val="placeholder"/>
        </w:category>
        <w:types>
          <w:type w:val="bbPlcHdr"/>
        </w:types>
        <w:behaviors>
          <w:behavior w:val="content"/>
        </w:behaviors>
        <w:guid w:val="{5B15F34D-1470-4213-8D56-F429048C9C2E}"/>
      </w:docPartPr>
      <w:docPartBody>
        <w:p xmlns:wp14="http://schemas.microsoft.com/office/word/2010/wordml" w:rsidR="008748F2" w:rsidRDefault="008C215C" w14:paraId="4E173346" wp14:textId="77777777">
          <w:pPr>
            <w:pStyle w:val="9BBA76F476C84A1789928CD9F13B6397"/>
          </w:pPr>
          <w:r>
            <w:rPr>
              <w:rStyle w:val="PlaceholderText"/>
            </w:rPr>
            <w:t>[Doc suitability – Delete row if not applicable]</w:t>
          </w:r>
        </w:p>
      </w:docPartBody>
    </w:docPart>
    <w:docPart>
      <w:docPartPr>
        <w:name w:val="23BB8633E1EF40CFA8E2DB21DDFE495A"/>
        <w:category>
          <w:name w:val="General"/>
          <w:gallery w:val="placeholder"/>
        </w:category>
        <w:types>
          <w:type w:val="bbPlcHdr"/>
        </w:types>
        <w:behaviors>
          <w:behavior w:val="content"/>
        </w:behaviors>
        <w:guid w:val="{5510C730-B5FB-4FAD-8E46-C3CA1275C548}"/>
      </w:docPartPr>
      <w:docPartBody>
        <w:p xmlns:wp14="http://schemas.microsoft.com/office/word/2010/wordml" w:rsidR="008748F2" w:rsidRDefault="008C215C" w14:paraId="069DC95F" wp14:textId="77777777">
          <w:pPr>
            <w:pStyle w:val="23BB8633E1EF40CFA8E2DB21DDFE495A"/>
          </w:pPr>
          <w:r w:rsidRPr="00CC59AA">
            <w:rPr>
              <w:rStyle w:val="PlaceholderText"/>
            </w:rPr>
            <w:t xml:space="preserve">[Legal </w:t>
          </w:r>
          <w:r>
            <w:rPr>
              <w:rStyle w:val="PlaceholderText"/>
            </w:rPr>
            <w:t>e</w:t>
          </w:r>
          <w:r w:rsidRPr="00CC59AA">
            <w:rPr>
              <w:rStyle w:val="PlaceholderText"/>
            </w:rPr>
            <w:t>ntity]</w:t>
          </w:r>
        </w:p>
      </w:docPartBody>
    </w:docPart>
    <w:docPart>
      <w:docPartPr>
        <w:name w:val="30C9BADBCC4C424B890A9B5965783620"/>
        <w:category>
          <w:name w:val="General"/>
          <w:gallery w:val="placeholder"/>
        </w:category>
        <w:types>
          <w:type w:val="bbPlcHdr"/>
        </w:types>
        <w:behaviors>
          <w:behavior w:val="content"/>
        </w:behaviors>
        <w:guid w:val="{5BCC5388-CBE8-4D30-8EF3-CD6EF81FC207}"/>
      </w:docPartPr>
      <w:docPartBody>
        <w:p xmlns:wp14="http://schemas.microsoft.com/office/word/2010/wordml" w:rsidR="008748F2" w:rsidRDefault="008C215C" w14:paraId="324EEBF3" wp14:textId="77777777">
          <w:pPr>
            <w:pStyle w:val="30C9BADBCC4C424B890A9B5965783620"/>
          </w:pPr>
          <w:r w:rsidRPr="00002472">
            <w:rPr>
              <w:rStyle w:val="PlaceholderText"/>
            </w:rPr>
            <w:t>[Address]</w:t>
          </w:r>
        </w:p>
      </w:docPartBody>
    </w:docPart>
    <w:docPart>
      <w:docPartPr>
        <w:name w:val="5AE64C71C8EA4C3DB7104E65556B2196"/>
        <w:category>
          <w:name w:val="General"/>
          <w:gallery w:val="placeholder"/>
        </w:category>
        <w:types>
          <w:type w:val="bbPlcHdr"/>
        </w:types>
        <w:behaviors>
          <w:behavior w:val="content"/>
        </w:behaviors>
        <w:guid w:val="{6B021ECE-1482-4477-9223-8E42F67F6A90}"/>
      </w:docPartPr>
      <w:docPartBody>
        <w:p xmlns:wp14="http://schemas.microsoft.com/office/word/2010/wordml" w:rsidR="008748F2" w:rsidRDefault="008C215C" w14:paraId="72032F13" wp14:textId="77777777">
          <w:pPr>
            <w:pStyle w:val="5AE64C71C8EA4C3DB7104E65556B2196"/>
          </w:pPr>
          <w:r w:rsidRPr="002A3005">
            <w:rPr>
              <w:rStyle w:val="PlaceholderText"/>
            </w:rPr>
            <w:t xml:space="preserve">[Phone </w:t>
          </w:r>
          <w:r>
            <w:rPr>
              <w:rStyle w:val="PlaceholderText"/>
            </w:rPr>
            <w:t>n</w:t>
          </w:r>
          <w:r w:rsidRPr="002A3005">
            <w:rPr>
              <w:rStyle w:val="PlaceholderText"/>
            </w:rPr>
            <w:t>umber]</w:t>
          </w:r>
        </w:p>
      </w:docPartBody>
    </w:docPart>
    <w:docPart>
      <w:docPartPr>
        <w:name w:val="CC55E1F866F24DD78B43BB8B5591BFFB"/>
        <w:category>
          <w:name w:val="General"/>
          <w:gallery w:val="placeholder"/>
        </w:category>
        <w:types>
          <w:type w:val="bbPlcHdr"/>
        </w:types>
        <w:behaviors>
          <w:behavior w:val="content"/>
        </w:behaviors>
        <w:guid w:val="{E151500C-BD75-4199-8B54-5D7F95636D9E}"/>
      </w:docPartPr>
      <w:docPartBody>
        <w:p xmlns:wp14="http://schemas.microsoft.com/office/word/2010/wordml" w:rsidR="008748F2" w:rsidRDefault="008C215C" w14:paraId="5737D4DC" wp14:textId="77777777">
          <w:pPr>
            <w:pStyle w:val="CC55E1F866F24DD78B43BB8B5591BFFB"/>
          </w:pPr>
          <w:r w:rsidRPr="00CC59AA">
            <w:rPr>
              <w:rStyle w:val="PlaceholderText"/>
            </w:rPr>
            <w:t>[Website]</w:t>
          </w:r>
        </w:p>
      </w:docPartBody>
    </w:docPart>
    <w:docPart>
      <w:docPartPr>
        <w:name w:val="015E51819940465CB9ACDA028EBA1AA1"/>
        <w:category>
          <w:name w:val="General"/>
          <w:gallery w:val="placeholder"/>
        </w:category>
        <w:types>
          <w:type w:val="bbPlcHdr"/>
        </w:types>
        <w:behaviors>
          <w:behavior w:val="content"/>
        </w:behaviors>
        <w:guid w:val="{E5FC82AF-AE82-4028-88E3-9154CEF6F38B}"/>
      </w:docPartPr>
      <w:docPartBody>
        <w:p xmlns:wp14="http://schemas.microsoft.com/office/word/2010/wordml" w:rsidR="008748F2" w:rsidRDefault="008C215C" w14:paraId="2CC760F0" wp14:textId="77777777">
          <w:pPr>
            <w:pStyle w:val="015E51819940465CB9ACDA028EBA1AA1"/>
          </w:pPr>
          <w:r w:rsidRPr="00D6538A">
            <w:rPr>
              <w:b/>
              <w:i/>
            </w:rPr>
            <w:t>[Please select a legal entity from the Change Office/Brand option on the Jacobs ribbon]</w:t>
          </w:r>
        </w:p>
      </w:docPartBody>
    </w:docPart>
    <w:docPart>
      <w:docPartPr>
        <w:name w:val="BDE95CF206CB48A9BDD92F4402DDC7AC"/>
        <w:category>
          <w:name w:val="General"/>
          <w:gallery w:val="placeholder"/>
        </w:category>
        <w:types>
          <w:type w:val="bbPlcHdr"/>
        </w:types>
        <w:behaviors>
          <w:behavior w:val="content"/>
        </w:behaviors>
        <w:guid w:val="{A3D71614-C439-4692-BC29-40C462A0BBC6}"/>
      </w:docPartPr>
      <w:docPartBody>
        <w:p xmlns:wp14="http://schemas.microsoft.com/office/word/2010/wordml" w:rsidR="008748F2" w:rsidRDefault="008C215C" w14:paraId="28320F0E" wp14:textId="77777777">
          <w:pPr>
            <w:pStyle w:val="BDE95CF206CB48A9BDD92F4402DDC7AC"/>
          </w:pPr>
          <w:r w:rsidRPr="00DC7723">
            <w:rPr>
              <w:rStyle w:val="PlaceholderText"/>
            </w:rPr>
            <w:t>Choose a building block.</w:t>
          </w:r>
        </w:p>
      </w:docPartBody>
    </w:docPart>
    <w:docPart>
      <w:docPartPr>
        <w:name w:val="4AD2827722224C609E8F8C357B2F237B"/>
        <w:category>
          <w:name w:val="General"/>
          <w:gallery w:val="placeholder"/>
        </w:category>
        <w:types>
          <w:type w:val="bbPlcHdr"/>
        </w:types>
        <w:behaviors>
          <w:behavior w:val="content"/>
        </w:behaviors>
        <w:guid w:val="{E2DC5C29-05BC-4930-BF90-33524FB54A40}"/>
      </w:docPartPr>
      <w:docPartBody>
        <w:p xmlns:wp14="http://schemas.microsoft.com/office/word/2010/wordml" w:rsidR="008748F2" w:rsidRDefault="008C215C" w14:paraId="020F7306" wp14:textId="77777777">
          <w:pPr>
            <w:pStyle w:val="4AD2827722224C609E8F8C357B2F237B"/>
          </w:pPr>
          <w:r w:rsidRPr="00945A88">
            <w:rPr>
              <w:i/>
            </w:rPr>
            <w:t>[Document title]</w:t>
          </w:r>
        </w:p>
      </w:docPartBody>
    </w:docPart>
    <w:docPart>
      <w:docPartPr>
        <w:name w:val="56081B5F2C3E49F6A1C12318084E47CC"/>
        <w:category>
          <w:name w:val="General"/>
          <w:gallery w:val="placeholder"/>
        </w:category>
        <w:types>
          <w:type w:val="bbPlcHdr"/>
        </w:types>
        <w:behaviors>
          <w:behavior w:val="content"/>
        </w:behaviors>
        <w:guid w:val="{9C735B3B-B0A6-46B9-ADAC-A10C697A38CE}"/>
      </w:docPartPr>
      <w:docPartBody>
        <w:p xmlns:wp14="http://schemas.microsoft.com/office/word/2010/wordml" w:rsidR="008748F2" w:rsidRDefault="008C215C" w14:paraId="6845EC49" wp14:textId="77777777">
          <w:pPr>
            <w:pStyle w:val="56081B5F2C3E49F6A1C12318084E47CC"/>
          </w:pPr>
          <w:r w:rsidRPr="000A48CC">
            <w:rPr>
              <w:rStyle w:val="PlaceholderText"/>
            </w:rPr>
            <w:t>[Document n</w:t>
          </w:r>
          <w:r>
            <w:rPr>
              <w:rStyle w:val="PlaceholderText"/>
            </w:rPr>
            <w:t>umber</w:t>
          </w:r>
          <w:r w:rsidRPr="000A48CC">
            <w:rPr>
              <w:rStyle w:val="PlaceholderText"/>
            </w:rPr>
            <w:t>]</w:t>
          </w:r>
        </w:p>
      </w:docPartBody>
    </w:docPart>
    <w:docPart>
      <w:docPartPr>
        <w:name w:val="1CD02F48D30949D180B0F77D1E57221F"/>
        <w:category>
          <w:name w:val="General"/>
          <w:gallery w:val="placeholder"/>
        </w:category>
        <w:types>
          <w:type w:val="bbPlcHdr"/>
        </w:types>
        <w:behaviors>
          <w:behavior w:val="content"/>
        </w:behaviors>
        <w:guid w:val="{FF0D2E88-BC9E-45FD-B3D9-76139170CE8D}"/>
      </w:docPartPr>
      <w:docPartBody>
        <w:p xmlns:wp14="http://schemas.microsoft.com/office/word/2010/wordml" w:rsidR="008748F2" w:rsidRDefault="008C215C" w14:paraId="2939448B" wp14:textId="77777777">
          <w:pPr>
            <w:pStyle w:val="1CD02F48D30949D180B0F77D1E57221F"/>
          </w:pPr>
          <w:r w:rsidRPr="00945A88">
            <w:rPr>
              <w:i/>
            </w:rPr>
            <w:t>[Document title]</w:t>
          </w:r>
        </w:p>
      </w:docPartBody>
    </w:docPart>
    <w:docPart>
      <w:docPartPr>
        <w:name w:val="E9DB9BE913B149B986B4ADFC199F8688"/>
        <w:category>
          <w:name w:val="General"/>
          <w:gallery w:val="placeholder"/>
        </w:category>
        <w:types>
          <w:type w:val="bbPlcHdr"/>
        </w:types>
        <w:behaviors>
          <w:behavior w:val="content"/>
        </w:behaviors>
        <w:guid w:val="{BF213DC6-3395-4E8A-A956-0E926850BB51}"/>
      </w:docPartPr>
      <w:docPartBody>
        <w:p xmlns:wp14="http://schemas.microsoft.com/office/word/2010/wordml" w:rsidR="008748F2" w:rsidRDefault="008C215C" w14:paraId="0B91A173" wp14:textId="77777777">
          <w:pPr>
            <w:pStyle w:val="E9DB9BE913B149B986B4ADFC199F8688"/>
          </w:pPr>
          <w:r w:rsidRPr="00945A88">
            <w:rPr>
              <w:i/>
            </w:rPr>
            <w:t>[Document title]</w:t>
          </w:r>
        </w:p>
      </w:docPartBody>
    </w:docPart>
    <w:docPart>
      <w:docPartPr>
        <w:name w:val="4BABAFC41DD342E59B25F3B846921C3E"/>
        <w:category>
          <w:name w:val="General"/>
          <w:gallery w:val="placeholder"/>
        </w:category>
        <w:types>
          <w:type w:val="bbPlcHdr"/>
        </w:types>
        <w:behaviors>
          <w:behavior w:val="content"/>
        </w:behaviors>
        <w:guid w:val="{0F661439-EBB7-4C14-BB89-070DB8399DC1}"/>
      </w:docPartPr>
      <w:docPartBody>
        <w:p xmlns:wp14="http://schemas.microsoft.com/office/word/2010/wordml" w:rsidR="008748F2" w:rsidRDefault="008C215C" w14:paraId="4ACAF63C" wp14:textId="77777777">
          <w:pPr>
            <w:pStyle w:val="4BABAFC41DD342E59B25F3B846921C3E"/>
          </w:pPr>
          <w:r w:rsidRPr="000A48CC">
            <w:rPr>
              <w:rStyle w:val="PlaceholderText"/>
            </w:rPr>
            <w:t>[Document n</w:t>
          </w:r>
          <w:r>
            <w:rPr>
              <w:rStyle w:val="PlaceholderText"/>
            </w:rPr>
            <w:t>umber</w:t>
          </w:r>
          <w:r w:rsidRPr="000A48C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C"/>
    <w:rsid w:val="000A1011"/>
    <w:rsid w:val="001735A5"/>
    <w:rsid w:val="002254A7"/>
    <w:rsid w:val="00393A00"/>
    <w:rsid w:val="00405DC1"/>
    <w:rsid w:val="00517915"/>
    <w:rsid w:val="00555C77"/>
    <w:rsid w:val="00680206"/>
    <w:rsid w:val="00682D69"/>
    <w:rsid w:val="00714D1A"/>
    <w:rsid w:val="00854D3C"/>
    <w:rsid w:val="008606A1"/>
    <w:rsid w:val="008748F2"/>
    <w:rsid w:val="008C215C"/>
    <w:rsid w:val="008E11DE"/>
    <w:rsid w:val="009E0646"/>
    <w:rsid w:val="00A23B2A"/>
    <w:rsid w:val="00B95DAD"/>
    <w:rsid w:val="00BB1BFD"/>
    <w:rsid w:val="00CD7ED9"/>
    <w:rsid w:val="00E20C2B"/>
    <w:rsid w:val="00E803AD"/>
    <w:rsid w:val="00EF2480"/>
    <w:rsid w:val="00F26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 w:type="paragraph" w:customStyle="1" w:styleId="D778BEF39FB044859CC76C8646F48E77">
    <w:name w:val="D778BEF39FB044859CC76C8646F48E77"/>
  </w:style>
  <w:style w:type="paragraph" w:customStyle="1" w:styleId="EE4C177FB7614CB9BD3526C13CA63905">
    <w:name w:val="EE4C177FB7614CB9BD3526C13CA63905"/>
  </w:style>
  <w:style w:type="paragraph" w:customStyle="1" w:styleId="15C4FE8DEC91426890619924F8D0BF99">
    <w:name w:val="15C4FE8DEC91426890619924F8D0BF99"/>
  </w:style>
  <w:style w:type="paragraph" w:customStyle="1" w:styleId="E7DE2B380E974FB589BA1D6380646DDC">
    <w:name w:val="E7DE2B380E974FB589BA1D6380646DDC"/>
  </w:style>
  <w:style w:type="paragraph" w:customStyle="1" w:styleId="96A2B08A3F754322BE28A7935FD8BF9F">
    <w:name w:val="96A2B08A3F754322BE28A7935FD8BF9F"/>
  </w:style>
  <w:style w:type="paragraph" w:customStyle="1" w:styleId="C7BC36E7AFE54416869CE305905154FC">
    <w:name w:val="C7BC36E7AFE54416869CE305905154FC"/>
  </w:style>
  <w:style w:type="paragraph" w:customStyle="1" w:styleId="DB724F4CBEF24B7E949D7E9DED1E5A47">
    <w:name w:val="DB724F4CBEF24B7E949D7E9DED1E5A47"/>
  </w:style>
  <w:style w:type="paragraph" w:customStyle="1" w:styleId="B9CCB5D541524E03B9286CC2ECF3C42F">
    <w:name w:val="B9CCB5D541524E03B9286CC2ECF3C42F"/>
  </w:style>
  <w:style w:type="paragraph" w:customStyle="1" w:styleId="FE3C1EC4B58C4D9DBA8071A65CC10463">
    <w:name w:val="FE3C1EC4B58C4D9DBA8071A65CC10463"/>
  </w:style>
  <w:style w:type="paragraph" w:customStyle="1" w:styleId="3596BB349B0C49EFBE59A90EEE4B1FBB">
    <w:name w:val="3596BB349B0C49EFBE59A90EEE4B1FBB"/>
  </w:style>
  <w:style w:type="paragraph" w:customStyle="1" w:styleId="200906F531EB4E04BC4838C57E5E09AD">
    <w:name w:val="200906F531EB4E04BC4838C57E5E09AD"/>
  </w:style>
  <w:style w:type="paragraph" w:customStyle="1" w:styleId="9F7CAB4594CD4D0A9D432751DC129995">
    <w:name w:val="9F7CAB4594CD4D0A9D432751DC129995"/>
  </w:style>
  <w:style w:type="paragraph" w:customStyle="1" w:styleId="55B36186782B4D3E854F5772A5D55BA4">
    <w:name w:val="55B36186782B4D3E854F5772A5D55BA4"/>
  </w:style>
  <w:style w:type="paragraph" w:customStyle="1" w:styleId="174A50088DA74AE188E1F2244C7D752B">
    <w:name w:val="174A50088DA74AE188E1F2244C7D752B"/>
  </w:style>
  <w:style w:type="paragraph" w:customStyle="1" w:styleId="3187DE8DCFD44BCAA650E6CC64D8F936">
    <w:name w:val="3187DE8DCFD44BCAA650E6CC64D8F936"/>
  </w:style>
  <w:style w:type="paragraph" w:customStyle="1" w:styleId="ABB50EA02A364D8F923CC202DD623320">
    <w:name w:val="ABB50EA02A364D8F923CC202DD623320"/>
  </w:style>
  <w:style w:type="paragraph" w:customStyle="1" w:styleId="1FDA2871D37847C6BC23B6BE0A30255A">
    <w:name w:val="1FDA2871D37847C6BC23B6BE0A30255A"/>
  </w:style>
  <w:style w:type="paragraph" w:customStyle="1" w:styleId="9BBA76F476C84A1789928CD9F13B6397">
    <w:name w:val="9BBA76F476C84A1789928CD9F13B6397"/>
  </w:style>
  <w:style w:type="paragraph" w:customStyle="1" w:styleId="23BB8633E1EF40CFA8E2DB21DDFE495A">
    <w:name w:val="23BB8633E1EF40CFA8E2DB21DDFE495A"/>
  </w:style>
  <w:style w:type="paragraph" w:customStyle="1" w:styleId="30C9BADBCC4C424B890A9B5965783620">
    <w:name w:val="30C9BADBCC4C424B890A9B5965783620"/>
  </w:style>
  <w:style w:type="paragraph" w:customStyle="1" w:styleId="5AE64C71C8EA4C3DB7104E65556B2196">
    <w:name w:val="5AE64C71C8EA4C3DB7104E65556B2196"/>
  </w:style>
  <w:style w:type="paragraph" w:customStyle="1" w:styleId="CC55E1F866F24DD78B43BB8B5591BFFB">
    <w:name w:val="CC55E1F866F24DD78B43BB8B5591BFFB"/>
  </w:style>
  <w:style w:type="paragraph" w:customStyle="1" w:styleId="015E51819940465CB9ACDA028EBA1AA1">
    <w:name w:val="015E51819940465CB9ACDA028EBA1AA1"/>
  </w:style>
  <w:style w:type="paragraph" w:customStyle="1" w:styleId="BDE95CF206CB48A9BDD92F4402DDC7AC">
    <w:name w:val="BDE95CF206CB48A9BDD92F4402DDC7AC"/>
  </w:style>
  <w:style w:type="paragraph" w:customStyle="1" w:styleId="4AD2827722224C609E8F8C357B2F237B">
    <w:name w:val="4AD2827722224C609E8F8C357B2F237B"/>
  </w:style>
  <w:style w:type="paragraph" w:customStyle="1" w:styleId="56081B5F2C3E49F6A1C12318084E47CC">
    <w:name w:val="56081B5F2C3E49F6A1C12318084E47CC"/>
  </w:style>
  <w:style w:type="paragraph" w:customStyle="1" w:styleId="1CD02F48D30949D180B0F77D1E57221F">
    <w:name w:val="1CD02F48D30949D180B0F77D1E57221F"/>
  </w:style>
  <w:style w:type="paragraph" w:customStyle="1" w:styleId="E9DB9BE913B149B986B4ADFC199F8688">
    <w:name w:val="E9DB9BE913B149B986B4ADFC199F8688"/>
  </w:style>
  <w:style w:type="paragraph" w:customStyle="1" w:styleId="4BABAFC41DD342E59B25F3B846921C3E">
    <w:name w:val="4BABAFC41DD342E59B25F3B846921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10.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Thames Water Utilities Ltd</ClientName>
  <ClientReference xmlns="http://schemas.macroview.com.au/answerfile">EPR/FP3435LA</ClientReference>
  <CopiesTo xmlns="http://schemas.macroview.com.au/answerfile"/>
  <CvFirstNameSurname xmlns="http://schemas.macroview.com.au/answerfile"/>
  <Date xmlns="http://schemas.macroview.com.au/answerfile">2023-03-10T00:00:00</Date>
  <DocumentNumber xmlns="http://schemas.macroview.com.au/answerfile">TW_STC_BRA_08_v2</DocumentNumber>
  <DocumentTitle xmlns="http://schemas.macroview.com.au/answerfile">Maple Lodge STC Bioaerosol Risk Assessment</DocumentTitle>
  <Location xmlns="http://schemas.macroview.com.au/answerfile"/>
  <NumberOfPages xmlns="http://schemas.macroview.com.au/answerfile"/>
  <Participants xmlns="http://schemas.macroview.com.au/answerfile"/>
  <ProjectManager xmlns="http://schemas.macroview.com.au/answerfile">
    <Address>Jacobs, 2nd Floor, Cottons Centre
London, SE1 2QG
GB</Address>
    <Addresses/>
    <CompanyName>CO-0200 Jacobs UK Ltd</CompanyName>
    <Country>GB</Country>
    <EmailAddress>Harindra.Gunasinghe@jacobs.com</EmailAddress>
    <FaxNumber/>
    <FirstName>Harindra</FirstName>
    <FullName>Harindra HG Gunasinghe</FullName>
    <HasSecondOffice>false</HasSecondOffice>
    <Initials>HG</Initials>
    <LastName>Gunasinghe</LastName>
    <LegacyExchangeDN>/o=ExchangeLabs/ou=Exchange Administrative Group (FYDIBOHF23SPDLT)/cn=Recipients/cn=fcffd78664484c9ca28600c0b7bb0432-Gunasinghe,</LegacyExchangeDN>
    <OfficeLocation>UK London - Cottons Lane</OfficeLocation>
    <PhoneNumber>+44 7453 780201</PhoneNumber>
    <Position>Associate Director</Position>
    <PostalAddress1>Jacobs, 2nd Floor, Cottons Centre</PostalAddress1>
    <PostalCity>London</PostalCity>
    <PostalCountry>GB</PostalCountry>
    <PostalPostalCode>SE1 2QG</PostalPostalCode>
    <Salutation>Gunasinghe</Salutation>
    <StreetAddress1>Jacobs, 2nd Floor, Cottons Centre</StreetAddress1>
    <StreetCity>London</StreetCity>
    <StreetCountry>GB</StreetCountry>
    <StreetPostalCode>SE1 2QG</StreetPostalCode>
  </ProjectManager>
  <ProjectName xmlns="http://schemas.macroview.com.au/answerfile">IED STC Permitting</ProjectName>
  <ProjectNumber xmlns="http://schemas.macroview.com.au/answerfile">B22849AM</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Revision 2</RevisionNumber>
  <Sender xmlns="http://schemas.macroview.com.au/answerfile">
    <Address>7th Floor 2 Colmore Square
Birmingham, B4 6BN
GB</Address>
    <Addresses/>
    <CompanyName>CO-0200 Jacobs UK Ltd</CompanyName>
    <Country>GB</Country>
    <EmailAddress>Mark.McAree@jacobs.com</EmailAddress>
    <FaxNumber>+44 174 324 5558</FaxNumber>
    <FirstName>Mark</FirstName>
    <FullName>Mark MA McAree</FullName>
    <HasSecondOffice>false</HasSecondOffice>
    <Initials>MA</Initials>
    <LastName>McAree</LastName>
    <LegacyExchangeDN>/o=ExchangeLabs/ou=Exchange Administrative Group (FYDIBOHF23SPDLT)/cn=Recipients/cn=93ffb80d8e784eebbb1f56a98aaf0cca-McAree, Mar</LegacyExchangeDN>
    <MobileNumber>+44 758 421 5085</MobileNumber>
    <OfficeLocation>UK Birmingham - Colmore Square</OfficeLocation>
    <PhoneNumber>+44 1743 284846</PhoneNumber>
    <Position>Associate Director</Position>
    <PostalAddress1>7th Floor 2 Colmore Square</PostalAddress1>
    <PostalCity>Birmingham</PostalCity>
    <PostalCountry>GB</PostalCountry>
    <PostalPostalCode>B4 6BN</PostalPostalCode>
    <Salutation>McAree</Salutation>
    <StreetAddress1>7th Floor 2 Colmore Square</StreetAddress1>
    <StreetCity>Birmingham</StreetCity>
    <StreetCountry>GB</StreetCountry>
    <StreetPostalCode>B4 6BN</StreetPostalCod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DB856AD7EC0B284DA72C2C895FD77EBF" ma:contentTypeVersion="22" ma:contentTypeDescription="Create a new document." ma:contentTypeScope="" ma:versionID="a1574c5ea1bc1a93f8be557afb935313">
  <xsd:schema xmlns:xsd="http://www.w3.org/2001/XMLSchema" xmlns:xs="http://www.w3.org/2001/XMLSchema" xmlns:p="http://schemas.microsoft.com/office/2006/metadata/properties" xmlns:ns2="662745e8-e224-48e8-a2e3-254862b8c2f5" xmlns:ns3="78ac4774-b708-4235-80ab-c03ed177aceb" xmlns:ns4="b580623a-73b5-4919-a98f-d1e12bc602f0" targetNamespace="http://schemas.microsoft.com/office/2006/metadata/properties" ma:root="true" ma:fieldsID="977ec3c3c205465a5069f79e1b5d9d61" ns2:_="" ns3:_="" ns4:_="">
    <xsd:import namespace="662745e8-e224-48e8-a2e3-254862b8c2f5"/>
    <xsd:import namespace="78ac4774-b708-4235-80ab-c03ed177aceb"/>
    <xsd:import namespace="b580623a-73b5-4919-a98f-d1e12bc602f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ObjectDetectorVersions"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55c45f7-5ffc-4423-bbab-92f681be0b70}" ma:internalName="TaxCatchAll" ma:showField="CatchAllData" ma:web="b580623a-73b5-4919-a98f-d1e12bc602f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55c45f7-5ffc-4423-bbab-92f681be0b70}" ma:internalName="TaxCatchAllLabel" ma:readOnly="true" ma:showField="CatchAllDataLabel" ma:web="b580623a-73b5-4919-a98f-d1e12bc602f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Network" ma:internalName="Team">
      <xsd:simpleType>
        <xsd:restriction base="dms:Text"/>
      </xsd:simpleType>
    </xsd:element>
    <xsd:element name="Topic" ma:index="20" nillable="true" ma:displayName="Topic" ma:default="NPS Appeals 2022_23"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ac4774-b708-4235-80ab-c03ed177ace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dexed="true" ma:internalName="MediaServiceLocation"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80623a-73b5-4919-a98f-d1e12bc602f0"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I d > 0 0 7 9 9 f 1 a - 2 5 1 f - 4 7 f 1 - a e 9 b - 9 c 5 2 6 8 c f 3 4 4 e < / 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 7 t h   F l o o r ,   2   C o l m o r e   S q u a r e  
 3 8   C o l m o r e   C i r c u s ,   Q u e e n s w a y  
 B i r m i n g h a m ,   B 4   6 B N  
 U n i t e d   K i n g d o m < / q 1 : M u l t i l i n e A d d r e s s >  
     < q 1 : N a m e > B i r m i n g h a m < / q 1 : N a m e >  
     < q 1 : P a p e r S i z e   d 2 p 1 : n i l = " t r u e "   x m l n s : d 2 p 1 = " h t t p : / / w w w . w 3 . o r g / 2 0 0 1 / X M L S c h e m a - i n s t a n c e " / >  
     < q 1 : P h o n e N u m b e r > + 4 4   ( 0 ) 1 2 1   2 3 7   4 0 0 0 < / q 1 : P h o n e N u m b e r >  
     < q 1 : P o s t a l A d d r e s s >  
         < q 1 : T y p e > M a i l i n g A d d r e s s < / q 1 : T y p e >  
     < / q 1 : P o s t a l A d d r e s s >  
     < q 1 : P r i v a c y I t e m s / >  
     < q 1 : R e c i p i e n t D e l i v e r y I t e m s / >  
     < q 1 : S a l u t a t i o n I t e m s / >  
     < q 1 : S i g n o f f I t e m s / >  
     < q 1 : S t r e e t A d d r e s s >  
         < q 1 : T y p e > M a i l i n g A d d r e s s < / q 1 : T y p e >  
     < / q 1 : S t r e e t A d d r e s s >  
     < q 1 : T e m p l a t e G r o u p i n g s >  
         < q 1 : s t r i n g > B i r m i n g h a m < / q 1 : s t r i n g >  
         < q 1 : s t r i n g > e n < / q 1 : s t r i n g >  
     < / q 1 : T e m p l a t e G r o u p i n g s >  
     < q 1 : W e b s i t e > w w w . j a c o b s . c o m < / q 1 : W e b s i t e >  
 < / q 1 : O f f i c e > 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NPS Appeals 2022_23</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78ac4774-b708-4235-80ab-c03ed177aceb">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Permitting Service Network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6.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1 6 " ? > < q 1 : B r a n d   x m l n s : q 1 = " h t t p : / / s c h e m a s . m a c r o v i e w . c o m . a u / b r a n d " >  
     < q 1 : G r o u p i n g / >  
     < q 1 : L o g o P a t h > C : \ U s e r s \ m m c a r e e \ A p p D a t a \ R o a m i n g \ M a c r o V i e w . O f f i c e \ F i l e s \ A p p S e t t i n g s \ B r a n d s \ J a c o b s . j p g < / q 1 : L o g o P a t h >  
     < q 1 : N a m e > J a c o b s < / q 1 : N a m e >  
 < / q 1 : B r a n d > 
</file>

<file path=customXml/item9.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Props1.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10.xml><?xml version="1.0" encoding="utf-8"?>
<ds:datastoreItem xmlns:ds="http://schemas.openxmlformats.org/officeDocument/2006/customXml" ds:itemID="{8F33FB8F-8118-4915-86A8-F93B7C2B254E}">
  <ds:schemaRefs>
    <ds:schemaRef ds:uri="http://schemas.macroview.com.au/answerfile"/>
  </ds:schemaRefs>
</ds:datastoreItem>
</file>

<file path=customXml/itemProps11.xml><?xml version="1.0" encoding="utf-8"?>
<ds:datastoreItem xmlns:ds="http://schemas.openxmlformats.org/officeDocument/2006/customXml" ds:itemID="{14955655-334B-4254-9D5B-0D66163608C6}"/>
</file>

<file path=customXml/itemProps12.xml><?xml version="1.0" encoding="utf-8"?>
<ds:datastoreItem xmlns:ds="http://schemas.openxmlformats.org/officeDocument/2006/customXml" ds:itemID="{9A225D1A-9AED-4CB4-A4ED-8999F6D0DD7E}"/>
</file>

<file path=customXml/itemProps2.xml><?xml version="1.0" encoding="utf-8"?>
<ds:datastoreItem xmlns:ds="http://schemas.openxmlformats.org/officeDocument/2006/customXml" ds:itemID="{26410CBF-B42F-4249-81DD-F873721049ED}">
  <ds:schemaRefs>
    <ds:schemaRef ds:uri="http://schemas.macroview.com.au/office"/>
  </ds:schemaRefs>
</ds:datastoreItem>
</file>

<file path=customXml/itemProps3.xml><?xml version="1.0" encoding="utf-8"?>
<ds:datastoreItem xmlns:ds="http://schemas.openxmlformats.org/officeDocument/2006/customXml" ds:itemID="{087FB988-308A-4918-8D65-13EFE8F21FE1}">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9a4f27d9-947f-4e24-9130-c6712ad8b5b4"/>
    <ds:schemaRef ds:uri="http://purl.org/dc/terms/"/>
    <ds:schemaRef ds:uri="http://schemas.microsoft.com/office/2006/metadata/properties"/>
    <ds:schemaRef ds:uri="75602e12-ce63-4ee6-805f-a28497203e87"/>
    <ds:schemaRef ds:uri="http://purl.org/dc/dcmitype/"/>
  </ds:schemaRefs>
</ds:datastoreItem>
</file>

<file path=customXml/itemProps4.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5.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6.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7.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8.xml><?xml version="1.0" encoding="utf-8"?>
<ds:datastoreItem xmlns:ds="http://schemas.openxmlformats.org/officeDocument/2006/customXml" ds:itemID="{1245802F-EF94-4F9C-9C73-E19E932D1A3A}">
  <ds:schemaRefs>
    <ds:schemaRef ds:uri="http://schemas.macroview.com.au/brand"/>
  </ds:schemaRefs>
</ds:datastoreItem>
</file>

<file path=customXml/itemProps9.xml><?xml version="1.0" encoding="utf-8"?>
<ds:datastoreItem xmlns:ds="http://schemas.openxmlformats.org/officeDocument/2006/customXml" ds:itemID="{E6A3563E-6F22-439C-9E07-C09FC7F95C0D}">
  <ds:schemaRefs>
    <ds:schemaRef ds:uri="http://schemas.macroview.com.au/entit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McAree, Mark</dc:creator>
  <cp:keywords/>
  <dc:description/>
  <cp:lastModifiedBy>Carol Getting</cp:lastModifiedBy>
  <cp:revision>25</cp:revision>
  <dcterms:created xsi:type="dcterms:W3CDTF">2023-02-27T12:21:00Z</dcterms:created>
  <dcterms:modified xsi:type="dcterms:W3CDTF">2024-08-30T15:42:30Z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0x010100A5BF1C78D9F64B679A5EBDE1C6598EBC0100DB856AD7EC0B284DA72C2C895FD77EBF</vt:lpwstr>
  </property>
  <property fmtid="{D5CDD505-2E9C-101B-9397-08002B2CF9AE}" pid="4" name="MediaServiceImageTags">
    <vt:lpwstr/>
  </property>
  <property fmtid="{D5CDD505-2E9C-101B-9397-08002B2CF9AE}" pid="5" name="Order">
    <vt:r8>835400</vt:r8>
  </property>
  <property fmtid="{D5CDD505-2E9C-101B-9397-08002B2CF9AE}" pid="6" name="Description0">
    <vt:lpwstr>Maple Lodge Bioaerosol Risk Assessment (word doc)</vt:lpwstr>
  </property>
  <property fmtid="{D5CDD505-2E9C-101B-9397-08002B2CF9AE}" pid="7" name="xd_Signature">
    <vt:bool>false</vt:bool>
  </property>
  <property fmtid="{D5CDD505-2E9C-101B-9397-08002B2CF9AE}" pid="8" name="SiteLoa">
    <vt:lpwstr>Maple Lodge</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Permitstatus">
    <vt:lpwstr>Duly Made</vt:lpwstr>
  </property>
  <property fmtid="{D5CDD505-2E9C-101B-9397-08002B2CF9AE}" pid="13" name="DocumentGroup">
    <vt:lpwstr>Maple Lodge permit application</vt:lpwstr>
  </property>
  <property fmtid="{D5CDD505-2E9C-101B-9397-08002B2CF9AE}" pid="14" name="_ExtendedDescription">
    <vt:lpwstr/>
  </property>
  <property fmtid="{D5CDD505-2E9C-101B-9397-08002B2CF9AE}" pid="15" name="TriggerFlowInfo">
    <vt:lpwstr/>
  </property>
  <property fmtid="{D5CDD505-2E9C-101B-9397-08002B2CF9AE}" pid="16" name="MSIP_Label_7d95f39c-8218-4425-a791-63c9e13c8708_Enabled">
    <vt:lpwstr>true</vt:lpwstr>
  </property>
  <property fmtid="{D5CDD505-2E9C-101B-9397-08002B2CF9AE}" pid="17" name="MSIP_Label_7d95f39c-8218-4425-a791-63c9e13c8708_SetDate">
    <vt:lpwstr>2023-06-28T08:29:21Z</vt:lpwstr>
  </property>
  <property fmtid="{D5CDD505-2E9C-101B-9397-08002B2CF9AE}" pid="18" name="MSIP_Label_7d95f39c-8218-4425-a791-63c9e13c8708_Method">
    <vt:lpwstr>Privileged</vt:lpwstr>
  </property>
  <property fmtid="{D5CDD505-2E9C-101B-9397-08002B2CF9AE}" pid="19" name="MSIP_Label_7d95f39c-8218-4425-a791-63c9e13c8708_Name">
    <vt:lpwstr>7d95f39c-8218-4425-a791-63c9e13c8708</vt:lpwstr>
  </property>
  <property fmtid="{D5CDD505-2E9C-101B-9397-08002B2CF9AE}" pid="20" name="MSIP_Label_7d95f39c-8218-4425-a791-63c9e13c8708_SiteId">
    <vt:lpwstr>37247798-f42c-42fd-8a37-d49c7128d36b</vt:lpwstr>
  </property>
  <property fmtid="{D5CDD505-2E9C-101B-9397-08002B2CF9AE}" pid="21" name="MSIP_Label_7d95f39c-8218-4425-a791-63c9e13c8708_ActionId">
    <vt:lpwstr>d081a98a-7cec-4eee-9056-9bb5cff14bcb</vt:lpwstr>
  </property>
  <property fmtid="{D5CDD505-2E9C-101B-9397-08002B2CF9AE}" pid="22" name="MSIP_Label_7d95f39c-8218-4425-a791-63c9e13c8708_ContentBits">
    <vt:lpwstr>0</vt:lpwstr>
  </property>
  <property fmtid="{D5CDD505-2E9C-101B-9397-08002B2CF9AE}" pid="23" name="Folder_Number">
    <vt:lpwstr/>
  </property>
  <property fmtid="{D5CDD505-2E9C-101B-9397-08002B2CF9AE}" pid="24" name="Folder_Code">
    <vt:lpwstr/>
  </property>
  <property fmtid="{D5CDD505-2E9C-101B-9397-08002B2CF9AE}" pid="25" name="Folder_Name">
    <vt:lpwstr/>
  </property>
  <property fmtid="{D5CDD505-2E9C-101B-9397-08002B2CF9AE}" pid="26" name="Folder_Description">
    <vt:lpwstr/>
  </property>
  <property fmtid="{D5CDD505-2E9C-101B-9397-08002B2CF9AE}" pid="27" name="/Folder_Name/">
    <vt:lpwstr/>
  </property>
  <property fmtid="{D5CDD505-2E9C-101B-9397-08002B2CF9AE}" pid="28" name="/Folder_Description/">
    <vt:lpwstr/>
  </property>
  <property fmtid="{D5CDD505-2E9C-101B-9397-08002B2CF9AE}" pid="29" name="Folder_Version">
    <vt:lpwstr/>
  </property>
  <property fmtid="{D5CDD505-2E9C-101B-9397-08002B2CF9AE}" pid="30" name="Folder_VersionSeq">
    <vt:lpwstr/>
  </property>
  <property fmtid="{D5CDD505-2E9C-101B-9397-08002B2CF9AE}" pid="31" name="Folder_Manager">
    <vt:lpwstr/>
  </property>
  <property fmtid="{D5CDD505-2E9C-101B-9397-08002B2CF9AE}" pid="32" name="Folder_ManagerDesc">
    <vt:lpwstr/>
  </property>
  <property fmtid="{D5CDD505-2E9C-101B-9397-08002B2CF9AE}" pid="33" name="Folder_Storage">
    <vt:lpwstr/>
  </property>
  <property fmtid="{D5CDD505-2E9C-101B-9397-08002B2CF9AE}" pid="34" name="Folder_StorageDesc">
    <vt:lpwstr/>
  </property>
  <property fmtid="{D5CDD505-2E9C-101B-9397-08002B2CF9AE}" pid="35" name="Folder_Creator">
    <vt:lpwstr/>
  </property>
  <property fmtid="{D5CDD505-2E9C-101B-9397-08002B2CF9AE}" pid="36" name="Folder_CreatorDesc">
    <vt:lpwstr/>
  </property>
  <property fmtid="{D5CDD505-2E9C-101B-9397-08002B2CF9AE}" pid="37" name="Folder_CreateDate">
    <vt:lpwstr/>
  </property>
  <property fmtid="{D5CDD505-2E9C-101B-9397-08002B2CF9AE}" pid="38" name="Folder_Updater">
    <vt:lpwstr/>
  </property>
  <property fmtid="{D5CDD505-2E9C-101B-9397-08002B2CF9AE}" pid="39" name="Folder_UpdaterDesc">
    <vt:lpwstr/>
  </property>
  <property fmtid="{D5CDD505-2E9C-101B-9397-08002B2CF9AE}" pid="40" name="Folder_UpdateDate">
    <vt:lpwstr/>
  </property>
  <property fmtid="{D5CDD505-2E9C-101B-9397-08002B2CF9AE}" pid="41" name="Document_Number">
    <vt:lpwstr/>
  </property>
  <property fmtid="{D5CDD505-2E9C-101B-9397-08002B2CF9AE}" pid="42" name="Document_Name">
    <vt:lpwstr/>
  </property>
  <property fmtid="{D5CDD505-2E9C-101B-9397-08002B2CF9AE}" pid="43" name="Document_FileName">
    <vt:lpwstr/>
  </property>
  <property fmtid="{D5CDD505-2E9C-101B-9397-08002B2CF9AE}" pid="44" name="Document_Version">
    <vt:lpwstr/>
  </property>
  <property fmtid="{D5CDD505-2E9C-101B-9397-08002B2CF9AE}" pid="45" name="Document_VersionSeq">
    <vt:lpwstr/>
  </property>
  <property fmtid="{D5CDD505-2E9C-101B-9397-08002B2CF9AE}" pid="46" name="Document_Creator">
    <vt:lpwstr/>
  </property>
  <property fmtid="{D5CDD505-2E9C-101B-9397-08002B2CF9AE}" pid="47" name="Document_CreatorDesc">
    <vt:lpwstr/>
  </property>
  <property fmtid="{D5CDD505-2E9C-101B-9397-08002B2CF9AE}" pid="48" name="Document_CreateDate">
    <vt:lpwstr/>
  </property>
  <property fmtid="{D5CDD505-2E9C-101B-9397-08002B2CF9AE}" pid="49" name="Document_Updater">
    <vt:lpwstr/>
  </property>
  <property fmtid="{D5CDD505-2E9C-101B-9397-08002B2CF9AE}" pid="50" name="Document_UpdaterDesc">
    <vt:lpwstr/>
  </property>
  <property fmtid="{D5CDD505-2E9C-101B-9397-08002B2CF9AE}" pid="51" name="Document_UpdateDate">
    <vt:lpwstr/>
  </property>
  <property fmtid="{D5CDD505-2E9C-101B-9397-08002B2CF9AE}" pid="52" name="Document_Size">
    <vt:lpwstr/>
  </property>
  <property fmtid="{D5CDD505-2E9C-101B-9397-08002B2CF9AE}" pid="53" name="Document_Storage">
    <vt:lpwstr/>
  </property>
  <property fmtid="{D5CDD505-2E9C-101B-9397-08002B2CF9AE}" pid="54" name="Document_StorageDesc">
    <vt:lpwstr/>
  </property>
  <property fmtid="{D5CDD505-2E9C-101B-9397-08002B2CF9AE}" pid="55" name="Document_Department">
    <vt:lpwstr/>
  </property>
  <property fmtid="{D5CDD505-2E9C-101B-9397-08002B2CF9AE}" pid="56" name="Document_DepartmentDesc">
    <vt:lpwstr/>
  </property>
  <property fmtid="{D5CDD505-2E9C-101B-9397-08002B2CF9AE}" pid="57" name="Distribution">
    <vt:lpwstr>9;#External|1104eb68-55d8-494f-b6ba-c5473579de73</vt:lpwstr>
  </property>
  <property fmtid="{D5CDD505-2E9C-101B-9397-08002B2CF9AE}" pid="58" name="HOCopyrightLevel">
    <vt:lpwstr>7;#Crown|69589897-2828-4761-976e-717fd8e631c9</vt:lpwstr>
  </property>
  <property fmtid="{D5CDD505-2E9C-101B-9397-08002B2CF9AE}" pid="59" name="HOGovernmentSecurityClassification">
    <vt:lpwstr>6;#Official|14c80daa-741b-422c-9722-f71693c9ede4</vt:lpwstr>
  </property>
  <property fmtid="{D5CDD505-2E9C-101B-9397-08002B2CF9AE}" pid="60" name="OrganisationalUnit">
    <vt:lpwstr>8;#EA|d5f78ddb-b1b6-4328-9877-d7e3ed06fdac</vt:lpwstr>
  </property>
  <property fmtid="{D5CDD505-2E9C-101B-9397-08002B2CF9AE}" pid="61" name="HOSiteType">
    <vt:lpwstr>10;#Community|144ac7d7-0b9a-42f9-9385-2935294b6de3</vt:lpwstr>
  </property>
  <property fmtid="{D5CDD505-2E9C-101B-9397-08002B2CF9AE}" pid="62" name="InformationType">
    <vt:lpwstr/>
  </property>
</Properties>
</file>