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5080" w14:textId="77777777" w:rsidR="00E909BB" w:rsidRPr="002012E1" w:rsidRDefault="009D534B" w:rsidP="006E6E2A">
      <w:pPr>
        <w:pStyle w:val="Footer"/>
        <w:rPr>
          <w:rFonts w:ascii="Georgia" w:hAnsi="Georgia"/>
          <w:b/>
          <w:szCs w:val="24"/>
        </w:rPr>
      </w:pPr>
      <w:r>
        <w:rPr>
          <w:rFonts w:ascii="Georgia" w:hAnsi="Georgia"/>
          <w:b/>
          <w:szCs w:val="24"/>
        </w:rPr>
        <w:t xml:space="preserve"> </w:t>
      </w:r>
    </w:p>
    <w:p w14:paraId="55B52095" w14:textId="77777777" w:rsidR="00E909BB" w:rsidRPr="00660DC6" w:rsidRDefault="00E909BB" w:rsidP="00660DC6">
      <w:pPr>
        <w:ind w:left="2880" w:firstLine="720"/>
        <w:rPr>
          <w:rFonts w:ascii="Georgia" w:hAnsi="Georgia" w:cs="Arial"/>
          <w:b/>
          <w:bCs/>
        </w:rPr>
      </w:pPr>
    </w:p>
    <w:p w14:paraId="20AFC50E" w14:textId="65DEA9C0" w:rsidR="00E909BB" w:rsidRDefault="00F7715D" w:rsidP="00660DC6">
      <w:pPr>
        <w:rPr>
          <w:rFonts w:ascii="Georgia" w:hAnsi="Georgia" w:cs="Arial"/>
          <w:b/>
          <w:bCs/>
        </w:rPr>
      </w:pPr>
      <w:r>
        <w:rPr>
          <w:noProof/>
        </w:rPr>
        <mc:AlternateContent>
          <mc:Choice Requires="wps">
            <w:drawing>
              <wp:anchor distT="0" distB="0" distL="114300" distR="114300" simplePos="0" relativeHeight="251657216" behindDoc="0" locked="0" layoutInCell="1" allowOverlap="1" wp14:anchorId="28A39D08" wp14:editId="19D6F0C0">
                <wp:simplePos x="0" y="0"/>
                <wp:positionH relativeFrom="column">
                  <wp:posOffset>2171700</wp:posOffset>
                </wp:positionH>
                <wp:positionV relativeFrom="paragraph">
                  <wp:posOffset>166370</wp:posOffset>
                </wp:positionV>
                <wp:extent cx="3200400" cy="80010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14:paraId="3F6CDCC0" w14:textId="77777777" w:rsidR="00AE6EDA" w:rsidRPr="001A28FC" w:rsidRDefault="00AE6EDA" w:rsidP="00E81B2E">
                            <w:pPr>
                              <w:pStyle w:val="Title"/>
                              <w:ind w:left="3600" w:hanging="3600"/>
                              <w:jc w:val="left"/>
                              <w:rPr>
                                <w:rFonts w:ascii="Georgia" w:hAnsi="Georgia"/>
                              </w:rPr>
                            </w:pPr>
                            <w:r w:rsidRPr="00BB027F">
                              <w:rPr>
                                <w:rFonts w:ascii="Georgia" w:hAnsi="Georgia"/>
                                <w:sz w:val="24"/>
                              </w:rPr>
                              <w:t xml:space="preserve">FIRST - TIER TRIBUNAL </w:t>
                            </w:r>
                          </w:p>
                          <w:p w14:paraId="4E5D7EED" w14:textId="2FF22805" w:rsidR="00AE6EDA" w:rsidRDefault="00AE6EDA" w:rsidP="00E81B2E">
                            <w:r w:rsidRPr="00BB027F">
                              <w:rPr>
                                <w:rFonts w:ascii="Georgia" w:hAnsi="Georgia"/>
                                <w:b/>
                              </w:rPr>
                              <w:t>PROPERTY CHAMBER        (RESDENTIAL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39D08" id="_x0000_t202" coordsize="21600,21600" o:spt="202" path="m,l,21600r21600,l21600,xe">
                <v:stroke joinstyle="miter"/>
                <v:path gradientshapeok="t" o:connecttype="rect"/>
              </v:shapetype>
              <v:shape id="Text Box 44" o:spid="_x0000_s1026" type="#_x0000_t202" style="position:absolute;margin-left:171pt;margin-top:13.1pt;width:252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" filled="f" stroked="f">
                <v:textbox>
                  <w:txbxContent>
                    <w:p w14:paraId="3F6CDCC0" w14:textId="77777777" w:rsidR="00AE6EDA" w:rsidRPr="001A28FC" w:rsidRDefault="00AE6EDA" w:rsidP="00E81B2E">
                      <w:pPr>
                        <w:pStyle w:val="Title"/>
                        <w:ind w:left="3600" w:hanging="3600"/>
                        <w:jc w:val="left"/>
                        <w:rPr>
                          <w:rFonts w:ascii="Georgia" w:hAnsi="Georgia"/>
                        </w:rPr>
                      </w:pPr>
                      <w:r w:rsidRPr="00BB027F">
                        <w:rPr>
                          <w:rFonts w:ascii="Georgia" w:hAnsi="Georgia"/>
                          <w:sz w:val="24"/>
                        </w:rPr>
                        <w:t xml:space="preserve">FIRST - TIER TRIBUNAL </w:t>
                      </w:r>
                    </w:p>
                    <w:p w14:paraId="4E5D7EED" w14:textId="2FF22805" w:rsidR="00AE6EDA" w:rsidRDefault="00AE6EDA" w:rsidP="00E81B2E">
                      <w:r w:rsidRPr="00BB027F">
                        <w:rPr>
                          <w:rFonts w:ascii="Georgia" w:hAnsi="Georgia"/>
                          <w:b/>
                        </w:rPr>
                        <w:t>PROPERTY CHAMBER        (RESDENTIAL PROPERTY)</w:t>
                      </w:r>
                    </w:p>
                  </w:txbxContent>
                </v:textbox>
              </v:shape>
            </w:pict>
          </mc:Fallback>
        </mc:AlternateContent>
      </w:r>
    </w:p>
    <w:p w14:paraId="12276429" w14:textId="0A51BF0B" w:rsidR="00E909BB" w:rsidRPr="00BB027F" w:rsidRDefault="00F7715D" w:rsidP="001A28FC">
      <w:pPr>
        <w:tabs>
          <w:tab w:val="left" w:pos="1620"/>
          <w:tab w:val="center" w:pos="4678"/>
        </w:tabs>
        <w:ind w:left="3600" w:hanging="3600"/>
        <w:rPr>
          <w:rFonts w:ascii="Georgia" w:hAnsi="Georgia"/>
          <w:b/>
        </w:rPr>
      </w:pPr>
      <w:r>
        <w:rPr>
          <w:rFonts w:ascii="Georgia" w:hAnsi="Georgia"/>
          <w:noProof/>
          <w:lang w:val="en-US"/>
        </w:rPr>
        <w:drawing>
          <wp:inline distT="0" distB="0" distL="0" distR="0" wp14:anchorId="5FD242A1" wp14:editId="229D5EFC">
            <wp:extent cx="908050" cy="762000"/>
            <wp:effectExtent l="0" t="0" r="0" b="0"/>
            <wp:docPr id="1" name="Picture 1" descr="Description: Descripti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050" cy="762000"/>
                    </a:xfrm>
                    <a:prstGeom prst="rect">
                      <a:avLst/>
                    </a:prstGeom>
                    <a:noFill/>
                    <a:ln>
                      <a:noFill/>
                    </a:ln>
                  </pic:spPr>
                </pic:pic>
              </a:graphicData>
            </a:graphic>
          </wp:inline>
        </w:drawing>
      </w:r>
      <w:r w:rsidR="00E909BB">
        <w:rPr>
          <w:rFonts w:ascii="Georgia" w:hAnsi="Georgia"/>
        </w:rPr>
        <w:tab/>
      </w:r>
      <w:r w:rsidR="00E01080">
        <w:rPr>
          <w:rFonts w:ascii="Georgia" w:hAnsi="Georgia"/>
        </w:rPr>
        <w:tab/>
      </w:r>
    </w:p>
    <w:p w14:paraId="572CED95" w14:textId="77777777" w:rsidR="001D785F" w:rsidRDefault="001D785F" w:rsidP="00BE3B7D">
      <w:pPr>
        <w:rPr>
          <w:rFonts w:ascii="Georgia" w:hAnsi="Georgia" w:cs="Arial"/>
          <w:b/>
        </w:rPr>
      </w:pPr>
    </w:p>
    <w:p w14:paraId="71A35BF2" w14:textId="77777777" w:rsidR="001C3033" w:rsidRDefault="001C3033" w:rsidP="001120A3">
      <w:pPr>
        <w:jc w:val="center"/>
        <w:rPr>
          <w:rFonts w:ascii="Georgia" w:hAnsi="Georgia" w:cs="Arial"/>
          <w:b/>
        </w:rPr>
      </w:pPr>
    </w:p>
    <w:p w14:paraId="6C7C975C" w14:textId="67D3795E" w:rsidR="00484CC0" w:rsidRPr="009D1E54" w:rsidRDefault="00484CC0" w:rsidP="00484CC0">
      <w:pPr>
        <w:rPr>
          <w:rFonts w:ascii="Georgia" w:hAnsi="Georgia" w:cs="Arial"/>
          <w:b/>
          <w:bCs/>
        </w:rPr>
      </w:pPr>
      <w:r w:rsidRPr="009D1E54">
        <w:rPr>
          <w:rFonts w:ascii="Georgia" w:hAnsi="Georgia" w:cs="Arial"/>
          <w:b/>
          <w:bCs/>
        </w:rPr>
        <w:t>Case Reference</w:t>
      </w:r>
      <w:r w:rsidRPr="009D1E54">
        <w:rPr>
          <w:rFonts w:ascii="Georgia" w:hAnsi="Georgia" w:cs="Arial"/>
          <w:b/>
          <w:bCs/>
        </w:rPr>
        <w:tab/>
      </w:r>
      <w:r w:rsidRPr="009D1E54">
        <w:rPr>
          <w:rFonts w:ascii="Georgia" w:hAnsi="Georgia" w:cs="Arial"/>
          <w:b/>
          <w:bCs/>
        </w:rPr>
        <w:tab/>
        <w:t>:</w:t>
      </w:r>
      <w:r w:rsidR="00E3497A">
        <w:rPr>
          <w:rFonts w:ascii="Georgia" w:hAnsi="Georgia" w:cs="Arial"/>
          <w:b/>
          <w:bCs/>
        </w:rPr>
        <w:tab/>
      </w:r>
      <w:r w:rsidR="00336A90">
        <w:rPr>
          <w:rFonts w:ascii="Georgia" w:hAnsi="Georgia" w:cs="Arial"/>
          <w:b/>
          <w:bCs/>
        </w:rPr>
        <w:t>CAM/38UC/HMJ/2024/0005</w:t>
      </w:r>
      <w:r w:rsidRPr="009D1E54">
        <w:rPr>
          <w:rFonts w:ascii="Georgia" w:hAnsi="Georgia" w:cs="Arial"/>
          <w:b/>
          <w:bCs/>
        </w:rPr>
        <w:tab/>
      </w:r>
    </w:p>
    <w:p w14:paraId="3B96D2D4" w14:textId="77777777" w:rsidR="00484CC0" w:rsidRPr="009D1E54" w:rsidRDefault="00484CC0" w:rsidP="00940D74">
      <w:pPr>
        <w:rPr>
          <w:rFonts w:ascii="Georgia" w:hAnsi="Georgia" w:cs="Arial"/>
          <w:b/>
          <w:bCs/>
        </w:rPr>
      </w:pPr>
    </w:p>
    <w:p w14:paraId="676383BA" w14:textId="052BB4E2" w:rsidR="00484CC0" w:rsidRPr="009D1E54" w:rsidRDefault="00484CC0" w:rsidP="00BB39BB">
      <w:pPr>
        <w:ind w:left="3600" w:hanging="3600"/>
        <w:rPr>
          <w:rFonts w:ascii="Georgia" w:hAnsi="Georgia" w:cs="Arial"/>
          <w:b/>
          <w:bCs/>
        </w:rPr>
      </w:pPr>
      <w:r w:rsidRPr="009D1E54">
        <w:rPr>
          <w:rFonts w:ascii="Georgia" w:hAnsi="Georgia" w:cs="Arial"/>
          <w:b/>
          <w:bCs/>
        </w:rPr>
        <w:t>Property                             :</w:t>
      </w:r>
      <w:r w:rsidRPr="009D1E54">
        <w:rPr>
          <w:rFonts w:ascii="Georgia" w:hAnsi="Georgia" w:cs="Arial"/>
          <w:b/>
          <w:bCs/>
        </w:rPr>
        <w:tab/>
      </w:r>
      <w:r w:rsidR="00F22362">
        <w:rPr>
          <w:rFonts w:ascii="Georgia" w:hAnsi="Georgia" w:cs="Arial"/>
          <w:b/>
          <w:bCs/>
        </w:rPr>
        <w:t>261A Banbury Road, Oxford, OX2 7HN</w:t>
      </w:r>
    </w:p>
    <w:p w14:paraId="6FC16670" w14:textId="77777777" w:rsidR="00484CC0" w:rsidRPr="009D1E54" w:rsidRDefault="00484CC0" w:rsidP="00484CC0">
      <w:pPr>
        <w:ind w:right="757"/>
        <w:rPr>
          <w:rFonts w:ascii="Georgia" w:hAnsi="Georgia" w:cs="Arial"/>
          <w:b/>
          <w:bCs/>
        </w:rPr>
      </w:pPr>
    </w:p>
    <w:p w14:paraId="6308B9DF" w14:textId="77777777" w:rsidR="00E01080" w:rsidRDefault="00484CC0" w:rsidP="00BB39BB">
      <w:pPr>
        <w:ind w:left="2880" w:right="757" w:hanging="2880"/>
        <w:rPr>
          <w:rFonts w:ascii="Georgia" w:hAnsi="Georgia" w:cs="Arial"/>
          <w:b/>
          <w:bCs/>
        </w:rPr>
      </w:pPr>
      <w:r>
        <w:rPr>
          <w:rFonts w:ascii="Georgia" w:hAnsi="Georgia" w:cs="Arial"/>
          <w:b/>
          <w:bCs/>
        </w:rPr>
        <w:t>Applicant</w:t>
      </w:r>
      <w:r w:rsidR="00F22362">
        <w:rPr>
          <w:rFonts w:ascii="Georgia" w:hAnsi="Georgia" w:cs="Arial"/>
          <w:b/>
          <w:bCs/>
        </w:rPr>
        <w:t>s</w:t>
      </w:r>
      <w:r w:rsidR="007D6C5C">
        <w:rPr>
          <w:rFonts w:ascii="Georgia" w:hAnsi="Georgia" w:cs="Arial"/>
          <w:b/>
          <w:bCs/>
        </w:rPr>
        <w:tab/>
      </w:r>
      <w:r w:rsidRPr="009D1E54">
        <w:rPr>
          <w:rFonts w:ascii="Georgia" w:hAnsi="Georgia" w:cs="Arial"/>
          <w:b/>
          <w:bCs/>
        </w:rPr>
        <w:t>:</w:t>
      </w:r>
      <w:r>
        <w:rPr>
          <w:rFonts w:ascii="Georgia" w:hAnsi="Georgia" w:cs="Arial"/>
          <w:b/>
          <w:bCs/>
        </w:rPr>
        <w:tab/>
      </w:r>
      <w:r w:rsidR="00FB22E9">
        <w:rPr>
          <w:rFonts w:ascii="Georgia" w:hAnsi="Georgia" w:cs="Arial"/>
          <w:b/>
          <w:bCs/>
        </w:rPr>
        <w:t>Ya-Ling Hsiao and E</w:t>
      </w:r>
      <w:r w:rsidR="00E01080">
        <w:rPr>
          <w:rFonts w:ascii="Georgia" w:hAnsi="Georgia" w:cs="Arial"/>
          <w:b/>
          <w:bCs/>
        </w:rPr>
        <w:t xml:space="preserve">rnesto </w:t>
      </w:r>
    </w:p>
    <w:p w14:paraId="7D2ED02B" w14:textId="20366303" w:rsidR="00484CC0" w:rsidRPr="00BB39BB" w:rsidRDefault="00E01080" w:rsidP="00BB39BB">
      <w:pPr>
        <w:ind w:left="2880" w:right="757" w:hanging="2880"/>
        <w:rPr>
          <w:rFonts w:ascii="Georgia" w:hAnsi="Georgia" w:cs="Arial"/>
          <w:b/>
          <w:bCs/>
        </w:rPr>
      </w:pPr>
      <w:r>
        <w:rPr>
          <w:rFonts w:ascii="Georgia" w:hAnsi="Georgia" w:cs="Arial"/>
          <w:b/>
          <w:bCs/>
        </w:rPr>
        <w:t xml:space="preserve">    </w:t>
      </w:r>
      <w:r>
        <w:rPr>
          <w:rFonts w:ascii="Georgia" w:hAnsi="Georgia" w:cs="Arial"/>
          <w:b/>
          <w:bCs/>
        </w:rPr>
        <w:tab/>
      </w:r>
      <w:r>
        <w:rPr>
          <w:rFonts w:ascii="Georgia" w:hAnsi="Georgia" w:cs="Arial"/>
          <w:b/>
          <w:bCs/>
        </w:rPr>
        <w:tab/>
        <w:t>Carrella</w:t>
      </w:r>
      <w:r w:rsidR="00484CC0" w:rsidRPr="009D1E54">
        <w:rPr>
          <w:rFonts w:ascii="Georgia" w:hAnsi="Georgia" w:cs="Arial"/>
          <w:b/>
          <w:bCs/>
          <w:color w:val="FF0000"/>
        </w:rPr>
        <w:tab/>
      </w:r>
    </w:p>
    <w:p w14:paraId="5AD88A0E" w14:textId="77777777" w:rsidR="00484CC0" w:rsidRDefault="00484CC0" w:rsidP="00940D74">
      <w:pPr>
        <w:rPr>
          <w:rFonts w:ascii="Georgia" w:hAnsi="Georgia" w:cs="Arial"/>
          <w:b/>
          <w:bCs/>
        </w:rPr>
      </w:pPr>
    </w:p>
    <w:p w14:paraId="7AE1E9FC" w14:textId="493614B8" w:rsidR="00C17171" w:rsidRDefault="00C17171" w:rsidP="00BB39BB">
      <w:pPr>
        <w:ind w:left="3544" w:hanging="3544"/>
        <w:rPr>
          <w:rFonts w:ascii="Georgia" w:hAnsi="Georgia" w:cs="Arial"/>
          <w:b/>
          <w:bCs/>
        </w:rPr>
      </w:pPr>
      <w:r>
        <w:rPr>
          <w:rFonts w:ascii="Georgia" w:hAnsi="Georgia" w:cs="Arial"/>
          <w:b/>
          <w:bCs/>
        </w:rPr>
        <w:t>Represented by                  :</w:t>
      </w:r>
      <w:r w:rsidR="00B86D28">
        <w:rPr>
          <w:rFonts w:ascii="Georgia" w:hAnsi="Georgia" w:cs="Arial"/>
          <w:b/>
          <w:bCs/>
        </w:rPr>
        <w:tab/>
        <w:t>Jamie M</w:t>
      </w:r>
      <w:r w:rsidR="002F0C0C">
        <w:rPr>
          <w:rFonts w:ascii="Georgia" w:hAnsi="Georgia" w:cs="Arial"/>
          <w:b/>
          <w:bCs/>
        </w:rPr>
        <w:t>cGowan, Justice for Tenants</w:t>
      </w:r>
    </w:p>
    <w:p w14:paraId="4E069083" w14:textId="77777777" w:rsidR="002F0C0C" w:rsidRDefault="002F0C0C" w:rsidP="00BB39BB">
      <w:pPr>
        <w:ind w:left="3544" w:hanging="3544"/>
        <w:rPr>
          <w:rFonts w:ascii="Georgia" w:hAnsi="Georgia" w:cs="Arial"/>
          <w:b/>
          <w:bCs/>
        </w:rPr>
      </w:pPr>
    </w:p>
    <w:p w14:paraId="4DAD623F" w14:textId="507A3221" w:rsidR="00C75FF9" w:rsidRDefault="00484CC0" w:rsidP="00BB39BB">
      <w:pPr>
        <w:ind w:left="3544" w:hanging="3544"/>
        <w:rPr>
          <w:rFonts w:ascii="Georgia" w:hAnsi="Georgia" w:cs="Arial"/>
          <w:b/>
          <w:bCs/>
        </w:rPr>
      </w:pPr>
      <w:r>
        <w:rPr>
          <w:rFonts w:ascii="Georgia" w:hAnsi="Georgia" w:cs="Arial"/>
          <w:b/>
          <w:bCs/>
        </w:rPr>
        <w:t>Respondent</w:t>
      </w:r>
      <w:r w:rsidR="00557100">
        <w:rPr>
          <w:rFonts w:ascii="Georgia" w:hAnsi="Georgia" w:cs="Arial"/>
          <w:b/>
          <w:bCs/>
        </w:rPr>
        <w:t>s</w:t>
      </w:r>
      <w:r w:rsidRPr="009D1E54">
        <w:rPr>
          <w:rFonts w:ascii="Georgia" w:hAnsi="Georgia" w:cs="Arial"/>
          <w:b/>
          <w:bCs/>
        </w:rPr>
        <w:t xml:space="preserve">                     </w:t>
      </w:r>
      <w:r w:rsidR="007D6C5C">
        <w:rPr>
          <w:rFonts w:ascii="Georgia" w:hAnsi="Georgia" w:cs="Arial"/>
          <w:b/>
          <w:bCs/>
        </w:rPr>
        <w:t xml:space="preserve">  </w:t>
      </w:r>
      <w:r w:rsidRPr="009D1E54">
        <w:rPr>
          <w:rFonts w:ascii="Georgia" w:hAnsi="Georgia" w:cs="Arial"/>
          <w:b/>
          <w:bCs/>
        </w:rPr>
        <w:t>:</w:t>
      </w:r>
      <w:r w:rsidR="00C75FF9">
        <w:rPr>
          <w:rFonts w:ascii="Georgia" w:hAnsi="Georgia" w:cs="Arial"/>
          <w:b/>
          <w:bCs/>
        </w:rPr>
        <w:tab/>
        <w:t>(1)</w:t>
      </w:r>
      <w:r w:rsidR="00557100">
        <w:rPr>
          <w:rFonts w:ascii="Georgia" w:hAnsi="Georgia" w:cs="Arial"/>
          <w:b/>
          <w:bCs/>
        </w:rPr>
        <w:t xml:space="preserve">Ladbrokes Betting </w:t>
      </w:r>
      <w:r w:rsidR="001717E1">
        <w:rPr>
          <w:rFonts w:ascii="Georgia" w:hAnsi="Georgia" w:cs="Arial"/>
          <w:b/>
          <w:bCs/>
        </w:rPr>
        <w:t>&amp; Gaming Limited</w:t>
      </w:r>
    </w:p>
    <w:p w14:paraId="26BBBC13" w14:textId="77777777" w:rsidR="003140D9" w:rsidRDefault="003140D9" w:rsidP="00BB39BB">
      <w:pPr>
        <w:ind w:left="3544" w:hanging="3544"/>
        <w:rPr>
          <w:rFonts w:ascii="Georgia" w:hAnsi="Georgia" w:cs="Arial"/>
          <w:b/>
          <w:bCs/>
        </w:rPr>
      </w:pPr>
    </w:p>
    <w:p w14:paraId="6CB564D1" w14:textId="5163A63A" w:rsidR="00484CC0" w:rsidRDefault="00C75FF9" w:rsidP="00BB39BB">
      <w:pPr>
        <w:ind w:left="3544" w:hanging="3544"/>
        <w:rPr>
          <w:rFonts w:ascii="Georgia" w:hAnsi="Georgia" w:cs="Arial"/>
          <w:b/>
          <w:bCs/>
        </w:rPr>
      </w:pPr>
      <w:r>
        <w:rPr>
          <w:rFonts w:ascii="Georgia" w:hAnsi="Georgia" w:cs="Arial"/>
          <w:b/>
          <w:bCs/>
        </w:rPr>
        <w:tab/>
        <w:t>(2) Zakir Mumtaz</w:t>
      </w:r>
      <w:r w:rsidR="001717E1">
        <w:rPr>
          <w:rFonts w:ascii="Georgia" w:hAnsi="Georgia" w:cs="Arial"/>
          <w:b/>
          <w:bCs/>
        </w:rPr>
        <w:t xml:space="preserve"> </w:t>
      </w:r>
    </w:p>
    <w:p w14:paraId="6ABD499A" w14:textId="3B29DD80" w:rsidR="00484CC0" w:rsidRPr="003140D9" w:rsidRDefault="00484CC0" w:rsidP="003140D9">
      <w:pPr>
        <w:rPr>
          <w:rFonts w:ascii="Georgia" w:hAnsi="Georgia" w:cs="Arial"/>
          <w:b/>
          <w:bCs/>
        </w:rPr>
      </w:pP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r w:rsidRPr="009D1E54">
        <w:rPr>
          <w:rFonts w:ascii="Georgia" w:hAnsi="Georgia" w:cs="Arial"/>
          <w:b/>
          <w:bCs/>
          <w:color w:val="FF0000"/>
        </w:rPr>
        <w:tab/>
      </w:r>
    </w:p>
    <w:p w14:paraId="7ABD88E3" w14:textId="77777777" w:rsidR="00484CC0" w:rsidRDefault="00484CC0" w:rsidP="00484CC0">
      <w:pPr>
        <w:rPr>
          <w:rFonts w:ascii="Georgia" w:hAnsi="Georgia" w:cs="Arial"/>
          <w:b/>
          <w:bCs/>
        </w:rPr>
      </w:pPr>
      <w:r w:rsidRPr="009D1E54">
        <w:rPr>
          <w:rFonts w:ascii="Georgia" w:hAnsi="Georgia" w:cs="Arial"/>
          <w:b/>
          <w:bCs/>
        </w:rPr>
        <w:t>Type of Application        :</w:t>
      </w:r>
      <w:r w:rsidRPr="009D1E54">
        <w:rPr>
          <w:rFonts w:ascii="Georgia" w:hAnsi="Georgia" w:cs="Arial"/>
          <w:b/>
          <w:bCs/>
        </w:rPr>
        <w:tab/>
      </w:r>
      <w:r>
        <w:rPr>
          <w:rFonts w:ascii="Georgia" w:hAnsi="Georgia" w:cs="Arial"/>
          <w:b/>
          <w:bCs/>
        </w:rPr>
        <w:t xml:space="preserve">Application by Tenant for rent </w:t>
      </w:r>
    </w:p>
    <w:p w14:paraId="5439548A" w14:textId="77777777" w:rsidR="00484CC0" w:rsidRDefault="00484CC0" w:rsidP="00484CC0">
      <w:pPr>
        <w:ind w:left="2880" w:firstLine="720"/>
        <w:rPr>
          <w:rFonts w:ascii="Georgia" w:hAnsi="Georgia" w:cs="Arial"/>
          <w:b/>
          <w:bCs/>
        </w:rPr>
      </w:pPr>
      <w:r>
        <w:rPr>
          <w:rFonts w:ascii="Georgia" w:hAnsi="Georgia" w:cs="Arial"/>
          <w:b/>
          <w:bCs/>
        </w:rPr>
        <w:t>repayment order.  Sections 40,41, 43</w:t>
      </w:r>
    </w:p>
    <w:p w14:paraId="366D1783" w14:textId="77777777" w:rsidR="00484CC0" w:rsidRDefault="00484CC0" w:rsidP="00484CC0">
      <w:pPr>
        <w:ind w:left="2880" w:firstLine="720"/>
        <w:rPr>
          <w:rFonts w:ascii="Georgia" w:hAnsi="Georgia" w:cs="Arial"/>
          <w:b/>
          <w:bCs/>
        </w:rPr>
      </w:pPr>
      <w:r>
        <w:rPr>
          <w:rFonts w:ascii="Georgia" w:hAnsi="Georgia" w:cs="Arial"/>
          <w:b/>
          <w:bCs/>
        </w:rPr>
        <w:t xml:space="preserve">&amp; 44 of the Housing and Planning Act </w:t>
      </w:r>
    </w:p>
    <w:p w14:paraId="122BCD37" w14:textId="77777777" w:rsidR="00484CC0" w:rsidRPr="009D1E54" w:rsidRDefault="00484CC0" w:rsidP="00484CC0">
      <w:pPr>
        <w:ind w:left="2880" w:firstLine="720"/>
        <w:rPr>
          <w:rFonts w:ascii="Georgia" w:hAnsi="Georgia" w:cs="Arial"/>
          <w:b/>
          <w:bCs/>
        </w:rPr>
      </w:pPr>
      <w:r>
        <w:rPr>
          <w:rFonts w:ascii="Georgia" w:hAnsi="Georgia" w:cs="Arial"/>
          <w:b/>
          <w:bCs/>
        </w:rPr>
        <w:t>2016</w:t>
      </w:r>
    </w:p>
    <w:p w14:paraId="356C7B8A" w14:textId="6DEFCCF9" w:rsidR="00484CC0" w:rsidRPr="009D1E54" w:rsidRDefault="00F7715D" w:rsidP="00484CC0">
      <w:pPr>
        <w:rPr>
          <w:rFonts w:ascii="Georgia" w:hAnsi="Georgia" w:cs="Arial"/>
          <w:b/>
          <w:bCs/>
          <w:color w:val="FF0000"/>
        </w:rPr>
      </w:pPr>
      <w:r>
        <w:rPr>
          <w:noProof/>
        </w:rPr>
        <mc:AlternateContent>
          <mc:Choice Requires="wps">
            <w:drawing>
              <wp:anchor distT="0" distB="0" distL="114300" distR="114300" simplePos="0" relativeHeight="251658240" behindDoc="0" locked="0" layoutInCell="1" allowOverlap="1" wp14:anchorId="6EA494BA" wp14:editId="5823BBFD">
                <wp:simplePos x="0" y="0"/>
                <wp:positionH relativeFrom="column">
                  <wp:posOffset>6591300</wp:posOffset>
                </wp:positionH>
                <wp:positionV relativeFrom="paragraph">
                  <wp:posOffset>37465</wp:posOffset>
                </wp:positionV>
                <wp:extent cx="190500" cy="476250"/>
                <wp:effectExtent l="0" t="0" r="0" b="0"/>
                <wp:wrapNone/>
                <wp:docPr id="8162867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76250"/>
                        </a:xfrm>
                        <a:prstGeom prst="rect">
                          <a:avLst/>
                        </a:prstGeom>
                        <a:solidFill>
                          <a:srgbClr val="FFFFFF"/>
                        </a:solidFill>
                        <a:ln>
                          <a:noFill/>
                        </a:ln>
                      </wps:spPr>
                      <wps:txbx>
                        <w:txbxContent>
                          <w:p w14:paraId="7F666261" w14:textId="77777777" w:rsidR="00484CC0" w:rsidRDefault="00484CC0" w:rsidP="00484CC0">
                            <w:pPr>
                              <w:rPr>
                                <w:rFonts w:ascii="Georgia" w:hAnsi="Georgia" w:cs="Arial"/>
                                <w:b/>
                                <w:bCs/>
                              </w:rPr>
                            </w:pPr>
                            <w:r>
                              <w:rPr>
                                <w:rFonts w:ascii="Georgia" w:hAnsi="Georgia" w:cs="Arial"/>
                                <w:b/>
                                <w:bCs/>
                              </w:rPr>
                              <w:t>SECTION 21(1)(a) LEASEHOLD REFORM ACT 1967</w:t>
                            </w:r>
                          </w:p>
                          <w:p w14:paraId="15D91FB3" w14:textId="77777777" w:rsidR="00484CC0" w:rsidRDefault="00484CC0" w:rsidP="00484CC0">
                            <w:r>
                              <w:rPr>
                                <w:rFonts w:ascii="Georgia" w:hAnsi="Georgia" w:cs="Arial"/>
                                <w:b/>
                                <w:bCs/>
                              </w:rPr>
                              <w:t>DETERMINATION OF THE PRICE    PAYABLE FOR A FREEHOLD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94BA" id="Text Box 1" o:spid="_x0000_s1027" type="#_x0000_t202" style="position:absolute;margin-left:519pt;margin-top:2.95pt;width:1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" stroked="f">
                <v:textbox>
                  <w:txbxContent>
                    <w:p w14:paraId="7F666261" w14:textId="77777777" w:rsidR="00484CC0" w:rsidRDefault="00484CC0" w:rsidP="00484CC0">
                      <w:pPr>
                        <w:rPr>
                          <w:rFonts w:ascii="Georgia" w:hAnsi="Georgia" w:cs="Arial"/>
                          <w:b/>
                          <w:bCs/>
                        </w:rPr>
                      </w:pPr>
                      <w:r>
                        <w:rPr>
                          <w:rFonts w:ascii="Georgia" w:hAnsi="Georgia" w:cs="Arial"/>
                          <w:b/>
                          <w:bCs/>
                        </w:rPr>
                        <w:t>SECTION 21(1)(a) LEASEHOLD REFORM ACT 1967</w:t>
                      </w:r>
                    </w:p>
                    <w:p w14:paraId="15D91FB3" w14:textId="77777777" w:rsidR="00484CC0" w:rsidRDefault="00484CC0" w:rsidP="00484CC0">
                      <w:r>
                        <w:rPr>
                          <w:rFonts w:ascii="Georgia" w:hAnsi="Georgia" w:cs="Arial"/>
                          <w:b/>
                          <w:bCs/>
                        </w:rPr>
                        <w:t>DETERMINATION OF THE PRICE    PAYABLE FOR A FREEHOLD</w:t>
                      </w:r>
                    </w:p>
                  </w:txbxContent>
                </v:textbox>
              </v:shape>
            </w:pict>
          </mc:Fallback>
        </mc:AlternateContent>
      </w:r>
    </w:p>
    <w:p w14:paraId="1DCC3EB1" w14:textId="77777777" w:rsidR="00484CC0" w:rsidRPr="009D1E54" w:rsidRDefault="00484CC0" w:rsidP="00484CC0">
      <w:pPr>
        <w:rPr>
          <w:rFonts w:ascii="Georgia" w:hAnsi="Georgia" w:cs="Arial"/>
          <w:b/>
          <w:bCs/>
          <w:color w:val="FF0000"/>
        </w:rPr>
      </w:pPr>
    </w:p>
    <w:p w14:paraId="3F8DD2CF" w14:textId="77777777" w:rsidR="00484CC0" w:rsidRDefault="00484CC0" w:rsidP="00484CC0">
      <w:pPr>
        <w:rPr>
          <w:rFonts w:ascii="Georgia" w:hAnsi="Georgia" w:cs="Arial"/>
          <w:b/>
          <w:bCs/>
        </w:rPr>
      </w:pPr>
      <w:r w:rsidRPr="009D1E54">
        <w:rPr>
          <w:rFonts w:ascii="Georgia" w:hAnsi="Georgia" w:cs="Arial"/>
          <w:b/>
          <w:bCs/>
        </w:rPr>
        <w:t>Tribunal</w:t>
      </w:r>
      <w:r w:rsidRPr="009D1E54">
        <w:rPr>
          <w:rFonts w:ascii="Georgia" w:hAnsi="Georgia" w:cs="Arial"/>
          <w:b/>
          <w:bCs/>
        </w:rPr>
        <w:tab/>
      </w:r>
      <w:r w:rsidRPr="009D1E54">
        <w:rPr>
          <w:rFonts w:ascii="Georgia" w:hAnsi="Georgia" w:cs="Arial"/>
          <w:b/>
          <w:bCs/>
        </w:rPr>
        <w:tab/>
      </w:r>
      <w:r w:rsidRPr="009D1E54">
        <w:rPr>
          <w:rFonts w:ascii="Georgia" w:hAnsi="Georgia" w:cs="Arial"/>
          <w:b/>
          <w:bCs/>
        </w:rPr>
        <w:tab/>
        <w:t>:</w:t>
      </w:r>
      <w:r>
        <w:rPr>
          <w:rFonts w:ascii="Georgia" w:hAnsi="Georgia" w:cs="Arial"/>
          <w:b/>
          <w:bCs/>
        </w:rPr>
        <w:t xml:space="preserve">          Judge Bernadette MacQueen</w:t>
      </w:r>
    </w:p>
    <w:p w14:paraId="3EDD261E" w14:textId="790FC18A" w:rsidR="00484CC0" w:rsidRPr="009D1E54" w:rsidRDefault="00484CC0" w:rsidP="00484CC0">
      <w:pPr>
        <w:rPr>
          <w:rFonts w:ascii="Georgia" w:hAnsi="Georgia" w:cs="Arial"/>
          <w:b/>
          <w:bCs/>
        </w:rPr>
      </w:pPr>
      <w:r>
        <w:rPr>
          <w:rFonts w:ascii="Georgia" w:hAnsi="Georgia" w:cs="Arial"/>
          <w:b/>
          <w:bCs/>
        </w:rPr>
        <w:tab/>
      </w:r>
      <w:r>
        <w:rPr>
          <w:rFonts w:ascii="Georgia" w:hAnsi="Georgia" w:cs="Arial"/>
          <w:b/>
          <w:bCs/>
        </w:rPr>
        <w:tab/>
      </w:r>
      <w:r>
        <w:rPr>
          <w:rFonts w:ascii="Georgia" w:hAnsi="Georgia" w:cs="Arial"/>
          <w:b/>
          <w:bCs/>
        </w:rPr>
        <w:tab/>
      </w:r>
      <w:r>
        <w:rPr>
          <w:rFonts w:ascii="Georgia" w:hAnsi="Georgia" w:cs="Arial"/>
          <w:b/>
          <w:bCs/>
        </w:rPr>
        <w:tab/>
      </w:r>
      <w:r w:rsidR="00A2574C">
        <w:rPr>
          <w:rFonts w:ascii="Georgia" w:hAnsi="Georgia" w:cs="Arial"/>
          <w:b/>
          <w:bCs/>
        </w:rPr>
        <w:tab/>
        <w:t xml:space="preserve">Mr </w:t>
      </w:r>
      <w:r w:rsidR="00F378A3">
        <w:rPr>
          <w:rFonts w:ascii="Georgia" w:hAnsi="Georgia" w:cs="Arial"/>
          <w:b/>
          <w:bCs/>
        </w:rPr>
        <w:t xml:space="preserve">R. </w:t>
      </w:r>
      <w:r w:rsidR="003140D9">
        <w:rPr>
          <w:rFonts w:ascii="Georgia" w:hAnsi="Georgia" w:cs="Arial"/>
          <w:b/>
          <w:bCs/>
        </w:rPr>
        <w:t>Thomas</w:t>
      </w:r>
      <w:r w:rsidR="00F378A3">
        <w:rPr>
          <w:rFonts w:ascii="Georgia" w:hAnsi="Georgia" w:cs="Arial"/>
          <w:b/>
          <w:bCs/>
        </w:rPr>
        <w:t>, MRICS</w:t>
      </w:r>
    </w:p>
    <w:p w14:paraId="450C1B59" w14:textId="77777777" w:rsidR="00484CC0" w:rsidRPr="009D1E54" w:rsidRDefault="00484CC0" w:rsidP="00484CC0">
      <w:pPr>
        <w:rPr>
          <w:rFonts w:ascii="Georgia" w:hAnsi="Georgia" w:cs="Arial"/>
          <w:b/>
          <w:bCs/>
        </w:rPr>
      </w:pPr>
      <w:r w:rsidRPr="009D1E54">
        <w:rPr>
          <w:rFonts w:ascii="Georgia" w:hAnsi="Georgia" w:cs="Arial"/>
          <w:b/>
          <w:bCs/>
        </w:rPr>
        <w:tab/>
      </w:r>
      <w:r w:rsidRPr="009D1E54">
        <w:rPr>
          <w:rFonts w:ascii="Georgia" w:hAnsi="Georgia" w:cs="Arial"/>
          <w:b/>
          <w:bCs/>
        </w:rPr>
        <w:tab/>
      </w:r>
      <w:r w:rsidRPr="009D1E54">
        <w:rPr>
          <w:rFonts w:ascii="Georgia" w:hAnsi="Georgia" w:cs="Arial"/>
          <w:b/>
          <w:bCs/>
        </w:rPr>
        <w:tab/>
      </w:r>
      <w:r w:rsidRPr="009D1E54">
        <w:rPr>
          <w:rFonts w:ascii="Georgia" w:hAnsi="Georgia" w:cs="Arial"/>
          <w:b/>
          <w:bCs/>
        </w:rPr>
        <w:tab/>
        <w:t xml:space="preserve"> </w:t>
      </w:r>
    </w:p>
    <w:p w14:paraId="232CA0E4" w14:textId="77777777" w:rsidR="00484CC0" w:rsidRPr="009D1E54" w:rsidRDefault="00484CC0" w:rsidP="00484CC0">
      <w:pPr>
        <w:rPr>
          <w:rFonts w:ascii="Georgia" w:hAnsi="Georgia" w:cs="Arial"/>
          <w:b/>
          <w:bCs/>
        </w:rPr>
      </w:pPr>
    </w:p>
    <w:p w14:paraId="0225068D" w14:textId="25AF07F6" w:rsidR="00484CC0" w:rsidRDefault="00484CC0" w:rsidP="00484CC0">
      <w:pPr>
        <w:rPr>
          <w:rFonts w:ascii="Georgia" w:hAnsi="Georgia" w:cs="Arial"/>
          <w:b/>
          <w:bCs/>
        </w:rPr>
      </w:pPr>
      <w:r w:rsidRPr="009D1E54">
        <w:rPr>
          <w:rFonts w:ascii="Georgia" w:hAnsi="Georgia" w:cs="Arial"/>
          <w:b/>
          <w:bCs/>
        </w:rPr>
        <w:t xml:space="preserve">Date of </w:t>
      </w:r>
      <w:r>
        <w:rPr>
          <w:rFonts w:ascii="Georgia" w:hAnsi="Georgia" w:cs="Arial"/>
          <w:b/>
          <w:bCs/>
        </w:rPr>
        <w:t>Hearing</w:t>
      </w:r>
      <w:r w:rsidRPr="009D1E54">
        <w:rPr>
          <w:rFonts w:ascii="Georgia" w:hAnsi="Georgia" w:cs="Arial"/>
          <w:b/>
          <w:bCs/>
        </w:rPr>
        <w:tab/>
      </w:r>
      <w:r>
        <w:rPr>
          <w:rFonts w:ascii="Georgia" w:hAnsi="Georgia" w:cs="Arial"/>
          <w:b/>
          <w:bCs/>
        </w:rPr>
        <w:tab/>
      </w:r>
      <w:r w:rsidRPr="009D1E54">
        <w:rPr>
          <w:rFonts w:ascii="Georgia" w:hAnsi="Georgia" w:cs="Arial"/>
          <w:b/>
          <w:bCs/>
        </w:rPr>
        <w:t>:</w:t>
      </w:r>
      <w:r w:rsidRPr="00BA1037">
        <w:rPr>
          <w:rFonts w:ascii="Georgia" w:hAnsi="Georgia" w:cs="Arial"/>
          <w:b/>
          <w:bCs/>
        </w:rPr>
        <w:tab/>
      </w:r>
      <w:r w:rsidR="00F378A3">
        <w:rPr>
          <w:rFonts w:ascii="Georgia" w:hAnsi="Georgia" w:cs="Arial"/>
          <w:b/>
          <w:bCs/>
        </w:rPr>
        <w:t>25</w:t>
      </w:r>
      <w:r w:rsidR="00334593">
        <w:rPr>
          <w:rFonts w:ascii="Georgia" w:hAnsi="Georgia" w:cs="Arial"/>
          <w:b/>
          <w:bCs/>
        </w:rPr>
        <w:t xml:space="preserve"> </w:t>
      </w:r>
      <w:r w:rsidR="00F378A3">
        <w:rPr>
          <w:rFonts w:ascii="Georgia" w:hAnsi="Georgia" w:cs="Arial"/>
          <w:b/>
          <w:bCs/>
        </w:rPr>
        <w:t>Febru</w:t>
      </w:r>
      <w:r w:rsidR="00DF1231">
        <w:rPr>
          <w:rFonts w:ascii="Georgia" w:hAnsi="Georgia" w:cs="Arial"/>
          <w:b/>
          <w:bCs/>
        </w:rPr>
        <w:t>ary</w:t>
      </w:r>
      <w:r w:rsidR="00334593">
        <w:rPr>
          <w:rFonts w:ascii="Georgia" w:hAnsi="Georgia" w:cs="Arial"/>
          <w:b/>
          <w:bCs/>
        </w:rPr>
        <w:t xml:space="preserve"> 202</w:t>
      </w:r>
      <w:r w:rsidR="00DF1231">
        <w:rPr>
          <w:rFonts w:ascii="Georgia" w:hAnsi="Georgia" w:cs="Arial"/>
          <w:b/>
          <w:bCs/>
        </w:rPr>
        <w:t>5</w:t>
      </w:r>
    </w:p>
    <w:p w14:paraId="6178F9C8" w14:textId="77777777" w:rsidR="00484CC0" w:rsidRDefault="00484CC0" w:rsidP="00484CC0">
      <w:pPr>
        <w:rPr>
          <w:rFonts w:ascii="Georgia" w:hAnsi="Georgia" w:cs="Arial"/>
          <w:b/>
          <w:bCs/>
        </w:rPr>
      </w:pPr>
    </w:p>
    <w:p w14:paraId="3A50E372" w14:textId="77777777" w:rsidR="00334593" w:rsidRDefault="00334593" w:rsidP="00484CC0">
      <w:pPr>
        <w:rPr>
          <w:rFonts w:ascii="Georgia" w:hAnsi="Georgia" w:cs="Arial"/>
          <w:b/>
          <w:bCs/>
        </w:rPr>
      </w:pPr>
    </w:p>
    <w:p w14:paraId="79134E17" w14:textId="1E19145E" w:rsidR="00484CC0" w:rsidRPr="00340F59" w:rsidRDefault="00484CC0" w:rsidP="00484CC0">
      <w:pPr>
        <w:rPr>
          <w:rFonts w:ascii="Georgia" w:hAnsi="Georgia" w:cs="Arial"/>
          <w:b/>
          <w:bCs/>
        </w:rPr>
      </w:pPr>
      <w:r>
        <w:rPr>
          <w:rFonts w:ascii="Georgia" w:hAnsi="Georgia" w:cs="Arial"/>
          <w:b/>
          <w:bCs/>
        </w:rPr>
        <w:t>Date of Decision</w:t>
      </w:r>
      <w:r>
        <w:rPr>
          <w:rFonts w:ascii="Georgia" w:hAnsi="Georgia" w:cs="Arial"/>
          <w:b/>
          <w:bCs/>
        </w:rPr>
        <w:tab/>
      </w:r>
      <w:r>
        <w:rPr>
          <w:rFonts w:ascii="Georgia" w:hAnsi="Georgia" w:cs="Arial"/>
          <w:b/>
          <w:bCs/>
        </w:rPr>
        <w:tab/>
        <w:t>:</w:t>
      </w:r>
      <w:r>
        <w:rPr>
          <w:rFonts w:ascii="Georgia" w:hAnsi="Georgia" w:cs="Arial"/>
          <w:b/>
          <w:bCs/>
        </w:rPr>
        <w:tab/>
      </w:r>
      <w:r w:rsidR="00163F10">
        <w:rPr>
          <w:rFonts w:ascii="Georgia" w:hAnsi="Georgia" w:cs="Arial"/>
          <w:b/>
          <w:bCs/>
        </w:rPr>
        <w:t>3 March 2025</w:t>
      </w:r>
    </w:p>
    <w:p w14:paraId="74A7B06E" w14:textId="77777777" w:rsidR="00484CC0" w:rsidRPr="00340F59" w:rsidRDefault="00484CC0" w:rsidP="00484CC0">
      <w:pPr>
        <w:rPr>
          <w:rFonts w:ascii="Georgia" w:hAnsi="Georgia" w:cs="Arial"/>
          <w:b/>
          <w:bCs/>
        </w:rPr>
      </w:pPr>
    </w:p>
    <w:p w14:paraId="60285156" w14:textId="77777777" w:rsidR="00484CC0" w:rsidRPr="00340F59" w:rsidRDefault="00484CC0" w:rsidP="00484CC0">
      <w:pPr>
        <w:rPr>
          <w:rFonts w:ascii="Georgia" w:hAnsi="Georgia" w:cs="Arial"/>
          <w:b/>
          <w:bCs/>
        </w:rPr>
      </w:pPr>
    </w:p>
    <w:p w14:paraId="05C5474F" w14:textId="77777777" w:rsidR="00484CC0" w:rsidRPr="00340F59" w:rsidRDefault="00484CC0" w:rsidP="00484CC0">
      <w:pPr>
        <w:jc w:val="center"/>
        <w:rPr>
          <w:rFonts w:ascii="Georgia" w:hAnsi="Georgia" w:cs="Arial"/>
          <w:b/>
          <w:bCs/>
          <w:sz w:val="32"/>
        </w:rPr>
      </w:pPr>
      <w:r w:rsidRPr="00340F59">
        <w:rPr>
          <w:rFonts w:ascii="Georgia" w:hAnsi="Georgia" w:cs="Arial"/>
          <w:b/>
          <w:bCs/>
        </w:rPr>
        <w:t>_______________________________________________</w:t>
      </w:r>
    </w:p>
    <w:p w14:paraId="7C4D46DC" w14:textId="77777777" w:rsidR="00484CC0" w:rsidRPr="00340F59" w:rsidRDefault="00484CC0" w:rsidP="00484CC0">
      <w:pPr>
        <w:pStyle w:val="Heading1"/>
        <w:rPr>
          <w:rFonts w:ascii="Georgia" w:hAnsi="Georgia" w:cs="Arial"/>
          <w:sz w:val="24"/>
        </w:rPr>
      </w:pPr>
    </w:p>
    <w:p w14:paraId="3BA469B9" w14:textId="77777777" w:rsidR="00484CC0" w:rsidRPr="00340F59" w:rsidRDefault="00484CC0" w:rsidP="00484CC0">
      <w:pPr>
        <w:pStyle w:val="Heading1"/>
        <w:rPr>
          <w:rFonts w:ascii="Georgia" w:hAnsi="Georgia" w:cs="Arial"/>
          <w:sz w:val="24"/>
        </w:rPr>
      </w:pPr>
      <w:r w:rsidRPr="00340F59">
        <w:rPr>
          <w:rFonts w:ascii="Georgia" w:hAnsi="Georgia" w:cs="Arial"/>
          <w:sz w:val="24"/>
        </w:rPr>
        <w:t>DECISION</w:t>
      </w:r>
    </w:p>
    <w:p w14:paraId="2D78A52A" w14:textId="77777777" w:rsidR="00484CC0" w:rsidRPr="00340F59" w:rsidRDefault="00484CC0" w:rsidP="00484CC0"/>
    <w:p w14:paraId="086516A0" w14:textId="77777777" w:rsidR="00484CC0" w:rsidRPr="009D1E54" w:rsidRDefault="00484CC0" w:rsidP="00484CC0">
      <w:pPr>
        <w:jc w:val="center"/>
        <w:rPr>
          <w:rFonts w:ascii="Georgia" w:hAnsi="Georgia" w:cs="Arial"/>
          <w:b/>
          <w:bCs/>
          <w:sz w:val="32"/>
        </w:rPr>
      </w:pPr>
      <w:r w:rsidRPr="009D1E54">
        <w:rPr>
          <w:rFonts w:ascii="Georgia" w:hAnsi="Georgia" w:cs="Arial"/>
          <w:b/>
          <w:bCs/>
          <w:sz w:val="32"/>
        </w:rPr>
        <w:t>____________________________________</w:t>
      </w:r>
    </w:p>
    <w:p w14:paraId="2921ADDA" w14:textId="77777777" w:rsidR="00484CC0" w:rsidRPr="009D1E54" w:rsidRDefault="00484CC0" w:rsidP="00484CC0">
      <w:pPr>
        <w:pStyle w:val="Footer"/>
        <w:rPr>
          <w:rFonts w:ascii="Georgia" w:hAnsi="Georgia"/>
          <w:b/>
          <w:sz w:val="20"/>
        </w:rPr>
      </w:pPr>
    </w:p>
    <w:p w14:paraId="0C1740BE" w14:textId="6322713A" w:rsidR="00484CC0" w:rsidRPr="009D1E54" w:rsidRDefault="00484CC0" w:rsidP="00484CC0">
      <w:pPr>
        <w:pStyle w:val="Footer"/>
        <w:jc w:val="center"/>
        <w:rPr>
          <w:sz w:val="20"/>
        </w:rPr>
      </w:pPr>
      <w:r w:rsidRPr="009D1E54">
        <w:rPr>
          <w:sz w:val="20"/>
        </w:rPr>
        <w:t>© CROWN COPYRIGHT 20</w:t>
      </w:r>
      <w:r>
        <w:rPr>
          <w:sz w:val="20"/>
        </w:rPr>
        <w:t>2</w:t>
      </w:r>
      <w:r w:rsidR="00DF1231">
        <w:rPr>
          <w:sz w:val="20"/>
        </w:rPr>
        <w:t>5</w:t>
      </w:r>
    </w:p>
    <w:p w14:paraId="731B6381" w14:textId="77777777" w:rsidR="00484CC0" w:rsidRDefault="00484CC0" w:rsidP="00484CC0">
      <w:pPr>
        <w:jc w:val="center"/>
        <w:rPr>
          <w:rFonts w:ascii="Georgia" w:hAnsi="Georgia" w:cs="Arial"/>
          <w:b/>
        </w:rPr>
      </w:pPr>
    </w:p>
    <w:p w14:paraId="43B09AC6" w14:textId="77777777" w:rsidR="00334593" w:rsidRDefault="00334593" w:rsidP="00484CC0">
      <w:pPr>
        <w:rPr>
          <w:rFonts w:ascii="Georgia" w:hAnsi="Georgia" w:cs="Arial"/>
          <w:b/>
        </w:rPr>
      </w:pPr>
    </w:p>
    <w:p w14:paraId="131F6D8D" w14:textId="77777777" w:rsidR="002F0C0C" w:rsidRDefault="002F0C0C" w:rsidP="00484CC0">
      <w:pPr>
        <w:rPr>
          <w:rFonts w:ascii="Georgia" w:hAnsi="Georgia"/>
          <w:b/>
        </w:rPr>
      </w:pPr>
    </w:p>
    <w:p w14:paraId="338A2292" w14:textId="5C8A60CE" w:rsidR="00484CC0" w:rsidRPr="00387520" w:rsidRDefault="00484CC0" w:rsidP="00484CC0">
      <w:pPr>
        <w:rPr>
          <w:rFonts w:ascii="Georgia" w:hAnsi="Georgia"/>
          <w:b/>
        </w:rPr>
      </w:pPr>
      <w:r w:rsidRPr="00387520">
        <w:rPr>
          <w:rFonts w:ascii="Georgia" w:hAnsi="Georgia"/>
          <w:b/>
        </w:rPr>
        <w:lastRenderedPageBreak/>
        <w:t>DECISION</w:t>
      </w:r>
    </w:p>
    <w:p w14:paraId="555D1507" w14:textId="77777777" w:rsidR="00484CC0" w:rsidRDefault="00484CC0" w:rsidP="00484CC0">
      <w:pPr>
        <w:jc w:val="both"/>
        <w:rPr>
          <w:rFonts w:ascii="Georgia" w:hAnsi="Georgia"/>
          <w:u w:val="single"/>
        </w:rPr>
      </w:pPr>
    </w:p>
    <w:p w14:paraId="6EFC8D26" w14:textId="77777777" w:rsidR="00484CC0" w:rsidRPr="00387520" w:rsidRDefault="00484CC0" w:rsidP="00484CC0">
      <w:pPr>
        <w:jc w:val="both"/>
        <w:rPr>
          <w:rFonts w:ascii="Georgia" w:hAnsi="Georgia"/>
          <w:u w:val="single"/>
        </w:rPr>
      </w:pPr>
    </w:p>
    <w:p w14:paraId="1C802505" w14:textId="7C686F5A" w:rsidR="00271306" w:rsidRPr="0028310A" w:rsidRDefault="00271306" w:rsidP="00860F9A">
      <w:pPr>
        <w:pStyle w:val="ListParagraph"/>
        <w:numPr>
          <w:ilvl w:val="0"/>
          <w:numId w:val="14"/>
        </w:numPr>
        <w:spacing w:line="360" w:lineRule="auto"/>
        <w:ind w:left="426" w:hanging="426"/>
        <w:jc w:val="both"/>
        <w:rPr>
          <w:rFonts w:ascii="Georgia" w:hAnsi="Georgia"/>
        </w:rPr>
      </w:pPr>
      <w:r w:rsidRPr="0028310A">
        <w:rPr>
          <w:rFonts w:ascii="Georgia" w:hAnsi="Georgia"/>
        </w:rPr>
        <w:t>The Tribunal finds that the Respondent</w:t>
      </w:r>
      <w:r w:rsidR="006C46F0">
        <w:rPr>
          <w:rFonts w:ascii="Georgia" w:hAnsi="Georgia"/>
        </w:rPr>
        <w:t>s</w:t>
      </w:r>
      <w:r w:rsidRPr="0028310A">
        <w:rPr>
          <w:rFonts w:ascii="Georgia" w:hAnsi="Georgia"/>
        </w:rPr>
        <w:t xml:space="preserve"> ha</w:t>
      </w:r>
      <w:r w:rsidR="006C46F0">
        <w:rPr>
          <w:rFonts w:ascii="Georgia" w:hAnsi="Georgia"/>
        </w:rPr>
        <w:t>ve</w:t>
      </w:r>
      <w:r w:rsidRPr="0028310A">
        <w:rPr>
          <w:rFonts w:ascii="Georgia" w:hAnsi="Georgia"/>
        </w:rPr>
        <w:t xml:space="preserve"> committed the offence of failing to licen</w:t>
      </w:r>
      <w:r>
        <w:rPr>
          <w:rFonts w:ascii="Georgia" w:hAnsi="Georgia"/>
        </w:rPr>
        <w:t>s</w:t>
      </w:r>
      <w:r w:rsidRPr="0028310A">
        <w:rPr>
          <w:rFonts w:ascii="Georgia" w:hAnsi="Georgia"/>
        </w:rPr>
        <w:t xml:space="preserve">e a House in Multiple Occupation (HMO) under the provisions of section </w:t>
      </w:r>
      <w:r w:rsidR="00DF1231">
        <w:rPr>
          <w:rFonts w:ascii="Georgia" w:hAnsi="Georgia"/>
        </w:rPr>
        <w:t>95</w:t>
      </w:r>
      <w:r w:rsidRPr="0028310A">
        <w:rPr>
          <w:rFonts w:ascii="Georgia" w:hAnsi="Georgia"/>
        </w:rPr>
        <w:t>(1) of the Housing Act 2004</w:t>
      </w:r>
      <w:r>
        <w:rPr>
          <w:rFonts w:ascii="Georgia" w:hAnsi="Georgia"/>
        </w:rPr>
        <w:t>,</w:t>
      </w:r>
      <w:r w:rsidRPr="0028310A">
        <w:rPr>
          <w:rFonts w:ascii="Georgia" w:hAnsi="Georgia"/>
        </w:rPr>
        <w:t xml:space="preserve"> and that accordingly a rent repayment order in favour of the Applicant</w:t>
      </w:r>
      <w:r w:rsidR="00843D8D">
        <w:rPr>
          <w:rFonts w:ascii="Georgia" w:hAnsi="Georgia"/>
        </w:rPr>
        <w:t>s</w:t>
      </w:r>
      <w:r w:rsidRPr="0028310A">
        <w:rPr>
          <w:rFonts w:ascii="Georgia" w:hAnsi="Georgia"/>
        </w:rPr>
        <w:t xml:space="preserve"> can be made.  The </w:t>
      </w:r>
      <w:r>
        <w:rPr>
          <w:rFonts w:ascii="Georgia" w:hAnsi="Georgia"/>
        </w:rPr>
        <w:t xml:space="preserve">Tribunal makes a </w:t>
      </w:r>
      <w:r w:rsidRPr="0028310A">
        <w:rPr>
          <w:rFonts w:ascii="Georgia" w:hAnsi="Georgia"/>
        </w:rPr>
        <w:t xml:space="preserve">rent repayment order </w:t>
      </w:r>
      <w:r>
        <w:rPr>
          <w:rFonts w:ascii="Georgia" w:hAnsi="Georgia"/>
        </w:rPr>
        <w:t>of</w:t>
      </w:r>
      <w:r w:rsidRPr="0028310A">
        <w:rPr>
          <w:rFonts w:ascii="Georgia" w:hAnsi="Georgia"/>
        </w:rPr>
        <w:t xml:space="preserve"> £</w:t>
      </w:r>
      <w:r w:rsidR="0089253E">
        <w:rPr>
          <w:rFonts w:ascii="Georgia" w:hAnsi="Georgia"/>
        </w:rPr>
        <w:t>5,682.19</w:t>
      </w:r>
      <w:r w:rsidR="00D56425">
        <w:rPr>
          <w:rFonts w:ascii="Georgia" w:hAnsi="Georgia"/>
        </w:rPr>
        <w:t xml:space="preserve"> </w:t>
      </w:r>
      <w:r w:rsidRPr="0028310A">
        <w:rPr>
          <w:rFonts w:ascii="Georgia" w:hAnsi="Georgia"/>
        </w:rPr>
        <w:t xml:space="preserve">for the period </w:t>
      </w:r>
      <w:r w:rsidR="00D56425">
        <w:rPr>
          <w:rFonts w:ascii="Georgia" w:hAnsi="Georgia"/>
        </w:rPr>
        <w:t>1</w:t>
      </w:r>
      <w:r w:rsidR="00C55496">
        <w:rPr>
          <w:rFonts w:ascii="Georgia" w:hAnsi="Georgia"/>
        </w:rPr>
        <w:t>0</w:t>
      </w:r>
      <w:r w:rsidRPr="0028310A">
        <w:rPr>
          <w:rFonts w:ascii="Georgia" w:hAnsi="Georgia"/>
        </w:rPr>
        <w:t xml:space="preserve"> </w:t>
      </w:r>
      <w:r w:rsidR="00D56425">
        <w:rPr>
          <w:rFonts w:ascii="Georgia" w:hAnsi="Georgia"/>
        </w:rPr>
        <w:t>J</w:t>
      </w:r>
      <w:r w:rsidR="00C55496">
        <w:rPr>
          <w:rFonts w:ascii="Georgia" w:hAnsi="Georgia"/>
        </w:rPr>
        <w:t>anuary</w:t>
      </w:r>
      <w:r w:rsidRPr="0028310A">
        <w:rPr>
          <w:rFonts w:ascii="Georgia" w:hAnsi="Georgia"/>
        </w:rPr>
        <w:t xml:space="preserve"> 202</w:t>
      </w:r>
      <w:r w:rsidR="00C55496">
        <w:rPr>
          <w:rFonts w:ascii="Georgia" w:hAnsi="Georgia"/>
        </w:rPr>
        <w:t>3</w:t>
      </w:r>
      <w:r w:rsidR="005B77B2">
        <w:rPr>
          <w:rFonts w:ascii="Georgia" w:hAnsi="Georgia"/>
        </w:rPr>
        <w:t xml:space="preserve"> to </w:t>
      </w:r>
      <w:r w:rsidR="00DE1B7D">
        <w:rPr>
          <w:rFonts w:ascii="Georgia" w:hAnsi="Georgia"/>
        </w:rPr>
        <w:t>15 May 2023</w:t>
      </w:r>
      <w:r w:rsidR="005B77B2">
        <w:rPr>
          <w:rFonts w:ascii="Georgia" w:hAnsi="Georgia"/>
        </w:rPr>
        <w:t xml:space="preserve"> </w:t>
      </w:r>
      <w:r w:rsidR="00DE1B7D">
        <w:rPr>
          <w:rFonts w:ascii="Georgia" w:hAnsi="Georgia"/>
        </w:rPr>
        <w:t xml:space="preserve">against the </w:t>
      </w:r>
      <w:r w:rsidR="00D57AD5">
        <w:rPr>
          <w:rFonts w:ascii="Georgia" w:hAnsi="Georgia"/>
        </w:rPr>
        <w:t>F</w:t>
      </w:r>
      <w:r w:rsidR="00DE1B7D">
        <w:rPr>
          <w:rFonts w:ascii="Georgia" w:hAnsi="Georgia"/>
        </w:rPr>
        <w:t>irst Respondent</w:t>
      </w:r>
      <w:r w:rsidR="00D57AD5">
        <w:rPr>
          <w:rFonts w:ascii="Georgia" w:hAnsi="Georgia"/>
        </w:rPr>
        <w:t>, Ladbrokes Betting &amp; Gaming</w:t>
      </w:r>
      <w:r w:rsidR="00635B3A">
        <w:rPr>
          <w:rFonts w:ascii="Georgia" w:hAnsi="Georgia"/>
        </w:rPr>
        <w:t>,</w:t>
      </w:r>
      <w:r w:rsidR="00D6687D">
        <w:rPr>
          <w:rFonts w:ascii="Georgia" w:hAnsi="Georgia"/>
        </w:rPr>
        <w:t xml:space="preserve"> and for £</w:t>
      </w:r>
      <w:r w:rsidR="00851164">
        <w:rPr>
          <w:rFonts w:ascii="Georgia" w:hAnsi="Georgia"/>
        </w:rPr>
        <w:t>1,445</w:t>
      </w:r>
      <w:r w:rsidR="00D6687D">
        <w:rPr>
          <w:rFonts w:ascii="Georgia" w:hAnsi="Georgia"/>
        </w:rPr>
        <w:t xml:space="preserve"> for the period 1</w:t>
      </w:r>
      <w:r w:rsidR="00BC6572">
        <w:rPr>
          <w:rFonts w:ascii="Georgia" w:hAnsi="Georgia"/>
        </w:rPr>
        <w:t>0</w:t>
      </w:r>
      <w:r w:rsidR="00D6687D">
        <w:rPr>
          <w:rFonts w:ascii="Georgia" w:hAnsi="Georgia"/>
        </w:rPr>
        <w:t xml:space="preserve"> </w:t>
      </w:r>
      <w:r w:rsidR="00BC6572">
        <w:rPr>
          <w:rFonts w:ascii="Georgia" w:hAnsi="Georgia"/>
        </w:rPr>
        <w:t>June</w:t>
      </w:r>
      <w:r w:rsidR="00D6687D">
        <w:rPr>
          <w:rFonts w:ascii="Georgia" w:hAnsi="Georgia"/>
        </w:rPr>
        <w:t xml:space="preserve"> 2023 to </w:t>
      </w:r>
      <w:r w:rsidR="003B7566">
        <w:rPr>
          <w:rFonts w:ascii="Georgia" w:hAnsi="Georgia"/>
        </w:rPr>
        <w:t>9</w:t>
      </w:r>
      <w:r w:rsidR="00D6687D">
        <w:rPr>
          <w:rFonts w:ascii="Georgia" w:hAnsi="Georgia"/>
        </w:rPr>
        <w:t xml:space="preserve"> July 2023</w:t>
      </w:r>
      <w:r w:rsidR="000B1830">
        <w:rPr>
          <w:rFonts w:ascii="Georgia" w:hAnsi="Georgia"/>
        </w:rPr>
        <w:t xml:space="preserve"> against the Second Respondent</w:t>
      </w:r>
      <w:r w:rsidR="00635B3A">
        <w:rPr>
          <w:rFonts w:ascii="Georgia" w:hAnsi="Georgia"/>
        </w:rPr>
        <w:t>,</w:t>
      </w:r>
      <w:r w:rsidR="000B1830">
        <w:rPr>
          <w:rFonts w:ascii="Georgia" w:hAnsi="Georgia"/>
        </w:rPr>
        <w:t xml:space="preserve"> Zakir Mumtaz</w:t>
      </w:r>
      <w:r w:rsidR="00D2669E">
        <w:rPr>
          <w:rFonts w:ascii="Georgia" w:hAnsi="Georgia"/>
        </w:rPr>
        <w:t xml:space="preserve">.  These amounts must be paid by the Respondents to </w:t>
      </w:r>
      <w:r w:rsidRPr="0028310A">
        <w:rPr>
          <w:rFonts w:ascii="Georgia" w:hAnsi="Georgia"/>
        </w:rPr>
        <w:t>the Applicant</w:t>
      </w:r>
      <w:r w:rsidR="00D2669E">
        <w:rPr>
          <w:rFonts w:ascii="Georgia" w:hAnsi="Georgia"/>
        </w:rPr>
        <w:t>s</w:t>
      </w:r>
      <w:r w:rsidRPr="0028310A">
        <w:rPr>
          <w:rFonts w:ascii="Georgia" w:hAnsi="Georgia"/>
        </w:rPr>
        <w:t xml:space="preserve"> within 28 days of the date of this decision.</w:t>
      </w:r>
    </w:p>
    <w:p w14:paraId="7B18FED0" w14:textId="77777777" w:rsidR="00271306" w:rsidRPr="0028310A" w:rsidRDefault="00271306" w:rsidP="00860F9A">
      <w:pPr>
        <w:pStyle w:val="ListParagraph"/>
        <w:spacing w:line="360" w:lineRule="auto"/>
        <w:ind w:left="426" w:hanging="426"/>
        <w:jc w:val="both"/>
        <w:rPr>
          <w:rFonts w:ascii="Georgia" w:hAnsi="Georgia"/>
        </w:rPr>
      </w:pPr>
    </w:p>
    <w:p w14:paraId="015A0C7B" w14:textId="4E6D155D" w:rsidR="00484CC0" w:rsidRPr="00D711CB" w:rsidRDefault="00271306" w:rsidP="00860F9A">
      <w:pPr>
        <w:pStyle w:val="ListParagraph"/>
        <w:numPr>
          <w:ilvl w:val="0"/>
          <w:numId w:val="14"/>
        </w:numPr>
        <w:spacing w:line="360" w:lineRule="auto"/>
        <w:ind w:left="426" w:hanging="426"/>
        <w:jc w:val="both"/>
        <w:rPr>
          <w:rFonts w:ascii="Georgia" w:hAnsi="Georgia"/>
        </w:rPr>
      </w:pPr>
      <w:r w:rsidRPr="0028310A">
        <w:rPr>
          <w:rFonts w:ascii="Georgia" w:hAnsi="Georgia"/>
        </w:rPr>
        <w:t xml:space="preserve">The Tribunal also orders the reimbursement of the Tribunal fees </w:t>
      </w:r>
      <w:r w:rsidR="00767E9E">
        <w:rPr>
          <w:rFonts w:ascii="Georgia" w:hAnsi="Georgia"/>
        </w:rPr>
        <w:t>(application and hearing fee</w:t>
      </w:r>
      <w:r w:rsidR="00AA56AC">
        <w:rPr>
          <w:rFonts w:ascii="Georgia" w:hAnsi="Georgia"/>
        </w:rPr>
        <w:t>s</w:t>
      </w:r>
      <w:r w:rsidR="00767E9E">
        <w:rPr>
          <w:rFonts w:ascii="Georgia" w:hAnsi="Georgia"/>
        </w:rPr>
        <w:t xml:space="preserve">) </w:t>
      </w:r>
      <w:r w:rsidRPr="0028310A">
        <w:rPr>
          <w:rFonts w:ascii="Georgia" w:hAnsi="Georgia"/>
        </w:rPr>
        <w:t>and this amount must be paid by the Respondent</w:t>
      </w:r>
      <w:r w:rsidR="00EF7B71">
        <w:rPr>
          <w:rFonts w:ascii="Georgia" w:hAnsi="Georgia"/>
        </w:rPr>
        <w:t>s</w:t>
      </w:r>
      <w:r w:rsidRPr="0028310A">
        <w:rPr>
          <w:rFonts w:ascii="Georgia" w:hAnsi="Georgia"/>
        </w:rPr>
        <w:t xml:space="preserve"> to the Applicant</w:t>
      </w:r>
      <w:r w:rsidR="00EF7B71">
        <w:rPr>
          <w:rFonts w:ascii="Georgia" w:hAnsi="Georgia"/>
        </w:rPr>
        <w:t>s</w:t>
      </w:r>
      <w:r w:rsidRPr="0028310A">
        <w:rPr>
          <w:rFonts w:ascii="Georgia" w:hAnsi="Georgia"/>
        </w:rPr>
        <w:t xml:space="preserve"> within 28 days of the date of this decision.</w:t>
      </w:r>
      <w:r w:rsidR="00EF7B71">
        <w:rPr>
          <w:rFonts w:ascii="Georgia" w:hAnsi="Georgia"/>
        </w:rPr>
        <w:t xml:space="preserve">  Each Respondent shall pay half </w:t>
      </w:r>
      <w:r w:rsidR="00D711CB">
        <w:rPr>
          <w:rFonts w:ascii="Georgia" w:hAnsi="Georgia"/>
        </w:rPr>
        <w:t>of the total amount each.</w:t>
      </w:r>
    </w:p>
    <w:p w14:paraId="769D6FFF" w14:textId="77777777" w:rsidR="00484CC0" w:rsidRPr="00505BAA" w:rsidRDefault="00484CC0" w:rsidP="00484CC0">
      <w:pPr>
        <w:pStyle w:val="ListParagraph"/>
        <w:spacing w:line="360" w:lineRule="auto"/>
        <w:jc w:val="both"/>
        <w:rPr>
          <w:rFonts w:ascii="Georgia" w:hAnsi="Georgia"/>
        </w:rPr>
      </w:pPr>
    </w:p>
    <w:p w14:paraId="10DE7503" w14:textId="77777777" w:rsidR="00484CC0" w:rsidRPr="00505BAA" w:rsidRDefault="00484CC0" w:rsidP="00484CC0">
      <w:pPr>
        <w:pStyle w:val="ListParagraph"/>
        <w:spacing w:line="360" w:lineRule="auto"/>
        <w:ind w:left="0"/>
        <w:jc w:val="both"/>
        <w:rPr>
          <w:rFonts w:ascii="Georgia" w:hAnsi="Georgia"/>
          <w:b/>
          <w:bCs/>
        </w:rPr>
      </w:pPr>
      <w:r w:rsidRPr="00505BAA">
        <w:rPr>
          <w:rFonts w:ascii="Georgia" w:hAnsi="Georgia"/>
          <w:b/>
          <w:bCs/>
        </w:rPr>
        <w:t>Background</w:t>
      </w:r>
    </w:p>
    <w:p w14:paraId="413BBE58" w14:textId="77777777" w:rsidR="00484CC0" w:rsidRPr="00505BAA" w:rsidRDefault="00484CC0" w:rsidP="00484CC0">
      <w:pPr>
        <w:pStyle w:val="ListParagraph"/>
        <w:spacing w:line="360" w:lineRule="auto"/>
        <w:ind w:left="0"/>
        <w:jc w:val="both"/>
        <w:rPr>
          <w:rFonts w:ascii="Georgia" w:hAnsi="Georgia"/>
          <w:b/>
          <w:bCs/>
        </w:rPr>
      </w:pPr>
    </w:p>
    <w:p w14:paraId="2C021009" w14:textId="0E1C56F8" w:rsidR="00484CC0" w:rsidRPr="00505BAA" w:rsidRDefault="00860F9A" w:rsidP="00484CC0">
      <w:pPr>
        <w:pStyle w:val="ListParagraph"/>
        <w:numPr>
          <w:ilvl w:val="0"/>
          <w:numId w:val="14"/>
        </w:numPr>
        <w:spacing w:line="360" w:lineRule="auto"/>
        <w:jc w:val="both"/>
        <w:rPr>
          <w:rFonts w:ascii="Georgia" w:hAnsi="Georgia"/>
          <w:b/>
          <w:bCs/>
        </w:rPr>
      </w:pPr>
      <w:r>
        <w:rPr>
          <w:rFonts w:ascii="Georgia" w:hAnsi="Georgia"/>
        </w:rPr>
        <w:t xml:space="preserve">By application dated </w:t>
      </w:r>
      <w:r w:rsidR="009F05A7">
        <w:rPr>
          <w:rFonts w:ascii="Georgia" w:hAnsi="Georgia"/>
        </w:rPr>
        <w:t xml:space="preserve">1 March 2024 </w:t>
      </w:r>
      <w:r w:rsidR="00484CC0" w:rsidRPr="00505BAA">
        <w:rPr>
          <w:rFonts w:ascii="Georgia" w:hAnsi="Georgia"/>
        </w:rPr>
        <w:t>the Applicant</w:t>
      </w:r>
      <w:r w:rsidR="000C5331">
        <w:rPr>
          <w:rFonts w:ascii="Georgia" w:hAnsi="Georgia"/>
        </w:rPr>
        <w:t>s</w:t>
      </w:r>
      <w:r w:rsidR="00484CC0" w:rsidRPr="00505BAA">
        <w:rPr>
          <w:rFonts w:ascii="Georgia" w:hAnsi="Georgia"/>
        </w:rPr>
        <w:t xml:space="preserve"> made an application for a Rent Repayment Order (RRO) under section 41 of the Housing and Planning Act 2016 (the Act) in relation to </w:t>
      </w:r>
      <w:r w:rsidR="000C5331">
        <w:rPr>
          <w:rFonts w:ascii="Georgia" w:hAnsi="Georgia"/>
        </w:rPr>
        <w:t>261A Banbury Road, Oxford, OX2 7HN</w:t>
      </w:r>
      <w:r w:rsidR="00F23ED5">
        <w:rPr>
          <w:rFonts w:ascii="Georgia" w:hAnsi="Georgia"/>
        </w:rPr>
        <w:t xml:space="preserve"> </w:t>
      </w:r>
      <w:r w:rsidR="00484CC0" w:rsidRPr="00505BAA">
        <w:rPr>
          <w:rFonts w:ascii="Georgia" w:hAnsi="Georgia"/>
        </w:rPr>
        <w:t xml:space="preserve">(the Property).  </w:t>
      </w:r>
      <w:r w:rsidR="00AA58BF">
        <w:rPr>
          <w:rFonts w:ascii="Georgia" w:hAnsi="Georgia"/>
        </w:rPr>
        <w:t xml:space="preserve"> The Tribunal f</w:t>
      </w:r>
      <w:r w:rsidR="00216D98">
        <w:rPr>
          <w:rFonts w:ascii="Georgia" w:hAnsi="Georgia"/>
        </w:rPr>
        <w:t>ound</w:t>
      </w:r>
      <w:r w:rsidR="00AA58BF">
        <w:rPr>
          <w:rFonts w:ascii="Georgia" w:hAnsi="Georgia"/>
        </w:rPr>
        <w:t xml:space="preserve"> that the application ha</w:t>
      </w:r>
      <w:r w:rsidR="00216D98">
        <w:rPr>
          <w:rFonts w:ascii="Georgia" w:hAnsi="Georgia"/>
        </w:rPr>
        <w:t>d</w:t>
      </w:r>
      <w:r w:rsidR="00AA58BF">
        <w:rPr>
          <w:rFonts w:ascii="Georgia" w:hAnsi="Georgia"/>
        </w:rPr>
        <w:t xml:space="preserve"> been brought in time</w:t>
      </w:r>
      <w:r w:rsidR="00BF2885">
        <w:rPr>
          <w:rFonts w:ascii="Georgia" w:hAnsi="Georgia"/>
        </w:rPr>
        <w:t xml:space="preserve"> because </w:t>
      </w:r>
      <w:r w:rsidR="00251FAC">
        <w:rPr>
          <w:rFonts w:ascii="Georgia" w:hAnsi="Georgia"/>
        </w:rPr>
        <w:t>the Applica</w:t>
      </w:r>
      <w:r w:rsidR="009B7A54">
        <w:rPr>
          <w:rFonts w:ascii="Georgia" w:hAnsi="Georgia"/>
        </w:rPr>
        <w:t>tion</w:t>
      </w:r>
      <w:r w:rsidR="00251FAC">
        <w:rPr>
          <w:rFonts w:ascii="Georgia" w:hAnsi="Georgia"/>
        </w:rPr>
        <w:t xml:space="preserve"> </w:t>
      </w:r>
      <w:r w:rsidR="00216D98">
        <w:rPr>
          <w:rFonts w:ascii="Georgia" w:hAnsi="Georgia"/>
        </w:rPr>
        <w:t>wa</w:t>
      </w:r>
      <w:r w:rsidR="001B5FEC">
        <w:rPr>
          <w:rFonts w:ascii="Georgia" w:hAnsi="Georgia"/>
        </w:rPr>
        <w:t xml:space="preserve">s dated 1 March 2024 and </w:t>
      </w:r>
      <w:r w:rsidR="001839B0">
        <w:rPr>
          <w:rFonts w:ascii="Georgia" w:hAnsi="Georgia"/>
        </w:rPr>
        <w:t xml:space="preserve">was received by the Tribunal </w:t>
      </w:r>
      <w:r w:rsidR="001B5FEC">
        <w:rPr>
          <w:rFonts w:ascii="Georgia" w:hAnsi="Georgia"/>
        </w:rPr>
        <w:t>on 5 March 2024</w:t>
      </w:r>
      <w:r w:rsidR="0044025D">
        <w:rPr>
          <w:rFonts w:ascii="Georgia" w:hAnsi="Georgia"/>
        </w:rPr>
        <w:t>.  This mean</w:t>
      </w:r>
      <w:r w:rsidR="0027512C">
        <w:rPr>
          <w:rFonts w:ascii="Georgia" w:hAnsi="Georgia"/>
        </w:rPr>
        <w:t>s</w:t>
      </w:r>
      <w:r w:rsidR="0044025D">
        <w:rPr>
          <w:rFonts w:ascii="Georgia" w:hAnsi="Georgia"/>
        </w:rPr>
        <w:t xml:space="preserve"> that</w:t>
      </w:r>
      <w:r w:rsidR="00B82D35">
        <w:rPr>
          <w:rFonts w:ascii="Georgia" w:hAnsi="Georgia"/>
        </w:rPr>
        <w:t xml:space="preserve"> </w:t>
      </w:r>
      <w:r w:rsidR="00D7104B">
        <w:rPr>
          <w:rFonts w:ascii="Georgia" w:hAnsi="Georgia"/>
        </w:rPr>
        <w:t>the alleged offence was being committed within the</w:t>
      </w:r>
      <w:r w:rsidR="00C103D2">
        <w:rPr>
          <w:rFonts w:ascii="Georgia" w:hAnsi="Georgia"/>
        </w:rPr>
        <w:t xml:space="preserve"> 12 month </w:t>
      </w:r>
      <w:r w:rsidR="00417BD8">
        <w:rPr>
          <w:rFonts w:ascii="Georgia" w:hAnsi="Georgia"/>
        </w:rPr>
        <w:t xml:space="preserve">period </w:t>
      </w:r>
      <w:r w:rsidR="00C103D2">
        <w:rPr>
          <w:rFonts w:ascii="Georgia" w:hAnsi="Georgia"/>
        </w:rPr>
        <w:t>ending with the da</w:t>
      </w:r>
      <w:r w:rsidR="00D7104B">
        <w:rPr>
          <w:rFonts w:ascii="Georgia" w:hAnsi="Georgia"/>
        </w:rPr>
        <w:t>y</w:t>
      </w:r>
      <w:r w:rsidR="00C103D2">
        <w:rPr>
          <w:rFonts w:ascii="Georgia" w:hAnsi="Georgia"/>
        </w:rPr>
        <w:t xml:space="preserve"> on which the application was made</w:t>
      </w:r>
      <w:r w:rsidR="00417BD8">
        <w:rPr>
          <w:rFonts w:ascii="Georgia" w:hAnsi="Georgia"/>
        </w:rPr>
        <w:t>.</w:t>
      </w:r>
    </w:p>
    <w:p w14:paraId="662DE97B" w14:textId="77777777" w:rsidR="00484CC0" w:rsidRPr="00505BAA" w:rsidRDefault="00484CC0" w:rsidP="00484CC0">
      <w:pPr>
        <w:pStyle w:val="ListParagraph"/>
        <w:spacing w:line="360" w:lineRule="auto"/>
        <w:jc w:val="both"/>
        <w:rPr>
          <w:rFonts w:ascii="Georgia" w:hAnsi="Georgia"/>
          <w:b/>
          <w:bCs/>
        </w:rPr>
      </w:pPr>
    </w:p>
    <w:p w14:paraId="6ECB9322" w14:textId="0F7D62AD" w:rsidR="00F23ED5" w:rsidRDefault="00484CC0" w:rsidP="00A0080E">
      <w:pPr>
        <w:pStyle w:val="ListParagraph"/>
        <w:numPr>
          <w:ilvl w:val="0"/>
          <w:numId w:val="14"/>
        </w:numPr>
        <w:spacing w:line="360" w:lineRule="auto"/>
        <w:jc w:val="both"/>
      </w:pPr>
      <w:r w:rsidRPr="00505BAA">
        <w:rPr>
          <w:rFonts w:ascii="Georgia" w:hAnsi="Georgia"/>
        </w:rPr>
        <w:t>The Applicant</w:t>
      </w:r>
      <w:r w:rsidR="00F0264E">
        <w:rPr>
          <w:rFonts w:ascii="Georgia" w:hAnsi="Georgia"/>
        </w:rPr>
        <w:t>s</w:t>
      </w:r>
      <w:r w:rsidRPr="00505BAA">
        <w:rPr>
          <w:rFonts w:ascii="Georgia" w:hAnsi="Georgia"/>
        </w:rPr>
        <w:t xml:space="preserve"> </w:t>
      </w:r>
      <w:r w:rsidR="005D7AC9">
        <w:rPr>
          <w:rFonts w:ascii="Georgia" w:hAnsi="Georgia"/>
        </w:rPr>
        <w:t xml:space="preserve">stated </w:t>
      </w:r>
      <w:r w:rsidRPr="00505BAA">
        <w:rPr>
          <w:rFonts w:ascii="Georgia" w:hAnsi="Georgia"/>
        </w:rPr>
        <w:t xml:space="preserve">that </w:t>
      </w:r>
      <w:r w:rsidR="00F0264E">
        <w:rPr>
          <w:rFonts w:ascii="Georgia" w:hAnsi="Georgia"/>
        </w:rPr>
        <w:t>t</w:t>
      </w:r>
      <w:r w:rsidRPr="00505BAA">
        <w:rPr>
          <w:rFonts w:ascii="Georgia" w:hAnsi="Georgia"/>
        </w:rPr>
        <w:t>he</w:t>
      </w:r>
      <w:r w:rsidR="00F0264E">
        <w:rPr>
          <w:rFonts w:ascii="Georgia" w:hAnsi="Georgia"/>
        </w:rPr>
        <w:t>y</w:t>
      </w:r>
      <w:r w:rsidRPr="00505BAA">
        <w:rPr>
          <w:rFonts w:ascii="Georgia" w:hAnsi="Georgia"/>
        </w:rPr>
        <w:t xml:space="preserve"> paid rent of £</w:t>
      </w:r>
      <w:r w:rsidR="005D7AC9">
        <w:rPr>
          <w:rFonts w:ascii="Georgia" w:hAnsi="Georgia"/>
        </w:rPr>
        <w:t>8</w:t>
      </w:r>
      <w:r w:rsidR="005E49B8">
        <w:rPr>
          <w:rFonts w:ascii="Georgia" w:hAnsi="Georgia"/>
        </w:rPr>
        <w:t>,</w:t>
      </w:r>
      <w:r w:rsidR="005D7AC9">
        <w:rPr>
          <w:rFonts w:ascii="Georgia" w:hAnsi="Georgia"/>
        </w:rPr>
        <w:t>800</w:t>
      </w:r>
      <w:r w:rsidR="00F23ED5">
        <w:rPr>
          <w:rFonts w:ascii="Georgia" w:hAnsi="Georgia"/>
        </w:rPr>
        <w:t xml:space="preserve"> </w:t>
      </w:r>
      <w:r w:rsidRPr="00505BAA">
        <w:rPr>
          <w:rFonts w:ascii="Georgia" w:hAnsi="Georgia"/>
        </w:rPr>
        <w:t xml:space="preserve">for the Property </w:t>
      </w:r>
      <w:r w:rsidR="005D7AC9">
        <w:rPr>
          <w:rFonts w:ascii="Georgia" w:hAnsi="Georgia"/>
        </w:rPr>
        <w:t xml:space="preserve">during the period </w:t>
      </w:r>
      <w:r w:rsidR="00571FFA">
        <w:rPr>
          <w:rFonts w:ascii="Georgia" w:hAnsi="Georgia"/>
        </w:rPr>
        <w:t>10 January 2023 to 9 July 2023.</w:t>
      </w:r>
      <w:r w:rsidRPr="00505BAA">
        <w:rPr>
          <w:rFonts w:ascii="Georgia" w:hAnsi="Georgia"/>
        </w:rPr>
        <w:t xml:space="preserve"> The Applicant</w:t>
      </w:r>
      <w:r w:rsidR="00571FFA">
        <w:rPr>
          <w:rFonts w:ascii="Georgia" w:hAnsi="Georgia"/>
        </w:rPr>
        <w:t>s</w:t>
      </w:r>
      <w:r w:rsidRPr="00505BAA">
        <w:rPr>
          <w:rFonts w:ascii="Georgia" w:hAnsi="Georgia"/>
        </w:rPr>
        <w:t xml:space="preserve"> alleged th</w:t>
      </w:r>
      <w:r w:rsidR="008142D1">
        <w:rPr>
          <w:rFonts w:ascii="Georgia" w:hAnsi="Georgia"/>
        </w:rPr>
        <w:t xml:space="preserve">at </w:t>
      </w:r>
      <w:r w:rsidRPr="00505BAA">
        <w:rPr>
          <w:rFonts w:ascii="Georgia" w:hAnsi="Georgia"/>
        </w:rPr>
        <w:t>the Property</w:t>
      </w:r>
      <w:r w:rsidR="008142D1">
        <w:rPr>
          <w:rFonts w:ascii="Georgia" w:hAnsi="Georgia"/>
        </w:rPr>
        <w:t xml:space="preserve"> was not licen</w:t>
      </w:r>
      <w:r w:rsidR="0027512C">
        <w:rPr>
          <w:rFonts w:ascii="Georgia" w:hAnsi="Georgia"/>
        </w:rPr>
        <w:t>s</w:t>
      </w:r>
      <w:r w:rsidR="008142D1">
        <w:rPr>
          <w:rFonts w:ascii="Georgia" w:hAnsi="Georgia"/>
        </w:rPr>
        <w:t xml:space="preserve">ed under the </w:t>
      </w:r>
      <w:r w:rsidR="009B79FB">
        <w:rPr>
          <w:rFonts w:ascii="Georgia" w:hAnsi="Georgia"/>
        </w:rPr>
        <w:t xml:space="preserve">relevant Oxford City Council </w:t>
      </w:r>
      <w:r w:rsidR="008142D1">
        <w:rPr>
          <w:rFonts w:ascii="Georgia" w:hAnsi="Georgia"/>
        </w:rPr>
        <w:t xml:space="preserve">selective licensing scheme </w:t>
      </w:r>
      <w:r w:rsidRPr="00505BAA">
        <w:rPr>
          <w:rFonts w:ascii="Georgia" w:hAnsi="Georgia"/>
        </w:rPr>
        <w:t xml:space="preserve">and therefore the Respondents were committing an offence under section </w:t>
      </w:r>
      <w:r w:rsidR="00315E59">
        <w:rPr>
          <w:rFonts w:ascii="Georgia" w:hAnsi="Georgia"/>
        </w:rPr>
        <w:t>95</w:t>
      </w:r>
      <w:r w:rsidRPr="00505BAA">
        <w:rPr>
          <w:rFonts w:ascii="Georgia" w:hAnsi="Georgia"/>
        </w:rPr>
        <w:t>(1) Housing A</w:t>
      </w:r>
      <w:r>
        <w:rPr>
          <w:rFonts w:ascii="Georgia" w:hAnsi="Georgia"/>
        </w:rPr>
        <w:t>c</w:t>
      </w:r>
      <w:r w:rsidRPr="00505BAA">
        <w:rPr>
          <w:rFonts w:ascii="Georgia" w:hAnsi="Georgia"/>
        </w:rPr>
        <w:t>t 2004</w:t>
      </w:r>
      <w:r w:rsidR="009B79FB">
        <w:rPr>
          <w:rFonts w:ascii="Georgia" w:hAnsi="Georgia"/>
        </w:rPr>
        <w:t>,</w:t>
      </w:r>
      <w:r w:rsidRPr="00505BAA">
        <w:rPr>
          <w:rFonts w:ascii="Georgia" w:hAnsi="Georgia"/>
        </w:rPr>
        <w:t xml:space="preserve"> namely </w:t>
      </w:r>
      <w:r w:rsidR="00315E59">
        <w:rPr>
          <w:rFonts w:ascii="Georgia" w:hAnsi="Georgia"/>
        </w:rPr>
        <w:t xml:space="preserve">of </w:t>
      </w:r>
      <w:r w:rsidR="009B79FB">
        <w:rPr>
          <w:rFonts w:ascii="Georgia" w:hAnsi="Georgia"/>
        </w:rPr>
        <w:lastRenderedPageBreak/>
        <w:t>having</w:t>
      </w:r>
      <w:r w:rsidR="00315E59">
        <w:rPr>
          <w:rFonts w:ascii="Georgia" w:hAnsi="Georgia"/>
        </w:rPr>
        <w:t xml:space="preserve"> control</w:t>
      </w:r>
      <w:r w:rsidR="00A0080E">
        <w:rPr>
          <w:rFonts w:ascii="Georgia" w:hAnsi="Georgia"/>
        </w:rPr>
        <w:t xml:space="preserve"> of or managing a house which was required to be </w:t>
      </w:r>
      <w:r w:rsidRPr="00505BAA">
        <w:rPr>
          <w:rFonts w:ascii="Georgia" w:hAnsi="Georgia"/>
        </w:rPr>
        <w:t xml:space="preserve">licensed but was not so licensed.  </w:t>
      </w:r>
    </w:p>
    <w:p w14:paraId="2E00C67E" w14:textId="77777777" w:rsidR="00F23ED5" w:rsidRPr="00505BAA" w:rsidRDefault="00F23ED5" w:rsidP="00F23ED5">
      <w:pPr>
        <w:pStyle w:val="ListParagraph"/>
        <w:spacing w:line="360" w:lineRule="auto"/>
        <w:jc w:val="both"/>
      </w:pPr>
    </w:p>
    <w:p w14:paraId="1F007CC1" w14:textId="07E22779" w:rsidR="00EC0A66" w:rsidRPr="00EC0A66" w:rsidRDefault="00484CC0" w:rsidP="00850638">
      <w:pPr>
        <w:pStyle w:val="Default"/>
        <w:numPr>
          <w:ilvl w:val="0"/>
          <w:numId w:val="14"/>
        </w:numPr>
        <w:spacing w:after="250" w:line="360" w:lineRule="auto"/>
        <w:jc w:val="both"/>
        <w:rPr>
          <w:b/>
          <w:bCs/>
        </w:rPr>
      </w:pPr>
      <w:r w:rsidRPr="00505BAA">
        <w:t xml:space="preserve">The Directions made on </w:t>
      </w:r>
      <w:r w:rsidR="0029418A">
        <w:t xml:space="preserve">8 October 2024 </w:t>
      </w:r>
      <w:r w:rsidRPr="00505BAA">
        <w:t>required each party to prepare a bundle of relevant documents and send these to each party and the Tribunal.</w:t>
      </w:r>
      <w:r w:rsidR="00574B9B">
        <w:t xml:space="preserve">  </w:t>
      </w:r>
      <w:r w:rsidR="0029418A">
        <w:t>T</w:t>
      </w:r>
      <w:r w:rsidRPr="00505BAA">
        <w:t>he Applicant</w:t>
      </w:r>
      <w:r w:rsidR="001078BF">
        <w:t>s</w:t>
      </w:r>
      <w:r w:rsidRPr="00505BAA">
        <w:t xml:space="preserve"> </w:t>
      </w:r>
      <w:r w:rsidR="0029418A">
        <w:t xml:space="preserve">provided </w:t>
      </w:r>
      <w:r w:rsidRPr="00505BAA">
        <w:t>a bundle of documents that consisted of the</w:t>
      </w:r>
      <w:r w:rsidR="00173D18">
        <w:t xml:space="preserve"> 435 pages.</w:t>
      </w:r>
      <w:r w:rsidR="00574B9B">
        <w:t xml:space="preserve">  </w:t>
      </w:r>
      <w:r w:rsidRPr="00505BAA">
        <w:t>The Respondent</w:t>
      </w:r>
      <w:r w:rsidR="00173D18">
        <w:t xml:space="preserve">s </w:t>
      </w:r>
      <w:r w:rsidR="00574B9B">
        <w:t>did</w:t>
      </w:r>
      <w:r w:rsidR="00173D18">
        <w:t xml:space="preserve"> not provide any</w:t>
      </w:r>
      <w:r w:rsidR="00A424B8">
        <w:t xml:space="preserve"> documents to the Applicant</w:t>
      </w:r>
      <w:r w:rsidR="001078BF">
        <w:t>s</w:t>
      </w:r>
      <w:r w:rsidR="00A424B8">
        <w:t xml:space="preserve"> or the Tribunal</w:t>
      </w:r>
      <w:r w:rsidR="00EC0A66">
        <w:t>.</w:t>
      </w:r>
      <w:r w:rsidR="00574B9B">
        <w:t xml:space="preserve"> </w:t>
      </w:r>
    </w:p>
    <w:p w14:paraId="70BEBAB9" w14:textId="77777777" w:rsidR="00EC0A66" w:rsidRDefault="00EC0A66" w:rsidP="00EC0A66">
      <w:pPr>
        <w:pStyle w:val="ListParagraph"/>
        <w:rPr>
          <w:b/>
          <w:bCs/>
        </w:rPr>
      </w:pPr>
    </w:p>
    <w:p w14:paraId="66DE4B0E" w14:textId="0D8AC050" w:rsidR="00484CC0" w:rsidRPr="00EC0A66" w:rsidRDefault="00484CC0" w:rsidP="00EC0A66">
      <w:pPr>
        <w:pStyle w:val="Default"/>
        <w:spacing w:after="250" w:line="360" w:lineRule="auto"/>
        <w:jc w:val="both"/>
        <w:rPr>
          <w:b/>
          <w:bCs/>
        </w:rPr>
      </w:pPr>
      <w:r w:rsidRPr="00EC0A66">
        <w:rPr>
          <w:b/>
          <w:bCs/>
        </w:rPr>
        <w:t>The Hearing</w:t>
      </w:r>
    </w:p>
    <w:p w14:paraId="78F24122" w14:textId="29BBF451" w:rsidR="00484CC0" w:rsidRDefault="00484CC0" w:rsidP="000746D3">
      <w:pPr>
        <w:pStyle w:val="Default"/>
        <w:numPr>
          <w:ilvl w:val="0"/>
          <w:numId w:val="14"/>
        </w:numPr>
        <w:spacing w:after="250" w:line="360" w:lineRule="auto"/>
        <w:jc w:val="both"/>
      </w:pPr>
      <w:r w:rsidRPr="00505BAA">
        <w:t xml:space="preserve">The Hearing on </w:t>
      </w:r>
      <w:r w:rsidR="00A424B8">
        <w:t>25 February 2025</w:t>
      </w:r>
      <w:r w:rsidR="000746D3">
        <w:t xml:space="preserve"> </w:t>
      </w:r>
      <w:r w:rsidRPr="00505BAA">
        <w:t xml:space="preserve">took place via Cloud Video Platform (CVP). </w:t>
      </w:r>
    </w:p>
    <w:p w14:paraId="7F90983D" w14:textId="6E94CE1E" w:rsidR="0049058F" w:rsidRPr="001A2316" w:rsidRDefault="005A138F" w:rsidP="0049058F">
      <w:pPr>
        <w:pStyle w:val="Default"/>
        <w:numPr>
          <w:ilvl w:val="0"/>
          <w:numId w:val="14"/>
        </w:numPr>
        <w:spacing w:after="250" w:line="360" w:lineRule="auto"/>
        <w:jc w:val="both"/>
      </w:pPr>
      <w:r>
        <w:t xml:space="preserve">The Applicants attended </w:t>
      </w:r>
      <w:r w:rsidR="00C17171">
        <w:t xml:space="preserve">and were represented </w:t>
      </w:r>
      <w:r w:rsidR="00D0402F">
        <w:t>by Jamie</w:t>
      </w:r>
      <w:r w:rsidR="004A7FDD">
        <w:t xml:space="preserve"> McGowan, </w:t>
      </w:r>
      <w:r w:rsidR="00AB5572">
        <w:t>Justice for Tenants</w:t>
      </w:r>
      <w:r w:rsidR="00C17171">
        <w:t>.</w:t>
      </w:r>
      <w:r w:rsidR="00AB5572">
        <w:t xml:space="preserve">  </w:t>
      </w:r>
      <w:r w:rsidR="0049058F" w:rsidRPr="001A2316">
        <w:t>The Respondent</w:t>
      </w:r>
      <w:r w:rsidR="00D0402F">
        <w:t>s</w:t>
      </w:r>
      <w:r w:rsidR="0049058F" w:rsidRPr="001A2316">
        <w:t xml:space="preserve"> did not appear</w:t>
      </w:r>
      <w:r w:rsidR="00D0402F">
        <w:t xml:space="preserve"> and </w:t>
      </w:r>
      <w:r w:rsidR="0049058F" w:rsidRPr="001A2316">
        <w:t>w</w:t>
      </w:r>
      <w:r w:rsidR="00D0402F">
        <w:t>ere</w:t>
      </w:r>
      <w:r w:rsidR="0049058F" w:rsidRPr="001A2316">
        <w:t xml:space="preserve"> not represented</w:t>
      </w:r>
      <w:r w:rsidR="00D0402F">
        <w:t>.  Further</w:t>
      </w:r>
      <w:r w:rsidR="00FF75F4">
        <w:t>,</w:t>
      </w:r>
      <w:r w:rsidR="00D0402F">
        <w:t xml:space="preserve"> they</w:t>
      </w:r>
      <w:r w:rsidR="0049058F" w:rsidRPr="001A2316">
        <w:t xml:space="preserve"> did not provide the Tribunal with an explanation for this non-attendance </w:t>
      </w:r>
      <w:r w:rsidR="00FF75F4">
        <w:t>n</w:t>
      </w:r>
      <w:r w:rsidR="0049058F" w:rsidRPr="001A2316">
        <w:t xml:space="preserve">or </w:t>
      </w:r>
      <w:r w:rsidR="00FF75F4">
        <w:t xml:space="preserve">for their </w:t>
      </w:r>
      <w:r w:rsidR="0049058F" w:rsidRPr="001A2316">
        <w:t xml:space="preserve">non-compliance with the Tribunal’s directions. </w:t>
      </w:r>
    </w:p>
    <w:p w14:paraId="1565DD66" w14:textId="4F9EF57E" w:rsidR="00C859D2" w:rsidRDefault="0049058F" w:rsidP="0049058F">
      <w:pPr>
        <w:pStyle w:val="Default"/>
        <w:numPr>
          <w:ilvl w:val="0"/>
          <w:numId w:val="14"/>
        </w:numPr>
        <w:spacing w:after="250" w:line="360" w:lineRule="auto"/>
        <w:jc w:val="both"/>
      </w:pPr>
      <w:r w:rsidRPr="001A2316">
        <w:t>The Tribunal waited until 10.05am to allow the Respondent</w:t>
      </w:r>
      <w:r w:rsidR="002609F3">
        <w:t>s</w:t>
      </w:r>
      <w:r w:rsidRPr="001A2316">
        <w:t xml:space="preserve"> additional time to a</w:t>
      </w:r>
      <w:r w:rsidR="002609F3">
        <w:t>ttend</w:t>
      </w:r>
      <w:r w:rsidR="00FF75F4">
        <w:t>;</w:t>
      </w:r>
      <w:r w:rsidRPr="001A2316">
        <w:t xml:space="preserve"> however</w:t>
      </w:r>
      <w:r w:rsidR="00FF75F4">
        <w:t>,</w:t>
      </w:r>
      <w:r w:rsidRPr="001A2316">
        <w:t xml:space="preserve"> the Respondent</w:t>
      </w:r>
      <w:r w:rsidR="002609F3">
        <w:t>s</w:t>
      </w:r>
      <w:r w:rsidRPr="001A2316">
        <w:t xml:space="preserve"> did not attend.  The Tribunal was satisfied that the application had been properly served on the Respondent</w:t>
      </w:r>
      <w:r w:rsidR="00437569">
        <w:t>s</w:t>
      </w:r>
      <w:r w:rsidRPr="001A2316">
        <w:t xml:space="preserve"> and </w:t>
      </w:r>
      <w:r>
        <w:t xml:space="preserve">that </w:t>
      </w:r>
      <w:r w:rsidR="00437569">
        <w:t xml:space="preserve">they were </w:t>
      </w:r>
      <w:r w:rsidRPr="001A2316">
        <w:t>aware of the hearing.  The Tribunal noted</w:t>
      </w:r>
      <w:r>
        <w:t>,</w:t>
      </w:r>
      <w:r w:rsidRPr="001A2316">
        <w:t xml:space="preserve"> in particular</w:t>
      </w:r>
      <w:r>
        <w:t>,</w:t>
      </w:r>
      <w:r w:rsidRPr="001A2316">
        <w:t xml:space="preserve"> that the Tribunal </w:t>
      </w:r>
      <w:r>
        <w:t>had written</w:t>
      </w:r>
      <w:r w:rsidRPr="001A2316">
        <w:t xml:space="preserve"> to the Respondent</w:t>
      </w:r>
      <w:r w:rsidR="00C70328">
        <w:t>s</w:t>
      </w:r>
      <w:r w:rsidRPr="001A2316">
        <w:t xml:space="preserve"> </w:t>
      </w:r>
      <w:r w:rsidR="00AB43F9">
        <w:t>to notify them of the hearing date</w:t>
      </w:r>
      <w:r w:rsidR="009C66B0">
        <w:t>.  Further</w:t>
      </w:r>
      <w:r w:rsidR="00C32E7D">
        <w:t>,</w:t>
      </w:r>
      <w:r w:rsidR="00AB43F9">
        <w:t xml:space="preserve"> </w:t>
      </w:r>
      <w:r w:rsidRPr="001A2316">
        <w:t>the Applicants confirmed that they had emailed the Respondent</w:t>
      </w:r>
      <w:r w:rsidR="00C32E7D">
        <w:t>s</w:t>
      </w:r>
      <w:r w:rsidR="005C2F96">
        <w:t xml:space="preserve"> </w:t>
      </w:r>
      <w:r w:rsidR="00B51583">
        <w:t xml:space="preserve">and </w:t>
      </w:r>
      <w:r w:rsidR="005C2F96">
        <w:t xml:space="preserve">had </w:t>
      </w:r>
      <w:r w:rsidR="00B51583">
        <w:t xml:space="preserve">also sent hard copy documents by post.  </w:t>
      </w:r>
    </w:p>
    <w:p w14:paraId="692D6893" w14:textId="203CBAE4" w:rsidR="0049058F" w:rsidRPr="001A2316" w:rsidRDefault="00B51583" w:rsidP="0049058F">
      <w:pPr>
        <w:pStyle w:val="Default"/>
        <w:numPr>
          <w:ilvl w:val="0"/>
          <w:numId w:val="14"/>
        </w:numPr>
        <w:spacing w:after="250" w:line="360" w:lineRule="auto"/>
        <w:jc w:val="both"/>
      </w:pPr>
      <w:r>
        <w:t xml:space="preserve">Further, </w:t>
      </w:r>
      <w:r w:rsidR="00C859D2">
        <w:t xml:space="preserve">with regards to </w:t>
      </w:r>
      <w:r>
        <w:t xml:space="preserve">the </w:t>
      </w:r>
      <w:r w:rsidR="00C859D2">
        <w:t>F</w:t>
      </w:r>
      <w:r>
        <w:t>irst Respondent</w:t>
      </w:r>
      <w:r w:rsidR="00C859D2">
        <w:t>, the Tribunal noted th</w:t>
      </w:r>
      <w:r w:rsidR="00CF6AD3">
        <w:t>at</w:t>
      </w:r>
      <w:r w:rsidR="00C859D2">
        <w:t xml:space="preserve"> the First Respondent</w:t>
      </w:r>
      <w:r>
        <w:t xml:space="preserve"> had contacted the Tribunal </w:t>
      </w:r>
      <w:r w:rsidR="00454A0A">
        <w:t>on 19 February 2025 to ask for the hearing to be adjourned</w:t>
      </w:r>
      <w:r w:rsidR="00CF6AD3">
        <w:t>.  T</w:t>
      </w:r>
      <w:r w:rsidR="00C859D2">
        <w:t>he Tribunal had refused that request</w:t>
      </w:r>
      <w:r w:rsidR="00CF6AD3">
        <w:t xml:space="preserve"> and the Respondents were told that the hearing would be proceeding</w:t>
      </w:r>
      <w:r w:rsidR="00C859D2">
        <w:t xml:space="preserve">.  The First Respondent was therefore aware </w:t>
      </w:r>
      <w:r w:rsidR="00C656B5">
        <w:t xml:space="preserve">of the Hearing </w:t>
      </w:r>
      <w:r w:rsidR="00C656B5">
        <w:lastRenderedPageBreak/>
        <w:t>and had not provided the Tribunal with any explanation for non-attendance.</w:t>
      </w:r>
    </w:p>
    <w:p w14:paraId="46FE77E7" w14:textId="3D69B5E7" w:rsidR="00C656B5" w:rsidRDefault="00C656B5" w:rsidP="0049058F">
      <w:pPr>
        <w:pStyle w:val="Default"/>
        <w:numPr>
          <w:ilvl w:val="0"/>
          <w:numId w:val="14"/>
        </w:numPr>
        <w:spacing w:after="250" w:line="360" w:lineRule="auto"/>
        <w:jc w:val="both"/>
      </w:pPr>
      <w:r>
        <w:t>With regards to the Second Respondent</w:t>
      </w:r>
      <w:r w:rsidR="001B0D82">
        <w:t xml:space="preserve">’s non-attendance, Ernesto Carrella told that Tribunal that </w:t>
      </w:r>
      <w:r w:rsidR="00023D21">
        <w:t>on 2 December 2024</w:t>
      </w:r>
      <w:r w:rsidR="00A77271">
        <w:t>, after he had taken his children to school</w:t>
      </w:r>
      <w:r w:rsidR="00A31E4F">
        <w:t>,</w:t>
      </w:r>
      <w:r w:rsidR="00A77271">
        <w:t xml:space="preserve"> </w:t>
      </w:r>
      <w:r w:rsidR="00606D8E">
        <w:t>Zakir Mumtaz</w:t>
      </w:r>
      <w:r w:rsidR="00A77271">
        <w:t xml:space="preserve"> saw </w:t>
      </w:r>
      <w:r w:rsidR="00606D8E">
        <w:t>him</w:t>
      </w:r>
      <w:r w:rsidR="00A77271">
        <w:t xml:space="preserve"> </w:t>
      </w:r>
      <w:r w:rsidR="00606D8E">
        <w:t>i</w:t>
      </w:r>
      <w:r w:rsidR="00A77271">
        <w:t>n the street</w:t>
      </w:r>
      <w:r w:rsidR="00606D8E">
        <w:t xml:space="preserve">.  Ernesto Carella was </w:t>
      </w:r>
      <w:r w:rsidR="00A31E4F">
        <w:t>w</w:t>
      </w:r>
      <w:r w:rsidR="00606D8E">
        <w:t xml:space="preserve">alking and </w:t>
      </w:r>
      <w:r w:rsidR="00E706C5">
        <w:t xml:space="preserve">Zakir Mumtaz was in </w:t>
      </w:r>
      <w:r w:rsidR="00A77271">
        <w:t xml:space="preserve">his car. </w:t>
      </w:r>
      <w:r w:rsidR="00E706C5">
        <w:t>Ernesto Carella told the Tribuna</w:t>
      </w:r>
      <w:r w:rsidR="00A31E4F">
        <w:t>l</w:t>
      </w:r>
      <w:r w:rsidR="00E706C5">
        <w:t xml:space="preserve"> that Zakir Mumtaz </w:t>
      </w:r>
      <w:r w:rsidR="00A77271">
        <w:t>had the</w:t>
      </w:r>
      <w:r w:rsidR="00B71EA4">
        <w:t xml:space="preserve"> bundle of </w:t>
      </w:r>
      <w:r w:rsidR="00A31E4F">
        <w:t>RRO T</w:t>
      </w:r>
      <w:r w:rsidR="00A77271">
        <w:t xml:space="preserve">ribunal </w:t>
      </w:r>
      <w:r w:rsidR="00CC3D5A">
        <w:t xml:space="preserve">paperwork </w:t>
      </w:r>
      <w:r w:rsidR="00A77271">
        <w:t xml:space="preserve">printed </w:t>
      </w:r>
      <w:r w:rsidR="00CC3D5A">
        <w:t>and</w:t>
      </w:r>
      <w:r w:rsidR="00A77271">
        <w:t xml:space="preserve"> </w:t>
      </w:r>
      <w:r w:rsidR="00CC3D5A">
        <w:t>s</w:t>
      </w:r>
      <w:r w:rsidR="00A77271">
        <w:t xml:space="preserve">aid </w:t>
      </w:r>
      <w:r w:rsidR="00CC3D5A">
        <w:t xml:space="preserve">to Ernesto Carella that </w:t>
      </w:r>
      <w:r w:rsidR="00A77271">
        <w:t>he</w:t>
      </w:r>
      <w:r w:rsidR="00760AFC">
        <w:t xml:space="preserve"> was</w:t>
      </w:r>
      <w:r w:rsidR="00A77271">
        <w:t xml:space="preserve"> going to make </w:t>
      </w:r>
      <w:r w:rsidR="006805F9">
        <w:t xml:space="preserve"> his</w:t>
      </w:r>
      <w:r w:rsidR="00A77271">
        <w:t xml:space="preserve"> life very difficult.</w:t>
      </w:r>
      <w:r w:rsidR="00944B13">
        <w:t xml:space="preserve">  The Tribunal accepted the evidence of Ernesto  </w:t>
      </w:r>
      <w:r w:rsidR="00B71EA4">
        <w:t>Carrella and found</w:t>
      </w:r>
      <w:r w:rsidR="00760AFC">
        <w:t>,</w:t>
      </w:r>
      <w:r w:rsidR="00B71EA4">
        <w:t xml:space="preserve"> </w:t>
      </w:r>
      <w:r w:rsidR="00FF6BDD">
        <w:t xml:space="preserve">therefore </w:t>
      </w:r>
      <w:r w:rsidR="00B71EA4">
        <w:t>that the Second Respondent was aware of the hearing.</w:t>
      </w:r>
    </w:p>
    <w:p w14:paraId="0E11B888" w14:textId="7747C321" w:rsidR="0049058F" w:rsidRDefault="0049058F" w:rsidP="0049058F">
      <w:pPr>
        <w:pStyle w:val="Default"/>
        <w:numPr>
          <w:ilvl w:val="0"/>
          <w:numId w:val="14"/>
        </w:numPr>
        <w:spacing w:after="250" w:line="360" w:lineRule="auto"/>
        <w:jc w:val="both"/>
      </w:pPr>
      <w:r w:rsidRPr="001A2316">
        <w:t>The Tribunal, being satisfied that the Respondent</w:t>
      </w:r>
      <w:r w:rsidR="00B71EA4">
        <w:t>s</w:t>
      </w:r>
      <w:r w:rsidRPr="001A2316">
        <w:t xml:space="preserve"> w</w:t>
      </w:r>
      <w:r w:rsidR="00B71EA4">
        <w:t>ere</w:t>
      </w:r>
      <w:r w:rsidRPr="001A2316">
        <w:t xml:space="preserve"> aware of the hearing, determined that it was in the interest of justice to proceed in the Respondents</w:t>
      </w:r>
      <w:r w:rsidR="00B71EA4">
        <w:t>’</w:t>
      </w:r>
      <w:r w:rsidRPr="001A2316">
        <w:t xml:space="preserve"> absence.  In reaching this decision</w:t>
      </w:r>
      <w:r>
        <w:t>,</w:t>
      </w:r>
      <w:r w:rsidRPr="001A2316">
        <w:t xml:space="preserve"> the Tribunal considered rule 34 of the Tribunal Procedure (First-tier Tribunal) (Property Chamber) Rules 2013 </w:t>
      </w:r>
      <w:r w:rsidR="00150C0C">
        <w:t xml:space="preserve">(the Rules) </w:t>
      </w:r>
      <w:r w:rsidRPr="001A2316">
        <w:t>which provides that the Tribunal may proceed with the hearing in a party’s absence if satisfied that the party has been notified of the hearing, or that reasonable steps have been taken to notify the party of the hearing, and it is in the interest of justice to proceed.  The Tribunal was satisfied that the Respondent had been notified of the hearing date by the Tribunal and the Applicants.  Further</w:t>
      </w:r>
      <w:r>
        <w:t>,</w:t>
      </w:r>
      <w:r w:rsidRPr="001A2316">
        <w:t xml:space="preserve"> the Tribunal considered rule </w:t>
      </w:r>
      <w:r>
        <w:t>3(2)</w:t>
      </w:r>
      <w:r w:rsidRPr="001A2316">
        <w:t xml:space="preserve">(a) and </w:t>
      </w:r>
      <w:r>
        <w:t>3(2)</w:t>
      </w:r>
      <w:r w:rsidRPr="001A2316">
        <w:t>(e) which provides that the Tribunal must deal with cases proportionately and avoid delay.  The Respondent had not provided any evidence to the Tribunal</w:t>
      </w:r>
      <w:r>
        <w:t>;</w:t>
      </w:r>
      <w:r w:rsidRPr="001A2316">
        <w:t xml:space="preserve"> however</w:t>
      </w:r>
      <w:r>
        <w:t>,</w:t>
      </w:r>
      <w:r w:rsidRPr="001A2316">
        <w:t xml:space="preserve"> the Applicants had attended the hearing</w:t>
      </w:r>
      <w:r w:rsidR="00A942DA">
        <w:t xml:space="preserve"> and </w:t>
      </w:r>
      <w:r w:rsidR="007662BF">
        <w:t>were represented</w:t>
      </w:r>
      <w:r w:rsidR="00A942DA">
        <w:t>,</w:t>
      </w:r>
      <w:r w:rsidRPr="001A2316">
        <w:t xml:space="preserve"> and the Tribunal was ready to hear the case.</w:t>
      </w:r>
      <w:r w:rsidR="00292379">
        <w:t xml:space="preserve">  The Tribunal was therefore satisfied that it was in the interest of justice to proceed.</w:t>
      </w:r>
      <w:r w:rsidRPr="001A2316">
        <w:t xml:space="preserve">  </w:t>
      </w:r>
    </w:p>
    <w:p w14:paraId="0CCDB90D" w14:textId="627D919E" w:rsidR="001906CB" w:rsidRPr="001A2316" w:rsidRDefault="00CF2803" w:rsidP="0049058F">
      <w:pPr>
        <w:pStyle w:val="Default"/>
        <w:numPr>
          <w:ilvl w:val="0"/>
          <w:numId w:val="14"/>
        </w:numPr>
        <w:spacing w:after="250" w:line="360" w:lineRule="auto"/>
        <w:jc w:val="both"/>
      </w:pPr>
      <w:r>
        <w:t>Sometime after</w:t>
      </w:r>
      <w:r w:rsidR="007662BF">
        <w:t xml:space="preserve"> the hearing had sta</w:t>
      </w:r>
      <w:r w:rsidR="00E52E22">
        <w:t>r</w:t>
      </w:r>
      <w:r w:rsidR="007662BF">
        <w:t>ted, a</w:t>
      </w:r>
      <w:r w:rsidR="001906CB">
        <w:t>t approximately 11.</w:t>
      </w:r>
      <w:r w:rsidR="00300BCB">
        <w:t>20am, Zakir Memtaz joined the CVP hearing.  The Tribunal asked him to confirm his name</w:t>
      </w:r>
      <w:r w:rsidR="00436F7C">
        <w:t>;</w:t>
      </w:r>
      <w:r w:rsidR="00300BCB">
        <w:t xml:space="preserve"> however</w:t>
      </w:r>
      <w:r w:rsidR="00436F7C">
        <w:t>,</w:t>
      </w:r>
      <w:r w:rsidR="00300BCB">
        <w:t xml:space="preserve"> </w:t>
      </w:r>
      <w:r w:rsidR="003032DE">
        <w:t xml:space="preserve">he made </w:t>
      </w:r>
      <w:r w:rsidR="00300BCB">
        <w:t xml:space="preserve">no </w:t>
      </w:r>
      <w:r w:rsidR="003032DE">
        <w:t xml:space="preserve">reply and then </w:t>
      </w:r>
      <w:r w:rsidR="00810788">
        <w:t>immediately left the hearing.  The Tribunal paused the hearing to see if Zakir Memtaz would rejoin</w:t>
      </w:r>
      <w:r w:rsidR="00436F7C">
        <w:t>;</w:t>
      </w:r>
      <w:r w:rsidR="00810788">
        <w:t xml:space="preserve"> however</w:t>
      </w:r>
      <w:r w:rsidR="00436F7C">
        <w:t>,</w:t>
      </w:r>
      <w:r w:rsidR="00810788">
        <w:t xml:space="preserve"> he did not and so the hearing continued.  </w:t>
      </w:r>
      <w:r w:rsidR="0033428B">
        <w:t xml:space="preserve"> The Tribunal did not </w:t>
      </w:r>
      <w:r w:rsidR="0033428B">
        <w:lastRenderedPageBreak/>
        <w:t xml:space="preserve">receive any </w:t>
      </w:r>
      <w:r w:rsidR="009C2A9A">
        <w:t>further communication</w:t>
      </w:r>
      <w:r w:rsidR="0033428B">
        <w:t xml:space="preserve"> from Zakir Memtaz </w:t>
      </w:r>
      <w:r w:rsidR="009C2A9A">
        <w:t xml:space="preserve">and no </w:t>
      </w:r>
      <w:r w:rsidR="00F52DFA">
        <w:t xml:space="preserve">explanation </w:t>
      </w:r>
      <w:r w:rsidR="00BA1AF8">
        <w:t xml:space="preserve">was received </w:t>
      </w:r>
      <w:r w:rsidR="00F52DFA">
        <w:t xml:space="preserve">as to </w:t>
      </w:r>
      <w:r w:rsidR="00543608">
        <w:t xml:space="preserve">why he joined and then left the hearing. </w:t>
      </w:r>
    </w:p>
    <w:p w14:paraId="7292DB66" w14:textId="69052796" w:rsidR="000746D3" w:rsidRPr="0037732D" w:rsidRDefault="0037732D" w:rsidP="0037732D">
      <w:pPr>
        <w:pStyle w:val="Default"/>
        <w:spacing w:after="250" w:line="360" w:lineRule="auto"/>
        <w:jc w:val="both"/>
        <w:rPr>
          <w:b/>
          <w:bCs/>
        </w:rPr>
      </w:pPr>
      <w:r w:rsidRPr="0037732D">
        <w:rPr>
          <w:b/>
          <w:bCs/>
        </w:rPr>
        <w:t>Additional Documents</w:t>
      </w:r>
    </w:p>
    <w:p w14:paraId="54E6EB34" w14:textId="2FD9A96A" w:rsidR="000746D3" w:rsidRDefault="00650DFA" w:rsidP="000746D3">
      <w:pPr>
        <w:pStyle w:val="Default"/>
        <w:numPr>
          <w:ilvl w:val="0"/>
          <w:numId w:val="14"/>
        </w:numPr>
        <w:spacing w:after="250" w:line="360" w:lineRule="auto"/>
        <w:jc w:val="both"/>
      </w:pPr>
      <w:r>
        <w:t xml:space="preserve">At the start of the hearing, the </w:t>
      </w:r>
      <w:r w:rsidR="001F2C03">
        <w:t xml:space="preserve">Tribunal considered the application made by the Applicants on Form Order 1 </w:t>
      </w:r>
      <w:r w:rsidR="00D145B7">
        <w:t>dated 27 January 2025</w:t>
      </w:r>
      <w:r w:rsidR="00DB5347">
        <w:t>,</w:t>
      </w:r>
      <w:r w:rsidR="00D145B7">
        <w:t xml:space="preserve"> </w:t>
      </w:r>
      <w:r w:rsidR="00442A67">
        <w:t xml:space="preserve">which asked the Tribunal’s permission </w:t>
      </w:r>
      <w:r w:rsidR="006B56ED">
        <w:t>for</w:t>
      </w:r>
      <w:r w:rsidR="00DD3C9E">
        <w:t xml:space="preserve"> </w:t>
      </w:r>
      <w:r w:rsidR="00DB5347">
        <w:t xml:space="preserve">the Applicants </w:t>
      </w:r>
      <w:r w:rsidR="006B56ED">
        <w:t>to</w:t>
      </w:r>
      <w:r w:rsidR="00DB5347">
        <w:t xml:space="preserve"> adduce </w:t>
      </w:r>
      <w:r w:rsidR="001F2C03">
        <w:t xml:space="preserve">additional evidence.  The Applicants told the Tribunal that on 15 January 2025, after the date </w:t>
      </w:r>
      <w:r w:rsidR="00922EFA">
        <w:t xml:space="preserve">evidence </w:t>
      </w:r>
      <w:r w:rsidR="00E072EF">
        <w:t>should have been exchanged, they received from Oxford City Council additional information about the condition of the Property.  The</w:t>
      </w:r>
      <w:r w:rsidR="00D145B7">
        <w:t xml:space="preserve"> Applicants confirmed that the </w:t>
      </w:r>
      <w:r w:rsidR="00150C0C">
        <w:t xml:space="preserve">application and </w:t>
      </w:r>
      <w:r w:rsidR="00D145B7">
        <w:t>documents had been sent to the Respondents</w:t>
      </w:r>
      <w:r w:rsidR="00150C0C">
        <w:t>.</w:t>
      </w:r>
    </w:p>
    <w:p w14:paraId="1731387A" w14:textId="524CDFB0" w:rsidR="0037732D" w:rsidRPr="00505BAA" w:rsidRDefault="0037732D" w:rsidP="000746D3">
      <w:pPr>
        <w:pStyle w:val="Default"/>
        <w:numPr>
          <w:ilvl w:val="0"/>
          <w:numId w:val="14"/>
        </w:numPr>
        <w:spacing w:after="250" w:line="360" w:lineRule="auto"/>
        <w:jc w:val="both"/>
      </w:pPr>
      <w:r>
        <w:t xml:space="preserve">The </w:t>
      </w:r>
      <w:r w:rsidR="00EB6CFF">
        <w:t>Tribunal</w:t>
      </w:r>
      <w:r>
        <w:t xml:space="preserve"> was satisfied</w:t>
      </w:r>
      <w:r w:rsidR="00D145B7">
        <w:t xml:space="preserve"> </w:t>
      </w:r>
      <w:r w:rsidR="00EB6CFF">
        <w:t xml:space="preserve">the documents had been sent to the Respondents </w:t>
      </w:r>
      <w:r w:rsidR="00150C0C">
        <w:t xml:space="preserve">in advance of </w:t>
      </w:r>
      <w:r w:rsidR="00EB6CFF">
        <w:t xml:space="preserve">the hearing.  </w:t>
      </w:r>
      <w:r w:rsidR="00B30294">
        <w:t>Further, t</w:t>
      </w:r>
      <w:r w:rsidR="00C164ED">
        <w:t>he Tribunal found that there was therefore no prejudice to the Respondents</w:t>
      </w:r>
      <w:r w:rsidR="00150C0C">
        <w:t xml:space="preserve">, </w:t>
      </w:r>
      <w:r w:rsidR="00C164ED">
        <w:t>and</w:t>
      </w:r>
      <w:r w:rsidR="009E1B38">
        <w:t>,</w:t>
      </w:r>
      <w:r w:rsidR="00C164ED">
        <w:t xml:space="preserve"> taking into consideration rule 3 of the </w:t>
      </w:r>
      <w:r w:rsidR="00150C0C">
        <w:t>Rules</w:t>
      </w:r>
      <w:r w:rsidR="009E1B38">
        <w:t>,</w:t>
      </w:r>
      <w:r w:rsidR="00150C0C">
        <w:t xml:space="preserve"> </w:t>
      </w:r>
      <w:r w:rsidR="00F529AD">
        <w:t xml:space="preserve">allowed the documents to be included.  The </w:t>
      </w:r>
      <w:r w:rsidR="008F2F31">
        <w:t xml:space="preserve">additional documents </w:t>
      </w:r>
      <w:r w:rsidR="009425B7">
        <w:t xml:space="preserve">consisted of </w:t>
      </w:r>
      <w:r w:rsidR="00363870">
        <w:t>notes from an</w:t>
      </w:r>
      <w:r w:rsidR="009425B7">
        <w:t xml:space="preserve"> inspection </w:t>
      </w:r>
      <w:r w:rsidR="00F63664">
        <w:t xml:space="preserve">of the Property which was </w:t>
      </w:r>
      <w:r w:rsidR="009425B7">
        <w:t>made by Oxford City Council on 25 January 2023</w:t>
      </w:r>
      <w:r w:rsidR="0008063B">
        <w:t>, which was relevant evidence for the Tribunal to consider.</w:t>
      </w:r>
    </w:p>
    <w:p w14:paraId="3061AA6A" w14:textId="77777777" w:rsidR="00484CC0" w:rsidRPr="00505BAA" w:rsidRDefault="00484CC0" w:rsidP="00484CC0">
      <w:pPr>
        <w:pStyle w:val="Default"/>
        <w:spacing w:after="250" w:line="360" w:lineRule="auto"/>
        <w:jc w:val="both"/>
      </w:pPr>
      <w:r w:rsidRPr="00505BAA">
        <w:rPr>
          <w:b/>
          <w:bCs/>
        </w:rPr>
        <w:t xml:space="preserve">The Law </w:t>
      </w:r>
    </w:p>
    <w:p w14:paraId="2DD37E6C" w14:textId="145A1DBE" w:rsidR="00484CC0" w:rsidRPr="00505BAA" w:rsidRDefault="00484CC0" w:rsidP="00484CC0">
      <w:pPr>
        <w:numPr>
          <w:ilvl w:val="0"/>
          <w:numId w:val="14"/>
        </w:numPr>
        <w:spacing w:line="360" w:lineRule="auto"/>
        <w:ind w:left="567" w:hanging="567"/>
        <w:jc w:val="both"/>
        <w:rPr>
          <w:rFonts w:ascii="Georgia" w:hAnsi="Georgia"/>
        </w:rPr>
      </w:pPr>
      <w:r w:rsidRPr="00505BAA">
        <w:rPr>
          <w:rFonts w:ascii="Georgia" w:hAnsi="Georgia"/>
        </w:rPr>
        <w:t>Section 41(1) Housing and Planning Act 2016 states:</w:t>
      </w:r>
    </w:p>
    <w:p w14:paraId="25A5CDE0" w14:textId="77777777" w:rsidR="00484CC0" w:rsidRPr="00505BAA" w:rsidRDefault="00484CC0" w:rsidP="00484CC0">
      <w:pPr>
        <w:spacing w:line="360" w:lineRule="auto"/>
        <w:ind w:left="1440"/>
        <w:jc w:val="both"/>
        <w:rPr>
          <w:rFonts w:ascii="Georgia" w:hAnsi="Georgia"/>
        </w:rPr>
      </w:pPr>
    </w:p>
    <w:p w14:paraId="64D7DFA4" w14:textId="77777777" w:rsidR="00484CC0" w:rsidRPr="00505BAA" w:rsidRDefault="00484CC0" w:rsidP="00484CC0">
      <w:pPr>
        <w:spacing w:line="360" w:lineRule="auto"/>
        <w:ind w:left="1440"/>
        <w:jc w:val="both"/>
        <w:rPr>
          <w:rFonts w:ascii="Georgia" w:hAnsi="Georgia"/>
        </w:rPr>
      </w:pPr>
      <w:r w:rsidRPr="00505BAA">
        <w:rPr>
          <w:rFonts w:ascii="Georgia" w:hAnsi="Georgia"/>
        </w:rPr>
        <w:t>“A tenant or a local housing authority may apply to the First-tier Tribunal for a rent repayment order against a person who has committed an offence to which this Chapter applies”</w:t>
      </w:r>
    </w:p>
    <w:p w14:paraId="48AB8B8A" w14:textId="77777777" w:rsidR="00484CC0" w:rsidRPr="00505BAA" w:rsidRDefault="00484CC0" w:rsidP="00484CC0">
      <w:pPr>
        <w:spacing w:line="360" w:lineRule="auto"/>
        <w:jc w:val="both"/>
        <w:rPr>
          <w:rFonts w:ascii="Georgia" w:hAnsi="Georgia"/>
        </w:rPr>
      </w:pPr>
    </w:p>
    <w:p w14:paraId="78151BB9" w14:textId="6033BF2A" w:rsidR="00484CC0" w:rsidRPr="00505BAA" w:rsidRDefault="00484CC0" w:rsidP="00484CC0">
      <w:pPr>
        <w:tabs>
          <w:tab w:val="left" w:pos="567"/>
        </w:tabs>
        <w:spacing w:line="360" w:lineRule="auto"/>
        <w:jc w:val="both"/>
        <w:rPr>
          <w:rFonts w:ascii="Georgia" w:hAnsi="Georgia"/>
        </w:rPr>
      </w:pPr>
      <w:r w:rsidRPr="00505BAA">
        <w:rPr>
          <w:rFonts w:ascii="Georgia" w:hAnsi="Georgia"/>
        </w:rPr>
        <w:t>1</w:t>
      </w:r>
      <w:r w:rsidR="00BF216D">
        <w:rPr>
          <w:rFonts w:ascii="Georgia" w:hAnsi="Georgia"/>
        </w:rPr>
        <w:t>6</w:t>
      </w:r>
      <w:r w:rsidRPr="00505BAA">
        <w:rPr>
          <w:rFonts w:ascii="Georgia" w:hAnsi="Georgia"/>
        </w:rPr>
        <w:t>.</w:t>
      </w:r>
      <w:r w:rsidRPr="00505BAA">
        <w:rPr>
          <w:rFonts w:ascii="Georgia" w:hAnsi="Georgia"/>
        </w:rPr>
        <w:tab/>
        <w:t>Section 43(1) Housing and Planning Act 2016 states:</w:t>
      </w:r>
    </w:p>
    <w:p w14:paraId="5CD58C4E" w14:textId="77777777" w:rsidR="00484CC0" w:rsidRPr="00505BAA" w:rsidRDefault="00484CC0" w:rsidP="00484CC0">
      <w:pPr>
        <w:spacing w:line="360" w:lineRule="auto"/>
        <w:jc w:val="both"/>
        <w:rPr>
          <w:rFonts w:ascii="Georgia" w:hAnsi="Georgia"/>
        </w:rPr>
      </w:pPr>
    </w:p>
    <w:p w14:paraId="07746F2C" w14:textId="77777777" w:rsidR="00484CC0" w:rsidRPr="00505BAA" w:rsidRDefault="00484CC0" w:rsidP="00484CC0">
      <w:pPr>
        <w:spacing w:line="360" w:lineRule="auto"/>
        <w:ind w:left="1440"/>
        <w:jc w:val="both"/>
        <w:rPr>
          <w:rFonts w:ascii="Georgia" w:hAnsi="Georgia"/>
        </w:rPr>
      </w:pPr>
      <w:r w:rsidRPr="00505BAA">
        <w:rPr>
          <w:rFonts w:ascii="Georgia" w:hAnsi="Georgia"/>
        </w:rPr>
        <w:t>“The First-tier Tribunal may make a rent repayment order if satisfied, beyond reasonable doubt, that a landlord has committed an offence to which this Chapter applies (whether or not the landlord had been convicted)”</w:t>
      </w:r>
    </w:p>
    <w:p w14:paraId="18D98E81" w14:textId="77777777" w:rsidR="00484CC0" w:rsidRPr="00505BAA" w:rsidRDefault="00484CC0" w:rsidP="00484CC0">
      <w:pPr>
        <w:spacing w:line="360" w:lineRule="auto"/>
        <w:ind w:left="1440"/>
        <w:jc w:val="both"/>
        <w:rPr>
          <w:rFonts w:ascii="Georgia" w:hAnsi="Georgia"/>
        </w:rPr>
      </w:pPr>
    </w:p>
    <w:p w14:paraId="6D3CA215" w14:textId="3E9F329B" w:rsidR="00484CC0" w:rsidRPr="00505BAA" w:rsidRDefault="00484CC0" w:rsidP="00484CC0">
      <w:pPr>
        <w:tabs>
          <w:tab w:val="left" w:pos="567"/>
        </w:tabs>
        <w:spacing w:line="360" w:lineRule="auto"/>
        <w:ind w:left="567" w:hanging="567"/>
        <w:jc w:val="both"/>
        <w:rPr>
          <w:rFonts w:ascii="Georgia" w:hAnsi="Georgia"/>
        </w:rPr>
      </w:pPr>
      <w:r w:rsidRPr="00505BAA">
        <w:rPr>
          <w:rFonts w:ascii="Georgia" w:hAnsi="Georgia"/>
        </w:rPr>
        <w:t>1</w:t>
      </w:r>
      <w:r w:rsidR="00BF216D">
        <w:rPr>
          <w:rFonts w:ascii="Georgia" w:hAnsi="Georgia"/>
        </w:rPr>
        <w:t>7</w:t>
      </w:r>
      <w:r w:rsidRPr="00505BAA">
        <w:rPr>
          <w:rFonts w:ascii="Georgia" w:hAnsi="Georgia"/>
        </w:rPr>
        <w:t>.</w:t>
      </w:r>
      <w:r w:rsidRPr="00505BAA">
        <w:rPr>
          <w:rFonts w:ascii="Georgia" w:hAnsi="Georgia"/>
        </w:rPr>
        <w:tab/>
        <w:t xml:space="preserve">Section 40(3) Housing and Planning Act 2016 defines “an offence to which this Chapter applies” by reference to a table.  The offence under section </w:t>
      </w:r>
      <w:r w:rsidR="00CF4D23">
        <w:rPr>
          <w:rFonts w:ascii="Georgia" w:hAnsi="Georgia"/>
        </w:rPr>
        <w:t>95</w:t>
      </w:r>
      <w:r w:rsidRPr="00505BAA">
        <w:rPr>
          <w:rFonts w:ascii="Georgia" w:hAnsi="Georgia"/>
        </w:rPr>
        <w:t>(1) Housing Act 2004 (control or management of unlicensed house) is within that table.</w:t>
      </w:r>
    </w:p>
    <w:p w14:paraId="4A22FAD0" w14:textId="77777777" w:rsidR="00484CC0" w:rsidRPr="00505BAA" w:rsidRDefault="00484CC0" w:rsidP="00484CC0">
      <w:pPr>
        <w:spacing w:line="360" w:lineRule="auto"/>
        <w:jc w:val="both"/>
        <w:rPr>
          <w:rFonts w:ascii="Georgia" w:hAnsi="Georgia"/>
        </w:rPr>
      </w:pPr>
      <w:r w:rsidRPr="00505BAA">
        <w:rPr>
          <w:rFonts w:ascii="Georgia" w:hAnsi="Georgia"/>
        </w:rPr>
        <w:t xml:space="preserve"> </w:t>
      </w:r>
    </w:p>
    <w:p w14:paraId="3AFCC8B7" w14:textId="77777777" w:rsidR="00484CC0" w:rsidRPr="00505BAA" w:rsidRDefault="00484CC0" w:rsidP="00484CC0">
      <w:pPr>
        <w:spacing w:line="360" w:lineRule="auto"/>
        <w:jc w:val="both"/>
        <w:rPr>
          <w:rFonts w:ascii="Georgia" w:hAnsi="Georgia"/>
        </w:rPr>
      </w:pPr>
      <w:r w:rsidRPr="00505BAA">
        <w:rPr>
          <w:rFonts w:ascii="Georgia" w:hAnsi="Georgia"/>
          <w:b/>
          <w:bCs/>
        </w:rPr>
        <w:t>Control or Management of Unlicensed HMO</w:t>
      </w:r>
      <w:r w:rsidRPr="00505BAA">
        <w:rPr>
          <w:rFonts w:ascii="Georgia" w:hAnsi="Georgia"/>
        </w:rPr>
        <w:t>:</w:t>
      </w:r>
    </w:p>
    <w:p w14:paraId="0EACF571" w14:textId="77777777" w:rsidR="00484CC0" w:rsidRPr="00505BAA" w:rsidRDefault="00484CC0" w:rsidP="00484CC0">
      <w:pPr>
        <w:spacing w:line="360" w:lineRule="auto"/>
        <w:ind w:left="1440"/>
        <w:jc w:val="both"/>
        <w:rPr>
          <w:rFonts w:ascii="Georgia" w:hAnsi="Georgia"/>
        </w:rPr>
      </w:pPr>
    </w:p>
    <w:p w14:paraId="1C50A52D" w14:textId="23E18898" w:rsidR="00484CC0" w:rsidRPr="00505BAA" w:rsidRDefault="00484CC0" w:rsidP="00484CC0">
      <w:pPr>
        <w:tabs>
          <w:tab w:val="left" w:pos="567"/>
        </w:tabs>
        <w:spacing w:line="360" w:lineRule="auto"/>
        <w:jc w:val="both"/>
        <w:rPr>
          <w:rFonts w:ascii="Georgia" w:hAnsi="Georgia"/>
        </w:rPr>
      </w:pPr>
      <w:r w:rsidRPr="00505BAA">
        <w:rPr>
          <w:rFonts w:ascii="Georgia" w:hAnsi="Georgia"/>
        </w:rPr>
        <w:t>1</w:t>
      </w:r>
      <w:r w:rsidR="00BF216D">
        <w:rPr>
          <w:rFonts w:ascii="Georgia" w:hAnsi="Georgia"/>
        </w:rPr>
        <w:t>8</w:t>
      </w:r>
      <w:r w:rsidRPr="00505BAA">
        <w:rPr>
          <w:rFonts w:ascii="Georgia" w:hAnsi="Georgia"/>
        </w:rPr>
        <w:t>.</w:t>
      </w:r>
      <w:r w:rsidRPr="00505BAA">
        <w:rPr>
          <w:rFonts w:ascii="Georgia" w:hAnsi="Georgia"/>
        </w:rPr>
        <w:tab/>
        <w:t xml:space="preserve">Section </w:t>
      </w:r>
      <w:r w:rsidR="00CD71F9">
        <w:rPr>
          <w:rFonts w:ascii="Georgia" w:hAnsi="Georgia"/>
        </w:rPr>
        <w:t>95</w:t>
      </w:r>
      <w:r w:rsidRPr="00505BAA">
        <w:rPr>
          <w:rFonts w:ascii="Georgia" w:hAnsi="Georgia"/>
        </w:rPr>
        <w:t>(1) Housing Act 2004 provides:</w:t>
      </w:r>
    </w:p>
    <w:p w14:paraId="180C1028" w14:textId="6DAA0165" w:rsidR="00144F30" w:rsidRDefault="00144F30" w:rsidP="00252986">
      <w:pPr>
        <w:spacing w:line="360" w:lineRule="auto"/>
        <w:jc w:val="both"/>
        <w:rPr>
          <w:rFonts w:ascii="Georgia" w:hAnsi="Georgia"/>
        </w:rPr>
      </w:pPr>
    </w:p>
    <w:p w14:paraId="38A5B677" w14:textId="5236732D" w:rsidR="00484CC0" w:rsidRPr="00505BAA" w:rsidRDefault="00252986" w:rsidP="00484CC0">
      <w:pPr>
        <w:spacing w:line="360" w:lineRule="auto"/>
        <w:ind w:left="1440"/>
        <w:jc w:val="both"/>
        <w:rPr>
          <w:rFonts w:ascii="Georgia" w:hAnsi="Georgia"/>
        </w:rPr>
      </w:pPr>
      <w:r>
        <w:rPr>
          <w:rFonts w:ascii="Georgia" w:hAnsi="Georgia"/>
        </w:rPr>
        <w:t>“</w:t>
      </w:r>
      <w:r w:rsidR="00484CC0" w:rsidRPr="00505BAA">
        <w:rPr>
          <w:rFonts w:ascii="Georgia" w:hAnsi="Georgia"/>
        </w:rPr>
        <w:t>A person commits an offence if he is a person having control of or managing a</w:t>
      </w:r>
      <w:r>
        <w:rPr>
          <w:rFonts w:ascii="Georgia" w:hAnsi="Georgia"/>
        </w:rPr>
        <w:t xml:space="preserve"> house </w:t>
      </w:r>
      <w:r w:rsidR="00484CC0" w:rsidRPr="00505BAA">
        <w:rPr>
          <w:rFonts w:ascii="Georgia" w:hAnsi="Georgia"/>
        </w:rPr>
        <w:t>which is required to be licen</w:t>
      </w:r>
      <w:r w:rsidR="00AA1D85">
        <w:rPr>
          <w:rFonts w:ascii="Georgia" w:hAnsi="Georgia"/>
        </w:rPr>
        <w:t>s</w:t>
      </w:r>
      <w:r w:rsidR="00484CC0" w:rsidRPr="00505BAA">
        <w:rPr>
          <w:rFonts w:ascii="Georgia" w:hAnsi="Georgia"/>
        </w:rPr>
        <w:t>ed under this Part but is not so licensed.”</w:t>
      </w:r>
    </w:p>
    <w:p w14:paraId="4855C9B3" w14:textId="77777777" w:rsidR="00484CC0" w:rsidRPr="00505BAA" w:rsidRDefault="00484CC0" w:rsidP="00484CC0">
      <w:pPr>
        <w:spacing w:line="360" w:lineRule="auto"/>
        <w:jc w:val="both"/>
        <w:rPr>
          <w:rFonts w:ascii="Georgia" w:hAnsi="Georgia"/>
        </w:rPr>
      </w:pPr>
    </w:p>
    <w:p w14:paraId="6F90A08D" w14:textId="6FB3DF21" w:rsidR="00484CC0" w:rsidRDefault="00365820" w:rsidP="00252986">
      <w:pPr>
        <w:tabs>
          <w:tab w:val="left" w:pos="567"/>
        </w:tabs>
        <w:spacing w:line="360" w:lineRule="auto"/>
        <w:ind w:left="567" w:hanging="567"/>
        <w:jc w:val="both"/>
        <w:rPr>
          <w:rFonts w:ascii="Georgia" w:hAnsi="Georgia"/>
          <w:b/>
          <w:bCs/>
        </w:rPr>
      </w:pPr>
      <w:r w:rsidRPr="001675FE">
        <w:rPr>
          <w:rFonts w:ascii="Georgia" w:hAnsi="Georgia"/>
          <w:b/>
          <w:bCs/>
        </w:rPr>
        <w:t xml:space="preserve">Oxford City Council </w:t>
      </w:r>
      <w:r w:rsidR="00597EC0" w:rsidRPr="001675FE">
        <w:rPr>
          <w:rFonts w:ascii="Georgia" w:hAnsi="Georgia"/>
          <w:b/>
          <w:bCs/>
        </w:rPr>
        <w:t xml:space="preserve"> - Selective Licensing Scheme</w:t>
      </w:r>
    </w:p>
    <w:p w14:paraId="78D887C6" w14:textId="248218D6" w:rsidR="001675FE" w:rsidRDefault="001675FE" w:rsidP="00252986">
      <w:pPr>
        <w:tabs>
          <w:tab w:val="left" w:pos="567"/>
        </w:tabs>
        <w:spacing w:line="360" w:lineRule="auto"/>
        <w:ind w:left="567" w:hanging="567"/>
        <w:jc w:val="both"/>
        <w:rPr>
          <w:rFonts w:ascii="Georgia" w:hAnsi="Georgia"/>
          <w:b/>
          <w:bCs/>
        </w:rPr>
      </w:pPr>
    </w:p>
    <w:p w14:paraId="6AC1A707" w14:textId="6B0C0C85" w:rsidR="001675FE" w:rsidRDefault="00E26AB7" w:rsidP="00BF216D">
      <w:pPr>
        <w:numPr>
          <w:ilvl w:val="0"/>
          <w:numId w:val="19"/>
        </w:numPr>
        <w:tabs>
          <w:tab w:val="left" w:pos="567"/>
        </w:tabs>
        <w:spacing w:line="360" w:lineRule="auto"/>
        <w:ind w:left="567" w:hanging="567"/>
        <w:jc w:val="both"/>
        <w:rPr>
          <w:rFonts w:ascii="Georgia" w:hAnsi="Georgia"/>
        </w:rPr>
      </w:pPr>
      <w:r>
        <w:rPr>
          <w:rFonts w:ascii="Georgia" w:hAnsi="Georgia"/>
        </w:rPr>
        <w:t>Oxford City Council</w:t>
      </w:r>
      <w:r w:rsidR="00FB74FE">
        <w:rPr>
          <w:rFonts w:ascii="Georgia" w:hAnsi="Georgia"/>
        </w:rPr>
        <w:t>,</w:t>
      </w:r>
      <w:r>
        <w:rPr>
          <w:rFonts w:ascii="Georgia" w:hAnsi="Georgia"/>
        </w:rPr>
        <w:t xml:space="preserve"> </w:t>
      </w:r>
      <w:r w:rsidR="00ED366C">
        <w:rPr>
          <w:rFonts w:ascii="Georgia" w:hAnsi="Georgia"/>
        </w:rPr>
        <w:t>in exercise of their powers under section 8</w:t>
      </w:r>
      <w:r w:rsidR="00A2534B">
        <w:rPr>
          <w:rFonts w:ascii="Georgia" w:hAnsi="Georgia"/>
        </w:rPr>
        <w:t>0</w:t>
      </w:r>
      <w:r w:rsidR="00ED366C">
        <w:rPr>
          <w:rFonts w:ascii="Georgia" w:hAnsi="Georgia"/>
        </w:rPr>
        <w:t xml:space="preserve"> of the Housing Act 2004</w:t>
      </w:r>
      <w:r w:rsidR="00FB74FE">
        <w:rPr>
          <w:rFonts w:ascii="Georgia" w:hAnsi="Georgia"/>
        </w:rPr>
        <w:t>,</w:t>
      </w:r>
      <w:r w:rsidR="00ED366C">
        <w:rPr>
          <w:rFonts w:ascii="Georgia" w:hAnsi="Georgia"/>
        </w:rPr>
        <w:t xml:space="preserve"> </w:t>
      </w:r>
      <w:r w:rsidR="008C239A">
        <w:rPr>
          <w:rFonts w:ascii="Georgia" w:hAnsi="Georgia"/>
        </w:rPr>
        <w:t xml:space="preserve">designated </w:t>
      </w:r>
      <w:r w:rsidR="007F62DE">
        <w:rPr>
          <w:rFonts w:ascii="Georgia" w:hAnsi="Georgia"/>
        </w:rPr>
        <w:t>an</w:t>
      </w:r>
      <w:r w:rsidR="008C239A">
        <w:rPr>
          <w:rFonts w:ascii="Georgia" w:hAnsi="Georgia"/>
        </w:rPr>
        <w:t xml:space="preserve"> area within the </w:t>
      </w:r>
      <w:r w:rsidR="00957E98">
        <w:rPr>
          <w:rFonts w:ascii="Georgia" w:hAnsi="Georgia"/>
        </w:rPr>
        <w:t>district of Oxford City Council</w:t>
      </w:r>
      <w:r w:rsidR="007F62DE">
        <w:rPr>
          <w:rFonts w:ascii="Georgia" w:hAnsi="Georgia"/>
        </w:rPr>
        <w:t xml:space="preserve"> as subject to selective licensing</w:t>
      </w:r>
      <w:r w:rsidR="009B12E2">
        <w:rPr>
          <w:rFonts w:ascii="Georgia" w:hAnsi="Georgia"/>
        </w:rPr>
        <w:t xml:space="preserve">.  This area was </w:t>
      </w:r>
      <w:r w:rsidR="004F080F">
        <w:rPr>
          <w:rFonts w:ascii="Georgia" w:hAnsi="Georgia"/>
        </w:rPr>
        <w:t>shaded on</w:t>
      </w:r>
      <w:r w:rsidR="00DD3281">
        <w:rPr>
          <w:rFonts w:ascii="Georgia" w:hAnsi="Georgia"/>
        </w:rPr>
        <w:t xml:space="preserve"> the map attached to the scheme and included </w:t>
      </w:r>
      <w:r w:rsidR="00DC2227">
        <w:rPr>
          <w:rFonts w:ascii="Georgia" w:hAnsi="Georgia"/>
        </w:rPr>
        <w:t>the ward of Summertown</w:t>
      </w:r>
      <w:r w:rsidR="00FB74FE">
        <w:rPr>
          <w:rFonts w:ascii="Georgia" w:hAnsi="Georgia"/>
        </w:rPr>
        <w:t>,</w:t>
      </w:r>
      <w:r w:rsidR="00DC2227">
        <w:rPr>
          <w:rFonts w:ascii="Georgia" w:hAnsi="Georgia"/>
        </w:rPr>
        <w:t xml:space="preserve"> the area in which the Property was situated</w:t>
      </w:r>
      <w:r w:rsidR="006B5067">
        <w:rPr>
          <w:rFonts w:ascii="Georgia" w:hAnsi="Georgia"/>
        </w:rPr>
        <w:t xml:space="preserve">.  The </w:t>
      </w:r>
      <w:r w:rsidR="0007619B">
        <w:rPr>
          <w:rFonts w:ascii="Georgia" w:hAnsi="Georgia"/>
        </w:rPr>
        <w:t>s</w:t>
      </w:r>
      <w:r w:rsidR="006B5067">
        <w:rPr>
          <w:rFonts w:ascii="Georgia" w:hAnsi="Georgia"/>
        </w:rPr>
        <w:t>cheme came into force on 1 September 2022</w:t>
      </w:r>
      <w:r w:rsidR="00A812E5">
        <w:rPr>
          <w:rFonts w:ascii="Georgia" w:hAnsi="Georgia"/>
        </w:rPr>
        <w:t xml:space="preserve"> and will cease to have effect on 31 August 2027.  </w:t>
      </w:r>
    </w:p>
    <w:p w14:paraId="1570F314" w14:textId="77777777" w:rsidR="004F080F" w:rsidRDefault="004F080F" w:rsidP="004F080F">
      <w:pPr>
        <w:tabs>
          <w:tab w:val="left" w:pos="567"/>
        </w:tabs>
        <w:spacing w:line="360" w:lineRule="auto"/>
        <w:ind w:left="720"/>
        <w:jc w:val="both"/>
        <w:rPr>
          <w:rFonts w:ascii="Georgia" w:hAnsi="Georgia"/>
        </w:rPr>
      </w:pPr>
    </w:p>
    <w:p w14:paraId="74284FA5" w14:textId="1AFD771E" w:rsidR="002F6B3C" w:rsidRDefault="00BF216D" w:rsidP="00B05EF3">
      <w:pPr>
        <w:shd w:val="clear" w:color="auto" w:fill="FFFFFF"/>
        <w:spacing w:line="360" w:lineRule="auto"/>
        <w:ind w:left="567" w:hanging="567"/>
        <w:jc w:val="both"/>
        <w:textAlignment w:val="baseline"/>
        <w:rPr>
          <w:rFonts w:ascii="Georgia" w:hAnsi="Georgia" w:cs="Arial"/>
          <w:color w:val="1F1F1F"/>
        </w:rPr>
      </w:pPr>
      <w:r>
        <w:rPr>
          <w:rFonts w:ascii="Georgia" w:hAnsi="Georgia"/>
        </w:rPr>
        <w:t>20</w:t>
      </w:r>
      <w:r w:rsidR="00D84D84" w:rsidRPr="006C0A4E">
        <w:rPr>
          <w:rFonts w:ascii="Georgia" w:hAnsi="Georgia"/>
        </w:rPr>
        <w:t>.</w:t>
      </w:r>
      <w:r w:rsidR="00D84D84" w:rsidRPr="006C0A4E">
        <w:rPr>
          <w:rFonts w:ascii="Georgia" w:hAnsi="Georgia"/>
        </w:rPr>
        <w:tab/>
      </w:r>
      <w:r w:rsidR="004E6A41" w:rsidRPr="00B05EF3">
        <w:rPr>
          <w:rFonts w:ascii="Georgia" w:hAnsi="Georgia"/>
        </w:rPr>
        <w:t>Th</w:t>
      </w:r>
      <w:r w:rsidR="000D6116" w:rsidRPr="00B05EF3">
        <w:rPr>
          <w:rFonts w:ascii="Georgia" w:hAnsi="Georgia"/>
        </w:rPr>
        <w:t xml:space="preserve">is </w:t>
      </w:r>
      <w:r w:rsidR="005A2169">
        <w:rPr>
          <w:rFonts w:ascii="Georgia" w:hAnsi="Georgia"/>
        </w:rPr>
        <w:t xml:space="preserve">selective licensing </w:t>
      </w:r>
      <w:r w:rsidR="000D6116" w:rsidRPr="00B05EF3">
        <w:rPr>
          <w:rFonts w:ascii="Georgia" w:hAnsi="Georgia"/>
        </w:rPr>
        <w:t>designation applie</w:t>
      </w:r>
      <w:r w:rsidR="00E65752">
        <w:rPr>
          <w:rFonts w:ascii="Georgia" w:hAnsi="Georgia"/>
        </w:rPr>
        <w:t>s</w:t>
      </w:r>
      <w:r w:rsidR="000D6116" w:rsidRPr="00B05EF3">
        <w:rPr>
          <w:rFonts w:ascii="Georgia" w:hAnsi="Georgia"/>
        </w:rPr>
        <w:t xml:space="preserve"> to any house </w:t>
      </w:r>
      <w:r w:rsidR="00CC36CB" w:rsidRPr="00B05EF3">
        <w:rPr>
          <w:rFonts w:ascii="Georgia" w:hAnsi="Georgia"/>
        </w:rPr>
        <w:t xml:space="preserve">which is let or </w:t>
      </w:r>
      <w:r w:rsidR="004F400E" w:rsidRPr="00B05EF3">
        <w:rPr>
          <w:rFonts w:ascii="Georgia" w:hAnsi="Georgia"/>
        </w:rPr>
        <w:t>occupied</w:t>
      </w:r>
      <w:r w:rsidR="00CC36CB" w:rsidRPr="00B05EF3">
        <w:rPr>
          <w:rFonts w:ascii="Georgia" w:hAnsi="Georgia"/>
        </w:rPr>
        <w:t xml:space="preserve"> under a tenancy or </w:t>
      </w:r>
      <w:r w:rsidR="004F400E" w:rsidRPr="00B05EF3">
        <w:rPr>
          <w:rFonts w:ascii="Georgia" w:hAnsi="Georgia"/>
        </w:rPr>
        <w:t>licence</w:t>
      </w:r>
      <w:r w:rsidR="00CC36CB" w:rsidRPr="00B05EF3">
        <w:rPr>
          <w:rFonts w:ascii="Georgia" w:hAnsi="Georgia"/>
        </w:rPr>
        <w:t xml:space="preserve"> within the area.  </w:t>
      </w:r>
      <w:r w:rsidR="00376D02">
        <w:rPr>
          <w:rFonts w:ascii="Georgia" w:hAnsi="Georgia"/>
        </w:rPr>
        <w:t>“</w:t>
      </w:r>
      <w:r w:rsidR="00CC36CB" w:rsidRPr="00B05EF3">
        <w:rPr>
          <w:rFonts w:ascii="Georgia" w:hAnsi="Georgia"/>
        </w:rPr>
        <w:t>House</w:t>
      </w:r>
      <w:r w:rsidR="00376D02">
        <w:rPr>
          <w:rFonts w:ascii="Georgia" w:hAnsi="Georgia"/>
        </w:rPr>
        <w:t>”</w:t>
      </w:r>
      <w:r w:rsidR="00CC36CB" w:rsidRPr="00B05EF3">
        <w:rPr>
          <w:rFonts w:ascii="Georgia" w:hAnsi="Georgia"/>
        </w:rPr>
        <w:t xml:space="preserve"> is defined within section 99 of the Housing Act 2004 </w:t>
      </w:r>
      <w:r w:rsidR="004F400E" w:rsidRPr="00B05EF3">
        <w:rPr>
          <w:rFonts w:ascii="Georgia" w:hAnsi="Georgia"/>
        </w:rPr>
        <w:t xml:space="preserve">as </w:t>
      </w:r>
      <w:r w:rsidR="00376D02">
        <w:rPr>
          <w:rFonts w:ascii="Georgia" w:hAnsi="Georgia"/>
        </w:rPr>
        <w:t>“</w:t>
      </w:r>
      <w:r w:rsidR="004F400E" w:rsidRPr="00B05EF3">
        <w:rPr>
          <w:rFonts w:ascii="Georgia" w:hAnsi="Georgia" w:cs="Arial"/>
          <w:color w:val="1F1F1F"/>
        </w:rPr>
        <w:t>a building or part of a building consisting of one or more dwellings</w:t>
      </w:r>
      <w:r w:rsidR="00376D02">
        <w:rPr>
          <w:rFonts w:ascii="Georgia" w:hAnsi="Georgia" w:cs="Arial"/>
          <w:color w:val="1F1F1F"/>
        </w:rPr>
        <w:t>”</w:t>
      </w:r>
      <w:r w:rsidR="005B7FDD" w:rsidRPr="00B05EF3">
        <w:rPr>
          <w:rFonts w:ascii="Georgia" w:hAnsi="Georgia" w:cs="Arial"/>
          <w:color w:val="1F1F1F"/>
        </w:rPr>
        <w:t>.  Section 99 defines “dwelling” as “</w:t>
      </w:r>
      <w:r w:rsidR="002F6B3C" w:rsidRPr="00B05EF3">
        <w:rPr>
          <w:rFonts w:ascii="Georgia" w:hAnsi="Georgia" w:cs="Arial"/>
          <w:color w:val="1F1F1F"/>
        </w:rPr>
        <w:t>a building or part of a building occupied or intended to be occupied as a separate dwelling</w:t>
      </w:r>
      <w:r w:rsidR="004B2B07">
        <w:rPr>
          <w:rFonts w:ascii="Georgia" w:hAnsi="Georgia" w:cs="Arial"/>
          <w:color w:val="1F1F1F"/>
        </w:rPr>
        <w:t>”</w:t>
      </w:r>
      <w:r w:rsidR="008A6D99" w:rsidRPr="00B05EF3">
        <w:rPr>
          <w:rFonts w:ascii="Georgia" w:hAnsi="Georgia" w:cs="Arial"/>
          <w:color w:val="1F1F1F"/>
        </w:rPr>
        <w:t xml:space="preserve">.  Further, </w:t>
      </w:r>
      <w:r w:rsidR="002F6B3C" w:rsidRPr="00B05EF3">
        <w:rPr>
          <w:rFonts w:ascii="Georgia" w:hAnsi="Georgia" w:cs="Arial"/>
          <w:color w:val="1F1F1F"/>
        </w:rPr>
        <w:t>an</w:t>
      </w:r>
      <w:r w:rsidR="005A2169">
        <w:rPr>
          <w:rFonts w:ascii="Georgia" w:hAnsi="Georgia" w:cs="Arial"/>
          <w:color w:val="1F1F1F"/>
        </w:rPr>
        <w:t>y</w:t>
      </w:r>
      <w:r w:rsidR="002F6B3C" w:rsidRPr="00B05EF3">
        <w:rPr>
          <w:rFonts w:ascii="Georgia" w:hAnsi="Georgia" w:cs="Arial"/>
          <w:color w:val="1F1F1F"/>
        </w:rPr>
        <w:t xml:space="preserve"> references to a house include (where the context permits) any yard, garden, outhouses and appurtenances belonging to, or usually enjoyed with, it (or any part of it).</w:t>
      </w:r>
      <w:r w:rsidR="001539AE">
        <w:rPr>
          <w:rFonts w:ascii="Georgia" w:hAnsi="Georgia" w:cs="Arial"/>
          <w:color w:val="1F1F1F"/>
        </w:rPr>
        <w:t xml:space="preserve">  The </w:t>
      </w:r>
      <w:r w:rsidR="004B2B07">
        <w:rPr>
          <w:rFonts w:ascii="Georgia" w:hAnsi="Georgia" w:cs="Arial"/>
          <w:color w:val="1F1F1F"/>
        </w:rPr>
        <w:t>s</w:t>
      </w:r>
      <w:r w:rsidR="001539AE">
        <w:rPr>
          <w:rFonts w:ascii="Georgia" w:hAnsi="Georgia" w:cs="Arial"/>
          <w:color w:val="1F1F1F"/>
        </w:rPr>
        <w:t xml:space="preserve">cheme specifies </w:t>
      </w:r>
      <w:r w:rsidR="007402F7">
        <w:rPr>
          <w:rFonts w:ascii="Georgia" w:hAnsi="Georgia" w:cs="Arial"/>
          <w:color w:val="1F1F1F"/>
        </w:rPr>
        <w:t xml:space="preserve">exceptions </w:t>
      </w:r>
      <w:r w:rsidR="001345CF">
        <w:rPr>
          <w:rFonts w:ascii="Georgia" w:hAnsi="Georgia" w:cs="Arial"/>
          <w:color w:val="1F1F1F"/>
        </w:rPr>
        <w:t xml:space="preserve">by which the </w:t>
      </w:r>
      <w:r w:rsidR="007402F7">
        <w:rPr>
          <w:rFonts w:ascii="Georgia" w:hAnsi="Georgia" w:cs="Arial"/>
          <w:color w:val="1F1F1F"/>
        </w:rPr>
        <w:t>selective licen</w:t>
      </w:r>
      <w:r w:rsidR="004B2B07">
        <w:rPr>
          <w:rFonts w:ascii="Georgia" w:hAnsi="Georgia" w:cs="Arial"/>
          <w:color w:val="1F1F1F"/>
        </w:rPr>
        <w:t>sing</w:t>
      </w:r>
      <w:r w:rsidR="007402F7">
        <w:rPr>
          <w:rFonts w:ascii="Georgia" w:hAnsi="Georgia" w:cs="Arial"/>
          <w:color w:val="1F1F1F"/>
        </w:rPr>
        <w:t xml:space="preserve"> scheme </w:t>
      </w:r>
      <w:r w:rsidR="001345CF">
        <w:rPr>
          <w:rFonts w:ascii="Georgia" w:hAnsi="Georgia" w:cs="Arial"/>
          <w:color w:val="1F1F1F"/>
        </w:rPr>
        <w:t>will</w:t>
      </w:r>
      <w:r w:rsidR="007402F7">
        <w:rPr>
          <w:rFonts w:ascii="Georgia" w:hAnsi="Georgia" w:cs="Arial"/>
          <w:color w:val="1F1F1F"/>
        </w:rPr>
        <w:t xml:space="preserve"> not apply</w:t>
      </w:r>
      <w:r w:rsidR="00CF73F6">
        <w:rPr>
          <w:rFonts w:ascii="Georgia" w:hAnsi="Georgia" w:cs="Arial"/>
          <w:color w:val="1F1F1F"/>
        </w:rPr>
        <w:t>;</w:t>
      </w:r>
      <w:r w:rsidR="00CD1552">
        <w:rPr>
          <w:rFonts w:ascii="Georgia" w:hAnsi="Georgia" w:cs="Arial"/>
          <w:color w:val="1F1F1F"/>
        </w:rPr>
        <w:t xml:space="preserve"> however</w:t>
      </w:r>
      <w:r w:rsidR="00CF73F6">
        <w:rPr>
          <w:rFonts w:ascii="Georgia" w:hAnsi="Georgia" w:cs="Arial"/>
          <w:color w:val="1F1F1F"/>
        </w:rPr>
        <w:t>,</w:t>
      </w:r>
      <w:r w:rsidR="00CD1552">
        <w:rPr>
          <w:rFonts w:ascii="Georgia" w:hAnsi="Georgia" w:cs="Arial"/>
          <w:color w:val="1F1F1F"/>
        </w:rPr>
        <w:t xml:space="preserve"> none of these </w:t>
      </w:r>
      <w:r w:rsidR="00B46C31">
        <w:rPr>
          <w:rFonts w:ascii="Georgia" w:hAnsi="Georgia" w:cs="Arial"/>
          <w:color w:val="1F1F1F"/>
        </w:rPr>
        <w:t>exceptions</w:t>
      </w:r>
      <w:r w:rsidR="00CD1552">
        <w:rPr>
          <w:rFonts w:ascii="Georgia" w:hAnsi="Georgia" w:cs="Arial"/>
          <w:color w:val="1F1F1F"/>
        </w:rPr>
        <w:t xml:space="preserve"> </w:t>
      </w:r>
      <w:r w:rsidR="00CF73F6">
        <w:rPr>
          <w:rFonts w:ascii="Georgia" w:hAnsi="Georgia" w:cs="Arial"/>
          <w:color w:val="1F1F1F"/>
        </w:rPr>
        <w:t>i</w:t>
      </w:r>
      <w:r w:rsidR="00CD1552">
        <w:rPr>
          <w:rFonts w:ascii="Georgia" w:hAnsi="Georgia" w:cs="Arial"/>
          <w:color w:val="1F1F1F"/>
        </w:rPr>
        <w:t>s applicable to the Property.  For completeness</w:t>
      </w:r>
      <w:r w:rsidR="00CF73F6">
        <w:rPr>
          <w:rFonts w:ascii="Georgia" w:hAnsi="Georgia" w:cs="Arial"/>
          <w:color w:val="1F1F1F"/>
        </w:rPr>
        <w:t>,</w:t>
      </w:r>
      <w:r w:rsidR="00CD1552">
        <w:rPr>
          <w:rFonts w:ascii="Georgia" w:hAnsi="Georgia" w:cs="Arial"/>
          <w:color w:val="1F1F1F"/>
        </w:rPr>
        <w:t xml:space="preserve"> the exceptions are </w:t>
      </w:r>
      <w:r w:rsidR="009A2ACE">
        <w:rPr>
          <w:rFonts w:ascii="Georgia" w:hAnsi="Georgia" w:cs="Arial"/>
          <w:color w:val="1F1F1F"/>
        </w:rPr>
        <w:t xml:space="preserve">a house in multiple </w:t>
      </w:r>
      <w:r w:rsidR="009A2ACE">
        <w:rPr>
          <w:rFonts w:ascii="Georgia" w:hAnsi="Georgia" w:cs="Arial"/>
          <w:color w:val="1F1F1F"/>
        </w:rPr>
        <w:lastRenderedPageBreak/>
        <w:t xml:space="preserve">occupation, a tenancy or licence granted by a registered social landlord, </w:t>
      </w:r>
      <w:r w:rsidR="001345CF">
        <w:rPr>
          <w:rFonts w:ascii="Georgia" w:hAnsi="Georgia" w:cs="Arial"/>
          <w:color w:val="1F1F1F"/>
        </w:rPr>
        <w:t>a</w:t>
      </w:r>
      <w:r w:rsidR="00F7783A">
        <w:rPr>
          <w:rFonts w:ascii="Georgia" w:hAnsi="Georgia" w:cs="Arial"/>
          <w:color w:val="1F1F1F"/>
        </w:rPr>
        <w:t xml:space="preserve"> house subject to an interim or final management order, </w:t>
      </w:r>
      <w:r w:rsidR="001345CF">
        <w:rPr>
          <w:rFonts w:ascii="Georgia" w:hAnsi="Georgia" w:cs="Arial"/>
          <w:color w:val="1F1F1F"/>
        </w:rPr>
        <w:t xml:space="preserve">a </w:t>
      </w:r>
      <w:r w:rsidR="00F7783A">
        <w:rPr>
          <w:rFonts w:ascii="Georgia" w:hAnsi="Georgia" w:cs="Arial"/>
          <w:color w:val="1F1F1F"/>
        </w:rPr>
        <w:t>house subject to a temporary exemption under section 86 of the Housing Act 2004</w:t>
      </w:r>
      <w:r w:rsidR="00C003A9">
        <w:rPr>
          <w:rFonts w:ascii="Georgia" w:hAnsi="Georgia" w:cs="Arial"/>
          <w:color w:val="1F1F1F"/>
        </w:rPr>
        <w:t>,</w:t>
      </w:r>
      <w:r w:rsidR="00F7783A">
        <w:rPr>
          <w:rFonts w:ascii="Georgia" w:hAnsi="Georgia" w:cs="Arial"/>
          <w:color w:val="1F1F1F"/>
        </w:rPr>
        <w:t xml:space="preserve"> or </w:t>
      </w:r>
      <w:r w:rsidR="00D541D1">
        <w:rPr>
          <w:rFonts w:ascii="Georgia" w:hAnsi="Georgia" w:cs="Arial"/>
          <w:color w:val="1F1F1F"/>
        </w:rPr>
        <w:t xml:space="preserve">where </w:t>
      </w:r>
      <w:r w:rsidR="005E36A7">
        <w:rPr>
          <w:rFonts w:ascii="Georgia" w:hAnsi="Georgia" w:cs="Arial"/>
          <w:color w:val="1F1F1F"/>
        </w:rPr>
        <w:t>the tenancy</w:t>
      </w:r>
      <w:r w:rsidR="00C003A9">
        <w:rPr>
          <w:rFonts w:ascii="Georgia" w:hAnsi="Georgia" w:cs="Arial"/>
          <w:color w:val="1F1F1F"/>
        </w:rPr>
        <w:t xml:space="preserve"> </w:t>
      </w:r>
      <w:r w:rsidR="005E36A7">
        <w:rPr>
          <w:rFonts w:ascii="Georgia" w:hAnsi="Georgia" w:cs="Arial"/>
          <w:color w:val="1F1F1F"/>
        </w:rPr>
        <w:t>or licence is exempt under the Act (79(4)</w:t>
      </w:r>
      <w:r w:rsidR="00B46C31">
        <w:rPr>
          <w:rFonts w:ascii="Georgia" w:hAnsi="Georgia" w:cs="Arial"/>
          <w:color w:val="1F1F1F"/>
        </w:rPr>
        <w:t>) or the occupation is of a building or part of a building which is so exempt.</w:t>
      </w:r>
    </w:p>
    <w:p w14:paraId="36B9E6BF" w14:textId="77777777" w:rsidR="000C79D8" w:rsidRDefault="000C79D8" w:rsidP="00B05EF3">
      <w:pPr>
        <w:shd w:val="clear" w:color="auto" w:fill="FFFFFF"/>
        <w:spacing w:line="360" w:lineRule="auto"/>
        <w:ind w:left="567" w:hanging="567"/>
        <w:jc w:val="both"/>
        <w:textAlignment w:val="baseline"/>
        <w:rPr>
          <w:rFonts w:ascii="Georgia" w:hAnsi="Georgia" w:cs="Arial"/>
          <w:color w:val="1F1F1F"/>
        </w:rPr>
      </w:pPr>
    </w:p>
    <w:p w14:paraId="2A3D159B" w14:textId="237C04FC" w:rsidR="00DA2620" w:rsidRDefault="00BF216D" w:rsidP="00B05EF3">
      <w:pPr>
        <w:shd w:val="clear" w:color="auto" w:fill="FFFFFF"/>
        <w:spacing w:line="360" w:lineRule="auto"/>
        <w:ind w:left="567" w:hanging="567"/>
        <w:jc w:val="both"/>
        <w:textAlignment w:val="baseline"/>
        <w:rPr>
          <w:rFonts w:ascii="Georgia" w:hAnsi="Georgia"/>
        </w:rPr>
      </w:pPr>
      <w:r>
        <w:rPr>
          <w:rFonts w:ascii="Georgia" w:hAnsi="Georgia"/>
        </w:rPr>
        <w:t>21</w:t>
      </w:r>
      <w:r w:rsidR="00DA2620">
        <w:rPr>
          <w:rFonts w:ascii="Georgia" w:hAnsi="Georgia"/>
        </w:rPr>
        <w:t>.</w:t>
      </w:r>
      <w:r w:rsidR="00DA2620">
        <w:rPr>
          <w:rFonts w:ascii="Georgia" w:hAnsi="Georgia"/>
        </w:rPr>
        <w:tab/>
      </w:r>
      <w:r w:rsidR="00E64EC6">
        <w:rPr>
          <w:rFonts w:ascii="Georgia" w:hAnsi="Georgia"/>
        </w:rPr>
        <w:t>The Applicant</w:t>
      </w:r>
      <w:r w:rsidR="000C79D8">
        <w:rPr>
          <w:rFonts w:ascii="Georgia" w:hAnsi="Georgia"/>
        </w:rPr>
        <w:t>s subm</w:t>
      </w:r>
      <w:r w:rsidR="004A52ED">
        <w:rPr>
          <w:rFonts w:ascii="Georgia" w:hAnsi="Georgia"/>
        </w:rPr>
        <w:t>itted</w:t>
      </w:r>
      <w:r w:rsidR="000C79D8">
        <w:rPr>
          <w:rFonts w:ascii="Georgia" w:hAnsi="Georgia"/>
        </w:rPr>
        <w:t xml:space="preserve"> that the Property was required to be licen</w:t>
      </w:r>
      <w:r w:rsidR="00E55E39">
        <w:rPr>
          <w:rFonts w:ascii="Georgia" w:hAnsi="Georgia"/>
        </w:rPr>
        <w:t>s</w:t>
      </w:r>
      <w:r w:rsidR="000C79D8">
        <w:rPr>
          <w:rFonts w:ascii="Georgia" w:hAnsi="Georgia"/>
        </w:rPr>
        <w:t xml:space="preserve">ed under the </w:t>
      </w:r>
      <w:r w:rsidR="00E55E39">
        <w:rPr>
          <w:rFonts w:ascii="Georgia" w:hAnsi="Georgia"/>
        </w:rPr>
        <w:t>s</w:t>
      </w:r>
      <w:r w:rsidR="000C79D8">
        <w:rPr>
          <w:rFonts w:ascii="Georgia" w:hAnsi="Georgia"/>
        </w:rPr>
        <w:t xml:space="preserve">elective </w:t>
      </w:r>
      <w:r w:rsidR="00E55E39">
        <w:rPr>
          <w:rFonts w:ascii="Georgia" w:hAnsi="Georgia"/>
        </w:rPr>
        <w:t>l</w:t>
      </w:r>
      <w:r w:rsidR="000C79D8">
        <w:rPr>
          <w:rFonts w:ascii="Georgia" w:hAnsi="Georgia"/>
        </w:rPr>
        <w:t xml:space="preserve">icensing </w:t>
      </w:r>
      <w:r w:rsidR="00E55E39">
        <w:rPr>
          <w:rFonts w:ascii="Georgia" w:hAnsi="Georgia"/>
        </w:rPr>
        <w:t>s</w:t>
      </w:r>
      <w:r w:rsidR="000C79D8">
        <w:rPr>
          <w:rFonts w:ascii="Georgia" w:hAnsi="Georgia"/>
        </w:rPr>
        <w:t xml:space="preserve">cheme and </w:t>
      </w:r>
      <w:r w:rsidR="009E6A1E">
        <w:rPr>
          <w:rFonts w:ascii="Georgia" w:hAnsi="Georgia"/>
        </w:rPr>
        <w:t>was not so licen</w:t>
      </w:r>
      <w:r w:rsidR="00E55E39">
        <w:rPr>
          <w:rFonts w:ascii="Georgia" w:hAnsi="Georgia"/>
        </w:rPr>
        <w:t>s</w:t>
      </w:r>
      <w:r w:rsidR="009E6A1E">
        <w:rPr>
          <w:rFonts w:ascii="Georgia" w:hAnsi="Georgia"/>
        </w:rPr>
        <w:t>ed.  In particular, at page</w:t>
      </w:r>
      <w:r w:rsidR="00C41BFB">
        <w:rPr>
          <w:rFonts w:ascii="Georgia" w:hAnsi="Georgia"/>
        </w:rPr>
        <w:t>s</w:t>
      </w:r>
      <w:r w:rsidR="009E6A1E">
        <w:rPr>
          <w:rFonts w:ascii="Georgia" w:hAnsi="Georgia"/>
        </w:rPr>
        <w:t xml:space="preserve"> 16 </w:t>
      </w:r>
      <w:r w:rsidR="001B4B6E">
        <w:rPr>
          <w:rFonts w:ascii="Georgia" w:hAnsi="Georgia"/>
        </w:rPr>
        <w:t xml:space="preserve">and 23 of the </w:t>
      </w:r>
      <w:r w:rsidR="00C41BFB">
        <w:rPr>
          <w:rFonts w:ascii="Georgia" w:hAnsi="Georgia"/>
        </w:rPr>
        <w:t>b</w:t>
      </w:r>
      <w:r w:rsidR="001B4B6E">
        <w:rPr>
          <w:rFonts w:ascii="Georgia" w:hAnsi="Georgia"/>
        </w:rPr>
        <w:t>undle</w:t>
      </w:r>
      <w:r w:rsidR="00C41BFB">
        <w:rPr>
          <w:rFonts w:ascii="Georgia" w:hAnsi="Georgia"/>
        </w:rPr>
        <w:t>,</w:t>
      </w:r>
      <w:r w:rsidR="004A52ED">
        <w:rPr>
          <w:rFonts w:ascii="Georgia" w:hAnsi="Georgia"/>
        </w:rPr>
        <w:t xml:space="preserve"> Joseph Gould, an Environmental Health Officer employed by Oxford City Council</w:t>
      </w:r>
      <w:r w:rsidR="00C41BFB">
        <w:rPr>
          <w:rFonts w:ascii="Georgia" w:hAnsi="Georgia"/>
        </w:rPr>
        <w:t xml:space="preserve">, </w:t>
      </w:r>
      <w:r w:rsidR="004A52ED">
        <w:rPr>
          <w:rFonts w:ascii="Georgia" w:hAnsi="Georgia"/>
        </w:rPr>
        <w:t xml:space="preserve">confirmed that the </w:t>
      </w:r>
      <w:r w:rsidR="007D034E">
        <w:rPr>
          <w:rFonts w:ascii="Georgia" w:hAnsi="Georgia"/>
        </w:rPr>
        <w:t>Property was required to be licensed.</w:t>
      </w:r>
    </w:p>
    <w:p w14:paraId="6EC38D1E" w14:textId="77777777" w:rsidR="00E64EC6" w:rsidRDefault="00E64EC6" w:rsidP="00B05EF3">
      <w:pPr>
        <w:shd w:val="clear" w:color="auto" w:fill="FFFFFF"/>
        <w:spacing w:line="360" w:lineRule="auto"/>
        <w:ind w:left="567" w:hanging="567"/>
        <w:jc w:val="both"/>
        <w:textAlignment w:val="baseline"/>
        <w:rPr>
          <w:rFonts w:ascii="Georgia" w:hAnsi="Georgia"/>
        </w:rPr>
      </w:pPr>
    </w:p>
    <w:p w14:paraId="52364AC3" w14:textId="6293A903" w:rsidR="00E64EC6" w:rsidRDefault="00E64EC6" w:rsidP="00E64EC6">
      <w:pPr>
        <w:spacing w:line="360" w:lineRule="auto"/>
        <w:jc w:val="both"/>
        <w:rPr>
          <w:rFonts w:ascii="Georgia" w:hAnsi="Georgia"/>
          <w:b/>
          <w:bCs/>
        </w:rPr>
      </w:pPr>
      <w:r w:rsidRPr="00E64EC6">
        <w:rPr>
          <w:rFonts w:ascii="Georgia" w:hAnsi="Georgia"/>
          <w:b/>
          <w:bCs/>
        </w:rPr>
        <w:t xml:space="preserve">Tribunal Finding - </w:t>
      </w:r>
      <w:r w:rsidR="007D034E">
        <w:rPr>
          <w:rFonts w:ascii="Georgia" w:hAnsi="Georgia"/>
          <w:b/>
          <w:bCs/>
        </w:rPr>
        <w:t>H</w:t>
      </w:r>
      <w:r w:rsidRPr="00E64EC6">
        <w:rPr>
          <w:rFonts w:ascii="Georgia" w:hAnsi="Georgia"/>
          <w:b/>
          <w:bCs/>
        </w:rPr>
        <w:t>ouse which is required to be licen</w:t>
      </w:r>
      <w:r w:rsidR="00C41BFB">
        <w:rPr>
          <w:rFonts w:ascii="Georgia" w:hAnsi="Georgia"/>
          <w:b/>
          <w:bCs/>
        </w:rPr>
        <w:t>s</w:t>
      </w:r>
      <w:r w:rsidRPr="00E64EC6">
        <w:rPr>
          <w:rFonts w:ascii="Georgia" w:hAnsi="Georgia"/>
          <w:b/>
          <w:bCs/>
        </w:rPr>
        <w:t>ed but is not so licensed.</w:t>
      </w:r>
    </w:p>
    <w:p w14:paraId="13502FAB" w14:textId="77777777" w:rsidR="00E64EC6" w:rsidRDefault="00E64EC6" w:rsidP="00E64EC6">
      <w:pPr>
        <w:spacing w:line="360" w:lineRule="auto"/>
        <w:jc w:val="both"/>
        <w:rPr>
          <w:rFonts w:ascii="Georgia" w:hAnsi="Georgia"/>
          <w:b/>
          <w:bCs/>
        </w:rPr>
      </w:pPr>
    </w:p>
    <w:p w14:paraId="45A143CB" w14:textId="393538D8" w:rsidR="00D84D84" w:rsidRDefault="00E64EC6" w:rsidP="00BF216D">
      <w:pPr>
        <w:numPr>
          <w:ilvl w:val="0"/>
          <w:numId w:val="20"/>
        </w:numPr>
        <w:spacing w:line="360" w:lineRule="auto"/>
        <w:ind w:hanging="720"/>
        <w:jc w:val="both"/>
        <w:rPr>
          <w:rFonts w:ascii="Georgia" w:hAnsi="Georgia"/>
        </w:rPr>
      </w:pPr>
      <w:r>
        <w:rPr>
          <w:rFonts w:ascii="Georgia" w:hAnsi="Georgia"/>
        </w:rPr>
        <w:t>The Tribunal accept</w:t>
      </w:r>
      <w:r w:rsidR="00BD201C">
        <w:rPr>
          <w:rFonts w:ascii="Georgia" w:hAnsi="Georgia"/>
        </w:rPr>
        <w:t>s</w:t>
      </w:r>
      <w:r>
        <w:rPr>
          <w:rFonts w:ascii="Georgia" w:hAnsi="Georgia"/>
        </w:rPr>
        <w:t xml:space="preserve"> the evidence of the Applicant</w:t>
      </w:r>
      <w:r w:rsidR="00C003A9">
        <w:rPr>
          <w:rFonts w:ascii="Georgia" w:hAnsi="Georgia"/>
        </w:rPr>
        <w:t>s,</w:t>
      </w:r>
      <w:r>
        <w:rPr>
          <w:rFonts w:ascii="Georgia" w:hAnsi="Georgia"/>
        </w:rPr>
        <w:t xml:space="preserve"> and in particular that of </w:t>
      </w:r>
      <w:r w:rsidR="00DD7B46">
        <w:rPr>
          <w:rFonts w:ascii="Georgia" w:hAnsi="Georgia"/>
        </w:rPr>
        <w:t xml:space="preserve">Joseph Gould, Environmental Health Officer in the Private </w:t>
      </w:r>
      <w:r w:rsidR="00C003A9">
        <w:rPr>
          <w:rFonts w:ascii="Georgia" w:hAnsi="Georgia"/>
        </w:rPr>
        <w:t>S</w:t>
      </w:r>
      <w:r w:rsidR="00DD7B46">
        <w:rPr>
          <w:rFonts w:ascii="Georgia" w:hAnsi="Georgia"/>
        </w:rPr>
        <w:t xml:space="preserve">ector </w:t>
      </w:r>
      <w:r w:rsidR="00C003A9">
        <w:rPr>
          <w:rFonts w:ascii="Georgia" w:hAnsi="Georgia"/>
        </w:rPr>
        <w:t>S</w:t>
      </w:r>
      <w:r w:rsidR="00DD7B46">
        <w:rPr>
          <w:rFonts w:ascii="Georgia" w:hAnsi="Georgia"/>
        </w:rPr>
        <w:t>afety Team of Oxford City Council</w:t>
      </w:r>
      <w:r w:rsidR="00C003A9">
        <w:rPr>
          <w:rFonts w:ascii="Georgia" w:hAnsi="Georgia"/>
        </w:rPr>
        <w:t>,</w:t>
      </w:r>
      <w:r w:rsidR="00DD7B46">
        <w:rPr>
          <w:rFonts w:ascii="Georgia" w:hAnsi="Georgia"/>
        </w:rPr>
        <w:t xml:space="preserve"> </w:t>
      </w:r>
      <w:r>
        <w:rPr>
          <w:rFonts w:ascii="Georgia" w:hAnsi="Georgia"/>
        </w:rPr>
        <w:t>and f</w:t>
      </w:r>
      <w:r w:rsidR="00BD201C">
        <w:rPr>
          <w:rFonts w:ascii="Georgia" w:hAnsi="Georgia"/>
        </w:rPr>
        <w:t>inds</w:t>
      </w:r>
      <w:r>
        <w:rPr>
          <w:rFonts w:ascii="Georgia" w:hAnsi="Georgia"/>
        </w:rPr>
        <w:t xml:space="preserve"> that the Property was a house that was required to be licen</w:t>
      </w:r>
      <w:r w:rsidR="006F42B8">
        <w:rPr>
          <w:rFonts w:ascii="Georgia" w:hAnsi="Georgia"/>
        </w:rPr>
        <w:t>s</w:t>
      </w:r>
      <w:r>
        <w:rPr>
          <w:rFonts w:ascii="Georgia" w:hAnsi="Georgia"/>
        </w:rPr>
        <w:t xml:space="preserve">ed under the Oxford City Council selective licensing scheme.  The Property was within the </w:t>
      </w:r>
      <w:r w:rsidR="00FD453B">
        <w:rPr>
          <w:rFonts w:ascii="Georgia" w:hAnsi="Georgia"/>
        </w:rPr>
        <w:t xml:space="preserve">Summertown ward and therefore the licensing scheme applied.  </w:t>
      </w:r>
    </w:p>
    <w:p w14:paraId="787D5576" w14:textId="6E0A4629" w:rsidR="00BF216D" w:rsidRDefault="00BF216D" w:rsidP="00BF216D">
      <w:pPr>
        <w:spacing w:line="360" w:lineRule="auto"/>
        <w:jc w:val="both"/>
        <w:rPr>
          <w:rFonts w:ascii="Georgia" w:hAnsi="Georgia"/>
        </w:rPr>
      </w:pPr>
    </w:p>
    <w:p w14:paraId="7BBE14CB" w14:textId="35585D01" w:rsidR="00BF216D" w:rsidRPr="00BF216D" w:rsidRDefault="00BF216D" w:rsidP="00BF216D">
      <w:pPr>
        <w:pStyle w:val="Default"/>
        <w:shd w:val="clear" w:color="auto" w:fill="FFFFFF"/>
        <w:spacing w:after="250" w:line="360" w:lineRule="auto"/>
        <w:jc w:val="both"/>
        <w:textAlignment w:val="baseline"/>
        <w:rPr>
          <w:b/>
          <w:bCs/>
        </w:rPr>
      </w:pPr>
      <w:r w:rsidRPr="00505BAA">
        <w:rPr>
          <w:b/>
          <w:bCs/>
        </w:rPr>
        <w:t>Person having Control of or Managing</w:t>
      </w:r>
    </w:p>
    <w:p w14:paraId="084F482C" w14:textId="3B2434AE" w:rsidR="007F4372" w:rsidRDefault="00484CC0" w:rsidP="00BF216D">
      <w:pPr>
        <w:numPr>
          <w:ilvl w:val="0"/>
          <w:numId w:val="20"/>
        </w:numPr>
        <w:spacing w:line="360" w:lineRule="auto"/>
        <w:ind w:hanging="720"/>
        <w:jc w:val="both"/>
        <w:rPr>
          <w:rFonts w:ascii="Georgia" w:hAnsi="Georgia"/>
        </w:rPr>
      </w:pPr>
      <w:r w:rsidRPr="004C2284">
        <w:rPr>
          <w:rFonts w:ascii="Georgia" w:hAnsi="Georgia"/>
        </w:rPr>
        <w:t xml:space="preserve">The section </w:t>
      </w:r>
      <w:r w:rsidR="002E38AD" w:rsidRPr="004C2284">
        <w:rPr>
          <w:rFonts w:ascii="Georgia" w:hAnsi="Georgia"/>
        </w:rPr>
        <w:t>95</w:t>
      </w:r>
      <w:r w:rsidRPr="004C2284">
        <w:rPr>
          <w:rFonts w:ascii="Georgia" w:hAnsi="Georgia"/>
        </w:rPr>
        <w:t>(1) offence is committed by the person having control/managing the Property.  Section 263</w:t>
      </w:r>
      <w:r w:rsidR="00CC41C7" w:rsidRPr="004C2284">
        <w:rPr>
          <w:rFonts w:ascii="Georgia" w:hAnsi="Georgia"/>
        </w:rPr>
        <w:t>(1)</w:t>
      </w:r>
      <w:r w:rsidR="00C33E49" w:rsidRPr="004C2284">
        <w:rPr>
          <w:rFonts w:ascii="Georgia" w:hAnsi="Georgia"/>
        </w:rPr>
        <w:t xml:space="preserve"> </w:t>
      </w:r>
      <w:r w:rsidRPr="004C2284">
        <w:rPr>
          <w:rFonts w:ascii="Georgia" w:hAnsi="Georgia"/>
        </w:rPr>
        <w:t xml:space="preserve">Housing </w:t>
      </w:r>
      <w:r w:rsidR="00C33E49" w:rsidRPr="004C2284">
        <w:rPr>
          <w:rFonts w:ascii="Georgia" w:hAnsi="Georgia"/>
        </w:rPr>
        <w:t>A</w:t>
      </w:r>
      <w:r w:rsidRPr="004C2284">
        <w:rPr>
          <w:rFonts w:ascii="Georgia" w:hAnsi="Georgia"/>
        </w:rPr>
        <w:t xml:space="preserve">ct 2004 defines “person having control” in relation to the premises as </w:t>
      </w:r>
      <w:r w:rsidR="002A0F67" w:rsidRPr="004C2284">
        <w:rPr>
          <w:rFonts w:ascii="Georgia" w:hAnsi="Georgia"/>
        </w:rPr>
        <w:t>meaning:</w:t>
      </w:r>
    </w:p>
    <w:p w14:paraId="5A954188" w14:textId="77777777" w:rsidR="004C2284" w:rsidRPr="004C2284" w:rsidRDefault="004C2284" w:rsidP="004C2284">
      <w:pPr>
        <w:spacing w:line="360" w:lineRule="auto"/>
        <w:ind w:left="720"/>
        <w:jc w:val="both"/>
        <w:rPr>
          <w:rFonts w:ascii="Georgia" w:hAnsi="Georgia"/>
        </w:rPr>
      </w:pPr>
    </w:p>
    <w:p w14:paraId="1BF7BAA9" w14:textId="47FB1ADE" w:rsidR="00B06DF9" w:rsidRPr="004C2284" w:rsidRDefault="002A0F67" w:rsidP="00681E5F">
      <w:pPr>
        <w:shd w:val="clear" w:color="auto" w:fill="FFFFFF"/>
        <w:spacing w:line="360" w:lineRule="auto"/>
        <w:ind w:left="1440"/>
        <w:jc w:val="both"/>
        <w:textAlignment w:val="baseline"/>
        <w:rPr>
          <w:rFonts w:ascii="Georgia" w:hAnsi="Georgia"/>
          <w:color w:val="1F1F1F"/>
          <w:lang w:eastAsia="en-GB"/>
        </w:rPr>
      </w:pPr>
      <w:r w:rsidRPr="004C2284">
        <w:rPr>
          <w:rFonts w:ascii="Georgia" w:hAnsi="Georgia"/>
          <w:color w:val="1F1F1F"/>
          <w:lang w:eastAsia="en-GB"/>
        </w:rPr>
        <w:t>“</w:t>
      </w:r>
      <w:r w:rsidR="00B06DF9" w:rsidRPr="004C2284">
        <w:rPr>
          <w:rFonts w:ascii="Georgia" w:hAnsi="Georgia"/>
          <w:color w:val="1F1F1F"/>
          <w:lang w:eastAsia="en-GB"/>
        </w:rPr>
        <w:t>the person who receives the rack-rent of the premises (whether on his own account or as agent or trustee of another person), or who would so receive it if the premises were let at a rack-rent.</w:t>
      </w:r>
      <w:r w:rsidRPr="004C2284">
        <w:rPr>
          <w:rFonts w:ascii="Georgia" w:hAnsi="Georgia"/>
          <w:color w:val="1F1F1F"/>
          <w:lang w:eastAsia="en-GB"/>
        </w:rPr>
        <w:t>”</w:t>
      </w:r>
    </w:p>
    <w:p w14:paraId="76F1F01F" w14:textId="77777777" w:rsidR="00EC0035" w:rsidRPr="00B06DF9" w:rsidRDefault="00EC0035" w:rsidP="00681E5F">
      <w:pPr>
        <w:shd w:val="clear" w:color="auto" w:fill="FFFFFF"/>
        <w:spacing w:line="360" w:lineRule="auto"/>
        <w:ind w:left="1440"/>
        <w:jc w:val="both"/>
        <w:textAlignment w:val="baseline"/>
        <w:rPr>
          <w:rFonts w:ascii="Georgia" w:hAnsi="Georgia"/>
          <w:color w:val="1F1F1F"/>
          <w:lang w:eastAsia="en-GB"/>
        </w:rPr>
      </w:pPr>
    </w:p>
    <w:p w14:paraId="5DA56FBC" w14:textId="339C1F8E" w:rsidR="00FE335D" w:rsidRPr="00681E5F" w:rsidRDefault="00EC0035" w:rsidP="00BF216D">
      <w:pPr>
        <w:numPr>
          <w:ilvl w:val="0"/>
          <w:numId w:val="20"/>
        </w:numPr>
        <w:shd w:val="clear" w:color="auto" w:fill="FFFFFF"/>
        <w:spacing w:line="360" w:lineRule="auto"/>
        <w:jc w:val="both"/>
        <w:textAlignment w:val="baseline"/>
        <w:rPr>
          <w:rFonts w:ascii="Georgia" w:hAnsi="Georgia"/>
          <w:color w:val="1F1F1F"/>
          <w:lang w:eastAsia="en-GB"/>
        </w:rPr>
      </w:pPr>
      <w:r w:rsidRPr="00681E5F">
        <w:rPr>
          <w:rFonts w:ascii="Georgia" w:hAnsi="Georgia"/>
          <w:color w:val="1F1F1F"/>
          <w:lang w:eastAsia="en-GB"/>
        </w:rPr>
        <w:t xml:space="preserve">Person managing is defined by section 263(3) Housing </w:t>
      </w:r>
      <w:r w:rsidR="0072132A">
        <w:rPr>
          <w:rFonts w:ascii="Georgia" w:hAnsi="Georgia"/>
          <w:color w:val="1F1F1F"/>
          <w:lang w:eastAsia="en-GB"/>
        </w:rPr>
        <w:t>A</w:t>
      </w:r>
      <w:r w:rsidRPr="00681E5F">
        <w:rPr>
          <w:rFonts w:ascii="Georgia" w:hAnsi="Georgia"/>
          <w:color w:val="1F1F1F"/>
          <w:lang w:eastAsia="en-GB"/>
        </w:rPr>
        <w:t>ct 2004 as</w:t>
      </w:r>
      <w:r w:rsidR="00FE335D" w:rsidRPr="00681E5F">
        <w:rPr>
          <w:rFonts w:ascii="Georgia" w:hAnsi="Georgia"/>
          <w:color w:val="1F1F1F"/>
          <w:lang w:eastAsia="en-GB"/>
        </w:rPr>
        <w:t xml:space="preserve"> </w:t>
      </w:r>
    </w:p>
    <w:p w14:paraId="0D29F488" w14:textId="77777777" w:rsidR="00FE335D" w:rsidRPr="00681E5F" w:rsidRDefault="00FE335D" w:rsidP="00681E5F">
      <w:pPr>
        <w:shd w:val="clear" w:color="auto" w:fill="FFFFFF"/>
        <w:spacing w:line="360" w:lineRule="auto"/>
        <w:ind w:left="720"/>
        <w:jc w:val="both"/>
        <w:textAlignment w:val="baseline"/>
        <w:rPr>
          <w:rFonts w:ascii="Georgia" w:hAnsi="Georgia"/>
          <w:color w:val="1F1F1F"/>
          <w:lang w:eastAsia="en-GB"/>
        </w:rPr>
      </w:pPr>
    </w:p>
    <w:p w14:paraId="4010EE04" w14:textId="55E5807E" w:rsidR="00B06DF9" w:rsidRPr="00B06DF9" w:rsidRDefault="00FE335D" w:rsidP="00681E5F">
      <w:pPr>
        <w:shd w:val="clear" w:color="auto" w:fill="FFFFFF"/>
        <w:spacing w:line="360" w:lineRule="auto"/>
        <w:ind w:left="1440"/>
        <w:jc w:val="both"/>
        <w:textAlignment w:val="baseline"/>
        <w:rPr>
          <w:rFonts w:ascii="Georgia" w:hAnsi="Georgia"/>
          <w:color w:val="1F1F1F"/>
          <w:lang w:eastAsia="en-GB"/>
        </w:rPr>
      </w:pPr>
      <w:r w:rsidRPr="00681E5F">
        <w:rPr>
          <w:rFonts w:ascii="Georgia" w:hAnsi="Georgia"/>
          <w:color w:val="1F1F1F"/>
          <w:lang w:eastAsia="en-GB"/>
        </w:rPr>
        <w:lastRenderedPageBreak/>
        <w:t>“</w:t>
      </w:r>
      <w:r w:rsidR="00B06DF9" w:rsidRPr="00B06DF9">
        <w:rPr>
          <w:rFonts w:ascii="Georgia" w:hAnsi="Georgia"/>
          <w:color w:val="1F1F1F"/>
          <w:lang w:eastAsia="en-GB"/>
        </w:rPr>
        <w:t>the person who, being an owner or lessee of the premises–</w:t>
      </w:r>
    </w:p>
    <w:p w14:paraId="6487E445" w14:textId="77777777" w:rsidR="00B06DF9" w:rsidRPr="00B06DF9" w:rsidRDefault="00B06DF9" w:rsidP="00681E5F">
      <w:pPr>
        <w:shd w:val="clear" w:color="auto" w:fill="FFFFFF"/>
        <w:spacing w:line="360" w:lineRule="auto"/>
        <w:ind w:left="1440"/>
        <w:jc w:val="both"/>
        <w:textAlignment w:val="baseline"/>
        <w:rPr>
          <w:rFonts w:ascii="Georgia" w:hAnsi="Georgia"/>
          <w:color w:val="1F1F1F"/>
          <w:lang w:eastAsia="en-GB"/>
        </w:rPr>
      </w:pPr>
      <w:r w:rsidRPr="00B06DF9">
        <w:rPr>
          <w:rFonts w:ascii="Georgia" w:hAnsi="Georgia"/>
          <w:color w:val="1F1F1F"/>
          <w:lang w:eastAsia="en-GB"/>
        </w:rPr>
        <w:t>(a)  receives (whether directly or through an agent or trustee) rents or other payments from–</w:t>
      </w:r>
    </w:p>
    <w:p w14:paraId="4C4D1C95" w14:textId="77777777" w:rsidR="00B06DF9" w:rsidRPr="00B06DF9" w:rsidRDefault="00B06DF9" w:rsidP="00681E5F">
      <w:pPr>
        <w:shd w:val="clear" w:color="auto" w:fill="FFFFFF"/>
        <w:spacing w:line="360" w:lineRule="auto"/>
        <w:ind w:left="2160"/>
        <w:jc w:val="both"/>
        <w:textAlignment w:val="baseline"/>
        <w:rPr>
          <w:rFonts w:ascii="Georgia" w:hAnsi="Georgia"/>
          <w:color w:val="1F1F1F"/>
          <w:lang w:eastAsia="en-GB"/>
        </w:rPr>
      </w:pPr>
      <w:r w:rsidRPr="00B06DF9">
        <w:rPr>
          <w:rFonts w:ascii="Georgia" w:hAnsi="Georgia"/>
          <w:color w:val="1F1F1F"/>
          <w:lang w:eastAsia="en-GB"/>
        </w:rPr>
        <w:t>(i)  in the case of a house in multiple occupation, persons who are in occupation as tenants or licensees of parts of the premises; and</w:t>
      </w:r>
    </w:p>
    <w:p w14:paraId="454E6116" w14:textId="6A95D8D0" w:rsidR="00B06DF9" w:rsidRPr="00681E5F" w:rsidRDefault="00B06DF9" w:rsidP="00681E5F">
      <w:pPr>
        <w:shd w:val="clear" w:color="auto" w:fill="FFFFFF"/>
        <w:spacing w:line="360" w:lineRule="auto"/>
        <w:ind w:left="2160"/>
        <w:jc w:val="both"/>
        <w:textAlignment w:val="baseline"/>
        <w:rPr>
          <w:rFonts w:ascii="Georgia" w:hAnsi="Georgia"/>
          <w:color w:val="1F1F1F"/>
          <w:lang w:eastAsia="en-GB"/>
        </w:rPr>
      </w:pPr>
      <w:r w:rsidRPr="00B06DF9">
        <w:rPr>
          <w:rFonts w:ascii="Georgia" w:hAnsi="Georgia"/>
          <w:color w:val="1F1F1F"/>
          <w:lang w:eastAsia="en-GB"/>
        </w:rPr>
        <w:t>(ii)  in the case of a house to which</w:t>
      </w:r>
      <w:r w:rsidR="00341D05" w:rsidRPr="00681E5F">
        <w:rPr>
          <w:rFonts w:ascii="Georgia" w:hAnsi="Georgia"/>
          <w:color w:val="1F1F1F"/>
          <w:lang w:eastAsia="en-GB"/>
        </w:rPr>
        <w:t xml:space="preserve"> Part 3</w:t>
      </w:r>
      <w:r w:rsidRPr="00B06DF9">
        <w:rPr>
          <w:rFonts w:ascii="Georgia" w:hAnsi="Georgia"/>
          <w:color w:val="1F1F1F"/>
          <w:lang w:eastAsia="en-GB"/>
        </w:rPr>
        <w:t> applie</w:t>
      </w:r>
      <w:r w:rsidR="00341D05" w:rsidRPr="00681E5F">
        <w:rPr>
          <w:rFonts w:ascii="Georgia" w:hAnsi="Georgia"/>
          <w:color w:val="1F1F1F"/>
          <w:lang w:eastAsia="en-GB"/>
        </w:rPr>
        <w:t>s</w:t>
      </w:r>
      <w:r w:rsidR="00B97BA6" w:rsidRPr="00681E5F">
        <w:rPr>
          <w:rFonts w:ascii="Georgia" w:hAnsi="Georgia"/>
          <w:color w:val="1F1F1F"/>
          <w:lang w:eastAsia="en-GB"/>
        </w:rPr>
        <w:t xml:space="preserve"> (see section 79(2)</w:t>
      </w:r>
      <w:r w:rsidRPr="00B06DF9">
        <w:rPr>
          <w:rFonts w:ascii="Georgia" w:hAnsi="Georgia"/>
          <w:color w:val="1F1F1F"/>
          <w:lang w:eastAsia="en-GB"/>
        </w:rPr>
        <w:t>, persons who are in occupation as tenants or licensees of parts of the premises, or of the whole of the premises; or</w:t>
      </w:r>
    </w:p>
    <w:p w14:paraId="78991E50" w14:textId="77777777" w:rsidR="00BA5D2A" w:rsidRPr="00B06DF9" w:rsidRDefault="00BA5D2A" w:rsidP="00681E5F">
      <w:pPr>
        <w:shd w:val="clear" w:color="auto" w:fill="FFFFFF"/>
        <w:spacing w:line="360" w:lineRule="auto"/>
        <w:ind w:left="2160"/>
        <w:jc w:val="both"/>
        <w:textAlignment w:val="baseline"/>
        <w:rPr>
          <w:rFonts w:ascii="Georgia" w:hAnsi="Georgia"/>
          <w:color w:val="1F1F1F"/>
          <w:lang w:eastAsia="en-GB"/>
        </w:rPr>
      </w:pPr>
    </w:p>
    <w:p w14:paraId="6AEF647A" w14:textId="77777777" w:rsidR="00B06DF9" w:rsidRPr="00B06DF9" w:rsidRDefault="00B06DF9" w:rsidP="00681E5F">
      <w:pPr>
        <w:shd w:val="clear" w:color="auto" w:fill="FFFFFF"/>
        <w:spacing w:line="360" w:lineRule="auto"/>
        <w:ind w:left="1440"/>
        <w:jc w:val="both"/>
        <w:textAlignment w:val="baseline"/>
        <w:rPr>
          <w:rFonts w:ascii="Georgia" w:hAnsi="Georgia"/>
          <w:color w:val="1F1F1F"/>
          <w:lang w:eastAsia="en-GB"/>
        </w:rPr>
      </w:pPr>
      <w:r w:rsidRPr="00B06DF9">
        <w:rPr>
          <w:rFonts w:ascii="Georgia" w:hAnsi="Georgia"/>
          <w:color w:val="1F1F1F"/>
          <w:lang w:eastAsia="en-GB"/>
        </w:rPr>
        <w:t>(b)  would so receive those rents or other payments but for having entered into an arrangement (whether in pursuance of a court order or otherwise) with another person who is not an owner or lessee of the premises by virtue of which that other person receives the rents or other payments;</w:t>
      </w:r>
    </w:p>
    <w:p w14:paraId="644A4374" w14:textId="77777777" w:rsidR="00681E5F" w:rsidRDefault="00681E5F" w:rsidP="00681E5F">
      <w:pPr>
        <w:shd w:val="clear" w:color="auto" w:fill="FFFFFF"/>
        <w:spacing w:line="360" w:lineRule="auto"/>
        <w:ind w:left="720"/>
        <w:jc w:val="both"/>
        <w:textAlignment w:val="baseline"/>
        <w:rPr>
          <w:rFonts w:ascii="Georgia" w:hAnsi="Georgia"/>
          <w:color w:val="1F1F1F"/>
          <w:lang w:eastAsia="en-GB"/>
        </w:rPr>
      </w:pPr>
    </w:p>
    <w:p w14:paraId="7CEE9434" w14:textId="05929AD3" w:rsidR="00B06DF9" w:rsidRDefault="00B06DF9" w:rsidP="00681E5F">
      <w:pPr>
        <w:shd w:val="clear" w:color="auto" w:fill="FFFFFF"/>
        <w:spacing w:line="360" w:lineRule="auto"/>
        <w:ind w:left="720"/>
        <w:jc w:val="both"/>
        <w:textAlignment w:val="baseline"/>
        <w:rPr>
          <w:rFonts w:ascii="Georgia" w:hAnsi="Georgia"/>
          <w:color w:val="1F1F1F"/>
          <w:lang w:eastAsia="en-GB"/>
        </w:rPr>
      </w:pPr>
      <w:r w:rsidRPr="00B06DF9">
        <w:rPr>
          <w:rFonts w:ascii="Georgia" w:hAnsi="Georgia"/>
          <w:color w:val="1F1F1F"/>
          <w:lang w:eastAsia="en-GB"/>
        </w:rPr>
        <w:t>and includes, where those rents or other payments are received through another person as agent or trustee, that other person.</w:t>
      </w:r>
    </w:p>
    <w:p w14:paraId="4D0A5F4F" w14:textId="77777777" w:rsidR="00AA3388" w:rsidRPr="00B06DF9" w:rsidRDefault="00AA3388" w:rsidP="00681E5F">
      <w:pPr>
        <w:shd w:val="clear" w:color="auto" w:fill="FFFFFF"/>
        <w:spacing w:line="360" w:lineRule="auto"/>
        <w:ind w:left="720"/>
        <w:jc w:val="both"/>
        <w:textAlignment w:val="baseline"/>
        <w:rPr>
          <w:rFonts w:ascii="Georgia" w:hAnsi="Georgia"/>
          <w:color w:val="1F1F1F"/>
          <w:lang w:eastAsia="en-GB"/>
        </w:rPr>
      </w:pPr>
    </w:p>
    <w:p w14:paraId="123BA05C" w14:textId="08E8894C" w:rsidR="008F33DF" w:rsidRDefault="005D5356" w:rsidP="004C2284">
      <w:pPr>
        <w:numPr>
          <w:ilvl w:val="0"/>
          <w:numId w:val="20"/>
        </w:numPr>
        <w:spacing w:line="360" w:lineRule="auto"/>
        <w:ind w:hanging="720"/>
        <w:jc w:val="both"/>
        <w:rPr>
          <w:rFonts w:ascii="Georgia" w:hAnsi="Georgia"/>
          <w:lang w:eastAsia="en-GB"/>
        </w:rPr>
      </w:pPr>
      <w:r w:rsidRPr="005D5356">
        <w:rPr>
          <w:rFonts w:ascii="Georgia" w:hAnsi="Georgia"/>
          <w:lang w:eastAsia="en-GB"/>
        </w:rPr>
        <w:t>The Applicant</w:t>
      </w:r>
      <w:r w:rsidR="0072132A">
        <w:rPr>
          <w:rFonts w:ascii="Georgia" w:hAnsi="Georgia"/>
          <w:lang w:eastAsia="en-GB"/>
        </w:rPr>
        <w:t>s</w:t>
      </w:r>
      <w:r w:rsidRPr="005D5356">
        <w:rPr>
          <w:rFonts w:ascii="Georgia" w:hAnsi="Georgia"/>
          <w:lang w:eastAsia="en-GB"/>
        </w:rPr>
        <w:t xml:space="preserve"> </w:t>
      </w:r>
      <w:r>
        <w:rPr>
          <w:rFonts w:ascii="Georgia" w:hAnsi="Georgia"/>
          <w:lang w:eastAsia="en-GB"/>
        </w:rPr>
        <w:t>submitted that the First Respondent, Ladbrokes Betting &amp; Gaming Limited</w:t>
      </w:r>
      <w:r w:rsidR="0072132A">
        <w:rPr>
          <w:rFonts w:ascii="Georgia" w:hAnsi="Georgia"/>
          <w:lang w:eastAsia="en-GB"/>
        </w:rPr>
        <w:t>,</w:t>
      </w:r>
      <w:r w:rsidR="000F690C">
        <w:rPr>
          <w:rFonts w:ascii="Georgia" w:hAnsi="Georgia"/>
          <w:lang w:eastAsia="en-GB"/>
        </w:rPr>
        <w:t xml:space="preserve"> </w:t>
      </w:r>
      <w:r w:rsidR="00635C16">
        <w:rPr>
          <w:rFonts w:ascii="Georgia" w:hAnsi="Georgia"/>
          <w:lang w:eastAsia="en-GB"/>
        </w:rPr>
        <w:t xml:space="preserve">were the immediate landlord </w:t>
      </w:r>
      <w:r w:rsidR="00913B0C">
        <w:rPr>
          <w:rFonts w:ascii="Georgia" w:hAnsi="Georgia"/>
          <w:lang w:eastAsia="en-GB"/>
        </w:rPr>
        <w:t>for the period 10 January 2023</w:t>
      </w:r>
      <w:r w:rsidR="00EE0EFC">
        <w:rPr>
          <w:rFonts w:ascii="Georgia" w:hAnsi="Georgia"/>
          <w:lang w:eastAsia="en-GB"/>
        </w:rPr>
        <w:t xml:space="preserve"> until 16 May 2023</w:t>
      </w:r>
      <w:r w:rsidR="006C7640">
        <w:rPr>
          <w:rFonts w:ascii="Georgia" w:hAnsi="Georgia"/>
          <w:lang w:eastAsia="en-GB"/>
        </w:rPr>
        <w:t>.  At that point</w:t>
      </w:r>
      <w:r w:rsidR="00100B34">
        <w:rPr>
          <w:rFonts w:ascii="Georgia" w:hAnsi="Georgia"/>
          <w:lang w:eastAsia="en-GB"/>
        </w:rPr>
        <w:t>,</w:t>
      </w:r>
      <w:r w:rsidR="006C7640">
        <w:rPr>
          <w:rFonts w:ascii="Georgia" w:hAnsi="Georgia"/>
          <w:lang w:eastAsia="en-GB"/>
        </w:rPr>
        <w:t xml:space="preserve"> the First Respondent sublet the Property to </w:t>
      </w:r>
      <w:r w:rsidR="00B22346">
        <w:rPr>
          <w:rFonts w:ascii="Georgia" w:hAnsi="Georgia"/>
          <w:lang w:eastAsia="en-GB"/>
        </w:rPr>
        <w:t>Zakir Mumtaz</w:t>
      </w:r>
      <w:r w:rsidR="00F87FA9">
        <w:rPr>
          <w:rFonts w:ascii="Georgia" w:hAnsi="Georgia"/>
          <w:lang w:eastAsia="en-GB"/>
        </w:rPr>
        <w:t xml:space="preserve"> and he became the immediate landlord</w:t>
      </w:r>
      <w:r w:rsidR="006A3388">
        <w:rPr>
          <w:rFonts w:ascii="Georgia" w:hAnsi="Georgia"/>
          <w:lang w:eastAsia="en-GB"/>
        </w:rPr>
        <w:t>.</w:t>
      </w:r>
    </w:p>
    <w:p w14:paraId="07FD533F" w14:textId="77777777" w:rsidR="0072132A" w:rsidRDefault="0072132A" w:rsidP="0072132A">
      <w:pPr>
        <w:spacing w:line="360" w:lineRule="auto"/>
        <w:ind w:left="720"/>
        <w:jc w:val="both"/>
        <w:rPr>
          <w:rFonts w:ascii="Georgia" w:hAnsi="Georgia"/>
          <w:lang w:eastAsia="en-GB"/>
        </w:rPr>
      </w:pPr>
    </w:p>
    <w:p w14:paraId="06DD6D07" w14:textId="65A70329" w:rsidR="003A3C85" w:rsidRDefault="003A3C85" w:rsidP="004C2284">
      <w:pPr>
        <w:numPr>
          <w:ilvl w:val="0"/>
          <w:numId w:val="20"/>
        </w:numPr>
        <w:spacing w:line="360" w:lineRule="auto"/>
        <w:ind w:hanging="720"/>
        <w:jc w:val="both"/>
        <w:rPr>
          <w:rFonts w:ascii="Georgia" w:hAnsi="Georgia"/>
          <w:lang w:eastAsia="en-GB"/>
        </w:rPr>
      </w:pPr>
      <w:r>
        <w:rPr>
          <w:rFonts w:ascii="Georgia" w:hAnsi="Georgia"/>
          <w:lang w:eastAsia="en-GB"/>
        </w:rPr>
        <w:t xml:space="preserve">It </w:t>
      </w:r>
      <w:r w:rsidR="00817643">
        <w:rPr>
          <w:rFonts w:ascii="Georgia" w:hAnsi="Georgia"/>
          <w:lang w:eastAsia="en-GB"/>
        </w:rPr>
        <w:t>wa</w:t>
      </w:r>
      <w:r>
        <w:rPr>
          <w:rFonts w:ascii="Georgia" w:hAnsi="Georgia"/>
          <w:lang w:eastAsia="en-GB"/>
        </w:rPr>
        <w:t>s the Applicant</w:t>
      </w:r>
      <w:r w:rsidR="0072132A">
        <w:rPr>
          <w:rFonts w:ascii="Georgia" w:hAnsi="Georgia"/>
          <w:lang w:eastAsia="en-GB"/>
        </w:rPr>
        <w:t>s’</w:t>
      </w:r>
      <w:r>
        <w:rPr>
          <w:rFonts w:ascii="Georgia" w:hAnsi="Georgia"/>
          <w:lang w:eastAsia="en-GB"/>
        </w:rPr>
        <w:t xml:space="preserve"> position that the First Respondent </w:t>
      </w:r>
      <w:r w:rsidR="00817643">
        <w:rPr>
          <w:rFonts w:ascii="Georgia" w:hAnsi="Georgia"/>
          <w:lang w:eastAsia="en-GB"/>
        </w:rPr>
        <w:t>was</w:t>
      </w:r>
      <w:r>
        <w:rPr>
          <w:rFonts w:ascii="Georgia" w:hAnsi="Georgia"/>
          <w:lang w:eastAsia="en-GB"/>
        </w:rPr>
        <w:t xml:space="preserve"> the person having control </w:t>
      </w:r>
      <w:r w:rsidR="007C5152">
        <w:rPr>
          <w:rFonts w:ascii="Georgia" w:hAnsi="Georgia"/>
          <w:lang w:eastAsia="en-GB"/>
        </w:rPr>
        <w:t xml:space="preserve">as they </w:t>
      </w:r>
      <w:r w:rsidR="00817643">
        <w:rPr>
          <w:rFonts w:ascii="Georgia" w:hAnsi="Georgia"/>
          <w:lang w:eastAsia="en-GB"/>
        </w:rPr>
        <w:t>we</w:t>
      </w:r>
      <w:r w:rsidR="007C5152">
        <w:rPr>
          <w:rFonts w:ascii="Georgia" w:hAnsi="Georgia"/>
          <w:lang w:eastAsia="en-GB"/>
        </w:rPr>
        <w:t>re named as the immediate landlord in the Assured Shorthold Tenancy agreement (page</w:t>
      </w:r>
      <w:r w:rsidR="00817643">
        <w:rPr>
          <w:rFonts w:ascii="Georgia" w:hAnsi="Georgia"/>
          <w:lang w:eastAsia="en-GB"/>
        </w:rPr>
        <w:t>s</w:t>
      </w:r>
      <w:r w:rsidR="007C5152">
        <w:rPr>
          <w:rFonts w:ascii="Georgia" w:hAnsi="Georgia"/>
          <w:lang w:eastAsia="en-GB"/>
        </w:rPr>
        <w:t xml:space="preserve"> </w:t>
      </w:r>
      <w:r w:rsidR="00BD5703">
        <w:rPr>
          <w:rFonts w:ascii="Georgia" w:hAnsi="Georgia"/>
          <w:lang w:eastAsia="en-GB"/>
        </w:rPr>
        <w:t xml:space="preserve">240 to </w:t>
      </w:r>
      <w:r w:rsidR="00EC36EC">
        <w:rPr>
          <w:rFonts w:ascii="Georgia" w:hAnsi="Georgia"/>
          <w:lang w:eastAsia="en-GB"/>
        </w:rPr>
        <w:t>265 of the bundle)</w:t>
      </w:r>
      <w:r w:rsidR="00487940">
        <w:rPr>
          <w:rFonts w:ascii="Georgia" w:hAnsi="Georgia"/>
          <w:lang w:eastAsia="en-GB"/>
        </w:rPr>
        <w:t xml:space="preserve">.  They </w:t>
      </w:r>
      <w:r w:rsidR="00817643">
        <w:rPr>
          <w:rFonts w:ascii="Georgia" w:hAnsi="Georgia"/>
          <w:lang w:eastAsia="en-GB"/>
        </w:rPr>
        <w:t>we</w:t>
      </w:r>
      <w:r w:rsidR="00487940">
        <w:rPr>
          <w:rFonts w:ascii="Georgia" w:hAnsi="Georgia"/>
          <w:lang w:eastAsia="en-GB"/>
        </w:rPr>
        <w:t xml:space="preserve">re the beneficial owner of the Property </w:t>
      </w:r>
      <w:r w:rsidR="00095CF2">
        <w:rPr>
          <w:rFonts w:ascii="Georgia" w:hAnsi="Georgia"/>
          <w:lang w:eastAsia="en-GB"/>
        </w:rPr>
        <w:t xml:space="preserve">and this </w:t>
      </w:r>
      <w:r w:rsidR="00817643">
        <w:rPr>
          <w:rFonts w:ascii="Georgia" w:hAnsi="Georgia"/>
          <w:lang w:eastAsia="en-GB"/>
        </w:rPr>
        <w:t>wa</w:t>
      </w:r>
      <w:r w:rsidR="00095CF2">
        <w:rPr>
          <w:rFonts w:ascii="Georgia" w:hAnsi="Georgia"/>
          <w:lang w:eastAsia="en-GB"/>
        </w:rPr>
        <w:t xml:space="preserve">s shown </w:t>
      </w:r>
      <w:r w:rsidR="005C200D">
        <w:rPr>
          <w:rFonts w:ascii="Georgia" w:hAnsi="Georgia"/>
          <w:lang w:eastAsia="en-GB"/>
        </w:rPr>
        <w:t>by the Land Registry title (pages 361</w:t>
      </w:r>
      <w:r w:rsidR="00BD4BEA">
        <w:rPr>
          <w:rFonts w:ascii="Georgia" w:hAnsi="Georgia"/>
          <w:lang w:eastAsia="en-GB"/>
        </w:rPr>
        <w:t xml:space="preserve"> to 364 (Freehold) and pages 365 to </w:t>
      </w:r>
      <w:r w:rsidR="00E87D7C">
        <w:rPr>
          <w:rFonts w:ascii="Georgia" w:hAnsi="Georgia"/>
          <w:lang w:eastAsia="en-GB"/>
        </w:rPr>
        <w:t>368 (Leasehold)</w:t>
      </w:r>
      <w:r w:rsidR="0072132A">
        <w:rPr>
          <w:rFonts w:ascii="Georgia" w:hAnsi="Georgia"/>
          <w:lang w:eastAsia="en-GB"/>
        </w:rPr>
        <w:t xml:space="preserve"> of the bundle</w:t>
      </w:r>
      <w:r w:rsidR="00AF31CD">
        <w:rPr>
          <w:rFonts w:ascii="Georgia" w:hAnsi="Georgia"/>
          <w:lang w:eastAsia="en-GB"/>
        </w:rPr>
        <w:t xml:space="preserve">.  The First Respondent </w:t>
      </w:r>
      <w:r w:rsidR="0072132A">
        <w:rPr>
          <w:rFonts w:ascii="Georgia" w:hAnsi="Georgia"/>
          <w:lang w:eastAsia="en-GB"/>
        </w:rPr>
        <w:t>wa</w:t>
      </w:r>
      <w:r w:rsidR="00AF31CD">
        <w:rPr>
          <w:rFonts w:ascii="Georgia" w:hAnsi="Georgia"/>
          <w:lang w:eastAsia="en-GB"/>
        </w:rPr>
        <w:t xml:space="preserve">s therefore </w:t>
      </w:r>
      <w:r w:rsidR="00C34149">
        <w:rPr>
          <w:rFonts w:ascii="Georgia" w:hAnsi="Georgia"/>
          <w:lang w:eastAsia="en-GB"/>
        </w:rPr>
        <w:t>the person who received or would so receive the rack-rent if the premises were let.</w:t>
      </w:r>
    </w:p>
    <w:p w14:paraId="2B2FA262" w14:textId="77777777" w:rsidR="00D35AE3" w:rsidRDefault="00D35AE3" w:rsidP="00D35AE3">
      <w:pPr>
        <w:spacing w:line="360" w:lineRule="auto"/>
        <w:ind w:left="720"/>
        <w:jc w:val="both"/>
        <w:rPr>
          <w:rFonts w:ascii="Georgia" w:hAnsi="Georgia"/>
          <w:lang w:eastAsia="en-GB"/>
        </w:rPr>
      </w:pPr>
    </w:p>
    <w:p w14:paraId="46EE4F68" w14:textId="44009305" w:rsidR="00BA1C27" w:rsidRDefault="00BA1C27" w:rsidP="004C2284">
      <w:pPr>
        <w:numPr>
          <w:ilvl w:val="0"/>
          <w:numId w:val="20"/>
        </w:numPr>
        <w:spacing w:line="360" w:lineRule="auto"/>
        <w:ind w:hanging="578"/>
        <w:jc w:val="both"/>
        <w:rPr>
          <w:rFonts w:ascii="Georgia" w:hAnsi="Georgia"/>
          <w:lang w:eastAsia="en-GB"/>
        </w:rPr>
      </w:pPr>
      <w:r>
        <w:rPr>
          <w:rFonts w:ascii="Georgia" w:hAnsi="Georgia"/>
          <w:lang w:eastAsia="en-GB"/>
        </w:rPr>
        <w:t>The Applicant</w:t>
      </w:r>
      <w:r w:rsidR="004730A6">
        <w:rPr>
          <w:rFonts w:ascii="Georgia" w:hAnsi="Georgia"/>
          <w:lang w:eastAsia="en-GB"/>
        </w:rPr>
        <w:t>s</w:t>
      </w:r>
      <w:r>
        <w:rPr>
          <w:rFonts w:ascii="Georgia" w:hAnsi="Georgia"/>
          <w:lang w:eastAsia="en-GB"/>
        </w:rPr>
        <w:t xml:space="preserve"> state</w:t>
      </w:r>
      <w:r w:rsidR="0072132A">
        <w:rPr>
          <w:rFonts w:ascii="Georgia" w:hAnsi="Georgia"/>
          <w:lang w:eastAsia="en-GB"/>
        </w:rPr>
        <w:t>d</w:t>
      </w:r>
      <w:r>
        <w:rPr>
          <w:rFonts w:ascii="Georgia" w:hAnsi="Georgia"/>
          <w:lang w:eastAsia="en-GB"/>
        </w:rPr>
        <w:t xml:space="preserve"> that the Second Respondent </w:t>
      </w:r>
      <w:r w:rsidR="004730A6">
        <w:rPr>
          <w:rFonts w:ascii="Georgia" w:hAnsi="Georgia"/>
          <w:lang w:eastAsia="en-GB"/>
        </w:rPr>
        <w:t>wa</w:t>
      </w:r>
      <w:r>
        <w:rPr>
          <w:rFonts w:ascii="Georgia" w:hAnsi="Georgia"/>
          <w:lang w:eastAsia="en-GB"/>
        </w:rPr>
        <w:t xml:space="preserve">s the person having control </w:t>
      </w:r>
      <w:r w:rsidR="009633A2">
        <w:rPr>
          <w:rFonts w:ascii="Georgia" w:hAnsi="Georgia"/>
          <w:lang w:eastAsia="en-GB"/>
        </w:rPr>
        <w:t>from 16 May 2023.</w:t>
      </w:r>
      <w:r w:rsidR="00D9401E">
        <w:rPr>
          <w:rFonts w:ascii="Georgia" w:hAnsi="Georgia"/>
          <w:lang w:eastAsia="en-GB"/>
        </w:rPr>
        <w:t xml:space="preserve">  The Applicants state</w:t>
      </w:r>
      <w:r w:rsidR="004730A6">
        <w:rPr>
          <w:rFonts w:ascii="Georgia" w:hAnsi="Georgia"/>
          <w:lang w:eastAsia="en-GB"/>
        </w:rPr>
        <w:t>d</w:t>
      </w:r>
      <w:r w:rsidR="00D9401E">
        <w:rPr>
          <w:rFonts w:ascii="Georgia" w:hAnsi="Georgia"/>
          <w:lang w:eastAsia="en-GB"/>
        </w:rPr>
        <w:t xml:space="preserve"> in their witness statements (pages </w:t>
      </w:r>
      <w:r w:rsidR="00D323DF">
        <w:rPr>
          <w:rFonts w:ascii="Georgia" w:hAnsi="Georgia"/>
          <w:lang w:eastAsia="en-GB"/>
        </w:rPr>
        <w:t>32 and 33</w:t>
      </w:r>
      <w:r w:rsidR="00D9401E">
        <w:rPr>
          <w:rFonts w:ascii="Georgia" w:hAnsi="Georgia"/>
          <w:lang w:eastAsia="en-GB"/>
        </w:rPr>
        <w:t xml:space="preserve"> of the bundle) that</w:t>
      </w:r>
      <w:r w:rsidR="004730A6">
        <w:rPr>
          <w:rFonts w:ascii="Georgia" w:hAnsi="Georgia"/>
          <w:lang w:eastAsia="en-GB"/>
        </w:rPr>
        <w:t>,</w:t>
      </w:r>
      <w:r w:rsidR="00D9401E">
        <w:rPr>
          <w:rFonts w:ascii="Georgia" w:hAnsi="Georgia"/>
          <w:lang w:eastAsia="en-GB"/>
        </w:rPr>
        <w:t xml:space="preserve"> on 18 May 2023, Zakir Mumtaz appeared at the Property and notified the Applicants the he was the new landlord</w:t>
      </w:r>
      <w:r w:rsidR="00961DC3">
        <w:rPr>
          <w:rFonts w:ascii="Georgia" w:hAnsi="Georgia"/>
          <w:lang w:eastAsia="en-GB"/>
        </w:rPr>
        <w:t xml:space="preserve">.  </w:t>
      </w:r>
      <w:r w:rsidR="00706175">
        <w:rPr>
          <w:rFonts w:ascii="Georgia" w:hAnsi="Georgia"/>
          <w:lang w:eastAsia="en-GB"/>
        </w:rPr>
        <w:t xml:space="preserve">Further, the Applicants told the Tribunal that the First Respondent’s agent told them that the First Respondent </w:t>
      </w:r>
      <w:r w:rsidR="003716ED">
        <w:rPr>
          <w:rFonts w:ascii="Georgia" w:hAnsi="Georgia"/>
          <w:lang w:eastAsia="en-GB"/>
        </w:rPr>
        <w:t xml:space="preserve">had sub-let the whole of their lease (which included the Property) to the </w:t>
      </w:r>
      <w:r w:rsidR="003B514D">
        <w:rPr>
          <w:rFonts w:ascii="Georgia" w:hAnsi="Georgia"/>
          <w:lang w:eastAsia="en-GB"/>
        </w:rPr>
        <w:t>S</w:t>
      </w:r>
      <w:r w:rsidR="003716ED">
        <w:rPr>
          <w:rFonts w:ascii="Georgia" w:hAnsi="Georgia"/>
          <w:lang w:eastAsia="en-GB"/>
        </w:rPr>
        <w:t>econd Respondent</w:t>
      </w:r>
      <w:r w:rsidR="000A3E8D">
        <w:rPr>
          <w:rFonts w:ascii="Georgia" w:hAnsi="Georgia"/>
          <w:lang w:eastAsia="en-GB"/>
        </w:rPr>
        <w:t xml:space="preserve"> commencing on 16 May 2023</w:t>
      </w:r>
      <w:r w:rsidR="003716ED">
        <w:rPr>
          <w:rFonts w:ascii="Georgia" w:hAnsi="Georgia"/>
          <w:lang w:eastAsia="en-GB"/>
        </w:rPr>
        <w:t xml:space="preserve">.  </w:t>
      </w:r>
      <w:r w:rsidR="00961DC3">
        <w:rPr>
          <w:rFonts w:ascii="Georgia" w:hAnsi="Georgia"/>
          <w:lang w:eastAsia="en-GB"/>
        </w:rPr>
        <w:t xml:space="preserve">The </w:t>
      </w:r>
      <w:r w:rsidR="000A3E8D">
        <w:rPr>
          <w:rFonts w:ascii="Georgia" w:hAnsi="Georgia"/>
          <w:lang w:eastAsia="en-GB"/>
        </w:rPr>
        <w:t>Applicants</w:t>
      </w:r>
      <w:r w:rsidR="00A9088C">
        <w:rPr>
          <w:rFonts w:ascii="Georgia" w:hAnsi="Georgia"/>
          <w:lang w:eastAsia="en-GB"/>
        </w:rPr>
        <w:t xml:space="preserve"> produced </w:t>
      </w:r>
      <w:r w:rsidR="00606FCF">
        <w:rPr>
          <w:rFonts w:ascii="Georgia" w:hAnsi="Georgia"/>
          <w:lang w:eastAsia="en-GB"/>
        </w:rPr>
        <w:t xml:space="preserve">a </w:t>
      </w:r>
      <w:r w:rsidR="00961DC3">
        <w:rPr>
          <w:rFonts w:ascii="Georgia" w:hAnsi="Georgia"/>
          <w:lang w:eastAsia="en-GB"/>
        </w:rPr>
        <w:t xml:space="preserve">section 48 </w:t>
      </w:r>
      <w:r w:rsidR="009B095D">
        <w:rPr>
          <w:rFonts w:ascii="Georgia" w:hAnsi="Georgia"/>
          <w:lang w:eastAsia="en-GB"/>
        </w:rPr>
        <w:t xml:space="preserve">Landlord and Tenant Act 1987 notice which confirmed Zakir Mumtaz as the landlord </w:t>
      </w:r>
      <w:r w:rsidR="00961DC3">
        <w:rPr>
          <w:rFonts w:ascii="Georgia" w:hAnsi="Georgia"/>
          <w:lang w:eastAsia="en-GB"/>
        </w:rPr>
        <w:t xml:space="preserve">and </w:t>
      </w:r>
      <w:r w:rsidR="009B095D">
        <w:rPr>
          <w:rFonts w:ascii="Georgia" w:hAnsi="Georgia"/>
          <w:lang w:eastAsia="en-GB"/>
        </w:rPr>
        <w:t xml:space="preserve">a </w:t>
      </w:r>
      <w:r w:rsidR="00961DC3">
        <w:rPr>
          <w:rFonts w:ascii="Georgia" w:hAnsi="Georgia"/>
          <w:lang w:eastAsia="en-GB"/>
        </w:rPr>
        <w:t xml:space="preserve">section 8 notice </w:t>
      </w:r>
      <w:r w:rsidR="009B095D">
        <w:rPr>
          <w:rFonts w:ascii="Georgia" w:hAnsi="Georgia"/>
          <w:lang w:eastAsia="en-GB"/>
        </w:rPr>
        <w:t xml:space="preserve">also stating that </w:t>
      </w:r>
      <w:r w:rsidR="00B6525F">
        <w:rPr>
          <w:rFonts w:ascii="Georgia" w:hAnsi="Georgia"/>
          <w:lang w:eastAsia="en-GB"/>
        </w:rPr>
        <w:t xml:space="preserve"> Zakir Mumtaz </w:t>
      </w:r>
      <w:r w:rsidR="009B095D">
        <w:rPr>
          <w:rFonts w:ascii="Georgia" w:hAnsi="Georgia"/>
          <w:lang w:eastAsia="en-GB"/>
        </w:rPr>
        <w:t xml:space="preserve">was </w:t>
      </w:r>
      <w:r w:rsidR="00B6525F">
        <w:rPr>
          <w:rFonts w:ascii="Georgia" w:hAnsi="Georgia"/>
          <w:lang w:eastAsia="en-GB"/>
        </w:rPr>
        <w:t xml:space="preserve">the landlord </w:t>
      </w:r>
      <w:r w:rsidR="00305686">
        <w:rPr>
          <w:rFonts w:ascii="Georgia" w:hAnsi="Georgia"/>
          <w:lang w:eastAsia="en-GB"/>
        </w:rPr>
        <w:t xml:space="preserve">(pages 162 to </w:t>
      </w:r>
      <w:r w:rsidR="00D35AE3">
        <w:rPr>
          <w:rFonts w:ascii="Georgia" w:hAnsi="Georgia"/>
          <w:lang w:eastAsia="en-GB"/>
        </w:rPr>
        <w:t xml:space="preserve">165 of the bundle).  </w:t>
      </w:r>
      <w:r w:rsidR="00E21988">
        <w:rPr>
          <w:rFonts w:ascii="Georgia" w:hAnsi="Georgia"/>
          <w:lang w:eastAsia="en-GB"/>
        </w:rPr>
        <w:t>Additionally, t</w:t>
      </w:r>
      <w:r w:rsidR="00D35AE3">
        <w:rPr>
          <w:rFonts w:ascii="Georgia" w:hAnsi="Georgia"/>
          <w:lang w:eastAsia="en-GB"/>
        </w:rPr>
        <w:t xml:space="preserve">he Applicants </w:t>
      </w:r>
      <w:r w:rsidR="000B7BA9">
        <w:rPr>
          <w:rFonts w:ascii="Georgia" w:hAnsi="Georgia"/>
          <w:lang w:eastAsia="en-GB"/>
        </w:rPr>
        <w:t xml:space="preserve">paid their rent directly to Zakir Mumtaz’s bank </w:t>
      </w:r>
      <w:r w:rsidR="009B095D">
        <w:rPr>
          <w:rFonts w:ascii="Georgia" w:hAnsi="Georgia"/>
          <w:lang w:eastAsia="en-GB"/>
        </w:rPr>
        <w:t>acc</w:t>
      </w:r>
      <w:r w:rsidR="00E21988">
        <w:rPr>
          <w:rFonts w:ascii="Georgia" w:hAnsi="Georgia"/>
          <w:lang w:eastAsia="en-GB"/>
        </w:rPr>
        <w:t>ount</w:t>
      </w:r>
      <w:r w:rsidR="009B0008">
        <w:rPr>
          <w:rFonts w:ascii="Georgia" w:hAnsi="Georgia"/>
          <w:lang w:eastAsia="en-GB"/>
        </w:rPr>
        <w:t>.</w:t>
      </w:r>
    </w:p>
    <w:p w14:paraId="48ECD01C" w14:textId="77777777" w:rsidR="007C07B1" w:rsidRDefault="007C07B1" w:rsidP="007C07B1">
      <w:pPr>
        <w:spacing w:line="360" w:lineRule="auto"/>
        <w:ind w:left="720"/>
        <w:jc w:val="both"/>
        <w:rPr>
          <w:rFonts w:ascii="Georgia" w:hAnsi="Georgia"/>
          <w:lang w:eastAsia="en-GB"/>
        </w:rPr>
      </w:pPr>
    </w:p>
    <w:p w14:paraId="5314A703" w14:textId="35589E47" w:rsidR="00B06DF9" w:rsidRDefault="00B22346" w:rsidP="004C2284">
      <w:pPr>
        <w:numPr>
          <w:ilvl w:val="0"/>
          <w:numId w:val="20"/>
        </w:numPr>
        <w:spacing w:line="360" w:lineRule="auto"/>
        <w:ind w:hanging="578"/>
        <w:jc w:val="both"/>
        <w:rPr>
          <w:rFonts w:ascii="Georgia" w:hAnsi="Georgia"/>
          <w:lang w:eastAsia="en-GB"/>
        </w:rPr>
      </w:pPr>
      <w:r>
        <w:rPr>
          <w:rFonts w:ascii="Georgia" w:hAnsi="Georgia"/>
          <w:lang w:eastAsia="en-GB"/>
        </w:rPr>
        <w:t xml:space="preserve">The Applicants therefore </w:t>
      </w:r>
      <w:r w:rsidR="000D50EA">
        <w:rPr>
          <w:rFonts w:ascii="Georgia" w:hAnsi="Georgia"/>
          <w:lang w:eastAsia="en-GB"/>
        </w:rPr>
        <w:t>submitted</w:t>
      </w:r>
      <w:r w:rsidR="00905307">
        <w:rPr>
          <w:rFonts w:ascii="Georgia" w:hAnsi="Georgia"/>
          <w:lang w:eastAsia="en-GB"/>
        </w:rPr>
        <w:t xml:space="preserve"> that </w:t>
      </w:r>
      <w:r w:rsidR="00AA1F3F">
        <w:rPr>
          <w:rFonts w:ascii="Georgia" w:hAnsi="Georgia"/>
          <w:lang w:eastAsia="en-GB"/>
        </w:rPr>
        <w:t>the Fi</w:t>
      </w:r>
      <w:r w:rsidR="00F87FA9">
        <w:rPr>
          <w:rFonts w:ascii="Georgia" w:hAnsi="Georgia"/>
          <w:lang w:eastAsia="en-GB"/>
        </w:rPr>
        <w:t>r</w:t>
      </w:r>
      <w:r w:rsidR="00AA1F3F">
        <w:rPr>
          <w:rFonts w:ascii="Georgia" w:hAnsi="Georgia"/>
          <w:lang w:eastAsia="en-GB"/>
        </w:rPr>
        <w:t xml:space="preserve">st Respondent </w:t>
      </w:r>
      <w:r w:rsidR="00561A80">
        <w:rPr>
          <w:rFonts w:ascii="Georgia" w:hAnsi="Georgia"/>
          <w:lang w:eastAsia="en-GB"/>
        </w:rPr>
        <w:t>wa</w:t>
      </w:r>
      <w:r w:rsidR="00AA1F3F">
        <w:rPr>
          <w:rFonts w:ascii="Georgia" w:hAnsi="Georgia"/>
          <w:lang w:eastAsia="en-GB"/>
        </w:rPr>
        <w:t xml:space="preserve">s the person having control/managing the Property for </w:t>
      </w:r>
      <w:r w:rsidR="008F33DF">
        <w:rPr>
          <w:rFonts w:ascii="Georgia" w:hAnsi="Georgia"/>
          <w:lang w:eastAsia="en-GB"/>
        </w:rPr>
        <w:t xml:space="preserve">the period 10 January 2023 until 16 </w:t>
      </w:r>
      <w:r w:rsidR="00905307">
        <w:rPr>
          <w:rFonts w:ascii="Georgia" w:hAnsi="Georgia"/>
          <w:lang w:eastAsia="en-GB"/>
        </w:rPr>
        <w:t xml:space="preserve">May 2023 </w:t>
      </w:r>
      <w:r w:rsidR="00AA1F3F">
        <w:rPr>
          <w:rFonts w:ascii="Georgia" w:hAnsi="Georgia"/>
          <w:lang w:eastAsia="en-GB"/>
        </w:rPr>
        <w:t xml:space="preserve">and that the Second Respondent </w:t>
      </w:r>
      <w:r w:rsidR="00561A80">
        <w:rPr>
          <w:rFonts w:ascii="Georgia" w:hAnsi="Georgia"/>
          <w:lang w:eastAsia="en-GB"/>
        </w:rPr>
        <w:t>wa</w:t>
      </w:r>
      <w:r w:rsidR="00AA1F3F">
        <w:rPr>
          <w:rFonts w:ascii="Georgia" w:hAnsi="Georgia"/>
          <w:lang w:eastAsia="en-GB"/>
        </w:rPr>
        <w:t>s the per</w:t>
      </w:r>
      <w:r w:rsidR="000D50EA">
        <w:rPr>
          <w:rFonts w:ascii="Georgia" w:hAnsi="Georgia"/>
          <w:lang w:eastAsia="en-GB"/>
        </w:rPr>
        <w:t>son</w:t>
      </w:r>
      <w:r w:rsidR="00AA1F3F">
        <w:rPr>
          <w:rFonts w:ascii="Georgia" w:hAnsi="Georgia"/>
          <w:lang w:eastAsia="en-GB"/>
        </w:rPr>
        <w:t xml:space="preserve"> </w:t>
      </w:r>
      <w:r w:rsidR="007C07B1">
        <w:rPr>
          <w:rFonts w:ascii="Georgia" w:hAnsi="Georgia"/>
          <w:lang w:eastAsia="en-GB"/>
        </w:rPr>
        <w:t xml:space="preserve">having control/managing the Property for the period 16 May 2023 </w:t>
      </w:r>
      <w:r w:rsidR="00905307">
        <w:rPr>
          <w:rFonts w:ascii="Georgia" w:hAnsi="Georgia"/>
          <w:lang w:eastAsia="en-GB"/>
        </w:rPr>
        <w:t xml:space="preserve">until </w:t>
      </w:r>
      <w:r w:rsidR="007C07B1">
        <w:rPr>
          <w:rFonts w:ascii="Georgia" w:hAnsi="Georgia"/>
          <w:lang w:eastAsia="en-GB"/>
        </w:rPr>
        <w:t>1 August 2023 when the Applicants left the Property.</w:t>
      </w:r>
    </w:p>
    <w:p w14:paraId="23873742" w14:textId="77777777" w:rsidR="00114ECD" w:rsidRDefault="00114ECD" w:rsidP="00114ECD">
      <w:pPr>
        <w:pStyle w:val="ListParagraph"/>
        <w:rPr>
          <w:rFonts w:ascii="Georgia" w:hAnsi="Georgia"/>
        </w:rPr>
      </w:pPr>
    </w:p>
    <w:p w14:paraId="46EA3F32" w14:textId="7409281D" w:rsidR="00114ECD" w:rsidRDefault="00114ECD" w:rsidP="004C2284">
      <w:pPr>
        <w:numPr>
          <w:ilvl w:val="0"/>
          <w:numId w:val="20"/>
        </w:numPr>
        <w:spacing w:line="360" w:lineRule="auto"/>
        <w:ind w:hanging="578"/>
        <w:jc w:val="both"/>
        <w:rPr>
          <w:rFonts w:ascii="Georgia" w:hAnsi="Georgia"/>
          <w:lang w:eastAsia="en-GB"/>
        </w:rPr>
      </w:pPr>
      <w:r>
        <w:rPr>
          <w:rFonts w:ascii="Georgia" w:hAnsi="Georgia"/>
          <w:lang w:eastAsia="en-GB"/>
        </w:rPr>
        <w:t>The Applicants further submit</w:t>
      </w:r>
      <w:r w:rsidR="000D50EA">
        <w:rPr>
          <w:rFonts w:ascii="Georgia" w:hAnsi="Georgia"/>
          <w:lang w:eastAsia="en-GB"/>
        </w:rPr>
        <w:t>ted</w:t>
      </w:r>
      <w:r>
        <w:rPr>
          <w:rFonts w:ascii="Georgia" w:hAnsi="Georgia"/>
          <w:lang w:eastAsia="en-GB"/>
        </w:rPr>
        <w:t xml:space="preserve"> that the </w:t>
      </w:r>
      <w:r w:rsidR="000D50EA">
        <w:rPr>
          <w:rFonts w:ascii="Georgia" w:hAnsi="Georgia"/>
          <w:lang w:eastAsia="en-GB"/>
        </w:rPr>
        <w:t>F</w:t>
      </w:r>
      <w:r w:rsidR="00BE297F">
        <w:rPr>
          <w:rFonts w:ascii="Georgia" w:hAnsi="Georgia"/>
          <w:lang w:eastAsia="en-GB"/>
        </w:rPr>
        <w:t xml:space="preserve">irst </w:t>
      </w:r>
      <w:r>
        <w:rPr>
          <w:rFonts w:ascii="Georgia" w:hAnsi="Georgia"/>
          <w:lang w:eastAsia="en-GB"/>
        </w:rPr>
        <w:t xml:space="preserve">Respondent </w:t>
      </w:r>
      <w:r w:rsidR="009743A0">
        <w:rPr>
          <w:rFonts w:ascii="Georgia" w:hAnsi="Georgia"/>
          <w:lang w:eastAsia="en-GB"/>
        </w:rPr>
        <w:t>wa</w:t>
      </w:r>
      <w:r w:rsidR="00BE297F">
        <w:rPr>
          <w:rFonts w:ascii="Georgia" w:hAnsi="Georgia"/>
          <w:lang w:eastAsia="en-GB"/>
        </w:rPr>
        <w:t>s also</w:t>
      </w:r>
      <w:r>
        <w:rPr>
          <w:rFonts w:ascii="Georgia" w:hAnsi="Georgia"/>
          <w:lang w:eastAsia="en-GB"/>
        </w:rPr>
        <w:t xml:space="preserve"> the person managing the Property as they were the owner of </w:t>
      </w:r>
      <w:r w:rsidR="00443A73">
        <w:rPr>
          <w:rFonts w:ascii="Georgia" w:hAnsi="Georgia"/>
          <w:lang w:eastAsia="en-GB"/>
        </w:rPr>
        <w:t xml:space="preserve">the Property and </w:t>
      </w:r>
      <w:r w:rsidR="00D164B0">
        <w:rPr>
          <w:rFonts w:ascii="Georgia" w:hAnsi="Georgia"/>
          <w:lang w:eastAsia="en-GB"/>
        </w:rPr>
        <w:t>received the rent from the Applican</w:t>
      </w:r>
      <w:r w:rsidR="00BE297F">
        <w:rPr>
          <w:rFonts w:ascii="Georgia" w:hAnsi="Georgia"/>
          <w:lang w:eastAsia="en-GB"/>
        </w:rPr>
        <w:t xml:space="preserve">ts for the period 10 January 2023 to 16 May 2023 and the same </w:t>
      </w:r>
      <w:r w:rsidR="00481910">
        <w:rPr>
          <w:rFonts w:ascii="Georgia" w:hAnsi="Georgia"/>
          <w:lang w:eastAsia="en-GB"/>
        </w:rPr>
        <w:t>wa</w:t>
      </w:r>
      <w:r w:rsidR="00BE297F">
        <w:rPr>
          <w:rFonts w:ascii="Georgia" w:hAnsi="Georgia"/>
          <w:lang w:eastAsia="en-GB"/>
        </w:rPr>
        <w:t xml:space="preserve">s true of the </w:t>
      </w:r>
      <w:r w:rsidR="00295724">
        <w:rPr>
          <w:rFonts w:ascii="Georgia" w:hAnsi="Georgia"/>
          <w:lang w:eastAsia="en-GB"/>
        </w:rPr>
        <w:t>S</w:t>
      </w:r>
      <w:r w:rsidR="00BE297F">
        <w:rPr>
          <w:rFonts w:ascii="Georgia" w:hAnsi="Georgia"/>
          <w:lang w:eastAsia="en-GB"/>
        </w:rPr>
        <w:t xml:space="preserve">econd Respondent for the period </w:t>
      </w:r>
      <w:r w:rsidR="009743A0">
        <w:rPr>
          <w:rFonts w:ascii="Georgia" w:hAnsi="Georgia"/>
          <w:lang w:eastAsia="en-GB"/>
        </w:rPr>
        <w:t xml:space="preserve">from </w:t>
      </w:r>
      <w:r w:rsidR="00A51FF1">
        <w:rPr>
          <w:rFonts w:ascii="Georgia" w:hAnsi="Georgia"/>
          <w:lang w:eastAsia="en-GB"/>
        </w:rPr>
        <w:t>16 May 2023 until the tenancy ended on 1 August 2023.</w:t>
      </w:r>
    </w:p>
    <w:p w14:paraId="43F5D6F1" w14:textId="77777777" w:rsidR="00BD0ED8" w:rsidRDefault="00BD0ED8" w:rsidP="00BD0ED8">
      <w:pPr>
        <w:pStyle w:val="ListParagraph"/>
        <w:rPr>
          <w:rFonts w:ascii="Georgia" w:hAnsi="Georgia"/>
        </w:rPr>
      </w:pPr>
    </w:p>
    <w:p w14:paraId="04016113" w14:textId="694EB1A7" w:rsidR="00BD0ED8" w:rsidRPr="00BD0ED8" w:rsidRDefault="00BD0ED8" w:rsidP="00BD0ED8">
      <w:pPr>
        <w:spacing w:line="360" w:lineRule="auto"/>
        <w:jc w:val="both"/>
        <w:rPr>
          <w:rFonts w:ascii="Georgia" w:hAnsi="Georgia"/>
          <w:b/>
          <w:bCs/>
          <w:lang w:eastAsia="en-GB"/>
        </w:rPr>
      </w:pPr>
      <w:r w:rsidRPr="00BD0ED8">
        <w:rPr>
          <w:rFonts w:ascii="Georgia" w:hAnsi="Georgia"/>
          <w:b/>
          <w:bCs/>
          <w:lang w:eastAsia="en-GB"/>
        </w:rPr>
        <w:t>Tribunal Findings – Person Having control/Managing Property</w:t>
      </w:r>
    </w:p>
    <w:p w14:paraId="78878B7F" w14:textId="77777777" w:rsidR="007C07B1" w:rsidRPr="00BD0ED8" w:rsidRDefault="007C07B1" w:rsidP="007C07B1">
      <w:pPr>
        <w:pStyle w:val="ListParagraph"/>
        <w:rPr>
          <w:rFonts w:ascii="Georgia" w:hAnsi="Georgia"/>
          <w:b/>
          <w:bCs/>
        </w:rPr>
      </w:pPr>
    </w:p>
    <w:p w14:paraId="413DBCFA" w14:textId="07224938" w:rsidR="007C07B1" w:rsidRPr="005D5356" w:rsidRDefault="005D0BCF" w:rsidP="004C2284">
      <w:pPr>
        <w:numPr>
          <w:ilvl w:val="0"/>
          <w:numId w:val="20"/>
        </w:numPr>
        <w:spacing w:line="360" w:lineRule="auto"/>
        <w:ind w:hanging="578"/>
        <w:jc w:val="both"/>
        <w:rPr>
          <w:rFonts w:ascii="Georgia" w:hAnsi="Georgia"/>
          <w:lang w:eastAsia="en-GB"/>
        </w:rPr>
      </w:pPr>
      <w:r>
        <w:rPr>
          <w:rFonts w:ascii="Georgia" w:hAnsi="Georgia"/>
          <w:lang w:eastAsia="en-GB"/>
        </w:rPr>
        <w:t xml:space="preserve">The </w:t>
      </w:r>
      <w:r w:rsidR="00295724">
        <w:rPr>
          <w:rFonts w:ascii="Georgia" w:hAnsi="Georgia"/>
          <w:lang w:eastAsia="en-GB"/>
        </w:rPr>
        <w:t>Tribunal</w:t>
      </w:r>
      <w:r>
        <w:rPr>
          <w:rFonts w:ascii="Georgia" w:hAnsi="Georgia"/>
          <w:lang w:eastAsia="en-GB"/>
        </w:rPr>
        <w:t xml:space="preserve"> accepts the evidence of the Applicants and find</w:t>
      </w:r>
      <w:r w:rsidR="00D26D7B">
        <w:rPr>
          <w:rFonts w:ascii="Georgia" w:hAnsi="Georgia"/>
          <w:lang w:eastAsia="en-GB"/>
        </w:rPr>
        <w:t>s</w:t>
      </w:r>
      <w:r>
        <w:rPr>
          <w:rFonts w:ascii="Georgia" w:hAnsi="Georgia"/>
          <w:lang w:eastAsia="en-GB"/>
        </w:rPr>
        <w:t xml:space="preserve"> that </w:t>
      </w:r>
      <w:r w:rsidR="00A51FF1">
        <w:rPr>
          <w:rFonts w:ascii="Georgia" w:hAnsi="Georgia"/>
          <w:lang w:eastAsia="en-GB"/>
        </w:rPr>
        <w:t xml:space="preserve">the First Respondent was the person having control/managing the Property for the </w:t>
      </w:r>
      <w:r w:rsidR="00CD6A7B">
        <w:rPr>
          <w:rFonts w:ascii="Georgia" w:hAnsi="Georgia"/>
          <w:lang w:eastAsia="en-GB"/>
        </w:rPr>
        <w:t xml:space="preserve">period 10 </w:t>
      </w:r>
      <w:r w:rsidR="00D26D7B">
        <w:rPr>
          <w:rFonts w:ascii="Georgia" w:hAnsi="Georgia"/>
          <w:lang w:eastAsia="en-GB"/>
        </w:rPr>
        <w:t>January</w:t>
      </w:r>
      <w:r w:rsidR="00CD6A7B">
        <w:rPr>
          <w:rFonts w:ascii="Georgia" w:hAnsi="Georgia"/>
          <w:lang w:eastAsia="en-GB"/>
        </w:rPr>
        <w:t xml:space="preserve"> to 16 May 2023 and the Second </w:t>
      </w:r>
      <w:r w:rsidR="00D26D7B">
        <w:rPr>
          <w:rFonts w:ascii="Georgia" w:hAnsi="Georgia"/>
          <w:lang w:eastAsia="en-GB"/>
        </w:rPr>
        <w:t>R</w:t>
      </w:r>
      <w:r w:rsidR="00CD6A7B">
        <w:rPr>
          <w:rFonts w:ascii="Georgia" w:hAnsi="Georgia"/>
          <w:lang w:eastAsia="en-GB"/>
        </w:rPr>
        <w:t xml:space="preserve">espondent was the person having control/managing the Property for the period 16 May 2023 until the </w:t>
      </w:r>
      <w:r w:rsidR="00D26D7B">
        <w:rPr>
          <w:rFonts w:ascii="Georgia" w:hAnsi="Georgia"/>
          <w:lang w:eastAsia="en-GB"/>
        </w:rPr>
        <w:t>tenancy</w:t>
      </w:r>
      <w:r w:rsidR="00CD6A7B">
        <w:rPr>
          <w:rFonts w:ascii="Georgia" w:hAnsi="Georgia"/>
          <w:lang w:eastAsia="en-GB"/>
        </w:rPr>
        <w:t xml:space="preserve"> ended on 1 August 2023.</w:t>
      </w:r>
    </w:p>
    <w:p w14:paraId="43192230" w14:textId="77777777" w:rsidR="00484CC0" w:rsidRPr="00505BAA" w:rsidRDefault="00484CC0" w:rsidP="00CD6A7B">
      <w:pPr>
        <w:pStyle w:val="ListParagraph"/>
        <w:ind w:left="0"/>
        <w:rPr>
          <w:rFonts w:cs="Arial"/>
          <w:color w:val="3D3D3D"/>
        </w:rPr>
      </w:pPr>
    </w:p>
    <w:p w14:paraId="0777F3B7" w14:textId="0D5F47A1" w:rsidR="00484CC0" w:rsidRDefault="00C86842" w:rsidP="00484CC0">
      <w:pPr>
        <w:shd w:val="clear" w:color="auto" w:fill="FFFFFF"/>
        <w:spacing w:line="360" w:lineRule="auto"/>
        <w:jc w:val="both"/>
        <w:textAlignment w:val="baseline"/>
        <w:rPr>
          <w:rFonts w:ascii="Georgia" w:hAnsi="Georgia" w:cs="Arial"/>
          <w:b/>
          <w:bCs/>
          <w:color w:val="3D3D3D"/>
          <w:lang w:eastAsia="en-GB"/>
        </w:rPr>
      </w:pPr>
      <w:r w:rsidRPr="00C86842">
        <w:rPr>
          <w:rFonts w:ascii="Georgia" w:hAnsi="Georgia" w:cs="Arial"/>
          <w:b/>
          <w:bCs/>
          <w:color w:val="3D3D3D"/>
          <w:lang w:eastAsia="en-GB"/>
        </w:rPr>
        <w:t>Relevant Period and Rent Paid</w:t>
      </w:r>
    </w:p>
    <w:p w14:paraId="2E19A66A" w14:textId="77777777" w:rsidR="00C86842" w:rsidRPr="00C86842" w:rsidRDefault="00C86842" w:rsidP="00484CC0">
      <w:pPr>
        <w:shd w:val="clear" w:color="auto" w:fill="FFFFFF"/>
        <w:spacing w:line="360" w:lineRule="auto"/>
        <w:jc w:val="both"/>
        <w:textAlignment w:val="baseline"/>
        <w:rPr>
          <w:rFonts w:ascii="Georgia" w:hAnsi="Georgia" w:cs="Arial"/>
          <w:b/>
          <w:bCs/>
          <w:color w:val="3D3D3D"/>
          <w:lang w:eastAsia="en-GB"/>
        </w:rPr>
      </w:pPr>
    </w:p>
    <w:p w14:paraId="70F18B2A" w14:textId="64A41C66" w:rsidR="00484CC0" w:rsidRDefault="00F52AA6" w:rsidP="004C2284">
      <w:pPr>
        <w:pStyle w:val="Default"/>
        <w:numPr>
          <w:ilvl w:val="0"/>
          <w:numId w:val="20"/>
        </w:numPr>
        <w:spacing w:after="250" w:line="360" w:lineRule="auto"/>
        <w:ind w:hanging="720"/>
        <w:jc w:val="both"/>
      </w:pPr>
      <w:r>
        <w:t>The Applicants provided bank statements showing the rent payments they had made</w:t>
      </w:r>
      <w:r w:rsidR="003A7463">
        <w:t xml:space="preserve"> (</w:t>
      </w:r>
      <w:r w:rsidR="008945C7">
        <w:t xml:space="preserve">pages 302 to </w:t>
      </w:r>
      <w:r w:rsidR="005F6757">
        <w:t>359 of the bundle</w:t>
      </w:r>
      <w:r w:rsidR="003A7463">
        <w:t>)</w:t>
      </w:r>
      <w:r w:rsidR="005F6757">
        <w:t>.</w:t>
      </w:r>
      <w:r w:rsidR="003D4375">
        <w:t xml:space="preserve">  </w:t>
      </w:r>
      <w:r w:rsidR="007D32D8">
        <w:t xml:space="preserve">The Applicants confirmed to the Tribunal that they made </w:t>
      </w:r>
      <w:r w:rsidR="00692781">
        <w:t>four rent payments of £1,700 per month</w:t>
      </w:r>
      <w:r w:rsidR="005F6757">
        <w:t xml:space="preserve"> </w:t>
      </w:r>
      <w:r w:rsidR="00FD483B">
        <w:t>for the period of 10 January 2023</w:t>
      </w:r>
      <w:r w:rsidR="007D1C78">
        <w:t xml:space="preserve"> to 9 May 2023</w:t>
      </w:r>
      <w:r w:rsidR="00F26A39">
        <w:t xml:space="preserve">.  Rent of £1,700 was paid to the First Respondent for the period </w:t>
      </w:r>
      <w:r w:rsidR="00CA6DD7">
        <w:t>10 May 2023 until 9 June 2023</w:t>
      </w:r>
      <w:r w:rsidR="00875C3B">
        <w:t>;</w:t>
      </w:r>
      <w:r w:rsidR="00CA6DD7">
        <w:t xml:space="preserve"> however</w:t>
      </w:r>
      <w:r w:rsidR="00875C3B">
        <w:t>,</w:t>
      </w:r>
      <w:r w:rsidR="00CA6DD7">
        <w:t xml:space="preserve"> it </w:t>
      </w:r>
      <w:r w:rsidR="00D61128">
        <w:t xml:space="preserve">had been </w:t>
      </w:r>
      <w:r w:rsidR="003A7463">
        <w:t xml:space="preserve">on 16 May 2023 </w:t>
      </w:r>
      <w:r w:rsidR="00CA6DD7">
        <w:t xml:space="preserve">that the Second Respondent </w:t>
      </w:r>
      <w:r w:rsidR="00D61128">
        <w:t>had become</w:t>
      </w:r>
      <w:r w:rsidR="00CA6DD7">
        <w:t xml:space="preserve"> the </w:t>
      </w:r>
      <w:r w:rsidR="00015F1A">
        <w:t>person having control/managing the Property.  Therefore</w:t>
      </w:r>
      <w:r w:rsidR="005967BC">
        <w:t>,</w:t>
      </w:r>
      <w:r w:rsidR="00015F1A">
        <w:t xml:space="preserve"> on 31 May 202</w:t>
      </w:r>
      <w:r w:rsidR="00A36269">
        <w:t xml:space="preserve">3, the First Respondent </w:t>
      </w:r>
      <w:r w:rsidR="00B12C41">
        <w:t xml:space="preserve">had </w:t>
      </w:r>
      <w:r w:rsidR="00A36269">
        <w:t xml:space="preserve">refunded the Applicants </w:t>
      </w:r>
      <w:r w:rsidR="0007172F">
        <w:t xml:space="preserve">for the period 16 May 2023 to 9 June 2023.  This meant that the Applicants </w:t>
      </w:r>
      <w:r w:rsidR="00B12C41">
        <w:t xml:space="preserve">had </w:t>
      </w:r>
      <w:r w:rsidR="0007172F">
        <w:t>paid £</w:t>
      </w:r>
      <w:r w:rsidR="00B5727C">
        <w:t xml:space="preserve">302.74 to the </w:t>
      </w:r>
      <w:r w:rsidR="005967BC">
        <w:t>F</w:t>
      </w:r>
      <w:r w:rsidR="00B5727C">
        <w:t xml:space="preserve">irst Respondent for the period 10 May 2023 until </w:t>
      </w:r>
      <w:r w:rsidR="005B12FA">
        <w:t xml:space="preserve">15 May 2023.  The total rent paid to the First Respondent for the period 10 </w:t>
      </w:r>
      <w:r w:rsidR="00390713">
        <w:t>J</w:t>
      </w:r>
      <w:r w:rsidR="005B12FA">
        <w:t xml:space="preserve">anuary 2023 until 15 May 2023 </w:t>
      </w:r>
      <w:r w:rsidR="00B12C41">
        <w:t>had</w:t>
      </w:r>
      <w:r w:rsidR="005B12FA">
        <w:t xml:space="preserve"> therefore </w:t>
      </w:r>
      <w:r w:rsidR="00B12C41">
        <w:t xml:space="preserve">been </w:t>
      </w:r>
      <w:r w:rsidR="001501F6">
        <w:t>£7</w:t>
      </w:r>
      <w:r w:rsidR="0082224C">
        <w:t>,102</w:t>
      </w:r>
      <w:r w:rsidR="00390713">
        <w:t>.74.</w:t>
      </w:r>
      <w:r w:rsidR="005F6757">
        <w:t xml:space="preserve"> </w:t>
      </w:r>
    </w:p>
    <w:p w14:paraId="2A141CEB" w14:textId="3F2BEF15" w:rsidR="00390713" w:rsidRDefault="00390713" w:rsidP="004C2284">
      <w:pPr>
        <w:pStyle w:val="Default"/>
        <w:numPr>
          <w:ilvl w:val="0"/>
          <w:numId w:val="20"/>
        </w:numPr>
        <w:spacing w:after="250" w:line="360" w:lineRule="auto"/>
        <w:ind w:hanging="578"/>
        <w:jc w:val="both"/>
      </w:pPr>
      <w:r>
        <w:t>Regarding the rent paid to the Second Respondent, it was the Applicants</w:t>
      </w:r>
      <w:r w:rsidR="00B12C41">
        <w:t>’</w:t>
      </w:r>
      <w:r>
        <w:t xml:space="preserve"> evidence that they paid £1,700 for the </w:t>
      </w:r>
      <w:r w:rsidR="00812B2B">
        <w:t xml:space="preserve">period 10 June 2023 until 9 July 2023.  </w:t>
      </w:r>
    </w:p>
    <w:p w14:paraId="28E9C39B" w14:textId="578E434B" w:rsidR="00205330" w:rsidRDefault="00205330" w:rsidP="004C2284">
      <w:pPr>
        <w:pStyle w:val="Default"/>
        <w:numPr>
          <w:ilvl w:val="0"/>
          <w:numId w:val="20"/>
        </w:numPr>
        <w:spacing w:after="250" w:line="360" w:lineRule="auto"/>
        <w:ind w:hanging="578"/>
        <w:jc w:val="both"/>
      </w:pPr>
      <w:r>
        <w:t xml:space="preserve">The Applicants confirmed that they were not in receipt of a housing element of universal credit or Housing Benefit. </w:t>
      </w:r>
    </w:p>
    <w:p w14:paraId="7CD888E3" w14:textId="2814B684" w:rsidR="00812B2B" w:rsidRDefault="00812B2B" w:rsidP="004C2284">
      <w:pPr>
        <w:pStyle w:val="Default"/>
        <w:numPr>
          <w:ilvl w:val="0"/>
          <w:numId w:val="20"/>
        </w:numPr>
        <w:spacing w:after="250" w:line="360" w:lineRule="auto"/>
        <w:ind w:hanging="578"/>
        <w:jc w:val="both"/>
      </w:pPr>
      <w:r>
        <w:t xml:space="preserve">The Applicants </w:t>
      </w:r>
      <w:r w:rsidR="00945C7C">
        <w:t>made an oral application at the hearing to include</w:t>
      </w:r>
      <w:r w:rsidR="005865C6">
        <w:t xml:space="preserve"> an addition</w:t>
      </w:r>
      <w:r w:rsidR="005050F8">
        <w:t>al</w:t>
      </w:r>
      <w:r w:rsidR="005865C6">
        <w:t xml:space="preserve"> amount of £1,700 for </w:t>
      </w:r>
      <w:r w:rsidR="00945C7C">
        <w:t xml:space="preserve">the period 10 July 2023 </w:t>
      </w:r>
      <w:r w:rsidR="00605461">
        <w:t xml:space="preserve">until 1 August 2023.  The Applicants made this application on the basis that </w:t>
      </w:r>
      <w:r w:rsidR="002C54D2">
        <w:t xml:space="preserve">they </w:t>
      </w:r>
      <w:r w:rsidR="00B96840">
        <w:t xml:space="preserve">had </w:t>
      </w:r>
      <w:r w:rsidR="00036184">
        <w:t xml:space="preserve">agreed to leave the Property on 1 August in lieu of </w:t>
      </w:r>
      <w:r w:rsidR="008459E6">
        <w:t>one month</w:t>
      </w:r>
      <w:r w:rsidR="001E0679">
        <w:t>’</w:t>
      </w:r>
      <w:r w:rsidR="008459E6">
        <w:t>s rent.</w:t>
      </w:r>
    </w:p>
    <w:p w14:paraId="5F606C7B" w14:textId="77777777" w:rsidR="004C2284" w:rsidRDefault="004C2284" w:rsidP="004C2284">
      <w:pPr>
        <w:shd w:val="clear" w:color="auto" w:fill="FFFFFF"/>
        <w:spacing w:line="360" w:lineRule="auto"/>
        <w:jc w:val="both"/>
        <w:textAlignment w:val="baseline"/>
        <w:rPr>
          <w:rFonts w:ascii="Georgia" w:hAnsi="Georgia" w:cs="Arial"/>
          <w:b/>
          <w:bCs/>
          <w:color w:val="3D3D3D"/>
          <w:lang w:eastAsia="en-GB"/>
        </w:rPr>
      </w:pPr>
      <w:r w:rsidRPr="00C86842">
        <w:rPr>
          <w:rFonts w:ascii="Georgia" w:hAnsi="Georgia"/>
          <w:b/>
          <w:bCs/>
        </w:rPr>
        <w:t xml:space="preserve">Tribunal Findings - </w:t>
      </w:r>
      <w:r w:rsidRPr="00C86842">
        <w:rPr>
          <w:rFonts w:ascii="Georgia" w:hAnsi="Georgia" w:cs="Arial"/>
          <w:b/>
          <w:bCs/>
          <w:color w:val="3D3D3D"/>
          <w:lang w:eastAsia="en-GB"/>
        </w:rPr>
        <w:t>Relevant Period and Rent Paid</w:t>
      </w:r>
    </w:p>
    <w:p w14:paraId="054F849F" w14:textId="0832A2D4" w:rsidR="004C2284" w:rsidRDefault="004C2284" w:rsidP="004C2284">
      <w:pPr>
        <w:pStyle w:val="Default"/>
        <w:spacing w:after="250" w:line="360" w:lineRule="auto"/>
        <w:ind w:left="142"/>
        <w:jc w:val="both"/>
      </w:pPr>
    </w:p>
    <w:p w14:paraId="7502FAAA" w14:textId="49AF6BA2" w:rsidR="00AA58BF" w:rsidRPr="004C2284" w:rsidRDefault="00656E3E" w:rsidP="004C2284">
      <w:pPr>
        <w:pStyle w:val="Default"/>
        <w:numPr>
          <w:ilvl w:val="0"/>
          <w:numId w:val="20"/>
        </w:numPr>
        <w:spacing w:after="250" w:line="360" w:lineRule="auto"/>
        <w:ind w:hanging="578"/>
        <w:jc w:val="both"/>
      </w:pPr>
      <w:r w:rsidRPr="004C2284">
        <w:rPr>
          <w:rFonts w:cs="Arial"/>
          <w:color w:val="3D3D3D"/>
        </w:rPr>
        <w:t xml:space="preserve">The Applicants are entitled to recover </w:t>
      </w:r>
      <w:r w:rsidR="001349DA" w:rsidRPr="004C2284">
        <w:rPr>
          <w:rFonts w:cs="Arial"/>
          <w:color w:val="3D3D3D"/>
        </w:rPr>
        <w:t xml:space="preserve">any rent paid in any 12 months during which the offence was committed.  </w:t>
      </w:r>
    </w:p>
    <w:p w14:paraId="26C0476C" w14:textId="3DB57FC6" w:rsidR="004832FF" w:rsidRPr="004C2284" w:rsidRDefault="005B32D6" w:rsidP="004C2284">
      <w:pPr>
        <w:pStyle w:val="Default"/>
        <w:numPr>
          <w:ilvl w:val="0"/>
          <w:numId w:val="20"/>
        </w:numPr>
        <w:spacing w:after="250" w:line="360" w:lineRule="auto"/>
        <w:ind w:hanging="578"/>
        <w:jc w:val="both"/>
      </w:pPr>
      <w:r w:rsidRPr="004C2284">
        <w:rPr>
          <w:rFonts w:cs="Arial"/>
          <w:color w:val="3D3D3D"/>
        </w:rPr>
        <w:t xml:space="preserve">Whilst the Tribunal accepts that the Applicants remained in occupation until 1 August 2023 and that </w:t>
      </w:r>
      <w:r w:rsidR="004D2832" w:rsidRPr="004C2284">
        <w:rPr>
          <w:rFonts w:cs="Arial"/>
          <w:color w:val="3D3D3D"/>
        </w:rPr>
        <w:t>this was in lieu of rent being paid, t</w:t>
      </w:r>
      <w:r w:rsidR="00E948E7" w:rsidRPr="004C2284">
        <w:rPr>
          <w:rFonts w:cs="Arial"/>
          <w:color w:val="3D3D3D"/>
        </w:rPr>
        <w:t xml:space="preserve">he Tribunal finds that it would not be appropriate </w:t>
      </w:r>
      <w:r w:rsidR="00541E56" w:rsidRPr="004C2284">
        <w:rPr>
          <w:rFonts w:cs="Arial"/>
          <w:color w:val="3D3D3D"/>
        </w:rPr>
        <w:t xml:space="preserve">to allow an amendment </w:t>
      </w:r>
      <w:r w:rsidR="00541E56" w:rsidRPr="004C2284">
        <w:rPr>
          <w:rFonts w:cs="Arial"/>
          <w:color w:val="3D3D3D"/>
        </w:rPr>
        <w:lastRenderedPageBreak/>
        <w:t xml:space="preserve">to the application at this late stage.  </w:t>
      </w:r>
      <w:r w:rsidR="001F7D3A" w:rsidRPr="004C2284">
        <w:rPr>
          <w:rFonts w:cs="Arial"/>
          <w:color w:val="3D3D3D"/>
        </w:rPr>
        <w:t xml:space="preserve">The reason for this is that the application </w:t>
      </w:r>
      <w:r w:rsidR="00621238" w:rsidRPr="004C2284">
        <w:rPr>
          <w:rFonts w:cs="Arial"/>
          <w:color w:val="3D3D3D"/>
        </w:rPr>
        <w:t xml:space="preserve">made by the Applicants was brought on the basis of rent paid for the period 16 May 2023 to </w:t>
      </w:r>
      <w:r w:rsidR="00DE691B" w:rsidRPr="004C2284">
        <w:rPr>
          <w:rFonts w:cs="Arial"/>
          <w:color w:val="3D3D3D"/>
        </w:rPr>
        <w:t>9</w:t>
      </w:r>
      <w:r w:rsidR="00621238" w:rsidRPr="004C2284">
        <w:rPr>
          <w:rFonts w:cs="Arial"/>
          <w:color w:val="3D3D3D"/>
        </w:rPr>
        <w:t xml:space="preserve"> July 2023.   </w:t>
      </w:r>
      <w:r w:rsidR="00F01FCF" w:rsidRPr="004C2284">
        <w:rPr>
          <w:rFonts w:cs="Arial"/>
          <w:color w:val="3D3D3D"/>
        </w:rPr>
        <w:t xml:space="preserve">Whilst the Tribunal acknowledges that the Respondents have not engaged in the Tribunal proceedings, </w:t>
      </w:r>
      <w:r w:rsidR="002431E2" w:rsidRPr="004C2284">
        <w:rPr>
          <w:rFonts w:cs="Arial"/>
          <w:color w:val="3D3D3D"/>
        </w:rPr>
        <w:t xml:space="preserve">they were not given notice of this amendment </w:t>
      </w:r>
      <w:r w:rsidR="00D17E11" w:rsidRPr="004C2284">
        <w:rPr>
          <w:rFonts w:cs="Arial"/>
          <w:color w:val="3D3D3D"/>
        </w:rPr>
        <w:t xml:space="preserve">in advance of the hearing and </w:t>
      </w:r>
      <w:r w:rsidR="000D7A79" w:rsidRPr="004C2284">
        <w:rPr>
          <w:rFonts w:cs="Arial"/>
          <w:color w:val="3D3D3D"/>
        </w:rPr>
        <w:t xml:space="preserve">therefore have not had the chance to comment on it. </w:t>
      </w:r>
      <w:r w:rsidR="00DE5544" w:rsidRPr="004C2284">
        <w:rPr>
          <w:rFonts w:cs="Arial"/>
          <w:color w:val="3D3D3D"/>
        </w:rPr>
        <w:t xml:space="preserve">The Tribunal therefore finds that to allow the </w:t>
      </w:r>
      <w:r w:rsidR="006E4848" w:rsidRPr="004C2284">
        <w:rPr>
          <w:rFonts w:cs="Arial"/>
          <w:color w:val="3D3D3D"/>
        </w:rPr>
        <w:t>Applicants to amend their claim period to include an additional months</w:t>
      </w:r>
      <w:r w:rsidR="00D33E4F" w:rsidRPr="004C2284">
        <w:rPr>
          <w:rFonts w:cs="Arial"/>
          <w:color w:val="3D3D3D"/>
        </w:rPr>
        <w:t>’</w:t>
      </w:r>
      <w:r w:rsidR="006E4848" w:rsidRPr="004C2284">
        <w:rPr>
          <w:rFonts w:cs="Arial"/>
          <w:color w:val="3D3D3D"/>
        </w:rPr>
        <w:t xml:space="preserve"> rent would not be </w:t>
      </w:r>
      <w:r w:rsidR="004832FF" w:rsidRPr="004C2284">
        <w:rPr>
          <w:rFonts w:cs="Arial"/>
          <w:color w:val="3D3D3D"/>
        </w:rPr>
        <w:t xml:space="preserve">in the interest of justice.  </w:t>
      </w:r>
    </w:p>
    <w:p w14:paraId="30821F9E" w14:textId="626427B4" w:rsidR="004832FF" w:rsidRPr="004C2284" w:rsidRDefault="004832FF" w:rsidP="004C2284">
      <w:pPr>
        <w:pStyle w:val="Default"/>
        <w:numPr>
          <w:ilvl w:val="0"/>
          <w:numId w:val="20"/>
        </w:numPr>
        <w:spacing w:after="250" w:line="360" w:lineRule="auto"/>
        <w:ind w:hanging="578"/>
        <w:jc w:val="both"/>
      </w:pPr>
      <w:r w:rsidRPr="004C2284">
        <w:rPr>
          <w:rFonts w:cs="Arial"/>
          <w:color w:val="3D3D3D"/>
        </w:rPr>
        <w:t xml:space="preserve">The Tribunal therefore determines that the </w:t>
      </w:r>
      <w:r w:rsidR="00DE691B" w:rsidRPr="004C2284">
        <w:rPr>
          <w:rFonts w:cs="Arial"/>
          <w:color w:val="3D3D3D"/>
        </w:rPr>
        <w:t>relevant</w:t>
      </w:r>
      <w:r w:rsidR="00E1354D" w:rsidRPr="004C2284">
        <w:rPr>
          <w:rFonts w:cs="Arial"/>
          <w:color w:val="3D3D3D"/>
        </w:rPr>
        <w:t xml:space="preserve"> period and </w:t>
      </w:r>
      <w:r w:rsidRPr="004C2284">
        <w:rPr>
          <w:rFonts w:cs="Arial"/>
          <w:color w:val="3D3D3D"/>
        </w:rPr>
        <w:t>maximum amount of rent is as follows:</w:t>
      </w:r>
    </w:p>
    <w:p w14:paraId="0AE65BC1" w14:textId="77777777" w:rsidR="004D2F7E" w:rsidRPr="00E1354D" w:rsidRDefault="004D2F7E" w:rsidP="004D2F7E">
      <w:pPr>
        <w:shd w:val="clear" w:color="auto" w:fill="FFFFFF"/>
        <w:spacing w:line="360" w:lineRule="auto"/>
        <w:ind w:left="720"/>
        <w:jc w:val="both"/>
        <w:textAlignment w:val="baseline"/>
        <w:rPr>
          <w:rFonts w:ascii="Georgia" w:hAnsi="Georgia" w:cs="Arial"/>
          <w:b/>
          <w:bCs/>
          <w:color w:val="3D3D3D"/>
          <w:lang w:eastAsia="en-G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209"/>
        <w:gridCol w:w="2282"/>
      </w:tblGrid>
      <w:tr w:rsidR="00100D4C" w14:paraId="5D390A30" w14:textId="77777777">
        <w:tc>
          <w:tcPr>
            <w:tcW w:w="2435" w:type="dxa"/>
            <w:shd w:val="clear" w:color="auto" w:fill="auto"/>
          </w:tcPr>
          <w:p w14:paraId="6B7A9261" w14:textId="3BC98B27" w:rsidR="004C5E1B" w:rsidRDefault="004D2F7E">
            <w:pPr>
              <w:spacing w:line="360" w:lineRule="auto"/>
              <w:jc w:val="both"/>
              <w:textAlignment w:val="baseline"/>
              <w:rPr>
                <w:rFonts w:ascii="Georgia" w:hAnsi="Georgia" w:cs="Arial"/>
                <w:b/>
                <w:bCs/>
                <w:color w:val="3D3D3D"/>
                <w:lang w:eastAsia="en-GB"/>
              </w:rPr>
            </w:pPr>
            <w:r>
              <w:rPr>
                <w:rFonts w:ascii="Georgia" w:hAnsi="Georgia" w:cs="Arial"/>
                <w:b/>
                <w:bCs/>
                <w:color w:val="3D3D3D"/>
                <w:lang w:eastAsia="en-GB"/>
              </w:rPr>
              <w:t>Respondent</w:t>
            </w:r>
          </w:p>
        </w:tc>
        <w:tc>
          <w:tcPr>
            <w:tcW w:w="2295" w:type="dxa"/>
            <w:shd w:val="clear" w:color="auto" w:fill="auto"/>
          </w:tcPr>
          <w:p w14:paraId="584E83C8" w14:textId="3A6066F0" w:rsidR="004C5E1B" w:rsidRDefault="002A200A">
            <w:pPr>
              <w:spacing w:line="360" w:lineRule="auto"/>
              <w:jc w:val="both"/>
              <w:textAlignment w:val="baseline"/>
              <w:rPr>
                <w:rFonts w:ascii="Georgia" w:hAnsi="Georgia" w:cs="Arial"/>
                <w:b/>
                <w:bCs/>
                <w:color w:val="3D3D3D"/>
                <w:lang w:eastAsia="en-GB"/>
              </w:rPr>
            </w:pPr>
            <w:r>
              <w:rPr>
                <w:rFonts w:ascii="Georgia" w:hAnsi="Georgia" w:cs="Arial"/>
                <w:b/>
                <w:bCs/>
                <w:color w:val="3D3D3D"/>
                <w:lang w:eastAsia="en-GB"/>
              </w:rPr>
              <w:t>Relevant Period</w:t>
            </w:r>
          </w:p>
        </w:tc>
        <w:tc>
          <w:tcPr>
            <w:tcW w:w="2358" w:type="dxa"/>
            <w:shd w:val="clear" w:color="auto" w:fill="auto"/>
          </w:tcPr>
          <w:p w14:paraId="572262E7" w14:textId="60ED8F6F" w:rsidR="004C5E1B" w:rsidRDefault="002A200A">
            <w:pPr>
              <w:spacing w:line="360" w:lineRule="auto"/>
              <w:jc w:val="both"/>
              <w:textAlignment w:val="baseline"/>
              <w:rPr>
                <w:rFonts w:ascii="Georgia" w:hAnsi="Georgia" w:cs="Arial"/>
                <w:b/>
                <w:bCs/>
                <w:color w:val="3D3D3D"/>
                <w:lang w:eastAsia="en-GB"/>
              </w:rPr>
            </w:pPr>
            <w:r>
              <w:rPr>
                <w:rFonts w:ascii="Georgia" w:hAnsi="Georgia" w:cs="Arial"/>
                <w:b/>
                <w:bCs/>
                <w:color w:val="3D3D3D"/>
                <w:lang w:eastAsia="en-GB"/>
              </w:rPr>
              <w:t>Maximum Amount of Rent</w:t>
            </w:r>
          </w:p>
        </w:tc>
      </w:tr>
      <w:tr w:rsidR="00100D4C" w14:paraId="5DDBE3D0" w14:textId="77777777">
        <w:tc>
          <w:tcPr>
            <w:tcW w:w="2435" w:type="dxa"/>
            <w:shd w:val="clear" w:color="auto" w:fill="auto"/>
          </w:tcPr>
          <w:p w14:paraId="7048BE35" w14:textId="51ED3293" w:rsidR="004C5E1B" w:rsidRDefault="003E6787">
            <w:pPr>
              <w:spacing w:line="360" w:lineRule="auto"/>
              <w:jc w:val="both"/>
              <w:textAlignment w:val="baseline"/>
              <w:rPr>
                <w:rFonts w:ascii="Georgia" w:hAnsi="Georgia" w:cs="Arial"/>
                <w:color w:val="3D3D3D"/>
                <w:lang w:eastAsia="en-GB"/>
              </w:rPr>
            </w:pPr>
            <w:r>
              <w:rPr>
                <w:rFonts w:ascii="Georgia" w:hAnsi="Georgia" w:cs="Arial"/>
                <w:color w:val="3D3D3D"/>
                <w:lang w:eastAsia="en-GB"/>
              </w:rPr>
              <w:t>Ladbrokes Betting &amp; Gaming</w:t>
            </w:r>
          </w:p>
        </w:tc>
        <w:tc>
          <w:tcPr>
            <w:tcW w:w="2295" w:type="dxa"/>
            <w:shd w:val="clear" w:color="auto" w:fill="auto"/>
          </w:tcPr>
          <w:p w14:paraId="31B5F13D" w14:textId="61FDB2BB" w:rsidR="004C5E1B" w:rsidRDefault="00487D35">
            <w:pPr>
              <w:spacing w:line="360" w:lineRule="auto"/>
              <w:jc w:val="both"/>
              <w:textAlignment w:val="baseline"/>
              <w:rPr>
                <w:rFonts w:ascii="Georgia" w:hAnsi="Georgia" w:cs="Arial"/>
                <w:color w:val="3D3D3D"/>
                <w:lang w:eastAsia="en-GB"/>
              </w:rPr>
            </w:pPr>
            <w:r>
              <w:rPr>
                <w:rFonts w:ascii="Georgia" w:hAnsi="Georgia" w:cs="Arial"/>
                <w:color w:val="3D3D3D"/>
                <w:lang w:eastAsia="en-GB"/>
              </w:rPr>
              <w:t>10 January 2023 until 15 May 2023</w:t>
            </w:r>
          </w:p>
        </w:tc>
        <w:tc>
          <w:tcPr>
            <w:tcW w:w="2358" w:type="dxa"/>
            <w:shd w:val="clear" w:color="auto" w:fill="auto"/>
          </w:tcPr>
          <w:p w14:paraId="2BF47FE9" w14:textId="15EC35AD" w:rsidR="004C5E1B" w:rsidRDefault="00487D35">
            <w:pPr>
              <w:spacing w:line="360" w:lineRule="auto"/>
              <w:jc w:val="both"/>
              <w:textAlignment w:val="baseline"/>
              <w:rPr>
                <w:rFonts w:ascii="Georgia" w:hAnsi="Georgia" w:cs="Arial"/>
                <w:color w:val="3D3D3D"/>
                <w:lang w:eastAsia="en-GB"/>
              </w:rPr>
            </w:pPr>
            <w:r>
              <w:rPr>
                <w:rFonts w:ascii="Georgia" w:hAnsi="Georgia" w:cs="Arial"/>
                <w:color w:val="3D3D3D"/>
                <w:lang w:eastAsia="en-GB"/>
              </w:rPr>
              <w:t>£</w:t>
            </w:r>
            <w:r w:rsidR="004D2F7E">
              <w:rPr>
                <w:rFonts w:ascii="Georgia" w:hAnsi="Georgia" w:cs="Arial"/>
                <w:color w:val="3D3D3D"/>
                <w:lang w:eastAsia="en-GB"/>
              </w:rPr>
              <w:t>7,102.74</w:t>
            </w:r>
          </w:p>
        </w:tc>
      </w:tr>
      <w:tr w:rsidR="00100D4C" w14:paraId="43B5F5DA" w14:textId="77777777">
        <w:tc>
          <w:tcPr>
            <w:tcW w:w="2435" w:type="dxa"/>
            <w:shd w:val="clear" w:color="auto" w:fill="auto"/>
          </w:tcPr>
          <w:p w14:paraId="57BF780E" w14:textId="622D6D47" w:rsidR="004C5E1B" w:rsidRDefault="003E6787">
            <w:pPr>
              <w:spacing w:line="360" w:lineRule="auto"/>
              <w:jc w:val="both"/>
              <w:textAlignment w:val="baseline"/>
              <w:rPr>
                <w:rFonts w:ascii="Georgia" w:hAnsi="Georgia" w:cs="Arial"/>
                <w:color w:val="3D3D3D"/>
                <w:lang w:eastAsia="en-GB"/>
              </w:rPr>
            </w:pPr>
            <w:r>
              <w:rPr>
                <w:rFonts w:ascii="Georgia" w:hAnsi="Georgia" w:cs="Arial"/>
                <w:color w:val="3D3D3D"/>
                <w:lang w:eastAsia="en-GB"/>
              </w:rPr>
              <w:t>Zakir Mumtaz</w:t>
            </w:r>
          </w:p>
        </w:tc>
        <w:tc>
          <w:tcPr>
            <w:tcW w:w="2295" w:type="dxa"/>
            <w:shd w:val="clear" w:color="auto" w:fill="auto"/>
          </w:tcPr>
          <w:p w14:paraId="676D9497" w14:textId="008A84FF" w:rsidR="004C5E1B" w:rsidRDefault="004D2F7E">
            <w:pPr>
              <w:spacing w:line="360" w:lineRule="auto"/>
              <w:jc w:val="both"/>
              <w:textAlignment w:val="baseline"/>
              <w:rPr>
                <w:rFonts w:ascii="Georgia" w:hAnsi="Georgia" w:cs="Arial"/>
                <w:color w:val="3D3D3D"/>
                <w:lang w:eastAsia="en-GB"/>
              </w:rPr>
            </w:pPr>
            <w:r>
              <w:rPr>
                <w:rFonts w:ascii="Georgia" w:hAnsi="Georgia" w:cs="Arial"/>
                <w:color w:val="3D3D3D"/>
                <w:lang w:eastAsia="en-GB"/>
              </w:rPr>
              <w:t>10 June 2023 until 9 July 2023</w:t>
            </w:r>
          </w:p>
        </w:tc>
        <w:tc>
          <w:tcPr>
            <w:tcW w:w="2358" w:type="dxa"/>
            <w:shd w:val="clear" w:color="auto" w:fill="auto"/>
          </w:tcPr>
          <w:p w14:paraId="71EA4715" w14:textId="0D835812" w:rsidR="004C5E1B" w:rsidRDefault="004D2F7E">
            <w:pPr>
              <w:spacing w:line="360" w:lineRule="auto"/>
              <w:jc w:val="both"/>
              <w:textAlignment w:val="baseline"/>
              <w:rPr>
                <w:rFonts w:ascii="Georgia" w:hAnsi="Georgia" w:cs="Arial"/>
                <w:color w:val="3D3D3D"/>
                <w:lang w:eastAsia="en-GB"/>
              </w:rPr>
            </w:pPr>
            <w:r>
              <w:rPr>
                <w:rFonts w:ascii="Georgia" w:hAnsi="Georgia" w:cs="Arial"/>
                <w:color w:val="3D3D3D"/>
                <w:lang w:eastAsia="en-GB"/>
              </w:rPr>
              <w:t>£1,700</w:t>
            </w:r>
          </w:p>
        </w:tc>
      </w:tr>
    </w:tbl>
    <w:p w14:paraId="64D6441E" w14:textId="6C405709" w:rsidR="00E1354D" w:rsidRPr="00E1354D" w:rsidRDefault="00E1354D" w:rsidP="00E1354D">
      <w:pPr>
        <w:shd w:val="clear" w:color="auto" w:fill="FFFFFF"/>
        <w:spacing w:line="360" w:lineRule="auto"/>
        <w:ind w:left="1440"/>
        <w:jc w:val="both"/>
        <w:textAlignment w:val="baseline"/>
        <w:rPr>
          <w:rFonts w:ascii="Georgia" w:hAnsi="Georgia" w:cs="Arial"/>
          <w:b/>
          <w:bCs/>
          <w:color w:val="3D3D3D"/>
          <w:lang w:eastAsia="en-GB"/>
        </w:rPr>
      </w:pPr>
    </w:p>
    <w:p w14:paraId="553515B6" w14:textId="6CBE6981" w:rsidR="00484CC0" w:rsidRPr="00631ED3" w:rsidRDefault="00484CC0" w:rsidP="00631ED3">
      <w:pPr>
        <w:shd w:val="clear" w:color="auto" w:fill="FFFFFF"/>
        <w:spacing w:line="360" w:lineRule="auto"/>
        <w:ind w:left="720"/>
        <w:jc w:val="both"/>
        <w:textAlignment w:val="baseline"/>
        <w:rPr>
          <w:rFonts w:ascii="Georgia" w:hAnsi="Georgia" w:cs="Arial"/>
          <w:b/>
          <w:bCs/>
          <w:color w:val="3D3D3D"/>
          <w:lang w:eastAsia="en-GB"/>
        </w:rPr>
      </w:pPr>
    </w:p>
    <w:p w14:paraId="41E8D8B7" w14:textId="5FCF65C5" w:rsidR="00484CC0" w:rsidRPr="00505BAA" w:rsidRDefault="00484CC0" w:rsidP="00484CC0">
      <w:pPr>
        <w:spacing w:line="360" w:lineRule="auto"/>
        <w:jc w:val="both"/>
        <w:rPr>
          <w:rFonts w:ascii="Georgia" w:hAnsi="Georgia"/>
          <w:b/>
          <w:bCs/>
          <w:lang w:eastAsia="en-GB"/>
        </w:rPr>
      </w:pPr>
      <w:r w:rsidRPr="00505BAA">
        <w:rPr>
          <w:rFonts w:ascii="Georgia" w:hAnsi="Georgia"/>
          <w:b/>
          <w:bCs/>
          <w:lang w:eastAsia="en-GB"/>
        </w:rPr>
        <w:t>Statutory Defence and Reasonable Excuse</w:t>
      </w:r>
      <w:r w:rsidR="008057B7">
        <w:rPr>
          <w:rFonts w:ascii="Georgia" w:hAnsi="Georgia"/>
          <w:b/>
          <w:bCs/>
          <w:lang w:eastAsia="en-GB"/>
        </w:rPr>
        <w:t xml:space="preserve"> (Section 95(3) and (4)</w:t>
      </w:r>
      <w:r w:rsidR="0060411B">
        <w:rPr>
          <w:rFonts w:ascii="Georgia" w:hAnsi="Georgia"/>
          <w:b/>
          <w:bCs/>
          <w:lang w:eastAsia="en-GB"/>
        </w:rPr>
        <w:t>)</w:t>
      </w:r>
      <w:r w:rsidRPr="00505BAA">
        <w:rPr>
          <w:rFonts w:ascii="Georgia" w:hAnsi="Georgia"/>
          <w:b/>
          <w:bCs/>
          <w:lang w:eastAsia="en-GB"/>
        </w:rPr>
        <w:t>.</w:t>
      </w:r>
    </w:p>
    <w:p w14:paraId="62E0294E" w14:textId="77777777" w:rsidR="00484CC0" w:rsidRPr="00505BAA" w:rsidRDefault="00484CC0" w:rsidP="00484CC0">
      <w:pPr>
        <w:spacing w:line="360" w:lineRule="auto"/>
        <w:ind w:left="720"/>
        <w:jc w:val="both"/>
        <w:rPr>
          <w:rFonts w:ascii="Georgia" w:hAnsi="Georgia"/>
          <w:lang w:eastAsia="en-GB"/>
        </w:rPr>
      </w:pPr>
    </w:p>
    <w:p w14:paraId="3D9C19CB" w14:textId="12CC03AA" w:rsidR="00153F2E" w:rsidRDefault="00B62BB5" w:rsidP="004C2284">
      <w:pPr>
        <w:numPr>
          <w:ilvl w:val="0"/>
          <w:numId w:val="20"/>
        </w:numPr>
        <w:shd w:val="clear" w:color="auto" w:fill="FFFFFF"/>
        <w:spacing w:line="360" w:lineRule="auto"/>
        <w:ind w:hanging="578"/>
        <w:jc w:val="both"/>
        <w:textAlignment w:val="baseline"/>
        <w:rPr>
          <w:rFonts w:ascii="Georgia" w:hAnsi="Georgia"/>
          <w:color w:val="1F1F1F"/>
          <w:lang w:eastAsia="en-GB"/>
        </w:rPr>
      </w:pPr>
      <w:r w:rsidRPr="00170E68">
        <w:rPr>
          <w:rFonts w:ascii="Georgia" w:hAnsi="Georgia"/>
          <w:color w:val="1F1F1F"/>
          <w:lang w:eastAsia="en-GB"/>
        </w:rPr>
        <w:t>Section</w:t>
      </w:r>
      <w:r w:rsidR="00B63092">
        <w:rPr>
          <w:rFonts w:ascii="Georgia" w:hAnsi="Georgia"/>
          <w:color w:val="1F1F1F"/>
          <w:lang w:eastAsia="en-GB"/>
        </w:rPr>
        <w:t>s</w:t>
      </w:r>
      <w:r w:rsidRPr="00170E68">
        <w:rPr>
          <w:rFonts w:ascii="Georgia" w:hAnsi="Georgia"/>
          <w:color w:val="1F1F1F"/>
          <w:lang w:eastAsia="en-GB"/>
        </w:rPr>
        <w:t xml:space="preserve"> 95(3) and (4)</w:t>
      </w:r>
      <w:r w:rsidR="00A40D04">
        <w:rPr>
          <w:rFonts w:ascii="Georgia" w:hAnsi="Georgia"/>
          <w:color w:val="1F1F1F"/>
          <w:lang w:eastAsia="en-GB"/>
        </w:rPr>
        <w:t xml:space="preserve"> of the Housing A</w:t>
      </w:r>
      <w:r w:rsidR="004A04BA">
        <w:rPr>
          <w:rFonts w:ascii="Georgia" w:hAnsi="Georgia"/>
          <w:color w:val="1F1F1F"/>
          <w:lang w:eastAsia="en-GB"/>
        </w:rPr>
        <w:t>c</w:t>
      </w:r>
      <w:r w:rsidR="00A40D04">
        <w:rPr>
          <w:rFonts w:ascii="Georgia" w:hAnsi="Georgia"/>
          <w:color w:val="1F1F1F"/>
          <w:lang w:eastAsia="en-GB"/>
        </w:rPr>
        <w:t>t 2004</w:t>
      </w:r>
      <w:r w:rsidRPr="00170E68">
        <w:rPr>
          <w:rFonts w:ascii="Georgia" w:hAnsi="Georgia"/>
          <w:color w:val="1F1F1F"/>
          <w:lang w:eastAsia="en-GB"/>
        </w:rPr>
        <w:t xml:space="preserve"> set out relevant defences which the Tribunal must consider.  The burden of proof in relation to this is on the Respondents </w:t>
      </w:r>
      <w:r w:rsidR="00153F2E" w:rsidRPr="00170E68">
        <w:rPr>
          <w:rFonts w:ascii="Georgia" w:hAnsi="Georgia"/>
          <w:color w:val="1F1F1F"/>
          <w:lang w:eastAsia="en-GB"/>
        </w:rPr>
        <w:t xml:space="preserve">and the relevant standard of proof is on a balance of probabilities.  </w:t>
      </w:r>
    </w:p>
    <w:p w14:paraId="4987B259" w14:textId="77777777" w:rsidR="00867C3C" w:rsidRPr="00170E68" w:rsidRDefault="00867C3C" w:rsidP="00867C3C">
      <w:pPr>
        <w:shd w:val="clear" w:color="auto" w:fill="FFFFFF"/>
        <w:spacing w:line="360" w:lineRule="auto"/>
        <w:ind w:left="720"/>
        <w:jc w:val="both"/>
        <w:textAlignment w:val="baseline"/>
        <w:rPr>
          <w:rFonts w:ascii="Georgia" w:hAnsi="Georgia"/>
          <w:color w:val="1F1F1F"/>
          <w:lang w:eastAsia="en-GB"/>
        </w:rPr>
      </w:pPr>
    </w:p>
    <w:p w14:paraId="65140FF4" w14:textId="0A2F185F" w:rsidR="00971797" w:rsidRDefault="00153F2E" w:rsidP="004C2284">
      <w:pPr>
        <w:numPr>
          <w:ilvl w:val="0"/>
          <w:numId w:val="20"/>
        </w:numPr>
        <w:shd w:val="clear" w:color="auto" w:fill="FFFFFF"/>
        <w:spacing w:line="360" w:lineRule="auto"/>
        <w:ind w:hanging="578"/>
        <w:jc w:val="both"/>
        <w:textAlignment w:val="baseline"/>
        <w:rPr>
          <w:rFonts w:ascii="Georgia" w:hAnsi="Georgia"/>
          <w:color w:val="1F1F1F"/>
          <w:lang w:eastAsia="en-GB"/>
        </w:rPr>
      </w:pPr>
      <w:r w:rsidRPr="00170E68">
        <w:rPr>
          <w:rFonts w:ascii="Georgia" w:hAnsi="Georgia"/>
          <w:color w:val="1F1F1F"/>
          <w:lang w:eastAsia="en-GB"/>
        </w:rPr>
        <w:t>The Respondents have not pr</w:t>
      </w:r>
      <w:r w:rsidR="00C30049">
        <w:rPr>
          <w:rFonts w:ascii="Georgia" w:hAnsi="Georgia"/>
          <w:color w:val="1F1F1F"/>
          <w:lang w:eastAsia="en-GB"/>
        </w:rPr>
        <w:t>o</w:t>
      </w:r>
      <w:r w:rsidRPr="00170E68">
        <w:rPr>
          <w:rFonts w:ascii="Georgia" w:hAnsi="Georgia"/>
          <w:color w:val="1F1F1F"/>
          <w:lang w:eastAsia="en-GB"/>
        </w:rPr>
        <w:t>vided the Tribunal with any evidence</w:t>
      </w:r>
      <w:r w:rsidR="00B63092">
        <w:rPr>
          <w:rFonts w:ascii="Georgia" w:hAnsi="Georgia"/>
          <w:color w:val="1F1F1F"/>
          <w:lang w:eastAsia="en-GB"/>
        </w:rPr>
        <w:t>;</w:t>
      </w:r>
      <w:r w:rsidR="00971797" w:rsidRPr="00170E68">
        <w:rPr>
          <w:rFonts w:ascii="Georgia" w:hAnsi="Georgia"/>
          <w:color w:val="1F1F1F"/>
          <w:lang w:eastAsia="en-GB"/>
        </w:rPr>
        <w:t xml:space="preserve"> </w:t>
      </w:r>
      <w:r w:rsidR="00750AEC">
        <w:rPr>
          <w:rFonts w:ascii="Georgia" w:hAnsi="Georgia"/>
          <w:color w:val="1F1F1F"/>
          <w:lang w:eastAsia="en-GB"/>
        </w:rPr>
        <w:t>h</w:t>
      </w:r>
      <w:r w:rsidR="00971797" w:rsidRPr="00170E68">
        <w:rPr>
          <w:rFonts w:ascii="Georgia" w:hAnsi="Georgia"/>
          <w:color w:val="1F1F1F"/>
          <w:lang w:eastAsia="en-GB"/>
        </w:rPr>
        <w:t>owever, the Tribunal consider</w:t>
      </w:r>
      <w:r w:rsidR="00B63092">
        <w:rPr>
          <w:rFonts w:ascii="Georgia" w:hAnsi="Georgia"/>
          <w:color w:val="1F1F1F"/>
          <w:lang w:eastAsia="en-GB"/>
        </w:rPr>
        <w:t>ed</w:t>
      </w:r>
      <w:r w:rsidR="00971797" w:rsidRPr="00170E68">
        <w:rPr>
          <w:rFonts w:ascii="Georgia" w:hAnsi="Georgia"/>
          <w:color w:val="1F1F1F"/>
          <w:lang w:eastAsia="en-GB"/>
        </w:rPr>
        <w:t xml:space="preserve"> whether a </w:t>
      </w:r>
      <w:r w:rsidR="00867C3C" w:rsidRPr="00170E68">
        <w:rPr>
          <w:rFonts w:ascii="Georgia" w:hAnsi="Georgia"/>
          <w:color w:val="1F1F1F"/>
          <w:lang w:eastAsia="en-GB"/>
        </w:rPr>
        <w:t>defence</w:t>
      </w:r>
      <w:r w:rsidR="00971797" w:rsidRPr="00170E68">
        <w:rPr>
          <w:rFonts w:ascii="Georgia" w:hAnsi="Georgia"/>
          <w:color w:val="1F1F1F"/>
          <w:lang w:eastAsia="en-GB"/>
        </w:rPr>
        <w:t xml:space="preserve"> under section 95(3) </w:t>
      </w:r>
      <w:r w:rsidR="00867C3C">
        <w:rPr>
          <w:rFonts w:ascii="Georgia" w:hAnsi="Georgia"/>
          <w:color w:val="1F1F1F"/>
          <w:lang w:eastAsia="en-GB"/>
        </w:rPr>
        <w:t>and/</w:t>
      </w:r>
      <w:r w:rsidR="00971797" w:rsidRPr="00170E68">
        <w:rPr>
          <w:rFonts w:ascii="Georgia" w:hAnsi="Georgia"/>
          <w:color w:val="1F1F1F"/>
          <w:lang w:eastAsia="en-GB"/>
        </w:rPr>
        <w:t>or (4) nevertheless arose.</w:t>
      </w:r>
    </w:p>
    <w:p w14:paraId="6B4C25E2" w14:textId="77777777" w:rsidR="00867C3C" w:rsidRDefault="00867C3C" w:rsidP="00867C3C">
      <w:pPr>
        <w:pStyle w:val="ListParagraph"/>
        <w:rPr>
          <w:rFonts w:ascii="Georgia" w:hAnsi="Georgia"/>
          <w:color w:val="1F1F1F"/>
        </w:rPr>
      </w:pPr>
    </w:p>
    <w:p w14:paraId="36FB8C8F" w14:textId="77777777" w:rsidR="00867C3C" w:rsidRPr="00170E68" w:rsidRDefault="00867C3C" w:rsidP="00867C3C">
      <w:pPr>
        <w:shd w:val="clear" w:color="auto" w:fill="FFFFFF"/>
        <w:spacing w:line="360" w:lineRule="auto"/>
        <w:ind w:left="720"/>
        <w:jc w:val="both"/>
        <w:textAlignment w:val="baseline"/>
        <w:rPr>
          <w:rFonts w:ascii="Georgia" w:hAnsi="Georgia"/>
          <w:color w:val="1F1F1F"/>
          <w:lang w:eastAsia="en-GB"/>
        </w:rPr>
      </w:pPr>
    </w:p>
    <w:p w14:paraId="258097A3" w14:textId="0AF3D86C" w:rsidR="004E2887" w:rsidRPr="004E2887" w:rsidRDefault="004E2887" w:rsidP="004C2284">
      <w:pPr>
        <w:numPr>
          <w:ilvl w:val="0"/>
          <w:numId w:val="20"/>
        </w:numPr>
        <w:shd w:val="clear" w:color="auto" w:fill="FFFFFF"/>
        <w:spacing w:line="360" w:lineRule="auto"/>
        <w:ind w:hanging="578"/>
        <w:jc w:val="both"/>
        <w:textAlignment w:val="baseline"/>
        <w:rPr>
          <w:rFonts w:ascii="Georgia" w:hAnsi="Georgia"/>
          <w:color w:val="1F1F1F"/>
          <w:lang w:eastAsia="en-GB"/>
        </w:rPr>
      </w:pPr>
      <w:r w:rsidRPr="004E2887">
        <w:rPr>
          <w:rFonts w:ascii="Georgia" w:hAnsi="Georgia"/>
          <w:color w:val="1F1F1F"/>
          <w:lang w:eastAsia="en-GB"/>
        </w:rPr>
        <w:lastRenderedPageBreak/>
        <w:t xml:space="preserve">In proceedings against a person for an offence under subsection </w:t>
      </w:r>
      <w:r w:rsidR="004B2D64" w:rsidRPr="00170E68">
        <w:rPr>
          <w:rFonts w:ascii="Georgia" w:hAnsi="Georgia"/>
          <w:color w:val="1F1F1F"/>
          <w:lang w:eastAsia="en-GB"/>
        </w:rPr>
        <w:t>9</w:t>
      </w:r>
      <w:r w:rsidR="00C30049">
        <w:rPr>
          <w:rFonts w:ascii="Georgia" w:hAnsi="Georgia"/>
          <w:color w:val="1F1F1F"/>
          <w:lang w:eastAsia="en-GB"/>
        </w:rPr>
        <w:t>5</w:t>
      </w:r>
      <w:r w:rsidRPr="004E2887">
        <w:rPr>
          <w:rFonts w:ascii="Georgia" w:hAnsi="Georgia"/>
          <w:color w:val="1F1F1F"/>
          <w:lang w:eastAsia="en-GB"/>
        </w:rPr>
        <w:t>(1)</w:t>
      </w:r>
      <w:r w:rsidR="000A0759">
        <w:rPr>
          <w:rFonts w:ascii="Georgia" w:hAnsi="Georgia"/>
          <w:color w:val="1F1F1F"/>
          <w:lang w:eastAsia="en-GB"/>
        </w:rPr>
        <w:t>, section 95(3) provides that</w:t>
      </w:r>
      <w:r w:rsidRPr="004E2887">
        <w:rPr>
          <w:rFonts w:ascii="Georgia" w:hAnsi="Georgia"/>
          <w:color w:val="1F1F1F"/>
          <w:lang w:eastAsia="en-GB"/>
        </w:rPr>
        <w:t xml:space="preserve"> it is a defence that, at the material time–</w:t>
      </w:r>
    </w:p>
    <w:p w14:paraId="5146208E" w14:textId="0EE155F5" w:rsidR="004E2887" w:rsidRPr="004E2887" w:rsidRDefault="000A0759" w:rsidP="000A0759">
      <w:pPr>
        <w:shd w:val="clear" w:color="auto" w:fill="FFFFFF"/>
        <w:spacing w:line="360" w:lineRule="auto"/>
        <w:ind w:left="1440"/>
        <w:jc w:val="both"/>
        <w:textAlignment w:val="baseline"/>
        <w:rPr>
          <w:rFonts w:ascii="Georgia" w:hAnsi="Georgia"/>
          <w:color w:val="1F1F1F"/>
          <w:lang w:eastAsia="en-GB"/>
        </w:rPr>
      </w:pPr>
      <w:r>
        <w:rPr>
          <w:rFonts w:ascii="Georgia" w:hAnsi="Georgia"/>
          <w:color w:val="1F1F1F"/>
          <w:lang w:eastAsia="en-GB"/>
        </w:rPr>
        <w:t>“</w:t>
      </w:r>
      <w:r w:rsidR="004E2887" w:rsidRPr="004E2887">
        <w:rPr>
          <w:rFonts w:ascii="Georgia" w:hAnsi="Georgia"/>
          <w:color w:val="1F1F1F"/>
          <w:lang w:eastAsia="en-GB"/>
        </w:rPr>
        <w:t>(a)  a notification had been duly given in respect of the house under </w:t>
      </w:r>
      <w:r w:rsidR="00EC4A95">
        <w:rPr>
          <w:rFonts w:ascii="Georgia" w:hAnsi="Georgia"/>
          <w:color w:val="1F1F1F"/>
          <w:lang w:eastAsia="en-GB"/>
        </w:rPr>
        <w:t>section 62(1)</w:t>
      </w:r>
      <w:r w:rsidR="004E2887" w:rsidRPr="004E2887">
        <w:rPr>
          <w:rFonts w:ascii="Georgia" w:hAnsi="Georgia"/>
          <w:color w:val="1F1F1F"/>
          <w:lang w:eastAsia="en-GB"/>
        </w:rPr>
        <w:t> or</w:t>
      </w:r>
      <w:r w:rsidR="00EC4A95">
        <w:rPr>
          <w:rFonts w:ascii="Georgia" w:hAnsi="Georgia"/>
          <w:color w:val="1F1F1F"/>
          <w:lang w:eastAsia="en-GB"/>
        </w:rPr>
        <w:t xml:space="preserve"> 86(1)</w:t>
      </w:r>
      <w:r w:rsidR="00745E2F">
        <w:rPr>
          <w:rFonts w:ascii="Georgia" w:hAnsi="Georgia"/>
          <w:color w:val="1F1F1F"/>
          <w:lang w:eastAsia="en-GB"/>
        </w:rPr>
        <w:t xml:space="preserve"> [temporary exemption from licensing requirements]</w:t>
      </w:r>
      <w:r w:rsidR="004E2887" w:rsidRPr="004E2887">
        <w:rPr>
          <w:rFonts w:ascii="Georgia" w:hAnsi="Georgia"/>
          <w:color w:val="1F1F1F"/>
          <w:lang w:eastAsia="en-GB"/>
        </w:rPr>
        <w:t>, or</w:t>
      </w:r>
    </w:p>
    <w:p w14:paraId="0A5BC759" w14:textId="12806BB0" w:rsidR="004E2887" w:rsidRPr="004E2887" w:rsidRDefault="004E2887" w:rsidP="000A0759">
      <w:pPr>
        <w:shd w:val="clear" w:color="auto" w:fill="FFFFFF"/>
        <w:spacing w:line="360" w:lineRule="auto"/>
        <w:ind w:left="1440"/>
        <w:jc w:val="both"/>
        <w:textAlignment w:val="baseline"/>
        <w:rPr>
          <w:rFonts w:ascii="Georgia" w:hAnsi="Georgia"/>
          <w:color w:val="1F1F1F"/>
          <w:lang w:eastAsia="en-GB"/>
        </w:rPr>
      </w:pPr>
      <w:r w:rsidRPr="004E2887">
        <w:rPr>
          <w:rFonts w:ascii="Georgia" w:hAnsi="Georgia"/>
          <w:color w:val="1F1F1F"/>
          <w:lang w:eastAsia="en-GB"/>
        </w:rPr>
        <w:t>(b)  an application for a licence had been duly made in respect of the house unde</w:t>
      </w:r>
      <w:r w:rsidR="000A0759">
        <w:rPr>
          <w:rFonts w:ascii="Georgia" w:hAnsi="Georgia"/>
          <w:color w:val="1F1F1F"/>
          <w:lang w:eastAsia="en-GB"/>
        </w:rPr>
        <w:t>r section 87</w:t>
      </w:r>
      <w:r w:rsidR="00F467B5">
        <w:rPr>
          <w:rFonts w:ascii="Georgia" w:hAnsi="Georgia"/>
          <w:color w:val="1F1F1F"/>
          <w:lang w:eastAsia="en-GB"/>
        </w:rPr>
        <w:t>.</w:t>
      </w:r>
    </w:p>
    <w:p w14:paraId="43C0F04F" w14:textId="3628DA28" w:rsidR="009E2275" w:rsidRPr="004E2887" w:rsidRDefault="004E2887" w:rsidP="000A0759">
      <w:pPr>
        <w:shd w:val="clear" w:color="auto" w:fill="FFFFFF"/>
        <w:spacing w:line="360" w:lineRule="auto"/>
        <w:ind w:left="720"/>
        <w:jc w:val="both"/>
        <w:textAlignment w:val="baseline"/>
        <w:rPr>
          <w:rFonts w:ascii="Georgia" w:hAnsi="Georgia"/>
          <w:color w:val="1F1F1F"/>
          <w:lang w:eastAsia="en-GB"/>
        </w:rPr>
      </w:pPr>
      <w:r w:rsidRPr="004E2887">
        <w:rPr>
          <w:rFonts w:ascii="Georgia" w:hAnsi="Georgia"/>
          <w:color w:val="1F1F1F"/>
          <w:lang w:eastAsia="en-GB"/>
        </w:rPr>
        <w:t> </w:t>
      </w:r>
      <w:r w:rsidR="000A0759">
        <w:rPr>
          <w:rFonts w:ascii="Georgia" w:hAnsi="Georgia"/>
          <w:color w:val="1F1F1F"/>
          <w:lang w:eastAsia="en-GB"/>
        </w:rPr>
        <w:tab/>
      </w:r>
    </w:p>
    <w:p w14:paraId="504D86A9" w14:textId="01711815" w:rsidR="009E2275" w:rsidRDefault="009E2275" w:rsidP="004C2284">
      <w:pPr>
        <w:numPr>
          <w:ilvl w:val="0"/>
          <w:numId w:val="20"/>
        </w:numPr>
        <w:shd w:val="clear" w:color="auto" w:fill="FFFFFF"/>
        <w:spacing w:line="360" w:lineRule="auto"/>
        <w:ind w:hanging="578"/>
        <w:jc w:val="both"/>
        <w:textAlignment w:val="baseline"/>
        <w:rPr>
          <w:rFonts w:ascii="Georgia" w:hAnsi="Georgia"/>
          <w:color w:val="1F1F1F"/>
          <w:lang w:eastAsia="en-GB"/>
        </w:rPr>
      </w:pPr>
      <w:r w:rsidRPr="00170E68">
        <w:rPr>
          <w:rFonts w:ascii="Georgia" w:hAnsi="Georgia"/>
          <w:color w:val="1F1F1F"/>
          <w:lang w:eastAsia="en-GB"/>
        </w:rPr>
        <w:t xml:space="preserve">The Tribunal accepts the evidence of </w:t>
      </w:r>
      <w:r w:rsidR="00966748" w:rsidRPr="00170E68">
        <w:rPr>
          <w:rFonts w:ascii="Georgia" w:hAnsi="Georgia"/>
          <w:color w:val="1F1F1F"/>
          <w:lang w:eastAsia="en-GB"/>
        </w:rPr>
        <w:t>Joseph Gould</w:t>
      </w:r>
      <w:r w:rsidR="00257BF6">
        <w:rPr>
          <w:rFonts w:ascii="Georgia" w:hAnsi="Georgia"/>
          <w:color w:val="1F1F1F"/>
          <w:lang w:eastAsia="en-GB"/>
        </w:rPr>
        <w:t>, Environmental Health Officer employed by Oxford City Council</w:t>
      </w:r>
      <w:r w:rsidR="00F467B5">
        <w:rPr>
          <w:rFonts w:ascii="Georgia" w:hAnsi="Georgia"/>
          <w:color w:val="1F1F1F"/>
          <w:lang w:eastAsia="en-GB"/>
        </w:rPr>
        <w:t>,</w:t>
      </w:r>
      <w:r w:rsidR="00257BF6">
        <w:rPr>
          <w:rFonts w:ascii="Georgia" w:hAnsi="Georgia"/>
          <w:color w:val="1F1F1F"/>
          <w:lang w:eastAsia="en-GB"/>
        </w:rPr>
        <w:t xml:space="preserve"> </w:t>
      </w:r>
      <w:r w:rsidR="00966748" w:rsidRPr="00170E68">
        <w:rPr>
          <w:rFonts w:ascii="Georgia" w:hAnsi="Georgia"/>
          <w:color w:val="1F1F1F"/>
          <w:lang w:eastAsia="en-GB"/>
        </w:rPr>
        <w:t>at pages 16 and 23</w:t>
      </w:r>
      <w:r w:rsidR="00F457F3" w:rsidRPr="00170E68">
        <w:rPr>
          <w:rFonts w:ascii="Georgia" w:hAnsi="Georgia"/>
          <w:color w:val="1F1F1F"/>
          <w:lang w:eastAsia="en-GB"/>
        </w:rPr>
        <w:t xml:space="preserve"> </w:t>
      </w:r>
      <w:r w:rsidR="00F467B5">
        <w:rPr>
          <w:rFonts w:ascii="Georgia" w:hAnsi="Georgia"/>
          <w:color w:val="1F1F1F"/>
          <w:lang w:eastAsia="en-GB"/>
        </w:rPr>
        <w:t xml:space="preserve">of the bundle, </w:t>
      </w:r>
      <w:r w:rsidR="00F457F3" w:rsidRPr="00170E68">
        <w:rPr>
          <w:rFonts w:ascii="Georgia" w:hAnsi="Georgia"/>
          <w:color w:val="1F1F1F"/>
          <w:lang w:eastAsia="en-GB"/>
        </w:rPr>
        <w:t>and find</w:t>
      </w:r>
      <w:r w:rsidR="004D7AF0">
        <w:rPr>
          <w:rFonts w:ascii="Georgia" w:hAnsi="Georgia"/>
          <w:color w:val="1F1F1F"/>
          <w:lang w:eastAsia="en-GB"/>
        </w:rPr>
        <w:t>s</w:t>
      </w:r>
      <w:r w:rsidR="00F457F3" w:rsidRPr="00170E68">
        <w:rPr>
          <w:rFonts w:ascii="Georgia" w:hAnsi="Georgia"/>
          <w:color w:val="1F1F1F"/>
          <w:lang w:eastAsia="en-GB"/>
        </w:rPr>
        <w:t xml:space="preserve"> that </w:t>
      </w:r>
      <w:r w:rsidR="003F2EBE" w:rsidRPr="00170E68">
        <w:rPr>
          <w:rFonts w:ascii="Georgia" w:hAnsi="Georgia"/>
          <w:color w:val="1F1F1F"/>
          <w:lang w:eastAsia="en-GB"/>
        </w:rPr>
        <w:t xml:space="preserve">an application for a </w:t>
      </w:r>
      <w:r w:rsidR="00A348E7" w:rsidRPr="00170E68">
        <w:rPr>
          <w:rFonts w:ascii="Georgia" w:hAnsi="Georgia"/>
          <w:color w:val="1F1F1F"/>
          <w:lang w:eastAsia="en-GB"/>
        </w:rPr>
        <w:t>selective</w:t>
      </w:r>
      <w:r w:rsidR="003F2EBE" w:rsidRPr="00170E68">
        <w:rPr>
          <w:rFonts w:ascii="Georgia" w:hAnsi="Georgia"/>
          <w:color w:val="1F1F1F"/>
          <w:lang w:eastAsia="en-GB"/>
        </w:rPr>
        <w:t xml:space="preserve"> licence or a temporary </w:t>
      </w:r>
      <w:r w:rsidR="00A348E7" w:rsidRPr="00170E68">
        <w:rPr>
          <w:rFonts w:ascii="Georgia" w:hAnsi="Georgia"/>
          <w:color w:val="1F1F1F"/>
          <w:lang w:eastAsia="en-GB"/>
        </w:rPr>
        <w:t>exemption</w:t>
      </w:r>
      <w:r w:rsidR="003F2EBE" w:rsidRPr="00170E68">
        <w:rPr>
          <w:rFonts w:ascii="Georgia" w:hAnsi="Georgia"/>
          <w:color w:val="1F1F1F"/>
          <w:lang w:eastAsia="en-GB"/>
        </w:rPr>
        <w:t xml:space="preserve"> notice had not been made.</w:t>
      </w:r>
      <w:r w:rsidR="00167753">
        <w:rPr>
          <w:rFonts w:ascii="Georgia" w:hAnsi="Georgia"/>
          <w:color w:val="1F1F1F"/>
          <w:lang w:eastAsia="en-GB"/>
        </w:rPr>
        <w:t xml:space="preserve">  The Tribunal therefore finds that a statutory defence does not arise. </w:t>
      </w:r>
    </w:p>
    <w:p w14:paraId="6309647D" w14:textId="77777777" w:rsidR="00A40D04" w:rsidRPr="00170E68" w:rsidRDefault="00A40D04" w:rsidP="00A40D04">
      <w:pPr>
        <w:shd w:val="clear" w:color="auto" w:fill="FFFFFF"/>
        <w:spacing w:line="360" w:lineRule="auto"/>
        <w:ind w:left="720"/>
        <w:jc w:val="both"/>
        <w:textAlignment w:val="baseline"/>
        <w:rPr>
          <w:rFonts w:ascii="Georgia" w:hAnsi="Georgia"/>
          <w:color w:val="1F1F1F"/>
          <w:lang w:eastAsia="en-GB"/>
        </w:rPr>
      </w:pPr>
    </w:p>
    <w:p w14:paraId="52FEB886" w14:textId="0EAFCEF6" w:rsidR="004E2887" w:rsidRPr="004E2887" w:rsidRDefault="00FD6207" w:rsidP="004C2284">
      <w:pPr>
        <w:numPr>
          <w:ilvl w:val="0"/>
          <w:numId w:val="20"/>
        </w:numPr>
        <w:shd w:val="clear" w:color="auto" w:fill="FFFFFF"/>
        <w:spacing w:line="360" w:lineRule="auto"/>
        <w:ind w:hanging="578"/>
        <w:jc w:val="both"/>
        <w:textAlignment w:val="baseline"/>
        <w:rPr>
          <w:rFonts w:ascii="Georgia" w:hAnsi="Georgia"/>
          <w:color w:val="1F1F1F"/>
          <w:lang w:eastAsia="en-GB"/>
        </w:rPr>
      </w:pPr>
      <w:r w:rsidRPr="00170E68">
        <w:rPr>
          <w:rFonts w:ascii="Georgia" w:hAnsi="Georgia"/>
          <w:color w:val="1F1F1F"/>
          <w:lang w:eastAsia="en-GB"/>
        </w:rPr>
        <w:t xml:space="preserve">Section 95(4) provides that in relation to an offence under </w:t>
      </w:r>
      <w:r w:rsidR="00167753" w:rsidRPr="00170E68">
        <w:rPr>
          <w:rFonts w:ascii="Georgia" w:hAnsi="Georgia"/>
          <w:color w:val="1F1F1F"/>
          <w:lang w:eastAsia="en-GB"/>
        </w:rPr>
        <w:t>section</w:t>
      </w:r>
      <w:r w:rsidRPr="00170E68">
        <w:rPr>
          <w:rFonts w:ascii="Georgia" w:hAnsi="Georgia"/>
          <w:color w:val="1F1F1F"/>
          <w:lang w:eastAsia="en-GB"/>
        </w:rPr>
        <w:t xml:space="preserve"> 95(1) it is a defence if the Respondents had a reasonable excuse</w:t>
      </w:r>
      <w:r w:rsidR="003061B7" w:rsidRPr="00170E68">
        <w:rPr>
          <w:rFonts w:ascii="Georgia" w:hAnsi="Georgia"/>
          <w:color w:val="1F1F1F"/>
          <w:lang w:eastAsia="en-GB"/>
        </w:rPr>
        <w:t xml:space="preserve"> </w:t>
      </w:r>
      <w:r w:rsidR="004E2887" w:rsidRPr="004E2887">
        <w:rPr>
          <w:rFonts w:ascii="Georgia" w:hAnsi="Georgia"/>
          <w:color w:val="1F1F1F"/>
          <w:lang w:eastAsia="en-GB"/>
        </w:rPr>
        <w:t xml:space="preserve">for having control of or managing the house </w:t>
      </w:r>
      <w:r w:rsidR="003061B7" w:rsidRPr="00170E68">
        <w:rPr>
          <w:rFonts w:ascii="Georgia" w:hAnsi="Georgia"/>
          <w:color w:val="1F1F1F"/>
          <w:lang w:eastAsia="en-GB"/>
        </w:rPr>
        <w:t xml:space="preserve">without a licence.  </w:t>
      </w:r>
      <w:r w:rsidR="008B23A5" w:rsidRPr="00170E68">
        <w:rPr>
          <w:rFonts w:ascii="Georgia" w:hAnsi="Georgia"/>
          <w:color w:val="1F1F1F"/>
          <w:lang w:eastAsia="en-GB"/>
        </w:rPr>
        <w:t xml:space="preserve">The Tribunal </w:t>
      </w:r>
      <w:r w:rsidR="00F61C4A">
        <w:rPr>
          <w:rFonts w:ascii="Georgia" w:hAnsi="Georgia"/>
          <w:color w:val="1F1F1F"/>
          <w:lang w:eastAsia="en-GB"/>
        </w:rPr>
        <w:t xml:space="preserve">has </w:t>
      </w:r>
      <w:r w:rsidR="008B23A5" w:rsidRPr="00170E68">
        <w:rPr>
          <w:rFonts w:ascii="Georgia" w:hAnsi="Georgia"/>
          <w:color w:val="1F1F1F"/>
          <w:lang w:eastAsia="en-GB"/>
        </w:rPr>
        <w:t>considered the evidence before them and notes that both Respondents had an agent.  However</w:t>
      </w:r>
      <w:r w:rsidR="00C30049">
        <w:rPr>
          <w:rFonts w:ascii="Georgia" w:hAnsi="Georgia"/>
          <w:color w:val="1F1F1F"/>
          <w:lang w:eastAsia="en-GB"/>
        </w:rPr>
        <w:t>,</w:t>
      </w:r>
      <w:r w:rsidR="008B23A5" w:rsidRPr="00170E68">
        <w:rPr>
          <w:rFonts w:ascii="Georgia" w:hAnsi="Georgia"/>
          <w:color w:val="1F1F1F"/>
          <w:lang w:eastAsia="en-GB"/>
        </w:rPr>
        <w:t xml:space="preserve"> no details were provided of the contractual relationship between the Respondents and the agent.  The Tribunal therefore finds that </w:t>
      </w:r>
      <w:r w:rsidR="00032110" w:rsidRPr="00170E68">
        <w:rPr>
          <w:rFonts w:ascii="Georgia" w:hAnsi="Georgia"/>
          <w:color w:val="1F1F1F"/>
          <w:lang w:eastAsia="en-GB"/>
        </w:rPr>
        <w:t>the obligation was on the Respondents to ensure that an application for a licen</w:t>
      </w:r>
      <w:r w:rsidR="00D97F3A" w:rsidRPr="00170E68">
        <w:rPr>
          <w:rFonts w:ascii="Georgia" w:hAnsi="Georgia"/>
          <w:color w:val="1F1F1F"/>
          <w:lang w:eastAsia="en-GB"/>
        </w:rPr>
        <w:t>ce</w:t>
      </w:r>
      <w:r w:rsidR="00167753">
        <w:rPr>
          <w:rFonts w:ascii="Georgia" w:hAnsi="Georgia"/>
          <w:color w:val="1F1F1F"/>
          <w:lang w:eastAsia="en-GB"/>
        </w:rPr>
        <w:t xml:space="preserve"> was properly made.</w:t>
      </w:r>
      <w:r w:rsidR="00D97F3A" w:rsidRPr="00170E68">
        <w:rPr>
          <w:rFonts w:ascii="Georgia" w:hAnsi="Georgia"/>
          <w:color w:val="1F1F1F"/>
          <w:lang w:eastAsia="en-GB"/>
        </w:rPr>
        <w:t xml:space="preserve">  </w:t>
      </w:r>
      <w:r w:rsidR="00792928">
        <w:rPr>
          <w:rFonts w:ascii="Georgia" w:hAnsi="Georgia"/>
          <w:color w:val="1F1F1F"/>
          <w:lang w:eastAsia="en-GB"/>
        </w:rPr>
        <w:t>Considering all the evidence before the tribunal, t</w:t>
      </w:r>
      <w:r w:rsidR="00D97F3A" w:rsidRPr="00170E68">
        <w:rPr>
          <w:rFonts w:ascii="Georgia" w:hAnsi="Georgia"/>
          <w:color w:val="1F1F1F"/>
          <w:lang w:eastAsia="en-GB"/>
        </w:rPr>
        <w:t>he Tribunal finds, on a balance of probabilities</w:t>
      </w:r>
      <w:r w:rsidR="00F61C4A">
        <w:rPr>
          <w:rFonts w:ascii="Georgia" w:hAnsi="Georgia"/>
          <w:color w:val="1F1F1F"/>
          <w:lang w:eastAsia="en-GB"/>
        </w:rPr>
        <w:t>,</w:t>
      </w:r>
      <w:r w:rsidR="00D97F3A" w:rsidRPr="00170E68">
        <w:rPr>
          <w:rFonts w:ascii="Georgia" w:hAnsi="Georgia"/>
          <w:color w:val="1F1F1F"/>
          <w:lang w:eastAsia="en-GB"/>
        </w:rPr>
        <w:t xml:space="preserve"> that the Respondent did not have a reasonable </w:t>
      </w:r>
      <w:r w:rsidR="00230D26" w:rsidRPr="00170E68">
        <w:rPr>
          <w:rFonts w:ascii="Georgia" w:hAnsi="Georgia"/>
          <w:color w:val="1F1F1F"/>
          <w:lang w:eastAsia="en-GB"/>
        </w:rPr>
        <w:t>excuse.</w:t>
      </w:r>
    </w:p>
    <w:p w14:paraId="5DC4A2F3" w14:textId="77777777" w:rsidR="004E2887" w:rsidRPr="00170E68" w:rsidRDefault="004E2887" w:rsidP="009D55EE">
      <w:pPr>
        <w:spacing w:line="360" w:lineRule="auto"/>
        <w:ind w:left="720"/>
        <w:jc w:val="both"/>
        <w:rPr>
          <w:rFonts w:ascii="Georgia" w:hAnsi="Georgia"/>
          <w:lang w:eastAsia="en-GB"/>
        </w:rPr>
      </w:pPr>
    </w:p>
    <w:p w14:paraId="3EC72122" w14:textId="616E95A5" w:rsidR="00F56557" w:rsidRPr="00F56557" w:rsidRDefault="00F56557" w:rsidP="00F56557">
      <w:pPr>
        <w:spacing w:line="360" w:lineRule="auto"/>
        <w:jc w:val="both"/>
        <w:rPr>
          <w:rFonts w:ascii="Georgia" w:hAnsi="Georgia"/>
          <w:b/>
          <w:bCs/>
          <w:lang w:eastAsia="en-GB"/>
        </w:rPr>
      </w:pPr>
      <w:r w:rsidRPr="00F56557">
        <w:rPr>
          <w:rFonts w:ascii="Georgia" w:hAnsi="Georgia"/>
          <w:b/>
          <w:bCs/>
          <w:lang w:eastAsia="en-GB"/>
        </w:rPr>
        <w:t>Offence Under section 95(1) Housing Act 2004</w:t>
      </w:r>
    </w:p>
    <w:p w14:paraId="5CA1F55E" w14:textId="77777777" w:rsidR="00F56557" w:rsidRPr="00CE7415" w:rsidRDefault="00F56557" w:rsidP="00F56557">
      <w:pPr>
        <w:spacing w:line="360" w:lineRule="auto"/>
        <w:jc w:val="both"/>
      </w:pPr>
    </w:p>
    <w:p w14:paraId="5E7F16EE" w14:textId="3510AFF8" w:rsidR="00CE7415" w:rsidRDefault="00F56557" w:rsidP="004C2284">
      <w:pPr>
        <w:pStyle w:val="Default"/>
        <w:numPr>
          <w:ilvl w:val="0"/>
          <w:numId w:val="20"/>
        </w:numPr>
        <w:shd w:val="clear" w:color="auto" w:fill="FFFFFF"/>
        <w:spacing w:after="250" w:line="360" w:lineRule="auto"/>
        <w:ind w:hanging="578"/>
        <w:jc w:val="both"/>
        <w:textAlignment w:val="baseline"/>
      </w:pPr>
      <w:r>
        <w:t xml:space="preserve">The Tribunal is therefore satisfied </w:t>
      </w:r>
      <w:r w:rsidR="00081B34">
        <w:t xml:space="preserve">beyond reasonable doubt </w:t>
      </w:r>
      <w:r>
        <w:t xml:space="preserve">that the </w:t>
      </w:r>
      <w:r w:rsidR="00C30049">
        <w:t>F</w:t>
      </w:r>
      <w:r>
        <w:t>irst</w:t>
      </w:r>
      <w:r w:rsidR="009D55EE">
        <w:t xml:space="preserve"> and </w:t>
      </w:r>
      <w:r w:rsidR="00C30049">
        <w:t>S</w:t>
      </w:r>
      <w:r w:rsidR="009D55EE">
        <w:t xml:space="preserve">econd </w:t>
      </w:r>
      <w:r>
        <w:t>Respondent</w:t>
      </w:r>
      <w:r w:rsidR="009D55EE">
        <w:t>s have committed the offence of having</w:t>
      </w:r>
      <w:r>
        <w:t xml:space="preserve"> control/management of a house which was required to be licenc</w:t>
      </w:r>
      <w:r w:rsidR="005A147D">
        <w:t>s</w:t>
      </w:r>
      <w:r>
        <w:t>d</w:t>
      </w:r>
      <w:r w:rsidR="00835650">
        <w:t xml:space="preserve"> for the respective periods as set out above</w:t>
      </w:r>
      <w:r w:rsidR="00177F1C">
        <w:t>, but was not so licensed.</w:t>
      </w:r>
    </w:p>
    <w:p w14:paraId="633B4BAD" w14:textId="77777777" w:rsidR="00CE7415" w:rsidRPr="009D11A4" w:rsidRDefault="00CE7415" w:rsidP="00CE7415">
      <w:pPr>
        <w:pStyle w:val="Heading2"/>
        <w:jc w:val="both"/>
        <w:rPr>
          <w:rFonts w:ascii="Georgia" w:hAnsi="Georgia"/>
          <w:i w:val="0"/>
          <w:iCs w:val="0"/>
          <w:sz w:val="24"/>
          <w:szCs w:val="24"/>
        </w:rPr>
      </w:pPr>
      <w:r w:rsidRPr="009D11A4">
        <w:rPr>
          <w:rFonts w:ascii="Georgia" w:hAnsi="Georgia"/>
          <w:i w:val="0"/>
          <w:iCs w:val="0"/>
          <w:sz w:val="24"/>
          <w:szCs w:val="24"/>
        </w:rPr>
        <w:lastRenderedPageBreak/>
        <w:t>Should the Tribunal Make a R</w:t>
      </w:r>
      <w:r>
        <w:rPr>
          <w:rFonts w:ascii="Georgia" w:hAnsi="Georgia"/>
          <w:i w:val="0"/>
          <w:iCs w:val="0"/>
          <w:sz w:val="24"/>
          <w:szCs w:val="24"/>
        </w:rPr>
        <w:t xml:space="preserve">ent </w:t>
      </w:r>
      <w:r w:rsidRPr="009D11A4">
        <w:rPr>
          <w:rFonts w:ascii="Georgia" w:hAnsi="Georgia"/>
          <w:i w:val="0"/>
          <w:iCs w:val="0"/>
          <w:sz w:val="24"/>
          <w:szCs w:val="24"/>
        </w:rPr>
        <w:t>R</w:t>
      </w:r>
      <w:r>
        <w:rPr>
          <w:rFonts w:ascii="Georgia" w:hAnsi="Georgia"/>
          <w:i w:val="0"/>
          <w:iCs w:val="0"/>
          <w:sz w:val="24"/>
          <w:szCs w:val="24"/>
        </w:rPr>
        <w:t xml:space="preserve">epayment </w:t>
      </w:r>
      <w:r w:rsidRPr="009D11A4">
        <w:rPr>
          <w:rFonts w:ascii="Georgia" w:hAnsi="Georgia"/>
          <w:i w:val="0"/>
          <w:iCs w:val="0"/>
          <w:sz w:val="24"/>
          <w:szCs w:val="24"/>
        </w:rPr>
        <w:t>O</w:t>
      </w:r>
      <w:r>
        <w:rPr>
          <w:rFonts w:ascii="Georgia" w:hAnsi="Georgia"/>
          <w:i w:val="0"/>
          <w:iCs w:val="0"/>
          <w:sz w:val="24"/>
          <w:szCs w:val="24"/>
        </w:rPr>
        <w:t>rder (RRO)</w:t>
      </w:r>
      <w:r w:rsidRPr="009D11A4">
        <w:rPr>
          <w:rFonts w:ascii="Georgia" w:hAnsi="Georgia"/>
          <w:i w:val="0"/>
          <w:iCs w:val="0"/>
          <w:sz w:val="24"/>
          <w:szCs w:val="24"/>
        </w:rPr>
        <w:t>?</w:t>
      </w:r>
    </w:p>
    <w:p w14:paraId="74D30FA6" w14:textId="312E5607" w:rsidR="00CE7415" w:rsidRPr="0028310A" w:rsidRDefault="00CE7415" w:rsidP="00835650">
      <w:pPr>
        <w:pStyle w:val="Heading2"/>
        <w:spacing w:line="360" w:lineRule="auto"/>
        <w:ind w:left="720" w:hanging="720"/>
        <w:jc w:val="both"/>
        <w:rPr>
          <w:rFonts w:ascii="Georgia" w:hAnsi="Georgia"/>
          <w:b w:val="0"/>
          <w:bCs w:val="0"/>
          <w:i w:val="0"/>
          <w:iCs w:val="0"/>
          <w:sz w:val="24"/>
          <w:szCs w:val="24"/>
        </w:rPr>
      </w:pPr>
      <w:r>
        <w:rPr>
          <w:rFonts w:ascii="Georgia" w:hAnsi="Georgia"/>
          <w:b w:val="0"/>
          <w:bCs w:val="0"/>
          <w:i w:val="0"/>
          <w:iCs w:val="0"/>
          <w:sz w:val="24"/>
          <w:szCs w:val="24"/>
        </w:rPr>
        <w:t>4</w:t>
      </w:r>
      <w:r w:rsidR="004C2284">
        <w:rPr>
          <w:rFonts w:ascii="Georgia" w:hAnsi="Georgia"/>
          <w:b w:val="0"/>
          <w:bCs w:val="0"/>
          <w:i w:val="0"/>
          <w:iCs w:val="0"/>
          <w:sz w:val="24"/>
          <w:szCs w:val="24"/>
        </w:rPr>
        <w:t>4</w:t>
      </w:r>
      <w:r>
        <w:rPr>
          <w:rFonts w:ascii="Georgia" w:hAnsi="Georgia"/>
          <w:b w:val="0"/>
          <w:bCs w:val="0"/>
          <w:i w:val="0"/>
          <w:iCs w:val="0"/>
          <w:sz w:val="24"/>
          <w:szCs w:val="24"/>
        </w:rPr>
        <w:t>.</w:t>
      </w:r>
      <w:r>
        <w:rPr>
          <w:rFonts w:ascii="Georgia" w:hAnsi="Georgia"/>
          <w:b w:val="0"/>
          <w:bCs w:val="0"/>
          <w:i w:val="0"/>
          <w:iCs w:val="0"/>
          <w:sz w:val="24"/>
          <w:szCs w:val="24"/>
        </w:rPr>
        <w:tab/>
      </w:r>
      <w:r w:rsidRPr="0028310A">
        <w:rPr>
          <w:rFonts w:ascii="Georgia" w:hAnsi="Georgia"/>
          <w:b w:val="0"/>
          <w:bCs w:val="0"/>
          <w:i w:val="0"/>
          <w:iCs w:val="0"/>
          <w:sz w:val="24"/>
          <w:szCs w:val="24"/>
        </w:rPr>
        <w:t xml:space="preserve">Section 43 </w:t>
      </w:r>
      <w:r w:rsidR="00705493">
        <w:rPr>
          <w:rFonts w:ascii="Georgia" w:hAnsi="Georgia"/>
          <w:b w:val="0"/>
          <w:bCs w:val="0"/>
          <w:i w:val="0"/>
          <w:iCs w:val="0"/>
          <w:sz w:val="24"/>
          <w:szCs w:val="24"/>
        </w:rPr>
        <w:t xml:space="preserve">of the </w:t>
      </w:r>
      <w:r>
        <w:rPr>
          <w:rFonts w:ascii="Georgia" w:hAnsi="Georgia"/>
          <w:b w:val="0"/>
          <w:bCs w:val="0"/>
          <w:i w:val="0"/>
          <w:iCs w:val="0"/>
          <w:sz w:val="24"/>
          <w:szCs w:val="24"/>
        </w:rPr>
        <w:t xml:space="preserve">Housing and Planning Act 2016 </w:t>
      </w:r>
      <w:r w:rsidRPr="0028310A">
        <w:rPr>
          <w:rFonts w:ascii="Georgia" w:hAnsi="Georgia"/>
          <w:b w:val="0"/>
          <w:bCs w:val="0"/>
          <w:i w:val="0"/>
          <w:iCs w:val="0"/>
          <w:sz w:val="24"/>
          <w:szCs w:val="24"/>
        </w:rPr>
        <w:t>provides that t</w:t>
      </w:r>
      <w:r>
        <w:rPr>
          <w:rFonts w:ascii="Georgia" w:hAnsi="Georgia"/>
          <w:b w:val="0"/>
          <w:bCs w:val="0"/>
          <w:i w:val="0"/>
          <w:iCs w:val="0"/>
          <w:sz w:val="24"/>
          <w:szCs w:val="24"/>
        </w:rPr>
        <w:t>he T</w:t>
      </w:r>
      <w:r w:rsidRPr="0028310A">
        <w:rPr>
          <w:rFonts w:ascii="Georgia" w:hAnsi="Georgia"/>
          <w:b w:val="0"/>
          <w:bCs w:val="0"/>
          <w:i w:val="0"/>
          <w:iCs w:val="0"/>
          <w:sz w:val="24"/>
          <w:szCs w:val="24"/>
        </w:rPr>
        <w:t xml:space="preserve">ribunal may make a </w:t>
      </w:r>
      <w:r>
        <w:rPr>
          <w:rFonts w:ascii="Georgia" w:hAnsi="Georgia"/>
          <w:b w:val="0"/>
          <w:bCs w:val="0"/>
          <w:i w:val="0"/>
          <w:iCs w:val="0"/>
          <w:sz w:val="24"/>
          <w:szCs w:val="24"/>
        </w:rPr>
        <w:t xml:space="preserve">RRO </w:t>
      </w:r>
      <w:r w:rsidRPr="0028310A">
        <w:rPr>
          <w:rFonts w:ascii="Georgia" w:hAnsi="Georgia"/>
          <w:b w:val="0"/>
          <w:bCs w:val="0"/>
          <w:i w:val="0"/>
          <w:iCs w:val="0"/>
          <w:sz w:val="24"/>
          <w:szCs w:val="24"/>
        </w:rPr>
        <w:t>if it is satisfied beyond reasonable doubt that the offence has been committed. The decision to make a RRO award is therefore discretionary.  However</w:t>
      </w:r>
      <w:r>
        <w:rPr>
          <w:rFonts w:ascii="Georgia" w:hAnsi="Georgia"/>
          <w:b w:val="0"/>
          <w:bCs w:val="0"/>
          <w:i w:val="0"/>
          <w:iCs w:val="0"/>
          <w:sz w:val="24"/>
          <w:szCs w:val="24"/>
        </w:rPr>
        <w:t>,</w:t>
      </w:r>
      <w:r w:rsidRPr="0028310A">
        <w:rPr>
          <w:rFonts w:ascii="Georgia" w:hAnsi="Georgia"/>
          <w:b w:val="0"/>
          <w:bCs w:val="0"/>
          <w:i w:val="0"/>
          <w:iCs w:val="0"/>
          <w:sz w:val="24"/>
          <w:szCs w:val="24"/>
        </w:rPr>
        <w:t xml:space="preserve"> because the offence </w:t>
      </w:r>
      <w:r>
        <w:rPr>
          <w:rFonts w:ascii="Georgia" w:hAnsi="Georgia"/>
          <w:b w:val="0"/>
          <w:bCs w:val="0"/>
          <w:i w:val="0"/>
          <w:iCs w:val="0"/>
          <w:sz w:val="24"/>
          <w:szCs w:val="24"/>
        </w:rPr>
        <w:t>wa</w:t>
      </w:r>
      <w:r w:rsidRPr="0028310A">
        <w:rPr>
          <w:rFonts w:ascii="Georgia" w:hAnsi="Georgia"/>
          <w:b w:val="0"/>
          <w:bCs w:val="0"/>
          <w:i w:val="0"/>
          <w:iCs w:val="0"/>
          <w:sz w:val="24"/>
          <w:szCs w:val="24"/>
        </w:rPr>
        <w:t>s established</w:t>
      </w:r>
      <w:r w:rsidR="005A147D">
        <w:rPr>
          <w:rFonts w:ascii="Georgia" w:hAnsi="Georgia"/>
          <w:b w:val="0"/>
          <w:bCs w:val="0"/>
          <w:i w:val="0"/>
          <w:iCs w:val="0"/>
          <w:sz w:val="24"/>
          <w:szCs w:val="24"/>
        </w:rPr>
        <w:t>,</w:t>
      </w:r>
      <w:r w:rsidRPr="0028310A">
        <w:rPr>
          <w:rFonts w:ascii="Georgia" w:hAnsi="Georgia"/>
          <w:b w:val="0"/>
          <w:bCs w:val="0"/>
          <w:i w:val="0"/>
          <w:iCs w:val="0"/>
          <w:sz w:val="24"/>
          <w:szCs w:val="24"/>
        </w:rPr>
        <w:t xml:space="preserve"> the Tribunal f</w:t>
      </w:r>
      <w:r w:rsidR="00966F53">
        <w:rPr>
          <w:rFonts w:ascii="Georgia" w:hAnsi="Georgia"/>
          <w:b w:val="0"/>
          <w:bCs w:val="0"/>
          <w:i w:val="0"/>
          <w:iCs w:val="0"/>
          <w:sz w:val="24"/>
          <w:szCs w:val="24"/>
        </w:rPr>
        <w:t>inds</w:t>
      </w:r>
      <w:r w:rsidRPr="0028310A">
        <w:rPr>
          <w:rFonts w:ascii="Georgia" w:hAnsi="Georgia"/>
          <w:b w:val="0"/>
          <w:bCs w:val="0"/>
          <w:i w:val="0"/>
          <w:iCs w:val="0"/>
          <w:sz w:val="24"/>
          <w:szCs w:val="24"/>
        </w:rPr>
        <w:t xml:space="preserve"> no reason why it should not make a RRO</w:t>
      </w:r>
      <w:r>
        <w:rPr>
          <w:rFonts w:ascii="Georgia" w:hAnsi="Georgia"/>
          <w:b w:val="0"/>
          <w:bCs w:val="0"/>
          <w:i w:val="0"/>
          <w:iCs w:val="0"/>
          <w:sz w:val="24"/>
          <w:szCs w:val="24"/>
        </w:rPr>
        <w:t xml:space="preserve"> in the circumstances of this application.</w:t>
      </w:r>
      <w:r w:rsidRPr="0028310A">
        <w:rPr>
          <w:rFonts w:ascii="Georgia" w:hAnsi="Georgia"/>
          <w:b w:val="0"/>
          <w:bCs w:val="0"/>
          <w:i w:val="0"/>
          <w:iCs w:val="0"/>
          <w:sz w:val="24"/>
          <w:szCs w:val="24"/>
        </w:rPr>
        <w:t xml:space="preserve">  </w:t>
      </w:r>
    </w:p>
    <w:p w14:paraId="600C5168" w14:textId="77777777" w:rsidR="00CE7415" w:rsidRPr="0028310A" w:rsidRDefault="00CE7415" w:rsidP="00CE7415">
      <w:pPr>
        <w:rPr>
          <w:rFonts w:ascii="Georgia" w:hAnsi="Georgia"/>
          <w:lang w:eastAsia="en-GB"/>
        </w:rPr>
      </w:pPr>
    </w:p>
    <w:p w14:paraId="539BF798" w14:textId="77777777" w:rsidR="00CE7415" w:rsidRPr="0028310A" w:rsidRDefault="00CE7415" w:rsidP="00CE7415">
      <w:pPr>
        <w:jc w:val="both"/>
        <w:rPr>
          <w:rFonts w:ascii="Georgia" w:hAnsi="Georgia"/>
          <w:b/>
          <w:bCs/>
        </w:rPr>
      </w:pPr>
      <w:r w:rsidRPr="0028310A">
        <w:rPr>
          <w:rFonts w:ascii="Georgia" w:hAnsi="Georgia"/>
          <w:b/>
          <w:bCs/>
        </w:rPr>
        <w:t>Ascertaining the Whole of the Rent for the Relevant Period</w:t>
      </w:r>
    </w:p>
    <w:p w14:paraId="1ED0FBF7" w14:textId="77777777" w:rsidR="00BD7B0C" w:rsidRDefault="00BD7B0C" w:rsidP="00BD7B0C">
      <w:pPr>
        <w:pStyle w:val="ListParagraph"/>
        <w:ind w:left="0"/>
        <w:jc w:val="both"/>
        <w:rPr>
          <w:rFonts w:ascii="Georgia" w:hAnsi="Georgia"/>
        </w:rPr>
      </w:pPr>
    </w:p>
    <w:p w14:paraId="6410A524" w14:textId="32F7A36B" w:rsidR="00DB567A" w:rsidRDefault="008B7244" w:rsidP="00BD7B0C">
      <w:pPr>
        <w:pStyle w:val="ListParagraph"/>
        <w:numPr>
          <w:ilvl w:val="0"/>
          <w:numId w:val="21"/>
        </w:numPr>
        <w:ind w:hanging="720"/>
        <w:jc w:val="both"/>
        <w:rPr>
          <w:rFonts w:ascii="Georgia" w:hAnsi="Georgia"/>
        </w:rPr>
      </w:pPr>
      <w:r>
        <w:rPr>
          <w:rFonts w:ascii="Georgia" w:hAnsi="Georgia"/>
        </w:rPr>
        <w:t xml:space="preserve">For the reasons set out above, the </w:t>
      </w:r>
      <w:r w:rsidR="00DB567A">
        <w:rPr>
          <w:rFonts w:ascii="Georgia" w:hAnsi="Georgia"/>
        </w:rPr>
        <w:t>rent for the relevant period is:</w:t>
      </w:r>
    </w:p>
    <w:p w14:paraId="55BC115A" w14:textId="0FF92517" w:rsidR="00CE7415" w:rsidRPr="0028310A" w:rsidRDefault="00CE7415" w:rsidP="00DB567A">
      <w:pPr>
        <w:pStyle w:val="ListParagraph"/>
        <w:jc w:val="both"/>
        <w:rPr>
          <w:rFonts w:ascii="Georgia" w:hAnsi="Georgia"/>
        </w:rPr>
      </w:pPr>
      <w:r w:rsidRPr="0028310A">
        <w:rPr>
          <w:rFonts w:ascii="Georgia" w:hAnsi="Georgia"/>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209"/>
        <w:gridCol w:w="2282"/>
      </w:tblGrid>
      <w:tr w:rsidR="00705493" w14:paraId="56508B2A" w14:textId="77777777" w:rsidTr="008F1ABF">
        <w:tc>
          <w:tcPr>
            <w:tcW w:w="2435" w:type="dxa"/>
            <w:shd w:val="clear" w:color="auto" w:fill="auto"/>
          </w:tcPr>
          <w:p w14:paraId="7706B22F" w14:textId="77777777" w:rsidR="00705493" w:rsidRDefault="00705493" w:rsidP="008F1ABF">
            <w:pPr>
              <w:spacing w:line="360" w:lineRule="auto"/>
              <w:jc w:val="both"/>
              <w:textAlignment w:val="baseline"/>
              <w:rPr>
                <w:rFonts w:ascii="Georgia" w:hAnsi="Georgia" w:cs="Arial"/>
                <w:b/>
                <w:bCs/>
                <w:color w:val="3D3D3D"/>
                <w:lang w:eastAsia="en-GB"/>
              </w:rPr>
            </w:pPr>
            <w:r>
              <w:rPr>
                <w:rFonts w:ascii="Georgia" w:hAnsi="Georgia" w:cs="Arial"/>
                <w:b/>
                <w:bCs/>
                <w:color w:val="3D3D3D"/>
                <w:lang w:eastAsia="en-GB"/>
              </w:rPr>
              <w:t>Respondent</w:t>
            </w:r>
          </w:p>
        </w:tc>
        <w:tc>
          <w:tcPr>
            <w:tcW w:w="2295" w:type="dxa"/>
            <w:shd w:val="clear" w:color="auto" w:fill="auto"/>
          </w:tcPr>
          <w:p w14:paraId="56EEBFB1" w14:textId="77777777" w:rsidR="00705493" w:rsidRDefault="00705493" w:rsidP="008F1ABF">
            <w:pPr>
              <w:spacing w:line="360" w:lineRule="auto"/>
              <w:jc w:val="both"/>
              <w:textAlignment w:val="baseline"/>
              <w:rPr>
                <w:rFonts w:ascii="Georgia" w:hAnsi="Georgia" w:cs="Arial"/>
                <w:b/>
                <w:bCs/>
                <w:color w:val="3D3D3D"/>
                <w:lang w:eastAsia="en-GB"/>
              </w:rPr>
            </w:pPr>
            <w:r>
              <w:rPr>
                <w:rFonts w:ascii="Georgia" w:hAnsi="Georgia" w:cs="Arial"/>
                <w:b/>
                <w:bCs/>
                <w:color w:val="3D3D3D"/>
                <w:lang w:eastAsia="en-GB"/>
              </w:rPr>
              <w:t>Relevant Period</w:t>
            </w:r>
          </w:p>
        </w:tc>
        <w:tc>
          <w:tcPr>
            <w:tcW w:w="2358" w:type="dxa"/>
            <w:shd w:val="clear" w:color="auto" w:fill="auto"/>
          </w:tcPr>
          <w:p w14:paraId="203CC4A4" w14:textId="77777777" w:rsidR="00705493" w:rsidRDefault="00705493" w:rsidP="008F1ABF">
            <w:pPr>
              <w:spacing w:line="360" w:lineRule="auto"/>
              <w:jc w:val="both"/>
              <w:textAlignment w:val="baseline"/>
              <w:rPr>
                <w:rFonts w:ascii="Georgia" w:hAnsi="Georgia" w:cs="Arial"/>
                <w:b/>
                <w:bCs/>
                <w:color w:val="3D3D3D"/>
                <w:lang w:eastAsia="en-GB"/>
              </w:rPr>
            </w:pPr>
            <w:r>
              <w:rPr>
                <w:rFonts w:ascii="Georgia" w:hAnsi="Georgia" w:cs="Arial"/>
                <w:b/>
                <w:bCs/>
                <w:color w:val="3D3D3D"/>
                <w:lang w:eastAsia="en-GB"/>
              </w:rPr>
              <w:t>Maximum Amount of Rent</w:t>
            </w:r>
          </w:p>
        </w:tc>
      </w:tr>
      <w:tr w:rsidR="00705493" w14:paraId="43604776" w14:textId="77777777" w:rsidTr="008F1ABF">
        <w:tc>
          <w:tcPr>
            <w:tcW w:w="2435" w:type="dxa"/>
            <w:shd w:val="clear" w:color="auto" w:fill="auto"/>
          </w:tcPr>
          <w:p w14:paraId="6AF79DF3" w14:textId="77777777" w:rsidR="00705493" w:rsidRDefault="00705493" w:rsidP="008F1ABF">
            <w:pPr>
              <w:spacing w:line="360" w:lineRule="auto"/>
              <w:jc w:val="both"/>
              <w:textAlignment w:val="baseline"/>
              <w:rPr>
                <w:rFonts w:ascii="Georgia" w:hAnsi="Georgia" w:cs="Arial"/>
                <w:color w:val="3D3D3D"/>
                <w:lang w:eastAsia="en-GB"/>
              </w:rPr>
            </w:pPr>
            <w:r>
              <w:rPr>
                <w:rFonts w:ascii="Georgia" w:hAnsi="Georgia" w:cs="Arial"/>
                <w:color w:val="3D3D3D"/>
                <w:lang w:eastAsia="en-GB"/>
              </w:rPr>
              <w:t>Ladbrokes Betting &amp; Gaming</w:t>
            </w:r>
          </w:p>
        </w:tc>
        <w:tc>
          <w:tcPr>
            <w:tcW w:w="2295" w:type="dxa"/>
            <w:shd w:val="clear" w:color="auto" w:fill="auto"/>
          </w:tcPr>
          <w:p w14:paraId="38736F5C" w14:textId="77777777" w:rsidR="00705493" w:rsidRDefault="00705493" w:rsidP="008F1ABF">
            <w:pPr>
              <w:spacing w:line="360" w:lineRule="auto"/>
              <w:jc w:val="both"/>
              <w:textAlignment w:val="baseline"/>
              <w:rPr>
                <w:rFonts w:ascii="Georgia" w:hAnsi="Georgia" w:cs="Arial"/>
                <w:color w:val="3D3D3D"/>
                <w:lang w:eastAsia="en-GB"/>
              </w:rPr>
            </w:pPr>
            <w:r>
              <w:rPr>
                <w:rFonts w:ascii="Georgia" w:hAnsi="Georgia" w:cs="Arial"/>
                <w:color w:val="3D3D3D"/>
                <w:lang w:eastAsia="en-GB"/>
              </w:rPr>
              <w:t>10 January 2023 until 15 May 2023</w:t>
            </w:r>
          </w:p>
        </w:tc>
        <w:tc>
          <w:tcPr>
            <w:tcW w:w="2358" w:type="dxa"/>
            <w:shd w:val="clear" w:color="auto" w:fill="auto"/>
          </w:tcPr>
          <w:p w14:paraId="3F83EE78" w14:textId="77777777" w:rsidR="00705493" w:rsidRDefault="00705493" w:rsidP="008F1ABF">
            <w:pPr>
              <w:spacing w:line="360" w:lineRule="auto"/>
              <w:jc w:val="both"/>
              <w:textAlignment w:val="baseline"/>
              <w:rPr>
                <w:rFonts w:ascii="Georgia" w:hAnsi="Georgia" w:cs="Arial"/>
                <w:color w:val="3D3D3D"/>
                <w:lang w:eastAsia="en-GB"/>
              </w:rPr>
            </w:pPr>
            <w:r>
              <w:rPr>
                <w:rFonts w:ascii="Georgia" w:hAnsi="Georgia" w:cs="Arial"/>
                <w:color w:val="3D3D3D"/>
                <w:lang w:eastAsia="en-GB"/>
              </w:rPr>
              <w:t>£7,102.74</w:t>
            </w:r>
          </w:p>
        </w:tc>
      </w:tr>
      <w:tr w:rsidR="00705493" w14:paraId="0E5EF6D7" w14:textId="77777777" w:rsidTr="008F1ABF">
        <w:tc>
          <w:tcPr>
            <w:tcW w:w="2435" w:type="dxa"/>
            <w:shd w:val="clear" w:color="auto" w:fill="auto"/>
          </w:tcPr>
          <w:p w14:paraId="5FA259D9" w14:textId="77777777" w:rsidR="00705493" w:rsidRDefault="00705493" w:rsidP="008F1ABF">
            <w:pPr>
              <w:spacing w:line="360" w:lineRule="auto"/>
              <w:jc w:val="both"/>
              <w:textAlignment w:val="baseline"/>
              <w:rPr>
                <w:rFonts w:ascii="Georgia" w:hAnsi="Georgia" w:cs="Arial"/>
                <w:color w:val="3D3D3D"/>
                <w:lang w:eastAsia="en-GB"/>
              </w:rPr>
            </w:pPr>
            <w:r>
              <w:rPr>
                <w:rFonts w:ascii="Georgia" w:hAnsi="Georgia" w:cs="Arial"/>
                <w:color w:val="3D3D3D"/>
                <w:lang w:eastAsia="en-GB"/>
              </w:rPr>
              <w:t>Zakir Mumtaz</w:t>
            </w:r>
          </w:p>
        </w:tc>
        <w:tc>
          <w:tcPr>
            <w:tcW w:w="2295" w:type="dxa"/>
            <w:shd w:val="clear" w:color="auto" w:fill="auto"/>
          </w:tcPr>
          <w:p w14:paraId="725DCDD1" w14:textId="77777777" w:rsidR="00705493" w:rsidRDefault="00705493" w:rsidP="008F1ABF">
            <w:pPr>
              <w:spacing w:line="360" w:lineRule="auto"/>
              <w:jc w:val="both"/>
              <w:textAlignment w:val="baseline"/>
              <w:rPr>
                <w:rFonts w:ascii="Georgia" w:hAnsi="Georgia" w:cs="Arial"/>
                <w:color w:val="3D3D3D"/>
                <w:lang w:eastAsia="en-GB"/>
              </w:rPr>
            </w:pPr>
            <w:r>
              <w:rPr>
                <w:rFonts w:ascii="Georgia" w:hAnsi="Georgia" w:cs="Arial"/>
                <w:color w:val="3D3D3D"/>
                <w:lang w:eastAsia="en-GB"/>
              </w:rPr>
              <w:t>10 June 2023 until 9 July 2023</w:t>
            </w:r>
          </w:p>
        </w:tc>
        <w:tc>
          <w:tcPr>
            <w:tcW w:w="2358" w:type="dxa"/>
            <w:shd w:val="clear" w:color="auto" w:fill="auto"/>
          </w:tcPr>
          <w:p w14:paraId="13ADD206" w14:textId="77777777" w:rsidR="00705493" w:rsidRDefault="00705493" w:rsidP="008F1ABF">
            <w:pPr>
              <w:spacing w:line="360" w:lineRule="auto"/>
              <w:jc w:val="both"/>
              <w:textAlignment w:val="baseline"/>
              <w:rPr>
                <w:rFonts w:ascii="Georgia" w:hAnsi="Georgia" w:cs="Arial"/>
                <w:color w:val="3D3D3D"/>
                <w:lang w:eastAsia="en-GB"/>
              </w:rPr>
            </w:pPr>
            <w:r>
              <w:rPr>
                <w:rFonts w:ascii="Georgia" w:hAnsi="Georgia" w:cs="Arial"/>
                <w:color w:val="3D3D3D"/>
                <w:lang w:eastAsia="en-GB"/>
              </w:rPr>
              <w:t>£1,700</w:t>
            </w:r>
          </w:p>
        </w:tc>
      </w:tr>
    </w:tbl>
    <w:p w14:paraId="2AF28BB4" w14:textId="77777777" w:rsidR="00CE7415" w:rsidRPr="0028310A" w:rsidRDefault="00CE7415" w:rsidP="00705493">
      <w:pPr>
        <w:pStyle w:val="ListParagraph"/>
        <w:ind w:left="1440"/>
        <w:jc w:val="both"/>
        <w:rPr>
          <w:rFonts w:ascii="Georgia" w:hAnsi="Georgia"/>
        </w:rPr>
      </w:pPr>
    </w:p>
    <w:p w14:paraId="18258307" w14:textId="77777777" w:rsidR="00705493" w:rsidRDefault="00705493" w:rsidP="00CE7415">
      <w:pPr>
        <w:jc w:val="both"/>
        <w:rPr>
          <w:rFonts w:ascii="Georgia" w:hAnsi="Georgia"/>
          <w:b/>
          <w:bCs/>
        </w:rPr>
      </w:pPr>
    </w:p>
    <w:p w14:paraId="35E64259" w14:textId="44C01655" w:rsidR="00CE7415" w:rsidRPr="0028310A" w:rsidRDefault="00CE7415" w:rsidP="00CE7415">
      <w:pPr>
        <w:jc w:val="both"/>
        <w:rPr>
          <w:rFonts w:ascii="Georgia" w:hAnsi="Georgia"/>
          <w:b/>
          <w:bCs/>
        </w:rPr>
      </w:pPr>
      <w:r w:rsidRPr="0028310A">
        <w:rPr>
          <w:rFonts w:ascii="Georgia" w:hAnsi="Georgia"/>
          <w:b/>
          <w:bCs/>
        </w:rPr>
        <w:t xml:space="preserve">Deductions for </w:t>
      </w:r>
      <w:r>
        <w:rPr>
          <w:rFonts w:ascii="Georgia" w:hAnsi="Georgia"/>
          <w:b/>
          <w:bCs/>
        </w:rPr>
        <w:t>U</w:t>
      </w:r>
      <w:r w:rsidRPr="0028310A">
        <w:rPr>
          <w:rFonts w:ascii="Georgia" w:hAnsi="Georgia"/>
          <w:b/>
          <w:bCs/>
        </w:rPr>
        <w:t xml:space="preserve">tility </w:t>
      </w:r>
      <w:r>
        <w:rPr>
          <w:rFonts w:ascii="Georgia" w:hAnsi="Georgia"/>
          <w:b/>
          <w:bCs/>
        </w:rPr>
        <w:t>P</w:t>
      </w:r>
      <w:r w:rsidRPr="0028310A">
        <w:rPr>
          <w:rFonts w:ascii="Georgia" w:hAnsi="Georgia"/>
          <w:b/>
          <w:bCs/>
        </w:rPr>
        <w:t xml:space="preserve">ayments that </w:t>
      </w:r>
      <w:r>
        <w:rPr>
          <w:rFonts w:ascii="Georgia" w:hAnsi="Georgia"/>
          <w:b/>
          <w:bCs/>
        </w:rPr>
        <w:t>B</w:t>
      </w:r>
      <w:r w:rsidRPr="0028310A">
        <w:rPr>
          <w:rFonts w:ascii="Georgia" w:hAnsi="Georgia"/>
          <w:b/>
          <w:bCs/>
        </w:rPr>
        <w:t>enefit the Tenant</w:t>
      </w:r>
    </w:p>
    <w:p w14:paraId="5D8C0E85" w14:textId="77777777" w:rsidR="00CE7415" w:rsidRPr="0028310A" w:rsidRDefault="00CE7415" w:rsidP="00CE7415">
      <w:pPr>
        <w:pStyle w:val="ListParagraph"/>
        <w:ind w:left="0"/>
        <w:jc w:val="both"/>
        <w:rPr>
          <w:rFonts w:ascii="Georgia" w:hAnsi="Georgia"/>
          <w:b/>
          <w:bCs/>
        </w:rPr>
      </w:pPr>
    </w:p>
    <w:p w14:paraId="6115FB60" w14:textId="4B44E0A1" w:rsidR="00CE7415" w:rsidRDefault="00DB567A" w:rsidP="00BD7B0C">
      <w:pPr>
        <w:pStyle w:val="ListParagraph"/>
        <w:numPr>
          <w:ilvl w:val="0"/>
          <w:numId w:val="21"/>
        </w:numPr>
        <w:spacing w:line="360" w:lineRule="auto"/>
        <w:ind w:hanging="578"/>
        <w:jc w:val="both"/>
        <w:rPr>
          <w:rFonts w:ascii="Georgia" w:hAnsi="Georgia"/>
        </w:rPr>
      </w:pPr>
      <w:r>
        <w:rPr>
          <w:rFonts w:ascii="Georgia" w:hAnsi="Georgia"/>
        </w:rPr>
        <w:t>The Applicants confirmed that the</w:t>
      </w:r>
      <w:r w:rsidR="00AB3BBC">
        <w:rPr>
          <w:rFonts w:ascii="Georgia" w:hAnsi="Georgia"/>
        </w:rPr>
        <w:t xml:space="preserve">y were responsible </w:t>
      </w:r>
      <w:r w:rsidR="00CA5468">
        <w:rPr>
          <w:rFonts w:ascii="Georgia" w:hAnsi="Georgia"/>
        </w:rPr>
        <w:t>for utility payments.  The Tribunal accept</w:t>
      </w:r>
      <w:r w:rsidR="00294C07">
        <w:rPr>
          <w:rFonts w:ascii="Georgia" w:hAnsi="Georgia"/>
        </w:rPr>
        <w:t>s</w:t>
      </w:r>
      <w:r w:rsidR="00CA5468">
        <w:rPr>
          <w:rFonts w:ascii="Georgia" w:hAnsi="Georgia"/>
        </w:rPr>
        <w:t xml:space="preserve"> th</w:t>
      </w:r>
      <w:r w:rsidR="00705493">
        <w:rPr>
          <w:rFonts w:ascii="Georgia" w:hAnsi="Georgia"/>
        </w:rPr>
        <w:t xml:space="preserve">is evidence </w:t>
      </w:r>
      <w:r w:rsidR="00CA5468">
        <w:rPr>
          <w:rFonts w:ascii="Georgia" w:hAnsi="Georgia"/>
        </w:rPr>
        <w:t>and in particular note</w:t>
      </w:r>
      <w:r w:rsidR="00294C07">
        <w:rPr>
          <w:rFonts w:ascii="Georgia" w:hAnsi="Georgia"/>
        </w:rPr>
        <w:t>s</w:t>
      </w:r>
      <w:r w:rsidR="00CA5468">
        <w:rPr>
          <w:rFonts w:ascii="Georgia" w:hAnsi="Georgia"/>
        </w:rPr>
        <w:t xml:space="preserve"> the evidence </w:t>
      </w:r>
      <w:r w:rsidR="008A335C">
        <w:rPr>
          <w:rFonts w:ascii="Georgia" w:hAnsi="Georgia"/>
        </w:rPr>
        <w:t xml:space="preserve">produced by the Applicants of the </w:t>
      </w:r>
      <w:r w:rsidR="00633F14">
        <w:rPr>
          <w:rFonts w:ascii="Georgia" w:hAnsi="Georgia"/>
        </w:rPr>
        <w:t xml:space="preserve">protracted communication they had with </w:t>
      </w:r>
      <w:r w:rsidR="00705493">
        <w:rPr>
          <w:rFonts w:ascii="Georgia" w:hAnsi="Georgia"/>
        </w:rPr>
        <w:t>electricity</w:t>
      </w:r>
      <w:r w:rsidR="00633F14">
        <w:rPr>
          <w:rFonts w:ascii="Georgia" w:hAnsi="Georgia"/>
        </w:rPr>
        <w:t xml:space="preserve"> suppliers whi</w:t>
      </w:r>
      <w:r w:rsidR="00226C62">
        <w:rPr>
          <w:rFonts w:ascii="Georgia" w:hAnsi="Georgia"/>
        </w:rPr>
        <w:t>l</w:t>
      </w:r>
      <w:r w:rsidR="00633F14">
        <w:rPr>
          <w:rFonts w:ascii="Georgia" w:hAnsi="Georgia"/>
        </w:rPr>
        <w:t>st trying to sort out the amount the</w:t>
      </w:r>
      <w:r w:rsidR="00226C62">
        <w:rPr>
          <w:rFonts w:ascii="Georgia" w:hAnsi="Georgia"/>
        </w:rPr>
        <w:t xml:space="preserve">y had to pay </w:t>
      </w:r>
      <w:r w:rsidR="00633F14">
        <w:rPr>
          <w:rFonts w:ascii="Georgia" w:hAnsi="Georgia"/>
        </w:rPr>
        <w:t>(an example of such correspondence is at page 18 of the bundle).</w:t>
      </w:r>
    </w:p>
    <w:p w14:paraId="224775DF" w14:textId="77777777" w:rsidR="00705493" w:rsidRDefault="00705493" w:rsidP="00705493">
      <w:pPr>
        <w:pStyle w:val="ListParagraph"/>
        <w:jc w:val="both"/>
        <w:rPr>
          <w:rFonts w:ascii="Georgia" w:hAnsi="Georgia"/>
        </w:rPr>
      </w:pPr>
    </w:p>
    <w:p w14:paraId="286BFA9C" w14:textId="5ADAF97A" w:rsidR="00633F14" w:rsidRPr="0028310A" w:rsidRDefault="00633F14" w:rsidP="00BD7B0C">
      <w:pPr>
        <w:pStyle w:val="ListParagraph"/>
        <w:numPr>
          <w:ilvl w:val="0"/>
          <w:numId w:val="21"/>
        </w:numPr>
        <w:spacing w:line="360" w:lineRule="auto"/>
        <w:ind w:hanging="578"/>
        <w:jc w:val="both"/>
        <w:rPr>
          <w:rFonts w:ascii="Georgia" w:hAnsi="Georgia"/>
        </w:rPr>
      </w:pPr>
      <w:r>
        <w:rPr>
          <w:rFonts w:ascii="Georgia" w:hAnsi="Georgia"/>
        </w:rPr>
        <w:t>The Tribunal therefore</w:t>
      </w:r>
      <w:r w:rsidR="00226C62">
        <w:rPr>
          <w:rFonts w:ascii="Georgia" w:hAnsi="Georgia"/>
        </w:rPr>
        <w:t xml:space="preserve"> </w:t>
      </w:r>
      <w:r w:rsidR="00480C16">
        <w:rPr>
          <w:rFonts w:ascii="Georgia" w:hAnsi="Georgia"/>
        </w:rPr>
        <w:t>makes no deduction for utility payments from the rent paid.</w:t>
      </w:r>
    </w:p>
    <w:p w14:paraId="235983C5" w14:textId="77777777" w:rsidR="00CE7415" w:rsidRPr="0028310A" w:rsidRDefault="00CE7415" w:rsidP="00705493">
      <w:pPr>
        <w:pStyle w:val="ListParagraph"/>
        <w:spacing w:line="360" w:lineRule="auto"/>
        <w:ind w:left="0"/>
        <w:jc w:val="both"/>
        <w:rPr>
          <w:rFonts w:ascii="Georgia" w:hAnsi="Georgia"/>
        </w:rPr>
      </w:pPr>
    </w:p>
    <w:p w14:paraId="6198DF43" w14:textId="77777777" w:rsidR="00CE7415" w:rsidRPr="0028310A" w:rsidRDefault="00CE7415" w:rsidP="00CE7415">
      <w:pPr>
        <w:jc w:val="both"/>
        <w:rPr>
          <w:rFonts w:ascii="Georgia" w:hAnsi="Georgia"/>
          <w:b/>
          <w:bCs/>
        </w:rPr>
      </w:pPr>
      <w:r w:rsidRPr="0028310A">
        <w:rPr>
          <w:rFonts w:ascii="Georgia" w:hAnsi="Georgia"/>
          <w:b/>
          <w:bCs/>
        </w:rPr>
        <w:t>Determining the Seriousness of the Offence to Ascertain the Starting Point</w:t>
      </w:r>
    </w:p>
    <w:p w14:paraId="40B9ED8C" w14:textId="77777777" w:rsidR="00CE7415" w:rsidRPr="0028310A" w:rsidRDefault="00CE7415" w:rsidP="00CE7415">
      <w:pPr>
        <w:jc w:val="both"/>
        <w:rPr>
          <w:rFonts w:ascii="Georgia" w:hAnsi="Georgia"/>
          <w:b/>
          <w:bCs/>
        </w:rPr>
      </w:pPr>
    </w:p>
    <w:p w14:paraId="37DAF664" w14:textId="13336CD6" w:rsidR="00CE7415" w:rsidRPr="0028310A" w:rsidRDefault="00CE7415" w:rsidP="006B2C54">
      <w:pPr>
        <w:pStyle w:val="ListParagraph"/>
        <w:spacing w:line="360" w:lineRule="auto"/>
        <w:ind w:hanging="720"/>
        <w:jc w:val="both"/>
        <w:rPr>
          <w:rFonts w:ascii="Georgia" w:hAnsi="Georgia"/>
          <w:b/>
          <w:bCs/>
        </w:rPr>
      </w:pPr>
      <w:r>
        <w:rPr>
          <w:rFonts w:ascii="Georgia" w:hAnsi="Georgia"/>
        </w:rPr>
        <w:t>4</w:t>
      </w:r>
      <w:r w:rsidR="00BD7B0C">
        <w:rPr>
          <w:rFonts w:ascii="Georgia" w:hAnsi="Georgia"/>
        </w:rPr>
        <w:t>8</w:t>
      </w:r>
      <w:r>
        <w:rPr>
          <w:rFonts w:ascii="Georgia" w:hAnsi="Georgia"/>
        </w:rPr>
        <w:t>.</w:t>
      </w:r>
      <w:r>
        <w:rPr>
          <w:rFonts w:ascii="Georgia" w:hAnsi="Georgia"/>
        </w:rPr>
        <w:tab/>
      </w:r>
      <w:r w:rsidRPr="0028310A">
        <w:rPr>
          <w:rFonts w:ascii="Georgia" w:hAnsi="Georgia"/>
        </w:rPr>
        <w:t xml:space="preserve">The Tribunal </w:t>
      </w:r>
      <w:r>
        <w:rPr>
          <w:rFonts w:ascii="Georgia" w:hAnsi="Georgia"/>
        </w:rPr>
        <w:t>had to</w:t>
      </w:r>
      <w:r w:rsidRPr="0028310A">
        <w:rPr>
          <w:rFonts w:ascii="Georgia" w:hAnsi="Georgia"/>
        </w:rPr>
        <w:t xml:space="preserve"> consider the seriousness of the offence compared to other types of offences for which a RRO c</w:t>
      </w:r>
      <w:r>
        <w:rPr>
          <w:rFonts w:ascii="Georgia" w:hAnsi="Georgia"/>
        </w:rPr>
        <w:t>ould</w:t>
      </w:r>
      <w:r w:rsidRPr="0028310A">
        <w:rPr>
          <w:rFonts w:ascii="Georgia" w:hAnsi="Georgia"/>
        </w:rPr>
        <w:t xml:space="preserve"> be made, and also as compared to other examples of the same offence.</w:t>
      </w:r>
    </w:p>
    <w:p w14:paraId="662B2EB2" w14:textId="77777777" w:rsidR="00CE7415" w:rsidRPr="0028310A" w:rsidRDefault="00CE7415" w:rsidP="006B2C54">
      <w:pPr>
        <w:pStyle w:val="ListParagraph"/>
        <w:spacing w:line="360" w:lineRule="auto"/>
        <w:ind w:left="426"/>
        <w:jc w:val="both"/>
        <w:rPr>
          <w:rFonts w:ascii="Georgia" w:hAnsi="Georgia"/>
          <w:b/>
          <w:bCs/>
        </w:rPr>
      </w:pPr>
    </w:p>
    <w:p w14:paraId="21AB50BC" w14:textId="408132AF" w:rsidR="00CE7415" w:rsidRPr="0028310A" w:rsidRDefault="00CE7415" w:rsidP="006B2C54">
      <w:pPr>
        <w:pStyle w:val="ListParagraph"/>
        <w:spacing w:line="360" w:lineRule="auto"/>
        <w:ind w:hanging="720"/>
        <w:jc w:val="both"/>
        <w:rPr>
          <w:rFonts w:ascii="Georgia" w:hAnsi="Georgia"/>
          <w:b/>
          <w:bCs/>
        </w:rPr>
      </w:pPr>
      <w:r>
        <w:rPr>
          <w:rFonts w:ascii="Georgia" w:hAnsi="Georgia"/>
        </w:rPr>
        <w:t>4</w:t>
      </w:r>
      <w:r w:rsidR="00BD7B0C">
        <w:rPr>
          <w:rFonts w:ascii="Georgia" w:hAnsi="Georgia"/>
        </w:rPr>
        <w:t>9</w:t>
      </w:r>
      <w:r>
        <w:rPr>
          <w:rFonts w:ascii="Georgia" w:hAnsi="Georgia"/>
        </w:rPr>
        <w:t>.</w:t>
      </w:r>
      <w:r>
        <w:rPr>
          <w:rFonts w:ascii="Georgia" w:hAnsi="Georgia"/>
        </w:rPr>
        <w:tab/>
      </w:r>
      <w:r w:rsidRPr="0028310A">
        <w:rPr>
          <w:rFonts w:ascii="Georgia" w:hAnsi="Georgia"/>
        </w:rPr>
        <w:t>In determining the seriousness of the offence, the Tribunal adopted Judge Cooke’s analysis in Acheampong v Roman [2022] that the seriousness of the offence c</w:t>
      </w:r>
      <w:r>
        <w:rPr>
          <w:rFonts w:ascii="Georgia" w:hAnsi="Georgia"/>
        </w:rPr>
        <w:t>ould</w:t>
      </w:r>
      <w:r w:rsidRPr="0028310A">
        <w:rPr>
          <w:rFonts w:ascii="Georgia" w:hAnsi="Georgia"/>
        </w:rPr>
        <w:t xml:space="preserve"> be seen by comparing the maximum sentences upon conviction for each offence.  Using this hierarchical analysis</w:t>
      </w:r>
      <w:r w:rsidRPr="0028310A">
        <w:rPr>
          <w:rFonts w:ascii="Georgia" w:hAnsi="Georgia"/>
          <w:i/>
          <w:iCs/>
        </w:rPr>
        <w:t xml:space="preserve">, </w:t>
      </w:r>
      <w:r w:rsidRPr="0028310A">
        <w:rPr>
          <w:rFonts w:ascii="Georgia" w:hAnsi="Georgia"/>
        </w:rPr>
        <w:t>the relevant offence of having control or managing an unlicensed house w</w:t>
      </w:r>
      <w:r>
        <w:rPr>
          <w:rFonts w:ascii="Georgia" w:hAnsi="Georgia"/>
        </w:rPr>
        <w:t>ould</w:t>
      </w:r>
      <w:r w:rsidRPr="0028310A">
        <w:rPr>
          <w:rFonts w:ascii="Georgia" w:hAnsi="Georgia"/>
        </w:rPr>
        <w:t xml:space="preserve"> generally be less serious.  However, the Tribunal </w:t>
      </w:r>
      <w:r>
        <w:rPr>
          <w:rFonts w:ascii="Georgia" w:hAnsi="Georgia"/>
        </w:rPr>
        <w:t>had to</w:t>
      </w:r>
      <w:r w:rsidRPr="0028310A">
        <w:rPr>
          <w:rFonts w:ascii="Georgia" w:hAnsi="Georgia"/>
        </w:rPr>
        <w:t xml:space="preserve"> consider the circumstances of this particular case as compared to other examples of the same offence.  </w:t>
      </w:r>
    </w:p>
    <w:p w14:paraId="44450F9E" w14:textId="77777777" w:rsidR="00CE7415" w:rsidRPr="0028310A" w:rsidRDefault="00CE7415" w:rsidP="006B2C54">
      <w:pPr>
        <w:pStyle w:val="ListParagraph"/>
        <w:spacing w:line="360" w:lineRule="auto"/>
        <w:rPr>
          <w:rFonts w:ascii="Georgia" w:hAnsi="Georgia"/>
          <w:b/>
          <w:bCs/>
        </w:rPr>
      </w:pPr>
    </w:p>
    <w:p w14:paraId="2874F9A4" w14:textId="77777777" w:rsidR="00CE7415" w:rsidRPr="0028310A" w:rsidRDefault="00CE7415" w:rsidP="006B2C54">
      <w:pPr>
        <w:pStyle w:val="ListParagraph"/>
        <w:spacing w:line="360" w:lineRule="auto"/>
        <w:rPr>
          <w:rFonts w:ascii="Georgia" w:hAnsi="Georgia"/>
          <w:b/>
          <w:bCs/>
          <w:i/>
          <w:iCs/>
        </w:rPr>
      </w:pPr>
    </w:p>
    <w:p w14:paraId="2A99C8DE" w14:textId="77777777" w:rsidR="00CE7415" w:rsidRPr="0028310A" w:rsidRDefault="00CE7415" w:rsidP="006B2C54">
      <w:pPr>
        <w:spacing w:line="360" w:lineRule="auto"/>
        <w:jc w:val="both"/>
        <w:rPr>
          <w:rFonts w:ascii="Georgia" w:hAnsi="Georgia"/>
          <w:b/>
          <w:bCs/>
        </w:rPr>
      </w:pPr>
      <w:r w:rsidRPr="0028310A">
        <w:rPr>
          <w:rFonts w:ascii="Georgia" w:hAnsi="Georgia"/>
          <w:b/>
          <w:bCs/>
        </w:rPr>
        <w:t>Conduct of Landlord and Tenant</w:t>
      </w:r>
    </w:p>
    <w:p w14:paraId="68BBC0A4" w14:textId="77777777" w:rsidR="00CE7415" w:rsidRPr="0028310A" w:rsidRDefault="00CE7415" w:rsidP="006B2C54">
      <w:pPr>
        <w:spacing w:line="360" w:lineRule="auto"/>
        <w:jc w:val="both"/>
        <w:rPr>
          <w:rFonts w:ascii="Georgia" w:hAnsi="Georgia"/>
          <w:b/>
          <w:bCs/>
        </w:rPr>
      </w:pPr>
    </w:p>
    <w:p w14:paraId="57083637" w14:textId="22568C76" w:rsidR="001F3878" w:rsidRDefault="00BD7B0C" w:rsidP="006B2C54">
      <w:pPr>
        <w:spacing w:line="360" w:lineRule="auto"/>
        <w:ind w:left="720" w:hanging="720"/>
        <w:jc w:val="both"/>
        <w:rPr>
          <w:rFonts w:ascii="Georgia" w:hAnsi="Georgia"/>
        </w:rPr>
      </w:pPr>
      <w:r>
        <w:rPr>
          <w:rFonts w:ascii="Georgia" w:hAnsi="Georgia"/>
        </w:rPr>
        <w:t>50</w:t>
      </w:r>
      <w:r w:rsidR="00CE7415">
        <w:rPr>
          <w:rFonts w:ascii="Georgia" w:hAnsi="Georgia"/>
        </w:rPr>
        <w:t>.</w:t>
      </w:r>
      <w:r w:rsidR="00CE7415">
        <w:rPr>
          <w:rFonts w:ascii="Georgia" w:hAnsi="Georgia"/>
        </w:rPr>
        <w:tab/>
      </w:r>
      <w:r w:rsidR="00CE7415" w:rsidRPr="0028310A">
        <w:rPr>
          <w:rFonts w:ascii="Georgia" w:hAnsi="Georgia"/>
        </w:rPr>
        <w:t>The Applicant</w:t>
      </w:r>
      <w:r w:rsidR="00A040C1">
        <w:rPr>
          <w:rFonts w:ascii="Georgia" w:hAnsi="Georgia"/>
        </w:rPr>
        <w:t>s</w:t>
      </w:r>
      <w:r w:rsidR="00CE7415" w:rsidRPr="0028310A">
        <w:rPr>
          <w:rFonts w:ascii="Georgia" w:hAnsi="Georgia"/>
        </w:rPr>
        <w:t xml:space="preserve"> identified </w:t>
      </w:r>
      <w:r w:rsidR="00BA0323">
        <w:rPr>
          <w:rFonts w:ascii="Georgia" w:hAnsi="Georgia"/>
        </w:rPr>
        <w:t xml:space="preserve">a number of </w:t>
      </w:r>
      <w:r w:rsidR="00CE7415" w:rsidRPr="0028310A">
        <w:rPr>
          <w:rFonts w:ascii="Georgia" w:hAnsi="Georgia"/>
        </w:rPr>
        <w:t xml:space="preserve">areas </w:t>
      </w:r>
      <w:r w:rsidR="00BA0323">
        <w:rPr>
          <w:rFonts w:ascii="Georgia" w:hAnsi="Georgia"/>
        </w:rPr>
        <w:t>t</w:t>
      </w:r>
      <w:r w:rsidR="00CE7415" w:rsidRPr="0028310A">
        <w:rPr>
          <w:rFonts w:ascii="Georgia" w:hAnsi="Georgia"/>
        </w:rPr>
        <w:t>he</w:t>
      </w:r>
      <w:r w:rsidR="00BA0323">
        <w:rPr>
          <w:rFonts w:ascii="Georgia" w:hAnsi="Georgia"/>
        </w:rPr>
        <w:t>y</w:t>
      </w:r>
      <w:r w:rsidR="00CE7415" w:rsidRPr="0028310A">
        <w:rPr>
          <w:rFonts w:ascii="Georgia" w:hAnsi="Georgia"/>
        </w:rPr>
        <w:t xml:space="preserve"> wished the Tribunal to consider</w:t>
      </w:r>
      <w:r w:rsidR="006B2C54">
        <w:rPr>
          <w:rFonts w:ascii="Georgia" w:hAnsi="Georgia"/>
        </w:rPr>
        <w:t xml:space="preserve"> regarding </w:t>
      </w:r>
      <w:r w:rsidR="00013F1A">
        <w:rPr>
          <w:rFonts w:ascii="Georgia" w:hAnsi="Georgia"/>
        </w:rPr>
        <w:t xml:space="preserve">the seriousness of the offence and the conduct of the Respondents.  In particular, in relation to the </w:t>
      </w:r>
      <w:r w:rsidR="00C73611">
        <w:rPr>
          <w:rFonts w:ascii="Georgia" w:hAnsi="Georgia"/>
        </w:rPr>
        <w:t>F</w:t>
      </w:r>
      <w:r w:rsidR="00013F1A">
        <w:rPr>
          <w:rFonts w:ascii="Georgia" w:hAnsi="Georgia"/>
        </w:rPr>
        <w:t>irst Re</w:t>
      </w:r>
      <w:r w:rsidR="00264BED">
        <w:rPr>
          <w:rFonts w:ascii="Georgia" w:hAnsi="Georgia"/>
        </w:rPr>
        <w:t>spon</w:t>
      </w:r>
      <w:r w:rsidR="00C73611">
        <w:rPr>
          <w:rFonts w:ascii="Georgia" w:hAnsi="Georgia"/>
        </w:rPr>
        <w:t>d</w:t>
      </w:r>
      <w:r w:rsidR="00264BED">
        <w:rPr>
          <w:rFonts w:ascii="Georgia" w:hAnsi="Georgia"/>
        </w:rPr>
        <w:t xml:space="preserve">ent, the condition of the Property and </w:t>
      </w:r>
      <w:r w:rsidR="001B048B">
        <w:rPr>
          <w:rFonts w:ascii="Georgia" w:hAnsi="Georgia"/>
        </w:rPr>
        <w:t xml:space="preserve">in relation to the </w:t>
      </w:r>
      <w:r w:rsidR="00C73611">
        <w:rPr>
          <w:rFonts w:ascii="Georgia" w:hAnsi="Georgia"/>
        </w:rPr>
        <w:t>S</w:t>
      </w:r>
      <w:r w:rsidR="001B048B">
        <w:rPr>
          <w:rFonts w:ascii="Georgia" w:hAnsi="Georgia"/>
        </w:rPr>
        <w:t>econd Respondent, the unannounced visits and alleged harassment.</w:t>
      </w:r>
      <w:r w:rsidR="00A040C1">
        <w:rPr>
          <w:rFonts w:ascii="Georgia" w:hAnsi="Georgia"/>
        </w:rPr>
        <w:t xml:space="preserve">  </w:t>
      </w:r>
    </w:p>
    <w:p w14:paraId="442558BA" w14:textId="77777777" w:rsidR="001F3878" w:rsidRDefault="001F3878" w:rsidP="006B2C54">
      <w:pPr>
        <w:spacing w:line="360" w:lineRule="auto"/>
        <w:ind w:left="720" w:hanging="720"/>
        <w:jc w:val="both"/>
        <w:rPr>
          <w:rFonts w:ascii="Georgia" w:hAnsi="Georgia"/>
        </w:rPr>
      </w:pPr>
    </w:p>
    <w:p w14:paraId="05DA452C" w14:textId="68779EF4" w:rsidR="00CE7415" w:rsidRDefault="00BD7B0C" w:rsidP="006B2C54">
      <w:pPr>
        <w:spacing w:line="360" w:lineRule="auto"/>
        <w:ind w:left="720" w:hanging="720"/>
        <w:jc w:val="both"/>
        <w:rPr>
          <w:rFonts w:ascii="Georgia" w:hAnsi="Georgia"/>
        </w:rPr>
      </w:pPr>
      <w:r>
        <w:rPr>
          <w:rFonts w:ascii="Georgia" w:hAnsi="Georgia"/>
        </w:rPr>
        <w:t>51</w:t>
      </w:r>
      <w:r w:rsidR="001F3878">
        <w:rPr>
          <w:rFonts w:ascii="Georgia" w:hAnsi="Georgia"/>
        </w:rPr>
        <w:t>.</w:t>
      </w:r>
      <w:r w:rsidR="001F3878">
        <w:rPr>
          <w:rFonts w:ascii="Georgia" w:hAnsi="Georgia"/>
        </w:rPr>
        <w:tab/>
      </w:r>
      <w:r w:rsidR="00A040C1">
        <w:rPr>
          <w:rFonts w:ascii="Georgia" w:hAnsi="Georgia"/>
        </w:rPr>
        <w:t>The Applicants confirmed that they paid their rent on time and reported issues that they had to the landlord’s agent</w:t>
      </w:r>
      <w:r w:rsidR="00540FFC">
        <w:rPr>
          <w:rFonts w:ascii="Georgia" w:hAnsi="Georgia"/>
        </w:rPr>
        <w:t xml:space="preserve">, and this </w:t>
      </w:r>
      <w:r w:rsidR="00916A6F">
        <w:rPr>
          <w:rFonts w:ascii="Georgia" w:hAnsi="Georgia"/>
        </w:rPr>
        <w:t>wa</w:t>
      </w:r>
      <w:r w:rsidR="00540FFC">
        <w:rPr>
          <w:rFonts w:ascii="Georgia" w:hAnsi="Georgia"/>
        </w:rPr>
        <w:t>s documented within the bundle.</w:t>
      </w:r>
    </w:p>
    <w:p w14:paraId="318DE5C1" w14:textId="77777777" w:rsidR="007618FE" w:rsidRDefault="007618FE" w:rsidP="006B2C54">
      <w:pPr>
        <w:spacing w:line="360" w:lineRule="auto"/>
        <w:ind w:left="720" w:hanging="720"/>
        <w:jc w:val="both"/>
        <w:rPr>
          <w:rFonts w:ascii="Georgia" w:hAnsi="Georgia"/>
        </w:rPr>
      </w:pPr>
    </w:p>
    <w:p w14:paraId="3CEB7D6A" w14:textId="62744826" w:rsidR="007618FE" w:rsidRDefault="007618FE" w:rsidP="006B2C54">
      <w:pPr>
        <w:spacing w:line="360" w:lineRule="auto"/>
        <w:ind w:left="720" w:hanging="720"/>
        <w:jc w:val="both"/>
        <w:rPr>
          <w:rFonts w:ascii="Georgia" w:hAnsi="Georgia"/>
        </w:rPr>
      </w:pPr>
      <w:r>
        <w:rPr>
          <w:rFonts w:ascii="Georgia" w:hAnsi="Georgia"/>
        </w:rPr>
        <w:t>5</w:t>
      </w:r>
      <w:r w:rsidR="00BD7B0C">
        <w:rPr>
          <w:rFonts w:ascii="Georgia" w:hAnsi="Georgia"/>
        </w:rPr>
        <w:t>2</w:t>
      </w:r>
      <w:r>
        <w:rPr>
          <w:rFonts w:ascii="Georgia" w:hAnsi="Georgia"/>
        </w:rPr>
        <w:t>.</w:t>
      </w:r>
      <w:r>
        <w:rPr>
          <w:rFonts w:ascii="Georgia" w:hAnsi="Georgia"/>
        </w:rPr>
        <w:tab/>
        <w:t>Tur</w:t>
      </w:r>
      <w:r w:rsidR="00301E1C">
        <w:rPr>
          <w:rFonts w:ascii="Georgia" w:hAnsi="Georgia"/>
        </w:rPr>
        <w:t>n</w:t>
      </w:r>
      <w:r>
        <w:rPr>
          <w:rFonts w:ascii="Georgia" w:hAnsi="Georgia"/>
        </w:rPr>
        <w:t>ing to the specific headings the Applicants asked the Tribunal to consider, the Applicants stated as follows:</w:t>
      </w:r>
    </w:p>
    <w:p w14:paraId="790477CA" w14:textId="77777777" w:rsidR="001F3878" w:rsidRDefault="001F3878" w:rsidP="006B2C54">
      <w:pPr>
        <w:spacing w:line="360" w:lineRule="auto"/>
        <w:ind w:left="720" w:hanging="720"/>
        <w:jc w:val="both"/>
        <w:rPr>
          <w:rFonts w:ascii="Georgia" w:hAnsi="Georgia"/>
        </w:rPr>
      </w:pPr>
    </w:p>
    <w:p w14:paraId="1CCF2AA2" w14:textId="43BFBC1C" w:rsidR="00CE7415" w:rsidRPr="001F3878" w:rsidRDefault="001F3878" w:rsidP="001F3878">
      <w:pPr>
        <w:spacing w:line="360" w:lineRule="auto"/>
        <w:jc w:val="both"/>
        <w:rPr>
          <w:rFonts w:ascii="Georgia" w:hAnsi="Georgia"/>
          <w:b/>
          <w:bCs/>
        </w:rPr>
      </w:pPr>
      <w:r w:rsidRPr="001F3878">
        <w:rPr>
          <w:rFonts w:ascii="Georgia" w:hAnsi="Georgia"/>
          <w:b/>
          <w:bCs/>
        </w:rPr>
        <w:t>Handover Arrangements</w:t>
      </w:r>
    </w:p>
    <w:p w14:paraId="5B59B3AB" w14:textId="77777777" w:rsidR="00CE7415" w:rsidRPr="0028310A" w:rsidRDefault="00CE7415" w:rsidP="006B2C54">
      <w:pPr>
        <w:spacing w:line="360" w:lineRule="auto"/>
        <w:jc w:val="both"/>
        <w:rPr>
          <w:rFonts w:ascii="Georgia" w:hAnsi="Georgia"/>
        </w:rPr>
      </w:pPr>
    </w:p>
    <w:p w14:paraId="14487C00" w14:textId="431B6898" w:rsidR="00CE7415" w:rsidRPr="0028310A" w:rsidRDefault="00BD7B0C" w:rsidP="006B2C54">
      <w:pPr>
        <w:spacing w:line="360" w:lineRule="auto"/>
        <w:ind w:left="720" w:hanging="720"/>
        <w:jc w:val="both"/>
        <w:rPr>
          <w:rFonts w:ascii="Georgia" w:hAnsi="Georgia"/>
          <w:b/>
          <w:bCs/>
        </w:rPr>
      </w:pPr>
      <w:r>
        <w:rPr>
          <w:rFonts w:ascii="Georgia" w:hAnsi="Georgia"/>
        </w:rPr>
        <w:t>53</w:t>
      </w:r>
      <w:r w:rsidR="00CE7415">
        <w:rPr>
          <w:rFonts w:ascii="Georgia" w:hAnsi="Georgia"/>
        </w:rPr>
        <w:t>.</w:t>
      </w:r>
      <w:r w:rsidR="00CE7415">
        <w:rPr>
          <w:rFonts w:ascii="Georgia" w:hAnsi="Georgia"/>
        </w:rPr>
        <w:tab/>
      </w:r>
      <w:r w:rsidR="00534D22">
        <w:rPr>
          <w:rFonts w:ascii="Georgia" w:hAnsi="Georgia"/>
        </w:rPr>
        <w:t xml:space="preserve">The Applicants </w:t>
      </w:r>
      <w:r w:rsidR="007618FE">
        <w:rPr>
          <w:rFonts w:ascii="Georgia" w:hAnsi="Georgia"/>
        </w:rPr>
        <w:t>told the Tribunal that they</w:t>
      </w:r>
      <w:r w:rsidR="00E32576">
        <w:rPr>
          <w:rFonts w:ascii="Georgia" w:hAnsi="Georgia"/>
        </w:rPr>
        <w:t xml:space="preserve"> </w:t>
      </w:r>
      <w:r w:rsidR="00C82264">
        <w:rPr>
          <w:rFonts w:ascii="Georgia" w:hAnsi="Georgia"/>
        </w:rPr>
        <w:t>had not been</w:t>
      </w:r>
      <w:r w:rsidR="00534D22">
        <w:rPr>
          <w:rFonts w:ascii="Georgia" w:hAnsi="Georgia"/>
        </w:rPr>
        <w:t xml:space="preserve"> </w:t>
      </w:r>
      <w:r w:rsidR="00E32576">
        <w:rPr>
          <w:rFonts w:ascii="Georgia" w:hAnsi="Georgia"/>
        </w:rPr>
        <w:t>informed</w:t>
      </w:r>
      <w:r w:rsidR="00534D22">
        <w:rPr>
          <w:rFonts w:ascii="Georgia" w:hAnsi="Georgia"/>
        </w:rPr>
        <w:t xml:space="preserve"> </w:t>
      </w:r>
      <w:r w:rsidR="00AB4925">
        <w:rPr>
          <w:rFonts w:ascii="Georgia" w:hAnsi="Georgia"/>
        </w:rPr>
        <w:t xml:space="preserve">about the Second Respondent becoming their landlord.  </w:t>
      </w:r>
      <w:r w:rsidR="00E32576">
        <w:rPr>
          <w:rFonts w:ascii="Georgia" w:hAnsi="Georgia"/>
        </w:rPr>
        <w:t>Further, t</w:t>
      </w:r>
      <w:r w:rsidR="00BC030A">
        <w:rPr>
          <w:rFonts w:ascii="Georgia" w:hAnsi="Georgia"/>
        </w:rPr>
        <w:t>he Applicants</w:t>
      </w:r>
      <w:r w:rsidR="00C82264">
        <w:rPr>
          <w:rFonts w:ascii="Georgia" w:hAnsi="Georgia"/>
        </w:rPr>
        <w:t>’</w:t>
      </w:r>
      <w:r w:rsidR="001D103C">
        <w:rPr>
          <w:rFonts w:ascii="Georgia" w:hAnsi="Georgia"/>
        </w:rPr>
        <w:t xml:space="preserve"> deposit </w:t>
      </w:r>
      <w:r w:rsidR="00C82264">
        <w:rPr>
          <w:rFonts w:ascii="Georgia" w:hAnsi="Georgia"/>
        </w:rPr>
        <w:t>has</w:t>
      </w:r>
      <w:r w:rsidR="001D103C">
        <w:rPr>
          <w:rFonts w:ascii="Georgia" w:hAnsi="Georgia"/>
        </w:rPr>
        <w:t xml:space="preserve"> not </w:t>
      </w:r>
      <w:r w:rsidR="00C82264">
        <w:rPr>
          <w:rFonts w:ascii="Georgia" w:hAnsi="Georgia"/>
        </w:rPr>
        <w:t xml:space="preserve">been </w:t>
      </w:r>
      <w:r w:rsidR="001D103C">
        <w:rPr>
          <w:rFonts w:ascii="Georgia" w:hAnsi="Georgia"/>
        </w:rPr>
        <w:t xml:space="preserve">returned to them and so they had </w:t>
      </w:r>
      <w:r w:rsidR="00C82264">
        <w:rPr>
          <w:rFonts w:ascii="Georgia" w:hAnsi="Georgia"/>
        </w:rPr>
        <w:t xml:space="preserve">had </w:t>
      </w:r>
      <w:r w:rsidR="001D103C">
        <w:rPr>
          <w:rFonts w:ascii="Georgia" w:hAnsi="Georgia"/>
        </w:rPr>
        <w:t xml:space="preserve">to pursue this through </w:t>
      </w:r>
      <w:r w:rsidR="002C6AAE">
        <w:rPr>
          <w:rFonts w:ascii="Georgia" w:hAnsi="Georgia"/>
        </w:rPr>
        <w:t xml:space="preserve">the </w:t>
      </w:r>
      <w:r w:rsidR="009D1ADD">
        <w:rPr>
          <w:rFonts w:ascii="Georgia" w:hAnsi="Georgia"/>
        </w:rPr>
        <w:t>Tenancy Deposit Scheme</w:t>
      </w:r>
      <w:r w:rsidR="001D103C">
        <w:rPr>
          <w:rFonts w:ascii="Georgia" w:hAnsi="Georgia"/>
        </w:rPr>
        <w:t xml:space="preserve">.  It was the First Respondent who was ordered to repay the deposit.  The Tribunal therefore finds that </w:t>
      </w:r>
      <w:r w:rsidR="008F57B9">
        <w:rPr>
          <w:rFonts w:ascii="Georgia" w:hAnsi="Georgia"/>
        </w:rPr>
        <w:t xml:space="preserve">the First Respondent did not make adequate </w:t>
      </w:r>
      <w:r w:rsidR="008F57B9">
        <w:rPr>
          <w:rFonts w:ascii="Georgia" w:hAnsi="Georgia"/>
        </w:rPr>
        <w:lastRenderedPageBreak/>
        <w:t xml:space="preserve">arrangements to </w:t>
      </w:r>
      <w:r w:rsidR="006773EB">
        <w:rPr>
          <w:rFonts w:ascii="Georgia" w:hAnsi="Georgia"/>
        </w:rPr>
        <w:t>ensure that the deposit was dealt with when the Property was sublet to the Second Respondent</w:t>
      </w:r>
      <w:r w:rsidR="00C9777D">
        <w:rPr>
          <w:rFonts w:ascii="Georgia" w:hAnsi="Georgia"/>
        </w:rPr>
        <w:t>.</w:t>
      </w:r>
    </w:p>
    <w:p w14:paraId="76A91730" w14:textId="77777777" w:rsidR="00CE7415" w:rsidRPr="0028310A" w:rsidRDefault="00CE7415" w:rsidP="006B2C54">
      <w:pPr>
        <w:spacing w:line="360" w:lineRule="auto"/>
        <w:jc w:val="both"/>
        <w:rPr>
          <w:rFonts w:ascii="Georgia" w:hAnsi="Georgia"/>
          <w:b/>
          <w:bCs/>
        </w:rPr>
      </w:pPr>
    </w:p>
    <w:p w14:paraId="16FF49A4" w14:textId="662AC8F8" w:rsidR="00CE7415" w:rsidRPr="0028310A" w:rsidRDefault="00CE7415" w:rsidP="006B2C54">
      <w:pPr>
        <w:spacing w:line="360" w:lineRule="auto"/>
        <w:jc w:val="both"/>
        <w:rPr>
          <w:rFonts w:ascii="Georgia" w:hAnsi="Georgia"/>
          <w:b/>
          <w:bCs/>
        </w:rPr>
      </w:pPr>
      <w:r w:rsidRPr="0028310A">
        <w:rPr>
          <w:rFonts w:ascii="Georgia" w:hAnsi="Georgia"/>
          <w:b/>
          <w:bCs/>
        </w:rPr>
        <w:t xml:space="preserve">Fire </w:t>
      </w:r>
      <w:r w:rsidR="00CA0B54">
        <w:rPr>
          <w:rFonts w:ascii="Georgia" w:hAnsi="Georgia"/>
          <w:b/>
          <w:bCs/>
        </w:rPr>
        <w:t>S</w:t>
      </w:r>
      <w:r w:rsidRPr="0028310A">
        <w:rPr>
          <w:rFonts w:ascii="Georgia" w:hAnsi="Georgia"/>
          <w:b/>
          <w:bCs/>
        </w:rPr>
        <w:t>afety</w:t>
      </w:r>
    </w:p>
    <w:p w14:paraId="5AB8E1C8" w14:textId="77777777" w:rsidR="00CE7415" w:rsidRPr="0028310A" w:rsidRDefault="00CE7415" w:rsidP="006B2C54">
      <w:pPr>
        <w:spacing w:line="360" w:lineRule="auto"/>
        <w:jc w:val="both"/>
        <w:rPr>
          <w:rFonts w:ascii="Georgia" w:hAnsi="Georgia"/>
          <w:b/>
          <w:bCs/>
        </w:rPr>
      </w:pPr>
    </w:p>
    <w:p w14:paraId="098E1851" w14:textId="34B2C0D4" w:rsidR="0033426F" w:rsidRDefault="00CE7415" w:rsidP="000B730C">
      <w:pPr>
        <w:spacing w:line="360" w:lineRule="auto"/>
        <w:ind w:left="720" w:hanging="720"/>
        <w:jc w:val="both"/>
        <w:rPr>
          <w:rFonts w:ascii="Georgia" w:hAnsi="Georgia"/>
        </w:rPr>
      </w:pPr>
      <w:r>
        <w:rPr>
          <w:rFonts w:ascii="Georgia" w:hAnsi="Georgia"/>
        </w:rPr>
        <w:t>5</w:t>
      </w:r>
      <w:r w:rsidR="00BD7B0C">
        <w:rPr>
          <w:rFonts w:ascii="Georgia" w:hAnsi="Georgia"/>
        </w:rPr>
        <w:t>4</w:t>
      </w:r>
      <w:r>
        <w:rPr>
          <w:rFonts w:ascii="Georgia" w:hAnsi="Georgia"/>
        </w:rPr>
        <w:t>.</w:t>
      </w:r>
      <w:r>
        <w:rPr>
          <w:rFonts w:ascii="Georgia" w:hAnsi="Georgia"/>
        </w:rPr>
        <w:tab/>
      </w:r>
      <w:r w:rsidR="00CA0B54">
        <w:rPr>
          <w:rFonts w:ascii="Georgia" w:hAnsi="Georgia"/>
        </w:rPr>
        <w:t>E</w:t>
      </w:r>
      <w:r w:rsidR="004E562F">
        <w:rPr>
          <w:rFonts w:ascii="Georgia" w:hAnsi="Georgia"/>
        </w:rPr>
        <w:t>rnesto Carrella gave evidence to the Tribunal that w</w:t>
      </w:r>
      <w:r w:rsidR="00CA0B54">
        <w:rPr>
          <w:rFonts w:ascii="Georgia" w:hAnsi="Georgia"/>
        </w:rPr>
        <w:t xml:space="preserve">hen </w:t>
      </w:r>
      <w:r w:rsidR="006D0B82">
        <w:rPr>
          <w:rFonts w:ascii="Georgia" w:hAnsi="Georgia"/>
        </w:rPr>
        <w:t xml:space="preserve">they had arrived at the Property </w:t>
      </w:r>
      <w:r w:rsidR="00E32576">
        <w:rPr>
          <w:rFonts w:ascii="Georgia" w:hAnsi="Georgia"/>
        </w:rPr>
        <w:t xml:space="preserve">and </w:t>
      </w:r>
      <w:r w:rsidR="00755C5B">
        <w:rPr>
          <w:rFonts w:ascii="Georgia" w:hAnsi="Georgia"/>
        </w:rPr>
        <w:t>turned on the heater</w:t>
      </w:r>
      <w:r w:rsidR="00B81662">
        <w:rPr>
          <w:rFonts w:ascii="Georgia" w:hAnsi="Georgia"/>
        </w:rPr>
        <w:t>, the switch and fuse</w:t>
      </w:r>
      <w:r w:rsidR="00C9777D">
        <w:rPr>
          <w:rFonts w:ascii="Georgia" w:hAnsi="Georgia"/>
        </w:rPr>
        <w:t xml:space="preserve"> had</w:t>
      </w:r>
      <w:r w:rsidR="00B81662">
        <w:rPr>
          <w:rFonts w:ascii="Georgia" w:hAnsi="Georgia"/>
        </w:rPr>
        <w:t xml:space="preserve"> burned out, which </w:t>
      </w:r>
      <w:r w:rsidR="00C9777D">
        <w:rPr>
          <w:rFonts w:ascii="Georgia" w:hAnsi="Georgia"/>
        </w:rPr>
        <w:t xml:space="preserve">had </w:t>
      </w:r>
      <w:r w:rsidR="00B81662">
        <w:rPr>
          <w:rFonts w:ascii="Georgia" w:hAnsi="Georgia"/>
        </w:rPr>
        <w:t xml:space="preserve">destroyed part of the wall.  </w:t>
      </w:r>
      <w:r w:rsidR="00F05D0C">
        <w:rPr>
          <w:rFonts w:ascii="Georgia" w:hAnsi="Georgia"/>
        </w:rPr>
        <w:t xml:space="preserve">A photograph of the damage was at page </w:t>
      </w:r>
      <w:r w:rsidR="005002DF">
        <w:rPr>
          <w:rFonts w:ascii="Georgia" w:hAnsi="Georgia"/>
        </w:rPr>
        <w:t>29</w:t>
      </w:r>
      <w:r w:rsidR="00F05D0C">
        <w:rPr>
          <w:rFonts w:ascii="Georgia" w:hAnsi="Georgia"/>
        </w:rPr>
        <w:t xml:space="preserve"> of the bundle.  The Applicants had to spend the first few days of their tenancy in a hotel</w:t>
      </w:r>
      <w:r w:rsidR="002F5B22">
        <w:rPr>
          <w:rFonts w:ascii="Georgia" w:hAnsi="Georgia"/>
        </w:rPr>
        <w:t xml:space="preserve">, which was </w:t>
      </w:r>
      <w:r w:rsidR="002B4FC4">
        <w:rPr>
          <w:rFonts w:ascii="Georgia" w:hAnsi="Georgia"/>
        </w:rPr>
        <w:t>later reimbursed by the landlord</w:t>
      </w:r>
      <w:r w:rsidR="00805256">
        <w:rPr>
          <w:rFonts w:ascii="Georgia" w:hAnsi="Georgia"/>
        </w:rPr>
        <w:t xml:space="preserve">.  Ernesto Carella told the Tribunal that </w:t>
      </w:r>
      <w:r w:rsidR="004D7B3C">
        <w:rPr>
          <w:rFonts w:ascii="Georgia" w:hAnsi="Georgia"/>
        </w:rPr>
        <w:t>when they</w:t>
      </w:r>
      <w:r w:rsidR="00F31F48">
        <w:rPr>
          <w:rFonts w:ascii="Georgia" w:hAnsi="Georgia"/>
        </w:rPr>
        <w:t xml:space="preserve"> had</w:t>
      </w:r>
      <w:r w:rsidR="004D7B3C">
        <w:rPr>
          <w:rFonts w:ascii="Georgia" w:hAnsi="Georgia"/>
        </w:rPr>
        <w:t xml:space="preserve"> moved back to the Property, the radiators still did not work so they had</w:t>
      </w:r>
      <w:r w:rsidR="00F31F48">
        <w:rPr>
          <w:rFonts w:ascii="Georgia" w:hAnsi="Georgia"/>
        </w:rPr>
        <w:t xml:space="preserve"> had</w:t>
      </w:r>
      <w:r w:rsidR="004D7B3C">
        <w:rPr>
          <w:rFonts w:ascii="Georgia" w:hAnsi="Georgia"/>
        </w:rPr>
        <w:t xml:space="preserve"> to use </w:t>
      </w:r>
      <w:r w:rsidR="001D59A6">
        <w:rPr>
          <w:rFonts w:ascii="Georgia" w:hAnsi="Georgia"/>
        </w:rPr>
        <w:t>portable heaters</w:t>
      </w:r>
      <w:r w:rsidR="004D7B3C">
        <w:rPr>
          <w:rFonts w:ascii="Georgia" w:hAnsi="Georgia"/>
        </w:rPr>
        <w:t xml:space="preserve">, which were expensive to run.  </w:t>
      </w:r>
      <w:r w:rsidR="0020375E">
        <w:rPr>
          <w:rFonts w:ascii="Georgia" w:hAnsi="Georgia"/>
        </w:rPr>
        <w:t xml:space="preserve">This issue </w:t>
      </w:r>
      <w:r w:rsidR="002D70A8">
        <w:rPr>
          <w:rFonts w:ascii="Georgia" w:hAnsi="Georgia"/>
        </w:rPr>
        <w:t>had been</w:t>
      </w:r>
      <w:r w:rsidR="0020375E">
        <w:rPr>
          <w:rFonts w:ascii="Georgia" w:hAnsi="Georgia"/>
        </w:rPr>
        <w:t xml:space="preserve"> </w:t>
      </w:r>
      <w:r w:rsidR="00DE34F5">
        <w:rPr>
          <w:rFonts w:ascii="Georgia" w:hAnsi="Georgia"/>
        </w:rPr>
        <w:t>exacerbated</w:t>
      </w:r>
      <w:r w:rsidR="0020375E">
        <w:rPr>
          <w:rFonts w:ascii="Georgia" w:hAnsi="Georgia"/>
        </w:rPr>
        <w:t xml:space="preserve"> because</w:t>
      </w:r>
      <w:r w:rsidR="00C83EFE">
        <w:rPr>
          <w:rFonts w:ascii="Georgia" w:hAnsi="Georgia"/>
        </w:rPr>
        <w:t xml:space="preserve"> the Property was wrongly </w:t>
      </w:r>
      <w:r w:rsidR="00954C93">
        <w:rPr>
          <w:rFonts w:ascii="Georgia" w:hAnsi="Georgia"/>
        </w:rPr>
        <w:t xml:space="preserve">registered on a commercial electricity </w:t>
      </w:r>
      <w:r w:rsidR="00DE34F5">
        <w:rPr>
          <w:rFonts w:ascii="Georgia" w:hAnsi="Georgia"/>
        </w:rPr>
        <w:t xml:space="preserve">tariff.  </w:t>
      </w:r>
    </w:p>
    <w:p w14:paraId="1FF30EC8" w14:textId="77777777" w:rsidR="000B730C" w:rsidRDefault="000B730C" w:rsidP="000B730C">
      <w:pPr>
        <w:spacing w:line="360" w:lineRule="auto"/>
        <w:ind w:left="720" w:hanging="720"/>
        <w:jc w:val="both"/>
        <w:rPr>
          <w:rFonts w:ascii="Georgia" w:hAnsi="Georgia"/>
        </w:rPr>
      </w:pPr>
    </w:p>
    <w:p w14:paraId="4D214FAD" w14:textId="403DE3B5" w:rsidR="00F0725D" w:rsidRDefault="00F0725D" w:rsidP="006B2C54">
      <w:pPr>
        <w:spacing w:line="360" w:lineRule="auto"/>
        <w:ind w:left="720" w:hanging="720"/>
        <w:jc w:val="both"/>
        <w:rPr>
          <w:rFonts w:ascii="Georgia" w:hAnsi="Georgia"/>
        </w:rPr>
      </w:pPr>
      <w:r>
        <w:rPr>
          <w:rFonts w:ascii="Georgia" w:hAnsi="Georgia"/>
        </w:rPr>
        <w:t>5</w:t>
      </w:r>
      <w:r w:rsidR="00BD7B0C">
        <w:rPr>
          <w:rFonts w:ascii="Georgia" w:hAnsi="Georgia"/>
        </w:rPr>
        <w:t>5</w:t>
      </w:r>
      <w:r>
        <w:rPr>
          <w:rFonts w:ascii="Georgia" w:hAnsi="Georgia"/>
        </w:rPr>
        <w:t>.</w:t>
      </w:r>
      <w:r>
        <w:rPr>
          <w:rFonts w:ascii="Georgia" w:hAnsi="Georgia"/>
        </w:rPr>
        <w:tab/>
      </w:r>
      <w:r w:rsidR="0033426F">
        <w:rPr>
          <w:rFonts w:ascii="Georgia" w:hAnsi="Georgia"/>
        </w:rPr>
        <w:t xml:space="preserve">The Applicants gave evidence that </w:t>
      </w:r>
      <w:r w:rsidR="00186D92">
        <w:rPr>
          <w:rFonts w:ascii="Georgia" w:hAnsi="Georgia"/>
        </w:rPr>
        <w:t xml:space="preserve">one of the door hinges at the </w:t>
      </w:r>
      <w:r w:rsidR="000B730C">
        <w:rPr>
          <w:rFonts w:ascii="Georgia" w:hAnsi="Georgia"/>
        </w:rPr>
        <w:t>Property</w:t>
      </w:r>
      <w:r w:rsidR="00186D92">
        <w:rPr>
          <w:rFonts w:ascii="Georgia" w:hAnsi="Georgia"/>
        </w:rPr>
        <w:t xml:space="preserve"> </w:t>
      </w:r>
      <w:r w:rsidR="002D70A8">
        <w:rPr>
          <w:rFonts w:ascii="Georgia" w:hAnsi="Georgia"/>
        </w:rPr>
        <w:t>had become</w:t>
      </w:r>
      <w:r w:rsidR="00186D92">
        <w:rPr>
          <w:rFonts w:ascii="Georgia" w:hAnsi="Georgia"/>
        </w:rPr>
        <w:t xml:space="preserve"> loose and the door </w:t>
      </w:r>
      <w:r w:rsidR="002D70A8">
        <w:rPr>
          <w:rFonts w:ascii="Georgia" w:hAnsi="Georgia"/>
        </w:rPr>
        <w:t>had com</w:t>
      </w:r>
      <w:r w:rsidR="00186D92">
        <w:rPr>
          <w:rFonts w:ascii="Georgia" w:hAnsi="Georgia"/>
        </w:rPr>
        <w:t>e off its frame</w:t>
      </w:r>
      <w:r w:rsidR="00A02767">
        <w:rPr>
          <w:rFonts w:ascii="Georgia" w:hAnsi="Georgia"/>
        </w:rPr>
        <w:t xml:space="preserve">.  A photograph of this was at page 112 of the bundle.  Further, the wooden component of the </w:t>
      </w:r>
      <w:r w:rsidR="000B730C">
        <w:rPr>
          <w:rFonts w:ascii="Georgia" w:hAnsi="Georgia"/>
        </w:rPr>
        <w:t>entrance</w:t>
      </w:r>
      <w:r w:rsidR="00A02767">
        <w:rPr>
          <w:rFonts w:ascii="Georgia" w:hAnsi="Georgia"/>
        </w:rPr>
        <w:t xml:space="preserve"> door frame </w:t>
      </w:r>
      <w:r w:rsidR="00916A6F">
        <w:rPr>
          <w:rFonts w:ascii="Georgia" w:hAnsi="Georgia"/>
        </w:rPr>
        <w:t>had been</w:t>
      </w:r>
      <w:r w:rsidR="00A02767">
        <w:rPr>
          <w:rFonts w:ascii="Georgia" w:hAnsi="Georgia"/>
        </w:rPr>
        <w:t xml:space="preserve"> loose</w:t>
      </w:r>
      <w:r w:rsidR="009E6887">
        <w:rPr>
          <w:rFonts w:ascii="Georgia" w:hAnsi="Georgia"/>
        </w:rPr>
        <w:t xml:space="preserve"> and the Applicants stated that they </w:t>
      </w:r>
      <w:r w:rsidR="00722C8B">
        <w:rPr>
          <w:rFonts w:ascii="Georgia" w:hAnsi="Georgia"/>
        </w:rPr>
        <w:t xml:space="preserve">had </w:t>
      </w:r>
      <w:r w:rsidR="009E6887">
        <w:rPr>
          <w:rFonts w:ascii="Georgia" w:hAnsi="Georgia"/>
        </w:rPr>
        <w:t>reported this to the landlord’s agent on 1 April 2023</w:t>
      </w:r>
      <w:r w:rsidR="000B730C">
        <w:rPr>
          <w:rFonts w:ascii="Georgia" w:hAnsi="Georgia"/>
        </w:rPr>
        <w:t xml:space="preserve">.  </w:t>
      </w:r>
      <w:r w:rsidR="00E90903">
        <w:rPr>
          <w:rFonts w:ascii="Georgia" w:hAnsi="Georgia"/>
        </w:rPr>
        <w:t xml:space="preserve">Following </w:t>
      </w:r>
      <w:r w:rsidR="00222EEA">
        <w:rPr>
          <w:rFonts w:ascii="Georgia" w:hAnsi="Georgia"/>
        </w:rPr>
        <w:t xml:space="preserve">a repair, </w:t>
      </w:r>
      <w:r>
        <w:rPr>
          <w:rFonts w:ascii="Georgia" w:hAnsi="Georgia"/>
        </w:rPr>
        <w:t>the door</w:t>
      </w:r>
      <w:r w:rsidR="00222EEA">
        <w:rPr>
          <w:rFonts w:ascii="Georgia" w:hAnsi="Georgia"/>
        </w:rPr>
        <w:t xml:space="preserve"> </w:t>
      </w:r>
      <w:r w:rsidR="00722C8B">
        <w:rPr>
          <w:rFonts w:ascii="Georgia" w:hAnsi="Georgia"/>
        </w:rPr>
        <w:t>had fallen</w:t>
      </w:r>
      <w:r w:rsidR="00222EEA">
        <w:rPr>
          <w:rFonts w:ascii="Georgia" w:hAnsi="Georgia"/>
        </w:rPr>
        <w:t xml:space="preserve"> as one of the Applicants’ children opened </w:t>
      </w:r>
      <w:r w:rsidR="00722C8B">
        <w:rPr>
          <w:rFonts w:ascii="Georgia" w:hAnsi="Georgia"/>
        </w:rPr>
        <w:t>it</w:t>
      </w:r>
      <w:r w:rsidR="00A11CF4">
        <w:rPr>
          <w:rFonts w:ascii="Georgia" w:hAnsi="Georgia"/>
        </w:rPr>
        <w:t xml:space="preserve">.  </w:t>
      </w:r>
      <w:r w:rsidR="00A8400D">
        <w:rPr>
          <w:rFonts w:ascii="Georgia" w:hAnsi="Georgia"/>
        </w:rPr>
        <w:t>The Applicants told the Tribunal (page 115 of the bundle) that the</w:t>
      </w:r>
      <w:r w:rsidR="000E3A02">
        <w:rPr>
          <w:rFonts w:ascii="Georgia" w:hAnsi="Georgia"/>
        </w:rPr>
        <w:t xml:space="preserve"> nails used </w:t>
      </w:r>
      <w:r w:rsidR="005C18A0">
        <w:rPr>
          <w:rFonts w:ascii="Georgia" w:hAnsi="Georgia"/>
        </w:rPr>
        <w:t>had been</w:t>
      </w:r>
      <w:r w:rsidR="000E3A02">
        <w:rPr>
          <w:rFonts w:ascii="Georgia" w:hAnsi="Georgia"/>
        </w:rPr>
        <w:t xml:space="preserve"> too short and the door frame </w:t>
      </w:r>
      <w:r w:rsidR="005C18A0">
        <w:rPr>
          <w:rFonts w:ascii="Georgia" w:hAnsi="Georgia"/>
        </w:rPr>
        <w:t>had been</w:t>
      </w:r>
      <w:r w:rsidR="000E3A02">
        <w:rPr>
          <w:rFonts w:ascii="Georgia" w:hAnsi="Georgia"/>
        </w:rPr>
        <w:t xml:space="preserve"> rotten so that the wood filler did not hold the nails.  </w:t>
      </w:r>
      <w:r>
        <w:rPr>
          <w:rFonts w:ascii="Georgia" w:hAnsi="Georgia"/>
        </w:rPr>
        <w:t xml:space="preserve"> </w:t>
      </w:r>
      <w:r w:rsidR="0053008A">
        <w:rPr>
          <w:rFonts w:ascii="Georgia" w:hAnsi="Georgia"/>
        </w:rPr>
        <w:t>Further, at page 95</w:t>
      </w:r>
      <w:r w:rsidR="005C18A0">
        <w:rPr>
          <w:rFonts w:ascii="Georgia" w:hAnsi="Georgia"/>
        </w:rPr>
        <w:t xml:space="preserve"> of the bundle,</w:t>
      </w:r>
      <w:r w:rsidR="0053008A">
        <w:rPr>
          <w:rFonts w:ascii="Georgia" w:hAnsi="Georgia"/>
        </w:rPr>
        <w:t xml:space="preserve"> the Applicants </w:t>
      </w:r>
      <w:r w:rsidR="00736F01">
        <w:rPr>
          <w:rFonts w:ascii="Georgia" w:hAnsi="Georgia"/>
        </w:rPr>
        <w:t xml:space="preserve">told the Tribunal that the kitchen door did not shut and that this </w:t>
      </w:r>
      <w:r w:rsidR="005C18A0">
        <w:rPr>
          <w:rFonts w:ascii="Georgia" w:hAnsi="Georgia"/>
        </w:rPr>
        <w:t>had been</w:t>
      </w:r>
      <w:r w:rsidR="00736F01">
        <w:rPr>
          <w:rFonts w:ascii="Georgia" w:hAnsi="Georgia"/>
        </w:rPr>
        <w:t xml:space="preserve"> a fire safety concern </w:t>
      </w:r>
      <w:r w:rsidR="005F4A19">
        <w:rPr>
          <w:rFonts w:ascii="Georgia" w:hAnsi="Georgia"/>
        </w:rPr>
        <w:t xml:space="preserve">because if a fire </w:t>
      </w:r>
      <w:r w:rsidR="000E3DF7">
        <w:rPr>
          <w:rFonts w:ascii="Georgia" w:hAnsi="Georgia"/>
        </w:rPr>
        <w:t xml:space="preserve">had </w:t>
      </w:r>
      <w:r w:rsidR="005F4A19">
        <w:rPr>
          <w:rFonts w:ascii="Georgia" w:hAnsi="Georgia"/>
        </w:rPr>
        <w:t>start</w:t>
      </w:r>
      <w:r w:rsidR="000E3DF7">
        <w:rPr>
          <w:rFonts w:ascii="Georgia" w:hAnsi="Georgia"/>
        </w:rPr>
        <w:t>ed</w:t>
      </w:r>
      <w:r w:rsidR="005F4A19">
        <w:rPr>
          <w:rFonts w:ascii="Georgia" w:hAnsi="Georgia"/>
        </w:rPr>
        <w:t xml:space="preserve"> in the kitchen the door </w:t>
      </w:r>
      <w:r w:rsidR="000E3DF7">
        <w:rPr>
          <w:rFonts w:ascii="Georgia" w:hAnsi="Georgia"/>
        </w:rPr>
        <w:t>would need</w:t>
      </w:r>
      <w:r w:rsidR="005F4A19">
        <w:rPr>
          <w:rFonts w:ascii="Georgia" w:hAnsi="Georgia"/>
        </w:rPr>
        <w:t xml:space="preserve"> to be able</w:t>
      </w:r>
      <w:r w:rsidR="00457721">
        <w:rPr>
          <w:rFonts w:ascii="Georgia" w:hAnsi="Georgia"/>
        </w:rPr>
        <w:t xml:space="preserve"> </w:t>
      </w:r>
      <w:r w:rsidR="005F4A19">
        <w:rPr>
          <w:rFonts w:ascii="Georgia" w:hAnsi="Georgia"/>
        </w:rPr>
        <w:t>to shut to contain the fire.</w:t>
      </w:r>
    </w:p>
    <w:p w14:paraId="59A6C7DB" w14:textId="77777777" w:rsidR="00457721" w:rsidRDefault="00457721" w:rsidP="006B2C54">
      <w:pPr>
        <w:spacing w:line="360" w:lineRule="auto"/>
        <w:ind w:left="720" w:hanging="720"/>
        <w:jc w:val="both"/>
        <w:rPr>
          <w:rFonts w:ascii="Georgia" w:hAnsi="Georgia"/>
        </w:rPr>
      </w:pPr>
    </w:p>
    <w:p w14:paraId="66F82C8D" w14:textId="77777777" w:rsidR="00457721" w:rsidRDefault="00457721" w:rsidP="006B2C54">
      <w:pPr>
        <w:spacing w:line="360" w:lineRule="auto"/>
        <w:ind w:left="720" w:hanging="720"/>
        <w:jc w:val="both"/>
        <w:rPr>
          <w:rFonts w:ascii="Georgia" w:hAnsi="Georgia"/>
        </w:rPr>
      </w:pPr>
    </w:p>
    <w:p w14:paraId="548EE432" w14:textId="216BAC71" w:rsidR="009E1AF3" w:rsidRDefault="00457721" w:rsidP="006B2C54">
      <w:pPr>
        <w:spacing w:line="360" w:lineRule="auto"/>
        <w:ind w:left="720" w:hanging="720"/>
        <w:jc w:val="both"/>
        <w:rPr>
          <w:rFonts w:ascii="Georgia" w:hAnsi="Georgia"/>
        </w:rPr>
      </w:pPr>
      <w:r>
        <w:rPr>
          <w:rFonts w:ascii="Georgia" w:hAnsi="Georgia"/>
        </w:rPr>
        <w:t>5</w:t>
      </w:r>
      <w:r w:rsidR="005F227A">
        <w:rPr>
          <w:rFonts w:ascii="Georgia" w:hAnsi="Georgia"/>
        </w:rPr>
        <w:t>6</w:t>
      </w:r>
      <w:r>
        <w:rPr>
          <w:rFonts w:ascii="Georgia" w:hAnsi="Georgia"/>
        </w:rPr>
        <w:t>.</w:t>
      </w:r>
      <w:r>
        <w:rPr>
          <w:rFonts w:ascii="Georgia" w:hAnsi="Georgia"/>
        </w:rPr>
        <w:tab/>
        <w:t xml:space="preserve">The Tribunal accepts the evidence of the Applicants and finds that </w:t>
      </w:r>
      <w:r w:rsidR="00F46E2C">
        <w:rPr>
          <w:rFonts w:ascii="Georgia" w:hAnsi="Georgia"/>
        </w:rPr>
        <w:t>the damage caused by the heater and the doors not being fixed as set out above are aggravating factors.</w:t>
      </w:r>
    </w:p>
    <w:p w14:paraId="3C523528" w14:textId="77777777" w:rsidR="00E67FA8" w:rsidRDefault="00E67FA8" w:rsidP="006B2C54">
      <w:pPr>
        <w:spacing w:line="360" w:lineRule="auto"/>
        <w:ind w:left="720" w:hanging="720"/>
        <w:jc w:val="both"/>
        <w:rPr>
          <w:rFonts w:ascii="Georgia" w:hAnsi="Georgia"/>
        </w:rPr>
      </w:pPr>
    </w:p>
    <w:p w14:paraId="24B331F7" w14:textId="22EEA1FF" w:rsidR="002B6145" w:rsidRDefault="002B6145" w:rsidP="006B2C54">
      <w:pPr>
        <w:spacing w:line="360" w:lineRule="auto"/>
        <w:ind w:left="720" w:hanging="720"/>
        <w:jc w:val="both"/>
        <w:rPr>
          <w:rFonts w:ascii="Georgia" w:hAnsi="Georgia"/>
          <w:b/>
          <w:bCs/>
        </w:rPr>
      </w:pPr>
      <w:r w:rsidRPr="00733247">
        <w:rPr>
          <w:rFonts w:ascii="Georgia" w:hAnsi="Georgia"/>
          <w:b/>
          <w:bCs/>
        </w:rPr>
        <w:lastRenderedPageBreak/>
        <w:t>Condition of the Property</w:t>
      </w:r>
    </w:p>
    <w:p w14:paraId="2930FA58" w14:textId="77777777" w:rsidR="00406B66" w:rsidRDefault="00406B66" w:rsidP="006B2C54">
      <w:pPr>
        <w:spacing w:line="360" w:lineRule="auto"/>
        <w:ind w:left="720" w:hanging="720"/>
        <w:jc w:val="both"/>
        <w:rPr>
          <w:rFonts w:ascii="Georgia" w:hAnsi="Georgia"/>
          <w:b/>
          <w:bCs/>
        </w:rPr>
      </w:pPr>
    </w:p>
    <w:p w14:paraId="56177037" w14:textId="13288519" w:rsidR="00406B66" w:rsidRDefault="00406B66" w:rsidP="006B2C54">
      <w:pPr>
        <w:spacing w:line="360" w:lineRule="auto"/>
        <w:ind w:left="720" w:hanging="720"/>
        <w:jc w:val="both"/>
        <w:rPr>
          <w:rFonts w:ascii="Georgia" w:hAnsi="Georgia"/>
        </w:rPr>
      </w:pPr>
      <w:r>
        <w:rPr>
          <w:rFonts w:ascii="Georgia" w:hAnsi="Georgia"/>
        </w:rPr>
        <w:t>5</w:t>
      </w:r>
      <w:r w:rsidR="005F227A">
        <w:rPr>
          <w:rFonts w:ascii="Georgia" w:hAnsi="Georgia"/>
        </w:rPr>
        <w:t>7</w:t>
      </w:r>
      <w:r>
        <w:rPr>
          <w:rFonts w:ascii="Georgia" w:hAnsi="Georgia"/>
        </w:rPr>
        <w:t>.</w:t>
      </w:r>
      <w:r>
        <w:rPr>
          <w:rFonts w:ascii="Georgia" w:hAnsi="Georgia"/>
        </w:rPr>
        <w:tab/>
      </w:r>
      <w:r w:rsidR="00643596">
        <w:rPr>
          <w:rFonts w:ascii="Georgia" w:hAnsi="Georgia"/>
        </w:rPr>
        <w:t xml:space="preserve">Ernesto Carrella </w:t>
      </w:r>
      <w:r w:rsidR="006825DF">
        <w:rPr>
          <w:rFonts w:ascii="Georgia" w:hAnsi="Georgia"/>
        </w:rPr>
        <w:t xml:space="preserve">told the Tribunal that when he and his family </w:t>
      </w:r>
      <w:r w:rsidR="007175BB">
        <w:rPr>
          <w:rFonts w:ascii="Georgia" w:hAnsi="Georgia"/>
        </w:rPr>
        <w:t xml:space="preserve">had </w:t>
      </w:r>
      <w:r w:rsidR="006825DF">
        <w:rPr>
          <w:rFonts w:ascii="Georgia" w:hAnsi="Georgia"/>
        </w:rPr>
        <w:t>moved into the Property</w:t>
      </w:r>
      <w:r w:rsidR="00F46E2C">
        <w:rPr>
          <w:rFonts w:ascii="Georgia" w:hAnsi="Georgia"/>
        </w:rPr>
        <w:t>,</w:t>
      </w:r>
      <w:r w:rsidR="006825DF">
        <w:rPr>
          <w:rFonts w:ascii="Georgia" w:hAnsi="Georgia"/>
        </w:rPr>
        <w:t xml:space="preserve"> the garden </w:t>
      </w:r>
      <w:r w:rsidR="007175BB">
        <w:rPr>
          <w:rFonts w:ascii="Georgia" w:hAnsi="Georgia"/>
        </w:rPr>
        <w:t>had been</w:t>
      </w:r>
      <w:r w:rsidR="006825DF">
        <w:rPr>
          <w:rFonts w:ascii="Georgia" w:hAnsi="Georgia"/>
        </w:rPr>
        <w:t xml:space="preserve"> </w:t>
      </w:r>
      <w:r w:rsidR="00992C17">
        <w:rPr>
          <w:rFonts w:ascii="Georgia" w:hAnsi="Georgia"/>
        </w:rPr>
        <w:t>littered with debris</w:t>
      </w:r>
      <w:r w:rsidR="00AD0EBF">
        <w:rPr>
          <w:rFonts w:ascii="Georgia" w:hAnsi="Georgia"/>
        </w:rPr>
        <w:t xml:space="preserve">.  </w:t>
      </w:r>
      <w:r w:rsidR="00F027B0">
        <w:rPr>
          <w:rFonts w:ascii="Georgia" w:hAnsi="Georgia"/>
        </w:rPr>
        <w:t>The Applicants produced a p</w:t>
      </w:r>
      <w:r w:rsidR="00AD0EBF">
        <w:rPr>
          <w:rFonts w:ascii="Georgia" w:hAnsi="Georgia"/>
        </w:rPr>
        <w:t>hotograph at page</w:t>
      </w:r>
      <w:r w:rsidR="00F027B0">
        <w:rPr>
          <w:rFonts w:ascii="Georgia" w:hAnsi="Georgia"/>
        </w:rPr>
        <w:t xml:space="preserve"> 28 of the bundle, which showed </w:t>
      </w:r>
      <w:r w:rsidR="00BC64F8">
        <w:rPr>
          <w:rFonts w:ascii="Georgia" w:hAnsi="Georgia"/>
        </w:rPr>
        <w:t xml:space="preserve">the debris that </w:t>
      </w:r>
      <w:r w:rsidR="007175BB">
        <w:rPr>
          <w:rFonts w:ascii="Georgia" w:hAnsi="Georgia"/>
        </w:rPr>
        <w:t>had been</w:t>
      </w:r>
      <w:r w:rsidR="00BC64F8">
        <w:rPr>
          <w:rFonts w:ascii="Georgia" w:hAnsi="Georgia"/>
        </w:rPr>
        <w:t xml:space="preserve"> in the garden.</w:t>
      </w:r>
      <w:r w:rsidR="00C91F39">
        <w:rPr>
          <w:rFonts w:ascii="Georgia" w:hAnsi="Georgia"/>
        </w:rPr>
        <w:t xml:space="preserve">  </w:t>
      </w:r>
      <w:r w:rsidR="009B07F4">
        <w:rPr>
          <w:rFonts w:ascii="Georgia" w:hAnsi="Georgia"/>
        </w:rPr>
        <w:t xml:space="preserve">The Applicants stated that the debris </w:t>
      </w:r>
      <w:r w:rsidR="00730B5D">
        <w:rPr>
          <w:rFonts w:ascii="Georgia" w:hAnsi="Georgia"/>
        </w:rPr>
        <w:t xml:space="preserve">had </w:t>
      </w:r>
      <w:r w:rsidR="009B07F4">
        <w:rPr>
          <w:rFonts w:ascii="Georgia" w:hAnsi="Georgia"/>
        </w:rPr>
        <w:t xml:space="preserve">included car tyres, a portable toilet, </w:t>
      </w:r>
      <w:r w:rsidR="00ED493C">
        <w:rPr>
          <w:rFonts w:ascii="Georgia" w:hAnsi="Georgia"/>
        </w:rPr>
        <w:t>an abandoned motorcycle and used needles.</w:t>
      </w:r>
      <w:r w:rsidR="00AD0EBF">
        <w:rPr>
          <w:rFonts w:ascii="Georgia" w:hAnsi="Georgia"/>
        </w:rPr>
        <w:t xml:space="preserve">  The Applicants told the Tribunal that they had asked for the garden to be cleared before they </w:t>
      </w:r>
      <w:r w:rsidR="00CE5007">
        <w:rPr>
          <w:rFonts w:ascii="Georgia" w:hAnsi="Georgia"/>
        </w:rPr>
        <w:t xml:space="preserve">had </w:t>
      </w:r>
      <w:r w:rsidR="00AD0EBF">
        <w:rPr>
          <w:rFonts w:ascii="Georgia" w:hAnsi="Georgia"/>
        </w:rPr>
        <w:t>moved in</w:t>
      </w:r>
      <w:r w:rsidR="00F46E2C">
        <w:rPr>
          <w:rFonts w:ascii="Georgia" w:hAnsi="Georgia"/>
        </w:rPr>
        <w:t>to the Property</w:t>
      </w:r>
      <w:r w:rsidR="00AD0EBF">
        <w:rPr>
          <w:rFonts w:ascii="Georgia" w:hAnsi="Georgia"/>
        </w:rPr>
        <w:t xml:space="preserve"> but this had not happened.</w:t>
      </w:r>
      <w:r w:rsidR="00F0725D">
        <w:rPr>
          <w:rFonts w:ascii="Georgia" w:hAnsi="Georgia"/>
        </w:rPr>
        <w:t xml:space="preserve">   </w:t>
      </w:r>
    </w:p>
    <w:p w14:paraId="478772BD" w14:textId="77777777" w:rsidR="00F0725D" w:rsidRDefault="00F0725D" w:rsidP="004A54DF">
      <w:pPr>
        <w:spacing w:line="360" w:lineRule="auto"/>
        <w:jc w:val="both"/>
        <w:rPr>
          <w:rFonts w:ascii="Georgia" w:hAnsi="Georgia"/>
        </w:rPr>
      </w:pPr>
    </w:p>
    <w:p w14:paraId="044E7323" w14:textId="60664D99" w:rsidR="004A54DF" w:rsidRDefault="00F0725D" w:rsidP="004A54DF">
      <w:pPr>
        <w:spacing w:line="360" w:lineRule="auto"/>
        <w:ind w:left="720" w:hanging="720"/>
        <w:jc w:val="both"/>
        <w:rPr>
          <w:rFonts w:ascii="Georgia" w:hAnsi="Georgia"/>
        </w:rPr>
      </w:pPr>
      <w:r>
        <w:rPr>
          <w:rFonts w:ascii="Georgia" w:hAnsi="Georgia"/>
        </w:rPr>
        <w:t>5</w:t>
      </w:r>
      <w:r w:rsidR="005F227A">
        <w:rPr>
          <w:rFonts w:ascii="Georgia" w:hAnsi="Georgia"/>
        </w:rPr>
        <w:t>8</w:t>
      </w:r>
      <w:r>
        <w:rPr>
          <w:rFonts w:ascii="Georgia" w:hAnsi="Georgia"/>
        </w:rPr>
        <w:t>.</w:t>
      </w:r>
      <w:r>
        <w:rPr>
          <w:rFonts w:ascii="Georgia" w:hAnsi="Georgia"/>
        </w:rPr>
        <w:tab/>
        <w:t>Additionally, Ernesto Carrella</w:t>
      </w:r>
      <w:r w:rsidR="006C13C4">
        <w:rPr>
          <w:rFonts w:ascii="Georgia" w:hAnsi="Georgia"/>
        </w:rPr>
        <w:t xml:space="preserve"> told the </w:t>
      </w:r>
      <w:r w:rsidR="00B636C3">
        <w:rPr>
          <w:rFonts w:ascii="Georgia" w:hAnsi="Georgia"/>
        </w:rPr>
        <w:t>Tribunal</w:t>
      </w:r>
      <w:r w:rsidR="006C13C4">
        <w:rPr>
          <w:rFonts w:ascii="Georgia" w:hAnsi="Georgia"/>
        </w:rPr>
        <w:t xml:space="preserve"> that </w:t>
      </w:r>
      <w:r w:rsidR="00C53A6F">
        <w:rPr>
          <w:rFonts w:ascii="Georgia" w:hAnsi="Georgia"/>
        </w:rPr>
        <w:t xml:space="preserve">there </w:t>
      </w:r>
      <w:r w:rsidR="00CE5007">
        <w:rPr>
          <w:rFonts w:ascii="Georgia" w:hAnsi="Georgia"/>
        </w:rPr>
        <w:t>had been</w:t>
      </w:r>
      <w:r w:rsidR="00C53A6F">
        <w:rPr>
          <w:rFonts w:ascii="Georgia" w:hAnsi="Georgia"/>
        </w:rPr>
        <w:t xml:space="preserve"> mould and water damage</w:t>
      </w:r>
      <w:r w:rsidR="00E72F09">
        <w:rPr>
          <w:rFonts w:ascii="Georgia" w:hAnsi="Georgia"/>
        </w:rPr>
        <w:t xml:space="preserve"> as the </w:t>
      </w:r>
      <w:r w:rsidR="00B37B72">
        <w:rPr>
          <w:rFonts w:ascii="Georgia" w:hAnsi="Georgia"/>
        </w:rPr>
        <w:t xml:space="preserve">shower head was broken and the toilet water tank dripped which </w:t>
      </w:r>
      <w:r w:rsidR="00B727CB">
        <w:rPr>
          <w:rFonts w:ascii="Georgia" w:hAnsi="Georgia"/>
        </w:rPr>
        <w:t xml:space="preserve">had </w:t>
      </w:r>
      <w:r w:rsidR="00B37B72">
        <w:rPr>
          <w:rFonts w:ascii="Georgia" w:hAnsi="Georgia"/>
        </w:rPr>
        <w:t>caused mould to grow.</w:t>
      </w:r>
      <w:r w:rsidR="004A54DF">
        <w:rPr>
          <w:rFonts w:ascii="Georgia" w:hAnsi="Georgia"/>
        </w:rPr>
        <w:t xml:space="preserve">  The Applicants further told the Tribunal that the water in the bathroom was either scalding hot or freezing cold which </w:t>
      </w:r>
      <w:r w:rsidR="00B727CB">
        <w:rPr>
          <w:rFonts w:ascii="Georgia" w:hAnsi="Georgia"/>
        </w:rPr>
        <w:t xml:space="preserve">had </w:t>
      </w:r>
      <w:r w:rsidR="004A54DF">
        <w:rPr>
          <w:rFonts w:ascii="Georgia" w:hAnsi="Georgia"/>
        </w:rPr>
        <w:t xml:space="preserve">made showers impossible.   </w:t>
      </w:r>
    </w:p>
    <w:p w14:paraId="3923448C" w14:textId="77777777" w:rsidR="003E5055" w:rsidRDefault="003E5055" w:rsidP="004A54DF">
      <w:pPr>
        <w:spacing w:line="360" w:lineRule="auto"/>
        <w:jc w:val="both"/>
        <w:rPr>
          <w:rFonts w:ascii="Georgia" w:hAnsi="Georgia"/>
        </w:rPr>
      </w:pPr>
    </w:p>
    <w:p w14:paraId="28E04DAF" w14:textId="10EB3B74" w:rsidR="004A54DF" w:rsidRDefault="003E5055" w:rsidP="006B2C54">
      <w:pPr>
        <w:spacing w:line="360" w:lineRule="auto"/>
        <w:ind w:left="720" w:hanging="720"/>
        <w:jc w:val="both"/>
        <w:rPr>
          <w:rFonts w:ascii="Georgia" w:hAnsi="Georgia"/>
        </w:rPr>
      </w:pPr>
      <w:r>
        <w:rPr>
          <w:rFonts w:ascii="Georgia" w:hAnsi="Georgia"/>
        </w:rPr>
        <w:t>5</w:t>
      </w:r>
      <w:r w:rsidR="005F227A">
        <w:rPr>
          <w:rFonts w:ascii="Georgia" w:hAnsi="Georgia"/>
        </w:rPr>
        <w:t>9</w:t>
      </w:r>
      <w:r>
        <w:rPr>
          <w:rFonts w:ascii="Georgia" w:hAnsi="Georgia"/>
        </w:rPr>
        <w:t>.</w:t>
      </w:r>
      <w:r>
        <w:rPr>
          <w:rFonts w:ascii="Georgia" w:hAnsi="Georgia"/>
        </w:rPr>
        <w:tab/>
        <w:t xml:space="preserve">The </w:t>
      </w:r>
      <w:r w:rsidR="000620D1">
        <w:rPr>
          <w:rFonts w:ascii="Georgia" w:hAnsi="Georgia"/>
        </w:rPr>
        <w:t>l</w:t>
      </w:r>
      <w:r w:rsidR="00633372">
        <w:rPr>
          <w:rFonts w:ascii="Georgia" w:hAnsi="Georgia"/>
        </w:rPr>
        <w:t xml:space="preserve">ocal </w:t>
      </w:r>
      <w:r w:rsidR="000620D1">
        <w:rPr>
          <w:rFonts w:ascii="Georgia" w:hAnsi="Georgia"/>
        </w:rPr>
        <w:t>a</w:t>
      </w:r>
      <w:r w:rsidR="00633372">
        <w:rPr>
          <w:rFonts w:ascii="Georgia" w:hAnsi="Georgia"/>
        </w:rPr>
        <w:t xml:space="preserve">uthority </w:t>
      </w:r>
      <w:r w:rsidR="00B96B7A">
        <w:rPr>
          <w:rFonts w:ascii="Georgia" w:hAnsi="Georgia"/>
        </w:rPr>
        <w:t xml:space="preserve">(Oxford City Council) </w:t>
      </w:r>
      <w:r w:rsidR="00801833">
        <w:rPr>
          <w:rFonts w:ascii="Georgia" w:hAnsi="Georgia"/>
        </w:rPr>
        <w:t xml:space="preserve">had </w:t>
      </w:r>
      <w:r w:rsidR="00633372">
        <w:rPr>
          <w:rFonts w:ascii="Georgia" w:hAnsi="Georgia"/>
        </w:rPr>
        <w:t xml:space="preserve">attended the Property and produced an inspection report.  This report was dated </w:t>
      </w:r>
      <w:r w:rsidR="002F6337">
        <w:rPr>
          <w:rFonts w:ascii="Georgia" w:hAnsi="Georgia"/>
        </w:rPr>
        <w:t>25</w:t>
      </w:r>
      <w:r w:rsidR="00BB6D35">
        <w:rPr>
          <w:rFonts w:ascii="Georgia" w:hAnsi="Georgia"/>
        </w:rPr>
        <w:t xml:space="preserve"> Janua</w:t>
      </w:r>
      <w:r w:rsidR="002F6337">
        <w:rPr>
          <w:rFonts w:ascii="Georgia" w:hAnsi="Georgia"/>
        </w:rPr>
        <w:t>ry 2023</w:t>
      </w:r>
      <w:r w:rsidR="00633372">
        <w:rPr>
          <w:rFonts w:ascii="Georgia" w:hAnsi="Georgia"/>
        </w:rPr>
        <w:t xml:space="preserve"> and </w:t>
      </w:r>
      <w:r w:rsidR="002F6337">
        <w:rPr>
          <w:rFonts w:ascii="Georgia" w:hAnsi="Georgia"/>
        </w:rPr>
        <w:t>highlighted a</w:t>
      </w:r>
      <w:r w:rsidR="004A54DF">
        <w:rPr>
          <w:rFonts w:ascii="Georgia" w:hAnsi="Georgia"/>
        </w:rPr>
        <w:t xml:space="preserve"> </w:t>
      </w:r>
      <w:r w:rsidR="002F6337">
        <w:rPr>
          <w:rFonts w:ascii="Georgia" w:hAnsi="Georgia"/>
        </w:rPr>
        <w:t xml:space="preserve">number of issues, in particular </w:t>
      </w:r>
      <w:r w:rsidR="00FA38B0">
        <w:rPr>
          <w:rFonts w:ascii="Georgia" w:hAnsi="Georgia"/>
        </w:rPr>
        <w:t>the lack of arrangement for domestic refuse</w:t>
      </w:r>
      <w:r w:rsidR="00BE1E31">
        <w:rPr>
          <w:rFonts w:ascii="Georgia" w:hAnsi="Georgia"/>
        </w:rPr>
        <w:t>, missing part of the handrail for the stairs</w:t>
      </w:r>
      <w:r w:rsidR="00041FDF">
        <w:rPr>
          <w:rFonts w:ascii="Georgia" w:hAnsi="Georgia"/>
        </w:rPr>
        <w:t xml:space="preserve">, </w:t>
      </w:r>
      <w:r w:rsidR="007A1555">
        <w:rPr>
          <w:rFonts w:ascii="Georgia" w:hAnsi="Georgia"/>
        </w:rPr>
        <w:t xml:space="preserve">a gap at the bottom of the </w:t>
      </w:r>
      <w:r w:rsidR="00282607">
        <w:rPr>
          <w:rFonts w:ascii="Georgia" w:hAnsi="Georgia"/>
        </w:rPr>
        <w:t xml:space="preserve">entrance </w:t>
      </w:r>
      <w:r w:rsidR="007A1555">
        <w:rPr>
          <w:rFonts w:ascii="Georgia" w:hAnsi="Georgia"/>
        </w:rPr>
        <w:t>door</w:t>
      </w:r>
      <w:r w:rsidR="00D822F0">
        <w:rPr>
          <w:rFonts w:ascii="Georgia" w:hAnsi="Georgia"/>
        </w:rPr>
        <w:t xml:space="preserve"> which allowed rodents to enter the Property</w:t>
      </w:r>
      <w:r w:rsidR="00120CCA">
        <w:rPr>
          <w:rFonts w:ascii="Georgia" w:hAnsi="Georgia"/>
        </w:rPr>
        <w:t>, poor fitting doors and the front entrance not having keyless access</w:t>
      </w:r>
      <w:r w:rsidR="00B621FA">
        <w:rPr>
          <w:rFonts w:ascii="Georgia" w:hAnsi="Georgia"/>
        </w:rPr>
        <w:t xml:space="preserve">.  </w:t>
      </w:r>
    </w:p>
    <w:p w14:paraId="6844399E" w14:textId="77777777" w:rsidR="004A54DF" w:rsidRDefault="004A54DF" w:rsidP="006B2C54">
      <w:pPr>
        <w:spacing w:line="360" w:lineRule="auto"/>
        <w:ind w:left="720" w:hanging="720"/>
        <w:jc w:val="both"/>
        <w:rPr>
          <w:rFonts w:ascii="Georgia" w:hAnsi="Georgia"/>
        </w:rPr>
      </w:pPr>
    </w:p>
    <w:p w14:paraId="52A309CC" w14:textId="7BE9FEC8" w:rsidR="00E4560F" w:rsidRDefault="005F227A" w:rsidP="00E4560F">
      <w:pPr>
        <w:spacing w:line="360" w:lineRule="auto"/>
        <w:ind w:left="720" w:hanging="720"/>
        <w:jc w:val="both"/>
        <w:rPr>
          <w:rFonts w:ascii="Georgia" w:hAnsi="Georgia"/>
        </w:rPr>
      </w:pPr>
      <w:r>
        <w:rPr>
          <w:rFonts w:ascii="Georgia" w:hAnsi="Georgia"/>
        </w:rPr>
        <w:t>60</w:t>
      </w:r>
      <w:r w:rsidR="004A54DF">
        <w:rPr>
          <w:rFonts w:ascii="Georgia" w:hAnsi="Georgia"/>
        </w:rPr>
        <w:t>.</w:t>
      </w:r>
      <w:r w:rsidR="004A54DF">
        <w:rPr>
          <w:rFonts w:ascii="Georgia" w:hAnsi="Georgia"/>
        </w:rPr>
        <w:tab/>
      </w:r>
      <w:r w:rsidR="00B621FA">
        <w:rPr>
          <w:rFonts w:ascii="Georgia" w:hAnsi="Georgia"/>
        </w:rPr>
        <w:t>The</w:t>
      </w:r>
      <w:r w:rsidR="004A54DF">
        <w:rPr>
          <w:rFonts w:ascii="Georgia" w:hAnsi="Georgia"/>
        </w:rPr>
        <w:t xml:space="preserve"> Tribunal accepts the evidence of the Applicants and finds that the Property </w:t>
      </w:r>
      <w:r w:rsidR="00904191">
        <w:rPr>
          <w:rFonts w:ascii="Georgia" w:hAnsi="Georgia"/>
        </w:rPr>
        <w:t xml:space="preserve">condition as set out by the Applicants </w:t>
      </w:r>
      <w:r w:rsidR="001F7F85">
        <w:rPr>
          <w:rFonts w:ascii="Georgia" w:hAnsi="Georgia"/>
        </w:rPr>
        <w:t>i</w:t>
      </w:r>
      <w:r w:rsidR="00904191">
        <w:rPr>
          <w:rFonts w:ascii="Georgia" w:hAnsi="Georgia"/>
        </w:rPr>
        <w:t>s an aggravating factor.</w:t>
      </w:r>
      <w:r w:rsidR="00E4560F">
        <w:rPr>
          <w:rFonts w:ascii="Georgia" w:hAnsi="Georgia"/>
        </w:rPr>
        <w:t xml:space="preserve">  The Tribunal accepts the inspection report completed by the </w:t>
      </w:r>
      <w:r w:rsidR="00750BA4">
        <w:rPr>
          <w:rFonts w:ascii="Georgia" w:hAnsi="Georgia"/>
        </w:rPr>
        <w:t>l</w:t>
      </w:r>
      <w:r w:rsidR="00E4560F">
        <w:rPr>
          <w:rFonts w:ascii="Georgia" w:hAnsi="Georgia"/>
        </w:rPr>
        <w:t>ocal authority and the hazards identified in that report which include</w:t>
      </w:r>
      <w:r w:rsidR="00750BA4">
        <w:rPr>
          <w:rFonts w:ascii="Georgia" w:hAnsi="Georgia"/>
        </w:rPr>
        <w:t>d</w:t>
      </w:r>
      <w:r w:rsidR="00E4560F">
        <w:rPr>
          <w:rFonts w:ascii="Georgia" w:hAnsi="Georgia"/>
        </w:rPr>
        <w:t xml:space="preserve"> </w:t>
      </w:r>
      <w:r w:rsidR="005910E9">
        <w:rPr>
          <w:rFonts w:ascii="Georgia" w:hAnsi="Georgia"/>
        </w:rPr>
        <w:t xml:space="preserve">the </w:t>
      </w:r>
      <w:r w:rsidR="00E4560F">
        <w:rPr>
          <w:rFonts w:ascii="Georgia" w:hAnsi="Georgia"/>
        </w:rPr>
        <w:t xml:space="preserve">entrance door </w:t>
      </w:r>
      <w:r w:rsidR="005910E9">
        <w:rPr>
          <w:rFonts w:ascii="Georgia" w:hAnsi="Georgia"/>
        </w:rPr>
        <w:t xml:space="preserve">having a gap so that </w:t>
      </w:r>
      <w:r w:rsidR="00E4560F">
        <w:rPr>
          <w:rFonts w:ascii="Georgia" w:hAnsi="Georgia"/>
        </w:rPr>
        <w:t>rodents</w:t>
      </w:r>
      <w:r w:rsidR="005910E9">
        <w:rPr>
          <w:rFonts w:ascii="Georgia" w:hAnsi="Georgia"/>
        </w:rPr>
        <w:t xml:space="preserve"> could enter </w:t>
      </w:r>
      <w:r w:rsidR="00E4560F">
        <w:rPr>
          <w:rFonts w:ascii="Georgia" w:hAnsi="Georgia"/>
        </w:rPr>
        <w:t>and</w:t>
      </w:r>
      <w:r w:rsidR="005910E9">
        <w:rPr>
          <w:rFonts w:ascii="Georgia" w:hAnsi="Georgia"/>
        </w:rPr>
        <w:t xml:space="preserve"> the</w:t>
      </w:r>
      <w:r w:rsidR="00E4560F">
        <w:rPr>
          <w:rFonts w:ascii="Georgia" w:hAnsi="Georgia"/>
        </w:rPr>
        <w:t xml:space="preserve"> fire safety </w:t>
      </w:r>
      <w:r w:rsidR="005910E9">
        <w:rPr>
          <w:rFonts w:ascii="Georgia" w:hAnsi="Georgia"/>
        </w:rPr>
        <w:t>issues</w:t>
      </w:r>
      <w:r w:rsidR="00CD4749">
        <w:rPr>
          <w:rFonts w:ascii="Georgia" w:hAnsi="Georgia"/>
        </w:rPr>
        <w:t xml:space="preserve"> which </w:t>
      </w:r>
      <w:r w:rsidR="00E4560F">
        <w:rPr>
          <w:rFonts w:ascii="Georgia" w:hAnsi="Georgia"/>
        </w:rPr>
        <w:t>includ</w:t>
      </w:r>
      <w:r w:rsidR="00CD4749">
        <w:rPr>
          <w:rFonts w:ascii="Georgia" w:hAnsi="Georgia"/>
        </w:rPr>
        <w:t>ed</w:t>
      </w:r>
      <w:r w:rsidR="00E4560F">
        <w:rPr>
          <w:rFonts w:ascii="Georgia" w:hAnsi="Georgia"/>
        </w:rPr>
        <w:t xml:space="preserve"> </w:t>
      </w:r>
      <w:r w:rsidR="00663A24">
        <w:rPr>
          <w:rFonts w:ascii="Georgia" w:hAnsi="Georgia"/>
        </w:rPr>
        <w:t xml:space="preserve">doors not fitting properly and </w:t>
      </w:r>
      <w:r w:rsidR="007512B2">
        <w:rPr>
          <w:rFonts w:ascii="Georgia" w:hAnsi="Georgia"/>
        </w:rPr>
        <w:t xml:space="preserve">the entrance door to the property, which </w:t>
      </w:r>
      <w:r w:rsidR="001F7F85">
        <w:rPr>
          <w:rFonts w:ascii="Georgia" w:hAnsi="Georgia"/>
        </w:rPr>
        <w:t>wa</w:t>
      </w:r>
      <w:r w:rsidR="007512B2">
        <w:rPr>
          <w:rFonts w:ascii="Georgia" w:hAnsi="Georgia"/>
        </w:rPr>
        <w:t>s also the fire exit, not hav</w:t>
      </w:r>
      <w:r w:rsidR="00CD4749">
        <w:rPr>
          <w:rFonts w:ascii="Georgia" w:hAnsi="Georgia"/>
        </w:rPr>
        <w:t>ing</w:t>
      </w:r>
      <w:r w:rsidR="007512B2">
        <w:rPr>
          <w:rFonts w:ascii="Georgia" w:hAnsi="Georgia"/>
        </w:rPr>
        <w:t xml:space="preserve"> </w:t>
      </w:r>
      <w:r w:rsidR="00E4560F">
        <w:rPr>
          <w:rFonts w:ascii="Georgia" w:hAnsi="Georgia"/>
        </w:rPr>
        <w:t>keyless access.</w:t>
      </w:r>
    </w:p>
    <w:p w14:paraId="09B747E9" w14:textId="53BBAF00" w:rsidR="003E5055" w:rsidRPr="00406B66" w:rsidRDefault="003E5055" w:rsidP="006B2C54">
      <w:pPr>
        <w:spacing w:line="360" w:lineRule="auto"/>
        <w:ind w:left="720" w:hanging="720"/>
        <w:jc w:val="both"/>
        <w:rPr>
          <w:rFonts w:ascii="Georgia" w:hAnsi="Georgia"/>
        </w:rPr>
      </w:pPr>
    </w:p>
    <w:p w14:paraId="3C8183DD" w14:textId="77777777" w:rsidR="00841F06" w:rsidRDefault="00841F06" w:rsidP="006B2C54">
      <w:pPr>
        <w:spacing w:line="360" w:lineRule="auto"/>
        <w:ind w:left="720" w:hanging="720"/>
        <w:jc w:val="both"/>
        <w:rPr>
          <w:rFonts w:ascii="Georgia" w:hAnsi="Georgia"/>
          <w:b/>
          <w:bCs/>
        </w:rPr>
      </w:pPr>
    </w:p>
    <w:p w14:paraId="1F175DED" w14:textId="6B587B5D" w:rsidR="00E67FA8" w:rsidRDefault="00E67FA8" w:rsidP="006B2C54">
      <w:pPr>
        <w:spacing w:line="360" w:lineRule="auto"/>
        <w:ind w:left="720" w:hanging="720"/>
        <w:jc w:val="both"/>
        <w:rPr>
          <w:rFonts w:ascii="Georgia" w:hAnsi="Georgia"/>
          <w:b/>
          <w:bCs/>
        </w:rPr>
      </w:pPr>
      <w:r w:rsidRPr="00E67FA8">
        <w:rPr>
          <w:rFonts w:ascii="Georgia" w:hAnsi="Georgia"/>
          <w:b/>
          <w:bCs/>
        </w:rPr>
        <w:lastRenderedPageBreak/>
        <w:t>Second Respondent</w:t>
      </w:r>
    </w:p>
    <w:p w14:paraId="14472F33" w14:textId="77777777" w:rsidR="00E67FA8" w:rsidRPr="00E67FA8" w:rsidRDefault="00E67FA8" w:rsidP="006B2C54">
      <w:pPr>
        <w:spacing w:line="360" w:lineRule="auto"/>
        <w:ind w:left="720" w:hanging="720"/>
        <w:jc w:val="both"/>
        <w:rPr>
          <w:rFonts w:ascii="Georgia" w:hAnsi="Georgia"/>
          <w:b/>
          <w:bCs/>
        </w:rPr>
      </w:pPr>
    </w:p>
    <w:p w14:paraId="56905EF6" w14:textId="23364701" w:rsidR="00D160AC" w:rsidRDefault="005F227A" w:rsidP="006B2C54">
      <w:pPr>
        <w:spacing w:line="360" w:lineRule="auto"/>
        <w:ind w:left="720" w:hanging="720"/>
        <w:jc w:val="both"/>
        <w:rPr>
          <w:rFonts w:ascii="Georgia" w:hAnsi="Georgia"/>
        </w:rPr>
      </w:pPr>
      <w:r>
        <w:rPr>
          <w:rFonts w:ascii="Georgia" w:hAnsi="Georgia"/>
        </w:rPr>
        <w:t>61</w:t>
      </w:r>
      <w:r w:rsidR="00E67FA8">
        <w:rPr>
          <w:rFonts w:ascii="Georgia" w:hAnsi="Georgia"/>
        </w:rPr>
        <w:t xml:space="preserve">. </w:t>
      </w:r>
      <w:r w:rsidR="00E72657">
        <w:rPr>
          <w:rFonts w:ascii="Georgia" w:hAnsi="Georgia"/>
        </w:rPr>
        <w:t xml:space="preserve"> </w:t>
      </w:r>
      <w:r w:rsidR="00D05EBA">
        <w:rPr>
          <w:rFonts w:ascii="Georgia" w:hAnsi="Georgia"/>
        </w:rPr>
        <w:t xml:space="preserve">   </w:t>
      </w:r>
      <w:r w:rsidR="00E72657">
        <w:rPr>
          <w:rFonts w:ascii="Georgia" w:hAnsi="Georgia"/>
        </w:rPr>
        <w:t xml:space="preserve">The Applicants told the Tribunal that they </w:t>
      </w:r>
      <w:r w:rsidR="001F7F85">
        <w:rPr>
          <w:rFonts w:ascii="Georgia" w:hAnsi="Georgia"/>
        </w:rPr>
        <w:t>had</w:t>
      </w:r>
      <w:r w:rsidR="00E72657">
        <w:rPr>
          <w:rFonts w:ascii="Georgia" w:hAnsi="Georgia"/>
        </w:rPr>
        <w:t xml:space="preserve"> not </w:t>
      </w:r>
      <w:r w:rsidR="001F7F85">
        <w:rPr>
          <w:rFonts w:ascii="Georgia" w:hAnsi="Georgia"/>
        </w:rPr>
        <w:t xml:space="preserve">been </w:t>
      </w:r>
      <w:r w:rsidR="00E72657">
        <w:rPr>
          <w:rFonts w:ascii="Georgia" w:hAnsi="Georgia"/>
        </w:rPr>
        <w:t xml:space="preserve">told that the First Respondent was subletting the Property </w:t>
      </w:r>
      <w:r w:rsidR="00CF53B1">
        <w:rPr>
          <w:rFonts w:ascii="Georgia" w:hAnsi="Georgia"/>
        </w:rPr>
        <w:t>until an unfamiliar individual</w:t>
      </w:r>
      <w:r w:rsidR="00D05EBA">
        <w:rPr>
          <w:rFonts w:ascii="Georgia" w:hAnsi="Georgia"/>
        </w:rPr>
        <w:t xml:space="preserve">, who they later found to be the Second Respondent, </w:t>
      </w:r>
      <w:r w:rsidR="008E39F5">
        <w:rPr>
          <w:rFonts w:ascii="Georgia" w:hAnsi="Georgia"/>
        </w:rPr>
        <w:t>had come</w:t>
      </w:r>
      <w:r w:rsidR="00CF53B1">
        <w:rPr>
          <w:rFonts w:ascii="Georgia" w:hAnsi="Georgia"/>
        </w:rPr>
        <w:t xml:space="preserve"> to the Property asking for access to complete a survey. </w:t>
      </w:r>
      <w:r w:rsidR="00D31BD5">
        <w:rPr>
          <w:rFonts w:ascii="Georgia" w:hAnsi="Georgia"/>
        </w:rPr>
        <w:t xml:space="preserve">The Applicants stated that they </w:t>
      </w:r>
      <w:r w:rsidR="008E39F5">
        <w:rPr>
          <w:rFonts w:ascii="Georgia" w:hAnsi="Georgia"/>
        </w:rPr>
        <w:t>had been</w:t>
      </w:r>
      <w:r w:rsidR="00D31BD5">
        <w:rPr>
          <w:rFonts w:ascii="Georgia" w:hAnsi="Georgia"/>
        </w:rPr>
        <w:t xml:space="preserve"> told </w:t>
      </w:r>
      <w:r w:rsidR="007537DF">
        <w:rPr>
          <w:rFonts w:ascii="Georgia" w:hAnsi="Georgia"/>
        </w:rPr>
        <w:t xml:space="preserve">sometime later </w:t>
      </w:r>
      <w:r w:rsidR="00D31BD5">
        <w:rPr>
          <w:rFonts w:ascii="Georgia" w:hAnsi="Georgia"/>
        </w:rPr>
        <w:t>by the agent</w:t>
      </w:r>
      <w:r w:rsidR="008E39F5">
        <w:rPr>
          <w:rFonts w:ascii="Georgia" w:hAnsi="Georgia"/>
        </w:rPr>
        <w:t>,</w:t>
      </w:r>
      <w:r w:rsidR="00D31BD5">
        <w:rPr>
          <w:rFonts w:ascii="Georgia" w:hAnsi="Georgia"/>
        </w:rPr>
        <w:t xml:space="preserve"> Entain</w:t>
      </w:r>
      <w:r w:rsidR="008E39F5">
        <w:rPr>
          <w:rFonts w:ascii="Georgia" w:hAnsi="Georgia"/>
        </w:rPr>
        <w:t>,</w:t>
      </w:r>
      <w:r w:rsidR="00D31BD5">
        <w:rPr>
          <w:rFonts w:ascii="Georgia" w:hAnsi="Georgia"/>
        </w:rPr>
        <w:t xml:space="preserve"> that the </w:t>
      </w:r>
      <w:r w:rsidR="00904191">
        <w:rPr>
          <w:rFonts w:ascii="Georgia" w:hAnsi="Georgia"/>
        </w:rPr>
        <w:t>S</w:t>
      </w:r>
      <w:r w:rsidR="00D31BD5">
        <w:rPr>
          <w:rFonts w:ascii="Georgia" w:hAnsi="Georgia"/>
        </w:rPr>
        <w:t xml:space="preserve">econd Respondent </w:t>
      </w:r>
      <w:r w:rsidR="008E39F5">
        <w:rPr>
          <w:rFonts w:ascii="Georgia" w:hAnsi="Georgia"/>
        </w:rPr>
        <w:t>had taken</w:t>
      </w:r>
      <w:r w:rsidR="00D31BD5">
        <w:rPr>
          <w:rFonts w:ascii="Georgia" w:hAnsi="Georgia"/>
        </w:rPr>
        <w:t xml:space="preserve"> over the Property on 16 May 2023</w:t>
      </w:r>
      <w:r w:rsidR="007537DF">
        <w:rPr>
          <w:rFonts w:ascii="Georgia" w:hAnsi="Georgia"/>
        </w:rPr>
        <w:t xml:space="preserve">. </w:t>
      </w:r>
      <w:r w:rsidR="00CF53B1">
        <w:rPr>
          <w:rFonts w:ascii="Georgia" w:hAnsi="Georgia"/>
        </w:rPr>
        <w:t xml:space="preserve"> </w:t>
      </w:r>
      <w:r w:rsidR="005A1DE7">
        <w:rPr>
          <w:rFonts w:ascii="Georgia" w:hAnsi="Georgia"/>
        </w:rPr>
        <w:t>The Applicants further stated that</w:t>
      </w:r>
      <w:r w:rsidR="00ED751B">
        <w:rPr>
          <w:rFonts w:ascii="Georgia" w:hAnsi="Georgia"/>
        </w:rPr>
        <w:t>,</w:t>
      </w:r>
      <w:r w:rsidR="005A1DE7">
        <w:rPr>
          <w:rFonts w:ascii="Georgia" w:hAnsi="Georgia"/>
        </w:rPr>
        <w:t xml:space="preserve"> on 18 May 2023</w:t>
      </w:r>
      <w:r w:rsidR="00ED751B">
        <w:rPr>
          <w:rFonts w:ascii="Georgia" w:hAnsi="Georgia"/>
        </w:rPr>
        <w:t>,</w:t>
      </w:r>
      <w:r w:rsidR="005A1DE7">
        <w:rPr>
          <w:rFonts w:ascii="Georgia" w:hAnsi="Georgia"/>
        </w:rPr>
        <w:t xml:space="preserve"> </w:t>
      </w:r>
      <w:r w:rsidR="001949A2">
        <w:rPr>
          <w:rFonts w:ascii="Georgia" w:hAnsi="Georgia"/>
        </w:rPr>
        <w:t>the Second Respondent</w:t>
      </w:r>
      <w:r w:rsidR="00ED751B">
        <w:rPr>
          <w:rFonts w:ascii="Georgia" w:hAnsi="Georgia"/>
        </w:rPr>
        <w:t xml:space="preserve"> had</w:t>
      </w:r>
      <w:r w:rsidR="001949A2">
        <w:rPr>
          <w:rFonts w:ascii="Georgia" w:hAnsi="Georgia"/>
        </w:rPr>
        <w:t xml:space="preserve"> returned to the Property, explained that he was the new landlord and </w:t>
      </w:r>
      <w:r w:rsidR="00534D22">
        <w:rPr>
          <w:rFonts w:ascii="Georgia" w:hAnsi="Georgia"/>
        </w:rPr>
        <w:t>handed the Applicants an eviction notice.</w:t>
      </w:r>
      <w:r w:rsidR="00AB4925">
        <w:rPr>
          <w:rFonts w:ascii="Georgia" w:hAnsi="Georgia"/>
        </w:rPr>
        <w:t xml:space="preserve">  </w:t>
      </w:r>
    </w:p>
    <w:p w14:paraId="1060BA23" w14:textId="77777777" w:rsidR="00D160AC" w:rsidRDefault="00D160AC" w:rsidP="006B2C54">
      <w:pPr>
        <w:spacing w:line="360" w:lineRule="auto"/>
        <w:ind w:left="720" w:hanging="720"/>
        <w:jc w:val="both"/>
        <w:rPr>
          <w:rFonts w:ascii="Georgia" w:hAnsi="Georgia"/>
        </w:rPr>
      </w:pPr>
    </w:p>
    <w:p w14:paraId="7539B1B4" w14:textId="558F9CF2" w:rsidR="009E1AF3" w:rsidRDefault="005F227A" w:rsidP="006B2C54">
      <w:pPr>
        <w:spacing w:line="360" w:lineRule="auto"/>
        <w:ind w:left="720" w:hanging="720"/>
        <w:jc w:val="both"/>
        <w:rPr>
          <w:rFonts w:ascii="Georgia" w:hAnsi="Georgia"/>
        </w:rPr>
      </w:pPr>
      <w:r>
        <w:rPr>
          <w:rFonts w:ascii="Georgia" w:hAnsi="Georgia"/>
        </w:rPr>
        <w:t>62</w:t>
      </w:r>
      <w:r w:rsidR="00D160AC">
        <w:rPr>
          <w:rFonts w:ascii="Georgia" w:hAnsi="Georgia"/>
        </w:rPr>
        <w:t>.</w:t>
      </w:r>
      <w:r w:rsidR="00D160AC">
        <w:rPr>
          <w:rFonts w:ascii="Georgia" w:hAnsi="Georgia"/>
        </w:rPr>
        <w:tab/>
        <w:t>At page 162 of the bundle, the Applicants produce</w:t>
      </w:r>
      <w:r w:rsidR="00ED751B">
        <w:rPr>
          <w:rFonts w:ascii="Georgia" w:hAnsi="Georgia"/>
        </w:rPr>
        <w:t>d</w:t>
      </w:r>
      <w:r w:rsidR="00D160AC">
        <w:rPr>
          <w:rFonts w:ascii="Georgia" w:hAnsi="Georgia"/>
        </w:rPr>
        <w:t xml:space="preserve"> the section 48 Landlord and Tenant Act 1987 </w:t>
      </w:r>
      <w:r w:rsidR="00194B7A">
        <w:rPr>
          <w:rFonts w:ascii="Georgia" w:hAnsi="Georgia"/>
        </w:rPr>
        <w:t>notice</w:t>
      </w:r>
      <w:r w:rsidR="00F72873">
        <w:rPr>
          <w:rFonts w:ascii="Georgia" w:hAnsi="Georgia"/>
        </w:rPr>
        <w:t xml:space="preserve"> they </w:t>
      </w:r>
      <w:r w:rsidR="00ED751B">
        <w:rPr>
          <w:rFonts w:ascii="Georgia" w:hAnsi="Georgia"/>
        </w:rPr>
        <w:t>had been</w:t>
      </w:r>
      <w:r w:rsidR="00F72873">
        <w:rPr>
          <w:rFonts w:ascii="Georgia" w:hAnsi="Georgia"/>
        </w:rPr>
        <w:t xml:space="preserve"> served with </w:t>
      </w:r>
      <w:r w:rsidR="00BB6975">
        <w:rPr>
          <w:rFonts w:ascii="Georgia" w:hAnsi="Georgia"/>
        </w:rPr>
        <w:t xml:space="preserve">on 18 May 2023 </w:t>
      </w:r>
      <w:r w:rsidR="00F72873">
        <w:rPr>
          <w:rFonts w:ascii="Georgia" w:hAnsi="Georgia"/>
        </w:rPr>
        <w:t xml:space="preserve">which confirmed that </w:t>
      </w:r>
      <w:r w:rsidR="0080147D">
        <w:rPr>
          <w:rFonts w:ascii="Georgia" w:hAnsi="Georgia"/>
        </w:rPr>
        <w:t>the Second Respondent was the landlord.  Further at page 164</w:t>
      </w:r>
      <w:r w:rsidR="00BB6975">
        <w:rPr>
          <w:rFonts w:ascii="Georgia" w:hAnsi="Georgia"/>
        </w:rPr>
        <w:t xml:space="preserve"> o</w:t>
      </w:r>
      <w:r w:rsidR="00E61B59">
        <w:rPr>
          <w:rFonts w:ascii="Georgia" w:hAnsi="Georgia"/>
        </w:rPr>
        <w:t>f the bundle</w:t>
      </w:r>
      <w:r w:rsidR="00904191">
        <w:rPr>
          <w:rFonts w:ascii="Georgia" w:hAnsi="Georgia"/>
        </w:rPr>
        <w:t>,</w:t>
      </w:r>
      <w:r w:rsidR="00E61B59">
        <w:rPr>
          <w:rFonts w:ascii="Georgia" w:hAnsi="Georgia"/>
        </w:rPr>
        <w:t xml:space="preserve"> the Applicant</w:t>
      </w:r>
      <w:r w:rsidR="00837733">
        <w:rPr>
          <w:rFonts w:ascii="Georgia" w:hAnsi="Georgia"/>
        </w:rPr>
        <w:t>s</w:t>
      </w:r>
      <w:r w:rsidR="00E61B59">
        <w:rPr>
          <w:rFonts w:ascii="Georgia" w:hAnsi="Georgia"/>
        </w:rPr>
        <w:t xml:space="preserve"> produced a</w:t>
      </w:r>
      <w:r w:rsidR="00904191">
        <w:rPr>
          <w:rFonts w:ascii="Georgia" w:hAnsi="Georgia"/>
        </w:rPr>
        <w:t xml:space="preserve"> notice given under</w:t>
      </w:r>
      <w:r w:rsidR="00E61B59">
        <w:rPr>
          <w:rFonts w:ascii="Georgia" w:hAnsi="Georgia"/>
        </w:rPr>
        <w:t xml:space="preserve"> section 8 Housing Act 1988</w:t>
      </w:r>
      <w:r w:rsidR="00BD3349">
        <w:rPr>
          <w:rFonts w:ascii="Georgia" w:hAnsi="Georgia"/>
        </w:rPr>
        <w:t>, dated 18 May 2023</w:t>
      </w:r>
      <w:r w:rsidR="00EC75AD">
        <w:rPr>
          <w:rFonts w:ascii="Georgia" w:hAnsi="Georgia"/>
        </w:rPr>
        <w:t xml:space="preserve">.  The notice </w:t>
      </w:r>
      <w:r w:rsidR="00837733">
        <w:rPr>
          <w:rFonts w:ascii="Georgia" w:hAnsi="Georgia"/>
        </w:rPr>
        <w:t xml:space="preserve">had </w:t>
      </w:r>
      <w:r w:rsidR="00EC75AD">
        <w:rPr>
          <w:rFonts w:ascii="Georgia" w:hAnsi="Georgia"/>
        </w:rPr>
        <w:t xml:space="preserve">required the Applicants to leave the Property because it </w:t>
      </w:r>
      <w:r w:rsidR="00AB4925">
        <w:rPr>
          <w:rFonts w:ascii="Georgia" w:hAnsi="Georgia"/>
        </w:rPr>
        <w:t>was overcrowded</w:t>
      </w:r>
      <w:r w:rsidR="00EC75AD">
        <w:rPr>
          <w:rFonts w:ascii="Georgia" w:hAnsi="Georgia"/>
        </w:rPr>
        <w:t xml:space="preserve">.  </w:t>
      </w:r>
      <w:r w:rsidR="00AB4925">
        <w:rPr>
          <w:rFonts w:ascii="Georgia" w:hAnsi="Georgia"/>
        </w:rPr>
        <w:t>However, the Applicants told the Tribunal that they</w:t>
      </w:r>
      <w:r w:rsidR="00837733">
        <w:rPr>
          <w:rFonts w:ascii="Georgia" w:hAnsi="Georgia"/>
        </w:rPr>
        <w:t xml:space="preserve"> had</w:t>
      </w:r>
      <w:r w:rsidR="00AB4925">
        <w:rPr>
          <w:rFonts w:ascii="Georgia" w:hAnsi="Georgia"/>
        </w:rPr>
        <w:t xml:space="preserve"> t</w:t>
      </w:r>
      <w:r w:rsidR="00837733">
        <w:rPr>
          <w:rFonts w:ascii="Georgia" w:hAnsi="Georgia"/>
        </w:rPr>
        <w:t>aken</w:t>
      </w:r>
      <w:r w:rsidR="00AB4925">
        <w:rPr>
          <w:rFonts w:ascii="Georgia" w:hAnsi="Georgia"/>
        </w:rPr>
        <w:t xml:space="preserve"> advice and </w:t>
      </w:r>
      <w:r w:rsidR="00837733">
        <w:rPr>
          <w:rFonts w:ascii="Georgia" w:hAnsi="Georgia"/>
        </w:rPr>
        <w:t>had been</w:t>
      </w:r>
      <w:r w:rsidR="00AB4925">
        <w:rPr>
          <w:rFonts w:ascii="Georgia" w:hAnsi="Georgia"/>
        </w:rPr>
        <w:t xml:space="preserve"> told that the</w:t>
      </w:r>
      <w:r w:rsidR="00705544">
        <w:rPr>
          <w:rFonts w:ascii="Georgia" w:hAnsi="Georgia"/>
        </w:rPr>
        <w:t xml:space="preserve"> eviction</w:t>
      </w:r>
      <w:r w:rsidR="00AB4925">
        <w:rPr>
          <w:rFonts w:ascii="Georgia" w:hAnsi="Georgia"/>
        </w:rPr>
        <w:t xml:space="preserve"> notice </w:t>
      </w:r>
      <w:r w:rsidR="00705544">
        <w:rPr>
          <w:rFonts w:ascii="Georgia" w:hAnsi="Georgia"/>
        </w:rPr>
        <w:t xml:space="preserve">was </w:t>
      </w:r>
      <w:r w:rsidR="00AB4925">
        <w:rPr>
          <w:rFonts w:ascii="Georgia" w:hAnsi="Georgia"/>
        </w:rPr>
        <w:t xml:space="preserve">not served </w:t>
      </w:r>
      <w:r w:rsidR="003041DB">
        <w:rPr>
          <w:rFonts w:ascii="Georgia" w:hAnsi="Georgia"/>
        </w:rPr>
        <w:t>lawfully</w:t>
      </w:r>
      <w:r w:rsidR="00705544">
        <w:rPr>
          <w:rFonts w:ascii="Georgia" w:hAnsi="Georgia"/>
        </w:rPr>
        <w:t xml:space="preserve"> because the Property was not overcrowded</w:t>
      </w:r>
      <w:r w:rsidR="003041DB">
        <w:rPr>
          <w:rFonts w:ascii="Georgia" w:hAnsi="Georgia"/>
        </w:rPr>
        <w:t>.</w:t>
      </w:r>
      <w:r w:rsidR="008833DD">
        <w:rPr>
          <w:rFonts w:ascii="Georgia" w:hAnsi="Georgia"/>
        </w:rPr>
        <w:t xml:space="preserve">  The Applicants produced at page 47 of the bundle an introductory </w:t>
      </w:r>
      <w:r w:rsidR="005A2799">
        <w:rPr>
          <w:rFonts w:ascii="Georgia" w:hAnsi="Georgia"/>
        </w:rPr>
        <w:t>letter from</w:t>
      </w:r>
      <w:r w:rsidR="008833DD">
        <w:rPr>
          <w:rFonts w:ascii="Georgia" w:hAnsi="Georgia"/>
        </w:rPr>
        <w:t xml:space="preserve"> the letting agent </w:t>
      </w:r>
      <w:r w:rsidR="00B80423">
        <w:rPr>
          <w:rFonts w:ascii="Georgia" w:hAnsi="Georgia"/>
        </w:rPr>
        <w:t>which stated that the</w:t>
      </w:r>
      <w:r w:rsidR="00714DC1">
        <w:rPr>
          <w:rFonts w:ascii="Georgia" w:hAnsi="Georgia"/>
        </w:rPr>
        <w:t xml:space="preserve"> Property was let to 2 </w:t>
      </w:r>
      <w:r w:rsidR="00B80423">
        <w:rPr>
          <w:rFonts w:ascii="Georgia" w:hAnsi="Georgia"/>
        </w:rPr>
        <w:t>adults</w:t>
      </w:r>
      <w:r w:rsidR="00714DC1">
        <w:rPr>
          <w:rFonts w:ascii="Georgia" w:hAnsi="Georgia"/>
        </w:rPr>
        <w:t xml:space="preserve">, </w:t>
      </w:r>
      <w:r w:rsidR="00B80423">
        <w:rPr>
          <w:rFonts w:ascii="Georgia" w:hAnsi="Georgia"/>
        </w:rPr>
        <w:t xml:space="preserve">along with </w:t>
      </w:r>
      <w:r w:rsidR="00714DC1">
        <w:rPr>
          <w:rFonts w:ascii="Georgia" w:hAnsi="Georgia"/>
        </w:rPr>
        <w:t xml:space="preserve">their </w:t>
      </w:r>
      <w:r w:rsidR="00B80423">
        <w:rPr>
          <w:rFonts w:ascii="Georgia" w:hAnsi="Georgia"/>
        </w:rPr>
        <w:t>dependent</w:t>
      </w:r>
      <w:r w:rsidR="00714DC1">
        <w:rPr>
          <w:rFonts w:ascii="Georgia" w:hAnsi="Georgia"/>
        </w:rPr>
        <w:t>s</w:t>
      </w:r>
      <w:r w:rsidR="00B80423">
        <w:rPr>
          <w:rFonts w:ascii="Georgia" w:hAnsi="Georgia"/>
        </w:rPr>
        <w:t>.</w:t>
      </w:r>
      <w:r w:rsidR="00714DC1">
        <w:rPr>
          <w:rFonts w:ascii="Georgia" w:hAnsi="Georgia"/>
        </w:rPr>
        <w:t xml:space="preserve">  The Applicants were complying with this condition.</w:t>
      </w:r>
    </w:p>
    <w:p w14:paraId="7BE5D640" w14:textId="77777777" w:rsidR="003041DB" w:rsidRDefault="003041DB" w:rsidP="006B2C54">
      <w:pPr>
        <w:spacing w:line="360" w:lineRule="auto"/>
        <w:ind w:left="720" w:hanging="720"/>
        <w:jc w:val="both"/>
        <w:rPr>
          <w:rFonts w:ascii="Georgia" w:hAnsi="Georgia"/>
        </w:rPr>
      </w:pPr>
    </w:p>
    <w:p w14:paraId="6BB4A5F5" w14:textId="2439193A" w:rsidR="003041DB" w:rsidRDefault="005F227A" w:rsidP="006B2C54">
      <w:pPr>
        <w:spacing w:line="360" w:lineRule="auto"/>
        <w:ind w:left="720" w:hanging="720"/>
        <w:jc w:val="both"/>
        <w:rPr>
          <w:rFonts w:ascii="Georgia" w:hAnsi="Georgia"/>
        </w:rPr>
      </w:pPr>
      <w:r>
        <w:rPr>
          <w:rFonts w:ascii="Georgia" w:hAnsi="Georgia"/>
        </w:rPr>
        <w:t>63</w:t>
      </w:r>
      <w:r w:rsidR="003041DB">
        <w:rPr>
          <w:rFonts w:ascii="Georgia" w:hAnsi="Georgia"/>
        </w:rPr>
        <w:t>.</w:t>
      </w:r>
      <w:r w:rsidR="003041DB">
        <w:rPr>
          <w:rFonts w:ascii="Georgia" w:hAnsi="Georgia"/>
        </w:rPr>
        <w:tab/>
        <w:t xml:space="preserve">The Applicants told the Tribunal that on 23 May 2023, the Second Respondent </w:t>
      </w:r>
      <w:r w:rsidR="002965FC">
        <w:rPr>
          <w:rFonts w:ascii="Georgia" w:hAnsi="Georgia"/>
        </w:rPr>
        <w:t>had come</w:t>
      </w:r>
      <w:r w:rsidR="00B25F5E">
        <w:rPr>
          <w:rFonts w:ascii="Georgia" w:hAnsi="Georgia"/>
        </w:rPr>
        <w:t xml:space="preserve"> to the Property </w:t>
      </w:r>
      <w:r w:rsidR="00204CB9">
        <w:rPr>
          <w:rFonts w:ascii="Georgia" w:hAnsi="Georgia"/>
        </w:rPr>
        <w:t>unannounced</w:t>
      </w:r>
      <w:r w:rsidR="00B25F5E">
        <w:rPr>
          <w:rFonts w:ascii="Georgia" w:hAnsi="Georgia"/>
        </w:rPr>
        <w:t xml:space="preserve"> </w:t>
      </w:r>
      <w:r w:rsidR="00B87F49">
        <w:rPr>
          <w:rFonts w:ascii="Georgia" w:hAnsi="Georgia"/>
        </w:rPr>
        <w:t>and attempted to use an angle grinder to cu</w:t>
      </w:r>
      <w:r w:rsidR="00CD06BB">
        <w:rPr>
          <w:rFonts w:ascii="Georgia" w:hAnsi="Georgia"/>
        </w:rPr>
        <w:t>t</w:t>
      </w:r>
      <w:r w:rsidR="00B87F49">
        <w:rPr>
          <w:rFonts w:ascii="Georgia" w:hAnsi="Georgia"/>
        </w:rPr>
        <w:t xml:space="preserve"> the padlock on the gate to the Property stating that he had the right to access the garden.  </w:t>
      </w:r>
      <w:r w:rsidR="0016394E">
        <w:rPr>
          <w:rFonts w:ascii="Georgia" w:hAnsi="Georgia"/>
        </w:rPr>
        <w:t xml:space="preserve"> At page</w:t>
      </w:r>
      <w:r w:rsidR="007A3694">
        <w:rPr>
          <w:rFonts w:ascii="Georgia" w:hAnsi="Georgia"/>
        </w:rPr>
        <w:t>s</w:t>
      </w:r>
      <w:r w:rsidR="0016394E">
        <w:rPr>
          <w:rFonts w:ascii="Georgia" w:hAnsi="Georgia"/>
        </w:rPr>
        <w:t xml:space="preserve"> </w:t>
      </w:r>
      <w:r w:rsidR="00490FF8">
        <w:rPr>
          <w:rFonts w:ascii="Georgia" w:hAnsi="Georgia"/>
        </w:rPr>
        <w:t xml:space="preserve">166 </w:t>
      </w:r>
      <w:r w:rsidR="004E28C2">
        <w:rPr>
          <w:rFonts w:ascii="Georgia" w:hAnsi="Georgia"/>
        </w:rPr>
        <w:t>and</w:t>
      </w:r>
      <w:r w:rsidR="0004614E">
        <w:rPr>
          <w:rFonts w:ascii="Georgia" w:hAnsi="Georgia"/>
        </w:rPr>
        <w:t xml:space="preserve"> 168  </w:t>
      </w:r>
      <w:r w:rsidR="00CD06BB">
        <w:rPr>
          <w:rFonts w:ascii="Georgia" w:hAnsi="Georgia"/>
        </w:rPr>
        <w:t>of the bundle</w:t>
      </w:r>
      <w:r w:rsidR="007A3694">
        <w:rPr>
          <w:rFonts w:ascii="Georgia" w:hAnsi="Georgia"/>
        </w:rPr>
        <w:t>,</w:t>
      </w:r>
      <w:r w:rsidR="00CD06BB">
        <w:rPr>
          <w:rFonts w:ascii="Georgia" w:hAnsi="Georgia"/>
        </w:rPr>
        <w:t xml:space="preserve"> </w:t>
      </w:r>
      <w:r w:rsidR="0004614E">
        <w:rPr>
          <w:rFonts w:ascii="Georgia" w:hAnsi="Georgia"/>
        </w:rPr>
        <w:t xml:space="preserve">the Applicants produced photographs </w:t>
      </w:r>
      <w:r w:rsidR="004E28C2">
        <w:rPr>
          <w:rFonts w:ascii="Georgia" w:hAnsi="Georgia"/>
        </w:rPr>
        <w:t>of the Second Respondent at the Property with an angle grinder</w:t>
      </w:r>
      <w:r w:rsidR="00E95425">
        <w:rPr>
          <w:rFonts w:ascii="Georgia" w:hAnsi="Georgia"/>
        </w:rPr>
        <w:t>.  A</w:t>
      </w:r>
      <w:r w:rsidR="004E28C2">
        <w:rPr>
          <w:rFonts w:ascii="Georgia" w:hAnsi="Georgia"/>
        </w:rPr>
        <w:t>t page 167</w:t>
      </w:r>
      <w:r w:rsidR="007A3694">
        <w:rPr>
          <w:rFonts w:ascii="Georgia" w:hAnsi="Georgia"/>
        </w:rPr>
        <w:t>,</w:t>
      </w:r>
      <w:r w:rsidR="004E28C2">
        <w:rPr>
          <w:rFonts w:ascii="Georgia" w:hAnsi="Georgia"/>
        </w:rPr>
        <w:t xml:space="preserve"> </w:t>
      </w:r>
      <w:r w:rsidR="00E95425">
        <w:rPr>
          <w:rFonts w:ascii="Georgia" w:hAnsi="Georgia"/>
        </w:rPr>
        <w:t xml:space="preserve">the Applicants produced </w:t>
      </w:r>
      <w:r w:rsidR="004E28C2">
        <w:rPr>
          <w:rFonts w:ascii="Georgia" w:hAnsi="Georgia"/>
        </w:rPr>
        <w:t xml:space="preserve">a photograph showing the padlock with </w:t>
      </w:r>
      <w:r w:rsidR="00A67270">
        <w:rPr>
          <w:rFonts w:ascii="Georgia" w:hAnsi="Georgia"/>
        </w:rPr>
        <w:t>the damage caused by the angle grinder.</w:t>
      </w:r>
      <w:r w:rsidR="00E85687">
        <w:rPr>
          <w:rFonts w:ascii="Georgia" w:hAnsi="Georgia"/>
        </w:rPr>
        <w:t xml:space="preserve">  The Applicants </w:t>
      </w:r>
      <w:r w:rsidR="007A3694">
        <w:rPr>
          <w:rFonts w:ascii="Georgia" w:hAnsi="Georgia"/>
        </w:rPr>
        <w:t xml:space="preserve">had </w:t>
      </w:r>
      <w:r w:rsidR="00E85687">
        <w:rPr>
          <w:rFonts w:ascii="Georgia" w:hAnsi="Georgia"/>
        </w:rPr>
        <w:t>reported this incident to the police</w:t>
      </w:r>
      <w:r w:rsidR="007A4E01">
        <w:rPr>
          <w:rFonts w:ascii="Georgia" w:hAnsi="Georgia"/>
        </w:rPr>
        <w:t>.</w:t>
      </w:r>
    </w:p>
    <w:p w14:paraId="0D889055" w14:textId="77777777" w:rsidR="007A4E01" w:rsidRDefault="007A4E01" w:rsidP="006B2C54">
      <w:pPr>
        <w:spacing w:line="360" w:lineRule="auto"/>
        <w:ind w:left="720" w:hanging="720"/>
        <w:jc w:val="both"/>
        <w:rPr>
          <w:rFonts w:ascii="Georgia" w:hAnsi="Georgia"/>
        </w:rPr>
      </w:pPr>
    </w:p>
    <w:p w14:paraId="1AEEC6D7" w14:textId="276F51C7" w:rsidR="007A4E01" w:rsidRDefault="005F227A" w:rsidP="006B2C54">
      <w:pPr>
        <w:spacing w:line="360" w:lineRule="auto"/>
        <w:ind w:left="720" w:hanging="720"/>
        <w:jc w:val="both"/>
        <w:rPr>
          <w:rFonts w:ascii="Georgia" w:hAnsi="Georgia"/>
        </w:rPr>
      </w:pPr>
      <w:r>
        <w:rPr>
          <w:rFonts w:ascii="Georgia" w:hAnsi="Georgia"/>
        </w:rPr>
        <w:t>6</w:t>
      </w:r>
      <w:r w:rsidR="007A4E01">
        <w:rPr>
          <w:rFonts w:ascii="Georgia" w:hAnsi="Georgia"/>
        </w:rPr>
        <w:t>4.</w:t>
      </w:r>
      <w:r w:rsidR="007A4E01">
        <w:rPr>
          <w:rFonts w:ascii="Georgia" w:hAnsi="Georgia"/>
        </w:rPr>
        <w:tab/>
        <w:t xml:space="preserve">Following this incident, </w:t>
      </w:r>
      <w:r w:rsidR="000C3A13">
        <w:rPr>
          <w:rFonts w:ascii="Georgia" w:hAnsi="Georgia"/>
        </w:rPr>
        <w:t>the Applicants</w:t>
      </w:r>
      <w:r w:rsidR="00CF2AA2">
        <w:rPr>
          <w:rFonts w:ascii="Georgia" w:hAnsi="Georgia"/>
        </w:rPr>
        <w:t xml:space="preserve"> </w:t>
      </w:r>
      <w:r w:rsidR="007A3694">
        <w:rPr>
          <w:rFonts w:ascii="Georgia" w:hAnsi="Georgia"/>
        </w:rPr>
        <w:t xml:space="preserve">had </w:t>
      </w:r>
      <w:r w:rsidR="00CF2AA2">
        <w:rPr>
          <w:rFonts w:ascii="Georgia" w:hAnsi="Georgia"/>
        </w:rPr>
        <w:t>contacted Oxford City Council</w:t>
      </w:r>
      <w:r w:rsidR="007A3694">
        <w:rPr>
          <w:rFonts w:ascii="Georgia" w:hAnsi="Georgia"/>
        </w:rPr>
        <w:t>,</w:t>
      </w:r>
      <w:r w:rsidR="00CF2AA2">
        <w:rPr>
          <w:rFonts w:ascii="Georgia" w:hAnsi="Georgia"/>
        </w:rPr>
        <w:t xml:space="preserve"> and </w:t>
      </w:r>
      <w:r w:rsidR="000C3A13">
        <w:rPr>
          <w:rFonts w:ascii="Georgia" w:hAnsi="Georgia"/>
        </w:rPr>
        <w:t>Jackie Mogridge</w:t>
      </w:r>
      <w:r w:rsidR="000965DD">
        <w:rPr>
          <w:rFonts w:ascii="Georgia" w:hAnsi="Georgia"/>
        </w:rPr>
        <w:t>,</w:t>
      </w:r>
      <w:r w:rsidR="00CF2AA2">
        <w:rPr>
          <w:rFonts w:ascii="Georgia" w:hAnsi="Georgia"/>
        </w:rPr>
        <w:t xml:space="preserve"> </w:t>
      </w:r>
      <w:r w:rsidR="004607CA">
        <w:rPr>
          <w:rFonts w:ascii="Georgia" w:hAnsi="Georgia"/>
        </w:rPr>
        <w:t>a</w:t>
      </w:r>
      <w:r w:rsidR="000965DD">
        <w:rPr>
          <w:rFonts w:ascii="Georgia" w:hAnsi="Georgia"/>
        </w:rPr>
        <w:t xml:space="preserve"> tenancy relations officer</w:t>
      </w:r>
      <w:r w:rsidR="004607CA">
        <w:rPr>
          <w:rFonts w:ascii="Georgia" w:hAnsi="Georgia"/>
        </w:rPr>
        <w:t xml:space="preserve"> of the Council</w:t>
      </w:r>
      <w:r w:rsidR="007A3694">
        <w:rPr>
          <w:rFonts w:ascii="Georgia" w:hAnsi="Georgia"/>
        </w:rPr>
        <w:t>, had</w:t>
      </w:r>
      <w:r w:rsidR="000C3A13">
        <w:rPr>
          <w:rFonts w:ascii="Georgia" w:hAnsi="Georgia"/>
        </w:rPr>
        <w:t xml:space="preserve"> </w:t>
      </w:r>
      <w:r w:rsidR="00A86161">
        <w:rPr>
          <w:rFonts w:ascii="Georgia" w:hAnsi="Georgia"/>
        </w:rPr>
        <w:t>telephone</w:t>
      </w:r>
      <w:r w:rsidR="007A3694">
        <w:rPr>
          <w:rFonts w:ascii="Georgia" w:hAnsi="Georgia"/>
        </w:rPr>
        <w:t>d</w:t>
      </w:r>
      <w:r w:rsidR="00A86161">
        <w:rPr>
          <w:rFonts w:ascii="Georgia" w:hAnsi="Georgia"/>
        </w:rPr>
        <w:t xml:space="preserve"> </w:t>
      </w:r>
      <w:r w:rsidR="00CF2AA2">
        <w:rPr>
          <w:rFonts w:ascii="Georgia" w:hAnsi="Georgia"/>
        </w:rPr>
        <w:t>the Second Respondent</w:t>
      </w:r>
      <w:r w:rsidR="004607CA">
        <w:rPr>
          <w:rFonts w:ascii="Georgia" w:hAnsi="Georgia"/>
        </w:rPr>
        <w:t xml:space="preserve"> to give advice about not entering the Property.  However, the Applicants gave evidence that </w:t>
      </w:r>
      <w:r w:rsidR="000C3A13">
        <w:rPr>
          <w:rFonts w:ascii="Georgia" w:hAnsi="Georgia"/>
        </w:rPr>
        <w:t xml:space="preserve">the Second Respondent </w:t>
      </w:r>
      <w:r w:rsidR="00DD4B1F">
        <w:rPr>
          <w:rFonts w:ascii="Georgia" w:hAnsi="Georgia"/>
        </w:rPr>
        <w:t xml:space="preserve">had </w:t>
      </w:r>
      <w:r w:rsidR="000C3A13">
        <w:rPr>
          <w:rFonts w:ascii="Georgia" w:hAnsi="Georgia"/>
        </w:rPr>
        <w:t xml:space="preserve">returned to the </w:t>
      </w:r>
      <w:r w:rsidR="004607CA">
        <w:rPr>
          <w:rFonts w:ascii="Georgia" w:hAnsi="Georgia"/>
        </w:rPr>
        <w:t>Property</w:t>
      </w:r>
      <w:r w:rsidR="00947B9B">
        <w:rPr>
          <w:rFonts w:ascii="Georgia" w:hAnsi="Georgia"/>
        </w:rPr>
        <w:t xml:space="preserve"> at 7pm on 23 May 2023 (the same day)</w:t>
      </w:r>
      <w:r w:rsidR="004607CA">
        <w:rPr>
          <w:rFonts w:ascii="Georgia" w:hAnsi="Georgia"/>
        </w:rPr>
        <w:t xml:space="preserve"> </w:t>
      </w:r>
      <w:r w:rsidR="00211D4F">
        <w:rPr>
          <w:rFonts w:ascii="Georgia" w:hAnsi="Georgia"/>
        </w:rPr>
        <w:t xml:space="preserve">to tell the Applicants that </w:t>
      </w:r>
      <w:r w:rsidR="004D1799">
        <w:rPr>
          <w:rFonts w:ascii="Georgia" w:hAnsi="Georgia"/>
        </w:rPr>
        <w:t xml:space="preserve">he had not entered the flat and therefore </w:t>
      </w:r>
      <w:r w:rsidR="00871D77">
        <w:rPr>
          <w:rFonts w:ascii="Georgia" w:hAnsi="Georgia"/>
        </w:rPr>
        <w:t xml:space="preserve">denied that he had attended the Property unannounced.  Following this, </w:t>
      </w:r>
      <w:r w:rsidR="00F314F7">
        <w:rPr>
          <w:rFonts w:ascii="Georgia" w:hAnsi="Georgia"/>
        </w:rPr>
        <w:t>Jackie Mogridge</w:t>
      </w:r>
      <w:r w:rsidR="000965DD">
        <w:rPr>
          <w:rFonts w:ascii="Georgia" w:hAnsi="Georgia"/>
        </w:rPr>
        <w:t xml:space="preserve"> had written </w:t>
      </w:r>
      <w:r w:rsidR="00D62D01">
        <w:rPr>
          <w:rFonts w:ascii="Georgia" w:hAnsi="Georgia"/>
        </w:rPr>
        <w:t xml:space="preserve">to </w:t>
      </w:r>
      <w:r w:rsidR="00B33F44">
        <w:rPr>
          <w:rFonts w:ascii="Georgia" w:hAnsi="Georgia"/>
        </w:rPr>
        <w:t>the Second Respondent</w:t>
      </w:r>
      <w:r w:rsidR="00C43A6B">
        <w:rPr>
          <w:rFonts w:ascii="Georgia" w:hAnsi="Georgia"/>
        </w:rPr>
        <w:t xml:space="preserve"> </w:t>
      </w:r>
      <w:r w:rsidR="00DC5052">
        <w:rPr>
          <w:rFonts w:ascii="Georgia" w:hAnsi="Georgia"/>
        </w:rPr>
        <w:t xml:space="preserve">on </w:t>
      </w:r>
      <w:r w:rsidR="00C03BD6">
        <w:rPr>
          <w:rFonts w:ascii="Georgia" w:hAnsi="Georgia"/>
        </w:rPr>
        <w:t>24 May 2023 (page 201 of the bundle)</w:t>
      </w:r>
      <w:r w:rsidR="0038749A">
        <w:rPr>
          <w:rFonts w:ascii="Georgia" w:hAnsi="Georgia"/>
        </w:rPr>
        <w:t xml:space="preserve"> to again advi</w:t>
      </w:r>
      <w:r w:rsidR="00C455AF">
        <w:rPr>
          <w:rFonts w:ascii="Georgia" w:hAnsi="Georgia"/>
        </w:rPr>
        <w:t>s</w:t>
      </w:r>
      <w:r w:rsidR="0038749A">
        <w:rPr>
          <w:rFonts w:ascii="Georgia" w:hAnsi="Georgia"/>
        </w:rPr>
        <w:t>e that he must not attend the Property unannounced.</w:t>
      </w:r>
      <w:r w:rsidR="00795AEF">
        <w:rPr>
          <w:rFonts w:ascii="Georgia" w:hAnsi="Georgia"/>
        </w:rPr>
        <w:t xml:space="preserve">  </w:t>
      </w:r>
    </w:p>
    <w:p w14:paraId="74ACA829" w14:textId="77777777" w:rsidR="003831D3" w:rsidRDefault="003831D3" w:rsidP="0038749A">
      <w:pPr>
        <w:spacing w:line="360" w:lineRule="auto"/>
        <w:jc w:val="both"/>
        <w:rPr>
          <w:rFonts w:ascii="Georgia" w:hAnsi="Georgia"/>
        </w:rPr>
      </w:pPr>
    </w:p>
    <w:p w14:paraId="3074B3F0" w14:textId="51FECCB0" w:rsidR="003831D3" w:rsidRDefault="005F227A" w:rsidP="006B2C54">
      <w:pPr>
        <w:spacing w:line="360" w:lineRule="auto"/>
        <w:ind w:left="720" w:hanging="720"/>
        <w:jc w:val="both"/>
        <w:rPr>
          <w:rFonts w:ascii="Georgia" w:hAnsi="Georgia"/>
        </w:rPr>
      </w:pPr>
      <w:r>
        <w:rPr>
          <w:rFonts w:ascii="Georgia" w:hAnsi="Georgia"/>
        </w:rPr>
        <w:t>6</w:t>
      </w:r>
      <w:r w:rsidR="003831D3">
        <w:rPr>
          <w:rFonts w:ascii="Georgia" w:hAnsi="Georgia"/>
        </w:rPr>
        <w:t>5.</w:t>
      </w:r>
      <w:r w:rsidR="003831D3">
        <w:rPr>
          <w:rFonts w:ascii="Georgia" w:hAnsi="Georgia"/>
        </w:rPr>
        <w:tab/>
      </w:r>
      <w:r w:rsidR="006E34D1">
        <w:rPr>
          <w:rFonts w:ascii="Georgia" w:hAnsi="Georgia"/>
        </w:rPr>
        <w:t>Whilst outside of the relevant period, the Tribunal notes the evidence given by the Applicants in relati</w:t>
      </w:r>
      <w:r w:rsidR="00B57564">
        <w:rPr>
          <w:rFonts w:ascii="Georgia" w:hAnsi="Georgia"/>
        </w:rPr>
        <w:t xml:space="preserve">on to the </w:t>
      </w:r>
      <w:r w:rsidR="006E34D1">
        <w:rPr>
          <w:rFonts w:ascii="Georgia" w:hAnsi="Georgia"/>
        </w:rPr>
        <w:t>December 2024 exchange</w:t>
      </w:r>
      <w:r w:rsidR="0038749A">
        <w:rPr>
          <w:rFonts w:ascii="Georgia" w:hAnsi="Georgia"/>
        </w:rPr>
        <w:t xml:space="preserve"> as set out at paragraph </w:t>
      </w:r>
      <w:r w:rsidR="00240233">
        <w:rPr>
          <w:rFonts w:ascii="Georgia" w:hAnsi="Georgia"/>
        </w:rPr>
        <w:t>10</w:t>
      </w:r>
      <w:r w:rsidR="0038749A">
        <w:rPr>
          <w:rFonts w:ascii="Georgia" w:hAnsi="Georgia"/>
        </w:rPr>
        <w:t xml:space="preserve"> above</w:t>
      </w:r>
      <w:r w:rsidR="00F22D34">
        <w:rPr>
          <w:rFonts w:ascii="Georgia" w:hAnsi="Georgia"/>
        </w:rPr>
        <w:t>.</w:t>
      </w:r>
    </w:p>
    <w:p w14:paraId="5AFD532B" w14:textId="77777777" w:rsidR="00266804" w:rsidRDefault="00266804" w:rsidP="006B2C54">
      <w:pPr>
        <w:spacing w:line="360" w:lineRule="auto"/>
        <w:ind w:left="720" w:hanging="720"/>
        <w:jc w:val="both"/>
        <w:rPr>
          <w:rFonts w:ascii="Georgia" w:hAnsi="Georgia"/>
        </w:rPr>
      </w:pPr>
    </w:p>
    <w:p w14:paraId="58059580" w14:textId="7A6E699E" w:rsidR="00F22D34" w:rsidRDefault="00266804" w:rsidP="000A67D6">
      <w:pPr>
        <w:spacing w:line="360" w:lineRule="auto"/>
        <w:ind w:left="720" w:hanging="720"/>
        <w:jc w:val="both"/>
        <w:rPr>
          <w:rFonts w:ascii="Georgia" w:hAnsi="Georgia"/>
        </w:rPr>
      </w:pPr>
      <w:r>
        <w:rPr>
          <w:rFonts w:ascii="Georgia" w:hAnsi="Georgia"/>
        </w:rPr>
        <w:t>6</w:t>
      </w:r>
      <w:r w:rsidR="005F227A">
        <w:rPr>
          <w:rFonts w:ascii="Georgia" w:hAnsi="Georgia"/>
        </w:rPr>
        <w:t>6</w:t>
      </w:r>
      <w:r>
        <w:rPr>
          <w:rFonts w:ascii="Georgia" w:hAnsi="Georgia"/>
        </w:rPr>
        <w:t xml:space="preserve">. </w:t>
      </w:r>
      <w:r>
        <w:rPr>
          <w:rFonts w:ascii="Georgia" w:hAnsi="Georgia"/>
        </w:rPr>
        <w:tab/>
        <w:t>The Tribunal accepts the evidence of the Applicants a</w:t>
      </w:r>
      <w:r w:rsidR="00C03622">
        <w:rPr>
          <w:rFonts w:ascii="Georgia" w:hAnsi="Georgia"/>
        </w:rPr>
        <w:t>s to the section 8 notice</w:t>
      </w:r>
      <w:r w:rsidR="00264F51">
        <w:rPr>
          <w:rFonts w:ascii="Georgia" w:hAnsi="Georgia"/>
        </w:rPr>
        <w:t xml:space="preserve"> and</w:t>
      </w:r>
      <w:r w:rsidR="00C03622">
        <w:rPr>
          <w:rFonts w:ascii="Georgia" w:hAnsi="Georgia"/>
        </w:rPr>
        <w:t xml:space="preserve"> the unauthorised visits to the Property and finds that attending the Property with an angle grinder to cut a lock is particularly serious.</w:t>
      </w:r>
    </w:p>
    <w:p w14:paraId="049CA93C" w14:textId="77777777" w:rsidR="000A67D6" w:rsidRDefault="000A67D6" w:rsidP="000A67D6">
      <w:pPr>
        <w:spacing w:line="360" w:lineRule="auto"/>
        <w:ind w:left="720" w:hanging="720"/>
        <w:jc w:val="both"/>
        <w:rPr>
          <w:rFonts w:ascii="Georgia" w:hAnsi="Georgia"/>
        </w:rPr>
      </w:pPr>
    </w:p>
    <w:p w14:paraId="51668594" w14:textId="2F6D4961" w:rsidR="00F22D34" w:rsidRDefault="00F22D34" w:rsidP="006B2C54">
      <w:pPr>
        <w:spacing w:line="360" w:lineRule="auto"/>
        <w:ind w:left="720" w:hanging="720"/>
        <w:jc w:val="both"/>
        <w:rPr>
          <w:rFonts w:ascii="Georgia" w:hAnsi="Georgia"/>
          <w:b/>
          <w:bCs/>
        </w:rPr>
      </w:pPr>
      <w:r w:rsidRPr="00F22D34">
        <w:rPr>
          <w:rFonts w:ascii="Georgia" w:hAnsi="Georgia"/>
          <w:b/>
          <w:bCs/>
        </w:rPr>
        <w:t xml:space="preserve">Tribunal Findings </w:t>
      </w:r>
    </w:p>
    <w:p w14:paraId="647CBA8F" w14:textId="77777777" w:rsidR="00F22D34" w:rsidRDefault="00F22D34" w:rsidP="006B2C54">
      <w:pPr>
        <w:spacing w:line="360" w:lineRule="auto"/>
        <w:ind w:left="720" w:hanging="720"/>
        <w:jc w:val="both"/>
        <w:rPr>
          <w:rFonts w:ascii="Georgia" w:hAnsi="Georgia"/>
          <w:b/>
          <w:bCs/>
        </w:rPr>
      </w:pPr>
    </w:p>
    <w:p w14:paraId="0D6FAF81" w14:textId="2CE4F084" w:rsidR="002F33A7" w:rsidRDefault="005F227A" w:rsidP="006B2C54">
      <w:pPr>
        <w:spacing w:line="360" w:lineRule="auto"/>
        <w:ind w:left="720" w:hanging="720"/>
        <w:jc w:val="both"/>
        <w:rPr>
          <w:rFonts w:ascii="Georgia" w:hAnsi="Georgia"/>
        </w:rPr>
      </w:pPr>
      <w:r>
        <w:rPr>
          <w:rFonts w:ascii="Georgia" w:hAnsi="Georgia"/>
        </w:rPr>
        <w:t>67</w:t>
      </w:r>
      <w:r w:rsidR="00F22D34">
        <w:rPr>
          <w:rFonts w:ascii="Georgia" w:hAnsi="Georgia"/>
        </w:rPr>
        <w:t>.</w:t>
      </w:r>
      <w:r w:rsidR="00F22D34">
        <w:rPr>
          <w:rFonts w:ascii="Georgia" w:hAnsi="Georgia"/>
        </w:rPr>
        <w:tab/>
        <w:t xml:space="preserve">The Tribunal </w:t>
      </w:r>
      <w:r w:rsidR="009147DE">
        <w:rPr>
          <w:rFonts w:ascii="Georgia" w:hAnsi="Georgia"/>
        </w:rPr>
        <w:t>accept</w:t>
      </w:r>
      <w:r w:rsidR="00906532">
        <w:rPr>
          <w:rFonts w:ascii="Georgia" w:hAnsi="Georgia"/>
        </w:rPr>
        <w:t>s</w:t>
      </w:r>
      <w:r w:rsidR="009147DE">
        <w:rPr>
          <w:rFonts w:ascii="Georgia" w:hAnsi="Georgia"/>
        </w:rPr>
        <w:t xml:space="preserve"> the evidence given by the Applicants.  The Tribunal finds that </w:t>
      </w:r>
      <w:r w:rsidR="00F84EDE">
        <w:rPr>
          <w:rFonts w:ascii="Georgia" w:hAnsi="Georgia"/>
        </w:rPr>
        <w:t>had the Property been properly licen</w:t>
      </w:r>
      <w:r w:rsidR="00906532">
        <w:rPr>
          <w:rFonts w:ascii="Georgia" w:hAnsi="Georgia"/>
        </w:rPr>
        <w:t>s</w:t>
      </w:r>
      <w:r w:rsidR="00F84EDE">
        <w:rPr>
          <w:rFonts w:ascii="Georgia" w:hAnsi="Georgia"/>
        </w:rPr>
        <w:t xml:space="preserve">ed,  the local authority would have inspected the Property and </w:t>
      </w:r>
      <w:r w:rsidR="005D36A1">
        <w:rPr>
          <w:rFonts w:ascii="Georgia" w:hAnsi="Georgia"/>
        </w:rPr>
        <w:t xml:space="preserve">the breaches, particularly with regard to the fire </w:t>
      </w:r>
      <w:r w:rsidR="00EB6EDF">
        <w:rPr>
          <w:rFonts w:ascii="Georgia" w:hAnsi="Georgia"/>
        </w:rPr>
        <w:t>safety</w:t>
      </w:r>
      <w:r w:rsidR="005D36A1">
        <w:rPr>
          <w:rFonts w:ascii="Georgia" w:hAnsi="Georgia"/>
        </w:rPr>
        <w:t xml:space="preserve"> concerns</w:t>
      </w:r>
      <w:r w:rsidR="00906532">
        <w:rPr>
          <w:rFonts w:ascii="Georgia" w:hAnsi="Georgia"/>
        </w:rPr>
        <w:t>,</w:t>
      </w:r>
      <w:r w:rsidR="005D36A1">
        <w:rPr>
          <w:rFonts w:ascii="Georgia" w:hAnsi="Georgia"/>
        </w:rPr>
        <w:t xml:space="preserve"> would have </w:t>
      </w:r>
      <w:r w:rsidR="00906532">
        <w:rPr>
          <w:rFonts w:ascii="Georgia" w:hAnsi="Georgia"/>
        </w:rPr>
        <w:t>had to be</w:t>
      </w:r>
      <w:r w:rsidR="005D36A1">
        <w:rPr>
          <w:rFonts w:ascii="Georgia" w:hAnsi="Georgia"/>
        </w:rPr>
        <w:t xml:space="preserve"> rectified before a licence was granted.  </w:t>
      </w:r>
      <w:r w:rsidR="00283493">
        <w:rPr>
          <w:rFonts w:ascii="Georgia" w:hAnsi="Georgia"/>
        </w:rPr>
        <w:t xml:space="preserve"> </w:t>
      </w:r>
    </w:p>
    <w:p w14:paraId="28F91B4F" w14:textId="0D185C34" w:rsidR="00283493" w:rsidRPr="00F22D34" w:rsidRDefault="009E6CC6" w:rsidP="000A67D6">
      <w:pPr>
        <w:spacing w:line="360" w:lineRule="auto"/>
        <w:jc w:val="both"/>
        <w:rPr>
          <w:rFonts w:ascii="Georgia" w:hAnsi="Georgia"/>
        </w:rPr>
      </w:pPr>
      <w:r>
        <w:rPr>
          <w:rFonts w:ascii="Georgia" w:hAnsi="Georgia"/>
        </w:rPr>
        <w:t xml:space="preserve"> </w:t>
      </w:r>
    </w:p>
    <w:p w14:paraId="0695A470" w14:textId="77777777" w:rsidR="006B533D" w:rsidRPr="00F22D34" w:rsidRDefault="006B533D" w:rsidP="006B2C54">
      <w:pPr>
        <w:spacing w:line="360" w:lineRule="auto"/>
        <w:ind w:left="720" w:hanging="720"/>
        <w:jc w:val="both"/>
        <w:rPr>
          <w:rFonts w:ascii="Georgia" w:hAnsi="Georgia"/>
          <w:b/>
          <w:bCs/>
        </w:rPr>
      </w:pPr>
    </w:p>
    <w:p w14:paraId="55627F43" w14:textId="77777777" w:rsidR="00CE7415" w:rsidRPr="0028310A" w:rsidRDefault="00CE7415" w:rsidP="006B2C54">
      <w:pPr>
        <w:spacing w:line="360" w:lineRule="auto"/>
        <w:jc w:val="both"/>
        <w:rPr>
          <w:rFonts w:ascii="Georgia" w:hAnsi="Georgia"/>
          <w:b/>
          <w:bCs/>
        </w:rPr>
      </w:pPr>
      <w:r w:rsidRPr="0028310A">
        <w:rPr>
          <w:rFonts w:ascii="Georgia" w:hAnsi="Georgia"/>
          <w:b/>
          <w:bCs/>
        </w:rPr>
        <w:t xml:space="preserve">Financial Circumstances of Respondent </w:t>
      </w:r>
      <w:r>
        <w:rPr>
          <w:rFonts w:ascii="Georgia" w:hAnsi="Georgia"/>
          <w:b/>
          <w:bCs/>
        </w:rPr>
        <w:t>L</w:t>
      </w:r>
      <w:r w:rsidRPr="0028310A">
        <w:rPr>
          <w:rFonts w:ascii="Georgia" w:hAnsi="Georgia"/>
          <w:b/>
          <w:bCs/>
        </w:rPr>
        <w:t>andlord</w:t>
      </w:r>
    </w:p>
    <w:p w14:paraId="722495A0" w14:textId="77777777" w:rsidR="00CE7415" w:rsidRDefault="00CE7415" w:rsidP="006B2C54">
      <w:pPr>
        <w:spacing w:line="360" w:lineRule="auto"/>
        <w:jc w:val="both"/>
        <w:rPr>
          <w:rFonts w:ascii="Georgia" w:hAnsi="Georgia"/>
          <w:b/>
          <w:bCs/>
        </w:rPr>
      </w:pPr>
    </w:p>
    <w:p w14:paraId="008D0B86" w14:textId="1A6A5D15" w:rsidR="00CE7415" w:rsidRDefault="005F227A" w:rsidP="006B2C54">
      <w:pPr>
        <w:spacing w:line="360" w:lineRule="auto"/>
        <w:ind w:left="720" w:hanging="720"/>
        <w:jc w:val="both"/>
        <w:rPr>
          <w:rFonts w:ascii="Georgia" w:hAnsi="Georgia"/>
        </w:rPr>
      </w:pPr>
      <w:r>
        <w:rPr>
          <w:rFonts w:ascii="Georgia" w:hAnsi="Georgia"/>
        </w:rPr>
        <w:lastRenderedPageBreak/>
        <w:t>68</w:t>
      </w:r>
      <w:r w:rsidR="00CE7415">
        <w:rPr>
          <w:rFonts w:ascii="Georgia" w:hAnsi="Georgia"/>
        </w:rPr>
        <w:t>.</w:t>
      </w:r>
      <w:r w:rsidR="00CE7415">
        <w:rPr>
          <w:rFonts w:ascii="Georgia" w:hAnsi="Georgia"/>
        </w:rPr>
        <w:tab/>
        <w:t xml:space="preserve">The Tribunal was not presented with any evidence </w:t>
      </w:r>
      <w:r w:rsidR="001B048B">
        <w:rPr>
          <w:rFonts w:ascii="Georgia" w:hAnsi="Georgia"/>
        </w:rPr>
        <w:t xml:space="preserve">from either Respondent </w:t>
      </w:r>
      <w:r w:rsidR="00CE7415">
        <w:rPr>
          <w:rFonts w:ascii="Georgia" w:hAnsi="Georgia"/>
        </w:rPr>
        <w:t>that the</w:t>
      </w:r>
      <w:r w:rsidR="001B048B">
        <w:rPr>
          <w:rFonts w:ascii="Georgia" w:hAnsi="Georgia"/>
        </w:rPr>
        <w:t xml:space="preserve">y </w:t>
      </w:r>
      <w:r w:rsidR="00CE7415">
        <w:rPr>
          <w:rFonts w:ascii="Georgia" w:hAnsi="Georgia"/>
        </w:rPr>
        <w:t>would not be able to meet any financial award the Tribunal made.</w:t>
      </w:r>
    </w:p>
    <w:p w14:paraId="3DFFB27A" w14:textId="77777777" w:rsidR="00CE7415" w:rsidRDefault="00CE7415" w:rsidP="006B2C54">
      <w:pPr>
        <w:spacing w:line="360" w:lineRule="auto"/>
        <w:jc w:val="both"/>
        <w:rPr>
          <w:rFonts w:ascii="Georgia" w:hAnsi="Georgia"/>
        </w:rPr>
      </w:pPr>
    </w:p>
    <w:p w14:paraId="156EBEE7" w14:textId="77777777" w:rsidR="00CE7415" w:rsidRPr="0028310A" w:rsidRDefault="00CE7415" w:rsidP="006B2C54">
      <w:pPr>
        <w:spacing w:line="360" w:lineRule="auto"/>
        <w:jc w:val="both"/>
        <w:rPr>
          <w:rFonts w:ascii="Georgia" w:hAnsi="Georgia"/>
          <w:b/>
          <w:bCs/>
        </w:rPr>
      </w:pPr>
      <w:r w:rsidRPr="0028310A">
        <w:rPr>
          <w:rFonts w:ascii="Georgia" w:hAnsi="Georgia"/>
          <w:b/>
          <w:bCs/>
        </w:rPr>
        <w:t>Whether Respondent Landlord has been convicted of offence</w:t>
      </w:r>
    </w:p>
    <w:p w14:paraId="549E54EC" w14:textId="77777777" w:rsidR="00CE7415" w:rsidRPr="0028310A" w:rsidRDefault="00CE7415" w:rsidP="006B2C54">
      <w:pPr>
        <w:spacing w:line="360" w:lineRule="auto"/>
        <w:jc w:val="both"/>
        <w:rPr>
          <w:rFonts w:ascii="Georgia" w:hAnsi="Georgia"/>
          <w:b/>
          <w:bCs/>
        </w:rPr>
      </w:pPr>
    </w:p>
    <w:p w14:paraId="592CB3A1" w14:textId="7422F5B9" w:rsidR="00CE7415" w:rsidRPr="0028310A" w:rsidRDefault="00CE7415" w:rsidP="006B2C54">
      <w:pPr>
        <w:spacing w:line="360" w:lineRule="auto"/>
        <w:ind w:left="720" w:hanging="720"/>
        <w:jc w:val="both"/>
        <w:rPr>
          <w:rFonts w:ascii="Georgia" w:hAnsi="Georgia"/>
        </w:rPr>
      </w:pPr>
      <w:r>
        <w:rPr>
          <w:rFonts w:ascii="Georgia" w:hAnsi="Georgia"/>
        </w:rPr>
        <w:t>6</w:t>
      </w:r>
      <w:r w:rsidR="005F227A">
        <w:rPr>
          <w:rFonts w:ascii="Georgia" w:hAnsi="Georgia"/>
        </w:rPr>
        <w:t>9</w:t>
      </w:r>
      <w:r>
        <w:rPr>
          <w:rFonts w:ascii="Georgia" w:hAnsi="Georgia"/>
        </w:rPr>
        <w:t>.</w:t>
      </w:r>
      <w:r>
        <w:rPr>
          <w:rFonts w:ascii="Georgia" w:hAnsi="Georgia"/>
        </w:rPr>
        <w:tab/>
      </w:r>
      <w:r w:rsidRPr="0028310A">
        <w:rPr>
          <w:rFonts w:ascii="Georgia" w:hAnsi="Georgia"/>
        </w:rPr>
        <w:t xml:space="preserve">The </w:t>
      </w:r>
      <w:r w:rsidR="001B048B">
        <w:rPr>
          <w:rFonts w:ascii="Georgia" w:hAnsi="Georgia"/>
        </w:rPr>
        <w:t xml:space="preserve">Tribunal was not presented with any evidence that either </w:t>
      </w:r>
      <w:r w:rsidRPr="0028310A">
        <w:rPr>
          <w:rFonts w:ascii="Georgia" w:hAnsi="Georgia"/>
        </w:rPr>
        <w:t xml:space="preserve">Respondent </w:t>
      </w:r>
      <w:r w:rsidR="001B048B">
        <w:rPr>
          <w:rFonts w:ascii="Georgia" w:hAnsi="Georgia"/>
        </w:rPr>
        <w:t xml:space="preserve">had </w:t>
      </w:r>
      <w:r w:rsidRPr="0028310A">
        <w:rPr>
          <w:rFonts w:ascii="Georgia" w:hAnsi="Georgia"/>
        </w:rPr>
        <w:t xml:space="preserve">any convictions identified in the table at section 45 Housing and Planning </w:t>
      </w:r>
      <w:r>
        <w:rPr>
          <w:rFonts w:ascii="Georgia" w:hAnsi="Georgia"/>
        </w:rPr>
        <w:t>A</w:t>
      </w:r>
      <w:r w:rsidRPr="0028310A">
        <w:rPr>
          <w:rFonts w:ascii="Georgia" w:hAnsi="Georgia"/>
        </w:rPr>
        <w:t>ct 2016</w:t>
      </w:r>
      <w:r w:rsidR="00D435CE">
        <w:rPr>
          <w:rFonts w:ascii="Georgia" w:hAnsi="Georgia"/>
        </w:rPr>
        <w:t>.</w:t>
      </w:r>
    </w:p>
    <w:p w14:paraId="22F415C9" w14:textId="77777777" w:rsidR="00CE7415" w:rsidRPr="0028310A" w:rsidRDefault="00CE7415" w:rsidP="006B2C54">
      <w:pPr>
        <w:spacing w:line="360" w:lineRule="auto"/>
        <w:jc w:val="both"/>
        <w:rPr>
          <w:rFonts w:ascii="Georgia" w:hAnsi="Georgia"/>
          <w:b/>
          <w:bCs/>
        </w:rPr>
      </w:pPr>
    </w:p>
    <w:p w14:paraId="3880539E" w14:textId="77777777" w:rsidR="00CE7415" w:rsidRPr="0028310A" w:rsidRDefault="00CE7415" w:rsidP="006B2C54">
      <w:pPr>
        <w:spacing w:line="360" w:lineRule="auto"/>
        <w:jc w:val="both"/>
        <w:rPr>
          <w:rFonts w:ascii="Georgia" w:hAnsi="Georgia"/>
          <w:b/>
          <w:bCs/>
        </w:rPr>
      </w:pPr>
      <w:r w:rsidRPr="0028310A">
        <w:rPr>
          <w:rFonts w:ascii="Georgia" w:hAnsi="Georgia"/>
          <w:b/>
          <w:bCs/>
        </w:rPr>
        <w:t>Quantum Decision</w:t>
      </w:r>
    </w:p>
    <w:p w14:paraId="2E149D4E" w14:textId="77777777" w:rsidR="00CE7415" w:rsidRPr="0028310A" w:rsidRDefault="00CE7415" w:rsidP="006B2C54">
      <w:pPr>
        <w:spacing w:line="360" w:lineRule="auto"/>
        <w:jc w:val="both"/>
        <w:rPr>
          <w:rFonts w:ascii="Georgia" w:hAnsi="Georgia"/>
          <w:b/>
          <w:bCs/>
        </w:rPr>
      </w:pPr>
    </w:p>
    <w:p w14:paraId="67E3890F" w14:textId="4B1B4D79" w:rsidR="00CE7415" w:rsidRPr="0028310A" w:rsidRDefault="005F227A" w:rsidP="006B2C54">
      <w:pPr>
        <w:pStyle w:val="ListParagraph"/>
        <w:spacing w:line="360" w:lineRule="auto"/>
        <w:ind w:hanging="720"/>
        <w:jc w:val="both"/>
        <w:rPr>
          <w:rFonts w:ascii="Georgia" w:hAnsi="Georgia"/>
        </w:rPr>
      </w:pPr>
      <w:r>
        <w:rPr>
          <w:rFonts w:ascii="Georgia" w:hAnsi="Georgia"/>
        </w:rPr>
        <w:t>70</w:t>
      </w:r>
      <w:r w:rsidR="00CE7415">
        <w:rPr>
          <w:rFonts w:ascii="Georgia" w:hAnsi="Georgia"/>
        </w:rPr>
        <w:t>.</w:t>
      </w:r>
      <w:r w:rsidR="00CE7415">
        <w:rPr>
          <w:rFonts w:ascii="Georgia" w:hAnsi="Georgia"/>
        </w:rPr>
        <w:tab/>
      </w:r>
      <w:r w:rsidR="00CE7415" w:rsidRPr="0028310A">
        <w:rPr>
          <w:rFonts w:ascii="Georgia" w:hAnsi="Georgia"/>
        </w:rPr>
        <w:t>Taking all of the factors outlined above</w:t>
      </w:r>
      <w:r w:rsidR="00CE7415">
        <w:rPr>
          <w:rFonts w:ascii="Georgia" w:hAnsi="Georgia"/>
        </w:rPr>
        <w:t xml:space="preserve"> in account</w:t>
      </w:r>
      <w:r w:rsidR="00CE7415" w:rsidRPr="0028310A">
        <w:rPr>
          <w:rFonts w:ascii="Georgia" w:hAnsi="Georgia"/>
        </w:rPr>
        <w:t>, the Tribunal f</w:t>
      </w:r>
      <w:r w:rsidR="00CE7415">
        <w:rPr>
          <w:rFonts w:ascii="Georgia" w:hAnsi="Georgia"/>
        </w:rPr>
        <w:t xml:space="preserve">inds </w:t>
      </w:r>
      <w:r w:rsidR="00CE7415" w:rsidRPr="0028310A">
        <w:rPr>
          <w:rFonts w:ascii="Georgia" w:hAnsi="Georgia"/>
        </w:rPr>
        <w:t xml:space="preserve">that this licensing offence </w:t>
      </w:r>
      <w:r w:rsidR="00CE7415">
        <w:rPr>
          <w:rFonts w:ascii="Georgia" w:hAnsi="Georgia"/>
        </w:rPr>
        <w:t>i</w:t>
      </w:r>
      <w:r w:rsidR="00CE7415" w:rsidRPr="0028310A">
        <w:rPr>
          <w:rFonts w:ascii="Georgia" w:hAnsi="Georgia"/>
        </w:rPr>
        <w:t>s not the most serious under the 2016 Act.  The Tribunal conclude</w:t>
      </w:r>
      <w:r w:rsidR="00CE7415">
        <w:rPr>
          <w:rFonts w:ascii="Georgia" w:hAnsi="Georgia"/>
        </w:rPr>
        <w:t xml:space="preserve">s </w:t>
      </w:r>
      <w:r w:rsidR="00CE7415" w:rsidRPr="0028310A">
        <w:rPr>
          <w:rFonts w:ascii="Georgia" w:hAnsi="Georgia"/>
        </w:rPr>
        <w:t>that the starting point for an offence of this nature would be</w:t>
      </w:r>
      <w:r w:rsidR="00DC7370">
        <w:rPr>
          <w:rFonts w:ascii="Georgia" w:hAnsi="Georgia"/>
        </w:rPr>
        <w:t xml:space="preserve"> around</w:t>
      </w:r>
      <w:r w:rsidR="00CE7415" w:rsidRPr="0028310A">
        <w:rPr>
          <w:rFonts w:ascii="Georgia" w:hAnsi="Georgia"/>
        </w:rPr>
        <w:t xml:space="preserve"> </w:t>
      </w:r>
      <w:r w:rsidR="00C74D91">
        <w:rPr>
          <w:rFonts w:ascii="Georgia" w:hAnsi="Georgia"/>
        </w:rPr>
        <w:t>60</w:t>
      </w:r>
      <w:r w:rsidR="00CE7415" w:rsidRPr="0028310A">
        <w:rPr>
          <w:rFonts w:ascii="Georgia" w:hAnsi="Georgia"/>
        </w:rPr>
        <w:t xml:space="preserve">%.  </w:t>
      </w:r>
      <w:r w:rsidR="00DC7370">
        <w:rPr>
          <w:rFonts w:ascii="Georgia" w:hAnsi="Georgia"/>
        </w:rPr>
        <w:t>However, t</w:t>
      </w:r>
      <w:r w:rsidR="00CE7415">
        <w:rPr>
          <w:rFonts w:ascii="Georgia" w:hAnsi="Georgia"/>
        </w:rPr>
        <w:t xml:space="preserve">aking the factors of this particular case </w:t>
      </w:r>
      <w:r w:rsidR="003E40F3">
        <w:rPr>
          <w:rFonts w:ascii="Georgia" w:hAnsi="Georgia"/>
        </w:rPr>
        <w:t xml:space="preserve">into account </w:t>
      </w:r>
      <w:r w:rsidR="0024774A">
        <w:rPr>
          <w:rFonts w:ascii="Georgia" w:hAnsi="Georgia"/>
        </w:rPr>
        <w:t xml:space="preserve">and </w:t>
      </w:r>
      <w:r w:rsidR="003E40F3">
        <w:rPr>
          <w:rFonts w:ascii="Georgia" w:hAnsi="Georgia"/>
        </w:rPr>
        <w:t xml:space="preserve">considering </w:t>
      </w:r>
      <w:r w:rsidR="0024774A">
        <w:rPr>
          <w:rFonts w:ascii="Georgia" w:hAnsi="Georgia"/>
        </w:rPr>
        <w:t xml:space="preserve">the findings made above, </w:t>
      </w:r>
      <w:r w:rsidR="00CE7415">
        <w:rPr>
          <w:rFonts w:ascii="Georgia" w:hAnsi="Georgia"/>
        </w:rPr>
        <w:t xml:space="preserve">the Tribunal increases this </w:t>
      </w:r>
      <w:r w:rsidR="00CE7415" w:rsidRPr="0028310A">
        <w:rPr>
          <w:rFonts w:ascii="Georgia" w:hAnsi="Georgia"/>
        </w:rPr>
        <w:t>amount</w:t>
      </w:r>
      <w:r w:rsidR="003E40F3">
        <w:rPr>
          <w:rFonts w:ascii="Georgia" w:hAnsi="Georgia"/>
        </w:rPr>
        <w:t xml:space="preserve"> </w:t>
      </w:r>
      <w:r w:rsidR="00CE7415" w:rsidRPr="0028310A">
        <w:rPr>
          <w:rFonts w:ascii="Georgia" w:hAnsi="Georgia"/>
        </w:rPr>
        <w:t xml:space="preserve">to </w:t>
      </w:r>
      <w:r w:rsidR="0024774A">
        <w:rPr>
          <w:rFonts w:ascii="Georgia" w:hAnsi="Georgia"/>
        </w:rPr>
        <w:t xml:space="preserve">an award of 80% </w:t>
      </w:r>
      <w:r w:rsidR="009E2D59">
        <w:rPr>
          <w:rFonts w:ascii="Georgia" w:hAnsi="Georgia"/>
        </w:rPr>
        <w:t>against</w:t>
      </w:r>
      <w:r w:rsidR="0024774A">
        <w:rPr>
          <w:rFonts w:ascii="Georgia" w:hAnsi="Georgia"/>
        </w:rPr>
        <w:t xml:space="preserve"> the </w:t>
      </w:r>
      <w:r w:rsidR="00E10C0F">
        <w:rPr>
          <w:rFonts w:ascii="Georgia" w:hAnsi="Georgia"/>
        </w:rPr>
        <w:t>First Respondent and 85</w:t>
      </w:r>
      <w:r w:rsidR="00CE7415" w:rsidRPr="0028310A">
        <w:rPr>
          <w:rFonts w:ascii="Georgia" w:hAnsi="Georgia"/>
        </w:rPr>
        <w:t xml:space="preserve">% </w:t>
      </w:r>
      <w:r w:rsidR="00805839">
        <w:rPr>
          <w:rFonts w:ascii="Georgia" w:hAnsi="Georgia"/>
        </w:rPr>
        <w:t>against</w:t>
      </w:r>
      <w:r w:rsidR="00E10C0F">
        <w:rPr>
          <w:rFonts w:ascii="Georgia" w:hAnsi="Georgia"/>
        </w:rPr>
        <w:t xml:space="preserve"> the Second Respondent</w:t>
      </w:r>
      <w:r w:rsidR="009E2D59">
        <w:rPr>
          <w:rFonts w:ascii="Georgia" w:hAnsi="Georgia"/>
        </w:rPr>
        <w:t>.</w:t>
      </w:r>
    </w:p>
    <w:p w14:paraId="1F0DE87B" w14:textId="77777777" w:rsidR="00CE7415" w:rsidRPr="0028310A" w:rsidRDefault="00CE7415" w:rsidP="006B2C54">
      <w:pPr>
        <w:pStyle w:val="ListParagraph"/>
        <w:spacing w:line="360" w:lineRule="auto"/>
        <w:ind w:left="0"/>
        <w:jc w:val="both"/>
        <w:rPr>
          <w:rFonts w:ascii="Georgia" w:hAnsi="Georgia"/>
          <w:b/>
          <w:bCs/>
        </w:rPr>
      </w:pPr>
    </w:p>
    <w:p w14:paraId="72CBD92A" w14:textId="1AB5ABEE" w:rsidR="00CE7415" w:rsidRDefault="005F227A" w:rsidP="006B2C54">
      <w:pPr>
        <w:pStyle w:val="ListParagraph"/>
        <w:spacing w:line="360" w:lineRule="auto"/>
        <w:ind w:hanging="720"/>
        <w:jc w:val="both"/>
        <w:rPr>
          <w:rFonts w:ascii="Georgia" w:hAnsi="Georgia"/>
        </w:rPr>
      </w:pPr>
      <w:r>
        <w:rPr>
          <w:rFonts w:ascii="Georgia" w:hAnsi="Georgia"/>
        </w:rPr>
        <w:t>71</w:t>
      </w:r>
      <w:r w:rsidR="00CE7415">
        <w:rPr>
          <w:rFonts w:ascii="Georgia" w:hAnsi="Georgia"/>
        </w:rPr>
        <w:t>.</w:t>
      </w:r>
      <w:r w:rsidR="00CE7415">
        <w:rPr>
          <w:rFonts w:ascii="Georgia" w:hAnsi="Georgia"/>
        </w:rPr>
        <w:tab/>
      </w:r>
      <w:r w:rsidR="00CE7415" w:rsidRPr="0028310A">
        <w:rPr>
          <w:rFonts w:ascii="Georgia" w:hAnsi="Georgia"/>
        </w:rPr>
        <w:t xml:space="preserve">The Tribunal </w:t>
      </w:r>
      <w:r w:rsidR="00CE7415">
        <w:rPr>
          <w:rFonts w:ascii="Georgia" w:hAnsi="Georgia"/>
        </w:rPr>
        <w:t xml:space="preserve">therefore </w:t>
      </w:r>
      <w:r w:rsidR="00B5304F">
        <w:rPr>
          <w:rFonts w:ascii="Georgia" w:hAnsi="Georgia"/>
        </w:rPr>
        <w:t>makes the following Rent Repayment Orders:</w:t>
      </w:r>
    </w:p>
    <w:p w14:paraId="1BD44227" w14:textId="77777777" w:rsidR="00B5304F" w:rsidRDefault="00B5304F" w:rsidP="006B2C54">
      <w:pPr>
        <w:pStyle w:val="ListParagraph"/>
        <w:spacing w:line="360" w:lineRule="auto"/>
        <w:ind w:hanging="720"/>
        <w:jc w:val="both"/>
        <w:rPr>
          <w:rFonts w:ascii="Georgia" w:hAnsi="Georgia"/>
        </w:rPr>
      </w:pPr>
    </w:p>
    <w:p w14:paraId="0104F8AA" w14:textId="40388BE9" w:rsidR="00B5304F" w:rsidRDefault="00B5304F" w:rsidP="006B2C54">
      <w:pPr>
        <w:pStyle w:val="ListParagraph"/>
        <w:spacing w:line="360" w:lineRule="auto"/>
        <w:ind w:hanging="720"/>
        <w:jc w:val="both"/>
        <w:rPr>
          <w:rFonts w:ascii="Georgia" w:hAnsi="Georgia"/>
        </w:rPr>
      </w:pPr>
      <w:r>
        <w:rPr>
          <w:rFonts w:ascii="Georgia" w:hAnsi="Georgia"/>
        </w:rPr>
        <w:tab/>
        <w:t>First Respondent:</w:t>
      </w:r>
    </w:p>
    <w:p w14:paraId="22525ADB" w14:textId="77777777" w:rsidR="00B5304F" w:rsidRDefault="00B5304F" w:rsidP="006B2C54">
      <w:pPr>
        <w:pStyle w:val="ListParagraph"/>
        <w:spacing w:line="360" w:lineRule="auto"/>
        <w:ind w:hanging="720"/>
        <w:jc w:val="both"/>
        <w:rPr>
          <w:rFonts w:ascii="Georgia" w:hAnsi="Georgia"/>
        </w:rPr>
      </w:pPr>
    </w:p>
    <w:p w14:paraId="262A4F7F" w14:textId="0DB36BD6" w:rsidR="00B5304F" w:rsidRPr="0028310A" w:rsidRDefault="00B5304F" w:rsidP="006B2C54">
      <w:pPr>
        <w:pStyle w:val="ListParagraph"/>
        <w:spacing w:line="360" w:lineRule="auto"/>
        <w:ind w:hanging="720"/>
        <w:jc w:val="both"/>
        <w:rPr>
          <w:rFonts w:ascii="Georgia" w:hAnsi="Georgia"/>
        </w:rPr>
      </w:pPr>
      <w:r>
        <w:rPr>
          <w:rFonts w:ascii="Georgia" w:hAnsi="Georgia"/>
        </w:rPr>
        <w:tab/>
        <w:t>Total rent paid £</w:t>
      </w:r>
      <w:r w:rsidR="00F35F66">
        <w:rPr>
          <w:rFonts w:ascii="Georgia" w:hAnsi="Georgia"/>
        </w:rPr>
        <w:t>7,102.74</w:t>
      </w:r>
    </w:p>
    <w:p w14:paraId="11570CAF" w14:textId="77777777" w:rsidR="00CE7415" w:rsidRPr="0028310A" w:rsidRDefault="00CE7415" w:rsidP="006B2C54">
      <w:pPr>
        <w:pStyle w:val="ListParagraph"/>
        <w:spacing w:line="360" w:lineRule="auto"/>
        <w:ind w:left="1440"/>
        <w:rPr>
          <w:rFonts w:ascii="Georgia" w:hAnsi="Georgia"/>
        </w:rPr>
      </w:pPr>
    </w:p>
    <w:p w14:paraId="538E42C1" w14:textId="723F3094" w:rsidR="00CE7415" w:rsidRDefault="00B5304F" w:rsidP="006B2C54">
      <w:pPr>
        <w:pStyle w:val="ListParagraph"/>
        <w:spacing w:line="360" w:lineRule="auto"/>
        <w:ind w:left="1440"/>
        <w:rPr>
          <w:rFonts w:ascii="Georgia" w:hAnsi="Georgia"/>
        </w:rPr>
      </w:pPr>
      <w:r>
        <w:rPr>
          <w:rFonts w:ascii="Georgia" w:hAnsi="Georgia"/>
        </w:rPr>
        <w:t>80</w:t>
      </w:r>
      <w:r w:rsidR="00CE7415" w:rsidRPr="0028310A">
        <w:rPr>
          <w:rFonts w:ascii="Georgia" w:hAnsi="Georgia"/>
        </w:rPr>
        <w:t xml:space="preserve">% of which gives a </w:t>
      </w:r>
      <w:r w:rsidR="00CE7415" w:rsidRPr="0028310A">
        <w:rPr>
          <w:rFonts w:ascii="Georgia" w:hAnsi="Georgia"/>
          <w:b/>
          <w:bCs/>
        </w:rPr>
        <w:t xml:space="preserve">total amount of </w:t>
      </w:r>
      <w:r w:rsidR="00CE7415" w:rsidRPr="008B7031">
        <w:rPr>
          <w:rFonts w:ascii="Georgia" w:hAnsi="Georgia"/>
          <w:b/>
          <w:bCs/>
        </w:rPr>
        <w:t xml:space="preserve">£ </w:t>
      </w:r>
      <w:r w:rsidR="008B7031" w:rsidRPr="008B7031">
        <w:rPr>
          <w:rFonts w:ascii="Georgia" w:hAnsi="Georgia"/>
          <w:b/>
          <w:bCs/>
        </w:rPr>
        <w:t>5,682.19</w:t>
      </w:r>
    </w:p>
    <w:p w14:paraId="3839A103" w14:textId="77777777" w:rsidR="00B5304F" w:rsidRDefault="00B5304F" w:rsidP="006B2C54">
      <w:pPr>
        <w:pStyle w:val="ListParagraph"/>
        <w:spacing w:line="360" w:lineRule="auto"/>
        <w:rPr>
          <w:rFonts w:ascii="Georgia" w:hAnsi="Georgia"/>
        </w:rPr>
      </w:pPr>
    </w:p>
    <w:p w14:paraId="4A84B651" w14:textId="613EB654" w:rsidR="00B5304F" w:rsidRDefault="00B5304F" w:rsidP="006B2C54">
      <w:pPr>
        <w:pStyle w:val="ListParagraph"/>
        <w:spacing w:line="360" w:lineRule="auto"/>
        <w:jc w:val="both"/>
        <w:rPr>
          <w:rFonts w:ascii="Georgia" w:hAnsi="Georgia"/>
        </w:rPr>
      </w:pPr>
      <w:r>
        <w:rPr>
          <w:rFonts w:ascii="Georgia" w:hAnsi="Georgia"/>
        </w:rPr>
        <w:t>Second Respondent:</w:t>
      </w:r>
    </w:p>
    <w:p w14:paraId="605322E8" w14:textId="77777777" w:rsidR="00B5304F" w:rsidRDefault="00B5304F" w:rsidP="006B2C54">
      <w:pPr>
        <w:pStyle w:val="ListParagraph"/>
        <w:spacing w:line="360" w:lineRule="auto"/>
        <w:ind w:hanging="720"/>
        <w:jc w:val="both"/>
        <w:rPr>
          <w:rFonts w:ascii="Georgia" w:hAnsi="Georgia"/>
        </w:rPr>
      </w:pPr>
    </w:p>
    <w:p w14:paraId="706F042E" w14:textId="0D05F69C" w:rsidR="00B5304F" w:rsidRPr="0028310A" w:rsidRDefault="00B5304F" w:rsidP="006B2C54">
      <w:pPr>
        <w:pStyle w:val="ListParagraph"/>
        <w:spacing w:line="360" w:lineRule="auto"/>
        <w:ind w:hanging="720"/>
        <w:jc w:val="both"/>
        <w:rPr>
          <w:rFonts w:ascii="Georgia" w:hAnsi="Georgia"/>
        </w:rPr>
      </w:pPr>
      <w:r>
        <w:rPr>
          <w:rFonts w:ascii="Georgia" w:hAnsi="Georgia"/>
        </w:rPr>
        <w:tab/>
        <w:t>Total rent paid £</w:t>
      </w:r>
      <w:r w:rsidR="00C960A4">
        <w:rPr>
          <w:rFonts w:ascii="Georgia" w:hAnsi="Georgia"/>
        </w:rPr>
        <w:t>1</w:t>
      </w:r>
      <w:r w:rsidR="00AA0849">
        <w:rPr>
          <w:rFonts w:ascii="Georgia" w:hAnsi="Georgia"/>
        </w:rPr>
        <w:t>,700</w:t>
      </w:r>
    </w:p>
    <w:p w14:paraId="6E005A1C" w14:textId="77777777" w:rsidR="00B5304F" w:rsidRPr="0028310A" w:rsidRDefault="00B5304F" w:rsidP="006B2C54">
      <w:pPr>
        <w:pStyle w:val="ListParagraph"/>
        <w:spacing w:line="360" w:lineRule="auto"/>
        <w:ind w:left="1440"/>
        <w:rPr>
          <w:rFonts w:ascii="Georgia" w:hAnsi="Georgia"/>
        </w:rPr>
      </w:pPr>
    </w:p>
    <w:p w14:paraId="1E8DD8B0" w14:textId="383A3CA7" w:rsidR="00B5304F" w:rsidRPr="0028310A" w:rsidRDefault="00B5304F" w:rsidP="006B2C54">
      <w:pPr>
        <w:pStyle w:val="ListParagraph"/>
        <w:spacing w:line="360" w:lineRule="auto"/>
        <w:ind w:left="1440"/>
        <w:rPr>
          <w:rFonts w:ascii="Georgia" w:hAnsi="Georgia"/>
        </w:rPr>
      </w:pPr>
      <w:r>
        <w:rPr>
          <w:rFonts w:ascii="Georgia" w:hAnsi="Georgia"/>
        </w:rPr>
        <w:t>85</w:t>
      </w:r>
      <w:r w:rsidRPr="0028310A">
        <w:rPr>
          <w:rFonts w:ascii="Georgia" w:hAnsi="Georgia"/>
        </w:rPr>
        <w:t xml:space="preserve">% of which gives a </w:t>
      </w:r>
      <w:r w:rsidRPr="0028310A">
        <w:rPr>
          <w:rFonts w:ascii="Georgia" w:hAnsi="Georgia"/>
          <w:b/>
          <w:bCs/>
        </w:rPr>
        <w:t>total amount of £</w:t>
      </w:r>
      <w:r w:rsidR="00AA0849">
        <w:rPr>
          <w:rFonts w:ascii="Georgia" w:hAnsi="Georgia"/>
          <w:b/>
          <w:bCs/>
        </w:rPr>
        <w:t>1,445</w:t>
      </w:r>
      <w:r w:rsidRPr="0028310A">
        <w:rPr>
          <w:rFonts w:ascii="Georgia" w:hAnsi="Georgia"/>
        </w:rPr>
        <w:t xml:space="preserve"> </w:t>
      </w:r>
    </w:p>
    <w:p w14:paraId="37D6E7BB" w14:textId="77777777" w:rsidR="00B5304F" w:rsidRPr="0028310A" w:rsidRDefault="00B5304F" w:rsidP="006B2C54">
      <w:pPr>
        <w:pStyle w:val="ListParagraph"/>
        <w:spacing w:line="360" w:lineRule="auto"/>
        <w:rPr>
          <w:rFonts w:ascii="Georgia" w:hAnsi="Georgia"/>
        </w:rPr>
      </w:pPr>
    </w:p>
    <w:p w14:paraId="13A3D443" w14:textId="77777777" w:rsidR="00CE7415" w:rsidRPr="0028310A" w:rsidRDefault="00CE7415" w:rsidP="006B2C54">
      <w:pPr>
        <w:spacing w:line="360" w:lineRule="auto"/>
        <w:rPr>
          <w:rFonts w:ascii="Georgia" w:hAnsi="Georgia"/>
          <w:b/>
          <w:bCs/>
        </w:rPr>
      </w:pPr>
    </w:p>
    <w:p w14:paraId="0F12C245" w14:textId="30E625CD" w:rsidR="00CE7415" w:rsidRPr="0028310A" w:rsidRDefault="005F227A" w:rsidP="006B2C54">
      <w:pPr>
        <w:spacing w:line="360" w:lineRule="auto"/>
        <w:jc w:val="both"/>
        <w:rPr>
          <w:rFonts w:ascii="Georgia" w:hAnsi="Georgia"/>
        </w:rPr>
      </w:pPr>
      <w:r>
        <w:rPr>
          <w:rFonts w:ascii="Georgia" w:hAnsi="Georgia"/>
        </w:rPr>
        <w:t>72</w:t>
      </w:r>
      <w:r w:rsidR="00CE7415">
        <w:rPr>
          <w:rFonts w:ascii="Georgia" w:hAnsi="Georgia"/>
        </w:rPr>
        <w:t>.</w:t>
      </w:r>
      <w:r w:rsidR="00CE7415">
        <w:rPr>
          <w:rFonts w:ascii="Georgia" w:hAnsi="Georgia"/>
        </w:rPr>
        <w:tab/>
      </w:r>
      <w:r w:rsidR="00CE7415" w:rsidRPr="0028310A">
        <w:rPr>
          <w:rFonts w:ascii="Georgia" w:hAnsi="Georgia"/>
        </w:rPr>
        <w:t>The Tribunal order</w:t>
      </w:r>
      <w:r w:rsidR="00CE7415">
        <w:rPr>
          <w:rFonts w:ascii="Georgia" w:hAnsi="Georgia"/>
        </w:rPr>
        <w:t>s</w:t>
      </w:r>
      <w:r w:rsidR="00CE7415" w:rsidRPr="0028310A">
        <w:rPr>
          <w:rFonts w:ascii="Georgia" w:hAnsi="Georgia"/>
        </w:rPr>
        <w:t xml:space="preserve"> that the payment be made in full within 28 days.</w:t>
      </w:r>
    </w:p>
    <w:p w14:paraId="5DB37FD2" w14:textId="77777777" w:rsidR="00CE7415" w:rsidRPr="0028310A" w:rsidRDefault="00CE7415" w:rsidP="006B2C54">
      <w:pPr>
        <w:pStyle w:val="ListParagraph"/>
        <w:spacing w:line="360" w:lineRule="auto"/>
        <w:ind w:left="0"/>
        <w:rPr>
          <w:rFonts w:ascii="Georgia" w:hAnsi="Georgia"/>
        </w:rPr>
      </w:pPr>
    </w:p>
    <w:p w14:paraId="4A3B8251" w14:textId="470163C8" w:rsidR="00CE7415" w:rsidRPr="0028310A" w:rsidRDefault="00CE7415" w:rsidP="006B2C54">
      <w:pPr>
        <w:pStyle w:val="ListParagraph"/>
        <w:spacing w:line="360" w:lineRule="auto"/>
        <w:ind w:left="0"/>
        <w:rPr>
          <w:rFonts w:ascii="Georgia" w:hAnsi="Georgia"/>
          <w:b/>
          <w:bCs/>
        </w:rPr>
      </w:pPr>
      <w:r w:rsidRPr="0028310A">
        <w:rPr>
          <w:rFonts w:ascii="Georgia" w:hAnsi="Georgia"/>
          <w:b/>
          <w:bCs/>
        </w:rPr>
        <w:t>Application</w:t>
      </w:r>
      <w:r w:rsidR="0033616E">
        <w:rPr>
          <w:rFonts w:ascii="Georgia" w:hAnsi="Georgia"/>
          <w:b/>
          <w:bCs/>
        </w:rPr>
        <w:t xml:space="preserve">/Hearing </w:t>
      </w:r>
      <w:r w:rsidRPr="0028310A">
        <w:rPr>
          <w:rFonts w:ascii="Georgia" w:hAnsi="Georgia"/>
          <w:b/>
          <w:bCs/>
        </w:rPr>
        <w:t>Fees</w:t>
      </w:r>
    </w:p>
    <w:p w14:paraId="68032DE6" w14:textId="77777777" w:rsidR="00CE7415" w:rsidRPr="0028310A" w:rsidRDefault="00CE7415" w:rsidP="006B2C54">
      <w:pPr>
        <w:pStyle w:val="ListParagraph"/>
        <w:spacing w:line="360" w:lineRule="auto"/>
        <w:ind w:left="0"/>
        <w:rPr>
          <w:rFonts w:ascii="Georgia" w:hAnsi="Georgia"/>
          <w:b/>
          <w:bCs/>
        </w:rPr>
      </w:pPr>
    </w:p>
    <w:p w14:paraId="5D04AD8A" w14:textId="7E73F2FA" w:rsidR="00CE7415" w:rsidRPr="0028310A" w:rsidRDefault="005F227A" w:rsidP="006B2C54">
      <w:pPr>
        <w:pStyle w:val="ListParagraph"/>
        <w:spacing w:line="360" w:lineRule="auto"/>
        <w:ind w:hanging="720"/>
        <w:jc w:val="both"/>
        <w:rPr>
          <w:rFonts w:ascii="Georgia" w:hAnsi="Georgia"/>
        </w:rPr>
      </w:pPr>
      <w:r>
        <w:rPr>
          <w:rFonts w:ascii="Georgia" w:hAnsi="Georgia"/>
        </w:rPr>
        <w:t>73</w:t>
      </w:r>
      <w:r w:rsidR="00CE7415">
        <w:rPr>
          <w:rFonts w:ascii="Georgia" w:hAnsi="Georgia"/>
        </w:rPr>
        <w:t>.</w:t>
      </w:r>
      <w:r w:rsidR="00CE7415">
        <w:rPr>
          <w:rFonts w:ascii="Georgia" w:hAnsi="Georgia"/>
        </w:rPr>
        <w:tab/>
      </w:r>
      <w:r w:rsidR="00CE7415" w:rsidRPr="0028310A">
        <w:rPr>
          <w:rFonts w:ascii="Georgia" w:hAnsi="Georgia"/>
        </w:rPr>
        <w:t>The Applicant</w:t>
      </w:r>
      <w:r w:rsidR="00B5304F">
        <w:rPr>
          <w:rFonts w:ascii="Georgia" w:hAnsi="Georgia"/>
        </w:rPr>
        <w:t>s</w:t>
      </w:r>
      <w:r w:rsidR="00CE7415" w:rsidRPr="0028310A">
        <w:rPr>
          <w:rFonts w:ascii="Georgia" w:hAnsi="Georgia"/>
        </w:rPr>
        <w:t xml:space="preserve"> asked the Tribunal to make </w:t>
      </w:r>
      <w:r w:rsidR="0033616E">
        <w:rPr>
          <w:rFonts w:ascii="Georgia" w:hAnsi="Georgia"/>
        </w:rPr>
        <w:t xml:space="preserve">an order that the </w:t>
      </w:r>
      <w:r w:rsidR="00805839">
        <w:rPr>
          <w:rFonts w:ascii="Georgia" w:hAnsi="Georgia"/>
        </w:rPr>
        <w:t>application</w:t>
      </w:r>
      <w:r w:rsidR="0033616E">
        <w:rPr>
          <w:rFonts w:ascii="Georgia" w:hAnsi="Georgia"/>
        </w:rPr>
        <w:t xml:space="preserve"> and hearing fee</w:t>
      </w:r>
      <w:r w:rsidR="002C108C">
        <w:rPr>
          <w:rFonts w:ascii="Georgia" w:hAnsi="Georgia"/>
        </w:rPr>
        <w:t>s</w:t>
      </w:r>
      <w:r w:rsidR="0033616E">
        <w:rPr>
          <w:rFonts w:ascii="Georgia" w:hAnsi="Georgia"/>
        </w:rPr>
        <w:t xml:space="preserve"> paid by the Applicants are refunded by to them by the Respondents</w:t>
      </w:r>
      <w:r w:rsidR="009E2D59">
        <w:rPr>
          <w:rFonts w:ascii="Georgia" w:hAnsi="Georgia"/>
        </w:rPr>
        <w:t>.</w:t>
      </w:r>
    </w:p>
    <w:p w14:paraId="178270EF" w14:textId="77777777" w:rsidR="00CE7415" w:rsidRPr="0028310A" w:rsidRDefault="00CE7415" w:rsidP="006B2C54">
      <w:pPr>
        <w:pStyle w:val="ListParagraph"/>
        <w:spacing w:line="360" w:lineRule="auto"/>
        <w:ind w:left="0"/>
        <w:jc w:val="both"/>
        <w:rPr>
          <w:rFonts w:ascii="Georgia" w:hAnsi="Georgia"/>
        </w:rPr>
      </w:pPr>
    </w:p>
    <w:p w14:paraId="02334696" w14:textId="413D55AC" w:rsidR="00CE7415" w:rsidRPr="0028310A" w:rsidRDefault="005F227A" w:rsidP="006B2C54">
      <w:pPr>
        <w:pStyle w:val="ListParagraph"/>
        <w:spacing w:line="360" w:lineRule="auto"/>
        <w:ind w:hanging="720"/>
        <w:jc w:val="both"/>
        <w:rPr>
          <w:rFonts w:ascii="Georgia" w:hAnsi="Georgia"/>
        </w:rPr>
      </w:pPr>
      <w:r>
        <w:rPr>
          <w:rFonts w:ascii="Georgia" w:hAnsi="Georgia"/>
        </w:rPr>
        <w:t>74</w:t>
      </w:r>
      <w:r w:rsidR="00CE7415">
        <w:rPr>
          <w:rFonts w:ascii="Georgia" w:hAnsi="Georgia"/>
        </w:rPr>
        <w:t>.</w:t>
      </w:r>
      <w:r w:rsidR="00CE7415">
        <w:rPr>
          <w:rFonts w:ascii="Georgia" w:hAnsi="Georgia"/>
        </w:rPr>
        <w:tab/>
      </w:r>
      <w:r w:rsidR="00CE7415" w:rsidRPr="0028310A">
        <w:rPr>
          <w:rFonts w:ascii="Georgia" w:hAnsi="Georgia"/>
        </w:rPr>
        <w:t>Given that the Tribunal has made a RRO</w:t>
      </w:r>
      <w:r w:rsidR="00CE7415">
        <w:rPr>
          <w:rFonts w:ascii="Georgia" w:hAnsi="Georgia"/>
        </w:rPr>
        <w:t>,</w:t>
      </w:r>
      <w:r w:rsidR="00CE7415" w:rsidRPr="0028310A">
        <w:rPr>
          <w:rFonts w:ascii="Georgia" w:hAnsi="Georgia"/>
        </w:rPr>
        <w:t xml:space="preserve"> the Tribunal exercises its discretion to order that the Respondent</w:t>
      </w:r>
      <w:r w:rsidR="00D354FB">
        <w:rPr>
          <w:rFonts w:ascii="Georgia" w:hAnsi="Georgia"/>
        </w:rPr>
        <w:t>s</w:t>
      </w:r>
      <w:r w:rsidR="00CE7415" w:rsidRPr="0028310A">
        <w:rPr>
          <w:rFonts w:ascii="Georgia" w:hAnsi="Georgia"/>
        </w:rPr>
        <w:t xml:space="preserve"> must pay the</w:t>
      </w:r>
      <w:r w:rsidR="00D354FB">
        <w:rPr>
          <w:rFonts w:ascii="Georgia" w:hAnsi="Georgia"/>
        </w:rPr>
        <w:t xml:space="preserve"> Applicants’ application and hearing fee</w:t>
      </w:r>
      <w:r w:rsidR="002C108C">
        <w:rPr>
          <w:rFonts w:ascii="Georgia" w:hAnsi="Georgia"/>
        </w:rPr>
        <w:t>s</w:t>
      </w:r>
      <w:r w:rsidR="00D354FB">
        <w:rPr>
          <w:rFonts w:ascii="Georgia" w:hAnsi="Georgia"/>
        </w:rPr>
        <w:t xml:space="preserve">.  As a RRO has been made </w:t>
      </w:r>
      <w:r w:rsidR="00E35C29">
        <w:rPr>
          <w:rFonts w:ascii="Georgia" w:hAnsi="Georgia"/>
        </w:rPr>
        <w:t xml:space="preserve">against both the </w:t>
      </w:r>
      <w:r w:rsidR="003D65F8">
        <w:rPr>
          <w:rFonts w:ascii="Georgia" w:hAnsi="Georgia"/>
        </w:rPr>
        <w:t>F</w:t>
      </w:r>
      <w:r w:rsidR="00E35C29">
        <w:rPr>
          <w:rFonts w:ascii="Georgia" w:hAnsi="Georgia"/>
        </w:rPr>
        <w:t xml:space="preserve">irst and </w:t>
      </w:r>
      <w:r w:rsidR="003D65F8">
        <w:rPr>
          <w:rFonts w:ascii="Georgia" w:hAnsi="Georgia"/>
        </w:rPr>
        <w:t>S</w:t>
      </w:r>
      <w:r w:rsidR="00E35C29">
        <w:rPr>
          <w:rFonts w:ascii="Georgia" w:hAnsi="Georgia"/>
        </w:rPr>
        <w:t xml:space="preserve">econd Respondent, each Respondent shall be responsible for paying half to the Applicants.  </w:t>
      </w:r>
      <w:r w:rsidR="00CE7415" w:rsidRPr="0028310A">
        <w:rPr>
          <w:rFonts w:ascii="Georgia" w:hAnsi="Georgia"/>
        </w:rPr>
        <w:t>This amount shall be paid within 28 days.</w:t>
      </w:r>
    </w:p>
    <w:p w14:paraId="0427A018" w14:textId="77777777" w:rsidR="00CE7415" w:rsidRPr="0028310A" w:rsidRDefault="00CE7415" w:rsidP="006B2C54">
      <w:pPr>
        <w:spacing w:line="360" w:lineRule="auto"/>
        <w:jc w:val="both"/>
        <w:rPr>
          <w:rFonts w:ascii="Georgia" w:hAnsi="Georgia"/>
          <w:b/>
          <w:bCs/>
        </w:rPr>
      </w:pPr>
    </w:p>
    <w:p w14:paraId="7F3563A7" w14:textId="77777777" w:rsidR="00CE7415" w:rsidRPr="0028310A" w:rsidRDefault="00CE7415" w:rsidP="006B2C54">
      <w:pPr>
        <w:pStyle w:val="ListParagraph"/>
        <w:spacing w:line="360" w:lineRule="auto"/>
        <w:ind w:left="0"/>
        <w:rPr>
          <w:rFonts w:ascii="Georgia" w:hAnsi="Georgia"/>
        </w:rPr>
      </w:pPr>
    </w:p>
    <w:p w14:paraId="3E3CF193" w14:textId="08D88B2F" w:rsidR="00CE7415" w:rsidRPr="00F4789A" w:rsidRDefault="00CE7415" w:rsidP="006B2C54">
      <w:pPr>
        <w:pStyle w:val="ListParagraph"/>
        <w:spacing w:line="360" w:lineRule="auto"/>
        <w:ind w:left="0"/>
        <w:rPr>
          <w:rFonts w:ascii="Georgia" w:hAnsi="Georgia"/>
          <w:b/>
          <w:bCs/>
        </w:rPr>
      </w:pPr>
      <w:r w:rsidRPr="00F4789A">
        <w:rPr>
          <w:rFonts w:ascii="Georgia" w:hAnsi="Georgia"/>
          <w:b/>
          <w:bCs/>
        </w:rPr>
        <w:t>Judge Bernadette MacQueen</w:t>
      </w:r>
      <w:r w:rsidRPr="00F4789A">
        <w:rPr>
          <w:rFonts w:ascii="Georgia" w:hAnsi="Georgia"/>
          <w:b/>
          <w:bCs/>
        </w:rPr>
        <w:tab/>
      </w:r>
      <w:r w:rsidRPr="00F4789A">
        <w:rPr>
          <w:rFonts w:ascii="Georgia" w:hAnsi="Georgia"/>
          <w:b/>
          <w:bCs/>
        </w:rPr>
        <w:tab/>
      </w:r>
      <w:r w:rsidR="00163F10">
        <w:rPr>
          <w:rFonts w:ascii="Georgia" w:hAnsi="Georgia"/>
          <w:b/>
          <w:bCs/>
        </w:rPr>
        <w:tab/>
      </w:r>
      <w:r w:rsidR="00163F10">
        <w:rPr>
          <w:rFonts w:ascii="Georgia" w:hAnsi="Georgia"/>
          <w:b/>
          <w:bCs/>
        </w:rPr>
        <w:tab/>
      </w:r>
      <w:r w:rsidRPr="00F4789A">
        <w:rPr>
          <w:rFonts w:ascii="Georgia" w:hAnsi="Georgia"/>
          <w:b/>
          <w:bCs/>
        </w:rPr>
        <w:t>Date:</w:t>
      </w:r>
      <w:r w:rsidR="00163F10">
        <w:rPr>
          <w:rFonts w:ascii="Georgia" w:hAnsi="Georgia"/>
          <w:b/>
          <w:bCs/>
        </w:rPr>
        <w:t xml:space="preserve"> 3 March</w:t>
      </w:r>
      <w:r w:rsidRPr="00F4789A">
        <w:rPr>
          <w:rFonts w:ascii="Georgia" w:hAnsi="Georgia"/>
          <w:b/>
          <w:bCs/>
        </w:rPr>
        <w:t xml:space="preserve"> 202</w:t>
      </w:r>
      <w:r w:rsidR="00E35C29">
        <w:rPr>
          <w:rFonts w:ascii="Georgia" w:hAnsi="Georgia"/>
          <w:b/>
          <w:bCs/>
        </w:rPr>
        <w:t>5</w:t>
      </w:r>
    </w:p>
    <w:p w14:paraId="430C5EF5" w14:textId="77777777" w:rsidR="00CE7415" w:rsidRPr="00F4789A" w:rsidRDefault="00CE7415" w:rsidP="006B2C54">
      <w:pPr>
        <w:spacing w:line="360" w:lineRule="auto"/>
        <w:jc w:val="both"/>
        <w:rPr>
          <w:rFonts w:ascii="Georgia" w:hAnsi="Georgia"/>
          <w:b/>
          <w:bCs/>
        </w:rPr>
      </w:pPr>
    </w:p>
    <w:p w14:paraId="4CA3AC94" w14:textId="77777777" w:rsidR="00CE7415" w:rsidRPr="0028310A" w:rsidRDefault="00CE7415" w:rsidP="006B2C54">
      <w:pPr>
        <w:pStyle w:val="ListParagraph"/>
        <w:spacing w:line="360" w:lineRule="auto"/>
        <w:ind w:left="0"/>
        <w:jc w:val="both"/>
        <w:rPr>
          <w:rFonts w:ascii="Georgia" w:hAnsi="Georgia"/>
          <w:b/>
          <w:u w:val="single"/>
        </w:rPr>
      </w:pPr>
    </w:p>
    <w:p w14:paraId="3E207FDC" w14:textId="77777777" w:rsidR="00CE7415" w:rsidRPr="0028310A" w:rsidRDefault="00CE7415" w:rsidP="006B2C54">
      <w:pPr>
        <w:pStyle w:val="ListParagraph"/>
        <w:spacing w:line="360" w:lineRule="auto"/>
        <w:ind w:left="0"/>
        <w:jc w:val="both"/>
        <w:rPr>
          <w:rFonts w:ascii="Georgia" w:hAnsi="Georgia"/>
          <w:b/>
          <w:u w:val="single"/>
        </w:rPr>
      </w:pPr>
    </w:p>
    <w:p w14:paraId="7FD5E971" w14:textId="77777777" w:rsidR="00CE7415" w:rsidRPr="0028310A" w:rsidRDefault="00CE7415" w:rsidP="006B2C54">
      <w:pPr>
        <w:pStyle w:val="ListParagraph"/>
        <w:spacing w:line="360" w:lineRule="auto"/>
        <w:ind w:left="0"/>
        <w:jc w:val="both"/>
        <w:rPr>
          <w:rFonts w:ascii="Georgia" w:hAnsi="Georgia"/>
          <w:b/>
          <w:u w:val="single"/>
        </w:rPr>
      </w:pPr>
      <w:r w:rsidRPr="0028310A">
        <w:rPr>
          <w:rFonts w:ascii="Georgia" w:hAnsi="Georgia"/>
          <w:b/>
          <w:u w:val="single"/>
        </w:rPr>
        <w:t>ANNEX – RIGHTS OF APPEAL</w:t>
      </w:r>
    </w:p>
    <w:p w14:paraId="4C69A20A" w14:textId="77777777" w:rsidR="00CE7415" w:rsidRPr="0028310A" w:rsidRDefault="00CE7415" w:rsidP="006B2C54">
      <w:pPr>
        <w:spacing w:line="360" w:lineRule="auto"/>
        <w:jc w:val="both"/>
        <w:rPr>
          <w:rFonts w:ascii="Georgia" w:hAnsi="Georgia"/>
        </w:rPr>
      </w:pPr>
    </w:p>
    <w:p w14:paraId="0B7A3B91" w14:textId="77777777" w:rsidR="00CE7415" w:rsidRPr="0028310A" w:rsidRDefault="00CE7415" w:rsidP="006B2C54">
      <w:pPr>
        <w:pStyle w:val="ListParagraph"/>
        <w:numPr>
          <w:ilvl w:val="0"/>
          <w:numId w:val="13"/>
        </w:numPr>
        <w:spacing w:line="360" w:lineRule="auto"/>
        <w:ind w:hanging="720"/>
        <w:jc w:val="both"/>
        <w:rPr>
          <w:rFonts w:ascii="Georgia" w:hAnsi="Georgia"/>
        </w:rPr>
      </w:pPr>
      <w:r w:rsidRPr="0028310A">
        <w:rPr>
          <w:rFonts w:ascii="Georgia" w:hAnsi="Georgia"/>
        </w:rPr>
        <w:t>If a party wishes to appeal this decision to the Upper Tribunal (Lands Chamber) then a written application for permission must be made to the First-Tier at the Regional Office which has been dealing with the case.</w:t>
      </w:r>
    </w:p>
    <w:p w14:paraId="6B4BECA9" w14:textId="77777777" w:rsidR="00CE7415" w:rsidRPr="0028310A" w:rsidRDefault="00CE7415" w:rsidP="00CE7415">
      <w:pPr>
        <w:pStyle w:val="ListParagraph"/>
        <w:jc w:val="both"/>
        <w:rPr>
          <w:rFonts w:ascii="Georgia" w:hAnsi="Georgia"/>
        </w:rPr>
      </w:pPr>
    </w:p>
    <w:p w14:paraId="5AC2F811" w14:textId="77777777" w:rsidR="00CE7415" w:rsidRPr="0028310A" w:rsidRDefault="00CE7415" w:rsidP="00CE7415">
      <w:pPr>
        <w:pStyle w:val="ListParagraph"/>
        <w:numPr>
          <w:ilvl w:val="0"/>
          <w:numId w:val="13"/>
        </w:numPr>
        <w:ind w:hanging="720"/>
        <w:jc w:val="both"/>
        <w:rPr>
          <w:rFonts w:ascii="Georgia" w:hAnsi="Georgia"/>
        </w:rPr>
      </w:pPr>
      <w:r w:rsidRPr="0028310A">
        <w:rPr>
          <w:rFonts w:ascii="Georgia" w:hAnsi="Georgia"/>
        </w:rPr>
        <w:t>The application for permission to appeal must arrive at the Regional Office within 28 days after the Tribunal sends written reasons for the decision to the person making the application.</w:t>
      </w:r>
    </w:p>
    <w:p w14:paraId="04B39AF1" w14:textId="77777777" w:rsidR="00CE7415" w:rsidRPr="0028310A" w:rsidRDefault="00CE7415" w:rsidP="00CE7415">
      <w:pPr>
        <w:pStyle w:val="ListParagraph"/>
        <w:rPr>
          <w:rFonts w:ascii="Georgia" w:hAnsi="Georgia"/>
        </w:rPr>
      </w:pPr>
    </w:p>
    <w:p w14:paraId="794BBF34" w14:textId="77777777" w:rsidR="00CE7415" w:rsidRPr="0028310A" w:rsidRDefault="00CE7415" w:rsidP="00CE7415">
      <w:pPr>
        <w:pStyle w:val="ListParagraph"/>
        <w:jc w:val="both"/>
        <w:rPr>
          <w:rFonts w:ascii="Georgia" w:hAnsi="Georgia"/>
        </w:rPr>
      </w:pPr>
    </w:p>
    <w:p w14:paraId="69F31BCF" w14:textId="77777777" w:rsidR="00CE7415" w:rsidRPr="0028310A" w:rsidRDefault="00CE7415" w:rsidP="00CE7415">
      <w:pPr>
        <w:pStyle w:val="ListParagraph"/>
        <w:numPr>
          <w:ilvl w:val="0"/>
          <w:numId w:val="13"/>
        </w:numPr>
        <w:ind w:hanging="720"/>
        <w:jc w:val="both"/>
        <w:rPr>
          <w:rFonts w:ascii="Georgia" w:hAnsi="Georgia"/>
        </w:rPr>
      </w:pPr>
      <w:r w:rsidRPr="0028310A">
        <w:rPr>
          <w:rFonts w:ascii="Georgia" w:hAnsi="Georgia"/>
        </w:rPr>
        <w:t>If the application is not made within the 28-day time limit, such application must include a request to an extension of time and the reason for not complying with the 28-day time limit; the Tribunal will then look at such reason(s) and decide whether to allow the application for permission to appeal to proceed despite not being within the time limit.</w:t>
      </w:r>
    </w:p>
    <w:p w14:paraId="2E7EC006" w14:textId="77777777" w:rsidR="00CE7415" w:rsidRPr="0028310A" w:rsidRDefault="00CE7415" w:rsidP="00CE7415">
      <w:pPr>
        <w:pStyle w:val="ListParagraph"/>
        <w:jc w:val="both"/>
        <w:rPr>
          <w:rFonts w:ascii="Georgia" w:hAnsi="Georgia"/>
        </w:rPr>
      </w:pPr>
    </w:p>
    <w:p w14:paraId="4F996844" w14:textId="77777777" w:rsidR="00CE7415" w:rsidRPr="0028310A" w:rsidRDefault="00CE7415" w:rsidP="00CE7415">
      <w:pPr>
        <w:pStyle w:val="ListParagraph"/>
        <w:numPr>
          <w:ilvl w:val="0"/>
          <w:numId w:val="13"/>
        </w:numPr>
        <w:ind w:hanging="720"/>
        <w:jc w:val="both"/>
        <w:rPr>
          <w:rFonts w:ascii="Georgia" w:hAnsi="Georgia"/>
        </w:rPr>
      </w:pPr>
      <w:r w:rsidRPr="0028310A">
        <w:rPr>
          <w:rFonts w:ascii="Georgia" w:hAnsi="Georgia"/>
        </w:rPr>
        <w:lastRenderedPageBreak/>
        <w:t>The application for permission to appeal must identify the decision of the Tribunal to which it relates (ie give the date, the property and the case number), state the grounds of appeal and state the result the party making the application is seeking.</w:t>
      </w:r>
    </w:p>
    <w:p w14:paraId="4B41DA7C" w14:textId="77777777" w:rsidR="00CE7415" w:rsidRPr="0028310A" w:rsidRDefault="00CE7415" w:rsidP="00CE7415">
      <w:pPr>
        <w:rPr>
          <w:rFonts w:ascii="Georgia" w:hAnsi="Georgia"/>
        </w:rPr>
      </w:pPr>
    </w:p>
    <w:p w14:paraId="3867A276" w14:textId="77777777" w:rsidR="00CE7415" w:rsidRPr="0028310A" w:rsidRDefault="00CE7415" w:rsidP="00CE7415">
      <w:pPr>
        <w:pStyle w:val="ListParagraph"/>
        <w:ind w:left="0"/>
        <w:jc w:val="both"/>
        <w:rPr>
          <w:rFonts w:ascii="Georgia" w:hAnsi="Georgia"/>
          <w:b/>
          <w:bCs/>
        </w:rPr>
      </w:pPr>
    </w:p>
    <w:p w14:paraId="7AD0536B" w14:textId="77777777" w:rsidR="00CE7415" w:rsidRPr="0028310A" w:rsidRDefault="00CE7415" w:rsidP="00CE7415">
      <w:pPr>
        <w:pStyle w:val="ListParagraph"/>
        <w:ind w:left="426"/>
        <w:jc w:val="both"/>
        <w:rPr>
          <w:rFonts w:ascii="Georgia" w:hAnsi="Georgia"/>
          <w:b/>
          <w:bCs/>
        </w:rPr>
      </w:pPr>
    </w:p>
    <w:p w14:paraId="251D25CF" w14:textId="77777777" w:rsidR="00CE7415" w:rsidRPr="0028310A" w:rsidRDefault="00CE7415" w:rsidP="00CE7415">
      <w:pPr>
        <w:pStyle w:val="ListParagraph"/>
        <w:ind w:left="0"/>
        <w:rPr>
          <w:rFonts w:ascii="Georgia" w:hAnsi="Georgia"/>
        </w:rPr>
      </w:pPr>
    </w:p>
    <w:p w14:paraId="6A404C70" w14:textId="77777777" w:rsidR="00CE7415" w:rsidRPr="0028310A" w:rsidRDefault="00CE7415" w:rsidP="00CE7415">
      <w:pPr>
        <w:rPr>
          <w:rFonts w:ascii="Georgia" w:hAnsi="Georgia"/>
        </w:rPr>
      </w:pPr>
    </w:p>
    <w:p w14:paraId="3FC16783" w14:textId="77777777" w:rsidR="00CE7415" w:rsidRPr="0028310A" w:rsidRDefault="00CE7415" w:rsidP="00CE7415">
      <w:pPr>
        <w:pStyle w:val="ListParagraph"/>
        <w:ind w:left="0"/>
        <w:jc w:val="both"/>
        <w:rPr>
          <w:rFonts w:ascii="Georgia" w:hAnsi="Georgia"/>
        </w:rPr>
      </w:pPr>
    </w:p>
    <w:p w14:paraId="79ACEBF8" w14:textId="77777777" w:rsidR="00CE7415" w:rsidRPr="0028310A" w:rsidRDefault="00CE7415" w:rsidP="00CE7415">
      <w:pPr>
        <w:rPr>
          <w:rFonts w:ascii="Georgia" w:hAnsi="Georgia" w:cs="Arial"/>
          <w:b/>
        </w:rPr>
      </w:pPr>
    </w:p>
    <w:p w14:paraId="79E5920F" w14:textId="77777777" w:rsidR="00CE7415" w:rsidRPr="0028310A" w:rsidRDefault="00CE7415" w:rsidP="00CE7415">
      <w:pPr>
        <w:jc w:val="center"/>
        <w:rPr>
          <w:rFonts w:ascii="Georgia" w:hAnsi="Georgia" w:cs="Arial"/>
          <w:b/>
        </w:rPr>
      </w:pPr>
    </w:p>
    <w:p w14:paraId="77214B26" w14:textId="77777777" w:rsidR="00CE7415" w:rsidRPr="0028310A" w:rsidRDefault="00CE7415" w:rsidP="00CE7415">
      <w:pPr>
        <w:jc w:val="center"/>
        <w:rPr>
          <w:rFonts w:ascii="Georgia" w:hAnsi="Georgia" w:cs="Arial"/>
          <w:b/>
        </w:rPr>
      </w:pPr>
    </w:p>
    <w:p w14:paraId="597471B6" w14:textId="77777777" w:rsidR="00CE7415" w:rsidRDefault="00CE7415" w:rsidP="00CE7415">
      <w:pPr>
        <w:spacing w:line="360" w:lineRule="auto"/>
        <w:jc w:val="both"/>
      </w:pPr>
    </w:p>
    <w:p w14:paraId="0265331C" w14:textId="77777777" w:rsidR="00484CC0" w:rsidRDefault="00484CC0" w:rsidP="001120A3">
      <w:pPr>
        <w:pStyle w:val="Heading2"/>
        <w:jc w:val="both"/>
      </w:pPr>
    </w:p>
    <w:p w14:paraId="2237DDAB" w14:textId="48F37581" w:rsidR="0088298E" w:rsidRDefault="0088298E" w:rsidP="00164B91">
      <w:pPr>
        <w:spacing w:line="276" w:lineRule="auto"/>
        <w:jc w:val="center"/>
        <w:rPr>
          <w:rFonts w:ascii="Trebuchet MS" w:hAnsi="Trebuchet MS"/>
          <w:b/>
          <w:bCs/>
          <w:kern w:val="36"/>
          <w:sz w:val="23"/>
          <w:szCs w:val="23"/>
          <w:lang w:eastAsia="en-GB"/>
        </w:rPr>
      </w:pPr>
    </w:p>
    <w:p w14:paraId="543FA4D7" w14:textId="77777777" w:rsidR="00E909BB" w:rsidRPr="0088298E" w:rsidRDefault="00E909BB" w:rsidP="002F6A5B">
      <w:pPr>
        <w:pStyle w:val="Footer"/>
        <w:rPr>
          <w:rFonts w:ascii="Georgia" w:hAnsi="Georgia"/>
          <w:b/>
          <w:color w:val="FF0000"/>
          <w:sz w:val="22"/>
          <w:szCs w:val="22"/>
        </w:rPr>
      </w:pPr>
    </w:p>
    <w:sectPr w:rsidR="00E909BB" w:rsidRPr="0088298E" w:rsidSect="00C477DC">
      <w:footerReference w:type="even" r:id="rId11"/>
      <w:footerReference w:type="default" r:id="rId12"/>
      <w:pgSz w:w="11906" w:h="16838"/>
      <w:pgMar w:top="141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6303" w14:textId="77777777" w:rsidR="00ED20B0" w:rsidRDefault="00ED20B0">
      <w:r>
        <w:separator/>
      </w:r>
    </w:p>
  </w:endnote>
  <w:endnote w:type="continuationSeparator" w:id="0">
    <w:p w14:paraId="7A2DD330" w14:textId="77777777" w:rsidR="00ED20B0" w:rsidRDefault="00ED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FBE3" w14:textId="77777777" w:rsidR="00AE6EDA" w:rsidRDefault="00AE6EDA" w:rsidP="008607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6700D5" w14:textId="77777777" w:rsidR="00AE6EDA" w:rsidRDefault="00AE6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2642" w14:textId="77777777" w:rsidR="00AE6EDA" w:rsidRDefault="00AE6EDA" w:rsidP="008607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57F">
      <w:rPr>
        <w:rStyle w:val="PageNumber"/>
        <w:noProof/>
      </w:rPr>
      <w:t>5</w:t>
    </w:r>
    <w:r>
      <w:rPr>
        <w:rStyle w:val="PageNumber"/>
      </w:rPr>
      <w:fldChar w:fldCharType="end"/>
    </w:r>
  </w:p>
  <w:p w14:paraId="39E0794F" w14:textId="77777777" w:rsidR="00AE6EDA" w:rsidRDefault="00AE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BE0D" w14:textId="77777777" w:rsidR="00ED20B0" w:rsidRDefault="00ED20B0">
      <w:r>
        <w:separator/>
      </w:r>
    </w:p>
  </w:footnote>
  <w:footnote w:type="continuationSeparator" w:id="0">
    <w:p w14:paraId="7384BC57" w14:textId="77777777" w:rsidR="00ED20B0" w:rsidRDefault="00ED2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64F9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E0517"/>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30D3CCE"/>
    <w:multiLevelType w:val="hybridMultilevel"/>
    <w:tmpl w:val="D6B0B2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A923F7E"/>
    <w:multiLevelType w:val="hybridMultilevel"/>
    <w:tmpl w:val="968C22C0"/>
    <w:lvl w:ilvl="0" w:tplc="334690C6">
      <w:start w:val="1"/>
      <w:numFmt w:val="upperLetter"/>
      <w:lvlText w:val="(%1."/>
      <w:lvlJc w:val="left"/>
      <w:pPr>
        <w:ind w:left="3960" w:hanging="360"/>
      </w:pPr>
      <w:rPr>
        <w:rFonts w:cs="Times New Roman" w:hint="default"/>
      </w:rPr>
    </w:lvl>
    <w:lvl w:ilvl="1" w:tplc="08090019" w:tentative="1">
      <w:start w:val="1"/>
      <w:numFmt w:val="lowerLetter"/>
      <w:lvlText w:val="%2."/>
      <w:lvlJc w:val="left"/>
      <w:pPr>
        <w:ind w:left="4680" w:hanging="360"/>
      </w:pPr>
      <w:rPr>
        <w:rFonts w:cs="Times New Roman"/>
      </w:rPr>
    </w:lvl>
    <w:lvl w:ilvl="2" w:tplc="0809001B" w:tentative="1">
      <w:start w:val="1"/>
      <w:numFmt w:val="lowerRoman"/>
      <w:lvlText w:val="%3."/>
      <w:lvlJc w:val="right"/>
      <w:pPr>
        <w:ind w:left="5400" w:hanging="180"/>
      </w:pPr>
      <w:rPr>
        <w:rFonts w:cs="Times New Roman"/>
      </w:rPr>
    </w:lvl>
    <w:lvl w:ilvl="3" w:tplc="0809000F" w:tentative="1">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abstractNum w:abstractNumId="4" w15:restartNumberingAfterBreak="0">
    <w:nsid w:val="11B2032F"/>
    <w:multiLevelType w:val="hybridMultilevel"/>
    <w:tmpl w:val="95601112"/>
    <w:lvl w:ilvl="0" w:tplc="75F47270">
      <w:start w:val="1"/>
      <w:numFmt w:val="upperLetter"/>
      <w:lvlText w:val="(%1."/>
      <w:lvlJc w:val="left"/>
      <w:pPr>
        <w:ind w:left="4365" w:hanging="360"/>
      </w:pPr>
      <w:rPr>
        <w:rFonts w:cs="Times New Roman" w:hint="default"/>
      </w:rPr>
    </w:lvl>
    <w:lvl w:ilvl="1" w:tplc="08090019" w:tentative="1">
      <w:start w:val="1"/>
      <w:numFmt w:val="lowerLetter"/>
      <w:lvlText w:val="%2."/>
      <w:lvlJc w:val="left"/>
      <w:pPr>
        <w:ind w:left="5085" w:hanging="360"/>
      </w:pPr>
      <w:rPr>
        <w:rFonts w:cs="Times New Roman"/>
      </w:rPr>
    </w:lvl>
    <w:lvl w:ilvl="2" w:tplc="0809001B" w:tentative="1">
      <w:start w:val="1"/>
      <w:numFmt w:val="lowerRoman"/>
      <w:lvlText w:val="%3."/>
      <w:lvlJc w:val="right"/>
      <w:pPr>
        <w:ind w:left="5805" w:hanging="180"/>
      </w:pPr>
      <w:rPr>
        <w:rFonts w:cs="Times New Roman"/>
      </w:rPr>
    </w:lvl>
    <w:lvl w:ilvl="3" w:tplc="0809000F" w:tentative="1">
      <w:start w:val="1"/>
      <w:numFmt w:val="decimal"/>
      <w:lvlText w:val="%4."/>
      <w:lvlJc w:val="left"/>
      <w:pPr>
        <w:ind w:left="6525" w:hanging="360"/>
      </w:pPr>
      <w:rPr>
        <w:rFonts w:cs="Times New Roman"/>
      </w:rPr>
    </w:lvl>
    <w:lvl w:ilvl="4" w:tplc="08090019" w:tentative="1">
      <w:start w:val="1"/>
      <w:numFmt w:val="lowerLetter"/>
      <w:lvlText w:val="%5."/>
      <w:lvlJc w:val="left"/>
      <w:pPr>
        <w:ind w:left="7245" w:hanging="360"/>
      </w:pPr>
      <w:rPr>
        <w:rFonts w:cs="Times New Roman"/>
      </w:rPr>
    </w:lvl>
    <w:lvl w:ilvl="5" w:tplc="0809001B" w:tentative="1">
      <w:start w:val="1"/>
      <w:numFmt w:val="lowerRoman"/>
      <w:lvlText w:val="%6."/>
      <w:lvlJc w:val="right"/>
      <w:pPr>
        <w:ind w:left="7965" w:hanging="180"/>
      </w:pPr>
      <w:rPr>
        <w:rFonts w:cs="Times New Roman"/>
      </w:rPr>
    </w:lvl>
    <w:lvl w:ilvl="6" w:tplc="0809000F" w:tentative="1">
      <w:start w:val="1"/>
      <w:numFmt w:val="decimal"/>
      <w:lvlText w:val="%7."/>
      <w:lvlJc w:val="left"/>
      <w:pPr>
        <w:ind w:left="8685" w:hanging="360"/>
      </w:pPr>
      <w:rPr>
        <w:rFonts w:cs="Times New Roman"/>
      </w:rPr>
    </w:lvl>
    <w:lvl w:ilvl="7" w:tplc="08090019" w:tentative="1">
      <w:start w:val="1"/>
      <w:numFmt w:val="lowerLetter"/>
      <w:lvlText w:val="%8."/>
      <w:lvlJc w:val="left"/>
      <w:pPr>
        <w:ind w:left="9405" w:hanging="360"/>
      </w:pPr>
      <w:rPr>
        <w:rFonts w:cs="Times New Roman"/>
      </w:rPr>
    </w:lvl>
    <w:lvl w:ilvl="8" w:tplc="0809001B" w:tentative="1">
      <w:start w:val="1"/>
      <w:numFmt w:val="lowerRoman"/>
      <w:lvlText w:val="%9."/>
      <w:lvlJc w:val="right"/>
      <w:pPr>
        <w:ind w:left="10125" w:hanging="180"/>
      </w:pPr>
      <w:rPr>
        <w:rFonts w:cs="Times New Roman"/>
      </w:rPr>
    </w:lvl>
  </w:abstractNum>
  <w:abstractNum w:abstractNumId="5" w15:restartNumberingAfterBreak="0">
    <w:nsid w:val="13F25889"/>
    <w:multiLevelType w:val="hybridMultilevel"/>
    <w:tmpl w:val="9598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67987"/>
    <w:multiLevelType w:val="hybridMultilevel"/>
    <w:tmpl w:val="716CDAD8"/>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D2C2E"/>
    <w:multiLevelType w:val="hybridMultilevel"/>
    <w:tmpl w:val="84C603BC"/>
    <w:lvl w:ilvl="0" w:tplc="FDF8DF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F8F5B3A"/>
    <w:multiLevelType w:val="hybridMultilevel"/>
    <w:tmpl w:val="B14090EC"/>
    <w:lvl w:ilvl="0" w:tplc="AF18BB2A">
      <w:start w:val="1"/>
      <w:numFmt w:val="upperLetter"/>
      <w:lvlText w:val="(%1."/>
      <w:lvlJc w:val="left"/>
      <w:pPr>
        <w:ind w:left="4005" w:hanging="360"/>
      </w:pPr>
      <w:rPr>
        <w:rFonts w:cs="Times New Roman" w:hint="default"/>
      </w:rPr>
    </w:lvl>
    <w:lvl w:ilvl="1" w:tplc="08090019" w:tentative="1">
      <w:start w:val="1"/>
      <w:numFmt w:val="lowerLetter"/>
      <w:lvlText w:val="%2."/>
      <w:lvlJc w:val="left"/>
      <w:pPr>
        <w:ind w:left="4725" w:hanging="360"/>
      </w:pPr>
      <w:rPr>
        <w:rFonts w:cs="Times New Roman"/>
      </w:rPr>
    </w:lvl>
    <w:lvl w:ilvl="2" w:tplc="0809001B" w:tentative="1">
      <w:start w:val="1"/>
      <w:numFmt w:val="lowerRoman"/>
      <w:lvlText w:val="%3."/>
      <w:lvlJc w:val="right"/>
      <w:pPr>
        <w:ind w:left="5445" w:hanging="180"/>
      </w:pPr>
      <w:rPr>
        <w:rFonts w:cs="Times New Roman"/>
      </w:rPr>
    </w:lvl>
    <w:lvl w:ilvl="3" w:tplc="0809000F" w:tentative="1">
      <w:start w:val="1"/>
      <w:numFmt w:val="decimal"/>
      <w:lvlText w:val="%4."/>
      <w:lvlJc w:val="left"/>
      <w:pPr>
        <w:ind w:left="6165" w:hanging="360"/>
      </w:pPr>
      <w:rPr>
        <w:rFonts w:cs="Times New Roman"/>
      </w:rPr>
    </w:lvl>
    <w:lvl w:ilvl="4" w:tplc="08090019" w:tentative="1">
      <w:start w:val="1"/>
      <w:numFmt w:val="lowerLetter"/>
      <w:lvlText w:val="%5."/>
      <w:lvlJc w:val="left"/>
      <w:pPr>
        <w:ind w:left="6885" w:hanging="360"/>
      </w:pPr>
      <w:rPr>
        <w:rFonts w:cs="Times New Roman"/>
      </w:rPr>
    </w:lvl>
    <w:lvl w:ilvl="5" w:tplc="0809001B" w:tentative="1">
      <w:start w:val="1"/>
      <w:numFmt w:val="lowerRoman"/>
      <w:lvlText w:val="%6."/>
      <w:lvlJc w:val="right"/>
      <w:pPr>
        <w:ind w:left="7605" w:hanging="180"/>
      </w:pPr>
      <w:rPr>
        <w:rFonts w:cs="Times New Roman"/>
      </w:rPr>
    </w:lvl>
    <w:lvl w:ilvl="6" w:tplc="0809000F" w:tentative="1">
      <w:start w:val="1"/>
      <w:numFmt w:val="decimal"/>
      <w:lvlText w:val="%7."/>
      <w:lvlJc w:val="left"/>
      <w:pPr>
        <w:ind w:left="8325" w:hanging="360"/>
      </w:pPr>
      <w:rPr>
        <w:rFonts w:cs="Times New Roman"/>
      </w:rPr>
    </w:lvl>
    <w:lvl w:ilvl="7" w:tplc="08090019" w:tentative="1">
      <w:start w:val="1"/>
      <w:numFmt w:val="lowerLetter"/>
      <w:lvlText w:val="%8."/>
      <w:lvlJc w:val="left"/>
      <w:pPr>
        <w:ind w:left="9045" w:hanging="360"/>
      </w:pPr>
      <w:rPr>
        <w:rFonts w:cs="Times New Roman"/>
      </w:rPr>
    </w:lvl>
    <w:lvl w:ilvl="8" w:tplc="0809001B" w:tentative="1">
      <w:start w:val="1"/>
      <w:numFmt w:val="lowerRoman"/>
      <w:lvlText w:val="%9."/>
      <w:lvlJc w:val="right"/>
      <w:pPr>
        <w:ind w:left="9765" w:hanging="180"/>
      </w:pPr>
      <w:rPr>
        <w:rFonts w:cs="Times New Roman"/>
      </w:rPr>
    </w:lvl>
  </w:abstractNum>
  <w:abstractNum w:abstractNumId="9" w15:restartNumberingAfterBreak="0">
    <w:nsid w:val="27C60A8A"/>
    <w:multiLevelType w:val="hybridMultilevel"/>
    <w:tmpl w:val="33360E7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B65090"/>
    <w:multiLevelType w:val="hybridMultilevel"/>
    <w:tmpl w:val="C0A6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14B1E"/>
    <w:multiLevelType w:val="hybridMultilevel"/>
    <w:tmpl w:val="1CC28E58"/>
    <w:lvl w:ilvl="0" w:tplc="B580A270">
      <w:start w:val="1"/>
      <w:numFmt w:val="upperLetter"/>
      <w:lvlText w:val="%1."/>
      <w:lvlJc w:val="left"/>
      <w:pPr>
        <w:ind w:left="4005" w:hanging="360"/>
      </w:pPr>
      <w:rPr>
        <w:rFonts w:cs="Times New Roman" w:hint="default"/>
      </w:rPr>
    </w:lvl>
    <w:lvl w:ilvl="1" w:tplc="08090019" w:tentative="1">
      <w:start w:val="1"/>
      <w:numFmt w:val="lowerLetter"/>
      <w:lvlText w:val="%2."/>
      <w:lvlJc w:val="left"/>
      <w:pPr>
        <w:ind w:left="4725" w:hanging="360"/>
      </w:pPr>
      <w:rPr>
        <w:rFonts w:cs="Times New Roman"/>
      </w:rPr>
    </w:lvl>
    <w:lvl w:ilvl="2" w:tplc="0809001B" w:tentative="1">
      <w:start w:val="1"/>
      <w:numFmt w:val="lowerRoman"/>
      <w:lvlText w:val="%3."/>
      <w:lvlJc w:val="right"/>
      <w:pPr>
        <w:ind w:left="5445" w:hanging="180"/>
      </w:pPr>
      <w:rPr>
        <w:rFonts w:cs="Times New Roman"/>
      </w:rPr>
    </w:lvl>
    <w:lvl w:ilvl="3" w:tplc="0809000F" w:tentative="1">
      <w:start w:val="1"/>
      <w:numFmt w:val="decimal"/>
      <w:lvlText w:val="%4."/>
      <w:lvlJc w:val="left"/>
      <w:pPr>
        <w:ind w:left="6165" w:hanging="360"/>
      </w:pPr>
      <w:rPr>
        <w:rFonts w:cs="Times New Roman"/>
      </w:rPr>
    </w:lvl>
    <w:lvl w:ilvl="4" w:tplc="08090019" w:tentative="1">
      <w:start w:val="1"/>
      <w:numFmt w:val="lowerLetter"/>
      <w:lvlText w:val="%5."/>
      <w:lvlJc w:val="left"/>
      <w:pPr>
        <w:ind w:left="6885" w:hanging="360"/>
      </w:pPr>
      <w:rPr>
        <w:rFonts w:cs="Times New Roman"/>
      </w:rPr>
    </w:lvl>
    <w:lvl w:ilvl="5" w:tplc="0809001B" w:tentative="1">
      <w:start w:val="1"/>
      <w:numFmt w:val="lowerRoman"/>
      <w:lvlText w:val="%6."/>
      <w:lvlJc w:val="right"/>
      <w:pPr>
        <w:ind w:left="7605" w:hanging="180"/>
      </w:pPr>
      <w:rPr>
        <w:rFonts w:cs="Times New Roman"/>
      </w:rPr>
    </w:lvl>
    <w:lvl w:ilvl="6" w:tplc="0809000F" w:tentative="1">
      <w:start w:val="1"/>
      <w:numFmt w:val="decimal"/>
      <w:lvlText w:val="%7."/>
      <w:lvlJc w:val="left"/>
      <w:pPr>
        <w:ind w:left="8325" w:hanging="360"/>
      </w:pPr>
      <w:rPr>
        <w:rFonts w:cs="Times New Roman"/>
      </w:rPr>
    </w:lvl>
    <w:lvl w:ilvl="7" w:tplc="08090019" w:tentative="1">
      <w:start w:val="1"/>
      <w:numFmt w:val="lowerLetter"/>
      <w:lvlText w:val="%8."/>
      <w:lvlJc w:val="left"/>
      <w:pPr>
        <w:ind w:left="9045" w:hanging="360"/>
      </w:pPr>
      <w:rPr>
        <w:rFonts w:cs="Times New Roman"/>
      </w:rPr>
    </w:lvl>
    <w:lvl w:ilvl="8" w:tplc="0809001B" w:tentative="1">
      <w:start w:val="1"/>
      <w:numFmt w:val="lowerRoman"/>
      <w:lvlText w:val="%9."/>
      <w:lvlJc w:val="right"/>
      <w:pPr>
        <w:ind w:left="9765" w:hanging="180"/>
      </w:pPr>
      <w:rPr>
        <w:rFonts w:cs="Times New Roman"/>
      </w:rPr>
    </w:lvl>
  </w:abstractNum>
  <w:abstractNum w:abstractNumId="12" w15:restartNumberingAfterBreak="0">
    <w:nsid w:val="33DB23E1"/>
    <w:multiLevelType w:val="hybridMultilevel"/>
    <w:tmpl w:val="21D09108"/>
    <w:lvl w:ilvl="0" w:tplc="7C9044CE">
      <w:start w:val="1"/>
      <w:numFmt w:val="decimal"/>
      <w:lvlText w:val="%1."/>
      <w:lvlJc w:val="left"/>
      <w:pPr>
        <w:ind w:left="72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476B5"/>
    <w:multiLevelType w:val="hybridMultilevel"/>
    <w:tmpl w:val="2CCAADFA"/>
    <w:lvl w:ilvl="0" w:tplc="AD56593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2827913"/>
    <w:multiLevelType w:val="hybridMultilevel"/>
    <w:tmpl w:val="2F1CAC44"/>
    <w:lvl w:ilvl="0" w:tplc="0809000F">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9E4A52"/>
    <w:multiLevelType w:val="hybridMultilevel"/>
    <w:tmpl w:val="47D40700"/>
    <w:lvl w:ilvl="0" w:tplc="0809000F">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92069E"/>
    <w:multiLevelType w:val="hybridMultilevel"/>
    <w:tmpl w:val="EDE8862E"/>
    <w:lvl w:ilvl="0" w:tplc="3C72755C">
      <w:start w:val="1"/>
      <w:numFmt w:val="upperLetter"/>
      <w:lvlText w:val="(%1."/>
      <w:lvlJc w:val="left"/>
      <w:pPr>
        <w:ind w:left="3960" w:hanging="360"/>
      </w:pPr>
      <w:rPr>
        <w:rFonts w:cs="Times New Roman" w:hint="default"/>
      </w:rPr>
    </w:lvl>
    <w:lvl w:ilvl="1" w:tplc="08090019" w:tentative="1">
      <w:start w:val="1"/>
      <w:numFmt w:val="lowerLetter"/>
      <w:lvlText w:val="%2."/>
      <w:lvlJc w:val="left"/>
      <w:pPr>
        <w:ind w:left="4680" w:hanging="360"/>
      </w:pPr>
      <w:rPr>
        <w:rFonts w:cs="Times New Roman"/>
      </w:rPr>
    </w:lvl>
    <w:lvl w:ilvl="2" w:tplc="0809001B" w:tentative="1">
      <w:start w:val="1"/>
      <w:numFmt w:val="lowerRoman"/>
      <w:lvlText w:val="%3."/>
      <w:lvlJc w:val="right"/>
      <w:pPr>
        <w:ind w:left="5400" w:hanging="180"/>
      </w:pPr>
      <w:rPr>
        <w:rFonts w:cs="Times New Roman"/>
      </w:rPr>
    </w:lvl>
    <w:lvl w:ilvl="3" w:tplc="0809000F" w:tentative="1">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abstractNum w:abstractNumId="17" w15:restartNumberingAfterBreak="0">
    <w:nsid w:val="5DA96226"/>
    <w:multiLevelType w:val="hybridMultilevel"/>
    <w:tmpl w:val="6E6209AA"/>
    <w:lvl w:ilvl="0" w:tplc="91B8BB7E">
      <w:start w:val="1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0411D9"/>
    <w:multiLevelType w:val="hybridMultilevel"/>
    <w:tmpl w:val="5024FDB0"/>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D0381C"/>
    <w:multiLevelType w:val="hybridMultilevel"/>
    <w:tmpl w:val="6704859A"/>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7554C76"/>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941840987">
    <w:abstractNumId w:val="9"/>
  </w:num>
  <w:num w:numId="2" w16cid:durableId="666517312">
    <w:abstractNumId w:val="19"/>
  </w:num>
  <w:num w:numId="3" w16cid:durableId="1154300705">
    <w:abstractNumId w:val="17"/>
  </w:num>
  <w:num w:numId="4" w16cid:durableId="858931725">
    <w:abstractNumId w:val="16"/>
  </w:num>
  <w:num w:numId="5" w16cid:durableId="797529978">
    <w:abstractNumId w:val="3"/>
  </w:num>
  <w:num w:numId="6" w16cid:durableId="579028003">
    <w:abstractNumId w:val="11"/>
  </w:num>
  <w:num w:numId="7" w16cid:durableId="975646308">
    <w:abstractNumId w:val="8"/>
  </w:num>
  <w:num w:numId="8" w16cid:durableId="1636451117">
    <w:abstractNumId w:val="4"/>
  </w:num>
  <w:num w:numId="9" w16cid:durableId="1459950825">
    <w:abstractNumId w:val="0"/>
  </w:num>
  <w:num w:numId="10" w16cid:durableId="1912351855">
    <w:abstractNumId w:val="20"/>
  </w:num>
  <w:num w:numId="11" w16cid:durableId="1786345210">
    <w:abstractNumId w:val="1"/>
  </w:num>
  <w:num w:numId="12" w16cid:durableId="411314269">
    <w:abstractNumId w:val="10"/>
  </w:num>
  <w:num w:numId="13" w16cid:durableId="818495877">
    <w:abstractNumId w:val="5"/>
  </w:num>
  <w:num w:numId="14" w16cid:durableId="1672877390">
    <w:abstractNumId w:val="12"/>
  </w:num>
  <w:num w:numId="15" w16cid:durableId="396321126">
    <w:abstractNumId w:val="7"/>
  </w:num>
  <w:num w:numId="16" w16cid:durableId="1697926039">
    <w:abstractNumId w:val="2"/>
  </w:num>
  <w:num w:numId="17" w16cid:durableId="1656109963">
    <w:abstractNumId w:val="13"/>
  </w:num>
  <w:num w:numId="18" w16cid:durableId="824707176">
    <w:abstractNumId w:val="15"/>
  </w:num>
  <w:num w:numId="19" w16cid:durableId="1615943533">
    <w:abstractNumId w:val="6"/>
  </w:num>
  <w:num w:numId="20" w16cid:durableId="953096457">
    <w:abstractNumId w:val="18"/>
  </w:num>
  <w:num w:numId="21" w16cid:durableId="1921980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C6"/>
    <w:rsid w:val="00013F1A"/>
    <w:rsid w:val="000153C8"/>
    <w:rsid w:val="00015F1A"/>
    <w:rsid w:val="00022E9F"/>
    <w:rsid w:val="00023D21"/>
    <w:rsid w:val="00024363"/>
    <w:rsid w:val="00032110"/>
    <w:rsid w:val="00036184"/>
    <w:rsid w:val="0003733C"/>
    <w:rsid w:val="00041FDF"/>
    <w:rsid w:val="0004614E"/>
    <w:rsid w:val="00046A39"/>
    <w:rsid w:val="0004794E"/>
    <w:rsid w:val="00062012"/>
    <w:rsid w:val="000620D1"/>
    <w:rsid w:val="000621C9"/>
    <w:rsid w:val="0007172F"/>
    <w:rsid w:val="00071C60"/>
    <w:rsid w:val="000746D3"/>
    <w:rsid w:val="000751DE"/>
    <w:rsid w:val="0007619B"/>
    <w:rsid w:val="0008063B"/>
    <w:rsid w:val="00081B34"/>
    <w:rsid w:val="000865C1"/>
    <w:rsid w:val="00091FCB"/>
    <w:rsid w:val="000920D8"/>
    <w:rsid w:val="000921F8"/>
    <w:rsid w:val="000951DB"/>
    <w:rsid w:val="00095CF2"/>
    <w:rsid w:val="000965DD"/>
    <w:rsid w:val="000A0759"/>
    <w:rsid w:val="000A0F2F"/>
    <w:rsid w:val="000A3E8D"/>
    <w:rsid w:val="000A5222"/>
    <w:rsid w:val="000A67D6"/>
    <w:rsid w:val="000B1830"/>
    <w:rsid w:val="000B532C"/>
    <w:rsid w:val="000B730C"/>
    <w:rsid w:val="000B7BA9"/>
    <w:rsid w:val="000C2375"/>
    <w:rsid w:val="000C3A13"/>
    <w:rsid w:val="000C5331"/>
    <w:rsid w:val="000C79D8"/>
    <w:rsid w:val="000D50EA"/>
    <w:rsid w:val="000D6116"/>
    <w:rsid w:val="000D7A79"/>
    <w:rsid w:val="000E21BB"/>
    <w:rsid w:val="000E3A02"/>
    <w:rsid w:val="000E3DF7"/>
    <w:rsid w:val="000F2215"/>
    <w:rsid w:val="000F4485"/>
    <w:rsid w:val="000F690C"/>
    <w:rsid w:val="000F6FDB"/>
    <w:rsid w:val="00100B34"/>
    <w:rsid w:val="00100D4C"/>
    <w:rsid w:val="00100FAE"/>
    <w:rsid w:val="001078BF"/>
    <w:rsid w:val="001120A3"/>
    <w:rsid w:val="00112613"/>
    <w:rsid w:val="00114ECD"/>
    <w:rsid w:val="00116AF1"/>
    <w:rsid w:val="00117390"/>
    <w:rsid w:val="00120357"/>
    <w:rsid w:val="00120CCA"/>
    <w:rsid w:val="001345CF"/>
    <w:rsid w:val="001349DA"/>
    <w:rsid w:val="00136858"/>
    <w:rsid w:val="00144F30"/>
    <w:rsid w:val="001501F6"/>
    <w:rsid w:val="00150C0C"/>
    <w:rsid w:val="001539AE"/>
    <w:rsid w:val="00153F2E"/>
    <w:rsid w:val="0016394E"/>
    <w:rsid w:val="00163F10"/>
    <w:rsid w:val="00164B91"/>
    <w:rsid w:val="001675FE"/>
    <w:rsid w:val="00167753"/>
    <w:rsid w:val="00170E68"/>
    <w:rsid w:val="001717E1"/>
    <w:rsid w:val="00172AAA"/>
    <w:rsid w:val="00173D18"/>
    <w:rsid w:val="00177108"/>
    <w:rsid w:val="00177F1C"/>
    <w:rsid w:val="0018132A"/>
    <w:rsid w:val="00182AE2"/>
    <w:rsid w:val="001839B0"/>
    <w:rsid w:val="00186D92"/>
    <w:rsid w:val="001906CB"/>
    <w:rsid w:val="00191529"/>
    <w:rsid w:val="001949A2"/>
    <w:rsid w:val="00194B7A"/>
    <w:rsid w:val="0019647B"/>
    <w:rsid w:val="001A014A"/>
    <w:rsid w:val="001A28FC"/>
    <w:rsid w:val="001A2CCA"/>
    <w:rsid w:val="001A4742"/>
    <w:rsid w:val="001B048B"/>
    <w:rsid w:val="001B0D82"/>
    <w:rsid w:val="001B18D7"/>
    <w:rsid w:val="001B4B6E"/>
    <w:rsid w:val="001B5FEC"/>
    <w:rsid w:val="001B633A"/>
    <w:rsid w:val="001C3033"/>
    <w:rsid w:val="001D06E8"/>
    <w:rsid w:val="001D103C"/>
    <w:rsid w:val="001D39C7"/>
    <w:rsid w:val="001D59A6"/>
    <w:rsid w:val="001D785F"/>
    <w:rsid w:val="001E0679"/>
    <w:rsid w:val="001F1347"/>
    <w:rsid w:val="001F2C03"/>
    <w:rsid w:val="001F3878"/>
    <w:rsid w:val="001F6112"/>
    <w:rsid w:val="001F7D3A"/>
    <w:rsid w:val="001F7F85"/>
    <w:rsid w:val="002012E1"/>
    <w:rsid w:val="0020375E"/>
    <w:rsid w:val="00204CB9"/>
    <w:rsid w:val="00205330"/>
    <w:rsid w:val="00211D4F"/>
    <w:rsid w:val="0021591E"/>
    <w:rsid w:val="00216D98"/>
    <w:rsid w:val="00222EEA"/>
    <w:rsid w:val="00226889"/>
    <w:rsid w:val="00226C62"/>
    <w:rsid w:val="00230D26"/>
    <w:rsid w:val="00236BCB"/>
    <w:rsid w:val="00240233"/>
    <w:rsid w:val="002403D4"/>
    <w:rsid w:val="00241CE6"/>
    <w:rsid w:val="00243008"/>
    <w:rsid w:val="002431E2"/>
    <w:rsid w:val="0024774A"/>
    <w:rsid w:val="00247C5F"/>
    <w:rsid w:val="002517D6"/>
    <w:rsid w:val="00251FAC"/>
    <w:rsid w:val="00252986"/>
    <w:rsid w:val="00257BF6"/>
    <w:rsid w:val="002609F3"/>
    <w:rsid w:val="0026184D"/>
    <w:rsid w:val="00264BED"/>
    <w:rsid w:val="00264F51"/>
    <w:rsid w:val="002661FF"/>
    <w:rsid w:val="00266804"/>
    <w:rsid w:val="002708BB"/>
    <w:rsid w:val="00271306"/>
    <w:rsid w:val="0027512C"/>
    <w:rsid w:val="00276810"/>
    <w:rsid w:val="00282607"/>
    <w:rsid w:val="002832B8"/>
    <w:rsid w:val="00283493"/>
    <w:rsid w:val="0029150B"/>
    <w:rsid w:val="00292379"/>
    <w:rsid w:val="0029418A"/>
    <w:rsid w:val="00294C07"/>
    <w:rsid w:val="00295724"/>
    <w:rsid w:val="00296568"/>
    <w:rsid w:val="002965FC"/>
    <w:rsid w:val="002A0F67"/>
    <w:rsid w:val="002A200A"/>
    <w:rsid w:val="002A5D59"/>
    <w:rsid w:val="002B4FC4"/>
    <w:rsid w:val="002B6145"/>
    <w:rsid w:val="002C108C"/>
    <w:rsid w:val="002C2866"/>
    <w:rsid w:val="002C53B1"/>
    <w:rsid w:val="002C54D2"/>
    <w:rsid w:val="002C6AAE"/>
    <w:rsid w:val="002C7371"/>
    <w:rsid w:val="002D70A8"/>
    <w:rsid w:val="002E38AD"/>
    <w:rsid w:val="002F0C0C"/>
    <w:rsid w:val="002F33A7"/>
    <w:rsid w:val="002F5B22"/>
    <w:rsid w:val="002F6337"/>
    <w:rsid w:val="002F6A5B"/>
    <w:rsid w:val="002F6B3C"/>
    <w:rsid w:val="002F7515"/>
    <w:rsid w:val="003009D3"/>
    <w:rsid w:val="00300BCB"/>
    <w:rsid w:val="00301E1C"/>
    <w:rsid w:val="003032DE"/>
    <w:rsid w:val="003041DB"/>
    <w:rsid w:val="00305686"/>
    <w:rsid w:val="003061B7"/>
    <w:rsid w:val="00307BDB"/>
    <w:rsid w:val="00307F00"/>
    <w:rsid w:val="003112D0"/>
    <w:rsid w:val="003140D9"/>
    <w:rsid w:val="00315E59"/>
    <w:rsid w:val="00321064"/>
    <w:rsid w:val="00323473"/>
    <w:rsid w:val="00326939"/>
    <w:rsid w:val="0033426F"/>
    <w:rsid w:val="0033428B"/>
    <w:rsid w:val="00334593"/>
    <w:rsid w:val="0033616E"/>
    <w:rsid w:val="00336A90"/>
    <w:rsid w:val="00340F59"/>
    <w:rsid w:val="00341D05"/>
    <w:rsid w:val="003510C8"/>
    <w:rsid w:val="00352891"/>
    <w:rsid w:val="00363870"/>
    <w:rsid w:val="00365820"/>
    <w:rsid w:val="00365886"/>
    <w:rsid w:val="003672DF"/>
    <w:rsid w:val="003716ED"/>
    <w:rsid w:val="00372704"/>
    <w:rsid w:val="00373043"/>
    <w:rsid w:val="00376D02"/>
    <w:rsid w:val="0037732D"/>
    <w:rsid w:val="0038134F"/>
    <w:rsid w:val="003831D3"/>
    <w:rsid w:val="00385263"/>
    <w:rsid w:val="0038749A"/>
    <w:rsid w:val="00390713"/>
    <w:rsid w:val="003A3C85"/>
    <w:rsid w:val="003A7463"/>
    <w:rsid w:val="003B514D"/>
    <w:rsid w:val="003B5E19"/>
    <w:rsid w:val="003B7416"/>
    <w:rsid w:val="003B7566"/>
    <w:rsid w:val="003C5A26"/>
    <w:rsid w:val="003D143F"/>
    <w:rsid w:val="003D4375"/>
    <w:rsid w:val="003D65F8"/>
    <w:rsid w:val="003D6677"/>
    <w:rsid w:val="003E1193"/>
    <w:rsid w:val="003E2FED"/>
    <w:rsid w:val="003E40F3"/>
    <w:rsid w:val="003E5055"/>
    <w:rsid w:val="003E6787"/>
    <w:rsid w:val="003F2EBE"/>
    <w:rsid w:val="003F67E7"/>
    <w:rsid w:val="00400847"/>
    <w:rsid w:val="0040259A"/>
    <w:rsid w:val="00406B66"/>
    <w:rsid w:val="00417BD8"/>
    <w:rsid w:val="00422DA5"/>
    <w:rsid w:val="00423C50"/>
    <w:rsid w:val="00433F32"/>
    <w:rsid w:val="00436F7C"/>
    <w:rsid w:val="00437569"/>
    <w:rsid w:val="0044025D"/>
    <w:rsid w:val="00440D24"/>
    <w:rsid w:val="00442A67"/>
    <w:rsid w:val="00443A73"/>
    <w:rsid w:val="00443D64"/>
    <w:rsid w:val="00454A0A"/>
    <w:rsid w:val="00457721"/>
    <w:rsid w:val="004607CA"/>
    <w:rsid w:val="004611F2"/>
    <w:rsid w:val="00466915"/>
    <w:rsid w:val="00467054"/>
    <w:rsid w:val="00467618"/>
    <w:rsid w:val="00470CB9"/>
    <w:rsid w:val="004730A6"/>
    <w:rsid w:val="00476865"/>
    <w:rsid w:val="00480C16"/>
    <w:rsid w:val="00481910"/>
    <w:rsid w:val="004832FF"/>
    <w:rsid w:val="00484CC0"/>
    <w:rsid w:val="00486503"/>
    <w:rsid w:val="00487940"/>
    <w:rsid w:val="00487D35"/>
    <w:rsid w:val="0049058F"/>
    <w:rsid w:val="00490FF8"/>
    <w:rsid w:val="004923DF"/>
    <w:rsid w:val="00496D1D"/>
    <w:rsid w:val="004A04BA"/>
    <w:rsid w:val="004A524B"/>
    <w:rsid w:val="004A52ED"/>
    <w:rsid w:val="004A54DF"/>
    <w:rsid w:val="004A7FDD"/>
    <w:rsid w:val="004B035D"/>
    <w:rsid w:val="004B08F4"/>
    <w:rsid w:val="004B2B07"/>
    <w:rsid w:val="004B2D64"/>
    <w:rsid w:val="004B63E1"/>
    <w:rsid w:val="004C00C0"/>
    <w:rsid w:val="004C2284"/>
    <w:rsid w:val="004C32FD"/>
    <w:rsid w:val="004C5247"/>
    <w:rsid w:val="004C5BAF"/>
    <w:rsid w:val="004C5E1B"/>
    <w:rsid w:val="004D1799"/>
    <w:rsid w:val="004D2832"/>
    <w:rsid w:val="004D2F7E"/>
    <w:rsid w:val="004D6444"/>
    <w:rsid w:val="004D7AF0"/>
    <w:rsid w:val="004D7B3C"/>
    <w:rsid w:val="004E2887"/>
    <w:rsid w:val="004E28C2"/>
    <w:rsid w:val="004E562F"/>
    <w:rsid w:val="004E6A41"/>
    <w:rsid w:val="004E75CB"/>
    <w:rsid w:val="004F080F"/>
    <w:rsid w:val="004F0993"/>
    <w:rsid w:val="004F3DC6"/>
    <w:rsid w:val="004F400E"/>
    <w:rsid w:val="004F647E"/>
    <w:rsid w:val="004F6E9F"/>
    <w:rsid w:val="004F7DA2"/>
    <w:rsid w:val="005002DF"/>
    <w:rsid w:val="005050F8"/>
    <w:rsid w:val="00510153"/>
    <w:rsid w:val="005115AB"/>
    <w:rsid w:val="00514248"/>
    <w:rsid w:val="00515F7B"/>
    <w:rsid w:val="005200B5"/>
    <w:rsid w:val="0052020E"/>
    <w:rsid w:val="0052160C"/>
    <w:rsid w:val="00524FE7"/>
    <w:rsid w:val="00527D39"/>
    <w:rsid w:val="00527EEC"/>
    <w:rsid w:val="0053008A"/>
    <w:rsid w:val="005307F4"/>
    <w:rsid w:val="00531FC2"/>
    <w:rsid w:val="00533A0D"/>
    <w:rsid w:val="00534D22"/>
    <w:rsid w:val="005365EE"/>
    <w:rsid w:val="00540FFC"/>
    <w:rsid w:val="00541E56"/>
    <w:rsid w:val="00543608"/>
    <w:rsid w:val="0055383E"/>
    <w:rsid w:val="00557100"/>
    <w:rsid w:val="00560D92"/>
    <w:rsid w:val="00561A80"/>
    <w:rsid w:val="00562D7D"/>
    <w:rsid w:val="00570DC4"/>
    <w:rsid w:val="00571FFA"/>
    <w:rsid w:val="00574B9B"/>
    <w:rsid w:val="005774C7"/>
    <w:rsid w:val="00580B46"/>
    <w:rsid w:val="005854D9"/>
    <w:rsid w:val="005865C6"/>
    <w:rsid w:val="005910E9"/>
    <w:rsid w:val="005967BC"/>
    <w:rsid w:val="00597EC0"/>
    <w:rsid w:val="005A138F"/>
    <w:rsid w:val="005A147D"/>
    <w:rsid w:val="005A1DE7"/>
    <w:rsid w:val="005A2169"/>
    <w:rsid w:val="005A2660"/>
    <w:rsid w:val="005A2799"/>
    <w:rsid w:val="005B12FA"/>
    <w:rsid w:val="005B32D6"/>
    <w:rsid w:val="005B67A0"/>
    <w:rsid w:val="005B77B2"/>
    <w:rsid w:val="005B7FDD"/>
    <w:rsid w:val="005C022E"/>
    <w:rsid w:val="005C18A0"/>
    <w:rsid w:val="005C200D"/>
    <w:rsid w:val="005C2F96"/>
    <w:rsid w:val="005C7913"/>
    <w:rsid w:val="005D0BCF"/>
    <w:rsid w:val="005D36A1"/>
    <w:rsid w:val="005D5356"/>
    <w:rsid w:val="005D6792"/>
    <w:rsid w:val="005D74F0"/>
    <w:rsid w:val="005D7AC9"/>
    <w:rsid w:val="005E06DB"/>
    <w:rsid w:val="005E0CE8"/>
    <w:rsid w:val="005E2FB9"/>
    <w:rsid w:val="005E36A7"/>
    <w:rsid w:val="005E49B8"/>
    <w:rsid w:val="005F227A"/>
    <w:rsid w:val="005F4482"/>
    <w:rsid w:val="005F4A19"/>
    <w:rsid w:val="005F6757"/>
    <w:rsid w:val="005F772D"/>
    <w:rsid w:val="0060332A"/>
    <w:rsid w:val="0060411B"/>
    <w:rsid w:val="00605461"/>
    <w:rsid w:val="00606D8E"/>
    <w:rsid w:val="00606FCF"/>
    <w:rsid w:val="0062113C"/>
    <w:rsid w:val="00621238"/>
    <w:rsid w:val="00631ED3"/>
    <w:rsid w:val="00633372"/>
    <w:rsid w:val="00633F14"/>
    <w:rsid w:val="00634CB3"/>
    <w:rsid w:val="006359EF"/>
    <w:rsid w:val="00635B3A"/>
    <w:rsid w:val="00635C16"/>
    <w:rsid w:val="00643596"/>
    <w:rsid w:val="00644585"/>
    <w:rsid w:val="006464DA"/>
    <w:rsid w:val="00650DFA"/>
    <w:rsid w:val="00651705"/>
    <w:rsid w:val="00653638"/>
    <w:rsid w:val="00656E3E"/>
    <w:rsid w:val="00660DC6"/>
    <w:rsid w:val="006624BD"/>
    <w:rsid w:val="00663A24"/>
    <w:rsid w:val="006773EB"/>
    <w:rsid w:val="00677C43"/>
    <w:rsid w:val="006805F9"/>
    <w:rsid w:val="00681E5F"/>
    <w:rsid w:val="006825DF"/>
    <w:rsid w:val="00682E3A"/>
    <w:rsid w:val="006845FC"/>
    <w:rsid w:val="00685BBC"/>
    <w:rsid w:val="00690EED"/>
    <w:rsid w:val="00692781"/>
    <w:rsid w:val="00693821"/>
    <w:rsid w:val="006965C3"/>
    <w:rsid w:val="006A3388"/>
    <w:rsid w:val="006A38EB"/>
    <w:rsid w:val="006A42DC"/>
    <w:rsid w:val="006B2C54"/>
    <w:rsid w:val="006B388D"/>
    <w:rsid w:val="006B5067"/>
    <w:rsid w:val="006B533D"/>
    <w:rsid w:val="006B56ED"/>
    <w:rsid w:val="006C0A4E"/>
    <w:rsid w:val="006C13C4"/>
    <w:rsid w:val="006C46F0"/>
    <w:rsid w:val="006C550B"/>
    <w:rsid w:val="006C577E"/>
    <w:rsid w:val="006C7640"/>
    <w:rsid w:val="006D0B82"/>
    <w:rsid w:val="006D0D9A"/>
    <w:rsid w:val="006D1514"/>
    <w:rsid w:val="006E34D1"/>
    <w:rsid w:val="006E4848"/>
    <w:rsid w:val="006E6E2A"/>
    <w:rsid w:val="006E72C9"/>
    <w:rsid w:val="006E7921"/>
    <w:rsid w:val="006F0D3F"/>
    <w:rsid w:val="006F42B8"/>
    <w:rsid w:val="006F52A7"/>
    <w:rsid w:val="00703249"/>
    <w:rsid w:val="00705493"/>
    <w:rsid w:val="00705544"/>
    <w:rsid w:val="007058C1"/>
    <w:rsid w:val="00706175"/>
    <w:rsid w:val="0070747D"/>
    <w:rsid w:val="007113E6"/>
    <w:rsid w:val="00714DC1"/>
    <w:rsid w:val="00717275"/>
    <w:rsid w:val="007175BB"/>
    <w:rsid w:val="00720C88"/>
    <w:rsid w:val="0072132A"/>
    <w:rsid w:val="007213F8"/>
    <w:rsid w:val="00722C8B"/>
    <w:rsid w:val="00726236"/>
    <w:rsid w:val="00727E92"/>
    <w:rsid w:val="00730B5D"/>
    <w:rsid w:val="00731AC2"/>
    <w:rsid w:val="00731F80"/>
    <w:rsid w:val="00733247"/>
    <w:rsid w:val="0073543D"/>
    <w:rsid w:val="00736F01"/>
    <w:rsid w:val="007402F7"/>
    <w:rsid w:val="00741540"/>
    <w:rsid w:val="007424FB"/>
    <w:rsid w:val="00745E2F"/>
    <w:rsid w:val="00750AEC"/>
    <w:rsid w:val="00750BA4"/>
    <w:rsid w:val="007512B2"/>
    <w:rsid w:val="007537DF"/>
    <w:rsid w:val="00755C5B"/>
    <w:rsid w:val="00760AFC"/>
    <w:rsid w:val="007618FE"/>
    <w:rsid w:val="00761F7B"/>
    <w:rsid w:val="00765703"/>
    <w:rsid w:val="007662BF"/>
    <w:rsid w:val="0076637E"/>
    <w:rsid w:val="00766DB1"/>
    <w:rsid w:val="00767E9E"/>
    <w:rsid w:val="0079282E"/>
    <w:rsid w:val="00792928"/>
    <w:rsid w:val="00795AEF"/>
    <w:rsid w:val="007971E4"/>
    <w:rsid w:val="007A1555"/>
    <w:rsid w:val="007A3694"/>
    <w:rsid w:val="007A4E01"/>
    <w:rsid w:val="007B2B27"/>
    <w:rsid w:val="007B3658"/>
    <w:rsid w:val="007B5F97"/>
    <w:rsid w:val="007B6DA3"/>
    <w:rsid w:val="007B72D4"/>
    <w:rsid w:val="007C07B1"/>
    <w:rsid w:val="007C5152"/>
    <w:rsid w:val="007D034E"/>
    <w:rsid w:val="007D1C78"/>
    <w:rsid w:val="007D2926"/>
    <w:rsid w:val="007D32D8"/>
    <w:rsid w:val="007D592F"/>
    <w:rsid w:val="007D6C5C"/>
    <w:rsid w:val="007E15AA"/>
    <w:rsid w:val="007E29B3"/>
    <w:rsid w:val="007F4372"/>
    <w:rsid w:val="007F62DE"/>
    <w:rsid w:val="007F7598"/>
    <w:rsid w:val="0080070A"/>
    <w:rsid w:val="00800A4A"/>
    <w:rsid w:val="00800A7D"/>
    <w:rsid w:val="0080147D"/>
    <w:rsid w:val="00801833"/>
    <w:rsid w:val="008026A2"/>
    <w:rsid w:val="00802A61"/>
    <w:rsid w:val="00802F57"/>
    <w:rsid w:val="00805256"/>
    <w:rsid w:val="008057B7"/>
    <w:rsid w:val="00805839"/>
    <w:rsid w:val="00810788"/>
    <w:rsid w:val="0081131A"/>
    <w:rsid w:val="00812B2B"/>
    <w:rsid w:val="008142D1"/>
    <w:rsid w:val="00815588"/>
    <w:rsid w:val="00817643"/>
    <w:rsid w:val="00820598"/>
    <w:rsid w:val="0082224C"/>
    <w:rsid w:val="008240EA"/>
    <w:rsid w:val="0082702C"/>
    <w:rsid w:val="00827926"/>
    <w:rsid w:val="00830F8C"/>
    <w:rsid w:val="00834A68"/>
    <w:rsid w:val="00834DAE"/>
    <w:rsid w:val="00835650"/>
    <w:rsid w:val="00837733"/>
    <w:rsid w:val="00837B7C"/>
    <w:rsid w:val="00837DF7"/>
    <w:rsid w:val="00841F06"/>
    <w:rsid w:val="00843D8D"/>
    <w:rsid w:val="008459E6"/>
    <w:rsid w:val="00851164"/>
    <w:rsid w:val="00857043"/>
    <w:rsid w:val="00857B41"/>
    <w:rsid w:val="00860740"/>
    <w:rsid w:val="00860F9A"/>
    <w:rsid w:val="00867C3C"/>
    <w:rsid w:val="00871D77"/>
    <w:rsid w:val="00874DBA"/>
    <w:rsid w:val="008752D1"/>
    <w:rsid w:val="00875C3B"/>
    <w:rsid w:val="00880710"/>
    <w:rsid w:val="0088298E"/>
    <w:rsid w:val="008833DD"/>
    <w:rsid w:val="00883806"/>
    <w:rsid w:val="008842E9"/>
    <w:rsid w:val="0089253E"/>
    <w:rsid w:val="008945C7"/>
    <w:rsid w:val="00894B0F"/>
    <w:rsid w:val="008A125E"/>
    <w:rsid w:val="008A335C"/>
    <w:rsid w:val="008A64A8"/>
    <w:rsid w:val="008A6D99"/>
    <w:rsid w:val="008B1BDB"/>
    <w:rsid w:val="008B23A5"/>
    <w:rsid w:val="008B7031"/>
    <w:rsid w:val="008B7244"/>
    <w:rsid w:val="008C0ACF"/>
    <w:rsid w:val="008C12CF"/>
    <w:rsid w:val="008C239A"/>
    <w:rsid w:val="008E39F5"/>
    <w:rsid w:val="008E67AA"/>
    <w:rsid w:val="008F2F31"/>
    <w:rsid w:val="008F33DF"/>
    <w:rsid w:val="008F3AB3"/>
    <w:rsid w:val="008F57B9"/>
    <w:rsid w:val="00904191"/>
    <w:rsid w:val="00905307"/>
    <w:rsid w:val="00906532"/>
    <w:rsid w:val="00907D58"/>
    <w:rsid w:val="00913B0C"/>
    <w:rsid w:val="009147DE"/>
    <w:rsid w:val="00916A6F"/>
    <w:rsid w:val="009176D3"/>
    <w:rsid w:val="00922EFA"/>
    <w:rsid w:val="00924277"/>
    <w:rsid w:val="0093365B"/>
    <w:rsid w:val="009365DC"/>
    <w:rsid w:val="00940D74"/>
    <w:rsid w:val="009425B7"/>
    <w:rsid w:val="00944B13"/>
    <w:rsid w:val="00944E48"/>
    <w:rsid w:val="00945516"/>
    <w:rsid w:val="00945C7C"/>
    <w:rsid w:val="00947B9B"/>
    <w:rsid w:val="00954C93"/>
    <w:rsid w:val="00957E98"/>
    <w:rsid w:val="00961DC3"/>
    <w:rsid w:val="009633A2"/>
    <w:rsid w:val="00966748"/>
    <w:rsid w:val="00966F53"/>
    <w:rsid w:val="00971797"/>
    <w:rsid w:val="0097258F"/>
    <w:rsid w:val="009743A0"/>
    <w:rsid w:val="0098055E"/>
    <w:rsid w:val="00982667"/>
    <w:rsid w:val="00992C17"/>
    <w:rsid w:val="00996D2E"/>
    <w:rsid w:val="009A2ACE"/>
    <w:rsid w:val="009B0008"/>
    <w:rsid w:val="009B07F4"/>
    <w:rsid w:val="009B095D"/>
    <w:rsid w:val="009B12E2"/>
    <w:rsid w:val="009B54A5"/>
    <w:rsid w:val="009B68C2"/>
    <w:rsid w:val="009B79FB"/>
    <w:rsid w:val="009B7A54"/>
    <w:rsid w:val="009C1947"/>
    <w:rsid w:val="009C2A9A"/>
    <w:rsid w:val="009C3C60"/>
    <w:rsid w:val="009C570A"/>
    <w:rsid w:val="009C66B0"/>
    <w:rsid w:val="009D1ADD"/>
    <w:rsid w:val="009D1E54"/>
    <w:rsid w:val="009D534B"/>
    <w:rsid w:val="009D55EE"/>
    <w:rsid w:val="009E0A6E"/>
    <w:rsid w:val="009E1AF3"/>
    <w:rsid w:val="009E1B38"/>
    <w:rsid w:val="009E2275"/>
    <w:rsid w:val="009E2D59"/>
    <w:rsid w:val="009E4E95"/>
    <w:rsid w:val="009E5035"/>
    <w:rsid w:val="009E6887"/>
    <w:rsid w:val="009E6A1E"/>
    <w:rsid w:val="009E6CC6"/>
    <w:rsid w:val="009F05A7"/>
    <w:rsid w:val="009F2424"/>
    <w:rsid w:val="009F4B76"/>
    <w:rsid w:val="00A0080E"/>
    <w:rsid w:val="00A02767"/>
    <w:rsid w:val="00A0283D"/>
    <w:rsid w:val="00A03CFC"/>
    <w:rsid w:val="00A040C1"/>
    <w:rsid w:val="00A04B4F"/>
    <w:rsid w:val="00A11CF4"/>
    <w:rsid w:val="00A2534B"/>
    <w:rsid w:val="00A2574C"/>
    <w:rsid w:val="00A31E4F"/>
    <w:rsid w:val="00A348E7"/>
    <w:rsid w:val="00A36269"/>
    <w:rsid w:val="00A40D04"/>
    <w:rsid w:val="00A424B8"/>
    <w:rsid w:val="00A4297B"/>
    <w:rsid w:val="00A506F2"/>
    <w:rsid w:val="00A51FF1"/>
    <w:rsid w:val="00A5361D"/>
    <w:rsid w:val="00A6110A"/>
    <w:rsid w:val="00A61EC4"/>
    <w:rsid w:val="00A67270"/>
    <w:rsid w:val="00A71631"/>
    <w:rsid w:val="00A749A9"/>
    <w:rsid w:val="00A77271"/>
    <w:rsid w:val="00A77ADC"/>
    <w:rsid w:val="00A80669"/>
    <w:rsid w:val="00A812E5"/>
    <w:rsid w:val="00A817B9"/>
    <w:rsid w:val="00A828FE"/>
    <w:rsid w:val="00A834DC"/>
    <w:rsid w:val="00A8400D"/>
    <w:rsid w:val="00A86161"/>
    <w:rsid w:val="00A9088C"/>
    <w:rsid w:val="00A942DA"/>
    <w:rsid w:val="00AA0849"/>
    <w:rsid w:val="00AA1D85"/>
    <w:rsid w:val="00AA1F3F"/>
    <w:rsid w:val="00AA3388"/>
    <w:rsid w:val="00AA448C"/>
    <w:rsid w:val="00AA45F4"/>
    <w:rsid w:val="00AA56AC"/>
    <w:rsid w:val="00AA58BF"/>
    <w:rsid w:val="00AB39FA"/>
    <w:rsid w:val="00AB3B1B"/>
    <w:rsid w:val="00AB3BBC"/>
    <w:rsid w:val="00AB43F9"/>
    <w:rsid w:val="00AB456F"/>
    <w:rsid w:val="00AB4925"/>
    <w:rsid w:val="00AB5572"/>
    <w:rsid w:val="00AC2A0D"/>
    <w:rsid w:val="00AD0EBF"/>
    <w:rsid w:val="00AD4EEC"/>
    <w:rsid w:val="00AE6EDA"/>
    <w:rsid w:val="00AF31CD"/>
    <w:rsid w:val="00AF55D0"/>
    <w:rsid w:val="00B05EF3"/>
    <w:rsid w:val="00B06061"/>
    <w:rsid w:val="00B06DF9"/>
    <w:rsid w:val="00B11A6B"/>
    <w:rsid w:val="00B12C41"/>
    <w:rsid w:val="00B21C9E"/>
    <w:rsid w:val="00B22346"/>
    <w:rsid w:val="00B23B98"/>
    <w:rsid w:val="00B25F5E"/>
    <w:rsid w:val="00B30294"/>
    <w:rsid w:val="00B3185F"/>
    <w:rsid w:val="00B33F05"/>
    <w:rsid w:val="00B33F44"/>
    <w:rsid w:val="00B34F76"/>
    <w:rsid w:val="00B37B72"/>
    <w:rsid w:val="00B42F78"/>
    <w:rsid w:val="00B46C31"/>
    <w:rsid w:val="00B51583"/>
    <w:rsid w:val="00B5304F"/>
    <w:rsid w:val="00B54CB3"/>
    <w:rsid w:val="00B5727C"/>
    <w:rsid w:val="00B57564"/>
    <w:rsid w:val="00B621FA"/>
    <w:rsid w:val="00B62BB5"/>
    <w:rsid w:val="00B63092"/>
    <w:rsid w:val="00B636C3"/>
    <w:rsid w:val="00B64FB3"/>
    <w:rsid w:val="00B6525F"/>
    <w:rsid w:val="00B71EA4"/>
    <w:rsid w:val="00B727CB"/>
    <w:rsid w:val="00B74F90"/>
    <w:rsid w:val="00B75FF4"/>
    <w:rsid w:val="00B76BFC"/>
    <w:rsid w:val="00B77F41"/>
    <w:rsid w:val="00B800AC"/>
    <w:rsid w:val="00B80423"/>
    <w:rsid w:val="00B81662"/>
    <w:rsid w:val="00B82D35"/>
    <w:rsid w:val="00B84FD9"/>
    <w:rsid w:val="00B86D28"/>
    <w:rsid w:val="00B87CA9"/>
    <w:rsid w:val="00B87F49"/>
    <w:rsid w:val="00B915E6"/>
    <w:rsid w:val="00B94A2F"/>
    <w:rsid w:val="00B954F7"/>
    <w:rsid w:val="00B96840"/>
    <w:rsid w:val="00B96B7A"/>
    <w:rsid w:val="00B975F4"/>
    <w:rsid w:val="00B97BA6"/>
    <w:rsid w:val="00BA00C2"/>
    <w:rsid w:val="00BA0323"/>
    <w:rsid w:val="00BA1037"/>
    <w:rsid w:val="00BA14A9"/>
    <w:rsid w:val="00BA1720"/>
    <w:rsid w:val="00BA1AF8"/>
    <w:rsid w:val="00BA1C27"/>
    <w:rsid w:val="00BA1D92"/>
    <w:rsid w:val="00BA5D2A"/>
    <w:rsid w:val="00BB027F"/>
    <w:rsid w:val="00BB0434"/>
    <w:rsid w:val="00BB0CC6"/>
    <w:rsid w:val="00BB21FA"/>
    <w:rsid w:val="00BB39BB"/>
    <w:rsid w:val="00BB6975"/>
    <w:rsid w:val="00BB6D35"/>
    <w:rsid w:val="00BC030A"/>
    <w:rsid w:val="00BC64F8"/>
    <w:rsid w:val="00BC6572"/>
    <w:rsid w:val="00BD0ED8"/>
    <w:rsid w:val="00BD1A4A"/>
    <w:rsid w:val="00BD201C"/>
    <w:rsid w:val="00BD3349"/>
    <w:rsid w:val="00BD4442"/>
    <w:rsid w:val="00BD4BEA"/>
    <w:rsid w:val="00BD4E65"/>
    <w:rsid w:val="00BD5703"/>
    <w:rsid w:val="00BD7B0C"/>
    <w:rsid w:val="00BE0BAE"/>
    <w:rsid w:val="00BE1E31"/>
    <w:rsid w:val="00BE297F"/>
    <w:rsid w:val="00BE3B7D"/>
    <w:rsid w:val="00BF216D"/>
    <w:rsid w:val="00BF2885"/>
    <w:rsid w:val="00C003A9"/>
    <w:rsid w:val="00C031DE"/>
    <w:rsid w:val="00C03622"/>
    <w:rsid w:val="00C03BD6"/>
    <w:rsid w:val="00C103D2"/>
    <w:rsid w:val="00C14AD1"/>
    <w:rsid w:val="00C150F2"/>
    <w:rsid w:val="00C164ED"/>
    <w:rsid w:val="00C17171"/>
    <w:rsid w:val="00C30049"/>
    <w:rsid w:val="00C32E7D"/>
    <w:rsid w:val="00C33E49"/>
    <w:rsid w:val="00C34149"/>
    <w:rsid w:val="00C37AC6"/>
    <w:rsid w:val="00C37F87"/>
    <w:rsid w:val="00C41BFB"/>
    <w:rsid w:val="00C420B4"/>
    <w:rsid w:val="00C43A6B"/>
    <w:rsid w:val="00C455AF"/>
    <w:rsid w:val="00C47699"/>
    <w:rsid w:val="00C477DC"/>
    <w:rsid w:val="00C52B73"/>
    <w:rsid w:val="00C53A6F"/>
    <w:rsid w:val="00C55496"/>
    <w:rsid w:val="00C613FE"/>
    <w:rsid w:val="00C62D91"/>
    <w:rsid w:val="00C656B5"/>
    <w:rsid w:val="00C70328"/>
    <w:rsid w:val="00C73611"/>
    <w:rsid w:val="00C74D91"/>
    <w:rsid w:val="00C75FF9"/>
    <w:rsid w:val="00C82264"/>
    <w:rsid w:val="00C83EFE"/>
    <w:rsid w:val="00C859D2"/>
    <w:rsid w:val="00C8631F"/>
    <w:rsid w:val="00C86842"/>
    <w:rsid w:val="00C877A1"/>
    <w:rsid w:val="00C91F39"/>
    <w:rsid w:val="00C94146"/>
    <w:rsid w:val="00C960A4"/>
    <w:rsid w:val="00C9777D"/>
    <w:rsid w:val="00CA0B54"/>
    <w:rsid w:val="00CA5468"/>
    <w:rsid w:val="00CA6DD7"/>
    <w:rsid w:val="00CA762D"/>
    <w:rsid w:val="00CB6DF1"/>
    <w:rsid w:val="00CC2BC5"/>
    <w:rsid w:val="00CC36CB"/>
    <w:rsid w:val="00CC3D5A"/>
    <w:rsid w:val="00CC41C7"/>
    <w:rsid w:val="00CD06BB"/>
    <w:rsid w:val="00CD1552"/>
    <w:rsid w:val="00CD4749"/>
    <w:rsid w:val="00CD6A7B"/>
    <w:rsid w:val="00CD71F9"/>
    <w:rsid w:val="00CE0B1E"/>
    <w:rsid w:val="00CE4F58"/>
    <w:rsid w:val="00CE5007"/>
    <w:rsid w:val="00CE6616"/>
    <w:rsid w:val="00CE7415"/>
    <w:rsid w:val="00CF2803"/>
    <w:rsid w:val="00CF2AA2"/>
    <w:rsid w:val="00CF2BD1"/>
    <w:rsid w:val="00CF4C79"/>
    <w:rsid w:val="00CF4D23"/>
    <w:rsid w:val="00CF53B1"/>
    <w:rsid w:val="00CF6AD3"/>
    <w:rsid w:val="00CF73F6"/>
    <w:rsid w:val="00D0402F"/>
    <w:rsid w:val="00D05EBA"/>
    <w:rsid w:val="00D1057F"/>
    <w:rsid w:val="00D13DAB"/>
    <w:rsid w:val="00D145B7"/>
    <w:rsid w:val="00D160AC"/>
    <w:rsid w:val="00D164B0"/>
    <w:rsid w:val="00D17E11"/>
    <w:rsid w:val="00D22940"/>
    <w:rsid w:val="00D2669E"/>
    <w:rsid w:val="00D26D7B"/>
    <w:rsid w:val="00D27830"/>
    <w:rsid w:val="00D3071A"/>
    <w:rsid w:val="00D31BD5"/>
    <w:rsid w:val="00D323DF"/>
    <w:rsid w:val="00D33E4F"/>
    <w:rsid w:val="00D354FB"/>
    <w:rsid w:val="00D35AE3"/>
    <w:rsid w:val="00D435CE"/>
    <w:rsid w:val="00D454CC"/>
    <w:rsid w:val="00D47D93"/>
    <w:rsid w:val="00D5081E"/>
    <w:rsid w:val="00D541D1"/>
    <w:rsid w:val="00D5438F"/>
    <w:rsid w:val="00D56425"/>
    <w:rsid w:val="00D57AD5"/>
    <w:rsid w:val="00D60A85"/>
    <w:rsid w:val="00D61128"/>
    <w:rsid w:val="00D62D01"/>
    <w:rsid w:val="00D6687D"/>
    <w:rsid w:val="00D7104B"/>
    <w:rsid w:val="00D711CB"/>
    <w:rsid w:val="00D71F4E"/>
    <w:rsid w:val="00D73077"/>
    <w:rsid w:val="00D7768F"/>
    <w:rsid w:val="00D822F0"/>
    <w:rsid w:val="00D84D84"/>
    <w:rsid w:val="00D9401E"/>
    <w:rsid w:val="00D97F3A"/>
    <w:rsid w:val="00DA2620"/>
    <w:rsid w:val="00DA2C48"/>
    <w:rsid w:val="00DA6D1B"/>
    <w:rsid w:val="00DB249F"/>
    <w:rsid w:val="00DB5347"/>
    <w:rsid w:val="00DB567A"/>
    <w:rsid w:val="00DB7AC2"/>
    <w:rsid w:val="00DC2227"/>
    <w:rsid w:val="00DC5052"/>
    <w:rsid w:val="00DC7370"/>
    <w:rsid w:val="00DD3281"/>
    <w:rsid w:val="00DD3C9E"/>
    <w:rsid w:val="00DD4B1F"/>
    <w:rsid w:val="00DD7B46"/>
    <w:rsid w:val="00DE07FE"/>
    <w:rsid w:val="00DE1B7D"/>
    <w:rsid w:val="00DE34F5"/>
    <w:rsid w:val="00DE5544"/>
    <w:rsid w:val="00DE691B"/>
    <w:rsid w:val="00DF1231"/>
    <w:rsid w:val="00E01080"/>
    <w:rsid w:val="00E0128A"/>
    <w:rsid w:val="00E072EF"/>
    <w:rsid w:val="00E10C0F"/>
    <w:rsid w:val="00E10DE8"/>
    <w:rsid w:val="00E1354D"/>
    <w:rsid w:val="00E13768"/>
    <w:rsid w:val="00E1465B"/>
    <w:rsid w:val="00E1704C"/>
    <w:rsid w:val="00E21988"/>
    <w:rsid w:val="00E26AB7"/>
    <w:rsid w:val="00E32576"/>
    <w:rsid w:val="00E33B16"/>
    <w:rsid w:val="00E3497A"/>
    <w:rsid w:val="00E35C29"/>
    <w:rsid w:val="00E41619"/>
    <w:rsid w:val="00E4560F"/>
    <w:rsid w:val="00E52E22"/>
    <w:rsid w:val="00E55E39"/>
    <w:rsid w:val="00E56B7B"/>
    <w:rsid w:val="00E60D09"/>
    <w:rsid w:val="00E61B59"/>
    <w:rsid w:val="00E64EC6"/>
    <w:rsid w:val="00E65752"/>
    <w:rsid w:val="00E65BDE"/>
    <w:rsid w:val="00E67FA8"/>
    <w:rsid w:val="00E706C5"/>
    <w:rsid w:val="00E72657"/>
    <w:rsid w:val="00E72F09"/>
    <w:rsid w:val="00E81B2E"/>
    <w:rsid w:val="00E82FB2"/>
    <w:rsid w:val="00E85687"/>
    <w:rsid w:val="00E87D7C"/>
    <w:rsid w:val="00E90903"/>
    <w:rsid w:val="00E909BB"/>
    <w:rsid w:val="00E948E7"/>
    <w:rsid w:val="00E94980"/>
    <w:rsid w:val="00E95425"/>
    <w:rsid w:val="00E95441"/>
    <w:rsid w:val="00E974EF"/>
    <w:rsid w:val="00EA08C3"/>
    <w:rsid w:val="00EA2238"/>
    <w:rsid w:val="00EA2ECC"/>
    <w:rsid w:val="00EB290D"/>
    <w:rsid w:val="00EB56AA"/>
    <w:rsid w:val="00EB6CFF"/>
    <w:rsid w:val="00EB6EDF"/>
    <w:rsid w:val="00EB6F94"/>
    <w:rsid w:val="00EC0035"/>
    <w:rsid w:val="00EC0A66"/>
    <w:rsid w:val="00EC36EC"/>
    <w:rsid w:val="00EC4A95"/>
    <w:rsid w:val="00EC75AD"/>
    <w:rsid w:val="00ED03C5"/>
    <w:rsid w:val="00ED20B0"/>
    <w:rsid w:val="00ED366C"/>
    <w:rsid w:val="00ED493C"/>
    <w:rsid w:val="00ED751B"/>
    <w:rsid w:val="00ED7DF3"/>
    <w:rsid w:val="00EE0EFC"/>
    <w:rsid w:val="00EE1E36"/>
    <w:rsid w:val="00EE2932"/>
    <w:rsid w:val="00EE3756"/>
    <w:rsid w:val="00EE50C7"/>
    <w:rsid w:val="00EE789F"/>
    <w:rsid w:val="00EE79B8"/>
    <w:rsid w:val="00EF0FDB"/>
    <w:rsid w:val="00EF558A"/>
    <w:rsid w:val="00EF7A24"/>
    <w:rsid w:val="00EF7B71"/>
    <w:rsid w:val="00F00F16"/>
    <w:rsid w:val="00F01FCF"/>
    <w:rsid w:val="00F0264E"/>
    <w:rsid w:val="00F027B0"/>
    <w:rsid w:val="00F04508"/>
    <w:rsid w:val="00F05BD9"/>
    <w:rsid w:val="00F05D0C"/>
    <w:rsid w:val="00F0725D"/>
    <w:rsid w:val="00F14E7C"/>
    <w:rsid w:val="00F22362"/>
    <w:rsid w:val="00F22977"/>
    <w:rsid w:val="00F22D34"/>
    <w:rsid w:val="00F23ED5"/>
    <w:rsid w:val="00F26A39"/>
    <w:rsid w:val="00F30E24"/>
    <w:rsid w:val="00F314F7"/>
    <w:rsid w:val="00F31F48"/>
    <w:rsid w:val="00F320E1"/>
    <w:rsid w:val="00F35F66"/>
    <w:rsid w:val="00F378A3"/>
    <w:rsid w:val="00F44B83"/>
    <w:rsid w:val="00F4573F"/>
    <w:rsid w:val="00F457F3"/>
    <w:rsid w:val="00F467B5"/>
    <w:rsid w:val="00F46E2C"/>
    <w:rsid w:val="00F476D2"/>
    <w:rsid w:val="00F50216"/>
    <w:rsid w:val="00F50E33"/>
    <w:rsid w:val="00F5262F"/>
    <w:rsid w:val="00F529AD"/>
    <w:rsid w:val="00F52AA6"/>
    <w:rsid w:val="00F52DFA"/>
    <w:rsid w:val="00F5409B"/>
    <w:rsid w:val="00F543F9"/>
    <w:rsid w:val="00F56557"/>
    <w:rsid w:val="00F61C4A"/>
    <w:rsid w:val="00F63664"/>
    <w:rsid w:val="00F72291"/>
    <w:rsid w:val="00F72873"/>
    <w:rsid w:val="00F7715D"/>
    <w:rsid w:val="00F7783A"/>
    <w:rsid w:val="00F80231"/>
    <w:rsid w:val="00F83039"/>
    <w:rsid w:val="00F84EDE"/>
    <w:rsid w:val="00F87FA9"/>
    <w:rsid w:val="00F907E3"/>
    <w:rsid w:val="00F91118"/>
    <w:rsid w:val="00FA38B0"/>
    <w:rsid w:val="00FA3B03"/>
    <w:rsid w:val="00FB19C4"/>
    <w:rsid w:val="00FB22E9"/>
    <w:rsid w:val="00FB378F"/>
    <w:rsid w:val="00FB74FE"/>
    <w:rsid w:val="00FB7688"/>
    <w:rsid w:val="00FC03AB"/>
    <w:rsid w:val="00FD453B"/>
    <w:rsid w:val="00FD483B"/>
    <w:rsid w:val="00FD6207"/>
    <w:rsid w:val="00FE335D"/>
    <w:rsid w:val="00FE53A4"/>
    <w:rsid w:val="00FF351F"/>
    <w:rsid w:val="00FF6BDD"/>
    <w:rsid w:val="00FF7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12D711CB"/>
  <w14:defaultImageDpi w14:val="300"/>
  <w15:chartTrackingRefBased/>
  <w15:docId w15:val="{DD6CD1A5-1479-4F09-9A88-51255870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DC6"/>
    <w:rPr>
      <w:rFonts w:ascii="Arial" w:hAnsi="Arial"/>
      <w:sz w:val="24"/>
      <w:szCs w:val="24"/>
      <w:lang w:eastAsia="en-US"/>
    </w:rPr>
  </w:style>
  <w:style w:type="paragraph" w:styleId="Heading1">
    <w:name w:val="heading 1"/>
    <w:basedOn w:val="Normal"/>
    <w:next w:val="Normal"/>
    <w:link w:val="Heading1Char"/>
    <w:uiPriority w:val="9"/>
    <w:qFormat/>
    <w:rsid w:val="00660DC6"/>
    <w:pPr>
      <w:keepNext/>
      <w:jc w:val="center"/>
      <w:outlineLvl w:val="0"/>
    </w:pPr>
    <w:rPr>
      <w:b/>
      <w:bCs/>
      <w:sz w:val="32"/>
    </w:rPr>
  </w:style>
  <w:style w:type="paragraph" w:styleId="Heading2">
    <w:name w:val="heading 2"/>
    <w:basedOn w:val="Normal"/>
    <w:next w:val="Normal"/>
    <w:link w:val="Heading2Char"/>
    <w:uiPriority w:val="9"/>
    <w:qFormat/>
    <w:rsid w:val="005C022E"/>
    <w:pPr>
      <w:keepNext/>
      <w:spacing w:before="240" w:after="60"/>
      <w:outlineLvl w:val="1"/>
    </w:pPr>
    <w:rPr>
      <w:rFonts w:ascii="Calibri" w:eastAsia="MS Gothi" w:hAnsi="Calibri"/>
      <w:b/>
      <w:bCs/>
      <w:i/>
      <w:iCs/>
      <w:sz w:val="28"/>
      <w:szCs w:val="28"/>
      <w:lang w:eastAsia="en-GB"/>
    </w:rPr>
  </w:style>
  <w:style w:type="paragraph" w:styleId="Heading3">
    <w:name w:val="heading 3"/>
    <w:basedOn w:val="Normal"/>
    <w:next w:val="Normal"/>
    <w:link w:val="Heading3Char"/>
    <w:uiPriority w:val="9"/>
    <w:qFormat/>
    <w:rsid w:val="00B42F78"/>
    <w:pPr>
      <w:keepNext/>
      <w:spacing w:before="240" w:after="60"/>
      <w:outlineLvl w:val="2"/>
    </w:pPr>
    <w:rPr>
      <w:rFonts w:cs="Arial"/>
      <w:b/>
      <w:bCs/>
      <w:sz w:val="26"/>
      <w:szCs w:val="26"/>
      <w:lang w:eastAsia="en-GB"/>
    </w:rPr>
  </w:style>
  <w:style w:type="paragraph" w:styleId="Heading4">
    <w:name w:val="heading 4"/>
    <w:basedOn w:val="Normal"/>
    <w:next w:val="Normal"/>
    <w:link w:val="Heading4Char"/>
    <w:unhideWhenUsed/>
    <w:qFormat/>
    <w:rsid w:val="00144F3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324F"/>
    <w:rPr>
      <w:rFonts w:ascii="Calibri" w:eastAsia="MS Gothic" w:hAnsi="Calibri" w:cs="Times New Roman"/>
      <w:b/>
      <w:bCs/>
      <w:kern w:val="32"/>
      <w:sz w:val="32"/>
      <w:szCs w:val="32"/>
      <w:lang w:eastAsia="en-US"/>
    </w:rPr>
  </w:style>
  <w:style w:type="character" w:customStyle="1" w:styleId="Heading2Char">
    <w:name w:val="Heading 2 Char"/>
    <w:link w:val="Heading2"/>
    <w:uiPriority w:val="9"/>
    <w:semiHidden/>
    <w:locked/>
    <w:rsid w:val="005C022E"/>
    <w:rPr>
      <w:rFonts w:ascii="Calibri" w:eastAsia="MS Gothi" w:hAnsi="Calibri"/>
      <w:b/>
      <w:i/>
      <w:sz w:val="28"/>
    </w:rPr>
  </w:style>
  <w:style w:type="character" w:customStyle="1" w:styleId="Heading3Char">
    <w:name w:val="Heading 3 Char"/>
    <w:link w:val="Heading3"/>
    <w:uiPriority w:val="9"/>
    <w:semiHidden/>
    <w:rsid w:val="003A324F"/>
    <w:rPr>
      <w:rFonts w:ascii="Calibri" w:eastAsia="MS Gothic" w:hAnsi="Calibri" w:cs="Times New Roman"/>
      <w:b/>
      <w:bCs/>
      <w:sz w:val="26"/>
      <w:szCs w:val="26"/>
      <w:lang w:eastAsia="en-US"/>
    </w:rPr>
  </w:style>
  <w:style w:type="paragraph" w:styleId="Title">
    <w:name w:val="Title"/>
    <w:basedOn w:val="Normal"/>
    <w:link w:val="TitleChar"/>
    <w:uiPriority w:val="10"/>
    <w:qFormat/>
    <w:rsid w:val="00660DC6"/>
    <w:pPr>
      <w:jc w:val="center"/>
    </w:pPr>
    <w:rPr>
      <w:b/>
      <w:bCs/>
      <w:sz w:val="32"/>
    </w:rPr>
  </w:style>
  <w:style w:type="character" w:customStyle="1" w:styleId="TitleChar">
    <w:name w:val="Title Char"/>
    <w:link w:val="Title"/>
    <w:uiPriority w:val="10"/>
    <w:rsid w:val="003A324F"/>
    <w:rPr>
      <w:rFonts w:ascii="Calibri" w:eastAsia="MS Gothic" w:hAnsi="Calibri" w:cs="Times New Roman"/>
      <w:b/>
      <w:bCs/>
      <w:kern w:val="28"/>
      <w:sz w:val="32"/>
      <w:szCs w:val="32"/>
      <w:lang w:eastAsia="en-US"/>
    </w:rPr>
  </w:style>
  <w:style w:type="paragraph" w:styleId="Footer">
    <w:name w:val="footer"/>
    <w:basedOn w:val="Normal"/>
    <w:link w:val="FooterChar"/>
    <w:uiPriority w:val="99"/>
    <w:rsid w:val="00F543F9"/>
    <w:pPr>
      <w:tabs>
        <w:tab w:val="center" w:pos="4153"/>
        <w:tab w:val="right" w:pos="8306"/>
      </w:tabs>
    </w:pPr>
    <w:rPr>
      <w:rFonts w:ascii="Times New Roman" w:hAnsi="Times New Roman"/>
      <w:spacing w:val="-3"/>
      <w:szCs w:val="20"/>
    </w:rPr>
  </w:style>
  <w:style w:type="character" w:customStyle="1" w:styleId="FooterChar">
    <w:name w:val="Footer Char"/>
    <w:link w:val="Footer"/>
    <w:uiPriority w:val="99"/>
    <w:semiHidden/>
    <w:rsid w:val="003A324F"/>
    <w:rPr>
      <w:rFonts w:ascii="Arial" w:hAnsi="Arial"/>
      <w:sz w:val="24"/>
      <w:szCs w:val="24"/>
      <w:lang w:eastAsia="en-US"/>
    </w:rPr>
  </w:style>
  <w:style w:type="paragraph" w:styleId="BalloonText">
    <w:name w:val="Balloon Text"/>
    <w:basedOn w:val="Normal"/>
    <w:link w:val="BalloonTextChar"/>
    <w:uiPriority w:val="99"/>
    <w:semiHidden/>
    <w:rsid w:val="009E4E95"/>
    <w:rPr>
      <w:rFonts w:ascii="Tahoma" w:hAnsi="Tahoma" w:cs="Tahoma"/>
      <w:sz w:val="16"/>
      <w:szCs w:val="16"/>
    </w:rPr>
  </w:style>
  <w:style w:type="character" w:customStyle="1" w:styleId="BalloonTextChar">
    <w:name w:val="Balloon Text Char"/>
    <w:link w:val="BalloonText"/>
    <w:uiPriority w:val="99"/>
    <w:semiHidden/>
    <w:rsid w:val="003A324F"/>
    <w:rPr>
      <w:sz w:val="0"/>
      <w:szCs w:val="0"/>
      <w:lang w:eastAsia="en-US"/>
    </w:rPr>
  </w:style>
  <w:style w:type="character" w:styleId="PageNumber">
    <w:name w:val="page number"/>
    <w:uiPriority w:val="99"/>
    <w:rsid w:val="00F50E33"/>
    <w:rPr>
      <w:rFonts w:cs="Times New Roman"/>
    </w:rPr>
  </w:style>
  <w:style w:type="paragraph" w:styleId="BodyText">
    <w:name w:val="Body Text"/>
    <w:basedOn w:val="Normal"/>
    <w:link w:val="BodyTextChar"/>
    <w:rsid w:val="005C022E"/>
    <w:pPr>
      <w:spacing w:line="360" w:lineRule="auto"/>
    </w:pPr>
    <w:rPr>
      <w:rFonts w:ascii="Times New Roman" w:hAnsi="Times New Roman"/>
      <w:b/>
      <w:sz w:val="20"/>
      <w:szCs w:val="20"/>
      <w:lang w:eastAsia="en-GB"/>
    </w:rPr>
  </w:style>
  <w:style w:type="character" w:customStyle="1" w:styleId="BodyTextChar">
    <w:name w:val="Body Text Char"/>
    <w:link w:val="BodyText"/>
    <w:locked/>
    <w:rsid w:val="005C022E"/>
    <w:rPr>
      <w:b/>
      <w:lang w:val="x-none" w:eastAsia="en-GB"/>
    </w:rPr>
  </w:style>
  <w:style w:type="paragraph" w:customStyle="1" w:styleId="ColorfulList-Accent11">
    <w:name w:val="Colorful List - Accent 11"/>
    <w:basedOn w:val="Normal"/>
    <w:uiPriority w:val="34"/>
    <w:qFormat/>
    <w:rsid w:val="005C022E"/>
    <w:pPr>
      <w:ind w:left="720"/>
    </w:pPr>
    <w:rPr>
      <w:rFonts w:ascii="Times New Roman" w:hAnsi="Times New Roman"/>
      <w:sz w:val="20"/>
      <w:szCs w:val="20"/>
      <w:lang w:eastAsia="en-GB"/>
    </w:rPr>
  </w:style>
  <w:style w:type="paragraph" w:styleId="ListParagraph">
    <w:name w:val="List Paragraph"/>
    <w:basedOn w:val="Normal"/>
    <w:uiPriority w:val="34"/>
    <w:qFormat/>
    <w:rsid w:val="00164B91"/>
    <w:pPr>
      <w:ind w:left="720"/>
      <w:contextualSpacing/>
    </w:pPr>
    <w:rPr>
      <w:rFonts w:ascii="Times New Roman" w:hAnsi="Times New Roman"/>
      <w:lang w:eastAsia="en-GB"/>
    </w:rPr>
  </w:style>
  <w:style w:type="paragraph" w:customStyle="1" w:styleId="Default">
    <w:name w:val="Default"/>
    <w:rsid w:val="00484CC0"/>
    <w:pPr>
      <w:autoSpaceDE w:val="0"/>
      <w:autoSpaceDN w:val="0"/>
      <w:adjustRightInd w:val="0"/>
    </w:pPr>
    <w:rPr>
      <w:rFonts w:ascii="Georgia" w:hAnsi="Georgia" w:cs="Georgia"/>
      <w:color w:val="000000"/>
      <w:sz w:val="24"/>
      <w:szCs w:val="24"/>
    </w:rPr>
  </w:style>
  <w:style w:type="character" w:customStyle="1" w:styleId="Heading4Char">
    <w:name w:val="Heading 4 Char"/>
    <w:link w:val="Heading4"/>
    <w:rsid w:val="00144F30"/>
    <w:rPr>
      <w:rFonts w:ascii="Calibri" w:eastAsia="Times New Roman" w:hAnsi="Calibri" w:cs="Times New Roman"/>
      <w:b/>
      <w:bCs/>
      <w:sz w:val="28"/>
      <w:szCs w:val="28"/>
      <w:lang w:eastAsia="en-US"/>
    </w:rPr>
  </w:style>
  <w:style w:type="character" w:styleId="Hyperlink">
    <w:name w:val="Hyperlink"/>
    <w:uiPriority w:val="99"/>
    <w:unhideWhenUsed/>
    <w:rsid w:val="00144F30"/>
    <w:rPr>
      <w:color w:val="0000FF"/>
      <w:u w:val="single"/>
    </w:rPr>
  </w:style>
  <w:style w:type="table" w:styleId="TableGrid">
    <w:name w:val="Table Grid"/>
    <w:basedOn w:val="TableNormal"/>
    <w:rsid w:val="004C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1549">
      <w:bodyDiv w:val="1"/>
      <w:marLeft w:val="0"/>
      <w:marRight w:val="0"/>
      <w:marTop w:val="0"/>
      <w:marBottom w:val="0"/>
      <w:divBdr>
        <w:top w:val="none" w:sz="0" w:space="0" w:color="auto"/>
        <w:left w:val="none" w:sz="0" w:space="0" w:color="auto"/>
        <w:bottom w:val="none" w:sz="0" w:space="0" w:color="auto"/>
        <w:right w:val="none" w:sz="0" w:space="0" w:color="auto"/>
      </w:divBdr>
      <w:divsChild>
        <w:div w:id="5059963">
          <w:marLeft w:val="0"/>
          <w:marRight w:val="0"/>
          <w:marTop w:val="0"/>
          <w:marBottom w:val="0"/>
          <w:divBdr>
            <w:top w:val="none" w:sz="0" w:space="0" w:color="auto"/>
            <w:left w:val="none" w:sz="0" w:space="0" w:color="auto"/>
            <w:bottom w:val="none" w:sz="0" w:space="0" w:color="auto"/>
            <w:right w:val="none" w:sz="0" w:space="0" w:color="auto"/>
          </w:divBdr>
        </w:div>
        <w:div w:id="1455950189">
          <w:marLeft w:val="0"/>
          <w:marRight w:val="0"/>
          <w:marTop w:val="0"/>
          <w:marBottom w:val="0"/>
          <w:divBdr>
            <w:top w:val="none" w:sz="0" w:space="0" w:color="auto"/>
            <w:left w:val="none" w:sz="0" w:space="0" w:color="auto"/>
            <w:bottom w:val="none" w:sz="0" w:space="0" w:color="auto"/>
            <w:right w:val="none" w:sz="0" w:space="0" w:color="auto"/>
          </w:divBdr>
        </w:div>
        <w:div w:id="1555890647">
          <w:marLeft w:val="0"/>
          <w:marRight w:val="0"/>
          <w:marTop w:val="0"/>
          <w:marBottom w:val="0"/>
          <w:divBdr>
            <w:top w:val="none" w:sz="0" w:space="0" w:color="auto"/>
            <w:left w:val="none" w:sz="0" w:space="0" w:color="auto"/>
            <w:bottom w:val="none" w:sz="0" w:space="0" w:color="auto"/>
            <w:right w:val="none" w:sz="0" w:space="0" w:color="auto"/>
          </w:divBdr>
          <w:divsChild>
            <w:div w:id="1016004637">
              <w:marLeft w:val="0"/>
              <w:marRight w:val="0"/>
              <w:marTop w:val="0"/>
              <w:marBottom w:val="0"/>
              <w:divBdr>
                <w:top w:val="none" w:sz="0" w:space="0" w:color="auto"/>
                <w:left w:val="none" w:sz="0" w:space="0" w:color="auto"/>
                <w:bottom w:val="none" w:sz="0" w:space="0" w:color="auto"/>
                <w:right w:val="none" w:sz="0" w:space="0" w:color="auto"/>
              </w:divBdr>
              <w:divsChild>
                <w:div w:id="782696746">
                  <w:marLeft w:val="0"/>
                  <w:marRight w:val="0"/>
                  <w:marTop w:val="0"/>
                  <w:marBottom w:val="0"/>
                  <w:divBdr>
                    <w:top w:val="none" w:sz="0" w:space="0" w:color="auto"/>
                    <w:left w:val="none" w:sz="0" w:space="0" w:color="auto"/>
                    <w:bottom w:val="none" w:sz="0" w:space="0" w:color="auto"/>
                    <w:right w:val="none" w:sz="0" w:space="0" w:color="auto"/>
                  </w:divBdr>
                </w:div>
                <w:div w:id="730805820">
                  <w:marLeft w:val="0"/>
                  <w:marRight w:val="0"/>
                  <w:marTop w:val="0"/>
                  <w:marBottom w:val="0"/>
                  <w:divBdr>
                    <w:top w:val="none" w:sz="0" w:space="0" w:color="auto"/>
                    <w:left w:val="none" w:sz="0" w:space="0" w:color="auto"/>
                    <w:bottom w:val="none" w:sz="0" w:space="0" w:color="auto"/>
                    <w:right w:val="none" w:sz="0" w:space="0" w:color="auto"/>
                  </w:divBdr>
                </w:div>
              </w:divsChild>
            </w:div>
            <w:div w:id="15886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601">
      <w:bodyDiv w:val="1"/>
      <w:marLeft w:val="0"/>
      <w:marRight w:val="0"/>
      <w:marTop w:val="0"/>
      <w:marBottom w:val="0"/>
      <w:divBdr>
        <w:top w:val="none" w:sz="0" w:space="0" w:color="auto"/>
        <w:left w:val="none" w:sz="0" w:space="0" w:color="auto"/>
        <w:bottom w:val="none" w:sz="0" w:space="0" w:color="auto"/>
        <w:right w:val="none" w:sz="0" w:space="0" w:color="auto"/>
      </w:divBdr>
      <w:divsChild>
        <w:div w:id="1666855409">
          <w:marLeft w:val="0"/>
          <w:marRight w:val="0"/>
          <w:marTop w:val="0"/>
          <w:marBottom w:val="0"/>
          <w:divBdr>
            <w:top w:val="none" w:sz="0" w:space="0" w:color="auto"/>
            <w:left w:val="none" w:sz="0" w:space="0" w:color="auto"/>
            <w:bottom w:val="none" w:sz="0" w:space="0" w:color="auto"/>
            <w:right w:val="none" w:sz="0" w:space="0" w:color="auto"/>
          </w:divBdr>
          <w:divsChild>
            <w:div w:id="355813680">
              <w:marLeft w:val="0"/>
              <w:marRight w:val="0"/>
              <w:marTop w:val="0"/>
              <w:marBottom w:val="0"/>
              <w:divBdr>
                <w:top w:val="none" w:sz="0" w:space="0" w:color="auto"/>
                <w:left w:val="none" w:sz="0" w:space="0" w:color="auto"/>
                <w:bottom w:val="none" w:sz="0" w:space="0" w:color="auto"/>
                <w:right w:val="none" w:sz="0" w:space="0" w:color="auto"/>
              </w:divBdr>
            </w:div>
            <w:div w:id="1427967963">
              <w:marLeft w:val="0"/>
              <w:marRight w:val="0"/>
              <w:marTop w:val="0"/>
              <w:marBottom w:val="0"/>
              <w:divBdr>
                <w:top w:val="none" w:sz="0" w:space="0" w:color="auto"/>
                <w:left w:val="none" w:sz="0" w:space="0" w:color="auto"/>
                <w:bottom w:val="none" w:sz="0" w:space="0" w:color="auto"/>
                <w:right w:val="none" w:sz="0" w:space="0" w:color="auto"/>
              </w:divBdr>
            </w:div>
          </w:divsChild>
        </w:div>
        <w:div w:id="808018011">
          <w:marLeft w:val="0"/>
          <w:marRight w:val="0"/>
          <w:marTop w:val="0"/>
          <w:marBottom w:val="0"/>
          <w:divBdr>
            <w:top w:val="none" w:sz="0" w:space="0" w:color="auto"/>
            <w:left w:val="none" w:sz="0" w:space="0" w:color="auto"/>
            <w:bottom w:val="none" w:sz="0" w:space="0" w:color="auto"/>
            <w:right w:val="none" w:sz="0" w:space="0" w:color="auto"/>
          </w:divBdr>
          <w:divsChild>
            <w:div w:id="191042037">
              <w:marLeft w:val="0"/>
              <w:marRight w:val="0"/>
              <w:marTop w:val="0"/>
              <w:marBottom w:val="0"/>
              <w:divBdr>
                <w:top w:val="none" w:sz="0" w:space="0" w:color="auto"/>
                <w:left w:val="none" w:sz="0" w:space="0" w:color="auto"/>
                <w:bottom w:val="none" w:sz="0" w:space="0" w:color="auto"/>
                <w:right w:val="none" w:sz="0" w:space="0" w:color="auto"/>
              </w:divBdr>
            </w:div>
            <w:div w:id="16564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005">
      <w:bodyDiv w:val="1"/>
      <w:marLeft w:val="375"/>
      <w:marRight w:val="375"/>
      <w:marTop w:val="75"/>
      <w:marBottom w:val="75"/>
      <w:divBdr>
        <w:top w:val="none" w:sz="0" w:space="0" w:color="auto"/>
        <w:left w:val="none" w:sz="0" w:space="0" w:color="auto"/>
        <w:bottom w:val="none" w:sz="0" w:space="0" w:color="auto"/>
        <w:right w:val="none" w:sz="0" w:space="0" w:color="auto"/>
      </w:divBdr>
      <w:divsChild>
        <w:div w:id="1145201495">
          <w:marLeft w:val="0"/>
          <w:marRight w:val="0"/>
          <w:marTop w:val="0"/>
          <w:marBottom w:val="0"/>
          <w:divBdr>
            <w:top w:val="none" w:sz="0" w:space="0" w:color="auto"/>
            <w:left w:val="none" w:sz="0" w:space="0" w:color="auto"/>
            <w:bottom w:val="none" w:sz="0" w:space="0" w:color="auto"/>
            <w:right w:val="none" w:sz="0" w:space="0" w:color="auto"/>
          </w:divBdr>
          <w:divsChild>
            <w:div w:id="591400029">
              <w:marLeft w:val="0"/>
              <w:marRight w:val="0"/>
              <w:marTop w:val="0"/>
              <w:marBottom w:val="0"/>
              <w:divBdr>
                <w:top w:val="none" w:sz="0" w:space="0" w:color="auto"/>
                <w:left w:val="none" w:sz="0" w:space="0" w:color="auto"/>
                <w:bottom w:val="none" w:sz="0" w:space="0" w:color="auto"/>
                <w:right w:val="none" w:sz="0" w:space="0" w:color="auto"/>
              </w:divBdr>
              <w:divsChild>
                <w:div w:id="1995527051">
                  <w:marLeft w:val="0"/>
                  <w:marRight w:val="0"/>
                  <w:marTop w:val="0"/>
                  <w:marBottom w:val="0"/>
                  <w:divBdr>
                    <w:top w:val="none" w:sz="0" w:space="0" w:color="auto"/>
                    <w:left w:val="none" w:sz="0" w:space="0" w:color="auto"/>
                    <w:bottom w:val="none" w:sz="0" w:space="0" w:color="auto"/>
                    <w:right w:val="none" w:sz="0" w:space="0" w:color="auto"/>
                  </w:divBdr>
                  <w:divsChild>
                    <w:div w:id="535776631">
                      <w:marLeft w:val="0"/>
                      <w:marRight w:val="0"/>
                      <w:marTop w:val="0"/>
                      <w:marBottom w:val="0"/>
                      <w:divBdr>
                        <w:top w:val="none" w:sz="0" w:space="0" w:color="auto"/>
                        <w:left w:val="none" w:sz="0" w:space="0" w:color="auto"/>
                        <w:bottom w:val="none" w:sz="0" w:space="0" w:color="auto"/>
                        <w:right w:val="none" w:sz="0" w:space="0" w:color="auto"/>
                      </w:divBdr>
                    </w:div>
                    <w:div w:id="619651842">
                      <w:marLeft w:val="0"/>
                      <w:marRight w:val="0"/>
                      <w:marTop w:val="0"/>
                      <w:marBottom w:val="0"/>
                      <w:divBdr>
                        <w:top w:val="none" w:sz="0" w:space="0" w:color="auto"/>
                        <w:left w:val="none" w:sz="0" w:space="0" w:color="auto"/>
                        <w:bottom w:val="none" w:sz="0" w:space="0" w:color="auto"/>
                        <w:right w:val="none" w:sz="0" w:space="0" w:color="auto"/>
                      </w:divBdr>
                    </w:div>
                    <w:div w:id="1066296635">
                      <w:marLeft w:val="0"/>
                      <w:marRight w:val="0"/>
                      <w:marTop w:val="0"/>
                      <w:marBottom w:val="0"/>
                      <w:divBdr>
                        <w:top w:val="none" w:sz="0" w:space="0" w:color="auto"/>
                        <w:left w:val="none" w:sz="0" w:space="0" w:color="auto"/>
                        <w:bottom w:val="none" w:sz="0" w:space="0" w:color="auto"/>
                        <w:right w:val="none" w:sz="0" w:space="0" w:color="auto"/>
                      </w:divBdr>
                      <w:divsChild>
                        <w:div w:id="160631944">
                          <w:marLeft w:val="0"/>
                          <w:marRight w:val="0"/>
                          <w:marTop w:val="0"/>
                          <w:marBottom w:val="0"/>
                          <w:divBdr>
                            <w:top w:val="none" w:sz="0" w:space="0" w:color="auto"/>
                            <w:left w:val="none" w:sz="0" w:space="0" w:color="auto"/>
                            <w:bottom w:val="none" w:sz="0" w:space="0" w:color="auto"/>
                            <w:right w:val="none" w:sz="0" w:space="0" w:color="auto"/>
                          </w:divBdr>
                          <w:divsChild>
                            <w:div w:id="564070144">
                              <w:marLeft w:val="0"/>
                              <w:marRight w:val="0"/>
                              <w:marTop w:val="0"/>
                              <w:marBottom w:val="0"/>
                              <w:divBdr>
                                <w:top w:val="none" w:sz="0" w:space="0" w:color="auto"/>
                                <w:left w:val="none" w:sz="0" w:space="0" w:color="auto"/>
                                <w:bottom w:val="none" w:sz="0" w:space="0" w:color="auto"/>
                                <w:right w:val="none" w:sz="0" w:space="0" w:color="auto"/>
                              </w:divBdr>
                            </w:div>
                            <w:div w:id="1353803367">
                              <w:marLeft w:val="0"/>
                              <w:marRight w:val="0"/>
                              <w:marTop w:val="0"/>
                              <w:marBottom w:val="0"/>
                              <w:divBdr>
                                <w:top w:val="none" w:sz="0" w:space="0" w:color="auto"/>
                                <w:left w:val="none" w:sz="0" w:space="0" w:color="auto"/>
                                <w:bottom w:val="none" w:sz="0" w:space="0" w:color="auto"/>
                                <w:right w:val="none" w:sz="0" w:space="0" w:color="auto"/>
                              </w:divBdr>
                            </w:div>
                          </w:divsChild>
                        </w:div>
                        <w:div w:id="299697257">
                          <w:marLeft w:val="0"/>
                          <w:marRight w:val="0"/>
                          <w:marTop w:val="0"/>
                          <w:marBottom w:val="0"/>
                          <w:divBdr>
                            <w:top w:val="none" w:sz="0" w:space="0" w:color="auto"/>
                            <w:left w:val="none" w:sz="0" w:space="0" w:color="auto"/>
                            <w:bottom w:val="none" w:sz="0" w:space="0" w:color="auto"/>
                            <w:right w:val="none" w:sz="0" w:space="0" w:color="auto"/>
                          </w:divBdr>
                          <w:divsChild>
                            <w:div w:id="1192113065">
                              <w:marLeft w:val="0"/>
                              <w:marRight w:val="0"/>
                              <w:marTop w:val="0"/>
                              <w:marBottom w:val="0"/>
                              <w:divBdr>
                                <w:top w:val="none" w:sz="0" w:space="0" w:color="auto"/>
                                <w:left w:val="none" w:sz="0" w:space="0" w:color="auto"/>
                                <w:bottom w:val="none" w:sz="0" w:space="0" w:color="auto"/>
                                <w:right w:val="none" w:sz="0" w:space="0" w:color="auto"/>
                              </w:divBdr>
                            </w:div>
                            <w:div w:id="1532645470">
                              <w:marLeft w:val="0"/>
                              <w:marRight w:val="0"/>
                              <w:marTop w:val="0"/>
                              <w:marBottom w:val="0"/>
                              <w:divBdr>
                                <w:top w:val="none" w:sz="0" w:space="0" w:color="auto"/>
                                <w:left w:val="none" w:sz="0" w:space="0" w:color="auto"/>
                                <w:bottom w:val="none" w:sz="0" w:space="0" w:color="auto"/>
                                <w:right w:val="none" w:sz="0" w:space="0" w:color="auto"/>
                              </w:divBdr>
                            </w:div>
                            <w:div w:id="20397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3129">
                      <w:marLeft w:val="0"/>
                      <w:marRight w:val="0"/>
                      <w:marTop w:val="0"/>
                      <w:marBottom w:val="0"/>
                      <w:divBdr>
                        <w:top w:val="none" w:sz="0" w:space="0" w:color="auto"/>
                        <w:left w:val="none" w:sz="0" w:space="0" w:color="auto"/>
                        <w:bottom w:val="none" w:sz="0" w:space="0" w:color="auto"/>
                        <w:right w:val="none" w:sz="0" w:space="0" w:color="auto"/>
                      </w:divBdr>
                      <w:divsChild>
                        <w:div w:id="812874289">
                          <w:marLeft w:val="0"/>
                          <w:marRight w:val="0"/>
                          <w:marTop w:val="0"/>
                          <w:marBottom w:val="0"/>
                          <w:divBdr>
                            <w:top w:val="none" w:sz="0" w:space="0" w:color="auto"/>
                            <w:left w:val="none" w:sz="0" w:space="0" w:color="auto"/>
                            <w:bottom w:val="none" w:sz="0" w:space="0" w:color="auto"/>
                            <w:right w:val="none" w:sz="0" w:space="0" w:color="auto"/>
                          </w:divBdr>
                        </w:div>
                        <w:div w:id="1435394633">
                          <w:marLeft w:val="0"/>
                          <w:marRight w:val="0"/>
                          <w:marTop w:val="0"/>
                          <w:marBottom w:val="0"/>
                          <w:divBdr>
                            <w:top w:val="none" w:sz="0" w:space="0" w:color="auto"/>
                            <w:left w:val="none" w:sz="0" w:space="0" w:color="auto"/>
                            <w:bottom w:val="none" w:sz="0" w:space="0" w:color="auto"/>
                            <w:right w:val="none" w:sz="0" w:space="0" w:color="auto"/>
                          </w:divBdr>
                        </w:div>
                        <w:div w:id="1564676371">
                          <w:marLeft w:val="0"/>
                          <w:marRight w:val="0"/>
                          <w:marTop w:val="0"/>
                          <w:marBottom w:val="0"/>
                          <w:divBdr>
                            <w:top w:val="none" w:sz="0" w:space="0" w:color="auto"/>
                            <w:left w:val="none" w:sz="0" w:space="0" w:color="auto"/>
                            <w:bottom w:val="none" w:sz="0" w:space="0" w:color="auto"/>
                            <w:right w:val="none" w:sz="0" w:space="0" w:color="auto"/>
                          </w:divBdr>
                          <w:divsChild>
                            <w:div w:id="1737507627">
                              <w:marLeft w:val="0"/>
                              <w:marRight w:val="0"/>
                              <w:marTop w:val="0"/>
                              <w:marBottom w:val="0"/>
                              <w:divBdr>
                                <w:top w:val="none" w:sz="0" w:space="0" w:color="auto"/>
                                <w:left w:val="none" w:sz="0" w:space="0" w:color="auto"/>
                                <w:bottom w:val="none" w:sz="0" w:space="0" w:color="auto"/>
                                <w:right w:val="none" w:sz="0" w:space="0" w:color="auto"/>
                              </w:divBdr>
                            </w:div>
                          </w:divsChild>
                        </w:div>
                        <w:div w:id="1647393097">
                          <w:marLeft w:val="0"/>
                          <w:marRight w:val="0"/>
                          <w:marTop w:val="0"/>
                          <w:marBottom w:val="0"/>
                          <w:divBdr>
                            <w:top w:val="none" w:sz="0" w:space="0" w:color="auto"/>
                            <w:left w:val="none" w:sz="0" w:space="0" w:color="auto"/>
                            <w:bottom w:val="none" w:sz="0" w:space="0" w:color="auto"/>
                            <w:right w:val="none" w:sz="0" w:space="0" w:color="auto"/>
                          </w:divBdr>
                        </w:div>
                        <w:div w:id="1705590761">
                          <w:marLeft w:val="0"/>
                          <w:marRight w:val="0"/>
                          <w:marTop w:val="0"/>
                          <w:marBottom w:val="0"/>
                          <w:divBdr>
                            <w:top w:val="none" w:sz="0" w:space="0" w:color="auto"/>
                            <w:left w:val="none" w:sz="0" w:space="0" w:color="auto"/>
                            <w:bottom w:val="none" w:sz="0" w:space="0" w:color="auto"/>
                            <w:right w:val="none" w:sz="0" w:space="0" w:color="auto"/>
                          </w:divBdr>
                          <w:divsChild>
                            <w:div w:id="414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7931">
                      <w:marLeft w:val="0"/>
                      <w:marRight w:val="0"/>
                      <w:marTop w:val="0"/>
                      <w:marBottom w:val="0"/>
                      <w:divBdr>
                        <w:top w:val="none" w:sz="0" w:space="0" w:color="auto"/>
                        <w:left w:val="none" w:sz="0" w:space="0" w:color="auto"/>
                        <w:bottom w:val="none" w:sz="0" w:space="0" w:color="auto"/>
                        <w:right w:val="none" w:sz="0" w:space="0" w:color="auto"/>
                      </w:divBdr>
                    </w:div>
                    <w:div w:id="1911497230">
                      <w:marLeft w:val="0"/>
                      <w:marRight w:val="0"/>
                      <w:marTop w:val="0"/>
                      <w:marBottom w:val="0"/>
                      <w:divBdr>
                        <w:top w:val="none" w:sz="0" w:space="0" w:color="auto"/>
                        <w:left w:val="none" w:sz="0" w:space="0" w:color="auto"/>
                        <w:bottom w:val="none" w:sz="0" w:space="0" w:color="auto"/>
                        <w:right w:val="none" w:sz="0" w:space="0" w:color="auto"/>
                      </w:divBdr>
                      <w:divsChild>
                        <w:div w:id="63572342">
                          <w:marLeft w:val="0"/>
                          <w:marRight w:val="0"/>
                          <w:marTop w:val="0"/>
                          <w:marBottom w:val="0"/>
                          <w:divBdr>
                            <w:top w:val="none" w:sz="0" w:space="0" w:color="auto"/>
                            <w:left w:val="none" w:sz="0" w:space="0" w:color="auto"/>
                            <w:bottom w:val="none" w:sz="0" w:space="0" w:color="auto"/>
                            <w:right w:val="none" w:sz="0" w:space="0" w:color="auto"/>
                          </w:divBdr>
                          <w:divsChild>
                            <w:div w:id="1022626812">
                              <w:marLeft w:val="0"/>
                              <w:marRight w:val="0"/>
                              <w:marTop w:val="0"/>
                              <w:marBottom w:val="0"/>
                              <w:divBdr>
                                <w:top w:val="none" w:sz="0" w:space="0" w:color="auto"/>
                                <w:left w:val="none" w:sz="0" w:space="0" w:color="auto"/>
                                <w:bottom w:val="none" w:sz="0" w:space="0" w:color="auto"/>
                                <w:right w:val="none" w:sz="0" w:space="0" w:color="auto"/>
                              </w:divBdr>
                            </w:div>
                            <w:div w:id="1219631913">
                              <w:marLeft w:val="0"/>
                              <w:marRight w:val="0"/>
                              <w:marTop w:val="0"/>
                              <w:marBottom w:val="0"/>
                              <w:divBdr>
                                <w:top w:val="none" w:sz="0" w:space="0" w:color="auto"/>
                                <w:left w:val="none" w:sz="0" w:space="0" w:color="auto"/>
                                <w:bottom w:val="none" w:sz="0" w:space="0" w:color="auto"/>
                                <w:right w:val="none" w:sz="0" w:space="0" w:color="auto"/>
                              </w:divBdr>
                            </w:div>
                            <w:div w:id="18733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3795">
                      <w:marLeft w:val="0"/>
                      <w:marRight w:val="0"/>
                      <w:marTop w:val="0"/>
                      <w:marBottom w:val="0"/>
                      <w:divBdr>
                        <w:top w:val="none" w:sz="0" w:space="0" w:color="auto"/>
                        <w:left w:val="none" w:sz="0" w:space="0" w:color="auto"/>
                        <w:bottom w:val="none" w:sz="0" w:space="0" w:color="auto"/>
                        <w:right w:val="none" w:sz="0" w:space="0" w:color="auto"/>
                      </w:divBdr>
                      <w:divsChild>
                        <w:div w:id="537469173">
                          <w:marLeft w:val="0"/>
                          <w:marRight w:val="0"/>
                          <w:marTop w:val="0"/>
                          <w:marBottom w:val="0"/>
                          <w:divBdr>
                            <w:top w:val="none" w:sz="0" w:space="0" w:color="auto"/>
                            <w:left w:val="none" w:sz="0" w:space="0" w:color="auto"/>
                            <w:bottom w:val="none" w:sz="0" w:space="0" w:color="auto"/>
                            <w:right w:val="none" w:sz="0" w:space="0" w:color="auto"/>
                          </w:divBdr>
                        </w:div>
                        <w:div w:id="1767923135">
                          <w:marLeft w:val="0"/>
                          <w:marRight w:val="0"/>
                          <w:marTop w:val="0"/>
                          <w:marBottom w:val="0"/>
                          <w:divBdr>
                            <w:top w:val="none" w:sz="0" w:space="0" w:color="auto"/>
                            <w:left w:val="none" w:sz="0" w:space="0" w:color="auto"/>
                            <w:bottom w:val="none" w:sz="0" w:space="0" w:color="auto"/>
                            <w:right w:val="none" w:sz="0" w:space="0" w:color="auto"/>
                          </w:divBdr>
                        </w:div>
                        <w:div w:id="1979071629">
                          <w:marLeft w:val="0"/>
                          <w:marRight w:val="0"/>
                          <w:marTop w:val="0"/>
                          <w:marBottom w:val="0"/>
                          <w:divBdr>
                            <w:top w:val="none" w:sz="0" w:space="0" w:color="auto"/>
                            <w:left w:val="none" w:sz="0" w:space="0" w:color="auto"/>
                            <w:bottom w:val="none" w:sz="0" w:space="0" w:color="auto"/>
                            <w:right w:val="none" w:sz="0" w:space="0" w:color="auto"/>
                          </w:divBdr>
                          <w:divsChild>
                            <w:div w:id="300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54439">
      <w:bodyDiv w:val="1"/>
      <w:marLeft w:val="0"/>
      <w:marRight w:val="0"/>
      <w:marTop w:val="0"/>
      <w:marBottom w:val="0"/>
      <w:divBdr>
        <w:top w:val="none" w:sz="0" w:space="0" w:color="auto"/>
        <w:left w:val="none" w:sz="0" w:space="0" w:color="auto"/>
        <w:bottom w:val="none" w:sz="0" w:space="0" w:color="auto"/>
        <w:right w:val="none" w:sz="0" w:space="0" w:color="auto"/>
      </w:divBdr>
      <w:divsChild>
        <w:div w:id="1431047814">
          <w:marLeft w:val="0"/>
          <w:marRight w:val="0"/>
          <w:marTop w:val="0"/>
          <w:marBottom w:val="0"/>
          <w:divBdr>
            <w:top w:val="none" w:sz="0" w:space="0" w:color="auto"/>
            <w:left w:val="none" w:sz="0" w:space="0" w:color="auto"/>
            <w:bottom w:val="none" w:sz="0" w:space="0" w:color="auto"/>
            <w:right w:val="none" w:sz="0" w:space="0" w:color="auto"/>
          </w:divBdr>
        </w:div>
      </w:divsChild>
    </w:div>
    <w:div w:id="1725790437">
      <w:bodyDiv w:val="1"/>
      <w:marLeft w:val="0"/>
      <w:marRight w:val="0"/>
      <w:marTop w:val="0"/>
      <w:marBottom w:val="0"/>
      <w:divBdr>
        <w:top w:val="none" w:sz="0" w:space="0" w:color="auto"/>
        <w:left w:val="none" w:sz="0" w:space="0" w:color="auto"/>
        <w:bottom w:val="none" w:sz="0" w:space="0" w:color="auto"/>
        <w:right w:val="none" w:sz="0" w:space="0" w:color="auto"/>
      </w:divBdr>
      <w:divsChild>
        <w:div w:id="1622296451">
          <w:marLeft w:val="0"/>
          <w:marRight w:val="0"/>
          <w:marTop w:val="0"/>
          <w:marBottom w:val="0"/>
          <w:divBdr>
            <w:top w:val="none" w:sz="0" w:space="0" w:color="auto"/>
            <w:left w:val="none" w:sz="0" w:space="0" w:color="auto"/>
            <w:bottom w:val="none" w:sz="0" w:space="0" w:color="auto"/>
            <w:right w:val="none" w:sz="0" w:space="0" w:color="auto"/>
          </w:divBdr>
        </w:div>
        <w:div w:id="1021248636">
          <w:marLeft w:val="0"/>
          <w:marRight w:val="0"/>
          <w:marTop w:val="0"/>
          <w:marBottom w:val="0"/>
          <w:divBdr>
            <w:top w:val="none" w:sz="0" w:space="0" w:color="auto"/>
            <w:left w:val="none" w:sz="0" w:space="0" w:color="auto"/>
            <w:bottom w:val="none" w:sz="0" w:space="0" w:color="auto"/>
            <w:right w:val="none" w:sz="0" w:space="0" w:color="auto"/>
          </w:divBdr>
          <w:divsChild>
            <w:div w:id="480999436">
              <w:marLeft w:val="0"/>
              <w:marRight w:val="0"/>
              <w:marTop w:val="0"/>
              <w:marBottom w:val="0"/>
              <w:divBdr>
                <w:top w:val="none" w:sz="0" w:space="0" w:color="auto"/>
                <w:left w:val="none" w:sz="0" w:space="0" w:color="auto"/>
                <w:bottom w:val="none" w:sz="0" w:space="0" w:color="auto"/>
                <w:right w:val="none" w:sz="0" w:space="0" w:color="auto"/>
              </w:divBdr>
            </w:div>
            <w:div w:id="196552822">
              <w:marLeft w:val="0"/>
              <w:marRight w:val="0"/>
              <w:marTop w:val="0"/>
              <w:marBottom w:val="0"/>
              <w:divBdr>
                <w:top w:val="none" w:sz="0" w:space="0" w:color="auto"/>
                <w:left w:val="none" w:sz="0" w:space="0" w:color="auto"/>
                <w:bottom w:val="none" w:sz="0" w:space="0" w:color="auto"/>
                <w:right w:val="none" w:sz="0" w:space="0" w:color="auto"/>
              </w:divBdr>
            </w:div>
          </w:divsChild>
        </w:div>
        <w:div w:id="2079624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2a79b5-d9d6-4593-a8a7-149981f7045e">
      <Terms xmlns="http://schemas.microsoft.com/office/infopath/2007/PartnerControls"/>
    </lcf76f155ced4ddcb4097134ff3c332f>
    <_ip_UnifiedCompliancePolicyProperties xmlns="http://schemas.microsoft.com/sharepoint/v3" xsi:nil="true"/>
    <location xmlns="872a79b5-d9d6-4593-a8a7-149981f7045e" xsi:nil="true"/>
    <TaxCatchAll xmlns="2520a3a8-e6dc-4611-b3d5-a302db2a6b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27" ma:contentTypeDescription="Create a new document." ma:contentTypeScope="" ma:versionID="92841620ef55a5f68716364495492551">
  <xsd:schema xmlns:xsd="http://www.w3.org/2001/XMLSchema" xmlns:xs="http://www.w3.org/2001/XMLSchema" xmlns:p="http://schemas.microsoft.com/office/2006/metadata/properties" xmlns:ns1="http://schemas.microsoft.com/sharepoint/v3" xmlns:ns2="872a79b5-d9d6-4593-a8a7-149981f7045e" xmlns:ns3="2520a3a8-e6dc-4611-b3d5-a302db2a6b56" targetNamespace="http://schemas.microsoft.com/office/2006/metadata/properties" ma:root="true" ma:fieldsID="1ea165276c1daad8872ea908328c752a" ns1:_="" ns2:_="" ns3:_="">
    <xsd:import namespace="http://schemas.microsoft.com/sharepoint/v3"/>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8ba0e65-2c90-4787-ac70-332a6a7478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8afd9c5f-7bbf-49bb-b74a-6c96a817ca0a}" ma:internalName="TaxCatchAll" ma:showField="CatchAllData" ma:web="2520a3a8-e6dc-4611-b3d5-a302db2a6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08745-2901-4DF7-953A-CEA1DFFAB089}">
  <ds:schemaRefs>
    <ds:schemaRef ds:uri="http://schemas.microsoft.com/office/2006/metadata/properties"/>
    <ds:schemaRef ds:uri="http://schemas.microsoft.com/office/infopath/2007/PartnerControls"/>
    <ds:schemaRef ds:uri="http://schemas.microsoft.com/sharepoint/v3"/>
    <ds:schemaRef ds:uri="872a79b5-d9d6-4593-a8a7-149981f7045e"/>
    <ds:schemaRef ds:uri="2520a3a8-e6dc-4611-b3d5-a302db2a6b56"/>
  </ds:schemaRefs>
</ds:datastoreItem>
</file>

<file path=customXml/itemProps2.xml><?xml version="1.0" encoding="utf-8"?>
<ds:datastoreItem xmlns:ds="http://schemas.openxmlformats.org/officeDocument/2006/customXml" ds:itemID="{F781C6B1-B54B-4874-8315-09B9DDA3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97F0A-BE31-4A3E-A39B-2BA0F4604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4936</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FIRST - TIER TRIBUNAL</vt:lpstr>
    </vt:vector>
  </TitlesOfParts>
  <Company>Ministry of Justice</Company>
  <LinksUpToDate>false</LinksUpToDate>
  <CharactersWithSpaces>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 TIER TRIBUNAL</dc:title>
  <dc:subject/>
  <dc:creator>Duffy</dc:creator>
  <cp:keywords/>
  <dc:description/>
  <cp:lastModifiedBy>MacQueen, Bernadette</cp:lastModifiedBy>
  <cp:revision>2</cp:revision>
  <cp:lastPrinted>2012-12-13T14:01:00Z</cp:lastPrinted>
  <dcterms:created xsi:type="dcterms:W3CDTF">2025-03-03T20:51:00Z</dcterms:created>
  <dcterms:modified xsi:type="dcterms:W3CDTF">2025-03-03T20:51:00Z</dcterms:modified>
</cp:coreProperties>
</file>