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c0000"/>
          <w:sz w:val="28"/>
          <w:szCs w:val="28"/>
          <w:u w:val="none"/>
          <w:shd w:fill="auto" w:val="clear"/>
          <w:vertAlign w:val="baseline"/>
          <w:rtl w:val="0"/>
        </w:rPr>
        <w:t xml:space="preserve">Committee on Standards in Public Life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c0000"/>
          <w:sz w:val="28"/>
          <w:szCs w:val="28"/>
          <w:u w:val="none"/>
          <w:shd w:fill="auto" w:val="clear"/>
          <w:vertAlign w:val="baseline"/>
          <w:rtl w:val="0"/>
        </w:rPr>
        <w:t xml:space="preserve">Forward Agenda to </w:t>
      </w:r>
      <w:r w:rsidDel="00000000" w:rsidR="00000000" w:rsidRPr="00000000">
        <w:rPr>
          <w:b w:val="1"/>
          <w:color w:val="cc0000"/>
          <w:sz w:val="28"/>
          <w:szCs w:val="28"/>
          <w:rtl w:val="0"/>
        </w:rPr>
        <w:t xml:space="preserve">December 2024</w:t>
      </w: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2295"/>
        <w:gridCol w:w="3735"/>
        <w:gridCol w:w="1875"/>
        <w:gridCol w:w="4770"/>
        <w:tblGridChange w:id="0">
          <w:tblGrid>
            <w:gridCol w:w="2055"/>
            <w:gridCol w:w="2295"/>
            <w:gridCol w:w="3735"/>
            <w:gridCol w:w="1875"/>
            <w:gridCol w:w="4770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Standing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Reviews/papers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pStyle w:val="Title"/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Governance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October 2024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Room G34, 1HGR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1) Minutes of last meeting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2) Registers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3) Live standards issues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4) Forward Look Grid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5) FOI if any requests received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6)AOB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rtl w:val="0"/>
              </w:rPr>
              <w:t xml:space="preserve">Accountability review</w:t>
            </w:r>
            <w:r w:rsidDel="00000000" w:rsidR="00000000" w:rsidRPr="00000000">
              <w:rPr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of future work programme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Leading in Practice review as required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Upholding Standards in Public Life review as required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Election Review as required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Local Government Ethical Standards review as required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risk register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[Watching briefs: b</w:t>
            </w:r>
            <w:r w:rsidDel="00000000" w:rsidR="00000000" w:rsidRPr="00000000">
              <w:rPr>
                <w:i w:val="1"/>
                <w:rtl w:val="0"/>
              </w:rPr>
              <w:t xml:space="preserve">ullying and </w:t>
            </w:r>
            <w:r w:rsidDel="00000000" w:rsidR="00000000" w:rsidRPr="00000000">
              <w:rPr>
                <w:i w:val="1"/>
                <w:rtl w:val="0"/>
              </w:rPr>
              <w:t xml:space="preserve">harassment</w:t>
            </w:r>
            <w:r w:rsidDel="00000000" w:rsidR="00000000" w:rsidRPr="00000000">
              <w:rPr>
                <w:i w:val="1"/>
                <w:rtl w:val="0"/>
              </w:rPr>
              <w:t xml:space="preserve">, culture in Parliament</w:t>
            </w:r>
            <w:r w:rsidDel="00000000" w:rsidR="00000000" w:rsidRPr="00000000">
              <w:rPr>
                <w:i w:val="1"/>
                <w:rtl w:val="0"/>
              </w:rPr>
              <w:t xml:space="preserve">, AI]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30th Anniversary of the establishment of the Committee on Standards in Public Life: Mark Philp’s blog and paper to be published at end of October)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November 2024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Room G34, 1HGR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1) Minutes of last meeting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2) Registers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3) Live standards issues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4) Forward Look Grid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5) FOI if any requests received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6)AOB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[Accountability review]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of future work programme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Leading in Practice review as required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Upholding Standards in Public Life review as required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Election Review as required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Local Government Ethical Standards review as required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risk register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[Watching briefs: b</w:t>
            </w:r>
            <w:r w:rsidDel="00000000" w:rsidR="00000000" w:rsidRPr="00000000">
              <w:rPr>
                <w:i w:val="1"/>
                <w:rtl w:val="0"/>
              </w:rPr>
              <w:t xml:space="preserve">ullying and </w:t>
            </w:r>
            <w:r w:rsidDel="00000000" w:rsidR="00000000" w:rsidRPr="00000000">
              <w:rPr>
                <w:i w:val="1"/>
                <w:rtl w:val="0"/>
              </w:rPr>
              <w:t xml:space="preserve">harassment</w:t>
            </w:r>
            <w:r w:rsidDel="00000000" w:rsidR="00000000" w:rsidRPr="00000000">
              <w:rPr>
                <w:i w:val="1"/>
                <w:rtl w:val="0"/>
              </w:rPr>
              <w:t xml:space="preserve">, culture in Parliament, </w:t>
            </w:r>
            <w:r w:rsidDel="00000000" w:rsidR="00000000" w:rsidRPr="00000000">
              <w:rPr>
                <w:i w:val="1"/>
                <w:rtl w:val="0"/>
              </w:rPr>
              <w:t xml:space="preserve">AI]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 December 2024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Room G34, 1HGR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1) Minutes of last meeting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2) Registers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3) Live standards issues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4) Forward Look Grid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5) FOI if any requests received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6)AOB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Accountability review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of future work programme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Leading in Practice review as required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Upholding Standards in Public Life review as required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Election Review as required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Follow up to Local Government Ethical Standards review as required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risk register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[Watching briefs: b</w:t>
            </w:r>
            <w:r w:rsidDel="00000000" w:rsidR="00000000" w:rsidRPr="00000000">
              <w:rPr>
                <w:i w:val="1"/>
                <w:rtl w:val="0"/>
              </w:rPr>
              <w:t xml:space="preserve">ullying and </w:t>
            </w:r>
            <w:r w:rsidDel="00000000" w:rsidR="00000000" w:rsidRPr="00000000">
              <w:rPr>
                <w:i w:val="1"/>
                <w:rtl w:val="0"/>
              </w:rPr>
              <w:t xml:space="preserve">harassment</w:t>
            </w:r>
            <w:r w:rsidDel="00000000" w:rsidR="00000000" w:rsidRPr="00000000">
              <w:rPr>
                <w:i w:val="1"/>
                <w:rtl w:val="0"/>
              </w:rPr>
              <w:t xml:space="preserve">, culture in Parliament,</w:t>
            </w:r>
            <w:r w:rsidDel="00000000" w:rsidR="00000000" w:rsidRPr="00000000">
              <w:rPr>
                <w:i w:val="1"/>
                <w:rtl w:val="0"/>
              </w:rPr>
              <w:t xml:space="preserve"> AI]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566.9291338582677" w:top="850.3937007874016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