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079E" w:rsidP="063C0B3D" w:rsidRDefault="00CD7298" w14:paraId="6B24B926" w14:textId="69493F4D">
      <w:pPr>
        <w:keepNext w:val="1"/>
        <w:pBdr>
          <w:top w:val="nil" w:color="000000" w:sz="0" w:space="0"/>
          <w:left w:val="nil" w:color="000000" w:sz="0" w:space="0"/>
          <w:bottom w:val="nil" w:color="000000" w:sz="0" w:space="0"/>
          <w:right w:val="nil" w:color="000000" w:sz="0" w:space="0"/>
          <w:between w:val="nil" w:color="000000" w:sz="0" w:space="0"/>
        </w:pBdr>
        <w:rPr>
          <w:rFonts w:eastAsia="Arial" w:cs="Arial"/>
          <w:b w:val="1"/>
          <w:bCs w:val="1"/>
          <w:color w:val="000000"/>
          <w:sz w:val="36"/>
          <w:szCs w:val="36"/>
        </w:rPr>
      </w:pPr>
      <w:r w:rsidRPr="063C0B3D" w:rsidR="00CD7298">
        <w:rPr>
          <w:rFonts w:eastAsia="Arial" w:cs="Arial"/>
          <w:b w:val="1"/>
          <w:bCs w:val="1"/>
          <w:color w:val="000000" w:themeColor="text1" w:themeTint="FF" w:themeShade="FF"/>
          <w:sz w:val="36"/>
          <w:szCs w:val="36"/>
        </w:rPr>
        <w:t>Schedule 10 (</w:t>
      </w:r>
      <w:r w:rsidRPr="063C0B3D" w:rsidR="3C1A3E35">
        <w:rPr>
          <w:rFonts w:eastAsia="Arial" w:cs="Arial"/>
          <w:b w:val="1"/>
          <w:bCs w:val="1"/>
          <w:color w:val="000000" w:themeColor="text1" w:themeTint="FF" w:themeShade="FF"/>
          <w:sz w:val="36"/>
          <w:szCs w:val="36"/>
        </w:rPr>
        <w:t xml:space="preserve">Performance </w:t>
      </w:r>
      <w:r w:rsidRPr="063C0B3D" w:rsidR="00CD7298">
        <w:rPr>
          <w:rFonts w:eastAsia="Arial" w:cs="Arial"/>
          <w:b w:val="1"/>
          <w:bCs w:val="1"/>
          <w:color w:val="000000" w:themeColor="text1" w:themeTint="FF" w:themeShade="FF"/>
          <w:sz w:val="36"/>
          <w:szCs w:val="36"/>
        </w:rPr>
        <w:t>Levels)</w:t>
      </w:r>
    </w:p>
    <w:p w:rsidRPr="0088685B" w:rsidR="00CA079E" w:rsidP="00135404" w:rsidRDefault="00CD7298" w14:paraId="7ADFE79A" w14:textId="77777777">
      <w:pPr>
        <w:pStyle w:val="GPSL1CLAUSEHEADING"/>
        <w:rPr>
          <w:rFonts w:ascii="Arial" w:hAnsi="Arial"/>
        </w:rPr>
      </w:pPr>
      <w:bookmarkStart w:name="_heading=h.30j0zll" w:colFirst="0" w:colLast="0" w:id="1"/>
      <w:bookmarkEnd w:id="1"/>
      <w:r w:rsidRPr="0088685B">
        <w:rPr>
          <w:rFonts w:ascii="Arial" w:hAnsi="Arial"/>
        </w:rPr>
        <w:t>Definitions</w:t>
      </w:r>
    </w:p>
    <w:p w:rsidR="00CA079E" w:rsidP="005127A9" w:rsidRDefault="00CD7298" w14:paraId="7AC5086F" w14:textId="1C79E44F">
      <w:pPr>
        <w:pStyle w:val="GPSL2numberedclause"/>
        <w:tabs>
          <w:tab w:val="clear" w:pos="907"/>
          <w:tab w:val="clear" w:pos="1134"/>
          <w:tab w:val="num" w:pos="993"/>
        </w:tabs>
        <w:ind w:left="993" w:hanging="567"/>
      </w:pPr>
      <w:r>
        <w:rPr>
          <w:rFonts w:eastAsia="Arial"/>
        </w:rPr>
        <w:t xml:space="preserve">In this Schedule, the following words shall have the following </w:t>
      </w:r>
      <w:proofErr w:type="gramStart"/>
      <w:r>
        <w:rPr>
          <w:rFonts w:eastAsia="Arial"/>
        </w:rPr>
        <w:t>meanings</w:t>
      </w:r>
      <w:proofErr w:type="gramEnd"/>
      <w:r>
        <w:rPr>
          <w:rFonts w:eastAsia="Arial"/>
        </w:rPr>
        <w:t xml:space="preserve"> and they shall supplement Schedule 1 (</w:t>
      </w:r>
      <w:r w:rsidRPr="00C237C7">
        <w:rPr>
          <w:rFonts w:eastAsia="Arial"/>
          <w:i/>
          <w:iCs/>
        </w:rPr>
        <w:t>Definitions</w:t>
      </w:r>
      <w:r>
        <w:rPr>
          <w:rFonts w:eastAsia="Arial"/>
        </w:rPr>
        <w:t>):</w:t>
      </w:r>
    </w:p>
    <w:tbl>
      <w:tblPr>
        <w:tblStyle w:val="3"/>
        <w:tblW w:w="8422" w:type="dxa"/>
        <w:tblInd w:w="900" w:type="dxa"/>
        <w:tblLayout w:type="fixed"/>
        <w:tblLook w:val="0400" w:firstRow="0" w:lastRow="0" w:firstColumn="0" w:lastColumn="0" w:noHBand="0" w:noVBand="1"/>
      </w:tblPr>
      <w:tblGrid>
        <w:gridCol w:w="2469"/>
        <w:gridCol w:w="5953"/>
      </w:tblGrid>
      <w:tr w:rsidR="00CA079E" w:rsidTr="7901602A" w14:paraId="3EEE0A52" w14:textId="77777777">
        <w:tc>
          <w:tcPr>
            <w:tcW w:w="2469" w:type="dxa"/>
            <w:shd w:val="clear" w:color="auto" w:fill="auto"/>
          </w:tcPr>
          <w:p w:rsidR="00CA079E" w:rsidP="00C01161" w:rsidRDefault="00CD7298" w14:paraId="73E19683" w14:textId="535E164C">
            <w:pPr>
              <w:pBdr>
                <w:top w:val="nil"/>
                <w:left w:val="nil"/>
                <w:bottom w:val="nil"/>
                <w:right w:val="nil"/>
                <w:between w:val="nil"/>
              </w:pBdr>
              <w:spacing w:before="120" w:after="120" w:line="240" w:lineRule="auto"/>
              <w:ind w:left="-108"/>
              <w:rPr>
                <w:rFonts w:eastAsia="Arial" w:cs="Arial"/>
                <w:b/>
                <w:color w:val="000000"/>
              </w:rPr>
            </w:pPr>
            <w:r>
              <w:rPr>
                <w:rFonts w:eastAsia="Arial" w:cs="Arial"/>
                <w:b/>
                <w:color w:val="000000"/>
              </w:rPr>
              <w:t xml:space="preserve">"Critical </w:t>
            </w:r>
            <w:r w:rsidR="00C01161">
              <w:rPr>
                <w:rFonts w:eastAsia="Arial" w:cs="Arial"/>
                <w:b/>
                <w:color w:val="000000"/>
              </w:rPr>
              <w:t>KPI</w:t>
            </w:r>
            <w:r>
              <w:rPr>
                <w:rFonts w:eastAsia="Arial" w:cs="Arial"/>
                <w:b/>
                <w:color w:val="000000"/>
              </w:rPr>
              <w:t xml:space="preserve"> Failure"</w:t>
            </w:r>
          </w:p>
        </w:tc>
        <w:tc>
          <w:tcPr>
            <w:tcW w:w="5953" w:type="dxa"/>
            <w:shd w:val="clear" w:color="auto" w:fill="auto"/>
          </w:tcPr>
          <w:p w:rsidR="00CA079E" w:rsidP="00F36489" w:rsidRDefault="00CD7298" w14:paraId="30581A19" w14:textId="77777777">
            <w:pPr>
              <w:pBdr>
                <w:top w:val="nil"/>
                <w:left w:val="nil"/>
                <w:bottom w:val="nil"/>
                <w:right w:val="nil"/>
                <w:between w:val="nil"/>
              </w:pBdr>
              <w:tabs>
                <w:tab w:val="left" w:pos="-9"/>
              </w:tabs>
              <w:spacing w:before="120" w:after="120" w:line="240" w:lineRule="auto"/>
              <w:rPr>
                <w:rFonts w:eastAsia="Arial" w:cs="Arial"/>
                <w:color w:val="000000"/>
              </w:rPr>
            </w:pPr>
            <w:r>
              <w:rPr>
                <w:rFonts w:eastAsia="Arial" w:cs="Arial"/>
                <w:color w:val="000000"/>
              </w:rPr>
              <w:t>has the meaning given to it in the Award Form;</w:t>
            </w:r>
          </w:p>
        </w:tc>
      </w:tr>
      <w:tr w:rsidR="00E77AE1" w:rsidTr="7901602A" w14:paraId="591DC028" w14:textId="77777777">
        <w:tc>
          <w:tcPr>
            <w:tcW w:w="2469" w:type="dxa"/>
            <w:shd w:val="clear" w:color="auto" w:fill="auto"/>
          </w:tcPr>
          <w:p w:rsidR="00CA079E" w:rsidP="00E73E7F" w:rsidRDefault="00CD7298" w14:paraId="509EE945" w14:textId="1E12AA3A">
            <w:pPr>
              <w:pBdr>
                <w:top w:val="nil"/>
                <w:left w:val="nil"/>
                <w:bottom w:val="nil"/>
                <w:right w:val="nil"/>
                <w:between w:val="nil"/>
              </w:pBdr>
              <w:spacing w:before="120" w:after="120" w:line="240" w:lineRule="auto"/>
              <w:ind w:left="-108"/>
              <w:rPr>
                <w:rFonts w:eastAsia="Arial" w:cs="Arial"/>
                <w:b/>
                <w:color w:val="000000"/>
              </w:rPr>
            </w:pPr>
            <w:r>
              <w:rPr>
                <w:rFonts w:eastAsia="Arial" w:cs="Arial"/>
                <w:b/>
                <w:color w:val="000000"/>
              </w:rPr>
              <w:t>"</w:t>
            </w:r>
            <w:r w:rsidR="00E73E7F">
              <w:rPr>
                <w:rFonts w:eastAsia="Arial" w:cs="Arial"/>
                <w:b/>
                <w:color w:val="000000"/>
              </w:rPr>
              <w:t xml:space="preserve">KPI </w:t>
            </w:r>
            <w:r>
              <w:rPr>
                <w:rFonts w:eastAsia="Arial" w:cs="Arial"/>
                <w:b/>
                <w:color w:val="000000"/>
              </w:rPr>
              <w:t>Failure"</w:t>
            </w:r>
          </w:p>
        </w:tc>
        <w:tc>
          <w:tcPr>
            <w:tcW w:w="5953" w:type="dxa"/>
            <w:shd w:val="clear" w:color="auto" w:fill="auto"/>
          </w:tcPr>
          <w:p w:rsidRPr="00135404" w:rsidR="00E77AE1" w:rsidP="0088685B" w:rsidRDefault="00E77AE1" w14:paraId="3EE784E8" w14:textId="5FBA5F56">
            <w:pPr>
              <w:spacing w:before="120" w:after="120" w:line="240" w:lineRule="auto"/>
              <w:rPr>
                <w:rFonts w:eastAsia="Arial" w:cs="Arial"/>
                <w:color w:val="000000"/>
              </w:rPr>
            </w:pPr>
            <w:r>
              <w:rPr>
                <w:rFonts w:eastAsia="Arial" w:cs="Arial"/>
                <w:color w:val="000000"/>
              </w:rPr>
              <w:t>a failure to meet the KPI Performance Measure in respect of a Key Performance Indicator;</w:t>
            </w:r>
          </w:p>
        </w:tc>
      </w:tr>
      <w:tr w:rsidR="00E77AE1" w:rsidTr="7901602A" w14:paraId="5D1384E9" w14:textId="77777777">
        <w:tc>
          <w:tcPr>
            <w:tcW w:w="2469" w:type="dxa"/>
            <w:shd w:val="clear" w:color="auto" w:fill="auto"/>
          </w:tcPr>
          <w:p w:rsidR="00CA079E" w:rsidP="00E73E7F" w:rsidRDefault="00CD7298" w14:paraId="5F8F4490" w14:textId="75666F69">
            <w:pPr>
              <w:pBdr>
                <w:top w:val="nil"/>
                <w:left w:val="nil"/>
                <w:bottom w:val="nil"/>
                <w:right w:val="nil"/>
                <w:between w:val="nil"/>
              </w:pBdr>
              <w:spacing w:before="120" w:after="120" w:line="240" w:lineRule="auto"/>
              <w:ind w:left="-108"/>
              <w:rPr>
                <w:rFonts w:eastAsia="Arial" w:cs="Arial"/>
                <w:b/>
                <w:color w:val="000000"/>
              </w:rPr>
            </w:pPr>
            <w:r>
              <w:rPr>
                <w:rFonts w:eastAsia="Arial" w:cs="Arial"/>
                <w:b/>
                <w:color w:val="000000"/>
              </w:rPr>
              <w:t>"</w:t>
            </w:r>
            <w:proofErr w:type="gramStart"/>
            <w:r w:rsidR="00E73E7F">
              <w:rPr>
                <w:rFonts w:eastAsia="Arial" w:cs="Arial"/>
                <w:b/>
                <w:color w:val="000000"/>
              </w:rPr>
              <w:t xml:space="preserve">KPI </w:t>
            </w:r>
            <w:r>
              <w:rPr>
                <w:rFonts w:eastAsia="Arial" w:cs="Arial"/>
                <w:b/>
                <w:color w:val="000000"/>
              </w:rPr>
              <w:t xml:space="preserve"> Performance</w:t>
            </w:r>
            <w:proofErr w:type="gramEnd"/>
            <w:r>
              <w:rPr>
                <w:rFonts w:eastAsia="Arial" w:cs="Arial"/>
                <w:b/>
                <w:color w:val="000000"/>
              </w:rPr>
              <w:t xml:space="preserve"> Measure"</w:t>
            </w:r>
          </w:p>
        </w:tc>
        <w:tc>
          <w:tcPr>
            <w:tcW w:w="5953" w:type="dxa"/>
            <w:shd w:val="clear" w:color="auto" w:fill="auto"/>
          </w:tcPr>
          <w:p w:rsidRPr="00135404" w:rsidR="00E77AE1" w:rsidP="0088685B" w:rsidRDefault="00E77AE1" w14:paraId="5B46DE12" w14:textId="5D62F29F">
            <w:pPr>
              <w:spacing w:before="120" w:after="120" w:line="240" w:lineRule="auto"/>
              <w:rPr>
                <w:rFonts w:eastAsia="Arial" w:cs="Arial"/>
                <w:color w:val="000000"/>
              </w:rPr>
            </w:pPr>
            <w:r>
              <w:rPr>
                <w:rFonts w:eastAsia="Arial" w:cs="Arial"/>
                <w:color w:val="000000"/>
              </w:rPr>
              <w:t>shall be as set out against the relevant Key Performance Indicator in the Annex to Part A of this Schedule;</w:t>
            </w:r>
          </w:p>
        </w:tc>
      </w:tr>
      <w:tr w:rsidR="00E77AE1" w:rsidTr="7901602A" w14:paraId="4D674B6D" w14:textId="77777777">
        <w:tc>
          <w:tcPr>
            <w:tcW w:w="2469" w:type="dxa"/>
            <w:shd w:val="clear" w:color="auto" w:fill="auto"/>
          </w:tcPr>
          <w:p w:rsidR="00CA079E" w:rsidP="00E73E7F" w:rsidRDefault="00CD7298" w14:paraId="6341298E" w14:textId="7CF471E0">
            <w:pPr>
              <w:pBdr>
                <w:top w:val="nil"/>
                <w:left w:val="nil"/>
                <w:bottom w:val="nil"/>
                <w:right w:val="nil"/>
                <w:between w:val="nil"/>
              </w:pBdr>
              <w:spacing w:before="120" w:after="120" w:line="240" w:lineRule="auto"/>
              <w:ind w:left="-108"/>
              <w:rPr>
                <w:rFonts w:eastAsia="Arial" w:cs="Arial"/>
                <w:b/>
                <w:color w:val="000000"/>
              </w:rPr>
            </w:pPr>
            <w:r>
              <w:rPr>
                <w:rFonts w:eastAsia="Arial" w:cs="Arial"/>
                <w:b/>
                <w:color w:val="000000"/>
              </w:rPr>
              <w:t>"</w:t>
            </w:r>
            <w:r w:rsidR="00E73E7F">
              <w:rPr>
                <w:rFonts w:eastAsia="Arial" w:cs="Arial"/>
                <w:b/>
                <w:color w:val="000000"/>
              </w:rPr>
              <w:t>KPI</w:t>
            </w:r>
            <w:r>
              <w:rPr>
                <w:rFonts w:eastAsia="Arial" w:cs="Arial"/>
                <w:b/>
                <w:color w:val="000000"/>
              </w:rPr>
              <w:t xml:space="preserve"> Threshold"</w:t>
            </w:r>
          </w:p>
        </w:tc>
        <w:tc>
          <w:tcPr>
            <w:tcW w:w="5953" w:type="dxa"/>
            <w:shd w:val="clear" w:color="auto" w:fill="auto"/>
          </w:tcPr>
          <w:p w:rsidRPr="00135404" w:rsidR="00E77AE1" w:rsidP="0088685B" w:rsidRDefault="00E77AE1" w14:paraId="081DC3B9" w14:textId="42C45528">
            <w:pPr>
              <w:spacing w:before="120" w:after="120" w:line="240" w:lineRule="auto"/>
              <w:rPr>
                <w:rFonts w:eastAsia="Arial" w:cs="Arial"/>
                <w:color w:val="000000"/>
              </w:rPr>
            </w:pPr>
            <w:r>
              <w:rPr>
                <w:rFonts w:eastAsia="Arial" w:cs="Arial"/>
                <w:color w:val="000000"/>
              </w:rPr>
              <w:t xml:space="preserve">shall be as set out against the relevant Key Performance Indicator in the Annex to </w:t>
            </w:r>
            <w:r w:rsidRPr="00147AB8">
              <w:rPr>
                <w:rFonts w:eastAsia="Arial" w:cs="Arial"/>
                <w:color w:val="000000"/>
              </w:rPr>
              <w:t>Part </w:t>
            </w:r>
            <w:r>
              <w:rPr>
                <w:rFonts w:eastAsia="Arial" w:cs="Arial"/>
                <w:color w:val="000000"/>
              </w:rPr>
              <w:t>A of this Schedule</w:t>
            </w:r>
            <w:r w:rsidR="00A7666C">
              <w:rPr>
                <w:rFonts w:eastAsia="Arial" w:cs="Arial"/>
                <w:color w:val="000000"/>
              </w:rPr>
              <w:t>;</w:t>
            </w:r>
          </w:p>
        </w:tc>
      </w:tr>
      <w:tr w:rsidR="00701ED3" w:rsidTr="7901602A" w14:paraId="0E788E89" w14:textId="77777777">
        <w:tc>
          <w:tcPr>
            <w:tcW w:w="2469" w:type="dxa"/>
            <w:shd w:val="clear" w:color="auto" w:fill="auto"/>
          </w:tcPr>
          <w:p w:rsidR="00701ED3" w:rsidP="00701ED3" w:rsidRDefault="00701ED3" w14:paraId="3C9AB8E4" w14:textId="5F3C6E26">
            <w:pPr>
              <w:pBdr>
                <w:top w:val="nil"/>
                <w:left w:val="nil"/>
                <w:bottom w:val="nil"/>
                <w:right w:val="nil"/>
                <w:between w:val="nil"/>
              </w:pBdr>
              <w:spacing w:before="120" w:after="120" w:line="240" w:lineRule="auto"/>
              <w:ind w:left="-108"/>
              <w:rPr>
                <w:rFonts w:eastAsia="Arial" w:cs="Arial"/>
                <w:b/>
                <w:color w:val="000000"/>
              </w:rPr>
            </w:pPr>
            <w:r>
              <w:rPr>
                <w:rFonts w:eastAsia="Arial" w:cs="Arial"/>
                <w:b/>
                <w:color w:val="000000"/>
              </w:rPr>
              <w:t>“Measurement Period”</w:t>
            </w:r>
          </w:p>
        </w:tc>
        <w:tc>
          <w:tcPr>
            <w:tcW w:w="5953" w:type="dxa"/>
            <w:shd w:val="clear" w:color="auto" w:fill="auto"/>
          </w:tcPr>
          <w:p w:rsidR="00701ED3" w:rsidP="00701ED3" w:rsidRDefault="00701ED3" w14:paraId="16B3E583" w14:textId="13DB4D98">
            <w:pPr>
              <w:spacing w:before="120" w:after="120" w:line="240" w:lineRule="auto"/>
              <w:rPr>
                <w:rFonts w:eastAsia="Arial" w:cs="Arial"/>
                <w:color w:val="000000"/>
              </w:rPr>
            </w:pPr>
            <w:r w:rsidRPr="000922DC">
              <w:rPr>
                <w:color w:val="000000"/>
              </w:rPr>
              <w:t>in relation to a Key Performance Indicator, the period over which the Supplier’s performance is measured</w:t>
            </w:r>
            <w:r>
              <w:rPr>
                <w:color w:val="000000"/>
              </w:rPr>
              <w:t xml:space="preserve"> as set out against the relevant Key Performance Indicator in the Annex to Part A of this Schedule;</w:t>
            </w:r>
          </w:p>
        </w:tc>
      </w:tr>
      <w:tr w:rsidR="00701ED3" w:rsidTr="7901602A" w14:paraId="4C4E4A9A" w14:textId="77777777">
        <w:tc>
          <w:tcPr>
            <w:tcW w:w="2469" w:type="dxa"/>
            <w:shd w:val="clear" w:color="auto" w:fill="auto"/>
          </w:tcPr>
          <w:p w:rsidR="00701ED3" w:rsidP="00701ED3" w:rsidRDefault="00701ED3" w14:paraId="3BAAD172" w14:textId="43F8BBFE">
            <w:pPr>
              <w:pBdr>
                <w:top w:val="nil"/>
                <w:left w:val="nil"/>
                <w:bottom w:val="nil"/>
                <w:right w:val="nil"/>
                <w:between w:val="nil"/>
              </w:pBdr>
              <w:spacing w:before="120" w:after="120" w:line="240" w:lineRule="auto"/>
              <w:ind w:left="-108"/>
              <w:rPr>
                <w:rFonts w:eastAsia="Arial" w:cs="Arial"/>
                <w:b/>
                <w:color w:val="000000"/>
              </w:rPr>
            </w:pPr>
            <w:r>
              <w:rPr>
                <w:rFonts w:eastAsia="Arial" w:cs="Arial"/>
                <w:b/>
                <w:color w:val="000000"/>
              </w:rPr>
              <w:t xml:space="preserve">"Performance Monitoring Reports" </w:t>
            </w:r>
          </w:p>
        </w:tc>
        <w:tc>
          <w:tcPr>
            <w:tcW w:w="5953" w:type="dxa"/>
            <w:shd w:val="clear" w:color="auto" w:fill="auto"/>
          </w:tcPr>
          <w:p w:rsidR="00701ED3" w:rsidP="00701ED3" w:rsidRDefault="00701ED3" w14:paraId="2331E5EC" w14:textId="5BC66F97">
            <w:pPr>
              <w:spacing w:before="120" w:after="120" w:line="240" w:lineRule="auto"/>
              <w:rPr>
                <w:rFonts w:eastAsia="Arial" w:cs="Arial"/>
                <w:color w:val="000000"/>
              </w:rPr>
            </w:pPr>
            <w:r>
              <w:rPr>
                <w:rFonts w:eastAsia="Arial" w:cs="Arial"/>
                <w:color w:val="000000"/>
              </w:rPr>
              <w:t xml:space="preserve">has the meaning given in Paragraph </w:t>
            </w:r>
            <w:r>
              <w:rPr>
                <w:rFonts w:eastAsia="Arial" w:cs="Arial"/>
                <w:color w:val="000000"/>
              </w:rPr>
              <w:fldChar w:fldCharType="begin"/>
            </w:r>
            <w:r>
              <w:rPr>
                <w:rFonts w:eastAsia="Arial" w:cs="Arial"/>
                <w:color w:val="000000"/>
              </w:rPr>
              <w:instrText xml:space="preserve"> REF _Ref188454577 \r \h </w:instrText>
            </w:r>
            <w:r>
              <w:rPr>
                <w:rFonts w:eastAsia="Arial" w:cs="Arial"/>
                <w:color w:val="000000"/>
              </w:rPr>
            </w:r>
            <w:r>
              <w:rPr>
                <w:rFonts w:eastAsia="Arial" w:cs="Arial"/>
                <w:color w:val="000000"/>
              </w:rPr>
              <w:fldChar w:fldCharType="separate"/>
            </w:r>
            <w:r w:rsidR="00626983">
              <w:rPr>
                <w:rFonts w:eastAsia="Arial" w:cs="Arial"/>
                <w:color w:val="000000"/>
              </w:rPr>
              <w:t>1.2</w:t>
            </w:r>
            <w:r>
              <w:rPr>
                <w:rFonts w:eastAsia="Arial" w:cs="Arial"/>
                <w:color w:val="000000"/>
              </w:rPr>
              <w:fldChar w:fldCharType="end"/>
            </w:r>
            <w:r>
              <w:rPr>
                <w:rFonts w:eastAsia="Arial" w:cs="Arial"/>
                <w:color w:val="000000"/>
              </w:rPr>
              <w:t xml:space="preserve"> of Part B of this Schedule;</w:t>
            </w:r>
          </w:p>
        </w:tc>
      </w:tr>
      <w:tr w:rsidR="00701ED3" w:rsidTr="7901602A" w14:paraId="4EF73441" w14:textId="77777777">
        <w:tc>
          <w:tcPr>
            <w:tcW w:w="2469" w:type="dxa"/>
            <w:shd w:val="clear" w:color="auto" w:fill="auto"/>
          </w:tcPr>
          <w:p w:rsidR="00701ED3" w:rsidP="00701ED3" w:rsidRDefault="00701ED3" w14:paraId="7F159F46" w14:textId="08C93FFA">
            <w:pPr>
              <w:pBdr>
                <w:top w:val="nil"/>
                <w:left w:val="nil"/>
                <w:bottom w:val="nil"/>
                <w:right w:val="nil"/>
                <w:between w:val="nil"/>
              </w:pBdr>
              <w:spacing w:before="120" w:after="120" w:line="240" w:lineRule="auto"/>
              <w:ind w:left="-108"/>
              <w:rPr>
                <w:rFonts w:eastAsia="Arial" w:cs="Arial"/>
                <w:b/>
                <w:color w:val="000000"/>
              </w:rPr>
            </w:pPr>
            <w:r>
              <w:rPr>
                <w:rFonts w:eastAsia="Arial" w:cs="Arial"/>
                <w:b/>
                <w:color w:val="000000"/>
              </w:rPr>
              <w:t xml:space="preserve">"Performance Review Meetings" </w:t>
            </w:r>
          </w:p>
        </w:tc>
        <w:tc>
          <w:tcPr>
            <w:tcW w:w="5953" w:type="dxa"/>
            <w:shd w:val="clear" w:color="auto" w:fill="auto"/>
          </w:tcPr>
          <w:p w:rsidR="00701ED3" w:rsidP="00701ED3" w:rsidRDefault="00701ED3" w14:paraId="7B8C431A" w14:textId="1EA9EC04">
            <w:pPr>
              <w:spacing w:before="120" w:after="120" w:line="240" w:lineRule="auto"/>
              <w:rPr>
                <w:rFonts w:eastAsia="Arial" w:cs="Arial"/>
                <w:color w:val="000000"/>
              </w:rPr>
            </w:pPr>
            <w:r>
              <w:rPr>
                <w:rFonts w:eastAsia="Arial" w:cs="Arial"/>
                <w:color w:val="000000"/>
              </w:rPr>
              <w:t xml:space="preserve">has the meaning given in Paragraph </w:t>
            </w:r>
            <w:r>
              <w:rPr>
                <w:rFonts w:eastAsia="Arial" w:cs="Arial"/>
                <w:color w:val="000000"/>
              </w:rPr>
              <w:fldChar w:fldCharType="begin"/>
            </w:r>
            <w:r>
              <w:rPr>
                <w:rFonts w:eastAsia="Arial" w:cs="Arial"/>
                <w:color w:val="000000"/>
              </w:rPr>
              <w:instrText xml:space="preserve"> REF _Ref188454584 \r \h </w:instrText>
            </w:r>
            <w:r>
              <w:rPr>
                <w:rFonts w:eastAsia="Arial" w:cs="Arial"/>
                <w:color w:val="000000"/>
              </w:rPr>
            </w:r>
            <w:r>
              <w:rPr>
                <w:rFonts w:eastAsia="Arial" w:cs="Arial"/>
                <w:color w:val="000000"/>
              </w:rPr>
              <w:fldChar w:fldCharType="separate"/>
            </w:r>
            <w:r w:rsidR="00626983">
              <w:rPr>
                <w:rFonts w:eastAsia="Arial" w:cs="Arial"/>
                <w:color w:val="000000"/>
              </w:rPr>
              <w:t>1.3</w:t>
            </w:r>
            <w:r>
              <w:rPr>
                <w:rFonts w:eastAsia="Arial" w:cs="Arial"/>
                <w:color w:val="000000"/>
              </w:rPr>
              <w:fldChar w:fldCharType="end"/>
            </w:r>
            <w:r>
              <w:rPr>
                <w:rFonts w:eastAsia="Arial" w:cs="Arial"/>
                <w:color w:val="000000"/>
              </w:rPr>
              <w:t xml:space="preserve"> of Part B of this Schedule; </w:t>
            </w:r>
          </w:p>
        </w:tc>
      </w:tr>
      <w:tr w:rsidR="00701ED3" w:rsidTr="7901602A" w14:paraId="0A053E16" w14:textId="77777777">
        <w:tc>
          <w:tcPr>
            <w:tcW w:w="2469" w:type="dxa"/>
            <w:shd w:val="clear" w:color="auto" w:fill="auto"/>
          </w:tcPr>
          <w:p w:rsidR="00701ED3" w:rsidP="00701ED3" w:rsidRDefault="00701ED3" w14:paraId="5B7AA14C" w14:textId="470C59E3">
            <w:pPr>
              <w:pBdr>
                <w:top w:val="nil"/>
                <w:left w:val="nil"/>
                <w:bottom w:val="nil"/>
                <w:right w:val="nil"/>
                <w:between w:val="nil"/>
              </w:pBdr>
              <w:spacing w:before="120" w:after="120" w:line="240" w:lineRule="auto"/>
              <w:ind w:left="-108"/>
              <w:rPr>
                <w:rFonts w:eastAsia="Arial" w:cs="Arial"/>
                <w:b/>
                <w:color w:val="000000"/>
              </w:rPr>
            </w:pPr>
            <w:r>
              <w:rPr>
                <w:rFonts w:eastAsia="Arial" w:cs="Arial"/>
                <w:b/>
                <w:color w:val="000000"/>
              </w:rPr>
              <w:t>"Service Credits"</w:t>
            </w:r>
          </w:p>
        </w:tc>
        <w:tc>
          <w:tcPr>
            <w:tcW w:w="5953" w:type="dxa"/>
            <w:shd w:val="clear" w:color="auto" w:fill="auto"/>
          </w:tcPr>
          <w:p w:rsidR="00701ED3" w:rsidP="00701ED3" w:rsidRDefault="00701ED3" w14:paraId="0A8ACDC9" w14:textId="0D78B872">
            <w:pPr>
              <w:spacing w:before="120" w:after="120" w:line="240" w:lineRule="auto"/>
              <w:rPr>
                <w:rFonts w:eastAsia="Arial" w:cs="Arial"/>
                <w:color w:val="000000"/>
              </w:rPr>
            </w:pPr>
            <w:r>
              <w:rPr>
                <w:rFonts w:eastAsia="Arial" w:cs="Arial"/>
                <w:color w:val="000000"/>
              </w:rPr>
              <w:t>any service credits specified in the Annex to Part A of this Schedule being payable by the Supplier to the Buyer in respect of any failure by the Supplier to meet one or more Key Performance Indicators; and</w:t>
            </w:r>
          </w:p>
        </w:tc>
      </w:tr>
      <w:tr w:rsidR="00701ED3" w:rsidTr="7901602A" w14:paraId="3AD70130" w14:textId="77777777">
        <w:tc>
          <w:tcPr>
            <w:tcW w:w="2469" w:type="dxa"/>
            <w:shd w:val="clear" w:color="auto" w:fill="auto"/>
          </w:tcPr>
          <w:p w:rsidR="00701ED3" w:rsidP="00701ED3" w:rsidRDefault="00701ED3" w14:paraId="439F8550" w14:textId="2C045B65">
            <w:pPr>
              <w:pBdr>
                <w:top w:val="nil"/>
                <w:left w:val="nil"/>
                <w:bottom w:val="nil"/>
                <w:right w:val="nil"/>
                <w:between w:val="nil"/>
              </w:pBdr>
              <w:spacing w:before="120" w:after="120" w:line="240" w:lineRule="auto"/>
              <w:ind w:left="-108"/>
              <w:rPr>
                <w:rFonts w:eastAsia="Arial" w:cs="Arial"/>
                <w:b/>
                <w:color w:val="000000"/>
              </w:rPr>
            </w:pPr>
            <w:r>
              <w:rPr>
                <w:rFonts w:eastAsia="Arial" w:cs="Arial"/>
                <w:b/>
                <w:color w:val="000000"/>
              </w:rPr>
              <w:t>"Service Credit Cap"</w:t>
            </w:r>
          </w:p>
        </w:tc>
        <w:tc>
          <w:tcPr>
            <w:tcW w:w="5953" w:type="dxa"/>
            <w:shd w:val="clear" w:color="auto" w:fill="auto"/>
          </w:tcPr>
          <w:p w:rsidR="00701ED3" w:rsidP="00701ED3" w:rsidRDefault="00701ED3" w14:paraId="59CA2414" w14:textId="231925E9">
            <w:pPr>
              <w:spacing w:before="120" w:after="120" w:line="240" w:lineRule="auto"/>
              <w:rPr>
                <w:rFonts w:eastAsia="Arial" w:cs="Arial"/>
                <w:color w:val="000000"/>
              </w:rPr>
            </w:pPr>
            <w:r>
              <w:rPr>
                <w:rFonts w:eastAsia="Arial" w:cs="Arial"/>
                <w:color w:val="000000"/>
              </w:rPr>
              <w:t>has the meaning given to it in the Award Form.</w:t>
            </w:r>
          </w:p>
        </w:tc>
      </w:tr>
    </w:tbl>
    <w:p w:rsidRPr="0088685B" w:rsidR="00CA079E" w:rsidP="00135404" w:rsidRDefault="00CD7298" w14:paraId="570DA1A8" w14:textId="0F241B64">
      <w:pPr>
        <w:pStyle w:val="GPSL1CLAUSEHEADING"/>
        <w:rPr>
          <w:rFonts w:ascii="Arial" w:hAnsi="Arial"/>
        </w:rPr>
      </w:pPr>
      <w:r w:rsidRPr="0088685B">
        <w:rPr>
          <w:rFonts w:ascii="Arial" w:hAnsi="Arial"/>
        </w:rPr>
        <w:t xml:space="preserve">What happens if you don’t meet the </w:t>
      </w:r>
      <w:r w:rsidRPr="0088685B" w:rsidR="006D60FB">
        <w:rPr>
          <w:rFonts w:ascii="Arial" w:hAnsi="Arial"/>
        </w:rPr>
        <w:t>Key Performance Indicator</w:t>
      </w:r>
      <w:r w:rsidRPr="0088685B">
        <w:rPr>
          <w:rFonts w:ascii="Arial" w:hAnsi="Arial"/>
        </w:rPr>
        <w:t>s</w:t>
      </w:r>
    </w:p>
    <w:p w:rsidR="00CA079E" w:rsidP="00135404" w:rsidRDefault="00CD7298" w14:paraId="40FF8D89" w14:textId="38FCA175">
      <w:pPr>
        <w:pStyle w:val="GPSL2numberedclause"/>
        <w:rPr>
          <w:rFonts w:eastAsia="Arial"/>
          <w:b/>
        </w:rPr>
      </w:pPr>
      <w:r>
        <w:rPr>
          <w:rFonts w:eastAsia="Arial"/>
        </w:rPr>
        <w:t xml:space="preserve">The Supplier shall </w:t>
      </w:r>
      <w:proofErr w:type="gramStart"/>
      <w:r>
        <w:rPr>
          <w:rFonts w:eastAsia="Arial"/>
        </w:rPr>
        <w:t>at all times</w:t>
      </w:r>
      <w:proofErr w:type="gramEnd"/>
      <w:r>
        <w:rPr>
          <w:rFonts w:eastAsia="Arial"/>
        </w:rPr>
        <w:t xml:space="preserve"> provide the Deliverables to meet or exceed the </w:t>
      </w:r>
      <w:r w:rsidR="00E73E7F">
        <w:rPr>
          <w:rFonts w:eastAsia="Arial"/>
        </w:rPr>
        <w:t>KPI</w:t>
      </w:r>
      <w:r>
        <w:rPr>
          <w:rFonts w:eastAsia="Arial"/>
        </w:rPr>
        <w:t xml:space="preserve"> Performance Measure for each </w:t>
      </w:r>
      <w:r w:rsidR="006D60FB">
        <w:rPr>
          <w:rFonts w:eastAsia="Arial"/>
        </w:rPr>
        <w:t>Key Performance Indicator</w:t>
      </w:r>
      <w:r>
        <w:rPr>
          <w:rFonts w:eastAsia="Arial"/>
        </w:rPr>
        <w:t>.</w:t>
      </w:r>
    </w:p>
    <w:p w:rsidR="00CA079E" w:rsidP="00135404" w:rsidRDefault="00CD7298" w14:paraId="26E5A301" w14:textId="61CDBE5B">
      <w:pPr>
        <w:pStyle w:val="GPSL2numberedclause"/>
        <w:rPr>
          <w:rFonts w:eastAsia="Arial"/>
          <w:b/>
        </w:rPr>
      </w:pPr>
      <w:r>
        <w:rPr>
          <w:rFonts w:eastAsia="Arial"/>
        </w:rPr>
        <w:t xml:space="preserve">The Supplier acknowledges that any </w:t>
      </w:r>
      <w:r w:rsidR="00E73E7F">
        <w:rPr>
          <w:rFonts w:eastAsia="Arial"/>
        </w:rPr>
        <w:t>KPI Failure</w:t>
      </w:r>
      <w:r>
        <w:rPr>
          <w:rFonts w:eastAsia="Arial"/>
        </w:rPr>
        <w:t xml:space="preserve"> shall entitle the Buyer to the rights set out in Part A of this Schedule including the right to any Service Credits and that any Service Credit is a price adjustment and not an estimate of the Loss that may be suffered by the Buyer </w:t>
      </w:r>
      <w:proofErr w:type="gramStart"/>
      <w:r>
        <w:rPr>
          <w:rFonts w:eastAsia="Arial"/>
        </w:rPr>
        <w:t>as a result of</w:t>
      </w:r>
      <w:proofErr w:type="gramEnd"/>
      <w:r>
        <w:rPr>
          <w:rFonts w:eastAsia="Arial"/>
        </w:rPr>
        <w:t xml:space="preserve"> the Supplier’s failure to meet any </w:t>
      </w:r>
      <w:r w:rsidR="00E73E7F">
        <w:rPr>
          <w:rFonts w:eastAsia="Arial"/>
        </w:rPr>
        <w:t>KPI</w:t>
      </w:r>
      <w:r>
        <w:rPr>
          <w:rFonts w:eastAsia="Arial"/>
        </w:rPr>
        <w:t xml:space="preserve"> Performance Measure.</w:t>
      </w:r>
    </w:p>
    <w:p w:rsidR="00CA079E" w:rsidP="00135404" w:rsidRDefault="00CD7298" w14:paraId="52AB15DC" w14:textId="4D120200">
      <w:pPr>
        <w:pStyle w:val="GPSL2numberedclause"/>
      </w:pPr>
      <w:r>
        <w:rPr>
          <w:rFonts w:eastAsia="Arial"/>
        </w:rPr>
        <w:t>The Supplier shall send Performance Monitoring Reports to the Buyer detailing the level of service which was achieved in accordance with the provisions of Part B (Performance Monitoring) of this Schedule</w:t>
      </w:r>
      <w:r w:rsidR="001A6841">
        <w:rPr>
          <w:rFonts w:eastAsia="Arial"/>
        </w:rPr>
        <w:t xml:space="preserve"> </w:t>
      </w:r>
      <w:r w:rsidR="001A6841">
        <w:rPr>
          <w:rFonts w:eastAsia="Arial"/>
          <w:color w:val="000000"/>
        </w:rPr>
        <w:t>to enable the Buyer to assess the Supplier’s performance against each Key Performance Indicator in each Measurement Period</w:t>
      </w:r>
      <w:r>
        <w:rPr>
          <w:rFonts w:eastAsia="Arial"/>
        </w:rPr>
        <w:t>.</w:t>
      </w:r>
    </w:p>
    <w:p w:rsidR="00CA079E" w:rsidP="00135404" w:rsidRDefault="00CD7298" w14:paraId="0872711E" w14:textId="449DFE59">
      <w:pPr>
        <w:pStyle w:val="GPSL2numberedclause"/>
        <w:rPr>
          <w:rFonts w:eastAsia="Arial"/>
          <w:b/>
        </w:rPr>
      </w:pPr>
      <w:r>
        <w:rPr>
          <w:rFonts w:eastAsia="Arial"/>
        </w:rPr>
        <w:t xml:space="preserve">A Service Credit shall be the Buyer’s exclusive financial remedy for a </w:t>
      </w:r>
      <w:r w:rsidR="0050634D">
        <w:rPr>
          <w:rFonts w:eastAsia="Arial"/>
        </w:rPr>
        <w:t>KPI F</w:t>
      </w:r>
      <w:r w:rsidR="00E73E7F">
        <w:rPr>
          <w:rFonts w:eastAsia="Arial"/>
        </w:rPr>
        <w:t>ailure</w:t>
      </w:r>
      <w:r>
        <w:rPr>
          <w:rFonts w:eastAsia="Arial"/>
        </w:rPr>
        <w:t xml:space="preserve"> except where:</w:t>
      </w:r>
    </w:p>
    <w:p w:rsidR="00CA079E" w:rsidP="00CE121F" w:rsidRDefault="00CD7298" w14:paraId="296A375C" w14:textId="617CC598">
      <w:pPr>
        <w:pStyle w:val="GPSL3numberedclause"/>
      </w:pPr>
      <w:r>
        <w:rPr>
          <w:rFonts w:eastAsia="Arial"/>
        </w:rPr>
        <w:t xml:space="preserve">the Supplier has over the previous twelve </w:t>
      </w:r>
      <w:r w:rsidR="00BE61DD">
        <w:rPr>
          <w:rFonts w:eastAsia="Arial"/>
        </w:rPr>
        <w:t>(</w:t>
      </w:r>
      <w:r>
        <w:rPr>
          <w:rFonts w:eastAsia="Arial"/>
        </w:rPr>
        <w:t>12</w:t>
      </w:r>
      <w:r w:rsidR="00BE61DD">
        <w:rPr>
          <w:rFonts w:eastAsia="Arial"/>
        </w:rPr>
        <w:t>)</w:t>
      </w:r>
      <w:r>
        <w:rPr>
          <w:rFonts w:eastAsia="Arial"/>
        </w:rPr>
        <w:t xml:space="preserve"> Month period exceeded the Service Credit Cap; and/or</w:t>
      </w:r>
    </w:p>
    <w:p w:rsidR="00CA079E" w:rsidP="00CE121F" w:rsidRDefault="00CD7298" w14:paraId="6ADA8562" w14:textId="131A91E3">
      <w:pPr>
        <w:pStyle w:val="GPSL3numberedclause"/>
      </w:pPr>
      <w:r>
        <w:rPr>
          <w:rFonts w:eastAsia="Arial"/>
        </w:rPr>
        <w:t xml:space="preserve">the </w:t>
      </w:r>
      <w:r w:rsidR="0050634D">
        <w:rPr>
          <w:rFonts w:eastAsia="Arial"/>
        </w:rPr>
        <w:t>KPI F</w:t>
      </w:r>
      <w:r w:rsidR="00E73E7F">
        <w:rPr>
          <w:rFonts w:eastAsia="Arial"/>
        </w:rPr>
        <w:t>ailure</w:t>
      </w:r>
      <w:r>
        <w:rPr>
          <w:rFonts w:eastAsia="Arial"/>
        </w:rPr>
        <w:t>:</w:t>
      </w:r>
    </w:p>
    <w:p w:rsidR="00CA079E" w:rsidP="00CE121F" w:rsidRDefault="00CD7298" w14:paraId="5C3BECF2" w14:textId="0E512844">
      <w:pPr>
        <w:pStyle w:val="GPSL4numberedclause"/>
      </w:pPr>
      <w:r>
        <w:rPr>
          <w:rFonts w:eastAsia="Arial"/>
        </w:rPr>
        <w:t xml:space="preserve">exceeds the relevant </w:t>
      </w:r>
      <w:r w:rsidR="0050634D">
        <w:rPr>
          <w:rFonts w:eastAsia="Arial"/>
        </w:rPr>
        <w:t>KPI</w:t>
      </w:r>
      <w:r>
        <w:rPr>
          <w:rFonts w:eastAsia="Arial"/>
        </w:rPr>
        <w:t xml:space="preserve"> </w:t>
      </w:r>
      <w:proofErr w:type="gramStart"/>
      <w:r>
        <w:rPr>
          <w:rFonts w:eastAsia="Arial"/>
        </w:rPr>
        <w:t>Threshold;</w:t>
      </w:r>
      <w:proofErr w:type="gramEnd"/>
    </w:p>
    <w:p w:rsidR="00CA079E" w:rsidP="00CE121F" w:rsidRDefault="00CD7298" w14:paraId="01FDF2EF" w14:textId="6922C976">
      <w:pPr>
        <w:pStyle w:val="GPSL4numberedclause"/>
        <w:rPr>
          <w:rFonts w:eastAsia="Arial"/>
        </w:rPr>
      </w:pPr>
      <w:r>
        <w:rPr>
          <w:rFonts w:eastAsia="Arial"/>
        </w:rPr>
        <w:t xml:space="preserve">has arisen due to a wilful Default by the </w:t>
      </w:r>
      <w:proofErr w:type="gramStart"/>
      <w:r>
        <w:rPr>
          <w:rFonts w:eastAsia="Arial"/>
        </w:rPr>
        <w:t>Supplier;</w:t>
      </w:r>
      <w:proofErr w:type="gramEnd"/>
      <w:r>
        <w:rPr>
          <w:rFonts w:eastAsia="Arial"/>
        </w:rPr>
        <w:t xml:space="preserve"> </w:t>
      </w:r>
    </w:p>
    <w:p w:rsidR="00CA079E" w:rsidP="00CE121F" w:rsidRDefault="00CD7298" w14:paraId="065D6756" w14:textId="0884B10A">
      <w:pPr>
        <w:pStyle w:val="GPSL4numberedclause"/>
        <w:rPr>
          <w:rFonts w:eastAsia="Arial"/>
        </w:rPr>
      </w:pPr>
      <w:r>
        <w:rPr>
          <w:rFonts w:eastAsia="Arial"/>
        </w:rPr>
        <w:t>results in the corruption or loss of any Government Data</w:t>
      </w:r>
      <w:r w:rsidR="00D6282E">
        <w:rPr>
          <w:rFonts w:eastAsia="Arial"/>
        </w:rPr>
        <w:t xml:space="preserve"> (in which case </w:t>
      </w:r>
      <w:r w:rsidR="00474F3D">
        <w:rPr>
          <w:rFonts w:eastAsia="Arial"/>
        </w:rPr>
        <w:t>the indemnity in Clause 18.</w:t>
      </w:r>
      <w:r w:rsidR="0088685B">
        <w:rPr>
          <w:rFonts w:eastAsia="Arial"/>
        </w:rPr>
        <w:t>6</w:t>
      </w:r>
      <w:r w:rsidR="00474F3D">
        <w:rPr>
          <w:rFonts w:eastAsia="Arial"/>
        </w:rPr>
        <w:t xml:space="preserve">.4 and any or </w:t>
      </w:r>
      <w:proofErr w:type="gramStart"/>
      <w:r w:rsidR="00474F3D">
        <w:rPr>
          <w:rFonts w:eastAsia="Arial"/>
        </w:rPr>
        <w:t>all of</w:t>
      </w:r>
      <w:proofErr w:type="gramEnd"/>
      <w:r w:rsidR="00474F3D">
        <w:rPr>
          <w:rFonts w:eastAsia="Arial"/>
        </w:rPr>
        <w:t xml:space="preserve"> the other provisions of </w:t>
      </w:r>
      <w:r w:rsidR="00D6282E">
        <w:rPr>
          <w:rFonts w:eastAsia="Arial"/>
        </w:rPr>
        <w:t>Clauses 18.</w:t>
      </w:r>
      <w:r w:rsidR="0088685B">
        <w:rPr>
          <w:rFonts w:eastAsia="Arial"/>
        </w:rPr>
        <w:t>4</w:t>
      </w:r>
      <w:r w:rsidRPr="0088685B" w:rsidR="00D6282E">
        <w:rPr>
          <w:rFonts w:eastAsia="Arial"/>
        </w:rPr>
        <w:t xml:space="preserve"> and 18.</w:t>
      </w:r>
      <w:r w:rsidR="00474F3D">
        <w:rPr>
          <w:rFonts w:eastAsia="Arial"/>
        </w:rPr>
        <w:t>5</w:t>
      </w:r>
      <w:r w:rsidR="00D6282E">
        <w:rPr>
          <w:rFonts w:eastAsia="Arial"/>
        </w:rPr>
        <w:t xml:space="preserve"> and</w:t>
      </w:r>
      <w:r w:rsidR="00474F3D">
        <w:rPr>
          <w:rFonts w:eastAsia="Arial"/>
        </w:rPr>
        <w:t>/or</w:t>
      </w:r>
      <w:r w:rsidR="00D6282E">
        <w:rPr>
          <w:rFonts w:eastAsia="Arial"/>
        </w:rPr>
        <w:t xml:space="preserve"> Clause 18.</w:t>
      </w:r>
      <w:r w:rsidR="0088685B">
        <w:rPr>
          <w:rFonts w:eastAsia="Arial"/>
        </w:rPr>
        <w:t>6</w:t>
      </w:r>
      <w:r w:rsidR="00D6282E">
        <w:rPr>
          <w:rFonts w:eastAsia="Arial"/>
        </w:rPr>
        <w:t xml:space="preserve"> </w:t>
      </w:r>
      <w:r w:rsidR="00474F3D">
        <w:rPr>
          <w:rFonts w:eastAsia="Arial"/>
        </w:rPr>
        <w:t xml:space="preserve">of the Core Terms </w:t>
      </w:r>
      <w:r w:rsidR="00D6282E">
        <w:rPr>
          <w:rFonts w:eastAsia="Arial"/>
        </w:rPr>
        <w:t>may apply)</w:t>
      </w:r>
      <w:r>
        <w:rPr>
          <w:rFonts w:eastAsia="Arial"/>
        </w:rPr>
        <w:t>; and/or</w:t>
      </w:r>
    </w:p>
    <w:p w:rsidR="00CA079E" w:rsidP="00CE121F" w:rsidRDefault="00CD7298" w14:paraId="4851FDAD" w14:textId="77777777">
      <w:pPr>
        <w:pStyle w:val="GPSL4numberedclause"/>
        <w:rPr>
          <w:rFonts w:eastAsia="Arial"/>
        </w:rPr>
      </w:pPr>
      <w:r>
        <w:rPr>
          <w:rFonts w:eastAsia="Arial"/>
        </w:rPr>
        <w:t>results in the Buyer being required to make a compensation payment to one or more third parties; and/or</w:t>
      </w:r>
    </w:p>
    <w:p w:rsidR="00CA079E" w:rsidP="00CE121F" w:rsidRDefault="00CD7298" w14:paraId="0C7D9F7F" w14:textId="77777777">
      <w:pPr>
        <w:pStyle w:val="GPSL4numberedclause"/>
        <w:rPr>
          <w:rFonts w:eastAsia="Arial"/>
        </w:rPr>
      </w:pPr>
      <w:r>
        <w:rPr>
          <w:rFonts w:eastAsia="Arial"/>
        </w:rPr>
        <w:t xml:space="preserve">the Buyer is also entitled to or does terminate this Contract pursuant to Clause 14.4 of the Core Terms </w:t>
      </w:r>
      <w:r w:rsidRPr="0088685B">
        <w:rPr>
          <w:rFonts w:eastAsia="Arial"/>
          <w:i/>
        </w:rPr>
        <w:t>(When the Buyer can end the contract)</w:t>
      </w:r>
      <w:r>
        <w:rPr>
          <w:rFonts w:eastAsia="Arial"/>
        </w:rPr>
        <w:t>.</w:t>
      </w:r>
    </w:p>
    <w:p w:rsidRPr="0088685B" w:rsidR="00CA079E" w:rsidP="00135404" w:rsidRDefault="00CD7298" w14:paraId="728B4E06" w14:textId="4A9AEF5B">
      <w:pPr>
        <w:pStyle w:val="GPSL1CLAUSEHEADING"/>
        <w:rPr>
          <w:rFonts w:ascii="Arial" w:hAnsi="Arial"/>
        </w:rPr>
      </w:pPr>
      <w:bookmarkStart w:name="_heading=h.1fob9te" w:colFirst="0" w:colLast="0" w:id="2"/>
      <w:bookmarkStart w:name="_Ref141096171" w:id="3"/>
      <w:bookmarkEnd w:id="2"/>
      <w:r w:rsidRPr="0088685B">
        <w:rPr>
          <w:rFonts w:ascii="Arial" w:hAnsi="Arial"/>
        </w:rPr>
        <w:t xml:space="preserve">Critical </w:t>
      </w:r>
      <w:r w:rsidRPr="0088685B" w:rsidR="00C01161">
        <w:rPr>
          <w:rFonts w:ascii="Arial" w:hAnsi="Arial"/>
        </w:rPr>
        <w:t xml:space="preserve">KPI </w:t>
      </w:r>
      <w:r w:rsidRPr="0088685B">
        <w:rPr>
          <w:rFonts w:ascii="Arial" w:hAnsi="Arial"/>
        </w:rPr>
        <w:t>Failure</w:t>
      </w:r>
      <w:bookmarkEnd w:id="3"/>
    </w:p>
    <w:p w:rsidR="00CA079E" w:rsidP="00147AB8" w:rsidRDefault="00CD7298" w14:paraId="653D1DF6" w14:textId="685112BC">
      <w:pPr>
        <w:keepNext/>
        <w:pBdr>
          <w:top w:val="nil"/>
          <w:left w:val="nil"/>
          <w:bottom w:val="nil"/>
          <w:right w:val="nil"/>
          <w:between w:val="nil"/>
        </w:pBdr>
        <w:spacing w:before="120" w:after="120" w:line="240" w:lineRule="auto"/>
        <w:ind w:left="907" w:hanging="547"/>
        <w:rPr>
          <w:rFonts w:eastAsia="Arial" w:cs="Arial"/>
          <w:color w:val="000000"/>
        </w:rPr>
      </w:pPr>
      <w:r>
        <w:rPr>
          <w:rFonts w:eastAsia="Arial" w:cs="Arial"/>
          <w:color w:val="000000"/>
        </w:rPr>
        <w:t xml:space="preserve">On the occurrence of a Critical </w:t>
      </w:r>
      <w:r w:rsidR="00C01161">
        <w:rPr>
          <w:rFonts w:eastAsia="Arial" w:cs="Arial"/>
          <w:color w:val="000000"/>
        </w:rPr>
        <w:t xml:space="preserve">KPI </w:t>
      </w:r>
      <w:r>
        <w:rPr>
          <w:rFonts w:eastAsia="Arial" w:cs="Arial"/>
          <w:color w:val="000000"/>
        </w:rPr>
        <w:t>Failure:</w:t>
      </w:r>
    </w:p>
    <w:p w:rsidR="00CA079E" w:rsidP="00135404" w:rsidRDefault="00CD7298" w14:paraId="74B341DA" w14:textId="77777777">
      <w:pPr>
        <w:pStyle w:val="GPSL2numberedclause"/>
      </w:pPr>
      <w:r>
        <w:rPr>
          <w:rFonts w:eastAsia="Arial"/>
        </w:rPr>
        <w:t>any Service Credits that would otherwise have accrued during the relevant Service Period shall not accrue; and</w:t>
      </w:r>
    </w:p>
    <w:p w:rsidR="00CA079E" w:rsidP="00135404" w:rsidRDefault="00CD7298" w14:paraId="1BF24015" w14:textId="18E4C1BD">
      <w:pPr>
        <w:pStyle w:val="GPSL2numberedclause"/>
      </w:pPr>
      <w:r>
        <w:rPr>
          <w:rFonts w:eastAsia="Arial"/>
        </w:rPr>
        <w:t>the Buyer shall (subject to the Service Credit Cap) be entitled to withhold and retain as compensation a sum equal to any Charges which would otherwise have been due to the Supplier in respect of that Service Period (</w:t>
      </w:r>
      <w:r w:rsidRPr="005127A9">
        <w:rPr>
          <w:rFonts w:eastAsia="Arial"/>
          <w:b/>
        </w:rPr>
        <w:t>"</w:t>
      </w:r>
      <w:r>
        <w:rPr>
          <w:rFonts w:eastAsia="Arial"/>
          <w:b/>
        </w:rPr>
        <w:t xml:space="preserve">Compensation for Critical </w:t>
      </w:r>
      <w:r w:rsidR="00C01161">
        <w:rPr>
          <w:rFonts w:eastAsia="Arial"/>
          <w:b/>
        </w:rPr>
        <w:t>KPI</w:t>
      </w:r>
      <w:r w:rsidR="00587AFB">
        <w:rPr>
          <w:rFonts w:eastAsia="Arial"/>
          <w:b/>
        </w:rPr>
        <w:t xml:space="preserve"> </w:t>
      </w:r>
      <w:r>
        <w:rPr>
          <w:rFonts w:eastAsia="Arial"/>
          <w:b/>
        </w:rPr>
        <w:t>Failure</w:t>
      </w:r>
      <w:r w:rsidRPr="005127A9">
        <w:rPr>
          <w:rFonts w:eastAsia="Arial"/>
          <w:b/>
        </w:rPr>
        <w:t>"</w:t>
      </w:r>
      <w:r>
        <w:rPr>
          <w:rFonts w:eastAsia="Arial"/>
        </w:rPr>
        <w:t>),</w:t>
      </w:r>
    </w:p>
    <w:p w:rsidR="00CA079E" w:rsidP="00147AB8" w:rsidRDefault="00CD7298" w14:paraId="37913115" w14:textId="02F64402">
      <w:pPr>
        <w:pBdr>
          <w:top w:val="nil"/>
          <w:left w:val="nil"/>
          <w:bottom w:val="nil"/>
          <w:right w:val="nil"/>
          <w:between w:val="nil"/>
        </w:pBdr>
        <w:spacing w:before="120" w:after="120" w:line="240" w:lineRule="auto"/>
        <w:ind w:left="426"/>
        <w:rPr>
          <w:rFonts w:eastAsia="Arial" w:cs="Arial"/>
          <w:color w:val="000000"/>
        </w:rPr>
      </w:pPr>
      <w:r>
        <w:rPr>
          <w:rFonts w:eastAsia="Arial" w:cs="Arial"/>
          <w:color w:val="000000"/>
        </w:rPr>
        <w:t xml:space="preserve">provided that the operation of this Paragraph </w:t>
      </w:r>
      <w:r w:rsidRPr="0088685B" w:rsidR="00147AB8">
        <w:rPr>
          <w:rFonts w:eastAsia="Arial" w:cs="Arial"/>
          <w:color w:val="000000"/>
        </w:rPr>
        <w:fldChar w:fldCharType="begin"/>
      </w:r>
      <w:r w:rsidRPr="0088685B" w:rsidR="00147AB8">
        <w:rPr>
          <w:rFonts w:eastAsia="Arial" w:cs="Arial"/>
          <w:color w:val="000000"/>
        </w:rPr>
        <w:instrText xml:space="preserve"> REF _Ref141096171 \w \h </w:instrText>
      </w:r>
      <w:r w:rsidR="0088685B">
        <w:rPr>
          <w:rFonts w:eastAsia="Arial" w:cs="Arial"/>
          <w:color w:val="000000"/>
        </w:rPr>
        <w:instrText xml:space="preserve"> \* MERGEFORMAT </w:instrText>
      </w:r>
      <w:r w:rsidRPr="0088685B" w:rsidR="00147AB8">
        <w:rPr>
          <w:rFonts w:eastAsia="Arial" w:cs="Arial"/>
          <w:color w:val="000000"/>
        </w:rPr>
      </w:r>
      <w:r w:rsidRPr="0088685B" w:rsidR="00147AB8">
        <w:rPr>
          <w:rFonts w:eastAsia="Arial" w:cs="Arial"/>
          <w:color w:val="000000"/>
        </w:rPr>
        <w:fldChar w:fldCharType="separate"/>
      </w:r>
      <w:r w:rsidR="00626983">
        <w:rPr>
          <w:rFonts w:eastAsia="Arial" w:cs="Arial"/>
          <w:color w:val="000000"/>
        </w:rPr>
        <w:t>3</w:t>
      </w:r>
      <w:r w:rsidRPr="0088685B" w:rsidR="00147AB8">
        <w:rPr>
          <w:rFonts w:eastAsia="Arial" w:cs="Arial"/>
          <w:color w:val="000000"/>
        </w:rPr>
        <w:fldChar w:fldCharType="end"/>
      </w:r>
      <w:r>
        <w:rPr>
          <w:rFonts w:eastAsia="Arial" w:cs="Arial"/>
          <w:color w:val="000000"/>
        </w:rPr>
        <w:t xml:space="preserve"> shall be without prejudice to the right of the Buyer to terminate this Contract and/or to claim damages from the Supplier for Material Default.</w:t>
      </w:r>
    </w:p>
    <w:p w:rsidRPr="0088685B" w:rsidR="00CA079E" w:rsidRDefault="00CA079E" w14:paraId="5814C918" w14:textId="77777777">
      <w:pPr>
        <w:rPr>
          <w:rFonts w:cs="Arial"/>
        </w:rPr>
      </w:pPr>
    </w:p>
    <w:p w:rsidRPr="0088685B" w:rsidR="00CA079E" w:rsidRDefault="00CD7298" w14:paraId="30738F16" w14:textId="29972B9A">
      <w:pPr>
        <w:pBdr>
          <w:top w:val="nil"/>
          <w:left w:val="nil"/>
          <w:bottom w:val="nil"/>
          <w:right w:val="nil"/>
          <w:between w:val="nil"/>
        </w:pBdr>
        <w:rPr>
          <w:rFonts w:eastAsia="Arial Bold" w:cs="Arial"/>
          <w:b/>
          <w:color w:val="000000"/>
          <w:sz w:val="36"/>
          <w:szCs w:val="36"/>
        </w:rPr>
      </w:pPr>
      <w:r w:rsidRPr="0088685B">
        <w:rPr>
          <w:rFonts w:cs="Arial"/>
        </w:rPr>
        <w:br w:type="page"/>
      </w:r>
      <w:r w:rsidRPr="0088685B">
        <w:rPr>
          <w:rFonts w:eastAsia="Arial Bold" w:cs="Arial"/>
          <w:b/>
          <w:color w:val="000000"/>
          <w:sz w:val="36"/>
          <w:szCs w:val="36"/>
        </w:rPr>
        <w:t xml:space="preserve">Part </w:t>
      </w:r>
      <w:bookmarkStart w:name="Part_A" w:id="4"/>
      <w:r w:rsidRPr="00B54538">
        <w:rPr>
          <w:rFonts w:eastAsia="Arial Bold" w:cs="Arial"/>
          <w:b/>
          <w:color w:val="000000"/>
          <w:sz w:val="36"/>
          <w:szCs w:val="36"/>
        </w:rPr>
        <w:t>A</w:t>
      </w:r>
      <w:bookmarkEnd w:id="4"/>
      <w:r w:rsidRPr="0088685B">
        <w:rPr>
          <w:rFonts w:eastAsia="Arial Bold" w:cs="Arial"/>
          <w:b/>
          <w:color w:val="000000"/>
          <w:sz w:val="36"/>
          <w:szCs w:val="36"/>
        </w:rPr>
        <w:t xml:space="preserve">: </w:t>
      </w:r>
      <w:r w:rsidRPr="0088685B" w:rsidR="006D60FB">
        <w:rPr>
          <w:rFonts w:eastAsia="Arial Bold" w:cs="Arial"/>
          <w:b/>
          <w:color w:val="000000"/>
          <w:sz w:val="36"/>
          <w:szCs w:val="36"/>
        </w:rPr>
        <w:t>Key Performance Indicator</w:t>
      </w:r>
      <w:r w:rsidRPr="0088685B">
        <w:rPr>
          <w:rFonts w:eastAsia="Arial Bold" w:cs="Arial"/>
          <w:b/>
          <w:color w:val="000000"/>
          <w:sz w:val="36"/>
          <w:szCs w:val="36"/>
        </w:rPr>
        <w:t xml:space="preserve">s and Service Credits </w:t>
      </w:r>
    </w:p>
    <w:p w:rsidRPr="0088685B" w:rsidR="00CA079E" w:rsidP="00135404" w:rsidRDefault="006D60FB" w14:paraId="5C451203" w14:textId="11E3E72A">
      <w:pPr>
        <w:pStyle w:val="GPSL1CLAUSEHEADING"/>
        <w:numPr>
          <w:ilvl w:val="0"/>
          <w:numId w:val="12"/>
        </w:numPr>
        <w:rPr>
          <w:rFonts w:ascii="Arial" w:hAnsi="Arial"/>
        </w:rPr>
      </w:pPr>
      <w:r w:rsidRPr="0088685B">
        <w:rPr>
          <w:rFonts w:ascii="Arial" w:hAnsi="Arial"/>
        </w:rPr>
        <w:t>Key Performance Indicator</w:t>
      </w:r>
      <w:r w:rsidRPr="0088685B" w:rsidR="00CD7298">
        <w:rPr>
          <w:rFonts w:ascii="Arial" w:hAnsi="Arial"/>
        </w:rPr>
        <w:t>s</w:t>
      </w:r>
    </w:p>
    <w:p w:rsidRPr="0088685B" w:rsidR="00CA079E" w:rsidRDefault="00CD7298" w14:paraId="60D0E0D1" w14:textId="77777777">
      <w:pPr>
        <w:keepNext/>
        <w:spacing w:before="120" w:after="120" w:line="240" w:lineRule="auto"/>
        <w:ind w:left="360"/>
        <w:rPr>
          <w:rFonts w:cs="Arial"/>
        </w:rPr>
      </w:pPr>
      <w:r w:rsidRPr="0088685B">
        <w:rPr>
          <w:rFonts w:cs="Arial"/>
        </w:rPr>
        <w:t>If the level of performance of the Supplier:</w:t>
      </w:r>
    </w:p>
    <w:p w:rsidR="00CA079E" w:rsidP="00135404" w:rsidRDefault="00CD7298" w14:paraId="484DA910" w14:textId="7A95E030">
      <w:pPr>
        <w:pStyle w:val="GPSL2numberedclause"/>
      </w:pPr>
      <w:r>
        <w:rPr>
          <w:rFonts w:eastAsia="Arial"/>
        </w:rPr>
        <w:t xml:space="preserve">is likely to or fails to meet any </w:t>
      </w:r>
      <w:r w:rsidR="00587AFB">
        <w:rPr>
          <w:rFonts w:eastAsia="Arial"/>
        </w:rPr>
        <w:t>KPI</w:t>
      </w:r>
      <w:r>
        <w:rPr>
          <w:rFonts w:eastAsia="Arial"/>
        </w:rPr>
        <w:t xml:space="preserve"> Performance Measure; or</w:t>
      </w:r>
    </w:p>
    <w:p w:rsidR="00CA079E" w:rsidP="00135404" w:rsidRDefault="00CD7298" w14:paraId="665B9D4E" w14:textId="71D2ADF3">
      <w:pPr>
        <w:pStyle w:val="GPSL2numberedclause"/>
      </w:pPr>
      <w:r>
        <w:rPr>
          <w:rFonts w:eastAsia="Arial"/>
        </w:rPr>
        <w:t xml:space="preserve">is likely to cause or causes a Critical </w:t>
      </w:r>
      <w:r w:rsidR="00C01161">
        <w:rPr>
          <w:rFonts w:eastAsia="Arial"/>
        </w:rPr>
        <w:t xml:space="preserve">KPI </w:t>
      </w:r>
      <w:r>
        <w:rPr>
          <w:rFonts w:eastAsia="Arial"/>
        </w:rPr>
        <w:t xml:space="preserve">Failure to occur, </w:t>
      </w:r>
    </w:p>
    <w:p w:rsidRPr="0088685B" w:rsidR="00CA079E" w:rsidRDefault="00CD7298" w14:paraId="63AEB903" w14:textId="77777777">
      <w:pPr>
        <w:keepNext/>
        <w:spacing w:before="120" w:after="120" w:line="240" w:lineRule="auto"/>
        <w:ind w:left="360"/>
        <w:rPr>
          <w:rFonts w:cs="Arial"/>
        </w:rPr>
      </w:pPr>
      <w:r w:rsidRPr="0088685B">
        <w:rPr>
          <w:rFonts w:cs="Arial"/>
        </w:rPr>
        <w:t>the Supplier shall immediately notify the Buyer in writing and the Buyer, in its absolute discretion and without limiting any other of its rights, may:</w:t>
      </w:r>
    </w:p>
    <w:p w:rsidR="00CA079E" w:rsidP="00135404" w:rsidRDefault="00CD7298" w14:paraId="40FC95B6" w14:textId="0D3C189D">
      <w:pPr>
        <w:pStyle w:val="GPSL3numberedclause"/>
      </w:pPr>
      <w:r>
        <w:t xml:space="preserve">require the Supplier to immediately take all remedial action that is reasonable to mitigate the impact on the Buyer and to rectify or prevent a </w:t>
      </w:r>
      <w:r w:rsidR="0076748B">
        <w:t>KPI F</w:t>
      </w:r>
      <w:r w:rsidR="00E73E7F">
        <w:t>ailure</w:t>
      </w:r>
      <w:r>
        <w:t xml:space="preserve"> or Critical </w:t>
      </w:r>
      <w:r w:rsidR="00C01161">
        <w:t>KPI F</w:t>
      </w:r>
      <w:r w:rsidR="00E73E7F">
        <w:t>ailure</w:t>
      </w:r>
      <w:r>
        <w:t xml:space="preserve"> from taking place or </w:t>
      </w:r>
      <w:proofErr w:type="gramStart"/>
      <w:r>
        <w:t>recurring;</w:t>
      </w:r>
      <w:proofErr w:type="gramEnd"/>
      <w:r>
        <w:t xml:space="preserve"> </w:t>
      </w:r>
    </w:p>
    <w:p w:rsidR="00CA079E" w:rsidP="00135404" w:rsidRDefault="00CD7298" w14:paraId="350836FE" w14:textId="77777777">
      <w:pPr>
        <w:pStyle w:val="GPSL3numberedclause"/>
      </w:pPr>
      <w:r>
        <w:t xml:space="preserve">instruct the Supplier to comply with the Rectification Plan </w:t>
      </w:r>
      <w:proofErr w:type="gramStart"/>
      <w:r>
        <w:t>Process;</w:t>
      </w:r>
      <w:proofErr w:type="gramEnd"/>
      <w:r>
        <w:t xml:space="preserve"> </w:t>
      </w:r>
    </w:p>
    <w:p w:rsidR="00CA079E" w:rsidP="00135404" w:rsidRDefault="00CD7298" w14:paraId="173279E1" w14:textId="41E2D07A">
      <w:pPr>
        <w:pStyle w:val="GPSL3numberedclause"/>
      </w:pPr>
      <w:r>
        <w:t xml:space="preserve">if a </w:t>
      </w:r>
      <w:r w:rsidR="00E73E7F">
        <w:t xml:space="preserve">KPI </w:t>
      </w:r>
      <w:r w:rsidR="00C01161">
        <w:t>F</w:t>
      </w:r>
      <w:r w:rsidR="00E73E7F">
        <w:t>ailure</w:t>
      </w:r>
      <w:r>
        <w:t xml:space="preserve"> has occurred, deduct the applicable Service Credits payable by the Supplier to the Buyer; and/or</w:t>
      </w:r>
    </w:p>
    <w:p w:rsidR="00CA079E" w:rsidP="00135404" w:rsidRDefault="00CD7298" w14:paraId="067A6AC8" w14:textId="67EC756C">
      <w:pPr>
        <w:pStyle w:val="GPSL3numberedclause"/>
      </w:pPr>
      <w:r>
        <w:t xml:space="preserve">if a Critical </w:t>
      </w:r>
      <w:r w:rsidR="00E73E7F">
        <w:t xml:space="preserve">KPI </w:t>
      </w:r>
      <w:r w:rsidR="00C01161">
        <w:t xml:space="preserve">Failure </w:t>
      </w:r>
      <w:r>
        <w:t xml:space="preserve">has occurred, exercise its right to Compensation for Critical </w:t>
      </w:r>
      <w:r w:rsidR="00E73E7F">
        <w:t xml:space="preserve">KPI </w:t>
      </w:r>
      <w:r w:rsidR="00C01161">
        <w:t xml:space="preserve">Failure </w:t>
      </w:r>
      <w:r>
        <w:t>(including the right to terminate for Material Default and the consequences of termination in Clause 14.5.1 shall apply).</w:t>
      </w:r>
    </w:p>
    <w:p w:rsidRPr="0088685B" w:rsidR="00CA079E" w:rsidP="00135404" w:rsidRDefault="00CD7298" w14:paraId="215F3D6B" w14:textId="77777777">
      <w:pPr>
        <w:pStyle w:val="GPSL1CLAUSEHEADING"/>
        <w:rPr>
          <w:rFonts w:ascii="Arial" w:hAnsi="Arial"/>
        </w:rPr>
      </w:pPr>
      <w:r w:rsidRPr="0088685B">
        <w:rPr>
          <w:rFonts w:ascii="Arial" w:hAnsi="Arial"/>
        </w:rPr>
        <w:t>Service Credits</w:t>
      </w:r>
    </w:p>
    <w:p w:rsidR="00CA079E" w:rsidP="00135404" w:rsidRDefault="00CD7298" w14:paraId="5DC405A4" w14:textId="77777777">
      <w:pPr>
        <w:pStyle w:val="GPSL2numberedclause"/>
      </w:pPr>
      <w:r>
        <w:rPr>
          <w:rFonts w:eastAsia="Arial"/>
        </w:rPr>
        <w:t>The Buyer shall use the Performance Monitoring Reports supplied by the Supplier to verify the calculation and accuracy of the Service Credits, if any, applicable to each Service Period.</w:t>
      </w:r>
    </w:p>
    <w:p w:rsidR="00CA079E" w:rsidP="00135404" w:rsidRDefault="00CD7298" w14:paraId="44194144" w14:textId="77777777">
      <w:pPr>
        <w:pStyle w:val="GPSL2numberedclause"/>
      </w:pPr>
      <w:r>
        <w:rPr>
          <w:rFonts w:eastAsia="Arial"/>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rsidRPr="0088685B" w:rsidR="00CA079E" w:rsidP="78031A2C" w:rsidRDefault="00CD7298" w14:paraId="17E99BA2" w14:textId="0A4FB283">
      <w:pPr>
        <w:keepNext/>
        <w:pBdr>
          <w:top w:val="nil"/>
          <w:left w:val="nil"/>
          <w:bottom w:val="nil"/>
          <w:right w:val="nil"/>
          <w:between w:val="nil"/>
        </w:pBdr>
        <w:rPr>
          <w:rFonts w:eastAsia="Arial Bold" w:cs="Arial"/>
          <w:b/>
          <w:bCs/>
          <w:color w:val="000000"/>
        </w:rPr>
      </w:pPr>
      <w:r w:rsidRPr="78031A2C">
        <w:rPr>
          <w:rFonts w:cs="Arial"/>
        </w:rPr>
        <w:br w:type="page"/>
      </w:r>
      <w:r w:rsidRPr="78031A2C">
        <w:rPr>
          <w:rFonts w:eastAsia="Arial Bold" w:cs="Arial"/>
          <w:b/>
          <w:bCs/>
          <w:color w:val="000000" w:themeColor="text1"/>
          <w:sz w:val="36"/>
          <w:szCs w:val="36"/>
        </w:rPr>
        <w:t xml:space="preserve">Annex to Part A: </w:t>
      </w:r>
      <w:r w:rsidRPr="78031A2C" w:rsidR="006D60FB">
        <w:rPr>
          <w:rFonts w:eastAsia="Arial Bold" w:cs="Arial"/>
          <w:b/>
          <w:bCs/>
          <w:color w:val="000000" w:themeColor="text1"/>
          <w:sz w:val="36"/>
          <w:szCs w:val="36"/>
        </w:rPr>
        <w:t>Key Performance Indicator</w:t>
      </w:r>
      <w:r w:rsidRPr="78031A2C">
        <w:rPr>
          <w:rFonts w:eastAsia="Arial Bold" w:cs="Arial"/>
          <w:b/>
          <w:bCs/>
          <w:color w:val="000000" w:themeColor="text1"/>
          <w:sz w:val="36"/>
          <w:szCs w:val="36"/>
        </w:rPr>
        <w:t>s and Service Credits Table</w:t>
      </w:r>
    </w:p>
    <w:p w:rsidRPr="005D4929" w:rsidR="001A6841" w:rsidP="001A6841" w:rsidRDefault="001A6841" w14:paraId="001EA685" w14:textId="0F0DF722">
      <w:pPr>
        <w:pBdr>
          <w:top w:val="nil"/>
          <w:left w:val="nil"/>
          <w:bottom w:val="nil"/>
          <w:right w:val="nil"/>
          <w:between w:val="nil"/>
        </w:pBdr>
        <w:spacing w:before="100"/>
        <w:rPr>
          <w:b/>
          <w:i/>
          <w:highlight w:val="yellow"/>
        </w:rPr>
      </w:pPr>
      <w:r w:rsidRPr="001A6841">
        <w:rPr>
          <w:b/>
          <w:i/>
          <w:highlight w:val="yellow"/>
        </w:rPr>
        <w:t xml:space="preserve">[Guidance: </w:t>
      </w:r>
      <w:r w:rsidRPr="001A6841">
        <w:rPr>
          <w:b/>
          <w:i/>
          <w:highlight w:val="yellow"/>
          <w:u w:val="single"/>
        </w:rPr>
        <w:t xml:space="preserve">The table </w:t>
      </w:r>
      <w:r w:rsidRPr="000B758C">
        <w:rPr>
          <w:b/>
          <w:i/>
          <w:highlight w:val="yellow"/>
          <w:u w:val="single"/>
        </w:rPr>
        <w:t xml:space="preserve">and calculation </w:t>
      </w:r>
      <w:r>
        <w:rPr>
          <w:b/>
          <w:i/>
          <w:highlight w:val="yellow"/>
          <w:u w:val="single"/>
        </w:rPr>
        <w:t xml:space="preserve">below </w:t>
      </w:r>
      <w:r w:rsidRPr="000B758C">
        <w:rPr>
          <w:b/>
          <w:i/>
          <w:highlight w:val="yellow"/>
          <w:u w:val="single"/>
        </w:rPr>
        <w:t>are included by way of example only</w:t>
      </w:r>
      <w:r>
        <w:rPr>
          <w:b/>
          <w:i/>
          <w:highlight w:val="yellow"/>
        </w:rPr>
        <w:t xml:space="preserve">. </w:t>
      </w:r>
    </w:p>
    <w:p w:rsidRPr="00A647EA" w:rsidR="001A6841" w:rsidP="001A6841" w:rsidRDefault="001A6841" w14:paraId="32E6F0C4" w14:textId="77777777">
      <w:pPr>
        <w:pBdr>
          <w:top w:val="nil"/>
          <w:left w:val="nil"/>
          <w:bottom w:val="nil"/>
          <w:right w:val="nil"/>
          <w:between w:val="nil"/>
        </w:pBdr>
        <w:spacing w:before="100"/>
        <w:rPr>
          <w:b/>
          <w:i/>
          <w:highlight w:val="yellow"/>
          <w:u w:val="single"/>
        </w:rPr>
      </w:pPr>
      <w:r w:rsidRPr="00A647EA">
        <w:rPr>
          <w:b/>
          <w:i/>
          <w:highlight w:val="yellow"/>
          <w:u w:val="single"/>
        </w:rPr>
        <w:t>Key Performance Indicators (“KPIs”) and the Procurement Act 2023</w:t>
      </w:r>
    </w:p>
    <w:p w:rsidRPr="00A647EA" w:rsidR="001A6841" w:rsidP="001A6841" w:rsidRDefault="001A6841" w14:paraId="60AF6EBD" w14:textId="77777777">
      <w:pPr>
        <w:pBdr>
          <w:top w:val="nil"/>
          <w:left w:val="nil"/>
          <w:bottom w:val="nil"/>
          <w:right w:val="nil"/>
          <w:between w:val="nil"/>
        </w:pBdr>
        <w:spacing w:before="100"/>
        <w:rPr>
          <w:b/>
          <w:i/>
          <w:highlight w:val="yellow"/>
        </w:rPr>
      </w:pPr>
      <w:r w:rsidRPr="00A647EA">
        <w:rPr>
          <w:b/>
          <w:i/>
          <w:highlight w:val="yellow"/>
        </w:rPr>
        <w:t xml:space="preserve">The Procurement Act 2023 and the Procurement Regulations 2024 set out important provisions for contracts with an estimated value of more than £5 million as follows:  </w:t>
      </w:r>
    </w:p>
    <w:p w:rsidRPr="00A647EA" w:rsidR="001A6841" w:rsidP="001A6841" w:rsidRDefault="001A6841" w14:paraId="4538213A" w14:textId="77777777">
      <w:pPr>
        <w:pStyle w:val="ListParagraph"/>
        <w:numPr>
          <w:ilvl w:val="0"/>
          <w:numId w:val="14"/>
        </w:numPr>
        <w:pBdr>
          <w:top w:val="nil"/>
          <w:left w:val="nil"/>
          <w:bottom w:val="nil"/>
          <w:right w:val="nil"/>
          <w:between w:val="nil"/>
        </w:pBdr>
        <w:spacing w:before="100"/>
        <w:rPr>
          <w:b/>
          <w:i/>
          <w:highlight w:val="yellow"/>
        </w:rPr>
      </w:pPr>
      <w:r w:rsidRPr="00A647EA">
        <w:rPr>
          <w:b/>
          <w:i/>
          <w:highlight w:val="yellow"/>
        </w:rPr>
        <w:t xml:space="preserve">Section 52(1) of the Procurement Act 2023 requires a Buyer to set </w:t>
      </w:r>
      <w:r w:rsidRPr="00A647EA">
        <w:rPr>
          <w:b/>
          <w:i/>
          <w:highlight w:val="yellow"/>
          <w:u w:val="single"/>
        </w:rPr>
        <w:t>at least 3 KPIs</w:t>
      </w:r>
      <w:r w:rsidRPr="00A647EA">
        <w:rPr>
          <w:b/>
          <w:i/>
          <w:highlight w:val="yellow"/>
        </w:rPr>
        <w:t xml:space="preserve"> unless it considers that KPIs will not appropriately assess a supplier’s performance. </w:t>
      </w:r>
    </w:p>
    <w:p w:rsidRPr="00A647EA" w:rsidR="001A6841" w:rsidP="001A6841" w:rsidRDefault="001A6841" w14:paraId="155F7C60" w14:textId="77777777">
      <w:pPr>
        <w:pStyle w:val="ListParagraph"/>
        <w:numPr>
          <w:ilvl w:val="0"/>
          <w:numId w:val="14"/>
        </w:numPr>
        <w:pBdr>
          <w:top w:val="nil"/>
          <w:left w:val="nil"/>
          <w:bottom w:val="nil"/>
          <w:right w:val="nil"/>
          <w:between w:val="nil"/>
        </w:pBdr>
        <w:spacing w:before="100"/>
        <w:rPr>
          <w:b/>
          <w:i/>
          <w:highlight w:val="yellow"/>
        </w:rPr>
      </w:pPr>
      <w:r w:rsidRPr="00A647EA">
        <w:rPr>
          <w:b/>
          <w:i/>
          <w:highlight w:val="yellow"/>
        </w:rPr>
        <w:t xml:space="preserve">Section 52(3) of the Procurement Act 2023 requires Buyers to publish </w:t>
      </w:r>
      <w:proofErr w:type="gramStart"/>
      <w:r w:rsidRPr="00A647EA">
        <w:rPr>
          <w:b/>
          <w:i/>
          <w:highlight w:val="yellow"/>
        </w:rPr>
        <w:t>all of</w:t>
      </w:r>
      <w:proofErr w:type="gramEnd"/>
      <w:r w:rsidRPr="00A647EA">
        <w:rPr>
          <w:b/>
          <w:i/>
          <w:highlight w:val="yellow"/>
        </w:rPr>
        <w:t xml:space="preserve"> the KPIs set under section 52(1). In most cases, Buyers will satisfy this by complying with the obligation in section 53(3) of the of the Procurement Act 2023 which says they must publish a copy of any contract with an estimated value of more than £5 million. </w:t>
      </w:r>
    </w:p>
    <w:p w:rsidRPr="00A647EA" w:rsidR="001A6841" w:rsidP="001A6841" w:rsidRDefault="001A6841" w14:paraId="0B331B3C" w14:textId="77777777">
      <w:pPr>
        <w:pStyle w:val="ListParagraph"/>
        <w:numPr>
          <w:ilvl w:val="0"/>
          <w:numId w:val="14"/>
        </w:numPr>
        <w:pBdr>
          <w:top w:val="nil"/>
          <w:left w:val="nil"/>
          <w:bottom w:val="nil"/>
          <w:right w:val="nil"/>
          <w:between w:val="nil"/>
        </w:pBdr>
        <w:spacing w:before="100"/>
        <w:rPr>
          <w:b/>
          <w:i/>
          <w:highlight w:val="yellow"/>
        </w:rPr>
      </w:pPr>
      <w:r w:rsidRPr="00A647EA">
        <w:rPr>
          <w:b/>
          <w:i/>
          <w:highlight w:val="yellow"/>
        </w:rPr>
        <w:t>In respect of contract details notices under the Procurement Regulations 2024:</w:t>
      </w:r>
    </w:p>
    <w:p w:rsidRPr="00A647EA" w:rsidR="001A6841" w:rsidP="001A6841" w:rsidRDefault="001A6841" w14:paraId="42A894A7" w14:textId="77777777">
      <w:pPr>
        <w:pStyle w:val="ListParagraph"/>
        <w:numPr>
          <w:ilvl w:val="1"/>
          <w:numId w:val="14"/>
        </w:numPr>
        <w:pBdr>
          <w:top w:val="nil"/>
          <w:left w:val="nil"/>
          <w:bottom w:val="nil"/>
          <w:right w:val="nil"/>
          <w:between w:val="nil"/>
        </w:pBdr>
        <w:spacing w:before="100"/>
        <w:rPr>
          <w:b/>
          <w:i/>
          <w:highlight w:val="yellow"/>
        </w:rPr>
      </w:pPr>
      <w:r w:rsidRPr="00A647EA">
        <w:rPr>
          <w:b/>
          <w:i/>
          <w:highlight w:val="yellow"/>
        </w:rPr>
        <w:t xml:space="preserve">Regulation 32(2)(r) and regulation 35(2)(a) provides that a Buyer must include a description of the 3 KPIs the Buyer regards, at the time the contract details notice is published, as most material to performance of the contract obligations. </w:t>
      </w:r>
    </w:p>
    <w:p w:rsidRPr="00A647EA" w:rsidR="001A6841" w:rsidP="001A6841" w:rsidRDefault="001A6841" w14:paraId="585BABEC" w14:textId="77777777">
      <w:pPr>
        <w:pStyle w:val="ListParagraph"/>
        <w:numPr>
          <w:ilvl w:val="1"/>
          <w:numId w:val="14"/>
        </w:numPr>
        <w:pBdr>
          <w:top w:val="nil"/>
          <w:left w:val="nil"/>
          <w:bottom w:val="nil"/>
          <w:right w:val="nil"/>
          <w:between w:val="nil"/>
        </w:pBdr>
        <w:spacing w:before="100"/>
        <w:rPr>
          <w:b/>
          <w:i/>
          <w:highlight w:val="yellow"/>
        </w:rPr>
      </w:pPr>
      <w:r w:rsidRPr="00A647EA">
        <w:rPr>
          <w:b/>
          <w:i/>
          <w:highlight w:val="yellow"/>
        </w:rPr>
        <w:t xml:space="preserve">Regulation 32(2)(s) and regulation 35(2)(a) instructs Buyers who have deemed KPIs not appropriate for assessing the performance of their contract, to explain why. Section 71(2) of the Procurement Act 2023 requires a Buyer to assess and publish performance against the KPIs at least once in every period of twelve months throughout the life of the contract, and on termination of the contract. </w:t>
      </w:r>
    </w:p>
    <w:p w:rsidRPr="00A647EA" w:rsidR="001A6841" w:rsidP="001A6841" w:rsidRDefault="001A6841" w14:paraId="4FDF7418" w14:textId="77777777">
      <w:pPr>
        <w:pStyle w:val="ListParagraph"/>
        <w:numPr>
          <w:ilvl w:val="0"/>
          <w:numId w:val="14"/>
        </w:numPr>
        <w:pBdr>
          <w:top w:val="nil"/>
          <w:left w:val="nil"/>
          <w:bottom w:val="nil"/>
          <w:right w:val="nil"/>
          <w:between w:val="nil"/>
        </w:pBdr>
        <w:spacing w:before="100"/>
        <w:rPr>
          <w:b/>
          <w:i/>
          <w:highlight w:val="yellow"/>
        </w:rPr>
      </w:pPr>
      <w:r w:rsidRPr="00A647EA">
        <w:rPr>
          <w:b/>
          <w:i/>
          <w:highlight w:val="yellow"/>
        </w:rPr>
        <w:t>In respect of contract performance notices under the Procurement Regulations 2024:</w:t>
      </w:r>
    </w:p>
    <w:p w:rsidRPr="00A647EA" w:rsidR="001A6841" w:rsidP="001A6841" w:rsidRDefault="001A6841" w14:paraId="4A75A41F" w14:textId="77777777">
      <w:pPr>
        <w:pStyle w:val="ListParagraph"/>
        <w:numPr>
          <w:ilvl w:val="1"/>
          <w:numId w:val="14"/>
        </w:numPr>
        <w:pBdr>
          <w:top w:val="nil"/>
          <w:left w:val="nil"/>
          <w:bottom w:val="nil"/>
          <w:right w:val="nil"/>
          <w:between w:val="nil"/>
        </w:pBdr>
        <w:spacing w:before="100"/>
        <w:rPr>
          <w:b/>
          <w:i/>
          <w:highlight w:val="yellow"/>
        </w:rPr>
      </w:pPr>
      <w:r w:rsidRPr="00A647EA">
        <w:rPr>
          <w:b/>
          <w:i/>
          <w:highlight w:val="yellow"/>
        </w:rPr>
        <w:t>Regulation 39(4)(d) and (e) provide that a Buyer must include a description of the 3 KPIs that it regards as most material to performance of the contract obligations at the time the contract performance notice is published and a statement that the notice is being used to set out the Buyer’s assessment of performance against those 3 KPIs.</w:t>
      </w:r>
    </w:p>
    <w:p w:rsidRPr="00A647EA" w:rsidR="001A6841" w:rsidP="001A6841" w:rsidRDefault="001A6841" w14:paraId="1E260637" w14:textId="77777777">
      <w:pPr>
        <w:pStyle w:val="ListParagraph"/>
        <w:numPr>
          <w:ilvl w:val="0"/>
          <w:numId w:val="14"/>
        </w:numPr>
        <w:pBdr>
          <w:top w:val="nil"/>
          <w:left w:val="nil"/>
          <w:bottom w:val="nil"/>
          <w:right w:val="nil"/>
          <w:between w:val="nil"/>
        </w:pBdr>
        <w:spacing w:before="100"/>
        <w:rPr>
          <w:b/>
          <w:i/>
          <w:highlight w:val="yellow"/>
        </w:rPr>
      </w:pPr>
      <w:r w:rsidRPr="00A647EA">
        <w:rPr>
          <w:b/>
          <w:i/>
          <w:highlight w:val="yellow"/>
        </w:rPr>
        <w:t xml:space="preserve"> It is worth noting that a Social Value KPI may be one included as one of these 3 KPIs reported in the contract detail notice, and contract performance notices, should a Buyer regard it as most material to performance of the contract at the time.</w:t>
      </w:r>
    </w:p>
    <w:p w:rsidRPr="00A647EA" w:rsidR="001A6841" w:rsidP="001A6841" w:rsidRDefault="001A6841" w14:paraId="33C9345D" w14:textId="77777777">
      <w:pPr>
        <w:pBdr>
          <w:top w:val="nil"/>
          <w:left w:val="nil"/>
          <w:bottom w:val="nil"/>
          <w:right w:val="nil"/>
          <w:between w:val="nil"/>
        </w:pBdr>
        <w:spacing w:before="100"/>
        <w:rPr>
          <w:b/>
          <w:i/>
          <w:highlight w:val="yellow"/>
        </w:rPr>
      </w:pPr>
      <w:r w:rsidRPr="00A647EA">
        <w:rPr>
          <w:b/>
          <w:i/>
          <w:highlight w:val="yellow"/>
        </w:rPr>
        <w:t xml:space="preserve">It is possible that the KPIs selected as the top 3 may change throughout the life of the contract, meaning that those appearing in future contract performance notices may be different to those published at the time of contract award and within the contract details notice. </w:t>
      </w:r>
    </w:p>
    <w:p w:rsidRPr="00A647EA" w:rsidR="001A6841" w:rsidP="001A6841" w:rsidRDefault="001A6841" w14:paraId="48EA9918" w14:textId="77777777">
      <w:pPr>
        <w:pBdr>
          <w:top w:val="nil"/>
          <w:left w:val="nil"/>
          <w:bottom w:val="nil"/>
          <w:right w:val="nil"/>
          <w:between w:val="nil"/>
        </w:pBdr>
        <w:spacing w:before="100"/>
        <w:rPr>
          <w:b/>
          <w:i/>
          <w:highlight w:val="yellow"/>
        </w:rPr>
      </w:pPr>
      <w:r w:rsidRPr="00A647EA">
        <w:rPr>
          <w:b/>
          <w:i/>
          <w:highlight w:val="yellow"/>
        </w:rPr>
        <w:t xml:space="preserve">Buyers should note the exemptions in sections 94 and 99 of the Procurement Act 2023. If a Buyer withholds information under section 94 of the Procurement Act 2023, it must publish the fact that the information is being withheld and which sub-section of section 94 it is being withheld under. </w:t>
      </w:r>
    </w:p>
    <w:p w:rsidRPr="00A647EA" w:rsidR="001A6841" w:rsidP="001A6841" w:rsidRDefault="001A6841" w14:paraId="6B00083B" w14:textId="3C9BAFB5">
      <w:pPr>
        <w:pBdr>
          <w:top w:val="nil"/>
          <w:left w:val="nil"/>
          <w:bottom w:val="nil"/>
          <w:right w:val="nil"/>
          <w:between w:val="nil"/>
        </w:pBdr>
        <w:spacing w:before="100"/>
        <w:rPr>
          <w:b/>
          <w:i/>
          <w:highlight w:val="yellow"/>
        </w:rPr>
      </w:pPr>
      <w:r w:rsidRPr="00A647EA">
        <w:rPr>
          <w:b/>
          <w:i/>
          <w:highlight w:val="yellow"/>
        </w:rPr>
        <w:t xml:space="preserve">These obligations (and applicable exemptions) on publishing KPIs have been incorporated into the defined term of “Transparency Information” within this contract, and it is expected that performance against any KPIs set under the contract can be published. Buyers should refer to the KPI guidance published on Gov.uk </w:t>
      </w:r>
      <w:r>
        <w:rPr>
          <w:b/>
          <w:i/>
          <w:highlight w:val="yellow"/>
        </w:rPr>
        <w:t>(</w:t>
      </w:r>
      <w:hyperlink w:history="1" r:id="rId11">
        <w:r w:rsidRPr="001A6841">
          <w:rPr>
            <w:rStyle w:val="Hyperlink"/>
            <w:b/>
            <w:i/>
            <w:highlight w:val="yellow"/>
          </w:rPr>
          <w:t>https://www.gov.uk/government/publications/procurement-act-2023-guidance-documents-manage-phase/guidance-key-performance-indicators-html</w:t>
        </w:r>
      </w:hyperlink>
      <w:r>
        <w:rPr>
          <w:b/>
          <w:i/>
          <w:highlight w:val="yellow"/>
        </w:rPr>
        <w:t xml:space="preserve">) </w:t>
      </w:r>
      <w:r w:rsidRPr="00A647EA">
        <w:rPr>
          <w:b/>
          <w:i/>
          <w:highlight w:val="yellow"/>
        </w:rPr>
        <w:t>for further information.</w:t>
      </w:r>
    </w:p>
    <w:p w:rsidRPr="00A647EA" w:rsidR="001A6841" w:rsidP="001A6841" w:rsidRDefault="001A6841" w14:paraId="7B48A974" w14:textId="77777777">
      <w:pPr>
        <w:pBdr>
          <w:top w:val="nil"/>
          <w:left w:val="nil"/>
          <w:bottom w:val="nil"/>
          <w:right w:val="nil"/>
          <w:between w:val="nil"/>
        </w:pBdr>
        <w:spacing w:before="100"/>
        <w:rPr>
          <w:b/>
          <w:i/>
          <w:highlight w:val="yellow"/>
          <w:u w:val="single"/>
        </w:rPr>
      </w:pPr>
      <w:r w:rsidRPr="00A647EA">
        <w:rPr>
          <w:b/>
          <w:i/>
          <w:highlight w:val="yellow"/>
          <w:u w:val="single"/>
        </w:rPr>
        <w:t>Commercial Playbooks and KPIs</w:t>
      </w:r>
    </w:p>
    <w:p w:rsidRPr="00A647EA" w:rsidR="001A6841" w:rsidP="001A6841" w:rsidRDefault="001A6841" w14:paraId="2D99C83E" w14:textId="77777777">
      <w:pPr>
        <w:pBdr>
          <w:top w:val="nil"/>
          <w:left w:val="nil"/>
          <w:bottom w:val="nil"/>
          <w:right w:val="nil"/>
          <w:between w:val="nil"/>
        </w:pBdr>
        <w:spacing w:before="100"/>
        <w:rPr>
          <w:b/>
          <w:i/>
          <w:highlight w:val="yellow"/>
        </w:rPr>
      </w:pPr>
      <w:r w:rsidRPr="00A647EA">
        <w:rPr>
          <w:b/>
          <w:i/>
          <w:highlight w:val="yellow"/>
        </w:rPr>
        <w:t xml:space="preserve">The Procurement Act 2023 expands the current KPI reporting requirement policy for Central Government Buyers and associated Arm's Length Bodies ("ALBs").  The requirements in the Procurement Act are in addition to (and so do not replace) those set out in the Commercial Playbooks.  Please refer to the extra notes below the example table. </w:t>
      </w:r>
    </w:p>
    <w:p w:rsidRPr="00A647EA" w:rsidR="001A6841" w:rsidP="001A6841" w:rsidRDefault="001A6841" w14:paraId="7FA3CB29" w14:textId="77777777">
      <w:pPr>
        <w:pBdr>
          <w:top w:val="nil"/>
          <w:left w:val="nil"/>
          <w:bottom w:val="nil"/>
          <w:right w:val="nil"/>
          <w:between w:val="nil"/>
        </w:pBdr>
        <w:spacing w:before="100"/>
        <w:rPr>
          <w:b/>
          <w:i/>
          <w:highlight w:val="yellow"/>
        </w:rPr>
      </w:pPr>
      <w:r w:rsidRPr="00A647EA">
        <w:rPr>
          <w:b/>
          <w:i/>
          <w:highlight w:val="yellow"/>
        </w:rPr>
        <w:t>For example</w:t>
      </w:r>
      <w:r>
        <w:rPr>
          <w:b/>
          <w:i/>
          <w:highlight w:val="yellow"/>
        </w:rPr>
        <w:t>,</w:t>
      </w:r>
      <w:r w:rsidRPr="00A647EA">
        <w:rPr>
          <w:b/>
          <w:i/>
          <w:highlight w:val="yellow"/>
        </w:rPr>
        <w:t xml:space="preserve"> where a Buyer is a Central Government Department or ALB, they must:</w:t>
      </w:r>
    </w:p>
    <w:p w:rsidRPr="00A647EA" w:rsidR="001A6841" w:rsidP="001A6841" w:rsidRDefault="001A6841" w14:paraId="49B5DF87" w14:textId="3BB08853">
      <w:pPr>
        <w:pStyle w:val="ListParagraph"/>
        <w:numPr>
          <w:ilvl w:val="0"/>
          <w:numId w:val="6"/>
        </w:numPr>
        <w:pBdr>
          <w:top w:val="nil"/>
          <w:left w:val="nil"/>
          <w:bottom w:val="nil"/>
          <w:right w:val="nil"/>
          <w:between w:val="nil"/>
        </w:pBdr>
        <w:spacing w:before="100"/>
        <w:rPr>
          <w:b/>
          <w:i/>
          <w:highlight w:val="yellow"/>
        </w:rPr>
      </w:pPr>
      <w:r w:rsidRPr="00A647EA">
        <w:rPr>
          <w:b/>
          <w:i/>
          <w:highlight w:val="yellow"/>
        </w:rPr>
        <w:t xml:space="preserve">in line with the </w:t>
      </w:r>
      <w:hyperlink r:id="rId12">
        <w:r w:rsidRPr="00A647EA">
          <w:rPr>
            <w:b/>
            <w:i/>
            <w:color w:val="0000FF"/>
            <w:highlight w:val="yellow"/>
            <w:u w:val="single"/>
          </w:rPr>
          <w:t>Sourcing Playbook</w:t>
        </w:r>
      </w:hyperlink>
      <w:r w:rsidRPr="00A647EA">
        <w:rPr>
          <w:b/>
          <w:i/>
          <w:highlight w:val="yellow"/>
        </w:rPr>
        <w:t>, publish the top 3 operational KPIs for the Government’s most important contracts on a quarterly basis; and</w:t>
      </w:r>
    </w:p>
    <w:p w:rsidRPr="00A647EA" w:rsidR="001A6841" w:rsidP="001A6841" w:rsidRDefault="001A6841" w14:paraId="614D0CCA" w14:textId="77777777">
      <w:pPr>
        <w:pStyle w:val="ListParagraph"/>
        <w:pBdr>
          <w:top w:val="nil"/>
          <w:left w:val="nil"/>
          <w:bottom w:val="nil"/>
          <w:right w:val="nil"/>
          <w:between w:val="nil"/>
        </w:pBdr>
        <w:spacing w:before="100"/>
        <w:ind w:left="1080"/>
        <w:rPr>
          <w:b/>
          <w:i/>
          <w:color w:val="000000"/>
          <w:highlight w:val="yellow"/>
        </w:rPr>
      </w:pPr>
    </w:p>
    <w:p w:rsidRPr="00A647EA" w:rsidR="001A6841" w:rsidP="001A6841" w:rsidRDefault="001A6841" w14:paraId="63F09DE9" w14:textId="7E6AB343">
      <w:pPr>
        <w:pStyle w:val="ListParagraph"/>
        <w:numPr>
          <w:ilvl w:val="0"/>
          <w:numId w:val="6"/>
        </w:numPr>
        <w:pBdr>
          <w:top w:val="nil"/>
          <w:left w:val="nil"/>
          <w:bottom w:val="nil"/>
          <w:right w:val="nil"/>
          <w:between w:val="nil"/>
        </w:pBdr>
        <w:spacing w:before="100"/>
        <w:rPr>
          <w:b/>
          <w:i/>
          <w:color w:val="000000"/>
          <w:highlight w:val="yellow"/>
        </w:rPr>
      </w:pPr>
      <w:r w:rsidRPr="00A647EA">
        <w:rPr>
          <w:b/>
          <w:i/>
          <w:highlight w:val="yellow"/>
        </w:rPr>
        <w:t xml:space="preserve">where the Digital, Data and Technology Playbook (DDAT) </w:t>
      </w:r>
      <w:hyperlink w:history="1" r:id="rId13">
        <w:r w:rsidRPr="00410E43">
          <w:rPr>
            <w:rStyle w:val="Hyperlink"/>
            <w:b/>
            <w:i/>
            <w:highlight w:val="yellow"/>
          </w:rPr>
          <w:t>(https://www.gov.uk/government/publications/the-digital-data-and-technology-playbook</w:t>
        </w:r>
      </w:hyperlink>
      <w:r>
        <w:rPr>
          <w:b/>
          <w:i/>
          <w:highlight w:val="yellow"/>
        </w:rPr>
        <w:t xml:space="preserve">) </w:t>
      </w:r>
      <w:r w:rsidRPr="00A647EA">
        <w:rPr>
          <w:b/>
          <w:i/>
          <w:highlight w:val="yellow"/>
        </w:rPr>
        <w:t>applies to the Contract, comply with the DDAT policy requirements to publish 4 mandatory DDAT KPIs on a regular basis.</w:t>
      </w:r>
    </w:p>
    <w:p w:rsidRPr="00A647EA" w:rsidR="001A6841" w:rsidP="001A6841" w:rsidRDefault="001A6841" w14:paraId="20E6EF81" w14:textId="77777777">
      <w:pPr>
        <w:pStyle w:val="ListParagraph"/>
        <w:rPr>
          <w:b/>
          <w:i/>
          <w:highlight w:val="yellow"/>
        </w:rPr>
      </w:pPr>
    </w:p>
    <w:p w:rsidRPr="00A647EA" w:rsidR="001A6841" w:rsidP="001A6841" w:rsidRDefault="001A6841" w14:paraId="567EE501" w14:textId="77777777">
      <w:pPr>
        <w:spacing w:before="120" w:after="120" w:line="240" w:lineRule="auto"/>
        <w:rPr>
          <w:b/>
          <w:i/>
          <w:highlight w:val="yellow"/>
          <w:u w:val="single"/>
        </w:rPr>
      </w:pPr>
      <w:r w:rsidRPr="00A647EA">
        <w:rPr>
          <w:b/>
          <w:i/>
          <w:highlight w:val="yellow"/>
          <w:u w:val="single"/>
        </w:rPr>
        <w:t>Social Value KPIs</w:t>
      </w:r>
    </w:p>
    <w:p w:rsidRPr="00A647EA" w:rsidR="001A6841" w:rsidP="419CC518" w:rsidRDefault="001A6841" w14:paraId="5D243998" w14:textId="35B0F47A">
      <w:pPr>
        <w:pBdr>
          <w:top w:val="nil" w:color="000000" w:sz="0" w:space="0"/>
          <w:left w:val="nil" w:color="000000" w:sz="0" w:space="0"/>
          <w:bottom w:val="nil" w:color="000000" w:sz="0" w:space="0"/>
          <w:right w:val="nil" w:color="000000" w:sz="0" w:space="0"/>
          <w:between w:val="nil" w:color="000000" w:sz="0" w:space="0"/>
        </w:pBdr>
        <w:spacing w:before="100"/>
        <w:rPr>
          <w:b w:val="1"/>
          <w:bCs w:val="1"/>
          <w:i w:val="1"/>
          <w:iCs w:val="1"/>
          <w:highlight w:val="yellow"/>
        </w:rPr>
      </w:pPr>
      <w:r w:rsidRPr="419CC518" w:rsidR="001A6841">
        <w:rPr>
          <w:b w:val="1"/>
          <w:bCs w:val="1"/>
          <w:i w:val="1"/>
          <w:iCs w:val="1"/>
          <w:highlight w:val="yellow"/>
        </w:rPr>
        <w:t xml:space="preserve">In line with </w:t>
      </w:r>
      <w:r w:rsidRPr="419CC518" w:rsidR="001A6841">
        <w:rPr>
          <w:b w:val="1"/>
          <w:bCs w:val="1"/>
          <w:i w:val="1"/>
          <w:iCs w:val="1"/>
          <w:highlight w:val="yellow"/>
        </w:rPr>
        <w:t xml:space="preserve">PPN </w:t>
      </w:r>
      <w:r w:rsidRPr="419CC518" w:rsidR="001A6841">
        <w:rPr>
          <w:b w:val="1"/>
          <w:bCs w:val="1"/>
          <w:i w:val="1"/>
          <w:iCs w:val="1"/>
          <w:highlight w:val="yellow"/>
        </w:rPr>
        <w:t>00</w:t>
      </w:r>
      <w:r w:rsidRPr="419CC518" w:rsidR="21D54E55">
        <w:rPr>
          <w:b w:val="1"/>
          <w:bCs w:val="1"/>
          <w:i w:val="1"/>
          <w:iCs w:val="1"/>
          <w:highlight w:val="yellow"/>
        </w:rPr>
        <w:t>2</w:t>
      </w:r>
      <w:r w:rsidRPr="419CC518" w:rsidR="001A6841">
        <w:rPr>
          <w:b w:val="1"/>
          <w:bCs w:val="1"/>
          <w:i w:val="1"/>
          <w:iCs w:val="1"/>
          <w:highlight w:val="yellow"/>
        </w:rPr>
        <w:t xml:space="preserve"> – Taking account of social value in the award of central </w:t>
      </w:r>
      <w:r w:rsidRPr="419CC518" w:rsidR="001A6841">
        <w:rPr>
          <w:b w:val="1"/>
          <w:bCs w:val="1"/>
          <w:i w:val="1"/>
          <w:iCs w:val="1"/>
          <w:highlight w:val="yellow"/>
        </w:rPr>
        <w:t xml:space="preserve">government contracts, organisations (Central Government Departments &amp; their ALBs) procurement-specific Social Value KPIs (“Social Value KPIs”) and formulae should be introduced that reflect the </w:t>
      </w:r>
      <w:r w:rsidRPr="419CC518" w:rsidR="001A6841">
        <w:rPr>
          <w:b w:val="1"/>
          <w:bCs w:val="1"/>
          <w:i w:val="1"/>
          <w:iCs w:val="1"/>
          <w:highlight w:val="yellow"/>
        </w:rPr>
        <w:t>particular requirements</w:t>
      </w:r>
      <w:r w:rsidRPr="419CC518" w:rsidR="001A6841">
        <w:rPr>
          <w:b w:val="1"/>
          <w:bCs w:val="1"/>
          <w:i w:val="1"/>
          <w:iCs w:val="1"/>
          <w:highlight w:val="yellow"/>
        </w:rPr>
        <w:t xml:space="preserve"> of the procurement</w:t>
      </w:r>
      <w:r w:rsidRPr="419CC518" w:rsidR="001A6841">
        <w:rPr>
          <w:b w:val="1"/>
          <w:bCs w:val="1"/>
          <w:i w:val="1"/>
          <w:iCs w:val="1"/>
          <w:highlight w:val="yellow"/>
        </w:rPr>
        <w:t xml:space="preserve">.  </w:t>
      </w:r>
      <w:r w:rsidRPr="419CC518" w:rsidR="001A6841">
        <w:rPr>
          <w:b w:val="1"/>
          <w:bCs w:val="1"/>
          <w:i w:val="1"/>
          <w:iCs w:val="1"/>
          <w:highlight w:val="yellow"/>
        </w:rPr>
        <w:t xml:space="preserve">All Social Value KPIs should be </w:t>
      </w:r>
      <w:r w:rsidRPr="419CC518" w:rsidR="001A6841">
        <w:rPr>
          <w:b w:val="1"/>
          <w:bCs w:val="1"/>
          <w:i w:val="1"/>
          <w:iCs w:val="1"/>
          <w:highlight w:val="yellow"/>
        </w:rPr>
        <w:t>established</w:t>
      </w:r>
      <w:r w:rsidRPr="419CC518" w:rsidR="001A6841">
        <w:rPr>
          <w:b w:val="1"/>
          <w:bCs w:val="1"/>
          <w:i w:val="1"/>
          <w:iCs w:val="1"/>
          <w:highlight w:val="yellow"/>
        </w:rPr>
        <w:t xml:space="preserve"> using the Model Award Criteria and Reporting Metrics set out in the procurement documentation and in the tenderer’s proposals. </w:t>
      </w:r>
    </w:p>
    <w:p w:rsidRPr="00A647EA" w:rsidR="001A6841" w:rsidP="001A6841" w:rsidRDefault="001A6841" w14:paraId="51C25B14" w14:textId="77777777">
      <w:pPr>
        <w:pBdr>
          <w:top w:val="nil"/>
          <w:left w:val="nil"/>
          <w:bottom w:val="nil"/>
          <w:right w:val="nil"/>
          <w:between w:val="nil"/>
        </w:pBdr>
        <w:spacing w:before="100"/>
        <w:rPr>
          <w:highlight w:val="yellow"/>
        </w:rPr>
      </w:pPr>
      <w:r w:rsidRPr="00A647EA">
        <w:rPr>
          <w:b/>
          <w:i/>
          <w:highlight w:val="yellow"/>
        </w:rPr>
        <w:t>For Social Value KPIs, where the successful bidder proposes specific commitments in its tender proposal which are in addition to those set out in the procurement, then such commitments will also be used to establish Social Value KPIs.</w:t>
      </w:r>
      <w:r w:rsidRPr="00A647EA">
        <w:rPr>
          <w:highlight w:val="yellow"/>
        </w:rPr>
        <w:t xml:space="preserve"> </w:t>
      </w:r>
    </w:p>
    <w:p w:rsidRPr="00A647EA" w:rsidR="001A6841" w:rsidP="001A6841" w:rsidRDefault="001A6841" w14:paraId="282CE675" w14:textId="77777777">
      <w:pPr>
        <w:pBdr>
          <w:top w:val="nil"/>
          <w:left w:val="nil"/>
          <w:bottom w:val="nil"/>
          <w:right w:val="nil"/>
          <w:between w:val="nil"/>
        </w:pBdr>
        <w:spacing w:before="100"/>
        <w:rPr>
          <w:b/>
          <w:i/>
          <w:highlight w:val="yellow"/>
        </w:rPr>
      </w:pPr>
      <w:r w:rsidRPr="00A647EA">
        <w:rPr>
          <w:b/>
          <w:i/>
          <w:highlight w:val="yellow"/>
        </w:rPr>
        <w:t xml:space="preserve">Adjustments to the table and calculation approach below can be made as necessary. </w:t>
      </w:r>
    </w:p>
    <w:p w:rsidR="001A6841" w:rsidP="001A6841" w:rsidRDefault="001A6841" w14:paraId="5D91E853" w14:textId="77777777">
      <w:pPr>
        <w:spacing w:before="120" w:after="120" w:line="240" w:lineRule="auto"/>
        <w:rPr>
          <w:b/>
          <w:i/>
          <w:highlight w:val="yellow"/>
        </w:rPr>
      </w:pPr>
      <w:r w:rsidRPr="00A647EA">
        <w:rPr>
          <w:b/>
          <w:i/>
          <w:highlight w:val="yellow"/>
        </w:rPr>
        <w:t xml:space="preserve">The Buyer should discuss Social Value with participants during pre-market engagement to inform the selection of relevant, proportionate and non-discriminatory questions and </w:t>
      </w:r>
      <w:r>
        <w:rPr>
          <w:b/>
          <w:i/>
          <w:highlight w:val="yellow"/>
        </w:rPr>
        <w:t>criteria from the Social Value Model, and to consider whether the market in question has a mature Social Value offering. Such Social Value KPIs will always comprise a combination of a deliverable and a numeric element, being specific, measurable and time-bound commitments, by which performance of that deliverable is to be measured</w:t>
      </w:r>
    </w:p>
    <w:p w:rsidR="001A6841" w:rsidP="001A6841" w:rsidRDefault="001A6841" w14:paraId="418A9F7B" w14:textId="77777777">
      <w:pPr>
        <w:spacing w:before="120" w:after="120" w:line="240" w:lineRule="auto"/>
        <w:rPr>
          <w:b/>
          <w:i/>
          <w:highlight w:val="yellow"/>
        </w:rPr>
      </w:pPr>
      <w:r>
        <w:rPr>
          <w:b/>
          <w:i/>
          <w:highlight w:val="yellow"/>
        </w:rPr>
        <w:t>In the table below, Social Value KPIs may have an appropriate Service Credit level above 0% (zero percent) for markets which have a mature Social Value offering, where proportionate.  When determining what are such appropriate levels, the Buyer should consider what is proportionate in the context of the subject matter of the contract and its value, what is feasible in the circumstances, whether they provide sufficient incentive without driving up cost. The Buyer should also consider whether Social Value goals are better served in each instance by tying Service Credits to the input cost of meeting the Social Value KPI or to the output benefit which meeting the Social Value KPI is expected to bring.</w:t>
      </w:r>
    </w:p>
    <w:p w:rsidR="001A6841" w:rsidP="001A6841" w:rsidRDefault="001A6841" w14:paraId="7E14F7AA" w14:textId="77777777">
      <w:pPr>
        <w:spacing w:before="120" w:after="120" w:line="240" w:lineRule="auto"/>
        <w:rPr>
          <w:b/>
          <w:i/>
          <w:highlight w:val="yellow"/>
        </w:rPr>
      </w:pPr>
      <w:r>
        <w:rPr>
          <w:b/>
          <w:i/>
          <w:highlight w:val="yellow"/>
        </w:rPr>
        <w:t>For less mature markets, the Buyer may consider setting the Service Credit level for Social Value KPIs at 0% (zero percent), as the Rectification Plan Process will be a more appropriate remedy in these circumstances than Service Credits</w:t>
      </w:r>
      <w:r>
        <w:rPr>
          <w:highlight w:val="yellow"/>
        </w:rPr>
        <w:t>.</w:t>
      </w:r>
    </w:p>
    <w:p w:rsidR="001A6841" w:rsidP="001A6841" w:rsidRDefault="001A6841" w14:paraId="056E27A0" w14:textId="77777777">
      <w:pPr>
        <w:spacing w:before="120" w:after="120" w:line="240" w:lineRule="auto"/>
        <w:rPr>
          <w:b/>
          <w:i/>
        </w:rPr>
      </w:pPr>
      <w:bookmarkStart w:name="_heading=h.3znysh7" w:colFirst="0" w:colLast="0" w:id="6"/>
      <w:bookmarkEnd w:id="6"/>
      <w:r>
        <w:rPr>
          <w:b/>
          <w:i/>
          <w:highlight w:val="yellow"/>
        </w:rPr>
        <w:t>The Buyer should ensure that the social value priorities to be delivered and how the Supplier will deliver these priorities are included in this Contract (for example in Schedule 2 (Specification), Schedule 4 (Tender), and Schedule 8 (Implementation Plan)]</w:t>
      </w:r>
    </w:p>
    <w:p w:rsidRPr="0088685B" w:rsidR="00C0489A" w:rsidRDefault="00C0489A" w14:paraId="093350F0" w14:textId="54C40C74">
      <w:pPr>
        <w:spacing w:before="120" w:after="120" w:line="240" w:lineRule="auto"/>
        <w:rPr>
          <w:rFonts w:cs="Arial"/>
          <w:b/>
          <w:i/>
        </w:rPr>
      </w:pPr>
    </w:p>
    <w:p w:rsidRPr="0088685B" w:rsidR="00C0489A" w:rsidRDefault="00C0489A" w14:paraId="55181788" w14:textId="77777777">
      <w:pPr>
        <w:spacing w:before="120" w:after="120" w:line="240" w:lineRule="auto"/>
        <w:rPr>
          <w:rFonts w:cs="Arial"/>
          <w:b/>
          <w:i/>
        </w:rPr>
      </w:pPr>
    </w:p>
    <w:p w:rsidRPr="0088685B" w:rsidR="0028495C" w:rsidRDefault="0028495C" w14:paraId="1F4DF6DC" w14:textId="260746E7">
      <w:pPr>
        <w:spacing w:before="120" w:after="120" w:line="240" w:lineRule="auto"/>
        <w:rPr>
          <w:rFonts w:cs="Arial"/>
        </w:rPr>
        <w:sectPr w:rsidRPr="0088685B" w:rsidR="0028495C">
          <w:headerReference w:type="even" r:id="rId17"/>
          <w:headerReference w:type="default" r:id="rId18"/>
          <w:footerReference w:type="even" r:id="rId19"/>
          <w:footerReference w:type="default" r:id="rId20"/>
          <w:headerReference w:type="first" r:id="rId21"/>
          <w:footerReference w:type="first" r:id="rId22"/>
          <w:pgSz w:w="11906" w:h="16838" w:orient="portrait"/>
          <w:pgMar w:top="1440" w:right="1440" w:bottom="1440" w:left="1440" w:header="709" w:footer="709" w:gutter="0"/>
          <w:pgNumType w:start="1"/>
          <w:cols w:space="720"/>
        </w:sectPr>
      </w:pPr>
    </w:p>
    <w:tbl>
      <w:tblPr>
        <w:tblStyle w:val="2"/>
        <w:tblpPr w:leftFromText="180" w:rightFromText="180" w:vertAnchor="text" w:tblpY="1"/>
        <w:tblOverlap w:val="neve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123"/>
        <w:gridCol w:w="1046"/>
        <w:gridCol w:w="1565"/>
        <w:gridCol w:w="1922"/>
        <w:gridCol w:w="2285"/>
        <w:gridCol w:w="5007"/>
      </w:tblGrid>
      <w:tr w:rsidRPr="00147AB8" w:rsidR="00871568" w:rsidTr="1AE049F1" w14:paraId="20C736CD" w14:textId="20D2DD66">
        <w:trPr>
          <w:trHeight w:val="503"/>
          <w:tblHeader/>
        </w:trPr>
        <w:tc>
          <w:tcPr>
            <w:tcW w:w="5000" w:type="pct"/>
            <w:gridSpan w:val="6"/>
            <w:shd w:val="clear" w:color="auto" w:fill="D9D9D9" w:themeFill="background1" w:themeFillShade="D9"/>
          </w:tcPr>
          <w:p w:rsidRPr="0088685B" w:rsidR="00871568" w:rsidDel="006D60FB" w:rsidP="00102577" w:rsidRDefault="00871568" w14:paraId="54844920" w14:textId="7E0F33CA">
            <w:pPr>
              <w:spacing w:before="120" w:after="120" w:line="240" w:lineRule="auto"/>
              <w:ind w:left="95"/>
              <w:jc w:val="center"/>
              <w:rPr>
                <w:rFonts w:cs="Arial"/>
                <w:b/>
                <w:sz w:val="20"/>
                <w:szCs w:val="20"/>
              </w:rPr>
            </w:pPr>
            <w:r w:rsidRPr="0088685B">
              <w:rPr>
                <w:rFonts w:cs="Arial"/>
                <w:b/>
                <w:sz w:val="20"/>
                <w:szCs w:val="20"/>
              </w:rPr>
              <w:t>Key Performance Indicators (KPIs)</w:t>
            </w:r>
          </w:p>
        </w:tc>
      </w:tr>
      <w:tr w:rsidRPr="00147AB8" w:rsidR="001A6841" w:rsidTr="001A6841" w14:paraId="49C1C8B3" w14:textId="77777777">
        <w:trPr>
          <w:trHeight w:val="642"/>
          <w:tblHeader/>
        </w:trPr>
        <w:tc>
          <w:tcPr>
            <w:tcW w:w="5000" w:type="pct"/>
            <w:gridSpan w:val="6"/>
            <w:shd w:val="clear" w:color="auto" w:fill="D9D9D9" w:themeFill="background1" w:themeFillShade="D9"/>
          </w:tcPr>
          <w:p w:rsidRPr="0088685B" w:rsidR="001A6841" w:rsidP="001A6841" w:rsidRDefault="001A6841" w14:paraId="7449AEBF" w14:textId="4BE19F5A">
            <w:pPr>
              <w:spacing w:before="120" w:after="120" w:line="240" w:lineRule="auto"/>
              <w:ind w:left="95"/>
              <w:jc w:val="center"/>
              <w:rPr>
                <w:rFonts w:cs="Arial"/>
                <w:b/>
                <w:sz w:val="20"/>
                <w:szCs w:val="20"/>
              </w:rPr>
            </w:pPr>
            <w:r w:rsidRPr="0088685B">
              <w:rPr>
                <w:rFonts w:cs="Arial"/>
                <w:b/>
                <w:sz w:val="20"/>
                <w:szCs w:val="20"/>
              </w:rPr>
              <w:t>KPI details</w:t>
            </w:r>
          </w:p>
        </w:tc>
      </w:tr>
      <w:tr w:rsidRPr="00147AB8" w:rsidR="001A6841" w14:paraId="312637B8" w14:textId="71F63DDE">
        <w:trPr>
          <w:trHeight w:val="2258"/>
          <w:tblHeader/>
        </w:trPr>
        <w:tc>
          <w:tcPr>
            <w:tcW w:w="761" w:type="pct"/>
            <w:shd w:val="clear" w:color="auto" w:fill="D9D9D9" w:themeFill="background1" w:themeFillShade="D9"/>
          </w:tcPr>
          <w:p w:rsidRPr="0088685B" w:rsidR="001A6841" w:rsidP="00102577" w:rsidRDefault="001A6841" w14:paraId="158E2C45" w14:textId="386B4AE5">
            <w:pPr>
              <w:spacing w:before="120" w:after="120" w:line="240" w:lineRule="auto"/>
              <w:ind w:left="61"/>
              <w:jc w:val="center"/>
              <w:rPr>
                <w:rFonts w:cs="Arial"/>
                <w:b/>
                <w:sz w:val="20"/>
                <w:szCs w:val="20"/>
              </w:rPr>
            </w:pPr>
            <w:r w:rsidRPr="0088685B">
              <w:rPr>
                <w:rFonts w:cs="Arial"/>
                <w:b/>
                <w:sz w:val="20"/>
                <w:szCs w:val="20"/>
              </w:rPr>
              <w:t>Key Performance Indicator Performance Criterion</w:t>
            </w:r>
          </w:p>
        </w:tc>
        <w:tc>
          <w:tcPr>
            <w:tcW w:w="375" w:type="pct"/>
            <w:shd w:val="clear" w:color="auto" w:fill="D9D9D9" w:themeFill="background1" w:themeFillShade="D9"/>
          </w:tcPr>
          <w:p w:rsidRPr="0088685B" w:rsidR="001A6841" w:rsidP="00102577" w:rsidRDefault="001A6841" w14:paraId="0A4505B9" w14:textId="77777777">
            <w:pPr>
              <w:spacing w:before="120" w:after="120" w:line="240" w:lineRule="auto"/>
              <w:ind w:left="95"/>
              <w:jc w:val="center"/>
              <w:rPr>
                <w:rFonts w:cs="Arial"/>
                <w:b/>
                <w:sz w:val="20"/>
                <w:szCs w:val="20"/>
              </w:rPr>
            </w:pPr>
            <w:r w:rsidRPr="0088685B">
              <w:rPr>
                <w:rFonts w:cs="Arial"/>
                <w:b/>
                <w:sz w:val="20"/>
                <w:szCs w:val="20"/>
              </w:rPr>
              <w:t>Key Indicator</w:t>
            </w:r>
          </w:p>
        </w:tc>
        <w:tc>
          <w:tcPr>
            <w:tcW w:w="561" w:type="pct"/>
            <w:shd w:val="clear" w:color="auto" w:fill="D9D9D9" w:themeFill="background1" w:themeFillShade="D9"/>
          </w:tcPr>
          <w:p w:rsidRPr="0088685B" w:rsidR="001A6841" w:rsidP="00102577" w:rsidRDefault="001A6841" w14:paraId="14F93598" w14:textId="4C29A8C5">
            <w:pPr>
              <w:spacing w:before="120" w:after="120" w:line="240" w:lineRule="auto"/>
              <w:jc w:val="center"/>
              <w:rPr>
                <w:rFonts w:cs="Arial"/>
                <w:b/>
                <w:sz w:val="20"/>
                <w:szCs w:val="20"/>
              </w:rPr>
            </w:pPr>
            <w:r w:rsidRPr="0088685B">
              <w:rPr>
                <w:rFonts w:cs="Arial"/>
                <w:b/>
                <w:sz w:val="20"/>
                <w:szCs w:val="20"/>
              </w:rPr>
              <w:t>KPI Performance Measure</w:t>
            </w:r>
          </w:p>
        </w:tc>
        <w:tc>
          <w:tcPr>
            <w:tcW w:w="689" w:type="pct"/>
            <w:shd w:val="clear" w:color="auto" w:fill="D9D9D9" w:themeFill="background1" w:themeFillShade="D9"/>
          </w:tcPr>
          <w:p w:rsidRPr="0088685B" w:rsidR="001A6841" w:rsidP="00102577" w:rsidRDefault="001A6841" w14:paraId="3789C237" w14:textId="08ABA603">
            <w:pPr>
              <w:spacing w:before="120" w:after="120" w:line="240" w:lineRule="auto"/>
              <w:ind w:left="95"/>
              <w:jc w:val="center"/>
              <w:rPr>
                <w:rFonts w:cs="Arial"/>
                <w:b/>
                <w:sz w:val="20"/>
                <w:szCs w:val="20"/>
              </w:rPr>
            </w:pPr>
            <w:r w:rsidRPr="0088685B">
              <w:rPr>
                <w:rFonts w:cs="Arial"/>
                <w:b/>
                <w:sz w:val="20"/>
                <w:szCs w:val="20"/>
              </w:rPr>
              <w:t>KPI Threshold</w:t>
            </w:r>
          </w:p>
        </w:tc>
        <w:tc>
          <w:tcPr>
            <w:tcW w:w="819" w:type="pct"/>
            <w:shd w:val="clear" w:color="auto" w:fill="D9D9D9" w:themeFill="background1" w:themeFillShade="D9"/>
          </w:tcPr>
          <w:p w:rsidRPr="0088685B" w:rsidR="001A6841" w:rsidP="00102577" w:rsidRDefault="001A6841" w14:paraId="034EF011" w14:textId="77777777">
            <w:pPr>
              <w:spacing w:before="120" w:after="120" w:line="240" w:lineRule="auto"/>
              <w:ind w:left="95"/>
              <w:jc w:val="center"/>
              <w:rPr>
                <w:rFonts w:cs="Arial"/>
                <w:b/>
                <w:sz w:val="20"/>
                <w:szCs w:val="20"/>
              </w:rPr>
            </w:pPr>
            <w:r w:rsidRPr="0088685B">
              <w:rPr>
                <w:rFonts w:cs="Arial"/>
                <w:b/>
                <w:sz w:val="20"/>
                <w:szCs w:val="20"/>
              </w:rPr>
              <w:t>Service Credit for each Service Period</w:t>
            </w:r>
          </w:p>
          <w:p w:rsidRPr="0088685B" w:rsidR="001A6841" w:rsidP="00102577" w:rsidRDefault="001A6841" w14:paraId="1E47521F" w14:textId="12773C3F">
            <w:pPr>
              <w:spacing w:before="120" w:after="120" w:line="240" w:lineRule="auto"/>
              <w:ind w:left="95"/>
              <w:jc w:val="center"/>
              <w:rPr>
                <w:rFonts w:cs="Arial"/>
                <w:b/>
                <w:sz w:val="20"/>
                <w:szCs w:val="20"/>
              </w:rPr>
            </w:pPr>
          </w:p>
        </w:tc>
        <w:tc>
          <w:tcPr>
            <w:tcW w:w="1795" w:type="pct"/>
            <w:shd w:val="clear" w:color="auto" w:fill="D9D9D9" w:themeFill="background1" w:themeFillShade="D9"/>
          </w:tcPr>
          <w:p w:rsidRPr="0088685B" w:rsidR="001A6841" w:rsidRDefault="001A6841" w14:paraId="0EB06769" w14:textId="40A8BAEC">
            <w:pPr>
              <w:spacing w:before="120" w:after="120" w:line="240" w:lineRule="auto"/>
              <w:ind w:left="95"/>
              <w:jc w:val="center"/>
              <w:rPr>
                <w:rFonts w:cs="Arial"/>
                <w:b/>
                <w:sz w:val="18"/>
                <w:szCs w:val="20"/>
              </w:rPr>
            </w:pPr>
            <w:r>
              <w:rPr>
                <w:rFonts w:cs="Arial"/>
                <w:b/>
                <w:sz w:val="20"/>
                <w:szCs w:val="20"/>
              </w:rPr>
              <w:t>Measurement Period</w:t>
            </w:r>
          </w:p>
        </w:tc>
      </w:tr>
      <w:tr w:rsidRPr="00147AB8" w:rsidR="001A6841" w:rsidTr="001A6841" w14:paraId="53A24B13" w14:textId="207BE111">
        <w:trPr>
          <w:trHeight w:val="1474"/>
        </w:trPr>
        <w:tc>
          <w:tcPr>
            <w:tcW w:w="761" w:type="pct"/>
          </w:tcPr>
          <w:p w:rsidRPr="0088685B" w:rsidR="001A6841" w:rsidP="00102577" w:rsidRDefault="001A6841" w14:paraId="4D722DA7" w14:textId="5C649104">
            <w:pPr>
              <w:spacing w:before="120" w:after="120" w:line="240" w:lineRule="auto"/>
              <w:ind w:left="61"/>
              <w:rPr>
                <w:rFonts w:cs="Arial"/>
                <w:sz w:val="20"/>
                <w:szCs w:val="20"/>
              </w:rPr>
            </w:pPr>
            <w:r w:rsidRPr="0088685B">
              <w:rPr>
                <w:rFonts w:cs="Arial"/>
                <w:b/>
                <w:sz w:val="20"/>
                <w:szCs w:val="20"/>
              </w:rPr>
              <w:t>[</w:t>
            </w:r>
            <w:r w:rsidRPr="0088685B">
              <w:rPr>
                <w:rFonts w:cs="Arial"/>
                <w:sz w:val="20"/>
                <w:szCs w:val="20"/>
              </w:rPr>
              <w:t>Accurate and timely billing of Buyer</w:t>
            </w:r>
          </w:p>
        </w:tc>
        <w:tc>
          <w:tcPr>
            <w:tcW w:w="375" w:type="pct"/>
          </w:tcPr>
          <w:p w:rsidRPr="0088685B" w:rsidR="001A6841" w:rsidP="00102577" w:rsidRDefault="001A6841" w14:paraId="467C4551" w14:textId="191C3B45">
            <w:pPr>
              <w:spacing w:before="120" w:after="120" w:line="240" w:lineRule="auto"/>
              <w:ind w:left="95"/>
              <w:rPr>
                <w:rFonts w:cs="Arial"/>
                <w:sz w:val="20"/>
                <w:szCs w:val="20"/>
              </w:rPr>
            </w:pPr>
            <w:r w:rsidRPr="0088685B">
              <w:rPr>
                <w:rFonts w:cs="Arial"/>
                <w:sz w:val="20"/>
                <w:szCs w:val="20"/>
              </w:rPr>
              <w:t>Accuracy /Timelines</w:t>
            </w:r>
          </w:p>
        </w:tc>
        <w:tc>
          <w:tcPr>
            <w:tcW w:w="561" w:type="pct"/>
          </w:tcPr>
          <w:p w:rsidRPr="0088685B" w:rsidR="001A6841" w:rsidP="00102577" w:rsidRDefault="001A6841" w14:paraId="3BA927F3" w14:textId="6B1A805C">
            <w:pPr>
              <w:spacing w:before="120" w:after="120" w:line="240" w:lineRule="auto"/>
              <w:rPr>
                <w:rFonts w:cs="Arial"/>
                <w:sz w:val="20"/>
                <w:szCs w:val="20"/>
              </w:rPr>
            </w:pPr>
            <w:r w:rsidRPr="0088685B">
              <w:rPr>
                <w:rFonts w:cs="Arial"/>
                <w:sz w:val="20"/>
                <w:szCs w:val="20"/>
              </w:rPr>
              <w:t xml:space="preserve">at least 98% </w:t>
            </w:r>
            <w:proofErr w:type="gramStart"/>
            <w:r w:rsidRPr="0088685B">
              <w:rPr>
                <w:rFonts w:cs="Arial"/>
                <w:sz w:val="20"/>
                <w:szCs w:val="20"/>
              </w:rPr>
              <w:t>at all times</w:t>
            </w:r>
            <w:proofErr w:type="gramEnd"/>
          </w:p>
        </w:tc>
        <w:tc>
          <w:tcPr>
            <w:tcW w:w="689" w:type="pct"/>
          </w:tcPr>
          <w:p w:rsidRPr="0088685B" w:rsidR="001A6841" w:rsidP="00102577" w:rsidRDefault="001A6841" w14:paraId="636E7C60" w14:textId="77777777">
            <w:pPr>
              <w:spacing w:before="120" w:after="120" w:line="240" w:lineRule="auto"/>
              <w:ind w:left="95"/>
              <w:rPr>
                <w:rFonts w:cs="Arial"/>
                <w:sz w:val="20"/>
                <w:szCs w:val="20"/>
              </w:rPr>
            </w:pPr>
            <w:r w:rsidRPr="0088685B">
              <w:rPr>
                <w:rFonts w:cs="Arial"/>
                <w:sz w:val="20"/>
                <w:szCs w:val="20"/>
              </w:rPr>
              <w:t>[   ]</w:t>
            </w:r>
          </w:p>
        </w:tc>
        <w:tc>
          <w:tcPr>
            <w:tcW w:w="819" w:type="pct"/>
          </w:tcPr>
          <w:p w:rsidRPr="0088685B" w:rsidR="001A6841" w:rsidP="00102577" w:rsidRDefault="001A6841" w14:paraId="6A2FB38E" w14:textId="77777777">
            <w:pPr>
              <w:spacing w:before="120" w:after="120" w:line="240" w:lineRule="auto"/>
              <w:ind w:left="95"/>
              <w:rPr>
                <w:rFonts w:cs="Arial"/>
                <w:sz w:val="20"/>
                <w:szCs w:val="20"/>
              </w:rPr>
            </w:pPr>
            <w:r w:rsidRPr="0088685B">
              <w:rPr>
                <w:rFonts w:cs="Arial"/>
                <w:sz w:val="20"/>
                <w:szCs w:val="20"/>
              </w:rPr>
              <w:t>0.5% Service Credit gained for each percentage under the specified KPI Performance Measure</w:t>
            </w:r>
          </w:p>
          <w:p w:rsidRPr="0088685B" w:rsidR="001A6841" w:rsidP="00102577" w:rsidRDefault="001A6841" w14:paraId="2BA42814" w14:textId="170306FC">
            <w:pPr>
              <w:spacing w:before="120" w:after="120" w:line="240" w:lineRule="auto"/>
              <w:ind w:left="95"/>
              <w:rPr>
                <w:rFonts w:cs="Arial"/>
                <w:sz w:val="20"/>
                <w:szCs w:val="20"/>
              </w:rPr>
            </w:pPr>
          </w:p>
        </w:tc>
        <w:tc>
          <w:tcPr>
            <w:tcW w:w="1795" w:type="pct"/>
          </w:tcPr>
          <w:p w:rsidRPr="00147AB8" w:rsidR="001A6841" w:rsidP="001A6841" w:rsidRDefault="001A6841" w14:paraId="7ACDF813" w14:textId="77777777">
            <w:pPr>
              <w:spacing w:before="120" w:after="120" w:line="240" w:lineRule="auto"/>
              <w:ind w:left="95"/>
              <w:rPr>
                <w:sz w:val="20"/>
                <w:szCs w:val="20"/>
              </w:rPr>
            </w:pPr>
            <w:r>
              <w:rPr>
                <w:sz w:val="20"/>
                <w:szCs w:val="20"/>
              </w:rPr>
              <w:t>[</w:t>
            </w:r>
            <w:r w:rsidRPr="001A6841">
              <w:rPr>
                <w:b/>
                <w:sz w:val="20"/>
                <w:szCs w:val="20"/>
                <w:shd w:val="clear" w:color="auto" w:fill="FFFF00"/>
              </w:rPr>
              <w:t>Insert</w:t>
            </w:r>
            <w:r w:rsidRPr="006D2031">
              <w:rPr>
                <w:sz w:val="20"/>
                <w:szCs w:val="20"/>
                <w:shd w:val="clear" w:color="auto" w:fill="FFFF00"/>
              </w:rPr>
              <w:t xml:space="preserve"> </w:t>
            </w:r>
            <w:r>
              <w:rPr>
                <w:sz w:val="20"/>
                <w:szCs w:val="20"/>
                <w:shd w:val="clear" w:color="auto" w:fill="FFFF00"/>
              </w:rPr>
              <w:t xml:space="preserve">assessment </w:t>
            </w:r>
            <w:r w:rsidRPr="006D2031">
              <w:rPr>
                <w:sz w:val="20"/>
                <w:szCs w:val="20"/>
                <w:shd w:val="clear" w:color="auto" w:fill="FFFF00"/>
              </w:rPr>
              <w:t>frequency</w:t>
            </w:r>
            <w:r>
              <w:rPr>
                <w:sz w:val="20"/>
                <w:szCs w:val="20"/>
                <w:shd w:val="clear" w:color="auto" w:fill="FFFF00"/>
              </w:rPr>
              <w:t xml:space="preserve">. See guidance above on frequencies of assessment (and therefore publication) under the Procurement Act 2024, the Sourcing Playbook, and </w:t>
            </w:r>
            <w:proofErr w:type="spellStart"/>
            <w:r>
              <w:rPr>
                <w:sz w:val="20"/>
                <w:szCs w:val="20"/>
                <w:shd w:val="clear" w:color="auto" w:fill="FFFF00"/>
              </w:rPr>
              <w:t>DDaT</w:t>
            </w:r>
            <w:proofErr w:type="spellEnd"/>
            <w:r>
              <w:rPr>
                <w:sz w:val="20"/>
                <w:szCs w:val="20"/>
                <w:shd w:val="clear" w:color="auto" w:fill="FFFF00"/>
              </w:rPr>
              <w:t xml:space="preserve"> Playbook. See also para 1.7 of Part B below on publication]</w:t>
            </w:r>
          </w:p>
          <w:p w:rsidRPr="0088685B" w:rsidR="001A6841" w:rsidP="0087195F" w:rsidRDefault="001A6841" w14:paraId="4B760C50" w14:textId="65153CE5">
            <w:pPr>
              <w:spacing w:before="120" w:after="120" w:line="240" w:lineRule="auto"/>
              <w:ind w:left="95"/>
              <w:rPr>
                <w:rFonts w:cs="Arial"/>
                <w:sz w:val="20"/>
                <w:szCs w:val="20"/>
              </w:rPr>
            </w:pPr>
          </w:p>
        </w:tc>
      </w:tr>
      <w:tr w:rsidRPr="00147AB8" w:rsidR="001A6841" w:rsidTr="001A6841" w14:paraId="0BADB3DF" w14:textId="0AC32950">
        <w:trPr>
          <w:trHeight w:val="1474"/>
        </w:trPr>
        <w:tc>
          <w:tcPr>
            <w:tcW w:w="761" w:type="pct"/>
          </w:tcPr>
          <w:p w:rsidRPr="0088685B" w:rsidR="001A6841" w:rsidP="00102577" w:rsidRDefault="001A6841" w14:paraId="374B1E38" w14:textId="002E4E86">
            <w:pPr>
              <w:spacing w:before="120" w:after="120" w:line="240" w:lineRule="auto"/>
              <w:ind w:left="61"/>
              <w:rPr>
                <w:rFonts w:cs="Arial"/>
                <w:sz w:val="20"/>
                <w:szCs w:val="20"/>
              </w:rPr>
            </w:pPr>
            <w:r w:rsidRPr="0088685B">
              <w:rPr>
                <w:rFonts w:cs="Arial"/>
                <w:sz w:val="20"/>
                <w:szCs w:val="20"/>
              </w:rPr>
              <w:t>Access to Buyer support</w:t>
            </w:r>
          </w:p>
        </w:tc>
        <w:tc>
          <w:tcPr>
            <w:tcW w:w="375" w:type="pct"/>
          </w:tcPr>
          <w:p w:rsidRPr="0088685B" w:rsidR="001A6841" w:rsidP="00102577" w:rsidRDefault="001A6841" w14:paraId="3FE8D882" w14:textId="12163E24">
            <w:pPr>
              <w:spacing w:before="120" w:after="120" w:line="240" w:lineRule="auto"/>
              <w:ind w:left="95"/>
              <w:rPr>
                <w:rFonts w:cs="Arial"/>
                <w:sz w:val="20"/>
                <w:szCs w:val="20"/>
              </w:rPr>
            </w:pPr>
            <w:r w:rsidRPr="0088685B">
              <w:rPr>
                <w:rFonts w:cs="Arial"/>
                <w:sz w:val="20"/>
                <w:szCs w:val="20"/>
              </w:rPr>
              <w:t>Availability</w:t>
            </w:r>
          </w:p>
        </w:tc>
        <w:tc>
          <w:tcPr>
            <w:tcW w:w="561" w:type="pct"/>
          </w:tcPr>
          <w:p w:rsidRPr="0088685B" w:rsidR="001A6841" w:rsidP="00102577" w:rsidRDefault="001A6841" w14:paraId="7EB8E23A" w14:textId="7A5A95B6">
            <w:pPr>
              <w:spacing w:before="120" w:after="120" w:line="240" w:lineRule="auto"/>
              <w:rPr>
                <w:rFonts w:cs="Arial"/>
                <w:sz w:val="20"/>
                <w:szCs w:val="20"/>
              </w:rPr>
            </w:pPr>
            <w:r w:rsidRPr="0088685B">
              <w:rPr>
                <w:rFonts w:cs="Arial"/>
                <w:sz w:val="20"/>
                <w:szCs w:val="20"/>
              </w:rPr>
              <w:t xml:space="preserve">at least 98% </w:t>
            </w:r>
            <w:proofErr w:type="gramStart"/>
            <w:r w:rsidRPr="0088685B">
              <w:rPr>
                <w:rFonts w:cs="Arial"/>
                <w:sz w:val="20"/>
                <w:szCs w:val="20"/>
              </w:rPr>
              <w:t>at all times</w:t>
            </w:r>
            <w:proofErr w:type="gramEnd"/>
          </w:p>
        </w:tc>
        <w:tc>
          <w:tcPr>
            <w:tcW w:w="689" w:type="pct"/>
          </w:tcPr>
          <w:p w:rsidRPr="0088685B" w:rsidR="001A6841" w:rsidP="00102577" w:rsidRDefault="001A6841" w14:paraId="15CBB5D9" w14:textId="77777777">
            <w:pPr>
              <w:spacing w:before="120" w:after="120" w:line="240" w:lineRule="auto"/>
              <w:ind w:left="95"/>
              <w:rPr>
                <w:rFonts w:cs="Arial"/>
                <w:sz w:val="20"/>
                <w:szCs w:val="20"/>
              </w:rPr>
            </w:pPr>
            <w:r w:rsidRPr="0088685B">
              <w:rPr>
                <w:rFonts w:cs="Arial"/>
                <w:sz w:val="20"/>
                <w:szCs w:val="20"/>
              </w:rPr>
              <w:t>[   ]</w:t>
            </w:r>
          </w:p>
        </w:tc>
        <w:tc>
          <w:tcPr>
            <w:tcW w:w="819" w:type="pct"/>
          </w:tcPr>
          <w:p w:rsidRPr="0088685B" w:rsidR="001A6841" w:rsidP="00102577" w:rsidRDefault="001A6841" w14:paraId="7AA7E74B" w14:textId="77777777">
            <w:pPr>
              <w:spacing w:before="120" w:after="120" w:line="240" w:lineRule="auto"/>
              <w:ind w:left="95"/>
              <w:rPr>
                <w:rFonts w:cs="Arial"/>
                <w:sz w:val="20"/>
                <w:szCs w:val="20"/>
              </w:rPr>
            </w:pPr>
            <w:r w:rsidRPr="0088685B">
              <w:rPr>
                <w:rFonts w:cs="Arial"/>
                <w:sz w:val="20"/>
                <w:szCs w:val="20"/>
              </w:rPr>
              <w:t>0.5% Service Credit gained for each percentage under the specified KPI Performance Measure</w:t>
            </w:r>
          </w:p>
          <w:p w:rsidRPr="0088685B" w:rsidR="001A6841" w:rsidP="00102577" w:rsidRDefault="001A6841" w14:paraId="3C7C67FA" w14:textId="45B2E27E">
            <w:pPr>
              <w:spacing w:before="120" w:after="120" w:line="240" w:lineRule="auto"/>
              <w:ind w:left="95"/>
              <w:rPr>
                <w:rFonts w:cs="Arial"/>
                <w:sz w:val="20"/>
                <w:szCs w:val="20"/>
              </w:rPr>
            </w:pPr>
          </w:p>
        </w:tc>
        <w:tc>
          <w:tcPr>
            <w:tcW w:w="1795" w:type="pct"/>
          </w:tcPr>
          <w:p w:rsidRPr="0088685B" w:rsidR="001A6841" w:rsidP="001A6841" w:rsidRDefault="001A6841" w14:paraId="30A34EB2" w14:textId="78A37337">
            <w:pPr>
              <w:spacing w:before="120" w:after="120" w:line="240" w:lineRule="auto"/>
              <w:rPr>
                <w:rFonts w:cs="Arial"/>
                <w:sz w:val="20"/>
                <w:szCs w:val="20"/>
              </w:rPr>
            </w:pPr>
            <w:r w:rsidRPr="0088685B">
              <w:rPr>
                <w:rFonts w:cs="Arial"/>
                <w:sz w:val="20"/>
                <w:szCs w:val="20"/>
              </w:rPr>
              <w:t>[</w:t>
            </w:r>
            <w:r>
              <w:rPr>
                <w:rFonts w:cs="Arial"/>
                <w:sz w:val="20"/>
                <w:szCs w:val="20"/>
                <w:shd w:val="clear" w:color="auto" w:fill="FFFF00"/>
              </w:rPr>
              <w:t>S</w:t>
            </w:r>
            <w:r w:rsidRPr="0088685B">
              <w:rPr>
                <w:rFonts w:cs="Arial"/>
                <w:sz w:val="20"/>
                <w:szCs w:val="20"/>
                <w:shd w:val="clear" w:color="auto" w:fill="FFFF00"/>
              </w:rPr>
              <w:t>ee above</w:t>
            </w:r>
            <w:r w:rsidRPr="0088685B">
              <w:rPr>
                <w:rFonts w:cs="Arial"/>
                <w:sz w:val="20"/>
                <w:szCs w:val="20"/>
              </w:rPr>
              <w:t>]</w:t>
            </w:r>
          </w:p>
          <w:p w:rsidRPr="0088685B" w:rsidR="001A6841" w:rsidP="00102577" w:rsidRDefault="001A6841" w14:paraId="351580AB" w14:textId="50634E1A">
            <w:pPr>
              <w:spacing w:before="120" w:after="120" w:line="240" w:lineRule="auto"/>
              <w:ind w:left="95"/>
              <w:rPr>
                <w:rFonts w:cs="Arial"/>
                <w:sz w:val="20"/>
                <w:szCs w:val="20"/>
              </w:rPr>
            </w:pPr>
            <w:r w:rsidRPr="0088685B">
              <w:rPr>
                <w:rFonts w:cs="Arial"/>
                <w:sz w:val="20"/>
                <w:szCs w:val="20"/>
              </w:rPr>
              <w:t xml:space="preserve"> </w:t>
            </w:r>
          </w:p>
          <w:p w:rsidRPr="0088685B" w:rsidR="001A6841" w:rsidP="00102577" w:rsidRDefault="001A6841" w14:paraId="7C14AA24" w14:textId="77777777">
            <w:pPr>
              <w:spacing w:before="120" w:after="120" w:line="240" w:lineRule="auto"/>
              <w:ind w:left="95"/>
              <w:rPr>
                <w:rFonts w:cs="Arial"/>
                <w:sz w:val="20"/>
                <w:szCs w:val="20"/>
              </w:rPr>
            </w:pPr>
          </w:p>
        </w:tc>
      </w:tr>
      <w:tr w:rsidRPr="00147AB8" w:rsidR="001A6841" w:rsidTr="001A6841" w14:paraId="6EAFDD28" w14:textId="3FD01D3E">
        <w:trPr>
          <w:trHeight w:val="1474"/>
        </w:trPr>
        <w:tc>
          <w:tcPr>
            <w:tcW w:w="761" w:type="pct"/>
          </w:tcPr>
          <w:p w:rsidRPr="0088685B" w:rsidR="001A6841" w:rsidP="00102577" w:rsidRDefault="001A6841" w14:paraId="4844A4F0" w14:textId="57AE4C73">
            <w:pPr>
              <w:spacing w:before="120" w:after="120" w:line="240" w:lineRule="auto"/>
              <w:ind w:left="61"/>
              <w:rPr>
                <w:rFonts w:cs="Arial"/>
                <w:sz w:val="20"/>
                <w:szCs w:val="20"/>
              </w:rPr>
            </w:pPr>
            <w:r w:rsidRPr="0088685B">
              <w:rPr>
                <w:rFonts w:cs="Arial"/>
                <w:sz w:val="20"/>
                <w:szCs w:val="20"/>
              </w:rPr>
              <w:t>[</w:t>
            </w:r>
            <w:r w:rsidRPr="0088685B">
              <w:rPr>
                <w:rFonts w:cs="Arial"/>
                <w:sz w:val="20"/>
                <w:szCs w:val="20"/>
                <w:highlight w:val="yellow"/>
              </w:rPr>
              <w:t>Social Value KPI 1]</w:t>
            </w:r>
          </w:p>
        </w:tc>
        <w:tc>
          <w:tcPr>
            <w:tcW w:w="375" w:type="pct"/>
          </w:tcPr>
          <w:p w:rsidRPr="0088685B" w:rsidR="001A6841" w:rsidP="00102577" w:rsidRDefault="001A6841" w14:paraId="0C7858D1" w14:textId="77777777">
            <w:pPr>
              <w:spacing w:before="120" w:after="120" w:line="240" w:lineRule="auto"/>
              <w:ind w:left="95"/>
              <w:rPr>
                <w:rFonts w:cs="Arial"/>
                <w:sz w:val="20"/>
                <w:szCs w:val="20"/>
                <w:highlight w:val="yellow"/>
              </w:rPr>
            </w:pPr>
            <w:r w:rsidRPr="0088685B">
              <w:rPr>
                <w:rFonts w:cs="Arial"/>
                <w:sz w:val="20"/>
                <w:szCs w:val="20"/>
                <w:highlight w:val="yellow"/>
              </w:rPr>
              <w:t>[  ]</w:t>
            </w:r>
          </w:p>
        </w:tc>
        <w:tc>
          <w:tcPr>
            <w:tcW w:w="561" w:type="pct"/>
          </w:tcPr>
          <w:p w:rsidRPr="0088685B" w:rsidR="001A6841" w:rsidP="00102577" w:rsidRDefault="001A6841" w14:paraId="7FF4044B" w14:textId="77777777">
            <w:pPr>
              <w:spacing w:before="120" w:after="120" w:line="240" w:lineRule="auto"/>
              <w:rPr>
                <w:rFonts w:cs="Arial"/>
                <w:sz w:val="20"/>
                <w:szCs w:val="20"/>
                <w:highlight w:val="yellow"/>
              </w:rPr>
            </w:pPr>
            <w:r w:rsidRPr="0088685B">
              <w:rPr>
                <w:rFonts w:cs="Arial"/>
                <w:sz w:val="20"/>
                <w:szCs w:val="20"/>
                <w:highlight w:val="yellow"/>
              </w:rPr>
              <w:t>[  ]</w:t>
            </w:r>
          </w:p>
        </w:tc>
        <w:tc>
          <w:tcPr>
            <w:tcW w:w="689" w:type="pct"/>
          </w:tcPr>
          <w:p w:rsidRPr="0088685B" w:rsidR="001A6841" w:rsidP="00102577" w:rsidRDefault="001A6841" w14:paraId="4F559E31" w14:textId="77777777">
            <w:pPr>
              <w:spacing w:before="120" w:after="120" w:line="240" w:lineRule="auto"/>
              <w:ind w:left="95"/>
              <w:rPr>
                <w:rFonts w:cs="Arial"/>
                <w:sz w:val="20"/>
                <w:szCs w:val="20"/>
                <w:highlight w:val="yellow"/>
              </w:rPr>
            </w:pPr>
            <w:r w:rsidRPr="0088685B">
              <w:rPr>
                <w:rFonts w:cs="Arial"/>
                <w:sz w:val="20"/>
                <w:szCs w:val="20"/>
                <w:highlight w:val="yellow"/>
              </w:rPr>
              <w:t>[  ]</w:t>
            </w:r>
          </w:p>
        </w:tc>
        <w:tc>
          <w:tcPr>
            <w:tcW w:w="819" w:type="pct"/>
          </w:tcPr>
          <w:p w:rsidRPr="00284677" w:rsidR="001A6841" w:rsidP="001A6841" w:rsidRDefault="001A6841" w14:paraId="00D6B090" w14:textId="19D421AA">
            <w:pPr>
              <w:spacing w:before="120" w:after="120" w:line="240" w:lineRule="auto"/>
              <w:ind w:left="95"/>
              <w:rPr>
                <w:sz w:val="20"/>
                <w:szCs w:val="20"/>
                <w:highlight w:val="yellow"/>
              </w:rPr>
            </w:pPr>
            <w:r w:rsidRPr="00284677">
              <w:rPr>
                <w:rFonts w:cs="Arial"/>
                <w:b/>
                <w:bCs/>
                <w:iCs/>
                <w:color w:val="000000"/>
                <w:sz w:val="20"/>
                <w:szCs w:val="20"/>
                <w:shd w:val="clear" w:color="auto" w:fill="FFFF00"/>
              </w:rPr>
              <w:t>[</w:t>
            </w:r>
            <w:r w:rsidR="00284677">
              <w:rPr>
                <w:rFonts w:cs="Arial"/>
                <w:b/>
                <w:bCs/>
                <w:iCs/>
                <w:color w:val="000000"/>
                <w:sz w:val="20"/>
                <w:szCs w:val="20"/>
                <w:shd w:val="clear" w:color="auto" w:fill="FFFF00"/>
              </w:rPr>
              <w:t>Note</w:t>
            </w:r>
            <w:r w:rsidRPr="00284677">
              <w:rPr>
                <w:rFonts w:cs="Arial"/>
                <w:b/>
                <w:bCs/>
                <w:iCs/>
                <w:color w:val="000000"/>
                <w:sz w:val="20"/>
                <w:szCs w:val="20"/>
                <w:shd w:val="clear" w:color="auto" w:fill="FFFF00"/>
              </w:rPr>
              <w:t xml:space="preserve"> </w:t>
            </w:r>
            <w:r w:rsidR="00284677">
              <w:rPr>
                <w:rFonts w:cs="Arial"/>
                <w:bCs/>
                <w:iCs/>
                <w:color w:val="000000"/>
                <w:sz w:val="20"/>
                <w:szCs w:val="20"/>
                <w:shd w:val="clear" w:color="auto" w:fill="FFFF00"/>
              </w:rPr>
              <w:t>w</w:t>
            </w:r>
            <w:r w:rsidRPr="00284677">
              <w:rPr>
                <w:rFonts w:cs="Arial"/>
                <w:bCs/>
                <w:iCs/>
                <w:color w:val="000000"/>
                <w:sz w:val="20"/>
                <w:szCs w:val="20"/>
                <w:shd w:val="clear" w:color="auto" w:fill="FFFF00"/>
              </w:rPr>
              <w:t>here appropriate (see guidance above), this can be set at 0%]</w:t>
            </w:r>
          </w:p>
          <w:p w:rsidRPr="0088685B" w:rsidR="001A6841" w:rsidP="00102577" w:rsidRDefault="001A6841" w14:paraId="0834DA85" w14:textId="6957DB4B">
            <w:pPr>
              <w:spacing w:before="120" w:after="120" w:line="240" w:lineRule="auto"/>
              <w:ind w:left="95"/>
              <w:rPr>
                <w:rFonts w:cs="Arial"/>
                <w:sz w:val="20"/>
                <w:szCs w:val="20"/>
                <w:highlight w:val="yellow"/>
              </w:rPr>
            </w:pPr>
          </w:p>
        </w:tc>
        <w:tc>
          <w:tcPr>
            <w:tcW w:w="1795" w:type="pct"/>
          </w:tcPr>
          <w:p w:rsidRPr="0088685B" w:rsidR="001A6841" w:rsidP="001A6841" w:rsidRDefault="001A6841" w14:paraId="6644E6C4" w14:textId="731F84B2">
            <w:pPr>
              <w:spacing w:before="120" w:after="120" w:line="240" w:lineRule="auto"/>
              <w:rPr>
                <w:rFonts w:cs="Arial"/>
                <w:sz w:val="20"/>
                <w:szCs w:val="20"/>
              </w:rPr>
            </w:pPr>
            <w:r w:rsidRPr="0088685B">
              <w:rPr>
                <w:rFonts w:cs="Arial"/>
                <w:sz w:val="20"/>
                <w:szCs w:val="20"/>
              </w:rPr>
              <w:t>[</w:t>
            </w:r>
            <w:r>
              <w:rPr>
                <w:rFonts w:cs="Arial"/>
                <w:sz w:val="20"/>
                <w:szCs w:val="20"/>
                <w:shd w:val="clear" w:color="auto" w:fill="FFFF00"/>
              </w:rPr>
              <w:t>S</w:t>
            </w:r>
            <w:r w:rsidRPr="0088685B">
              <w:rPr>
                <w:rFonts w:cs="Arial"/>
                <w:sz w:val="20"/>
                <w:szCs w:val="20"/>
                <w:shd w:val="clear" w:color="auto" w:fill="FFFF00"/>
              </w:rPr>
              <w:t>ee above</w:t>
            </w:r>
            <w:r w:rsidRPr="0088685B">
              <w:rPr>
                <w:rFonts w:cs="Arial"/>
                <w:sz w:val="20"/>
                <w:szCs w:val="20"/>
              </w:rPr>
              <w:t>]</w:t>
            </w:r>
          </w:p>
          <w:p w:rsidRPr="0088685B" w:rsidR="001A6841" w:rsidP="001A6841" w:rsidRDefault="001A6841" w14:paraId="2DFE983C" w14:textId="77777777">
            <w:pPr>
              <w:spacing w:before="120" w:after="120" w:line="240" w:lineRule="auto"/>
              <w:ind w:left="95"/>
              <w:rPr>
                <w:rFonts w:cs="Arial"/>
                <w:sz w:val="20"/>
                <w:szCs w:val="20"/>
              </w:rPr>
            </w:pPr>
          </w:p>
        </w:tc>
      </w:tr>
      <w:tr w:rsidRPr="00147AB8" w:rsidR="001A6841" w:rsidTr="001A6841" w14:paraId="0EE6BBBA" w14:textId="1B22FEEE">
        <w:trPr>
          <w:trHeight w:val="1474"/>
        </w:trPr>
        <w:tc>
          <w:tcPr>
            <w:tcW w:w="761" w:type="pct"/>
          </w:tcPr>
          <w:p w:rsidRPr="0088685B" w:rsidR="001A6841" w:rsidP="00102577" w:rsidRDefault="001A6841" w14:paraId="6BC43440" w14:textId="77777777">
            <w:pPr>
              <w:spacing w:before="120" w:after="120" w:line="240" w:lineRule="auto"/>
              <w:ind w:left="61"/>
              <w:rPr>
                <w:rFonts w:cs="Arial"/>
                <w:sz w:val="20"/>
                <w:szCs w:val="20"/>
              </w:rPr>
            </w:pPr>
            <w:r w:rsidRPr="0088685B">
              <w:rPr>
                <w:rFonts w:cs="Arial"/>
                <w:sz w:val="20"/>
                <w:szCs w:val="20"/>
              </w:rPr>
              <w:t>[</w:t>
            </w:r>
            <w:r w:rsidRPr="0088685B">
              <w:rPr>
                <w:rFonts w:cs="Arial"/>
                <w:sz w:val="20"/>
                <w:szCs w:val="20"/>
                <w:highlight w:val="yellow"/>
              </w:rPr>
              <w:t>Social Value KPI 2]</w:t>
            </w:r>
          </w:p>
        </w:tc>
        <w:tc>
          <w:tcPr>
            <w:tcW w:w="375" w:type="pct"/>
          </w:tcPr>
          <w:p w:rsidRPr="0088685B" w:rsidR="001A6841" w:rsidP="00102577" w:rsidRDefault="001A6841" w14:paraId="61156AAB" w14:textId="77777777">
            <w:pPr>
              <w:spacing w:before="120" w:after="120" w:line="240" w:lineRule="auto"/>
              <w:ind w:left="95"/>
              <w:rPr>
                <w:rFonts w:cs="Arial"/>
                <w:sz w:val="20"/>
                <w:szCs w:val="20"/>
                <w:highlight w:val="yellow"/>
              </w:rPr>
            </w:pPr>
            <w:r w:rsidRPr="0088685B">
              <w:rPr>
                <w:rFonts w:cs="Arial"/>
                <w:sz w:val="20"/>
                <w:szCs w:val="20"/>
                <w:highlight w:val="yellow"/>
              </w:rPr>
              <w:t>[  ]</w:t>
            </w:r>
          </w:p>
        </w:tc>
        <w:tc>
          <w:tcPr>
            <w:tcW w:w="561" w:type="pct"/>
          </w:tcPr>
          <w:p w:rsidRPr="0088685B" w:rsidR="001A6841" w:rsidP="00102577" w:rsidRDefault="001A6841" w14:paraId="0DA9FFDC" w14:textId="77777777">
            <w:pPr>
              <w:spacing w:before="120" w:after="120" w:line="240" w:lineRule="auto"/>
              <w:rPr>
                <w:rFonts w:cs="Arial"/>
                <w:sz w:val="20"/>
                <w:szCs w:val="20"/>
                <w:highlight w:val="yellow"/>
              </w:rPr>
            </w:pPr>
            <w:r w:rsidRPr="0088685B">
              <w:rPr>
                <w:rFonts w:cs="Arial"/>
                <w:sz w:val="20"/>
                <w:szCs w:val="20"/>
                <w:highlight w:val="yellow"/>
              </w:rPr>
              <w:t>[  ]</w:t>
            </w:r>
          </w:p>
        </w:tc>
        <w:tc>
          <w:tcPr>
            <w:tcW w:w="689" w:type="pct"/>
          </w:tcPr>
          <w:p w:rsidRPr="0088685B" w:rsidR="001A6841" w:rsidP="00102577" w:rsidRDefault="001A6841" w14:paraId="4DC95750" w14:textId="77777777">
            <w:pPr>
              <w:spacing w:before="120" w:after="120" w:line="240" w:lineRule="auto"/>
              <w:ind w:left="95"/>
              <w:rPr>
                <w:rFonts w:cs="Arial"/>
                <w:sz w:val="20"/>
                <w:szCs w:val="20"/>
                <w:highlight w:val="yellow"/>
              </w:rPr>
            </w:pPr>
            <w:r w:rsidRPr="0088685B">
              <w:rPr>
                <w:rFonts w:cs="Arial"/>
                <w:sz w:val="20"/>
                <w:szCs w:val="20"/>
                <w:highlight w:val="yellow"/>
              </w:rPr>
              <w:t>[  ]</w:t>
            </w:r>
          </w:p>
        </w:tc>
        <w:tc>
          <w:tcPr>
            <w:tcW w:w="819" w:type="pct"/>
          </w:tcPr>
          <w:p w:rsidRPr="0088685B" w:rsidR="001A6841" w:rsidP="00102577" w:rsidRDefault="001A6841" w14:paraId="60EBCA62" w14:textId="77777777">
            <w:pPr>
              <w:spacing w:before="120" w:after="120" w:line="240" w:lineRule="auto"/>
              <w:ind w:left="95"/>
              <w:rPr>
                <w:rFonts w:cs="Arial"/>
                <w:sz w:val="20"/>
                <w:szCs w:val="20"/>
                <w:highlight w:val="yellow"/>
              </w:rPr>
            </w:pPr>
            <w:r w:rsidRPr="0088685B">
              <w:rPr>
                <w:rFonts w:cs="Arial"/>
                <w:sz w:val="20"/>
                <w:szCs w:val="20"/>
                <w:highlight w:val="yellow"/>
              </w:rPr>
              <w:t xml:space="preserve"> [   ]</w:t>
            </w:r>
          </w:p>
          <w:p w:rsidRPr="0088685B" w:rsidR="001A6841" w:rsidP="00102577" w:rsidRDefault="001A6841" w14:paraId="4699A1F3" w14:textId="4AA96DF2">
            <w:pPr>
              <w:spacing w:before="120" w:after="120" w:line="240" w:lineRule="auto"/>
              <w:ind w:left="95"/>
              <w:rPr>
                <w:rFonts w:cs="Arial"/>
                <w:sz w:val="20"/>
                <w:szCs w:val="20"/>
                <w:highlight w:val="yellow"/>
              </w:rPr>
            </w:pPr>
          </w:p>
        </w:tc>
        <w:tc>
          <w:tcPr>
            <w:tcW w:w="1795" w:type="pct"/>
          </w:tcPr>
          <w:p w:rsidRPr="0088685B" w:rsidR="001A6841" w:rsidP="001A6841" w:rsidRDefault="001A6841" w14:paraId="289AAEBA" w14:textId="4B3FD10E">
            <w:pPr>
              <w:spacing w:before="120" w:after="120" w:line="240" w:lineRule="auto"/>
              <w:rPr>
                <w:rFonts w:cs="Arial"/>
                <w:sz w:val="20"/>
                <w:szCs w:val="20"/>
              </w:rPr>
            </w:pPr>
            <w:r w:rsidRPr="0088685B">
              <w:rPr>
                <w:rFonts w:cs="Arial"/>
                <w:sz w:val="20"/>
                <w:szCs w:val="20"/>
              </w:rPr>
              <w:t>[</w:t>
            </w:r>
            <w:r>
              <w:rPr>
                <w:rFonts w:cs="Arial"/>
                <w:sz w:val="20"/>
                <w:szCs w:val="20"/>
                <w:shd w:val="clear" w:color="auto" w:fill="FFFF00"/>
              </w:rPr>
              <w:t>S</w:t>
            </w:r>
            <w:r w:rsidRPr="0088685B">
              <w:rPr>
                <w:rFonts w:cs="Arial"/>
                <w:sz w:val="20"/>
                <w:szCs w:val="20"/>
                <w:shd w:val="clear" w:color="auto" w:fill="FFFF00"/>
              </w:rPr>
              <w:t>ee above</w:t>
            </w:r>
            <w:r w:rsidRPr="0088685B">
              <w:rPr>
                <w:rFonts w:cs="Arial"/>
                <w:sz w:val="20"/>
                <w:szCs w:val="20"/>
              </w:rPr>
              <w:t>]</w:t>
            </w:r>
          </w:p>
        </w:tc>
      </w:tr>
      <w:tr w:rsidRPr="00147AB8" w:rsidR="001A6841" w:rsidTr="001A6841" w14:paraId="090DA468" w14:textId="512DED3C">
        <w:trPr>
          <w:trHeight w:val="1474"/>
        </w:trPr>
        <w:tc>
          <w:tcPr>
            <w:tcW w:w="761" w:type="pct"/>
          </w:tcPr>
          <w:p w:rsidRPr="0088685B" w:rsidR="001A6841" w:rsidP="00102577" w:rsidRDefault="001A6841" w14:paraId="44BC76E2" w14:textId="77777777">
            <w:pPr>
              <w:spacing w:before="120" w:after="120" w:line="240" w:lineRule="auto"/>
              <w:ind w:left="61"/>
              <w:rPr>
                <w:rFonts w:cs="Arial"/>
                <w:sz w:val="20"/>
                <w:szCs w:val="20"/>
              </w:rPr>
            </w:pPr>
            <w:r w:rsidRPr="0088685B">
              <w:rPr>
                <w:rFonts w:cs="Arial"/>
                <w:sz w:val="20"/>
                <w:szCs w:val="20"/>
              </w:rPr>
              <w:t>[</w:t>
            </w:r>
            <w:r w:rsidRPr="0088685B">
              <w:rPr>
                <w:rFonts w:cs="Arial"/>
                <w:sz w:val="20"/>
                <w:szCs w:val="20"/>
                <w:highlight w:val="yellow"/>
              </w:rPr>
              <w:t>Social Value KPI 3]</w:t>
            </w:r>
          </w:p>
        </w:tc>
        <w:tc>
          <w:tcPr>
            <w:tcW w:w="375" w:type="pct"/>
          </w:tcPr>
          <w:p w:rsidRPr="0088685B" w:rsidR="001A6841" w:rsidP="00102577" w:rsidRDefault="001A6841" w14:paraId="0D298B4E" w14:textId="77777777">
            <w:pPr>
              <w:spacing w:before="120" w:after="120" w:line="240" w:lineRule="auto"/>
              <w:ind w:left="95"/>
              <w:rPr>
                <w:rFonts w:cs="Arial"/>
                <w:sz w:val="20"/>
                <w:szCs w:val="20"/>
                <w:highlight w:val="yellow"/>
              </w:rPr>
            </w:pPr>
            <w:r w:rsidRPr="0088685B">
              <w:rPr>
                <w:rFonts w:cs="Arial"/>
                <w:sz w:val="20"/>
                <w:szCs w:val="20"/>
                <w:highlight w:val="yellow"/>
              </w:rPr>
              <w:t>[  ]</w:t>
            </w:r>
          </w:p>
        </w:tc>
        <w:tc>
          <w:tcPr>
            <w:tcW w:w="561" w:type="pct"/>
          </w:tcPr>
          <w:p w:rsidRPr="0088685B" w:rsidR="001A6841" w:rsidP="00102577" w:rsidRDefault="001A6841" w14:paraId="0DD1E297" w14:textId="77777777">
            <w:pPr>
              <w:spacing w:before="120" w:after="120" w:line="240" w:lineRule="auto"/>
              <w:rPr>
                <w:rFonts w:cs="Arial"/>
                <w:sz w:val="20"/>
                <w:szCs w:val="20"/>
                <w:highlight w:val="yellow"/>
              </w:rPr>
            </w:pPr>
            <w:r w:rsidRPr="0088685B">
              <w:rPr>
                <w:rFonts w:cs="Arial"/>
                <w:sz w:val="20"/>
                <w:szCs w:val="20"/>
                <w:highlight w:val="yellow"/>
              </w:rPr>
              <w:t>[  ]</w:t>
            </w:r>
          </w:p>
        </w:tc>
        <w:tc>
          <w:tcPr>
            <w:tcW w:w="689" w:type="pct"/>
          </w:tcPr>
          <w:p w:rsidRPr="0088685B" w:rsidR="001A6841" w:rsidP="00102577" w:rsidRDefault="001A6841" w14:paraId="47EE779F" w14:textId="77777777">
            <w:pPr>
              <w:spacing w:before="120" w:after="120" w:line="240" w:lineRule="auto"/>
              <w:ind w:left="95"/>
              <w:rPr>
                <w:rFonts w:cs="Arial"/>
                <w:sz w:val="20"/>
                <w:szCs w:val="20"/>
                <w:highlight w:val="yellow"/>
              </w:rPr>
            </w:pPr>
            <w:r w:rsidRPr="0088685B">
              <w:rPr>
                <w:rFonts w:cs="Arial"/>
                <w:sz w:val="20"/>
                <w:szCs w:val="20"/>
                <w:highlight w:val="yellow"/>
              </w:rPr>
              <w:t>[  ]</w:t>
            </w:r>
          </w:p>
        </w:tc>
        <w:tc>
          <w:tcPr>
            <w:tcW w:w="819" w:type="pct"/>
          </w:tcPr>
          <w:p w:rsidRPr="0088685B" w:rsidR="001A6841" w:rsidP="00102577" w:rsidRDefault="001A6841" w14:paraId="2B6C8128" w14:textId="77777777">
            <w:pPr>
              <w:spacing w:before="120" w:after="120" w:line="240" w:lineRule="auto"/>
              <w:ind w:left="95"/>
              <w:rPr>
                <w:rFonts w:cs="Arial"/>
                <w:sz w:val="20"/>
                <w:szCs w:val="20"/>
                <w:highlight w:val="yellow"/>
              </w:rPr>
            </w:pPr>
            <w:r w:rsidRPr="0088685B">
              <w:rPr>
                <w:rFonts w:cs="Arial"/>
                <w:sz w:val="20"/>
                <w:szCs w:val="20"/>
                <w:highlight w:val="yellow"/>
              </w:rPr>
              <w:t xml:space="preserve"> [   ]</w:t>
            </w:r>
          </w:p>
          <w:p w:rsidRPr="0088685B" w:rsidR="001A6841" w:rsidP="00102577" w:rsidRDefault="001A6841" w14:paraId="3C04390E" w14:textId="4F5C8523">
            <w:pPr>
              <w:spacing w:before="120" w:after="120" w:line="240" w:lineRule="auto"/>
              <w:ind w:left="95"/>
              <w:rPr>
                <w:rFonts w:cs="Arial"/>
                <w:sz w:val="20"/>
                <w:szCs w:val="20"/>
                <w:highlight w:val="yellow"/>
              </w:rPr>
            </w:pPr>
          </w:p>
        </w:tc>
        <w:tc>
          <w:tcPr>
            <w:tcW w:w="1795" w:type="pct"/>
          </w:tcPr>
          <w:p w:rsidRPr="0088685B" w:rsidR="001A6841" w:rsidP="001A6841" w:rsidRDefault="001A6841" w14:paraId="69F30491" w14:textId="2D6011D7">
            <w:pPr>
              <w:spacing w:before="120" w:after="120" w:line="240" w:lineRule="auto"/>
              <w:rPr>
                <w:rFonts w:cs="Arial"/>
                <w:sz w:val="20"/>
                <w:szCs w:val="20"/>
              </w:rPr>
            </w:pPr>
            <w:r>
              <w:rPr>
                <w:rFonts w:cs="Arial"/>
                <w:sz w:val="20"/>
                <w:szCs w:val="20"/>
              </w:rPr>
              <w:t>[</w:t>
            </w:r>
            <w:r>
              <w:rPr>
                <w:rFonts w:cs="Arial"/>
                <w:sz w:val="20"/>
                <w:szCs w:val="20"/>
                <w:shd w:val="clear" w:color="auto" w:fill="FFFF00"/>
              </w:rPr>
              <w:t>S</w:t>
            </w:r>
            <w:r w:rsidRPr="0088685B">
              <w:rPr>
                <w:rFonts w:cs="Arial"/>
                <w:sz w:val="20"/>
                <w:szCs w:val="20"/>
                <w:shd w:val="clear" w:color="auto" w:fill="FFFF00"/>
              </w:rPr>
              <w:t>ee above</w:t>
            </w:r>
            <w:r w:rsidRPr="0088685B">
              <w:rPr>
                <w:rFonts w:cs="Arial"/>
                <w:sz w:val="20"/>
                <w:szCs w:val="20"/>
              </w:rPr>
              <w:t>]</w:t>
            </w:r>
          </w:p>
        </w:tc>
      </w:tr>
    </w:tbl>
    <w:p w:rsidRPr="0088685B" w:rsidR="00CA079E" w:rsidRDefault="00515F7D" w14:paraId="6B68E6D8" w14:textId="0792FB0F">
      <w:pPr>
        <w:spacing w:after="0"/>
        <w:rPr>
          <w:rFonts w:cs="Arial"/>
          <w:highlight w:val="green"/>
        </w:rPr>
      </w:pPr>
      <w:r w:rsidRPr="0088685B">
        <w:rPr>
          <w:rFonts w:cs="Arial"/>
          <w:highlight w:val="green"/>
        </w:rPr>
        <w:br/>
      </w:r>
    </w:p>
    <w:p w:rsidRPr="0088685B" w:rsidR="00871568" w:rsidP="00147AB8" w:rsidRDefault="00871568" w14:paraId="486CAA83" w14:textId="77777777">
      <w:pPr>
        <w:keepNext/>
        <w:keepLines/>
        <w:spacing w:before="120" w:after="120" w:line="240" w:lineRule="auto"/>
        <w:rPr>
          <w:rFonts w:cs="Arial"/>
        </w:rPr>
        <w:sectPr w:rsidRPr="0088685B" w:rsidR="00871568" w:rsidSect="00871568">
          <w:pgSz w:w="16838" w:h="11906" w:orient="landscape"/>
          <w:pgMar w:top="1440" w:right="1440" w:bottom="1440" w:left="1440" w:header="709" w:footer="709" w:gutter="0"/>
          <w:pgNumType w:start="1"/>
          <w:cols w:space="720"/>
          <w:docGrid w:linePitch="326"/>
        </w:sectPr>
      </w:pPr>
    </w:p>
    <w:p w:rsidRPr="0088685B" w:rsidR="00CA079E" w:rsidP="00147AB8" w:rsidRDefault="00CD7298" w14:paraId="326CEE19" w14:textId="042988AB">
      <w:pPr>
        <w:keepNext/>
        <w:keepLines/>
        <w:spacing w:before="120" w:after="120" w:line="240" w:lineRule="auto"/>
        <w:rPr>
          <w:rFonts w:cs="Arial"/>
        </w:rPr>
      </w:pPr>
      <w:r w:rsidRPr="0088685B">
        <w:rPr>
          <w:rFonts w:cs="Arial"/>
        </w:rPr>
        <w:t xml:space="preserve">The Service Credits shall be calculated </w:t>
      </w:r>
      <w:proofErr w:type="gramStart"/>
      <w:r w:rsidRPr="0088685B">
        <w:rPr>
          <w:rFonts w:cs="Arial"/>
        </w:rPr>
        <w:t>on the basis of</w:t>
      </w:r>
      <w:proofErr w:type="gramEnd"/>
      <w:r w:rsidRPr="0088685B">
        <w:rPr>
          <w:rFonts w:cs="Arial"/>
        </w:rPr>
        <w:t xml:space="preserve"> the following formula:</w:t>
      </w:r>
    </w:p>
    <w:p w:rsidRPr="0088685B" w:rsidR="00CA079E" w:rsidP="00147AB8" w:rsidRDefault="00CD7298" w14:paraId="17F6F1DA" w14:textId="77777777">
      <w:pPr>
        <w:keepNext/>
        <w:keepLines/>
        <w:spacing w:before="120" w:after="120" w:line="240" w:lineRule="auto"/>
        <w:rPr>
          <w:rFonts w:cs="Arial"/>
          <w:b/>
          <w:highlight w:val="yellow"/>
        </w:rPr>
      </w:pPr>
      <w:r w:rsidRPr="0088685B">
        <w:rPr>
          <w:rFonts w:cs="Arial"/>
          <w:b/>
          <w:highlight w:val="yellow"/>
        </w:rPr>
        <w:t>[Example:</w:t>
      </w:r>
    </w:p>
    <w:tbl>
      <w:tblPr>
        <w:tblStyle w:val="1"/>
        <w:tblW w:w="9026" w:type="dxa"/>
        <w:tblLayout w:type="fixed"/>
        <w:tblLook w:val="0000" w:firstRow="0" w:lastRow="0" w:firstColumn="0" w:lastColumn="0" w:noHBand="0" w:noVBand="0"/>
      </w:tblPr>
      <w:tblGrid>
        <w:gridCol w:w="4366"/>
        <w:gridCol w:w="675"/>
        <w:gridCol w:w="3985"/>
      </w:tblGrid>
      <w:tr w:rsidRPr="00BE61DD" w:rsidR="00CA079E" w14:paraId="7FC4E611" w14:textId="77777777">
        <w:tc>
          <w:tcPr>
            <w:tcW w:w="4366" w:type="dxa"/>
          </w:tcPr>
          <w:p w:rsidRPr="0088685B" w:rsidR="00CA079E" w:rsidP="00D701F3" w:rsidRDefault="00CD7298" w14:paraId="77A8F795" w14:textId="090EA193">
            <w:pPr>
              <w:keepNext/>
              <w:keepLines/>
              <w:spacing w:before="120" w:after="120" w:line="240" w:lineRule="auto"/>
              <w:rPr>
                <w:rFonts w:cs="Arial"/>
                <w:highlight w:val="yellow"/>
              </w:rPr>
            </w:pPr>
            <w:r w:rsidRPr="0088685B">
              <w:rPr>
                <w:rFonts w:cs="Arial"/>
                <w:highlight w:val="yellow"/>
              </w:rPr>
              <w:t>Formula: x% (</w:t>
            </w:r>
            <w:r w:rsidRPr="0088685B" w:rsidR="00D701F3">
              <w:rPr>
                <w:rFonts w:cs="Arial"/>
                <w:highlight w:val="yellow"/>
              </w:rPr>
              <w:t>KPI</w:t>
            </w:r>
            <w:r w:rsidRPr="0088685B">
              <w:rPr>
                <w:rFonts w:cs="Arial"/>
                <w:highlight w:val="yellow"/>
              </w:rPr>
              <w:t xml:space="preserve"> Performance Measure) - x% (actual </w:t>
            </w:r>
            <w:r w:rsidRPr="0088685B" w:rsidR="00D701F3">
              <w:rPr>
                <w:rFonts w:cs="Arial"/>
                <w:highlight w:val="yellow"/>
              </w:rPr>
              <w:t>Key Performance Indicator</w:t>
            </w:r>
            <w:r w:rsidRPr="0088685B">
              <w:rPr>
                <w:rFonts w:cs="Arial"/>
                <w:highlight w:val="yellow"/>
              </w:rPr>
              <w:t xml:space="preserve"> performance)  </w:t>
            </w:r>
          </w:p>
        </w:tc>
        <w:tc>
          <w:tcPr>
            <w:tcW w:w="675" w:type="dxa"/>
          </w:tcPr>
          <w:p w:rsidRPr="0088685B" w:rsidR="00CA079E" w:rsidP="00147AB8" w:rsidRDefault="00CD7298" w14:paraId="282F0298" w14:textId="77777777">
            <w:pPr>
              <w:keepNext/>
              <w:keepLines/>
              <w:spacing w:before="120" w:after="120" w:line="240" w:lineRule="auto"/>
              <w:jc w:val="center"/>
              <w:rPr>
                <w:rFonts w:cs="Arial"/>
                <w:highlight w:val="yellow"/>
              </w:rPr>
            </w:pPr>
            <w:r w:rsidRPr="0088685B">
              <w:rPr>
                <w:rFonts w:cs="Arial"/>
                <w:highlight w:val="yellow"/>
              </w:rPr>
              <w:t>=</w:t>
            </w:r>
          </w:p>
        </w:tc>
        <w:tc>
          <w:tcPr>
            <w:tcW w:w="3985" w:type="dxa"/>
          </w:tcPr>
          <w:p w:rsidRPr="0088685B" w:rsidR="00CA079E" w:rsidP="00147AB8" w:rsidRDefault="00CD7298" w14:paraId="2E83579D" w14:textId="77777777">
            <w:pPr>
              <w:keepNext/>
              <w:keepLines/>
              <w:spacing w:before="120" w:after="120" w:line="240" w:lineRule="auto"/>
              <w:rPr>
                <w:rFonts w:cs="Arial"/>
                <w:highlight w:val="yellow"/>
              </w:rPr>
            </w:pPr>
            <w:r w:rsidRPr="0088685B">
              <w:rPr>
                <w:rFonts w:cs="Arial"/>
                <w:highlight w:val="yellow"/>
              </w:rPr>
              <w:t>x% of the Charges payable to the Buyer as Service Credits to be deducted from the next Invoice payable by the Buyer</w:t>
            </w:r>
          </w:p>
        </w:tc>
      </w:tr>
      <w:tr w:rsidRPr="00B072B6" w:rsidR="00CA079E" w14:paraId="2C200B8C" w14:textId="77777777">
        <w:tc>
          <w:tcPr>
            <w:tcW w:w="4366" w:type="dxa"/>
          </w:tcPr>
          <w:p w:rsidRPr="00D12C11" w:rsidR="00CA079E" w:rsidP="00147AB8" w:rsidRDefault="00CD7298" w14:paraId="3FBB17AE" w14:textId="06F9076D">
            <w:pPr>
              <w:keepNext/>
              <w:spacing w:before="120" w:after="120" w:line="240" w:lineRule="auto"/>
              <w:rPr>
                <w:rFonts w:cs="Arial"/>
                <w:highlight w:val="yellow"/>
              </w:rPr>
            </w:pPr>
            <w:r w:rsidRPr="00B072B6">
              <w:rPr>
                <w:rFonts w:cs="Arial"/>
                <w:highlight w:val="yellow"/>
              </w:rPr>
              <w:t xml:space="preserve">Worked example: 98% (e.g. </w:t>
            </w:r>
            <w:r w:rsidRPr="00B072B6" w:rsidR="00D701F3">
              <w:rPr>
                <w:rFonts w:cs="Arial"/>
                <w:highlight w:val="yellow"/>
              </w:rPr>
              <w:t>KPI</w:t>
            </w:r>
            <w:r w:rsidRPr="00B072B6">
              <w:rPr>
                <w:rFonts w:cs="Arial"/>
                <w:highlight w:val="yellow"/>
              </w:rPr>
              <w:t xml:space="preserve"> Performance Measure requirement for accurate and timely billing </w:t>
            </w:r>
            <w:r w:rsidRPr="00B072B6" w:rsidR="00D701F3">
              <w:rPr>
                <w:rFonts w:cs="Arial"/>
                <w:highlight w:val="yellow"/>
              </w:rPr>
              <w:t>Key Performance Indicator</w:t>
            </w:r>
            <w:r w:rsidRPr="00474F3D">
              <w:rPr>
                <w:rFonts w:cs="Arial"/>
                <w:highlight w:val="yellow"/>
              </w:rPr>
              <w:t xml:space="preserve">) - 75% (e.g. actual performance achieved against this </w:t>
            </w:r>
            <w:r w:rsidRPr="00474F3D" w:rsidR="006D60FB">
              <w:rPr>
                <w:rFonts w:cs="Arial"/>
                <w:highlight w:val="yellow"/>
              </w:rPr>
              <w:t>Key Performance Indicator</w:t>
            </w:r>
            <w:r w:rsidRPr="00474F3D">
              <w:rPr>
                <w:rFonts w:cs="Arial"/>
                <w:highlight w:val="yellow"/>
              </w:rPr>
              <w:t xml:space="preserve"> in a Service Period) </w:t>
            </w:r>
          </w:p>
          <w:p w:rsidRPr="0087195F" w:rsidR="00CA079E" w:rsidP="00147AB8" w:rsidRDefault="00CA079E" w14:paraId="078851A5" w14:textId="77777777">
            <w:pPr>
              <w:spacing w:before="120" w:after="120" w:line="240" w:lineRule="auto"/>
              <w:rPr>
                <w:rFonts w:cs="Arial"/>
                <w:highlight w:val="yellow"/>
              </w:rPr>
            </w:pPr>
          </w:p>
        </w:tc>
        <w:tc>
          <w:tcPr>
            <w:tcW w:w="675" w:type="dxa"/>
          </w:tcPr>
          <w:p w:rsidRPr="0087195F" w:rsidR="00CA079E" w:rsidP="00147AB8" w:rsidRDefault="00CD7298" w14:paraId="13B0DBD8" w14:textId="77777777">
            <w:pPr>
              <w:spacing w:before="120" w:after="120" w:line="240" w:lineRule="auto"/>
              <w:jc w:val="center"/>
              <w:rPr>
                <w:rFonts w:cs="Arial"/>
                <w:highlight w:val="yellow"/>
              </w:rPr>
            </w:pPr>
            <w:r w:rsidRPr="0087195F">
              <w:rPr>
                <w:rFonts w:cs="Arial"/>
                <w:highlight w:val="yellow"/>
              </w:rPr>
              <w:t>=</w:t>
            </w:r>
          </w:p>
        </w:tc>
        <w:tc>
          <w:tcPr>
            <w:tcW w:w="3985" w:type="dxa"/>
          </w:tcPr>
          <w:p w:rsidRPr="0087195F" w:rsidR="00CA079E" w:rsidP="00147AB8" w:rsidRDefault="00CD7298" w14:paraId="02EEAA17" w14:textId="77777777">
            <w:pPr>
              <w:spacing w:before="120" w:after="120" w:line="240" w:lineRule="auto"/>
              <w:rPr>
                <w:rFonts w:cs="Arial"/>
              </w:rPr>
            </w:pPr>
            <w:r w:rsidRPr="0087195F">
              <w:rPr>
                <w:rFonts w:cs="Arial"/>
                <w:highlight w:val="yellow"/>
              </w:rPr>
              <w:t>23% of the Charges payable to the Buyer as Service Credits to be deducted from the next Invoice payable by the Buyer]</w:t>
            </w:r>
          </w:p>
          <w:p w:rsidRPr="0087195F" w:rsidR="00CA079E" w:rsidP="00147AB8" w:rsidRDefault="00CA079E" w14:paraId="18FFE5D0" w14:textId="77777777">
            <w:pPr>
              <w:spacing w:before="120" w:after="120" w:line="240" w:lineRule="auto"/>
              <w:ind w:left="145"/>
              <w:rPr>
                <w:rFonts w:cs="Arial"/>
              </w:rPr>
            </w:pPr>
          </w:p>
        </w:tc>
      </w:tr>
    </w:tbl>
    <w:p w:rsidRPr="0087195F" w:rsidR="00B072B6" w:rsidP="0087195F" w:rsidRDefault="00B072B6" w14:paraId="427C6A65" w14:textId="34EE75C5">
      <w:pPr>
        <w:pStyle w:val="Heading3"/>
        <w:spacing w:before="200" w:after="100" w:line="240" w:lineRule="auto"/>
        <w:rPr>
          <w:rFonts w:cs="Arial"/>
          <w:sz w:val="24"/>
          <w:szCs w:val="24"/>
        </w:rPr>
      </w:pPr>
      <w:r w:rsidRPr="7901602A">
        <w:rPr>
          <w:rFonts w:cs="Arial"/>
          <w:sz w:val="24"/>
          <w:szCs w:val="24"/>
        </w:rPr>
        <w:t xml:space="preserve">Mapping of </w:t>
      </w:r>
      <w:r w:rsidRPr="7901602A" w:rsidR="00AA4934">
        <w:rPr>
          <w:rFonts w:cs="Arial"/>
          <w:sz w:val="24"/>
          <w:szCs w:val="24"/>
        </w:rPr>
        <w:t xml:space="preserve">levels of performance under the </w:t>
      </w:r>
      <w:r w:rsidRPr="7901602A" w:rsidR="00AA4934">
        <w:rPr>
          <w:rFonts w:cs="Arial"/>
          <w:color w:val="000000" w:themeColor="text1"/>
          <w:sz w:val="24"/>
          <w:szCs w:val="24"/>
        </w:rPr>
        <w:t>KPI Performance Measures</w:t>
      </w:r>
      <w:r w:rsidRPr="7901602A" w:rsidR="001A6841">
        <w:rPr>
          <w:rFonts w:cs="Arial"/>
          <w:sz w:val="24"/>
          <w:szCs w:val="24"/>
        </w:rPr>
        <w:t xml:space="preserve"> to ratings under </w:t>
      </w:r>
      <w:r w:rsidRPr="7901602A" w:rsidR="4B261A08">
        <w:rPr>
          <w:rFonts w:cs="Arial"/>
          <w:sz w:val="24"/>
          <w:szCs w:val="24"/>
        </w:rPr>
        <w:t>r</w:t>
      </w:r>
      <w:r w:rsidRPr="7901602A">
        <w:rPr>
          <w:rFonts w:cs="Arial"/>
          <w:sz w:val="24"/>
          <w:szCs w:val="24"/>
        </w:rPr>
        <w:t>egulation 39(5) of the Procurement Regulations 2024</w:t>
      </w:r>
    </w:p>
    <w:p w:rsidRPr="00B072B6" w:rsidR="00B072B6" w:rsidP="00B072B6" w:rsidRDefault="00B072B6" w14:paraId="3A0A7CF5" w14:textId="77777777">
      <w:pPr>
        <w:rPr>
          <w:rFonts w:cs="Arial"/>
        </w:rPr>
      </w:pPr>
    </w:p>
    <w:p w:rsidRPr="0011051A" w:rsidR="00034290" w:rsidP="00034290" w:rsidRDefault="00B072B6" w14:paraId="484FBDC7" w14:textId="597A7DCC">
      <w:pPr>
        <w:ind w:left="720"/>
        <w:rPr>
          <w:rFonts w:cs="Arial"/>
          <w:b/>
          <w:i/>
          <w:highlight w:val="yellow"/>
        </w:rPr>
      </w:pPr>
      <w:r w:rsidRPr="0011051A">
        <w:rPr>
          <w:rFonts w:cs="Arial"/>
          <w:b/>
          <w:i/>
          <w:highlight w:val="yellow"/>
        </w:rPr>
        <w:t>[</w:t>
      </w:r>
      <w:r w:rsidRPr="0011051A" w:rsidR="00034290">
        <w:rPr>
          <w:rFonts w:cs="Arial"/>
          <w:b/>
          <w:i/>
          <w:highlight w:val="yellow"/>
        </w:rPr>
        <w:t>Guidance: The following table provides space to set out how the performance ratings set out in Regulation 39(5) of the Procurement Regulations 2024 are to be mapped against the performance ratings used for the purposes of this Contract. For example:</w:t>
      </w:r>
    </w:p>
    <w:p w:rsidRPr="0011051A" w:rsidR="00034290" w:rsidP="00034290" w:rsidRDefault="00034290" w14:paraId="36305A87" w14:textId="1AC758F5">
      <w:pPr>
        <w:ind w:left="720"/>
        <w:rPr>
          <w:rFonts w:cs="Arial"/>
          <w:b/>
          <w:i/>
          <w:highlight w:val="yellow"/>
        </w:rPr>
      </w:pPr>
      <w:r w:rsidRPr="0011051A">
        <w:rPr>
          <w:rFonts w:cs="Arial"/>
          <w:b/>
          <w:i/>
          <w:highlight w:val="yellow"/>
        </w:rPr>
        <w:t>Good = KPI Performance Measure</w:t>
      </w:r>
    </w:p>
    <w:p w:rsidRPr="0011051A" w:rsidR="00034290" w:rsidP="00034290" w:rsidRDefault="00034290" w14:paraId="780DC1B5" w14:textId="7F1BF0E7">
      <w:pPr>
        <w:ind w:left="720"/>
        <w:rPr>
          <w:rFonts w:cs="Arial"/>
          <w:b/>
          <w:i/>
          <w:highlight w:val="yellow"/>
        </w:rPr>
      </w:pPr>
      <w:r w:rsidRPr="0011051A">
        <w:rPr>
          <w:rFonts w:cs="Arial"/>
          <w:b/>
          <w:i/>
          <w:highlight w:val="yellow"/>
        </w:rPr>
        <w:t>Approaching Target = [</w:t>
      </w:r>
      <w:proofErr w:type="gramStart"/>
      <w:r w:rsidRPr="0011051A">
        <w:rPr>
          <w:rFonts w:cs="Arial"/>
          <w:b/>
          <w:i/>
          <w:highlight w:val="yellow"/>
        </w:rPr>
        <w:t>0.01]%</w:t>
      </w:r>
      <w:proofErr w:type="gramEnd"/>
      <w:r w:rsidRPr="0011051A">
        <w:rPr>
          <w:rFonts w:cs="Arial"/>
          <w:b/>
          <w:i/>
          <w:highlight w:val="yellow"/>
        </w:rPr>
        <w:t xml:space="preserve"> - [1.00]% below the KPI Performance Measure</w:t>
      </w:r>
    </w:p>
    <w:p w:rsidRPr="0011051A" w:rsidR="00034290" w:rsidP="00034290" w:rsidRDefault="00034290" w14:paraId="42CD46B2" w14:textId="5EC6CEAF">
      <w:pPr>
        <w:ind w:left="720"/>
        <w:rPr>
          <w:rFonts w:cs="Arial"/>
          <w:b/>
          <w:i/>
          <w:highlight w:val="yellow"/>
        </w:rPr>
      </w:pPr>
      <w:r w:rsidRPr="0011051A">
        <w:rPr>
          <w:rFonts w:cs="Arial"/>
          <w:b/>
          <w:i/>
          <w:highlight w:val="yellow"/>
        </w:rPr>
        <w:t>Requires Improvement = [</w:t>
      </w:r>
      <w:proofErr w:type="gramStart"/>
      <w:r w:rsidRPr="0011051A">
        <w:rPr>
          <w:rFonts w:cs="Arial"/>
          <w:b/>
          <w:i/>
          <w:highlight w:val="yellow"/>
        </w:rPr>
        <w:t>1.01]%</w:t>
      </w:r>
      <w:proofErr w:type="gramEnd"/>
      <w:r w:rsidRPr="0011051A">
        <w:rPr>
          <w:rFonts w:cs="Arial"/>
          <w:b/>
          <w:i/>
          <w:highlight w:val="yellow"/>
        </w:rPr>
        <w:t xml:space="preserve"> - [2.00]% below the KPI Performance Measure</w:t>
      </w:r>
    </w:p>
    <w:p w:rsidRPr="0011051A" w:rsidR="00034290" w:rsidP="00034290" w:rsidRDefault="00034290" w14:paraId="581E03F0" w14:textId="7AB6084C">
      <w:pPr>
        <w:ind w:left="720"/>
        <w:rPr>
          <w:rFonts w:cs="Arial"/>
          <w:b/>
          <w:i/>
          <w:highlight w:val="yellow"/>
        </w:rPr>
      </w:pPr>
      <w:r w:rsidRPr="0011051A">
        <w:rPr>
          <w:rFonts w:cs="Arial"/>
          <w:b/>
          <w:i/>
          <w:highlight w:val="yellow"/>
        </w:rPr>
        <w:t>Inadequate = [</w:t>
      </w:r>
      <w:proofErr w:type="gramStart"/>
      <w:r w:rsidRPr="0011051A">
        <w:rPr>
          <w:rFonts w:cs="Arial"/>
          <w:b/>
          <w:i/>
          <w:highlight w:val="yellow"/>
        </w:rPr>
        <w:t>2.01]%</w:t>
      </w:r>
      <w:proofErr w:type="gramEnd"/>
      <w:r w:rsidRPr="0011051A">
        <w:rPr>
          <w:rFonts w:cs="Arial"/>
          <w:b/>
          <w:i/>
          <w:highlight w:val="yellow"/>
        </w:rPr>
        <w:t xml:space="preserve"> - [3.00]% below the KPI Performance Measure, or below the </w:t>
      </w:r>
      <w:r w:rsidRPr="0088685B" w:rsidR="005849CC">
        <w:rPr>
          <w:rFonts w:cs="Arial"/>
          <w:b/>
          <w:i/>
          <w:highlight w:val="yellow"/>
        </w:rPr>
        <w:t>KPI</w:t>
      </w:r>
      <w:r w:rsidRPr="0011051A">
        <w:rPr>
          <w:rFonts w:cs="Arial"/>
          <w:b/>
          <w:i/>
          <w:highlight w:val="yellow"/>
        </w:rPr>
        <w:t xml:space="preserve"> Threshold ([●]%)</w:t>
      </w:r>
    </w:p>
    <w:p w:rsidRPr="0011051A" w:rsidR="00AA4934" w:rsidP="00034290" w:rsidRDefault="00034290" w14:paraId="010DCD57" w14:textId="77777777">
      <w:pPr>
        <w:ind w:left="720"/>
        <w:rPr>
          <w:rFonts w:cs="Arial"/>
          <w:b/>
          <w:i/>
          <w:highlight w:val="yellow"/>
        </w:rPr>
      </w:pPr>
      <w:r w:rsidRPr="0011051A">
        <w:rPr>
          <w:rFonts w:cs="Arial"/>
          <w:b/>
          <w:i/>
          <w:highlight w:val="yellow"/>
        </w:rPr>
        <w:t>Other = where performance of the Supplier cannot be described as ‘Good’, ‘Approaching Target’, ‘Requires Improvement’ or ‘Inadequate’ due to any other factor(s)</w:t>
      </w:r>
      <w:r w:rsidRPr="0011051A" w:rsidR="00AA4934">
        <w:rPr>
          <w:rFonts w:cs="Arial"/>
          <w:b/>
          <w:i/>
          <w:highlight w:val="yellow"/>
        </w:rPr>
        <w:t>.</w:t>
      </w:r>
    </w:p>
    <w:p w:rsidRPr="0011051A" w:rsidR="00B072B6" w:rsidP="00034290" w:rsidRDefault="00AA4934" w14:paraId="3F103E34" w14:textId="5559B1FC">
      <w:pPr>
        <w:ind w:left="720"/>
        <w:rPr>
          <w:rFonts w:cs="Arial"/>
          <w:i/>
        </w:rPr>
      </w:pPr>
      <w:r w:rsidRPr="0011051A">
        <w:rPr>
          <w:rFonts w:cs="Arial"/>
          <w:b/>
          <w:i/>
          <w:highlight w:val="yellow"/>
        </w:rPr>
        <w:t xml:space="preserve">These are indicative only and will vary depending on the nature of the procurement and contract to be </w:t>
      </w:r>
      <w:proofErr w:type="gramStart"/>
      <w:r w:rsidRPr="0011051A">
        <w:rPr>
          <w:rFonts w:cs="Arial"/>
          <w:b/>
          <w:i/>
          <w:highlight w:val="yellow"/>
        </w:rPr>
        <w:t>entered into</w:t>
      </w:r>
      <w:proofErr w:type="gramEnd"/>
      <w:r w:rsidRPr="0011051A">
        <w:rPr>
          <w:rFonts w:cs="Arial"/>
          <w:b/>
          <w:i/>
          <w:highlight w:val="yellow"/>
        </w:rPr>
        <w:t>. Buyers should therefore carefully consider the appropriate performance metrics to be used on a case-by-case basis</w:t>
      </w:r>
      <w:r w:rsidRPr="0011051A" w:rsidR="00034290">
        <w:rPr>
          <w:rFonts w:cs="Arial"/>
          <w:b/>
          <w:i/>
          <w:highlight w:val="yellow"/>
        </w:rPr>
        <w:t>]</w:t>
      </w:r>
    </w:p>
    <w:p w:rsidRPr="0087195F" w:rsidR="00B072B6" w:rsidP="00B072B6" w:rsidRDefault="00B072B6" w14:paraId="6D2F1719" w14:textId="77777777">
      <w:pPr>
        <w:rPr>
          <w:rFonts w:cs="Arial"/>
        </w:rPr>
      </w:pPr>
    </w:p>
    <w:tbl>
      <w:tblPr>
        <w:tblStyle w:val="2"/>
        <w:tblW w:w="7734" w:type="dxa"/>
        <w:tblInd w:w="6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20" w:firstRow="1" w:lastRow="0" w:firstColumn="0" w:lastColumn="0" w:noHBand="1" w:noVBand="1"/>
      </w:tblPr>
      <w:tblGrid>
        <w:gridCol w:w="3887"/>
        <w:gridCol w:w="3847"/>
      </w:tblGrid>
      <w:tr w:rsidRPr="00B072B6" w:rsidR="00B072B6" w:rsidTr="0087195F" w14:paraId="6D821420" w14:textId="77777777">
        <w:trPr>
          <w:tblHeader/>
        </w:trPr>
        <w:tc>
          <w:tcPr>
            <w:tcW w:w="7309" w:type="dxa"/>
          </w:tcPr>
          <w:p w:rsidRPr="0087195F" w:rsidR="00B072B6" w:rsidP="00873250" w:rsidRDefault="00B072B6" w14:paraId="4295FB7D" w14:textId="77777777">
            <w:pPr>
              <w:pBdr>
                <w:top w:val="nil"/>
                <w:left w:val="nil"/>
                <w:bottom w:val="nil"/>
                <w:right w:val="nil"/>
                <w:between w:val="nil"/>
              </w:pBdr>
              <w:rPr>
                <w:rFonts w:cs="Arial"/>
                <w:b/>
                <w:color w:val="000000"/>
              </w:rPr>
            </w:pPr>
            <w:r w:rsidRPr="0087195F">
              <w:rPr>
                <w:rFonts w:cs="Arial"/>
                <w:b/>
                <w:color w:val="000000"/>
              </w:rPr>
              <w:t>Regulation 39(5) Rating</w:t>
            </w:r>
          </w:p>
        </w:tc>
        <w:tc>
          <w:tcPr>
            <w:tcW w:w="7230" w:type="dxa"/>
          </w:tcPr>
          <w:p w:rsidRPr="0087195F" w:rsidR="00B072B6" w:rsidP="00034290" w:rsidRDefault="00034290" w14:paraId="0EDDC959" w14:textId="5AC29885">
            <w:pPr>
              <w:pBdr>
                <w:top w:val="nil"/>
                <w:left w:val="nil"/>
                <w:bottom w:val="nil"/>
                <w:right w:val="nil"/>
                <w:between w:val="nil"/>
              </w:pBdr>
              <w:rPr>
                <w:rFonts w:cs="Arial"/>
                <w:b/>
                <w:color w:val="000000"/>
              </w:rPr>
            </w:pPr>
            <w:r w:rsidRPr="00AA4934">
              <w:rPr>
                <w:rFonts w:cs="Arial"/>
                <w:b/>
                <w:color w:val="000000"/>
              </w:rPr>
              <w:t>Level of performance against the KPI Performance Measure</w:t>
            </w:r>
          </w:p>
        </w:tc>
      </w:tr>
      <w:tr w:rsidRPr="00B072B6" w:rsidR="00B072B6" w:rsidTr="0087195F" w14:paraId="68135BE8" w14:textId="77777777">
        <w:tc>
          <w:tcPr>
            <w:tcW w:w="7309" w:type="dxa"/>
          </w:tcPr>
          <w:p w:rsidRPr="0087195F" w:rsidR="00B072B6" w:rsidP="00873250" w:rsidRDefault="00B072B6" w14:paraId="324B03B1" w14:textId="77777777">
            <w:pPr>
              <w:pBdr>
                <w:top w:val="nil"/>
                <w:left w:val="nil"/>
                <w:bottom w:val="nil"/>
                <w:right w:val="nil"/>
                <w:between w:val="nil"/>
              </w:pBdr>
              <w:rPr>
                <w:rFonts w:cs="Arial"/>
                <w:color w:val="000000"/>
              </w:rPr>
            </w:pPr>
            <w:r w:rsidRPr="0087195F">
              <w:rPr>
                <w:rFonts w:cs="Arial"/>
                <w:color w:val="000000"/>
              </w:rPr>
              <w:t>Good</w:t>
            </w:r>
          </w:p>
        </w:tc>
        <w:tc>
          <w:tcPr>
            <w:tcW w:w="7230" w:type="dxa"/>
          </w:tcPr>
          <w:p w:rsidRPr="0087195F" w:rsidR="00B072B6" w:rsidP="00873250" w:rsidRDefault="00B072B6" w14:paraId="02D95EB8" w14:textId="77777777">
            <w:pPr>
              <w:pBdr>
                <w:top w:val="nil"/>
                <w:left w:val="nil"/>
                <w:bottom w:val="nil"/>
                <w:right w:val="nil"/>
                <w:between w:val="nil"/>
              </w:pBdr>
              <w:rPr>
                <w:rFonts w:cs="Arial"/>
                <w:color w:val="000000"/>
                <w:highlight w:val="yellow"/>
              </w:rPr>
            </w:pPr>
            <w:r w:rsidRPr="0087195F">
              <w:rPr>
                <w:rFonts w:cs="Arial"/>
                <w:color w:val="000000"/>
                <w:highlight w:val="yellow"/>
              </w:rPr>
              <w:t>[ ]</w:t>
            </w:r>
          </w:p>
        </w:tc>
      </w:tr>
      <w:tr w:rsidRPr="00B072B6" w:rsidR="00B072B6" w:rsidTr="0087195F" w14:paraId="5BEE4517" w14:textId="77777777">
        <w:tc>
          <w:tcPr>
            <w:tcW w:w="7309" w:type="dxa"/>
          </w:tcPr>
          <w:p w:rsidRPr="0087195F" w:rsidR="00B072B6" w:rsidP="00873250" w:rsidRDefault="00B072B6" w14:paraId="49B9D3C9" w14:textId="77777777">
            <w:pPr>
              <w:pBdr>
                <w:top w:val="nil"/>
                <w:left w:val="nil"/>
                <w:bottom w:val="nil"/>
                <w:right w:val="nil"/>
                <w:between w:val="nil"/>
              </w:pBdr>
              <w:rPr>
                <w:rFonts w:cs="Arial"/>
                <w:color w:val="000000"/>
              </w:rPr>
            </w:pPr>
            <w:r w:rsidRPr="0087195F">
              <w:rPr>
                <w:rFonts w:cs="Arial"/>
                <w:color w:val="000000"/>
              </w:rPr>
              <w:t>Approaching Target</w:t>
            </w:r>
          </w:p>
        </w:tc>
        <w:tc>
          <w:tcPr>
            <w:tcW w:w="7230" w:type="dxa"/>
          </w:tcPr>
          <w:p w:rsidRPr="0087195F" w:rsidR="00B072B6" w:rsidP="00873250" w:rsidRDefault="00B072B6" w14:paraId="78FEA434" w14:textId="77777777">
            <w:pPr>
              <w:pBdr>
                <w:top w:val="nil"/>
                <w:left w:val="nil"/>
                <w:bottom w:val="nil"/>
                <w:right w:val="nil"/>
                <w:between w:val="nil"/>
              </w:pBdr>
              <w:rPr>
                <w:rFonts w:cs="Arial"/>
                <w:color w:val="000000"/>
                <w:highlight w:val="yellow"/>
              </w:rPr>
            </w:pPr>
            <w:r w:rsidRPr="0087195F">
              <w:rPr>
                <w:rFonts w:cs="Arial"/>
                <w:color w:val="000000"/>
                <w:highlight w:val="yellow"/>
              </w:rPr>
              <w:t>[ ]</w:t>
            </w:r>
          </w:p>
        </w:tc>
      </w:tr>
      <w:tr w:rsidRPr="00B072B6" w:rsidR="00B072B6" w:rsidTr="0087195F" w14:paraId="647720B5" w14:textId="77777777">
        <w:tc>
          <w:tcPr>
            <w:tcW w:w="7309" w:type="dxa"/>
          </w:tcPr>
          <w:p w:rsidRPr="0087195F" w:rsidR="00B072B6" w:rsidP="00873250" w:rsidRDefault="00B072B6" w14:paraId="5EDD7A44" w14:textId="77777777">
            <w:pPr>
              <w:pBdr>
                <w:top w:val="nil"/>
                <w:left w:val="nil"/>
                <w:bottom w:val="nil"/>
                <w:right w:val="nil"/>
                <w:between w:val="nil"/>
              </w:pBdr>
              <w:rPr>
                <w:rFonts w:cs="Arial"/>
                <w:color w:val="000000"/>
              </w:rPr>
            </w:pPr>
            <w:r w:rsidRPr="0087195F">
              <w:rPr>
                <w:rFonts w:cs="Arial"/>
                <w:color w:val="000000"/>
              </w:rPr>
              <w:t>Requires Improvement</w:t>
            </w:r>
          </w:p>
        </w:tc>
        <w:tc>
          <w:tcPr>
            <w:tcW w:w="7230" w:type="dxa"/>
          </w:tcPr>
          <w:p w:rsidRPr="0087195F" w:rsidR="00B072B6" w:rsidP="00873250" w:rsidRDefault="00B072B6" w14:paraId="71A866A8" w14:textId="77777777">
            <w:pPr>
              <w:pBdr>
                <w:top w:val="nil"/>
                <w:left w:val="nil"/>
                <w:bottom w:val="nil"/>
                <w:right w:val="nil"/>
                <w:between w:val="nil"/>
              </w:pBdr>
              <w:rPr>
                <w:rFonts w:cs="Arial"/>
                <w:color w:val="000000"/>
                <w:highlight w:val="yellow"/>
              </w:rPr>
            </w:pPr>
            <w:r w:rsidRPr="0087195F">
              <w:rPr>
                <w:rFonts w:cs="Arial"/>
                <w:color w:val="000000"/>
                <w:highlight w:val="yellow"/>
              </w:rPr>
              <w:t>[ ]</w:t>
            </w:r>
          </w:p>
        </w:tc>
      </w:tr>
      <w:tr w:rsidRPr="00B072B6" w:rsidR="00B072B6" w:rsidTr="0087195F" w14:paraId="73FBC5E1" w14:textId="77777777">
        <w:tc>
          <w:tcPr>
            <w:tcW w:w="7309" w:type="dxa"/>
          </w:tcPr>
          <w:p w:rsidRPr="0087195F" w:rsidR="00B072B6" w:rsidP="00873250" w:rsidRDefault="00B072B6" w14:paraId="492EAC53" w14:textId="77777777">
            <w:pPr>
              <w:pBdr>
                <w:top w:val="nil"/>
                <w:left w:val="nil"/>
                <w:bottom w:val="nil"/>
                <w:right w:val="nil"/>
                <w:between w:val="nil"/>
              </w:pBdr>
              <w:rPr>
                <w:rFonts w:cs="Arial"/>
                <w:color w:val="000000"/>
              </w:rPr>
            </w:pPr>
            <w:r w:rsidRPr="0087195F">
              <w:rPr>
                <w:rFonts w:cs="Arial"/>
                <w:color w:val="000000"/>
              </w:rPr>
              <w:t>Inadequate</w:t>
            </w:r>
          </w:p>
        </w:tc>
        <w:tc>
          <w:tcPr>
            <w:tcW w:w="7230" w:type="dxa"/>
          </w:tcPr>
          <w:p w:rsidRPr="0087195F" w:rsidR="00B072B6" w:rsidP="00873250" w:rsidRDefault="00B072B6" w14:paraId="1E95CD90" w14:textId="77777777">
            <w:pPr>
              <w:pBdr>
                <w:top w:val="nil"/>
                <w:left w:val="nil"/>
                <w:bottom w:val="nil"/>
                <w:right w:val="nil"/>
                <w:between w:val="nil"/>
              </w:pBdr>
              <w:rPr>
                <w:rFonts w:cs="Arial"/>
                <w:color w:val="000000"/>
                <w:highlight w:val="yellow"/>
              </w:rPr>
            </w:pPr>
            <w:r w:rsidRPr="0087195F">
              <w:rPr>
                <w:rFonts w:cs="Arial"/>
                <w:color w:val="000000"/>
                <w:highlight w:val="yellow"/>
              </w:rPr>
              <w:t>[ ]</w:t>
            </w:r>
          </w:p>
        </w:tc>
      </w:tr>
      <w:tr w:rsidRPr="00B072B6" w:rsidR="00B072B6" w:rsidTr="0087195F" w14:paraId="077EDD14" w14:textId="77777777">
        <w:tc>
          <w:tcPr>
            <w:tcW w:w="7309" w:type="dxa"/>
          </w:tcPr>
          <w:p w:rsidRPr="0087195F" w:rsidR="00B072B6" w:rsidP="00873250" w:rsidRDefault="00B072B6" w14:paraId="1CE34E43" w14:textId="77777777">
            <w:pPr>
              <w:pBdr>
                <w:top w:val="nil"/>
                <w:left w:val="nil"/>
                <w:bottom w:val="nil"/>
                <w:right w:val="nil"/>
                <w:between w:val="nil"/>
              </w:pBdr>
              <w:rPr>
                <w:rFonts w:cs="Arial"/>
                <w:color w:val="000000"/>
              </w:rPr>
            </w:pPr>
            <w:r w:rsidRPr="0087195F">
              <w:rPr>
                <w:rFonts w:cs="Arial"/>
                <w:color w:val="000000"/>
              </w:rPr>
              <w:t>Other</w:t>
            </w:r>
          </w:p>
        </w:tc>
        <w:tc>
          <w:tcPr>
            <w:tcW w:w="7230" w:type="dxa"/>
          </w:tcPr>
          <w:p w:rsidRPr="0087195F" w:rsidR="00B072B6" w:rsidP="00873250" w:rsidRDefault="00B072B6" w14:paraId="573E2E30" w14:textId="77777777">
            <w:pPr>
              <w:pBdr>
                <w:top w:val="nil"/>
                <w:left w:val="nil"/>
                <w:bottom w:val="nil"/>
                <w:right w:val="nil"/>
                <w:between w:val="nil"/>
              </w:pBdr>
              <w:rPr>
                <w:rFonts w:cs="Arial"/>
                <w:color w:val="000000"/>
                <w:highlight w:val="yellow"/>
              </w:rPr>
            </w:pPr>
            <w:r w:rsidRPr="0087195F">
              <w:rPr>
                <w:rFonts w:cs="Arial"/>
                <w:color w:val="000000"/>
                <w:highlight w:val="yellow"/>
              </w:rPr>
              <w:t>[ ]</w:t>
            </w:r>
          </w:p>
        </w:tc>
      </w:tr>
    </w:tbl>
    <w:p w:rsidRPr="0088685B" w:rsidR="00CA079E" w:rsidP="57D1F290" w:rsidRDefault="00CD7298" w14:paraId="6467C011" w14:textId="77777777">
      <w:pPr>
        <w:keepNext/>
        <w:pBdr>
          <w:top w:val="nil"/>
          <w:left w:val="nil"/>
          <w:bottom w:val="nil"/>
          <w:right w:val="nil"/>
          <w:between w:val="nil"/>
        </w:pBdr>
        <w:rPr>
          <w:rFonts w:eastAsia="Arial Bold" w:cs="Arial"/>
          <w:b/>
          <w:color w:val="000000"/>
          <w:sz w:val="36"/>
          <w:szCs w:val="36"/>
        </w:rPr>
      </w:pPr>
      <w:r w:rsidRPr="57D1F290">
        <w:rPr>
          <w:rFonts w:cs="Arial"/>
        </w:rPr>
        <w:br w:type="page"/>
      </w:r>
      <w:r w:rsidRPr="0088685B">
        <w:rPr>
          <w:rFonts w:eastAsia="Arial Bold" w:cs="Arial"/>
          <w:b/>
          <w:color w:val="000000" w:themeColor="text1"/>
          <w:sz w:val="36"/>
          <w:szCs w:val="36"/>
        </w:rPr>
        <w:t xml:space="preserve">Part </w:t>
      </w:r>
      <w:bookmarkStart w:name="Part_B" w:id="7"/>
      <w:r w:rsidRPr="0088685B">
        <w:rPr>
          <w:rFonts w:eastAsia="Arial Bold" w:cs="Arial"/>
          <w:b/>
          <w:color w:val="000000" w:themeColor="text1"/>
          <w:sz w:val="36"/>
          <w:szCs w:val="36"/>
        </w:rPr>
        <w:t>B</w:t>
      </w:r>
      <w:bookmarkEnd w:id="7"/>
      <w:r w:rsidRPr="0088685B">
        <w:rPr>
          <w:rFonts w:eastAsia="Arial Bold" w:cs="Arial"/>
          <w:b/>
          <w:color w:val="000000" w:themeColor="text1"/>
          <w:sz w:val="36"/>
          <w:szCs w:val="36"/>
        </w:rPr>
        <w:t xml:space="preserve">: Performance Monitoring </w:t>
      </w:r>
    </w:p>
    <w:p w:rsidRPr="0088685B" w:rsidR="00CA079E" w:rsidP="00135404" w:rsidRDefault="00CD7298" w14:paraId="7B402D94" w14:textId="77777777">
      <w:pPr>
        <w:pStyle w:val="GPSL1CLAUSEHEADING"/>
        <w:numPr>
          <w:ilvl w:val="0"/>
          <w:numId w:val="13"/>
        </w:numPr>
        <w:rPr>
          <w:rFonts w:ascii="Arial" w:hAnsi="Arial"/>
        </w:rPr>
      </w:pPr>
      <w:r w:rsidRPr="0088685B">
        <w:rPr>
          <w:rFonts w:ascii="Arial" w:hAnsi="Arial"/>
        </w:rPr>
        <w:t>Performance Monitoring and Performance Review</w:t>
      </w:r>
    </w:p>
    <w:p w:rsidR="00CA079E" w:rsidP="00135404" w:rsidRDefault="00CD7298" w14:paraId="68218C10" w14:textId="4F369BF1">
      <w:pPr>
        <w:pStyle w:val="GPSL2numberedclause"/>
      </w:pPr>
      <w:bookmarkStart w:name="_Ref141096545" w:id="8"/>
      <w:r>
        <w:rPr>
          <w:rFonts w:eastAsia="Arial"/>
        </w:rPr>
        <w:t xml:space="preserve">Within twenty (20) Working Days of the Effective Date the Supplier shall provide the Buyer with details of how the process in respect of the monitoring and reporting of </w:t>
      </w:r>
      <w:r w:rsidR="006D60FB">
        <w:rPr>
          <w:rFonts w:eastAsia="Arial"/>
        </w:rPr>
        <w:t>Key Performance Indicator</w:t>
      </w:r>
      <w:r>
        <w:rPr>
          <w:rFonts w:eastAsia="Arial"/>
        </w:rPr>
        <w:t>s will operate between the Parties and the Parties will endeavour to agree such process as soon as reasonably possible.</w:t>
      </w:r>
      <w:bookmarkEnd w:id="8"/>
    </w:p>
    <w:p w:rsidR="00CA079E" w:rsidP="00135404" w:rsidRDefault="00CD7298" w14:paraId="6A07210B" w14:textId="0314FC05">
      <w:pPr>
        <w:pStyle w:val="GPSL2numberedclause"/>
      </w:pPr>
      <w:bookmarkStart w:name="_Ref188454577" w:id="9"/>
      <w:r>
        <w:rPr>
          <w:rFonts w:eastAsia="Arial"/>
        </w:rPr>
        <w:t>The Supplier shall provide the Buyer with performance monitoring reports ("</w:t>
      </w:r>
      <w:r>
        <w:rPr>
          <w:rFonts w:eastAsia="Arial"/>
          <w:b/>
        </w:rPr>
        <w:t>Performance Monitoring Reports</w:t>
      </w:r>
      <w:r>
        <w:rPr>
          <w:rFonts w:eastAsia="Arial"/>
        </w:rPr>
        <w:t xml:space="preserve">") in accordance with the process agreed pursuant to Paragraph </w:t>
      </w:r>
      <w:r w:rsidRPr="0088685B" w:rsidR="00147AB8">
        <w:rPr>
          <w:rFonts w:eastAsia="Arial"/>
        </w:rPr>
        <w:fldChar w:fldCharType="begin"/>
      </w:r>
      <w:r w:rsidRPr="0088685B" w:rsidR="00147AB8">
        <w:rPr>
          <w:rFonts w:eastAsia="Arial"/>
        </w:rPr>
        <w:instrText xml:space="preserve"> REF _Ref141096545 \n \h </w:instrText>
      </w:r>
      <w:r w:rsidR="0088685B">
        <w:rPr>
          <w:rFonts w:eastAsia="Arial"/>
        </w:rPr>
        <w:instrText xml:space="preserve"> \* MERGEFORMAT </w:instrText>
      </w:r>
      <w:r w:rsidRPr="0088685B" w:rsidR="00147AB8">
        <w:rPr>
          <w:rFonts w:eastAsia="Arial"/>
        </w:rPr>
      </w:r>
      <w:r w:rsidRPr="0088685B" w:rsidR="00147AB8">
        <w:rPr>
          <w:rFonts w:eastAsia="Arial"/>
        </w:rPr>
        <w:fldChar w:fldCharType="separate"/>
      </w:r>
      <w:r w:rsidR="00626983">
        <w:rPr>
          <w:rFonts w:eastAsia="Arial"/>
        </w:rPr>
        <w:t>1.1</w:t>
      </w:r>
      <w:r w:rsidRPr="0088685B" w:rsidR="00147AB8">
        <w:rPr>
          <w:rFonts w:eastAsia="Arial"/>
        </w:rPr>
        <w:fldChar w:fldCharType="end"/>
      </w:r>
      <w:r>
        <w:rPr>
          <w:rFonts w:eastAsia="Arial"/>
        </w:rPr>
        <w:t xml:space="preserve"> of </w:t>
      </w:r>
      <w:r w:rsidRPr="00147AB8">
        <w:rPr>
          <w:rFonts w:eastAsia="Arial"/>
        </w:rPr>
        <w:t>Part</w:t>
      </w:r>
      <w:r w:rsidR="00147AB8">
        <w:rPr>
          <w:rFonts w:eastAsia="Arial"/>
        </w:rPr>
        <w:t xml:space="preserve"> B</w:t>
      </w:r>
      <w:r w:rsidRPr="00147AB8">
        <w:rPr>
          <w:rFonts w:eastAsia="Arial"/>
        </w:rPr>
        <w:t xml:space="preserve"> of</w:t>
      </w:r>
      <w:r>
        <w:rPr>
          <w:rFonts w:eastAsia="Arial"/>
        </w:rPr>
        <w:t xml:space="preserve"> this Schedule </w:t>
      </w:r>
      <w:r w:rsidR="001A6841">
        <w:rPr>
          <w:rFonts w:eastAsia="Arial"/>
          <w:color w:val="000000"/>
        </w:rPr>
        <w:t>and with such frequency as shall be agreed between the Parties pursuant to Paragraph 1.1 to enable the Buyer to assess the Supplier’s performance against each Key Performance Indicator in each Measurement Period. The Performance Monitoring Reports shall contain, as a minimum, the following information in respect of the relevant Service Period just ended</w:t>
      </w:r>
      <w:r>
        <w:rPr>
          <w:rFonts w:eastAsia="Arial"/>
        </w:rPr>
        <w:t>:</w:t>
      </w:r>
      <w:bookmarkEnd w:id="9"/>
    </w:p>
    <w:p w:rsidR="00CA079E" w:rsidP="00135404" w:rsidRDefault="00CD7298" w14:paraId="2E8B9E08" w14:textId="229A68A0">
      <w:pPr>
        <w:pStyle w:val="GPSL3numberedclause"/>
      </w:pPr>
      <w:r>
        <w:rPr>
          <w:rFonts w:eastAsia="Arial"/>
        </w:rPr>
        <w:t xml:space="preserve">for </w:t>
      </w:r>
      <w:r w:rsidR="001A6841">
        <w:rPr>
          <w:rFonts w:eastAsia="Arial"/>
          <w:color w:val="000000"/>
        </w:rPr>
        <w:t xml:space="preserve">each Key Performance Indicator, the actual performance achieved against the KPI Performance Measure for the relevant Service Period </w:t>
      </w:r>
      <w:r w:rsidRPr="001F5828" w:rsidR="001A6841">
        <w:rPr>
          <w:rFonts w:eastAsia="Arial"/>
          <w:color w:val="000000"/>
        </w:rPr>
        <w:t xml:space="preserve">and, where a Measurement Period has ended in the period covered by the Performance Monitoring Report, the most recently ended Measurement </w:t>
      </w:r>
      <w:proofErr w:type="gramStart"/>
      <w:r w:rsidRPr="001F5828" w:rsidR="001A6841">
        <w:rPr>
          <w:rFonts w:eastAsia="Arial"/>
          <w:color w:val="000000"/>
        </w:rPr>
        <w:t>Period</w:t>
      </w:r>
      <w:r>
        <w:rPr>
          <w:rFonts w:eastAsia="Arial"/>
        </w:rPr>
        <w:t>;</w:t>
      </w:r>
      <w:proofErr w:type="gramEnd"/>
    </w:p>
    <w:p w:rsidR="00CA079E" w:rsidP="00135404" w:rsidRDefault="00CD7298" w14:paraId="3D3A5620" w14:textId="6899732D">
      <w:pPr>
        <w:pStyle w:val="GPSL3numberedclause"/>
      </w:pPr>
      <w:r>
        <w:rPr>
          <w:rFonts w:eastAsia="Arial"/>
        </w:rPr>
        <w:t xml:space="preserve">a summary of all failures to achieve </w:t>
      </w:r>
      <w:r w:rsidR="006D60FB">
        <w:rPr>
          <w:rFonts w:eastAsia="Arial"/>
        </w:rPr>
        <w:t>Key Performance Indicator</w:t>
      </w:r>
      <w:r>
        <w:rPr>
          <w:rFonts w:eastAsia="Arial"/>
        </w:rPr>
        <w:t xml:space="preserve">s that occurred during that Service </w:t>
      </w:r>
      <w:proofErr w:type="gramStart"/>
      <w:r>
        <w:rPr>
          <w:rFonts w:eastAsia="Arial"/>
        </w:rPr>
        <w:t>Period;</w:t>
      </w:r>
      <w:proofErr w:type="gramEnd"/>
    </w:p>
    <w:p w:rsidR="00CA079E" w:rsidP="00135404" w:rsidRDefault="00CD7298" w14:paraId="0206CC77" w14:textId="303A7935">
      <w:pPr>
        <w:pStyle w:val="GPSL3numberedclause"/>
      </w:pPr>
      <w:r>
        <w:rPr>
          <w:rFonts w:eastAsia="Arial"/>
        </w:rPr>
        <w:t xml:space="preserve">details of any Critical </w:t>
      </w:r>
      <w:r w:rsidR="00AD7853">
        <w:rPr>
          <w:rFonts w:eastAsia="Arial"/>
        </w:rPr>
        <w:t xml:space="preserve">KPI </w:t>
      </w:r>
      <w:proofErr w:type="gramStart"/>
      <w:r w:rsidR="00AD7853">
        <w:rPr>
          <w:rFonts w:eastAsia="Arial"/>
        </w:rPr>
        <w:t>F</w:t>
      </w:r>
      <w:r w:rsidR="00E73E7F">
        <w:rPr>
          <w:rFonts w:eastAsia="Arial"/>
        </w:rPr>
        <w:t>ailure</w:t>
      </w:r>
      <w:r>
        <w:rPr>
          <w:rFonts w:eastAsia="Arial"/>
        </w:rPr>
        <w:t>s;</w:t>
      </w:r>
      <w:proofErr w:type="gramEnd"/>
    </w:p>
    <w:p w:rsidR="00CA079E" w:rsidP="00135404" w:rsidRDefault="00CD7298" w14:paraId="59DEA59B" w14:textId="77777777">
      <w:pPr>
        <w:pStyle w:val="GPSL3numberedclause"/>
      </w:pPr>
      <w:r>
        <w:rPr>
          <w:rFonts w:eastAsia="Arial"/>
        </w:rPr>
        <w:t xml:space="preserve">for any repeat failures, actions taken to resolve the underlying cause and prevent </w:t>
      </w:r>
      <w:proofErr w:type="gramStart"/>
      <w:r>
        <w:rPr>
          <w:rFonts w:eastAsia="Arial"/>
        </w:rPr>
        <w:t>recurrence;</w:t>
      </w:r>
      <w:proofErr w:type="gramEnd"/>
    </w:p>
    <w:p w:rsidR="00CA079E" w:rsidP="00135404" w:rsidRDefault="00CD7298" w14:paraId="4D8403E0" w14:textId="4312C06E">
      <w:pPr>
        <w:pStyle w:val="GPSL3numberedclause"/>
      </w:pPr>
      <w:r>
        <w:rPr>
          <w:rFonts w:eastAsia="Arial"/>
        </w:rPr>
        <w:t xml:space="preserve">the Service Credits to be applied in respect of the relevant period indicating the failures and </w:t>
      </w:r>
      <w:r w:rsidR="006D60FB">
        <w:rPr>
          <w:rFonts w:eastAsia="Arial"/>
        </w:rPr>
        <w:t>Key Performance Indicator</w:t>
      </w:r>
      <w:r>
        <w:rPr>
          <w:rFonts w:eastAsia="Arial"/>
        </w:rPr>
        <w:t>s to which the Service Credits relate; and</w:t>
      </w:r>
    </w:p>
    <w:p w:rsidR="00CA079E" w:rsidP="00135404" w:rsidRDefault="00CD7298" w14:paraId="5C958DAD" w14:textId="77777777">
      <w:pPr>
        <w:pStyle w:val="GPSL3numberedclause"/>
      </w:pPr>
      <w:r>
        <w:rPr>
          <w:rFonts w:eastAsia="Arial"/>
        </w:rPr>
        <w:t>such other details as the Buyer may reasonably require from time to time.</w:t>
      </w:r>
    </w:p>
    <w:p w:rsidR="00CA079E" w:rsidP="00135404" w:rsidRDefault="00CD7298" w14:paraId="706915DD" w14:textId="77777777">
      <w:pPr>
        <w:pStyle w:val="GPSL2numberedclause"/>
      </w:pPr>
      <w:bookmarkStart w:name="_Ref188454584" w:id="10"/>
      <w:r>
        <w:rPr>
          <w:rFonts w:eastAsia="Arial"/>
        </w:rPr>
        <w:t>The Parties shall attend meetings to discuss Performance Monitoring Reports (</w:t>
      </w:r>
      <w:r w:rsidRPr="005127A9">
        <w:rPr>
          <w:rFonts w:eastAsia="Arial"/>
          <w:b/>
        </w:rPr>
        <w:t>"</w:t>
      </w:r>
      <w:r>
        <w:rPr>
          <w:rFonts w:eastAsia="Arial"/>
          <w:b/>
        </w:rPr>
        <w:t>Performance Review Meetings</w:t>
      </w:r>
      <w:r w:rsidRPr="005127A9">
        <w:rPr>
          <w:rFonts w:eastAsia="Arial"/>
          <w:b/>
        </w:rPr>
        <w:t>"</w:t>
      </w:r>
      <w:r>
        <w:rPr>
          <w:rFonts w:eastAsia="Arial"/>
        </w:rPr>
        <w:t>) on a Monthly basis. The Performance Review Meetings will be the forum for the review by the Supplier and the Buyer of the Performance Monitoring Reports.  The Performance Review Meetings shall:</w:t>
      </w:r>
      <w:bookmarkEnd w:id="10"/>
    </w:p>
    <w:p w:rsidR="00CA079E" w:rsidP="00135404" w:rsidRDefault="00CD7298" w14:paraId="0A78AE55" w14:textId="77777777">
      <w:pPr>
        <w:pStyle w:val="GPSL3numberedclause"/>
      </w:pPr>
      <w:r>
        <w:rPr>
          <w:rFonts w:eastAsia="Arial"/>
        </w:rPr>
        <w:t xml:space="preserve">take place within one (1) week of the Performance Monitoring Reports being issued by the Supplier at such location and time (within normal business hours) as the Buyer shall reasonably </w:t>
      </w:r>
      <w:proofErr w:type="gramStart"/>
      <w:r>
        <w:rPr>
          <w:rFonts w:eastAsia="Arial"/>
        </w:rPr>
        <w:t>require;</w:t>
      </w:r>
      <w:proofErr w:type="gramEnd"/>
    </w:p>
    <w:p w:rsidR="00CA079E" w:rsidP="00135404" w:rsidRDefault="00CD7298" w14:paraId="52C4ADD9" w14:textId="77777777">
      <w:pPr>
        <w:pStyle w:val="GPSL3numberedclause"/>
      </w:pPr>
      <w:r>
        <w:rPr>
          <w:rFonts w:eastAsia="Arial"/>
        </w:rPr>
        <w:t>be attended by the Supplier's Representative and the Buyer’s Representative; and</w:t>
      </w:r>
    </w:p>
    <w:p w:rsidR="00CA079E" w:rsidP="00135404" w:rsidRDefault="00CD7298" w14:paraId="5E4E35CC" w14:textId="77777777">
      <w:pPr>
        <w:pStyle w:val="GPSL3numberedclause"/>
      </w:pPr>
      <w:r>
        <w:rPr>
          <w:rFonts w:eastAsia="Arial"/>
        </w:rPr>
        <w:t xml:space="preserve">be fully </w:t>
      </w:r>
      <w:proofErr w:type="spellStart"/>
      <w:r>
        <w:rPr>
          <w:rFonts w:eastAsia="Arial"/>
        </w:rPr>
        <w:t>minuted</w:t>
      </w:r>
      <w:proofErr w:type="spellEnd"/>
      <w:r>
        <w:rPr>
          <w:rFonts w:eastAsia="Arial"/>
        </w:rPr>
        <w:t xml:space="preserve"> by the Supplier and the minutes will be circulated by the Supplier to all attendees at the relevant meeting </w:t>
      </w:r>
      <w:proofErr w:type="gramStart"/>
      <w:r>
        <w:rPr>
          <w:rFonts w:eastAsia="Arial"/>
        </w:rPr>
        <w:t>and also</w:t>
      </w:r>
      <w:proofErr w:type="gramEnd"/>
      <w:r>
        <w:rPr>
          <w:rFonts w:eastAsia="Arial"/>
        </w:rPr>
        <w:t xml:space="preserve"> to the Buyer’s Representative and any other recipients agreed at the relevant meeting.  </w:t>
      </w:r>
    </w:p>
    <w:p w:rsidR="00CA079E" w:rsidP="00135404" w:rsidRDefault="00CD7298" w14:paraId="7972B663" w14:textId="77777777">
      <w:pPr>
        <w:pStyle w:val="GPSL2numberedclause"/>
      </w:pPr>
      <w:r>
        <w:rPr>
          <w:rFonts w:eastAsia="Arial"/>
        </w:rPr>
        <w:t>The minutes of the preceding Month's Performance Review Meeting will be agreed and signed by both the Supplier's Representative and the Buyer’s Representative at each meeting.</w:t>
      </w:r>
    </w:p>
    <w:p w:rsidRPr="00AA4934" w:rsidR="00CA079E" w:rsidP="00135404" w:rsidRDefault="00CD7298" w14:paraId="40CBE7A8" w14:textId="3BDD9526">
      <w:pPr>
        <w:pStyle w:val="GPSL2numberedclause"/>
      </w:pPr>
      <w:r>
        <w:rPr>
          <w:rFonts w:eastAsia="Arial"/>
        </w:rPr>
        <w:t xml:space="preserve">The Supplier shall provide to the Buyer such documentation as the Buyer may reasonably require </w:t>
      </w:r>
      <w:proofErr w:type="gramStart"/>
      <w:r>
        <w:rPr>
          <w:rFonts w:eastAsia="Arial"/>
        </w:rPr>
        <w:t>in order to</w:t>
      </w:r>
      <w:proofErr w:type="gramEnd"/>
      <w:r>
        <w:rPr>
          <w:rFonts w:eastAsia="Arial"/>
        </w:rPr>
        <w:t xml:space="preserve"> verify the level of the performance by the Supplier and the calculations of the amount of Service Credits for any specified Service Period.</w:t>
      </w:r>
    </w:p>
    <w:p w:rsidR="0087195F" w:rsidP="00135404" w:rsidRDefault="00AA4934" w14:paraId="6B08725C" w14:textId="13FE0896">
      <w:pPr>
        <w:pStyle w:val="GPSL2numberedclause"/>
      </w:pPr>
      <w:r>
        <w:t xml:space="preserve">The relevant table in </w:t>
      </w:r>
      <w:r w:rsidR="001A6841">
        <w:t xml:space="preserve">the </w:t>
      </w:r>
      <w:r>
        <w:t xml:space="preserve">Annex to Part A of this Schedule describes how the levels of performance under the KPI Performance Measures will be mapped to the performance ratings prescribed under </w:t>
      </w:r>
      <w:r w:rsidR="7C8440E9">
        <w:t>r</w:t>
      </w:r>
      <w:r>
        <w:t xml:space="preserve">egulation 38(5) of the Procurement Regulations 2024. The mapping set out in that table will be applied by the </w:t>
      </w:r>
      <w:r w:rsidR="003C0BBD">
        <w:t xml:space="preserve">Buyer </w:t>
      </w:r>
      <w:r>
        <w:t xml:space="preserve">when publishing relevant Transparency Information relating to the Performance Indicators and/or the Supplier's performance against the relevant KPIs pursuant to </w:t>
      </w:r>
      <w:r w:rsidR="0087195F">
        <w:t>S</w:t>
      </w:r>
      <w:r>
        <w:t xml:space="preserve">ection 52(3) and/or </w:t>
      </w:r>
      <w:r w:rsidR="0087195F">
        <w:t>S</w:t>
      </w:r>
      <w:r>
        <w:t>ection 71(2) of the Procurement Act 2023 and the associated Regulations</w:t>
      </w:r>
      <w:r w:rsidR="0087195F">
        <w:t>.</w:t>
      </w:r>
    </w:p>
    <w:p w:rsidR="00AA4934" w:rsidP="00135404" w:rsidRDefault="001A6841" w14:paraId="3EAF98CA" w14:textId="6A6EF606">
      <w:pPr>
        <w:pStyle w:val="GPSL2numberedclause"/>
      </w:pPr>
      <w:r w:rsidRPr="0087195F">
        <w:t xml:space="preserve">The Supplier acknowledges and agrees </w:t>
      </w:r>
      <w:proofErr w:type="gramStart"/>
      <w:r w:rsidRPr="0087195F">
        <w:t>that,</w:t>
      </w:r>
      <w:proofErr w:type="gramEnd"/>
      <w:r w:rsidRPr="0087195F">
        <w:t xml:space="preserve"> each time the Buyer conducts an assessment of the Supplier’s performance against a Key Performance Indicator, the Buyer may publish information as required by Law in relation to that assessment</w:t>
      </w:r>
      <w:r w:rsidRPr="00AA4934" w:rsidR="00AA4934">
        <w:t>.</w:t>
      </w:r>
    </w:p>
    <w:p w:rsidRPr="0088685B" w:rsidR="00CA079E" w:rsidP="00135404" w:rsidRDefault="00CD7298" w14:paraId="6982DCE3" w14:textId="77777777">
      <w:pPr>
        <w:pStyle w:val="GPSL1CLAUSEHEADING"/>
        <w:rPr>
          <w:rFonts w:ascii="Arial" w:hAnsi="Arial"/>
        </w:rPr>
      </w:pPr>
      <w:r w:rsidRPr="0088685B">
        <w:rPr>
          <w:rFonts w:ascii="Arial" w:hAnsi="Arial"/>
        </w:rPr>
        <w:t>Satisfaction Surveys</w:t>
      </w:r>
    </w:p>
    <w:p w:rsidRPr="0088685B" w:rsidR="00CA079E" w:rsidP="00147AB8" w:rsidRDefault="00CD7298" w14:paraId="5C60EDE5" w14:textId="77777777">
      <w:pPr>
        <w:pBdr>
          <w:top w:val="nil"/>
          <w:left w:val="nil"/>
          <w:bottom w:val="nil"/>
          <w:right w:val="nil"/>
          <w:between w:val="nil"/>
        </w:pBdr>
        <w:spacing w:before="120" w:after="120" w:line="240" w:lineRule="auto"/>
        <w:ind w:left="426"/>
        <w:rPr>
          <w:rFonts w:cs="Arial"/>
        </w:rPr>
      </w:pPr>
      <w:r>
        <w:rPr>
          <w:rFonts w:eastAsia="Arial" w:cs="Arial"/>
          <w:color w:val="000000"/>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rsidRPr="0088685B" w:rsidR="00CA079E" w:rsidRDefault="00CA079E" w14:paraId="09EE76A7" w14:textId="77777777">
      <w:pPr>
        <w:spacing w:after="0"/>
        <w:rPr>
          <w:rFonts w:cs="Arial"/>
        </w:rPr>
      </w:pPr>
    </w:p>
    <w:sectPr w:rsidRPr="0088685B" w:rsidR="00CA079E" w:rsidSect="00871568">
      <w:pgSz w:w="11906" w:h="16838" w:orient="portrait"/>
      <w:pgMar w:top="1440" w:right="1440" w:bottom="1440" w:left="1440" w:header="709" w:footer="709" w:gutter="0"/>
      <w:pgNumType w:start="1"/>
      <w:cols w:space="720"/>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4D50" w:rsidRDefault="00B14D50" w14:paraId="53F77825" w14:textId="77777777">
      <w:pPr>
        <w:spacing w:after="0" w:line="240" w:lineRule="auto"/>
      </w:pPr>
      <w:r>
        <w:separator/>
      </w:r>
    </w:p>
  </w:endnote>
  <w:endnote w:type="continuationSeparator" w:id="0">
    <w:p w:rsidR="00B14D50" w:rsidRDefault="00B14D50" w14:paraId="551F5F86" w14:textId="77777777">
      <w:pPr>
        <w:spacing w:after="0" w:line="240" w:lineRule="auto"/>
      </w:pPr>
      <w:r>
        <w:continuationSeparator/>
      </w:r>
    </w:p>
  </w:endnote>
  <w:endnote w:type="continuationNotice" w:id="1">
    <w:p w:rsidR="00B14D50" w:rsidRDefault="00B14D50" w14:paraId="3C8B465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1E19" w:rsidRDefault="00AF1E19" w14:paraId="485A4D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5DD2" w:rsidRDefault="002E5DD2" w14:paraId="673E8A22" w14:textId="77777777">
    <w:pPr>
      <w:tabs>
        <w:tab w:val="center" w:pos="4513"/>
        <w:tab w:val="right" w:pos="9026"/>
      </w:tabs>
      <w:spacing w:after="0" w:line="240" w:lineRule="auto"/>
      <w:jc w:val="both"/>
    </w:pPr>
  </w:p>
  <w:p w:rsidRPr="00F23A6C" w:rsidR="002E5DD2" w:rsidP="000068DB" w:rsidRDefault="002E5DD2" w14:paraId="56F4C8A7" w14:textId="1BB8465C">
    <w:pPr>
      <w:pBdr>
        <w:top w:val="nil"/>
        <w:left w:val="nil"/>
        <w:bottom w:val="nil"/>
        <w:right w:val="nil"/>
        <w:between w:val="nil"/>
      </w:pBdr>
      <w:tabs>
        <w:tab w:val="center" w:pos="4513"/>
        <w:tab w:val="right" w:pos="9026"/>
      </w:tabs>
      <w:spacing w:after="0" w:line="240" w:lineRule="auto"/>
      <w:rPr>
        <w:rFonts w:eastAsia="Arial" w:cs="Arial"/>
        <w:color w:val="000000"/>
        <w:sz w:val="20"/>
        <w:szCs w:val="20"/>
      </w:rPr>
    </w:pPr>
    <w:r>
      <w:rPr>
        <w:rFonts w:eastAsia="Arial" w:cs="Arial"/>
        <w:color w:val="000000"/>
        <w:sz w:val="20"/>
        <w:szCs w:val="20"/>
      </w:rPr>
      <w:t>v.1.</w:t>
    </w:r>
    <w:r w:rsidR="00AF1E19">
      <w:rPr>
        <w:rFonts w:eastAsia="Arial" w:cs="Arial"/>
        <w:color w:val="000000"/>
        <w:sz w:val="20"/>
        <w:szCs w:val="20"/>
      </w:rPr>
      <w:t>3</w:t>
    </w:r>
    <w:r>
      <w:rPr>
        <w:rFonts w:eastAsia="Arial" w:cs="Arial"/>
        <w:color w:val="000000"/>
        <w:sz w:val="20"/>
        <w:szCs w:val="20"/>
      </w:rPr>
      <w:tab/>
    </w:r>
    <w:r>
      <w:rPr>
        <w:rFonts w:eastAsia="Arial" w:cs="Arial"/>
        <w:color w:val="000000"/>
        <w:sz w:val="20"/>
        <w:szCs w:val="20"/>
      </w:rPr>
      <w:tab/>
    </w:r>
    <w:r>
      <w:rPr>
        <w:rFonts w:eastAsia="Arial" w:cs="Arial"/>
        <w:color w:val="000000"/>
        <w:sz w:val="20"/>
        <w:szCs w:val="20"/>
      </w:rPr>
      <w:fldChar w:fldCharType="begin"/>
    </w:r>
    <w:r>
      <w:rPr>
        <w:rFonts w:eastAsia="Arial" w:cs="Arial"/>
        <w:color w:val="000000"/>
        <w:sz w:val="20"/>
        <w:szCs w:val="20"/>
      </w:rPr>
      <w:instrText>PAGE</w:instrText>
    </w:r>
    <w:r>
      <w:rPr>
        <w:rFonts w:eastAsia="Arial" w:cs="Arial"/>
        <w:color w:val="000000"/>
        <w:sz w:val="20"/>
        <w:szCs w:val="20"/>
      </w:rPr>
      <w:fldChar w:fldCharType="separate"/>
    </w:r>
    <w:r w:rsidR="00F36489">
      <w:rPr>
        <w:rFonts w:eastAsia="Arial" w:cs="Arial"/>
        <w:noProof/>
        <w:color w:val="000000"/>
        <w:sz w:val="20"/>
        <w:szCs w:val="20"/>
      </w:rPr>
      <w:t>5</w:t>
    </w:r>
    <w:r>
      <w:rPr>
        <w:rFonts w:eastAsia="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5DD2" w:rsidRDefault="002E5DD2" w14:paraId="05943555" w14:textId="77777777">
    <w:pPr>
      <w:tabs>
        <w:tab w:val="center" w:pos="4513"/>
        <w:tab w:val="right" w:pos="9026"/>
      </w:tabs>
      <w:spacing w:after="0" w:line="240" w:lineRule="auto"/>
      <w:jc w:val="both"/>
    </w:pPr>
  </w:p>
  <w:p w:rsidR="002E5DD2" w:rsidRDefault="002E5DD2" w14:paraId="21CEB15B" w14:textId="77777777">
    <w:pPr>
      <w:pBdr>
        <w:top w:val="nil"/>
        <w:left w:val="nil"/>
        <w:bottom w:val="nil"/>
        <w:right w:val="nil"/>
        <w:between w:val="nil"/>
      </w:pBdr>
      <w:tabs>
        <w:tab w:val="center" w:pos="4513"/>
        <w:tab w:val="right" w:pos="9026"/>
      </w:tabs>
      <w:spacing w:after="0" w:line="240" w:lineRule="auto"/>
      <w:rPr>
        <w:rFonts w:eastAsia="Arial" w:cs="Arial"/>
        <w:color w:val="000000"/>
        <w:sz w:val="20"/>
        <w:szCs w:val="20"/>
      </w:rPr>
    </w:pPr>
    <w:r>
      <w:rPr>
        <w:rFonts w:eastAsia="Arial" w:cs="Arial"/>
        <w:color w:val="000000"/>
        <w:sz w:val="20"/>
        <w:szCs w:val="20"/>
      </w:rPr>
      <w:tab/>
    </w:r>
    <w:r>
      <w:rPr>
        <w:rFonts w:eastAsia="Arial" w:cs="Arial"/>
        <w:color w:val="000000"/>
        <w:sz w:val="20"/>
        <w:szCs w:val="20"/>
      </w:rPr>
      <w:t xml:space="preserve">                                           </w:t>
    </w:r>
  </w:p>
  <w:p w:rsidR="002E5DD2" w:rsidRDefault="002E5DD2" w14:paraId="1176C1BC" w14:textId="37EAEBC7">
    <w:pPr>
      <w:pBdr>
        <w:top w:val="nil"/>
        <w:left w:val="nil"/>
        <w:bottom w:val="nil"/>
        <w:right w:val="nil"/>
        <w:between w:val="nil"/>
      </w:pBdr>
      <w:tabs>
        <w:tab w:val="center" w:pos="4513"/>
        <w:tab w:val="right" w:pos="9026"/>
      </w:tabs>
      <w:spacing w:after="0" w:line="240" w:lineRule="auto"/>
      <w:rPr>
        <w:rFonts w:eastAsia="Arial" w:cs="Arial"/>
        <w:color w:val="000000"/>
        <w:sz w:val="20"/>
        <w:szCs w:val="20"/>
      </w:rPr>
    </w:pPr>
    <w:r>
      <w:rPr>
        <w:rFonts w:eastAsia="Arial" w:cs="Arial"/>
        <w:color w:val="000000"/>
        <w:sz w:val="20"/>
        <w:szCs w:val="20"/>
      </w:rPr>
      <w:tab/>
    </w:r>
    <w:r>
      <w:rPr>
        <w:rFonts w:eastAsia="Arial" w:cs="Arial"/>
        <w:color w:val="000000"/>
        <w:sz w:val="20"/>
        <w:szCs w:val="20"/>
      </w:rPr>
      <w:tab/>
    </w:r>
    <w:r>
      <w:rPr>
        <w:rFonts w:eastAsia="Arial" w:cs="Arial"/>
        <w:color w:val="000000"/>
        <w:sz w:val="20"/>
        <w:szCs w:val="20"/>
      </w:rPr>
      <w:tab/>
    </w:r>
    <w:r>
      <w:rPr>
        <w:rFonts w:eastAsia="Arial" w:cs="Arial"/>
        <w:color w:val="000000"/>
        <w:sz w:val="20"/>
        <w:szCs w:val="20"/>
      </w:rPr>
      <w:fldChar w:fldCharType="begin"/>
    </w:r>
    <w:r>
      <w:rPr>
        <w:rFonts w:eastAsia="Arial" w:cs="Arial"/>
        <w:color w:val="000000"/>
        <w:sz w:val="20"/>
        <w:szCs w:val="20"/>
      </w:rPr>
      <w:instrText>PAGE</w:instrText>
    </w:r>
    <w:r>
      <w:rPr>
        <w:rFonts w:eastAsia="Arial" w:cs="Arial"/>
        <w:color w:val="000000"/>
        <w:sz w:val="20"/>
        <w:szCs w:val="20"/>
      </w:rPr>
      <w:fldChar w:fldCharType="separate"/>
    </w:r>
    <w:r w:rsidR="00626983">
      <w:rPr>
        <w:rFonts w:eastAsia="Arial" w:cs="Arial"/>
        <w:noProof/>
        <w:color w:val="000000"/>
        <w:sz w:val="20"/>
        <w:szCs w:val="20"/>
      </w:rPr>
      <w:t>4</w:t>
    </w:r>
    <w:r>
      <w:rPr>
        <w:rFonts w:eastAsia="Arial" w:cs="Arial"/>
        <w:color w:val="000000"/>
        <w:sz w:val="20"/>
        <w:szCs w:val="20"/>
      </w:rPr>
      <w:fldChar w:fldCharType="end"/>
    </w:r>
  </w:p>
  <w:p w:rsidR="002E5DD2" w:rsidRDefault="002E5DD2" w14:paraId="13F2FC53" w14:textId="77777777">
    <w:pPr>
      <w:pBdr>
        <w:top w:val="nil"/>
        <w:left w:val="nil"/>
        <w:bottom w:val="nil"/>
        <w:right w:val="nil"/>
        <w:between w:val="nil"/>
      </w:pBdr>
      <w:tabs>
        <w:tab w:val="center" w:pos="4513"/>
        <w:tab w:val="right" w:pos="9026"/>
      </w:tabs>
      <w:spacing w:after="0" w:line="240" w:lineRule="auto"/>
      <w:rPr>
        <w:rFonts w:eastAsia="Arial" w:cs="Arial"/>
        <w:color w:val="000000"/>
      </w:rPr>
    </w:pPr>
    <w:r>
      <w:rPr>
        <w:rFonts w:eastAsia="Arial" w:cs="Arial"/>
        <w:color w:val="000000"/>
        <w:sz w:val="20"/>
        <w:szCs w:val="20"/>
      </w:rPr>
      <w:tab/>
    </w:r>
    <w:r>
      <w:rPr>
        <w:rFonts w:eastAsia="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4D50" w:rsidRDefault="00B14D50" w14:paraId="43BDB27F" w14:textId="77777777">
      <w:pPr>
        <w:spacing w:after="0" w:line="240" w:lineRule="auto"/>
      </w:pPr>
      <w:r>
        <w:separator/>
      </w:r>
    </w:p>
  </w:footnote>
  <w:footnote w:type="continuationSeparator" w:id="0">
    <w:p w:rsidR="00B14D50" w:rsidRDefault="00B14D50" w14:paraId="3A2077A9" w14:textId="77777777">
      <w:pPr>
        <w:spacing w:after="0" w:line="240" w:lineRule="auto"/>
      </w:pPr>
      <w:r>
        <w:continuationSeparator/>
      </w:r>
    </w:p>
  </w:footnote>
  <w:footnote w:type="continuationNotice" w:id="1">
    <w:p w:rsidR="00B14D50" w:rsidRDefault="00B14D50" w14:paraId="039F1E2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1E19" w:rsidRDefault="00AF1E19" w14:paraId="103A8C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01CFB" w:rsidR="002E5DD2" w:rsidP="00147AB8" w:rsidRDefault="002E5DD2" w14:paraId="175A9D00" w14:textId="4F9E6B3E">
    <w:pPr>
      <w:pBdr>
        <w:top w:val="nil"/>
        <w:left w:val="nil"/>
        <w:bottom w:val="nil"/>
        <w:right w:val="nil"/>
        <w:between w:val="nil"/>
      </w:pBdr>
      <w:tabs>
        <w:tab w:val="center" w:pos="4513"/>
        <w:tab w:val="right" w:pos="9026"/>
      </w:tabs>
      <w:spacing w:after="0" w:line="240" w:lineRule="auto"/>
      <w:rPr>
        <w:rFonts w:eastAsia="Arial" w:cs="Arial"/>
        <w:bCs/>
        <w:color w:val="000000"/>
        <w:sz w:val="20"/>
        <w:szCs w:val="20"/>
      </w:rPr>
    </w:pPr>
    <w:r w:rsidRPr="00101CFB">
      <w:rPr>
        <w:rFonts w:eastAsia="Arial" w:cs="Arial"/>
        <w:bCs/>
        <w:color w:val="000000"/>
        <w:sz w:val="20"/>
        <w:szCs w:val="20"/>
      </w:rPr>
      <w:t>Schedule 10 (</w:t>
    </w:r>
    <w:r>
      <w:rPr>
        <w:rFonts w:eastAsia="Arial" w:cs="Arial"/>
        <w:bCs/>
        <w:color w:val="000000"/>
        <w:sz w:val="20"/>
        <w:szCs w:val="20"/>
      </w:rPr>
      <w:t>Performance</w:t>
    </w:r>
    <w:r w:rsidRPr="00101CFB">
      <w:rPr>
        <w:rFonts w:eastAsia="Arial" w:cs="Arial"/>
        <w:bCs/>
        <w:color w:val="000000"/>
        <w:sz w:val="20"/>
        <w:szCs w:val="20"/>
      </w:rPr>
      <w:t xml:space="preserve"> Levels), Crown Copyright 202</w:t>
    </w:r>
    <w:r>
      <w:rPr>
        <w:rFonts w:eastAsia="Arial" w:cs="Arial"/>
        <w:bCs/>
        <w:color w:val="000000"/>
        <w:sz w:val="20"/>
        <w:szCs w:val="20"/>
      </w:rPr>
      <w:t>5</w:t>
    </w:r>
    <w:r w:rsidRPr="00101CFB">
      <w:rPr>
        <w:rFonts w:eastAsia="Arial" w:cs="Arial"/>
        <w:bCs/>
        <w:color w:val="000000"/>
        <w:sz w:val="20"/>
        <w:szCs w:val="20"/>
      </w:rPr>
      <w:t>, [Subject to Contract]</w:t>
    </w:r>
  </w:p>
  <w:p w:rsidR="002E5DD2" w:rsidRDefault="002E5DD2" w14:paraId="2F2E1EA6" w14:textId="77777777">
    <w:pPr>
      <w:pBdr>
        <w:top w:val="nil"/>
        <w:left w:val="nil"/>
        <w:bottom w:val="nil"/>
        <w:right w:val="nil"/>
        <w:between w:val="nil"/>
      </w:pBdr>
      <w:tabs>
        <w:tab w:val="center" w:pos="4513"/>
        <w:tab w:val="right" w:pos="9026"/>
      </w:tabs>
      <w:spacing w:after="0" w:line="240" w:lineRule="auto"/>
      <w:rPr>
        <w:rFonts w:eastAsia="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1E19" w:rsidRDefault="00AF1E19" w14:paraId="2DA2AE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0310"/>
    <w:multiLevelType w:val="multilevel"/>
    <w:tmpl w:val="6EDECC78"/>
    <w:lvl w:ilvl="0">
      <w:start w:val="1"/>
      <w:numFmt w:val="decimal"/>
      <w:pStyle w:val="BodyTex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2813BB"/>
    <w:multiLevelType w:val="hybridMultilevel"/>
    <w:tmpl w:val="5D2270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887CC6"/>
    <w:multiLevelType w:val="multilevel"/>
    <w:tmpl w:val="96B2B050"/>
    <w:lvl w:ilvl="0">
      <w:start w:val="1"/>
      <w:numFmt w:val="decimal"/>
      <w:lvlText w:val="%1."/>
      <w:lvlJc w:val="left"/>
      <w:pPr>
        <w:ind w:left="360" w:hanging="360"/>
      </w:pPr>
      <w:rPr>
        <w:rFonts w:hint="default" w:ascii="Arial" w:hAnsi="Arial" w:eastAsia="Arial" w:cs="Arial"/>
        <w:b/>
        <w:i w:val="0"/>
        <w:smallCaps w:val="0"/>
        <w:strike w:val="0"/>
        <w:color w:val="000000"/>
        <w:sz w:val="24"/>
        <w:szCs w:val="24"/>
        <w:u w:val="none"/>
        <w:vertAlign w:val="baseline"/>
      </w:rPr>
    </w:lvl>
    <w:lvl w:ilvl="1">
      <w:start w:val="1"/>
      <w:numFmt w:val="decimal"/>
      <w:lvlText w:val="%1.%2"/>
      <w:lvlJc w:val="left"/>
      <w:pPr>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ascii="Arial" w:hAnsi="Arial" w:eastAsia="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hint="default"/>
        <w:b w:val="0"/>
        <w:i w:val="0"/>
        <w:smallCaps w:val="0"/>
        <w:strike w:val="0"/>
        <w:color w:val="000000"/>
        <w:sz w:val="24"/>
        <w:szCs w:val="24"/>
        <w:u w:val="none"/>
        <w:vertAlign w:val="baseline"/>
      </w:rPr>
    </w:lvl>
    <w:lvl w:ilvl="4">
      <w:start w:val="1"/>
      <w:numFmt w:val="lowerRoman"/>
      <w:lvlText w:val="(%5)"/>
      <w:lvlJc w:val="left"/>
      <w:pPr>
        <w:ind w:left="3600"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25723AAE"/>
    <w:multiLevelType w:val="multilevel"/>
    <w:tmpl w:val="8F785C60"/>
    <w:lvl w:ilvl="0">
      <w:start w:val="1"/>
      <w:numFmt w:val="decimal"/>
      <w:pStyle w:val="GPSL1CLAUSEHEADING"/>
      <w:lvlText w:val="%1."/>
      <w:lvlJc w:val="left"/>
      <w:pPr>
        <w:tabs>
          <w:tab w:val="num" w:pos="360"/>
        </w:tabs>
        <w:ind w:left="360" w:hanging="360"/>
      </w:pPr>
      <w:rPr>
        <w:rFonts w:hint="default" w:ascii="Arial" w:hAnsi="Arial" w:eastAsia="Arial" w:cs="Arial"/>
        <w:b/>
        <w:i w:val="0"/>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hint="default" w:ascii="Arial" w:hAnsi="Arial" w:cs="Calibri"/>
        <w:b w:val="0"/>
        <w:i w:val="0"/>
        <w:smallCaps w:val="0"/>
        <w:strike w:val="0"/>
        <w:color w:val="000000"/>
        <w:sz w:val="24"/>
        <w:szCs w:val="22"/>
        <w:u w:val="none"/>
        <w:vertAlign w:val="baseline"/>
      </w:rPr>
    </w:lvl>
    <w:lvl w:ilvl="2">
      <w:start w:val="1"/>
      <w:numFmt w:val="decimal"/>
      <w:pStyle w:val="GPSL3numberedclause"/>
      <w:lvlText w:val="%1.%2.%3"/>
      <w:lvlJc w:val="left"/>
      <w:pPr>
        <w:tabs>
          <w:tab w:val="num" w:pos="1757"/>
        </w:tabs>
        <w:ind w:left="1757" w:hanging="850"/>
      </w:pPr>
      <w:rPr>
        <w:rFonts w:hint="default" w:ascii="Arial" w:hAnsi="Arial" w:eastAsia="Arial" w:cs="Arial"/>
        <w:b w:val="0"/>
        <w:i w:val="0"/>
        <w:smallCaps w:val="0"/>
        <w:strike w:val="0"/>
        <w:color w:val="000000"/>
        <w:sz w:val="24"/>
        <w:szCs w:val="24"/>
        <w:u w:val="none"/>
        <w:vertAlign w:val="baseline"/>
      </w:rPr>
    </w:lvl>
    <w:lvl w:ilvl="3">
      <w:start w:val="1"/>
      <w:numFmt w:val="lowerLetter"/>
      <w:pStyle w:val="GPSL4numberedclause"/>
      <w:lvlText w:val="%4)"/>
      <w:lvlJc w:val="left"/>
      <w:pPr>
        <w:tabs>
          <w:tab w:val="num" w:pos="2606"/>
        </w:tabs>
        <w:ind w:left="2606" w:hanging="849"/>
      </w:pPr>
      <w:rPr>
        <w:rFonts w:hint="default" w:ascii="Arial" w:hAnsi="Arial" w:cs="Calibri"/>
        <w:b w:val="0"/>
        <w:i w:val="0"/>
        <w:smallCaps w:val="0"/>
        <w:strike w:val="0"/>
        <w:color w:val="000000"/>
        <w:sz w:val="24"/>
        <w:szCs w:val="22"/>
        <w:u w:val="none"/>
        <w:vertAlign w:val="baseline"/>
      </w:rPr>
    </w:lvl>
    <w:lvl w:ilvl="4">
      <w:start w:val="1"/>
      <w:numFmt w:val="lowerRoman"/>
      <w:lvlText w:val="(%5)"/>
      <w:lvlJc w:val="left"/>
      <w:pPr>
        <w:ind w:left="3600"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4C965BC8"/>
    <w:multiLevelType w:val="multilevel"/>
    <w:tmpl w:val="E6165AD2"/>
    <w:lvl w:ilvl="0">
      <w:start w:val="1"/>
      <w:numFmt w:val="decimal"/>
      <w:lvlText w:val="%1."/>
      <w:lvlJc w:val="left"/>
      <w:pPr>
        <w:ind w:left="360" w:hanging="360"/>
      </w:pPr>
      <w:rPr>
        <w:rFonts w:ascii="Arial" w:hAnsi="Arial" w:eastAsia="Arial" w:cs="Arial"/>
        <w:b/>
        <w:i w:val="0"/>
        <w:smallCaps w:val="0"/>
        <w:strike w:val="0"/>
        <w:color w:val="000000"/>
        <w:sz w:val="24"/>
        <w:szCs w:val="24"/>
        <w:u w:val="none"/>
        <w:vertAlign w:val="baseline"/>
      </w:rPr>
    </w:lvl>
    <w:lvl w:ilvl="1">
      <w:start w:val="1"/>
      <w:numFmt w:val="decimal"/>
      <w:pStyle w:val="GPSL2NumberedBoldHeading"/>
      <w:lvlText w:val="%1.%2"/>
      <w:lvlJc w:val="left"/>
      <w:pPr>
        <w:ind w:left="907" w:hanging="547"/>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hAnsi="Arial" w:eastAsia="Arial" w:cs="Arial"/>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58AC0137"/>
    <w:multiLevelType w:val="multilevel"/>
    <w:tmpl w:val="82DC9354"/>
    <w:lvl w:ilvl="0">
      <w:start w:val="1"/>
      <w:numFmt w:val="decimal"/>
      <w:lvlText w:val="%1."/>
      <w:lvlJc w:val="left"/>
      <w:pPr>
        <w:ind w:left="360" w:hanging="360"/>
      </w:pPr>
      <w:rPr>
        <w:rFonts w:ascii="Arial" w:hAnsi="Arial" w:eastAsia="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hAnsi="Arial" w:eastAsia="Arial" w:cs="Arial"/>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5BB1631E"/>
    <w:multiLevelType w:val="hybridMultilevel"/>
    <w:tmpl w:val="55340398"/>
    <w:lvl w:ilvl="0" w:tplc="A364A408">
      <w:start w:val="6"/>
      <w:numFmt w:val="bullet"/>
      <w:lvlText w:val=""/>
      <w:lvlJc w:val="left"/>
      <w:pPr>
        <w:ind w:left="1080" w:hanging="360"/>
      </w:pPr>
      <w:rPr>
        <w:rFonts w:hint="default" w:ascii="Symbol" w:hAnsi="Symbol" w:eastAsia="Calibri"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60723921"/>
    <w:multiLevelType w:val="multilevel"/>
    <w:tmpl w:val="D8941D22"/>
    <w:lvl w:ilvl="0">
      <w:start w:val="1"/>
      <w:numFmt w:val="decimal"/>
      <w:pStyle w:val="GPsDefinition"/>
      <w:lvlText w:val="%1."/>
      <w:lvlJc w:val="left"/>
      <w:pPr>
        <w:ind w:left="720" w:hanging="720"/>
      </w:pPr>
      <w:rPr>
        <w:rFonts w:ascii="Calibri" w:hAnsi="Calibri" w:eastAsia="Calibri" w:cs="Calibri"/>
        <w:b/>
        <w:i w:val="0"/>
        <w:smallCaps w:val="0"/>
        <w:strike w:val="0"/>
        <w:color w:val="000000"/>
        <w:sz w:val="22"/>
        <w:szCs w:val="22"/>
        <w:u w:val="none"/>
        <w:vertAlign w:val="baseline"/>
      </w:rPr>
    </w:lvl>
    <w:lvl w:ilvl="1">
      <w:start w:val="1"/>
      <w:numFmt w:val="lowerLetter"/>
      <w:pStyle w:val="GPSDefinitionL2"/>
      <w:lvlText w:val="%2)"/>
      <w:lvlJc w:val="left"/>
      <w:pPr>
        <w:ind w:left="1440" w:hanging="720"/>
      </w:pPr>
      <w:rPr>
        <w:b w:val="0"/>
        <w:i w:val="0"/>
        <w:smallCaps w:val="0"/>
        <w:strike w:val="0"/>
        <w:color w:val="000000"/>
        <w:sz w:val="22"/>
        <w:szCs w:val="22"/>
        <w:u w:val="none"/>
        <w:vertAlign w:val="baseline"/>
      </w:rPr>
    </w:lvl>
    <w:lvl w:ilvl="2">
      <w:start w:val="1"/>
      <w:numFmt w:val="decimal"/>
      <w:pStyle w:val="GPSDefinitionL3"/>
      <w:lvlText w:val="%1.2.%3"/>
      <w:lvlJc w:val="left"/>
      <w:pPr>
        <w:ind w:left="2160" w:hanging="720"/>
      </w:pPr>
      <w:rPr>
        <w:rFonts w:ascii="Arial" w:hAnsi="Arial" w:eastAsia="Arial" w:cs="Arial"/>
        <w:b w:val="0"/>
        <w:i w:val="0"/>
        <w:smallCaps w:val="0"/>
        <w:strike w:val="0"/>
        <w:color w:val="000000"/>
        <w:sz w:val="24"/>
        <w:szCs w:val="24"/>
        <w:u w:val="none"/>
        <w:vertAlign w:val="baseline"/>
      </w:rPr>
    </w:lvl>
    <w:lvl w:ilvl="3">
      <w:start w:val="1"/>
      <w:numFmt w:val="lowerLetter"/>
      <w:pStyle w:val="GPSDefinitionL4"/>
      <w:lvlText w:val="(%4)"/>
      <w:lvlJc w:val="left"/>
      <w:pPr>
        <w:ind w:left="2880" w:hanging="720"/>
      </w:pPr>
      <w:rPr>
        <w:rFonts w:ascii="Calibri" w:hAnsi="Calibri" w:eastAsia="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67736AA9"/>
    <w:multiLevelType w:val="multilevel"/>
    <w:tmpl w:val="2CEE12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347084"/>
    <w:multiLevelType w:val="multilevel"/>
    <w:tmpl w:val="A3FEEA2E"/>
    <w:lvl w:ilvl="0">
      <w:start w:val="1"/>
      <w:numFmt w:val="decimal"/>
      <w:lvlText w:val="%1"/>
      <w:lvlJc w:val="left"/>
      <w:pPr>
        <w:ind w:left="720" w:hanging="720"/>
      </w:pPr>
      <w:rPr>
        <w:smallCaps w:val="0"/>
        <w:strike w:val="0"/>
        <w:u w:val="none"/>
        <w:vertAlign w:val="baseline"/>
      </w:r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decimal"/>
      <w:lvlText w:val="%2.%3.%4"/>
      <w:lvlJc w:val="left"/>
      <w:pPr>
        <w:ind w:left="1803" w:hanging="1083"/>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2568394">
    <w:abstractNumId w:val="4"/>
  </w:num>
  <w:num w:numId="2" w16cid:durableId="1883865073">
    <w:abstractNumId w:val="7"/>
  </w:num>
  <w:num w:numId="3" w16cid:durableId="368796848">
    <w:abstractNumId w:val="5"/>
  </w:num>
  <w:num w:numId="4" w16cid:durableId="1593081024">
    <w:abstractNumId w:val="2"/>
  </w:num>
  <w:num w:numId="5" w16cid:durableId="501513286">
    <w:abstractNumId w:val="0"/>
  </w:num>
  <w:num w:numId="6" w16cid:durableId="426392228">
    <w:abstractNumId w:val="6"/>
  </w:num>
  <w:num w:numId="7" w16cid:durableId="102045278">
    <w:abstractNumId w:val="8"/>
  </w:num>
  <w:num w:numId="8" w16cid:durableId="350838617">
    <w:abstractNumId w:val="9"/>
  </w:num>
  <w:num w:numId="9" w16cid:durableId="1247883161">
    <w:abstractNumId w:val="3"/>
  </w:num>
  <w:num w:numId="10" w16cid:durableId="1188829313">
    <w:abstractNumId w:val="3"/>
  </w:num>
  <w:num w:numId="11" w16cid:durableId="1323464183">
    <w:abstractNumId w:val="3"/>
  </w:num>
  <w:num w:numId="12" w16cid:durableId="20382386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647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165842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Mid-Tier Schedule 10 (Performance Levels) (Final Review).DOCX"/>
    <w:docVar w:name="gemDN1|GAYLEJ|25 July 2023 19:30:42" w:val="V2 - Amend TRK NV"/>
    <w:docVar w:name="gemDocNotesCount" w:val="1"/>
  </w:docVars>
  <w:rsids>
    <w:rsidRoot w:val="00CA079E"/>
    <w:rsid w:val="000068DB"/>
    <w:rsid w:val="0001687F"/>
    <w:rsid w:val="00022886"/>
    <w:rsid w:val="00034290"/>
    <w:rsid w:val="00043663"/>
    <w:rsid w:val="000701E6"/>
    <w:rsid w:val="00083F3D"/>
    <w:rsid w:val="000B5C11"/>
    <w:rsid w:val="000C0522"/>
    <w:rsid w:val="00101CFB"/>
    <w:rsid w:val="00102577"/>
    <w:rsid w:val="0011051A"/>
    <w:rsid w:val="00132FDE"/>
    <w:rsid w:val="00135404"/>
    <w:rsid w:val="00146ACF"/>
    <w:rsid w:val="00147AB8"/>
    <w:rsid w:val="001A13EE"/>
    <w:rsid w:val="001A6841"/>
    <w:rsid w:val="00254024"/>
    <w:rsid w:val="00284677"/>
    <w:rsid w:val="0028495C"/>
    <w:rsid w:val="00285233"/>
    <w:rsid w:val="00295413"/>
    <w:rsid w:val="002C098E"/>
    <w:rsid w:val="002D4FB1"/>
    <w:rsid w:val="002E5DD2"/>
    <w:rsid w:val="00302F98"/>
    <w:rsid w:val="00303CB2"/>
    <w:rsid w:val="00303EE0"/>
    <w:rsid w:val="00321771"/>
    <w:rsid w:val="00345892"/>
    <w:rsid w:val="00356568"/>
    <w:rsid w:val="003B4F50"/>
    <w:rsid w:val="003C0BBD"/>
    <w:rsid w:val="003E2C32"/>
    <w:rsid w:val="00425119"/>
    <w:rsid w:val="00467724"/>
    <w:rsid w:val="00471F44"/>
    <w:rsid w:val="00474F3D"/>
    <w:rsid w:val="004D1E7F"/>
    <w:rsid w:val="0050634D"/>
    <w:rsid w:val="005127A9"/>
    <w:rsid w:val="00515F7D"/>
    <w:rsid w:val="00520D45"/>
    <w:rsid w:val="00524572"/>
    <w:rsid w:val="00545572"/>
    <w:rsid w:val="0055238D"/>
    <w:rsid w:val="0055530D"/>
    <w:rsid w:val="00557D4E"/>
    <w:rsid w:val="00567409"/>
    <w:rsid w:val="00570635"/>
    <w:rsid w:val="005849CC"/>
    <w:rsid w:val="00586B6B"/>
    <w:rsid w:val="00587AFB"/>
    <w:rsid w:val="005C751C"/>
    <w:rsid w:val="005D21E8"/>
    <w:rsid w:val="00626983"/>
    <w:rsid w:val="00637481"/>
    <w:rsid w:val="006376A1"/>
    <w:rsid w:val="0066226F"/>
    <w:rsid w:val="00695B95"/>
    <w:rsid w:val="006D2031"/>
    <w:rsid w:val="006D60FB"/>
    <w:rsid w:val="006F4DA2"/>
    <w:rsid w:val="00701ED3"/>
    <w:rsid w:val="007248F9"/>
    <w:rsid w:val="00732A0A"/>
    <w:rsid w:val="007415C8"/>
    <w:rsid w:val="0076748B"/>
    <w:rsid w:val="00781EAC"/>
    <w:rsid w:val="007935A5"/>
    <w:rsid w:val="00796392"/>
    <w:rsid w:val="00801597"/>
    <w:rsid w:val="008475AA"/>
    <w:rsid w:val="00871568"/>
    <w:rsid w:val="0087195F"/>
    <w:rsid w:val="00873250"/>
    <w:rsid w:val="00876189"/>
    <w:rsid w:val="0088685B"/>
    <w:rsid w:val="008C34B3"/>
    <w:rsid w:val="008C4CB9"/>
    <w:rsid w:val="0098040C"/>
    <w:rsid w:val="009820C5"/>
    <w:rsid w:val="009C11A0"/>
    <w:rsid w:val="009C3301"/>
    <w:rsid w:val="00A14E28"/>
    <w:rsid w:val="00A33A80"/>
    <w:rsid w:val="00A721FA"/>
    <w:rsid w:val="00A7666C"/>
    <w:rsid w:val="00A81369"/>
    <w:rsid w:val="00A85B89"/>
    <w:rsid w:val="00A91410"/>
    <w:rsid w:val="00AA4934"/>
    <w:rsid w:val="00AA778E"/>
    <w:rsid w:val="00AB3785"/>
    <w:rsid w:val="00AD7853"/>
    <w:rsid w:val="00AF1E19"/>
    <w:rsid w:val="00B072B6"/>
    <w:rsid w:val="00B14D50"/>
    <w:rsid w:val="00B43E8C"/>
    <w:rsid w:val="00B54538"/>
    <w:rsid w:val="00B621E3"/>
    <w:rsid w:val="00BB7123"/>
    <w:rsid w:val="00BE4C99"/>
    <w:rsid w:val="00BE61DD"/>
    <w:rsid w:val="00BF0703"/>
    <w:rsid w:val="00BF239A"/>
    <w:rsid w:val="00C01161"/>
    <w:rsid w:val="00C02E15"/>
    <w:rsid w:val="00C0489A"/>
    <w:rsid w:val="00C237C7"/>
    <w:rsid w:val="00C56D01"/>
    <w:rsid w:val="00C96140"/>
    <w:rsid w:val="00CA079E"/>
    <w:rsid w:val="00CA38BC"/>
    <w:rsid w:val="00CA757A"/>
    <w:rsid w:val="00CD7298"/>
    <w:rsid w:val="00CE03AC"/>
    <w:rsid w:val="00CE121F"/>
    <w:rsid w:val="00CE2822"/>
    <w:rsid w:val="00D12C11"/>
    <w:rsid w:val="00D15C13"/>
    <w:rsid w:val="00D30F8F"/>
    <w:rsid w:val="00D6282E"/>
    <w:rsid w:val="00D62B1F"/>
    <w:rsid w:val="00D6377D"/>
    <w:rsid w:val="00D701F3"/>
    <w:rsid w:val="00D93B75"/>
    <w:rsid w:val="00DD39A3"/>
    <w:rsid w:val="00DE3D8A"/>
    <w:rsid w:val="00E3145A"/>
    <w:rsid w:val="00E3748B"/>
    <w:rsid w:val="00E51E5F"/>
    <w:rsid w:val="00E73E7F"/>
    <w:rsid w:val="00E77AE1"/>
    <w:rsid w:val="00EA171A"/>
    <w:rsid w:val="00EE3C95"/>
    <w:rsid w:val="00F15ED2"/>
    <w:rsid w:val="00F23A6C"/>
    <w:rsid w:val="00F36489"/>
    <w:rsid w:val="00F52A63"/>
    <w:rsid w:val="00F55CAF"/>
    <w:rsid w:val="00F64178"/>
    <w:rsid w:val="00FA3C2A"/>
    <w:rsid w:val="00FC5A34"/>
    <w:rsid w:val="00FC7FD8"/>
    <w:rsid w:val="021C044A"/>
    <w:rsid w:val="03A827A9"/>
    <w:rsid w:val="063C0B3D"/>
    <w:rsid w:val="0CA35561"/>
    <w:rsid w:val="1AE049F1"/>
    <w:rsid w:val="21D54E55"/>
    <w:rsid w:val="3C1A3E35"/>
    <w:rsid w:val="419CC518"/>
    <w:rsid w:val="4677714F"/>
    <w:rsid w:val="4B261A08"/>
    <w:rsid w:val="4FF0750D"/>
    <w:rsid w:val="57D1F290"/>
    <w:rsid w:val="6ABAF91A"/>
    <w:rsid w:val="6B2C3B10"/>
    <w:rsid w:val="78031A2C"/>
    <w:rsid w:val="7901602A"/>
    <w:rsid w:val="7C8440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62A02"/>
  <w15:docId w15:val="{888C3009-1453-47BA-80FB-5A2D9F70EF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4"/>
        <w:szCs w:val="24"/>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1BC4"/>
    <w:rPr>
      <w:rFonts w:eastAsia="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GPSL1CLAUSEHEADING" w:customStyle="1">
    <w:name w:val="GPS L1 CLAUSE HEADING"/>
    <w:basedOn w:val="Normal"/>
    <w:next w:val="Normal"/>
    <w:link w:val="GPSL1CLAUSEHEADINGChar"/>
    <w:qFormat/>
    <w:rsid w:val="00135404"/>
    <w:pPr>
      <w:keepNext/>
      <w:numPr>
        <w:numId w:val="11"/>
      </w:numPr>
      <w:tabs>
        <w:tab w:val="left" w:pos="142"/>
      </w:tabs>
      <w:adjustRightInd w:val="0"/>
      <w:spacing w:before="240" w:after="120" w:line="240" w:lineRule="auto"/>
      <w:outlineLvl w:val="1"/>
    </w:pPr>
    <w:rPr>
      <w:rFonts w:ascii="Arial Bold" w:hAnsi="Arial Bold" w:eastAsia="STZhongsong" w:cs="Arial"/>
      <w:b/>
      <w:szCs w:val="22"/>
      <w:lang w:eastAsia="zh-CN"/>
    </w:rPr>
  </w:style>
  <w:style w:type="paragraph" w:styleId="GPSL3numberedclause" w:customStyle="1">
    <w:name w:val="GPS L3 numbered clause"/>
    <w:basedOn w:val="Normal"/>
    <w:link w:val="GPSL3numberedclauseChar"/>
    <w:qFormat/>
    <w:rsid w:val="00135404"/>
    <w:pPr>
      <w:numPr>
        <w:ilvl w:val="2"/>
        <w:numId w:val="11"/>
      </w:numPr>
      <w:adjustRightInd w:val="0"/>
      <w:spacing w:before="120" w:after="120" w:line="240" w:lineRule="auto"/>
    </w:pPr>
    <w:rPr>
      <w:rFonts w:eastAsia="Times New Roman" w:cs="Arial"/>
      <w:szCs w:val="22"/>
      <w:lang w:eastAsia="zh-CN"/>
    </w:rPr>
  </w:style>
  <w:style w:type="paragraph" w:styleId="GPSL4numberedclause" w:customStyle="1">
    <w:name w:val="GPS L4 numbered clause"/>
    <w:basedOn w:val="GPSL3numberedclause"/>
    <w:link w:val="GPSL4numberedclauseChar"/>
    <w:qFormat/>
    <w:pPr>
      <w:numPr>
        <w:ilvl w:val="3"/>
      </w:numPr>
    </w:pPr>
  </w:style>
  <w:style w:type="paragraph" w:styleId="GPSL5numberedclause" w:customStyle="1">
    <w:name w:val="GPS L5 numbered clause"/>
    <w:basedOn w:val="GPSL4numberedclause"/>
    <w:link w:val="GPSL5numberedclauseChar"/>
    <w:qFormat/>
    <w:pPr>
      <w:numPr>
        <w:ilvl w:val="4"/>
        <w:numId w:val="0"/>
      </w:numPr>
    </w:pPr>
  </w:style>
  <w:style w:type="paragraph" w:styleId="GPSL2NumberedBoldHeading" w:customStyle="1">
    <w:name w:val="GPS L2 Numbered Bold Heading"/>
    <w:basedOn w:val="Normal"/>
    <w:qFormat/>
    <w:rsid w:val="00915547"/>
    <w:pPr>
      <w:numPr>
        <w:ilvl w:val="1"/>
        <w:numId w:val="1"/>
      </w:numPr>
      <w:adjustRightInd w:val="0"/>
      <w:spacing w:before="120" w:after="120" w:line="240" w:lineRule="auto"/>
    </w:pPr>
    <w:rPr>
      <w:rFonts w:eastAsia="Times New Roman" w:cs="Arial"/>
      <w:lang w:eastAsia="zh-CN"/>
    </w:rPr>
  </w:style>
  <w:style w:type="paragraph" w:styleId="GPSL6numbered" w:customStyle="1">
    <w:name w:val="GPS L6 numbered"/>
    <w:basedOn w:val="GPSL5numberedclause"/>
    <w:qFormat/>
    <w:pPr>
      <w:numPr>
        <w:ilvl w:val="5"/>
      </w:numPr>
      <w:tabs>
        <w:tab w:val="num" w:pos="360"/>
        <w:tab w:val="left" w:pos="3686"/>
      </w:tabs>
      <w:ind w:left="3686" w:hanging="567"/>
    </w:pPr>
  </w:style>
  <w:style w:type="character" w:styleId="GPSL3numberedclauseChar" w:customStyle="1">
    <w:name w:val="GPS L3 numbered clause Char"/>
    <w:link w:val="GPSL3numberedclause"/>
    <w:locked/>
    <w:rsid w:val="00135404"/>
    <w:rPr>
      <w:rFonts w:eastAsia="Times New Roman"/>
      <w:szCs w:val="22"/>
      <w:lang w:eastAsia="zh-CN"/>
    </w:rPr>
  </w:style>
  <w:style w:type="paragraph" w:styleId="GPSL2numberedclause" w:customStyle="1">
    <w:name w:val="GPS L2 numbered clause"/>
    <w:basedOn w:val="Normal"/>
    <w:link w:val="GPSL2numberedclauseChar1"/>
    <w:qFormat/>
    <w:rsid w:val="00135404"/>
    <w:pPr>
      <w:numPr>
        <w:ilvl w:val="1"/>
        <w:numId w:val="11"/>
      </w:numPr>
      <w:tabs>
        <w:tab w:val="left" w:pos="1134"/>
      </w:tabs>
      <w:adjustRightInd w:val="0"/>
      <w:spacing w:before="120" w:after="120" w:line="240" w:lineRule="auto"/>
    </w:pPr>
    <w:rPr>
      <w:rFonts w:eastAsia="Times New Roman" w:cs="Arial"/>
      <w:szCs w:val="22"/>
      <w:lang w:eastAsia="zh-CN"/>
    </w:rPr>
  </w:style>
  <w:style w:type="character" w:styleId="GPSL2numberedclauseChar1" w:customStyle="1">
    <w:name w:val="GPS L2 numbered clause Char1"/>
    <w:link w:val="GPSL2numberedclause"/>
    <w:rsid w:val="00135404"/>
    <w:rPr>
      <w:rFonts w:eastAsia="Times New Roman"/>
      <w:szCs w:val="22"/>
      <w:lang w:eastAsia="zh-CN"/>
    </w:rPr>
  </w:style>
  <w:style w:type="character" w:styleId="GPSL4numberedclauseChar" w:customStyle="1">
    <w:name w:val="GPS L4 numbered clause Char"/>
    <w:link w:val="GPSL4numberedclause"/>
    <w:rPr>
      <w:rFonts w:ascii="Calibri" w:hAnsi="Calibri" w:eastAsia="Times New Roman"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styleId="CommentTextChar" w:customStyle="1">
    <w:name w:val="Comment Text Char"/>
    <w:basedOn w:val="DefaultParagraphFont"/>
    <w:link w:val="CommentText"/>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Calibri" w:cs="Tahoma"/>
      <w:sz w:val="16"/>
      <w:szCs w:val="16"/>
    </w:rPr>
  </w:style>
  <w:style w:type="paragraph" w:styleId="GPSmacrorestart" w:customStyle="1">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character" w:styleId="GPSL1CLAUSEHEADINGChar" w:customStyle="1">
    <w:name w:val="GPS L1 CLAUSE HEADING Char"/>
    <w:link w:val="GPSL1CLAUSEHEADING"/>
    <w:rsid w:val="00135404"/>
    <w:rPr>
      <w:rFonts w:ascii="Arial Bold" w:hAnsi="Arial Bold" w:eastAsia="STZhongsong"/>
      <w:b/>
      <w:szCs w:val="22"/>
      <w:lang w:eastAsia="zh-CN"/>
    </w:rPr>
  </w:style>
  <w:style w:type="paragraph" w:styleId="GPSSchTitleandNumber" w:customStyle="1">
    <w:name w:val="GPS Sch Title and Number"/>
    <w:basedOn w:val="Normal"/>
    <w:link w:val="GPSSchTitleandNumberChar"/>
    <w:qFormat/>
    <w:pPr>
      <w:keepNext/>
      <w:adjustRightInd w:val="0"/>
      <w:spacing w:after="240" w:line="240" w:lineRule="auto"/>
      <w:jc w:val="center"/>
      <w:outlineLvl w:val="0"/>
    </w:pPr>
    <w:rPr>
      <w:rFonts w:ascii="Arial Bold" w:hAnsi="Arial Bold" w:eastAsia="STZhongsong"/>
      <w:b/>
      <w:caps/>
      <w:lang w:eastAsia="zh-CN"/>
    </w:rPr>
  </w:style>
  <w:style w:type="character" w:styleId="GPSSchTitleandNumberChar" w:customStyle="1">
    <w:name w:val="GPS Sch Title and Number Char"/>
    <w:link w:val="GPSSchTitleandNumber"/>
    <w:rPr>
      <w:rFonts w:ascii="Arial Bold" w:hAnsi="Arial Bold" w:eastAsia="STZhongsong" w:cs="Times New Roman"/>
      <w:b/>
      <w:caps/>
      <w:lang w:eastAsia="zh-CN"/>
    </w:rPr>
  </w:style>
  <w:style w:type="paragraph" w:styleId="GPsDefinition" w:customStyle="1">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eastAsia="Times New Roman" w:cs="Arial"/>
    </w:rPr>
  </w:style>
  <w:style w:type="paragraph" w:styleId="GPSDefinitionL2" w:customStyle="1">
    <w:name w:val="GPS Definition L2"/>
    <w:basedOn w:val="GPsDefinition"/>
    <w:qFormat/>
    <w:pPr>
      <w:numPr>
        <w:ilvl w:val="1"/>
      </w:numPr>
      <w:tabs>
        <w:tab w:val="clear" w:pos="-9"/>
        <w:tab w:val="left" w:pos="144"/>
      </w:tabs>
      <w:ind w:hanging="545"/>
    </w:pPr>
  </w:style>
  <w:style w:type="paragraph" w:styleId="GPSDefinitionL3" w:customStyle="1">
    <w:name w:val="GPS Definition L3"/>
    <w:basedOn w:val="GPSDefinitionL2"/>
    <w:qFormat/>
    <w:pPr>
      <w:numPr>
        <w:ilvl w:val="2"/>
      </w:numPr>
    </w:pPr>
  </w:style>
  <w:style w:type="paragraph" w:styleId="GPSDefinitionL4" w:customStyle="1">
    <w:name w:val="GPS Definition L4"/>
    <w:basedOn w:val="GPSDefinitionL3"/>
    <w:qFormat/>
    <w:pPr>
      <w:numPr>
        <w:ilvl w:val="3"/>
      </w:numPr>
    </w:pPr>
  </w:style>
  <w:style w:type="paragraph" w:styleId="GPSSchAnnexname" w:customStyle="1">
    <w:name w:val="GPS Sch Annex name"/>
    <w:basedOn w:val="GPSSchTitleandNumber"/>
    <w:link w:val="GPSSchAnnexnameChar"/>
    <w:qFormat/>
    <w:pPr>
      <w:outlineLvl w:val="1"/>
    </w:pPr>
    <w:rPr>
      <w:rFonts w:ascii="Calibri" w:hAnsi="Calibri"/>
      <w:sz w:val="20"/>
    </w:rPr>
  </w:style>
  <w:style w:type="paragraph" w:styleId="GPSL1SCHEDULEHeading" w:customStyle="1">
    <w:name w:val="GPS L1 SCHEDULE Heading"/>
    <w:basedOn w:val="GPSL1CLAUSEHEADING"/>
    <w:link w:val="GPSL1SCHEDULEHeadingChar"/>
    <w:qFormat/>
    <w:pPr>
      <w:numPr>
        <w:numId w:val="0"/>
      </w:numPr>
      <w:tabs>
        <w:tab w:val="left" w:pos="0"/>
      </w:tabs>
      <w:ind w:left="360" w:hanging="360"/>
      <w:outlineLvl w:val="9"/>
    </w:pPr>
  </w:style>
  <w:style w:type="character" w:styleId="GPSSchAnnexnameChar" w:customStyle="1">
    <w:name w:val="GPS Sch Annex name Char"/>
    <w:link w:val="GPSSchAnnexname"/>
    <w:rPr>
      <w:rFonts w:ascii="Calibri" w:hAnsi="Calibri" w:eastAsia="STZhongsong" w:cs="Times New Roman"/>
      <w:b/>
      <w:caps/>
      <w:sz w:val="20"/>
      <w:lang w:eastAsia="zh-CN"/>
    </w:rPr>
  </w:style>
  <w:style w:type="paragraph" w:styleId="GPSSchPart" w:customStyle="1">
    <w:name w:val="GPS Sch Part"/>
    <w:basedOn w:val="GPSSchAnnexname"/>
    <w:link w:val="GPSSchPartChar"/>
    <w:qFormat/>
    <w:pPr>
      <w:outlineLvl w:val="9"/>
    </w:pPr>
  </w:style>
  <w:style w:type="character" w:styleId="GPSL1SCHEDULEHeadingChar" w:customStyle="1">
    <w:name w:val="GPS L1 SCHEDULE Heading Char"/>
    <w:link w:val="GPSL1SCHEDULEHeading"/>
    <w:rPr>
      <w:rFonts w:ascii="Calibri" w:hAnsi="Calibri" w:eastAsia="STZhongsong" w:cs="Arial"/>
      <w:b/>
      <w:caps/>
      <w:lang w:eastAsia="zh-CN"/>
    </w:rPr>
  </w:style>
  <w:style w:type="character" w:styleId="GPSSchPartChar" w:customStyle="1">
    <w:name w:val="GPS Sch Part Char"/>
    <w:link w:val="GPSSchPart"/>
    <w:rPr>
      <w:rFonts w:ascii="Calibri" w:hAnsi="Calibri" w:eastAsia="STZhongsong"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styleId="BodyTextIndentChar" w:customStyle="1">
    <w:name w:val="Body Text Indent Char"/>
    <w:basedOn w:val="DefaultParagraphFont"/>
    <w:link w:val="BodyTextIndent"/>
    <w:rPr>
      <w:rFonts w:ascii="Calibri" w:hAnsi="Calibri" w:eastAsia="Times New Roman" w:cs="Times New Roman"/>
      <w:lang w:eastAsia="zh-CN"/>
    </w:rPr>
  </w:style>
  <w:style w:type="character" w:styleId="GPSL5numberedclauseChar" w:customStyle="1">
    <w:name w:val="GPS L5 numbered clause Char"/>
    <w:link w:val="GPSL5numberedclause"/>
    <w:locked/>
    <w:rPr>
      <w:rFonts w:ascii="Calibri" w:hAnsi="Calibri" w:eastAsia="Times New Roman" w:cs="Arial"/>
      <w:lang w:eastAsia="zh-CN"/>
    </w:rPr>
  </w:style>
  <w:style w:type="paragraph" w:styleId="GPSL2Indent" w:customStyle="1">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rPr>
  </w:style>
  <w:style w:type="character" w:styleId="GPSL2IndentChar" w:customStyle="1">
    <w:name w:val="GPS L2 Indent Char"/>
    <w:link w:val="GPSL2Indent"/>
    <w:rPr>
      <w:rFonts w:ascii="Calibri" w:hAnsi="Calibri" w:eastAsia="Times New Roman" w:cs="Arial"/>
      <w:szCs w:val="24"/>
    </w:rPr>
  </w:style>
  <w:style w:type="paragraph" w:styleId="GPSDefinitionTerm" w:customStyle="1">
    <w:name w:val="GPS Definition Term"/>
    <w:basedOn w:val="Normal"/>
    <w:qFormat/>
    <w:pPr>
      <w:overflowPunct w:val="0"/>
      <w:autoSpaceDE w:val="0"/>
      <w:autoSpaceDN w:val="0"/>
      <w:adjustRightInd w:val="0"/>
      <w:spacing w:after="120" w:line="240" w:lineRule="auto"/>
      <w:ind w:left="-108"/>
      <w:textAlignment w:val="baseline"/>
    </w:pPr>
    <w:rPr>
      <w:rFonts w:eastAsia="Times New Roman" w:cs="Arial"/>
      <w:b/>
    </w:rPr>
  </w:style>
  <w:style w:type="table" w:styleId="TableGrid">
    <w:name w:val="Table Grid"/>
    <w:basedOn w:val="TableNormal"/>
    <w:uiPriority w:val="59"/>
    <w:pPr>
      <w:spacing w:after="0" w:line="240" w:lineRule="auto"/>
    </w:pPr>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rFonts w:ascii="Calibri" w:hAnsi="Calibri" w:eastAsia="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Heading1Char" w:customStyle="1">
    <w:name w:val="Heading 1 Char"/>
    <w:basedOn w:val="DefaultParagraphFont"/>
    <w:link w:val="Heading1"/>
    <w:uiPriority w:val="9"/>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Pr>
      <w:rFonts w:asciiTheme="majorHAnsi" w:hAnsiTheme="majorHAnsi" w:eastAsiaTheme="majorEastAsia" w:cstheme="majorBidi"/>
      <w:b/>
      <w:bCs/>
      <w:color w:val="4F81BD" w:themeColor="accent1"/>
      <w:sz w:val="26"/>
      <w:szCs w:val="26"/>
    </w:rPr>
  </w:style>
  <w:style w:type="paragraph" w:styleId="DefinitionNumbering1" w:customStyle="1">
    <w:name w:val="Definition Numbering 1"/>
    <w:basedOn w:val="Normal"/>
    <w:pPr>
      <w:adjustRightInd w:val="0"/>
      <w:spacing w:after="240" w:line="240" w:lineRule="auto"/>
      <w:jc w:val="both"/>
      <w:outlineLvl w:val="0"/>
    </w:pPr>
    <w:rPr>
      <w:rFonts w:ascii="Times New Roman" w:hAnsi="Times New Roman" w:eastAsia="STZhongsong"/>
      <w:szCs w:val="20"/>
      <w:lang w:eastAsia="zh-CN"/>
    </w:rPr>
  </w:style>
  <w:style w:type="paragraph" w:styleId="Revision">
    <w:name w:val="Revision"/>
    <w:hidden/>
    <w:uiPriority w:val="99"/>
    <w:semiHidden/>
    <w:rsid w:val="00CB349E"/>
    <w:pPr>
      <w:spacing w:after="0" w:line="240" w:lineRule="auto"/>
    </w:pPr>
    <w:rPr>
      <w:rFonts w:ascii="Calibri" w:hAnsi="Calibri" w:eastAsia="Calibri" w:cs="Times New Roman"/>
    </w:rPr>
  </w:style>
  <w:style w:type="character" w:styleId="Hyperlink">
    <w:name w:val="Hyperlink"/>
    <w:basedOn w:val="DefaultParagraphFont"/>
    <w:uiPriority w:val="99"/>
    <w:unhideWhenUsed/>
    <w:rsid w:val="009A7838"/>
    <w:rPr>
      <w:color w:val="0000FF" w:themeColor="hyperlink"/>
      <w:u w:val="single"/>
    </w:rPr>
  </w:style>
  <w:style w:type="character" w:styleId="UnresolvedMention1" w:customStyle="1">
    <w:name w:val="Unresolved Mention1"/>
    <w:basedOn w:val="DefaultParagraphFont"/>
    <w:uiPriority w:val="99"/>
    <w:semiHidden/>
    <w:unhideWhenUsed/>
    <w:rsid w:val="009A783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3" w:customStyle="1">
    <w:name w:val="3"/>
    <w:basedOn w:val="TableNormal"/>
    <w:tblPr>
      <w:tblStyleRowBandSize w:val="1"/>
      <w:tblStyleColBandSize w:val="1"/>
      <w:tblCellMar>
        <w:left w:w="115" w:type="dxa"/>
        <w:right w:w="115" w:type="dxa"/>
      </w:tblCellMar>
    </w:tblPr>
  </w:style>
  <w:style w:type="table" w:styleId="2" w:customStyle="1">
    <w:name w:val="2"/>
    <w:basedOn w:val="TableNormal"/>
    <w:tblPr>
      <w:tblStyleRowBandSize w:val="1"/>
      <w:tblStyleColBandSize w:val="1"/>
      <w:tblCellMar>
        <w:left w:w="115" w:type="dxa"/>
        <w:right w:w="115" w:type="dxa"/>
      </w:tblCellMar>
    </w:tblPr>
  </w:style>
  <w:style w:type="table" w:styleId="1" w:customStyle="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303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the-digital-data-and-technology-playbook"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https://www.gov.uk/government/publications/the-sourcing-and-consultancy-playbooks" TargetMode="External"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publications/procurement-act-2023-guidance-documents-manage-phase/guidance-key-performance-indicators-html" TargetMode="External" Id="rId11" /><Relationship Type="http://schemas.microsoft.com/office/2011/relationships/people" Target="people.xml" Id="rId24"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lkC1QCFyPcZkQG8/K/UWghe/DQ==">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</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Props1.xml><?xml version="1.0" encoding="utf-8"?>
<ds:datastoreItem xmlns:ds="http://schemas.openxmlformats.org/officeDocument/2006/customXml" ds:itemID="{8D5BF472-6258-49BA-9F22-EAC410A9CE4B}">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F3F151B-0838-4624-B25A-2E133CC14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3BE39-C8AC-4BBD-B51A-22221456D124}">
  <ds:schemaRefs>
    <ds:schemaRef ds:uri="http://schemas.microsoft.com/office/2006/metadata/properties"/>
    <ds:schemaRef ds:uri="http://schemas.microsoft.com/office/infopath/2007/PartnerControls"/>
    <ds:schemaRef ds:uri="9d4129ff-ef0a-40c0-8b49-4a6f63e57580"/>
    <ds:schemaRef ds:uri="612aadd7-b01c-41d5-aa88-82409a530b2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PresentationFormat/>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DPU</dc:creator>
  <keywords/>
  <dc:description/>
  <lastModifiedBy>Emily Mansell</lastModifiedBy>
  <revision>25</revision>
  <dcterms:created xsi:type="dcterms:W3CDTF">2025-01-17T08:00:00.0000000Z</dcterms:created>
  <dcterms:modified xsi:type="dcterms:W3CDTF">2025-02-13T16:36:25.3725042Z</dcterms:modified>
  <category/>
  <contentStatus/>
  <dc:language/>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92858536-1</vt:lpwstr>
  </property>
  <property fmtid="{D5CDD505-2E9C-101B-9397-08002B2CF9AE}" pid="3" name="MediaServiceImageTags">
    <vt:lpwstr/>
  </property>
  <property fmtid="{D5CDD505-2E9C-101B-9397-08002B2CF9AE}" pid="4" name="ContentTypeId">
    <vt:lpwstr>0x01010049E24096C3B12B4DBFEA258BF752736B</vt:lpwstr>
  </property>
  <property fmtid="{D5CDD505-2E9C-101B-9397-08002B2CF9AE}" pid="5" name="DWFAuthor">
    <vt:lpwstr>DJEFFERIES</vt:lpwstr>
  </property>
  <property fmtid="{D5CDD505-2E9C-101B-9397-08002B2CF9AE}" pid="6" name="DWFTypist">
    <vt:lpwstr>LZS</vt:lpwstr>
  </property>
  <property fmtid="{D5CDD505-2E9C-101B-9397-08002B2CF9AE}" pid="7" name="DWFTypistName">
    <vt:lpwstr>Lesley Shelbourne</vt:lpwstr>
  </property>
  <property fmtid="{D5CDD505-2E9C-101B-9397-08002B2CF9AE}" pid="8" name="DWFAuthorName">
    <vt:lpwstr>Douglas Jefferies</vt:lpwstr>
  </property>
  <property fmtid="{D5CDD505-2E9C-101B-9397-08002B2CF9AE}" pid="9" name="DWFClientNum">
    <vt:lpwstr>2040175</vt:lpwstr>
  </property>
  <property fmtid="{D5CDD505-2E9C-101B-9397-08002B2CF9AE}" pid="10" name="DWFClientName">
    <vt:lpwstr>Government Legal Department</vt:lpwstr>
  </property>
  <property fmtid="{D5CDD505-2E9C-101B-9397-08002B2CF9AE}" pid="11" name="DWFMatterNum">
    <vt:lpwstr>26</vt:lpwstr>
  </property>
  <property fmtid="{D5CDD505-2E9C-101B-9397-08002B2CF9AE}" pid="12" name="DWFMatterName">
    <vt:lpwstr>RM6179 - LSP - 099 - Model Contracts Review 2024</vt:lpwstr>
  </property>
  <property fmtid="{D5CDD505-2E9C-101B-9397-08002B2CF9AE}" pid="13" name="DWFOurRef">
    <vt:lpwstr>0</vt:lpwstr>
  </property>
  <property fmtid="{D5CDD505-2E9C-101B-9397-08002B2CF9AE}" pid="14" name="DWFDocName">
    <vt:lpwstr>Mid-Tier Schedule 10 (Performance Levels) (V5)</vt:lpwstr>
  </property>
  <property fmtid="{D5CDD505-2E9C-101B-9397-08002B2CF9AE}" pid="15" name="DWFOffice">
    <vt:lpwstr>LLP - Edinburgh - 2 Semple Street</vt:lpwstr>
  </property>
  <property fmtid="{D5CDD505-2E9C-101B-9397-08002B2CF9AE}" pid="16" name="DWFClientPartner">
    <vt:lpwstr>Colin Murray</vt:lpwstr>
  </property>
  <property fmtid="{D5CDD505-2E9C-101B-9397-08002B2CF9AE}" pid="17" name="DWFMatterPartner">
    <vt:lpwstr>Douglas Jefferies</vt:lpwstr>
  </property>
  <property fmtid="{D5CDD505-2E9C-101B-9397-08002B2CF9AE}" pid="18" name="DWFPracticeGroup">
    <vt:lpwstr>Commercial, Regulatory &amp; Data</vt:lpwstr>
  </property>
</Properties>
</file>