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30BF" w14:textId="6CEB6102" w:rsidR="009F77B8" w:rsidRDefault="009F77B8" w:rsidP="009F77B8">
      <w:pPr>
        <w:pStyle w:val="Heading2"/>
      </w:pPr>
      <w:bookmarkStart w:id="0" w:name="BrochetPasteInsertCopyThisRange"/>
      <w:r>
        <w:t>TEMPLATE INITIAL ENFORCEMENT ORDER</w:t>
      </w:r>
      <w:r w:rsidR="00845523">
        <w:br/>
      </w:r>
      <w:r>
        <w:t>(COMPLETED MERGER) DRAFT VERSION</w:t>
      </w:r>
      <w:r w:rsidR="00845523">
        <w:br/>
      </w:r>
      <w:r>
        <w:t>2 JANUARY 2025</w:t>
      </w:r>
      <w:r w:rsidR="00845523">
        <w:br/>
      </w:r>
      <w:r>
        <w:t>ACQUISITION BY X OF Y</w:t>
      </w:r>
    </w:p>
    <w:p w14:paraId="7A8E0DB6" w14:textId="6E4C3101" w:rsidR="009F77B8" w:rsidRDefault="009F77B8" w:rsidP="009F77B8">
      <w:pPr>
        <w:pStyle w:val="Heading3NoNumb"/>
      </w:pPr>
      <w:r>
        <w:t>Initial Enforcement Order made by the Competition and Markets Authority pursuant to section 72(2) of the Enterprise Act 2002 (the Act)</w:t>
      </w:r>
    </w:p>
    <w:p w14:paraId="36B108E9" w14:textId="5FDB4BDD" w:rsidR="009F77B8" w:rsidRDefault="009F77B8" w:rsidP="00845523">
      <w:pPr>
        <w:pStyle w:val="BoxText"/>
      </w:pPr>
      <w:r>
        <w:t>[Note: In this template X is the direct acquirer and Y is the target. The initial enforcement order is normally imposed on: (</w:t>
      </w:r>
      <w:proofErr w:type="spellStart"/>
      <w:r>
        <w:t>i</w:t>
      </w:r>
      <w:proofErr w:type="spellEnd"/>
      <w:r>
        <w:t xml:space="preserve">) the ultimate UK parent company of X (the UK Topco), which is referred to as A; (ii) X; (iii) the ultimate UK parent company of Y (the UK Topco), which is referred to as B; and (iv) Y. If X is also the </w:t>
      </w:r>
      <w:proofErr w:type="gramStart"/>
      <w:r>
        <w:t>UK Topco</w:t>
      </w:r>
      <w:proofErr w:type="gramEnd"/>
      <w:r>
        <w:t xml:space="preserve"> then A can be read as X; likewise, if Y is also the UK Topco then B can be read as Y. Where the acquirer is an overseas company, the initial enforcement order will typically be imposed on both the Overseas Topco and the UK Topco (in which case, A refers to both). Similarly, where the target is an overseas company, the initial enforcement order will typically be imposed on both the Overseas Topco and the UK Topco (in which case, B refers to both)] </w:t>
      </w:r>
    </w:p>
    <w:p w14:paraId="40AFADFB" w14:textId="6BBA1CF3" w:rsidR="009F77B8" w:rsidRDefault="009F77B8" w:rsidP="009F77B8">
      <w:r>
        <w:t xml:space="preserve">Whereas: </w:t>
      </w:r>
    </w:p>
    <w:p w14:paraId="2EB26022" w14:textId="30CBC7BE" w:rsidR="009F77B8" w:rsidRDefault="009F77B8" w:rsidP="00845523">
      <w:pPr>
        <w:pStyle w:val="BodyText2"/>
      </w:pPr>
      <w:r>
        <w:t xml:space="preserve">the Competition and Markets Authority (CMA) has reasonable grounds for suspecting that it is or may be the case that X and Y ([definition of Y]) have ceased to be </w:t>
      </w:r>
      <w:proofErr w:type="gramStart"/>
      <w:r>
        <w:t>distinct;</w:t>
      </w:r>
      <w:proofErr w:type="gramEnd"/>
      <w:r>
        <w:t xml:space="preserve"> </w:t>
      </w:r>
    </w:p>
    <w:p w14:paraId="0C1ECC0D" w14:textId="604F63C0" w:rsidR="009F77B8" w:rsidRDefault="009F77B8" w:rsidP="00845523">
      <w:pPr>
        <w:pStyle w:val="BodyText2"/>
      </w:pPr>
      <w:r>
        <w:t>the CMA is considering, pursuant to section 22 of the Act, whether it is or may be the case that a relevant merger situation has been created and whether the creation of that situation has resulted or may be expected to result in a substantial lessening of competition in any market or markets in the United Kingdom (UK</w:t>
      </w:r>
      <w:proofErr w:type="gramStart"/>
      <w:r>
        <w:t>);</w:t>
      </w:r>
      <w:proofErr w:type="gramEnd"/>
      <w:r>
        <w:t xml:space="preserve"> </w:t>
      </w:r>
    </w:p>
    <w:p w14:paraId="1486BE15" w14:textId="3F89E20B" w:rsidR="009F77B8" w:rsidRDefault="009F77B8" w:rsidP="00845523">
      <w:pPr>
        <w:pStyle w:val="BodyText2"/>
      </w:pPr>
      <w:r>
        <w:t xml:space="preserve">the CMA wishes to ensure that no action is taken pending final determination of any reference under section 22 of the Act which might prejudice that </w:t>
      </w:r>
    </w:p>
    <w:p w14:paraId="1036D751" w14:textId="63283B42" w:rsidR="009F77B8" w:rsidRDefault="009F77B8" w:rsidP="00845523">
      <w:pPr>
        <w:pStyle w:val="BodyText2"/>
      </w:pPr>
      <w:r>
        <w:t xml:space="preserve">reference or impede the taking of any action by the CMA under Part 3 of the Act which might be justified by the CMA’s decisions on the reference; and </w:t>
      </w:r>
    </w:p>
    <w:p w14:paraId="22EEEDEF" w14:textId="67A78851" w:rsidR="009F77B8" w:rsidRDefault="009F77B8" w:rsidP="00845523">
      <w:pPr>
        <w:pStyle w:val="BodyText2"/>
      </w:pPr>
      <w:r>
        <w:lastRenderedPageBreak/>
        <w:t xml:space="preserve">the circumstances set out in section 72(6) of the Act do not apply and the reference has not been finally determined in accordance with section 79(1) of the Act.  </w:t>
      </w:r>
    </w:p>
    <w:p w14:paraId="432AA372" w14:textId="398E6ABF" w:rsidR="009F77B8" w:rsidRDefault="009F77B8" w:rsidP="009F77B8">
      <w:r>
        <w:t xml:space="preserve">Now for the purposes of preventing pre-emptive action in accordance with section 72(2) of the Act the CMA makes the following order addressed to [insert full registered name of UK Topco [and Overseas Topco] A] ([if necessary, definition of A]), [insert full registered name of X] ([definition of X]), [insert full registered name of UK Topco B] ([if necessary, definition of B]), and Y  (Order). </w:t>
      </w:r>
    </w:p>
    <w:p w14:paraId="55CD1A0A" w14:textId="0BF35476" w:rsidR="009F77B8" w:rsidRDefault="009F77B8" w:rsidP="00845523">
      <w:pPr>
        <w:pStyle w:val="SummaryHeading4"/>
      </w:pPr>
      <w:r>
        <w:t xml:space="preserve">Commencement, application and scope </w:t>
      </w:r>
    </w:p>
    <w:p w14:paraId="386CD25E" w14:textId="2C27DF7A" w:rsidR="009F77B8" w:rsidRDefault="009F77B8" w:rsidP="003A1A36">
      <w:pPr>
        <w:pStyle w:val="BodyText"/>
        <w:numPr>
          <w:ilvl w:val="0"/>
          <w:numId w:val="26"/>
        </w:numPr>
      </w:pPr>
      <w:r>
        <w:t xml:space="preserve">This Order commences on the commencement date: [date of order]. </w:t>
      </w:r>
    </w:p>
    <w:p w14:paraId="41CF26BB" w14:textId="0DD8A4AB" w:rsidR="009F77B8" w:rsidRDefault="009F77B8" w:rsidP="009F77B8">
      <w:pPr>
        <w:pStyle w:val="BodyText"/>
      </w:pPr>
      <w:r>
        <w:t xml:space="preserve">This Order applies to [A,] X [and] Y [and B]. </w:t>
      </w:r>
    </w:p>
    <w:p w14:paraId="430DB1D2" w14:textId="646DDA25" w:rsidR="009F77B8" w:rsidRDefault="009F77B8" w:rsidP="009F77B8">
      <w:pPr>
        <w:pStyle w:val="BodyText"/>
      </w:pPr>
      <w:r>
        <w:t xml:space="preserve">Notwithstanding any other provision of this Order, no act or omission shall constitute a breach of this Order, and nothing in this Order shall oblige [A,] X or Y [or B] to reverse any act or omission, in each case to the extent that it occurred or was completed prior to the commencement date. </w:t>
      </w:r>
    </w:p>
    <w:p w14:paraId="7F6B8F9D" w14:textId="48C5167F" w:rsidR="009F77B8" w:rsidRDefault="009F77B8" w:rsidP="00845523">
      <w:pPr>
        <w:pStyle w:val="SummaryHeading4"/>
      </w:pPr>
      <w:r>
        <w:t xml:space="preserve">Management of the [A/X] and [Y/B] businesses until determination of proceedings </w:t>
      </w:r>
    </w:p>
    <w:p w14:paraId="5C71816E" w14:textId="78F61ABA" w:rsidR="009F77B8" w:rsidRDefault="009F77B8" w:rsidP="009F77B8">
      <w:pPr>
        <w:pStyle w:val="BodyText"/>
      </w:pPr>
      <w:r>
        <w:t xml:space="preserve">Except with the prior written consent of the CMA, [A,] X [and] Y [and B] shall not, during the specified period, take any action which might prejudice a reference of the transaction under section 22 of the Act or impede the taking of any action under the Act by the CMA which may be justified by the CMA’s decisions on such a reference, including any action which might:  </w:t>
      </w:r>
    </w:p>
    <w:p w14:paraId="097F3B7F" w14:textId="16DDF4E5" w:rsidR="009F77B8" w:rsidRDefault="009F77B8" w:rsidP="009F77B8">
      <w:pPr>
        <w:pStyle w:val="BodyText2"/>
      </w:pPr>
      <w:r>
        <w:t xml:space="preserve">lead to the integration of the Y business with the [A/X] </w:t>
      </w:r>
      <w:proofErr w:type="gramStart"/>
      <w:r>
        <w:t>business;</w:t>
      </w:r>
      <w:proofErr w:type="gramEnd"/>
      <w:r>
        <w:t xml:space="preserve"> </w:t>
      </w:r>
    </w:p>
    <w:p w14:paraId="711A2524" w14:textId="53E51229" w:rsidR="009F77B8" w:rsidRDefault="009F77B8" w:rsidP="009F77B8">
      <w:pPr>
        <w:pStyle w:val="BodyText2"/>
      </w:pPr>
      <w:r>
        <w:t xml:space="preserve">transfer the ownership or control of the [A/X] business or the Y business or any of their subsidiaries; or  </w:t>
      </w:r>
    </w:p>
    <w:p w14:paraId="130FC427" w14:textId="31A59AE8" w:rsidR="009F77B8" w:rsidRDefault="009F77B8" w:rsidP="009F77B8">
      <w:pPr>
        <w:pStyle w:val="BodyText2"/>
      </w:pPr>
      <w:r>
        <w:t xml:space="preserve">otherwise impair the ability of the Y business or the [A/X] business to compete independently in any of the markets affected by the transaction.  </w:t>
      </w:r>
    </w:p>
    <w:p w14:paraId="5EE4B933" w14:textId="2C091ACB" w:rsidR="009F77B8" w:rsidRDefault="009F77B8" w:rsidP="009F77B8">
      <w:pPr>
        <w:pStyle w:val="BodyText"/>
      </w:pPr>
      <w:r>
        <w:t xml:space="preserve">Further and without prejudice to the generality of paragraph 4 and subject to paragraph 3, [A,] X [and] Y [and B] </w:t>
      </w:r>
      <w:proofErr w:type="gramStart"/>
      <w:r>
        <w:t>shall at all times</w:t>
      </w:r>
      <w:proofErr w:type="gramEnd"/>
      <w:r>
        <w:t xml:space="preserve"> during the specified period take all necessary steps to ensure that, except with the prior written consent of the CMA:  </w:t>
      </w:r>
    </w:p>
    <w:p w14:paraId="07A1B9BD" w14:textId="17CFA2E6" w:rsidR="009F77B8" w:rsidRDefault="009F77B8" w:rsidP="009F77B8">
      <w:pPr>
        <w:pStyle w:val="BodyText2"/>
      </w:pPr>
      <w:r>
        <w:t xml:space="preserve">the Y business is carried on separately from the [A/X] business and the Y business’s separate sales or brand identity is </w:t>
      </w:r>
      <w:proofErr w:type="gramStart"/>
      <w:r>
        <w:t>maintained;</w:t>
      </w:r>
      <w:proofErr w:type="gramEnd"/>
      <w:r>
        <w:t xml:space="preserve"> </w:t>
      </w:r>
    </w:p>
    <w:p w14:paraId="625F43D3" w14:textId="58C23817" w:rsidR="009F77B8" w:rsidRDefault="009F77B8" w:rsidP="009F77B8">
      <w:pPr>
        <w:pStyle w:val="BodyText2"/>
      </w:pPr>
      <w:r>
        <w:lastRenderedPageBreak/>
        <w:t xml:space="preserve">the Y business and the [A/X] business are maintained as a going concern and sufficient resources are made available for the development of the Y business and the [A/X] business, on the basis of their respective premerger business </w:t>
      </w:r>
      <w:proofErr w:type="gramStart"/>
      <w:r>
        <w:t>plans;</w:t>
      </w:r>
      <w:proofErr w:type="gramEnd"/>
      <w:r>
        <w:t xml:space="preserve"> </w:t>
      </w:r>
    </w:p>
    <w:p w14:paraId="7BB9F062" w14:textId="39F802FD" w:rsidR="009F77B8" w:rsidRDefault="009F77B8" w:rsidP="009F77B8">
      <w:pPr>
        <w:pStyle w:val="BodyText2"/>
      </w:pPr>
      <w:r>
        <w:t xml:space="preserve">except in the ordinary course of business, no significant changes are made to the organisational structure of, or the management responsibilities within, the Y business or the [A/X] </w:t>
      </w:r>
      <w:proofErr w:type="gramStart"/>
      <w:r>
        <w:t>business;</w:t>
      </w:r>
      <w:proofErr w:type="gramEnd"/>
      <w:r>
        <w:t xml:space="preserve"> </w:t>
      </w:r>
    </w:p>
    <w:p w14:paraId="2747CDAC" w14:textId="1F0B1415" w:rsidR="009F77B8" w:rsidRDefault="009F77B8" w:rsidP="009F77B8">
      <w:pPr>
        <w:pStyle w:val="BodyText2"/>
      </w:pPr>
      <w:r>
        <w:t xml:space="preserve">the nature, description, range and quality of [goods or services (or both)] supplied in the UK by each of the two businesses are maintained and </w:t>
      </w:r>
      <w:proofErr w:type="gramStart"/>
      <w:r>
        <w:t>preserved;</w:t>
      </w:r>
      <w:proofErr w:type="gramEnd"/>
      <w:r>
        <w:t xml:space="preserve"> </w:t>
      </w:r>
    </w:p>
    <w:p w14:paraId="08AA12E2" w14:textId="4556D145" w:rsidR="009F77B8" w:rsidRDefault="009F77B8" w:rsidP="009F77B8">
      <w:pPr>
        <w:pStyle w:val="BodyText2"/>
      </w:pPr>
      <w:r>
        <w:t xml:space="preserve">except in the ordinary course of business through the separate operation of the two businesses:  </w:t>
      </w:r>
    </w:p>
    <w:p w14:paraId="7FA321F1" w14:textId="5E554661" w:rsidR="009F77B8" w:rsidRDefault="009F77B8" w:rsidP="009F77B8">
      <w:pPr>
        <w:pStyle w:val="BodyText3"/>
      </w:pPr>
      <w:r>
        <w:t xml:space="preserve">all of the assets of the Y business and the [A/X] business are maintained and preserved, including facilities and </w:t>
      </w:r>
      <w:proofErr w:type="gramStart"/>
      <w:r>
        <w:t>goodwill;</w:t>
      </w:r>
      <w:proofErr w:type="gramEnd"/>
      <w:r>
        <w:t xml:space="preserve"> </w:t>
      </w:r>
    </w:p>
    <w:p w14:paraId="305A2372" w14:textId="47A997A8" w:rsidR="009F77B8" w:rsidRDefault="009F77B8" w:rsidP="009F77B8">
      <w:pPr>
        <w:pStyle w:val="BodyText3"/>
      </w:pPr>
      <w:r>
        <w:t xml:space="preserve">none of the assets of the Y business or the [A/X] business are disposed of; and  </w:t>
      </w:r>
    </w:p>
    <w:p w14:paraId="0D0EA0DD" w14:textId="3F9EAD03" w:rsidR="009F77B8" w:rsidRDefault="009F77B8" w:rsidP="009F77B8">
      <w:pPr>
        <w:pStyle w:val="BodyText3"/>
      </w:pPr>
      <w:r>
        <w:t xml:space="preserve">no interest in the assets of the Y business or the [A/X] business is created or disposed </w:t>
      </w:r>
      <w:proofErr w:type="gramStart"/>
      <w:r>
        <w:t>of;</w:t>
      </w:r>
      <w:proofErr w:type="gramEnd"/>
      <w:r>
        <w:t xml:space="preserve"> </w:t>
      </w:r>
    </w:p>
    <w:p w14:paraId="053DE69A" w14:textId="118290D4" w:rsidR="009F77B8" w:rsidRDefault="009F77B8" w:rsidP="009F77B8">
      <w:pPr>
        <w:pStyle w:val="BodyText2"/>
      </w:pPr>
      <w:r>
        <w:t xml:space="preserve">there is no integration of the information technology of the Y or [A/X] businesses, and the software and hardware platforms of the Y business shall remain essentially unchanged, except for routine changes and </w:t>
      </w:r>
      <w:proofErr w:type="gramStart"/>
      <w:r>
        <w:t>maintenance;</w:t>
      </w:r>
      <w:proofErr w:type="gramEnd"/>
      <w:r>
        <w:t xml:space="preserve"> </w:t>
      </w:r>
    </w:p>
    <w:p w14:paraId="32C44AC8" w14:textId="526DD629" w:rsidR="009F77B8" w:rsidRDefault="009F77B8" w:rsidP="009F77B8">
      <w:pPr>
        <w:pStyle w:val="BodyText2"/>
      </w:pPr>
      <w:r>
        <w:t xml:space="preserve">the [customer and supplier] lists of the two businesses shall be operated and updated separately and any negotiations with any existing or potential [customers and suppliers] in relation to the Y business will be carried out by the Y business alone and for the avoidance of doubt the [A/X] business will not negotiate on behalf of the Y business (and vice versa) or enter into any joint agreements with the Y business (and vice versa); </w:t>
      </w:r>
    </w:p>
    <w:p w14:paraId="2F75B446" w14:textId="3B4EF1DC" w:rsidR="009F77B8" w:rsidRDefault="009F77B8" w:rsidP="009F77B8">
      <w:pPr>
        <w:pStyle w:val="BodyText2"/>
      </w:pPr>
      <w:r>
        <w:t xml:space="preserve">all contracts of the Y business and the [A/X] business continue to be serviced by the business to which they were </w:t>
      </w:r>
      <w:proofErr w:type="gramStart"/>
      <w:r>
        <w:t>awarded;</w:t>
      </w:r>
      <w:proofErr w:type="gramEnd"/>
      <w:r>
        <w:t xml:space="preserve"> </w:t>
      </w:r>
    </w:p>
    <w:p w14:paraId="51919E32" w14:textId="6D19AEE7" w:rsidR="009F77B8" w:rsidRDefault="009F77B8" w:rsidP="009F77B8">
      <w:pPr>
        <w:pStyle w:val="BodyText2"/>
      </w:pPr>
      <w:r>
        <w:t xml:space="preserve">no changes are made to key staff of the Y business or [A/X] </w:t>
      </w:r>
      <w:proofErr w:type="gramStart"/>
      <w:r>
        <w:t>business;</w:t>
      </w:r>
      <w:proofErr w:type="gramEnd"/>
      <w:r>
        <w:t xml:space="preserve"> </w:t>
      </w:r>
    </w:p>
    <w:p w14:paraId="5A6EC9EA" w14:textId="7907CDE8" w:rsidR="009F77B8" w:rsidRDefault="009F77B8" w:rsidP="009F77B8">
      <w:pPr>
        <w:pStyle w:val="BodyText2"/>
      </w:pPr>
      <w:r>
        <w:t xml:space="preserve">no key staff are transferred between the Y business and the [A/X] </w:t>
      </w:r>
      <w:proofErr w:type="gramStart"/>
      <w:r>
        <w:t>business;</w:t>
      </w:r>
      <w:proofErr w:type="gramEnd"/>
      <w:r>
        <w:t xml:space="preserve">  </w:t>
      </w:r>
    </w:p>
    <w:p w14:paraId="67450978" w14:textId="4C8F4C73" w:rsidR="009F77B8" w:rsidRDefault="009F77B8" w:rsidP="009F77B8">
      <w:pPr>
        <w:pStyle w:val="BodyText2"/>
      </w:pPr>
      <w:r>
        <w:t xml:space="preserve">all reasonable steps are taken to encourage all key staff to remain with the Y business and the [A/X] business; and  </w:t>
      </w:r>
    </w:p>
    <w:p w14:paraId="5E893D46" w14:textId="2D576D09" w:rsidR="009F77B8" w:rsidRDefault="009F77B8" w:rsidP="009F77B8">
      <w:pPr>
        <w:pStyle w:val="BodyText2"/>
      </w:pPr>
      <w:r>
        <w:lastRenderedPageBreak/>
        <w:t xml:space="preserve">no business secrets, know-how, commercially-sensitive information, intellectual property or any other information of a confidential or proprietary nature relating to either of the two businesses shall pass, directly or indirectly, from the Y business (or any of its employees, directors, agents or affiliates) to the [A/X] business (or any of its employees, directors, agents or affiliates), or vice versa, except where strictly necessary in the ordinary course of business (including, for example, where required for compliance with external regulatory or accounting obligations or for due diligence, integration planning or the completion of any merger control proceedings relating to the transaction) and on the basis that, should the transaction be prohibited, any records or copies (electronic or otherwise) of such information that have passed, wherever they may be held, will be returned to the business to which they relate and any copies destroyed.  </w:t>
      </w:r>
    </w:p>
    <w:p w14:paraId="520089DC" w14:textId="7F6E07EE" w:rsidR="009F77B8" w:rsidRDefault="009F77B8" w:rsidP="00845523">
      <w:pPr>
        <w:pStyle w:val="SummaryHeading4"/>
      </w:pPr>
      <w:r>
        <w:t xml:space="preserve">Compliance </w:t>
      </w:r>
    </w:p>
    <w:p w14:paraId="79B5982E" w14:textId="3847F95D" w:rsidR="009F77B8" w:rsidRDefault="009F77B8" w:rsidP="009F77B8">
      <w:pPr>
        <w:pStyle w:val="BodyText"/>
      </w:pPr>
      <w:r>
        <w:t xml:space="preserve">[A,] X [and] Y [and B] shall take all necessary steps to ensure that each of [its/their] subsidiaries complies with this Order as if the Order had been issued to each of them.  </w:t>
      </w:r>
    </w:p>
    <w:p w14:paraId="469C260E" w14:textId="4C7900E9" w:rsidR="009F77B8" w:rsidRDefault="009F77B8" w:rsidP="009F77B8">
      <w:pPr>
        <w:pStyle w:val="BodyText"/>
      </w:pPr>
      <w:r>
        <w:t xml:space="preserve">[A,] X and Y [and B] shall provide to the CMA such information or statement of compliance as it may from time to time require for the purposes of monitoring compliance by [A,] X and Y [and B and] [its/their] subsidiaries with this Order. In particular, on [●] 201[●] and subsequently [every two weeks/month/specified date of the month] (or, where this does not fall on a working day, the first working day thereafter) the Chief Executive Officer of [A,] X [and] Y [and B] or other persons of [A,] X [and] Y [and B] as agreed with the CMA shall, on behalf of [A,] X [and] Y [and B] provide a statement to the CMA in the form set out in Annex 1 to this Order confirming compliance with this Order. </w:t>
      </w:r>
    </w:p>
    <w:p w14:paraId="6F6CBEF9" w14:textId="71D7C31F" w:rsidR="009F77B8" w:rsidRDefault="009F77B8" w:rsidP="009F77B8">
      <w:pPr>
        <w:pStyle w:val="BodyText"/>
      </w:pPr>
      <w:r>
        <w:t xml:space="preserve">At all times, [A,] X [and] Y [and B] shall actively keep the CMA informed of any material developments relating to the Y business or the [A/X] business, which includes but is not limited to: </w:t>
      </w:r>
    </w:p>
    <w:p w14:paraId="39E75922" w14:textId="393994D8" w:rsidR="009F77B8" w:rsidRDefault="009F77B8" w:rsidP="009F77B8">
      <w:pPr>
        <w:pStyle w:val="BodyText2"/>
      </w:pPr>
      <w:r>
        <w:t xml:space="preserve">details of key staff who leave or join the Y business or the [A/X] </w:t>
      </w:r>
      <w:proofErr w:type="gramStart"/>
      <w:r>
        <w:t>business;</w:t>
      </w:r>
      <w:proofErr w:type="gramEnd"/>
      <w:r>
        <w:t xml:space="preserve"> </w:t>
      </w:r>
    </w:p>
    <w:p w14:paraId="7B533ECC" w14:textId="0B04CEC2" w:rsidR="009F77B8" w:rsidRDefault="009F77B8" w:rsidP="009F77B8">
      <w:pPr>
        <w:pStyle w:val="BodyText2"/>
      </w:pPr>
      <w:r>
        <w:t xml:space="preserve">any interruption of the Y or [A/X] business (including without limitation its procurement, production, logistics, sales and employee relations arrangements) that has prevented it from operating in the ordinary course of business for more than 24 </w:t>
      </w:r>
      <w:proofErr w:type="gramStart"/>
      <w:r>
        <w:t>hours;</w:t>
      </w:r>
      <w:proofErr w:type="gramEnd"/>
      <w:r>
        <w:t xml:space="preserve">  </w:t>
      </w:r>
    </w:p>
    <w:p w14:paraId="439D02F5" w14:textId="10EDB786" w:rsidR="009F77B8" w:rsidRDefault="009F77B8" w:rsidP="009F77B8">
      <w:pPr>
        <w:pStyle w:val="BodyText2"/>
      </w:pPr>
      <w:r>
        <w:t xml:space="preserve">all substantial customer volumes won or lost or substantial changes to the customer contracts for the Y or [A/X] business including any substantial changes in customers’ demand; and  </w:t>
      </w:r>
    </w:p>
    <w:p w14:paraId="79874BBD" w14:textId="283FDDA2" w:rsidR="009F77B8" w:rsidRDefault="009F77B8" w:rsidP="009F77B8">
      <w:pPr>
        <w:pStyle w:val="BodyText2"/>
      </w:pPr>
      <w:r>
        <w:lastRenderedPageBreak/>
        <w:t xml:space="preserve">substantial changes in the Y or [A/X] business’s contractual arrangements or relationships with key suppliers.  </w:t>
      </w:r>
    </w:p>
    <w:p w14:paraId="56719096" w14:textId="1DEAFA63" w:rsidR="009F77B8" w:rsidRDefault="009F77B8" w:rsidP="009F77B8">
      <w:pPr>
        <w:pStyle w:val="BodyText"/>
      </w:pPr>
      <w:r>
        <w:t xml:space="preserve">If [A,] X [or] Y [or B] has any reason to suspect that this Order might have been breached it shall immediately notify the CMA and any monitoring trustee that [A or] X [(or both)] may be directed to appoint under paragraph 10. </w:t>
      </w:r>
    </w:p>
    <w:p w14:paraId="5DC4BF4E" w14:textId="2467A295" w:rsidR="009F77B8" w:rsidRDefault="009F77B8" w:rsidP="009F77B8">
      <w:pPr>
        <w:pStyle w:val="BodyText"/>
      </w:pPr>
      <w:r>
        <w:t xml:space="preserve">The CMA may give directions to a specified person or to a holder of a specified office in any body of persons (corporate or unincorporated) to take specified steps for the purpose of carrying out, or ensuring compliance with, this Order, or do or refrain from doing any specified action </w:t>
      </w:r>
      <w:proofErr w:type="gramStart"/>
      <w:r>
        <w:t>in order to</w:t>
      </w:r>
      <w:proofErr w:type="gramEnd"/>
      <w:r>
        <w:t xml:space="preserve"> ensure compliance with the Order. The CMA may vary or revoke any directions so given.  </w:t>
      </w:r>
    </w:p>
    <w:p w14:paraId="5FEBF3FE" w14:textId="1F6DFA64" w:rsidR="009F77B8" w:rsidRDefault="009F77B8" w:rsidP="009F77B8">
      <w:pPr>
        <w:pStyle w:val="BodyText"/>
      </w:pPr>
      <w:r>
        <w:t xml:space="preserve">[A,] X [and] Y [and B] shall comply in so far as [it is/they are] able with such directions as the CMA may from time to time give to take such steps as may be specified or described in the directions for the purpose of carrying out or securing compliance with this Order. </w:t>
      </w:r>
    </w:p>
    <w:p w14:paraId="79FC3D3F" w14:textId="7628019B" w:rsidR="009F77B8" w:rsidRDefault="009F77B8" w:rsidP="00845523">
      <w:pPr>
        <w:pStyle w:val="SummaryHeading4"/>
      </w:pPr>
      <w:r>
        <w:t>Enforcement</w:t>
      </w:r>
    </w:p>
    <w:p w14:paraId="5CC6A241" w14:textId="3E86B692" w:rsidR="009F77B8" w:rsidRPr="003E1BFD" w:rsidRDefault="009F77B8" w:rsidP="009F77B8">
      <w:pPr>
        <w:pStyle w:val="BodyText"/>
      </w:pPr>
      <w:r w:rsidRPr="003E1BFD">
        <w:t xml:space="preserve">Section 94 of the Act places a duty on any person to whom an initial enforcement order relates to comply with it. Any person who suffers loss or damage due to a breach of this duty may bring an action. Section 94 of the Act also provides that the CMA can seek to enforce the initial enforcement order by civil proceedings for an injunction or for any other appropriate relief or remedy. Under sections 94AA and 94AB of the Act, the CMA can impose financial penalties in respect of a failure to comply with an initial enforcement order without reasonable excuse as set out in Annex 2 and the </w:t>
      </w:r>
      <w:hyperlink r:id="rId8" w:history="1">
        <w:r w:rsidRPr="003E1BFD">
          <w:rPr>
            <w:rStyle w:val="Hyperlink"/>
            <w:i/>
            <w:iCs/>
          </w:rPr>
          <w:t>Administrative penalties: Statement of Policy on the CMA’s approach (CMA4)</w:t>
        </w:r>
      </w:hyperlink>
      <w:r w:rsidRPr="003E1BFD">
        <w:t>.</w:t>
      </w:r>
    </w:p>
    <w:p w14:paraId="4B4B87EE" w14:textId="727A1934" w:rsidR="009F77B8" w:rsidRPr="00090CA1" w:rsidRDefault="009F77B8" w:rsidP="009F77B8">
      <w:pPr>
        <w:pStyle w:val="BodyText"/>
      </w:pPr>
      <w:r>
        <w:t xml:space="preserve">It is a criminal offence under section 117 of the Enterprise Act 2002 for a person recklessly or knowingly to supply to the CMA information which is false or misleading in any material respect. Breach of this provision can result in fines, imprisonment for a term not exceeding two years, or both (Section 117 of the Enterprise Act 2002). In addition, the CMA can impose penalties if a person has, without reasonable excuse, supplied to the CMA information which is false or misleading in any material respect (Section 110(1A)) as described in Annex 2 and the </w:t>
      </w:r>
      <w:hyperlink r:id="rId9" w:history="1">
        <w:r w:rsidRPr="0066326A">
          <w:rPr>
            <w:rStyle w:val="Hyperlink"/>
            <w:i/>
            <w:iCs/>
          </w:rPr>
          <w:t>Administrative penalties: Statement of Policy on the CMA’s approach (CMA4)</w:t>
        </w:r>
      </w:hyperlink>
      <w:r w:rsidRPr="00BD0554">
        <w:rPr>
          <w:i/>
          <w:iCs/>
        </w:rPr>
        <w:t>.</w:t>
      </w:r>
    </w:p>
    <w:p w14:paraId="2BAA9A04" w14:textId="0653539D" w:rsidR="009F77B8" w:rsidRDefault="009F77B8" w:rsidP="00845523">
      <w:pPr>
        <w:pStyle w:val="SummaryHeading4"/>
      </w:pPr>
      <w:r>
        <w:t xml:space="preserve">Interpretation </w:t>
      </w:r>
    </w:p>
    <w:p w14:paraId="4AE35C27" w14:textId="41C3A2D0" w:rsidR="009F77B8" w:rsidRDefault="009F77B8" w:rsidP="009F77B8">
      <w:pPr>
        <w:pStyle w:val="BodyText"/>
      </w:pPr>
      <w:r>
        <w:t xml:space="preserve">The Interpretation Act 1978 shall apply to this Order as it does to Acts of Parliament. </w:t>
      </w:r>
    </w:p>
    <w:p w14:paraId="0F530FB3" w14:textId="70FE103E" w:rsidR="009F77B8" w:rsidRDefault="009F77B8" w:rsidP="009F77B8">
      <w:pPr>
        <w:pStyle w:val="BodyText"/>
      </w:pPr>
      <w:r>
        <w:t xml:space="preserve">For the purposes of this Order:  </w:t>
      </w:r>
    </w:p>
    <w:p w14:paraId="008DFD1B" w14:textId="7B069DA0" w:rsidR="009F77B8" w:rsidRDefault="009F77B8" w:rsidP="00845523">
      <w:pPr>
        <w:pStyle w:val="BodyTextCont"/>
      </w:pPr>
      <w:r>
        <w:lastRenderedPageBreak/>
        <w:t>‘</w:t>
      </w:r>
      <w:r w:rsidRPr="009F77B8">
        <w:rPr>
          <w:b/>
        </w:rPr>
        <w:t>A</w:t>
      </w:r>
      <w:r>
        <w:t>’ means [full registered name and company number (Companies House) of acquirer’s UK parent and, if relevant, overseas parent</w:t>
      </w:r>
      <w:proofErr w:type="gramStart"/>
      <w:r>
        <w:t>];</w:t>
      </w:r>
      <w:proofErr w:type="gramEnd"/>
      <w:r>
        <w:t xml:space="preserve"> </w:t>
      </w:r>
    </w:p>
    <w:p w14:paraId="62339553" w14:textId="0E8B4433" w:rsidR="009F77B8" w:rsidRDefault="009F77B8" w:rsidP="00845523">
      <w:pPr>
        <w:pStyle w:val="BodyTextCont"/>
      </w:pPr>
      <w:r>
        <w:t>‘</w:t>
      </w:r>
      <w:proofErr w:type="gramStart"/>
      <w:r w:rsidRPr="009F77B8">
        <w:rPr>
          <w:b/>
        </w:rPr>
        <w:t>the</w:t>
      </w:r>
      <w:proofErr w:type="gramEnd"/>
      <w:r w:rsidRPr="009F77B8">
        <w:rPr>
          <w:b/>
        </w:rPr>
        <w:t xml:space="preserve"> A business</w:t>
      </w:r>
      <w:r>
        <w:t xml:space="preserve">’ means the business of A and its subsidiaries carried on as at the commencement date; </w:t>
      </w:r>
    </w:p>
    <w:p w14:paraId="6FF48AE9" w14:textId="6EDC763B" w:rsidR="009F77B8" w:rsidRDefault="009F77B8" w:rsidP="00845523">
      <w:pPr>
        <w:pStyle w:val="BodyTextCont"/>
      </w:pPr>
      <w:r>
        <w:t>‘</w:t>
      </w:r>
      <w:r w:rsidRPr="009F77B8">
        <w:rPr>
          <w:b/>
        </w:rPr>
        <w:t>B</w:t>
      </w:r>
      <w:r>
        <w:t>’ means [full registered name and company number (Companies House) of target’s UK parent</w:t>
      </w:r>
      <w:proofErr w:type="gramStart"/>
      <w:r>
        <w:t>];</w:t>
      </w:r>
      <w:proofErr w:type="gramEnd"/>
      <w:r>
        <w:t xml:space="preserve"> </w:t>
      </w:r>
    </w:p>
    <w:p w14:paraId="1381F852" w14:textId="0723EC2D" w:rsidR="009F77B8" w:rsidRDefault="009F77B8" w:rsidP="00845523">
      <w:pPr>
        <w:pStyle w:val="BodyTextCont"/>
      </w:pPr>
      <w:r>
        <w:t>‘</w:t>
      </w:r>
      <w:proofErr w:type="gramStart"/>
      <w:r w:rsidRPr="009F77B8">
        <w:rPr>
          <w:b/>
        </w:rPr>
        <w:t>the</w:t>
      </w:r>
      <w:proofErr w:type="gramEnd"/>
      <w:r w:rsidRPr="009F77B8">
        <w:rPr>
          <w:b/>
        </w:rPr>
        <w:t xml:space="preserve"> Act</w:t>
      </w:r>
      <w:r>
        <w:t xml:space="preserve">’ means the Enterprise Act 2002;  </w:t>
      </w:r>
    </w:p>
    <w:p w14:paraId="7C201603" w14:textId="5BDD41B7" w:rsidR="009F77B8" w:rsidRDefault="009F77B8" w:rsidP="00845523">
      <w:pPr>
        <w:pStyle w:val="BodyTextCont"/>
      </w:pPr>
      <w:r>
        <w:t>‘</w:t>
      </w:r>
      <w:r w:rsidRPr="009F77B8">
        <w:rPr>
          <w:b/>
        </w:rPr>
        <w:t>an affiliate</w:t>
      </w:r>
      <w:r>
        <w:t xml:space="preserve">’ of a person is another person who satisfies the following condition, namely that any enterprise (which, in this context, has the meaning given in section 129(1) of the Act) that the first person carries on from time to time and any enterprise that the second person carries on from time to time would be regarded as being under common control for the purposes of section 26 of the Act;  </w:t>
      </w:r>
    </w:p>
    <w:p w14:paraId="75F96214" w14:textId="6FA4E67D" w:rsidR="009F77B8" w:rsidRDefault="009F77B8" w:rsidP="00845523">
      <w:pPr>
        <w:pStyle w:val="BodyTextCont"/>
      </w:pPr>
      <w:r>
        <w:t>‘</w:t>
      </w:r>
      <w:proofErr w:type="gramStart"/>
      <w:r w:rsidRPr="009F77B8">
        <w:rPr>
          <w:b/>
        </w:rPr>
        <w:t>business</w:t>
      </w:r>
      <w:r>
        <w:t>’</w:t>
      </w:r>
      <w:proofErr w:type="gramEnd"/>
      <w:r>
        <w:t xml:space="preserve"> has the meaning given by section 129(1) and (3) of the Act;  </w:t>
      </w:r>
    </w:p>
    <w:p w14:paraId="7B34962B" w14:textId="28A04138" w:rsidR="009F77B8" w:rsidRDefault="009F77B8" w:rsidP="00845523">
      <w:pPr>
        <w:pStyle w:val="BodyTextCont"/>
      </w:pPr>
      <w:r>
        <w:t>‘</w:t>
      </w:r>
      <w:proofErr w:type="gramStart"/>
      <w:r w:rsidRPr="009F77B8">
        <w:rPr>
          <w:b/>
        </w:rPr>
        <w:t>commencement</w:t>
      </w:r>
      <w:proofErr w:type="gramEnd"/>
      <w:r w:rsidRPr="009F77B8">
        <w:rPr>
          <w:b/>
        </w:rPr>
        <w:t xml:space="preserve"> date</w:t>
      </w:r>
      <w:r>
        <w:t xml:space="preserve">’ means [date of order];  </w:t>
      </w:r>
    </w:p>
    <w:p w14:paraId="2B71E808" w14:textId="4B87E600" w:rsidR="009F77B8" w:rsidRDefault="009F77B8" w:rsidP="00845523">
      <w:pPr>
        <w:pStyle w:val="BodyTextCont"/>
      </w:pPr>
      <w:r>
        <w:t>‘</w:t>
      </w:r>
      <w:r w:rsidRPr="009F77B8">
        <w:rPr>
          <w:b/>
        </w:rPr>
        <w:t>control</w:t>
      </w:r>
      <w:r>
        <w:t xml:space="preserve">’ includes the ability directly or indirectly to control or materially to influence the policy of a body corporate or the policy of any person in carrying on an </w:t>
      </w:r>
      <w:proofErr w:type="gramStart"/>
      <w:r>
        <w:t>enterprise;</w:t>
      </w:r>
      <w:proofErr w:type="gramEnd"/>
      <w:r>
        <w:t xml:space="preserve">  </w:t>
      </w:r>
    </w:p>
    <w:p w14:paraId="4BDF50D9" w14:textId="1261A25C" w:rsidR="009F77B8" w:rsidRDefault="009F77B8" w:rsidP="00845523">
      <w:pPr>
        <w:pStyle w:val="BodyTextCont"/>
      </w:pPr>
      <w:r>
        <w:t>‘</w:t>
      </w:r>
      <w:proofErr w:type="gramStart"/>
      <w:r w:rsidRPr="009F77B8">
        <w:rPr>
          <w:b/>
        </w:rPr>
        <w:t>the</w:t>
      </w:r>
      <w:proofErr w:type="gramEnd"/>
      <w:r w:rsidRPr="009F77B8">
        <w:rPr>
          <w:b/>
        </w:rPr>
        <w:t xml:space="preserve"> decisions</w:t>
      </w:r>
      <w:r>
        <w:t xml:space="preserve">’ means the decisions of the CMA on the questions which it is required to answer by virtue of section 35 of the Act;  </w:t>
      </w:r>
    </w:p>
    <w:p w14:paraId="512D7BC8" w14:textId="45025582" w:rsidR="009F77B8" w:rsidRDefault="009F77B8" w:rsidP="00845523">
      <w:pPr>
        <w:pStyle w:val="BodyTextCont"/>
      </w:pPr>
      <w:r>
        <w:t>‘</w:t>
      </w:r>
      <w:proofErr w:type="gramStart"/>
      <w:r w:rsidRPr="009F77B8">
        <w:rPr>
          <w:b/>
        </w:rPr>
        <w:t>key</w:t>
      </w:r>
      <w:proofErr w:type="gramEnd"/>
      <w:r w:rsidRPr="009F77B8">
        <w:rPr>
          <w:b/>
        </w:rPr>
        <w:t xml:space="preserve"> staff</w:t>
      </w:r>
      <w:r>
        <w:t>’ means staff in positions of (</w:t>
      </w:r>
      <w:proofErr w:type="spellStart"/>
      <w:r>
        <w:t>i</w:t>
      </w:r>
      <w:proofErr w:type="spellEnd"/>
      <w:r>
        <w:t xml:space="preserve">) [senior] executive or managerial responsibility or (ii) whose performance affects the viability of the business;  </w:t>
      </w:r>
    </w:p>
    <w:p w14:paraId="58F29786" w14:textId="68630C06" w:rsidR="009F77B8" w:rsidRDefault="009F77B8" w:rsidP="00845523">
      <w:pPr>
        <w:pStyle w:val="BodyTextCont"/>
      </w:pPr>
      <w:r>
        <w:t>‘</w:t>
      </w:r>
      <w:proofErr w:type="gramStart"/>
      <w:r w:rsidRPr="009F77B8">
        <w:rPr>
          <w:b/>
        </w:rPr>
        <w:t>the</w:t>
      </w:r>
      <w:proofErr w:type="gramEnd"/>
      <w:r w:rsidRPr="009F77B8">
        <w:rPr>
          <w:b/>
        </w:rPr>
        <w:t xml:space="preserve"> ordinary course of business</w:t>
      </w:r>
      <w:r>
        <w:t xml:space="preserve">’ means matters connected to the day-today supply of [goods or services (or both)] by Y or [A/]X and does not include matters involving significant changes to the organisational structure or related to the post-merger integration of Y and [A/]X;  </w:t>
      </w:r>
    </w:p>
    <w:p w14:paraId="6DABD0C9" w14:textId="037D39DF" w:rsidR="009F77B8" w:rsidRDefault="009F77B8" w:rsidP="00845523">
      <w:pPr>
        <w:pStyle w:val="BodyTextCont"/>
      </w:pPr>
      <w:r>
        <w:t>‘</w:t>
      </w:r>
      <w:proofErr w:type="gramStart"/>
      <w:r w:rsidRPr="009F77B8">
        <w:rPr>
          <w:b/>
        </w:rPr>
        <w:t>specified</w:t>
      </w:r>
      <w:proofErr w:type="gramEnd"/>
      <w:r w:rsidRPr="009F77B8">
        <w:rPr>
          <w:b/>
        </w:rPr>
        <w:t xml:space="preserve"> period</w:t>
      </w:r>
      <w:r>
        <w:t xml:space="preserve">’ means the period beginning on the commencement date and terminating in accordance with section 72(6) of the Act; </w:t>
      </w:r>
    </w:p>
    <w:p w14:paraId="73759871" w14:textId="0A9E7561" w:rsidR="009F77B8" w:rsidRDefault="009F77B8" w:rsidP="00845523">
      <w:pPr>
        <w:pStyle w:val="BodyTextCont"/>
      </w:pPr>
      <w:r>
        <w:t>‘</w:t>
      </w:r>
      <w:r w:rsidRPr="009F77B8">
        <w:rPr>
          <w:b/>
        </w:rPr>
        <w:t>subsidiary</w:t>
      </w:r>
      <w:r>
        <w:t xml:space="preserve">’, unless otherwise stated, has the meaning given by section 1159 of the Companies Act </w:t>
      </w:r>
      <w:proofErr w:type="gramStart"/>
      <w:r>
        <w:t>2006;</w:t>
      </w:r>
      <w:proofErr w:type="gramEnd"/>
      <w:r>
        <w:t xml:space="preserve"> </w:t>
      </w:r>
    </w:p>
    <w:p w14:paraId="016616C6" w14:textId="1D1BE304" w:rsidR="009F77B8" w:rsidRDefault="009F77B8" w:rsidP="00845523">
      <w:pPr>
        <w:pStyle w:val="BodyTextCont"/>
      </w:pPr>
      <w:r>
        <w:t>‘</w:t>
      </w:r>
      <w:proofErr w:type="gramStart"/>
      <w:r w:rsidRPr="009F77B8">
        <w:rPr>
          <w:b/>
        </w:rPr>
        <w:t>the</w:t>
      </w:r>
      <w:proofErr w:type="gramEnd"/>
      <w:r w:rsidRPr="009F77B8">
        <w:rPr>
          <w:b/>
        </w:rPr>
        <w:t xml:space="preserve"> transaction</w:t>
      </w:r>
      <w:r>
        <w:t xml:space="preserve">’ means [the transaction by which X and Y have ceased to be distinct within the meaning of section 23 of the Act];  </w:t>
      </w:r>
    </w:p>
    <w:p w14:paraId="448456D0" w14:textId="39F9AE68" w:rsidR="009F77B8" w:rsidRDefault="009F77B8" w:rsidP="00845523">
      <w:pPr>
        <w:pStyle w:val="BodyTextCont"/>
      </w:pPr>
      <w:r>
        <w:t>‘</w:t>
      </w:r>
      <w:proofErr w:type="gramStart"/>
      <w:r w:rsidRPr="009F77B8">
        <w:rPr>
          <w:b/>
        </w:rPr>
        <w:t>the</w:t>
      </w:r>
      <w:proofErr w:type="gramEnd"/>
      <w:r w:rsidRPr="009F77B8">
        <w:rPr>
          <w:b/>
        </w:rPr>
        <w:t xml:space="preserve"> two businesses</w:t>
      </w:r>
      <w:r>
        <w:t xml:space="preserve">’ means the [A/X] business and the Y business;  </w:t>
      </w:r>
    </w:p>
    <w:p w14:paraId="24033BD6" w14:textId="5675F8D5" w:rsidR="009F77B8" w:rsidRDefault="009F77B8" w:rsidP="00845523">
      <w:pPr>
        <w:pStyle w:val="BodyTextCont"/>
      </w:pPr>
      <w:r>
        <w:lastRenderedPageBreak/>
        <w:t>‘</w:t>
      </w:r>
      <w:r w:rsidRPr="009F77B8">
        <w:rPr>
          <w:b/>
        </w:rPr>
        <w:t>X</w:t>
      </w:r>
      <w:r>
        <w:t>’ means [full registered name and company number (Companies House) of acquirer</w:t>
      </w:r>
      <w:proofErr w:type="gramStart"/>
      <w:r>
        <w:t>];</w:t>
      </w:r>
      <w:proofErr w:type="gramEnd"/>
      <w:r>
        <w:t xml:space="preserve">  </w:t>
      </w:r>
    </w:p>
    <w:p w14:paraId="2B1B509E" w14:textId="258A59C6" w:rsidR="009F77B8" w:rsidRDefault="009F77B8" w:rsidP="00845523">
      <w:pPr>
        <w:pStyle w:val="BodyTextCont"/>
      </w:pPr>
      <w:r>
        <w:t>‘</w:t>
      </w:r>
      <w:proofErr w:type="gramStart"/>
      <w:r w:rsidRPr="009F77B8">
        <w:rPr>
          <w:b/>
        </w:rPr>
        <w:t>the</w:t>
      </w:r>
      <w:proofErr w:type="gramEnd"/>
      <w:r w:rsidRPr="009F77B8">
        <w:rPr>
          <w:b/>
        </w:rPr>
        <w:t xml:space="preserve"> X business</w:t>
      </w:r>
      <w:r>
        <w:t xml:space="preserve">’ means the business of X and its subsidiaries but excluding the Y business, carried on as at the commencement date; </w:t>
      </w:r>
    </w:p>
    <w:p w14:paraId="51F08900" w14:textId="483A8817" w:rsidR="009F77B8" w:rsidRDefault="009F77B8" w:rsidP="00845523">
      <w:pPr>
        <w:pStyle w:val="BodyTextCont"/>
      </w:pPr>
      <w:r>
        <w:t>‘</w:t>
      </w:r>
      <w:r w:rsidRPr="009F77B8">
        <w:rPr>
          <w:b/>
        </w:rPr>
        <w:t>Y</w:t>
      </w:r>
      <w:r>
        <w:t>’ means [full registered name and company number (Companies House) of target, or description of the acquired business if asset transaction</w:t>
      </w:r>
      <w:proofErr w:type="gramStart"/>
      <w:r>
        <w:t>];</w:t>
      </w:r>
      <w:proofErr w:type="gramEnd"/>
      <w:r>
        <w:t xml:space="preserve">  </w:t>
      </w:r>
    </w:p>
    <w:p w14:paraId="13C4A968" w14:textId="40C426E7" w:rsidR="009F77B8" w:rsidRDefault="009F77B8" w:rsidP="00845523">
      <w:pPr>
        <w:pStyle w:val="BodyTextCont"/>
      </w:pPr>
      <w:r>
        <w:t>‘</w:t>
      </w:r>
      <w:proofErr w:type="gramStart"/>
      <w:r w:rsidRPr="009F77B8">
        <w:rPr>
          <w:b/>
        </w:rPr>
        <w:t>the</w:t>
      </w:r>
      <w:proofErr w:type="gramEnd"/>
      <w:r w:rsidRPr="009F77B8">
        <w:rPr>
          <w:b/>
        </w:rPr>
        <w:t xml:space="preserve"> Y business</w:t>
      </w:r>
      <w:r>
        <w:t xml:space="preserve">’ means the business of Y and its subsidiaries carried on as at the commencement date; </w:t>
      </w:r>
    </w:p>
    <w:p w14:paraId="7AA3BD8A" w14:textId="0C8C24DB" w:rsidR="009F77B8" w:rsidRDefault="009F77B8" w:rsidP="00845523">
      <w:pPr>
        <w:pStyle w:val="BodyTextCont"/>
      </w:pPr>
      <w:r>
        <w:t xml:space="preserve">unless the context requires otherwise, the singular shall include the plural and vice versa. </w:t>
      </w:r>
    </w:p>
    <w:p w14:paraId="74BEDC11" w14:textId="1E7EAFA3" w:rsidR="009F77B8" w:rsidRDefault="009F77B8" w:rsidP="00845523">
      <w:r>
        <w:t>Signature: …………………………</w:t>
      </w:r>
      <w:proofErr w:type="gramStart"/>
      <w:r>
        <w:t>…..</w:t>
      </w:r>
      <w:proofErr w:type="gramEnd"/>
      <w:r>
        <w:t xml:space="preserve"> </w:t>
      </w:r>
    </w:p>
    <w:p w14:paraId="590D7382" w14:textId="05CBEAEE" w:rsidR="009F77B8" w:rsidRDefault="009F77B8" w:rsidP="00845523">
      <w:r>
        <w:t xml:space="preserve">[Name] Assistant Director, Mergers  </w:t>
      </w:r>
    </w:p>
    <w:p w14:paraId="74151B77" w14:textId="5A61755B" w:rsidR="009F77B8" w:rsidRDefault="009F77B8" w:rsidP="00845523">
      <w:pPr>
        <w:pStyle w:val="Heading2SectionTitle"/>
      </w:pPr>
      <w:r>
        <w:lastRenderedPageBreak/>
        <w:t>ANNEX 1</w:t>
      </w:r>
    </w:p>
    <w:p w14:paraId="68CB8AE1" w14:textId="18D11E92" w:rsidR="009F77B8" w:rsidRDefault="009F77B8" w:rsidP="00845523">
      <w:pPr>
        <w:pStyle w:val="Heading3NoNumb"/>
      </w:pPr>
      <w:r>
        <w:t xml:space="preserve">Compliance statement for [A/X or B/Y] </w:t>
      </w:r>
    </w:p>
    <w:p w14:paraId="639BD43F" w14:textId="5DCA7FE9" w:rsidR="009F77B8" w:rsidRDefault="009F77B8" w:rsidP="009F77B8">
      <w:r>
        <w:t xml:space="preserve">I [insert name] confirm on behalf of [A/X or B/Y] that: </w:t>
      </w:r>
    </w:p>
    <w:p w14:paraId="6C2A4E0D" w14:textId="7B3AA4B6" w:rsidR="009F77B8" w:rsidRDefault="009F77B8" w:rsidP="00845523">
      <w:pPr>
        <w:pStyle w:val="SummaryHeading4"/>
      </w:pPr>
      <w:r>
        <w:t xml:space="preserve">Compliance in the Relevant Period  </w:t>
      </w:r>
    </w:p>
    <w:p w14:paraId="2E012868" w14:textId="58F8A7A9" w:rsidR="009F77B8" w:rsidRDefault="009F77B8" w:rsidP="003A1A36">
      <w:pPr>
        <w:pStyle w:val="BodyText"/>
        <w:numPr>
          <w:ilvl w:val="0"/>
          <w:numId w:val="27"/>
        </w:numPr>
      </w:pPr>
      <w:r>
        <w:t xml:space="preserve">In the period from [insert date] to [insert date] (the Relevant Period): </w:t>
      </w:r>
    </w:p>
    <w:p w14:paraId="7D77F5F8" w14:textId="2967B023" w:rsidR="009F77B8" w:rsidRDefault="009F77B8" w:rsidP="009F77B8">
      <w:pPr>
        <w:pStyle w:val="BodyText2"/>
      </w:pPr>
      <w:r>
        <w:t xml:space="preserve">[A/X or B/Y] has complied with the Order made by the CMA in relation to the transaction on [insert date of this Order] (the Order).  </w:t>
      </w:r>
    </w:p>
    <w:p w14:paraId="7E242346" w14:textId="7AEF572F" w:rsidR="009F77B8" w:rsidRDefault="009F77B8" w:rsidP="009F77B8">
      <w:pPr>
        <w:pStyle w:val="BodyText2"/>
      </w:pPr>
      <w:r>
        <w:t xml:space="preserve">[A/X’s or B/Y’s] subsidiaries have also complied with this Order.  </w:t>
      </w:r>
    </w:p>
    <w:p w14:paraId="4B6A421E" w14:textId="0BE8B1D3" w:rsidR="009F77B8" w:rsidRDefault="009F77B8" w:rsidP="009F77B8">
      <w:pPr>
        <w:pStyle w:val="BodyText"/>
      </w:pPr>
      <w:r>
        <w:t xml:space="preserve">Subject to paragraph 3 of the Order, and except with the prior written consent of the CMA:  </w:t>
      </w:r>
    </w:p>
    <w:p w14:paraId="46776552" w14:textId="1F2FE5FE" w:rsidR="009F77B8" w:rsidRDefault="009F77B8" w:rsidP="009F77B8">
      <w:pPr>
        <w:pStyle w:val="BodyText2"/>
      </w:pPr>
      <w:r>
        <w:t xml:space="preserve">No action has been taken by [A/X or B/Y] that might prejudice a reference of the transaction under section 22 of the Act or impede the taking of any action by the CMA which may be justified by its decision on such a reference, including any action which might: </w:t>
      </w:r>
    </w:p>
    <w:p w14:paraId="6D76CE42" w14:textId="3CFE0FF8" w:rsidR="009F77B8" w:rsidRDefault="009F77B8" w:rsidP="00845523">
      <w:pPr>
        <w:pStyle w:val="BodyText3"/>
      </w:pPr>
      <w:r>
        <w:t xml:space="preserve">lead to the integration of the Y business with the [A/X] </w:t>
      </w:r>
      <w:proofErr w:type="gramStart"/>
      <w:r>
        <w:t>business;</w:t>
      </w:r>
      <w:proofErr w:type="gramEnd"/>
      <w:r>
        <w:t xml:space="preserve"> </w:t>
      </w:r>
    </w:p>
    <w:p w14:paraId="01D3A128" w14:textId="0DBF477C" w:rsidR="009F77B8" w:rsidRDefault="009F77B8" w:rsidP="00845523">
      <w:pPr>
        <w:pStyle w:val="BodyText3"/>
      </w:pPr>
      <w:r>
        <w:t xml:space="preserve">transfer the ownership or control of the [A/X] business or the Y business or any of their subsidiaries; or  </w:t>
      </w:r>
    </w:p>
    <w:p w14:paraId="2EDA33A7" w14:textId="14915B52" w:rsidR="009F77B8" w:rsidRDefault="009F77B8" w:rsidP="009F77B8">
      <w:pPr>
        <w:pStyle w:val="BodyText3"/>
      </w:pPr>
      <w:r>
        <w:t xml:space="preserve">otherwise impair the ability of the Y business or the [A/X] business to compete independently in any of the markets affected by the transaction. </w:t>
      </w:r>
    </w:p>
    <w:p w14:paraId="03FC6963" w14:textId="07723710" w:rsidR="009F77B8" w:rsidRDefault="009F77B8" w:rsidP="009F77B8">
      <w:pPr>
        <w:pStyle w:val="BodyText2"/>
      </w:pPr>
      <w:r>
        <w:t xml:space="preserve">The Y business has been carried on separately from the [A/X] business and the Y business’s separate sales or brand identity has been maintained. </w:t>
      </w:r>
    </w:p>
    <w:p w14:paraId="0563ABAC" w14:textId="637AD691" w:rsidR="009F77B8" w:rsidRDefault="009F77B8" w:rsidP="009F77B8">
      <w:pPr>
        <w:pStyle w:val="BodyText2"/>
      </w:pPr>
      <w:r>
        <w:t xml:space="preserve">The Y business and the [A/X] business have been maintained as a going concern and sufficient resources have been made available for the development of the Y business and the [A/X] business, </w:t>
      </w:r>
      <w:proofErr w:type="gramStart"/>
      <w:r>
        <w:t>on the basis of</w:t>
      </w:r>
      <w:proofErr w:type="gramEnd"/>
      <w:r>
        <w:t xml:space="preserve"> their respective pre-merger business plans. </w:t>
      </w:r>
    </w:p>
    <w:p w14:paraId="5BBD9B82" w14:textId="1245B385" w:rsidR="009F77B8" w:rsidRDefault="009F77B8" w:rsidP="009F77B8">
      <w:pPr>
        <w:pStyle w:val="BodyText2"/>
      </w:pPr>
      <w:r>
        <w:t xml:space="preserve">No significant changes have been made to the organisational structure of, or the management responsibilities within, the Y business or the [A/X] business, except in the ordinary course of business. </w:t>
      </w:r>
    </w:p>
    <w:p w14:paraId="1403A2A5" w14:textId="28FA435A" w:rsidR="009F77B8" w:rsidRDefault="009F77B8" w:rsidP="009F77B8">
      <w:pPr>
        <w:pStyle w:val="BodyText2"/>
      </w:pPr>
      <w:r>
        <w:lastRenderedPageBreak/>
        <w:t xml:space="preserve">The nature, description, range and quality of [goods or services (or both)] supplied in the UK by the Y business and the [A/X] business have been maintained and preserved.  </w:t>
      </w:r>
    </w:p>
    <w:p w14:paraId="6A83544D" w14:textId="453922CF" w:rsidR="009F77B8" w:rsidRDefault="009F77B8" w:rsidP="009F77B8">
      <w:pPr>
        <w:pStyle w:val="BodyText2"/>
      </w:pPr>
      <w:r>
        <w:t xml:space="preserve">Except in the ordinary course of business for the separate operation of the two businesses:  </w:t>
      </w:r>
    </w:p>
    <w:p w14:paraId="4B460F4C" w14:textId="63FF7B70" w:rsidR="009F77B8" w:rsidRDefault="009F77B8" w:rsidP="009F77B8">
      <w:pPr>
        <w:pStyle w:val="BodyText3"/>
      </w:pPr>
      <w:r>
        <w:t xml:space="preserve">all of the assets of the Y business and the [A/X] business, including facilities and goodwill, have been maintained and preserved as at the start of the Relevant </w:t>
      </w:r>
      <w:proofErr w:type="gramStart"/>
      <w:r>
        <w:t>Period;</w:t>
      </w:r>
      <w:proofErr w:type="gramEnd"/>
      <w:r>
        <w:t xml:space="preserve"> </w:t>
      </w:r>
    </w:p>
    <w:p w14:paraId="59C5C414" w14:textId="46E379D4" w:rsidR="009F77B8" w:rsidRDefault="009F77B8" w:rsidP="009F77B8">
      <w:pPr>
        <w:pStyle w:val="BodyText3"/>
      </w:pPr>
      <w:r>
        <w:t xml:space="preserve">none of the assets of the Y business or the [A/X] business have been disposed of; and  </w:t>
      </w:r>
    </w:p>
    <w:p w14:paraId="13001B92" w14:textId="79530F66" w:rsidR="009F77B8" w:rsidRDefault="009F77B8" w:rsidP="009F77B8">
      <w:pPr>
        <w:pStyle w:val="BodyText3"/>
      </w:pPr>
      <w:r>
        <w:t xml:space="preserve">no interest in the assets of the Y business or the [A/X] business has been created or disposed of. </w:t>
      </w:r>
    </w:p>
    <w:p w14:paraId="062E5D86" w14:textId="6E20AED7" w:rsidR="009F77B8" w:rsidRDefault="009F77B8" w:rsidP="009F77B8">
      <w:pPr>
        <w:pStyle w:val="BodyText2"/>
      </w:pPr>
      <w:r>
        <w:t xml:space="preserve">There has been no integration of the information technology of the Y or [A/X] businesses, and the software and hardware platforms of the Y business have remained essentially unchanged, except for routine changes and maintenance.  </w:t>
      </w:r>
    </w:p>
    <w:p w14:paraId="3BC69AF9" w14:textId="672DFC02" w:rsidR="009F77B8" w:rsidRDefault="009F77B8" w:rsidP="009F77B8">
      <w:pPr>
        <w:pStyle w:val="BodyText2"/>
      </w:pPr>
      <w:r>
        <w:t xml:space="preserve">Subject to integration which had occurred prior to the commencement date, the [customer and supplier] lists of the two businesses have been operated and updated separately and any negotiations with any existing or potential [customers and suppliers] in relation to the Y business have been carried out by the Y business alone and, for the avoidance of doubt, the [A/X] business has not negotiated on behalf of the Y business (and vice versa) or entered into any joint agreements with the Y business (and vice versa). </w:t>
      </w:r>
    </w:p>
    <w:p w14:paraId="4D340C43" w14:textId="609C8957" w:rsidR="009F77B8" w:rsidRDefault="009F77B8" w:rsidP="009F77B8">
      <w:pPr>
        <w:pStyle w:val="BodyText2"/>
      </w:pPr>
      <w:r>
        <w:t xml:space="preserve">All contracts of the Y business and the [A/X] business have been serviced by the business to which they were awarded, except to the extent novated, assigned or subcontracted prior to the commencement date.  </w:t>
      </w:r>
    </w:p>
    <w:p w14:paraId="60C73CF5" w14:textId="71BF06FE" w:rsidR="009F77B8" w:rsidRDefault="009F77B8" w:rsidP="009F77B8">
      <w:pPr>
        <w:pStyle w:val="BodyText2"/>
      </w:pPr>
      <w:r>
        <w:t xml:space="preserve">No changes have been made to key staff of the Y business or the [A/X] business.  </w:t>
      </w:r>
    </w:p>
    <w:p w14:paraId="567A5BF1" w14:textId="5FA9B4C2" w:rsidR="009F77B8" w:rsidRDefault="009F77B8" w:rsidP="009F77B8">
      <w:pPr>
        <w:pStyle w:val="BodyText2"/>
      </w:pPr>
      <w:r>
        <w:t xml:space="preserve">No key staff have been transferred between the Y business and the [A/X] business. </w:t>
      </w:r>
    </w:p>
    <w:p w14:paraId="2F261DB2" w14:textId="668C0D6E" w:rsidR="009F77B8" w:rsidRDefault="009F77B8" w:rsidP="009F77B8">
      <w:pPr>
        <w:pStyle w:val="BodyText2"/>
      </w:pPr>
      <w:r>
        <w:t xml:space="preserve">All reasonable steps have been taken to encourage all key staff to remain with the Y business and the [A/X] business. </w:t>
      </w:r>
    </w:p>
    <w:p w14:paraId="644DF3C7" w14:textId="3B886C5B" w:rsidR="009F77B8" w:rsidRDefault="009F77B8" w:rsidP="009F77B8">
      <w:pPr>
        <w:pStyle w:val="BodyText2"/>
      </w:pPr>
      <w:r>
        <w:t xml:space="preserve">Except as permitted by the Order, no business secrets, know-how, commercially-sensitive information, intellectual property or any other information of a confidential or proprietary nature relating to either of the two businesses, has passed, directly or indirectly, from the Y business (or any of </w:t>
      </w:r>
      <w:r>
        <w:lastRenderedPageBreak/>
        <w:t>its employees, directors, agents or affiliates) to the [A/X] business (or any of its employees, directors, agents or affiliates), or vice versa</w:t>
      </w:r>
      <w:r>
        <w:rPr>
          <w:i/>
        </w:rPr>
        <w:t>.</w:t>
      </w:r>
      <w:r>
        <w:t xml:space="preserve">  </w:t>
      </w:r>
    </w:p>
    <w:p w14:paraId="1D8E0963" w14:textId="6854CC29" w:rsidR="009F77B8" w:rsidRDefault="009F77B8" w:rsidP="009F77B8">
      <w:pPr>
        <w:pStyle w:val="BodyText2"/>
      </w:pPr>
      <w:r>
        <w:t xml:space="preserve">Except as listed in paragraph (o) below, there have been no: </w:t>
      </w:r>
    </w:p>
    <w:p w14:paraId="6D0AEA9C" w14:textId="7FB94483" w:rsidR="009F77B8" w:rsidRDefault="009F77B8" w:rsidP="009F77B8">
      <w:pPr>
        <w:pStyle w:val="BodyText3"/>
      </w:pPr>
      <w:r>
        <w:t xml:space="preserve">key staff that have left or joined the Y business or the [A/X] </w:t>
      </w:r>
      <w:proofErr w:type="gramStart"/>
      <w:r>
        <w:t>business;</w:t>
      </w:r>
      <w:proofErr w:type="gramEnd"/>
      <w:r>
        <w:t xml:space="preserve"> </w:t>
      </w:r>
    </w:p>
    <w:p w14:paraId="56D76618" w14:textId="6C425209" w:rsidR="009F77B8" w:rsidRDefault="009F77B8" w:rsidP="009F77B8">
      <w:pPr>
        <w:pStyle w:val="BodyText3"/>
      </w:pPr>
      <w:r>
        <w:t xml:space="preserve">interruptions of the Y business or the [A/X] business (including without limitation procurement, production, logistics, sales and employee relations arrangements) that have prevented it from operating in the ordinary course of business for more than 24 </w:t>
      </w:r>
      <w:proofErr w:type="gramStart"/>
      <w:r>
        <w:t>hours;</w:t>
      </w:r>
      <w:proofErr w:type="gramEnd"/>
      <w:r>
        <w:t xml:space="preserve"> </w:t>
      </w:r>
    </w:p>
    <w:p w14:paraId="207497A3" w14:textId="317D24F8" w:rsidR="009F77B8" w:rsidRDefault="009F77B8" w:rsidP="009F77B8">
      <w:pPr>
        <w:pStyle w:val="BodyText3"/>
      </w:pPr>
      <w:r>
        <w:t xml:space="preserve">substantial customer volumes won or lost or substantial changes to the customer contracts for the Y business or the [A/X] business; or  </w:t>
      </w:r>
    </w:p>
    <w:p w14:paraId="33EA17CA" w14:textId="7FCEC998" w:rsidR="009F77B8" w:rsidRDefault="009F77B8" w:rsidP="009F77B8">
      <w:pPr>
        <w:pStyle w:val="BodyText3"/>
      </w:pPr>
      <w:r>
        <w:t xml:space="preserve">substantial changes in the Y or [A/X] business’s contractual arrangements or relationships with key suppliers. </w:t>
      </w:r>
    </w:p>
    <w:p w14:paraId="369F767A" w14:textId="3F369620" w:rsidR="009F77B8" w:rsidRDefault="009F77B8" w:rsidP="009F77B8">
      <w:pPr>
        <w:pStyle w:val="BodyText2"/>
      </w:pPr>
      <w:r>
        <w:t>[</w:t>
      </w:r>
      <w:r>
        <w:rPr>
          <w:i/>
        </w:rPr>
        <w:t>list of material developments</w:t>
      </w:r>
      <w:r>
        <w:t xml:space="preserve">] </w:t>
      </w:r>
    </w:p>
    <w:p w14:paraId="1E90F4D9" w14:textId="30CE99EB" w:rsidR="009F77B8" w:rsidRDefault="009F77B8" w:rsidP="009F77B8">
      <w:pPr>
        <w:pStyle w:val="BodyText"/>
      </w:pPr>
      <w:r>
        <w:t xml:space="preserve">[A/X or B/Y] and its subsidiaries remain in full compliance with the Order and </w:t>
      </w:r>
      <w:proofErr w:type="gramStart"/>
      <w:r>
        <w:t>will[</w:t>
      </w:r>
      <w:proofErr w:type="gramEnd"/>
      <w:r>
        <w:t xml:space="preserve">, or will take all necessary steps to ensure that Y,] continue actively to keep the CMA informed of any material developments relating to the Y or the [A/X] business in accordance with paragraph 8 of the Order. </w:t>
      </w:r>
    </w:p>
    <w:p w14:paraId="3A0DEA18" w14:textId="1AA460AD" w:rsidR="009F77B8" w:rsidRDefault="009F77B8" w:rsidP="00845523">
      <w:pPr>
        <w:pStyle w:val="SummaryHeading4"/>
      </w:pPr>
      <w:r>
        <w:t xml:space="preserve">Interpretation </w:t>
      </w:r>
    </w:p>
    <w:p w14:paraId="42DA7C93" w14:textId="1BE77546" w:rsidR="009F77B8" w:rsidRDefault="009F77B8" w:rsidP="009F77B8">
      <w:pPr>
        <w:pStyle w:val="BodyText"/>
      </w:pPr>
      <w:r>
        <w:t xml:space="preserve">Terms defined in the Order have the same meaning in this compliance statement. </w:t>
      </w:r>
    </w:p>
    <w:p w14:paraId="52E9F5C8" w14:textId="7B155926" w:rsidR="009F77B8" w:rsidRDefault="009F77B8" w:rsidP="00845523">
      <w:pPr>
        <w:pStyle w:val="SummaryHeading4"/>
      </w:pPr>
      <w:r>
        <w:t xml:space="preserve">I understand that: </w:t>
      </w:r>
    </w:p>
    <w:p w14:paraId="7486E673" w14:textId="4236AB54" w:rsidR="009F77B8" w:rsidRDefault="009F77B8" w:rsidP="009F77B8">
      <w:pPr>
        <w:pStyle w:val="BodyText"/>
      </w:pPr>
      <w:r>
        <w:t xml:space="preserve">It is a criminal offence under section 117 of the Enterprise Act 2002 for a person recklessly or knowingly to supply to the CMA information which is false or misleading in any material respect. Breach of this provision can result in </w:t>
      </w:r>
      <w:r>
        <w:rPr>
          <w:b/>
        </w:rPr>
        <w:t>fines, imprisonment for a term not exceeding two years, or both</w:t>
      </w:r>
      <w:r>
        <w:t xml:space="preserve"> (Section 117 of the Enterprise Act 2002.). In addition, the CMA can impose penalties if a person has, without reasonable excuse, supplied</w:t>
      </w:r>
      <w:r w:rsidRPr="006B2E71">
        <w:t xml:space="preserve"> to the CMA information which is false or misleading in any material respect</w:t>
      </w:r>
      <w:r>
        <w:t xml:space="preserve"> (</w:t>
      </w:r>
      <w:r w:rsidRPr="003E1BFD">
        <w:t>Section 110(1A)</w:t>
      </w:r>
      <w:r>
        <w:t xml:space="preserve">) as described in Annex 2. </w:t>
      </w:r>
    </w:p>
    <w:p w14:paraId="7643C016" w14:textId="272C32DB" w:rsidR="009F77B8" w:rsidRDefault="009F77B8" w:rsidP="009F77B8">
      <w:pPr>
        <w:pStyle w:val="BodyText"/>
      </w:pPr>
      <w:r>
        <w:t xml:space="preserve">As described in Annex 2, failure to comply with this order without reasonable excuse may result in the CMA imposing a </w:t>
      </w:r>
      <w:r w:rsidRPr="00BD0554">
        <w:rPr>
          <w:b/>
        </w:rPr>
        <w:t xml:space="preserve">penalty </w:t>
      </w:r>
      <w:r>
        <w:t>(Section 94AA and 94AB of the Enterprise Act 2002).</w:t>
      </w:r>
    </w:p>
    <w:p w14:paraId="141D3480" w14:textId="02320660" w:rsidR="009F77B8" w:rsidRDefault="009F77B8" w:rsidP="003A1A36">
      <w:pPr>
        <w:keepNext/>
      </w:pPr>
      <w:r>
        <w:lastRenderedPageBreak/>
        <w:t xml:space="preserve">FOR AND ON BEHALF OF A/X or B/Y  </w:t>
      </w:r>
    </w:p>
    <w:p w14:paraId="7AD1CC42" w14:textId="77777777" w:rsidR="00845523" w:rsidRDefault="009F77B8" w:rsidP="003A1A36">
      <w:pPr>
        <w:keepNext/>
      </w:pPr>
      <w:proofErr w:type="gramStart"/>
      <w:r>
        <w:t>Signature  ...............................................</w:t>
      </w:r>
      <w:proofErr w:type="gramEnd"/>
    </w:p>
    <w:p w14:paraId="03E1BA46" w14:textId="77777777" w:rsidR="00845523" w:rsidRDefault="009F77B8" w:rsidP="003A1A36">
      <w:pPr>
        <w:keepNext/>
      </w:pPr>
      <w:proofErr w:type="gramStart"/>
      <w:r>
        <w:t>Name  .....................................................</w:t>
      </w:r>
      <w:proofErr w:type="gramEnd"/>
    </w:p>
    <w:p w14:paraId="3F73DF27" w14:textId="5A3B079E" w:rsidR="009F77B8" w:rsidRDefault="009F77B8" w:rsidP="003A1A36">
      <w:pPr>
        <w:keepNext/>
      </w:pPr>
      <w:proofErr w:type="gramStart"/>
      <w:r>
        <w:t>Title  .......................................................</w:t>
      </w:r>
      <w:proofErr w:type="gramEnd"/>
    </w:p>
    <w:p w14:paraId="5B44AE0A" w14:textId="7262FAE3" w:rsidR="009F77B8" w:rsidRDefault="009F77B8" w:rsidP="00845523">
      <w:r>
        <w:t xml:space="preserve">Date   </w:t>
      </w:r>
    </w:p>
    <w:p w14:paraId="4F5B9D9B" w14:textId="1720C852" w:rsidR="009F77B8" w:rsidRDefault="009F77B8" w:rsidP="00845523">
      <w:pPr>
        <w:pStyle w:val="Heading2SectionTitle"/>
      </w:pPr>
      <w:r w:rsidRPr="2CAC3BCA">
        <w:lastRenderedPageBreak/>
        <w:t>ANNEX 2</w:t>
      </w:r>
    </w:p>
    <w:p w14:paraId="08BA1D87" w14:textId="3C3DBD77" w:rsidR="009F77B8" w:rsidRPr="002D6B5F" w:rsidRDefault="009F77B8" w:rsidP="00845523">
      <w:pPr>
        <w:pStyle w:val="Heading3NoNumb"/>
      </w:pPr>
      <w:r w:rsidRPr="002D6B5F">
        <w:t xml:space="preserve">Part A - Enforcement of an initial enforcement order </w:t>
      </w:r>
      <w:r>
        <w:t xml:space="preserve">issued </w:t>
      </w:r>
      <w:r w:rsidRPr="002D6B5F">
        <w:t>under section 72(2) of the Act – Imposition of Civil Penalties</w:t>
      </w:r>
    </w:p>
    <w:p w14:paraId="670B6BD4" w14:textId="638E261C" w:rsidR="009F77B8" w:rsidRPr="002D6B5F" w:rsidRDefault="009F77B8" w:rsidP="00845523">
      <w:pPr>
        <w:pStyle w:val="SummaryHeading4"/>
      </w:pPr>
      <w:r w:rsidRPr="002D6B5F">
        <w:t>Imposition of civil penalties</w:t>
      </w:r>
    </w:p>
    <w:p w14:paraId="3C348F2A" w14:textId="733F8241" w:rsidR="009F77B8" w:rsidRPr="00845523" w:rsidRDefault="009F77B8" w:rsidP="003A1A36">
      <w:pPr>
        <w:pStyle w:val="BodyText"/>
        <w:numPr>
          <w:ilvl w:val="0"/>
          <w:numId w:val="28"/>
        </w:numPr>
        <w:rPr>
          <w:rFonts w:ascii="Univers" w:hAnsi="Univers"/>
        </w:rPr>
      </w:pPr>
      <w:r w:rsidRPr="002D6B5F">
        <w:t>Under section 94</w:t>
      </w:r>
      <w:proofErr w:type="gramStart"/>
      <w:r w:rsidRPr="002D6B5F">
        <w:t>AA(</w:t>
      </w:r>
      <w:proofErr w:type="gramEnd"/>
      <w:r w:rsidRPr="002D6B5F">
        <w:t>1), the CMA may impose a penalty on a person—</w:t>
      </w:r>
    </w:p>
    <w:p w14:paraId="47650E5B" w14:textId="2CBC080F" w:rsidR="009F77B8" w:rsidRDefault="009F77B8" w:rsidP="00845523">
      <w:pPr>
        <w:pStyle w:val="BodyText2"/>
      </w:pPr>
      <w:r w:rsidRPr="002D6B5F">
        <w:t>from whom the CMA has accepted an enforcement undertaking, or</w:t>
      </w:r>
    </w:p>
    <w:p w14:paraId="0AE49992" w14:textId="143683B1" w:rsidR="009F77B8" w:rsidRPr="00BF4AB3" w:rsidRDefault="009F77B8" w:rsidP="00845523">
      <w:pPr>
        <w:pStyle w:val="BodyText2"/>
      </w:pPr>
      <w:r w:rsidRPr="00BF4AB3">
        <w:t>to whom an enforcement order is addressed,</w:t>
      </w:r>
    </w:p>
    <w:p w14:paraId="7EE427B7" w14:textId="257E12CE" w:rsidR="009F77B8" w:rsidRPr="002D6B5F" w:rsidRDefault="009F77B8" w:rsidP="00845523">
      <w:pPr>
        <w:pStyle w:val="BodyText2"/>
      </w:pPr>
      <w:r w:rsidRPr="002D6B5F">
        <w:t>where the CMA considers that the person has, without reasonable excuse, failed to comply with the undertaking or order.</w:t>
      </w:r>
    </w:p>
    <w:p w14:paraId="11D481BB" w14:textId="62FE994F" w:rsidR="009F77B8" w:rsidRPr="002D6B5F" w:rsidRDefault="009F77B8" w:rsidP="00845523">
      <w:pPr>
        <w:pStyle w:val="BodyText"/>
      </w:pPr>
      <w:r w:rsidRPr="002D6B5F">
        <w:t>In deciding whether and, if so, how to proceed under section 94</w:t>
      </w:r>
      <w:proofErr w:type="gramStart"/>
      <w:r w:rsidRPr="002D6B5F">
        <w:t>AA(</w:t>
      </w:r>
      <w:proofErr w:type="gramEnd"/>
      <w:r w:rsidRPr="002D6B5F">
        <w:t>1) the CMA must have regard to the statement of policy which was most recently published under section 94B at the time of the failure to comply.</w:t>
      </w:r>
    </w:p>
    <w:p w14:paraId="2081AC4A" w14:textId="79BA9B43" w:rsidR="009F77B8" w:rsidRPr="002D6B5F" w:rsidRDefault="009F77B8" w:rsidP="00845523">
      <w:pPr>
        <w:pStyle w:val="SummaryHeading4"/>
      </w:pPr>
      <w:r w:rsidRPr="002D6B5F">
        <w:t>Amount of penalty</w:t>
      </w:r>
    </w:p>
    <w:p w14:paraId="29BB660E" w14:textId="58261B51" w:rsidR="009F77B8" w:rsidRPr="002D6B5F" w:rsidRDefault="009F77B8" w:rsidP="00845523">
      <w:pPr>
        <w:pStyle w:val="BodyText"/>
      </w:pPr>
      <w:r w:rsidRPr="002D6B5F">
        <w:t>A penalty under section 94</w:t>
      </w:r>
      <w:proofErr w:type="gramStart"/>
      <w:r w:rsidRPr="002D6B5F">
        <w:t>AA(</w:t>
      </w:r>
      <w:proofErr w:type="gramEnd"/>
      <w:r w:rsidRPr="002D6B5F">
        <w:t>1) is to be such amount as the CMA considers appropriate.</w:t>
      </w:r>
    </w:p>
    <w:p w14:paraId="1546F264" w14:textId="247C4AEC" w:rsidR="009F77B8" w:rsidRPr="002D6B5F" w:rsidRDefault="009F77B8" w:rsidP="00845523">
      <w:pPr>
        <w:pStyle w:val="BodyText"/>
      </w:pPr>
      <w:r w:rsidRPr="002D6B5F">
        <w:t>The amount must be—</w:t>
      </w:r>
    </w:p>
    <w:p w14:paraId="5DCDAEDB" w14:textId="3EA1F543" w:rsidR="009F77B8" w:rsidRDefault="009F77B8" w:rsidP="00845523">
      <w:pPr>
        <w:pStyle w:val="BodyText2"/>
      </w:pPr>
      <w:r w:rsidRPr="00BF4AB3">
        <w:t>a fixed amount,</w:t>
      </w:r>
    </w:p>
    <w:p w14:paraId="36BA012B" w14:textId="5F9DA608" w:rsidR="009F77B8" w:rsidRPr="00BF4AB3" w:rsidRDefault="009F77B8" w:rsidP="00845523">
      <w:pPr>
        <w:pStyle w:val="BodyText2"/>
      </w:pPr>
      <w:r w:rsidRPr="00BF4AB3">
        <w:t>an amount calculated by reference to a daily rate, or</w:t>
      </w:r>
    </w:p>
    <w:p w14:paraId="18CBA0E5" w14:textId="57F36571" w:rsidR="009F77B8" w:rsidRPr="00BF4AB3" w:rsidRDefault="009F77B8" w:rsidP="00845523">
      <w:pPr>
        <w:pStyle w:val="BodyText2"/>
      </w:pPr>
      <w:r w:rsidRPr="00BF4AB3">
        <w:t>a combination of a fixed amount and an amount calculated by reference to a daily rate.</w:t>
      </w:r>
    </w:p>
    <w:p w14:paraId="56E8359A" w14:textId="7D97F7C3" w:rsidR="009F77B8" w:rsidRDefault="009F77B8" w:rsidP="00845523">
      <w:pPr>
        <w:pStyle w:val="BodyText"/>
      </w:pPr>
      <w:r w:rsidRPr="002D6B5F">
        <w:t>A penalty imposed under section 94</w:t>
      </w:r>
      <w:proofErr w:type="gramStart"/>
      <w:r w:rsidRPr="002D6B5F">
        <w:t>AA(</w:t>
      </w:r>
      <w:proofErr w:type="gramEnd"/>
      <w:r w:rsidRPr="002D6B5F">
        <w:t>1) on a person who does not own or control an enterprise must not—</w:t>
      </w:r>
    </w:p>
    <w:p w14:paraId="255D2891" w14:textId="524B1567" w:rsidR="009F77B8" w:rsidRPr="00BF4AB3" w:rsidRDefault="009F77B8" w:rsidP="00845523">
      <w:pPr>
        <w:pStyle w:val="BodyText2"/>
      </w:pPr>
      <w:r w:rsidRPr="00BF4AB3">
        <w:t xml:space="preserve">in the case of a fixed amount, exceed </w:t>
      </w:r>
      <w:proofErr w:type="gramStart"/>
      <w:r w:rsidRPr="00BF4AB3">
        <w:t>£30,000;</w:t>
      </w:r>
      <w:proofErr w:type="gramEnd"/>
    </w:p>
    <w:p w14:paraId="01EA116E" w14:textId="5FC13F76" w:rsidR="009F77B8" w:rsidRPr="00BF4AB3" w:rsidRDefault="009F77B8" w:rsidP="00845523">
      <w:pPr>
        <w:pStyle w:val="BodyText2"/>
      </w:pPr>
      <w:r w:rsidRPr="002D6B5F">
        <w:t xml:space="preserve">in the case of an amount calculated by reference to a daily rate, exceed £15,000 per </w:t>
      </w:r>
      <w:proofErr w:type="gramStart"/>
      <w:r w:rsidRPr="002D6B5F">
        <w:t>day;</w:t>
      </w:r>
      <w:proofErr w:type="gramEnd"/>
    </w:p>
    <w:p w14:paraId="0BAB58C5" w14:textId="5DD9F4CE" w:rsidR="009F77B8" w:rsidRPr="00BF4AB3" w:rsidRDefault="009F77B8" w:rsidP="00845523">
      <w:pPr>
        <w:pStyle w:val="BodyText2"/>
      </w:pPr>
      <w:r w:rsidRPr="002D6B5F">
        <w:t>in the case of a fixed amount and an amount calculated by reference to a daily rate, exceed such fixed amount and such amount per day.</w:t>
      </w:r>
    </w:p>
    <w:p w14:paraId="47792CB3" w14:textId="1F4C2B9D" w:rsidR="009F77B8" w:rsidRPr="0086650F" w:rsidRDefault="009F77B8" w:rsidP="00845523">
      <w:pPr>
        <w:pStyle w:val="BodyText"/>
      </w:pPr>
      <w:r w:rsidRPr="0086650F">
        <w:lastRenderedPageBreak/>
        <w:t>A penalty imposed under section 94</w:t>
      </w:r>
      <w:proofErr w:type="gramStart"/>
      <w:r w:rsidRPr="0086650F">
        <w:t>AA(</w:t>
      </w:r>
      <w:proofErr w:type="gramEnd"/>
      <w:r w:rsidRPr="0086650F">
        <w:t>1) on any other person must not—</w:t>
      </w:r>
    </w:p>
    <w:p w14:paraId="0EB4A32A" w14:textId="3D411371" w:rsidR="009F77B8" w:rsidRDefault="009F77B8" w:rsidP="00845523">
      <w:pPr>
        <w:pStyle w:val="BodyText2"/>
      </w:pPr>
      <w:r w:rsidRPr="0086650F">
        <w:t xml:space="preserve">in the case of a fixed amount, exceed 5% of the total value of the turnover (both in and outside the United Kingdom) of the enterprises owned or controlled by the person on whom it is </w:t>
      </w:r>
      <w:proofErr w:type="gramStart"/>
      <w:r w:rsidRPr="0086650F">
        <w:t>imposed;</w:t>
      </w:r>
      <w:proofErr w:type="gramEnd"/>
    </w:p>
    <w:p w14:paraId="42E44C23" w14:textId="2F0C43CE" w:rsidR="009F77B8" w:rsidRDefault="009F77B8" w:rsidP="00845523">
      <w:pPr>
        <w:pStyle w:val="BodyText2"/>
      </w:pPr>
      <w:r w:rsidRPr="002D6B5F">
        <w:t xml:space="preserve">in the case of an amount calculated by reference to a daily rate, for each day exceed 5% of the total value of the daily turnover (both in and outside the United Kingdom) of the enterprises owned or controlled by the person on whom it is </w:t>
      </w:r>
      <w:proofErr w:type="gramStart"/>
      <w:r w:rsidRPr="002D6B5F">
        <w:t>imposed;</w:t>
      </w:r>
      <w:proofErr w:type="gramEnd"/>
    </w:p>
    <w:p w14:paraId="4B49B84D" w14:textId="71989B37" w:rsidR="009F77B8" w:rsidRPr="0086650F" w:rsidRDefault="009F77B8" w:rsidP="00845523">
      <w:pPr>
        <w:pStyle w:val="BodyText2"/>
      </w:pPr>
      <w:r w:rsidRPr="002D6B5F">
        <w:t>in the case of a fixed amount and an amount calculated by reference to a daily rate, exceed such fixed amount and such amount per day.</w:t>
      </w:r>
    </w:p>
    <w:p w14:paraId="663036CA" w14:textId="198232ED" w:rsidR="009F77B8" w:rsidRPr="002D6B5F" w:rsidRDefault="009F77B8" w:rsidP="00845523">
      <w:pPr>
        <w:pStyle w:val="BodyText"/>
      </w:pPr>
      <w:r w:rsidRPr="002D6B5F">
        <w:t>In imposing a penalty by reference to a daily rate—</w:t>
      </w:r>
    </w:p>
    <w:p w14:paraId="62B2D4E6" w14:textId="1744BDF7" w:rsidR="009F77B8" w:rsidRPr="0086650F" w:rsidRDefault="009F77B8" w:rsidP="00845523">
      <w:pPr>
        <w:pStyle w:val="BodyText2"/>
      </w:pPr>
      <w:r w:rsidRPr="0086650F">
        <w:t>no account is to be taken of any days before the service on the person concerned of the provisional penalty notice under section 112(A1), and</w:t>
      </w:r>
    </w:p>
    <w:p w14:paraId="019E5C84" w14:textId="67EBDF1A" w:rsidR="009F77B8" w:rsidRPr="0086650F" w:rsidRDefault="009F77B8" w:rsidP="00845523">
      <w:pPr>
        <w:pStyle w:val="BodyText2"/>
      </w:pPr>
      <w:r w:rsidRPr="0086650F">
        <w:t>unless the CMA determines an earlier date (whether before or after the penalty is imposed), the amount payable ceases to accumulate at the beginning of the day on which the person complies with the enforcement undertaking or enforcement order.</w:t>
      </w:r>
    </w:p>
    <w:p w14:paraId="334FE914" w14:textId="0AB24CCE" w:rsidR="009F77B8" w:rsidRPr="002D6B5F" w:rsidRDefault="009F77B8" w:rsidP="00845523">
      <w:pPr>
        <w:pStyle w:val="Heading3NoNumb"/>
      </w:pPr>
      <w:r w:rsidRPr="002D6B5F">
        <w:t>Part B - Penalties for the provision of false or misleading information</w:t>
      </w:r>
    </w:p>
    <w:p w14:paraId="1BAD75CB" w14:textId="2EE05728" w:rsidR="009F77B8" w:rsidRPr="002D6B5F" w:rsidRDefault="009F77B8" w:rsidP="00845523">
      <w:pPr>
        <w:pStyle w:val="SummaryHeading4"/>
      </w:pPr>
      <w:r w:rsidRPr="002D6B5F">
        <w:t>Imposition of civil penalties</w:t>
      </w:r>
    </w:p>
    <w:p w14:paraId="688C9D56" w14:textId="12B96854" w:rsidR="009F77B8" w:rsidRPr="002D6B5F" w:rsidRDefault="009F77B8" w:rsidP="003A1A36">
      <w:pPr>
        <w:pStyle w:val="BodyText"/>
        <w:numPr>
          <w:ilvl w:val="0"/>
          <w:numId w:val="29"/>
        </w:numPr>
      </w:pPr>
      <w:r w:rsidRPr="002D6B5F">
        <w:t>Under section 110(1A) of the Act, the CMA may impose a penalty on a person in accordance with section 111 of the Act where the CMA considers that</w:t>
      </w:r>
    </w:p>
    <w:p w14:paraId="757CD15B" w14:textId="60F21630" w:rsidR="009F77B8" w:rsidRPr="002D6B5F" w:rsidRDefault="009F77B8" w:rsidP="00845523">
      <w:pPr>
        <w:pStyle w:val="BodyText2"/>
      </w:pPr>
      <w:r w:rsidRPr="002D6B5F">
        <w:t xml:space="preserve">The person has, without reasonable excuse, supplied information that is false or misleading in a material respect to the CMA in connection of any of the CMA’s functions under Part 3 of the </w:t>
      </w:r>
      <w:proofErr w:type="gramStart"/>
      <w:r w:rsidRPr="002D6B5F">
        <w:t>Act;</w:t>
      </w:r>
      <w:proofErr w:type="gramEnd"/>
    </w:p>
    <w:p w14:paraId="507881CD" w14:textId="12E1E830" w:rsidR="009F77B8" w:rsidRPr="002D6B5F" w:rsidRDefault="009F77B8" w:rsidP="00845523">
      <w:pPr>
        <w:pStyle w:val="BodyText2"/>
      </w:pPr>
      <w:r w:rsidRPr="002D6B5F">
        <w:t>The person has without reasonable excuse, supplied information that is false or misleading in a material respect to another person knowing that the information was to be used for the purpose of supplying information to the CMA in connection with any function of the CMA under part 3 of the Act.</w:t>
      </w:r>
    </w:p>
    <w:p w14:paraId="3A18651F" w14:textId="1764D024" w:rsidR="009F77B8" w:rsidRPr="002D6B5F" w:rsidRDefault="009F77B8" w:rsidP="00845523">
      <w:pPr>
        <w:pStyle w:val="BodyText"/>
      </w:pPr>
      <w:r w:rsidRPr="002D6B5F">
        <w:t>Under section 110(1C) of the Act, the CMA may not impose such a penalty in relation to an act or omission which constitutes an offence under section 117 of the Act if the person has, by reason of the act or omission, been found guilty of that offence.</w:t>
      </w:r>
    </w:p>
    <w:p w14:paraId="54EC3352" w14:textId="1ED080AC" w:rsidR="009F77B8" w:rsidRPr="002D6B5F" w:rsidRDefault="009F77B8" w:rsidP="00845523">
      <w:pPr>
        <w:pStyle w:val="SummaryHeading4"/>
      </w:pPr>
      <w:r w:rsidRPr="002D6B5F">
        <w:lastRenderedPageBreak/>
        <w:t>Amount of penalty</w:t>
      </w:r>
    </w:p>
    <w:p w14:paraId="0479C18F" w14:textId="42240D9D" w:rsidR="009F77B8" w:rsidRPr="002D6B5F" w:rsidRDefault="009F77B8" w:rsidP="00845523">
      <w:pPr>
        <w:pStyle w:val="BodyText"/>
      </w:pPr>
      <w:r w:rsidRPr="002D6B5F">
        <w:t>Under section 111(4), a penalty imposed under section 110(1A) shall be of such amount as the CMA considers appropriate.</w:t>
      </w:r>
    </w:p>
    <w:p w14:paraId="4E034C96" w14:textId="26550BC1" w:rsidR="009F77B8" w:rsidRDefault="009F77B8" w:rsidP="00845523">
      <w:pPr>
        <w:pStyle w:val="BodyText"/>
        <w:rPr>
          <w:rFonts w:eastAsiaTheme="majorEastAsia"/>
          <w:color w:val="1E1E1E"/>
        </w:rPr>
      </w:pPr>
      <w:r w:rsidRPr="00E61711">
        <w:t xml:space="preserve">A penalty imposed under section 110(1A) on a person who does not own or control an enterprise </w:t>
      </w:r>
      <w:r w:rsidRPr="006917AE">
        <w:t>shall</w:t>
      </w:r>
      <w:r w:rsidRPr="00E61711">
        <w:t xml:space="preserve"> be a fixed amount that must not exceed £30,000</w:t>
      </w:r>
      <w:r>
        <w:rPr>
          <w:rFonts w:eastAsiaTheme="majorEastAsia"/>
          <w:color w:val="1E1E1E"/>
        </w:rPr>
        <w:t>.</w:t>
      </w:r>
    </w:p>
    <w:p w14:paraId="6F9DF4D3" w14:textId="75F9BD31" w:rsidR="009F77B8" w:rsidRPr="0086650F" w:rsidRDefault="009F77B8" w:rsidP="00845523">
      <w:pPr>
        <w:pStyle w:val="BodyText"/>
      </w:pPr>
      <w:r>
        <w:t>U</w:t>
      </w:r>
      <w:r>
        <w:rPr>
          <w:rFonts w:eastAsiaTheme="majorEastAsia"/>
        </w:rPr>
        <w:t xml:space="preserve">nder section </w:t>
      </w:r>
      <w:r w:rsidRPr="001B599F">
        <w:t>111</w:t>
      </w:r>
      <w:r>
        <w:t>(4A) a penalty imposed under section 110(1A) on any other person shall be a fixed amount that must not exceed 1% of the total value of the turnover (both in and outside the United Kingdom) of the enterprises owned or controlled by the person.</w:t>
      </w:r>
    </w:p>
    <w:p w14:paraId="1C0FCADF" w14:textId="2D6D0DDC" w:rsidR="009F77B8" w:rsidRPr="009F77B8" w:rsidRDefault="009F77B8" w:rsidP="00845523">
      <w:pPr>
        <w:pStyle w:val="BodyText"/>
      </w:pPr>
      <w:r w:rsidRPr="001B599F">
        <w:t>In deciding whether and, if so, how to proceed under section 110(1A), the CMA must have regard to the statement of policy which was most recently published under section 116 at the time when the act of omission occurred.</w:t>
      </w:r>
      <w:bookmarkEnd w:id="0"/>
    </w:p>
    <w:sectPr w:rsidR="009F77B8" w:rsidRPr="009F77B8" w:rsidSect="00FB7D8B">
      <w:headerReference w:type="default" r:id="rId10"/>
      <w:footerReference w:type="default" r:id="rId11"/>
      <w:headerReference w:type="first" r:id="rId12"/>
      <w:footerReference w:type="first" r:id="rId13"/>
      <w:pgSz w:w="11909" w:h="16834"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0FB1" w14:textId="77777777" w:rsidR="009F77B8" w:rsidRDefault="009F77B8" w:rsidP="00A64EDE">
      <w:pPr>
        <w:spacing w:after="0" w:line="240" w:lineRule="auto"/>
      </w:pPr>
      <w:r>
        <w:separator/>
      </w:r>
    </w:p>
  </w:endnote>
  <w:endnote w:type="continuationSeparator" w:id="0">
    <w:p w14:paraId="1B7A9969" w14:textId="77777777" w:rsidR="009F77B8" w:rsidRDefault="009F77B8" w:rsidP="00A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CE99" w14:textId="77777777" w:rsidR="00316874" w:rsidRDefault="00316874" w:rsidP="00F13255">
    <w:pPr>
      <w:pStyle w:val="Footer-PageNo"/>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3DBD" w14:textId="77777777" w:rsidR="0071364A" w:rsidRDefault="0071364A" w:rsidP="0071364A">
    <w:pPr>
      <w:pStyle w:val="Footer-PageNo"/>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CEB43" w14:textId="77777777" w:rsidR="009F77B8" w:rsidRDefault="009F77B8" w:rsidP="00576DE1">
      <w:pPr>
        <w:pBdr>
          <w:bottom w:val="single" w:sz="4" w:space="1" w:color="auto"/>
        </w:pBdr>
        <w:spacing w:after="0" w:line="240" w:lineRule="auto"/>
      </w:pPr>
    </w:p>
    <w:p w14:paraId="358A5384" w14:textId="77777777" w:rsidR="009F77B8" w:rsidRPr="00576DE1" w:rsidRDefault="009F77B8" w:rsidP="00A64EDE">
      <w:pPr>
        <w:spacing w:after="0" w:line="240" w:lineRule="auto"/>
        <w:rPr>
          <w:sz w:val="12"/>
          <w:szCs w:val="12"/>
        </w:rPr>
      </w:pPr>
    </w:p>
  </w:footnote>
  <w:footnote w:type="continuationSeparator" w:id="0">
    <w:p w14:paraId="60446E27" w14:textId="77777777" w:rsidR="009F77B8" w:rsidRDefault="009F77B8" w:rsidP="00A6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046C49" w14:paraId="008D8968" w14:textId="77777777" w:rsidTr="00046C49">
      <w:tc>
        <w:tcPr>
          <w:tcW w:w="2294" w:type="dxa"/>
          <w:shd w:val="clear" w:color="auto" w:fill="auto"/>
        </w:tcPr>
        <w:p w14:paraId="6ECA6426" w14:textId="77777777" w:rsidR="00046C49" w:rsidRDefault="00046C49" w:rsidP="00046C49">
          <w:pPr>
            <w:pStyle w:val="Header"/>
            <w:tabs>
              <w:tab w:val="left" w:pos="1410"/>
            </w:tabs>
          </w:pPr>
        </w:p>
      </w:tc>
      <w:tc>
        <w:tcPr>
          <w:tcW w:w="5277" w:type="dxa"/>
          <w:shd w:val="clear" w:color="auto" w:fill="auto"/>
        </w:tcPr>
        <w:p w14:paraId="6570FBAA" w14:textId="33D927B0" w:rsidR="00046C49" w:rsidRDefault="00046C49" w:rsidP="00046C49">
          <w:pPr>
            <w:pStyle w:val="HeaderConfidential"/>
          </w:pPr>
        </w:p>
      </w:tc>
      <w:tc>
        <w:tcPr>
          <w:tcW w:w="2295" w:type="dxa"/>
          <w:shd w:val="clear" w:color="auto" w:fill="auto"/>
        </w:tcPr>
        <w:p w14:paraId="3A739E52" w14:textId="77777777" w:rsidR="00046C49" w:rsidRDefault="00046C49" w:rsidP="00046C49">
          <w:pPr>
            <w:pStyle w:val="Header"/>
          </w:pPr>
        </w:p>
      </w:tc>
    </w:tr>
  </w:tbl>
  <w:p w14:paraId="50DD178C" w14:textId="77777777" w:rsidR="00046C49" w:rsidRDefault="00046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13" w:type="dxa"/>
      <w:tblLayout w:type="fixed"/>
      <w:tblLook w:val="04A0" w:firstRow="1" w:lastRow="0" w:firstColumn="1" w:lastColumn="0" w:noHBand="0" w:noVBand="1"/>
    </w:tblPr>
    <w:tblGrid>
      <w:gridCol w:w="2294"/>
      <w:gridCol w:w="5277"/>
      <w:gridCol w:w="2295"/>
    </w:tblGrid>
    <w:tr w:rsidR="00D94FD3" w14:paraId="072E75F9" w14:textId="77777777" w:rsidTr="00DC65C2">
      <w:trPr>
        <w:trHeight w:val="1437"/>
      </w:trPr>
      <w:tc>
        <w:tcPr>
          <w:tcW w:w="2268" w:type="dxa"/>
          <w:shd w:val="clear" w:color="auto" w:fill="auto"/>
        </w:tcPr>
        <w:p w14:paraId="4CC71B9B" w14:textId="77777777" w:rsidR="00D94FD3" w:rsidRDefault="00D94FD3" w:rsidP="00D94FD3">
          <w:pPr>
            <w:pStyle w:val="Header"/>
            <w:tabs>
              <w:tab w:val="left" w:pos="1410"/>
            </w:tabs>
          </w:pPr>
          <w:r>
            <w:rPr>
              <w:noProof/>
            </w:rPr>
            <w:drawing>
              <wp:anchor distT="0" distB="182880" distL="114300" distR="114427" simplePos="0" relativeHeight="251659264" behindDoc="0" locked="1" layoutInCell="1" allowOverlap="0" wp14:anchorId="0CE5D856" wp14:editId="68A90F8A">
                <wp:simplePos x="0" y="0"/>
                <wp:positionH relativeFrom="page">
                  <wp:posOffset>119380</wp:posOffset>
                </wp:positionH>
                <wp:positionV relativeFrom="page">
                  <wp:posOffset>11430</wp:posOffset>
                </wp:positionV>
                <wp:extent cx="1444498" cy="740410"/>
                <wp:effectExtent l="0" t="0" r="0" b="0"/>
                <wp:wrapTopAndBottom/>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990" cy="740410"/>
                        </a:xfrm>
                        <a:prstGeom prst="rect">
                          <a:avLst/>
                        </a:prstGeom>
                      </pic:spPr>
                    </pic:pic>
                  </a:graphicData>
                </a:graphic>
                <wp14:sizeRelH relativeFrom="margin">
                  <wp14:pctWidth>0</wp14:pctWidth>
                </wp14:sizeRelH>
                <wp14:sizeRelV relativeFrom="margin">
                  <wp14:pctHeight>0</wp14:pctHeight>
                </wp14:sizeRelV>
              </wp:anchor>
            </w:drawing>
          </w:r>
        </w:p>
      </w:tc>
      <w:tc>
        <w:tcPr>
          <w:tcW w:w="5216" w:type="dxa"/>
          <w:shd w:val="clear" w:color="auto" w:fill="auto"/>
        </w:tcPr>
        <w:p w14:paraId="0D7AF788" w14:textId="453F98E3" w:rsidR="00D94FD3" w:rsidRDefault="00D94FD3" w:rsidP="00D6098D">
          <w:pPr>
            <w:pStyle w:val="HeaderConfidential"/>
          </w:pPr>
        </w:p>
      </w:tc>
      <w:tc>
        <w:tcPr>
          <w:tcW w:w="2268" w:type="dxa"/>
          <w:shd w:val="clear" w:color="auto" w:fill="auto"/>
        </w:tcPr>
        <w:p w14:paraId="4176D74D" w14:textId="77777777" w:rsidR="00D94FD3" w:rsidRDefault="00D94FD3" w:rsidP="00DC65C2">
          <w:pPr>
            <w:pStyle w:val="Header"/>
          </w:pPr>
        </w:p>
      </w:tc>
    </w:tr>
  </w:tbl>
  <w:p w14:paraId="1C70927F" w14:textId="77777777" w:rsidR="00D94FD3" w:rsidRDefault="00D94FD3" w:rsidP="00D94FD3">
    <w:pPr>
      <w:pStyle w:val="Header"/>
      <w:tabs>
        <w:tab w:val="left" w:pos="1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66F4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D49F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BC4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547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389C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2E6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9E95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076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C9C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D01C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8433DE"/>
    <w:multiLevelType w:val="multilevel"/>
    <w:tmpl w:val="B0683AFC"/>
    <w:styleLink w:val="NumbListMain"/>
    <w:lvl w:ilvl="0">
      <w:start w:val="1"/>
      <w:numFmt w:val="decimal"/>
      <w:pStyle w:val="Heading3"/>
      <w:lvlText w:val="%1."/>
      <w:lvlJc w:val="left"/>
      <w:pPr>
        <w:tabs>
          <w:tab w:val="num" w:pos="851"/>
        </w:tabs>
        <w:ind w:left="851" w:hanging="851"/>
      </w:pPr>
      <w:rPr>
        <w:rFonts w:hint="default"/>
        <w:b/>
        <w:i w:val="0"/>
        <w:color w:val="0046AD" w:themeColor="text2"/>
        <w:sz w:val="32"/>
      </w:rPr>
    </w:lvl>
    <w:lvl w:ilvl="1">
      <w:start w:val="1"/>
      <w:numFmt w:val="decimal"/>
      <w:pStyle w:val="Heading4"/>
      <w:lvlText w:val="%1.%2"/>
      <w:lvlJc w:val="left"/>
      <w:pPr>
        <w:tabs>
          <w:tab w:val="num" w:pos="851"/>
        </w:tabs>
        <w:ind w:left="851" w:hanging="851"/>
      </w:pPr>
      <w:rPr>
        <w:rFonts w:hint="default"/>
        <w:b/>
        <w:i w:val="0"/>
        <w:color w:val="auto"/>
        <w:sz w:val="28"/>
      </w:rPr>
    </w:lvl>
    <w:lvl w:ilvl="2">
      <w:start w:val="1"/>
      <w:numFmt w:val="decimal"/>
      <w:pStyle w:val="Heading5"/>
      <w:lvlText w:val="%1.%2.%3"/>
      <w:lvlJc w:val="left"/>
      <w:pPr>
        <w:tabs>
          <w:tab w:val="num" w:pos="851"/>
        </w:tabs>
        <w:ind w:left="851" w:hanging="851"/>
      </w:pPr>
      <w:rPr>
        <w:rFonts w:hint="default"/>
        <w:b/>
        <w:i w:val="0"/>
        <w:color w:val="auto"/>
        <w:sz w:val="24"/>
      </w:rPr>
    </w:lvl>
    <w:lvl w:ilvl="3">
      <w:start w:val="1"/>
      <w:numFmt w:val="decimal"/>
      <w:pStyle w:val="Heading6"/>
      <w:lvlText w:val="%1.%2.%3.%4"/>
      <w:lvlJc w:val="left"/>
      <w:pPr>
        <w:tabs>
          <w:tab w:val="num" w:pos="1134"/>
        </w:tabs>
        <w:ind w:left="1134" w:hanging="1134"/>
      </w:pPr>
      <w:rPr>
        <w:rFonts w:hint="default"/>
        <w:b w:val="0"/>
        <w:i/>
        <w:color w:val="auto"/>
        <w:sz w:val="24"/>
      </w:rPr>
    </w:lvl>
    <w:lvl w:ilvl="4">
      <w:start w:val="1"/>
      <w:numFmt w:val="decimal"/>
      <w:pStyle w:val="Heading7"/>
      <w:lvlText w:val="%1.%2.%3.%4.%5"/>
      <w:lvlJc w:val="left"/>
      <w:pPr>
        <w:tabs>
          <w:tab w:val="num" w:pos="1418"/>
        </w:tabs>
        <w:ind w:left="1418" w:hanging="1418"/>
      </w:pPr>
      <w:rPr>
        <w:rFonts w:hint="default"/>
        <w:b w:val="0"/>
        <w:i/>
        <w:color w:val="auto"/>
        <w:sz w:val="24"/>
      </w:rPr>
    </w:lvl>
    <w:lvl w:ilvl="5">
      <w:start w:val="1"/>
      <w:numFmt w:val="decimal"/>
      <w:pStyle w:val="Heading8"/>
      <w:lvlText w:val="%1.%2.%3.%4.%5.%6"/>
      <w:lvlJc w:val="left"/>
      <w:pPr>
        <w:tabs>
          <w:tab w:val="num" w:pos="1701"/>
        </w:tabs>
        <w:ind w:left="1701" w:hanging="1701"/>
      </w:pPr>
      <w:rPr>
        <w:rFonts w:hint="default"/>
        <w:b w:val="0"/>
        <w:i/>
        <w:color w:val="auto"/>
        <w:sz w:val="24"/>
      </w:rPr>
    </w:lvl>
    <w:lvl w:ilvl="6">
      <w:start w:val="1"/>
      <w:numFmt w:val="decimal"/>
      <w:pStyle w:val="Heading9"/>
      <w:lvlText w:val="%1.%2.%3.%4.%5.%6.%7"/>
      <w:lvlJc w:val="left"/>
      <w:pPr>
        <w:tabs>
          <w:tab w:val="num" w:pos="1985"/>
        </w:tabs>
        <w:ind w:left="1985" w:hanging="1985"/>
      </w:pPr>
      <w:rPr>
        <w:rFonts w:hint="default"/>
        <w:b w:val="0"/>
        <w:i/>
        <w:color w:val="auto"/>
        <w:sz w:val="24"/>
      </w:rPr>
    </w:lvl>
    <w:lvl w:ilvl="7">
      <w:start w:val="1"/>
      <w:numFmt w:val="decimal"/>
      <w:pStyle w:val="Heading10"/>
      <w:lvlText w:val="%1.%2.%3.%4.%5.%6.%7.%8"/>
      <w:lvlJc w:val="left"/>
      <w:pPr>
        <w:tabs>
          <w:tab w:val="num" w:pos="2268"/>
        </w:tabs>
        <w:ind w:left="2268" w:hanging="2268"/>
      </w:pPr>
      <w:rPr>
        <w:rFonts w:hint="default"/>
        <w:b w:val="0"/>
        <w:i/>
        <w:color w:val="auto"/>
        <w:sz w:val="24"/>
      </w:rPr>
    </w:lvl>
    <w:lvl w:ilvl="8">
      <w:start w:val="1"/>
      <w:numFmt w:val="decimal"/>
      <w:pStyle w:val="Heading11"/>
      <w:lvlText w:val="%1.%2.%3.%4.%5.%6.%7.%8.%9"/>
      <w:lvlJc w:val="left"/>
      <w:pPr>
        <w:tabs>
          <w:tab w:val="num" w:pos="2552"/>
        </w:tabs>
        <w:ind w:left="2552" w:hanging="2552"/>
      </w:pPr>
      <w:rPr>
        <w:rFonts w:hint="default"/>
        <w:b w:val="0"/>
        <w:i/>
        <w:color w:val="auto"/>
        <w:sz w:val="24"/>
      </w:rPr>
    </w:lvl>
  </w:abstractNum>
  <w:abstractNum w:abstractNumId="11" w15:restartNumberingAfterBreak="0">
    <w:nsid w:val="126F70B2"/>
    <w:multiLevelType w:val="multilevel"/>
    <w:tmpl w:val="B0683AFC"/>
    <w:numStyleLink w:val="NumbListMain"/>
  </w:abstractNum>
  <w:abstractNum w:abstractNumId="12" w15:restartNumberingAfterBreak="0">
    <w:nsid w:val="252F2EEE"/>
    <w:multiLevelType w:val="multilevel"/>
    <w:tmpl w:val="E48A1EE4"/>
    <w:numStyleLink w:val="NumbListBodyText"/>
  </w:abstractNum>
  <w:abstractNum w:abstractNumId="13" w15:restartNumberingAfterBreak="0">
    <w:nsid w:val="2ACE655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F21ACA"/>
    <w:multiLevelType w:val="multilevel"/>
    <w:tmpl w:val="1C44D29C"/>
    <w:styleLink w:val="NumbListBoxBullet"/>
    <w:lvl w:ilvl="0">
      <w:start w:val="1"/>
      <w:numFmt w:val="bullet"/>
      <w:lvlText w:val=""/>
      <w:lvlJc w:val="left"/>
      <w:pPr>
        <w:tabs>
          <w:tab w:val="num" w:pos="340"/>
        </w:tabs>
        <w:ind w:left="340" w:hanging="340"/>
      </w:pPr>
      <w:rPr>
        <w:rFonts w:ascii="Symbol" w:hAnsi="Symbol" w:hint="default"/>
      </w:rPr>
    </w:lvl>
    <w:lvl w:ilvl="1">
      <w:start w:val="1"/>
      <w:numFmt w:val="none"/>
      <w:suff w:val="nothing"/>
      <w:lvlText w:val=""/>
      <w:lvlJc w:val="left"/>
      <w:pPr>
        <w:ind w:left="357" w:firstLine="0"/>
      </w:pPr>
      <w:rPr>
        <w:rFonts w:hint="default"/>
      </w:rPr>
    </w:lvl>
    <w:lvl w:ilvl="2">
      <w:start w:val="1"/>
      <w:numFmt w:val="none"/>
      <w:suff w:val="nothing"/>
      <w:lvlText w:val=""/>
      <w:lvlJc w:val="left"/>
      <w:pPr>
        <w:ind w:left="357" w:firstLine="0"/>
      </w:pPr>
      <w:rPr>
        <w:rFonts w:hint="default"/>
      </w:rPr>
    </w:lvl>
    <w:lvl w:ilvl="3">
      <w:start w:val="1"/>
      <w:numFmt w:val="bullet"/>
      <w:pStyle w:val="Boxbullettext"/>
      <w:lvlText w:val=""/>
      <w:lvlJc w:val="left"/>
      <w:pPr>
        <w:tabs>
          <w:tab w:val="num" w:pos="340"/>
        </w:tabs>
        <w:ind w:left="340" w:hanging="340"/>
      </w:pPr>
      <w:rPr>
        <w:rFonts w:ascii="Symbol" w:hAnsi="Symbol" w:hint="default"/>
        <w:color w:val="auto"/>
      </w:rPr>
    </w:lvl>
    <w:lvl w:ilvl="4">
      <w:start w:val="1"/>
      <w:numFmt w:val="none"/>
      <w:suff w:val="nothing"/>
      <w:lvlText w:val=""/>
      <w:lvlJc w:val="left"/>
      <w:pPr>
        <w:ind w:left="357" w:firstLine="0"/>
      </w:pPr>
      <w:rPr>
        <w:rFonts w:hint="default"/>
      </w:rPr>
    </w:lvl>
    <w:lvl w:ilvl="5">
      <w:start w:val="1"/>
      <w:numFmt w:val="none"/>
      <w:suff w:val="nothing"/>
      <w:lvlText w:val=""/>
      <w:lvlJc w:val="left"/>
      <w:pPr>
        <w:ind w:left="357" w:firstLine="0"/>
      </w:pPr>
      <w:rPr>
        <w:rFonts w:hint="default"/>
      </w:rPr>
    </w:lvl>
    <w:lvl w:ilvl="6">
      <w:start w:val="1"/>
      <w:numFmt w:val="none"/>
      <w:suff w:val="nothing"/>
      <w:lvlText w:val=""/>
      <w:lvlJc w:val="left"/>
      <w:pPr>
        <w:ind w:left="357" w:firstLine="0"/>
      </w:pPr>
      <w:rPr>
        <w:rFonts w:hint="default"/>
      </w:rPr>
    </w:lvl>
    <w:lvl w:ilvl="7">
      <w:start w:val="1"/>
      <w:numFmt w:val="bullet"/>
      <w:lvlRestart w:val="0"/>
      <w:pStyle w:val="TableBullet1"/>
      <w:lvlText w:val=""/>
      <w:lvlJc w:val="left"/>
      <w:pPr>
        <w:ind w:left="170" w:hanging="170"/>
      </w:pPr>
      <w:rPr>
        <w:rFonts w:ascii="Symbol" w:hAnsi="Symbol" w:hint="default"/>
        <w:color w:val="auto"/>
        <w:sz w:val="16"/>
      </w:rPr>
    </w:lvl>
    <w:lvl w:ilvl="8">
      <w:start w:val="1"/>
      <w:numFmt w:val="bullet"/>
      <w:lvlRestart w:val="0"/>
      <w:lvlText w:val="–"/>
      <w:lvlJc w:val="left"/>
      <w:pPr>
        <w:tabs>
          <w:tab w:val="num" w:pos="340"/>
        </w:tabs>
        <w:ind w:left="340" w:hanging="170"/>
      </w:pPr>
      <w:rPr>
        <w:rFonts w:ascii="Arial" w:hAnsi="Arial" w:hint="default"/>
        <w:color w:val="auto"/>
        <w:sz w:val="16"/>
      </w:rPr>
    </w:lvl>
  </w:abstractNum>
  <w:abstractNum w:abstractNumId="15" w15:restartNumberingAfterBreak="0">
    <w:nsid w:val="30AB5D6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A3E2E"/>
    <w:multiLevelType w:val="multilevel"/>
    <w:tmpl w:val="1FD230C6"/>
    <w:numStyleLink w:val="NumbListTables"/>
  </w:abstractNum>
  <w:abstractNum w:abstractNumId="17" w15:restartNumberingAfterBreak="0">
    <w:nsid w:val="41773225"/>
    <w:multiLevelType w:val="multilevel"/>
    <w:tmpl w:val="1C44D29C"/>
    <w:numStyleLink w:val="NumbListBoxBullet"/>
  </w:abstractNum>
  <w:abstractNum w:abstractNumId="18" w15:restartNumberingAfterBreak="0">
    <w:nsid w:val="44106552"/>
    <w:multiLevelType w:val="multilevel"/>
    <w:tmpl w:val="E48A1EE4"/>
    <w:styleLink w:val="NumbListBodyText"/>
    <w:lvl w:ilvl="0">
      <w:start w:val="1"/>
      <w:numFmt w:val="decimal"/>
      <w:pStyle w:val="BodyText"/>
      <w:lvlText w:val="%1."/>
      <w:lvlJc w:val="left"/>
      <w:pPr>
        <w:tabs>
          <w:tab w:val="num" w:pos="851"/>
        </w:tabs>
        <w:ind w:left="851" w:hanging="851"/>
      </w:pPr>
      <w:rPr>
        <w:rFonts w:hint="default"/>
        <w:b w:val="0"/>
        <w:i w:val="0"/>
        <w:color w:val="auto"/>
        <w:sz w:val="24"/>
      </w:rPr>
    </w:lvl>
    <w:lvl w:ilvl="1">
      <w:start w:val="1"/>
      <w:numFmt w:val="lowerLetter"/>
      <w:pStyle w:val="BodyText2"/>
      <w:lvlText w:val="(%2)"/>
      <w:lvlJc w:val="left"/>
      <w:pPr>
        <w:tabs>
          <w:tab w:val="num" w:pos="1418"/>
        </w:tabs>
        <w:ind w:left="1418" w:hanging="567"/>
      </w:pPr>
      <w:rPr>
        <w:rFonts w:hint="default"/>
        <w:b w:val="0"/>
        <w:i w:val="0"/>
        <w:color w:val="auto"/>
        <w:sz w:val="24"/>
      </w:rPr>
    </w:lvl>
    <w:lvl w:ilvl="2">
      <w:start w:val="1"/>
      <w:numFmt w:val="lowerRoman"/>
      <w:pStyle w:val="BodyText3"/>
      <w:lvlText w:val="(%3)"/>
      <w:lvlJc w:val="left"/>
      <w:pPr>
        <w:tabs>
          <w:tab w:val="num" w:pos="1985"/>
        </w:tabs>
        <w:ind w:left="1985" w:hanging="567"/>
      </w:pPr>
      <w:rPr>
        <w:rFonts w:hint="default"/>
        <w:b w:val="0"/>
        <w:i w:val="0"/>
        <w:color w:val="auto"/>
        <w:sz w:val="24"/>
      </w:rPr>
    </w:lvl>
    <w:lvl w:ilvl="3">
      <w:start w:val="1"/>
      <w:numFmt w:val="decimal"/>
      <w:pStyle w:val="BodyText4"/>
      <w:lvlText w:val="(%4)"/>
      <w:lvlJc w:val="left"/>
      <w:pPr>
        <w:tabs>
          <w:tab w:val="num" w:pos="2552"/>
        </w:tabs>
        <w:ind w:left="2552" w:hanging="567"/>
      </w:pPr>
      <w:rPr>
        <w:rFonts w:hint="default"/>
        <w:b w:val="0"/>
        <w:i w:val="0"/>
        <w:color w:val="auto"/>
        <w:sz w:val="24"/>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19" w15:restartNumberingAfterBreak="0">
    <w:nsid w:val="460A3D6C"/>
    <w:multiLevelType w:val="multilevel"/>
    <w:tmpl w:val="6F64E268"/>
    <w:numStyleLink w:val="NumbListBullets"/>
  </w:abstractNum>
  <w:abstractNum w:abstractNumId="20" w15:restartNumberingAfterBreak="0">
    <w:nsid w:val="47BD64A2"/>
    <w:multiLevelType w:val="multilevel"/>
    <w:tmpl w:val="1FD230C6"/>
    <w:styleLink w:val="NumbListTables"/>
    <w:lvl w:ilvl="0">
      <w:start w:val="1"/>
      <w:numFmt w:val="decimal"/>
      <w:pStyle w:val="TableTitle"/>
      <w:suff w:val="nothing"/>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7BF326C"/>
    <w:multiLevelType w:val="multilevel"/>
    <w:tmpl w:val="B0683AFC"/>
    <w:name w:val="ChapterNumber4"/>
    <w:numStyleLink w:val="NumbListMain"/>
  </w:abstractNum>
  <w:abstractNum w:abstractNumId="22" w15:restartNumberingAfterBreak="0">
    <w:nsid w:val="49435A97"/>
    <w:multiLevelType w:val="multilevel"/>
    <w:tmpl w:val="5E0682FE"/>
    <w:styleLink w:val="NumbListfigures"/>
    <w:lvl w:ilvl="0">
      <w:start w:val="1"/>
      <w:numFmt w:val="decimal"/>
      <w:pStyle w:val="FigureTitle"/>
      <w:suff w:val="nothing"/>
      <w:lvlText w:val="Fig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3F47A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1C261F"/>
    <w:multiLevelType w:val="multilevel"/>
    <w:tmpl w:val="3142181C"/>
    <w:name w:val="zzmpFirm3||Firm 3|2|3|1|1|2|33||1|2|1||1|2|32||1|2|32||1|2|32||1|2|32||1|2|32||1|2|32||1|2|32||222"/>
    <w:lvl w:ilvl="0">
      <w:start w:val="1"/>
      <w:numFmt w:val="decimal"/>
      <w:lvlText w:val="%1."/>
      <w:lvlJc w:val="left"/>
      <w:pPr>
        <w:tabs>
          <w:tab w:val="num" w:pos="720"/>
        </w:tabs>
        <w:ind w:left="720" w:hanging="720"/>
      </w:pPr>
      <w:rPr>
        <w:rFonts w:hint="default"/>
        <w:b/>
        <w:bCs/>
        <w:i w:val="0"/>
        <w:caps w:val="0"/>
        <w:u w:val="none"/>
      </w:rPr>
    </w:lvl>
    <w:lvl w:ilvl="1">
      <w:start w:val="1"/>
      <w:numFmt w:val="decimal"/>
      <w:lvlText w:val="%1.%2"/>
      <w:lvlJc w:val="left"/>
      <w:pPr>
        <w:tabs>
          <w:tab w:val="num" w:pos="720"/>
        </w:tabs>
        <w:ind w:left="720" w:hanging="720"/>
      </w:pPr>
      <w:rPr>
        <w:rFonts w:hint="default"/>
        <w:b w:val="0"/>
        <w:i w:val="0"/>
        <w:caps w:val="0"/>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u w:val="none"/>
      </w:rPr>
    </w:lvl>
    <w:lvl w:ilvl="4">
      <w:start w:val="1"/>
      <w:numFmt w:val="upperLetter"/>
      <w:lvlText w:val="(%5)"/>
      <w:lvlJc w:val="left"/>
      <w:pPr>
        <w:tabs>
          <w:tab w:val="num" w:pos="2880"/>
        </w:tabs>
        <w:ind w:left="2880" w:hanging="720"/>
      </w:pPr>
      <w:rPr>
        <w:rFonts w:hint="default"/>
        <w:b w:val="0"/>
        <w:i w:val="0"/>
        <w:caps w:val="0"/>
        <w:u w:val="none"/>
      </w:rPr>
    </w:lvl>
    <w:lvl w:ilvl="5">
      <w:start w:val="1"/>
      <w:numFmt w:val="upperRoman"/>
      <w:lvlText w:val="(%6)"/>
      <w:lvlJc w:val="left"/>
      <w:pPr>
        <w:tabs>
          <w:tab w:val="num" w:pos="3600"/>
        </w:tabs>
        <w:ind w:left="3600" w:hanging="720"/>
      </w:pPr>
      <w:rPr>
        <w:rFonts w:hint="default"/>
        <w:b w:val="0"/>
        <w:i w:val="0"/>
        <w:caps w:val="0"/>
        <w:u w:val="none"/>
      </w:rPr>
    </w:lvl>
    <w:lvl w:ilvl="6">
      <w:start w:val="27"/>
      <w:numFmt w:val="lowerLetter"/>
      <w:lvlText w:val="(%7)"/>
      <w:lvlJc w:val="left"/>
      <w:pPr>
        <w:tabs>
          <w:tab w:val="num" w:pos="4320"/>
        </w:tabs>
        <w:ind w:left="4320" w:hanging="720"/>
      </w:pPr>
      <w:rPr>
        <w:rFonts w:hint="default"/>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25" w15:restartNumberingAfterBreak="0">
    <w:nsid w:val="6C4A1C64"/>
    <w:multiLevelType w:val="multilevel"/>
    <w:tmpl w:val="5E0682FE"/>
    <w:numStyleLink w:val="NumbListfigures"/>
  </w:abstractNum>
  <w:abstractNum w:abstractNumId="26" w15:restartNumberingAfterBreak="0">
    <w:nsid w:val="6D716410"/>
    <w:multiLevelType w:val="multilevel"/>
    <w:tmpl w:val="6F64E268"/>
    <w:styleLink w:val="NumbListBullets"/>
    <w:lvl w:ilvl="0">
      <w:start w:val="1"/>
      <w:numFmt w:val="bullet"/>
      <w:pStyle w:val="Bullets1"/>
      <w:lvlText w:val="●"/>
      <w:lvlJc w:val="left"/>
      <w:pPr>
        <w:tabs>
          <w:tab w:val="num" w:pos="1418"/>
        </w:tabs>
        <w:ind w:left="1418" w:hanging="567"/>
      </w:pPr>
      <w:rPr>
        <w:rFonts w:ascii="Arial" w:hAnsi="Arial" w:hint="default"/>
        <w:color w:val="000000" w:themeColor="text1"/>
      </w:rPr>
    </w:lvl>
    <w:lvl w:ilvl="1">
      <w:start w:val="1"/>
      <w:numFmt w:val="bullet"/>
      <w:pStyle w:val="Bullets2"/>
      <w:lvlText w:val="–"/>
      <w:lvlJc w:val="left"/>
      <w:pPr>
        <w:tabs>
          <w:tab w:val="num" w:pos="1985"/>
        </w:tabs>
        <w:ind w:left="1985" w:hanging="567"/>
      </w:pPr>
      <w:rPr>
        <w:rFonts w:ascii="Calibri" w:hAnsi="Calibri" w:hint="default"/>
        <w:color w:val="000000" w:themeColor="text1"/>
      </w:rPr>
    </w:lvl>
    <w:lvl w:ilvl="2">
      <w:start w:val="1"/>
      <w:numFmt w:val="bullet"/>
      <w:pStyle w:val="Bullets3"/>
      <w:lvlText w:val="◦"/>
      <w:lvlJc w:val="left"/>
      <w:pPr>
        <w:tabs>
          <w:tab w:val="num" w:pos="2552"/>
        </w:tabs>
        <w:ind w:left="2552" w:hanging="567"/>
      </w:pPr>
      <w:rPr>
        <w:rFonts w:ascii="Calibri" w:hAnsi="Calibri" w:hint="default"/>
        <w:color w:val="000000" w:themeColor="text1"/>
      </w:rPr>
    </w:lvl>
    <w:lvl w:ilvl="3">
      <w:start w:val="1"/>
      <w:numFmt w:val="none"/>
      <w:suff w:val="nothing"/>
      <w:lvlText w:val=""/>
      <w:lvlJc w:val="left"/>
      <w:pPr>
        <w:ind w:left="2552" w:firstLine="0"/>
      </w:pPr>
      <w:rPr>
        <w:rFonts w:hint="default"/>
        <w:color w:val="auto"/>
      </w:rPr>
    </w:lvl>
    <w:lvl w:ilvl="4">
      <w:start w:val="1"/>
      <w:numFmt w:val="none"/>
      <w:suff w:val="nothing"/>
      <w:lvlText w:val=""/>
      <w:lvlJc w:val="left"/>
      <w:pPr>
        <w:ind w:left="2552" w:firstLine="0"/>
      </w:pPr>
      <w:rPr>
        <w:rFonts w:hint="default"/>
        <w:color w:val="000000" w:themeColor="text1"/>
      </w:rPr>
    </w:lvl>
    <w:lvl w:ilvl="5">
      <w:start w:val="1"/>
      <w:numFmt w:val="none"/>
      <w:suff w:val="nothing"/>
      <w:lvlText w:val=""/>
      <w:lvlJc w:val="left"/>
      <w:pPr>
        <w:ind w:left="2552" w:firstLine="0"/>
      </w:pPr>
      <w:rPr>
        <w:rFonts w:hint="default"/>
        <w:color w:val="000000" w:themeColor="text1"/>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num w:numId="1" w16cid:durableId="1815677605">
    <w:abstractNumId w:val="26"/>
  </w:num>
  <w:num w:numId="2" w16cid:durableId="1416317793">
    <w:abstractNumId w:val="18"/>
  </w:num>
  <w:num w:numId="3" w16cid:durableId="1623026822">
    <w:abstractNumId w:val="10"/>
  </w:num>
  <w:num w:numId="4" w16cid:durableId="335622508">
    <w:abstractNumId w:val="14"/>
  </w:num>
  <w:num w:numId="5" w16cid:durableId="533545739">
    <w:abstractNumId w:val="19"/>
  </w:num>
  <w:num w:numId="6" w16cid:durableId="2009169538">
    <w:abstractNumId w:val="20"/>
  </w:num>
  <w:num w:numId="7" w16cid:durableId="823282881">
    <w:abstractNumId w:val="22"/>
  </w:num>
  <w:num w:numId="8" w16cid:durableId="1754548676">
    <w:abstractNumId w:val="12"/>
  </w:num>
  <w:num w:numId="9" w16cid:durableId="195701333">
    <w:abstractNumId w:val="16"/>
  </w:num>
  <w:num w:numId="10" w16cid:durableId="1985501692">
    <w:abstractNumId w:val="25"/>
  </w:num>
  <w:num w:numId="11" w16cid:durableId="1208760088">
    <w:abstractNumId w:val="9"/>
  </w:num>
  <w:num w:numId="12" w16cid:durableId="878467508">
    <w:abstractNumId w:val="7"/>
  </w:num>
  <w:num w:numId="13" w16cid:durableId="91971847">
    <w:abstractNumId w:val="6"/>
  </w:num>
  <w:num w:numId="14" w16cid:durableId="1428188606">
    <w:abstractNumId w:val="5"/>
  </w:num>
  <w:num w:numId="15" w16cid:durableId="166134287">
    <w:abstractNumId w:val="4"/>
  </w:num>
  <w:num w:numId="16" w16cid:durableId="908154305">
    <w:abstractNumId w:val="11"/>
  </w:num>
  <w:num w:numId="17" w16cid:durableId="320888311">
    <w:abstractNumId w:val="17"/>
  </w:num>
  <w:num w:numId="18" w16cid:durableId="1262566791">
    <w:abstractNumId w:val="15"/>
  </w:num>
  <w:num w:numId="19" w16cid:durableId="1577129413">
    <w:abstractNumId w:val="23"/>
  </w:num>
  <w:num w:numId="20" w16cid:durableId="600645627">
    <w:abstractNumId w:val="13"/>
  </w:num>
  <w:num w:numId="21" w16cid:durableId="122775570">
    <w:abstractNumId w:val="8"/>
  </w:num>
  <w:num w:numId="22" w16cid:durableId="381515202">
    <w:abstractNumId w:val="3"/>
  </w:num>
  <w:num w:numId="23" w16cid:durableId="1003439311">
    <w:abstractNumId w:val="2"/>
  </w:num>
  <w:num w:numId="24" w16cid:durableId="2116709335">
    <w:abstractNumId w:val="1"/>
  </w:num>
  <w:num w:numId="25" w16cid:durableId="205921675">
    <w:abstractNumId w:val="0"/>
  </w:num>
  <w:num w:numId="26" w16cid:durableId="935987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3715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565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6894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B8"/>
    <w:rsid w:val="00033143"/>
    <w:rsid w:val="00042237"/>
    <w:rsid w:val="00044B61"/>
    <w:rsid w:val="0004529A"/>
    <w:rsid w:val="00046C49"/>
    <w:rsid w:val="00046D19"/>
    <w:rsid w:val="00047DA9"/>
    <w:rsid w:val="000518F0"/>
    <w:rsid w:val="00056188"/>
    <w:rsid w:val="0006100E"/>
    <w:rsid w:val="00065F2D"/>
    <w:rsid w:val="00070890"/>
    <w:rsid w:val="00071C0C"/>
    <w:rsid w:val="00074163"/>
    <w:rsid w:val="00074C65"/>
    <w:rsid w:val="00082917"/>
    <w:rsid w:val="0008295A"/>
    <w:rsid w:val="00082BD6"/>
    <w:rsid w:val="00086CD9"/>
    <w:rsid w:val="00090AC3"/>
    <w:rsid w:val="00093445"/>
    <w:rsid w:val="00094ED8"/>
    <w:rsid w:val="000A1CF9"/>
    <w:rsid w:val="000A7452"/>
    <w:rsid w:val="000B1D93"/>
    <w:rsid w:val="000C0226"/>
    <w:rsid w:val="000D1089"/>
    <w:rsid w:val="000D302E"/>
    <w:rsid w:val="000F1BC2"/>
    <w:rsid w:val="00113327"/>
    <w:rsid w:val="0011386E"/>
    <w:rsid w:val="0011723D"/>
    <w:rsid w:val="00123EBA"/>
    <w:rsid w:val="00126654"/>
    <w:rsid w:val="001276ED"/>
    <w:rsid w:val="00137BAE"/>
    <w:rsid w:val="00137E95"/>
    <w:rsid w:val="00141487"/>
    <w:rsid w:val="001434B1"/>
    <w:rsid w:val="00146D69"/>
    <w:rsid w:val="00151CC5"/>
    <w:rsid w:val="00157EFF"/>
    <w:rsid w:val="00167F38"/>
    <w:rsid w:val="00171F1B"/>
    <w:rsid w:val="00172402"/>
    <w:rsid w:val="001775BE"/>
    <w:rsid w:val="00181786"/>
    <w:rsid w:val="00181D61"/>
    <w:rsid w:val="001857C1"/>
    <w:rsid w:val="00192F55"/>
    <w:rsid w:val="00197C37"/>
    <w:rsid w:val="001B349A"/>
    <w:rsid w:val="001C13C8"/>
    <w:rsid w:val="001D1EEF"/>
    <w:rsid w:val="001D6E28"/>
    <w:rsid w:val="00203C77"/>
    <w:rsid w:val="0020530C"/>
    <w:rsid w:val="0022282D"/>
    <w:rsid w:val="0022640E"/>
    <w:rsid w:val="00226BB8"/>
    <w:rsid w:val="002307FE"/>
    <w:rsid w:val="002330BD"/>
    <w:rsid w:val="00237442"/>
    <w:rsid w:val="002454C0"/>
    <w:rsid w:val="00247C00"/>
    <w:rsid w:val="00253F0E"/>
    <w:rsid w:val="002563CD"/>
    <w:rsid w:val="00263860"/>
    <w:rsid w:val="00264729"/>
    <w:rsid w:val="00264F5A"/>
    <w:rsid w:val="00272FA3"/>
    <w:rsid w:val="00273A1B"/>
    <w:rsid w:val="002745B2"/>
    <w:rsid w:val="002762FF"/>
    <w:rsid w:val="002B2A38"/>
    <w:rsid w:val="002C2C1E"/>
    <w:rsid w:val="002C432D"/>
    <w:rsid w:val="002C63E1"/>
    <w:rsid w:val="002C7B2E"/>
    <w:rsid w:val="002D2F2D"/>
    <w:rsid w:val="002E03FC"/>
    <w:rsid w:val="002E3D60"/>
    <w:rsid w:val="002F6493"/>
    <w:rsid w:val="00306D59"/>
    <w:rsid w:val="00306D79"/>
    <w:rsid w:val="00311CB5"/>
    <w:rsid w:val="0031676B"/>
    <w:rsid w:val="00316874"/>
    <w:rsid w:val="00334447"/>
    <w:rsid w:val="003401D5"/>
    <w:rsid w:val="0034242B"/>
    <w:rsid w:val="003427F1"/>
    <w:rsid w:val="00347C6C"/>
    <w:rsid w:val="00364401"/>
    <w:rsid w:val="003669F5"/>
    <w:rsid w:val="00376FA1"/>
    <w:rsid w:val="003873E1"/>
    <w:rsid w:val="003874C2"/>
    <w:rsid w:val="00395790"/>
    <w:rsid w:val="003A1685"/>
    <w:rsid w:val="003A1A36"/>
    <w:rsid w:val="003A2E65"/>
    <w:rsid w:val="003A497A"/>
    <w:rsid w:val="003A61E6"/>
    <w:rsid w:val="003B7E41"/>
    <w:rsid w:val="003C387A"/>
    <w:rsid w:val="003C6DA6"/>
    <w:rsid w:val="003D51CF"/>
    <w:rsid w:val="003E09DB"/>
    <w:rsid w:val="003E1476"/>
    <w:rsid w:val="00400FC6"/>
    <w:rsid w:val="0040368E"/>
    <w:rsid w:val="004044FD"/>
    <w:rsid w:val="00414B1C"/>
    <w:rsid w:val="0042064B"/>
    <w:rsid w:val="004264FE"/>
    <w:rsid w:val="00434701"/>
    <w:rsid w:val="00434EAF"/>
    <w:rsid w:val="00443607"/>
    <w:rsid w:val="00461A5E"/>
    <w:rsid w:val="00461D3C"/>
    <w:rsid w:val="004651AB"/>
    <w:rsid w:val="004668B6"/>
    <w:rsid w:val="00473E1B"/>
    <w:rsid w:val="00474E52"/>
    <w:rsid w:val="00487CC8"/>
    <w:rsid w:val="004977C5"/>
    <w:rsid w:val="004A1B44"/>
    <w:rsid w:val="004A2961"/>
    <w:rsid w:val="004A49B8"/>
    <w:rsid w:val="004A6B3B"/>
    <w:rsid w:val="004B2681"/>
    <w:rsid w:val="004C222A"/>
    <w:rsid w:val="004D3DCE"/>
    <w:rsid w:val="004D65AE"/>
    <w:rsid w:val="004E15ED"/>
    <w:rsid w:val="004E2D8C"/>
    <w:rsid w:val="004F0756"/>
    <w:rsid w:val="004F1EE9"/>
    <w:rsid w:val="004F28E0"/>
    <w:rsid w:val="004F3C3D"/>
    <w:rsid w:val="004F6D1C"/>
    <w:rsid w:val="0050076F"/>
    <w:rsid w:val="005019F9"/>
    <w:rsid w:val="00506F76"/>
    <w:rsid w:val="0051051E"/>
    <w:rsid w:val="00534568"/>
    <w:rsid w:val="005374B7"/>
    <w:rsid w:val="00537516"/>
    <w:rsid w:val="00543424"/>
    <w:rsid w:val="005436CB"/>
    <w:rsid w:val="00560438"/>
    <w:rsid w:val="00560C7F"/>
    <w:rsid w:val="00560DBA"/>
    <w:rsid w:val="00567A7B"/>
    <w:rsid w:val="00576DE1"/>
    <w:rsid w:val="0058349E"/>
    <w:rsid w:val="00586EE6"/>
    <w:rsid w:val="00590652"/>
    <w:rsid w:val="00592CB0"/>
    <w:rsid w:val="00597C16"/>
    <w:rsid w:val="005A259A"/>
    <w:rsid w:val="005A2C1A"/>
    <w:rsid w:val="005A3D32"/>
    <w:rsid w:val="005A54F9"/>
    <w:rsid w:val="005B0F17"/>
    <w:rsid w:val="005C5C9D"/>
    <w:rsid w:val="005C7E9F"/>
    <w:rsid w:val="005D141D"/>
    <w:rsid w:val="005E67DB"/>
    <w:rsid w:val="005F070E"/>
    <w:rsid w:val="005F1355"/>
    <w:rsid w:val="005F73FA"/>
    <w:rsid w:val="005F7BAE"/>
    <w:rsid w:val="006014F6"/>
    <w:rsid w:val="00606396"/>
    <w:rsid w:val="00610F76"/>
    <w:rsid w:val="00627E5D"/>
    <w:rsid w:val="006300AF"/>
    <w:rsid w:val="006300DD"/>
    <w:rsid w:val="00634114"/>
    <w:rsid w:val="00634F0D"/>
    <w:rsid w:val="00637C03"/>
    <w:rsid w:val="006417D6"/>
    <w:rsid w:val="0065499F"/>
    <w:rsid w:val="00654C09"/>
    <w:rsid w:val="00657BDC"/>
    <w:rsid w:val="00657CA8"/>
    <w:rsid w:val="0066092D"/>
    <w:rsid w:val="00664509"/>
    <w:rsid w:val="00667BF3"/>
    <w:rsid w:val="00674099"/>
    <w:rsid w:val="0067738C"/>
    <w:rsid w:val="006823BA"/>
    <w:rsid w:val="00686072"/>
    <w:rsid w:val="006873C2"/>
    <w:rsid w:val="006909AE"/>
    <w:rsid w:val="0069192C"/>
    <w:rsid w:val="006924D5"/>
    <w:rsid w:val="00692BFF"/>
    <w:rsid w:val="00692FC0"/>
    <w:rsid w:val="00694269"/>
    <w:rsid w:val="00697943"/>
    <w:rsid w:val="006A5B5B"/>
    <w:rsid w:val="006A746B"/>
    <w:rsid w:val="006B1D86"/>
    <w:rsid w:val="006C0F3A"/>
    <w:rsid w:val="006C2B9C"/>
    <w:rsid w:val="006D092E"/>
    <w:rsid w:val="006D0B51"/>
    <w:rsid w:val="006D1750"/>
    <w:rsid w:val="006E1FBB"/>
    <w:rsid w:val="006E4333"/>
    <w:rsid w:val="006E4612"/>
    <w:rsid w:val="006F37BB"/>
    <w:rsid w:val="00703662"/>
    <w:rsid w:val="0071364A"/>
    <w:rsid w:val="00716827"/>
    <w:rsid w:val="007177A9"/>
    <w:rsid w:val="00726C00"/>
    <w:rsid w:val="007272B4"/>
    <w:rsid w:val="0073112B"/>
    <w:rsid w:val="00732701"/>
    <w:rsid w:val="00733D99"/>
    <w:rsid w:val="0073449C"/>
    <w:rsid w:val="00736952"/>
    <w:rsid w:val="007426B8"/>
    <w:rsid w:val="00744268"/>
    <w:rsid w:val="00744B12"/>
    <w:rsid w:val="0074515B"/>
    <w:rsid w:val="00746AA4"/>
    <w:rsid w:val="00754741"/>
    <w:rsid w:val="007649D2"/>
    <w:rsid w:val="0076686C"/>
    <w:rsid w:val="00775384"/>
    <w:rsid w:val="00781A40"/>
    <w:rsid w:val="00781C2C"/>
    <w:rsid w:val="0078262F"/>
    <w:rsid w:val="0078446C"/>
    <w:rsid w:val="00792DF3"/>
    <w:rsid w:val="007A15C3"/>
    <w:rsid w:val="007A1ADA"/>
    <w:rsid w:val="007A1C6A"/>
    <w:rsid w:val="007A379F"/>
    <w:rsid w:val="007A386E"/>
    <w:rsid w:val="007A4642"/>
    <w:rsid w:val="007B21E6"/>
    <w:rsid w:val="007B5D98"/>
    <w:rsid w:val="007B7C9E"/>
    <w:rsid w:val="007C427A"/>
    <w:rsid w:val="007E4287"/>
    <w:rsid w:val="007E6DA1"/>
    <w:rsid w:val="007F2305"/>
    <w:rsid w:val="007F61AB"/>
    <w:rsid w:val="007F74F9"/>
    <w:rsid w:val="00806AE4"/>
    <w:rsid w:val="00832BA5"/>
    <w:rsid w:val="00841311"/>
    <w:rsid w:val="008425B1"/>
    <w:rsid w:val="00845523"/>
    <w:rsid w:val="00857452"/>
    <w:rsid w:val="008610A1"/>
    <w:rsid w:val="00865480"/>
    <w:rsid w:val="008718C4"/>
    <w:rsid w:val="00880BCB"/>
    <w:rsid w:val="00883C64"/>
    <w:rsid w:val="00896982"/>
    <w:rsid w:val="008A4556"/>
    <w:rsid w:val="008A64B8"/>
    <w:rsid w:val="008A68A2"/>
    <w:rsid w:val="008A7461"/>
    <w:rsid w:val="008B0A3F"/>
    <w:rsid w:val="008B0B51"/>
    <w:rsid w:val="008B1DAA"/>
    <w:rsid w:val="008C6F85"/>
    <w:rsid w:val="008D0E67"/>
    <w:rsid w:val="008D2373"/>
    <w:rsid w:val="008E2FCC"/>
    <w:rsid w:val="008E3093"/>
    <w:rsid w:val="008E4F0C"/>
    <w:rsid w:val="008F025E"/>
    <w:rsid w:val="008F0AC6"/>
    <w:rsid w:val="008F6D23"/>
    <w:rsid w:val="00901668"/>
    <w:rsid w:val="00902083"/>
    <w:rsid w:val="00903559"/>
    <w:rsid w:val="009074D7"/>
    <w:rsid w:val="00912A04"/>
    <w:rsid w:val="00934426"/>
    <w:rsid w:val="009352AC"/>
    <w:rsid w:val="00935890"/>
    <w:rsid w:val="009456AA"/>
    <w:rsid w:val="00946BBE"/>
    <w:rsid w:val="00946D64"/>
    <w:rsid w:val="009513B3"/>
    <w:rsid w:val="00957E02"/>
    <w:rsid w:val="00983163"/>
    <w:rsid w:val="0098444A"/>
    <w:rsid w:val="009952A6"/>
    <w:rsid w:val="009A1A1B"/>
    <w:rsid w:val="009B6AC1"/>
    <w:rsid w:val="009C5A02"/>
    <w:rsid w:val="009D1CCC"/>
    <w:rsid w:val="009E6332"/>
    <w:rsid w:val="009F0016"/>
    <w:rsid w:val="009F01F3"/>
    <w:rsid w:val="009F12D9"/>
    <w:rsid w:val="009F3D30"/>
    <w:rsid w:val="009F42A1"/>
    <w:rsid w:val="009F5268"/>
    <w:rsid w:val="009F5877"/>
    <w:rsid w:val="009F77B8"/>
    <w:rsid w:val="00A00B3E"/>
    <w:rsid w:val="00A05122"/>
    <w:rsid w:val="00A12B26"/>
    <w:rsid w:val="00A130A1"/>
    <w:rsid w:val="00A21E59"/>
    <w:rsid w:val="00A22447"/>
    <w:rsid w:val="00A435AF"/>
    <w:rsid w:val="00A5277C"/>
    <w:rsid w:val="00A543DF"/>
    <w:rsid w:val="00A64EDE"/>
    <w:rsid w:val="00A90F33"/>
    <w:rsid w:val="00A94897"/>
    <w:rsid w:val="00AA1112"/>
    <w:rsid w:val="00AA2505"/>
    <w:rsid w:val="00AA2DDF"/>
    <w:rsid w:val="00AB3E71"/>
    <w:rsid w:val="00AD2D53"/>
    <w:rsid w:val="00AD3C37"/>
    <w:rsid w:val="00AD5C1B"/>
    <w:rsid w:val="00AE02CB"/>
    <w:rsid w:val="00AE1389"/>
    <w:rsid w:val="00AE621E"/>
    <w:rsid w:val="00AF0390"/>
    <w:rsid w:val="00AF6F2A"/>
    <w:rsid w:val="00AF74B7"/>
    <w:rsid w:val="00B00678"/>
    <w:rsid w:val="00B0086A"/>
    <w:rsid w:val="00B2024D"/>
    <w:rsid w:val="00B2140E"/>
    <w:rsid w:val="00B3476E"/>
    <w:rsid w:val="00B40EC4"/>
    <w:rsid w:val="00B45A0B"/>
    <w:rsid w:val="00B56C36"/>
    <w:rsid w:val="00B57BA3"/>
    <w:rsid w:val="00B57D50"/>
    <w:rsid w:val="00B67E5A"/>
    <w:rsid w:val="00B80B8D"/>
    <w:rsid w:val="00BA6EE2"/>
    <w:rsid w:val="00BB0352"/>
    <w:rsid w:val="00BB3201"/>
    <w:rsid w:val="00BB3FAD"/>
    <w:rsid w:val="00BB40D5"/>
    <w:rsid w:val="00BB4C2B"/>
    <w:rsid w:val="00BB5253"/>
    <w:rsid w:val="00BB556A"/>
    <w:rsid w:val="00BB5E63"/>
    <w:rsid w:val="00BC0E6F"/>
    <w:rsid w:val="00BD1E17"/>
    <w:rsid w:val="00BD41D3"/>
    <w:rsid w:val="00BF276D"/>
    <w:rsid w:val="00BF3C7D"/>
    <w:rsid w:val="00BF70DA"/>
    <w:rsid w:val="00BF7FC2"/>
    <w:rsid w:val="00C00B38"/>
    <w:rsid w:val="00C02470"/>
    <w:rsid w:val="00C05B82"/>
    <w:rsid w:val="00C15B54"/>
    <w:rsid w:val="00C2034A"/>
    <w:rsid w:val="00C456B5"/>
    <w:rsid w:val="00C502BE"/>
    <w:rsid w:val="00C54BA8"/>
    <w:rsid w:val="00C56C1F"/>
    <w:rsid w:val="00C600E0"/>
    <w:rsid w:val="00C64D00"/>
    <w:rsid w:val="00C72CA2"/>
    <w:rsid w:val="00C7506C"/>
    <w:rsid w:val="00C81368"/>
    <w:rsid w:val="00C81FD9"/>
    <w:rsid w:val="00C84E3D"/>
    <w:rsid w:val="00CA43A8"/>
    <w:rsid w:val="00CB789B"/>
    <w:rsid w:val="00CB7C6B"/>
    <w:rsid w:val="00CC1BDD"/>
    <w:rsid w:val="00CC6814"/>
    <w:rsid w:val="00CE7A7B"/>
    <w:rsid w:val="00CE7BFA"/>
    <w:rsid w:val="00CF7E2F"/>
    <w:rsid w:val="00D0779E"/>
    <w:rsid w:val="00D10D74"/>
    <w:rsid w:val="00D13EEB"/>
    <w:rsid w:val="00D143A7"/>
    <w:rsid w:val="00D2037A"/>
    <w:rsid w:val="00D20DD7"/>
    <w:rsid w:val="00D25539"/>
    <w:rsid w:val="00D25994"/>
    <w:rsid w:val="00D41EF3"/>
    <w:rsid w:val="00D50888"/>
    <w:rsid w:val="00D60213"/>
    <w:rsid w:val="00D6098D"/>
    <w:rsid w:val="00D620EE"/>
    <w:rsid w:val="00D63EE6"/>
    <w:rsid w:val="00D738C6"/>
    <w:rsid w:val="00D9458F"/>
    <w:rsid w:val="00D94FD3"/>
    <w:rsid w:val="00DA3C2A"/>
    <w:rsid w:val="00DA4BE0"/>
    <w:rsid w:val="00DB5FBD"/>
    <w:rsid w:val="00DC5AC1"/>
    <w:rsid w:val="00DC65C2"/>
    <w:rsid w:val="00DC6BA2"/>
    <w:rsid w:val="00DD1001"/>
    <w:rsid w:val="00DD4559"/>
    <w:rsid w:val="00DD604E"/>
    <w:rsid w:val="00DE293E"/>
    <w:rsid w:val="00DE76B7"/>
    <w:rsid w:val="00E20DE5"/>
    <w:rsid w:val="00E2573C"/>
    <w:rsid w:val="00E25785"/>
    <w:rsid w:val="00E26C17"/>
    <w:rsid w:val="00E26DFE"/>
    <w:rsid w:val="00E30654"/>
    <w:rsid w:val="00E34F89"/>
    <w:rsid w:val="00E54897"/>
    <w:rsid w:val="00E606EA"/>
    <w:rsid w:val="00E727F7"/>
    <w:rsid w:val="00E73AA7"/>
    <w:rsid w:val="00E80BF7"/>
    <w:rsid w:val="00E8515E"/>
    <w:rsid w:val="00E90B31"/>
    <w:rsid w:val="00E90C2E"/>
    <w:rsid w:val="00E919E5"/>
    <w:rsid w:val="00E93614"/>
    <w:rsid w:val="00EA016C"/>
    <w:rsid w:val="00EA143C"/>
    <w:rsid w:val="00EA7847"/>
    <w:rsid w:val="00EB6D9C"/>
    <w:rsid w:val="00EC1362"/>
    <w:rsid w:val="00EC2B92"/>
    <w:rsid w:val="00EC6F0B"/>
    <w:rsid w:val="00EC6FF9"/>
    <w:rsid w:val="00EF7053"/>
    <w:rsid w:val="00EF731C"/>
    <w:rsid w:val="00F03CAB"/>
    <w:rsid w:val="00F05F53"/>
    <w:rsid w:val="00F13255"/>
    <w:rsid w:val="00F23602"/>
    <w:rsid w:val="00F3127E"/>
    <w:rsid w:val="00F31631"/>
    <w:rsid w:val="00F47AF1"/>
    <w:rsid w:val="00F50774"/>
    <w:rsid w:val="00F52B2B"/>
    <w:rsid w:val="00F5498D"/>
    <w:rsid w:val="00F65E0A"/>
    <w:rsid w:val="00F76D30"/>
    <w:rsid w:val="00F80861"/>
    <w:rsid w:val="00F80AE1"/>
    <w:rsid w:val="00F81ACA"/>
    <w:rsid w:val="00F901E6"/>
    <w:rsid w:val="00FB1D3B"/>
    <w:rsid w:val="00FB2B1A"/>
    <w:rsid w:val="00FB6F77"/>
    <w:rsid w:val="00FB7D8B"/>
    <w:rsid w:val="00FC6B8F"/>
    <w:rsid w:val="00FD61C7"/>
    <w:rsid w:val="00FE12B9"/>
    <w:rsid w:val="00FE70EB"/>
    <w:rsid w:val="00FF76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9BFA"/>
  <w15:docId w15:val="{A941327E-F429-403A-996A-B99E35DE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lsdException w:name="heading 3" w:semiHidden="1" w:uiPriority="48" w:qFormat="1"/>
    <w:lsdException w:name="heading 4" w:semiHidden="1" w:uiPriority="48" w:qFormat="1"/>
    <w:lsdException w:name="heading 5" w:semiHidden="1" w:uiPriority="48" w:qFormat="1"/>
    <w:lsdException w:name="heading 6" w:uiPriority="48" w:qFormat="1"/>
    <w:lsdException w:name="heading 7" w:uiPriority="0" w:qFormat="1"/>
    <w:lsdException w:name="heading 8" w:uiPriority="48" w:qFormat="1"/>
    <w:lsdException w:name="heading 9" w:uiPriority="4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lsdException w:name="footnote text" w:semiHidden="1" w:unhideWhenUsed="1" w:qFormat="1"/>
    <w:lsdException w:name="annotation text" w:semiHidden="1" w:unhideWhenUsed="1"/>
    <w:lsdException w:name="header" w:semiHidden="1" w:uiPriority="0"/>
    <w:lsdException w:name="footer" w:semiHidden="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qFormat="1"/>
    <w:lsdException w:name="Body Text 3" w:semiHidden="1" w:qFormat="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8" w:qFormat="1"/>
    <w:lsdException w:name="Emphasis" w:semiHidden="1" w:uiPriority="48"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8" w:qFormat="1"/>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0"/>
    <w:qFormat/>
    <w:rsid w:val="008F0AC6"/>
  </w:style>
  <w:style w:type="paragraph" w:styleId="Heading1">
    <w:name w:val="heading 1"/>
    <w:basedOn w:val="Normal"/>
    <w:next w:val="Heading2"/>
    <w:link w:val="Heading1Char"/>
    <w:uiPriority w:val="9"/>
    <w:qFormat/>
    <w:rsid w:val="0069192C"/>
    <w:pPr>
      <w:keepNext/>
      <w:keepLines/>
      <w:jc w:val="center"/>
      <w:outlineLvl w:val="0"/>
    </w:pPr>
    <w:rPr>
      <w:rFonts w:ascii="Arial Bold" w:eastAsiaTheme="majorEastAsia" w:hAnsi="Arial Bold" w:cstheme="majorBidi"/>
      <w:b/>
      <w:sz w:val="48"/>
      <w:szCs w:val="32"/>
    </w:rPr>
  </w:style>
  <w:style w:type="paragraph" w:styleId="Heading2">
    <w:name w:val="heading 2"/>
    <w:basedOn w:val="Normal"/>
    <w:next w:val="Normal"/>
    <w:link w:val="Heading2Char"/>
    <w:uiPriority w:val="49"/>
    <w:rsid w:val="002C2C1E"/>
    <w:pPr>
      <w:keepNext/>
      <w:keepLines/>
      <w:spacing w:before="360" w:after="280"/>
      <w:jc w:val="center"/>
      <w:outlineLvl w:val="1"/>
    </w:pPr>
    <w:rPr>
      <w:rFonts w:ascii="Arial Bold" w:eastAsiaTheme="majorEastAsia" w:hAnsi="Arial Bold" w:cstheme="majorBidi"/>
      <w:b/>
      <w:sz w:val="36"/>
      <w:szCs w:val="26"/>
    </w:rPr>
  </w:style>
  <w:style w:type="paragraph" w:styleId="Heading3">
    <w:name w:val="heading 3"/>
    <w:aliases w:val="Chapter Heading"/>
    <w:basedOn w:val="Normal"/>
    <w:next w:val="BodyText"/>
    <w:link w:val="Heading3Char"/>
    <w:uiPriority w:val="3"/>
    <w:qFormat/>
    <w:rsid w:val="001B349A"/>
    <w:pPr>
      <w:keepNext/>
      <w:keepLines/>
      <w:numPr>
        <w:numId w:val="16"/>
      </w:numPr>
      <w:spacing w:before="360"/>
      <w:outlineLvl w:val="2"/>
    </w:pPr>
    <w:rPr>
      <w:rFonts w:ascii="Arial Bold" w:eastAsiaTheme="majorEastAsia" w:hAnsi="Arial Bold" w:cstheme="majorBidi"/>
      <w:b/>
      <w:caps/>
      <w:color w:val="0046AD" w:themeColor="text2"/>
      <w:sz w:val="32"/>
    </w:rPr>
  </w:style>
  <w:style w:type="paragraph" w:styleId="Heading4">
    <w:name w:val="heading 4"/>
    <w:basedOn w:val="Normal"/>
    <w:next w:val="BodyText"/>
    <w:link w:val="Heading4Char"/>
    <w:uiPriority w:val="3"/>
    <w:qFormat/>
    <w:rsid w:val="001B349A"/>
    <w:pPr>
      <w:keepNext/>
      <w:keepLines/>
      <w:numPr>
        <w:ilvl w:val="1"/>
        <w:numId w:val="16"/>
      </w:numPr>
      <w:spacing w:before="360"/>
      <w:outlineLvl w:val="3"/>
    </w:pPr>
    <w:rPr>
      <w:rFonts w:eastAsiaTheme="majorEastAsia" w:cstheme="majorBidi"/>
      <w:b/>
      <w:iCs/>
      <w:color w:val="000000" w:themeColor="text1"/>
      <w:sz w:val="28"/>
    </w:rPr>
  </w:style>
  <w:style w:type="paragraph" w:styleId="Heading5">
    <w:name w:val="heading 5"/>
    <w:basedOn w:val="Normal"/>
    <w:next w:val="BodyText"/>
    <w:link w:val="Heading5Char"/>
    <w:uiPriority w:val="3"/>
    <w:qFormat/>
    <w:rsid w:val="001B349A"/>
    <w:pPr>
      <w:keepNext/>
      <w:keepLines/>
      <w:numPr>
        <w:ilvl w:val="2"/>
        <w:numId w:val="16"/>
      </w:numPr>
      <w:spacing w:before="360"/>
      <w:outlineLvl w:val="4"/>
    </w:pPr>
    <w:rPr>
      <w:rFonts w:eastAsiaTheme="majorEastAsia" w:cstheme="majorBidi"/>
      <w:b/>
      <w:color w:val="000000" w:themeColor="text1"/>
    </w:rPr>
  </w:style>
  <w:style w:type="paragraph" w:styleId="Heading6">
    <w:name w:val="heading 6"/>
    <w:basedOn w:val="Normal"/>
    <w:next w:val="BodyText"/>
    <w:link w:val="Heading6Char"/>
    <w:uiPriority w:val="3"/>
    <w:qFormat/>
    <w:rsid w:val="001B349A"/>
    <w:pPr>
      <w:keepNext/>
      <w:keepLines/>
      <w:numPr>
        <w:ilvl w:val="3"/>
        <w:numId w:val="16"/>
      </w:numPr>
      <w:spacing w:before="360"/>
      <w:outlineLvl w:val="5"/>
    </w:pPr>
    <w:rPr>
      <w:rFonts w:eastAsiaTheme="majorEastAsia" w:cs="Arial"/>
      <w:i/>
    </w:rPr>
  </w:style>
  <w:style w:type="paragraph" w:styleId="Heading7">
    <w:name w:val="heading 7"/>
    <w:basedOn w:val="Normal"/>
    <w:next w:val="BodyText"/>
    <w:link w:val="Heading7Char"/>
    <w:uiPriority w:val="3"/>
    <w:qFormat/>
    <w:rsid w:val="001B349A"/>
    <w:pPr>
      <w:keepNext/>
      <w:keepLines/>
      <w:numPr>
        <w:ilvl w:val="4"/>
        <w:numId w:val="16"/>
      </w:numPr>
      <w:spacing w:before="360"/>
      <w:outlineLvl w:val="6"/>
    </w:pPr>
    <w:rPr>
      <w:rFonts w:eastAsiaTheme="majorEastAsia" w:cs="Arial"/>
      <w:i/>
    </w:rPr>
  </w:style>
  <w:style w:type="paragraph" w:styleId="Heading8">
    <w:name w:val="heading 8"/>
    <w:basedOn w:val="Normal"/>
    <w:next w:val="BodyText"/>
    <w:link w:val="Heading8Char"/>
    <w:uiPriority w:val="3"/>
    <w:qFormat/>
    <w:rsid w:val="001B349A"/>
    <w:pPr>
      <w:keepNext/>
      <w:keepLines/>
      <w:numPr>
        <w:ilvl w:val="5"/>
        <w:numId w:val="16"/>
      </w:numPr>
      <w:spacing w:before="360"/>
      <w:outlineLvl w:val="7"/>
    </w:pPr>
    <w:rPr>
      <w:rFonts w:eastAsiaTheme="majorEastAsia" w:cs="Arial"/>
      <w:bCs/>
      <w:i/>
      <w:iCs/>
      <w:color w:val="272727" w:themeColor="text1" w:themeTint="D8"/>
    </w:rPr>
  </w:style>
  <w:style w:type="paragraph" w:styleId="Heading9">
    <w:name w:val="heading 9"/>
    <w:basedOn w:val="Normal"/>
    <w:next w:val="BodyText"/>
    <w:link w:val="Heading9Char"/>
    <w:uiPriority w:val="3"/>
    <w:qFormat/>
    <w:rsid w:val="001B349A"/>
    <w:pPr>
      <w:keepNext/>
      <w:keepLines/>
      <w:numPr>
        <w:ilvl w:val="6"/>
        <w:numId w:val="16"/>
      </w:numPr>
      <w:spacing w:before="360"/>
      <w:outlineLvl w:val="8"/>
    </w:pPr>
    <w:rPr>
      <w:rFonts w:eastAsiaTheme="majorEastAsia" w:cs="Arial"/>
      <w: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
    <w:uiPriority w:val="6"/>
    <w:qFormat/>
    <w:rsid w:val="00AF74B7"/>
    <w:pPr>
      <w:numPr>
        <w:ilvl w:val="3"/>
      </w:numPr>
    </w:pPr>
  </w:style>
  <w:style w:type="character" w:customStyle="1" w:styleId="Heading1Char">
    <w:name w:val="Heading 1 Char"/>
    <w:basedOn w:val="DefaultParagraphFont"/>
    <w:link w:val="Heading1"/>
    <w:uiPriority w:val="9"/>
    <w:rsid w:val="0069192C"/>
    <w:rPr>
      <w:rFonts w:ascii="Arial Bold" w:eastAsiaTheme="majorEastAsia" w:hAnsi="Arial Bold" w:cstheme="majorBidi"/>
      <w:b/>
      <w:sz w:val="48"/>
      <w:szCs w:val="32"/>
    </w:rPr>
  </w:style>
  <w:style w:type="paragraph" w:customStyle="1" w:styleId="TableText">
    <w:name w:val="Table Text"/>
    <w:basedOn w:val="NormalNoSpace"/>
    <w:uiPriority w:val="19"/>
    <w:qFormat/>
    <w:rsid w:val="00247C00"/>
    <w:rPr>
      <w:sz w:val="16"/>
    </w:rPr>
  </w:style>
  <w:style w:type="paragraph" w:customStyle="1" w:styleId="Bullets1">
    <w:name w:val="Bullets1"/>
    <w:basedOn w:val="Normal"/>
    <w:uiPriority w:val="8"/>
    <w:qFormat/>
    <w:rsid w:val="004A6B3B"/>
    <w:pPr>
      <w:numPr>
        <w:numId w:val="5"/>
      </w:numPr>
    </w:pPr>
  </w:style>
  <w:style w:type="paragraph" w:customStyle="1" w:styleId="Bullets2">
    <w:name w:val="Bullets2"/>
    <w:basedOn w:val="Normal"/>
    <w:uiPriority w:val="8"/>
    <w:qFormat/>
    <w:rsid w:val="004A6B3B"/>
    <w:pPr>
      <w:numPr>
        <w:ilvl w:val="1"/>
        <w:numId w:val="5"/>
      </w:numPr>
    </w:pPr>
  </w:style>
  <w:style w:type="numbering" w:customStyle="1" w:styleId="NumbListBullets">
    <w:name w:val="NumbListBullets"/>
    <w:uiPriority w:val="99"/>
    <w:rsid w:val="004A6B3B"/>
    <w:pPr>
      <w:numPr>
        <w:numId w:val="1"/>
      </w:numPr>
    </w:pPr>
  </w:style>
  <w:style w:type="paragraph" w:styleId="Header">
    <w:name w:val="header"/>
    <w:basedOn w:val="Normal"/>
    <w:link w:val="HeaderChar"/>
    <w:uiPriority w:val="49"/>
    <w:semiHidden/>
    <w:rsid w:val="00DC65C2"/>
    <w:pPr>
      <w:spacing w:after="0" w:line="240" w:lineRule="auto"/>
    </w:pPr>
  </w:style>
  <w:style w:type="character" w:customStyle="1" w:styleId="HeaderChar">
    <w:name w:val="Header Char"/>
    <w:basedOn w:val="DefaultParagraphFont"/>
    <w:link w:val="Header"/>
    <w:uiPriority w:val="49"/>
    <w:semiHidden/>
    <w:rsid w:val="00DC65C2"/>
  </w:style>
  <w:style w:type="paragraph" w:styleId="Footer">
    <w:name w:val="footer"/>
    <w:basedOn w:val="Normal"/>
    <w:link w:val="FooterChar"/>
    <w:uiPriority w:val="99"/>
    <w:semiHidden/>
    <w:rsid w:val="00A64E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140E"/>
  </w:style>
  <w:style w:type="table" w:styleId="TableGrid">
    <w:name w:val="Table Grid"/>
    <w:basedOn w:val="TableNormal"/>
    <w:uiPriority w:val="59"/>
    <w:rsid w:val="00A6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gNo">
    <w:name w:val="Footer PgNo"/>
    <w:basedOn w:val="Footer"/>
    <w:uiPriority w:val="48"/>
    <w:semiHidden/>
    <w:rsid w:val="00A64EDE"/>
    <w:pPr>
      <w:jc w:val="center"/>
    </w:pPr>
  </w:style>
  <w:style w:type="paragraph" w:customStyle="1" w:styleId="FooterRight">
    <w:name w:val="Footer Right"/>
    <w:basedOn w:val="Footer"/>
    <w:uiPriority w:val="48"/>
    <w:semiHidden/>
    <w:rsid w:val="00A64EDE"/>
    <w:pPr>
      <w:jc w:val="right"/>
    </w:pPr>
  </w:style>
  <w:style w:type="character" w:customStyle="1" w:styleId="Heading2Char">
    <w:name w:val="Heading 2 Char"/>
    <w:basedOn w:val="DefaultParagraphFont"/>
    <w:link w:val="Heading2"/>
    <w:uiPriority w:val="49"/>
    <w:rsid w:val="005F73FA"/>
    <w:rPr>
      <w:rFonts w:ascii="Arial Bold" w:eastAsiaTheme="majorEastAsia" w:hAnsi="Arial Bold" w:cstheme="majorBidi"/>
      <w:b/>
      <w:sz w:val="36"/>
      <w:szCs w:val="26"/>
    </w:rPr>
  </w:style>
  <w:style w:type="paragraph" w:customStyle="1" w:styleId="Titleheading">
    <w:name w:val="Title heading"/>
    <w:basedOn w:val="Normal"/>
    <w:next w:val="Normal"/>
    <w:uiPriority w:val="48"/>
    <w:semiHidden/>
    <w:qFormat/>
    <w:rsid w:val="003D51CF"/>
    <w:pPr>
      <w:keepNext/>
      <w:keepLines/>
      <w:jc w:val="center"/>
    </w:pPr>
    <w:rPr>
      <w:b/>
      <w:sz w:val="62"/>
    </w:rPr>
  </w:style>
  <w:style w:type="paragraph" w:customStyle="1" w:styleId="Titlesubheading">
    <w:name w:val="Title subheading"/>
    <w:basedOn w:val="Normal"/>
    <w:next w:val="Normal"/>
    <w:uiPriority w:val="48"/>
    <w:semiHidden/>
    <w:qFormat/>
    <w:rsid w:val="003D51CF"/>
    <w:pPr>
      <w:keepNext/>
      <w:keepLines/>
      <w:jc w:val="center"/>
    </w:pPr>
    <w:rPr>
      <w:b/>
      <w:sz w:val="36"/>
    </w:rPr>
  </w:style>
  <w:style w:type="character" w:customStyle="1" w:styleId="Heading5Char">
    <w:name w:val="Heading 5 Char"/>
    <w:basedOn w:val="DefaultParagraphFont"/>
    <w:link w:val="Heading5"/>
    <w:uiPriority w:val="3"/>
    <w:rsid w:val="0051051E"/>
    <w:rPr>
      <w:rFonts w:eastAsiaTheme="majorEastAsia" w:cstheme="majorBidi"/>
      <w:b/>
      <w:color w:val="000000" w:themeColor="text1"/>
    </w:rPr>
  </w:style>
  <w:style w:type="paragraph" w:styleId="BodyText2">
    <w:name w:val="Body Text 2"/>
    <w:basedOn w:val="Normal"/>
    <w:link w:val="BodyText2Char"/>
    <w:uiPriority w:val="6"/>
    <w:qFormat/>
    <w:rsid w:val="00BF276D"/>
    <w:pPr>
      <w:numPr>
        <w:ilvl w:val="1"/>
        <w:numId w:val="8"/>
      </w:numPr>
    </w:pPr>
  </w:style>
  <w:style w:type="character" w:customStyle="1" w:styleId="BodyText2Char">
    <w:name w:val="Body Text 2 Char"/>
    <w:basedOn w:val="DefaultParagraphFont"/>
    <w:link w:val="BodyText2"/>
    <w:uiPriority w:val="6"/>
    <w:rsid w:val="000F1BC2"/>
  </w:style>
  <w:style w:type="paragraph" w:styleId="BodyText3">
    <w:name w:val="Body Text 3"/>
    <w:basedOn w:val="Normal"/>
    <w:link w:val="BodyText3Char"/>
    <w:uiPriority w:val="6"/>
    <w:qFormat/>
    <w:rsid w:val="00BF276D"/>
    <w:pPr>
      <w:numPr>
        <w:ilvl w:val="2"/>
        <w:numId w:val="8"/>
      </w:numPr>
    </w:pPr>
    <w:rPr>
      <w:szCs w:val="16"/>
    </w:rPr>
  </w:style>
  <w:style w:type="character" w:customStyle="1" w:styleId="BodyText3Char">
    <w:name w:val="Body Text 3 Char"/>
    <w:basedOn w:val="DefaultParagraphFont"/>
    <w:link w:val="BodyText3"/>
    <w:uiPriority w:val="6"/>
    <w:rsid w:val="000F1BC2"/>
    <w:rPr>
      <w:szCs w:val="16"/>
    </w:rPr>
  </w:style>
  <w:style w:type="character" w:customStyle="1" w:styleId="Heading3Char">
    <w:name w:val="Heading 3 Char"/>
    <w:aliases w:val="Chapter Heading Char"/>
    <w:basedOn w:val="DefaultParagraphFont"/>
    <w:link w:val="Heading3"/>
    <w:uiPriority w:val="3"/>
    <w:rsid w:val="00A543DF"/>
    <w:rPr>
      <w:rFonts w:ascii="Arial Bold" w:eastAsiaTheme="majorEastAsia" w:hAnsi="Arial Bold" w:cstheme="majorBidi"/>
      <w:b/>
      <w:caps/>
      <w:color w:val="0046AD" w:themeColor="text2"/>
      <w:sz w:val="32"/>
    </w:rPr>
  </w:style>
  <w:style w:type="character" w:customStyle="1" w:styleId="Heading4Char">
    <w:name w:val="Heading 4 Char"/>
    <w:basedOn w:val="DefaultParagraphFont"/>
    <w:link w:val="Heading4"/>
    <w:uiPriority w:val="3"/>
    <w:rsid w:val="00664509"/>
    <w:rPr>
      <w:rFonts w:eastAsiaTheme="majorEastAsia" w:cstheme="majorBidi"/>
      <w:b/>
      <w:iCs/>
      <w:color w:val="000000" w:themeColor="text1"/>
      <w:sz w:val="28"/>
    </w:rPr>
  </w:style>
  <w:style w:type="paragraph" w:styleId="FootnoteText">
    <w:name w:val="footnote text"/>
    <w:basedOn w:val="Normal"/>
    <w:link w:val="FootnoteTextChar"/>
    <w:uiPriority w:val="99"/>
    <w:unhideWhenUsed/>
    <w:qFormat/>
    <w:rsid w:val="009352AC"/>
    <w:pPr>
      <w:spacing w:after="0" w:line="240" w:lineRule="auto"/>
    </w:pPr>
    <w:rPr>
      <w:sz w:val="18"/>
      <w:szCs w:val="20"/>
    </w:rPr>
  </w:style>
  <w:style w:type="character" w:customStyle="1" w:styleId="FootnoteTextChar">
    <w:name w:val="Footnote Text Char"/>
    <w:basedOn w:val="DefaultParagraphFont"/>
    <w:link w:val="FootnoteText"/>
    <w:uiPriority w:val="99"/>
    <w:rsid w:val="003669F5"/>
    <w:rPr>
      <w:sz w:val="18"/>
      <w:szCs w:val="20"/>
    </w:rPr>
  </w:style>
  <w:style w:type="character" w:styleId="FootnoteReference">
    <w:name w:val="footnote reference"/>
    <w:basedOn w:val="DefaultParagraphFont"/>
    <w:uiPriority w:val="99"/>
    <w:semiHidden/>
    <w:qFormat/>
    <w:rsid w:val="00692FC0"/>
    <w:rPr>
      <w:vertAlign w:val="superscript"/>
    </w:rPr>
  </w:style>
  <w:style w:type="paragraph" w:customStyle="1" w:styleId="FigureTitle">
    <w:name w:val="Figure Title"/>
    <w:basedOn w:val="Normal"/>
    <w:next w:val="NormalNoSpace"/>
    <w:uiPriority w:val="21"/>
    <w:qFormat/>
    <w:rsid w:val="00D50888"/>
    <w:pPr>
      <w:keepNext/>
      <w:keepLines/>
      <w:numPr>
        <w:numId w:val="10"/>
      </w:numPr>
      <w:spacing w:before="240"/>
    </w:pPr>
    <w:rPr>
      <w:b/>
      <w:sz w:val="20"/>
    </w:rPr>
  </w:style>
  <w:style w:type="paragraph" w:customStyle="1" w:styleId="FigureSource">
    <w:name w:val="Figure Source"/>
    <w:aliases w:val="Source,Table Source"/>
    <w:basedOn w:val="Normal"/>
    <w:next w:val="BodyText"/>
    <w:uiPriority w:val="21"/>
    <w:qFormat/>
    <w:rsid w:val="00792DF3"/>
    <w:pPr>
      <w:spacing w:before="120"/>
      <w:contextualSpacing/>
    </w:pPr>
    <w:rPr>
      <w:i/>
      <w:sz w:val="16"/>
    </w:rPr>
  </w:style>
  <w:style w:type="paragraph" w:customStyle="1" w:styleId="TableTitle">
    <w:name w:val="Table Title"/>
    <w:basedOn w:val="Normal"/>
    <w:next w:val="Normal"/>
    <w:uiPriority w:val="18"/>
    <w:qFormat/>
    <w:rsid w:val="00902083"/>
    <w:pPr>
      <w:keepNext/>
      <w:keepLines/>
      <w:numPr>
        <w:numId w:val="9"/>
      </w:numPr>
      <w:spacing w:before="240" w:after="200"/>
    </w:pPr>
    <w:rPr>
      <w:b/>
      <w:sz w:val="20"/>
    </w:rPr>
  </w:style>
  <w:style w:type="numbering" w:customStyle="1" w:styleId="NumbListBodyText">
    <w:name w:val="NumbListBodyText"/>
    <w:uiPriority w:val="99"/>
    <w:rsid w:val="00BF276D"/>
    <w:pPr>
      <w:numPr>
        <w:numId w:val="2"/>
      </w:numPr>
    </w:pPr>
  </w:style>
  <w:style w:type="paragraph" w:customStyle="1" w:styleId="TitleDocNo">
    <w:name w:val="Title DocNo"/>
    <w:basedOn w:val="Titlesubheading"/>
    <w:uiPriority w:val="49"/>
    <w:semiHidden/>
    <w:qFormat/>
    <w:rsid w:val="003D51CF"/>
    <w:pPr>
      <w:jc w:val="left"/>
    </w:pPr>
    <w:rPr>
      <w:sz w:val="24"/>
    </w:rPr>
  </w:style>
  <w:style w:type="character" w:styleId="PlaceholderText">
    <w:name w:val="Placeholder Text"/>
    <w:basedOn w:val="DefaultParagraphFont"/>
    <w:uiPriority w:val="99"/>
    <w:semiHidden/>
    <w:rsid w:val="00A5277C"/>
    <w:rPr>
      <w:color w:val="808080"/>
    </w:rPr>
  </w:style>
  <w:style w:type="paragraph" w:styleId="TOC1">
    <w:name w:val="toc 1"/>
    <w:basedOn w:val="Normal"/>
    <w:next w:val="Normal"/>
    <w:uiPriority w:val="39"/>
    <w:rsid w:val="00395790"/>
    <w:pPr>
      <w:tabs>
        <w:tab w:val="left" w:pos="480"/>
        <w:tab w:val="left" w:pos="567"/>
        <w:tab w:val="right" w:leader="dot" w:pos="9628"/>
      </w:tabs>
      <w:spacing w:before="120"/>
    </w:pPr>
    <w:rPr>
      <w:b/>
    </w:rPr>
  </w:style>
  <w:style w:type="paragraph" w:styleId="TOC2">
    <w:name w:val="toc 2"/>
    <w:basedOn w:val="Normal"/>
    <w:next w:val="Normal"/>
    <w:uiPriority w:val="39"/>
    <w:rsid w:val="004A2961"/>
    <w:pPr>
      <w:tabs>
        <w:tab w:val="left" w:pos="567"/>
        <w:tab w:val="left" w:pos="880"/>
        <w:tab w:val="right" w:leader="dot" w:pos="9628"/>
      </w:tabs>
      <w:spacing w:before="120" w:after="60"/>
    </w:pPr>
    <w:rPr>
      <w:rFonts w:ascii="Arial Bold" w:hAnsi="Arial Bold"/>
      <w:b/>
      <w:caps/>
    </w:rPr>
  </w:style>
  <w:style w:type="paragraph" w:styleId="TOC3">
    <w:name w:val="toc 3"/>
    <w:basedOn w:val="Normal"/>
    <w:next w:val="Normal"/>
    <w:uiPriority w:val="39"/>
    <w:rsid w:val="005A54F9"/>
    <w:pPr>
      <w:spacing w:before="60" w:after="0"/>
      <w:ind w:left="851" w:hanging="851"/>
    </w:pPr>
    <w:rPr>
      <w:rFonts w:ascii="Arial Bold" w:hAnsi="Arial Bold"/>
      <w:b/>
      <w:caps/>
    </w:rPr>
  </w:style>
  <w:style w:type="character" w:styleId="Hyperlink">
    <w:name w:val="Hyperlink"/>
    <w:basedOn w:val="DefaultParagraphFont"/>
    <w:uiPriority w:val="99"/>
    <w:rsid w:val="00316874"/>
    <w:rPr>
      <w:color w:val="0000FF" w:themeColor="hyperlink"/>
      <w:u w:val="single"/>
    </w:rPr>
  </w:style>
  <w:style w:type="paragraph" w:styleId="TOC4">
    <w:name w:val="toc 4"/>
    <w:basedOn w:val="Normal"/>
    <w:next w:val="Normal"/>
    <w:uiPriority w:val="39"/>
    <w:rsid w:val="00BB5253"/>
    <w:pPr>
      <w:tabs>
        <w:tab w:val="right" w:leader="dot" w:pos="9628"/>
      </w:tabs>
      <w:spacing w:after="0"/>
      <w:ind w:left="851" w:hanging="851"/>
    </w:pPr>
  </w:style>
  <w:style w:type="paragraph" w:styleId="TOC5">
    <w:name w:val="toc 5"/>
    <w:basedOn w:val="Normal"/>
    <w:next w:val="Normal"/>
    <w:autoRedefine/>
    <w:uiPriority w:val="39"/>
    <w:rsid w:val="00592CB0"/>
    <w:pPr>
      <w:spacing w:after="0"/>
      <w:ind w:left="851" w:hanging="851"/>
    </w:pPr>
  </w:style>
  <w:style w:type="paragraph" w:styleId="TOC6">
    <w:name w:val="toc 6"/>
    <w:basedOn w:val="Normal"/>
    <w:next w:val="Normal"/>
    <w:uiPriority w:val="39"/>
    <w:rsid w:val="00592CB0"/>
    <w:pPr>
      <w:tabs>
        <w:tab w:val="left" w:pos="1134"/>
        <w:tab w:val="right" w:leader="dot" w:pos="9628"/>
      </w:tabs>
      <w:spacing w:after="0"/>
      <w:ind w:left="1134" w:hanging="1134"/>
    </w:pPr>
  </w:style>
  <w:style w:type="paragraph" w:styleId="TOC7">
    <w:name w:val="toc 7"/>
    <w:basedOn w:val="Normal"/>
    <w:next w:val="Normal"/>
    <w:autoRedefine/>
    <w:uiPriority w:val="39"/>
    <w:rsid w:val="00316874"/>
    <w:pPr>
      <w:tabs>
        <w:tab w:val="left" w:pos="2648"/>
        <w:tab w:val="right" w:leader="dot" w:pos="9628"/>
      </w:tabs>
      <w:spacing w:before="240"/>
      <w:ind w:left="1361" w:hanging="1361"/>
    </w:pPr>
    <w:rPr>
      <w:rFonts w:ascii="Arial Bold" w:hAnsi="Arial Bold"/>
      <w:b/>
      <w:caps/>
    </w:rPr>
  </w:style>
  <w:style w:type="paragraph" w:customStyle="1" w:styleId="NormalNoSpace">
    <w:name w:val="NormalNoSpace"/>
    <w:basedOn w:val="Normal"/>
    <w:uiPriority w:val="10"/>
    <w:qFormat/>
    <w:rsid w:val="00316874"/>
    <w:pPr>
      <w:spacing w:after="0"/>
    </w:pPr>
  </w:style>
  <w:style w:type="paragraph" w:styleId="TableofFigures">
    <w:name w:val="table of figures"/>
    <w:basedOn w:val="Normal"/>
    <w:next w:val="Normal"/>
    <w:uiPriority w:val="99"/>
    <w:semiHidden/>
    <w:rsid w:val="00316874"/>
  </w:style>
  <w:style w:type="paragraph" w:customStyle="1" w:styleId="Footer-PageNo">
    <w:name w:val="Footer - PageNo"/>
    <w:basedOn w:val="Footer"/>
    <w:uiPriority w:val="49"/>
    <w:semiHidden/>
    <w:qFormat/>
    <w:rsid w:val="009352AC"/>
    <w:pPr>
      <w:jc w:val="center"/>
    </w:pPr>
    <w:rPr>
      <w:sz w:val="22"/>
    </w:rPr>
  </w:style>
  <w:style w:type="paragraph" w:styleId="Title">
    <w:name w:val="Title"/>
    <w:aliases w:val="Section Title"/>
    <w:basedOn w:val="Normal"/>
    <w:next w:val="Normal"/>
    <w:link w:val="TitleChar"/>
    <w:uiPriority w:val="49"/>
    <w:semiHidden/>
    <w:qFormat/>
    <w:rsid w:val="00C2034A"/>
    <w:pPr>
      <w:keepNext/>
      <w:keepLines/>
      <w:pageBreakBefore/>
      <w:spacing w:after="360" w:line="240" w:lineRule="auto"/>
      <w:contextualSpacing/>
      <w:jc w:val="center"/>
      <w:outlineLvl w:val="0"/>
    </w:pPr>
    <w:rPr>
      <w:rFonts w:ascii="Arial Bold" w:eastAsiaTheme="majorEastAsia" w:hAnsi="Arial Bold" w:cstheme="majorBidi"/>
      <w:b/>
      <w:spacing w:val="-10"/>
      <w:kern w:val="28"/>
      <w:sz w:val="36"/>
      <w:szCs w:val="56"/>
    </w:rPr>
  </w:style>
  <w:style w:type="character" w:customStyle="1" w:styleId="TitleChar">
    <w:name w:val="Title Char"/>
    <w:aliases w:val="Section Title Char"/>
    <w:basedOn w:val="DefaultParagraphFont"/>
    <w:link w:val="Title"/>
    <w:uiPriority w:val="49"/>
    <w:semiHidden/>
    <w:rsid w:val="00B2140E"/>
    <w:rPr>
      <w:rFonts w:ascii="Arial Bold" w:eastAsiaTheme="majorEastAsia" w:hAnsi="Arial Bold" w:cstheme="majorBidi"/>
      <w:b/>
      <w:spacing w:val="-10"/>
      <w:kern w:val="28"/>
      <w:sz w:val="36"/>
      <w:szCs w:val="56"/>
    </w:rPr>
  </w:style>
  <w:style w:type="numbering" w:customStyle="1" w:styleId="NumbListMain">
    <w:name w:val="NumbListMain"/>
    <w:uiPriority w:val="99"/>
    <w:rsid w:val="001B349A"/>
    <w:pPr>
      <w:numPr>
        <w:numId w:val="3"/>
      </w:numPr>
    </w:pPr>
  </w:style>
  <w:style w:type="character" w:styleId="UnresolvedMention">
    <w:name w:val="Unresolved Mention"/>
    <w:basedOn w:val="DefaultParagraphFont"/>
    <w:uiPriority w:val="99"/>
    <w:semiHidden/>
    <w:rsid w:val="00A22447"/>
    <w:rPr>
      <w:color w:val="605E5C"/>
      <w:shd w:val="clear" w:color="auto" w:fill="E1DFDD"/>
    </w:rPr>
  </w:style>
  <w:style w:type="table" w:customStyle="1" w:styleId="CMATableText">
    <w:name w:val="CMA Table (Text)"/>
    <w:basedOn w:val="TableNormal"/>
    <w:uiPriority w:val="99"/>
    <w:rsid w:val="000A7452"/>
    <w:pPr>
      <w:spacing w:after="0" w:line="240" w:lineRule="auto"/>
    </w:pPr>
    <w:rPr>
      <w:sz w:val="16"/>
    </w:rPr>
    <w:tblPr/>
    <w:tcPr>
      <w:vAlign w:val="bottom"/>
    </w:tcPr>
    <w:tblStylePr w:type="firstRow">
      <w:pPr>
        <w:wordWrap/>
        <w:outlineLvl w:val="2"/>
      </w:pPr>
      <w:rPr>
        <w:b w:val="0"/>
        <w:i/>
      </w:rPr>
      <w:tblPr/>
      <w:tcPr>
        <w:tcBorders>
          <w:top w:val="nil"/>
          <w:left w:val="nil"/>
          <w:bottom w:val="nil"/>
          <w:right w:val="nil"/>
          <w:insideH w:val="nil"/>
          <w:insideV w:val="nil"/>
          <w:tl2br w:val="nil"/>
          <w:tr2bl w:val="nil"/>
        </w:tcBorders>
      </w:tcPr>
    </w:tblStylePr>
    <w:tblStylePr w:type="lastRow">
      <w:rPr>
        <w:b/>
      </w:rPr>
    </w:tblStylePr>
    <w:tblStylePr w:type="firstCol">
      <w:rPr>
        <w:b w:val="0"/>
      </w:rPr>
    </w:tblStylePr>
  </w:style>
  <w:style w:type="table" w:customStyle="1" w:styleId="CMAGlossaryTable">
    <w:name w:val="CMA Glossary Table"/>
    <w:basedOn w:val="TableNormal"/>
    <w:uiPriority w:val="99"/>
    <w:rsid w:val="00253F0E"/>
    <w:tblPr/>
    <w:tblStylePr w:type="firstCol">
      <w:rPr>
        <w:b/>
      </w:rPr>
    </w:tblStylePr>
  </w:style>
  <w:style w:type="paragraph" w:styleId="Caption">
    <w:name w:val="caption"/>
    <w:basedOn w:val="Normal"/>
    <w:next w:val="Normal"/>
    <w:uiPriority w:val="48"/>
    <w:semiHidden/>
    <w:qFormat/>
    <w:rsid w:val="006417D6"/>
    <w:pPr>
      <w:keepNext/>
      <w:spacing w:after="200" w:line="240" w:lineRule="auto"/>
    </w:pPr>
    <w:rPr>
      <w:b/>
      <w:iCs/>
      <w:sz w:val="20"/>
      <w:szCs w:val="18"/>
    </w:rPr>
  </w:style>
  <w:style w:type="character" w:customStyle="1" w:styleId="Heading6Char">
    <w:name w:val="Heading 6 Char"/>
    <w:basedOn w:val="DefaultParagraphFont"/>
    <w:link w:val="Heading6"/>
    <w:uiPriority w:val="3"/>
    <w:rsid w:val="00664509"/>
    <w:rPr>
      <w:rFonts w:eastAsiaTheme="majorEastAsia" w:cs="Arial"/>
      <w:i/>
    </w:rPr>
  </w:style>
  <w:style w:type="character" w:customStyle="1" w:styleId="Heading7Char">
    <w:name w:val="Heading 7 Char"/>
    <w:basedOn w:val="DefaultParagraphFont"/>
    <w:link w:val="Heading7"/>
    <w:uiPriority w:val="3"/>
    <w:rsid w:val="0051051E"/>
    <w:rPr>
      <w:rFonts w:eastAsiaTheme="majorEastAsia" w:cs="Arial"/>
      <w:i/>
    </w:rPr>
  </w:style>
  <w:style w:type="character" w:customStyle="1" w:styleId="Heading8Char">
    <w:name w:val="Heading 8 Char"/>
    <w:basedOn w:val="DefaultParagraphFont"/>
    <w:link w:val="Heading8"/>
    <w:uiPriority w:val="3"/>
    <w:rsid w:val="00664509"/>
    <w:rPr>
      <w:rFonts w:eastAsiaTheme="majorEastAsia" w:cs="Arial"/>
      <w:bCs/>
      <w:i/>
      <w:iCs/>
      <w:color w:val="272727" w:themeColor="text1" w:themeTint="D8"/>
    </w:rPr>
  </w:style>
  <w:style w:type="character" w:customStyle="1" w:styleId="Heading9Char">
    <w:name w:val="Heading 9 Char"/>
    <w:basedOn w:val="DefaultParagraphFont"/>
    <w:link w:val="Heading9"/>
    <w:uiPriority w:val="3"/>
    <w:rsid w:val="0051051E"/>
    <w:rPr>
      <w:rFonts w:eastAsiaTheme="majorEastAsia" w:cs="Arial"/>
      <w:i/>
      <w:color w:val="272727" w:themeColor="text1" w:themeTint="D8"/>
    </w:rPr>
  </w:style>
  <w:style w:type="paragraph" w:styleId="Quote">
    <w:name w:val="Quote"/>
    <w:basedOn w:val="Normal"/>
    <w:next w:val="BodyText"/>
    <w:link w:val="QuoteChar"/>
    <w:uiPriority w:val="17"/>
    <w:qFormat/>
    <w:rsid w:val="004D65AE"/>
    <w:pPr>
      <w:spacing w:before="200" w:after="160"/>
      <w:ind w:left="1247" w:right="1247"/>
    </w:pPr>
    <w:rPr>
      <w:iCs/>
    </w:rPr>
  </w:style>
  <w:style w:type="character" w:customStyle="1" w:styleId="QuoteChar">
    <w:name w:val="Quote Char"/>
    <w:basedOn w:val="DefaultParagraphFont"/>
    <w:link w:val="Quote"/>
    <w:uiPriority w:val="17"/>
    <w:rsid w:val="004D65AE"/>
    <w:rPr>
      <w:iCs/>
    </w:rPr>
  </w:style>
  <w:style w:type="paragraph" w:styleId="BodyText">
    <w:name w:val="Body Text"/>
    <w:basedOn w:val="Normal"/>
    <w:link w:val="BodyTextChar"/>
    <w:uiPriority w:val="6"/>
    <w:qFormat/>
    <w:rsid w:val="00BF276D"/>
    <w:pPr>
      <w:numPr>
        <w:numId w:val="8"/>
      </w:numPr>
    </w:pPr>
  </w:style>
  <w:style w:type="character" w:customStyle="1" w:styleId="BodyTextChar">
    <w:name w:val="Body Text Char"/>
    <w:basedOn w:val="DefaultParagraphFont"/>
    <w:link w:val="BodyText"/>
    <w:uiPriority w:val="6"/>
    <w:rsid w:val="000F1BC2"/>
  </w:style>
  <w:style w:type="numbering" w:customStyle="1" w:styleId="NumbListBoxBullet">
    <w:name w:val="NumbListBoxBullet"/>
    <w:uiPriority w:val="99"/>
    <w:rsid w:val="004668B6"/>
    <w:pPr>
      <w:numPr>
        <w:numId w:val="4"/>
      </w:numPr>
    </w:pPr>
  </w:style>
  <w:style w:type="paragraph" w:customStyle="1" w:styleId="Bullets3">
    <w:name w:val="Bullets3"/>
    <w:basedOn w:val="Normal"/>
    <w:next w:val="BodyText"/>
    <w:uiPriority w:val="8"/>
    <w:qFormat/>
    <w:rsid w:val="004A6B3B"/>
    <w:pPr>
      <w:numPr>
        <w:ilvl w:val="2"/>
        <w:numId w:val="5"/>
      </w:numPr>
    </w:pPr>
  </w:style>
  <w:style w:type="paragraph" w:customStyle="1" w:styleId="BodyTextCont">
    <w:name w:val="Body Text Cont"/>
    <w:basedOn w:val="BodyText"/>
    <w:uiPriority w:val="6"/>
    <w:qFormat/>
    <w:rsid w:val="00901668"/>
    <w:pPr>
      <w:numPr>
        <w:numId w:val="0"/>
      </w:numPr>
      <w:ind w:left="851"/>
    </w:pPr>
  </w:style>
  <w:style w:type="numbering" w:customStyle="1" w:styleId="NumbListTables">
    <w:name w:val="NumbListTables"/>
    <w:uiPriority w:val="99"/>
    <w:rsid w:val="00902083"/>
    <w:pPr>
      <w:numPr>
        <w:numId w:val="6"/>
      </w:numPr>
    </w:pPr>
  </w:style>
  <w:style w:type="numbering" w:customStyle="1" w:styleId="NumbListfigures">
    <w:name w:val="NumbListfigures"/>
    <w:uiPriority w:val="99"/>
    <w:rsid w:val="00D50888"/>
    <w:pPr>
      <w:numPr>
        <w:numId w:val="7"/>
      </w:numPr>
    </w:pPr>
  </w:style>
  <w:style w:type="paragraph" w:customStyle="1" w:styleId="HeaderConfidential">
    <w:name w:val="HeaderConfidential"/>
    <w:basedOn w:val="Header"/>
    <w:uiPriority w:val="9"/>
    <w:qFormat/>
    <w:rsid w:val="00D6098D"/>
    <w:pPr>
      <w:tabs>
        <w:tab w:val="left" w:pos="1410"/>
      </w:tabs>
      <w:jc w:val="center"/>
    </w:pPr>
    <w:rPr>
      <w:rFonts w:ascii="Arial Bold" w:hAnsi="Arial Bold"/>
      <w:b/>
      <w:sz w:val="28"/>
    </w:rPr>
  </w:style>
  <w:style w:type="paragraph" w:styleId="TOCHeading">
    <w:name w:val="TOC Heading"/>
    <w:basedOn w:val="Heading1"/>
    <w:next w:val="Normal"/>
    <w:uiPriority w:val="39"/>
    <w:unhideWhenUsed/>
    <w:qFormat/>
    <w:rsid w:val="003B7E41"/>
    <w:pPr>
      <w:spacing w:line="259" w:lineRule="auto"/>
      <w:jc w:val="left"/>
      <w:outlineLvl w:val="9"/>
    </w:pPr>
    <w:rPr>
      <w:rFonts w:ascii="Arial" w:hAnsi="Arial"/>
      <w:color w:val="0046AD" w:themeColor="text2"/>
      <w:sz w:val="32"/>
      <w:lang w:val="en-US"/>
    </w:rPr>
  </w:style>
  <w:style w:type="paragraph" w:styleId="TOC8">
    <w:name w:val="toc 8"/>
    <w:basedOn w:val="Normal"/>
    <w:next w:val="Normal"/>
    <w:autoRedefine/>
    <w:uiPriority w:val="39"/>
    <w:unhideWhenUsed/>
    <w:rsid w:val="00592CB0"/>
    <w:pPr>
      <w:spacing w:after="100"/>
      <w:ind w:left="1680"/>
    </w:pPr>
  </w:style>
  <w:style w:type="paragraph" w:styleId="TOC9">
    <w:name w:val="toc 9"/>
    <w:basedOn w:val="Normal"/>
    <w:next w:val="Normal"/>
    <w:autoRedefine/>
    <w:uiPriority w:val="39"/>
    <w:unhideWhenUsed/>
    <w:rsid w:val="00592CB0"/>
    <w:pPr>
      <w:spacing w:after="100"/>
      <w:ind w:left="1920"/>
    </w:pPr>
  </w:style>
  <w:style w:type="paragraph" w:customStyle="1" w:styleId="BoxText">
    <w:name w:val="Box Text"/>
    <w:basedOn w:val="Normal"/>
    <w:uiPriority w:val="9"/>
    <w:qFormat/>
    <w:rsid w:val="006300AF"/>
    <w:pPr>
      <w:pBdr>
        <w:top w:val="single" w:sz="12" w:space="4" w:color="0046AD" w:themeColor="text2"/>
        <w:left w:val="single" w:sz="12" w:space="4" w:color="0046AD" w:themeColor="text2"/>
        <w:bottom w:val="single" w:sz="12" w:space="4" w:color="0046AD" w:themeColor="text2"/>
        <w:right w:val="single" w:sz="12" w:space="4" w:color="0046AD" w:themeColor="text2"/>
      </w:pBdr>
    </w:pPr>
  </w:style>
  <w:style w:type="paragraph" w:customStyle="1" w:styleId="Boxbullettext">
    <w:name w:val="Box bullet text"/>
    <w:basedOn w:val="BoxText"/>
    <w:uiPriority w:val="9"/>
    <w:qFormat/>
    <w:rsid w:val="004668B6"/>
    <w:pPr>
      <w:numPr>
        <w:ilvl w:val="3"/>
        <w:numId w:val="17"/>
      </w:numPr>
    </w:pPr>
  </w:style>
  <w:style w:type="paragraph" w:customStyle="1" w:styleId="Boxheading">
    <w:name w:val="Box heading"/>
    <w:basedOn w:val="BoxText"/>
    <w:next w:val="BoxText"/>
    <w:uiPriority w:val="9"/>
    <w:qFormat/>
    <w:rsid w:val="006300AF"/>
    <w:rPr>
      <w:b/>
      <w:color w:val="0046AD" w:themeColor="text2"/>
    </w:rPr>
  </w:style>
  <w:style w:type="paragraph" w:customStyle="1" w:styleId="Heading2SectionTitle">
    <w:name w:val="Heading 2 Section Title"/>
    <w:basedOn w:val="Heading2"/>
    <w:next w:val="BodyText"/>
    <w:qFormat/>
    <w:rsid w:val="003873E1"/>
    <w:pPr>
      <w:pageBreakBefore/>
    </w:pPr>
    <w:rPr>
      <w:caps/>
    </w:rPr>
  </w:style>
  <w:style w:type="paragraph" w:customStyle="1" w:styleId="SummaryHeading4">
    <w:name w:val="Summary Heading 4"/>
    <w:aliases w:val="Heading 4 No Number"/>
    <w:basedOn w:val="Heading4"/>
    <w:next w:val="BodyText"/>
    <w:uiPriority w:val="9"/>
    <w:qFormat/>
    <w:rsid w:val="00B00678"/>
    <w:pPr>
      <w:numPr>
        <w:ilvl w:val="0"/>
        <w:numId w:val="0"/>
      </w:numPr>
    </w:pPr>
  </w:style>
  <w:style w:type="paragraph" w:customStyle="1" w:styleId="SummaryHeading5">
    <w:name w:val="Summary Heading 5"/>
    <w:aliases w:val="Heading 5 No Number"/>
    <w:basedOn w:val="Heading5"/>
    <w:next w:val="BodyText"/>
    <w:uiPriority w:val="9"/>
    <w:qFormat/>
    <w:rsid w:val="00B00678"/>
    <w:pPr>
      <w:numPr>
        <w:ilvl w:val="0"/>
        <w:numId w:val="0"/>
      </w:numPr>
    </w:pPr>
  </w:style>
  <w:style w:type="paragraph" w:customStyle="1" w:styleId="SummaryHeading6">
    <w:name w:val="Summary Heading 6"/>
    <w:aliases w:val="Heading 6 No Number"/>
    <w:basedOn w:val="Heading6"/>
    <w:next w:val="BodyText"/>
    <w:uiPriority w:val="9"/>
    <w:qFormat/>
    <w:rsid w:val="004A2961"/>
    <w:pPr>
      <w:numPr>
        <w:ilvl w:val="0"/>
        <w:numId w:val="0"/>
      </w:numPr>
    </w:pPr>
  </w:style>
  <w:style w:type="paragraph" w:customStyle="1" w:styleId="Heading10">
    <w:name w:val="Heading 10"/>
    <w:basedOn w:val="Heading9"/>
    <w:next w:val="BodyText"/>
    <w:uiPriority w:val="9"/>
    <w:qFormat/>
    <w:rsid w:val="00AE02CB"/>
    <w:pPr>
      <w:numPr>
        <w:ilvl w:val="7"/>
      </w:numPr>
    </w:pPr>
  </w:style>
  <w:style w:type="paragraph" w:customStyle="1" w:styleId="Heading11">
    <w:name w:val="Heading 11"/>
    <w:basedOn w:val="Heading10"/>
    <w:next w:val="BodyText"/>
    <w:uiPriority w:val="9"/>
    <w:qFormat/>
    <w:rsid w:val="00AE02CB"/>
    <w:pPr>
      <w:numPr>
        <w:ilvl w:val="8"/>
      </w:numPr>
    </w:pPr>
  </w:style>
  <w:style w:type="paragraph" w:customStyle="1" w:styleId="SummaryHeading7">
    <w:name w:val="Summary Heading 7"/>
    <w:aliases w:val="Heading 7 No Number"/>
    <w:basedOn w:val="SummaryHeading6"/>
    <w:next w:val="BodyText"/>
    <w:uiPriority w:val="9"/>
    <w:qFormat/>
    <w:rsid w:val="00A21E59"/>
    <w:pPr>
      <w:ind w:left="1418"/>
    </w:pPr>
  </w:style>
  <w:style w:type="paragraph" w:customStyle="1" w:styleId="SummaryHeading8">
    <w:name w:val="Summary Heading 8"/>
    <w:aliases w:val="Heading 8 No Number"/>
    <w:basedOn w:val="SummaryHeading7"/>
    <w:next w:val="BodyText"/>
    <w:uiPriority w:val="9"/>
    <w:qFormat/>
    <w:rsid w:val="00A21E59"/>
    <w:pPr>
      <w:ind w:left="1985"/>
    </w:pPr>
  </w:style>
  <w:style w:type="table" w:customStyle="1" w:styleId="CMATableNumericalFinancial">
    <w:name w:val="CMA Table (Numerical/Financial)"/>
    <w:basedOn w:val="TableNormal"/>
    <w:uiPriority w:val="99"/>
    <w:rsid w:val="001B349A"/>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customStyle="1" w:styleId="Heading3NoNumb">
    <w:name w:val="Heading 3 NoNumb"/>
    <w:basedOn w:val="Heading3"/>
    <w:next w:val="Normal"/>
    <w:uiPriority w:val="9"/>
    <w:qFormat/>
    <w:rsid w:val="00C84E3D"/>
    <w:pPr>
      <w:numPr>
        <w:numId w:val="0"/>
      </w:numPr>
    </w:pPr>
  </w:style>
  <w:style w:type="paragraph" w:customStyle="1" w:styleId="TableBullet1">
    <w:name w:val="Table Bullet 1"/>
    <w:basedOn w:val="TableText"/>
    <w:uiPriority w:val="20"/>
    <w:qFormat/>
    <w:rsid w:val="004668B6"/>
    <w:pPr>
      <w:numPr>
        <w:ilvl w:val="7"/>
        <w:numId w:val="17"/>
      </w:numPr>
      <w:spacing w:after="60" w:line="240" w:lineRule="auto"/>
    </w:pPr>
    <w:rPr>
      <w:bCs/>
    </w:rPr>
  </w:style>
  <w:style w:type="paragraph" w:customStyle="1" w:styleId="TableHeading">
    <w:name w:val="Table Heading"/>
    <w:basedOn w:val="TableText"/>
    <w:uiPriority w:val="19"/>
    <w:qFormat/>
    <w:rsid w:val="008F0AC6"/>
    <w:pPr>
      <w:spacing w:after="160"/>
    </w:pPr>
  </w:style>
  <w:style w:type="table" w:customStyle="1" w:styleId="CMATableData">
    <w:name w:val="CMA Table (Data)"/>
    <w:basedOn w:val="TableNormal"/>
    <w:uiPriority w:val="99"/>
    <w:rsid w:val="008F0AC6"/>
    <w:pPr>
      <w:spacing w:after="0" w:line="240" w:lineRule="auto"/>
      <w:jc w:val="right"/>
    </w:pPr>
    <w:rPr>
      <w:sz w:val="16"/>
    </w:rPr>
    <w:tblPr/>
    <w:tcPr>
      <w:vAlign w:val="bottom"/>
    </w:tcPr>
    <w:tblStylePr w:type="firstRow">
      <w:rPr>
        <w:b w:val="0"/>
        <w:i/>
      </w:rPr>
      <w:tblPr/>
      <w:tcPr>
        <w:tcBorders>
          <w:top w:val="nil"/>
          <w:left w:val="nil"/>
          <w:bottom w:val="nil"/>
          <w:right w:val="nil"/>
          <w:insideH w:val="nil"/>
          <w:insideV w:val="nil"/>
          <w:tl2br w:val="nil"/>
          <w:tr2bl w:val="nil"/>
        </w:tcBorders>
      </w:tcPr>
    </w:tblStylePr>
    <w:tblStylePr w:type="lastRow">
      <w:rPr>
        <w:b/>
      </w:rPr>
    </w:tblStylePr>
    <w:tblStylePr w:type="firstCol">
      <w:pPr>
        <w:wordWrap/>
        <w:jc w:val="left"/>
      </w:pPr>
      <w:rPr>
        <w:b w:val="0"/>
      </w:rPr>
    </w:tblStylePr>
  </w:style>
  <w:style w:type="paragraph" w:styleId="EndnoteText">
    <w:name w:val="endnote text"/>
    <w:basedOn w:val="Normal"/>
    <w:link w:val="EndnoteTextChar"/>
    <w:uiPriority w:val="99"/>
    <w:unhideWhenUsed/>
    <w:rsid w:val="009F77B8"/>
    <w:pPr>
      <w:spacing w:after="0" w:line="240" w:lineRule="auto"/>
    </w:pPr>
    <w:rPr>
      <w:sz w:val="20"/>
      <w:szCs w:val="20"/>
    </w:rPr>
  </w:style>
  <w:style w:type="character" w:customStyle="1" w:styleId="EndnoteTextChar">
    <w:name w:val="Endnote Text Char"/>
    <w:basedOn w:val="DefaultParagraphFont"/>
    <w:link w:val="EndnoteText"/>
    <w:uiPriority w:val="99"/>
    <w:rsid w:val="009F77B8"/>
    <w:rPr>
      <w:sz w:val="20"/>
      <w:szCs w:val="20"/>
    </w:rPr>
  </w:style>
  <w:style w:type="paragraph" w:styleId="CommentText">
    <w:name w:val="annotation text"/>
    <w:basedOn w:val="Normal"/>
    <w:link w:val="CommentTextChar"/>
    <w:uiPriority w:val="99"/>
    <w:unhideWhenUsed/>
    <w:rsid w:val="009F77B8"/>
    <w:pPr>
      <w:spacing w:line="240" w:lineRule="auto"/>
    </w:pPr>
    <w:rPr>
      <w:sz w:val="20"/>
      <w:szCs w:val="20"/>
    </w:rPr>
  </w:style>
  <w:style w:type="character" w:customStyle="1" w:styleId="CommentTextChar">
    <w:name w:val="Comment Text Char"/>
    <w:basedOn w:val="DefaultParagraphFont"/>
    <w:link w:val="CommentText"/>
    <w:uiPriority w:val="99"/>
    <w:rsid w:val="009F77B8"/>
    <w:rPr>
      <w:sz w:val="20"/>
      <w:szCs w:val="20"/>
    </w:rPr>
  </w:style>
  <w:style w:type="paragraph" w:styleId="Signature">
    <w:name w:val="Signature"/>
    <w:basedOn w:val="Normal"/>
    <w:link w:val="SignatureChar"/>
    <w:uiPriority w:val="99"/>
    <w:unhideWhenUsed/>
    <w:rsid w:val="009F77B8"/>
    <w:pPr>
      <w:spacing w:after="0" w:line="240" w:lineRule="auto"/>
      <w:ind w:left="4252"/>
    </w:pPr>
  </w:style>
  <w:style w:type="character" w:customStyle="1" w:styleId="SignatureChar">
    <w:name w:val="Signature Char"/>
    <w:basedOn w:val="DefaultParagraphFont"/>
    <w:link w:val="Signature"/>
    <w:uiPriority w:val="99"/>
    <w:rsid w:val="009F77B8"/>
  </w:style>
  <w:style w:type="numbering" w:styleId="111111">
    <w:name w:val="Outline List 2"/>
    <w:basedOn w:val="NoList"/>
    <w:uiPriority w:val="99"/>
    <w:semiHidden/>
    <w:rsid w:val="009F77B8"/>
    <w:pPr>
      <w:numPr>
        <w:numId w:val="18"/>
      </w:numPr>
    </w:pPr>
  </w:style>
  <w:style w:type="numbering" w:styleId="1ai">
    <w:name w:val="Outline List 1"/>
    <w:basedOn w:val="NoList"/>
    <w:uiPriority w:val="99"/>
    <w:semiHidden/>
    <w:rsid w:val="009F77B8"/>
    <w:pPr>
      <w:numPr>
        <w:numId w:val="19"/>
      </w:numPr>
    </w:pPr>
  </w:style>
  <w:style w:type="numbering" w:styleId="ArticleSection">
    <w:name w:val="Outline List 3"/>
    <w:basedOn w:val="NoList"/>
    <w:uiPriority w:val="99"/>
    <w:semiHidden/>
    <w:rsid w:val="009F77B8"/>
    <w:pPr>
      <w:numPr>
        <w:numId w:val="20"/>
      </w:numPr>
    </w:pPr>
  </w:style>
  <w:style w:type="paragraph" w:styleId="BalloonText">
    <w:name w:val="Balloon Text"/>
    <w:basedOn w:val="Normal"/>
    <w:link w:val="BalloonTextChar"/>
    <w:uiPriority w:val="99"/>
    <w:semiHidden/>
    <w:rsid w:val="009F7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B8"/>
    <w:rPr>
      <w:rFonts w:ascii="Segoe UI" w:hAnsi="Segoe UI" w:cs="Segoe UI"/>
      <w:sz w:val="18"/>
      <w:szCs w:val="18"/>
    </w:rPr>
  </w:style>
  <w:style w:type="paragraph" w:styleId="Bibliography">
    <w:name w:val="Bibliography"/>
    <w:basedOn w:val="Normal"/>
    <w:next w:val="Normal"/>
    <w:uiPriority w:val="48"/>
    <w:semiHidden/>
    <w:rsid w:val="009F77B8"/>
  </w:style>
  <w:style w:type="paragraph" w:styleId="BlockText">
    <w:name w:val="Block Text"/>
    <w:basedOn w:val="Normal"/>
    <w:uiPriority w:val="99"/>
    <w:semiHidden/>
    <w:rsid w:val="009F77B8"/>
    <w:pPr>
      <w:pBdr>
        <w:top w:val="single" w:sz="2" w:space="10" w:color="55C5E9" w:themeColor="accent1"/>
        <w:left w:val="single" w:sz="2" w:space="10" w:color="55C5E9" w:themeColor="accent1"/>
        <w:bottom w:val="single" w:sz="2" w:space="10" w:color="55C5E9" w:themeColor="accent1"/>
        <w:right w:val="single" w:sz="2" w:space="10" w:color="55C5E9" w:themeColor="accent1"/>
      </w:pBdr>
      <w:ind w:left="1152" w:right="1152"/>
    </w:pPr>
    <w:rPr>
      <w:rFonts w:asciiTheme="minorHAnsi" w:eastAsiaTheme="minorEastAsia" w:hAnsiTheme="minorHAnsi"/>
      <w:i/>
      <w:iCs/>
      <w:color w:val="55C5E9" w:themeColor="accent1"/>
    </w:rPr>
  </w:style>
  <w:style w:type="paragraph" w:styleId="BodyTextFirstIndent">
    <w:name w:val="Body Text First Indent"/>
    <w:basedOn w:val="BodyText"/>
    <w:link w:val="BodyTextFirstIndentChar"/>
    <w:uiPriority w:val="99"/>
    <w:semiHidden/>
    <w:rsid w:val="009F77B8"/>
    <w:pPr>
      <w:numPr>
        <w:numId w:val="0"/>
      </w:numPr>
      <w:ind w:firstLine="360"/>
    </w:pPr>
  </w:style>
  <w:style w:type="character" w:customStyle="1" w:styleId="BodyTextFirstIndentChar">
    <w:name w:val="Body Text First Indent Char"/>
    <w:basedOn w:val="BodyTextChar"/>
    <w:link w:val="BodyTextFirstIndent"/>
    <w:uiPriority w:val="99"/>
    <w:semiHidden/>
    <w:rsid w:val="009F77B8"/>
  </w:style>
  <w:style w:type="paragraph" w:styleId="BodyTextIndent">
    <w:name w:val="Body Text Indent"/>
    <w:basedOn w:val="Normal"/>
    <w:link w:val="BodyTextIndentChar"/>
    <w:uiPriority w:val="99"/>
    <w:semiHidden/>
    <w:rsid w:val="009F77B8"/>
    <w:pPr>
      <w:spacing w:after="120"/>
      <w:ind w:left="283"/>
    </w:pPr>
  </w:style>
  <w:style w:type="character" w:customStyle="1" w:styleId="BodyTextIndentChar">
    <w:name w:val="Body Text Indent Char"/>
    <w:basedOn w:val="DefaultParagraphFont"/>
    <w:link w:val="BodyTextIndent"/>
    <w:uiPriority w:val="99"/>
    <w:semiHidden/>
    <w:rsid w:val="009F77B8"/>
  </w:style>
  <w:style w:type="paragraph" w:styleId="BodyTextFirstIndent2">
    <w:name w:val="Body Text First Indent 2"/>
    <w:basedOn w:val="BodyTextIndent"/>
    <w:link w:val="BodyTextFirstIndent2Char"/>
    <w:uiPriority w:val="99"/>
    <w:semiHidden/>
    <w:rsid w:val="009F77B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F77B8"/>
  </w:style>
  <w:style w:type="paragraph" w:styleId="BodyTextIndent2">
    <w:name w:val="Body Text Indent 2"/>
    <w:basedOn w:val="Normal"/>
    <w:link w:val="BodyTextIndent2Char"/>
    <w:uiPriority w:val="99"/>
    <w:semiHidden/>
    <w:rsid w:val="009F77B8"/>
    <w:pPr>
      <w:spacing w:after="120" w:line="480" w:lineRule="auto"/>
      <w:ind w:left="283"/>
    </w:pPr>
  </w:style>
  <w:style w:type="character" w:customStyle="1" w:styleId="BodyTextIndent2Char">
    <w:name w:val="Body Text Indent 2 Char"/>
    <w:basedOn w:val="DefaultParagraphFont"/>
    <w:link w:val="BodyTextIndent2"/>
    <w:uiPriority w:val="99"/>
    <w:semiHidden/>
    <w:rsid w:val="009F77B8"/>
  </w:style>
  <w:style w:type="paragraph" w:styleId="BodyTextIndent3">
    <w:name w:val="Body Text Indent 3"/>
    <w:basedOn w:val="Normal"/>
    <w:link w:val="BodyTextIndent3Char"/>
    <w:uiPriority w:val="99"/>
    <w:semiHidden/>
    <w:rsid w:val="009F77B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77B8"/>
    <w:rPr>
      <w:sz w:val="16"/>
      <w:szCs w:val="16"/>
    </w:rPr>
  </w:style>
  <w:style w:type="character" w:styleId="BookTitle">
    <w:name w:val="Book Title"/>
    <w:basedOn w:val="DefaultParagraphFont"/>
    <w:uiPriority w:val="48"/>
    <w:semiHidden/>
    <w:qFormat/>
    <w:rsid w:val="009F77B8"/>
    <w:rPr>
      <w:b/>
      <w:bCs/>
      <w:i/>
      <w:iCs/>
      <w:spacing w:val="5"/>
    </w:rPr>
  </w:style>
  <w:style w:type="paragraph" w:styleId="Closing">
    <w:name w:val="Closing"/>
    <w:basedOn w:val="Normal"/>
    <w:link w:val="ClosingChar"/>
    <w:uiPriority w:val="99"/>
    <w:semiHidden/>
    <w:rsid w:val="009F77B8"/>
    <w:pPr>
      <w:spacing w:after="0" w:line="240" w:lineRule="auto"/>
      <w:ind w:left="4252"/>
    </w:pPr>
  </w:style>
  <w:style w:type="character" w:customStyle="1" w:styleId="ClosingChar">
    <w:name w:val="Closing Char"/>
    <w:basedOn w:val="DefaultParagraphFont"/>
    <w:link w:val="Closing"/>
    <w:uiPriority w:val="99"/>
    <w:semiHidden/>
    <w:rsid w:val="009F77B8"/>
  </w:style>
  <w:style w:type="table" w:styleId="ColourfulGrid">
    <w:name w:val="Colorful Grid"/>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3FA" w:themeFill="accent1" w:themeFillTint="33"/>
    </w:tcPr>
    <w:tblStylePr w:type="firstRow">
      <w:rPr>
        <w:b/>
        <w:bCs/>
      </w:rPr>
      <w:tblPr/>
      <w:tcPr>
        <w:shd w:val="clear" w:color="auto" w:fill="BAE7F6" w:themeFill="accent1" w:themeFillTint="66"/>
      </w:tcPr>
    </w:tblStylePr>
    <w:tblStylePr w:type="lastRow">
      <w:rPr>
        <w:b/>
        <w:bCs/>
        <w:color w:val="000000" w:themeColor="text1"/>
      </w:rPr>
      <w:tblPr/>
      <w:tcPr>
        <w:shd w:val="clear" w:color="auto" w:fill="BAE7F6" w:themeFill="accent1" w:themeFillTint="66"/>
      </w:tcPr>
    </w:tblStylePr>
    <w:tblStylePr w:type="firstCol">
      <w:rPr>
        <w:color w:val="FFFFFF" w:themeColor="background1"/>
      </w:rPr>
      <w:tblPr/>
      <w:tcPr>
        <w:shd w:val="clear" w:color="auto" w:fill="1BA5D2" w:themeFill="accent1" w:themeFillShade="BF"/>
      </w:tcPr>
    </w:tblStylePr>
    <w:tblStylePr w:type="lastCol">
      <w:rPr>
        <w:color w:val="FFFFFF" w:themeColor="background1"/>
      </w:rPr>
      <w:tblPr/>
      <w:tcPr>
        <w:shd w:val="clear" w:color="auto" w:fill="1BA5D2" w:themeFill="accent1" w:themeFillShade="BF"/>
      </w:tc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ColourfulGridAccent2">
    <w:name w:val="Colorful Grid Accent 2"/>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A" w:themeFill="accent2" w:themeFillTint="33"/>
    </w:tcPr>
    <w:tblStylePr w:type="firstRow">
      <w:rPr>
        <w:b/>
        <w:bCs/>
      </w:rPr>
      <w:tblPr/>
      <w:tcPr>
        <w:shd w:val="clear" w:color="auto" w:fill="D8F0F5" w:themeFill="accent2" w:themeFillTint="66"/>
      </w:tcPr>
    </w:tblStylePr>
    <w:tblStylePr w:type="lastRow">
      <w:rPr>
        <w:b/>
        <w:bCs/>
        <w:color w:val="000000" w:themeColor="text1"/>
      </w:rPr>
      <w:tblPr/>
      <w:tcPr>
        <w:shd w:val="clear" w:color="auto" w:fill="D8F0F5" w:themeFill="accent2" w:themeFillTint="66"/>
      </w:tcPr>
    </w:tblStylePr>
    <w:tblStylePr w:type="firstCol">
      <w:rPr>
        <w:color w:val="FFFFFF" w:themeColor="background1"/>
      </w:rPr>
      <w:tblPr/>
      <w:tcPr>
        <w:shd w:val="clear" w:color="auto" w:fill="50BAD4" w:themeFill="accent2" w:themeFillShade="BF"/>
      </w:tcPr>
    </w:tblStylePr>
    <w:tblStylePr w:type="lastCol">
      <w:rPr>
        <w:color w:val="FFFFFF" w:themeColor="background1"/>
      </w:rPr>
      <w:tblPr/>
      <w:tcPr>
        <w:shd w:val="clear" w:color="auto" w:fill="50BAD4" w:themeFill="accent2" w:themeFillShade="BF"/>
      </w:tc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ColourfulGridAccent3">
    <w:name w:val="Colorful Grid Accent 3"/>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9F77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9F77B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9F77B8"/>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F9" w:themeFill="accent1" w:themeFillTint="3F"/>
      </w:tcPr>
    </w:tblStylePr>
    <w:tblStylePr w:type="band1Horz">
      <w:tblPr/>
      <w:tcPr>
        <w:shd w:val="clear" w:color="auto" w:fill="DCF3FA" w:themeFill="accent1" w:themeFillTint="33"/>
      </w:tcPr>
    </w:tblStylePr>
  </w:style>
  <w:style w:type="table" w:styleId="ColourfulListAccent2">
    <w:name w:val="Colorful List Accent 2"/>
    <w:basedOn w:val="TableNormal"/>
    <w:uiPriority w:val="72"/>
    <w:semiHidden/>
    <w:rsid w:val="009F77B8"/>
    <w:pPr>
      <w:spacing w:after="0" w:line="240" w:lineRule="auto"/>
    </w:pPr>
    <w:rPr>
      <w:color w:val="000000" w:themeColor="text1"/>
    </w:rPr>
    <w:tblPr>
      <w:tblStyleRowBandSize w:val="1"/>
      <w:tblStyleColBandSize w:val="1"/>
    </w:tblPr>
    <w:tcPr>
      <w:shd w:val="clear" w:color="auto" w:fill="F5FBFC" w:themeFill="accent2" w:themeFillTint="19"/>
    </w:tcPr>
    <w:tblStylePr w:type="firstRow">
      <w:rPr>
        <w:b/>
        <w:bCs/>
        <w:color w:val="FFFFFF" w:themeColor="background1"/>
      </w:rPr>
      <w:tblPr/>
      <w:tcPr>
        <w:tcBorders>
          <w:bottom w:val="single" w:sz="12" w:space="0" w:color="FFFFFF" w:themeColor="background1"/>
        </w:tcBorders>
        <w:shd w:val="clear" w:color="auto" w:fill="60C1D8" w:themeFill="accent2" w:themeFillShade="CC"/>
      </w:tcPr>
    </w:tblStylePr>
    <w:tblStylePr w:type="lastRow">
      <w:rPr>
        <w:b/>
        <w:bCs/>
        <w:color w:val="60C1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F9" w:themeFill="accent2" w:themeFillTint="3F"/>
      </w:tcPr>
    </w:tblStylePr>
    <w:tblStylePr w:type="band1Horz">
      <w:tblPr/>
      <w:tcPr>
        <w:shd w:val="clear" w:color="auto" w:fill="EBF7FA" w:themeFill="accent2" w:themeFillTint="33"/>
      </w:tcPr>
    </w:tblStylePr>
  </w:style>
  <w:style w:type="table" w:styleId="ColourfulListAccent3">
    <w:name w:val="Colorful List Accent 3"/>
    <w:basedOn w:val="TableNormal"/>
    <w:uiPriority w:val="72"/>
    <w:semiHidden/>
    <w:rsid w:val="009F77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9F77B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9F77B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9F77B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A0DAE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A0DAE8" w:themeColor="accent2"/>
        <w:left w:val="single" w:sz="4" w:space="0" w:color="55C5E9" w:themeColor="accent1"/>
        <w:bottom w:val="single" w:sz="4" w:space="0" w:color="55C5E9" w:themeColor="accent1"/>
        <w:right w:val="single" w:sz="4" w:space="0" w:color="55C5E9"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4A8" w:themeFill="accent1" w:themeFillShade="99"/>
      </w:tcPr>
    </w:tblStylePr>
    <w:tblStylePr w:type="firstCol">
      <w:rPr>
        <w:color w:val="FFFFFF" w:themeColor="background1"/>
      </w:rPr>
      <w:tblPr/>
      <w:tcPr>
        <w:tcBorders>
          <w:top w:val="nil"/>
          <w:left w:val="nil"/>
          <w:bottom w:val="nil"/>
          <w:right w:val="nil"/>
          <w:insideH w:val="single" w:sz="4" w:space="0" w:color="1684A8" w:themeColor="accent1" w:themeShade="99"/>
          <w:insideV w:val="nil"/>
        </w:tcBorders>
        <w:shd w:val="clear" w:color="auto" w:fill="1684A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84A8" w:themeFill="accent1" w:themeFillShade="99"/>
      </w:tcPr>
    </w:tblStylePr>
    <w:tblStylePr w:type="band1Vert">
      <w:tblPr/>
      <w:tcPr>
        <w:shd w:val="clear" w:color="auto" w:fill="BAE7F6" w:themeFill="accent1" w:themeFillTint="66"/>
      </w:tcPr>
    </w:tblStylePr>
    <w:tblStylePr w:type="band1Horz">
      <w:tblPr/>
      <w:tcPr>
        <w:shd w:val="clear" w:color="auto" w:fill="AAE1F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A0DAE8" w:themeColor="accent2"/>
        <w:left w:val="single" w:sz="4" w:space="0" w:color="A0DAE8" w:themeColor="accent2"/>
        <w:bottom w:val="single" w:sz="4" w:space="0" w:color="A0DAE8" w:themeColor="accent2"/>
        <w:right w:val="single" w:sz="4" w:space="0" w:color="A0DAE8" w:themeColor="accent2"/>
        <w:insideH w:val="single" w:sz="4" w:space="0" w:color="FFFFFF" w:themeColor="background1"/>
        <w:insideV w:val="single" w:sz="4" w:space="0" w:color="FFFFFF" w:themeColor="background1"/>
      </w:tblBorders>
    </w:tblPr>
    <w:tcPr>
      <w:shd w:val="clear" w:color="auto" w:fill="F5FBFC" w:themeFill="accent2" w:themeFillTint="19"/>
    </w:tcPr>
    <w:tblStylePr w:type="firstRow">
      <w:rPr>
        <w:b/>
        <w:bCs/>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A0BD" w:themeFill="accent2" w:themeFillShade="99"/>
      </w:tcPr>
    </w:tblStylePr>
    <w:tblStylePr w:type="firstCol">
      <w:rPr>
        <w:color w:val="FFFFFF" w:themeColor="background1"/>
      </w:rPr>
      <w:tblPr/>
      <w:tcPr>
        <w:tcBorders>
          <w:top w:val="nil"/>
          <w:left w:val="nil"/>
          <w:bottom w:val="nil"/>
          <w:right w:val="nil"/>
          <w:insideH w:val="single" w:sz="4" w:space="0" w:color="2EA0BD" w:themeColor="accent2" w:themeShade="99"/>
          <w:insideV w:val="nil"/>
        </w:tcBorders>
        <w:shd w:val="clear" w:color="auto" w:fill="2EA0B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A0BD" w:themeFill="accent2" w:themeFillShade="99"/>
      </w:tcPr>
    </w:tblStylePr>
    <w:tblStylePr w:type="band1Vert">
      <w:tblPr/>
      <w:tcPr>
        <w:shd w:val="clear" w:color="auto" w:fill="D8F0F5" w:themeFill="accent2" w:themeFillTint="66"/>
      </w:tcPr>
    </w:tblStylePr>
    <w:tblStylePr w:type="band1Horz">
      <w:tblPr/>
      <w:tcPr>
        <w:shd w:val="clear" w:color="auto" w:fill="CFECF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9F77B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F77B8"/>
    <w:rPr>
      <w:sz w:val="16"/>
      <w:szCs w:val="16"/>
    </w:rPr>
  </w:style>
  <w:style w:type="paragraph" w:styleId="CommentSubject">
    <w:name w:val="annotation subject"/>
    <w:basedOn w:val="CommentText"/>
    <w:next w:val="CommentText"/>
    <w:link w:val="CommentSubjectChar"/>
    <w:uiPriority w:val="99"/>
    <w:semiHidden/>
    <w:rsid w:val="009F77B8"/>
    <w:rPr>
      <w:b/>
      <w:bCs/>
    </w:rPr>
  </w:style>
  <w:style w:type="character" w:customStyle="1" w:styleId="CommentSubjectChar">
    <w:name w:val="Comment Subject Char"/>
    <w:basedOn w:val="CommentTextChar"/>
    <w:link w:val="CommentSubject"/>
    <w:uiPriority w:val="99"/>
    <w:semiHidden/>
    <w:rsid w:val="009F77B8"/>
    <w:rPr>
      <w:b/>
      <w:bCs/>
      <w:sz w:val="20"/>
      <w:szCs w:val="20"/>
    </w:rPr>
  </w:style>
  <w:style w:type="table" w:styleId="DarkList">
    <w:name w:val="Dark List"/>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55C5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6E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A5D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A5D2" w:themeFill="accent1" w:themeFillShade="BF"/>
      </w:tcPr>
    </w:tblStylePr>
    <w:tblStylePr w:type="band1Vert">
      <w:tblPr/>
      <w:tcPr>
        <w:tcBorders>
          <w:top w:val="nil"/>
          <w:left w:val="nil"/>
          <w:bottom w:val="nil"/>
          <w:right w:val="nil"/>
          <w:insideH w:val="nil"/>
          <w:insideV w:val="nil"/>
        </w:tcBorders>
        <w:shd w:val="clear" w:color="auto" w:fill="1BA5D2" w:themeFill="accent1" w:themeFillShade="BF"/>
      </w:tcPr>
    </w:tblStylePr>
    <w:tblStylePr w:type="band1Horz">
      <w:tblPr/>
      <w:tcPr>
        <w:tcBorders>
          <w:top w:val="nil"/>
          <w:left w:val="nil"/>
          <w:bottom w:val="nil"/>
          <w:right w:val="nil"/>
          <w:insideH w:val="nil"/>
          <w:insideV w:val="nil"/>
        </w:tcBorders>
        <w:shd w:val="clear" w:color="auto" w:fill="1BA5D2" w:themeFill="accent1" w:themeFillShade="BF"/>
      </w:tcPr>
    </w:tblStylePr>
  </w:style>
  <w:style w:type="table" w:styleId="DarkList-Accent2">
    <w:name w:val="Dark List Accent 2"/>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A0DA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85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BA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BAD4" w:themeFill="accent2" w:themeFillShade="BF"/>
      </w:tcPr>
    </w:tblStylePr>
    <w:tblStylePr w:type="band1Vert">
      <w:tblPr/>
      <w:tcPr>
        <w:tcBorders>
          <w:top w:val="nil"/>
          <w:left w:val="nil"/>
          <w:bottom w:val="nil"/>
          <w:right w:val="nil"/>
          <w:insideH w:val="nil"/>
          <w:insideV w:val="nil"/>
        </w:tcBorders>
        <w:shd w:val="clear" w:color="auto" w:fill="50BAD4" w:themeFill="accent2" w:themeFillShade="BF"/>
      </w:tcPr>
    </w:tblStylePr>
    <w:tblStylePr w:type="band1Horz">
      <w:tblPr/>
      <w:tcPr>
        <w:tcBorders>
          <w:top w:val="nil"/>
          <w:left w:val="nil"/>
          <w:bottom w:val="nil"/>
          <w:right w:val="nil"/>
          <w:insideH w:val="nil"/>
          <w:insideV w:val="nil"/>
        </w:tcBorders>
        <w:shd w:val="clear" w:color="auto" w:fill="50BAD4" w:themeFill="accent2" w:themeFillShade="BF"/>
      </w:tcPr>
    </w:tblStylePr>
  </w:style>
  <w:style w:type="table" w:styleId="DarkList-Accent3">
    <w:name w:val="Dark List Accent 3"/>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9F77B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9F77B8"/>
  </w:style>
  <w:style w:type="character" w:customStyle="1" w:styleId="DateChar">
    <w:name w:val="Date Char"/>
    <w:basedOn w:val="DefaultParagraphFont"/>
    <w:link w:val="Date"/>
    <w:uiPriority w:val="99"/>
    <w:semiHidden/>
    <w:rsid w:val="009F77B8"/>
  </w:style>
  <w:style w:type="paragraph" w:styleId="DocumentMap">
    <w:name w:val="Document Map"/>
    <w:basedOn w:val="Normal"/>
    <w:link w:val="DocumentMapChar"/>
    <w:uiPriority w:val="99"/>
    <w:semiHidden/>
    <w:rsid w:val="009F77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77B8"/>
    <w:rPr>
      <w:rFonts w:ascii="Segoe UI" w:hAnsi="Segoe UI" w:cs="Segoe UI"/>
      <w:sz w:val="16"/>
      <w:szCs w:val="16"/>
    </w:rPr>
  </w:style>
  <w:style w:type="paragraph" w:styleId="EmailSignature">
    <w:name w:val="E-mail Signature"/>
    <w:basedOn w:val="Normal"/>
    <w:link w:val="EmailSignatureChar"/>
    <w:uiPriority w:val="99"/>
    <w:semiHidden/>
    <w:rsid w:val="009F77B8"/>
    <w:pPr>
      <w:spacing w:after="0" w:line="240" w:lineRule="auto"/>
    </w:pPr>
  </w:style>
  <w:style w:type="character" w:customStyle="1" w:styleId="EmailSignatureChar">
    <w:name w:val="Email Signature Char"/>
    <w:basedOn w:val="DefaultParagraphFont"/>
    <w:link w:val="EmailSignature"/>
    <w:uiPriority w:val="99"/>
    <w:semiHidden/>
    <w:rsid w:val="009F77B8"/>
  </w:style>
  <w:style w:type="character" w:styleId="Emphasis">
    <w:name w:val="Emphasis"/>
    <w:basedOn w:val="DefaultParagraphFont"/>
    <w:uiPriority w:val="48"/>
    <w:semiHidden/>
    <w:qFormat/>
    <w:rsid w:val="009F77B8"/>
    <w:rPr>
      <w:i/>
      <w:iCs/>
    </w:rPr>
  </w:style>
  <w:style w:type="character" w:styleId="EndnoteReference">
    <w:name w:val="endnote reference"/>
    <w:basedOn w:val="DefaultParagraphFont"/>
    <w:uiPriority w:val="99"/>
    <w:semiHidden/>
    <w:rsid w:val="009F77B8"/>
    <w:rPr>
      <w:vertAlign w:val="superscript"/>
    </w:rPr>
  </w:style>
  <w:style w:type="paragraph" w:styleId="EnvelopeAddress">
    <w:name w:val="envelope address"/>
    <w:basedOn w:val="Normal"/>
    <w:uiPriority w:val="99"/>
    <w:semiHidden/>
    <w:rsid w:val="009F77B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9F77B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F77B8"/>
    <w:rPr>
      <w:color w:val="800080" w:themeColor="followedHyperlink"/>
      <w:u w:val="single"/>
    </w:rPr>
  </w:style>
  <w:style w:type="table" w:styleId="GridTable1Light">
    <w:name w:val="Grid Table 1 Light"/>
    <w:basedOn w:val="TableNormal"/>
    <w:uiPriority w:val="46"/>
    <w:rsid w:val="009F77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77B8"/>
    <w:pPr>
      <w:spacing w:after="0" w:line="240" w:lineRule="auto"/>
    </w:pPr>
    <w:tblPr>
      <w:tblStyleRowBandSize w:val="1"/>
      <w:tblStyleColBandSize w:val="1"/>
      <w:tblBorders>
        <w:top w:val="single" w:sz="4" w:space="0" w:color="BAE7F6" w:themeColor="accent1" w:themeTint="66"/>
        <w:left w:val="single" w:sz="4" w:space="0" w:color="BAE7F6" w:themeColor="accent1" w:themeTint="66"/>
        <w:bottom w:val="single" w:sz="4" w:space="0" w:color="BAE7F6" w:themeColor="accent1" w:themeTint="66"/>
        <w:right w:val="single" w:sz="4" w:space="0" w:color="BAE7F6" w:themeColor="accent1" w:themeTint="66"/>
        <w:insideH w:val="single" w:sz="4" w:space="0" w:color="BAE7F6" w:themeColor="accent1" w:themeTint="66"/>
        <w:insideV w:val="single" w:sz="4" w:space="0" w:color="BAE7F6" w:themeColor="accent1" w:themeTint="66"/>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2" w:space="0" w:color="98DB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77B8"/>
    <w:pPr>
      <w:spacing w:after="0" w:line="240" w:lineRule="auto"/>
    </w:pPr>
    <w:tblPr>
      <w:tblStyleRowBandSize w:val="1"/>
      <w:tblStyleColBandSize w:val="1"/>
      <w:tblBorders>
        <w:top w:val="single" w:sz="4" w:space="0" w:color="D8F0F5" w:themeColor="accent2" w:themeTint="66"/>
        <w:left w:val="single" w:sz="4" w:space="0" w:color="D8F0F5" w:themeColor="accent2" w:themeTint="66"/>
        <w:bottom w:val="single" w:sz="4" w:space="0" w:color="D8F0F5" w:themeColor="accent2" w:themeTint="66"/>
        <w:right w:val="single" w:sz="4" w:space="0" w:color="D8F0F5" w:themeColor="accent2" w:themeTint="66"/>
        <w:insideH w:val="single" w:sz="4" w:space="0" w:color="D8F0F5" w:themeColor="accent2" w:themeTint="66"/>
        <w:insideV w:val="single" w:sz="4" w:space="0" w:color="D8F0F5" w:themeColor="accent2" w:themeTint="66"/>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2" w:space="0" w:color="C5E8F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77B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77B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77B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7B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77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77B8"/>
    <w:pPr>
      <w:spacing w:after="0" w:line="240" w:lineRule="auto"/>
    </w:pPr>
    <w:tblPr>
      <w:tblStyleRowBandSize w:val="1"/>
      <w:tblStyleColBandSize w:val="1"/>
      <w:tblBorders>
        <w:top w:val="single" w:sz="2" w:space="0" w:color="98DBF1" w:themeColor="accent1" w:themeTint="99"/>
        <w:bottom w:val="single" w:sz="2" w:space="0" w:color="98DBF1" w:themeColor="accent1" w:themeTint="99"/>
        <w:insideH w:val="single" w:sz="2" w:space="0" w:color="98DBF1" w:themeColor="accent1" w:themeTint="99"/>
        <w:insideV w:val="single" w:sz="2" w:space="0" w:color="98DBF1" w:themeColor="accent1" w:themeTint="99"/>
      </w:tblBorders>
    </w:tblPr>
    <w:tblStylePr w:type="firstRow">
      <w:rPr>
        <w:b/>
        <w:bCs/>
      </w:rPr>
      <w:tblPr/>
      <w:tcPr>
        <w:tcBorders>
          <w:top w:val="nil"/>
          <w:bottom w:val="single" w:sz="12" w:space="0" w:color="98DBF1" w:themeColor="accent1" w:themeTint="99"/>
          <w:insideH w:val="nil"/>
          <w:insideV w:val="nil"/>
        </w:tcBorders>
        <w:shd w:val="clear" w:color="auto" w:fill="FFFFFF" w:themeFill="background1"/>
      </w:tcPr>
    </w:tblStylePr>
    <w:tblStylePr w:type="lastRow">
      <w:rPr>
        <w:b/>
        <w:bCs/>
      </w:rPr>
      <w:tblPr/>
      <w:tcPr>
        <w:tcBorders>
          <w:top w:val="double" w:sz="2" w:space="0" w:color="98DB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2-Accent2">
    <w:name w:val="Grid Table 2 Accent 2"/>
    <w:basedOn w:val="TableNormal"/>
    <w:uiPriority w:val="47"/>
    <w:rsid w:val="009F77B8"/>
    <w:pPr>
      <w:spacing w:after="0" w:line="240" w:lineRule="auto"/>
    </w:pPr>
    <w:tblPr>
      <w:tblStyleRowBandSize w:val="1"/>
      <w:tblStyleColBandSize w:val="1"/>
      <w:tblBorders>
        <w:top w:val="single" w:sz="2" w:space="0" w:color="C5E8F1" w:themeColor="accent2" w:themeTint="99"/>
        <w:bottom w:val="single" w:sz="2" w:space="0" w:color="C5E8F1" w:themeColor="accent2" w:themeTint="99"/>
        <w:insideH w:val="single" w:sz="2" w:space="0" w:color="C5E8F1" w:themeColor="accent2" w:themeTint="99"/>
        <w:insideV w:val="single" w:sz="2" w:space="0" w:color="C5E8F1" w:themeColor="accent2" w:themeTint="99"/>
      </w:tblBorders>
    </w:tblPr>
    <w:tblStylePr w:type="firstRow">
      <w:rPr>
        <w:b/>
        <w:bCs/>
      </w:rPr>
      <w:tblPr/>
      <w:tcPr>
        <w:tcBorders>
          <w:top w:val="nil"/>
          <w:bottom w:val="single" w:sz="12" w:space="0" w:color="C5E8F1" w:themeColor="accent2" w:themeTint="99"/>
          <w:insideH w:val="nil"/>
          <w:insideV w:val="nil"/>
        </w:tcBorders>
        <w:shd w:val="clear" w:color="auto" w:fill="FFFFFF" w:themeFill="background1"/>
      </w:tcPr>
    </w:tblStylePr>
    <w:tblStylePr w:type="lastRow">
      <w:rPr>
        <w:b/>
        <w:bCs/>
      </w:rPr>
      <w:tblPr/>
      <w:tcPr>
        <w:tcBorders>
          <w:top w:val="double" w:sz="2" w:space="0" w:color="C5E8F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2-Accent3">
    <w:name w:val="Grid Table 2 Accent 3"/>
    <w:basedOn w:val="TableNormal"/>
    <w:uiPriority w:val="47"/>
    <w:rsid w:val="009F77B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F77B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F77B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F77B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F77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77B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3-Accent2">
    <w:name w:val="Grid Table 3 Accent 2"/>
    <w:basedOn w:val="TableNormal"/>
    <w:uiPriority w:val="48"/>
    <w:rsid w:val="009F77B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3-Accent3">
    <w:name w:val="Grid Table 3 Accent 3"/>
    <w:basedOn w:val="TableNormal"/>
    <w:uiPriority w:val="48"/>
    <w:rsid w:val="009F77B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F77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F77B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F77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F77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77B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insideV w:val="nil"/>
        </w:tcBorders>
        <w:shd w:val="clear" w:color="auto" w:fill="55C5E9" w:themeFill="accent1"/>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4-Accent2">
    <w:name w:val="Grid Table 4 Accent 2"/>
    <w:basedOn w:val="TableNormal"/>
    <w:uiPriority w:val="49"/>
    <w:rsid w:val="009F77B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insideV w:val="nil"/>
        </w:tcBorders>
        <w:shd w:val="clear" w:color="auto" w:fill="A0DAE8" w:themeFill="accent2"/>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4-Accent3">
    <w:name w:val="Grid Table 4 Accent 3"/>
    <w:basedOn w:val="TableNormal"/>
    <w:uiPriority w:val="49"/>
    <w:rsid w:val="009F77B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F77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F77B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F77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C5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C5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C5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C5E9" w:themeFill="accent1"/>
      </w:tcPr>
    </w:tblStylePr>
    <w:tblStylePr w:type="band1Vert">
      <w:tblPr/>
      <w:tcPr>
        <w:shd w:val="clear" w:color="auto" w:fill="BAE7F6" w:themeFill="accent1" w:themeFillTint="66"/>
      </w:tcPr>
    </w:tblStylePr>
    <w:tblStylePr w:type="band1Horz">
      <w:tblPr/>
      <w:tcPr>
        <w:shd w:val="clear" w:color="auto" w:fill="BAE7F6" w:themeFill="accent1" w:themeFillTint="66"/>
      </w:tcPr>
    </w:tblStylePr>
  </w:style>
  <w:style w:type="table" w:styleId="GridTable5Dark-Accent2">
    <w:name w:val="Grid Table 5 Dark Accent 2"/>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DAE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DAE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DAE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DAE8" w:themeFill="accent2"/>
      </w:tcPr>
    </w:tblStylePr>
    <w:tblStylePr w:type="band1Vert">
      <w:tblPr/>
      <w:tcPr>
        <w:shd w:val="clear" w:color="auto" w:fill="D8F0F5" w:themeFill="accent2" w:themeFillTint="66"/>
      </w:tcPr>
    </w:tblStylePr>
    <w:tblStylePr w:type="band1Horz">
      <w:tblPr/>
      <w:tcPr>
        <w:shd w:val="clear" w:color="auto" w:fill="D8F0F5" w:themeFill="accent2" w:themeFillTint="66"/>
      </w:tcPr>
    </w:tblStylePr>
  </w:style>
  <w:style w:type="table" w:styleId="GridTable5Dark-Accent3">
    <w:name w:val="Grid Table 5 Dark Accent 3"/>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F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9F77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9F77B8"/>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bottom w:val="single" w:sz="12" w:space="0" w:color="98DBF1" w:themeColor="accent1" w:themeTint="99"/>
        </w:tcBorders>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GridTable6ColourfulAccent2">
    <w:name w:val="Grid Table 6 Colorful Accent 2"/>
    <w:basedOn w:val="TableNormal"/>
    <w:uiPriority w:val="51"/>
    <w:rsid w:val="009F77B8"/>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bottom w:val="single" w:sz="12" w:space="0" w:color="C5E8F1" w:themeColor="accent2" w:themeTint="99"/>
        </w:tcBorders>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GridTable6ColourfulAccent3">
    <w:name w:val="Grid Table 6 Colorful Accent 3"/>
    <w:basedOn w:val="TableNormal"/>
    <w:uiPriority w:val="51"/>
    <w:rsid w:val="009F77B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9F77B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9F77B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9F77B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9F77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9F77B8"/>
    <w:pPr>
      <w:spacing w:after="0" w:line="240" w:lineRule="auto"/>
    </w:pPr>
    <w:rPr>
      <w:color w:val="1BA5D2" w:themeColor="accent1" w:themeShade="BF"/>
    </w:r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insideV w:val="single" w:sz="4" w:space="0" w:color="98DB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bottom w:val="single" w:sz="4" w:space="0" w:color="98DBF1" w:themeColor="accent1" w:themeTint="99"/>
        </w:tcBorders>
      </w:tcPr>
    </w:tblStylePr>
    <w:tblStylePr w:type="nwCell">
      <w:tblPr/>
      <w:tcPr>
        <w:tcBorders>
          <w:bottom w:val="single" w:sz="4" w:space="0" w:color="98DBF1" w:themeColor="accent1" w:themeTint="99"/>
        </w:tcBorders>
      </w:tcPr>
    </w:tblStylePr>
    <w:tblStylePr w:type="seCell">
      <w:tblPr/>
      <w:tcPr>
        <w:tcBorders>
          <w:top w:val="single" w:sz="4" w:space="0" w:color="98DBF1" w:themeColor="accent1" w:themeTint="99"/>
        </w:tcBorders>
      </w:tcPr>
    </w:tblStylePr>
    <w:tblStylePr w:type="swCell">
      <w:tblPr/>
      <w:tcPr>
        <w:tcBorders>
          <w:top w:val="single" w:sz="4" w:space="0" w:color="98DBF1" w:themeColor="accent1" w:themeTint="99"/>
        </w:tcBorders>
      </w:tcPr>
    </w:tblStylePr>
  </w:style>
  <w:style w:type="table" w:styleId="GridTable7ColourfulAccent2">
    <w:name w:val="Grid Table 7 Colorful Accent 2"/>
    <w:basedOn w:val="TableNormal"/>
    <w:uiPriority w:val="52"/>
    <w:rsid w:val="009F77B8"/>
    <w:pPr>
      <w:spacing w:after="0" w:line="240" w:lineRule="auto"/>
    </w:pPr>
    <w:rPr>
      <w:color w:val="50BAD4" w:themeColor="accent2" w:themeShade="BF"/>
    </w:r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insideV w:val="single" w:sz="4" w:space="0" w:color="C5E8F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bottom w:val="single" w:sz="4" w:space="0" w:color="C5E8F1" w:themeColor="accent2" w:themeTint="99"/>
        </w:tcBorders>
      </w:tcPr>
    </w:tblStylePr>
    <w:tblStylePr w:type="nwCell">
      <w:tblPr/>
      <w:tcPr>
        <w:tcBorders>
          <w:bottom w:val="single" w:sz="4" w:space="0" w:color="C5E8F1" w:themeColor="accent2" w:themeTint="99"/>
        </w:tcBorders>
      </w:tcPr>
    </w:tblStylePr>
    <w:tblStylePr w:type="seCell">
      <w:tblPr/>
      <w:tcPr>
        <w:tcBorders>
          <w:top w:val="single" w:sz="4" w:space="0" w:color="C5E8F1" w:themeColor="accent2" w:themeTint="99"/>
        </w:tcBorders>
      </w:tcPr>
    </w:tblStylePr>
    <w:tblStylePr w:type="swCell">
      <w:tblPr/>
      <w:tcPr>
        <w:tcBorders>
          <w:top w:val="single" w:sz="4" w:space="0" w:color="C5E8F1" w:themeColor="accent2" w:themeTint="99"/>
        </w:tcBorders>
      </w:tcPr>
    </w:tblStylePr>
  </w:style>
  <w:style w:type="table" w:styleId="GridTable7ColourfulAccent3">
    <w:name w:val="Grid Table 7 Colorful Accent 3"/>
    <w:basedOn w:val="TableNormal"/>
    <w:uiPriority w:val="52"/>
    <w:rsid w:val="009F77B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9F77B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9F77B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9F77B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9F77B8"/>
    <w:rPr>
      <w:color w:val="2B579A"/>
      <w:shd w:val="clear" w:color="auto" w:fill="E1DFDD"/>
    </w:rPr>
  </w:style>
  <w:style w:type="character" w:styleId="HTMLAcronym">
    <w:name w:val="HTML Acronym"/>
    <w:basedOn w:val="DefaultParagraphFont"/>
    <w:uiPriority w:val="99"/>
    <w:semiHidden/>
    <w:rsid w:val="009F77B8"/>
  </w:style>
  <w:style w:type="paragraph" w:styleId="HTMLAddress">
    <w:name w:val="HTML Address"/>
    <w:basedOn w:val="Normal"/>
    <w:link w:val="HTMLAddressChar"/>
    <w:uiPriority w:val="99"/>
    <w:semiHidden/>
    <w:rsid w:val="009F77B8"/>
    <w:pPr>
      <w:spacing w:after="0" w:line="240" w:lineRule="auto"/>
    </w:pPr>
    <w:rPr>
      <w:i/>
      <w:iCs/>
    </w:rPr>
  </w:style>
  <w:style w:type="character" w:customStyle="1" w:styleId="HTMLAddressChar">
    <w:name w:val="HTML Address Char"/>
    <w:basedOn w:val="DefaultParagraphFont"/>
    <w:link w:val="HTMLAddress"/>
    <w:uiPriority w:val="99"/>
    <w:semiHidden/>
    <w:rsid w:val="009F77B8"/>
    <w:rPr>
      <w:i/>
      <w:iCs/>
    </w:rPr>
  </w:style>
  <w:style w:type="character" w:styleId="HTMLCite">
    <w:name w:val="HTML Cite"/>
    <w:basedOn w:val="DefaultParagraphFont"/>
    <w:uiPriority w:val="99"/>
    <w:semiHidden/>
    <w:rsid w:val="009F77B8"/>
    <w:rPr>
      <w:i/>
      <w:iCs/>
    </w:rPr>
  </w:style>
  <w:style w:type="character" w:styleId="HTMLCode">
    <w:name w:val="HTML Code"/>
    <w:basedOn w:val="DefaultParagraphFont"/>
    <w:uiPriority w:val="99"/>
    <w:semiHidden/>
    <w:rsid w:val="009F77B8"/>
    <w:rPr>
      <w:rFonts w:ascii="Consolas" w:hAnsi="Consolas"/>
      <w:sz w:val="20"/>
      <w:szCs w:val="20"/>
    </w:rPr>
  </w:style>
  <w:style w:type="character" w:styleId="HTMLDefinition">
    <w:name w:val="HTML Definition"/>
    <w:basedOn w:val="DefaultParagraphFont"/>
    <w:uiPriority w:val="99"/>
    <w:semiHidden/>
    <w:rsid w:val="009F77B8"/>
    <w:rPr>
      <w:i/>
      <w:iCs/>
    </w:rPr>
  </w:style>
  <w:style w:type="character" w:styleId="HTMLKeyboard">
    <w:name w:val="HTML Keyboard"/>
    <w:basedOn w:val="DefaultParagraphFont"/>
    <w:uiPriority w:val="99"/>
    <w:semiHidden/>
    <w:rsid w:val="009F77B8"/>
    <w:rPr>
      <w:rFonts w:ascii="Consolas" w:hAnsi="Consolas"/>
      <w:sz w:val="20"/>
      <w:szCs w:val="20"/>
    </w:rPr>
  </w:style>
  <w:style w:type="paragraph" w:styleId="HTMLPreformatted">
    <w:name w:val="HTML Preformatted"/>
    <w:basedOn w:val="Normal"/>
    <w:link w:val="HTMLPreformattedChar"/>
    <w:uiPriority w:val="99"/>
    <w:semiHidden/>
    <w:rsid w:val="009F77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77B8"/>
    <w:rPr>
      <w:rFonts w:ascii="Consolas" w:hAnsi="Consolas"/>
      <w:sz w:val="20"/>
      <w:szCs w:val="20"/>
    </w:rPr>
  </w:style>
  <w:style w:type="character" w:styleId="HTMLSample">
    <w:name w:val="HTML Sample"/>
    <w:basedOn w:val="DefaultParagraphFont"/>
    <w:uiPriority w:val="99"/>
    <w:semiHidden/>
    <w:rsid w:val="009F77B8"/>
    <w:rPr>
      <w:rFonts w:ascii="Consolas" w:hAnsi="Consolas"/>
      <w:sz w:val="24"/>
      <w:szCs w:val="24"/>
    </w:rPr>
  </w:style>
  <w:style w:type="character" w:styleId="HTMLTypewriter">
    <w:name w:val="HTML Typewriter"/>
    <w:basedOn w:val="DefaultParagraphFont"/>
    <w:uiPriority w:val="99"/>
    <w:semiHidden/>
    <w:rsid w:val="009F77B8"/>
    <w:rPr>
      <w:rFonts w:ascii="Consolas" w:hAnsi="Consolas"/>
      <w:sz w:val="20"/>
      <w:szCs w:val="20"/>
    </w:rPr>
  </w:style>
  <w:style w:type="character" w:styleId="HTMLVariable">
    <w:name w:val="HTML Variable"/>
    <w:basedOn w:val="DefaultParagraphFont"/>
    <w:uiPriority w:val="99"/>
    <w:semiHidden/>
    <w:rsid w:val="009F77B8"/>
    <w:rPr>
      <w:i/>
      <w:iCs/>
    </w:rPr>
  </w:style>
  <w:style w:type="paragraph" w:styleId="Index1">
    <w:name w:val="index 1"/>
    <w:basedOn w:val="Normal"/>
    <w:next w:val="Normal"/>
    <w:autoRedefine/>
    <w:uiPriority w:val="99"/>
    <w:semiHidden/>
    <w:rsid w:val="009F77B8"/>
    <w:pPr>
      <w:spacing w:after="0" w:line="240" w:lineRule="auto"/>
      <w:ind w:left="240" w:hanging="240"/>
    </w:pPr>
  </w:style>
  <w:style w:type="paragraph" w:styleId="Index2">
    <w:name w:val="index 2"/>
    <w:basedOn w:val="Normal"/>
    <w:next w:val="Normal"/>
    <w:autoRedefine/>
    <w:uiPriority w:val="99"/>
    <w:semiHidden/>
    <w:rsid w:val="009F77B8"/>
    <w:pPr>
      <w:spacing w:after="0" w:line="240" w:lineRule="auto"/>
      <w:ind w:left="480" w:hanging="240"/>
    </w:pPr>
  </w:style>
  <w:style w:type="paragraph" w:styleId="Index3">
    <w:name w:val="index 3"/>
    <w:basedOn w:val="Normal"/>
    <w:next w:val="Normal"/>
    <w:autoRedefine/>
    <w:uiPriority w:val="99"/>
    <w:semiHidden/>
    <w:rsid w:val="009F77B8"/>
    <w:pPr>
      <w:spacing w:after="0" w:line="240" w:lineRule="auto"/>
      <w:ind w:left="720" w:hanging="240"/>
    </w:pPr>
  </w:style>
  <w:style w:type="paragraph" w:styleId="Index4">
    <w:name w:val="index 4"/>
    <w:basedOn w:val="Normal"/>
    <w:next w:val="Normal"/>
    <w:autoRedefine/>
    <w:uiPriority w:val="99"/>
    <w:semiHidden/>
    <w:rsid w:val="009F77B8"/>
    <w:pPr>
      <w:spacing w:after="0" w:line="240" w:lineRule="auto"/>
      <w:ind w:left="960" w:hanging="240"/>
    </w:pPr>
  </w:style>
  <w:style w:type="paragraph" w:styleId="Index5">
    <w:name w:val="index 5"/>
    <w:basedOn w:val="Normal"/>
    <w:next w:val="Normal"/>
    <w:autoRedefine/>
    <w:uiPriority w:val="99"/>
    <w:semiHidden/>
    <w:rsid w:val="009F77B8"/>
    <w:pPr>
      <w:spacing w:after="0" w:line="240" w:lineRule="auto"/>
      <w:ind w:left="1200" w:hanging="240"/>
    </w:pPr>
  </w:style>
  <w:style w:type="paragraph" w:styleId="Index6">
    <w:name w:val="index 6"/>
    <w:basedOn w:val="Normal"/>
    <w:next w:val="Normal"/>
    <w:autoRedefine/>
    <w:uiPriority w:val="99"/>
    <w:semiHidden/>
    <w:rsid w:val="009F77B8"/>
    <w:pPr>
      <w:spacing w:after="0" w:line="240" w:lineRule="auto"/>
      <w:ind w:left="1440" w:hanging="240"/>
    </w:pPr>
  </w:style>
  <w:style w:type="paragraph" w:styleId="Index7">
    <w:name w:val="index 7"/>
    <w:basedOn w:val="Normal"/>
    <w:next w:val="Normal"/>
    <w:autoRedefine/>
    <w:uiPriority w:val="99"/>
    <w:semiHidden/>
    <w:rsid w:val="009F77B8"/>
    <w:pPr>
      <w:spacing w:after="0" w:line="240" w:lineRule="auto"/>
      <w:ind w:left="1680" w:hanging="240"/>
    </w:pPr>
  </w:style>
  <w:style w:type="paragraph" w:styleId="Index8">
    <w:name w:val="index 8"/>
    <w:basedOn w:val="Normal"/>
    <w:next w:val="Normal"/>
    <w:autoRedefine/>
    <w:uiPriority w:val="99"/>
    <w:semiHidden/>
    <w:rsid w:val="009F77B8"/>
    <w:pPr>
      <w:spacing w:after="0" w:line="240" w:lineRule="auto"/>
      <w:ind w:left="1920" w:hanging="240"/>
    </w:pPr>
  </w:style>
  <w:style w:type="paragraph" w:styleId="Index9">
    <w:name w:val="index 9"/>
    <w:basedOn w:val="Normal"/>
    <w:next w:val="Normal"/>
    <w:autoRedefine/>
    <w:uiPriority w:val="99"/>
    <w:semiHidden/>
    <w:rsid w:val="009F77B8"/>
    <w:pPr>
      <w:spacing w:after="0" w:line="240" w:lineRule="auto"/>
      <w:ind w:left="2160" w:hanging="240"/>
    </w:pPr>
  </w:style>
  <w:style w:type="paragraph" w:styleId="IndexHeading">
    <w:name w:val="index heading"/>
    <w:basedOn w:val="Normal"/>
    <w:next w:val="Index1"/>
    <w:uiPriority w:val="99"/>
    <w:semiHidden/>
    <w:rsid w:val="009F77B8"/>
    <w:rPr>
      <w:rFonts w:asciiTheme="majorHAnsi" w:eastAsiaTheme="majorEastAsia" w:hAnsiTheme="majorHAnsi" w:cstheme="majorBidi"/>
      <w:b/>
      <w:bCs/>
    </w:rPr>
  </w:style>
  <w:style w:type="character" w:styleId="IntenseEmphasis">
    <w:name w:val="Intense Emphasis"/>
    <w:basedOn w:val="DefaultParagraphFont"/>
    <w:uiPriority w:val="48"/>
    <w:semiHidden/>
    <w:qFormat/>
    <w:rsid w:val="009F77B8"/>
    <w:rPr>
      <w:i/>
      <w:iCs/>
      <w:color w:val="55C5E9" w:themeColor="accent1"/>
    </w:rPr>
  </w:style>
  <w:style w:type="paragraph" w:styleId="IntenseQuote">
    <w:name w:val="Intense Quote"/>
    <w:basedOn w:val="Normal"/>
    <w:next w:val="Normal"/>
    <w:link w:val="IntenseQuoteChar"/>
    <w:uiPriority w:val="48"/>
    <w:semiHidden/>
    <w:qFormat/>
    <w:rsid w:val="009F77B8"/>
    <w:pPr>
      <w:pBdr>
        <w:top w:val="single" w:sz="4" w:space="10" w:color="55C5E9" w:themeColor="accent1"/>
        <w:bottom w:val="single" w:sz="4" w:space="10" w:color="55C5E9" w:themeColor="accent1"/>
      </w:pBdr>
      <w:spacing w:before="360" w:after="360"/>
      <w:ind w:left="864" w:right="864"/>
      <w:jc w:val="center"/>
    </w:pPr>
    <w:rPr>
      <w:i/>
      <w:iCs/>
      <w:color w:val="55C5E9" w:themeColor="accent1"/>
    </w:rPr>
  </w:style>
  <w:style w:type="character" w:customStyle="1" w:styleId="IntenseQuoteChar">
    <w:name w:val="Intense Quote Char"/>
    <w:basedOn w:val="DefaultParagraphFont"/>
    <w:link w:val="IntenseQuote"/>
    <w:uiPriority w:val="48"/>
    <w:semiHidden/>
    <w:rsid w:val="009F77B8"/>
    <w:rPr>
      <w:i/>
      <w:iCs/>
      <w:color w:val="55C5E9" w:themeColor="accent1"/>
    </w:rPr>
  </w:style>
  <w:style w:type="character" w:styleId="IntenseReference">
    <w:name w:val="Intense Reference"/>
    <w:basedOn w:val="DefaultParagraphFont"/>
    <w:uiPriority w:val="48"/>
    <w:semiHidden/>
    <w:qFormat/>
    <w:rsid w:val="009F77B8"/>
    <w:rPr>
      <w:b/>
      <w:bCs/>
      <w:smallCaps/>
      <w:color w:val="55C5E9" w:themeColor="accent1"/>
      <w:spacing w:val="5"/>
    </w:rPr>
  </w:style>
  <w:style w:type="table" w:styleId="LightGrid">
    <w:name w:val="Light Grid"/>
    <w:basedOn w:val="TableNormal"/>
    <w:uiPriority w:val="62"/>
    <w:semiHidden/>
    <w:rsid w:val="009F77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F77B8"/>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18" w:space="0" w:color="55C5E9" w:themeColor="accent1"/>
          <w:right w:val="single" w:sz="8" w:space="0" w:color="55C5E9" w:themeColor="accent1"/>
          <w:insideH w:val="nil"/>
          <w:insideV w:val="single" w:sz="8" w:space="0" w:color="55C5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insideH w:val="nil"/>
          <w:insideV w:val="single" w:sz="8" w:space="0" w:color="55C5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shd w:val="clear" w:color="auto" w:fill="D4F0F9" w:themeFill="accent1" w:themeFillTint="3F"/>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shd w:val="clear" w:color="auto" w:fill="D4F0F9" w:themeFill="accent1" w:themeFillTint="3F"/>
      </w:tcPr>
    </w:tblStylePr>
    <w:tblStylePr w:type="band2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insideV w:val="single" w:sz="8" w:space="0" w:color="55C5E9" w:themeColor="accent1"/>
        </w:tcBorders>
      </w:tcPr>
    </w:tblStylePr>
  </w:style>
  <w:style w:type="table" w:styleId="LightGrid-Accent2">
    <w:name w:val="Light Grid Accent 2"/>
    <w:basedOn w:val="TableNormal"/>
    <w:uiPriority w:val="62"/>
    <w:semiHidden/>
    <w:rsid w:val="009F77B8"/>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18" w:space="0" w:color="A0DAE8" w:themeColor="accent2"/>
          <w:right w:val="single" w:sz="8" w:space="0" w:color="A0DAE8" w:themeColor="accent2"/>
          <w:insideH w:val="nil"/>
          <w:insideV w:val="single" w:sz="8" w:space="0" w:color="A0DA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insideH w:val="nil"/>
          <w:insideV w:val="single" w:sz="8" w:space="0" w:color="A0DA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shd w:val="clear" w:color="auto" w:fill="E7F5F9" w:themeFill="accent2" w:themeFillTint="3F"/>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shd w:val="clear" w:color="auto" w:fill="E7F5F9" w:themeFill="accent2" w:themeFillTint="3F"/>
      </w:tcPr>
    </w:tblStylePr>
    <w:tblStylePr w:type="band2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insideV w:val="single" w:sz="8" w:space="0" w:color="A0DAE8" w:themeColor="accent2"/>
        </w:tcBorders>
      </w:tcPr>
    </w:tblStylePr>
  </w:style>
  <w:style w:type="table" w:styleId="LightGrid-Accent3">
    <w:name w:val="Light Grid Accent 3"/>
    <w:basedOn w:val="TableNormal"/>
    <w:uiPriority w:val="62"/>
    <w:semiHidden/>
    <w:rsid w:val="009F77B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9F77B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9F77B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9F77B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9F77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F77B8"/>
    <w:pPr>
      <w:spacing w:after="0" w:line="240" w:lineRule="auto"/>
    </w:p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pPr>
        <w:spacing w:before="0" w:after="0" w:line="240" w:lineRule="auto"/>
      </w:pPr>
      <w:rPr>
        <w:b/>
        <w:bCs/>
        <w:color w:val="FFFFFF" w:themeColor="background1"/>
      </w:rPr>
      <w:tblPr/>
      <w:tcPr>
        <w:shd w:val="clear" w:color="auto" w:fill="55C5E9" w:themeFill="accent1"/>
      </w:tcPr>
    </w:tblStylePr>
    <w:tblStylePr w:type="lastRow">
      <w:pPr>
        <w:spacing w:before="0" w:after="0" w:line="240" w:lineRule="auto"/>
      </w:pPr>
      <w:rPr>
        <w:b/>
        <w:bCs/>
      </w:rPr>
      <w:tblPr/>
      <w:tcPr>
        <w:tcBorders>
          <w:top w:val="double" w:sz="6" w:space="0" w:color="55C5E9" w:themeColor="accent1"/>
          <w:left w:val="single" w:sz="8" w:space="0" w:color="55C5E9" w:themeColor="accent1"/>
          <w:bottom w:val="single" w:sz="8" w:space="0" w:color="55C5E9" w:themeColor="accent1"/>
          <w:right w:val="single" w:sz="8" w:space="0" w:color="55C5E9" w:themeColor="accent1"/>
        </w:tcBorders>
      </w:tcPr>
    </w:tblStylePr>
    <w:tblStylePr w:type="firstCol">
      <w:rPr>
        <w:b/>
        <w:bCs/>
      </w:rPr>
    </w:tblStylePr>
    <w:tblStylePr w:type="lastCol">
      <w:rPr>
        <w:b/>
        <w:bCs/>
      </w:rPr>
    </w:tblStylePr>
    <w:tblStylePr w:type="band1Vert">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tblStylePr w:type="band1Horz">
      <w:tblPr/>
      <w:tcPr>
        <w:tcBorders>
          <w:top w:val="single" w:sz="8" w:space="0" w:color="55C5E9" w:themeColor="accent1"/>
          <w:left w:val="single" w:sz="8" w:space="0" w:color="55C5E9" w:themeColor="accent1"/>
          <w:bottom w:val="single" w:sz="8" w:space="0" w:color="55C5E9" w:themeColor="accent1"/>
          <w:right w:val="single" w:sz="8" w:space="0" w:color="55C5E9" w:themeColor="accent1"/>
        </w:tcBorders>
      </w:tcPr>
    </w:tblStylePr>
  </w:style>
  <w:style w:type="table" w:styleId="LightList-Accent2">
    <w:name w:val="Light List Accent 2"/>
    <w:basedOn w:val="TableNormal"/>
    <w:uiPriority w:val="61"/>
    <w:semiHidden/>
    <w:rsid w:val="009F77B8"/>
    <w:pPr>
      <w:spacing w:after="0" w:line="240" w:lineRule="auto"/>
    </w:p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pPr>
        <w:spacing w:before="0" w:after="0" w:line="240" w:lineRule="auto"/>
      </w:pPr>
      <w:rPr>
        <w:b/>
        <w:bCs/>
        <w:color w:val="FFFFFF" w:themeColor="background1"/>
      </w:rPr>
      <w:tblPr/>
      <w:tcPr>
        <w:shd w:val="clear" w:color="auto" w:fill="A0DAE8" w:themeFill="accent2"/>
      </w:tcPr>
    </w:tblStylePr>
    <w:tblStylePr w:type="lastRow">
      <w:pPr>
        <w:spacing w:before="0" w:after="0" w:line="240" w:lineRule="auto"/>
      </w:pPr>
      <w:rPr>
        <w:b/>
        <w:bCs/>
      </w:rPr>
      <w:tblPr/>
      <w:tcPr>
        <w:tcBorders>
          <w:top w:val="double" w:sz="6" w:space="0" w:color="A0DAE8" w:themeColor="accent2"/>
          <w:left w:val="single" w:sz="8" w:space="0" w:color="A0DAE8" w:themeColor="accent2"/>
          <w:bottom w:val="single" w:sz="8" w:space="0" w:color="A0DAE8" w:themeColor="accent2"/>
          <w:right w:val="single" w:sz="8" w:space="0" w:color="A0DAE8" w:themeColor="accent2"/>
        </w:tcBorders>
      </w:tcPr>
    </w:tblStylePr>
    <w:tblStylePr w:type="firstCol">
      <w:rPr>
        <w:b/>
        <w:bCs/>
      </w:rPr>
    </w:tblStylePr>
    <w:tblStylePr w:type="lastCol">
      <w:rPr>
        <w:b/>
        <w:bCs/>
      </w:rPr>
    </w:tblStylePr>
    <w:tblStylePr w:type="band1Vert">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tblStylePr w:type="band1Horz">
      <w:tblPr/>
      <w:tcPr>
        <w:tcBorders>
          <w:top w:val="single" w:sz="8" w:space="0" w:color="A0DAE8" w:themeColor="accent2"/>
          <w:left w:val="single" w:sz="8" w:space="0" w:color="A0DAE8" w:themeColor="accent2"/>
          <w:bottom w:val="single" w:sz="8" w:space="0" w:color="A0DAE8" w:themeColor="accent2"/>
          <w:right w:val="single" w:sz="8" w:space="0" w:color="A0DAE8" w:themeColor="accent2"/>
        </w:tcBorders>
      </w:tcPr>
    </w:tblStylePr>
  </w:style>
  <w:style w:type="table" w:styleId="LightList-Accent3">
    <w:name w:val="Light List Accent 3"/>
    <w:basedOn w:val="TableNormal"/>
    <w:uiPriority w:val="61"/>
    <w:semiHidden/>
    <w:rsid w:val="009F77B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9F77B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9F77B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9F77B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9F77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F77B8"/>
    <w:pPr>
      <w:spacing w:after="0" w:line="240" w:lineRule="auto"/>
    </w:pPr>
    <w:rPr>
      <w:color w:val="1BA5D2" w:themeColor="accent1" w:themeShade="BF"/>
    </w:rPr>
    <w:tblPr>
      <w:tblStyleRowBandSize w:val="1"/>
      <w:tblStyleColBandSize w:val="1"/>
      <w:tblBorders>
        <w:top w:val="single" w:sz="8" w:space="0" w:color="55C5E9" w:themeColor="accent1"/>
        <w:bottom w:val="single" w:sz="8" w:space="0" w:color="55C5E9" w:themeColor="accent1"/>
      </w:tblBorders>
    </w:tblPr>
    <w:tblStylePr w:type="fir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lastRow">
      <w:pPr>
        <w:spacing w:before="0" w:after="0" w:line="240" w:lineRule="auto"/>
      </w:pPr>
      <w:rPr>
        <w:b/>
        <w:bCs/>
      </w:rPr>
      <w:tblPr/>
      <w:tcPr>
        <w:tcBorders>
          <w:top w:val="single" w:sz="8" w:space="0" w:color="55C5E9" w:themeColor="accent1"/>
          <w:left w:val="nil"/>
          <w:bottom w:val="single" w:sz="8" w:space="0" w:color="55C5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left w:val="nil"/>
          <w:right w:val="nil"/>
          <w:insideH w:val="nil"/>
          <w:insideV w:val="nil"/>
        </w:tcBorders>
        <w:shd w:val="clear" w:color="auto" w:fill="D4F0F9" w:themeFill="accent1" w:themeFillTint="3F"/>
      </w:tcPr>
    </w:tblStylePr>
  </w:style>
  <w:style w:type="table" w:styleId="LightShading-Accent2">
    <w:name w:val="Light Shading Accent 2"/>
    <w:basedOn w:val="TableNormal"/>
    <w:uiPriority w:val="60"/>
    <w:semiHidden/>
    <w:rsid w:val="009F77B8"/>
    <w:pPr>
      <w:spacing w:after="0" w:line="240" w:lineRule="auto"/>
    </w:pPr>
    <w:rPr>
      <w:color w:val="50BAD4" w:themeColor="accent2" w:themeShade="BF"/>
    </w:rPr>
    <w:tblPr>
      <w:tblStyleRowBandSize w:val="1"/>
      <w:tblStyleColBandSize w:val="1"/>
      <w:tblBorders>
        <w:top w:val="single" w:sz="8" w:space="0" w:color="A0DAE8" w:themeColor="accent2"/>
        <w:bottom w:val="single" w:sz="8" w:space="0" w:color="A0DAE8" w:themeColor="accent2"/>
      </w:tblBorders>
    </w:tblPr>
    <w:tblStylePr w:type="fir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lastRow">
      <w:pPr>
        <w:spacing w:before="0" w:after="0" w:line="240" w:lineRule="auto"/>
      </w:pPr>
      <w:rPr>
        <w:b/>
        <w:bCs/>
      </w:rPr>
      <w:tblPr/>
      <w:tcPr>
        <w:tcBorders>
          <w:top w:val="single" w:sz="8" w:space="0" w:color="A0DAE8" w:themeColor="accent2"/>
          <w:left w:val="nil"/>
          <w:bottom w:val="single" w:sz="8" w:space="0" w:color="A0DA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left w:val="nil"/>
          <w:right w:val="nil"/>
          <w:insideH w:val="nil"/>
          <w:insideV w:val="nil"/>
        </w:tcBorders>
        <w:shd w:val="clear" w:color="auto" w:fill="E7F5F9" w:themeFill="accent2" w:themeFillTint="3F"/>
      </w:tcPr>
    </w:tblStylePr>
  </w:style>
  <w:style w:type="table" w:styleId="LightShading-Accent3">
    <w:name w:val="Light Shading Accent 3"/>
    <w:basedOn w:val="TableNormal"/>
    <w:uiPriority w:val="60"/>
    <w:semiHidden/>
    <w:rsid w:val="009F77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9F77B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9F77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9F77B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9F77B8"/>
  </w:style>
  <w:style w:type="paragraph" w:styleId="List">
    <w:name w:val="List"/>
    <w:basedOn w:val="Normal"/>
    <w:uiPriority w:val="99"/>
    <w:semiHidden/>
    <w:rsid w:val="009F77B8"/>
    <w:pPr>
      <w:ind w:left="283" w:hanging="283"/>
      <w:contextualSpacing/>
    </w:pPr>
  </w:style>
  <w:style w:type="paragraph" w:styleId="List2">
    <w:name w:val="List 2"/>
    <w:basedOn w:val="Normal"/>
    <w:uiPriority w:val="99"/>
    <w:semiHidden/>
    <w:rsid w:val="009F77B8"/>
    <w:pPr>
      <w:ind w:left="566" w:hanging="283"/>
      <w:contextualSpacing/>
    </w:pPr>
  </w:style>
  <w:style w:type="paragraph" w:styleId="List3">
    <w:name w:val="List 3"/>
    <w:basedOn w:val="Normal"/>
    <w:uiPriority w:val="99"/>
    <w:semiHidden/>
    <w:rsid w:val="009F77B8"/>
    <w:pPr>
      <w:ind w:left="849" w:hanging="283"/>
      <w:contextualSpacing/>
    </w:pPr>
  </w:style>
  <w:style w:type="paragraph" w:styleId="List4">
    <w:name w:val="List 4"/>
    <w:basedOn w:val="Normal"/>
    <w:uiPriority w:val="99"/>
    <w:semiHidden/>
    <w:rsid w:val="009F77B8"/>
    <w:pPr>
      <w:ind w:left="1132" w:hanging="283"/>
      <w:contextualSpacing/>
    </w:pPr>
  </w:style>
  <w:style w:type="paragraph" w:styleId="List5">
    <w:name w:val="List 5"/>
    <w:basedOn w:val="Normal"/>
    <w:uiPriority w:val="99"/>
    <w:semiHidden/>
    <w:rsid w:val="009F77B8"/>
    <w:pPr>
      <w:ind w:left="1415" w:hanging="283"/>
      <w:contextualSpacing/>
    </w:pPr>
  </w:style>
  <w:style w:type="paragraph" w:styleId="ListBullet">
    <w:name w:val="List Bullet"/>
    <w:basedOn w:val="Normal"/>
    <w:uiPriority w:val="99"/>
    <w:semiHidden/>
    <w:rsid w:val="009F77B8"/>
    <w:pPr>
      <w:numPr>
        <w:numId w:val="11"/>
      </w:numPr>
      <w:contextualSpacing/>
    </w:pPr>
  </w:style>
  <w:style w:type="paragraph" w:styleId="ListBullet2">
    <w:name w:val="List Bullet 2"/>
    <w:basedOn w:val="Normal"/>
    <w:uiPriority w:val="99"/>
    <w:semiHidden/>
    <w:rsid w:val="009F77B8"/>
    <w:pPr>
      <w:numPr>
        <w:numId w:val="12"/>
      </w:numPr>
      <w:contextualSpacing/>
    </w:pPr>
  </w:style>
  <w:style w:type="paragraph" w:styleId="ListBullet3">
    <w:name w:val="List Bullet 3"/>
    <w:basedOn w:val="Normal"/>
    <w:uiPriority w:val="99"/>
    <w:semiHidden/>
    <w:rsid w:val="009F77B8"/>
    <w:pPr>
      <w:numPr>
        <w:numId w:val="13"/>
      </w:numPr>
      <w:contextualSpacing/>
    </w:pPr>
  </w:style>
  <w:style w:type="paragraph" w:styleId="ListBullet4">
    <w:name w:val="List Bullet 4"/>
    <w:basedOn w:val="Normal"/>
    <w:uiPriority w:val="99"/>
    <w:semiHidden/>
    <w:rsid w:val="009F77B8"/>
    <w:pPr>
      <w:numPr>
        <w:numId w:val="14"/>
      </w:numPr>
      <w:contextualSpacing/>
    </w:pPr>
  </w:style>
  <w:style w:type="paragraph" w:styleId="ListBullet5">
    <w:name w:val="List Bullet 5"/>
    <w:basedOn w:val="Normal"/>
    <w:uiPriority w:val="99"/>
    <w:semiHidden/>
    <w:rsid w:val="009F77B8"/>
    <w:pPr>
      <w:numPr>
        <w:numId w:val="15"/>
      </w:numPr>
      <w:contextualSpacing/>
    </w:pPr>
  </w:style>
  <w:style w:type="paragraph" w:styleId="ListContinue">
    <w:name w:val="List Continue"/>
    <w:basedOn w:val="Normal"/>
    <w:uiPriority w:val="99"/>
    <w:semiHidden/>
    <w:rsid w:val="009F77B8"/>
    <w:pPr>
      <w:spacing w:after="120"/>
      <w:ind w:left="283"/>
      <w:contextualSpacing/>
    </w:pPr>
  </w:style>
  <w:style w:type="paragraph" w:styleId="ListContinue2">
    <w:name w:val="List Continue 2"/>
    <w:basedOn w:val="Normal"/>
    <w:uiPriority w:val="99"/>
    <w:semiHidden/>
    <w:rsid w:val="009F77B8"/>
    <w:pPr>
      <w:spacing w:after="120"/>
      <w:ind w:left="566"/>
      <w:contextualSpacing/>
    </w:pPr>
  </w:style>
  <w:style w:type="paragraph" w:styleId="ListContinue3">
    <w:name w:val="List Continue 3"/>
    <w:basedOn w:val="Normal"/>
    <w:uiPriority w:val="99"/>
    <w:semiHidden/>
    <w:rsid w:val="009F77B8"/>
    <w:pPr>
      <w:spacing w:after="120"/>
      <w:ind w:left="849"/>
      <w:contextualSpacing/>
    </w:pPr>
  </w:style>
  <w:style w:type="paragraph" w:styleId="ListContinue4">
    <w:name w:val="List Continue 4"/>
    <w:basedOn w:val="Normal"/>
    <w:uiPriority w:val="99"/>
    <w:semiHidden/>
    <w:rsid w:val="009F77B8"/>
    <w:pPr>
      <w:spacing w:after="120"/>
      <w:ind w:left="1132"/>
      <w:contextualSpacing/>
    </w:pPr>
  </w:style>
  <w:style w:type="paragraph" w:styleId="ListContinue5">
    <w:name w:val="List Continue 5"/>
    <w:basedOn w:val="Normal"/>
    <w:uiPriority w:val="99"/>
    <w:semiHidden/>
    <w:rsid w:val="009F77B8"/>
    <w:pPr>
      <w:spacing w:after="120"/>
      <w:ind w:left="1415"/>
      <w:contextualSpacing/>
    </w:pPr>
  </w:style>
  <w:style w:type="paragraph" w:styleId="ListNumber">
    <w:name w:val="List Number"/>
    <w:basedOn w:val="Normal"/>
    <w:uiPriority w:val="99"/>
    <w:semiHidden/>
    <w:rsid w:val="009F77B8"/>
    <w:pPr>
      <w:numPr>
        <w:numId w:val="21"/>
      </w:numPr>
      <w:contextualSpacing/>
    </w:pPr>
  </w:style>
  <w:style w:type="paragraph" w:styleId="ListNumber2">
    <w:name w:val="List Number 2"/>
    <w:basedOn w:val="Normal"/>
    <w:uiPriority w:val="99"/>
    <w:semiHidden/>
    <w:rsid w:val="009F77B8"/>
    <w:pPr>
      <w:numPr>
        <w:numId w:val="22"/>
      </w:numPr>
      <w:contextualSpacing/>
    </w:pPr>
  </w:style>
  <w:style w:type="paragraph" w:styleId="ListNumber3">
    <w:name w:val="List Number 3"/>
    <w:basedOn w:val="Normal"/>
    <w:uiPriority w:val="99"/>
    <w:semiHidden/>
    <w:rsid w:val="009F77B8"/>
    <w:pPr>
      <w:numPr>
        <w:numId w:val="23"/>
      </w:numPr>
      <w:contextualSpacing/>
    </w:pPr>
  </w:style>
  <w:style w:type="paragraph" w:styleId="ListNumber4">
    <w:name w:val="List Number 4"/>
    <w:basedOn w:val="Normal"/>
    <w:uiPriority w:val="99"/>
    <w:semiHidden/>
    <w:rsid w:val="009F77B8"/>
    <w:pPr>
      <w:numPr>
        <w:numId w:val="24"/>
      </w:numPr>
      <w:contextualSpacing/>
    </w:pPr>
  </w:style>
  <w:style w:type="paragraph" w:styleId="ListNumber5">
    <w:name w:val="List Number 5"/>
    <w:basedOn w:val="Normal"/>
    <w:uiPriority w:val="99"/>
    <w:semiHidden/>
    <w:rsid w:val="009F77B8"/>
    <w:pPr>
      <w:numPr>
        <w:numId w:val="25"/>
      </w:numPr>
      <w:contextualSpacing/>
    </w:pPr>
  </w:style>
  <w:style w:type="paragraph" w:styleId="ListParagraph">
    <w:name w:val="List Paragraph"/>
    <w:basedOn w:val="Normal"/>
    <w:uiPriority w:val="34"/>
    <w:semiHidden/>
    <w:qFormat/>
    <w:rsid w:val="009F77B8"/>
    <w:pPr>
      <w:ind w:left="720"/>
      <w:contextualSpacing/>
    </w:pPr>
  </w:style>
  <w:style w:type="table" w:styleId="ListTable1Light">
    <w:name w:val="List Table 1 Light"/>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98DBF1" w:themeColor="accent1" w:themeTint="99"/>
        </w:tcBorders>
      </w:tcPr>
    </w:tblStylePr>
    <w:tblStylePr w:type="lastRow">
      <w:rPr>
        <w:b/>
        <w:bCs/>
      </w:rPr>
      <w:tblPr/>
      <w:tcPr>
        <w:tcBorders>
          <w:top w:val="sing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1Light-Accent2">
    <w:name w:val="List Table 1 Light Accent 2"/>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C5E8F1" w:themeColor="accent2" w:themeTint="99"/>
        </w:tcBorders>
      </w:tcPr>
    </w:tblStylePr>
    <w:tblStylePr w:type="lastRow">
      <w:rPr>
        <w:b/>
        <w:bCs/>
      </w:rPr>
      <w:tblPr/>
      <w:tcPr>
        <w:tcBorders>
          <w:top w:val="sing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1Light-Accent3">
    <w:name w:val="List Table 1 Light Accent 3"/>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F77B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F77B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77B8"/>
    <w:pPr>
      <w:spacing w:after="0" w:line="240" w:lineRule="auto"/>
    </w:pPr>
    <w:tblPr>
      <w:tblStyleRowBandSize w:val="1"/>
      <w:tblStyleColBandSize w:val="1"/>
      <w:tblBorders>
        <w:top w:val="single" w:sz="4" w:space="0" w:color="98DBF1" w:themeColor="accent1" w:themeTint="99"/>
        <w:bottom w:val="single" w:sz="4" w:space="0" w:color="98DBF1" w:themeColor="accent1" w:themeTint="99"/>
        <w:insideH w:val="single" w:sz="4" w:space="0" w:color="98DB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2-Accent2">
    <w:name w:val="List Table 2 Accent 2"/>
    <w:basedOn w:val="TableNormal"/>
    <w:uiPriority w:val="47"/>
    <w:rsid w:val="009F77B8"/>
    <w:pPr>
      <w:spacing w:after="0" w:line="240" w:lineRule="auto"/>
    </w:pPr>
    <w:tblPr>
      <w:tblStyleRowBandSize w:val="1"/>
      <w:tblStyleColBandSize w:val="1"/>
      <w:tblBorders>
        <w:top w:val="single" w:sz="4" w:space="0" w:color="C5E8F1" w:themeColor="accent2" w:themeTint="99"/>
        <w:bottom w:val="single" w:sz="4" w:space="0" w:color="C5E8F1" w:themeColor="accent2" w:themeTint="99"/>
        <w:insideH w:val="single" w:sz="4" w:space="0" w:color="C5E8F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2-Accent3">
    <w:name w:val="List Table 2 Accent 3"/>
    <w:basedOn w:val="TableNormal"/>
    <w:uiPriority w:val="47"/>
    <w:rsid w:val="009F77B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F77B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F77B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F77B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F77B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77B8"/>
    <w:pPr>
      <w:spacing w:after="0" w:line="240" w:lineRule="auto"/>
    </w:pPr>
    <w:tblPr>
      <w:tblStyleRowBandSize w:val="1"/>
      <w:tblStyleColBandSize w:val="1"/>
      <w:tblBorders>
        <w:top w:val="single" w:sz="4" w:space="0" w:color="55C5E9" w:themeColor="accent1"/>
        <w:left w:val="single" w:sz="4" w:space="0" w:color="55C5E9" w:themeColor="accent1"/>
        <w:bottom w:val="single" w:sz="4" w:space="0" w:color="55C5E9" w:themeColor="accent1"/>
        <w:right w:val="single" w:sz="4" w:space="0" w:color="55C5E9" w:themeColor="accent1"/>
      </w:tblBorders>
    </w:tblPr>
    <w:tblStylePr w:type="firstRow">
      <w:rPr>
        <w:b/>
        <w:bCs/>
        <w:color w:val="FFFFFF" w:themeColor="background1"/>
      </w:rPr>
      <w:tblPr/>
      <w:tcPr>
        <w:shd w:val="clear" w:color="auto" w:fill="55C5E9" w:themeFill="accent1"/>
      </w:tcPr>
    </w:tblStylePr>
    <w:tblStylePr w:type="lastRow">
      <w:rPr>
        <w:b/>
        <w:bCs/>
      </w:rPr>
      <w:tblPr/>
      <w:tcPr>
        <w:tcBorders>
          <w:top w:val="double" w:sz="4" w:space="0" w:color="55C5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C5E9" w:themeColor="accent1"/>
          <w:right w:val="single" w:sz="4" w:space="0" w:color="55C5E9" w:themeColor="accent1"/>
        </w:tcBorders>
      </w:tcPr>
    </w:tblStylePr>
    <w:tblStylePr w:type="band1Horz">
      <w:tblPr/>
      <w:tcPr>
        <w:tcBorders>
          <w:top w:val="single" w:sz="4" w:space="0" w:color="55C5E9" w:themeColor="accent1"/>
          <w:bottom w:val="single" w:sz="4" w:space="0" w:color="55C5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C5E9" w:themeColor="accent1"/>
          <w:left w:val="nil"/>
        </w:tcBorders>
      </w:tcPr>
    </w:tblStylePr>
    <w:tblStylePr w:type="swCell">
      <w:tblPr/>
      <w:tcPr>
        <w:tcBorders>
          <w:top w:val="double" w:sz="4" w:space="0" w:color="55C5E9" w:themeColor="accent1"/>
          <w:right w:val="nil"/>
        </w:tcBorders>
      </w:tcPr>
    </w:tblStylePr>
  </w:style>
  <w:style w:type="table" w:styleId="ListTable3-Accent2">
    <w:name w:val="List Table 3 Accent 2"/>
    <w:basedOn w:val="TableNormal"/>
    <w:uiPriority w:val="48"/>
    <w:rsid w:val="009F77B8"/>
    <w:pPr>
      <w:spacing w:after="0" w:line="240" w:lineRule="auto"/>
    </w:pPr>
    <w:tblPr>
      <w:tblStyleRowBandSize w:val="1"/>
      <w:tblStyleColBandSize w:val="1"/>
      <w:tblBorders>
        <w:top w:val="single" w:sz="4" w:space="0" w:color="A0DAE8" w:themeColor="accent2"/>
        <w:left w:val="single" w:sz="4" w:space="0" w:color="A0DAE8" w:themeColor="accent2"/>
        <w:bottom w:val="single" w:sz="4" w:space="0" w:color="A0DAE8" w:themeColor="accent2"/>
        <w:right w:val="single" w:sz="4" w:space="0" w:color="A0DAE8" w:themeColor="accent2"/>
      </w:tblBorders>
    </w:tblPr>
    <w:tblStylePr w:type="firstRow">
      <w:rPr>
        <w:b/>
        <w:bCs/>
        <w:color w:val="FFFFFF" w:themeColor="background1"/>
      </w:rPr>
      <w:tblPr/>
      <w:tcPr>
        <w:shd w:val="clear" w:color="auto" w:fill="A0DAE8" w:themeFill="accent2"/>
      </w:tcPr>
    </w:tblStylePr>
    <w:tblStylePr w:type="lastRow">
      <w:rPr>
        <w:b/>
        <w:bCs/>
      </w:rPr>
      <w:tblPr/>
      <w:tcPr>
        <w:tcBorders>
          <w:top w:val="double" w:sz="4" w:space="0" w:color="A0DA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DAE8" w:themeColor="accent2"/>
          <w:right w:val="single" w:sz="4" w:space="0" w:color="A0DAE8" w:themeColor="accent2"/>
        </w:tcBorders>
      </w:tcPr>
    </w:tblStylePr>
    <w:tblStylePr w:type="band1Horz">
      <w:tblPr/>
      <w:tcPr>
        <w:tcBorders>
          <w:top w:val="single" w:sz="4" w:space="0" w:color="A0DAE8" w:themeColor="accent2"/>
          <w:bottom w:val="single" w:sz="4" w:space="0" w:color="A0DA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DAE8" w:themeColor="accent2"/>
          <w:left w:val="nil"/>
        </w:tcBorders>
      </w:tcPr>
    </w:tblStylePr>
    <w:tblStylePr w:type="swCell">
      <w:tblPr/>
      <w:tcPr>
        <w:tcBorders>
          <w:top w:val="double" w:sz="4" w:space="0" w:color="A0DAE8" w:themeColor="accent2"/>
          <w:right w:val="nil"/>
        </w:tcBorders>
      </w:tcPr>
    </w:tblStylePr>
  </w:style>
  <w:style w:type="table" w:styleId="ListTable3-Accent3">
    <w:name w:val="List Table 3 Accent 3"/>
    <w:basedOn w:val="TableNormal"/>
    <w:uiPriority w:val="48"/>
    <w:rsid w:val="009F77B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F77B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F77B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F77B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F77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77B8"/>
    <w:pPr>
      <w:spacing w:after="0" w:line="240" w:lineRule="auto"/>
    </w:pPr>
    <w:tblPr>
      <w:tblStyleRowBandSize w:val="1"/>
      <w:tblStyleColBandSize w:val="1"/>
      <w:tblBorders>
        <w:top w:val="single" w:sz="4" w:space="0" w:color="98DBF1" w:themeColor="accent1" w:themeTint="99"/>
        <w:left w:val="single" w:sz="4" w:space="0" w:color="98DBF1" w:themeColor="accent1" w:themeTint="99"/>
        <w:bottom w:val="single" w:sz="4" w:space="0" w:color="98DBF1" w:themeColor="accent1" w:themeTint="99"/>
        <w:right w:val="single" w:sz="4" w:space="0" w:color="98DBF1" w:themeColor="accent1" w:themeTint="99"/>
        <w:insideH w:val="single" w:sz="4" w:space="0" w:color="98DBF1" w:themeColor="accent1" w:themeTint="99"/>
      </w:tblBorders>
    </w:tblPr>
    <w:tblStylePr w:type="firstRow">
      <w:rPr>
        <w:b/>
        <w:bCs/>
        <w:color w:val="FFFFFF" w:themeColor="background1"/>
      </w:rPr>
      <w:tblPr/>
      <w:tcPr>
        <w:tcBorders>
          <w:top w:val="single" w:sz="4" w:space="0" w:color="55C5E9" w:themeColor="accent1"/>
          <w:left w:val="single" w:sz="4" w:space="0" w:color="55C5E9" w:themeColor="accent1"/>
          <w:bottom w:val="single" w:sz="4" w:space="0" w:color="55C5E9" w:themeColor="accent1"/>
          <w:right w:val="single" w:sz="4" w:space="0" w:color="55C5E9" w:themeColor="accent1"/>
          <w:insideH w:val="nil"/>
        </w:tcBorders>
        <w:shd w:val="clear" w:color="auto" w:fill="55C5E9" w:themeFill="accent1"/>
      </w:tcPr>
    </w:tblStylePr>
    <w:tblStylePr w:type="lastRow">
      <w:rPr>
        <w:b/>
        <w:bCs/>
      </w:rPr>
      <w:tblPr/>
      <w:tcPr>
        <w:tcBorders>
          <w:top w:val="double" w:sz="4" w:space="0" w:color="98DBF1" w:themeColor="accent1" w:themeTint="99"/>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4-Accent2">
    <w:name w:val="List Table 4 Accent 2"/>
    <w:basedOn w:val="TableNormal"/>
    <w:uiPriority w:val="49"/>
    <w:rsid w:val="009F77B8"/>
    <w:pPr>
      <w:spacing w:after="0" w:line="240" w:lineRule="auto"/>
    </w:pPr>
    <w:tblPr>
      <w:tblStyleRowBandSize w:val="1"/>
      <w:tblStyleColBandSize w:val="1"/>
      <w:tblBorders>
        <w:top w:val="single" w:sz="4" w:space="0" w:color="C5E8F1" w:themeColor="accent2" w:themeTint="99"/>
        <w:left w:val="single" w:sz="4" w:space="0" w:color="C5E8F1" w:themeColor="accent2" w:themeTint="99"/>
        <w:bottom w:val="single" w:sz="4" w:space="0" w:color="C5E8F1" w:themeColor="accent2" w:themeTint="99"/>
        <w:right w:val="single" w:sz="4" w:space="0" w:color="C5E8F1" w:themeColor="accent2" w:themeTint="99"/>
        <w:insideH w:val="single" w:sz="4" w:space="0" w:color="C5E8F1" w:themeColor="accent2" w:themeTint="99"/>
      </w:tblBorders>
    </w:tblPr>
    <w:tblStylePr w:type="firstRow">
      <w:rPr>
        <w:b/>
        <w:bCs/>
        <w:color w:val="FFFFFF" w:themeColor="background1"/>
      </w:rPr>
      <w:tblPr/>
      <w:tcPr>
        <w:tcBorders>
          <w:top w:val="single" w:sz="4" w:space="0" w:color="A0DAE8" w:themeColor="accent2"/>
          <w:left w:val="single" w:sz="4" w:space="0" w:color="A0DAE8" w:themeColor="accent2"/>
          <w:bottom w:val="single" w:sz="4" w:space="0" w:color="A0DAE8" w:themeColor="accent2"/>
          <w:right w:val="single" w:sz="4" w:space="0" w:color="A0DAE8" w:themeColor="accent2"/>
          <w:insideH w:val="nil"/>
        </w:tcBorders>
        <w:shd w:val="clear" w:color="auto" w:fill="A0DAE8" w:themeFill="accent2"/>
      </w:tcPr>
    </w:tblStylePr>
    <w:tblStylePr w:type="lastRow">
      <w:rPr>
        <w:b/>
        <w:bCs/>
      </w:rPr>
      <w:tblPr/>
      <w:tcPr>
        <w:tcBorders>
          <w:top w:val="double" w:sz="4" w:space="0" w:color="C5E8F1" w:themeColor="accent2" w:themeTint="99"/>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4-Accent3">
    <w:name w:val="List Table 4 Accent 3"/>
    <w:basedOn w:val="TableNormal"/>
    <w:uiPriority w:val="49"/>
    <w:rsid w:val="009F77B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F77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F77B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F77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F77B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77B8"/>
    <w:pPr>
      <w:spacing w:after="0" w:line="240" w:lineRule="auto"/>
    </w:pPr>
    <w:rPr>
      <w:color w:val="FFFFFF" w:themeColor="background1"/>
    </w:rPr>
    <w:tblPr>
      <w:tblStyleRowBandSize w:val="1"/>
      <w:tblStyleColBandSize w:val="1"/>
      <w:tblBorders>
        <w:top w:val="single" w:sz="24" w:space="0" w:color="55C5E9" w:themeColor="accent1"/>
        <w:left w:val="single" w:sz="24" w:space="0" w:color="55C5E9" w:themeColor="accent1"/>
        <w:bottom w:val="single" w:sz="24" w:space="0" w:color="55C5E9" w:themeColor="accent1"/>
        <w:right w:val="single" w:sz="24" w:space="0" w:color="55C5E9" w:themeColor="accent1"/>
      </w:tblBorders>
    </w:tblPr>
    <w:tcPr>
      <w:shd w:val="clear" w:color="auto" w:fill="55C5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77B8"/>
    <w:pPr>
      <w:spacing w:after="0" w:line="240" w:lineRule="auto"/>
    </w:pPr>
    <w:rPr>
      <w:color w:val="FFFFFF" w:themeColor="background1"/>
    </w:rPr>
    <w:tblPr>
      <w:tblStyleRowBandSize w:val="1"/>
      <w:tblStyleColBandSize w:val="1"/>
      <w:tblBorders>
        <w:top w:val="single" w:sz="24" w:space="0" w:color="A0DAE8" w:themeColor="accent2"/>
        <w:left w:val="single" w:sz="24" w:space="0" w:color="A0DAE8" w:themeColor="accent2"/>
        <w:bottom w:val="single" w:sz="24" w:space="0" w:color="A0DAE8" w:themeColor="accent2"/>
        <w:right w:val="single" w:sz="24" w:space="0" w:color="A0DAE8" w:themeColor="accent2"/>
      </w:tblBorders>
    </w:tblPr>
    <w:tcPr>
      <w:shd w:val="clear" w:color="auto" w:fill="A0DAE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77B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77B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77B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77B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9F77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9F77B8"/>
    <w:pPr>
      <w:spacing w:after="0" w:line="240" w:lineRule="auto"/>
    </w:pPr>
    <w:rPr>
      <w:color w:val="1BA5D2" w:themeColor="accent1" w:themeShade="BF"/>
    </w:rPr>
    <w:tblPr>
      <w:tblStyleRowBandSize w:val="1"/>
      <w:tblStyleColBandSize w:val="1"/>
      <w:tblBorders>
        <w:top w:val="single" w:sz="4" w:space="0" w:color="55C5E9" w:themeColor="accent1"/>
        <w:bottom w:val="single" w:sz="4" w:space="0" w:color="55C5E9" w:themeColor="accent1"/>
      </w:tblBorders>
    </w:tblPr>
    <w:tblStylePr w:type="firstRow">
      <w:rPr>
        <w:b/>
        <w:bCs/>
      </w:rPr>
      <w:tblPr/>
      <w:tcPr>
        <w:tcBorders>
          <w:bottom w:val="single" w:sz="4" w:space="0" w:color="55C5E9" w:themeColor="accent1"/>
        </w:tcBorders>
      </w:tcPr>
    </w:tblStylePr>
    <w:tblStylePr w:type="lastRow">
      <w:rPr>
        <w:b/>
        <w:bCs/>
      </w:rPr>
      <w:tblPr/>
      <w:tcPr>
        <w:tcBorders>
          <w:top w:val="double" w:sz="4" w:space="0" w:color="55C5E9" w:themeColor="accent1"/>
        </w:tcBorders>
      </w:tcPr>
    </w:tblStylePr>
    <w:tblStylePr w:type="firstCol">
      <w:rPr>
        <w:b/>
        <w:bCs/>
      </w:rPr>
    </w:tblStylePr>
    <w:tblStylePr w:type="lastCol">
      <w:rPr>
        <w:b/>
        <w:bCs/>
      </w:rPr>
    </w:tblStylePr>
    <w:tblStylePr w:type="band1Vert">
      <w:tblPr/>
      <w:tcPr>
        <w:shd w:val="clear" w:color="auto" w:fill="DCF3FA" w:themeFill="accent1" w:themeFillTint="33"/>
      </w:tcPr>
    </w:tblStylePr>
    <w:tblStylePr w:type="band1Horz">
      <w:tblPr/>
      <w:tcPr>
        <w:shd w:val="clear" w:color="auto" w:fill="DCF3FA" w:themeFill="accent1" w:themeFillTint="33"/>
      </w:tcPr>
    </w:tblStylePr>
  </w:style>
  <w:style w:type="table" w:styleId="ListTable6ColourfulAccent2">
    <w:name w:val="List Table 6 Colorful Accent 2"/>
    <w:basedOn w:val="TableNormal"/>
    <w:uiPriority w:val="51"/>
    <w:rsid w:val="009F77B8"/>
    <w:pPr>
      <w:spacing w:after="0" w:line="240" w:lineRule="auto"/>
    </w:pPr>
    <w:rPr>
      <w:color w:val="50BAD4" w:themeColor="accent2" w:themeShade="BF"/>
    </w:rPr>
    <w:tblPr>
      <w:tblStyleRowBandSize w:val="1"/>
      <w:tblStyleColBandSize w:val="1"/>
      <w:tblBorders>
        <w:top w:val="single" w:sz="4" w:space="0" w:color="A0DAE8" w:themeColor="accent2"/>
        <w:bottom w:val="single" w:sz="4" w:space="0" w:color="A0DAE8" w:themeColor="accent2"/>
      </w:tblBorders>
    </w:tblPr>
    <w:tblStylePr w:type="firstRow">
      <w:rPr>
        <w:b/>
        <w:bCs/>
      </w:rPr>
      <w:tblPr/>
      <w:tcPr>
        <w:tcBorders>
          <w:bottom w:val="single" w:sz="4" w:space="0" w:color="A0DAE8" w:themeColor="accent2"/>
        </w:tcBorders>
      </w:tcPr>
    </w:tblStylePr>
    <w:tblStylePr w:type="lastRow">
      <w:rPr>
        <w:b/>
        <w:bCs/>
      </w:rPr>
      <w:tblPr/>
      <w:tcPr>
        <w:tcBorders>
          <w:top w:val="double" w:sz="4" w:space="0" w:color="A0DAE8" w:themeColor="accent2"/>
        </w:tcBorders>
      </w:tcPr>
    </w:tblStylePr>
    <w:tblStylePr w:type="firstCol">
      <w:rPr>
        <w:b/>
        <w:bCs/>
      </w:rPr>
    </w:tblStylePr>
    <w:tblStylePr w:type="lastCol">
      <w:rPr>
        <w:b/>
        <w:bCs/>
      </w:rPr>
    </w:tblStylePr>
    <w:tblStylePr w:type="band1Vert">
      <w:tblPr/>
      <w:tcPr>
        <w:shd w:val="clear" w:color="auto" w:fill="EBF7FA" w:themeFill="accent2" w:themeFillTint="33"/>
      </w:tcPr>
    </w:tblStylePr>
    <w:tblStylePr w:type="band1Horz">
      <w:tblPr/>
      <w:tcPr>
        <w:shd w:val="clear" w:color="auto" w:fill="EBF7FA" w:themeFill="accent2" w:themeFillTint="33"/>
      </w:tcPr>
    </w:tblStylePr>
  </w:style>
  <w:style w:type="table" w:styleId="ListTable6ColourfulAccent3">
    <w:name w:val="List Table 6 Colorful Accent 3"/>
    <w:basedOn w:val="TableNormal"/>
    <w:uiPriority w:val="51"/>
    <w:rsid w:val="009F77B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9F77B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9F77B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9F77B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9F77B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9F77B8"/>
    <w:pPr>
      <w:spacing w:after="0" w:line="240" w:lineRule="auto"/>
    </w:pPr>
    <w:rPr>
      <w:color w:val="1BA5D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C5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C5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C5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C5E9" w:themeColor="accent1"/>
        </w:tcBorders>
        <w:shd w:val="clear" w:color="auto" w:fill="FFFFFF" w:themeFill="background1"/>
      </w:tcPr>
    </w:tblStylePr>
    <w:tblStylePr w:type="band1Vert">
      <w:tblPr/>
      <w:tcPr>
        <w:shd w:val="clear" w:color="auto" w:fill="DCF3FA" w:themeFill="accent1" w:themeFillTint="33"/>
      </w:tcPr>
    </w:tblStylePr>
    <w:tblStylePr w:type="band1Horz">
      <w:tblPr/>
      <w:tcPr>
        <w:shd w:val="clear" w:color="auto" w:fill="DC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9F77B8"/>
    <w:pPr>
      <w:spacing w:after="0" w:line="240" w:lineRule="auto"/>
    </w:pPr>
    <w:rPr>
      <w:color w:val="50BA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DAE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DAE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DAE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DAE8" w:themeColor="accent2"/>
        </w:tcBorders>
        <w:shd w:val="clear" w:color="auto" w:fill="FFFFFF" w:themeFill="background1"/>
      </w:tcPr>
    </w:tblStylePr>
    <w:tblStylePr w:type="band1Vert">
      <w:tblPr/>
      <w:tcPr>
        <w:shd w:val="clear" w:color="auto" w:fill="EBF7FA" w:themeFill="accent2" w:themeFillTint="33"/>
      </w:tcPr>
    </w:tblStylePr>
    <w:tblStylePr w:type="band1Horz">
      <w:tblPr/>
      <w:tcPr>
        <w:shd w:val="clear" w:color="auto" w:fill="EBF7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9F77B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9F77B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9F77B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9F77B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F77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F77B8"/>
    <w:rPr>
      <w:rFonts w:ascii="Consolas" w:hAnsi="Consolas"/>
      <w:sz w:val="20"/>
      <w:szCs w:val="20"/>
    </w:rPr>
  </w:style>
  <w:style w:type="table" w:styleId="MediumGrid1">
    <w:name w:val="Medium Grid 1"/>
    <w:basedOn w:val="TableNormal"/>
    <w:uiPriority w:val="67"/>
    <w:semiHidden/>
    <w:rsid w:val="009F77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F77B8"/>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insideV w:val="single" w:sz="8" w:space="0" w:color="7FD3EE" w:themeColor="accent1" w:themeTint="BF"/>
      </w:tblBorders>
    </w:tblPr>
    <w:tcPr>
      <w:shd w:val="clear" w:color="auto" w:fill="D4F0F9" w:themeFill="accent1" w:themeFillTint="3F"/>
    </w:tcPr>
    <w:tblStylePr w:type="firstRow">
      <w:rPr>
        <w:b/>
        <w:bCs/>
      </w:rPr>
    </w:tblStylePr>
    <w:tblStylePr w:type="lastRow">
      <w:rPr>
        <w:b/>
        <w:bCs/>
      </w:rPr>
      <w:tblPr/>
      <w:tcPr>
        <w:tcBorders>
          <w:top w:val="single" w:sz="18" w:space="0" w:color="7FD3EE" w:themeColor="accent1" w:themeTint="BF"/>
        </w:tcBorders>
      </w:tcPr>
    </w:tblStylePr>
    <w:tblStylePr w:type="firstCol">
      <w:rPr>
        <w:b/>
        <w:bCs/>
      </w:rPr>
    </w:tblStylePr>
    <w:tblStylePr w:type="lastCol">
      <w:rPr>
        <w:b/>
        <w:bCs/>
      </w:rPr>
    </w:tblStylePr>
    <w:tblStylePr w:type="band1Vert">
      <w:tblPr/>
      <w:tcPr>
        <w:shd w:val="clear" w:color="auto" w:fill="AAE1F4" w:themeFill="accent1" w:themeFillTint="7F"/>
      </w:tcPr>
    </w:tblStylePr>
    <w:tblStylePr w:type="band1Horz">
      <w:tblPr/>
      <w:tcPr>
        <w:shd w:val="clear" w:color="auto" w:fill="AAE1F4" w:themeFill="accent1" w:themeFillTint="7F"/>
      </w:tcPr>
    </w:tblStylePr>
  </w:style>
  <w:style w:type="table" w:styleId="MediumGrid1-Accent2">
    <w:name w:val="Medium Grid 1 Accent 2"/>
    <w:basedOn w:val="TableNormal"/>
    <w:uiPriority w:val="67"/>
    <w:semiHidden/>
    <w:rsid w:val="009F77B8"/>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insideV w:val="single" w:sz="8" w:space="0" w:color="B7E3ED" w:themeColor="accent2" w:themeTint="BF"/>
      </w:tblBorders>
    </w:tblPr>
    <w:tcPr>
      <w:shd w:val="clear" w:color="auto" w:fill="E7F5F9" w:themeFill="accent2" w:themeFillTint="3F"/>
    </w:tcPr>
    <w:tblStylePr w:type="firstRow">
      <w:rPr>
        <w:b/>
        <w:bCs/>
      </w:rPr>
    </w:tblStylePr>
    <w:tblStylePr w:type="lastRow">
      <w:rPr>
        <w:b/>
        <w:bCs/>
      </w:rPr>
      <w:tblPr/>
      <w:tcPr>
        <w:tcBorders>
          <w:top w:val="single" w:sz="18" w:space="0" w:color="B7E3ED" w:themeColor="accent2" w:themeTint="BF"/>
        </w:tcBorders>
      </w:tcPr>
    </w:tblStylePr>
    <w:tblStylePr w:type="firstCol">
      <w:rPr>
        <w:b/>
        <w:bCs/>
      </w:rPr>
    </w:tblStylePr>
    <w:tblStylePr w:type="lastCol">
      <w:rPr>
        <w:b/>
        <w:bCs/>
      </w:rPr>
    </w:tblStylePr>
    <w:tblStylePr w:type="band1Vert">
      <w:tblPr/>
      <w:tcPr>
        <w:shd w:val="clear" w:color="auto" w:fill="CFECF3" w:themeFill="accent2" w:themeFillTint="7F"/>
      </w:tcPr>
    </w:tblStylePr>
    <w:tblStylePr w:type="band1Horz">
      <w:tblPr/>
      <w:tcPr>
        <w:shd w:val="clear" w:color="auto" w:fill="CFECF3" w:themeFill="accent2" w:themeFillTint="7F"/>
      </w:tcPr>
    </w:tblStylePr>
  </w:style>
  <w:style w:type="table" w:styleId="MediumGrid1-Accent3">
    <w:name w:val="Medium Grid 1 Accent 3"/>
    <w:basedOn w:val="TableNormal"/>
    <w:uiPriority w:val="67"/>
    <w:semiHidden/>
    <w:rsid w:val="009F77B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9F77B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9F77B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9F77B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insideH w:val="single" w:sz="8" w:space="0" w:color="55C5E9" w:themeColor="accent1"/>
        <w:insideV w:val="single" w:sz="8" w:space="0" w:color="55C5E9" w:themeColor="accent1"/>
      </w:tblBorders>
    </w:tblPr>
    <w:tcPr>
      <w:shd w:val="clear" w:color="auto" w:fill="D4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3FA" w:themeFill="accent1" w:themeFillTint="33"/>
      </w:tcPr>
    </w:tblStylePr>
    <w:tblStylePr w:type="band1Vert">
      <w:tblPr/>
      <w:tcPr>
        <w:shd w:val="clear" w:color="auto" w:fill="AAE1F4" w:themeFill="accent1" w:themeFillTint="7F"/>
      </w:tcPr>
    </w:tblStylePr>
    <w:tblStylePr w:type="band1Horz">
      <w:tblPr/>
      <w:tcPr>
        <w:tcBorders>
          <w:insideH w:val="single" w:sz="6" w:space="0" w:color="55C5E9" w:themeColor="accent1"/>
          <w:insideV w:val="single" w:sz="6" w:space="0" w:color="55C5E9" w:themeColor="accent1"/>
        </w:tcBorders>
        <w:shd w:val="clear" w:color="auto" w:fill="AAE1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insideH w:val="single" w:sz="8" w:space="0" w:color="A0DAE8" w:themeColor="accent2"/>
        <w:insideV w:val="single" w:sz="8" w:space="0" w:color="A0DAE8" w:themeColor="accent2"/>
      </w:tblBorders>
    </w:tblPr>
    <w:tcPr>
      <w:shd w:val="clear" w:color="auto" w:fill="E7F5F9" w:themeFill="accent2" w:themeFillTint="3F"/>
    </w:tcPr>
    <w:tblStylePr w:type="firstRow">
      <w:rPr>
        <w:b/>
        <w:bCs/>
        <w:color w:val="000000" w:themeColor="text1"/>
      </w:rPr>
      <w:tblPr/>
      <w:tcPr>
        <w:shd w:val="clear" w:color="auto" w:fill="F5FB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A" w:themeFill="accent2" w:themeFillTint="33"/>
      </w:tcPr>
    </w:tblStylePr>
    <w:tblStylePr w:type="band1Vert">
      <w:tblPr/>
      <w:tcPr>
        <w:shd w:val="clear" w:color="auto" w:fill="CFECF3" w:themeFill="accent2" w:themeFillTint="7F"/>
      </w:tcPr>
    </w:tblStylePr>
    <w:tblStylePr w:type="band1Horz">
      <w:tblPr/>
      <w:tcPr>
        <w:tcBorders>
          <w:insideH w:val="single" w:sz="6" w:space="0" w:color="A0DAE8" w:themeColor="accent2"/>
          <w:insideV w:val="single" w:sz="6" w:space="0" w:color="A0DAE8" w:themeColor="accent2"/>
        </w:tcBorders>
        <w:shd w:val="clear" w:color="auto" w:fill="CFEC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C5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C5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C5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E1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E1F4" w:themeFill="accent1" w:themeFillTint="7F"/>
      </w:tcPr>
    </w:tblStylePr>
  </w:style>
  <w:style w:type="table" w:styleId="MediumGrid3-Accent2">
    <w:name w:val="Medium Grid 3 Accent 2"/>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DA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DA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DA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C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CF3" w:themeFill="accent2" w:themeFillTint="7F"/>
      </w:tcPr>
    </w:tblStylePr>
  </w:style>
  <w:style w:type="table" w:styleId="MediumGrid3-Accent3">
    <w:name w:val="Medium Grid 3 Accent 3"/>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9F77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9F77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6A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F77B8"/>
    <w:pPr>
      <w:spacing w:after="0" w:line="240" w:lineRule="auto"/>
    </w:pPr>
    <w:rPr>
      <w:color w:val="000000" w:themeColor="text1"/>
    </w:rPr>
    <w:tblPr>
      <w:tblStyleRowBandSize w:val="1"/>
      <w:tblStyleColBandSize w:val="1"/>
      <w:tblBorders>
        <w:top w:val="single" w:sz="8" w:space="0" w:color="55C5E9" w:themeColor="accent1"/>
        <w:bottom w:val="single" w:sz="8" w:space="0" w:color="55C5E9" w:themeColor="accent1"/>
      </w:tblBorders>
    </w:tblPr>
    <w:tblStylePr w:type="firstRow">
      <w:rPr>
        <w:rFonts w:asciiTheme="majorHAnsi" w:eastAsiaTheme="majorEastAsia" w:hAnsiTheme="majorHAnsi" w:cstheme="majorBidi"/>
      </w:rPr>
      <w:tblPr/>
      <w:tcPr>
        <w:tcBorders>
          <w:top w:val="nil"/>
          <w:bottom w:val="single" w:sz="8" w:space="0" w:color="55C5E9" w:themeColor="accent1"/>
        </w:tcBorders>
      </w:tcPr>
    </w:tblStylePr>
    <w:tblStylePr w:type="lastRow">
      <w:rPr>
        <w:b/>
        <w:bCs/>
        <w:color w:val="0046AD" w:themeColor="text2"/>
      </w:rPr>
      <w:tblPr/>
      <w:tcPr>
        <w:tcBorders>
          <w:top w:val="single" w:sz="8" w:space="0" w:color="55C5E9" w:themeColor="accent1"/>
          <w:bottom w:val="single" w:sz="8" w:space="0" w:color="55C5E9" w:themeColor="accent1"/>
        </w:tcBorders>
      </w:tcPr>
    </w:tblStylePr>
    <w:tblStylePr w:type="firstCol">
      <w:rPr>
        <w:b/>
        <w:bCs/>
      </w:rPr>
    </w:tblStylePr>
    <w:tblStylePr w:type="lastCol">
      <w:rPr>
        <w:b/>
        <w:bCs/>
      </w:rPr>
      <w:tblPr/>
      <w:tcPr>
        <w:tcBorders>
          <w:top w:val="single" w:sz="8" w:space="0" w:color="55C5E9" w:themeColor="accent1"/>
          <w:bottom w:val="single" w:sz="8" w:space="0" w:color="55C5E9" w:themeColor="accent1"/>
        </w:tcBorders>
      </w:tcPr>
    </w:tblStylePr>
    <w:tblStylePr w:type="band1Vert">
      <w:tblPr/>
      <w:tcPr>
        <w:shd w:val="clear" w:color="auto" w:fill="D4F0F9" w:themeFill="accent1" w:themeFillTint="3F"/>
      </w:tcPr>
    </w:tblStylePr>
    <w:tblStylePr w:type="band1Horz">
      <w:tblPr/>
      <w:tcPr>
        <w:shd w:val="clear" w:color="auto" w:fill="D4F0F9" w:themeFill="accent1" w:themeFillTint="3F"/>
      </w:tcPr>
    </w:tblStylePr>
  </w:style>
  <w:style w:type="table" w:styleId="MediumList1-Accent2">
    <w:name w:val="Medium List 1 Accent 2"/>
    <w:basedOn w:val="TableNormal"/>
    <w:uiPriority w:val="65"/>
    <w:semiHidden/>
    <w:rsid w:val="009F77B8"/>
    <w:pPr>
      <w:spacing w:after="0" w:line="240" w:lineRule="auto"/>
    </w:pPr>
    <w:rPr>
      <w:color w:val="000000" w:themeColor="text1"/>
    </w:rPr>
    <w:tblPr>
      <w:tblStyleRowBandSize w:val="1"/>
      <w:tblStyleColBandSize w:val="1"/>
      <w:tblBorders>
        <w:top w:val="single" w:sz="8" w:space="0" w:color="A0DAE8" w:themeColor="accent2"/>
        <w:bottom w:val="single" w:sz="8" w:space="0" w:color="A0DAE8" w:themeColor="accent2"/>
      </w:tblBorders>
    </w:tblPr>
    <w:tblStylePr w:type="firstRow">
      <w:rPr>
        <w:rFonts w:asciiTheme="majorHAnsi" w:eastAsiaTheme="majorEastAsia" w:hAnsiTheme="majorHAnsi" w:cstheme="majorBidi"/>
      </w:rPr>
      <w:tblPr/>
      <w:tcPr>
        <w:tcBorders>
          <w:top w:val="nil"/>
          <w:bottom w:val="single" w:sz="8" w:space="0" w:color="A0DAE8" w:themeColor="accent2"/>
        </w:tcBorders>
      </w:tcPr>
    </w:tblStylePr>
    <w:tblStylePr w:type="lastRow">
      <w:rPr>
        <w:b/>
        <w:bCs/>
        <w:color w:val="0046AD" w:themeColor="text2"/>
      </w:rPr>
      <w:tblPr/>
      <w:tcPr>
        <w:tcBorders>
          <w:top w:val="single" w:sz="8" w:space="0" w:color="A0DAE8" w:themeColor="accent2"/>
          <w:bottom w:val="single" w:sz="8" w:space="0" w:color="A0DAE8" w:themeColor="accent2"/>
        </w:tcBorders>
      </w:tcPr>
    </w:tblStylePr>
    <w:tblStylePr w:type="firstCol">
      <w:rPr>
        <w:b/>
        <w:bCs/>
      </w:rPr>
    </w:tblStylePr>
    <w:tblStylePr w:type="lastCol">
      <w:rPr>
        <w:b/>
        <w:bCs/>
      </w:rPr>
      <w:tblPr/>
      <w:tcPr>
        <w:tcBorders>
          <w:top w:val="single" w:sz="8" w:space="0" w:color="A0DAE8" w:themeColor="accent2"/>
          <w:bottom w:val="single" w:sz="8" w:space="0" w:color="A0DAE8" w:themeColor="accent2"/>
        </w:tcBorders>
      </w:tcPr>
    </w:tblStylePr>
    <w:tblStylePr w:type="band1Vert">
      <w:tblPr/>
      <w:tcPr>
        <w:shd w:val="clear" w:color="auto" w:fill="E7F5F9" w:themeFill="accent2" w:themeFillTint="3F"/>
      </w:tcPr>
    </w:tblStylePr>
    <w:tblStylePr w:type="band1Horz">
      <w:tblPr/>
      <w:tcPr>
        <w:shd w:val="clear" w:color="auto" w:fill="E7F5F9" w:themeFill="accent2" w:themeFillTint="3F"/>
      </w:tcPr>
    </w:tblStylePr>
  </w:style>
  <w:style w:type="table" w:styleId="MediumList1-Accent3">
    <w:name w:val="Medium List 1 Accent 3"/>
    <w:basedOn w:val="TableNormal"/>
    <w:uiPriority w:val="65"/>
    <w:semiHidden/>
    <w:rsid w:val="009F77B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0046A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9F77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0046A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9F77B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046A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9F77B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0046A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C5E9" w:themeColor="accent1"/>
        <w:left w:val="single" w:sz="8" w:space="0" w:color="55C5E9" w:themeColor="accent1"/>
        <w:bottom w:val="single" w:sz="8" w:space="0" w:color="55C5E9" w:themeColor="accent1"/>
        <w:right w:val="single" w:sz="8" w:space="0" w:color="55C5E9" w:themeColor="accent1"/>
      </w:tblBorders>
    </w:tblPr>
    <w:tblStylePr w:type="firstRow">
      <w:rPr>
        <w:sz w:val="24"/>
        <w:szCs w:val="24"/>
      </w:rPr>
      <w:tblPr/>
      <w:tcPr>
        <w:tcBorders>
          <w:top w:val="nil"/>
          <w:left w:val="nil"/>
          <w:bottom w:val="single" w:sz="24" w:space="0" w:color="55C5E9" w:themeColor="accent1"/>
          <w:right w:val="nil"/>
          <w:insideH w:val="nil"/>
          <w:insideV w:val="nil"/>
        </w:tcBorders>
        <w:shd w:val="clear" w:color="auto" w:fill="FFFFFF" w:themeFill="background1"/>
      </w:tcPr>
    </w:tblStylePr>
    <w:tblStylePr w:type="lastRow">
      <w:tblPr/>
      <w:tcPr>
        <w:tcBorders>
          <w:top w:val="single" w:sz="8" w:space="0" w:color="55C5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C5E9" w:themeColor="accent1"/>
          <w:insideH w:val="nil"/>
          <w:insideV w:val="nil"/>
        </w:tcBorders>
        <w:shd w:val="clear" w:color="auto" w:fill="FFFFFF" w:themeFill="background1"/>
      </w:tcPr>
    </w:tblStylePr>
    <w:tblStylePr w:type="lastCol">
      <w:tblPr/>
      <w:tcPr>
        <w:tcBorders>
          <w:top w:val="nil"/>
          <w:left w:val="single" w:sz="8" w:space="0" w:color="55C5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F9" w:themeFill="accent1" w:themeFillTint="3F"/>
      </w:tcPr>
    </w:tblStylePr>
    <w:tblStylePr w:type="band1Horz">
      <w:tblPr/>
      <w:tcPr>
        <w:tcBorders>
          <w:top w:val="nil"/>
          <w:bottom w:val="nil"/>
          <w:insideH w:val="nil"/>
          <w:insideV w:val="nil"/>
        </w:tcBorders>
        <w:shd w:val="clear" w:color="auto" w:fill="D4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E8" w:themeColor="accent2"/>
        <w:left w:val="single" w:sz="8" w:space="0" w:color="A0DAE8" w:themeColor="accent2"/>
        <w:bottom w:val="single" w:sz="8" w:space="0" w:color="A0DAE8" w:themeColor="accent2"/>
        <w:right w:val="single" w:sz="8" w:space="0" w:color="A0DAE8" w:themeColor="accent2"/>
      </w:tblBorders>
    </w:tblPr>
    <w:tblStylePr w:type="firstRow">
      <w:rPr>
        <w:sz w:val="24"/>
        <w:szCs w:val="24"/>
      </w:rPr>
      <w:tblPr/>
      <w:tcPr>
        <w:tcBorders>
          <w:top w:val="nil"/>
          <w:left w:val="nil"/>
          <w:bottom w:val="single" w:sz="24" w:space="0" w:color="A0DAE8" w:themeColor="accent2"/>
          <w:right w:val="nil"/>
          <w:insideH w:val="nil"/>
          <w:insideV w:val="nil"/>
        </w:tcBorders>
        <w:shd w:val="clear" w:color="auto" w:fill="FFFFFF" w:themeFill="background1"/>
      </w:tcPr>
    </w:tblStylePr>
    <w:tblStylePr w:type="lastRow">
      <w:tblPr/>
      <w:tcPr>
        <w:tcBorders>
          <w:top w:val="single" w:sz="8" w:space="0" w:color="A0DAE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0DAE8" w:themeColor="accent2"/>
          <w:insideH w:val="nil"/>
          <w:insideV w:val="nil"/>
        </w:tcBorders>
        <w:shd w:val="clear" w:color="auto" w:fill="FFFFFF" w:themeFill="background1"/>
      </w:tcPr>
    </w:tblStylePr>
    <w:tblStylePr w:type="lastCol">
      <w:tblPr/>
      <w:tcPr>
        <w:tcBorders>
          <w:top w:val="nil"/>
          <w:left w:val="single" w:sz="8" w:space="0" w:color="A0DA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F9" w:themeFill="accent2" w:themeFillTint="3F"/>
      </w:tcPr>
    </w:tblStylePr>
    <w:tblStylePr w:type="band1Horz">
      <w:tblPr/>
      <w:tcPr>
        <w:tcBorders>
          <w:top w:val="nil"/>
          <w:bottom w:val="nil"/>
          <w:insideH w:val="nil"/>
          <w:insideV w:val="nil"/>
        </w:tcBorders>
        <w:shd w:val="clear" w:color="auto" w:fill="E7F5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F77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F77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F77B8"/>
    <w:pPr>
      <w:spacing w:after="0" w:line="240" w:lineRule="auto"/>
    </w:pPr>
    <w:tblPr>
      <w:tblStyleRowBandSize w:val="1"/>
      <w:tblStyleColBandSize w:val="1"/>
      <w:tbl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single" w:sz="8" w:space="0" w:color="7FD3EE" w:themeColor="accent1" w:themeTint="BF"/>
      </w:tblBorders>
    </w:tblPr>
    <w:tblStylePr w:type="firstRow">
      <w:pPr>
        <w:spacing w:before="0" w:after="0" w:line="240" w:lineRule="auto"/>
      </w:pPr>
      <w:rPr>
        <w:b/>
        <w:bCs/>
        <w:color w:val="FFFFFF" w:themeColor="background1"/>
      </w:rPr>
      <w:tblPr/>
      <w:tcPr>
        <w:tcBorders>
          <w:top w:val="single" w:sz="8"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shd w:val="clear" w:color="auto" w:fill="55C5E9" w:themeFill="accent1"/>
      </w:tcPr>
    </w:tblStylePr>
    <w:tblStylePr w:type="lastRow">
      <w:pPr>
        <w:spacing w:before="0" w:after="0" w:line="240" w:lineRule="auto"/>
      </w:pPr>
      <w:rPr>
        <w:b/>
        <w:bCs/>
      </w:rPr>
      <w:tblPr/>
      <w:tcPr>
        <w:tcBorders>
          <w:top w:val="double" w:sz="6" w:space="0" w:color="7FD3EE" w:themeColor="accent1" w:themeTint="BF"/>
          <w:left w:val="single" w:sz="8" w:space="0" w:color="7FD3EE" w:themeColor="accent1" w:themeTint="BF"/>
          <w:bottom w:val="single" w:sz="8" w:space="0" w:color="7FD3EE" w:themeColor="accent1" w:themeTint="BF"/>
          <w:right w:val="single" w:sz="8" w:space="0" w:color="7FD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4F0F9" w:themeFill="accent1" w:themeFillTint="3F"/>
      </w:tcPr>
    </w:tblStylePr>
    <w:tblStylePr w:type="band1Horz">
      <w:tblPr/>
      <w:tcPr>
        <w:tcBorders>
          <w:insideH w:val="nil"/>
          <w:insideV w:val="nil"/>
        </w:tcBorders>
        <w:shd w:val="clear" w:color="auto" w:fill="D4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F77B8"/>
    <w:pPr>
      <w:spacing w:after="0" w:line="240" w:lineRule="auto"/>
    </w:pPr>
    <w:tblPr>
      <w:tblStyleRowBandSize w:val="1"/>
      <w:tblStyleColBandSize w:val="1"/>
      <w:tbl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single" w:sz="8" w:space="0" w:color="B7E3ED" w:themeColor="accent2" w:themeTint="BF"/>
      </w:tblBorders>
    </w:tblPr>
    <w:tblStylePr w:type="firstRow">
      <w:pPr>
        <w:spacing w:before="0" w:after="0" w:line="240" w:lineRule="auto"/>
      </w:pPr>
      <w:rPr>
        <w:b/>
        <w:bCs/>
        <w:color w:val="FFFFFF" w:themeColor="background1"/>
      </w:rPr>
      <w:tblPr/>
      <w:tcPr>
        <w:tcBorders>
          <w:top w:val="single" w:sz="8"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shd w:val="clear" w:color="auto" w:fill="A0DAE8" w:themeFill="accent2"/>
      </w:tcPr>
    </w:tblStylePr>
    <w:tblStylePr w:type="lastRow">
      <w:pPr>
        <w:spacing w:before="0" w:after="0" w:line="240" w:lineRule="auto"/>
      </w:pPr>
      <w:rPr>
        <w:b/>
        <w:bCs/>
      </w:rPr>
      <w:tblPr/>
      <w:tcPr>
        <w:tcBorders>
          <w:top w:val="double" w:sz="6" w:space="0" w:color="B7E3ED" w:themeColor="accent2" w:themeTint="BF"/>
          <w:left w:val="single" w:sz="8" w:space="0" w:color="B7E3ED" w:themeColor="accent2" w:themeTint="BF"/>
          <w:bottom w:val="single" w:sz="8" w:space="0" w:color="B7E3ED" w:themeColor="accent2" w:themeTint="BF"/>
          <w:right w:val="single" w:sz="8" w:space="0" w:color="B7E3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5F9" w:themeFill="accent2" w:themeFillTint="3F"/>
      </w:tcPr>
    </w:tblStylePr>
    <w:tblStylePr w:type="band1Horz">
      <w:tblPr/>
      <w:tcPr>
        <w:tcBorders>
          <w:insideH w:val="nil"/>
          <w:insideV w:val="nil"/>
        </w:tcBorders>
        <w:shd w:val="clear" w:color="auto" w:fill="E7F5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F77B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F77B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F77B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F77B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C5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C5E9" w:themeFill="accent1"/>
      </w:tcPr>
    </w:tblStylePr>
    <w:tblStylePr w:type="lastCol">
      <w:rPr>
        <w:b/>
        <w:bCs/>
        <w:color w:val="FFFFFF" w:themeColor="background1"/>
      </w:rPr>
      <w:tblPr/>
      <w:tcPr>
        <w:tcBorders>
          <w:left w:val="nil"/>
          <w:right w:val="nil"/>
          <w:insideH w:val="nil"/>
          <w:insideV w:val="nil"/>
        </w:tcBorders>
        <w:shd w:val="clear" w:color="auto" w:fill="55C5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DA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DAE8" w:themeFill="accent2"/>
      </w:tcPr>
    </w:tblStylePr>
    <w:tblStylePr w:type="lastCol">
      <w:rPr>
        <w:b/>
        <w:bCs/>
        <w:color w:val="FFFFFF" w:themeColor="background1"/>
      </w:rPr>
      <w:tblPr/>
      <w:tcPr>
        <w:tcBorders>
          <w:left w:val="nil"/>
          <w:right w:val="nil"/>
          <w:insideH w:val="nil"/>
          <w:insideV w:val="nil"/>
        </w:tcBorders>
        <w:shd w:val="clear" w:color="auto" w:fill="A0DA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F77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F77B8"/>
    <w:rPr>
      <w:color w:val="2B579A"/>
      <w:shd w:val="clear" w:color="auto" w:fill="E1DFDD"/>
    </w:rPr>
  </w:style>
  <w:style w:type="paragraph" w:styleId="MessageHeader">
    <w:name w:val="Message Header"/>
    <w:basedOn w:val="Normal"/>
    <w:link w:val="MessageHeaderChar"/>
    <w:uiPriority w:val="99"/>
    <w:semiHidden/>
    <w:rsid w:val="009F77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77B8"/>
    <w:rPr>
      <w:rFonts w:asciiTheme="majorHAnsi" w:eastAsiaTheme="majorEastAsia" w:hAnsiTheme="majorHAnsi" w:cstheme="majorBidi"/>
      <w:shd w:val="pct20" w:color="auto" w:fill="auto"/>
    </w:rPr>
  </w:style>
  <w:style w:type="paragraph" w:styleId="NoSpacing">
    <w:name w:val="No Spacing"/>
    <w:uiPriority w:val="48"/>
    <w:semiHidden/>
    <w:qFormat/>
    <w:rsid w:val="009F77B8"/>
    <w:pPr>
      <w:spacing w:after="0" w:line="240" w:lineRule="auto"/>
    </w:pPr>
  </w:style>
  <w:style w:type="paragraph" w:styleId="NormalWeb">
    <w:name w:val="Normal (Web)"/>
    <w:basedOn w:val="Normal"/>
    <w:uiPriority w:val="99"/>
    <w:semiHidden/>
    <w:rsid w:val="009F77B8"/>
    <w:rPr>
      <w:rFonts w:ascii="Times New Roman" w:hAnsi="Times New Roman" w:cs="Times New Roman"/>
    </w:rPr>
  </w:style>
  <w:style w:type="paragraph" w:styleId="NormalIndent">
    <w:name w:val="Normal Indent"/>
    <w:basedOn w:val="Normal"/>
    <w:uiPriority w:val="99"/>
    <w:semiHidden/>
    <w:rsid w:val="009F77B8"/>
    <w:pPr>
      <w:ind w:left="720"/>
    </w:pPr>
  </w:style>
  <w:style w:type="paragraph" w:styleId="NoteHeading">
    <w:name w:val="Note Heading"/>
    <w:basedOn w:val="Normal"/>
    <w:next w:val="Normal"/>
    <w:link w:val="NoteHeadingChar"/>
    <w:uiPriority w:val="99"/>
    <w:semiHidden/>
    <w:rsid w:val="009F77B8"/>
    <w:pPr>
      <w:spacing w:after="0" w:line="240" w:lineRule="auto"/>
    </w:pPr>
  </w:style>
  <w:style w:type="character" w:customStyle="1" w:styleId="NoteHeadingChar">
    <w:name w:val="Note Heading Char"/>
    <w:basedOn w:val="DefaultParagraphFont"/>
    <w:link w:val="NoteHeading"/>
    <w:uiPriority w:val="99"/>
    <w:semiHidden/>
    <w:rsid w:val="009F77B8"/>
  </w:style>
  <w:style w:type="character" w:styleId="PageNumber">
    <w:name w:val="page number"/>
    <w:basedOn w:val="DefaultParagraphFont"/>
    <w:uiPriority w:val="99"/>
    <w:semiHidden/>
    <w:rsid w:val="009F77B8"/>
  </w:style>
  <w:style w:type="table" w:styleId="PlainTable1">
    <w:name w:val="Plain Table 1"/>
    <w:basedOn w:val="TableNormal"/>
    <w:uiPriority w:val="41"/>
    <w:rsid w:val="009F77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77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77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7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77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F77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77B8"/>
    <w:rPr>
      <w:rFonts w:ascii="Consolas" w:hAnsi="Consolas"/>
      <w:sz w:val="21"/>
      <w:szCs w:val="21"/>
    </w:rPr>
  </w:style>
  <w:style w:type="paragraph" w:styleId="Salutation">
    <w:name w:val="Salutation"/>
    <w:basedOn w:val="Normal"/>
    <w:next w:val="Normal"/>
    <w:link w:val="SalutationChar"/>
    <w:uiPriority w:val="99"/>
    <w:semiHidden/>
    <w:rsid w:val="009F77B8"/>
  </w:style>
  <w:style w:type="character" w:customStyle="1" w:styleId="SalutationChar">
    <w:name w:val="Salutation Char"/>
    <w:basedOn w:val="DefaultParagraphFont"/>
    <w:link w:val="Salutation"/>
    <w:uiPriority w:val="99"/>
    <w:semiHidden/>
    <w:rsid w:val="009F77B8"/>
  </w:style>
  <w:style w:type="character" w:styleId="SmartHyperlink">
    <w:name w:val="Smart Hyperlink"/>
    <w:basedOn w:val="DefaultParagraphFont"/>
    <w:uiPriority w:val="99"/>
    <w:semiHidden/>
    <w:rsid w:val="009F77B8"/>
    <w:rPr>
      <w:u w:val="dotted"/>
    </w:rPr>
  </w:style>
  <w:style w:type="character" w:styleId="SmartLink">
    <w:name w:val="Smart Link"/>
    <w:basedOn w:val="DefaultParagraphFont"/>
    <w:uiPriority w:val="99"/>
    <w:semiHidden/>
    <w:rsid w:val="009F77B8"/>
    <w:rPr>
      <w:color w:val="0000FF"/>
      <w:u w:val="single"/>
      <w:shd w:val="clear" w:color="auto" w:fill="F3F2F1"/>
    </w:rPr>
  </w:style>
  <w:style w:type="character" w:styleId="Strong">
    <w:name w:val="Strong"/>
    <w:basedOn w:val="DefaultParagraphFont"/>
    <w:uiPriority w:val="48"/>
    <w:semiHidden/>
    <w:qFormat/>
    <w:rsid w:val="009F77B8"/>
    <w:rPr>
      <w:b/>
      <w:bCs/>
    </w:rPr>
  </w:style>
  <w:style w:type="paragraph" w:styleId="Subtitle">
    <w:name w:val="Subtitle"/>
    <w:basedOn w:val="Normal"/>
    <w:next w:val="Normal"/>
    <w:link w:val="SubtitleChar"/>
    <w:uiPriority w:val="48"/>
    <w:semiHidden/>
    <w:qFormat/>
    <w:rsid w:val="009F77B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48"/>
    <w:semiHidden/>
    <w:rsid w:val="009F77B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48"/>
    <w:semiHidden/>
    <w:qFormat/>
    <w:rsid w:val="009F77B8"/>
    <w:rPr>
      <w:i/>
      <w:iCs/>
      <w:color w:val="404040" w:themeColor="text1" w:themeTint="BF"/>
    </w:rPr>
  </w:style>
  <w:style w:type="character" w:styleId="SubtleReference">
    <w:name w:val="Subtle Reference"/>
    <w:basedOn w:val="DefaultParagraphFont"/>
    <w:uiPriority w:val="48"/>
    <w:semiHidden/>
    <w:qFormat/>
    <w:rsid w:val="009F77B8"/>
    <w:rPr>
      <w:smallCaps/>
      <w:color w:val="5A5A5A" w:themeColor="text1" w:themeTint="A5"/>
    </w:rPr>
  </w:style>
  <w:style w:type="table" w:styleId="Table3Deffects1">
    <w:name w:val="Table 3D effects 1"/>
    <w:basedOn w:val="TableNormal"/>
    <w:uiPriority w:val="99"/>
    <w:semiHidden/>
    <w:rsid w:val="009F77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F77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F77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F77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F77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F77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F77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9F77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9F77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9F77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F77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F77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F77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F77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9F77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F77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F77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F77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F77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F77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F77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F77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F77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F77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F77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F7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9F77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F77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F77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F77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F77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F77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F77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F77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F77B8"/>
    <w:pPr>
      <w:spacing w:after="0"/>
      <w:ind w:left="240" w:hanging="240"/>
    </w:pPr>
  </w:style>
  <w:style w:type="table" w:styleId="TableProfessional">
    <w:name w:val="Table Professional"/>
    <w:basedOn w:val="TableNormal"/>
    <w:uiPriority w:val="99"/>
    <w:semiHidden/>
    <w:rsid w:val="009F77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F77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F77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F77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F77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F77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F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F77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F77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F77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F77B8"/>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ministrative-penalties-statement-of-policy-on-the-cmas-approa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dministrative-penalties-statement-of-policy-on-the-cmas-approa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Mergers\CMA%20Mergers%20Phase%201.dotx" TargetMode="External"/></Relationships>
</file>

<file path=word/theme/theme1.xml><?xml version="1.0" encoding="utf-8"?>
<a:theme xmlns:a="http://schemas.openxmlformats.org/drawingml/2006/main" name="Office Theme">
  <a:themeElements>
    <a:clrScheme name="CMA">
      <a:dk1>
        <a:sysClr val="windowText" lastClr="000000"/>
      </a:dk1>
      <a:lt1>
        <a:sysClr val="window" lastClr="FFFFFF"/>
      </a:lt1>
      <a:dk2>
        <a:srgbClr val="0046AD"/>
      </a:dk2>
      <a:lt2>
        <a:srgbClr val="EEECE1"/>
      </a:lt2>
      <a:accent1>
        <a:srgbClr val="55C5E9"/>
      </a:accent1>
      <a:accent2>
        <a:srgbClr val="A0DAE8"/>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EC9A-621E-456A-B014-15DC2040F466}">
  <ds:schemaRefs>
    <ds:schemaRef ds:uri="http://schemas.openxmlformats.org/officeDocument/2006/bibliography"/>
  </ds:schemaRefs>
</ds:datastoreItem>
</file>

<file path=docMetadata/LabelInfo.xml><?xml version="1.0" encoding="utf-8"?>
<clbl:labelList xmlns:clbl="http://schemas.microsoft.com/office/2020/mipLabelMetadata">
  <clbl:label id="{1948f2d4-0bc2-4c5e-8c34-caac9d736834}" enabled="0" method="" siteId="{1948f2d4-0bc2-4c5e-8c34-caac9d736834}" removed="1"/>
</clbl:labelList>
</file>

<file path=docProps/app.xml><?xml version="1.0" encoding="utf-8"?>
<Properties xmlns="http://schemas.openxmlformats.org/officeDocument/2006/extended-properties" xmlns:vt="http://schemas.openxmlformats.org/officeDocument/2006/docPropsVTypes">
  <Template>CMA Mergers Phase 1</Template>
  <TotalTime>1</TotalTime>
  <Pages>14</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Bottomley</dc:creator>
  <cp:keywords/>
  <dc:description/>
  <cp:lastModifiedBy>Louise O’Donoghue</cp:lastModifiedBy>
  <cp:revision>2</cp:revision>
  <dcterms:created xsi:type="dcterms:W3CDTF">2025-01-17T13:58:00Z</dcterms:created>
  <dcterms:modified xsi:type="dcterms:W3CDTF">2025-01-17T13:58:00Z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ame">
    <vt:lpwstr>CMA Mergers Phase 1.dotx</vt:lpwstr>
  </property>
  <property fmtid="{D5CDD505-2E9C-101B-9397-08002B2CF9AE}" pid="3" name="Template Date">
    <vt:lpwstr>03 November 2023</vt:lpwstr>
  </property>
  <property fmtid="{D5CDD505-2E9C-101B-9397-08002B2CF9AE}" pid="4" name="Template Version">
    <vt:lpwstr>2.07</vt:lpwstr>
  </property>
  <property fmtid="{D5CDD505-2E9C-101B-9397-08002B2CF9AE}" pid="5" name="Template Author">
    <vt:lpwstr>Nikki Pike, Brochet</vt:lpwstr>
  </property>
  <property fmtid="{D5CDD505-2E9C-101B-9397-08002B2CF9AE}" pid="6" name="Starter Doc Date">
    <vt:lpwstr>15 January 2025</vt:lpwstr>
  </property>
  <property fmtid="{D5CDD505-2E9C-101B-9397-08002B2CF9AE}" pid="7" name="Starter Doc Version">
    <vt:lpwstr>2.01</vt:lpwstr>
  </property>
</Properties>
</file>