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ABB63" w14:textId="294C75A7" w:rsidR="00F91C2A" w:rsidRPr="009154F9" w:rsidRDefault="0094612D" w:rsidP="00C46F3F">
      <w:pPr>
        <w:tabs>
          <w:tab w:val="left" w:pos="6679"/>
        </w:tabs>
        <w:jc w:val="both"/>
      </w:pPr>
      <w:r>
        <w:t xml:space="preserve">  </w:t>
      </w:r>
      <w:r w:rsidR="00C46F3F">
        <w:tab/>
      </w:r>
    </w:p>
    <w:p w14:paraId="69506A94" w14:textId="37692E6B" w:rsidR="00F91C2A" w:rsidRPr="009154F9" w:rsidRDefault="00B80E46" w:rsidP="004365F4">
      <w:r>
        <w:rPr>
          <w:noProof/>
        </w:rPr>
        <w:pict w14:anchorId="1B0F0F3D">
          <v:shapetype id="_x0000_t202" coordsize="21600,21600" o:spt="202" path="m,l,21600r21600,l21600,xe">
            <v:stroke joinstyle="miter"/>
            <v:path gradientshapeok="t" o:connecttype="rect"/>
          </v:shapetype>
          <v:shape id="Text Box 2" o:spid="_x0000_s2052" type="#_x0000_t202" style="position:absolute;margin-left:-94.1pt;margin-top:700.25pt;width:223.65pt;height:84.8pt;z-index:251658243;visibility:visible;mso-wrap-distance-top:3.6pt;mso-wrap-distance-bottom:3.6pt;mso-position-vertical-relative:page;mso-width-relative:margin;mso-height-relative:margin" filled="f" stroked="f">
            <v:textbox style="mso-next-textbox:#Text Box 2">
              <w:txbxContent>
                <w:p w14:paraId="3CFCE3D7" w14:textId="77777777" w:rsidR="00642948" w:rsidRDefault="00642948" w:rsidP="007D12BD">
                  <w:pPr>
                    <w:pStyle w:val="Default"/>
                    <w:rPr>
                      <w:rFonts w:ascii="Humnst777 Lt BT" w:hAnsi="Humnst777 Lt BT"/>
                      <w:b/>
                      <w:bCs/>
                      <w:color w:val="C00000"/>
                    </w:rPr>
                  </w:pPr>
                </w:p>
                <w:p w14:paraId="1FED8A0F" w14:textId="77777777" w:rsidR="00642948" w:rsidRDefault="00642948" w:rsidP="007D12BD">
                  <w:pPr>
                    <w:pStyle w:val="Default"/>
                    <w:rPr>
                      <w:rFonts w:ascii="Humnst777 Lt BT" w:hAnsi="Humnst777 Lt BT"/>
                      <w:b/>
                      <w:bCs/>
                      <w:color w:val="C00000"/>
                    </w:rPr>
                  </w:pPr>
                </w:p>
                <w:p w14:paraId="42503652" w14:textId="7559C464" w:rsidR="00E8374C" w:rsidRDefault="00E8374C" w:rsidP="007D12BD">
                  <w:pPr>
                    <w:pStyle w:val="Default"/>
                    <w:rPr>
                      <w:rFonts w:ascii="Humnst777 Lt BT" w:hAnsi="Humnst777 Lt BT"/>
                      <w:b/>
                      <w:bCs/>
                      <w:color w:val="C00000"/>
                    </w:rPr>
                  </w:pPr>
                  <w:r>
                    <w:rPr>
                      <w:rFonts w:ascii="Humnst777 Lt BT" w:hAnsi="Humnst777 Lt BT"/>
                      <w:b/>
                      <w:bCs/>
                      <w:color w:val="C00000"/>
                    </w:rPr>
                    <w:t>Media e</w:t>
                  </w:r>
                  <w:r w:rsidRPr="00406F39">
                    <w:rPr>
                      <w:rFonts w:ascii="Humnst777 Lt BT" w:hAnsi="Humnst777 Lt BT"/>
                      <w:b/>
                      <w:bCs/>
                      <w:color w:val="C00000"/>
                    </w:rPr>
                    <w:t xml:space="preserve">nquiries: </w:t>
                  </w:r>
                </w:p>
                <w:p w14:paraId="1A40CD2B" w14:textId="77777777" w:rsidR="00E8374C" w:rsidRPr="009825AC" w:rsidRDefault="00E8374C" w:rsidP="007D12BD">
                  <w:pPr>
                    <w:pStyle w:val="Default"/>
                    <w:rPr>
                      <w:rFonts w:ascii="Humnst777 Lt BT" w:hAnsi="Humnst777 Lt BT"/>
                      <w:bCs/>
                      <w:color w:val="C00000"/>
                    </w:rPr>
                  </w:pPr>
                  <w:r>
                    <w:rPr>
                      <w:rFonts w:ascii="Humnst777 Lt BT" w:hAnsi="Humnst777 Lt BT"/>
                      <w:bCs/>
                      <w:color w:val="C00000"/>
                    </w:rPr>
                    <w:t>pressoffice@hmtreasury.gov.uk</w:t>
                  </w:r>
                </w:p>
                <w:p w14:paraId="430BBB3E" w14:textId="77777777" w:rsidR="00E8374C" w:rsidRPr="00406F39" w:rsidRDefault="00E8374C" w:rsidP="007D12BD">
                  <w:pPr>
                    <w:pStyle w:val="Default"/>
                    <w:rPr>
                      <w:rFonts w:ascii="Humnst777 Lt BT" w:hAnsi="Humnst777 Lt BT"/>
                      <w:b/>
                      <w:bCs/>
                      <w:color w:val="C00000"/>
                    </w:rPr>
                  </w:pPr>
                </w:p>
                <w:p w14:paraId="341B2472" w14:textId="77777777" w:rsidR="00E8374C" w:rsidRDefault="00E8374C"/>
              </w:txbxContent>
            </v:textbox>
            <w10:wrap anchory="page"/>
          </v:shape>
        </w:pict>
      </w:r>
      <w:r>
        <w:rPr>
          <w:noProof/>
        </w:rPr>
        <w:pict w14:anchorId="2BC865C3">
          <v:shape id="Text Box 5" o:spid="_x0000_s2053" type="#_x0000_t202" style="position:absolute;margin-left:-112.35pt;margin-top:222.25pt;width:363.15pt;height:53.8pt;z-index:251658242;visibility:visible" strokecolor="white">
            <v:textbox style="mso-next-textbox:#Text Box 5">
              <w:txbxContent>
                <w:p w14:paraId="367BB8F7" w14:textId="06DD8D60" w:rsidR="00E8374C" w:rsidRPr="00191B8F" w:rsidRDefault="004416BE" w:rsidP="007D12BD">
                  <w:pPr>
                    <w:pStyle w:val="Heading4"/>
                    <w:rPr>
                      <w:rFonts w:ascii="Humnst777 BT" w:hAnsi="Humnst777 BT"/>
                      <w:sz w:val="28"/>
                    </w:rPr>
                  </w:pPr>
                  <w:r>
                    <w:rPr>
                      <w:rFonts w:ascii="Humnst777 BT" w:hAnsi="Humnst777 BT"/>
                      <w:sz w:val="28"/>
                    </w:rPr>
                    <w:t>16</w:t>
                  </w:r>
                  <w:r w:rsidR="005A22DA">
                    <w:rPr>
                      <w:rFonts w:ascii="Humnst777 BT" w:hAnsi="Humnst777 BT"/>
                      <w:sz w:val="28"/>
                    </w:rPr>
                    <w:t xml:space="preserve"> </w:t>
                  </w:r>
                  <w:r>
                    <w:rPr>
                      <w:rFonts w:ascii="Humnst777 BT" w:hAnsi="Humnst777 BT"/>
                      <w:sz w:val="28"/>
                    </w:rPr>
                    <w:t>January</w:t>
                  </w:r>
                  <w:r w:rsidR="005A22DA">
                    <w:rPr>
                      <w:rFonts w:ascii="Humnst777 BT" w:hAnsi="Humnst777 BT"/>
                      <w:sz w:val="28"/>
                    </w:rPr>
                    <w:t xml:space="preserve"> </w:t>
                  </w:r>
                  <w:r>
                    <w:rPr>
                      <w:rFonts w:ascii="Humnst777 BT" w:hAnsi="Humnst777 BT"/>
                      <w:sz w:val="28"/>
                    </w:rPr>
                    <w:t>2025</w:t>
                  </w:r>
                </w:p>
                <w:p w14:paraId="4373B2A6" w14:textId="7701E64A" w:rsidR="00E8374C" w:rsidRPr="00406F39" w:rsidRDefault="00E8374C" w:rsidP="00F91C2A">
                  <w:pPr>
                    <w:pStyle w:val="Heading4"/>
                    <w:rPr>
                      <w:rFonts w:ascii="Humnst777 BT" w:hAnsi="Humnst777 BT"/>
                      <w:sz w:val="28"/>
                    </w:rPr>
                  </w:pPr>
                  <w:r>
                    <w:rPr>
                      <w:rFonts w:ascii="Humnst777 BT" w:hAnsi="Humnst777 BT"/>
                      <w:sz w:val="28"/>
                    </w:rPr>
                    <w:t>Data from 1 November 2016</w:t>
                  </w:r>
                  <w:r w:rsidRPr="00191B8F">
                    <w:rPr>
                      <w:rFonts w:ascii="Humnst777 BT" w:hAnsi="Humnst777 BT"/>
                      <w:sz w:val="28"/>
                    </w:rPr>
                    <w:t xml:space="preserve"> to 3</w:t>
                  </w:r>
                  <w:r>
                    <w:rPr>
                      <w:rFonts w:ascii="Humnst777 BT" w:hAnsi="Humnst777 BT"/>
                      <w:sz w:val="28"/>
                    </w:rPr>
                    <w:t xml:space="preserve">0 </w:t>
                  </w:r>
                  <w:r w:rsidR="00633D94">
                    <w:rPr>
                      <w:rFonts w:ascii="Humnst777 BT" w:hAnsi="Humnst777 BT"/>
                      <w:sz w:val="28"/>
                    </w:rPr>
                    <w:t>September</w:t>
                  </w:r>
                  <w:r>
                    <w:rPr>
                      <w:rFonts w:ascii="Humnst777 BT" w:hAnsi="Humnst777 BT"/>
                      <w:sz w:val="28"/>
                    </w:rPr>
                    <w:t xml:space="preserve"> 20</w:t>
                  </w:r>
                  <w:r w:rsidR="009B1C76">
                    <w:rPr>
                      <w:rFonts w:ascii="Humnst777 BT" w:hAnsi="Humnst777 BT"/>
                      <w:sz w:val="28"/>
                    </w:rPr>
                    <w:t>24</w:t>
                  </w:r>
                </w:p>
              </w:txbxContent>
            </v:textbox>
          </v:shape>
        </w:pict>
      </w:r>
      <w:r>
        <w:rPr>
          <w:noProof/>
        </w:rPr>
        <w:pict w14:anchorId="30344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pIPLogo" o:spid="_x0000_s2058" type="#_x0000_t75" alt="&quot;&quot;" style="position:absolute;margin-left:34.4pt;margin-top:45.1pt;width:109.15pt;height:49.9pt;z-index:-251658236;visibility:visible;mso-wrap-distance-bottom:226.8pt;mso-position-horizontal-relative:page;mso-position-vertical-relative:page;mso-width-relative:margin;mso-height-relative:margin" wrapcoords="-148 0 -148 21278 21600 21278 21600 0 -148 0">
            <v:imagedata r:id="rId15" o:title=""/>
            <w10:wrap type="tight" anchorx="page" anchory="page"/>
            <w10:anchorlock/>
          </v:shape>
        </w:pict>
      </w:r>
      <w:r>
        <w:rPr>
          <w:noProof/>
        </w:rPr>
        <w:pict w14:anchorId="41F4B212">
          <v:shape id="Text Box 15" o:spid="_x0000_s2054" type="#_x0000_t202" style="position:absolute;margin-left:35pt;margin-top:117.75pt;width:546.05pt;height:135.75pt;z-index:251658240;visibility:visible;mso-position-horizontal-relative:page;mso-position-vertical-relative:page;mso-width-relative:margin;mso-height-relative:margin;v-text-anchor:bottom" filled="f" stroked="f" strokeweight=".5pt">
            <v:path arrowok="t"/>
            <v:textbox inset="0,0,0,0">
              <w:txbxContent>
                <w:p w14:paraId="3DEEC4C5" w14:textId="77777777" w:rsidR="00E8374C" w:rsidRPr="009C6D48" w:rsidRDefault="00E8374C" w:rsidP="00F91C2A">
                  <w:pPr>
                    <w:pStyle w:val="Heading1"/>
                    <w:rPr>
                      <w:rFonts w:ascii="Cambria" w:hAnsi="Cambria"/>
                      <w:sz w:val="56"/>
                      <w:szCs w:val="56"/>
                    </w:rPr>
                  </w:pPr>
                </w:p>
                <w:p w14:paraId="0BFF9F8C" w14:textId="77777777" w:rsidR="00E8374C" w:rsidRPr="009C6D48" w:rsidRDefault="00E8374C" w:rsidP="009C6D48">
                  <w:pPr>
                    <w:pStyle w:val="Heading1"/>
                    <w:rPr>
                      <w:sz w:val="56"/>
                      <w:szCs w:val="56"/>
                    </w:rPr>
                  </w:pPr>
                  <w:bookmarkStart w:id="0" w:name="_Toc383441199"/>
                  <w:r>
                    <w:rPr>
                      <w:sz w:val="56"/>
                      <w:szCs w:val="56"/>
                    </w:rPr>
                    <w:t xml:space="preserve">Bank Referral Scheme: </w:t>
                  </w:r>
                  <w:bookmarkStart w:id="1" w:name="_Toc383441200"/>
                  <w:bookmarkEnd w:id="0"/>
                  <w:r w:rsidR="006F0226">
                    <w:rPr>
                      <w:sz w:val="56"/>
                      <w:szCs w:val="56"/>
                    </w:rPr>
                    <w:t xml:space="preserve">Official </w:t>
                  </w:r>
                  <w:r w:rsidRPr="009C6D48">
                    <w:rPr>
                      <w:sz w:val="56"/>
                      <w:szCs w:val="56"/>
                    </w:rPr>
                    <w:t>Statistics</w:t>
                  </w:r>
                  <w:bookmarkEnd w:id="1"/>
                </w:p>
              </w:txbxContent>
            </v:textbox>
            <w10:wrap anchorx="page" anchory="page"/>
          </v:shape>
        </w:pict>
      </w:r>
    </w:p>
    <w:p w14:paraId="10AABEBB" w14:textId="74BFD856" w:rsidR="7F379742" w:rsidRDefault="7F379742"/>
    <w:p w14:paraId="4825190A" w14:textId="688B3BA3" w:rsidR="7F379742" w:rsidRDefault="7F379742"/>
    <w:p w14:paraId="04EEADFE" w14:textId="4C726FCB" w:rsidR="7F379742" w:rsidRDefault="7F379742"/>
    <w:p w14:paraId="2A0044C5" w14:textId="615F3735" w:rsidR="7F379742" w:rsidRDefault="7F379742"/>
    <w:p w14:paraId="28CE2722" w14:textId="5AF2CBFC" w:rsidR="7F379742" w:rsidRDefault="7F379742"/>
    <w:p w14:paraId="7EFD2829" w14:textId="7FFACE72" w:rsidR="7F379742" w:rsidRDefault="7F379742"/>
    <w:p w14:paraId="7C7B7019" w14:textId="77777777" w:rsidR="001642C0" w:rsidRDefault="001642C0">
      <w:pPr>
        <w:rPr>
          <w:vanish/>
        </w:rPr>
      </w:pPr>
    </w:p>
    <w:p w14:paraId="241FAD08" w14:textId="124EC7B6" w:rsidR="7F379742" w:rsidRDefault="7F379742"/>
    <w:p w14:paraId="38E67570" w14:textId="4C778FCA" w:rsidR="7F379742" w:rsidRDefault="7F379742"/>
    <w:p w14:paraId="6921C2AA" w14:textId="05B16055" w:rsidR="7F379742" w:rsidRDefault="7F379742"/>
    <w:p w14:paraId="0CA37E66" w14:textId="627F7753" w:rsidR="7F379742" w:rsidRDefault="7F379742"/>
    <w:p w14:paraId="200BC907" w14:textId="0C911304" w:rsidR="7F379742" w:rsidRDefault="7F379742"/>
    <w:p w14:paraId="50143596" w14:textId="77777777" w:rsidR="0057172C" w:rsidRDefault="0057172C">
      <w:pPr>
        <w:rPr>
          <w:vanish/>
        </w:rPr>
      </w:pPr>
    </w:p>
    <w:tbl>
      <w:tblPr>
        <w:tblpPr w:leftFromText="180" w:rightFromText="180" w:vertAnchor="page" w:horzAnchor="page" w:tblpX="8248" w:tblpY="7651"/>
        <w:tblW w:w="0" w:type="auto"/>
        <w:tblLook w:val="04A0" w:firstRow="1" w:lastRow="0" w:firstColumn="1" w:lastColumn="0" w:noHBand="0" w:noVBand="1"/>
      </w:tblPr>
      <w:tblGrid>
        <w:gridCol w:w="2410"/>
        <w:gridCol w:w="709"/>
      </w:tblGrid>
      <w:tr w:rsidR="00EB39B2" w14:paraId="4C19A465" w14:textId="77777777" w:rsidTr="00AF74DC">
        <w:trPr>
          <w:trHeight w:val="300"/>
        </w:trPr>
        <w:tc>
          <w:tcPr>
            <w:tcW w:w="2410" w:type="dxa"/>
            <w:shd w:val="clear" w:color="auto" w:fill="auto"/>
          </w:tcPr>
          <w:p w14:paraId="43E5A064" w14:textId="77777777" w:rsidR="00EB39B2" w:rsidRDefault="00EB39B2" w:rsidP="00EB39B2">
            <w:pPr>
              <w:pStyle w:val="Heading4"/>
              <w:rPr>
                <w:rFonts w:ascii="Humnst777 Lt BT" w:hAnsi="Humnst777 Lt BT"/>
                <w:b w:val="0"/>
              </w:rPr>
            </w:pPr>
            <w:r w:rsidRPr="7F379742">
              <w:rPr>
                <w:rFonts w:ascii="Humnst777 Lt BT" w:hAnsi="Humnst777 Lt BT"/>
                <w:b w:val="0"/>
              </w:rPr>
              <w:t>Introduction</w:t>
            </w:r>
          </w:p>
        </w:tc>
        <w:tc>
          <w:tcPr>
            <w:tcW w:w="709" w:type="dxa"/>
            <w:shd w:val="clear" w:color="auto" w:fill="auto"/>
          </w:tcPr>
          <w:p w14:paraId="5B46F45E" w14:textId="77777777" w:rsidR="00EB39B2" w:rsidRDefault="00EB39B2" w:rsidP="00EB39B2">
            <w:pPr>
              <w:pStyle w:val="Heading4"/>
              <w:rPr>
                <w:rFonts w:ascii="Humnst777 Lt BT" w:hAnsi="Humnst777 Lt BT"/>
                <w:b w:val="0"/>
              </w:rPr>
            </w:pPr>
            <w:r w:rsidRPr="7F379742">
              <w:rPr>
                <w:rFonts w:ascii="Humnst777 Lt BT" w:hAnsi="Humnst777 Lt BT"/>
                <w:b w:val="0"/>
              </w:rPr>
              <w:t>2</w:t>
            </w:r>
          </w:p>
        </w:tc>
      </w:tr>
      <w:tr w:rsidR="00EB39B2" w14:paraId="761A63F2" w14:textId="77777777" w:rsidTr="00AF74DC">
        <w:trPr>
          <w:trHeight w:val="300"/>
        </w:trPr>
        <w:tc>
          <w:tcPr>
            <w:tcW w:w="2410" w:type="dxa"/>
            <w:shd w:val="clear" w:color="auto" w:fill="auto"/>
          </w:tcPr>
          <w:p w14:paraId="0EC4A643" w14:textId="77777777" w:rsidR="00EB39B2" w:rsidRDefault="00EB39B2" w:rsidP="00EB39B2">
            <w:pPr>
              <w:pStyle w:val="Heading4"/>
              <w:rPr>
                <w:rFonts w:ascii="Humnst777 Lt BT" w:hAnsi="Humnst777 Lt BT"/>
                <w:b w:val="0"/>
              </w:rPr>
            </w:pPr>
            <w:r w:rsidRPr="7F379742">
              <w:rPr>
                <w:rFonts w:ascii="Humnst777 Lt BT" w:hAnsi="Humnst777 Lt BT"/>
                <w:b w:val="0"/>
              </w:rPr>
              <w:t>Quarterly funding</w:t>
            </w:r>
          </w:p>
        </w:tc>
        <w:tc>
          <w:tcPr>
            <w:tcW w:w="709" w:type="dxa"/>
            <w:shd w:val="clear" w:color="auto" w:fill="auto"/>
          </w:tcPr>
          <w:p w14:paraId="292B1D93" w14:textId="77777777" w:rsidR="00EB39B2" w:rsidRDefault="00EB39B2" w:rsidP="00EB39B2">
            <w:pPr>
              <w:pStyle w:val="Heading4"/>
              <w:rPr>
                <w:rFonts w:ascii="Humnst777 Lt BT" w:hAnsi="Humnst777 Lt BT"/>
                <w:b w:val="0"/>
              </w:rPr>
            </w:pPr>
            <w:r w:rsidRPr="7F379742">
              <w:rPr>
                <w:rFonts w:ascii="Humnst777 Lt BT" w:hAnsi="Humnst777 Lt BT"/>
                <w:b w:val="0"/>
              </w:rPr>
              <w:t>3</w:t>
            </w:r>
          </w:p>
        </w:tc>
      </w:tr>
      <w:tr w:rsidR="00EB39B2" w14:paraId="2BC72D99" w14:textId="77777777" w:rsidTr="00AF74DC">
        <w:trPr>
          <w:trHeight w:val="300"/>
        </w:trPr>
        <w:tc>
          <w:tcPr>
            <w:tcW w:w="2410" w:type="dxa"/>
            <w:shd w:val="clear" w:color="auto" w:fill="auto"/>
          </w:tcPr>
          <w:p w14:paraId="6D79290E" w14:textId="19DAFE27" w:rsidR="00EB39B2" w:rsidRDefault="00EB39B2" w:rsidP="00EB39B2">
            <w:pPr>
              <w:pStyle w:val="Heading4"/>
              <w:rPr>
                <w:rFonts w:ascii="Humnst777 Lt BT" w:hAnsi="Humnst777 Lt BT"/>
                <w:b w:val="0"/>
              </w:rPr>
            </w:pPr>
            <w:r w:rsidRPr="7F379742">
              <w:rPr>
                <w:rFonts w:ascii="Humnst777 Lt BT" w:hAnsi="Humnst777 Lt BT"/>
                <w:b w:val="0"/>
              </w:rPr>
              <w:t>Quarterly referrals</w:t>
            </w:r>
          </w:p>
        </w:tc>
        <w:tc>
          <w:tcPr>
            <w:tcW w:w="709" w:type="dxa"/>
            <w:shd w:val="clear" w:color="auto" w:fill="auto"/>
          </w:tcPr>
          <w:p w14:paraId="5C28FEE3" w14:textId="33F32C00" w:rsidR="00EB39B2" w:rsidRDefault="00B54778" w:rsidP="00EB39B2">
            <w:pPr>
              <w:pStyle w:val="Heading4"/>
              <w:rPr>
                <w:rFonts w:ascii="Humnst777 Lt BT" w:hAnsi="Humnst777 Lt BT"/>
                <w:b w:val="0"/>
              </w:rPr>
            </w:pPr>
            <w:r>
              <w:rPr>
                <w:rFonts w:ascii="Humnst777 Lt BT" w:hAnsi="Humnst777 Lt BT"/>
                <w:b w:val="0"/>
              </w:rPr>
              <w:t>4</w:t>
            </w:r>
          </w:p>
        </w:tc>
      </w:tr>
      <w:tr w:rsidR="00EB39B2" w14:paraId="72AEBA44" w14:textId="77777777" w:rsidTr="00AF74DC">
        <w:trPr>
          <w:trHeight w:val="300"/>
        </w:trPr>
        <w:tc>
          <w:tcPr>
            <w:tcW w:w="2410" w:type="dxa"/>
            <w:shd w:val="clear" w:color="auto" w:fill="auto"/>
          </w:tcPr>
          <w:p w14:paraId="132D05F9" w14:textId="77777777" w:rsidR="00EB39B2" w:rsidRDefault="00EB39B2" w:rsidP="00EB39B2">
            <w:pPr>
              <w:pStyle w:val="Heading4"/>
              <w:rPr>
                <w:rFonts w:ascii="Humnst777 Lt BT" w:hAnsi="Humnst777 Lt BT"/>
                <w:b w:val="0"/>
              </w:rPr>
            </w:pPr>
            <w:r w:rsidRPr="7F379742">
              <w:rPr>
                <w:rFonts w:ascii="Humnst777 Lt BT" w:hAnsi="Humnst777 Lt BT"/>
                <w:b w:val="0"/>
              </w:rPr>
              <w:t>Quarterly conversion rates</w:t>
            </w:r>
          </w:p>
        </w:tc>
        <w:tc>
          <w:tcPr>
            <w:tcW w:w="709" w:type="dxa"/>
            <w:shd w:val="clear" w:color="auto" w:fill="auto"/>
          </w:tcPr>
          <w:p w14:paraId="414AEE8F" w14:textId="40BA0C15" w:rsidR="00EB39B2" w:rsidRDefault="00F43B55" w:rsidP="00EB39B2">
            <w:pPr>
              <w:pStyle w:val="Heading4"/>
              <w:rPr>
                <w:rFonts w:ascii="Humnst777 Lt BT" w:hAnsi="Humnst777 Lt BT"/>
                <w:b w:val="0"/>
              </w:rPr>
            </w:pPr>
            <w:r>
              <w:rPr>
                <w:rFonts w:ascii="Humnst777 Lt BT" w:hAnsi="Humnst777 Lt BT"/>
                <w:b w:val="0"/>
              </w:rPr>
              <w:t>6</w:t>
            </w:r>
          </w:p>
        </w:tc>
      </w:tr>
      <w:tr w:rsidR="00EB39B2" w14:paraId="625AE6E2" w14:textId="77777777" w:rsidTr="00AF74DC">
        <w:trPr>
          <w:trHeight w:val="300"/>
        </w:trPr>
        <w:tc>
          <w:tcPr>
            <w:tcW w:w="2410" w:type="dxa"/>
            <w:shd w:val="clear" w:color="auto" w:fill="auto"/>
          </w:tcPr>
          <w:p w14:paraId="342CA622" w14:textId="77777777" w:rsidR="00EB39B2" w:rsidRDefault="00EB39B2" w:rsidP="00EB39B2">
            <w:pPr>
              <w:pStyle w:val="Heading4"/>
              <w:rPr>
                <w:rFonts w:ascii="Humnst777 Lt BT" w:hAnsi="Humnst777 Lt BT"/>
                <w:b w:val="0"/>
              </w:rPr>
            </w:pPr>
            <w:r w:rsidRPr="7F379742">
              <w:rPr>
                <w:rFonts w:ascii="Humnst777 Lt BT" w:hAnsi="Humnst777 Lt BT"/>
                <w:b w:val="0"/>
              </w:rPr>
              <w:t>Referrals by location</w:t>
            </w:r>
          </w:p>
        </w:tc>
        <w:tc>
          <w:tcPr>
            <w:tcW w:w="709" w:type="dxa"/>
            <w:shd w:val="clear" w:color="auto" w:fill="auto"/>
          </w:tcPr>
          <w:p w14:paraId="2FEE41B1" w14:textId="72334B31" w:rsidR="00EB39B2" w:rsidRDefault="00F43B55" w:rsidP="00EB39B2">
            <w:pPr>
              <w:pStyle w:val="Heading4"/>
              <w:rPr>
                <w:rFonts w:ascii="Humnst777 Lt BT" w:hAnsi="Humnst777 Lt BT"/>
                <w:b w:val="0"/>
              </w:rPr>
            </w:pPr>
            <w:r>
              <w:rPr>
                <w:rFonts w:ascii="Humnst777 Lt BT" w:hAnsi="Humnst777 Lt BT"/>
                <w:b w:val="0"/>
              </w:rPr>
              <w:t>7</w:t>
            </w:r>
          </w:p>
        </w:tc>
      </w:tr>
      <w:tr w:rsidR="00EB39B2" w14:paraId="58DB4115" w14:textId="77777777" w:rsidTr="00AF74DC">
        <w:trPr>
          <w:trHeight w:val="300"/>
        </w:trPr>
        <w:tc>
          <w:tcPr>
            <w:tcW w:w="2410" w:type="dxa"/>
            <w:shd w:val="clear" w:color="auto" w:fill="auto"/>
          </w:tcPr>
          <w:p w14:paraId="54586629" w14:textId="77777777" w:rsidR="00EB39B2" w:rsidRDefault="00EB39B2" w:rsidP="00EB39B2">
            <w:pPr>
              <w:pStyle w:val="Heading4"/>
              <w:rPr>
                <w:rFonts w:ascii="Humnst777 Lt BT" w:hAnsi="Humnst777 Lt BT"/>
                <w:b w:val="0"/>
              </w:rPr>
            </w:pPr>
            <w:r w:rsidRPr="7F379742">
              <w:rPr>
                <w:rFonts w:ascii="Humnst777 Lt BT" w:hAnsi="Humnst777 Lt BT"/>
                <w:b w:val="0"/>
              </w:rPr>
              <w:t>Deals by location</w:t>
            </w:r>
          </w:p>
        </w:tc>
        <w:tc>
          <w:tcPr>
            <w:tcW w:w="709" w:type="dxa"/>
            <w:shd w:val="clear" w:color="auto" w:fill="auto"/>
          </w:tcPr>
          <w:p w14:paraId="5E54089C" w14:textId="730C1FC8" w:rsidR="00EB39B2" w:rsidRDefault="00F43B55" w:rsidP="00EB39B2">
            <w:pPr>
              <w:pStyle w:val="Heading4"/>
              <w:rPr>
                <w:rFonts w:ascii="Humnst777 Lt BT" w:hAnsi="Humnst777 Lt BT"/>
                <w:b w:val="0"/>
              </w:rPr>
            </w:pPr>
            <w:r>
              <w:rPr>
                <w:rFonts w:ascii="Humnst777 Lt BT" w:hAnsi="Humnst777 Lt BT"/>
                <w:b w:val="0"/>
              </w:rPr>
              <w:t>8</w:t>
            </w:r>
          </w:p>
        </w:tc>
      </w:tr>
      <w:tr w:rsidR="00EB39B2" w14:paraId="1D0412F7" w14:textId="77777777" w:rsidTr="00AF74DC">
        <w:trPr>
          <w:trHeight w:val="300"/>
        </w:trPr>
        <w:tc>
          <w:tcPr>
            <w:tcW w:w="2410" w:type="dxa"/>
            <w:shd w:val="clear" w:color="auto" w:fill="auto"/>
          </w:tcPr>
          <w:p w14:paraId="6E5C987F" w14:textId="77777777" w:rsidR="00EB39B2" w:rsidRDefault="00EB39B2" w:rsidP="00EB39B2">
            <w:pPr>
              <w:pStyle w:val="Heading4"/>
              <w:rPr>
                <w:rFonts w:ascii="Humnst777 Lt BT" w:hAnsi="Humnst777 Lt BT"/>
                <w:b w:val="0"/>
              </w:rPr>
            </w:pPr>
            <w:r w:rsidRPr="7F379742">
              <w:rPr>
                <w:rFonts w:ascii="Humnst777 Lt BT" w:hAnsi="Humnst777 Lt BT"/>
                <w:b w:val="0"/>
              </w:rPr>
              <w:t>Funding by location</w:t>
            </w:r>
          </w:p>
        </w:tc>
        <w:tc>
          <w:tcPr>
            <w:tcW w:w="709" w:type="dxa"/>
            <w:shd w:val="clear" w:color="auto" w:fill="auto"/>
          </w:tcPr>
          <w:p w14:paraId="7153201E" w14:textId="4143ACA4" w:rsidR="00EB39B2" w:rsidRDefault="00F43B55" w:rsidP="00EB39B2">
            <w:pPr>
              <w:pStyle w:val="Heading4"/>
              <w:rPr>
                <w:rFonts w:ascii="Humnst777 Lt BT" w:hAnsi="Humnst777 Lt BT"/>
                <w:b w:val="0"/>
              </w:rPr>
            </w:pPr>
            <w:r>
              <w:rPr>
                <w:rFonts w:ascii="Humnst777 Lt BT" w:hAnsi="Humnst777 Lt BT"/>
                <w:b w:val="0"/>
              </w:rPr>
              <w:t>9</w:t>
            </w:r>
          </w:p>
        </w:tc>
      </w:tr>
      <w:tr w:rsidR="00EB39B2" w14:paraId="51F7D026" w14:textId="77777777" w:rsidTr="00AF74DC">
        <w:trPr>
          <w:trHeight w:val="300"/>
        </w:trPr>
        <w:tc>
          <w:tcPr>
            <w:tcW w:w="2410" w:type="dxa"/>
            <w:shd w:val="clear" w:color="auto" w:fill="auto"/>
          </w:tcPr>
          <w:p w14:paraId="40584F25" w14:textId="77777777" w:rsidR="00EB39B2" w:rsidRDefault="00EB39B2" w:rsidP="00EB39B2">
            <w:pPr>
              <w:pStyle w:val="Heading4"/>
              <w:rPr>
                <w:rFonts w:ascii="Humnst777 Lt BT" w:hAnsi="Humnst777 Lt BT"/>
                <w:b w:val="0"/>
              </w:rPr>
            </w:pPr>
            <w:r w:rsidRPr="7F379742">
              <w:rPr>
                <w:rFonts w:ascii="Humnst777 Lt BT" w:hAnsi="Humnst777 Lt BT"/>
                <w:b w:val="0"/>
              </w:rPr>
              <w:t xml:space="preserve">Average deal size by location </w:t>
            </w:r>
          </w:p>
        </w:tc>
        <w:tc>
          <w:tcPr>
            <w:tcW w:w="709" w:type="dxa"/>
            <w:shd w:val="clear" w:color="auto" w:fill="auto"/>
          </w:tcPr>
          <w:p w14:paraId="16E107E0" w14:textId="39A44B1D" w:rsidR="00EB39B2" w:rsidRDefault="00F43B55" w:rsidP="00EB39B2">
            <w:pPr>
              <w:pStyle w:val="Heading4"/>
              <w:rPr>
                <w:rFonts w:ascii="Humnst777 Lt BT" w:hAnsi="Humnst777 Lt BT"/>
                <w:b w:val="0"/>
              </w:rPr>
            </w:pPr>
            <w:r>
              <w:rPr>
                <w:rFonts w:ascii="Humnst777 Lt BT" w:hAnsi="Humnst777 Lt BT"/>
                <w:b w:val="0"/>
              </w:rPr>
              <w:t>10</w:t>
            </w:r>
          </w:p>
        </w:tc>
      </w:tr>
      <w:tr w:rsidR="00EB39B2" w14:paraId="2045DBAC" w14:textId="77777777" w:rsidTr="00AF74DC">
        <w:trPr>
          <w:trHeight w:val="300"/>
        </w:trPr>
        <w:tc>
          <w:tcPr>
            <w:tcW w:w="2410" w:type="dxa"/>
            <w:shd w:val="clear" w:color="auto" w:fill="auto"/>
          </w:tcPr>
          <w:p w14:paraId="2AF92F5A" w14:textId="77777777" w:rsidR="00EB39B2" w:rsidRDefault="00EB39B2" w:rsidP="00EB39B2">
            <w:pPr>
              <w:pStyle w:val="Heading4"/>
              <w:rPr>
                <w:rFonts w:ascii="Humnst777 Lt BT" w:hAnsi="Humnst777 Lt BT"/>
                <w:b w:val="0"/>
              </w:rPr>
            </w:pPr>
            <w:r w:rsidRPr="7F379742">
              <w:rPr>
                <w:rFonts w:ascii="Humnst777 Lt BT" w:hAnsi="Humnst777 Lt BT"/>
                <w:b w:val="0"/>
              </w:rPr>
              <w:t>Background notes and enquiries</w:t>
            </w:r>
          </w:p>
        </w:tc>
        <w:tc>
          <w:tcPr>
            <w:tcW w:w="709" w:type="dxa"/>
            <w:shd w:val="clear" w:color="auto" w:fill="auto"/>
          </w:tcPr>
          <w:p w14:paraId="349A589A" w14:textId="7F8348C9" w:rsidR="00EB39B2" w:rsidRDefault="00EB39B2" w:rsidP="00EB39B2">
            <w:pPr>
              <w:pStyle w:val="Heading4"/>
              <w:rPr>
                <w:rFonts w:ascii="Humnst777 Lt BT" w:hAnsi="Humnst777 Lt BT"/>
                <w:b w:val="0"/>
              </w:rPr>
            </w:pPr>
            <w:r w:rsidRPr="7F379742">
              <w:rPr>
                <w:rFonts w:ascii="Humnst777 Lt BT" w:hAnsi="Humnst777 Lt BT"/>
                <w:b w:val="0"/>
              </w:rPr>
              <w:t>1</w:t>
            </w:r>
            <w:r w:rsidR="00F43B55">
              <w:rPr>
                <w:rFonts w:ascii="Humnst777 Lt BT" w:hAnsi="Humnst777 Lt BT"/>
                <w:b w:val="0"/>
              </w:rPr>
              <w:t>1</w:t>
            </w:r>
          </w:p>
        </w:tc>
      </w:tr>
    </w:tbl>
    <w:p w14:paraId="1628346E" w14:textId="5926933D" w:rsidR="7F379742" w:rsidRDefault="00B80E46">
      <w:r>
        <w:rPr>
          <w:noProof/>
        </w:rPr>
        <w:pict w14:anchorId="4924925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2051" type="#_x0000_t176" style="position:absolute;margin-left:-59pt;margin-top:144.55pt;width:379.6pt;height:291.45pt;z-index:251658241;visibility:visible;mso-position-horizontal-relative:text;mso-position-vertical-relative:text;mso-width-relative:margin;mso-height-relative:margin" fillcolor="#f3d0cc" strokecolor="white">
            <v:textbox style="mso-next-textbox:#AutoShape 3">
              <w:txbxContent>
                <w:p w14:paraId="7CB365BE" w14:textId="77777777" w:rsidR="00E8374C" w:rsidRPr="00E27BFE" w:rsidRDefault="00E8374C" w:rsidP="007D12BD">
                  <w:pPr>
                    <w:rPr>
                      <w:rFonts w:ascii="Humnst777 BT" w:hAnsi="Humnst777 BT"/>
                      <w:b/>
                      <w:color w:val="C00000"/>
                      <w:sz w:val="24"/>
                    </w:rPr>
                  </w:pPr>
                  <w:r w:rsidRPr="00E27BFE">
                    <w:rPr>
                      <w:rFonts w:ascii="Humnst777 BT" w:hAnsi="Humnst777 BT"/>
                      <w:b/>
                      <w:color w:val="C00000"/>
                      <w:sz w:val="24"/>
                    </w:rPr>
                    <w:t xml:space="preserve">Headlines: </w:t>
                  </w:r>
                </w:p>
                <w:p w14:paraId="0953280E" w14:textId="77777777" w:rsidR="00E8374C" w:rsidRPr="00E27BFE" w:rsidRDefault="00E8374C" w:rsidP="007D12BD">
                  <w:pPr>
                    <w:rPr>
                      <w:rFonts w:ascii="Humnst777 BT" w:hAnsi="Humnst777 BT"/>
                      <w:b/>
                      <w:color w:val="C00000"/>
                      <w:sz w:val="24"/>
                    </w:rPr>
                  </w:pPr>
                </w:p>
                <w:p w14:paraId="563468A4" w14:textId="430833CF" w:rsidR="00E8374C" w:rsidRPr="000D17AC" w:rsidRDefault="00E8374C" w:rsidP="00107887">
                  <w:pPr>
                    <w:numPr>
                      <w:ilvl w:val="0"/>
                      <w:numId w:val="2"/>
                    </w:numPr>
                    <w:rPr>
                      <w:rFonts w:ascii="Humnst777 BT" w:hAnsi="Humnst777 BT"/>
                      <w:b/>
                      <w:color w:val="C00000"/>
                      <w:sz w:val="24"/>
                    </w:rPr>
                  </w:pPr>
                  <w:r w:rsidRPr="000D17AC">
                    <w:rPr>
                      <w:rFonts w:ascii="Humnst777 BT" w:hAnsi="Humnst777 BT"/>
                      <w:b/>
                      <w:color w:val="C00000"/>
                      <w:sz w:val="24"/>
                    </w:rPr>
                    <w:t xml:space="preserve">Since November 2016, </w:t>
                  </w:r>
                  <w:r w:rsidR="00012CC9">
                    <w:rPr>
                      <w:rFonts w:ascii="Humnst777 BT" w:hAnsi="Humnst777 BT"/>
                      <w:b/>
                      <w:color w:val="C00000"/>
                      <w:sz w:val="24"/>
                    </w:rPr>
                    <w:t>just under</w:t>
                  </w:r>
                  <w:r w:rsidRPr="000D17AC">
                    <w:rPr>
                      <w:rFonts w:ascii="Humnst777 BT" w:hAnsi="Humnst777 BT"/>
                      <w:b/>
                      <w:color w:val="C00000"/>
                      <w:sz w:val="24"/>
                    </w:rPr>
                    <w:t xml:space="preserve"> </w:t>
                  </w:r>
                  <w:r w:rsidR="00A774BD">
                    <w:rPr>
                      <w:rFonts w:ascii="Humnst777 BT" w:hAnsi="Humnst777 BT"/>
                      <w:b/>
                      <w:color w:val="C00000"/>
                      <w:sz w:val="24"/>
                    </w:rPr>
                    <w:t>1</w:t>
                  </w:r>
                  <w:r w:rsidR="003415E2">
                    <w:rPr>
                      <w:rFonts w:ascii="Humnst777 BT" w:hAnsi="Humnst777 BT"/>
                      <w:b/>
                      <w:color w:val="C00000"/>
                      <w:sz w:val="24"/>
                    </w:rPr>
                    <w:t>11</w:t>
                  </w:r>
                  <w:r w:rsidRPr="000D17AC">
                    <w:rPr>
                      <w:rFonts w:ascii="Humnst777 BT" w:hAnsi="Humnst777 BT"/>
                      <w:b/>
                      <w:color w:val="C00000"/>
                      <w:sz w:val="24"/>
                    </w:rPr>
                    <w:t xml:space="preserve">,000 small businesses who were rejected for finance from one of the </w:t>
                  </w:r>
                  <w:r w:rsidR="00167608">
                    <w:rPr>
                      <w:rFonts w:ascii="Humnst777 BT" w:hAnsi="Humnst777 BT"/>
                      <w:b/>
                      <w:color w:val="C00000"/>
                      <w:sz w:val="24"/>
                    </w:rPr>
                    <w:t>designated</w:t>
                  </w:r>
                  <w:r w:rsidR="00167608" w:rsidRPr="000D17AC">
                    <w:rPr>
                      <w:rFonts w:ascii="Humnst777 BT" w:hAnsi="Humnst777 BT"/>
                      <w:b/>
                      <w:color w:val="C00000"/>
                      <w:sz w:val="24"/>
                    </w:rPr>
                    <w:t xml:space="preserve"> </w:t>
                  </w:r>
                  <w:r w:rsidRPr="000D17AC">
                    <w:rPr>
                      <w:rFonts w:ascii="Humnst777 BT" w:hAnsi="Humnst777 BT"/>
                      <w:b/>
                      <w:color w:val="C00000"/>
                      <w:sz w:val="24"/>
                    </w:rPr>
                    <w:t xml:space="preserve">banks have been referred under the scheme. </w:t>
                  </w:r>
                </w:p>
                <w:p w14:paraId="339F4753" w14:textId="77777777" w:rsidR="00E8374C" w:rsidRPr="000D17AC" w:rsidRDefault="00E8374C" w:rsidP="005243CF">
                  <w:pPr>
                    <w:ind w:left="360"/>
                    <w:rPr>
                      <w:rFonts w:ascii="Humnst777 BT" w:hAnsi="Humnst777 BT"/>
                      <w:b/>
                      <w:color w:val="C00000"/>
                      <w:sz w:val="24"/>
                    </w:rPr>
                  </w:pPr>
                </w:p>
                <w:p w14:paraId="00801CA3" w14:textId="273B8D16" w:rsidR="00E8374C" w:rsidRDefault="001F552C" w:rsidP="007D12BD">
                  <w:pPr>
                    <w:numPr>
                      <w:ilvl w:val="0"/>
                      <w:numId w:val="2"/>
                    </w:numPr>
                    <w:rPr>
                      <w:rFonts w:ascii="Humnst777 BT" w:hAnsi="Humnst777 BT"/>
                      <w:b/>
                      <w:color w:val="C00000"/>
                      <w:sz w:val="24"/>
                    </w:rPr>
                  </w:pPr>
                  <w:r>
                    <w:rPr>
                      <w:rFonts w:ascii="Humnst777 BT" w:hAnsi="Humnst777 BT"/>
                      <w:b/>
                      <w:color w:val="C00000"/>
                      <w:sz w:val="24"/>
                    </w:rPr>
                    <w:t>Just under</w:t>
                  </w:r>
                  <w:r w:rsidR="00EE70B9" w:rsidRPr="000D17AC">
                    <w:rPr>
                      <w:rFonts w:ascii="Humnst777 BT" w:hAnsi="Humnst777 BT"/>
                      <w:b/>
                      <w:color w:val="C00000"/>
                      <w:sz w:val="24"/>
                    </w:rPr>
                    <w:t xml:space="preserve"> </w:t>
                  </w:r>
                  <w:r w:rsidR="005F5A18">
                    <w:rPr>
                      <w:rFonts w:ascii="Humnst777 BT" w:hAnsi="Humnst777 BT"/>
                      <w:b/>
                      <w:color w:val="C00000"/>
                      <w:sz w:val="24"/>
                    </w:rPr>
                    <w:t>5</w:t>
                  </w:r>
                  <w:r w:rsidR="00C01E69">
                    <w:rPr>
                      <w:rFonts w:ascii="Humnst777 BT" w:hAnsi="Humnst777 BT"/>
                      <w:b/>
                      <w:color w:val="C00000"/>
                      <w:sz w:val="24"/>
                    </w:rPr>
                    <w:t>,</w:t>
                  </w:r>
                  <w:r w:rsidR="004E65B4">
                    <w:rPr>
                      <w:rFonts w:ascii="Humnst777 BT" w:hAnsi="Humnst777 BT"/>
                      <w:b/>
                      <w:color w:val="C00000"/>
                      <w:sz w:val="24"/>
                    </w:rPr>
                    <w:t>400</w:t>
                  </w:r>
                  <w:r w:rsidR="00E8374C" w:rsidRPr="000D17AC">
                    <w:rPr>
                      <w:rFonts w:ascii="Humnst777 BT" w:hAnsi="Humnst777 BT"/>
                      <w:b/>
                      <w:color w:val="C00000"/>
                      <w:sz w:val="24"/>
                    </w:rPr>
                    <w:t xml:space="preserve"> </w:t>
                  </w:r>
                  <w:r w:rsidR="0083796A">
                    <w:rPr>
                      <w:rFonts w:ascii="Humnst777 BT" w:hAnsi="Humnst777 BT"/>
                      <w:b/>
                      <w:color w:val="C00000"/>
                      <w:sz w:val="24"/>
                    </w:rPr>
                    <w:t xml:space="preserve">of these </w:t>
                  </w:r>
                  <w:r w:rsidR="00E8374C" w:rsidRPr="000D17AC">
                    <w:rPr>
                      <w:rFonts w:ascii="Humnst777 BT" w:hAnsi="Humnst777 BT"/>
                      <w:b/>
                      <w:color w:val="C00000"/>
                      <w:sz w:val="24"/>
                    </w:rPr>
                    <w:t xml:space="preserve">businesses have secured </w:t>
                  </w:r>
                  <w:r w:rsidR="00FF5220" w:rsidRPr="000D17AC">
                    <w:rPr>
                      <w:rFonts w:ascii="Humnst777 BT" w:hAnsi="Humnst777 BT"/>
                      <w:b/>
                      <w:color w:val="C00000"/>
                      <w:sz w:val="24"/>
                    </w:rPr>
                    <w:t xml:space="preserve">more than </w:t>
                  </w:r>
                  <w:r w:rsidR="00E8374C" w:rsidRPr="000D17AC">
                    <w:rPr>
                      <w:rFonts w:ascii="Humnst777 BT" w:hAnsi="Humnst777 BT"/>
                      <w:b/>
                      <w:color w:val="C00000"/>
                      <w:sz w:val="24"/>
                    </w:rPr>
                    <w:t>£</w:t>
                  </w:r>
                  <w:r w:rsidR="00427F9B">
                    <w:rPr>
                      <w:rFonts w:ascii="Humnst777 BT" w:hAnsi="Humnst777 BT"/>
                      <w:b/>
                      <w:color w:val="C00000"/>
                      <w:sz w:val="24"/>
                    </w:rPr>
                    <w:t>128</w:t>
                  </w:r>
                  <w:r w:rsidR="00E44A5F">
                    <w:rPr>
                      <w:rFonts w:ascii="Humnst777 BT" w:hAnsi="Humnst777 BT"/>
                      <w:b/>
                      <w:color w:val="C00000"/>
                      <w:sz w:val="24"/>
                    </w:rPr>
                    <w:t>.7</w:t>
                  </w:r>
                  <w:r w:rsidR="00E8374C" w:rsidRPr="000D17AC">
                    <w:rPr>
                      <w:rFonts w:ascii="Humnst777 BT" w:hAnsi="Humnst777 BT"/>
                      <w:b/>
                      <w:color w:val="C00000"/>
                      <w:sz w:val="24"/>
                    </w:rPr>
                    <w:t>m of funding</w:t>
                  </w:r>
                  <w:r w:rsidR="0075568B">
                    <w:rPr>
                      <w:rFonts w:ascii="Humnst777 BT" w:hAnsi="Humnst777 BT"/>
                      <w:b/>
                      <w:color w:val="C00000"/>
                      <w:sz w:val="24"/>
                    </w:rPr>
                    <w:t xml:space="preserve">, with an average loan size of </w:t>
                  </w:r>
                  <w:r w:rsidR="004E65B4">
                    <w:rPr>
                      <w:rFonts w:ascii="Humnst777 BT" w:hAnsi="Humnst777 BT"/>
                      <w:b/>
                      <w:color w:val="C00000"/>
                      <w:sz w:val="24"/>
                    </w:rPr>
                    <w:t>just under</w:t>
                  </w:r>
                  <w:r w:rsidR="0075568B">
                    <w:rPr>
                      <w:rFonts w:ascii="Humnst777 BT" w:hAnsi="Humnst777 BT"/>
                      <w:b/>
                      <w:color w:val="C00000"/>
                      <w:sz w:val="24"/>
                    </w:rPr>
                    <w:t xml:space="preserve"> £24,000</w:t>
                  </w:r>
                  <w:r w:rsidR="001069BA">
                    <w:rPr>
                      <w:rFonts w:ascii="Humnst777 BT" w:hAnsi="Humnst777 BT"/>
                      <w:b/>
                      <w:color w:val="C00000"/>
                      <w:sz w:val="24"/>
                    </w:rPr>
                    <w:t>.</w:t>
                  </w:r>
                </w:p>
                <w:p w14:paraId="6954DC6C" w14:textId="77777777" w:rsidR="001116FB" w:rsidRDefault="001116FB" w:rsidP="00AF74DC">
                  <w:pPr>
                    <w:pStyle w:val="ListParagraph"/>
                    <w:rPr>
                      <w:rFonts w:ascii="Humnst777 BT" w:hAnsi="Humnst777 BT"/>
                      <w:b/>
                      <w:color w:val="C00000"/>
                      <w:sz w:val="24"/>
                    </w:rPr>
                  </w:pPr>
                </w:p>
                <w:p w14:paraId="2BB8BDC4" w14:textId="3032AD91" w:rsidR="001116FB" w:rsidRDefault="007C79B5" w:rsidP="007D12BD">
                  <w:pPr>
                    <w:numPr>
                      <w:ilvl w:val="0"/>
                      <w:numId w:val="2"/>
                    </w:numPr>
                    <w:rPr>
                      <w:rFonts w:ascii="Humnst777 BT" w:hAnsi="Humnst777 BT"/>
                      <w:b/>
                      <w:color w:val="C00000"/>
                      <w:sz w:val="24"/>
                    </w:rPr>
                  </w:pPr>
                  <w:r>
                    <w:rPr>
                      <w:rFonts w:ascii="Humnst777 BT" w:hAnsi="Humnst777 BT"/>
                      <w:b/>
                      <w:color w:val="C00000"/>
                      <w:sz w:val="24"/>
                    </w:rPr>
                    <w:t>The number of deals</w:t>
                  </w:r>
                  <w:r w:rsidR="004C038B">
                    <w:rPr>
                      <w:rFonts w:ascii="Humnst777 BT" w:hAnsi="Humnst777 BT"/>
                      <w:b/>
                      <w:color w:val="C00000"/>
                      <w:sz w:val="24"/>
                    </w:rPr>
                    <w:t xml:space="preserve"> and funding secured through the BRS dropped during the pandemic but has since recovered. </w:t>
                  </w:r>
                </w:p>
                <w:p w14:paraId="37029AD2" w14:textId="77777777" w:rsidR="004C038B" w:rsidRDefault="004C038B" w:rsidP="00AF74DC">
                  <w:pPr>
                    <w:pStyle w:val="ListParagraph"/>
                    <w:rPr>
                      <w:rFonts w:ascii="Humnst777 BT" w:hAnsi="Humnst777 BT"/>
                      <w:b/>
                      <w:color w:val="C00000"/>
                      <w:sz w:val="24"/>
                    </w:rPr>
                  </w:pPr>
                </w:p>
                <w:p w14:paraId="12C56390" w14:textId="79D1123F" w:rsidR="00E8374C" w:rsidRPr="00925593" w:rsidRDefault="004C038B" w:rsidP="00925593">
                  <w:pPr>
                    <w:numPr>
                      <w:ilvl w:val="0"/>
                      <w:numId w:val="2"/>
                    </w:numPr>
                    <w:rPr>
                      <w:rFonts w:ascii="Humnst777 BT" w:hAnsi="Humnst777 BT"/>
                      <w:b/>
                      <w:strike/>
                      <w:color w:val="C00000"/>
                      <w:sz w:val="28"/>
                      <w:szCs w:val="28"/>
                    </w:rPr>
                  </w:pPr>
                  <w:r w:rsidRPr="00925593">
                    <w:rPr>
                      <w:rFonts w:ascii="Humnst777 BT" w:hAnsi="Humnst777 BT"/>
                      <w:b/>
                      <w:color w:val="C00000"/>
                      <w:sz w:val="24"/>
                    </w:rPr>
                    <w:t xml:space="preserve">The year ending Q4 2022 </w:t>
                  </w:r>
                  <w:r w:rsidR="00EB39B2" w:rsidRPr="00925593">
                    <w:rPr>
                      <w:rFonts w:ascii="Humnst777 BT" w:hAnsi="Humnst777 BT"/>
                      <w:b/>
                      <w:color w:val="C00000"/>
                      <w:sz w:val="24"/>
                    </w:rPr>
                    <w:t>recorded</w:t>
                  </w:r>
                  <w:r w:rsidRPr="00925593">
                    <w:rPr>
                      <w:rFonts w:ascii="Humnst777 BT" w:hAnsi="Humnst777 BT"/>
                      <w:b/>
                      <w:color w:val="C00000"/>
                      <w:sz w:val="24"/>
                    </w:rPr>
                    <w:t xml:space="preserve"> the </w:t>
                  </w:r>
                  <w:r w:rsidR="005A3B76" w:rsidRPr="00925593">
                    <w:rPr>
                      <w:rFonts w:ascii="Humnst777 BT" w:hAnsi="Humnst777 BT"/>
                      <w:b/>
                      <w:color w:val="C00000"/>
                      <w:sz w:val="24"/>
                    </w:rPr>
                    <w:t>highest amount of funding secured through the BRS (£2</w:t>
                  </w:r>
                  <w:r w:rsidR="00E44A5F" w:rsidRPr="00925593">
                    <w:rPr>
                      <w:rFonts w:ascii="Humnst777 BT" w:hAnsi="Humnst777 BT"/>
                      <w:b/>
                      <w:color w:val="C00000"/>
                      <w:sz w:val="24"/>
                    </w:rPr>
                    <w:t>1.8m)</w:t>
                  </w:r>
                  <w:r w:rsidR="00E47FBA" w:rsidRPr="00925593">
                    <w:rPr>
                      <w:rFonts w:ascii="Humnst777 BT" w:hAnsi="Humnst777 BT"/>
                      <w:b/>
                      <w:color w:val="C00000"/>
                      <w:sz w:val="24"/>
                    </w:rPr>
                    <w:t xml:space="preserve">. </w:t>
                  </w:r>
                </w:p>
                <w:p w14:paraId="398956B1" w14:textId="77777777" w:rsidR="00E8374C" w:rsidRDefault="00E8374C" w:rsidP="00CB11C4">
                  <w:pPr>
                    <w:pStyle w:val="ListParagraph"/>
                    <w:rPr>
                      <w:rFonts w:ascii="Humnst777 BT" w:hAnsi="Humnst777 BT"/>
                      <w:b/>
                      <w:color w:val="C00000"/>
                      <w:sz w:val="24"/>
                    </w:rPr>
                  </w:pPr>
                </w:p>
                <w:p w14:paraId="64CF93CC" w14:textId="77777777" w:rsidR="00E8374C" w:rsidRPr="00406F39" w:rsidRDefault="00E8374C" w:rsidP="00F91C2A">
                  <w:pPr>
                    <w:ind w:left="360"/>
                    <w:rPr>
                      <w:rFonts w:ascii="Humnst777 BT" w:hAnsi="Humnst777 BT"/>
                      <w:b/>
                      <w:color w:val="C00000"/>
                      <w:sz w:val="24"/>
                    </w:rPr>
                  </w:pPr>
                </w:p>
              </w:txbxContent>
            </v:textbox>
          </v:shape>
        </w:pict>
      </w:r>
    </w:p>
    <w:p w14:paraId="23838C23" w14:textId="7EBCDFE4" w:rsidR="08691399" w:rsidRDefault="08691399" w:rsidP="7F379742">
      <w:pPr>
        <w:sectPr w:rsidR="08691399" w:rsidSect="004F2E7F">
          <w:headerReference w:type="default" r:id="rId16"/>
          <w:footerReference w:type="even" r:id="rId17"/>
          <w:footerReference w:type="default" r:id="rId18"/>
          <w:headerReference w:type="first" r:id="rId19"/>
          <w:footerReference w:type="first" r:id="rId20"/>
          <w:footnotePr>
            <w:numRestart w:val="eachSect"/>
          </w:footnotePr>
          <w:pgSz w:w="11906" w:h="16838" w:code="9"/>
          <w:pgMar w:top="851" w:right="1418" w:bottom="1985" w:left="1418" w:header="0" w:footer="1418" w:gutter="0"/>
          <w:pgNumType w:start="1"/>
          <w:cols w:space="708"/>
          <w:titlePg/>
          <w:docGrid w:linePitch="360"/>
        </w:sectPr>
      </w:pPr>
    </w:p>
    <w:p w14:paraId="4D159B70" w14:textId="77777777" w:rsidR="00F91C2A" w:rsidRPr="009154F9" w:rsidRDefault="00F91C2A" w:rsidP="00F91C2A">
      <w:pPr>
        <w:pStyle w:val="Heading1"/>
      </w:pPr>
      <w:r w:rsidRPr="009154F9">
        <w:t>Introduction</w:t>
      </w:r>
    </w:p>
    <w:p w14:paraId="50F8F233" w14:textId="77777777" w:rsidR="00BC1EA8" w:rsidRDefault="00BC1EA8" w:rsidP="00D228B3">
      <w:pPr>
        <w:pStyle w:val="BodyText"/>
        <w:numPr>
          <w:ilvl w:val="0"/>
          <w:numId w:val="0"/>
        </w:numPr>
      </w:pPr>
    </w:p>
    <w:p w14:paraId="7970788C" w14:textId="77777777" w:rsidR="008672D0" w:rsidRDefault="00AB7EE1" w:rsidP="00E50F98">
      <w:r>
        <w:t xml:space="preserve">The </w:t>
      </w:r>
      <w:r w:rsidR="00E50F98">
        <w:t>G</w:t>
      </w:r>
      <w:r>
        <w:t xml:space="preserve">overnment’s Bank Referral Scheme </w:t>
      </w:r>
      <w:r w:rsidR="007074F0">
        <w:t>is designed to help improve SME access to finance and competition in the SME lending</w:t>
      </w:r>
      <w:r w:rsidR="00C4005F" w:rsidRPr="00C4005F">
        <w:t xml:space="preserve"> </w:t>
      </w:r>
      <w:r w:rsidR="00C4005F">
        <w:t>market</w:t>
      </w:r>
      <w:r w:rsidR="007074F0">
        <w:t xml:space="preserve">. </w:t>
      </w:r>
    </w:p>
    <w:p w14:paraId="6ACD93E2" w14:textId="77777777" w:rsidR="008672D0" w:rsidRDefault="008672D0" w:rsidP="00E50F98"/>
    <w:p w14:paraId="6BAF3D36" w14:textId="77777777" w:rsidR="00E50F98" w:rsidRDefault="00E50F98" w:rsidP="00E50F98">
      <w:r>
        <w:t xml:space="preserve">Launched in November 2016, the scheme requires 9 of the UK’s biggest banks to pass on the details of small businesses they have turned down for </w:t>
      </w:r>
      <w:r w:rsidR="009C3EB5">
        <w:t>finance</w:t>
      </w:r>
      <w:r>
        <w:t xml:space="preserve"> to </w:t>
      </w:r>
      <w:r w:rsidR="009C3EB5">
        <w:t xml:space="preserve">three </w:t>
      </w:r>
      <w:r>
        <w:t>Government designated finance platforms</w:t>
      </w:r>
      <w:r w:rsidR="00C4005F">
        <w:t>:</w:t>
      </w:r>
      <w:r>
        <w:t xml:space="preserve"> Alternative Business Funding, Funding Options</w:t>
      </w:r>
      <w:r w:rsidR="009C3EB5">
        <w:t xml:space="preserve"> and</w:t>
      </w:r>
      <w:r>
        <w:t xml:space="preserve"> Funding Xchange. These platforms are, in turn, required to share their details, in anonymous form, with alternative finance providers, helping to facilitate a conversation between the business and any provider who expresses an interest in supplying finance to them. </w:t>
      </w:r>
    </w:p>
    <w:p w14:paraId="3CCC210D" w14:textId="77777777" w:rsidR="00E50F98" w:rsidRDefault="00E50F98" w:rsidP="00AB7EE1"/>
    <w:p w14:paraId="7E1CC0DE" w14:textId="15815E38" w:rsidR="00EF75C2" w:rsidRDefault="00E50F98" w:rsidP="009C3EB5">
      <w:r>
        <w:t xml:space="preserve">The scheme was introduced in response to evidence which </w:t>
      </w:r>
      <w:r w:rsidR="00FD171F">
        <w:t>sh</w:t>
      </w:r>
      <w:r w:rsidR="00E15774">
        <w:t>ows</w:t>
      </w:r>
      <w:r w:rsidR="00FD171F">
        <w:t xml:space="preserve"> that SMEs tend to approach their main bank when seeking finance and that, if rejected, many </w:t>
      </w:r>
      <w:r w:rsidRPr="00886AA2">
        <w:t>simply give up rather than seek alternative options.</w:t>
      </w:r>
      <w:r>
        <w:t xml:space="preserve"> </w:t>
      </w:r>
      <w:r w:rsidR="00FD171F" w:rsidRPr="00FD171F">
        <w:t xml:space="preserve">As other finance providers with different business models </w:t>
      </w:r>
      <w:r w:rsidR="00C4005F">
        <w:t xml:space="preserve">or risk appetites </w:t>
      </w:r>
      <w:r w:rsidR="00FD171F" w:rsidRPr="00FD171F">
        <w:t xml:space="preserve">may be </w:t>
      </w:r>
      <w:r w:rsidR="009C3EB5">
        <w:t xml:space="preserve">more </w:t>
      </w:r>
      <w:r w:rsidR="00FD171F" w:rsidRPr="00FD171F">
        <w:t xml:space="preserve">willing to lend to these SMEs, this represents </w:t>
      </w:r>
      <w:r w:rsidR="00C4005F">
        <w:t xml:space="preserve">both </w:t>
      </w:r>
      <w:r w:rsidR="00E15774">
        <w:t>a</w:t>
      </w:r>
      <w:r w:rsidR="009C3EB5">
        <w:t>n</w:t>
      </w:r>
      <w:r w:rsidR="00E15774">
        <w:t xml:space="preserve"> informational </w:t>
      </w:r>
      <w:r w:rsidR="009C3EB5">
        <w:t xml:space="preserve">market </w:t>
      </w:r>
      <w:r w:rsidR="00FD171F">
        <w:t>failure</w:t>
      </w:r>
      <w:r w:rsidR="00E15774">
        <w:t xml:space="preserve"> </w:t>
      </w:r>
      <w:r w:rsidR="009C3EB5">
        <w:t>and</w:t>
      </w:r>
      <w:r w:rsidR="00C4005F">
        <w:t xml:space="preserve"> a</w:t>
      </w:r>
      <w:r w:rsidR="009C3EB5">
        <w:t xml:space="preserve"> barrier to entry </w:t>
      </w:r>
      <w:r w:rsidR="00C4005F">
        <w:t xml:space="preserve">for competitors </w:t>
      </w:r>
      <w:r w:rsidR="009C3EB5">
        <w:t xml:space="preserve">in the SME lending </w:t>
      </w:r>
      <w:r w:rsidR="00D3695F">
        <w:t>market</w:t>
      </w:r>
      <w:r w:rsidR="00D3695F" w:rsidRPr="00FD171F">
        <w:t>.</w:t>
      </w:r>
      <w:r w:rsidR="00D3695F">
        <w:t xml:space="preserve"> The</w:t>
      </w:r>
      <w:r w:rsidR="00FD171F">
        <w:t xml:space="preserve"> Bank Referral Scheme helps to address </w:t>
      </w:r>
      <w:r w:rsidR="00E15774">
        <w:t>this</w:t>
      </w:r>
      <w:r w:rsidR="00FD171F">
        <w:t xml:space="preserve"> by giving businesses that are viable, but do not fit the risk appetite of the traditional banks, access to </w:t>
      </w:r>
      <w:r w:rsidR="00C4005F">
        <w:t xml:space="preserve">the </w:t>
      </w:r>
      <w:r w:rsidR="00FD171F">
        <w:t>finance they need to grow</w:t>
      </w:r>
      <w:r w:rsidR="009C3EB5">
        <w:t xml:space="preserve"> and thrive</w:t>
      </w:r>
      <w:r w:rsidR="00FD171F">
        <w:t xml:space="preserve">. </w:t>
      </w:r>
    </w:p>
    <w:p w14:paraId="301FF9FD" w14:textId="77777777" w:rsidR="00EF75C2" w:rsidRDefault="00EF75C2" w:rsidP="009C3EB5"/>
    <w:p w14:paraId="55C623C5" w14:textId="77777777" w:rsidR="00E9377E" w:rsidRDefault="009C3EB5" w:rsidP="009C3EB5">
      <w:r>
        <w:t xml:space="preserve">The Government </w:t>
      </w:r>
      <w:r w:rsidR="00636C00">
        <w:t xml:space="preserve">published </w:t>
      </w:r>
      <w:r w:rsidR="00EF75C2">
        <w:t xml:space="preserve">headline figures </w:t>
      </w:r>
      <w:r w:rsidR="00636C00">
        <w:t>for</w:t>
      </w:r>
      <w:r w:rsidR="00EF75C2">
        <w:t xml:space="preserve"> the policy</w:t>
      </w:r>
      <w:r w:rsidR="00636C00">
        <w:t>, alongside a press notice,</w:t>
      </w:r>
      <w:r w:rsidR="00EF75C2">
        <w:t xml:space="preserve"> in August 2017. </w:t>
      </w:r>
      <w:r w:rsidR="00D228B3" w:rsidRPr="009154F9">
        <w:t xml:space="preserve">This statistical release </w:t>
      </w:r>
      <w:r w:rsidR="00E9377E">
        <w:t xml:space="preserve">provides </w:t>
      </w:r>
      <w:r>
        <w:t xml:space="preserve">a more comprehensive </w:t>
      </w:r>
      <w:r w:rsidR="00EF75C2">
        <w:t>set of data</w:t>
      </w:r>
      <w:r w:rsidR="00FD171F">
        <w:t xml:space="preserve"> on the Bank Referral </w:t>
      </w:r>
      <w:r w:rsidR="00E15774">
        <w:t>Scheme</w:t>
      </w:r>
      <w:r w:rsidR="00636C00">
        <w:t xml:space="preserve"> since the scheme went live on 1 November 2016</w:t>
      </w:r>
      <w:r w:rsidR="00C4005F">
        <w:rPr>
          <w:rStyle w:val="FootnoteReference"/>
        </w:rPr>
        <w:footnoteReference w:id="2"/>
      </w:r>
      <w:r w:rsidR="00E15774">
        <w:t>, including</w:t>
      </w:r>
      <w:r w:rsidR="00E9377E">
        <w:t>:</w:t>
      </w:r>
    </w:p>
    <w:p w14:paraId="2D5713A2" w14:textId="77777777" w:rsidR="006A7878" w:rsidRDefault="006A7878" w:rsidP="009C3EB5"/>
    <w:p w14:paraId="00990A3E" w14:textId="77777777" w:rsidR="008672D0" w:rsidRDefault="001447F2" w:rsidP="00E9377E">
      <w:pPr>
        <w:pStyle w:val="BodyText"/>
        <w:numPr>
          <w:ilvl w:val="0"/>
          <w:numId w:val="26"/>
        </w:numPr>
        <w:spacing w:line="240" w:lineRule="auto"/>
        <w:ind w:left="714" w:hanging="357"/>
        <w:contextualSpacing/>
      </w:pPr>
      <w:r>
        <w:t>v</w:t>
      </w:r>
      <w:r w:rsidR="009176E7">
        <w:t>alue of quarterly funding</w:t>
      </w:r>
      <w:r>
        <w:t>;</w:t>
      </w:r>
    </w:p>
    <w:p w14:paraId="0A2A9E94" w14:textId="0E0AFF8C" w:rsidR="00E9377E" w:rsidRDefault="001447F2" w:rsidP="00E9377E">
      <w:pPr>
        <w:pStyle w:val="BodyText"/>
        <w:numPr>
          <w:ilvl w:val="0"/>
          <w:numId w:val="26"/>
        </w:numPr>
        <w:spacing w:line="240" w:lineRule="auto"/>
        <w:ind w:left="714" w:hanging="357"/>
        <w:contextualSpacing/>
      </w:pPr>
      <w:r>
        <w:t>q</w:t>
      </w:r>
      <w:r w:rsidR="00E9377E">
        <w:t xml:space="preserve">uarterly </w:t>
      </w:r>
      <w:r>
        <w:t xml:space="preserve">referral rates; </w:t>
      </w:r>
      <w:r w:rsidR="00E9377E">
        <w:t xml:space="preserve"> </w:t>
      </w:r>
    </w:p>
    <w:p w14:paraId="20125422" w14:textId="77777777" w:rsidR="00E9377E" w:rsidRDefault="001447F2" w:rsidP="00E9377E">
      <w:pPr>
        <w:pStyle w:val="BodyText"/>
        <w:numPr>
          <w:ilvl w:val="0"/>
          <w:numId w:val="26"/>
        </w:numPr>
        <w:spacing w:line="240" w:lineRule="auto"/>
        <w:ind w:left="714" w:hanging="357"/>
        <w:contextualSpacing/>
      </w:pPr>
      <w:r>
        <w:t>quarterly conversion rates;</w:t>
      </w:r>
    </w:p>
    <w:p w14:paraId="7A325C73" w14:textId="77777777" w:rsidR="00E9377E" w:rsidRDefault="001447F2" w:rsidP="00E9377E">
      <w:pPr>
        <w:pStyle w:val="BodyText"/>
        <w:numPr>
          <w:ilvl w:val="0"/>
          <w:numId w:val="26"/>
        </w:numPr>
        <w:spacing w:line="240" w:lineRule="auto"/>
        <w:ind w:left="714" w:hanging="357"/>
        <w:contextualSpacing/>
      </w:pPr>
      <w:r>
        <w:t xml:space="preserve">referrals made by location; </w:t>
      </w:r>
    </w:p>
    <w:p w14:paraId="7911A3E5" w14:textId="77777777" w:rsidR="00E9377E" w:rsidRDefault="001447F2" w:rsidP="00E9377E">
      <w:pPr>
        <w:pStyle w:val="BodyText"/>
        <w:numPr>
          <w:ilvl w:val="0"/>
          <w:numId w:val="26"/>
        </w:numPr>
        <w:spacing w:line="240" w:lineRule="auto"/>
        <w:ind w:left="714" w:hanging="357"/>
        <w:contextualSpacing/>
      </w:pPr>
      <w:r>
        <w:t xml:space="preserve">deals made by location; </w:t>
      </w:r>
    </w:p>
    <w:p w14:paraId="34C97104" w14:textId="77777777" w:rsidR="00E9377E" w:rsidRDefault="001447F2" w:rsidP="00E9377E">
      <w:pPr>
        <w:pStyle w:val="BodyText"/>
        <w:numPr>
          <w:ilvl w:val="0"/>
          <w:numId w:val="26"/>
        </w:numPr>
        <w:spacing w:line="240" w:lineRule="auto"/>
        <w:ind w:left="714" w:hanging="357"/>
        <w:contextualSpacing/>
      </w:pPr>
      <w:r>
        <w:t>funding value distribution</w:t>
      </w:r>
      <w:r w:rsidR="00E9377E">
        <w:t xml:space="preserve">; and </w:t>
      </w:r>
    </w:p>
    <w:p w14:paraId="2F0184CA" w14:textId="77777777" w:rsidR="00FD171F" w:rsidRDefault="006A7878" w:rsidP="00B75A03">
      <w:pPr>
        <w:pStyle w:val="BodyText"/>
        <w:numPr>
          <w:ilvl w:val="0"/>
          <w:numId w:val="26"/>
        </w:numPr>
        <w:spacing w:line="240" w:lineRule="auto"/>
        <w:ind w:left="714" w:hanging="357"/>
        <w:contextualSpacing/>
      </w:pPr>
      <w:r>
        <w:t>average deal size by location.</w:t>
      </w:r>
    </w:p>
    <w:p w14:paraId="68500728" w14:textId="77777777" w:rsidR="00B75A03" w:rsidRDefault="00B75A03" w:rsidP="00B75A03">
      <w:pPr>
        <w:pStyle w:val="BodyText"/>
        <w:numPr>
          <w:ilvl w:val="0"/>
          <w:numId w:val="0"/>
        </w:numPr>
        <w:spacing w:line="240" w:lineRule="auto"/>
        <w:ind w:left="714"/>
        <w:contextualSpacing/>
      </w:pPr>
    </w:p>
    <w:p w14:paraId="7523213A" w14:textId="052B9D71" w:rsidR="00AB7EE1" w:rsidRDefault="00B463EF" w:rsidP="00335E4B">
      <w:pPr>
        <w:pStyle w:val="BodyText"/>
        <w:numPr>
          <w:ilvl w:val="0"/>
          <w:numId w:val="0"/>
        </w:numPr>
      </w:pPr>
      <w:r>
        <w:t>T</w:t>
      </w:r>
      <w:r w:rsidR="00E9377E">
        <w:t>he numbers include data across all four platforms that have been designated during the life</w:t>
      </w:r>
      <w:r w:rsidR="00EF75C2">
        <w:t>time</w:t>
      </w:r>
      <w:r w:rsidR="00E9377E">
        <w:t xml:space="preserve"> of the scheme</w:t>
      </w:r>
      <w:r w:rsidR="00EF75C2">
        <w:t xml:space="preserve"> (Alternative Business Funding, Business Finance Technology</w:t>
      </w:r>
      <w:r w:rsidR="00EF75C2">
        <w:rPr>
          <w:rStyle w:val="FootnoteReference"/>
        </w:rPr>
        <w:footnoteReference w:id="3"/>
      </w:r>
      <w:r w:rsidR="00EF75C2">
        <w:t>, Funding Options and Funding Xchange)</w:t>
      </w:r>
      <w:r w:rsidR="00E9377E">
        <w:t>.</w:t>
      </w:r>
    </w:p>
    <w:p w14:paraId="41573D5C" w14:textId="267A7912" w:rsidR="00B50864" w:rsidRDefault="00B50864" w:rsidP="00335E4B">
      <w:pPr>
        <w:pStyle w:val="BodyText"/>
        <w:numPr>
          <w:ilvl w:val="0"/>
          <w:numId w:val="0"/>
        </w:numPr>
      </w:pPr>
      <w:r>
        <w:t>Following a recommendation from the Centre of Finance, Innovation and Technology (CFIT), HM Treasury</w:t>
      </w:r>
      <w:r w:rsidR="00410ECF">
        <w:t xml:space="preserve"> has decided to bring forward a mandatory review of the scheme from </w:t>
      </w:r>
      <w:r w:rsidR="003779B8">
        <w:t xml:space="preserve">October 2025 to October 2024. Following the conclusions of the </w:t>
      </w:r>
      <w:hyperlink r:id="rId21" w:history="1">
        <w:r w:rsidR="003779B8" w:rsidRPr="00EA4AD4">
          <w:rPr>
            <w:rStyle w:val="Hyperlink"/>
          </w:rPr>
          <w:t>review</w:t>
        </w:r>
      </w:hyperlink>
      <w:r w:rsidR="003779B8">
        <w:t xml:space="preserve">, HM Treasury </w:t>
      </w:r>
      <w:r w:rsidR="0083669D">
        <w:t>n</w:t>
      </w:r>
      <w:r w:rsidR="003779B8">
        <w:t xml:space="preserve">ow intends to launch a consultation </w:t>
      </w:r>
      <w:bookmarkStart w:id="2" w:name="_Hlk184222285"/>
      <w:r w:rsidR="00891775" w:rsidRPr="00891775">
        <w:t xml:space="preserve">to better assess the options available in order to </w:t>
      </w:r>
      <w:r w:rsidR="00891775">
        <w:t>enhance</w:t>
      </w:r>
      <w:r w:rsidR="00891775" w:rsidRPr="00891775">
        <w:t xml:space="preserve"> the scheme</w:t>
      </w:r>
      <w:bookmarkEnd w:id="2"/>
      <w:r w:rsidR="00891775">
        <w:t>.</w:t>
      </w:r>
    </w:p>
    <w:p w14:paraId="22DF2832" w14:textId="797B56AC" w:rsidR="003C228C" w:rsidRPr="0029403F" w:rsidRDefault="003C228C" w:rsidP="003C228C">
      <w:pPr>
        <w:rPr>
          <w:rFonts w:ascii="Calibri" w:hAnsi="Calibri"/>
        </w:rPr>
      </w:pPr>
      <w:r>
        <w:t>HM Treasury intends to update these statistics on an annual basis</w:t>
      </w:r>
      <w:r w:rsidR="4DA90E33">
        <w:t>;</w:t>
      </w:r>
      <w:r>
        <w:t xml:space="preserve"> however</w:t>
      </w:r>
      <w:r w:rsidR="119086E4">
        <w:t>,</w:t>
      </w:r>
      <w:r>
        <w:t xml:space="preserve"> the timing for future releases will be established </w:t>
      </w:r>
      <w:r w:rsidRPr="009E267A">
        <w:t>following</w:t>
      </w:r>
      <w:r>
        <w:t xml:space="preserve"> the future consultation on the scheme, due to be published by end of spring 2025. The statistics calendar will be updated in due course at the link below: </w:t>
      </w:r>
    </w:p>
    <w:p w14:paraId="7BF82DCC" w14:textId="161C55E7" w:rsidR="003C228C" w:rsidRPr="00B50864" w:rsidRDefault="009E267A" w:rsidP="00335E4B">
      <w:pPr>
        <w:pStyle w:val="BodyText"/>
        <w:numPr>
          <w:ilvl w:val="0"/>
          <w:numId w:val="0"/>
        </w:numPr>
      </w:pPr>
      <w:hyperlink r:id="rId22" w:history="1">
        <w:r w:rsidRPr="009E62CE">
          <w:rPr>
            <w:rStyle w:val="Hyperlink"/>
          </w:rPr>
          <w:t>https://www.gov.uk/government/statistics/standards-and-policies-for-hm-treasury-statistics</w:t>
        </w:r>
      </w:hyperlink>
      <w:r>
        <w:t xml:space="preserve"> </w:t>
      </w:r>
    </w:p>
    <w:p w14:paraId="5FBEB311" w14:textId="7B2BDC37" w:rsidR="00335E4B" w:rsidRPr="00AF74DC" w:rsidRDefault="00310BFA" w:rsidP="00B54778">
      <w:pPr>
        <w:pStyle w:val="BodyText"/>
        <w:numPr>
          <w:ilvl w:val="0"/>
          <w:numId w:val="0"/>
        </w:numPr>
        <w:rPr>
          <w:lang w:val="en-US"/>
        </w:rPr>
      </w:pPr>
      <w:r w:rsidRPr="00AF74DC">
        <w:rPr>
          <w:lang w:val="en-US"/>
        </w:rPr>
        <w:t>In this publication</w:t>
      </w:r>
      <w:r w:rsidR="1C11D0EB" w:rsidRPr="58615A9B">
        <w:rPr>
          <w:lang w:val="en-US"/>
        </w:rPr>
        <w:t>,</w:t>
      </w:r>
      <w:r w:rsidRPr="00AF74DC">
        <w:rPr>
          <w:lang w:val="en-US"/>
        </w:rPr>
        <w:t xml:space="preserve"> </w:t>
      </w:r>
      <w:r w:rsidR="00B406D7">
        <w:rPr>
          <w:lang w:val="en-US"/>
        </w:rPr>
        <w:t>‘</w:t>
      </w:r>
      <w:r w:rsidRPr="00AF74DC">
        <w:rPr>
          <w:lang w:val="en-US"/>
        </w:rPr>
        <w:t>contact data</w:t>
      </w:r>
      <w:r w:rsidR="00B406D7">
        <w:rPr>
          <w:lang w:val="en-US"/>
        </w:rPr>
        <w:t xml:space="preserve">’ </w:t>
      </w:r>
      <w:r w:rsidR="535C85C4" w:rsidRPr="58615A9B">
        <w:rPr>
          <w:lang w:val="en-US"/>
        </w:rPr>
        <w:t>–</w:t>
      </w:r>
      <w:r w:rsidR="004A7BB5">
        <w:rPr>
          <w:lang w:val="en-US"/>
        </w:rPr>
        <w:t xml:space="preserve"> where an SME has </w:t>
      </w:r>
      <w:proofErr w:type="gramStart"/>
      <w:r w:rsidR="004A7BB5">
        <w:rPr>
          <w:lang w:val="en-US"/>
        </w:rPr>
        <w:t>made contact with</w:t>
      </w:r>
      <w:proofErr w:type="gramEnd"/>
      <w:r w:rsidR="004A7BB5">
        <w:rPr>
          <w:lang w:val="en-US"/>
        </w:rPr>
        <w:t xml:space="preserve"> a designated platform and signed up for their services –</w:t>
      </w:r>
      <w:r w:rsidRPr="00AF74DC">
        <w:rPr>
          <w:lang w:val="en-US"/>
        </w:rPr>
        <w:t xml:space="preserve"> has not been included</w:t>
      </w:r>
      <w:r w:rsidR="48F7267F" w:rsidRPr="58615A9B">
        <w:rPr>
          <w:lang w:val="en-US"/>
        </w:rPr>
        <w:t>,</w:t>
      </w:r>
      <w:r w:rsidRPr="00AF74DC">
        <w:rPr>
          <w:lang w:val="en-US"/>
        </w:rPr>
        <w:t xml:space="preserve"> due</w:t>
      </w:r>
      <w:r w:rsidR="00634ECB" w:rsidRPr="00AF74DC">
        <w:rPr>
          <w:lang w:val="en-US"/>
        </w:rPr>
        <w:t xml:space="preserve"> </w:t>
      </w:r>
      <w:r w:rsidR="005B123B">
        <w:rPr>
          <w:lang w:val="en-US"/>
        </w:rPr>
        <w:t xml:space="preserve">to </w:t>
      </w:r>
      <w:r w:rsidR="00634ECB" w:rsidRPr="00AF74DC">
        <w:rPr>
          <w:lang w:val="en-US"/>
        </w:rPr>
        <w:t xml:space="preserve">the way the data is now collected. </w:t>
      </w:r>
      <w:r w:rsidR="00EF129A">
        <w:rPr>
          <w:lang w:val="en-US"/>
        </w:rPr>
        <w:t>As</w:t>
      </w:r>
      <w:r w:rsidR="00BD5EA8" w:rsidRPr="00AF74DC">
        <w:rPr>
          <w:lang w:val="en-US"/>
        </w:rPr>
        <w:t xml:space="preserve"> the contact data is</w:t>
      </w:r>
      <w:r w:rsidR="6FCEC732" w:rsidRPr="1417A656">
        <w:rPr>
          <w:lang w:val="en-US"/>
        </w:rPr>
        <w:t xml:space="preserve"> now</w:t>
      </w:r>
      <w:r w:rsidR="00BD5EA8" w:rsidRPr="00AF74DC">
        <w:rPr>
          <w:lang w:val="en-US"/>
        </w:rPr>
        <w:t xml:space="preserve"> </w:t>
      </w:r>
      <w:proofErr w:type="spellStart"/>
      <w:r w:rsidR="00303DB3" w:rsidRPr="00AF74DC">
        <w:rPr>
          <w:lang w:val="en-US"/>
        </w:rPr>
        <w:t>anonymised</w:t>
      </w:r>
      <w:proofErr w:type="spellEnd"/>
      <w:r w:rsidR="00B406D7">
        <w:rPr>
          <w:lang w:val="en-US"/>
        </w:rPr>
        <w:t xml:space="preserve"> for reasons of data privacy</w:t>
      </w:r>
      <w:r w:rsidR="00EF129A">
        <w:rPr>
          <w:lang w:val="en-US"/>
        </w:rPr>
        <w:t>,</w:t>
      </w:r>
      <w:r w:rsidR="00303DB3" w:rsidRPr="00AF74DC">
        <w:rPr>
          <w:lang w:val="en-US"/>
        </w:rPr>
        <w:t xml:space="preserve"> there is no way to tell whether an SME has contacted multiple delivery partners of the BRS</w:t>
      </w:r>
      <w:r w:rsidR="61600D44" w:rsidRPr="1417A656">
        <w:rPr>
          <w:lang w:val="en-US"/>
        </w:rPr>
        <w:t>.</w:t>
      </w:r>
      <w:r w:rsidR="00303DB3" w:rsidRPr="00AF74DC">
        <w:rPr>
          <w:lang w:val="en-US"/>
        </w:rPr>
        <w:t xml:space="preserve"> </w:t>
      </w:r>
      <w:r w:rsidR="7EE8E416" w:rsidRPr="1417A656">
        <w:rPr>
          <w:lang w:val="en-US"/>
        </w:rPr>
        <w:t>Therefore,</w:t>
      </w:r>
      <w:r w:rsidR="00303DB3" w:rsidRPr="00AF74DC">
        <w:rPr>
          <w:lang w:val="en-US"/>
        </w:rPr>
        <w:t xml:space="preserve"> </w:t>
      </w:r>
      <w:r w:rsidR="00D40F82" w:rsidRPr="1417A656">
        <w:rPr>
          <w:lang w:val="en-US"/>
        </w:rPr>
        <w:t>the contact data w</w:t>
      </w:r>
      <w:r w:rsidR="19215B8E" w:rsidRPr="1417A656">
        <w:rPr>
          <w:lang w:val="en-US"/>
        </w:rPr>
        <w:t>ould</w:t>
      </w:r>
      <w:r w:rsidR="00D40F82" w:rsidRPr="1417A656">
        <w:rPr>
          <w:lang w:val="en-US"/>
        </w:rPr>
        <w:t xml:space="preserve"> </w:t>
      </w:r>
      <w:r w:rsidR="005A22DA">
        <w:rPr>
          <w:lang w:val="en-US"/>
        </w:rPr>
        <w:t xml:space="preserve">be </w:t>
      </w:r>
      <w:r w:rsidR="450A1A13" w:rsidRPr="1417A656">
        <w:rPr>
          <w:lang w:val="en-US"/>
        </w:rPr>
        <w:t xml:space="preserve">likely </w:t>
      </w:r>
      <w:r w:rsidR="005A22DA">
        <w:rPr>
          <w:lang w:val="en-US"/>
        </w:rPr>
        <w:t xml:space="preserve">to </w:t>
      </w:r>
      <w:r w:rsidR="00D40F82" w:rsidRPr="1417A656">
        <w:rPr>
          <w:lang w:val="en-US"/>
        </w:rPr>
        <w:t>have issues of double counting</w:t>
      </w:r>
      <w:r w:rsidR="66692DBC" w:rsidRPr="1417A656">
        <w:rPr>
          <w:lang w:val="en-US"/>
        </w:rPr>
        <w:t xml:space="preserve"> which</w:t>
      </w:r>
      <w:r w:rsidR="5052C878" w:rsidRPr="1417A656">
        <w:rPr>
          <w:lang w:val="en-US"/>
        </w:rPr>
        <w:t xml:space="preserve"> we </w:t>
      </w:r>
      <w:r w:rsidR="00EF129A">
        <w:rPr>
          <w:lang w:val="en-US"/>
        </w:rPr>
        <w:t>are unable to</w:t>
      </w:r>
      <w:r w:rsidR="5052C878" w:rsidRPr="1417A656">
        <w:rPr>
          <w:lang w:val="en-US"/>
        </w:rPr>
        <w:t xml:space="preserve"> address</w:t>
      </w:r>
      <w:r w:rsidR="00D40F82" w:rsidRPr="1417A656">
        <w:rPr>
          <w:lang w:val="en-US"/>
        </w:rPr>
        <w:t>.</w:t>
      </w:r>
    </w:p>
    <w:p w14:paraId="3F0C68B5" w14:textId="650EEDDA" w:rsidR="006D462B" w:rsidRDefault="00D272ED" w:rsidP="00E354C3">
      <w:pPr>
        <w:pStyle w:val="Heading1"/>
      </w:pPr>
      <w:r>
        <w:br w:type="page"/>
      </w:r>
      <w:r w:rsidR="00B75A03">
        <w:t>Quarterly</w:t>
      </w:r>
      <w:r w:rsidR="00D11896">
        <w:t xml:space="preserve"> </w:t>
      </w:r>
      <w:r w:rsidR="00E36C13">
        <w:t>funding</w:t>
      </w:r>
    </w:p>
    <w:p w14:paraId="5A19C9D5" w14:textId="3DB7CF83" w:rsidR="00586A28" w:rsidRPr="00586A28" w:rsidRDefault="00DF6159" w:rsidP="00586A28">
      <w:pPr>
        <w:pStyle w:val="BodyText"/>
        <w:numPr>
          <w:ilvl w:val="0"/>
          <w:numId w:val="0"/>
        </w:numPr>
        <w:rPr>
          <w:spacing w:val="-2"/>
        </w:rPr>
      </w:pPr>
      <w:r w:rsidRPr="006D462B">
        <w:rPr>
          <w:spacing w:val="-2"/>
        </w:rPr>
        <w:t xml:space="preserve">Table 1 </w:t>
      </w:r>
      <w:r w:rsidR="007D12BD" w:rsidRPr="006D462B">
        <w:rPr>
          <w:spacing w:val="-2"/>
        </w:rPr>
        <w:t xml:space="preserve">shows </w:t>
      </w:r>
      <w:r w:rsidR="00B75A03">
        <w:rPr>
          <w:spacing w:val="-2"/>
        </w:rPr>
        <w:t>the</w:t>
      </w:r>
      <w:r w:rsidR="004C2484">
        <w:rPr>
          <w:spacing w:val="-2"/>
        </w:rPr>
        <w:t xml:space="preserve"> value of</w:t>
      </w:r>
      <w:r w:rsidR="00B75A03">
        <w:rPr>
          <w:spacing w:val="-2"/>
        </w:rPr>
        <w:t xml:space="preserve"> quarterly funding provided under the scheme, broken down by the number of deals, the total value</w:t>
      </w:r>
      <w:r w:rsidR="00833664">
        <w:rPr>
          <w:spacing w:val="-2"/>
        </w:rPr>
        <w:t xml:space="preserve">, </w:t>
      </w:r>
      <w:r w:rsidR="00B75A03">
        <w:rPr>
          <w:spacing w:val="-2"/>
        </w:rPr>
        <w:t>the average value of the loan</w:t>
      </w:r>
      <w:r w:rsidR="00833664">
        <w:rPr>
          <w:spacing w:val="-2"/>
        </w:rPr>
        <w:t xml:space="preserve"> and the cumulative number of deals through the lifetime of the scheme</w:t>
      </w:r>
      <w:r w:rsidR="00B75A03">
        <w:rPr>
          <w:spacing w:val="-2"/>
        </w:rPr>
        <w:t xml:space="preserve">. </w:t>
      </w:r>
      <w:r w:rsidR="00833664">
        <w:rPr>
          <w:spacing w:val="-2"/>
        </w:rPr>
        <w:t>As of Q3 2024, there</w:t>
      </w:r>
      <w:r w:rsidR="00A225AA">
        <w:rPr>
          <w:spacing w:val="-2"/>
        </w:rPr>
        <w:t xml:space="preserve"> have been </w:t>
      </w:r>
      <w:r w:rsidR="00D131A7">
        <w:rPr>
          <w:spacing w:val="-2"/>
        </w:rPr>
        <w:t>5,387</w:t>
      </w:r>
      <w:r w:rsidR="00A225AA">
        <w:rPr>
          <w:spacing w:val="-2"/>
        </w:rPr>
        <w:t xml:space="preserve"> deals completed since the scheme began in November 2016, with an average value of £</w:t>
      </w:r>
      <w:r w:rsidR="00D131A7">
        <w:rPr>
          <w:spacing w:val="-2"/>
        </w:rPr>
        <w:t>23,</w:t>
      </w:r>
      <w:r w:rsidR="002717A5">
        <w:rPr>
          <w:spacing w:val="-2"/>
        </w:rPr>
        <w:t>88</w:t>
      </w:r>
      <w:r w:rsidR="00D131A7">
        <w:rPr>
          <w:spacing w:val="-2"/>
        </w:rPr>
        <w:t>7</w:t>
      </w:r>
      <w:r w:rsidR="00A225AA">
        <w:rPr>
          <w:spacing w:val="-2"/>
        </w:rPr>
        <w:t xml:space="preserve">. The total value of finance provided under the scheme is </w:t>
      </w:r>
      <w:r w:rsidR="00364A47">
        <w:rPr>
          <w:spacing w:val="-2"/>
        </w:rPr>
        <w:t>over £</w:t>
      </w:r>
      <w:r w:rsidR="00531886">
        <w:rPr>
          <w:spacing w:val="-2"/>
        </w:rPr>
        <w:t>128</w:t>
      </w:r>
      <w:r w:rsidR="00A225AA">
        <w:rPr>
          <w:spacing w:val="-2"/>
        </w:rPr>
        <w:t>m.</w:t>
      </w:r>
      <w:r w:rsidR="6DB4D58E">
        <w:t xml:space="preserve"> </w:t>
      </w:r>
    </w:p>
    <w:p w14:paraId="276AB1A1" w14:textId="0C2C86EC" w:rsidR="001F60AF" w:rsidRPr="00FE3CF6" w:rsidRDefault="00F954FF" w:rsidP="00C03508">
      <w:pPr>
        <w:pStyle w:val="BodyText"/>
        <w:numPr>
          <w:ilvl w:val="0"/>
          <w:numId w:val="0"/>
        </w:numPr>
        <w:spacing w:after="0"/>
        <w:rPr>
          <w:rFonts w:ascii="Humnst777 BT" w:hAnsi="Humnst777 BT"/>
          <w:b/>
          <w:color w:val="C40012"/>
          <w:sz w:val="20"/>
        </w:rPr>
      </w:pPr>
      <w:r w:rsidRPr="00AA3DB0">
        <w:rPr>
          <w:rFonts w:ascii="Humnst777 BT" w:hAnsi="Humnst777 BT"/>
          <w:b/>
          <w:color w:val="C40012"/>
          <w:sz w:val="20"/>
        </w:rPr>
        <w:t xml:space="preserve">Table 1: </w:t>
      </w:r>
      <w:r w:rsidR="00B75A03">
        <w:rPr>
          <w:rFonts w:ascii="Humnst777 BT" w:hAnsi="Humnst777 BT"/>
          <w:b/>
          <w:color w:val="C40012"/>
          <w:sz w:val="20"/>
        </w:rPr>
        <w:t>Total quarterly funding, including number of deal</w:t>
      </w:r>
      <w:r w:rsidR="00370559">
        <w:rPr>
          <w:rFonts w:ascii="Humnst777 BT" w:hAnsi="Humnst777 BT"/>
          <w:b/>
          <w:color w:val="C40012"/>
          <w:sz w:val="20"/>
        </w:rPr>
        <w:t>s</w:t>
      </w:r>
      <w:r w:rsidR="00B75A03">
        <w:rPr>
          <w:rFonts w:ascii="Humnst777 BT" w:hAnsi="Humnst777 BT"/>
          <w:b/>
          <w:color w:val="C40012"/>
          <w:sz w:val="20"/>
        </w:rPr>
        <w:t>, total value and the average value of the loan</w:t>
      </w:r>
    </w:p>
    <w:tbl>
      <w:tblPr>
        <w:tblpPr w:leftFromText="180" w:rightFromText="180" w:vertAnchor="text" w:horzAnchor="margin" w:tblpXSpec="center" w:tblpY="267"/>
        <w:tblW w:w="5000" w:type="pct"/>
        <w:jc w:val="center"/>
        <w:tblBorders>
          <w:top w:val="single" w:sz="4" w:space="0" w:color="C00000"/>
          <w:left w:val="single" w:sz="4" w:space="0" w:color="C00000"/>
          <w:bottom w:val="single" w:sz="4" w:space="0" w:color="C00000"/>
          <w:right w:val="single" w:sz="4" w:space="0" w:color="C00000"/>
        </w:tblBorders>
        <w:tblCellMar>
          <w:top w:w="57" w:type="dxa"/>
          <w:left w:w="57" w:type="dxa"/>
          <w:bottom w:w="57" w:type="dxa"/>
          <w:right w:w="57" w:type="dxa"/>
        </w:tblCellMar>
        <w:tblLook w:val="04A0" w:firstRow="1" w:lastRow="0" w:firstColumn="1" w:lastColumn="0" w:noHBand="0" w:noVBand="1"/>
      </w:tblPr>
      <w:tblGrid>
        <w:gridCol w:w="1339"/>
        <w:gridCol w:w="2491"/>
        <w:gridCol w:w="1841"/>
        <w:gridCol w:w="2351"/>
        <w:gridCol w:w="2558"/>
      </w:tblGrid>
      <w:tr w:rsidR="006462A7" w:rsidRPr="002C126C" w14:paraId="66EE8B5E" w14:textId="77777777" w:rsidTr="007512FF">
        <w:trPr>
          <w:cantSplit/>
          <w:trHeight w:val="283"/>
          <w:jc w:val="center"/>
        </w:trPr>
        <w:tc>
          <w:tcPr>
            <w:tcW w:w="633" w:type="pct"/>
            <w:shd w:val="clear" w:color="auto" w:fill="F9E5E7"/>
          </w:tcPr>
          <w:p w14:paraId="1DDCFFB5" w14:textId="77777777" w:rsidR="006462A7" w:rsidRPr="007512FF" w:rsidRDefault="006462A7" w:rsidP="007512FF">
            <w:pPr>
              <w:rPr>
                <w:rFonts w:ascii="Humnst777 BT" w:hAnsi="Humnst777 BT" w:cs="Calibri"/>
                <w:b/>
                <w:bCs/>
                <w:color w:val="000000"/>
                <w:sz w:val="20"/>
                <w:szCs w:val="20"/>
              </w:rPr>
            </w:pPr>
          </w:p>
        </w:tc>
        <w:tc>
          <w:tcPr>
            <w:tcW w:w="1177" w:type="pct"/>
            <w:shd w:val="clear" w:color="auto" w:fill="F9E5E7"/>
          </w:tcPr>
          <w:p w14:paraId="424A9566" w14:textId="600F3E4E" w:rsidR="006462A7" w:rsidRPr="007512FF" w:rsidRDefault="006462A7">
            <w:pPr>
              <w:pStyle w:val="ColumnHeading"/>
              <w:jc w:val="right"/>
              <w:rPr>
                <w:rFonts w:cs="Calibri"/>
                <w:bCs/>
                <w:color w:val="000000"/>
                <w:szCs w:val="20"/>
              </w:rPr>
            </w:pPr>
            <w:r w:rsidRPr="007512FF">
              <w:rPr>
                <w:rFonts w:cs="Calibri"/>
                <w:bCs/>
                <w:color w:val="000000"/>
                <w:szCs w:val="20"/>
              </w:rPr>
              <w:t>Number of Deals</w:t>
            </w:r>
          </w:p>
        </w:tc>
        <w:tc>
          <w:tcPr>
            <w:tcW w:w="870" w:type="pct"/>
            <w:shd w:val="clear" w:color="auto" w:fill="F9E5E7"/>
          </w:tcPr>
          <w:p w14:paraId="4252514E" w14:textId="6AE67032" w:rsidR="006462A7" w:rsidRPr="007512FF" w:rsidRDefault="006462A7">
            <w:pPr>
              <w:pStyle w:val="ColumnHeading"/>
              <w:jc w:val="right"/>
              <w:rPr>
                <w:rFonts w:cs="Calibri"/>
                <w:bCs/>
                <w:color w:val="000000"/>
                <w:szCs w:val="20"/>
              </w:rPr>
            </w:pPr>
            <w:r w:rsidRPr="007512FF">
              <w:rPr>
                <w:rFonts w:cs="Calibri"/>
                <w:bCs/>
                <w:color w:val="000000"/>
                <w:szCs w:val="20"/>
              </w:rPr>
              <w:t>Value (£)</w:t>
            </w:r>
          </w:p>
        </w:tc>
        <w:tc>
          <w:tcPr>
            <w:tcW w:w="1111" w:type="pct"/>
            <w:shd w:val="clear" w:color="auto" w:fill="F9E5E7"/>
          </w:tcPr>
          <w:p w14:paraId="6B0602B6" w14:textId="1058D7B9" w:rsidR="006462A7" w:rsidRPr="007512FF" w:rsidRDefault="006462A7">
            <w:pPr>
              <w:pStyle w:val="ColumnHeading"/>
              <w:jc w:val="right"/>
              <w:rPr>
                <w:rFonts w:cs="Calibri"/>
                <w:bCs/>
                <w:color w:val="000000"/>
                <w:szCs w:val="20"/>
              </w:rPr>
            </w:pPr>
            <w:r w:rsidRPr="007512FF">
              <w:rPr>
                <w:rFonts w:cs="Calibri"/>
                <w:bCs/>
                <w:color w:val="000000"/>
                <w:szCs w:val="20"/>
              </w:rPr>
              <w:t>Average (£)</w:t>
            </w:r>
          </w:p>
        </w:tc>
        <w:tc>
          <w:tcPr>
            <w:tcW w:w="1210" w:type="pct"/>
            <w:shd w:val="clear" w:color="auto" w:fill="F9E5E7"/>
          </w:tcPr>
          <w:p w14:paraId="60A2F71A" w14:textId="77777777" w:rsidR="006462A7" w:rsidRPr="007512FF" w:rsidRDefault="006462A7">
            <w:pPr>
              <w:pStyle w:val="ColumnHeading"/>
              <w:jc w:val="right"/>
              <w:rPr>
                <w:rFonts w:cs="Calibri"/>
                <w:bCs/>
                <w:color w:val="000000"/>
                <w:szCs w:val="20"/>
              </w:rPr>
            </w:pPr>
            <w:r w:rsidRPr="007512FF">
              <w:rPr>
                <w:rFonts w:cs="Calibri"/>
                <w:bCs/>
                <w:color w:val="000000"/>
                <w:szCs w:val="20"/>
              </w:rPr>
              <w:t>Cumulative Deals</w:t>
            </w:r>
          </w:p>
        </w:tc>
      </w:tr>
      <w:tr w:rsidR="006462A7" w:rsidRPr="002C126C" w14:paraId="4EE06C97" w14:textId="77777777" w:rsidTr="007512FF">
        <w:trPr>
          <w:cantSplit/>
          <w:trHeight w:val="283"/>
          <w:jc w:val="center"/>
        </w:trPr>
        <w:tc>
          <w:tcPr>
            <w:tcW w:w="633" w:type="pct"/>
            <w:shd w:val="clear" w:color="auto" w:fill="auto"/>
          </w:tcPr>
          <w:p w14:paraId="686576B4"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Q4 2016*</w:t>
            </w:r>
          </w:p>
        </w:tc>
        <w:tc>
          <w:tcPr>
            <w:tcW w:w="1177" w:type="pct"/>
            <w:shd w:val="clear" w:color="auto" w:fill="auto"/>
          </w:tcPr>
          <w:p w14:paraId="1787C444" w14:textId="77777777"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26 </w:t>
            </w:r>
          </w:p>
        </w:tc>
        <w:tc>
          <w:tcPr>
            <w:tcW w:w="870" w:type="pct"/>
            <w:shd w:val="clear" w:color="auto" w:fill="auto"/>
          </w:tcPr>
          <w:p w14:paraId="4E811542" w14:textId="72EB6741"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399,000 </w:t>
            </w:r>
          </w:p>
        </w:tc>
        <w:tc>
          <w:tcPr>
            <w:tcW w:w="1111" w:type="pct"/>
            <w:shd w:val="clear" w:color="auto" w:fill="auto"/>
          </w:tcPr>
          <w:p w14:paraId="4919536D" w14:textId="29457CBA"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15,346 </w:t>
            </w:r>
          </w:p>
        </w:tc>
        <w:tc>
          <w:tcPr>
            <w:tcW w:w="1210" w:type="pct"/>
          </w:tcPr>
          <w:p w14:paraId="6BA25D41" w14:textId="77777777"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26 </w:t>
            </w:r>
          </w:p>
        </w:tc>
      </w:tr>
      <w:tr w:rsidR="006462A7" w:rsidRPr="002C126C" w14:paraId="542CF964" w14:textId="77777777" w:rsidTr="007512FF">
        <w:trPr>
          <w:cantSplit/>
          <w:trHeight w:val="283"/>
          <w:jc w:val="center"/>
        </w:trPr>
        <w:tc>
          <w:tcPr>
            <w:tcW w:w="633" w:type="pct"/>
            <w:shd w:val="clear" w:color="auto" w:fill="auto"/>
          </w:tcPr>
          <w:p w14:paraId="12B2BEF1"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Q1 2017</w:t>
            </w:r>
          </w:p>
        </w:tc>
        <w:tc>
          <w:tcPr>
            <w:tcW w:w="1177" w:type="pct"/>
            <w:shd w:val="clear" w:color="auto" w:fill="auto"/>
          </w:tcPr>
          <w:p w14:paraId="6E53CE1C" w14:textId="77777777"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112</w:t>
            </w:r>
          </w:p>
        </w:tc>
        <w:tc>
          <w:tcPr>
            <w:tcW w:w="870" w:type="pct"/>
            <w:shd w:val="clear" w:color="auto" w:fill="auto"/>
          </w:tcPr>
          <w:p w14:paraId="2016E89B" w14:textId="7503D3A4"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1,850,912 </w:t>
            </w:r>
          </w:p>
        </w:tc>
        <w:tc>
          <w:tcPr>
            <w:tcW w:w="1111" w:type="pct"/>
            <w:shd w:val="clear" w:color="auto" w:fill="auto"/>
          </w:tcPr>
          <w:p w14:paraId="29E65375" w14:textId="69CEB0A7"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16,526 </w:t>
            </w:r>
          </w:p>
        </w:tc>
        <w:tc>
          <w:tcPr>
            <w:tcW w:w="1210" w:type="pct"/>
          </w:tcPr>
          <w:p w14:paraId="041C7E7B" w14:textId="77777777"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138 </w:t>
            </w:r>
          </w:p>
        </w:tc>
      </w:tr>
      <w:tr w:rsidR="006462A7" w:rsidRPr="002C126C" w14:paraId="3EC8A7C6" w14:textId="77777777" w:rsidTr="007512FF">
        <w:trPr>
          <w:cantSplit/>
          <w:trHeight w:val="283"/>
          <w:jc w:val="center"/>
        </w:trPr>
        <w:tc>
          <w:tcPr>
            <w:tcW w:w="633" w:type="pct"/>
            <w:shd w:val="clear" w:color="auto" w:fill="auto"/>
          </w:tcPr>
          <w:p w14:paraId="5C6860D2"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Q2 2017</w:t>
            </w:r>
          </w:p>
        </w:tc>
        <w:tc>
          <w:tcPr>
            <w:tcW w:w="1177" w:type="pct"/>
            <w:shd w:val="clear" w:color="auto" w:fill="auto"/>
          </w:tcPr>
          <w:p w14:paraId="2B573CEB" w14:textId="77777777"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81</w:t>
            </w:r>
          </w:p>
        </w:tc>
        <w:tc>
          <w:tcPr>
            <w:tcW w:w="870" w:type="pct"/>
            <w:shd w:val="clear" w:color="auto" w:fill="auto"/>
          </w:tcPr>
          <w:p w14:paraId="4CC8DB09" w14:textId="38DEB763"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1,232,350 </w:t>
            </w:r>
          </w:p>
        </w:tc>
        <w:tc>
          <w:tcPr>
            <w:tcW w:w="1111" w:type="pct"/>
            <w:shd w:val="clear" w:color="auto" w:fill="auto"/>
          </w:tcPr>
          <w:p w14:paraId="5087D60A" w14:textId="395BE2A4"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15,214 </w:t>
            </w:r>
          </w:p>
        </w:tc>
        <w:tc>
          <w:tcPr>
            <w:tcW w:w="1210" w:type="pct"/>
          </w:tcPr>
          <w:p w14:paraId="062B1B72" w14:textId="77777777" w:rsidR="006462A7" w:rsidRPr="007512FF" w:rsidRDefault="006462A7">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219 </w:t>
            </w:r>
          </w:p>
        </w:tc>
      </w:tr>
      <w:tr w:rsidR="006462A7" w:rsidRPr="002C126C" w14:paraId="4F763E41" w14:textId="77777777" w:rsidTr="007512FF">
        <w:trPr>
          <w:cantSplit/>
          <w:trHeight w:val="283"/>
          <w:jc w:val="center"/>
        </w:trPr>
        <w:tc>
          <w:tcPr>
            <w:tcW w:w="633" w:type="pct"/>
            <w:shd w:val="clear" w:color="auto" w:fill="auto"/>
          </w:tcPr>
          <w:p w14:paraId="32D93C16"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Q3 2017</w:t>
            </w:r>
          </w:p>
        </w:tc>
        <w:tc>
          <w:tcPr>
            <w:tcW w:w="1177" w:type="pct"/>
            <w:shd w:val="clear" w:color="auto" w:fill="auto"/>
          </w:tcPr>
          <w:p w14:paraId="52E2D3B6"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127 </w:t>
            </w:r>
          </w:p>
        </w:tc>
        <w:tc>
          <w:tcPr>
            <w:tcW w:w="870" w:type="pct"/>
            <w:shd w:val="clear" w:color="auto" w:fill="auto"/>
          </w:tcPr>
          <w:p w14:paraId="62E0BE0A" w14:textId="45D64E95"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1,362,890 </w:t>
            </w:r>
          </w:p>
        </w:tc>
        <w:tc>
          <w:tcPr>
            <w:tcW w:w="1111" w:type="pct"/>
            <w:shd w:val="clear" w:color="auto" w:fill="auto"/>
          </w:tcPr>
          <w:p w14:paraId="62E76610" w14:textId="15127D9B"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10,731 </w:t>
            </w:r>
          </w:p>
        </w:tc>
        <w:tc>
          <w:tcPr>
            <w:tcW w:w="1210" w:type="pct"/>
          </w:tcPr>
          <w:p w14:paraId="62436B3F"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346 </w:t>
            </w:r>
          </w:p>
        </w:tc>
      </w:tr>
      <w:tr w:rsidR="006462A7" w:rsidRPr="002C126C" w14:paraId="121BE5BC" w14:textId="77777777" w:rsidTr="007512FF">
        <w:trPr>
          <w:cantSplit/>
          <w:trHeight w:val="283"/>
          <w:jc w:val="center"/>
        </w:trPr>
        <w:tc>
          <w:tcPr>
            <w:tcW w:w="633" w:type="pct"/>
            <w:shd w:val="clear" w:color="auto" w:fill="auto"/>
          </w:tcPr>
          <w:p w14:paraId="063F32D0"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Q4 2017</w:t>
            </w:r>
          </w:p>
        </w:tc>
        <w:tc>
          <w:tcPr>
            <w:tcW w:w="1177" w:type="pct"/>
            <w:shd w:val="clear" w:color="auto" w:fill="auto"/>
          </w:tcPr>
          <w:p w14:paraId="418CF7F4"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162 </w:t>
            </w:r>
          </w:p>
        </w:tc>
        <w:tc>
          <w:tcPr>
            <w:tcW w:w="870" w:type="pct"/>
            <w:shd w:val="clear" w:color="auto" w:fill="auto"/>
          </w:tcPr>
          <w:p w14:paraId="581133CA" w14:textId="6B04209B"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2,223,194 </w:t>
            </w:r>
          </w:p>
        </w:tc>
        <w:tc>
          <w:tcPr>
            <w:tcW w:w="1111" w:type="pct"/>
            <w:shd w:val="clear" w:color="auto" w:fill="auto"/>
          </w:tcPr>
          <w:p w14:paraId="26FCB8A8" w14:textId="0169567D"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13,723 </w:t>
            </w:r>
          </w:p>
        </w:tc>
        <w:tc>
          <w:tcPr>
            <w:tcW w:w="1210" w:type="pct"/>
          </w:tcPr>
          <w:p w14:paraId="4844CA91"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508 </w:t>
            </w:r>
          </w:p>
        </w:tc>
      </w:tr>
      <w:tr w:rsidR="006462A7" w:rsidRPr="002C126C" w14:paraId="3945388A" w14:textId="77777777" w:rsidTr="007512FF">
        <w:trPr>
          <w:cantSplit/>
          <w:trHeight w:val="283"/>
          <w:jc w:val="center"/>
        </w:trPr>
        <w:tc>
          <w:tcPr>
            <w:tcW w:w="633" w:type="pct"/>
            <w:shd w:val="clear" w:color="auto" w:fill="auto"/>
          </w:tcPr>
          <w:p w14:paraId="53491498"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Q1 2018</w:t>
            </w:r>
          </w:p>
        </w:tc>
        <w:tc>
          <w:tcPr>
            <w:tcW w:w="1177" w:type="pct"/>
            <w:shd w:val="clear" w:color="auto" w:fill="auto"/>
          </w:tcPr>
          <w:p w14:paraId="35A7E702"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224 </w:t>
            </w:r>
          </w:p>
        </w:tc>
        <w:tc>
          <w:tcPr>
            <w:tcW w:w="870" w:type="pct"/>
            <w:shd w:val="clear" w:color="auto" w:fill="auto"/>
          </w:tcPr>
          <w:p w14:paraId="0555FEC3" w14:textId="74BC5232"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4,608,310 </w:t>
            </w:r>
          </w:p>
        </w:tc>
        <w:tc>
          <w:tcPr>
            <w:tcW w:w="1111" w:type="pct"/>
            <w:shd w:val="clear" w:color="auto" w:fill="auto"/>
          </w:tcPr>
          <w:p w14:paraId="4F1B39CF" w14:textId="4127AF35"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20,573 </w:t>
            </w:r>
          </w:p>
        </w:tc>
        <w:tc>
          <w:tcPr>
            <w:tcW w:w="1210" w:type="pct"/>
          </w:tcPr>
          <w:p w14:paraId="6285922A"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732 </w:t>
            </w:r>
          </w:p>
        </w:tc>
      </w:tr>
      <w:tr w:rsidR="006462A7" w:rsidRPr="002C126C" w14:paraId="720C8525" w14:textId="77777777" w:rsidTr="007512FF">
        <w:trPr>
          <w:cantSplit/>
          <w:trHeight w:val="283"/>
          <w:jc w:val="center"/>
        </w:trPr>
        <w:tc>
          <w:tcPr>
            <w:tcW w:w="633" w:type="pct"/>
            <w:shd w:val="clear" w:color="auto" w:fill="auto"/>
          </w:tcPr>
          <w:p w14:paraId="2F96D376"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Q2 2018</w:t>
            </w:r>
          </w:p>
        </w:tc>
        <w:tc>
          <w:tcPr>
            <w:tcW w:w="1177" w:type="pct"/>
            <w:shd w:val="clear" w:color="auto" w:fill="auto"/>
          </w:tcPr>
          <w:p w14:paraId="483B1ABA"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167 </w:t>
            </w:r>
          </w:p>
        </w:tc>
        <w:tc>
          <w:tcPr>
            <w:tcW w:w="870" w:type="pct"/>
            <w:shd w:val="clear" w:color="auto" w:fill="auto"/>
          </w:tcPr>
          <w:p w14:paraId="1E7D28A4" w14:textId="2FB3BD53"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4,380,003 </w:t>
            </w:r>
          </w:p>
        </w:tc>
        <w:tc>
          <w:tcPr>
            <w:tcW w:w="1111" w:type="pct"/>
            <w:shd w:val="clear" w:color="auto" w:fill="auto"/>
          </w:tcPr>
          <w:p w14:paraId="428CD19A" w14:textId="2A796E21"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26,228 </w:t>
            </w:r>
          </w:p>
        </w:tc>
        <w:tc>
          <w:tcPr>
            <w:tcW w:w="1210" w:type="pct"/>
          </w:tcPr>
          <w:p w14:paraId="2F51D95D"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899 </w:t>
            </w:r>
          </w:p>
        </w:tc>
      </w:tr>
      <w:tr w:rsidR="006462A7" w:rsidRPr="002C126C" w14:paraId="0EC30019" w14:textId="77777777" w:rsidTr="007512FF">
        <w:trPr>
          <w:cantSplit/>
          <w:trHeight w:val="283"/>
          <w:jc w:val="center"/>
        </w:trPr>
        <w:tc>
          <w:tcPr>
            <w:tcW w:w="633" w:type="pct"/>
            <w:shd w:val="clear" w:color="auto" w:fill="auto"/>
          </w:tcPr>
          <w:p w14:paraId="655CDDC4"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Q3 2018</w:t>
            </w:r>
          </w:p>
        </w:tc>
        <w:tc>
          <w:tcPr>
            <w:tcW w:w="1177" w:type="pct"/>
            <w:shd w:val="clear" w:color="auto" w:fill="auto"/>
          </w:tcPr>
          <w:p w14:paraId="36B495D3"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169 </w:t>
            </w:r>
          </w:p>
        </w:tc>
        <w:tc>
          <w:tcPr>
            <w:tcW w:w="870" w:type="pct"/>
            <w:shd w:val="clear" w:color="auto" w:fill="auto"/>
          </w:tcPr>
          <w:p w14:paraId="48E48F87" w14:textId="25E69653"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4,625,997 </w:t>
            </w:r>
          </w:p>
        </w:tc>
        <w:tc>
          <w:tcPr>
            <w:tcW w:w="1111" w:type="pct"/>
            <w:shd w:val="clear" w:color="auto" w:fill="auto"/>
          </w:tcPr>
          <w:p w14:paraId="0362F9A6" w14:textId="0F82C02F"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27,373 </w:t>
            </w:r>
          </w:p>
        </w:tc>
        <w:tc>
          <w:tcPr>
            <w:tcW w:w="1210" w:type="pct"/>
          </w:tcPr>
          <w:p w14:paraId="07101359"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1,068 </w:t>
            </w:r>
          </w:p>
        </w:tc>
      </w:tr>
      <w:tr w:rsidR="006462A7" w:rsidRPr="002C126C" w14:paraId="2498DBF9" w14:textId="77777777" w:rsidTr="007512FF">
        <w:trPr>
          <w:cantSplit/>
          <w:trHeight w:val="283"/>
          <w:jc w:val="center"/>
        </w:trPr>
        <w:tc>
          <w:tcPr>
            <w:tcW w:w="633" w:type="pct"/>
            <w:shd w:val="clear" w:color="auto" w:fill="auto"/>
          </w:tcPr>
          <w:p w14:paraId="69E76C7D"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Q4 2018</w:t>
            </w:r>
          </w:p>
        </w:tc>
        <w:tc>
          <w:tcPr>
            <w:tcW w:w="1177" w:type="pct"/>
            <w:shd w:val="clear" w:color="auto" w:fill="auto"/>
          </w:tcPr>
          <w:p w14:paraId="6E39D418"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211 </w:t>
            </w:r>
          </w:p>
        </w:tc>
        <w:tc>
          <w:tcPr>
            <w:tcW w:w="870" w:type="pct"/>
            <w:shd w:val="clear" w:color="auto" w:fill="auto"/>
            <w:vAlign w:val="center"/>
          </w:tcPr>
          <w:p w14:paraId="3B8A9102" w14:textId="6BE7ABC8"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4,210,887 </w:t>
            </w:r>
          </w:p>
        </w:tc>
        <w:tc>
          <w:tcPr>
            <w:tcW w:w="1111" w:type="pct"/>
            <w:shd w:val="clear" w:color="auto" w:fill="auto"/>
          </w:tcPr>
          <w:p w14:paraId="4DE9CFF8" w14:textId="26137689"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19,957 </w:t>
            </w:r>
          </w:p>
        </w:tc>
        <w:tc>
          <w:tcPr>
            <w:tcW w:w="1210" w:type="pct"/>
          </w:tcPr>
          <w:p w14:paraId="1DDC398F"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1,279 </w:t>
            </w:r>
          </w:p>
        </w:tc>
      </w:tr>
      <w:tr w:rsidR="006462A7" w:rsidRPr="002C126C" w14:paraId="43991452" w14:textId="77777777" w:rsidTr="007512FF">
        <w:trPr>
          <w:cantSplit/>
          <w:trHeight w:val="283"/>
          <w:jc w:val="center"/>
        </w:trPr>
        <w:tc>
          <w:tcPr>
            <w:tcW w:w="633" w:type="pct"/>
            <w:shd w:val="clear" w:color="auto" w:fill="auto"/>
          </w:tcPr>
          <w:p w14:paraId="173B9BB4"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Q1 2019</w:t>
            </w:r>
          </w:p>
        </w:tc>
        <w:tc>
          <w:tcPr>
            <w:tcW w:w="1177" w:type="pct"/>
            <w:shd w:val="clear" w:color="auto" w:fill="auto"/>
          </w:tcPr>
          <w:p w14:paraId="64D0FD5D"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220 </w:t>
            </w:r>
          </w:p>
        </w:tc>
        <w:tc>
          <w:tcPr>
            <w:tcW w:w="870" w:type="pct"/>
            <w:shd w:val="clear" w:color="auto" w:fill="auto"/>
          </w:tcPr>
          <w:p w14:paraId="4094C2BC" w14:textId="419EE2C2"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3,847,205 </w:t>
            </w:r>
          </w:p>
        </w:tc>
        <w:tc>
          <w:tcPr>
            <w:tcW w:w="1111" w:type="pct"/>
            <w:shd w:val="clear" w:color="auto" w:fill="auto"/>
          </w:tcPr>
          <w:p w14:paraId="25FF79FE" w14:textId="53B726BB"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17,487 </w:t>
            </w:r>
          </w:p>
        </w:tc>
        <w:tc>
          <w:tcPr>
            <w:tcW w:w="1210" w:type="pct"/>
          </w:tcPr>
          <w:p w14:paraId="54F7DAFE"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1,499 </w:t>
            </w:r>
          </w:p>
        </w:tc>
      </w:tr>
      <w:tr w:rsidR="006462A7" w:rsidRPr="002C126C" w14:paraId="634426E2" w14:textId="77777777" w:rsidTr="007512FF">
        <w:trPr>
          <w:cantSplit/>
          <w:trHeight w:val="283"/>
          <w:jc w:val="center"/>
        </w:trPr>
        <w:tc>
          <w:tcPr>
            <w:tcW w:w="633" w:type="pct"/>
            <w:shd w:val="clear" w:color="auto" w:fill="auto"/>
          </w:tcPr>
          <w:p w14:paraId="62AD63A8"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Q2 2019</w:t>
            </w:r>
          </w:p>
        </w:tc>
        <w:tc>
          <w:tcPr>
            <w:tcW w:w="1177" w:type="pct"/>
            <w:shd w:val="clear" w:color="auto" w:fill="auto"/>
          </w:tcPr>
          <w:p w14:paraId="30D50404"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196 </w:t>
            </w:r>
          </w:p>
        </w:tc>
        <w:tc>
          <w:tcPr>
            <w:tcW w:w="870" w:type="pct"/>
            <w:shd w:val="clear" w:color="auto" w:fill="auto"/>
          </w:tcPr>
          <w:p w14:paraId="7707DB13" w14:textId="1521DCC1"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4,140,207 </w:t>
            </w:r>
          </w:p>
        </w:tc>
        <w:tc>
          <w:tcPr>
            <w:tcW w:w="1111" w:type="pct"/>
            <w:shd w:val="clear" w:color="auto" w:fill="auto"/>
          </w:tcPr>
          <w:p w14:paraId="036C6F01" w14:textId="3455C048"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21,124 </w:t>
            </w:r>
          </w:p>
        </w:tc>
        <w:tc>
          <w:tcPr>
            <w:tcW w:w="1210" w:type="pct"/>
          </w:tcPr>
          <w:p w14:paraId="71EB19A8"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1,695 </w:t>
            </w:r>
          </w:p>
        </w:tc>
      </w:tr>
      <w:tr w:rsidR="006462A7" w:rsidRPr="002C126C" w14:paraId="20B0CD8B" w14:textId="77777777" w:rsidTr="007512FF">
        <w:trPr>
          <w:cantSplit/>
          <w:trHeight w:val="283"/>
          <w:jc w:val="center"/>
        </w:trPr>
        <w:tc>
          <w:tcPr>
            <w:tcW w:w="633" w:type="pct"/>
            <w:shd w:val="clear" w:color="auto" w:fill="auto"/>
          </w:tcPr>
          <w:p w14:paraId="489498D3"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Q3 2019</w:t>
            </w:r>
          </w:p>
        </w:tc>
        <w:tc>
          <w:tcPr>
            <w:tcW w:w="1177" w:type="pct"/>
            <w:shd w:val="clear" w:color="auto" w:fill="auto"/>
          </w:tcPr>
          <w:p w14:paraId="07B79FA3"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280 </w:t>
            </w:r>
          </w:p>
        </w:tc>
        <w:tc>
          <w:tcPr>
            <w:tcW w:w="870" w:type="pct"/>
            <w:shd w:val="clear" w:color="auto" w:fill="auto"/>
          </w:tcPr>
          <w:p w14:paraId="2A73E08C" w14:textId="2A437A7E"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5,102,098 </w:t>
            </w:r>
          </w:p>
        </w:tc>
        <w:tc>
          <w:tcPr>
            <w:tcW w:w="1111" w:type="pct"/>
            <w:shd w:val="clear" w:color="auto" w:fill="auto"/>
          </w:tcPr>
          <w:p w14:paraId="3A7A1468" w14:textId="58BE56A8"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18,222 </w:t>
            </w:r>
          </w:p>
        </w:tc>
        <w:tc>
          <w:tcPr>
            <w:tcW w:w="1210" w:type="pct"/>
          </w:tcPr>
          <w:p w14:paraId="786DA06F"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1,975 </w:t>
            </w:r>
          </w:p>
        </w:tc>
      </w:tr>
      <w:tr w:rsidR="006462A7" w:rsidRPr="002C126C" w14:paraId="5CFD93F2" w14:textId="77777777" w:rsidTr="007512FF">
        <w:trPr>
          <w:cantSplit/>
          <w:trHeight w:val="283"/>
          <w:jc w:val="center"/>
        </w:trPr>
        <w:tc>
          <w:tcPr>
            <w:tcW w:w="633" w:type="pct"/>
            <w:shd w:val="clear" w:color="auto" w:fill="auto"/>
          </w:tcPr>
          <w:p w14:paraId="39CA13DB"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Q4 2019</w:t>
            </w:r>
          </w:p>
        </w:tc>
        <w:tc>
          <w:tcPr>
            <w:tcW w:w="1177" w:type="pct"/>
            <w:shd w:val="clear" w:color="auto" w:fill="auto"/>
          </w:tcPr>
          <w:p w14:paraId="1868818B"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260 </w:t>
            </w:r>
          </w:p>
        </w:tc>
        <w:tc>
          <w:tcPr>
            <w:tcW w:w="870" w:type="pct"/>
            <w:shd w:val="clear" w:color="auto" w:fill="auto"/>
          </w:tcPr>
          <w:p w14:paraId="7C3E61D2" w14:textId="2F43BB06"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6,369,742 </w:t>
            </w:r>
          </w:p>
        </w:tc>
        <w:tc>
          <w:tcPr>
            <w:tcW w:w="1111" w:type="pct"/>
            <w:shd w:val="clear" w:color="auto" w:fill="auto"/>
          </w:tcPr>
          <w:p w14:paraId="003BBB91" w14:textId="190F5655"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24,499 </w:t>
            </w:r>
          </w:p>
        </w:tc>
        <w:tc>
          <w:tcPr>
            <w:tcW w:w="1210" w:type="pct"/>
          </w:tcPr>
          <w:p w14:paraId="0E9749F9"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2,235 </w:t>
            </w:r>
          </w:p>
        </w:tc>
      </w:tr>
      <w:tr w:rsidR="006462A7" w:rsidRPr="002C126C" w14:paraId="412DC171" w14:textId="77777777" w:rsidTr="007512FF">
        <w:trPr>
          <w:cantSplit/>
          <w:trHeight w:val="283"/>
          <w:jc w:val="center"/>
        </w:trPr>
        <w:tc>
          <w:tcPr>
            <w:tcW w:w="633" w:type="pct"/>
            <w:shd w:val="clear" w:color="auto" w:fill="auto"/>
          </w:tcPr>
          <w:p w14:paraId="0721A5DB"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Q1 2020</w:t>
            </w:r>
          </w:p>
        </w:tc>
        <w:tc>
          <w:tcPr>
            <w:tcW w:w="1177" w:type="pct"/>
            <w:shd w:val="clear" w:color="auto" w:fill="auto"/>
          </w:tcPr>
          <w:p w14:paraId="30E480AD"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234 </w:t>
            </w:r>
          </w:p>
        </w:tc>
        <w:tc>
          <w:tcPr>
            <w:tcW w:w="870" w:type="pct"/>
            <w:shd w:val="clear" w:color="auto" w:fill="auto"/>
          </w:tcPr>
          <w:p w14:paraId="49293694" w14:textId="6A2A6959"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4,216,990 </w:t>
            </w:r>
          </w:p>
        </w:tc>
        <w:tc>
          <w:tcPr>
            <w:tcW w:w="1111" w:type="pct"/>
            <w:shd w:val="clear" w:color="auto" w:fill="auto"/>
          </w:tcPr>
          <w:p w14:paraId="4D1F9B6A" w14:textId="7C6FB28C"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18,021 </w:t>
            </w:r>
          </w:p>
        </w:tc>
        <w:tc>
          <w:tcPr>
            <w:tcW w:w="1210" w:type="pct"/>
          </w:tcPr>
          <w:p w14:paraId="509A0E91"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2,469 </w:t>
            </w:r>
          </w:p>
        </w:tc>
      </w:tr>
      <w:tr w:rsidR="006462A7" w:rsidRPr="002C126C" w14:paraId="09387E46" w14:textId="77777777" w:rsidTr="007512FF">
        <w:trPr>
          <w:cantSplit/>
          <w:trHeight w:val="283"/>
          <w:jc w:val="center"/>
        </w:trPr>
        <w:tc>
          <w:tcPr>
            <w:tcW w:w="633" w:type="pct"/>
            <w:shd w:val="clear" w:color="auto" w:fill="auto"/>
          </w:tcPr>
          <w:p w14:paraId="1362F40E"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Q2 2020</w:t>
            </w:r>
          </w:p>
        </w:tc>
        <w:tc>
          <w:tcPr>
            <w:tcW w:w="1177" w:type="pct"/>
            <w:shd w:val="clear" w:color="auto" w:fill="auto"/>
          </w:tcPr>
          <w:p w14:paraId="5639750E"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43 </w:t>
            </w:r>
          </w:p>
        </w:tc>
        <w:tc>
          <w:tcPr>
            <w:tcW w:w="870" w:type="pct"/>
            <w:shd w:val="clear" w:color="auto" w:fill="auto"/>
          </w:tcPr>
          <w:p w14:paraId="754C8E39" w14:textId="3B42101E"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2,341,665 </w:t>
            </w:r>
          </w:p>
        </w:tc>
        <w:tc>
          <w:tcPr>
            <w:tcW w:w="1111" w:type="pct"/>
            <w:shd w:val="clear" w:color="auto" w:fill="auto"/>
          </w:tcPr>
          <w:p w14:paraId="14F90F61" w14:textId="6421A37C"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54,457 </w:t>
            </w:r>
          </w:p>
        </w:tc>
        <w:tc>
          <w:tcPr>
            <w:tcW w:w="1210" w:type="pct"/>
          </w:tcPr>
          <w:p w14:paraId="31CFBAA8"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2,512 </w:t>
            </w:r>
          </w:p>
        </w:tc>
      </w:tr>
      <w:tr w:rsidR="006462A7" w:rsidRPr="002C126C" w14:paraId="00A3AF32" w14:textId="77777777" w:rsidTr="007512FF">
        <w:trPr>
          <w:cantSplit/>
          <w:trHeight w:val="283"/>
          <w:jc w:val="center"/>
        </w:trPr>
        <w:tc>
          <w:tcPr>
            <w:tcW w:w="633" w:type="pct"/>
            <w:shd w:val="clear" w:color="auto" w:fill="auto"/>
          </w:tcPr>
          <w:p w14:paraId="57510298"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Q3 2020</w:t>
            </w:r>
          </w:p>
        </w:tc>
        <w:tc>
          <w:tcPr>
            <w:tcW w:w="1177" w:type="pct"/>
            <w:shd w:val="clear" w:color="auto" w:fill="auto"/>
          </w:tcPr>
          <w:p w14:paraId="59DD5FC7"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72 </w:t>
            </w:r>
          </w:p>
        </w:tc>
        <w:tc>
          <w:tcPr>
            <w:tcW w:w="870" w:type="pct"/>
            <w:shd w:val="clear" w:color="auto" w:fill="auto"/>
          </w:tcPr>
          <w:p w14:paraId="1CB037FA" w14:textId="126D0B92"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5,397,957 </w:t>
            </w:r>
          </w:p>
        </w:tc>
        <w:tc>
          <w:tcPr>
            <w:tcW w:w="1111" w:type="pct"/>
            <w:shd w:val="clear" w:color="auto" w:fill="auto"/>
          </w:tcPr>
          <w:p w14:paraId="2F602DC4" w14:textId="7989CB59"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74,972 </w:t>
            </w:r>
          </w:p>
        </w:tc>
        <w:tc>
          <w:tcPr>
            <w:tcW w:w="1210" w:type="pct"/>
          </w:tcPr>
          <w:p w14:paraId="17C877AC"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2,584 </w:t>
            </w:r>
          </w:p>
        </w:tc>
      </w:tr>
      <w:tr w:rsidR="006462A7" w:rsidRPr="002C126C" w14:paraId="36D2D430" w14:textId="77777777" w:rsidTr="007512FF">
        <w:trPr>
          <w:cantSplit/>
          <w:trHeight w:val="283"/>
          <w:jc w:val="center"/>
        </w:trPr>
        <w:tc>
          <w:tcPr>
            <w:tcW w:w="633" w:type="pct"/>
            <w:shd w:val="clear" w:color="auto" w:fill="auto"/>
          </w:tcPr>
          <w:p w14:paraId="2284BD00"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Q4 2020</w:t>
            </w:r>
          </w:p>
        </w:tc>
        <w:tc>
          <w:tcPr>
            <w:tcW w:w="1177" w:type="pct"/>
            <w:shd w:val="clear" w:color="auto" w:fill="auto"/>
          </w:tcPr>
          <w:p w14:paraId="59536671"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88 </w:t>
            </w:r>
          </w:p>
        </w:tc>
        <w:tc>
          <w:tcPr>
            <w:tcW w:w="870" w:type="pct"/>
            <w:shd w:val="clear" w:color="auto" w:fill="auto"/>
          </w:tcPr>
          <w:p w14:paraId="6F8DE04A" w14:textId="33D73B98"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3,491,483 </w:t>
            </w:r>
          </w:p>
        </w:tc>
        <w:tc>
          <w:tcPr>
            <w:tcW w:w="1111" w:type="pct"/>
            <w:shd w:val="clear" w:color="auto" w:fill="auto"/>
          </w:tcPr>
          <w:p w14:paraId="30E27A4F" w14:textId="364B067A"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39,676 </w:t>
            </w:r>
          </w:p>
        </w:tc>
        <w:tc>
          <w:tcPr>
            <w:tcW w:w="1210" w:type="pct"/>
          </w:tcPr>
          <w:p w14:paraId="7B7AF340"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2,672 </w:t>
            </w:r>
          </w:p>
        </w:tc>
      </w:tr>
      <w:tr w:rsidR="006462A7" w:rsidRPr="002C126C" w14:paraId="101EB23B" w14:textId="77777777" w:rsidTr="007512FF">
        <w:trPr>
          <w:cantSplit/>
          <w:trHeight w:val="283"/>
          <w:jc w:val="center"/>
        </w:trPr>
        <w:tc>
          <w:tcPr>
            <w:tcW w:w="633" w:type="pct"/>
            <w:shd w:val="clear" w:color="auto" w:fill="auto"/>
          </w:tcPr>
          <w:p w14:paraId="51230BAE"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Q1 2021</w:t>
            </w:r>
          </w:p>
        </w:tc>
        <w:tc>
          <w:tcPr>
            <w:tcW w:w="1177" w:type="pct"/>
            <w:shd w:val="clear" w:color="auto" w:fill="auto"/>
          </w:tcPr>
          <w:p w14:paraId="4883EEAC"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76 </w:t>
            </w:r>
          </w:p>
        </w:tc>
        <w:tc>
          <w:tcPr>
            <w:tcW w:w="870" w:type="pct"/>
            <w:shd w:val="clear" w:color="auto" w:fill="auto"/>
          </w:tcPr>
          <w:p w14:paraId="08681BDF" w14:textId="0BA655B4"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3,093,342 </w:t>
            </w:r>
          </w:p>
        </w:tc>
        <w:tc>
          <w:tcPr>
            <w:tcW w:w="1111" w:type="pct"/>
            <w:shd w:val="clear" w:color="auto" w:fill="auto"/>
          </w:tcPr>
          <w:p w14:paraId="1D01F642" w14:textId="77443495"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40,702 </w:t>
            </w:r>
          </w:p>
        </w:tc>
        <w:tc>
          <w:tcPr>
            <w:tcW w:w="1210" w:type="pct"/>
          </w:tcPr>
          <w:p w14:paraId="6F50F6F3"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2,748 </w:t>
            </w:r>
          </w:p>
        </w:tc>
      </w:tr>
      <w:tr w:rsidR="006462A7" w:rsidRPr="002C126C" w14:paraId="33592433" w14:textId="77777777" w:rsidTr="007512FF">
        <w:trPr>
          <w:cantSplit/>
          <w:trHeight w:val="283"/>
          <w:jc w:val="center"/>
        </w:trPr>
        <w:tc>
          <w:tcPr>
            <w:tcW w:w="633" w:type="pct"/>
            <w:shd w:val="clear" w:color="auto" w:fill="auto"/>
          </w:tcPr>
          <w:p w14:paraId="04A82EEB"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Q2 2021</w:t>
            </w:r>
          </w:p>
        </w:tc>
        <w:tc>
          <w:tcPr>
            <w:tcW w:w="1177" w:type="pct"/>
            <w:shd w:val="clear" w:color="auto" w:fill="auto"/>
          </w:tcPr>
          <w:p w14:paraId="431CAAAA"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113 </w:t>
            </w:r>
          </w:p>
        </w:tc>
        <w:tc>
          <w:tcPr>
            <w:tcW w:w="870" w:type="pct"/>
            <w:shd w:val="clear" w:color="auto" w:fill="auto"/>
          </w:tcPr>
          <w:p w14:paraId="3DCC0590" w14:textId="31EAD705"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3,956,458 </w:t>
            </w:r>
          </w:p>
        </w:tc>
        <w:tc>
          <w:tcPr>
            <w:tcW w:w="1111" w:type="pct"/>
            <w:shd w:val="clear" w:color="auto" w:fill="auto"/>
          </w:tcPr>
          <w:p w14:paraId="56FE3BEE" w14:textId="0EA23629"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35,013 </w:t>
            </w:r>
          </w:p>
        </w:tc>
        <w:tc>
          <w:tcPr>
            <w:tcW w:w="1210" w:type="pct"/>
          </w:tcPr>
          <w:p w14:paraId="724DF266"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2,861 </w:t>
            </w:r>
          </w:p>
        </w:tc>
      </w:tr>
      <w:tr w:rsidR="006462A7" w:rsidRPr="002C126C" w14:paraId="44D95AE7" w14:textId="77777777" w:rsidTr="007512FF">
        <w:trPr>
          <w:cantSplit/>
          <w:trHeight w:val="283"/>
          <w:jc w:val="center"/>
        </w:trPr>
        <w:tc>
          <w:tcPr>
            <w:tcW w:w="633" w:type="pct"/>
            <w:shd w:val="clear" w:color="auto" w:fill="auto"/>
          </w:tcPr>
          <w:p w14:paraId="7DCE76CA"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Q3 2021</w:t>
            </w:r>
          </w:p>
        </w:tc>
        <w:tc>
          <w:tcPr>
            <w:tcW w:w="1177" w:type="pct"/>
            <w:shd w:val="clear" w:color="auto" w:fill="auto"/>
          </w:tcPr>
          <w:p w14:paraId="74B02169"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146 </w:t>
            </w:r>
          </w:p>
        </w:tc>
        <w:tc>
          <w:tcPr>
            <w:tcW w:w="870" w:type="pct"/>
            <w:shd w:val="clear" w:color="auto" w:fill="auto"/>
          </w:tcPr>
          <w:p w14:paraId="23FEA711" w14:textId="53B39662"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3,748,406 </w:t>
            </w:r>
          </w:p>
        </w:tc>
        <w:tc>
          <w:tcPr>
            <w:tcW w:w="1111" w:type="pct"/>
            <w:shd w:val="clear" w:color="auto" w:fill="auto"/>
          </w:tcPr>
          <w:p w14:paraId="7B5BFCA2" w14:textId="00048A75"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25,674 </w:t>
            </w:r>
          </w:p>
        </w:tc>
        <w:tc>
          <w:tcPr>
            <w:tcW w:w="1210" w:type="pct"/>
          </w:tcPr>
          <w:p w14:paraId="12F7BB4E"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3,007 </w:t>
            </w:r>
          </w:p>
        </w:tc>
      </w:tr>
      <w:tr w:rsidR="006462A7" w:rsidRPr="002C126C" w14:paraId="2B262F3E" w14:textId="77777777" w:rsidTr="007512FF">
        <w:trPr>
          <w:cantSplit/>
          <w:trHeight w:val="283"/>
          <w:jc w:val="center"/>
        </w:trPr>
        <w:tc>
          <w:tcPr>
            <w:tcW w:w="633" w:type="pct"/>
            <w:shd w:val="clear" w:color="auto" w:fill="auto"/>
          </w:tcPr>
          <w:p w14:paraId="61813944"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Q4 2021</w:t>
            </w:r>
          </w:p>
        </w:tc>
        <w:tc>
          <w:tcPr>
            <w:tcW w:w="1177" w:type="pct"/>
            <w:shd w:val="clear" w:color="auto" w:fill="auto"/>
          </w:tcPr>
          <w:p w14:paraId="357ECE61"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154 </w:t>
            </w:r>
          </w:p>
        </w:tc>
        <w:tc>
          <w:tcPr>
            <w:tcW w:w="870" w:type="pct"/>
            <w:shd w:val="clear" w:color="auto" w:fill="auto"/>
          </w:tcPr>
          <w:p w14:paraId="5CC02F8F" w14:textId="25B31D8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3,429,735 </w:t>
            </w:r>
          </w:p>
        </w:tc>
        <w:tc>
          <w:tcPr>
            <w:tcW w:w="1111" w:type="pct"/>
            <w:shd w:val="clear" w:color="auto" w:fill="auto"/>
          </w:tcPr>
          <w:p w14:paraId="53ED765C" w14:textId="49404986"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22,271 </w:t>
            </w:r>
          </w:p>
        </w:tc>
        <w:tc>
          <w:tcPr>
            <w:tcW w:w="1210" w:type="pct"/>
          </w:tcPr>
          <w:p w14:paraId="57E29976"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3,161 </w:t>
            </w:r>
          </w:p>
        </w:tc>
      </w:tr>
      <w:tr w:rsidR="006462A7" w:rsidRPr="002C126C" w14:paraId="0A01B303" w14:textId="77777777" w:rsidTr="007512FF">
        <w:trPr>
          <w:cantSplit/>
          <w:trHeight w:val="283"/>
          <w:jc w:val="center"/>
        </w:trPr>
        <w:tc>
          <w:tcPr>
            <w:tcW w:w="633" w:type="pct"/>
            <w:shd w:val="clear" w:color="auto" w:fill="auto"/>
          </w:tcPr>
          <w:p w14:paraId="72EF1C29"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Q1 2022</w:t>
            </w:r>
          </w:p>
        </w:tc>
        <w:tc>
          <w:tcPr>
            <w:tcW w:w="1177" w:type="pct"/>
            <w:shd w:val="clear" w:color="auto" w:fill="auto"/>
          </w:tcPr>
          <w:p w14:paraId="5A184B67"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159 </w:t>
            </w:r>
          </w:p>
        </w:tc>
        <w:tc>
          <w:tcPr>
            <w:tcW w:w="870" w:type="pct"/>
            <w:shd w:val="clear" w:color="auto" w:fill="auto"/>
          </w:tcPr>
          <w:p w14:paraId="711187A8" w14:textId="708948AE"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6,714,075 </w:t>
            </w:r>
          </w:p>
        </w:tc>
        <w:tc>
          <w:tcPr>
            <w:tcW w:w="1111" w:type="pct"/>
            <w:shd w:val="clear" w:color="auto" w:fill="auto"/>
          </w:tcPr>
          <w:p w14:paraId="488E1EAF" w14:textId="42517B2A"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42,227 </w:t>
            </w:r>
          </w:p>
        </w:tc>
        <w:tc>
          <w:tcPr>
            <w:tcW w:w="1210" w:type="pct"/>
          </w:tcPr>
          <w:p w14:paraId="0F3BF3B9"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3,320 </w:t>
            </w:r>
          </w:p>
        </w:tc>
      </w:tr>
      <w:tr w:rsidR="006462A7" w:rsidRPr="002C126C" w14:paraId="022C0306" w14:textId="77777777" w:rsidTr="007512FF">
        <w:trPr>
          <w:cantSplit/>
          <w:trHeight w:val="283"/>
          <w:jc w:val="center"/>
        </w:trPr>
        <w:tc>
          <w:tcPr>
            <w:tcW w:w="633" w:type="pct"/>
            <w:shd w:val="clear" w:color="auto" w:fill="auto"/>
          </w:tcPr>
          <w:p w14:paraId="7E3D3368"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Q2 2022</w:t>
            </w:r>
          </w:p>
        </w:tc>
        <w:tc>
          <w:tcPr>
            <w:tcW w:w="1177" w:type="pct"/>
            <w:shd w:val="clear" w:color="auto" w:fill="auto"/>
          </w:tcPr>
          <w:p w14:paraId="0CEA1B43"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165 </w:t>
            </w:r>
          </w:p>
        </w:tc>
        <w:tc>
          <w:tcPr>
            <w:tcW w:w="870" w:type="pct"/>
            <w:shd w:val="clear" w:color="auto" w:fill="auto"/>
          </w:tcPr>
          <w:p w14:paraId="0C24A432" w14:textId="16233A11"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4,238,267 </w:t>
            </w:r>
          </w:p>
        </w:tc>
        <w:tc>
          <w:tcPr>
            <w:tcW w:w="1111" w:type="pct"/>
            <w:shd w:val="clear" w:color="auto" w:fill="auto"/>
          </w:tcPr>
          <w:p w14:paraId="74BBD73F" w14:textId="4AEEC7A9"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25,686 </w:t>
            </w:r>
          </w:p>
        </w:tc>
        <w:tc>
          <w:tcPr>
            <w:tcW w:w="1210" w:type="pct"/>
          </w:tcPr>
          <w:p w14:paraId="653D77DB"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3,485 </w:t>
            </w:r>
          </w:p>
        </w:tc>
      </w:tr>
      <w:tr w:rsidR="006462A7" w:rsidRPr="002C126C" w14:paraId="25C85176" w14:textId="77777777" w:rsidTr="007512FF">
        <w:trPr>
          <w:cantSplit/>
          <w:trHeight w:val="283"/>
          <w:jc w:val="center"/>
        </w:trPr>
        <w:tc>
          <w:tcPr>
            <w:tcW w:w="633" w:type="pct"/>
            <w:shd w:val="clear" w:color="auto" w:fill="auto"/>
          </w:tcPr>
          <w:p w14:paraId="6D7CB752"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Q3 2022</w:t>
            </w:r>
          </w:p>
        </w:tc>
        <w:tc>
          <w:tcPr>
            <w:tcW w:w="1177" w:type="pct"/>
            <w:shd w:val="clear" w:color="auto" w:fill="auto"/>
          </w:tcPr>
          <w:p w14:paraId="6491C332"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187 </w:t>
            </w:r>
          </w:p>
        </w:tc>
        <w:tc>
          <w:tcPr>
            <w:tcW w:w="870" w:type="pct"/>
            <w:shd w:val="clear" w:color="auto" w:fill="auto"/>
          </w:tcPr>
          <w:p w14:paraId="46FA300D" w14:textId="2947ED19"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6,225,650 </w:t>
            </w:r>
          </w:p>
        </w:tc>
        <w:tc>
          <w:tcPr>
            <w:tcW w:w="1111" w:type="pct"/>
            <w:shd w:val="clear" w:color="auto" w:fill="auto"/>
          </w:tcPr>
          <w:p w14:paraId="0712493A" w14:textId="456E6A39"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33,292 </w:t>
            </w:r>
          </w:p>
        </w:tc>
        <w:tc>
          <w:tcPr>
            <w:tcW w:w="1210" w:type="pct"/>
          </w:tcPr>
          <w:p w14:paraId="638FFC20"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3,672 </w:t>
            </w:r>
          </w:p>
        </w:tc>
      </w:tr>
      <w:tr w:rsidR="006462A7" w:rsidRPr="002C126C" w14:paraId="454678B6" w14:textId="77777777" w:rsidTr="007512FF">
        <w:trPr>
          <w:cantSplit/>
          <w:trHeight w:val="283"/>
          <w:jc w:val="center"/>
        </w:trPr>
        <w:tc>
          <w:tcPr>
            <w:tcW w:w="633" w:type="pct"/>
            <w:shd w:val="clear" w:color="auto" w:fill="auto"/>
          </w:tcPr>
          <w:p w14:paraId="10E9DCAF"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Q4 2022</w:t>
            </w:r>
          </w:p>
        </w:tc>
        <w:tc>
          <w:tcPr>
            <w:tcW w:w="1177" w:type="pct"/>
            <w:shd w:val="clear" w:color="auto" w:fill="auto"/>
          </w:tcPr>
          <w:p w14:paraId="76C3DD9E"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173 </w:t>
            </w:r>
          </w:p>
        </w:tc>
        <w:tc>
          <w:tcPr>
            <w:tcW w:w="870" w:type="pct"/>
            <w:shd w:val="clear" w:color="auto" w:fill="auto"/>
          </w:tcPr>
          <w:p w14:paraId="5319F181" w14:textId="17ED23C6"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4,661,135 </w:t>
            </w:r>
          </w:p>
        </w:tc>
        <w:tc>
          <w:tcPr>
            <w:tcW w:w="1111" w:type="pct"/>
            <w:shd w:val="clear" w:color="auto" w:fill="auto"/>
          </w:tcPr>
          <w:p w14:paraId="2552CC7D" w14:textId="37EDDFA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26,943 </w:t>
            </w:r>
          </w:p>
        </w:tc>
        <w:tc>
          <w:tcPr>
            <w:tcW w:w="1210" w:type="pct"/>
          </w:tcPr>
          <w:p w14:paraId="747B9D17"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3,845 </w:t>
            </w:r>
          </w:p>
        </w:tc>
      </w:tr>
      <w:tr w:rsidR="006462A7" w:rsidRPr="002C126C" w14:paraId="5CB6063F" w14:textId="77777777" w:rsidTr="007512FF">
        <w:trPr>
          <w:cantSplit/>
          <w:trHeight w:val="283"/>
          <w:jc w:val="center"/>
        </w:trPr>
        <w:tc>
          <w:tcPr>
            <w:tcW w:w="633" w:type="pct"/>
            <w:shd w:val="clear" w:color="auto" w:fill="auto"/>
          </w:tcPr>
          <w:p w14:paraId="3B91B39C"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Q1 2023</w:t>
            </w:r>
          </w:p>
        </w:tc>
        <w:tc>
          <w:tcPr>
            <w:tcW w:w="1177" w:type="pct"/>
            <w:shd w:val="clear" w:color="auto" w:fill="auto"/>
          </w:tcPr>
          <w:p w14:paraId="5FA44B2D"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260 </w:t>
            </w:r>
          </w:p>
        </w:tc>
        <w:tc>
          <w:tcPr>
            <w:tcW w:w="870" w:type="pct"/>
            <w:shd w:val="clear" w:color="auto" w:fill="auto"/>
          </w:tcPr>
          <w:p w14:paraId="3CE4DF94" w14:textId="476D8261"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5,464,126 </w:t>
            </w:r>
          </w:p>
        </w:tc>
        <w:tc>
          <w:tcPr>
            <w:tcW w:w="1111" w:type="pct"/>
            <w:shd w:val="clear" w:color="auto" w:fill="auto"/>
          </w:tcPr>
          <w:p w14:paraId="33620FA0" w14:textId="3BA9E66E"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21,016 </w:t>
            </w:r>
          </w:p>
        </w:tc>
        <w:tc>
          <w:tcPr>
            <w:tcW w:w="1210" w:type="pct"/>
          </w:tcPr>
          <w:p w14:paraId="53FE4551"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4,105 </w:t>
            </w:r>
          </w:p>
        </w:tc>
      </w:tr>
      <w:tr w:rsidR="006462A7" w:rsidRPr="002C126C" w14:paraId="4CD95C5C" w14:textId="77777777" w:rsidTr="007512FF">
        <w:trPr>
          <w:cantSplit/>
          <w:trHeight w:val="283"/>
          <w:jc w:val="center"/>
        </w:trPr>
        <w:tc>
          <w:tcPr>
            <w:tcW w:w="633" w:type="pct"/>
            <w:shd w:val="clear" w:color="auto" w:fill="auto"/>
          </w:tcPr>
          <w:p w14:paraId="4E1A8636"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Q2 2023</w:t>
            </w:r>
          </w:p>
        </w:tc>
        <w:tc>
          <w:tcPr>
            <w:tcW w:w="1177" w:type="pct"/>
            <w:shd w:val="clear" w:color="auto" w:fill="auto"/>
          </w:tcPr>
          <w:p w14:paraId="6A9BB1F6"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208 </w:t>
            </w:r>
          </w:p>
        </w:tc>
        <w:tc>
          <w:tcPr>
            <w:tcW w:w="870" w:type="pct"/>
            <w:shd w:val="clear" w:color="auto" w:fill="auto"/>
          </w:tcPr>
          <w:p w14:paraId="72071D3B" w14:textId="7B0E7D3F"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4,221,584 </w:t>
            </w:r>
          </w:p>
        </w:tc>
        <w:tc>
          <w:tcPr>
            <w:tcW w:w="1111" w:type="pct"/>
            <w:shd w:val="clear" w:color="auto" w:fill="auto"/>
          </w:tcPr>
          <w:p w14:paraId="15F94BBC" w14:textId="7FF9DEDA"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20,296 </w:t>
            </w:r>
          </w:p>
        </w:tc>
        <w:tc>
          <w:tcPr>
            <w:tcW w:w="1210" w:type="pct"/>
          </w:tcPr>
          <w:p w14:paraId="17DB22F9"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4,313 </w:t>
            </w:r>
          </w:p>
        </w:tc>
      </w:tr>
      <w:tr w:rsidR="006462A7" w:rsidRPr="002C126C" w14:paraId="71D6B858" w14:textId="77777777" w:rsidTr="007512FF">
        <w:trPr>
          <w:cantSplit/>
          <w:trHeight w:val="283"/>
          <w:jc w:val="center"/>
        </w:trPr>
        <w:tc>
          <w:tcPr>
            <w:tcW w:w="633" w:type="pct"/>
            <w:shd w:val="clear" w:color="auto" w:fill="auto"/>
          </w:tcPr>
          <w:p w14:paraId="49B90E36"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Q3 2023</w:t>
            </w:r>
          </w:p>
        </w:tc>
        <w:tc>
          <w:tcPr>
            <w:tcW w:w="1177" w:type="pct"/>
            <w:shd w:val="clear" w:color="auto" w:fill="auto"/>
          </w:tcPr>
          <w:p w14:paraId="5B6310D2"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232 </w:t>
            </w:r>
          </w:p>
        </w:tc>
        <w:tc>
          <w:tcPr>
            <w:tcW w:w="870" w:type="pct"/>
            <w:shd w:val="clear" w:color="auto" w:fill="auto"/>
          </w:tcPr>
          <w:p w14:paraId="02893504" w14:textId="4CBB1711"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4,414,060 </w:t>
            </w:r>
          </w:p>
        </w:tc>
        <w:tc>
          <w:tcPr>
            <w:tcW w:w="1111" w:type="pct"/>
            <w:shd w:val="clear" w:color="auto" w:fill="auto"/>
          </w:tcPr>
          <w:p w14:paraId="64C37D11" w14:textId="2FE749AE"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19,026 </w:t>
            </w:r>
          </w:p>
        </w:tc>
        <w:tc>
          <w:tcPr>
            <w:tcW w:w="1210" w:type="pct"/>
          </w:tcPr>
          <w:p w14:paraId="3AA1F23C"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4,545 </w:t>
            </w:r>
          </w:p>
        </w:tc>
      </w:tr>
      <w:tr w:rsidR="006462A7" w:rsidRPr="002C126C" w14:paraId="3776751F" w14:textId="77777777" w:rsidTr="007512FF">
        <w:trPr>
          <w:cantSplit/>
          <w:trHeight w:val="283"/>
          <w:jc w:val="center"/>
        </w:trPr>
        <w:tc>
          <w:tcPr>
            <w:tcW w:w="633" w:type="pct"/>
            <w:shd w:val="clear" w:color="auto" w:fill="auto"/>
          </w:tcPr>
          <w:p w14:paraId="556AEBEC" w14:textId="0CC19C20"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Q4 2023</w:t>
            </w:r>
          </w:p>
        </w:tc>
        <w:tc>
          <w:tcPr>
            <w:tcW w:w="1177" w:type="pct"/>
            <w:shd w:val="clear" w:color="auto" w:fill="auto"/>
          </w:tcPr>
          <w:p w14:paraId="01E9A291"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196 </w:t>
            </w:r>
          </w:p>
        </w:tc>
        <w:tc>
          <w:tcPr>
            <w:tcW w:w="870" w:type="pct"/>
            <w:shd w:val="clear" w:color="auto" w:fill="auto"/>
          </w:tcPr>
          <w:p w14:paraId="7B0E4261" w14:textId="3B862582"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4,517,544 </w:t>
            </w:r>
          </w:p>
        </w:tc>
        <w:tc>
          <w:tcPr>
            <w:tcW w:w="1111" w:type="pct"/>
            <w:shd w:val="clear" w:color="auto" w:fill="auto"/>
          </w:tcPr>
          <w:p w14:paraId="6D157BCC" w14:textId="5702750C"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23,049 </w:t>
            </w:r>
          </w:p>
        </w:tc>
        <w:tc>
          <w:tcPr>
            <w:tcW w:w="1210" w:type="pct"/>
          </w:tcPr>
          <w:p w14:paraId="6C3B3BEA"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4,741 </w:t>
            </w:r>
          </w:p>
        </w:tc>
      </w:tr>
      <w:tr w:rsidR="006462A7" w:rsidRPr="002C126C" w14:paraId="230699A5" w14:textId="77777777" w:rsidTr="007512FF">
        <w:trPr>
          <w:cantSplit/>
          <w:trHeight w:val="283"/>
          <w:jc w:val="center"/>
        </w:trPr>
        <w:tc>
          <w:tcPr>
            <w:tcW w:w="633" w:type="pct"/>
            <w:shd w:val="clear" w:color="auto" w:fill="auto"/>
          </w:tcPr>
          <w:p w14:paraId="5677FC81"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Q1 2024</w:t>
            </w:r>
          </w:p>
        </w:tc>
        <w:tc>
          <w:tcPr>
            <w:tcW w:w="1177" w:type="pct"/>
            <w:shd w:val="clear" w:color="auto" w:fill="auto"/>
          </w:tcPr>
          <w:p w14:paraId="541EBD53"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234 </w:t>
            </w:r>
          </w:p>
        </w:tc>
        <w:tc>
          <w:tcPr>
            <w:tcW w:w="870" w:type="pct"/>
            <w:shd w:val="clear" w:color="auto" w:fill="auto"/>
          </w:tcPr>
          <w:p w14:paraId="3A51F889" w14:textId="4A8BBB0A" w:rsidR="006462A7" w:rsidRPr="007512FF" w:rsidRDefault="006462A7" w:rsidP="30C5BA2A">
            <w:pPr>
              <w:spacing w:line="259" w:lineRule="auto"/>
              <w:jc w:val="right"/>
              <w:rPr>
                <w:rFonts w:ascii="Humnst777 BT" w:hAnsi="Humnst777 BT" w:cs="Calibri"/>
                <w:color w:val="000000"/>
                <w:sz w:val="20"/>
                <w:szCs w:val="20"/>
              </w:rPr>
            </w:pPr>
            <w:r w:rsidRPr="007512FF">
              <w:rPr>
                <w:rFonts w:ascii="Humnst777 BT" w:hAnsi="Humnst777 BT" w:cs="Calibri"/>
                <w:color w:val="000000"/>
                <w:sz w:val="20"/>
                <w:szCs w:val="20"/>
              </w:rPr>
              <w:t xml:space="preserve">       5,228,992 </w:t>
            </w:r>
          </w:p>
        </w:tc>
        <w:tc>
          <w:tcPr>
            <w:tcW w:w="1111" w:type="pct"/>
            <w:shd w:val="clear" w:color="auto" w:fill="auto"/>
          </w:tcPr>
          <w:p w14:paraId="75B8825F" w14:textId="14512939"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22,346 </w:t>
            </w:r>
          </w:p>
        </w:tc>
        <w:tc>
          <w:tcPr>
            <w:tcW w:w="1210" w:type="pct"/>
          </w:tcPr>
          <w:p w14:paraId="426E7836"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4,975 </w:t>
            </w:r>
          </w:p>
        </w:tc>
      </w:tr>
      <w:tr w:rsidR="006462A7" w:rsidRPr="002C126C" w14:paraId="6670A608" w14:textId="77777777" w:rsidTr="007512FF">
        <w:trPr>
          <w:cantSplit/>
          <w:trHeight w:val="283"/>
          <w:jc w:val="center"/>
        </w:trPr>
        <w:tc>
          <w:tcPr>
            <w:tcW w:w="633" w:type="pct"/>
            <w:shd w:val="clear" w:color="auto" w:fill="auto"/>
          </w:tcPr>
          <w:p w14:paraId="4F41033E"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Q2 2024</w:t>
            </w:r>
          </w:p>
        </w:tc>
        <w:tc>
          <w:tcPr>
            <w:tcW w:w="1177" w:type="pct"/>
            <w:shd w:val="clear" w:color="auto" w:fill="auto"/>
          </w:tcPr>
          <w:p w14:paraId="0C263320"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193 </w:t>
            </w:r>
          </w:p>
        </w:tc>
        <w:tc>
          <w:tcPr>
            <w:tcW w:w="870" w:type="pct"/>
            <w:shd w:val="clear" w:color="auto" w:fill="auto"/>
          </w:tcPr>
          <w:p w14:paraId="3083FEAF" w14:textId="52D7B46A" w:rsidR="006462A7" w:rsidRPr="007512FF" w:rsidRDefault="006462A7" w:rsidP="30C5BA2A">
            <w:pPr>
              <w:spacing w:line="259" w:lineRule="auto"/>
              <w:jc w:val="right"/>
              <w:rPr>
                <w:rFonts w:ascii="Humnst777 BT" w:hAnsi="Humnst777 BT" w:cs="Calibri"/>
                <w:color w:val="000000"/>
                <w:sz w:val="20"/>
                <w:szCs w:val="20"/>
              </w:rPr>
            </w:pPr>
            <w:r w:rsidRPr="007512FF">
              <w:rPr>
                <w:rFonts w:ascii="Humnst777 BT" w:hAnsi="Humnst777 BT" w:cs="Calibri"/>
                <w:color w:val="000000"/>
                <w:sz w:val="20"/>
                <w:szCs w:val="20"/>
              </w:rPr>
              <w:t xml:space="preserve">       4,615,760 </w:t>
            </w:r>
          </w:p>
        </w:tc>
        <w:tc>
          <w:tcPr>
            <w:tcW w:w="1111" w:type="pct"/>
            <w:shd w:val="clear" w:color="auto" w:fill="auto"/>
          </w:tcPr>
          <w:p w14:paraId="52CE51EB" w14:textId="12F725F8"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23,916 </w:t>
            </w:r>
          </w:p>
        </w:tc>
        <w:tc>
          <w:tcPr>
            <w:tcW w:w="1210" w:type="pct"/>
            <w:vAlign w:val="bottom"/>
          </w:tcPr>
          <w:p w14:paraId="5029961D"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5,168</w:t>
            </w:r>
          </w:p>
        </w:tc>
      </w:tr>
      <w:tr w:rsidR="006462A7" w:rsidRPr="002C126C" w14:paraId="61625FF5" w14:textId="77777777" w:rsidTr="007512FF">
        <w:trPr>
          <w:cantSplit/>
          <w:trHeight w:val="283"/>
          <w:jc w:val="center"/>
        </w:trPr>
        <w:tc>
          <w:tcPr>
            <w:tcW w:w="633" w:type="pct"/>
            <w:tcBorders>
              <w:bottom w:val="single" w:sz="4" w:space="0" w:color="auto"/>
            </w:tcBorders>
            <w:shd w:val="clear" w:color="auto" w:fill="auto"/>
          </w:tcPr>
          <w:p w14:paraId="0A9E7666"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Q3 2024</w:t>
            </w:r>
          </w:p>
        </w:tc>
        <w:tc>
          <w:tcPr>
            <w:tcW w:w="1177" w:type="pct"/>
            <w:tcBorders>
              <w:bottom w:val="single" w:sz="4" w:space="0" w:color="auto"/>
            </w:tcBorders>
            <w:shd w:val="clear" w:color="auto" w:fill="auto"/>
          </w:tcPr>
          <w:p w14:paraId="7C30D355"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219</w:t>
            </w:r>
          </w:p>
        </w:tc>
        <w:tc>
          <w:tcPr>
            <w:tcW w:w="870" w:type="pct"/>
            <w:tcBorders>
              <w:bottom w:val="single" w:sz="4" w:space="0" w:color="auto"/>
            </w:tcBorders>
            <w:shd w:val="clear" w:color="auto" w:fill="auto"/>
          </w:tcPr>
          <w:p w14:paraId="7828717E" w14:textId="762B5A05" w:rsidR="006462A7" w:rsidRPr="007512FF" w:rsidRDefault="006462A7" w:rsidP="30C5BA2A">
            <w:pPr>
              <w:spacing w:line="259" w:lineRule="auto"/>
              <w:jc w:val="right"/>
              <w:rPr>
                <w:rFonts w:ascii="Humnst777 BT" w:hAnsi="Humnst777 BT" w:cs="Calibri"/>
                <w:color w:val="000000"/>
                <w:sz w:val="20"/>
                <w:szCs w:val="20"/>
              </w:rPr>
            </w:pPr>
            <w:r w:rsidRPr="007512FF">
              <w:rPr>
                <w:rFonts w:ascii="Humnst777 BT" w:hAnsi="Humnst777 BT" w:cs="Calibri"/>
                <w:color w:val="000000"/>
                <w:sz w:val="20"/>
                <w:szCs w:val="20"/>
              </w:rPr>
              <w:t>4,348,333</w:t>
            </w:r>
          </w:p>
        </w:tc>
        <w:tc>
          <w:tcPr>
            <w:tcW w:w="1111" w:type="pct"/>
            <w:tcBorders>
              <w:bottom w:val="single" w:sz="4" w:space="0" w:color="auto"/>
            </w:tcBorders>
            <w:shd w:val="clear" w:color="auto" w:fill="auto"/>
          </w:tcPr>
          <w:p w14:paraId="4296D44D" w14:textId="2E784D13"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 xml:space="preserve">            19,855 </w:t>
            </w:r>
          </w:p>
        </w:tc>
        <w:tc>
          <w:tcPr>
            <w:tcW w:w="1210" w:type="pct"/>
            <w:tcBorders>
              <w:bottom w:val="single" w:sz="4" w:space="0" w:color="auto"/>
            </w:tcBorders>
            <w:vAlign w:val="bottom"/>
          </w:tcPr>
          <w:p w14:paraId="2F5B6C9C" w14:textId="77777777" w:rsidR="006462A7" w:rsidRPr="007512FF" w:rsidRDefault="006462A7" w:rsidP="007F5E56">
            <w:pPr>
              <w:jc w:val="right"/>
              <w:rPr>
                <w:rFonts w:ascii="Humnst777 BT" w:hAnsi="Humnst777 BT" w:cs="Calibri"/>
                <w:color w:val="000000"/>
                <w:sz w:val="20"/>
                <w:szCs w:val="20"/>
              </w:rPr>
            </w:pPr>
            <w:r w:rsidRPr="007512FF">
              <w:rPr>
                <w:rFonts w:ascii="Humnst777 BT" w:hAnsi="Humnst777 BT" w:cs="Calibri"/>
                <w:color w:val="000000"/>
                <w:sz w:val="20"/>
                <w:szCs w:val="20"/>
              </w:rPr>
              <w:t>5,387</w:t>
            </w:r>
          </w:p>
        </w:tc>
      </w:tr>
      <w:tr w:rsidR="006462A7" w:rsidRPr="002C126C" w14:paraId="6D641C8B" w14:textId="77777777" w:rsidTr="007512FF">
        <w:trPr>
          <w:cantSplit/>
          <w:trHeight w:val="283"/>
          <w:jc w:val="center"/>
        </w:trPr>
        <w:tc>
          <w:tcPr>
            <w:tcW w:w="633" w:type="pct"/>
            <w:tcBorders>
              <w:top w:val="single" w:sz="4" w:space="0" w:color="auto"/>
              <w:bottom w:val="single" w:sz="4" w:space="0" w:color="C00000"/>
            </w:tcBorders>
            <w:shd w:val="clear" w:color="auto" w:fill="auto"/>
          </w:tcPr>
          <w:p w14:paraId="16081831" w14:textId="77777777" w:rsidR="006462A7" w:rsidRPr="007512FF" w:rsidRDefault="006462A7" w:rsidP="007512FF">
            <w:pPr>
              <w:rPr>
                <w:rFonts w:ascii="Humnst777 BT" w:hAnsi="Humnst777 BT" w:cs="Calibri"/>
                <w:b/>
                <w:bCs/>
                <w:color w:val="000000"/>
                <w:sz w:val="20"/>
                <w:szCs w:val="20"/>
              </w:rPr>
            </w:pPr>
            <w:r w:rsidRPr="007512FF">
              <w:rPr>
                <w:rFonts w:ascii="Humnst777 BT" w:hAnsi="Humnst777 BT" w:cs="Calibri"/>
                <w:b/>
                <w:bCs/>
                <w:color w:val="000000"/>
                <w:sz w:val="20"/>
                <w:szCs w:val="20"/>
              </w:rPr>
              <w:t>Total</w:t>
            </w:r>
          </w:p>
        </w:tc>
        <w:tc>
          <w:tcPr>
            <w:tcW w:w="1177" w:type="pct"/>
            <w:tcBorders>
              <w:top w:val="single" w:sz="4" w:space="0" w:color="auto"/>
              <w:bottom w:val="single" w:sz="4" w:space="0" w:color="C00000"/>
            </w:tcBorders>
            <w:shd w:val="clear" w:color="auto" w:fill="auto"/>
          </w:tcPr>
          <w:p w14:paraId="4F94CFA4" w14:textId="77777777" w:rsidR="006462A7" w:rsidRPr="007512FF" w:rsidRDefault="006462A7" w:rsidP="007F5E56">
            <w:pPr>
              <w:jc w:val="right"/>
              <w:rPr>
                <w:rFonts w:ascii="Humnst777 BT" w:hAnsi="Humnst777 BT" w:cs="Calibri"/>
                <w:b/>
                <w:bCs/>
                <w:color w:val="000000"/>
                <w:sz w:val="20"/>
                <w:szCs w:val="20"/>
              </w:rPr>
            </w:pPr>
            <w:r w:rsidRPr="007512FF">
              <w:rPr>
                <w:rFonts w:ascii="Humnst777 BT" w:hAnsi="Humnst777 BT" w:cs="Calibri"/>
                <w:b/>
                <w:bCs/>
                <w:color w:val="000000"/>
                <w:sz w:val="20"/>
                <w:szCs w:val="20"/>
              </w:rPr>
              <w:t xml:space="preserve">5,387 </w:t>
            </w:r>
          </w:p>
        </w:tc>
        <w:tc>
          <w:tcPr>
            <w:tcW w:w="870" w:type="pct"/>
            <w:tcBorders>
              <w:top w:val="single" w:sz="4" w:space="0" w:color="auto"/>
              <w:bottom w:val="single" w:sz="4" w:space="0" w:color="C00000"/>
            </w:tcBorders>
            <w:shd w:val="clear" w:color="auto" w:fill="auto"/>
          </w:tcPr>
          <w:p w14:paraId="1AEE9721" w14:textId="62FB7B9F" w:rsidR="006462A7" w:rsidRPr="007512FF" w:rsidRDefault="006462A7" w:rsidP="007F5E56">
            <w:pPr>
              <w:jc w:val="right"/>
              <w:rPr>
                <w:rFonts w:ascii="Humnst777 BT" w:hAnsi="Humnst777 BT" w:cs="Calibri"/>
                <w:b/>
                <w:bCs/>
                <w:color w:val="000000"/>
                <w:sz w:val="20"/>
                <w:szCs w:val="20"/>
              </w:rPr>
            </w:pPr>
            <w:r w:rsidRPr="007512FF">
              <w:rPr>
                <w:rFonts w:ascii="Humnst777 BT" w:hAnsi="Humnst777 BT" w:cs="Calibri"/>
                <w:b/>
                <w:bCs/>
                <w:color w:val="000000"/>
                <w:sz w:val="20"/>
                <w:szCs w:val="20"/>
              </w:rPr>
              <w:t>128,678,355</w:t>
            </w:r>
          </w:p>
        </w:tc>
        <w:tc>
          <w:tcPr>
            <w:tcW w:w="1111" w:type="pct"/>
            <w:tcBorders>
              <w:top w:val="single" w:sz="4" w:space="0" w:color="auto"/>
              <w:bottom w:val="single" w:sz="4" w:space="0" w:color="C00000"/>
            </w:tcBorders>
            <w:shd w:val="clear" w:color="auto" w:fill="auto"/>
          </w:tcPr>
          <w:p w14:paraId="4E288A94" w14:textId="538D94F6" w:rsidR="006462A7" w:rsidRPr="007512FF" w:rsidRDefault="006462A7" w:rsidP="007F5E56">
            <w:pPr>
              <w:jc w:val="right"/>
              <w:rPr>
                <w:rFonts w:ascii="Humnst777 BT" w:hAnsi="Humnst777 BT" w:cs="Calibri"/>
                <w:b/>
                <w:bCs/>
                <w:color w:val="000000"/>
                <w:sz w:val="20"/>
                <w:szCs w:val="20"/>
              </w:rPr>
            </w:pPr>
            <w:r w:rsidRPr="007512FF">
              <w:rPr>
                <w:rFonts w:ascii="Humnst777 BT" w:hAnsi="Humnst777 BT" w:cs="Calibri"/>
                <w:b/>
                <w:bCs/>
                <w:color w:val="000000"/>
                <w:sz w:val="20"/>
                <w:szCs w:val="20"/>
              </w:rPr>
              <w:t xml:space="preserve">                   23,887</w:t>
            </w:r>
          </w:p>
        </w:tc>
        <w:tc>
          <w:tcPr>
            <w:tcW w:w="1210" w:type="pct"/>
            <w:tcBorders>
              <w:top w:val="single" w:sz="4" w:space="0" w:color="auto"/>
              <w:bottom w:val="single" w:sz="4" w:space="0" w:color="C00000"/>
            </w:tcBorders>
          </w:tcPr>
          <w:p w14:paraId="04593573" w14:textId="77777777" w:rsidR="006462A7" w:rsidRPr="007512FF" w:rsidRDefault="006462A7" w:rsidP="007F5E56">
            <w:pPr>
              <w:rPr>
                <w:rFonts w:ascii="Humnst777 BT" w:hAnsi="Humnst777 BT" w:cs="Calibri"/>
                <w:b/>
                <w:bCs/>
                <w:color w:val="000000"/>
                <w:sz w:val="20"/>
                <w:szCs w:val="20"/>
              </w:rPr>
            </w:pPr>
          </w:p>
        </w:tc>
      </w:tr>
    </w:tbl>
    <w:p w14:paraId="0FDA3BD1" w14:textId="69E18FD8" w:rsidR="00F164C4" w:rsidRDefault="00F164C4" w:rsidP="00687F4F">
      <w:pPr>
        <w:pStyle w:val="BodyText"/>
        <w:numPr>
          <w:ilvl w:val="0"/>
          <w:numId w:val="0"/>
        </w:numPr>
        <w:rPr>
          <w:spacing w:val="-2"/>
        </w:rPr>
      </w:pPr>
    </w:p>
    <w:p w14:paraId="42716331" w14:textId="3F1F3DAF" w:rsidR="00181FBF" w:rsidRPr="00A9661A" w:rsidRDefault="00E36C13" w:rsidP="00405A65">
      <w:pPr>
        <w:pStyle w:val="Heading1"/>
      </w:pPr>
      <w:r>
        <w:t xml:space="preserve">Quarterly referrals </w:t>
      </w:r>
    </w:p>
    <w:p w14:paraId="42E21B11" w14:textId="373210BC" w:rsidR="00E36C13" w:rsidRDefault="00E36C13" w:rsidP="00FE3CF6">
      <w:pPr>
        <w:pStyle w:val="BodyText"/>
        <w:numPr>
          <w:ilvl w:val="0"/>
          <w:numId w:val="0"/>
        </w:numPr>
        <w:rPr>
          <w:spacing w:val="-2"/>
        </w:rPr>
      </w:pPr>
      <w:r w:rsidRPr="006D462B">
        <w:rPr>
          <w:spacing w:val="-2"/>
        </w:rPr>
        <w:t xml:space="preserve">Table </w:t>
      </w:r>
      <w:r>
        <w:rPr>
          <w:spacing w:val="-2"/>
        </w:rPr>
        <w:t>2</w:t>
      </w:r>
      <w:r w:rsidRPr="006D462B">
        <w:rPr>
          <w:spacing w:val="-2"/>
        </w:rPr>
        <w:t xml:space="preserve"> shows </w:t>
      </w:r>
      <w:r>
        <w:rPr>
          <w:spacing w:val="-2"/>
        </w:rPr>
        <w:t xml:space="preserve">the number of SMEs referred under the scheme. </w:t>
      </w:r>
      <w:r w:rsidR="009B1C76">
        <w:rPr>
          <w:spacing w:val="-2"/>
        </w:rPr>
        <w:t xml:space="preserve">As of </w:t>
      </w:r>
      <w:r w:rsidR="002617CA">
        <w:rPr>
          <w:spacing w:val="-2"/>
        </w:rPr>
        <w:t>Q3 2024, there have been 110,985 referrals made by designated banks to the designated finance platforms.</w:t>
      </w:r>
    </w:p>
    <w:p w14:paraId="128B0741" w14:textId="7CFD856C" w:rsidR="00925195" w:rsidRPr="00FE3CF6" w:rsidRDefault="009A4401" w:rsidP="00FE3CF6">
      <w:pPr>
        <w:pStyle w:val="BodyText"/>
        <w:numPr>
          <w:ilvl w:val="0"/>
          <w:numId w:val="0"/>
        </w:numPr>
        <w:rPr>
          <w:spacing w:val="-2"/>
        </w:rPr>
      </w:pPr>
      <w:r>
        <w:rPr>
          <w:spacing w:val="-2"/>
        </w:rPr>
        <w:t xml:space="preserve">Q1 2024 recorded the highest </w:t>
      </w:r>
      <w:proofErr w:type="gramStart"/>
      <w:r>
        <w:rPr>
          <w:spacing w:val="-2"/>
        </w:rPr>
        <w:t>amount</w:t>
      </w:r>
      <w:proofErr w:type="gramEnd"/>
      <w:r>
        <w:rPr>
          <w:spacing w:val="-2"/>
        </w:rPr>
        <w:t xml:space="preserve"> of referrals in a quarter</w:t>
      </w:r>
      <w:r w:rsidR="00983A6E">
        <w:rPr>
          <w:spacing w:val="-2"/>
        </w:rPr>
        <w:t xml:space="preserve"> since the scheme began. </w:t>
      </w:r>
      <w:r w:rsidR="00907350">
        <w:t xml:space="preserve">Referrals in Q2 and Q3 2024 were lower, consistent with typical trends observed in non-pandemic years. </w:t>
      </w:r>
      <w:r w:rsidR="00E20905">
        <w:rPr>
          <w:spacing w:val="-2"/>
        </w:rPr>
        <w:t xml:space="preserve">The </w:t>
      </w:r>
      <w:proofErr w:type="gramStart"/>
      <w:r w:rsidR="00E20905">
        <w:rPr>
          <w:spacing w:val="-2"/>
        </w:rPr>
        <w:t>amount</w:t>
      </w:r>
      <w:proofErr w:type="gramEnd"/>
      <w:r w:rsidR="00E20905">
        <w:rPr>
          <w:spacing w:val="-2"/>
        </w:rPr>
        <w:t xml:space="preserve"> of referrals in </w:t>
      </w:r>
      <w:r w:rsidR="00891A35">
        <w:rPr>
          <w:spacing w:val="-2"/>
        </w:rPr>
        <w:t>Q2</w:t>
      </w:r>
      <w:r w:rsidR="00331DD3">
        <w:rPr>
          <w:spacing w:val="-2"/>
        </w:rPr>
        <w:t xml:space="preserve"> </w:t>
      </w:r>
      <w:r w:rsidR="00AD56B6">
        <w:rPr>
          <w:spacing w:val="-2"/>
        </w:rPr>
        <w:t>and Q3 of 2024 were noticeably lower than Q2 and Q3 of 2023.</w:t>
      </w:r>
      <w:r w:rsidR="00975AE1">
        <w:rPr>
          <w:spacing w:val="-2"/>
        </w:rPr>
        <w:t xml:space="preserve"> </w:t>
      </w:r>
      <w:r w:rsidR="00774A55">
        <w:rPr>
          <w:spacing w:val="-2"/>
        </w:rPr>
        <w:t>Although</w:t>
      </w:r>
      <w:r w:rsidR="00A017BF">
        <w:rPr>
          <w:spacing w:val="-2"/>
        </w:rPr>
        <w:t xml:space="preserve"> we do not consider this statistically significant, in general we would</w:t>
      </w:r>
      <w:r w:rsidR="009E6DF5">
        <w:rPr>
          <w:spacing w:val="-2"/>
        </w:rPr>
        <w:t xml:space="preserve"> expect quarterly referrals to increase as the </w:t>
      </w:r>
      <w:r w:rsidR="00E967AA">
        <w:rPr>
          <w:spacing w:val="-2"/>
        </w:rPr>
        <w:t xml:space="preserve">scheme becomes more embedded in the SME lending journey and awareness of the </w:t>
      </w:r>
      <w:r w:rsidR="005208EC">
        <w:rPr>
          <w:spacing w:val="-2"/>
        </w:rPr>
        <w:t>scheme grows amongst SMEs.</w:t>
      </w:r>
      <w:r w:rsidR="00C447B7">
        <w:rPr>
          <w:spacing w:val="-2"/>
        </w:rPr>
        <w:t xml:space="preserve"> </w:t>
      </w:r>
      <w:r w:rsidR="0071043D">
        <w:rPr>
          <w:spacing w:val="-2"/>
        </w:rPr>
        <w:t>HMT</w:t>
      </w:r>
      <w:r w:rsidR="0083669D">
        <w:rPr>
          <w:spacing w:val="-2"/>
        </w:rPr>
        <w:t xml:space="preserve"> i</w:t>
      </w:r>
      <w:r w:rsidR="0071043D">
        <w:rPr>
          <w:spacing w:val="-2"/>
        </w:rPr>
        <w:t>ntends to launch a consultation</w:t>
      </w:r>
      <w:r w:rsidR="0083669D">
        <w:rPr>
          <w:spacing w:val="-2"/>
        </w:rPr>
        <w:t xml:space="preserve"> </w:t>
      </w:r>
      <w:r w:rsidR="003D20DA">
        <w:rPr>
          <w:spacing w:val="-2"/>
        </w:rPr>
        <w:t xml:space="preserve">in the Spring </w:t>
      </w:r>
      <w:r w:rsidR="003D20DA" w:rsidRPr="003D20DA">
        <w:rPr>
          <w:spacing w:val="-2"/>
        </w:rPr>
        <w:t>to better assess the options available</w:t>
      </w:r>
      <w:r w:rsidR="52B886BC" w:rsidRPr="003D20DA">
        <w:rPr>
          <w:spacing w:val="-2"/>
        </w:rPr>
        <w:t>,</w:t>
      </w:r>
      <w:r w:rsidR="003D20DA" w:rsidRPr="003D20DA">
        <w:rPr>
          <w:spacing w:val="-2"/>
        </w:rPr>
        <w:t xml:space="preserve"> in order to enhance scheme</w:t>
      </w:r>
      <w:r w:rsidR="003D20DA">
        <w:rPr>
          <w:spacing w:val="-2"/>
        </w:rPr>
        <w:t xml:space="preserve"> performance.</w:t>
      </w:r>
    </w:p>
    <w:p w14:paraId="77352E1E" w14:textId="3A02BFD2" w:rsidR="00FF1260" w:rsidRDefault="00E36C13" w:rsidP="00FF1260">
      <w:pPr>
        <w:pStyle w:val="BodyText"/>
        <w:numPr>
          <w:ilvl w:val="0"/>
          <w:numId w:val="0"/>
        </w:numPr>
        <w:rPr>
          <w:rFonts w:ascii="Humnst777 BT" w:hAnsi="Humnst777 BT"/>
          <w:b/>
          <w:color w:val="C40012"/>
          <w:sz w:val="20"/>
        </w:rPr>
      </w:pPr>
      <w:r w:rsidRPr="00AA3DB0">
        <w:rPr>
          <w:rFonts w:ascii="Humnst777 BT" w:hAnsi="Humnst777 BT"/>
          <w:b/>
          <w:color w:val="C40012"/>
          <w:sz w:val="20"/>
        </w:rPr>
        <w:t xml:space="preserve">Table </w:t>
      </w:r>
      <w:r>
        <w:rPr>
          <w:rFonts w:ascii="Humnst777 BT" w:hAnsi="Humnst777 BT"/>
          <w:b/>
          <w:color w:val="C40012"/>
          <w:sz w:val="20"/>
        </w:rPr>
        <w:t>2: Quarterly number of referrals</w:t>
      </w:r>
      <w:r w:rsidR="00743D89">
        <w:rPr>
          <w:rFonts w:ascii="Humnst777 BT" w:hAnsi="Humnst777 BT"/>
          <w:b/>
          <w:color w:val="C40012"/>
          <w:sz w:val="20"/>
        </w:rPr>
        <w:t xml:space="preserve">, including </w:t>
      </w:r>
      <w:r w:rsidR="00E521DD">
        <w:rPr>
          <w:rFonts w:ascii="Humnst777 BT" w:hAnsi="Humnst777 BT"/>
          <w:b/>
          <w:color w:val="C40012"/>
          <w:sz w:val="20"/>
        </w:rPr>
        <w:t>a breakdown of overall referrals made through the lifetime of the scheme.</w:t>
      </w:r>
    </w:p>
    <w:tbl>
      <w:tblPr>
        <w:tblW w:w="5000" w:type="pct"/>
        <w:tblLook w:val="04A0" w:firstRow="1" w:lastRow="0" w:firstColumn="1" w:lastColumn="0" w:noHBand="0" w:noVBand="1"/>
      </w:tblPr>
      <w:tblGrid>
        <w:gridCol w:w="2117"/>
        <w:gridCol w:w="4089"/>
        <w:gridCol w:w="4476"/>
      </w:tblGrid>
      <w:tr w:rsidR="00176573" w:rsidRPr="00176573" w14:paraId="68BCF37D" w14:textId="77777777" w:rsidTr="003F56FB">
        <w:trPr>
          <w:cantSplit/>
          <w:trHeight w:val="283"/>
        </w:trPr>
        <w:tc>
          <w:tcPr>
            <w:tcW w:w="991" w:type="pct"/>
            <w:tcBorders>
              <w:top w:val="single" w:sz="8" w:space="0" w:color="C00000"/>
              <w:left w:val="single" w:sz="8" w:space="0" w:color="C00000"/>
              <w:bottom w:val="nil"/>
              <w:right w:val="nil"/>
            </w:tcBorders>
            <w:shd w:val="clear" w:color="000000" w:fill="F9E5E7"/>
            <w:vAlign w:val="center"/>
            <w:hideMark/>
          </w:tcPr>
          <w:p w14:paraId="66A2FB3B"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 </w:t>
            </w:r>
          </w:p>
        </w:tc>
        <w:tc>
          <w:tcPr>
            <w:tcW w:w="1914" w:type="pct"/>
            <w:tcBorders>
              <w:top w:val="single" w:sz="8" w:space="0" w:color="C00000"/>
              <w:left w:val="nil"/>
              <w:bottom w:val="nil"/>
              <w:right w:val="nil"/>
            </w:tcBorders>
            <w:shd w:val="clear" w:color="000000" w:fill="F9E5E7"/>
            <w:vAlign w:val="center"/>
            <w:hideMark/>
          </w:tcPr>
          <w:p w14:paraId="158CFBED" w14:textId="77777777" w:rsidR="00176573" w:rsidRPr="00176573" w:rsidRDefault="00176573" w:rsidP="00176573">
            <w:pPr>
              <w:jc w:val="right"/>
              <w:rPr>
                <w:rFonts w:ascii="Humnst777 BT" w:hAnsi="Humnst777 BT" w:cs="Calibri"/>
                <w:b/>
                <w:bCs/>
                <w:color w:val="000000"/>
                <w:sz w:val="20"/>
                <w:szCs w:val="20"/>
              </w:rPr>
            </w:pPr>
            <w:r w:rsidRPr="00413EF5">
              <w:rPr>
                <w:rFonts w:ascii="Humnst777 BT" w:hAnsi="Humnst777 BT" w:cs="Calibri"/>
                <w:b/>
                <w:bCs/>
                <w:sz w:val="20"/>
                <w:szCs w:val="20"/>
              </w:rPr>
              <w:t>Quarterly</w:t>
            </w:r>
            <w:r w:rsidRPr="00176573">
              <w:rPr>
                <w:rFonts w:ascii="Humnst777 BT" w:hAnsi="Humnst777 BT" w:cs="Calibri"/>
                <w:b/>
                <w:bCs/>
                <w:sz w:val="20"/>
                <w:szCs w:val="20"/>
              </w:rPr>
              <w:t xml:space="preserve"> referrals</w:t>
            </w:r>
          </w:p>
        </w:tc>
        <w:tc>
          <w:tcPr>
            <w:tcW w:w="2095" w:type="pct"/>
            <w:tcBorders>
              <w:top w:val="single" w:sz="8" w:space="0" w:color="C00000"/>
              <w:left w:val="nil"/>
              <w:bottom w:val="nil"/>
              <w:right w:val="single" w:sz="8" w:space="0" w:color="C00000"/>
            </w:tcBorders>
            <w:shd w:val="clear" w:color="000000" w:fill="F9E5E7"/>
            <w:vAlign w:val="center"/>
            <w:hideMark/>
          </w:tcPr>
          <w:p w14:paraId="5CA95F61" w14:textId="77777777" w:rsidR="00176573" w:rsidRPr="00176573" w:rsidRDefault="00176573" w:rsidP="00176573">
            <w:pPr>
              <w:jc w:val="right"/>
              <w:rPr>
                <w:rFonts w:ascii="Humnst777 BT" w:hAnsi="Humnst777 BT" w:cs="Calibri"/>
                <w:b/>
                <w:bCs/>
                <w:color w:val="000000"/>
                <w:sz w:val="20"/>
                <w:szCs w:val="20"/>
              </w:rPr>
            </w:pPr>
            <w:r w:rsidRPr="00176573">
              <w:rPr>
                <w:rFonts w:ascii="Humnst777 BT" w:hAnsi="Humnst777 BT" w:cs="Calibri"/>
                <w:b/>
                <w:bCs/>
                <w:sz w:val="20"/>
                <w:szCs w:val="20"/>
              </w:rPr>
              <w:t>Cumulative referrals</w:t>
            </w:r>
          </w:p>
        </w:tc>
      </w:tr>
      <w:tr w:rsidR="00176573" w:rsidRPr="00176573" w14:paraId="7214C813"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33D5E7CA"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Q4 2016</w:t>
            </w:r>
          </w:p>
        </w:tc>
        <w:tc>
          <w:tcPr>
            <w:tcW w:w="1914" w:type="pct"/>
            <w:tcBorders>
              <w:top w:val="nil"/>
              <w:left w:val="nil"/>
              <w:bottom w:val="nil"/>
              <w:right w:val="nil"/>
            </w:tcBorders>
            <w:shd w:val="clear" w:color="auto" w:fill="auto"/>
            <w:vAlign w:val="center"/>
            <w:hideMark/>
          </w:tcPr>
          <w:p w14:paraId="302A0102" w14:textId="77777777" w:rsidR="00176573" w:rsidRPr="00176573" w:rsidRDefault="00176573" w:rsidP="00176573">
            <w:pPr>
              <w:jc w:val="right"/>
              <w:rPr>
                <w:rFonts w:cs="Calibri"/>
                <w:color w:val="000000"/>
                <w:sz w:val="20"/>
                <w:szCs w:val="20"/>
              </w:rPr>
            </w:pPr>
            <w:r w:rsidRPr="00176573">
              <w:rPr>
                <w:rFonts w:cs="Calibri"/>
                <w:color w:val="000000"/>
                <w:sz w:val="20"/>
                <w:szCs w:val="20"/>
              </w:rPr>
              <w:t>1753</w:t>
            </w:r>
          </w:p>
        </w:tc>
        <w:tc>
          <w:tcPr>
            <w:tcW w:w="2095" w:type="pct"/>
            <w:tcBorders>
              <w:top w:val="nil"/>
              <w:left w:val="nil"/>
              <w:bottom w:val="nil"/>
              <w:right w:val="single" w:sz="8" w:space="0" w:color="C00000"/>
            </w:tcBorders>
            <w:shd w:val="clear" w:color="auto" w:fill="auto"/>
            <w:vAlign w:val="center"/>
            <w:hideMark/>
          </w:tcPr>
          <w:p w14:paraId="56756E49" w14:textId="77777777" w:rsidR="00176573" w:rsidRPr="00176573" w:rsidRDefault="00176573" w:rsidP="00176573">
            <w:pPr>
              <w:jc w:val="right"/>
              <w:rPr>
                <w:rFonts w:cs="Calibri"/>
                <w:color w:val="000000"/>
                <w:sz w:val="20"/>
                <w:szCs w:val="20"/>
              </w:rPr>
            </w:pPr>
            <w:r w:rsidRPr="00176573">
              <w:rPr>
                <w:rFonts w:cs="Calibri"/>
                <w:color w:val="000000"/>
                <w:sz w:val="20"/>
                <w:szCs w:val="20"/>
              </w:rPr>
              <w:t>1753</w:t>
            </w:r>
          </w:p>
        </w:tc>
      </w:tr>
      <w:tr w:rsidR="00176573" w:rsidRPr="00176573" w14:paraId="0F276EB5"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224C6DC6"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Q1 2017</w:t>
            </w:r>
          </w:p>
        </w:tc>
        <w:tc>
          <w:tcPr>
            <w:tcW w:w="1914" w:type="pct"/>
            <w:tcBorders>
              <w:top w:val="nil"/>
              <w:left w:val="nil"/>
              <w:bottom w:val="nil"/>
              <w:right w:val="nil"/>
            </w:tcBorders>
            <w:shd w:val="clear" w:color="auto" w:fill="auto"/>
            <w:vAlign w:val="center"/>
            <w:hideMark/>
          </w:tcPr>
          <w:p w14:paraId="691C1BEB" w14:textId="77777777" w:rsidR="00176573" w:rsidRPr="00176573" w:rsidRDefault="00176573" w:rsidP="00176573">
            <w:pPr>
              <w:jc w:val="right"/>
              <w:rPr>
                <w:rFonts w:cs="Calibri"/>
                <w:color w:val="000000"/>
                <w:sz w:val="20"/>
                <w:szCs w:val="20"/>
              </w:rPr>
            </w:pPr>
            <w:r w:rsidRPr="00176573">
              <w:rPr>
                <w:rFonts w:cs="Calibri"/>
                <w:color w:val="000000"/>
                <w:sz w:val="20"/>
                <w:szCs w:val="20"/>
              </w:rPr>
              <w:t>3390</w:t>
            </w:r>
          </w:p>
        </w:tc>
        <w:tc>
          <w:tcPr>
            <w:tcW w:w="2095" w:type="pct"/>
            <w:tcBorders>
              <w:top w:val="nil"/>
              <w:left w:val="nil"/>
              <w:bottom w:val="nil"/>
              <w:right w:val="single" w:sz="8" w:space="0" w:color="C00000"/>
            </w:tcBorders>
            <w:shd w:val="clear" w:color="auto" w:fill="auto"/>
            <w:vAlign w:val="center"/>
            <w:hideMark/>
          </w:tcPr>
          <w:p w14:paraId="76680226" w14:textId="77777777" w:rsidR="00176573" w:rsidRPr="00176573" w:rsidRDefault="00176573" w:rsidP="00176573">
            <w:pPr>
              <w:jc w:val="right"/>
              <w:rPr>
                <w:rFonts w:cs="Calibri"/>
                <w:color w:val="000000"/>
                <w:sz w:val="20"/>
                <w:szCs w:val="20"/>
              </w:rPr>
            </w:pPr>
            <w:r w:rsidRPr="00176573">
              <w:rPr>
                <w:rFonts w:cs="Calibri"/>
                <w:color w:val="000000"/>
                <w:sz w:val="20"/>
                <w:szCs w:val="20"/>
              </w:rPr>
              <w:t>5143</w:t>
            </w:r>
          </w:p>
        </w:tc>
      </w:tr>
      <w:tr w:rsidR="00176573" w:rsidRPr="00176573" w14:paraId="7F28A3A1"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76CED5D1"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Q2 2017</w:t>
            </w:r>
          </w:p>
        </w:tc>
        <w:tc>
          <w:tcPr>
            <w:tcW w:w="1914" w:type="pct"/>
            <w:tcBorders>
              <w:top w:val="nil"/>
              <w:left w:val="nil"/>
              <w:bottom w:val="nil"/>
              <w:right w:val="nil"/>
            </w:tcBorders>
            <w:shd w:val="clear" w:color="auto" w:fill="auto"/>
            <w:vAlign w:val="center"/>
            <w:hideMark/>
          </w:tcPr>
          <w:p w14:paraId="77ED9860" w14:textId="77777777" w:rsidR="00176573" w:rsidRPr="00176573" w:rsidRDefault="00176573" w:rsidP="00176573">
            <w:pPr>
              <w:jc w:val="right"/>
              <w:rPr>
                <w:rFonts w:cs="Calibri"/>
                <w:color w:val="000000"/>
                <w:sz w:val="20"/>
                <w:szCs w:val="20"/>
              </w:rPr>
            </w:pPr>
            <w:r w:rsidRPr="00176573">
              <w:rPr>
                <w:rFonts w:cs="Calibri"/>
                <w:color w:val="000000"/>
                <w:sz w:val="20"/>
                <w:szCs w:val="20"/>
              </w:rPr>
              <w:t>2447</w:t>
            </w:r>
          </w:p>
        </w:tc>
        <w:tc>
          <w:tcPr>
            <w:tcW w:w="2095" w:type="pct"/>
            <w:tcBorders>
              <w:top w:val="nil"/>
              <w:left w:val="nil"/>
              <w:bottom w:val="nil"/>
              <w:right w:val="single" w:sz="8" w:space="0" w:color="C00000"/>
            </w:tcBorders>
            <w:shd w:val="clear" w:color="auto" w:fill="auto"/>
            <w:vAlign w:val="center"/>
            <w:hideMark/>
          </w:tcPr>
          <w:p w14:paraId="70FB98FA" w14:textId="77777777" w:rsidR="00176573" w:rsidRPr="00176573" w:rsidRDefault="00176573" w:rsidP="00176573">
            <w:pPr>
              <w:jc w:val="right"/>
              <w:rPr>
                <w:rFonts w:cs="Calibri"/>
                <w:color w:val="000000"/>
                <w:sz w:val="20"/>
                <w:szCs w:val="20"/>
              </w:rPr>
            </w:pPr>
            <w:r w:rsidRPr="00176573">
              <w:rPr>
                <w:rFonts w:cs="Calibri"/>
                <w:color w:val="000000"/>
                <w:sz w:val="20"/>
                <w:szCs w:val="20"/>
              </w:rPr>
              <w:t>7590</w:t>
            </w:r>
          </w:p>
        </w:tc>
      </w:tr>
      <w:tr w:rsidR="00176573" w:rsidRPr="00176573" w14:paraId="44C976C1"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551A5E95"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Q3 2017</w:t>
            </w:r>
          </w:p>
        </w:tc>
        <w:tc>
          <w:tcPr>
            <w:tcW w:w="1914" w:type="pct"/>
            <w:tcBorders>
              <w:top w:val="nil"/>
              <w:left w:val="nil"/>
              <w:bottom w:val="nil"/>
              <w:right w:val="nil"/>
            </w:tcBorders>
            <w:shd w:val="clear" w:color="auto" w:fill="auto"/>
            <w:vAlign w:val="center"/>
            <w:hideMark/>
          </w:tcPr>
          <w:p w14:paraId="6FAB6726" w14:textId="77777777" w:rsidR="00176573" w:rsidRPr="00176573" w:rsidRDefault="00176573" w:rsidP="00176573">
            <w:pPr>
              <w:jc w:val="right"/>
              <w:rPr>
                <w:rFonts w:cs="Calibri"/>
                <w:color w:val="000000"/>
                <w:sz w:val="20"/>
                <w:szCs w:val="20"/>
              </w:rPr>
            </w:pPr>
            <w:r w:rsidRPr="00176573">
              <w:rPr>
                <w:rFonts w:cs="Calibri"/>
                <w:color w:val="000000"/>
                <w:sz w:val="20"/>
                <w:szCs w:val="20"/>
              </w:rPr>
              <w:t>2508</w:t>
            </w:r>
          </w:p>
        </w:tc>
        <w:tc>
          <w:tcPr>
            <w:tcW w:w="2095" w:type="pct"/>
            <w:tcBorders>
              <w:top w:val="nil"/>
              <w:left w:val="nil"/>
              <w:bottom w:val="nil"/>
              <w:right w:val="single" w:sz="8" w:space="0" w:color="C00000"/>
            </w:tcBorders>
            <w:shd w:val="clear" w:color="auto" w:fill="auto"/>
            <w:vAlign w:val="center"/>
            <w:hideMark/>
          </w:tcPr>
          <w:p w14:paraId="1DA101A9" w14:textId="77777777" w:rsidR="00176573" w:rsidRPr="00176573" w:rsidRDefault="00176573" w:rsidP="00176573">
            <w:pPr>
              <w:jc w:val="right"/>
              <w:rPr>
                <w:rFonts w:cs="Calibri"/>
                <w:color w:val="000000"/>
                <w:sz w:val="20"/>
                <w:szCs w:val="20"/>
              </w:rPr>
            </w:pPr>
            <w:r w:rsidRPr="00176573">
              <w:rPr>
                <w:rFonts w:cs="Calibri"/>
                <w:color w:val="000000"/>
                <w:sz w:val="20"/>
                <w:szCs w:val="20"/>
              </w:rPr>
              <w:t>10,098</w:t>
            </w:r>
          </w:p>
        </w:tc>
      </w:tr>
      <w:tr w:rsidR="00176573" w:rsidRPr="00176573" w14:paraId="29A471B1"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7FDD9317"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Q4 2017</w:t>
            </w:r>
          </w:p>
        </w:tc>
        <w:tc>
          <w:tcPr>
            <w:tcW w:w="1914" w:type="pct"/>
            <w:tcBorders>
              <w:top w:val="nil"/>
              <w:left w:val="nil"/>
              <w:bottom w:val="nil"/>
              <w:right w:val="nil"/>
            </w:tcBorders>
            <w:shd w:val="clear" w:color="auto" w:fill="auto"/>
            <w:vAlign w:val="center"/>
            <w:hideMark/>
          </w:tcPr>
          <w:p w14:paraId="7260D668" w14:textId="77777777" w:rsidR="00176573" w:rsidRPr="00176573" w:rsidRDefault="00176573" w:rsidP="00176573">
            <w:pPr>
              <w:jc w:val="right"/>
              <w:rPr>
                <w:rFonts w:cs="Calibri"/>
                <w:color w:val="000000"/>
                <w:sz w:val="20"/>
                <w:szCs w:val="20"/>
              </w:rPr>
            </w:pPr>
            <w:r w:rsidRPr="00176573">
              <w:rPr>
                <w:rFonts w:cs="Calibri"/>
                <w:color w:val="000000"/>
                <w:sz w:val="20"/>
                <w:szCs w:val="20"/>
              </w:rPr>
              <w:t>2735</w:t>
            </w:r>
          </w:p>
        </w:tc>
        <w:tc>
          <w:tcPr>
            <w:tcW w:w="2095" w:type="pct"/>
            <w:tcBorders>
              <w:top w:val="nil"/>
              <w:left w:val="nil"/>
              <w:bottom w:val="nil"/>
              <w:right w:val="single" w:sz="8" w:space="0" w:color="C00000"/>
            </w:tcBorders>
            <w:shd w:val="clear" w:color="auto" w:fill="auto"/>
            <w:vAlign w:val="center"/>
            <w:hideMark/>
          </w:tcPr>
          <w:p w14:paraId="080E5A22" w14:textId="77777777" w:rsidR="00176573" w:rsidRPr="00176573" w:rsidRDefault="00176573" w:rsidP="00176573">
            <w:pPr>
              <w:jc w:val="right"/>
              <w:rPr>
                <w:rFonts w:cs="Calibri"/>
                <w:color w:val="000000"/>
                <w:sz w:val="20"/>
                <w:szCs w:val="20"/>
              </w:rPr>
            </w:pPr>
            <w:r w:rsidRPr="00176573">
              <w:rPr>
                <w:rFonts w:cs="Calibri"/>
                <w:color w:val="000000"/>
                <w:sz w:val="20"/>
                <w:szCs w:val="20"/>
              </w:rPr>
              <w:t>12,833</w:t>
            </w:r>
          </w:p>
        </w:tc>
      </w:tr>
      <w:tr w:rsidR="00176573" w:rsidRPr="00176573" w14:paraId="20F70B00"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24AA54A4"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Q1 2018</w:t>
            </w:r>
          </w:p>
        </w:tc>
        <w:tc>
          <w:tcPr>
            <w:tcW w:w="1914" w:type="pct"/>
            <w:tcBorders>
              <w:top w:val="nil"/>
              <w:left w:val="nil"/>
              <w:bottom w:val="nil"/>
              <w:right w:val="nil"/>
            </w:tcBorders>
            <w:shd w:val="clear" w:color="auto" w:fill="auto"/>
            <w:vAlign w:val="center"/>
            <w:hideMark/>
          </w:tcPr>
          <w:p w14:paraId="357DDA0A" w14:textId="77777777" w:rsidR="00176573" w:rsidRPr="00176573" w:rsidRDefault="00176573" w:rsidP="00176573">
            <w:pPr>
              <w:jc w:val="right"/>
              <w:rPr>
                <w:rFonts w:cs="Calibri"/>
                <w:color w:val="000000"/>
                <w:sz w:val="20"/>
                <w:szCs w:val="20"/>
              </w:rPr>
            </w:pPr>
            <w:r w:rsidRPr="00176573">
              <w:rPr>
                <w:rFonts w:cs="Calibri"/>
                <w:color w:val="000000"/>
                <w:sz w:val="20"/>
                <w:szCs w:val="20"/>
              </w:rPr>
              <w:t>3221</w:t>
            </w:r>
          </w:p>
        </w:tc>
        <w:tc>
          <w:tcPr>
            <w:tcW w:w="2095" w:type="pct"/>
            <w:tcBorders>
              <w:top w:val="nil"/>
              <w:left w:val="nil"/>
              <w:bottom w:val="nil"/>
              <w:right w:val="single" w:sz="8" w:space="0" w:color="C00000"/>
            </w:tcBorders>
            <w:shd w:val="clear" w:color="auto" w:fill="auto"/>
            <w:vAlign w:val="center"/>
            <w:hideMark/>
          </w:tcPr>
          <w:p w14:paraId="38228FE5" w14:textId="77777777" w:rsidR="00176573" w:rsidRPr="00176573" w:rsidRDefault="00176573" w:rsidP="00176573">
            <w:pPr>
              <w:jc w:val="right"/>
              <w:rPr>
                <w:rFonts w:cs="Calibri"/>
                <w:color w:val="000000"/>
                <w:sz w:val="20"/>
                <w:szCs w:val="20"/>
              </w:rPr>
            </w:pPr>
            <w:r w:rsidRPr="00176573">
              <w:rPr>
                <w:rFonts w:cs="Calibri"/>
                <w:color w:val="000000"/>
                <w:sz w:val="20"/>
                <w:szCs w:val="20"/>
              </w:rPr>
              <w:t>16,054</w:t>
            </w:r>
          </w:p>
        </w:tc>
      </w:tr>
      <w:tr w:rsidR="00176573" w:rsidRPr="00176573" w14:paraId="68935B81"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406DCB6D"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Q2 2018</w:t>
            </w:r>
          </w:p>
        </w:tc>
        <w:tc>
          <w:tcPr>
            <w:tcW w:w="1914" w:type="pct"/>
            <w:tcBorders>
              <w:top w:val="nil"/>
              <w:left w:val="nil"/>
              <w:bottom w:val="nil"/>
              <w:right w:val="nil"/>
            </w:tcBorders>
            <w:shd w:val="clear" w:color="auto" w:fill="auto"/>
            <w:vAlign w:val="center"/>
            <w:hideMark/>
          </w:tcPr>
          <w:p w14:paraId="4F21F8ED" w14:textId="77777777" w:rsidR="00176573" w:rsidRPr="00176573" w:rsidRDefault="00176573" w:rsidP="00176573">
            <w:pPr>
              <w:jc w:val="right"/>
              <w:rPr>
                <w:rFonts w:cs="Calibri"/>
                <w:color w:val="000000"/>
                <w:sz w:val="20"/>
                <w:szCs w:val="20"/>
              </w:rPr>
            </w:pPr>
            <w:r w:rsidRPr="00176573">
              <w:rPr>
                <w:rFonts w:cs="Calibri"/>
                <w:color w:val="000000"/>
                <w:sz w:val="20"/>
                <w:szCs w:val="20"/>
              </w:rPr>
              <w:t>2827</w:t>
            </w:r>
          </w:p>
        </w:tc>
        <w:tc>
          <w:tcPr>
            <w:tcW w:w="2095" w:type="pct"/>
            <w:tcBorders>
              <w:top w:val="nil"/>
              <w:left w:val="nil"/>
              <w:bottom w:val="nil"/>
              <w:right w:val="single" w:sz="8" w:space="0" w:color="C00000"/>
            </w:tcBorders>
            <w:shd w:val="clear" w:color="auto" w:fill="auto"/>
            <w:vAlign w:val="center"/>
            <w:hideMark/>
          </w:tcPr>
          <w:p w14:paraId="65577E40" w14:textId="77777777" w:rsidR="00176573" w:rsidRPr="00176573" w:rsidRDefault="00176573" w:rsidP="00176573">
            <w:pPr>
              <w:jc w:val="right"/>
              <w:rPr>
                <w:rFonts w:cs="Calibri"/>
                <w:color w:val="000000"/>
                <w:sz w:val="20"/>
                <w:szCs w:val="20"/>
              </w:rPr>
            </w:pPr>
            <w:r w:rsidRPr="00176573">
              <w:rPr>
                <w:rFonts w:cs="Calibri"/>
                <w:color w:val="000000"/>
                <w:sz w:val="20"/>
                <w:szCs w:val="20"/>
              </w:rPr>
              <w:t>18,881</w:t>
            </w:r>
          </w:p>
        </w:tc>
      </w:tr>
      <w:tr w:rsidR="00176573" w:rsidRPr="00176573" w14:paraId="676A46AD" w14:textId="77777777" w:rsidTr="003F56FB">
        <w:trPr>
          <w:cantSplit/>
          <w:trHeight w:val="283"/>
        </w:trPr>
        <w:tc>
          <w:tcPr>
            <w:tcW w:w="991" w:type="pct"/>
            <w:tcBorders>
              <w:top w:val="nil"/>
              <w:left w:val="single" w:sz="8" w:space="0" w:color="C00000"/>
              <w:bottom w:val="nil"/>
              <w:right w:val="nil"/>
            </w:tcBorders>
            <w:shd w:val="clear" w:color="auto" w:fill="auto"/>
            <w:vAlign w:val="center"/>
            <w:hideMark/>
          </w:tcPr>
          <w:p w14:paraId="782A402C"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Q3 2018</w:t>
            </w:r>
          </w:p>
        </w:tc>
        <w:tc>
          <w:tcPr>
            <w:tcW w:w="1914" w:type="pct"/>
            <w:tcBorders>
              <w:top w:val="nil"/>
              <w:left w:val="nil"/>
              <w:bottom w:val="nil"/>
              <w:right w:val="nil"/>
            </w:tcBorders>
            <w:shd w:val="clear" w:color="auto" w:fill="auto"/>
            <w:vAlign w:val="center"/>
            <w:hideMark/>
          </w:tcPr>
          <w:p w14:paraId="07ECCFCC" w14:textId="77777777" w:rsidR="00176573" w:rsidRPr="00176573" w:rsidRDefault="00176573" w:rsidP="00176573">
            <w:pPr>
              <w:jc w:val="right"/>
              <w:rPr>
                <w:rFonts w:cs="Calibri"/>
                <w:color w:val="000000"/>
                <w:sz w:val="20"/>
                <w:szCs w:val="20"/>
              </w:rPr>
            </w:pPr>
            <w:r w:rsidRPr="00176573">
              <w:rPr>
                <w:rFonts w:cs="Calibri"/>
                <w:color w:val="000000"/>
                <w:sz w:val="20"/>
                <w:szCs w:val="20"/>
              </w:rPr>
              <w:t>2663</w:t>
            </w:r>
          </w:p>
        </w:tc>
        <w:tc>
          <w:tcPr>
            <w:tcW w:w="2095" w:type="pct"/>
            <w:tcBorders>
              <w:top w:val="nil"/>
              <w:left w:val="nil"/>
              <w:bottom w:val="nil"/>
              <w:right w:val="single" w:sz="8" w:space="0" w:color="C00000"/>
            </w:tcBorders>
            <w:shd w:val="clear" w:color="auto" w:fill="auto"/>
            <w:vAlign w:val="center"/>
            <w:hideMark/>
          </w:tcPr>
          <w:p w14:paraId="22EC89AC" w14:textId="77777777" w:rsidR="00176573" w:rsidRPr="00176573" w:rsidRDefault="00176573" w:rsidP="00176573">
            <w:pPr>
              <w:jc w:val="right"/>
              <w:rPr>
                <w:rFonts w:cs="Calibri"/>
                <w:color w:val="000000"/>
                <w:sz w:val="20"/>
                <w:szCs w:val="20"/>
              </w:rPr>
            </w:pPr>
            <w:r w:rsidRPr="00176573">
              <w:rPr>
                <w:rFonts w:cs="Calibri"/>
                <w:color w:val="000000"/>
                <w:sz w:val="20"/>
                <w:szCs w:val="20"/>
              </w:rPr>
              <w:t>21,544</w:t>
            </w:r>
          </w:p>
        </w:tc>
      </w:tr>
      <w:tr w:rsidR="00176573" w:rsidRPr="00176573" w14:paraId="61DD568A" w14:textId="77777777" w:rsidTr="003F56FB">
        <w:trPr>
          <w:cantSplit/>
          <w:trHeight w:val="283"/>
        </w:trPr>
        <w:tc>
          <w:tcPr>
            <w:tcW w:w="991" w:type="pct"/>
            <w:tcBorders>
              <w:top w:val="nil"/>
              <w:left w:val="single" w:sz="8" w:space="0" w:color="C00000"/>
              <w:bottom w:val="nil"/>
              <w:right w:val="nil"/>
            </w:tcBorders>
            <w:shd w:val="clear" w:color="auto" w:fill="auto"/>
            <w:vAlign w:val="center"/>
            <w:hideMark/>
          </w:tcPr>
          <w:p w14:paraId="732647B7"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Q4 2018</w:t>
            </w:r>
          </w:p>
        </w:tc>
        <w:tc>
          <w:tcPr>
            <w:tcW w:w="1914" w:type="pct"/>
            <w:tcBorders>
              <w:top w:val="nil"/>
              <w:left w:val="nil"/>
              <w:bottom w:val="nil"/>
              <w:right w:val="nil"/>
            </w:tcBorders>
            <w:shd w:val="clear" w:color="auto" w:fill="auto"/>
            <w:vAlign w:val="center"/>
            <w:hideMark/>
          </w:tcPr>
          <w:p w14:paraId="1E9A34C3" w14:textId="77777777" w:rsidR="00176573" w:rsidRPr="00176573" w:rsidRDefault="00176573" w:rsidP="00176573">
            <w:pPr>
              <w:jc w:val="right"/>
              <w:rPr>
                <w:rFonts w:cs="Calibri"/>
                <w:color w:val="000000"/>
                <w:sz w:val="20"/>
                <w:szCs w:val="20"/>
              </w:rPr>
            </w:pPr>
            <w:r w:rsidRPr="00176573">
              <w:rPr>
                <w:rFonts w:cs="Calibri"/>
                <w:color w:val="000000"/>
                <w:sz w:val="20"/>
                <w:szCs w:val="20"/>
              </w:rPr>
              <w:t>2730</w:t>
            </w:r>
          </w:p>
        </w:tc>
        <w:tc>
          <w:tcPr>
            <w:tcW w:w="2095" w:type="pct"/>
            <w:tcBorders>
              <w:top w:val="nil"/>
              <w:left w:val="nil"/>
              <w:bottom w:val="nil"/>
              <w:right w:val="single" w:sz="8" w:space="0" w:color="C00000"/>
            </w:tcBorders>
            <w:shd w:val="clear" w:color="auto" w:fill="auto"/>
            <w:vAlign w:val="center"/>
            <w:hideMark/>
          </w:tcPr>
          <w:p w14:paraId="1CE6EB4B" w14:textId="77777777" w:rsidR="00176573" w:rsidRPr="00176573" w:rsidRDefault="00176573" w:rsidP="00176573">
            <w:pPr>
              <w:jc w:val="right"/>
              <w:rPr>
                <w:rFonts w:cs="Calibri"/>
                <w:color w:val="000000"/>
                <w:sz w:val="20"/>
                <w:szCs w:val="20"/>
              </w:rPr>
            </w:pPr>
            <w:r w:rsidRPr="00176573">
              <w:rPr>
                <w:rFonts w:cs="Calibri"/>
                <w:color w:val="000000"/>
                <w:sz w:val="20"/>
                <w:szCs w:val="20"/>
              </w:rPr>
              <w:t>24,274</w:t>
            </w:r>
          </w:p>
        </w:tc>
      </w:tr>
      <w:tr w:rsidR="00176573" w:rsidRPr="00176573" w14:paraId="17E27951" w14:textId="77777777" w:rsidTr="003F56FB">
        <w:trPr>
          <w:cantSplit/>
          <w:trHeight w:val="283"/>
        </w:trPr>
        <w:tc>
          <w:tcPr>
            <w:tcW w:w="991" w:type="pct"/>
            <w:tcBorders>
              <w:top w:val="nil"/>
              <w:left w:val="single" w:sz="8" w:space="0" w:color="C00000"/>
              <w:bottom w:val="nil"/>
              <w:right w:val="nil"/>
            </w:tcBorders>
            <w:shd w:val="clear" w:color="auto" w:fill="auto"/>
            <w:vAlign w:val="center"/>
            <w:hideMark/>
          </w:tcPr>
          <w:p w14:paraId="034DD21D"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Q1 2019</w:t>
            </w:r>
          </w:p>
        </w:tc>
        <w:tc>
          <w:tcPr>
            <w:tcW w:w="1914" w:type="pct"/>
            <w:tcBorders>
              <w:top w:val="nil"/>
              <w:left w:val="nil"/>
              <w:bottom w:val="nil"/>
              <w:right w:val="nil"/>
            </w:tcBorders>
            <w:shd w:val="clear" w:color="auto" w:fill="auto"/>
            <w:vAlign w:val="center"/>
            <w:hideMark/>
          </w:tcPr>
          <w:p w14:paraId="5B825E2D" w14:textId="77777777" w:rsidR="00176573" w:rsidRPr="00176573" w:rsidRDefault="00176573" w:rsidP="00176573">
            <w:pPr>
              <w:jc w:val="right"/>
              <w:rPr>
                <w:rFonts w:cs="Calibri"/>
                <w:color w:val="000000"/>
                <w:sz w:val="20"/>
                <w:szCs w:val="20"/>
              </w:rPr>
            </w:pPr>
            <w:r w:rsidRPr="00176573">
              <w:rPr>
                <w:rFonts w:cs="Calibri"/>
                <w:color w:val="000000"/>
                <w:sz w:val="20"/>
                <w:szCs w:val="20"/>
              </w:rPr>
              <w:t>3043</w:t>
            </w:r>
          </w:p>
        </w:tc>
        <w:tc>
          <w:tcPr>
            <w:tcW w:w="2095" w:type="pct"/>
            <w:tcBorders>
              <w:top w:val="nil"/>
              <w:left w:val="nil"/>
              <w:bottom w:val="nil"/>
              <w:right w:val="single" w:sz="8" w:space="0" w:color="C00000"/>
            </w:tcBorders>
            <w:shd w:val="clear" w:color="auto" w:fill="auto"/>
            <w:vAlign w:val="center"/>
            <w:hideMark/>
          </w:tcPr>
          <w:p w14:paraId="3363D4AB" w14:textId="77777777" w:rsidR="00176573" w:rsidRPr="00176573" w:rsidRDefault="00176573" w:rsidP="00176573">
            <w:pPr>
              <w:jc w:val="right"/>
              <w:rPr>
                <w:rFonts w:cs="Calibri"/>
                <w:color w:val="000000"/>
                <w:sz w:val="20"/>
                <w:szCs w:val="20"/>
              </w:rPr>
            </w:pPr>
            <w:r w:rsidRPr="00176573">
              <w:rPr>
                <w:rFonts w:cs="Calibri"/>
                <w:color w:val="000000"/>
                <w:sz w:val="20"/>
                <w:szCs w:val="20"/>
              </w:rPr>
              <w:t>27,317</w:t>
            </w:r>
          </w:p>
        </w:tc>
      </w:tr>
      <w:tr w:rsidR="00176573" w:rsidRPr="00176573" w14:paraId="6FB6F5A7" w14:textId="77777777" w:rsidTr="003F56FB">
        <w:trPr>
          <w:cantSplit/>
          <w:trHeight w:val="283"/>
        </w:trPr>
        <w:tc>
          <w:tcPr>
            <w:tcW w:w="991" w:type="pct"/>
            <w:tcBorders>
              <w:top w:val="nil"/>
              <w:left w:val="single" w:sz="8" w:space="0" w:color="C00000"/>
              <w:bottom w:val="nil"/>
              <w:right w:val="nil"/>
            </w:tcBorders>
            <w:shd w:val="clear" w:color="auto" w:fill="auto"/>
            <w:vAlign w:val="center"/>
            <w:hideMark/>
          </w:tcPr>
          <w:p w14:paraId="6654E00E"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Q2 2019</w:t>
            </w:r>
          </w:p>
        </w:tc>
        <w:tc>
          <w:tcPr>
            <w:tcW w:w="1914" w:type="pct"/>
            <w:tcBorders>
              <w:top w:val="nil"/>
              <w:left w:val="nil"/>
              <w:bottom w:val="nil"/>
              <w:right w:val="nil"/>
            </w:tcBorders>
            <w:shd w:val="clear" w:color="auto" w:fill="auto"/>
            <w:vAlign w:val="center"/>
            <w:hideMark/>
          </w:tcPr>
          <w:p w14:paraId="61246BCD" w14:textId="77777777" w:rsidR="00176573" w:rsidRPr="00176573" w:rsidRDefault="00176573" w:rsidP="00176573">
            <w:pPr>
              <w:jc w:val="right"/>
              <w:rPr>
                <w:rFonts w:cs="Calibri"/>
                <w:color w:val="000000"/>
                <w:sz w:val="20"/>
                <w:szCs w:val="20"/>
              </w:rPr>
            </w:pPr>
            <w:r w:rsidRPr="00176573">
              <w:rPr>
                <w:rFonts w:cs="Calibri"/>
                <w:color w:val="000000"/>
                <w:sz w:val="20"/>
                <w:szCs w:val="20"/>
              </w:rPr>
              <w:t>2647</w:t>
            </w:r>
          </w:p>
        </w:tc>
        <w:tc>
          <w:tcPr>
            <w:tcW w:w="2095" w:type="pct"/>
            <w:tcBorders>
              <w:top w:val="nil"/>
              <w:left w:val="nil"/>
              <w:bottom w:val="nil"/>
              <w:right w:val="single" w:sz="8" w:space="0" w:color="C00000"/>
            </w:tcBorders>
            <w:shd w:val="clear" w:color="auto" w:fill="auto"/>
            <w:vAlign w:val="center"/>
            <w:hideMark/>
          </w:tcPr>
          <w:p w14:paraId="4D4874D5" w14:textId="77777777" w:rsidR="00176573" w:rsidRPr="00176573" w:rsidRDefault="00176573" w:rsidP="00176573">
            <w:pPr>
              <w:jc w:val="right"/>
              <w:rPr>
                <w:rFonts w:cs="Calibri"/>
                <w:color w:val="000000"/>
                <w:sz w:val="20"/>
                <w:szCs w:val="20"/>
              </w:rPr>
            </w:pPr>
            <w:r w:rsidRPr="00176573">
              <w:rPr>
                <w:rFonts w:cs="Calibri"/>
                <w:color w:val="000000"/>
                <w:sz w:val="20"/>
                <w:szCs w:val="20"/>
              </w:rPr>
              <w:t>29,964</w:t>
            </w:r>
          </w:p>
        </w:tc>
      </w:tr>
      <w:tr w:rsidR="00176573" w:rsidRPr="00176573" w14:paraId="3BC9E4AC"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58FB058C"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Q3 2019</w:t>
            </w:r>
          </w:p>
        </w:tc>
        <w:tc>
          <w:tcPr>
            <w:tcW w:w="1914" w:type="pct"/>
            <w:tcBorders>
              <w:top w:val="nil"/>
              <w:left w:val="nil"/>
              <w:bottom w:val="nil"/>
              <w:right w:val="nil"/>
            </w:tcBorders>
            <w:shd w:val="clear" w:color="auto" w:fill="auto"/>
            <w:vAlign w:val="center"/>
            <w:hideMark/>
          </w:tcPr>
          <w:p w14:paraId="3110ABB2" w14:textId="77777777" w:rsidR="00176573" w:rsidRPr="00176573" w:rsidRDefault="00176573" w:rsidP="00176573">
            <w:pPr>
              <w:jc w:val="right"/>
              <w:rPr>
                <w:rFonts w:cs="Calibri"/>
                <w:color w:val="000000"/>
                <w:sz w:val="20"/>
                <w:szCs w:val="20"/>
              </w:rPr>
            </w:pPr>
            <w:r w:rsidRPr="00176573">
              <w:rPr>
                <w:rFonts w:cs="Calibri"/>
                <w:color w:val="000000"/>
                <w:sz w:val="20"/>
                <w:szCs w:val="20"/>
              </w:rPr>
              <w:t>2702</w:t>
            </w:r>
          </w:p>
        </w:tc>
        <w:tc>
          <w:tcPr>
            <w:tcW w:w="2095" w:type="pct"/>
            <w:tcBorders>
              <w:top w:val="nil"/>
              <w:left w:val="nil"/>
              <w:bottom w:val="nil"/>
              <w:right w:val="single" w:sz="8" w:space="0" w:color="C00000"/>
            </w:tcBorders>
            <w:shd w:val="clear" w:color="auto" w:fill="auto"/>
            <w:vAlign w:val="center"/>
            <w:hideMark/>
          </w:tcPr>
          <w:p w14:paraId="67978B5A" w14:textId="77777777" w:rsidR="00176573" w:rsidRPr="00176573" w:rsidRDefault="00176573" w:rsidP="00176573">
            <w:pPr>
              <w:jc w:val="right"/>
              <w:rPr>
                <w:rFonts w:cs="Calibri"/>
                <w:color w:val="000000"/>
                <w:sz w:val="20"/>
                <w:szCs w:val="20"/>
              </w:rPr>
            </w:pPr>
            <w:r w:rsidRPr="00176573">
              <w:rPr>
                <w:rFonts w:cs="Calibri"/>
                <w:color w:val="000000"/>
                <w:sz w:val="20"/>
                <w:szCs w:val="20"/>
              </w:rPr>
              <w:t>32,666</w:t>
            </w:r>
          </w:p>
        </w:tc>
      </w:tr>
      <w:tr w:rsidR="00176573" w:rsidRPr="00176573" w14:paraId="2D8FB316"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4B566051"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Q4 2019</w:t>
            </w:r>
          </w:p>
        </w:tc>
        <w:tc>
          <w:tcPr>
            <w:tcW w:w="1914" w:type="pct"/>
            <w:tcBorders>
              <w:top w:val="nil"/>
              <w:left w:val="nil"/>
              <w:bottom w:val="nil"/>
              <w:right w:val="nil"/>
            </w:tcBorders>
            <w:shd w:val="clear" w:color="auto" w:fill="auto"/>
            <w:vAlign w:val="center"/>
            <w:hideMark/>
          </w:tcPr>
          <w:p w14:paraId="4BB9E85B" w14:textId="77777777" w:rsidR="00176573" w:rsidRPr="00176573" w:rsidRDefault="00176573" w:rsidP="00176573">
            <w:pPr>
              <w:jc w:val="right"/>
              <w:rPr>
                <w:rFonts w:cs="Calibri"/>
                <w:color w:val="000000"/>
                <w:sz w:val="20"/>
                <w:szCs w:val="20"/>
              </w:rPr>
            </w:pPr>
            <w:r w:rsidRPr="00176573">
              <w:rPr>
                <w:rFonts w:cs="Calibri"/>
                <w:color w:val="000000"/>
                <w:sz w:val="20"/>
                <w:szCs w:val="20"/>
              </w:rPr>
              <w:t>2587</w:t>
            </w:r>
          </w:p>
        </w:tc>
        <w:tc>
          <w:tcPr>
            <w:tcW w:w="2095" w:type="pct"/>
            <w:tcBorders>
              <w:top w:val="nil"/>
              <w:left w:val="nil"/>
              <w:bottom w:val="nil"/>
              <w:right w:val="single" w:sz="8" w:space="0" w:color="C00000"/>
            </w:tcBorders>
            <w:shd w:val="clear" w:color="auto" w:fill="auto"/>
            <w:vAlign w:val="center"/>
            <w:hideMark/>
          </w:tcPr>
          <w:p w14:paraId="3613B83C" w14:textId="77777777" w:rsidR="00176573" w:rsidRPr="00176573" w:rsidRDefault="00176573" w:rsidP="00176573">
            <w:pPr>
              <w:jc w:val="right"/>
              <w:rPr>
                <w:rFonts w:cs="Calibri"/>
                <w:color w:val="000000"/>
                <w:sz w:val="20"/>
                <w:szCs w:val="20"/>
              </w:rPr>
            </w:pPr>
            <w:r w:rsidRPr="00176573">
              <w:rPr>
                <w:rFonts w:cs="Calibri"/>
                <w:color w:val="000000"/>
                <w:sz w:val="20"/>
                <w:szCs w:val="20"/>
              </w:rPr>
              <w:t>35,253</w:t>
            </w:r>
          </w:p>
        </w:tc>
      </w:tr>
      <w:tr w:rsidR="00176573" w:rsidRPr="00176573" w14:paraId="6116DA9D"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7CD60BEF"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Q1 2020</w:t>
            </w:r>
          </w:p>
        </w:tc>
        <w:tc>
          <w:tcPr>
            <w:tcW w:w="1914" w:type="pct"/>
            <w:tcBorders>
              <w:top w:val="nil"/>
              <w:left w:val="nil"/>
              <w:bottom w:val="nil"/>
              <w:right w:val="nil"/>
            </w:tcBorders>
            <w:shd w:val="clear" w:color="auto" w:fill="auto"/>
            <w:vAlign w:val="center"/>
            <w:hideMark/>
          </w:tcPr>
          <w:p w14:paraId="3A94D1D3" w14:textId="77777777" w:rsidR="00176573" w:rsidRPr="00176573" w:rsidRDefault="00176573" w:rsidP="00176573">
            <w:pPr>
              <w:jc w:val="right"/>
              <w:rPr>
                <w:rFonts w:cs="Calibri"/>
                <w:color w:val="000000"/>
                <w:sz w:val="20"/>
                <w:szCs w:val="20"/>
              </w:rPr>
            </w:pPr>
            <w:r w:rsidRPr="00176573">
              <w:rPr>
                <w:rFonts w:cs="Calibri"/>
                <w:color w:val="000000"/>
                <w:sz w:val="20"/>
                <w:szCs w:val="20"/>
              </w:rPr>
              <w:t>3853</w:t>
            </w:r>
          </w:p>
        </w:tc>
        <w:tc>
          <w:tcPr>
            <w:tcW w:w="2095" w:type="pct"/>
            <w:tcBorders>
              <w:top w:val="nil"/>
              <w:left w:val="nil"/>
              <w:bottom w:val="nil"/>
              <w:right w:val="single" w:sz="8" w:space="0" w:color="C00000"/>
            </w:tcBorders>
            <w:shd w:val="clear" w:color="auto" w:fill="auto"/>
            <w:vAlign w:val="center"/>
            <w:hideMark/>
          </w:tcPr>
          <w:p w14:paraId="7A426B2F" w14:textId="77777777" w:rsidR="00176573" w:rsidRPr="00176573" w:rsidRDefault="00176573" w:rsidP="00176573">
            <w:pPr>
              <w:jc w:val="right"/>
              <w:rPr>
                <w:rFonts w:cs="Calibri"/>
                <w:color w:val="000000"/>
                <w:sz w:val="20"/>
                <w:szCs w:val="20"/>
              </w:rPr>
            </w:pPr>
            <w:r w:rsidRPr="00176573">
              <w:rPr>
                <w:rFonts w:cs="Calibri"/>
                <w:color w:val="000000"/>
                <w:sz w:val="20"/>
                <w:szCs w:val="20"/>
              </w:rPr>
              <w:t>39,106</w:t>
            </w:r>
          </w:p>
        </w:tc>
      </w:tr>
      <w:tr w:rsidR="00176573" w:rsidRPr="00176573" w14:paraId="4DF4EFF3"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44CDB2A5"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Q2 2020</w:t>
            </w:r>
          </w:p>
        </w:tc>
        <w:tc>
          <w:tcPr>
            <w:tcW w:w="1914" w:type="pct"/>
            <w:tcBorders>
              <w:top w:val="nil"/>
              <w:left w:val="nil"/>
              <w:bottom w:val="nil"/>
              <w:right w:val="nil"/>
            </w:tcBorders>
            <w:shd w:val="clear" w:color="auto" w:fill="auto"/>
            <w:vAlign w:val="center"/>
            <w:hideMark/>
          </w:tcPr>
          <w:p w14:paraId="224B3637" w14:textId="77777777" w:rsidR="00176573" w:rsidRPr="00176573" w:rsidRDefault="00176573" w:rsidP="00176573">
            <w:pPr>
              <w:jc w:val="right"/>
              <w:rPr>
                <w:rFonts w:cs="Calibri"/>
                <w:color w:val="000000"/>
                <w:sz w:val="20"/>
                <w:szCs w:val="20"/>
              </w:rPr>
            </w:pPr>
            <w:r w:rsidRPr="00176573">
              <w:rPr>
                <w:rFonts w:cs="Calibri"/>
                <w:color w:val="000000"/>
                <w:sz w:val="20"/>
                <w:szCs w:val="20"/>
              </w:rPr>
              <w:t>3741</w:t>
            </w:r>
          </w:p>
        </w:tc>
        <w:tc>
          <w:tcPr>
            <w:tcW w:w="2095" w:type="pct"/>
            <w:tcBorders>
              <w:top w:val="nil"/>
              <w:left w:val="nil"/>
              <w:bottom w:val="nil"/>
              <w:right w:val="single" w:sz="8" w:space="0" w:color="C00000"/>
            </w:tcBorders>
            <w:shd w:val="clear" w:color="auto" w:fill="auto"/>
            <w:vAlign w:val="center"/>
            <w:hideMark/>
          </w:tcPr>
          <w:p w14:paraId="3A6BA064" w14:textId="77777777" w:rsidR="00176573" w:rsidRPr="00176573" w:rsidRDefault="00176573" w:rsidP="00176573">
            <w:pPr>
              <w:jc w:val="right"/>
              <w:rPr>
                <w:rFonts w:cs="Calibri"/>
                <w:color w:val="000000"/>
                <w:sz w:val="20"/>
                <w:szCs w:val="20"/>
              </w:rPr>
            </w:pPr>
            <w:r w:rsidRPr="00176573">
              <w:rPr>
                <w:rFonts w:cs="Calibri"/>
                <w:color w:val="000000"/>
                <w:sz w:val="20"/>
                <w:szCs w:val="20"/>
              </w:rPr>
              <w:t>42,847</w:t>
            </w:r>
          </w:p>
        </w:tc>
      </w:tr>
      <w:tr w:rsidR="00176573" w:rsidRPr="00176573" w14:paraId="1116C12E"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48A60C07"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Q3 2020</w:t>
            </w:r>
          </w:p>
        </w:tc>
        <w:tc>
          <w:tcPr>
            <w:tcW w:w="1914" w:type="pct"/>
            <w:tcBorders>
              <w:top w:val="nil"/>
              <w:left w:val="nil"/>
              <w:bottom w:val="nil"/>
              <w:right w:val="nil"/>
            </w:tcBorders>
            <w:shd w:val="clear" w:color="auto" w:fill="auto"/>
            <w:vAlign w:val="center"/>
            <w:hideMark/>
          </w:tcPr>
          <w:p w14:paraId="25283EB6" w14:textId="77777777" w:rsidR="00176573" w:rsidRPr="00176573" w:rsidRDefault="00176573" w:rsidP="00176573">
            <w:pPr>
              <w:jc w:val="right"/>
              <w:rPr>
                <w:rFonts w:cs="Calibri"/>
                <w:color w:val="000000"/>
                <w:sz w:val="20"/>
                <w:szCs w:val="20"/>
              </w:rPr>
            </w:pPr>
            <w:r w:rsidRPr="00176573">
              <w:rPr>
                <w:rFonts w:cs="Calibri"/>
                <w:color w:val="000000"/>
                <w:sz w:val="20"/>
                <w:szCs w:val="20"/>
              </w:rPr>
              <w:t>2660</w:t>
            </w:r>
          </w:p>
        </w:tc>
        <w:tc>
          <w:tcPr>
            <w:tcW w:w="2095" w:type="pct"/>
            <w:tcBorders>
              <w:top w:val="nil"/>
              <w:left w:val="nil"/>
              <w:bottom w:val="nil"/>
              <w:right w:val="single" w:sz="8" w:space="0" w:color="C00000"/>
            </w:tcBorders>
            <w:shd w:val="clear" w:color="auto" w:fill="auto"/>
            <w:vAlign w:val="center"/>
            <w:hideMark/>
          </w:tcPr>
          <w:p w14:paraId="13FAA19D" w14:textId="77777777" w:rsidR="00176573" w:rsidRPr="00176573" w:rsidRDefault="00176573" w:rsidP="00176573">
            <w:pPr>
              <w:jc w:val="right"/>
              <w:rPr>
                <w:rFonts w:cs="Calibri"/>
                <w:color w:val="000000"/>
                <w:sz w:val="20"/>
                <w:szCs w:val="20"/>
              </w:rPr>
            </w:pPr>
            <w:r w:rsidRPr="00176573">
              <w:rPr>
                <w:rFonts w:cs="Calibri"/>
                <w:color w:val="000000"/>
                <w:sz w:val="20"/>
                <w:szCs w:val="20"/>
              </w:rPr>
              <w:t>45,507</w:t>
            </w:r>
          </w:p>
        </w:tc>
      </w:tr>
      <w:tr w:rsidR="00176573" w:rsidRPr="00176573" w14:paraId="08A25C40"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30FDBD94"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Q4 2020</w:t>
            </w:r>
          </w:p>
        </w:tc>
        <w:tc>
          <w:tcPr>
            <w:tcW w:w="1914" w:type="pct"/>
            <w:tcBorders>
              <w:top w:val="nil"/>
              <w:left w:val="nil"/>
              <w:bottom w:val="nil"/>
              <w:right w:val="nil"/>
            </w:tcBorders>
            <w:shd w:val="clear" w:color="auto" w:fill="auto"/>
            <w:vAlign w:val="center"/>
            <w:hideMark/>
          </w:tcPr>
          <w:p w14:paraId="115EB5A1" w14:textId="77777777" w:rsidR="00176573" w:rsidRPr="00176573" w:rsidRDefault="00176573" w:rsidP="00176573">
            <w:pPr>
              <w:jc w:val="right"/>
              <w:rPr>
                <w:rFonts w:cs="Calibri"/>
                <w:color w:val="000000"/>
                <w:sz w:val="20"/>
                <w:szCs w:val="20"/>
              </w:rPr>
            </w:pPr>
            <w:r w:rsidRPr="00176573">
              <w:rPr>
                <w:rFonts w:cs="Calibri"/>
                <w:color w:val="000000"/>
                <w:sz w:val="20"/>
                <w:szCs w:val="20"/>
              </w:rPr>
              <w:t>2754</w:t>
            </w:r>
          </w:p>
        </w:tc>
        <w:tc>
          <w:tcPr>
            <w:tcW w:w="2095" w:type="pct"/>
            <w:tcBorders>
              <w:top w:val="nil"/>
              <w:left w:val="nil"/>
              <w:bottom w:val="nil"/>
              <w:right w:val="single" w:sz="8" w:space="0" w:color="C00000"/>
            </w:tcBorders>
            <w:shd w:val="clear" w:color="auto" w:fill="auto"/>
            <w:vAlign w:val="center"/>
            <w:hideMark/>
          </w:tcPr>
          <w:p w14:paraId="796A9350" w14:textId="77777777" w:rsidR="00176573" w:rsidRPr="00176573" w:rsidRDefault="00176573" w:rsidP="00176573">
            <w:pPr>
              <w:jc w:val="right"/>
              <w:rPr>
                <w:rFonts w:cs="Calibri"/>
                <w:color w:val="000000"/>
                <w:sz w:val="20"/>
                <w:szCs w:val="20"/>
              </w:rPr>
            </w:pPr>
            <w:r w:rsidRPr="00176573">
              <w:rPr>
                <w:rFonts w:cs="Calibri"/>
                <w:color w:val="000000"/>
                <w:sz w:val="20"/>
                <w:szCs w:val="20"/>
              </w:rPr>
              <w:t>48,261</w:t>
            </w:r>
          </w:p>
        </w:tc>
      </w:tr>
      <w:tr w:rsidR="00176573" w:rsidRPr="00176573" w14:paraId="488581BB"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57B9C436"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Q1 2021</w:t>
            </w:r>
          </w:p>
        </w:tc>
        <w:tc>
          <w:tcPr>
            <w:tcW w:w="1914" w:type="pct"/>
            <w:tcBorders>
              <w:top w:val="nil"/>
              <w:left w:val="nil"/>
              <w:bottom w:val="nil"/>
              <w:right w:val="nil"/>
            </w:tcBorders>
            <w:shd w:val="clear" w:color="auto" w:fill="auto"/>
            <w:vAlign w:val="center"/>
            <w:hideMark/>
          </w:tcPr>
          <w:p w14:paraId="0CA937F8" w14:textId="77777777" w:rsidR="00176573" w:rsidRPr="00176573" w:rsidRDefault="00176573" w:rsidP="00176573">
            <w:pPr>
              <w:jc w:val="right"/>
              <w:rPr>
                <w:rFonts w:cs="Calibri"/>
                <w:color w:val="000000"/>
                <w:sz w:val="20"/>
                <w:szCs w:val="20"/>
              </w:rPr>
            </w:pPr>
            <w:r w:rsidRPr="00176573">
              <w:rPr>
                <w:rFonts w:cs="Calibri"/>
                <w:color w:val="000000"/>
                <w:sz w:val="20"/>
                <w:szCs w:val="20"/>
              </w:rPr>
              <w:t>2741</w:t>
            </w:r>
          </w:p>
        </w:tc>
        <w:tc>
          <w:tcPr>
            <w:tcW w:w="2095" w:type="pct"/>
            <w:tcBorders>
              <w:top w:val="nil"/>
              <w:left w:val="nil"/>
              <w:bottom w:val="nil"/>
              <w:right w:val="single" w:sz="8" w:space="0" w:color="C00000"/>
            </w:tcBorders>
            <w:shd w:val="clear" w:color="auto" w:fill="auto"/>
            <w:vAlign w:val="center"/>
            <w:hideMark/>
          </w:tcPr>
          <w:p w14:paraId="52D4CB3B" w14:textId="77777777" w:rsidR="00176573" w:rsidRPr="00176573" w:rsidRDefault="00176573" w:rsidP="00176573">
            <w:pPr>
              <w:jc w:val="right"/>
              <w:rPr>
                <w:rFonts w:cs="Calibri"/>
                <w:color w:val="000000"/>
                <w:sz w:val="20"/>
                <w:szCs w:val="20"/>
              </w:rPr>
            </w:pPr>
            <w:r w:rsidRPr="00176573">
              <w:rPr>
                <w:rFonts w:cs="Calibri"/>
                <w:color w:val="000000"/>
                <w:sz w:val="20"/>
                <w:szCs w:val="20"/>
              </w:rPr>
              <w:t>51,002</w:t>
            </w:r>
          </w:p>
        </w:tc>
      </w:tr>
      <w:tr w:rsidR="00176573" w:rsidRPr="00176573" w14:paraId="499526D2"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44CEC0F8"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Q2 2021</w:t>
            </w:r>
          </w:p>
        </w:tc>
        <w:tc>
          <w:tcPr>
            <w:tcW w:w="1914" w:type="pct"/>
            <w:tcBorders>
              <w:top w:val="nil"/>
              <w:left w:val="nil"/>
              <w:bottom w:val="nil"/>
              <w:right w:val="nil"/>
            </w:tcBorders>
            <w:shd w:val="clear" w:color="auto" w:fill="auto"/>
            <w:vAlign w:val="center"/>
            <w:hideMark/>
          </w:tcPr>
          <w:p w14:paraId="4ACDC25C" w14:textId="77777777" w:rsidR="00176573" w:rsidRPr="00176573" w:rsidRDefault="00176573" w:rsidP="00176573">
            <w:pPr>
              <w:jc w:val="right"/>
              <w:rPr>
                <w:rFonts w:cs="Calibri"/>
                <w:color w:val="000000"/>
                <w:sz w:val="20"/>
                <w:szCs w:val="20"/>
              </w:rPr>
            </w:pPr>
            <w:r w:rsidRPr="00176573">
              <w:rPr>
                <w:rFonts w:cs="Calibri"/>
                <w:color w:val="000000"/>
                <w:sz w:val="20"/>
                <w:szCs w:val="20"/>
              </w:rPr>
              <w:t>4608</w:t>
            </w:r>
          </w:p>
        </w:tc>
        <w:tc>
          <w:tcPr>
            <w:tcW w:w="2095" w:type="pct"/>
            <w:tcBorders>
              <w:top w:val="nil"/>
              <w:left w:val="nil"/>
              <w:bottom w:val="nil"/>
              <w:right w:val="single" w:sz="8" w:space="0" w:color="C00000"/>
            </w:tcBorders>
            <w:shd w:val="clear" w:color="auto" w:fill="auto"/>
            <w:vAlign w:val="center"/>
            <w:hideMark/>
          </w:tcPr>
          <w:p w14:paraId="52A61C36" w14:textId="77777777" w:rsidR="00176573" w:rsidRPr="00176573" w:rsidRDefault="00176573" w:rsidP="00176573">
            <w:pPr>
              <w:jc w:val="right"/>
              <w:rPr>
                <w:rFonts w:cs="Calibri"/>
                <w:color w:val="000000"/>
                <w:sz w:val="20"/>
                <w:szCs w:val="20"/>
              </w:rPr>
            </w:pPr>
            <w:r w:rsidRPr="00176573">
              <w:rPr>
                <w:rFonts w:cs="Calibri"/>
                <w:color w:val="000000"/>
                <w:sz w:val="20"/>
                <w:szCs w:val="20"/>
              </w:rPr>
              <w:t>55,610</w:t>
            </w:r>
          </w:p>
        </w:tc>
      </w:tr>
      <w:tr w:rsidR="00176573" w:rsidRPr="00176573" w14:paraId="4F9A5715"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79FF3302"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Q3 2021</w:t>
            </w:r>
          </w:p>
        </w:tc>
        <w:tc>
          <w:tcPr>
            <w:tcW w:w="1914" w:type="pct"/>
            <w:tcBorders>
              <w:top w:val="nil"/>
              <w:left w:val="nil"/>
              <w:bottom w:val="nil"/>
              <w:right w:val="nil"/>
            </w:tcBorders>
            <w:shd w:val="clear" w:color="auto" w:fill="auto"/>
            <w:vAlign w:val="center"/>
            <w:hideMark/>
          </w:tcPr>
          <w:p w14:paraId="4E54C312" w14:textId="77777777" w:rsidR="00176573" w:rsidRPr="00176573" w:rsidRDefault="00176573" w:rsidP="00176573">
            <w:pPr>
              <w:jc w:val="right"/>
              <w:rPr>
                <w:rFonts w:cs="Calibri"/>
                <w:color w:val="000000"/>
                <w:sz w:val="20"/>
                <w:szCs w:val="20"/>
              </w:rPr>
            </w:pPr>
            <w:r w:rsidRPr="00176573">
              <w:rPr>
                <w:rFonts w:cs="Calibri"/>
                <w:color w:val="000000"/>
                <w:sz w:val="20"/>
                <w:szCs w:val="20"/>
              </w:rPr>
              <w:t>3760</w:t>
            </w:r>
          </w:p>
        </w:tc>
        <w:tc>
          <w:tcPr>
            <w:tcW w:w="2095" w:type="pct"/>
            <w:tcBorders>
              <w:top w:val="nil"/>
              <w:left w:val="nil"/>
              <w:bottom w:val="nil"/>
              <w:right w:val="single" w:sz="8" w:space="0" w:color="C00000"/>
            </w:tcBorders>
            <w:shd w:val="clear" w:color="auto" w:fill="auto"/>
            <w:vAlign w:val="center"/>
            <w:hideMark/>
          </w:tcPr>
          <w:p w14:paraId="24CC6062" w14:textId="77777777" w:rsidR="00176573" w:rsidRPr="00176573" w:rsidRDefault="00176573" w:rsidP="00176573">
            <w:pPr>
              <w:jc w:val="right"/>
              <w:rPr>
                <w:rFonts w:cs="Calibri"/>
                <w:color w:val="000000"/>
                <w:sz w:val="20"/>
                <w:szCs w:val="20"/>
              </w:rPr>
            </w:pPr>
            <w:r w:rsidRPr="00176573">
              <w:rPr>
                <w:rFonts w:cs="Calibri"/>
                <w:color w:val="000000"/>
                <w:sz w:val="20"/>
                <w:szCs w:val="20"/>
              </w:rPr>
              <w:t>59,370</w:t>
            </w:r>
          </w:p>
        </w:tc>
      </w:tr>
      <w:tr w:rsidR="00176573" w:rsidRPr="00176573" w14:paraId="6482BD8C"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6F0BA568"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Q4 2021</w:t>
            </w:r>
          </w:p>
        </w:tc>
        <w:tc>
          <w:tcPr>
            <w:tcW w:w="1914" w:type="pct"/>
            <w:tcBorders>
              <w:top w:val="nil"/>
              <w:left w:val="nil"/>
              <w:bottom w:val="nil"/>
              <w:right w:val="nil"/>
            </w:tcBorders>
            <w:shd w:val="clear" w:color="auto" w:fill="auto"/>
            <w:vAlign w:val="center"/>
            <w:hideMark/>
          </w:tcPr>
          <w:p w14:paraId="2CD56C63" w14:textId="77777777" w:rsidR="00176573" w:rsidRPr="00176573" w:rsidRDefault="00176573" w:rsidP="00176573">
            <w:pPr>
              <w:jc w:val="right"/>
              <w:rPr>
                <w:rFonts w:cs="Calibri"/>
                <w:color w:val="000000"/>
                <w:sz w:val="20"/>
                <w:szCs w:val="20"/>
              </w:rPr>
            </w:pPr>
            <w:r w:rsidRPr="00176573">
              <w:rPr>
                <w:rFonts w:cs="Calibri"/>
                <w:color w:val="000000"/>
                <w:sz w:val="20"/>
                <w:szCs w:val="20"/>
              </w:rPr>
              <w:t>3510</w:t>
            </w:r>
          </w:p>
        </w:tc>
        <w:tc>
          <w:tcPr>
            <w:tcW w:w="2095" w:type="pct"/>
            <w:tcBorders>
              <w:top w:val="nil"/>
              <w:left w:val="nil"/>
              <w:bottom w:val="nil"/>
              <w:right w:val="single" w:sz="8" w:space="0" w:color="C00000"/>
            </w:tcBorders>
            <w:shd w:val="clear" w:color="auto" w:fill="auto"/>
            <w:vAlign w:val="center"/>
            <w:hideMark/>
          </w:tcPr>
          <w:p w14:paraId="12ABD122" w14:textId="77777777" w:rsidR="00176573" w:rsidRPr="00176573" w:rsidRDefault="00176573" w:rsidP="00176573">
            <w:pPr>
              <w:jc w:val="right"/>
              <w:rPr>
                <w:rFonts w:cs="Calibri"/>
                <w:color w:val="000000"/>
                <w:sz w:val="20"/>
                <w:szCs w:val="20"/>
              </w:rPr>
            </w:pPr>
            <w:r w:rsidRPr="00176573">
              <w:rPr>
                <w:rFonts w:cs="Calibri"/>
                <w:color w:val="000000"/>
                <w:sz w:val="20"/>
                <w:szCs w:val="20"/>
              </w:rPr>
              <w:t>62,880</w:t>
            </w:r>
          </w:p>
        </w:tc>
      </w:tr>
      <w:tr w:rsidR="00176573" w:rsidRPr="00176573" w14:paraId="4D7F8019"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06AE868B"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Q1 2022</w:t>
            </w:r>
          </w:p>
        </w:tc>
        <w:tc>
          <w:tcPr>
            <w:tcW w:w="1914" w:type="pct"/>
            <w:tcBorders>
              <w:top w:val="nil"/>
              <w:left w:val="nil"/>
              <w:bottom w:val="nil"/>
              <w:right w:val="nil"/>
            </w:tcBorders>
            <w:shd w:val="clear" w:color="auto" w:fill="auto"/>
            <w:vAlign w:val="center"/>
            <w:hideMark/>
          </w:tcPr>
          <w:p w14:paraId="706C3E70" w14:textId="77777777" w:rsidR="00176573" w:rsidRPr="00176573" w:rsidRDefault="00176573" w:rsidP="00176573">
            <w:pPr>
              <w:jc w:val="right"/>
              <w:rPr>
                <w:rFonts w:cs="Calibri"/>
                <w:color w:val="000000"/>
                <w:sz w:val="20"/>
                <w:szCs w:val="20"/>
              </w:rPr>
            </w:pPr>
            <w:r w:rsidRPr="00176573">
              <w:rPr>
                <w:rFonts w:cs="Calibri"/>
                <w:color w:val="000000"/>
                <w:sz w:val="20"/>
                <w:szCs w:val="20"/>
              </w:rPr>
              <w:t>4771</w:t>
            </w:r>
          </w:p>
        </w:tc>
        <w:tc>
          <w:tcPr>
            <w:tcW w:w="2095" w:type="pct"/>
            <w:tcBorders>
              <w:top w:val="nil"/>
              <w:left w:val="nil"/>
              <w:bottom w:val="nil"/>
              <w:right w:val="single" w:sz="8" w:space="0" w:color="C00000"/>
            </w:tcBorders>
            <w:shd w:val="clear" w:color="auto" w:fill="auto"/>
            <w:vAlign w:val="center"/>
            <w:hideMark/>
          </w:tcPr>
          <w:p w14:paraId="03A43485" w14:textId="77777777" w:rsidR="00176573" w:rsidRPr="00176573" w:rsidRDefault="00176573" w:rsidP="00176573">
            <w:pPr>
              <w:jc w:val="right"/>
              <w:rPr>
                <w:rFonts w:cs="Calibri"/>
                <w:color w:val="000000"/>
                <w:sz w:val="20"/>
                <w:szCs w:val="20"/>
              </w:rPr>
            </w:pPr>
            <w:r w:rsidRPr="00176573">
              <w:rPr>
                <w:rFonts w:cs="Calibri"/>
                <w:color w:val="000000"/>
                <w:sz w:val="20"/>
                <w:szCs w:val="20"/>
              </w:rPr>
              <w:t>67,651</w:t>
            </w:r>
          </w:p>
        </w:tc>
      </w:tr>
      <w:tr w:rsidR="00176573" w:rsidRPr="00176573" w14:paraId="63654662"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2F62183F"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Q2 2022</w:t>
            </w:r>
          </w:p>
        </w:tc>
        <w:tc>
          <w:tcPr>
            <w:tcW w:w="1914" w:type="pct"/>
            <w:tcBorders>
              <w:top w:val="nil"/>
              <w:left w:val="nil"/>
              <w:bottom w:val="nil"/>
              <w:right w:val="nil"/>
            </w:tcBorders>
            <w:shd w:val="clear" w:color="auto" w:fill="auto"/>
            <w:vAlign w:val="center"/>
            <w:hideMark/>
          </w:tcPr>
          <w:p w14:paraId="61490892" w14:textId="77777777" w:rsidR="00176573" w:rsidRPr="00176573" w:rsidRDefault="00176573" w:rsidP="00176573">
            <w:pPr>
              <w:jc w:val="right"/>
              <w:rPr>
                <w:rFonts w:cs="Calibri"/>
                <w:color w:val="000000"/>
                <w:sz w:val="20"/>
                <w:szCs w:val="20"/>
              </w:rPr>
            </w:pPr>
            <w:r w:rsidRPr="00176573">
              <w:rPr>
                <w:rFonts w:cs="Calibri"/>
                <w:color w:val="000000"/>
                <w:sz w:val="20"/>
                <w:szCs w:val="20"/>
              </w:rPr>
              <w:t>4553</w:t>
            </w:r>
          </w:p>
        </w:tc>
        <w:tc>
          <w:tcPr>
            <w:tcW w:w="2095" w:type="pct"/>
            <w:tcBorders>
              <w:top w:val="nil"/>
              <w:left w:val="nil"/>
              <w:bottom w:val="nil"/>
              <w:right w:val="single" w:sz="8" w:space="0" w:color="C00000"/>
            </w:tcBorders>
            <w:shd w:val="clear" w:color="auto" w:fill="auto"/>
            <w:vAlign w:val="center"/>
            <w:hideMark/>
          </w:tcPr>
          <w:p w14:paraId="49DAA128" w14:textId="77777777" w:rsidR="00176573" w:rsidRPr="00176573" w:rsidRDefault="00176573" w:rsidP="00176573">
            <w:pPr>
              <w:jc w:val="right"/>
              <w:rPr>
                <w:rFonts w:cs="Calibri"/>
                <w:color w:val="000000"/>
                <w:sz w:val="20"/>
                <w:szCs w:val="20"/>
              </w:rPr>
            </w:pPr>
            <w:r w:rsidRPr="00176573">
              <w:rPr>
                <w:rFonts w:cs="Calibri"/>
                <w:color w:val="000000"/>
                <w:sz w:val="20"/>
                <w:szCs w:val="20"/>
              </w:rPr>
              <w:t>72,204</w:t>
            </w:r>
          </w:p>
        </w:tc>
      </w:tr>
      <w:tr w:rsidR="00176573" w:rsidRPr="00176573" w14:paraId="211FF876"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3F4A090D"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Q3 2022</w:t>
            </w:r>
          </w:p>
        </w:tc>
        <w:tc>
          <w:tcPr>
            <w:tcW w:w="1914" w:type="pct"/>
            <w:tcBorders>
              <w:top w:val="nil"/>
              <w:left w:val="nil"/>
              <w:bottom w:val="nil"/>
              <w:right w:val="nil"/>
            </w:tcBorders>
            <w:shd w:val="clear" w:color="auto" w:fill="auto"/>
            <w:vAlign w:val="center"/>
            <w:hideMark/>
          </w:tcPr>
          <w:p w14:paraId="1649FD55" w14:textId="77777777" w:rsidR="00176573" w:rsidRPr="00176573" w:rsidRDefault="00176573" w:rsidP="00176573">
            <w:pPr>
              <w:jc w:val="right"/>
              <w:rPr>
                <w:rFonts w:cs="Calibri"/>
                <w:color w:val="000000"/>
                <w:sz w:val="20"/>
                <w:szCs w:val="20"/>
              </w:rPr>
            </w:pPr>
            <w:r w:rsidRPr="00176573">
              <w:rPr>
                <w:rFonts w:cs="Calibri"/>
                <w:color w:val="000000"/>
                <w:sz w:val="20"/>
                <w:szCs w:val="20"/>
              </w:rPr>
              <w:t>3630</w:t>
            </w:r>
          </w:p>
        </w:tc>
        <w:tc>
          <w:tcPr>
            <w:tcW w:w="2095" w:type="pct"/>
            <w:tcBorders>
              <w:top w:val="nil"/>
              <w:left w:val="nil"/>
              <w:bottom w:val="nil"/>
              <w:right w:val="single" w:sz="8" w:space="0" w:color="C00000"/>
            </w:tcBorders>
            <w:shd w:val="clear" w:color="auto" w:fill="auto"/>
            <w:vAlign w:val="center"/>
            <w:hideMark/>
          </w:tcPr>
          <w:p w14:paraId="2F8875E7" w14:textId="77777777" w:rsidR="00176573" w:rsidRPr="00176573" w:rsidRDefault="00176573" w:rsidP="00176573">
            <w:pPr>
              <w:jc w:val="right"/>
              <w:rPr>
                <w:rFonts w:cs="Calibri"/>
                <w:color w:val="000000"/>
                <w:sz w:val="20"/>
                <w:szCs w:val="20"/>
              </w:rPr>
            </w:pPr>
            <w:r w:rsidRPr="00176573">
              <w:rPr>
                <w:rFonts w:cs="Calibri"/>
                <w:color w:val="000000"/>
                <w:sz w:val="20"/>
                <w:szCs w:val="20"/>
              </w:rPr>
              <w:t>75,834</w:t>
            </w:r>
          </w:p>
        </w:tc>
      </w:tr>
      <w:tr w:rsidR="00176573" w:rsidRPr="00176573" w14:paraId="1741159C"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628B7CAA"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Q4 2022</w:t>
            </w:r>
          </w:p>
        </w:tc>
        <w:tc>
          <w:tcPr>
            <w:tcW w:w="1914" w:type="pct"/>
            <w:tcBorders>
              <w:top w:val="nil"/>
              <w:left w:val="nil"/>
              <w:bottom w:val="nil"/>
              <w:right w:val="nil"/>
            </w:tcBorders>
            <w:shd w:val="clear" w:color="auto" w:fill="auto"/>
            <w:vAlign w:val="center"/>
            <w:hideMark/>
          </w:tcPr>
          <w:p w14:paraId="1C3A6FA2" w14:textId="77777777" w:rsidR="00176573" w:rsidRPr="00176573" w:rsidRDefault="00176573" w:rsidP="00176573">
            <w:pPr>
              <w:jc w:val="right"/>
              <w:rPr>
                <w:rFonts w:cs="Calibri"/>
                <w:color w:val="000000"/>
                <w:sz w:val="20"/>
                <w:szCs w:val="20"/>
              </w:rPr>
            </w:pPr>
            <w:r w:rsidRPr="00176573">
              <w:rPr>
                <w:rFonts w:cs="Calibri"/>
                <w:color w:val="000000"/>
                <w:sz w:val="20"/>
                <w:szCs w:val="20"/>
              </w:rPr>
              <w:t>4119</w:t>
            </w:r>
          </w:p>
        </w:tc>
        <w:tc>
          <w:tcPr>
            <w:tcW w:w="2095" w:type="pct"/>
            <w:tcBorders>
              <w:top w:val="nil"/>
              <w:left w:val="nil"/>
              <w:bottom w:val="nil"/>
              <w:right w:val="single" w:sz="8" w:space="0" w:color="C00000"/>
            </w:tcBorders>
            <w:shd w:val="clear" w:color="auto" w:fill="auto"/>
            <w:vAlign w:val="center"/>
            <w:hideMark/>
          </w:tcPr>
          <w:p w14:paraId="08D96695" w14:textId="77777777" w:rsidR="00176573" w:rsidRPr="00176573" w:rsidRDefault="00176573" w:rsidP="00176573">
            <w:pPr>
              <w:jc w:val="right"/>
              <w:rPr>
                <w:rFonts w:cs="Calibri"/>
                <w:color w:val="000000"/>
                <w:sz w:val="20"/>
                <w:szCs w:val="20"/>
              </w:rPr>
            </w:pPr>
            <w:r w:rsidRPr="00176573">
              <w:rPr>
                <w:rFonts w:cs="Calibri"/>
                <w:color w:val="000000"/>
                <w:sz w:val="20"/>
                <w:szCs w:val="20"/>
              </w:rPr>
              <w:t>79,953</w:t>
            </w:r>
          </w:p>
        </w:tc>
      </w:tr>
      <w:tr w:rsidR="00176573" w:rsidRPr="00176573" w14:paraId="55084F3D"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36E6ACFB"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Q1 2023</w:t>
            </w:r>
          </w:p>
        </w:tc>
        <w:tc>
          <w:tcPr>
            <w:tcW w:w="1914" w:type="pct"/>
            <w:tcBorders>
              <w:top w:val="nil"/>
              <w:left w:val="nil"/>
              <w:bottom w:val="nil"/>
              <w:right w:val="nil"/>
            </w:tcBorders>
            <w:shd w:val="clear" w:color="auto" w:fill="auto"/>
            <w:vAlign w:val="center"/>
            <w:hideMark/>
          </w:tcPr>
          <w:p w14:paraId="4A86F293" w14:textId="77777777" w:rsidR="00176573" w:rsidRPr="00176573" w:rsidRDefault="00176573" w:rsidP="00176573">
            <w:pPr>
              <w:jc w:val="right"/>
              <w:rPr>
                <w:rFonts w:cs="Calibri"/>
                <w:color w:val="000000"/>
                <w:sz w:val="20"/>
                <w:szCs w:val="20"/>
              </w:rPr>
            </w:pPr>
            <w:r w:rsidRPr="00176573">
              <w:rPr>
                <w:rFonts w:cs="Calibri"/>
                <w:color w:val="000000"/>
                <w:sz w:val="20"/>
                <w:szCs w:val="20"/>
              </w:rPr>
              <w:t>4935</w:t>
            </w:r>
          </w:p>
        </w:tc>
        <w:tc>
          <w:tcPr>
            <w:tcW w:w="2095" w:type="pct"/>
            <w:tcBorders>
              <w:top w:val="nil"/>
              <w:left w:val="nil"/>
              <w:bottom w:val="nil"/>
              <w:right w:val="single" w:sz="8" w:space="0" w:color="C00000"/>
            </w:tcBorders>
            <w:shd w:val="clear" w:color="auto" w:fill="auto"/>
            <w:vAlign w:val="center"/>
            <w:hideMark/>
          </w:tcPr>
          <w:p w14:paraId="3614BFA1" w14:textId="77777777" w:rsidR="00176573" w:rsidRPr="00176573" w:rsidRDefault="00176573" w:rsidP="00176573">
            <w:pPr>
              <w:jc w:val="right"/>
              <w:rPr>
                <w:rFonts w:cs="Calibri"/>
                <w:color w:val="000000"/>
                <w:sz w:val="20"/>
                <w:szCs w:val="20"/>
              </w:rPr>
            </w:pPr>
            <w:r w:rsidRPr="00176573">
              <w:rPr>
                <w:rFonts w:cs="Calibri"/>
                <w:color w:val="000000"/>
                <w:sz w:val="20"/>
                <w:szCs w:val="20"/>
              </w:rPr>
              <w:t>84,888</w:t>
            </w:r>
          </w:p>
        </w:tc>
      </w:tr>
      <w:tr w:rsidR="00176573" w:rsidRPr="00176573" w14:paraId="401722E8"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3AD4C980"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Q2 2023</w:t>
            </w:r>
          </w:p>
        </w:tc>
        <w:tc>
          <w:tcPr>
            <w:tcW w:w="1914" w:type="pct"/>
            <w:tcBorders>
              <w:top w:val="nil"/>
              <w:left w:val="nil"/>
              <w:bottom w:val="nil"/>
              <w:right w:val="nil"/>
            </w:tcBorders>
            <w:shd w:val="clear" w:color="auto" w:fill="auto"/>
            <w:vAlign w:val="center"/>
            <w:hideMark/>
          </w:tcPr>
          <w:p w14:paraId="10431463" w14:textId="77777777" w:rsidR="00176573" w:rsidRPr="00176573" w:rsidRDefault="00176573" w:rsidP="00176573">
            <w:pPr>
              <w:jc w:val="right"/>
              <w:rPr>
                <w:rFonts w:cs="Calibri"/>
                <w:color w:val="000000"/>
                <w:sz w:val="20"/>
                <w:szCs w:val="20"/>
              </w:rPr>
            </w:pPr>
            <w:r w:rsidRPr="00176573">
              <w:rPr>
                <w:rFonts w:cs="Calibri"/>
                <w:color w:val="000000"/>
                <w:sz w:val="20"/>
                <w:szCs w:val="20"/>
              </w:rPr>
              <w:t>4682</w:t>
            </w:r>
          </w:p>
        </w:tc>
        <w:tc>
          <w:tcPr>
            <w:tcW w:w="2095" w:type="pct"/>
            <w:tcBorders>
              <w:top w:val="nil"/>
              <w:left w:val="nil"/>
              <w:bottom w:val="nil"/>
              <w:right w:val="single" w:sz="8" w:space="0" w:color="C00000"/>
            </w:tcBorders>
            <w:shd w:val="clear" w:color="auto" w:fill="auto"/>
            <w:vAlign w:val="center"/>
            <w:hideMark/>
          </w:tcPr>
          <w:p w14:paraId="7871C81E" w14:textId="77777777" w:rsidR="00176573" w:rsidRPr="00176573" w:rsidRDefault="00176573" w:rsidP="00176573">
            <w:pPr>
              <w:jc w:val="right"/>
              <w:rPr>
                <w:rFonts w:cs="Calibri"/>
                <w:color w:val="000000"/>
                <w:sz w:val="20"/>
                <w:szCs w:val="20"/>
              </w:rPr>
            </w:pPr>
            <w:r w:rsidRPr="00176573">
              <w:rPr>
                <w:rFonts w:cs="Calibri"/>
                <w:color w:val="000000"/>
                <w:sz w:val="20"/>
                <w:szCs w:val="20"/>
              </w:rPr>
              <w:t>89,570</w:t>
            </w:r>
          </w:p>
        </w:tc>
      </w:tr>
      <w:tr w:rsidR="00176573" w:rsidRPr="00176573" w14:paraId="3453E477"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52A2E96F"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Q3 2023</w:t>
            </w:r>
          </w:p>
        </w:tc>
        <w:tc>
          <w:tcPr>
            <w:tcW w:w="1914" w:type="pct"/>
            <w:tcBorders>
              <w:top w:val="nil"/>
              <w:left w:val="nil"/>
              <w:bottom w:val="nil"/>
              <w:right w:val="nil"/>
            </w:tcBorders>
            <w:shd w:val="clear" w:color="auto" w:fill="auto"/>
            <w:vAlign w:val="center"/>
            <w:hideMark/>
          </w:tcPr>
          <w:p w14:paraId="4EE22848" w14:textId="77777777" w:rsidR="00176573" w:rsidRPr="00176573" w:rsidRDefault="00176573" w:rsidP="00176573">
            <w:pPr>
              <w:jc w:val="right"/>
              <w:rPr>
                <w:rFonts w:cs="Calibri"/>
                <w:color w:val="000000"/>
                <w:sz w:val="20"/>
                <w:szCs w:val="20"/>
              </w:rPr>
            </w:pPr>
            <w:r w:rsidRPr="00176573">
              <w:rPr>
                <w:rFonts w:cs="Calibri"/>
                <w:color w:val="000000"/>
                <w:sz w:val="20"/>
                <w:szCs w:val="20"/>
              </w:rPr>
              <w:t>4568</w:t>
            </w:r>
          </w:p>
        </w:tc>
        <w:tc>
          <w:tcPr>
            <w:tcW w:w="2095" w:type="pct"/>
            <w:tcBorders>
              <w:top w:val="nil"/>
              <w:left w:val="nil"/>
              <w:bottom w:val="nil"/>
              <w:right w:val="single" w:sz="8" w:space="0" w:color="C00000"/>
            </w:tcBorders>
            <w:shd w:val="clear" w:color="auto" w:fill="auto"/>
            <w:vAlign w:val="center"/>
            <w:hideMark/>
          </w:tcPr>
          <w:p w14:paraId="55302DA5" w14:textId="77777777" w:rsidR="00176573" w:rsidRPr="00176573" w:rsidRDefault="00176573" w:rsidP="00176573">
            <w:pPr>
              <w:jc w:val="right"/>
              <w:rPr>
                <w:rFonts w:cs="Calibri"/>
                <w:color w:val="000000"/>
                <w:sz w:val="20"/>
                <w:szCs w:val="20"/>
              </w:rPr>
            </w:pPr>
            <w:r w:rsidRPr="00176573">
              <w:rPr>
                <w:rFonts w:cs="Calibri"/>
                <w:color w:val="000000"/>
                <w:sz w:val="20"/>
                <w:szCs w:val="20"/>
              </w:rPr>
              <w:t>94,138</w:t>
            </w:r>
          </w:p>
        </w:tc>
      </w:tr>
      <w:tr w:rsidR="00176573" w:rsidRPr="00176573" w14:paraId="7A5FB404"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117074B0"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Q4 2023</w:t>
            </w:r>
          </w:p>
        </w:tc>
        <w:tc>
          <w:tcPr>
            <w:tcW w:w="1914" w:type="pct"/>
            <w:tcBorders>
              <w:top w:val="nil"/>
              <w:left w:val="nil"/>
              <w:bottom w:val="nil"/>
              <w:right w:val="nil"/>
            </w:tcBorders>
            <w:shd w:val="clear" w:color="auto" w:fill="auto"/>
            <w:vAlign w:val="center"/>
            <w:hideMark/>
          </w:tcPr>
          <w:p w14:paraId="2239340B" w14:textId="77777777" w:rsidR="00176573" w:rsidRPr="00176573" w:rsidRDefault="00176573" w:rsidP="00176573">
            <w:pPr>
              <w:jc w:val="right"/>
              <w:rPr>
                <w:rFonts w:cs="Calibri"/>
                <w:color w:val="000000"/>
                <w:sz w:val="20"/>
                <w:szCs w:val="20"/>
              </w:rPr>
            </w:pPr>
            <w:r w:rsidRPr="00176573">
              <w:rPr>
                <w:rFonts w:cs="Calibri"/>
                <w:color w:val="000000"/>
                <w:sz w:val="20"/>
                <w:szCs w:val="20"/>
              </w:rPr>
              <w:t>4192</w:t>
            </w:r>
          </w:p>
        </w:tc>
        <w:tc>
          <w:tcPr>
            <w:tcW w:w="2095" w:type="pct"/>
            <w:tcBorders>
              <w:top w:val="nil"/>
              <w:left w:val="nil"/>
              <w:bottom w:val="nil"/>
              <w:right w:val="single" w:sz="8" w:space="0" w:color="C00000"/>
            </w:tcBorders>
            <w:shd w:val="clear" w:color="auto" w:fill="auto"/>
            <w:vAlign w:val="center"/>
            <w:hideMark/>
          </w:tcPr>
          <w:p w14:paraId="078E5501" w14:textId="77777777" w:rsidR="00176573" w:rsidRPr="00176573" w:rsidRDefault="00176573" w:rsidP="00176573">
            <w:pPr>
              <w:jc w:val="right"/>
              <w:rPr>
                <w:rFonts w:cs="Calibri"/>
                <w:color w:val="000000"/>
                <w:sz w:val="20"/>
                <w:szCs w:val="20"/>
              </w:rPr>
            </w:pPr>
            <w:r w:rsidRPr="00176573">
              <w:rPr>
                <w:rFonts w:cs="Calibri"/>
                <w:color w:val="000000"/>
                <w:sz w:val="20"/>
                <w:szCs w:val="20"/>
              </w:rPr>
              <w:t>98,330</w:t>
            </w:r>
          </w:p>
        </w:tc>
      </w:tr>
      <w:tr w:rsidR="00176573" w:rsidRPr="00176573" w14:paraId="0E2234B1"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448A078C"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Q1 2024</w:t>
            </w:r>
          </w:p>
        </w:tc>
        <w:tc>
          <w:tcPr>
            <w:tcW w:w="1914" w:type="pct"/>
            <w:tcBorders>
              <w:top w:val="nil"/>
              <w:left w:val="nil"/>
              <w:bottom w:val="nil"/>
              <w:right w:val="nil"/>
            </w:tcBorders>
            <w:shd w:val="clear" w:color="auto" w:fill="auto"/>
            <w:vAlign w:val="center"/>
            <w:hideMark/>
          </w:tcPr>
          <w:p w14:paraId="7E5056B4" w14:textId="77777777" w:rsidR="00176573" w:rsidRPr="00176573" w:rsidRDefault="00176573" w:rsidP="00176573">
            <w:pPr>
              <w:jc w:val="right"/>
              <w:rPr>
                <w:rFonts w:cs="Calibri"/>
                <w:color w:val="000000"/>
                <w:sz w:val="20"/>
                <w:szCs w:val="20"/>
              </w:rPr>
            </w:pPr>
            <w:r w:rsidRPr="00176573">
              <w:rPr>
                <w:rFonts w:cs="Calibri"/>
                <w:color w:val="000000"/>
                <w:sz w:val="20"/>
                <w:szCs w:val="20"/>
              </w:rPr>
              <w:t>5382</w:t>
            </w:r>
          </w:p>
        </w:tc>
        <w:tc>
          <w:tcPr>
            <w:tcW w:w="2095" w:type="pct"/>
            <w:tcBorders>
              <w:top w:val="nil"/>
              <w:left w:val="nil"/>
              <w:bottom w:val="nil"/>
              <w:right w:val="single" w:sz="8" w:space="0" w:color="C00000"/>
            </w:tcBorders>
            <w:shd w:val="clear" w:color="auto" w:fill="auto"/>
            <w:vAlign w:val="center"/>
            <w:hideMark/>
          </w:tcPr>
          <w:p w14:paraId="6B1B3737" w14:textId="77777777" w:rsidR="00176573" w:rsidRPr="00176573" w:rsidRDefault="00176573" w:rsidP="00176573">
            <w:pPr>
              <w:jc w:val="right"/>
              <w:rPr>
                <w:rFonts w:cs="Calibri"/>
                <w:color w:val="000000"/>
                <w:sz w:val="20"/>
                <w:szCs w:val="20"/>
              </w:rPr>
            </w:pPr>
            <w:r w:rsidRPr="00176573">
              <w:rPr>
                <w:rFonts w:cs="Calibri"/>
                <w:color w:val="000000"/>
                <w:sz w:val="20"/>
                <w:szCs w:val="20"/>
              </w:rPr>
              <w:t>103,712</w:t>
            </w:r>
          </w:p>
        </w:tc>
      </w:tr>
      <w:tr w:rsidR="00176573" w:rsidRPr="00176573" w14:paraId="0A40BD36" w14:textId="77777777" w:rsidTr="003F56FB">
        <w:trPr>
          <w:trHeight w:val="283"/>
        </w:trPr>
        <w:tc>
          <w:tcPr>
            <w:tcW w:w="991" w:type="pct"/>
            <w:tcBorders>
              <w:top w:val="nil"/>
              <w:left w:val="single" w:sz="8" w:space="0" w:color="C00000"/>
              <w:bottom w:val="nil"/>
              <w:right w:val="nil"/>
            </w:tcBorders>
            <w:shd w:val="clear" w:color="auto" w:fill="auto"/>
            <w:vAlign w:val="center"/>
            <w:hideMark/>
          </w:tcPr>
          <w:p w14:paraId="514C1994"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Q2 2024</w:t>
            </w:r>
          </w:p>
        </w:tc>
        <w:tc>
          <w:tcPr>
            <w:tcW w:w="1914" w:type="pct"/>
            <w:tcBorders>
              <w:top w:val="nil"/>
              <w:left w:val="nil"/>
              <w:bottom w:val="nil"/>
              <w:right w:val="nil"/>
            </w:tcBorders>
            <w:shd w:val="clear" w:color="auto" w:fill="auto"/>
            <w:vAlign w:val="center"/>
            <w:hideMark/>
          </w:tcPr>
          <w:p w14:paraId="6F7E3434" w14:textId="77777777" w:rsidR="00176573" w:rsidRPr="00176573" w:rsidRDefault="00176573" w:rsidP="00176573">
            <w:pPr>
              <w:jc w:val="right"/>
              <w:rPr>
                <w:rFonts w:cs="Calibri"/>
                <w:color w:val="000000"/>
                <w:sz w:val="20"/>
                <w:szCs w:val="20"/>
              </w:rPr>
            </w:pPr>
            <w:r w:rsidRPr="00176573">
              <w:rPr>
                <w:rFonts w:cs="Calibri"/>
                <w:color w:val="000000"/>
                <w:sz w:val="20"/>
                <w:szCs w:val="20"/>
              </w:rPr>
              <w:t>3454</w:t>
            </w:r>
          </w:p>
        </w:tc>
        <w:tc>
          <w:tcPr>
            <w:tcW w:w="2095" w:type="pct"/>
            <w:tcBorders>
              <w:top w:val="nil"/>
              <w:left w:val="nil"/>
              <w:bottom w:val="nil"/>
              <w:right w:val="single" w:sz="8" w:space="0" w:color="C00000"/>
            </w:tcBorders>
            <w:shd w:val="clear" w:color="auto" w:fill="auto"/>
            <w:vAlign w:val="center"/>
            <w:hideMark/>
          </w:tcPr>
          <w:p w14:paraId="57A5AF3E" w14:textId="77777777" w:rsidR="00176573" w:rsidRPr="00176573" w:rsidRDefault="00176573" w:rsidP="00176573">
            <w:pPr>
              <w:jc w:val="right"/>
              <w:rPr>
                <w:rFonts w:cs="Calibri"/>
                <w:color w:val="000000"/>
                <w:sz w:val="20"/>
                <w:szCs w:val="20"/>
              </w:rPr>
            </w:pPr>
            <w:r w:rsidRPr="00176573">
              <w:rPr>
                <w:rFonts w:cs="Calibri"/>
                <w:color w:val="000000"/>
                <w:sz w:val="20"/>
                <w:szCs w:val="20"/>
              </w:rPr>
              <w:t>107,166</w:t>
            </w:r>
          </w:p>
        </w:tc>
      </w:tr>
      <w:tr w:rsidR="00176573" w:rsidRPr="00176573" w14:paraId="6014EB46" w14:textId="77777777" w:rsidTr="003F56FB">
        <w:trPr>
          <w:trHeight w:val="283"/>
        </w:trPr>
        <w:tc>
          <w:tcPr>
            <w:tcW w:w="991" w:type="pct"/>
            <w:tcBorders>
              <w:top w:val="nil"/>
              <w:left w:val="single" w:sz="8" w:space="0" w:color="C00000"/>
              <w:bottom w:val="single" w:sz="8" w:space="0" w:color="C00000"/>
              <w:right w:val="nil"/>
            </w:tcBorders>
            <w:shd w:val="clear" w:color="auto" w:fill="auto"/>
            <w:vAlign w:val="center"/>
            <w:hideMark/>
          </w:tcPr>
          <w:p w14:paraId="70A7725E"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Q3 2024</w:t>
            </w:r>
          </w:p>
        </w:tc>
        <w:tc>
          <w:tcPr>
            <w:tcW w:w="1914" w:type="pct"/>
            <w:tcBorders>
              <w:top w:val="nil"/>
              <w:left w:val="nil"/>
              <w:bottom w:val="single" w:sz="8" w:space="0" w:color="C00000"/>
              <w:right w:val="nil"/>
            </w:tcBorders>
            <w:shd w:val="clear" w:color="auto" w:fill="auto"/>
            <w:vAlign w:val="center"/>
            <w:hideMark/>
          </w:tcPr>
          <w:p w14:paraId="62DB715D" w14:textId="77777777" w:rsidR="00176573" w:rsidRPr="00176573" w:rsidRDefault="00176573" w:rsidP="00176573">
            <w:pPr>
              <w:jc w:val="right"/>
              <w:rPr>
                <w:rFonts w:cs="Calibri"/>
                <w:color w:val="000000"/>
                <w:sz w:val="20"/>
                <w:szCs w:val="20"/>
              </w:rPr>
            </w:pPr>
            <w:r w:rsidRPr="00176573">
              <w:rPr>
                <w:rFonts w:cs="Calibri"/>
                <w:color w:val="000000"/>
                <w:sz w:val="20"/>
                <w:szCs w:val="20"/>
              </w:rPr>
              <w:t>3819</w:t>
            </w:r>
          </w:p>
        </w:tc>
        <w:tc>
          <w:tcPr>
            <w:tcW w:w="2095" w:type="pct"/>
            <w:tcBorders>
              <w:top w:val="nil"/>
              <w:left w:val="nil"/>
              <w:bottom w:val="single" w:sz="8" w:space="0" w:color="C00000"/>
              <w:right w:val="single" w:sz="8" w:space="0" w:color="C00000"/>
            </w:tcBorders>
            <w:shd w:val="clear" w:color="auto" w:fill="auto"/>
            <w:vAlign w:val="center"/>
            <w:hideMark/>
          </w:tcPr>
          <w:p w14:paraId="1798E84F" w14:textId="77777777" w:rsidR="00176573" w:rsidRPr="00176573" w:rsidRDefault="00176573" w:rsidP="00176573">
            <w:pPr>
              <w:jc w:val="right"/>
              <w:rPr>
                <w:rFonts w:cs="Calibri"/>
                <w:color w:val="000000"/>
                <w:sz w:val="20"/>
                <w:szCs w:val="20"/>
              </w:rPr>
            </w:pPr>
            <w:r w:rsidRPr="00176573">
              <w:rPr>
                <w:rFonts w:cs="Calibri"/>
                <w:color w:val="000000"/>
                <w:sz w:val="20"/>
                <w:szCs w:val="20"/>
              </w:rPr>
              <w:t>110,985</w:t>
            </w:r>
          </w:p>
        </w:tc>
      </w:tr>
      <w:tr w:rsidR="00176573" w:rsidRPr="00176573" w14:paraId="327DD50D" w14:textId="77777777" w:rsidTr="003F56FB">
        <w:trPr>
          <w:trHeight w:val="283"/>
        </w:trPr>
        <w:tc>
          <w:tcPr>
            <w:tcW w:w="991" w:type="pct"/>
            <w:tcBorders>
              <w:top w:val="nil"/>
              <w:left w:val="single" w:sz="8" w:space="0" w:color="C00000"/>
              <w:bottom w:val="single" w:sz="8" w:space="0" w:color="C00000"/>
              <w:right w:val="nil"/>
            </w:tcBorders>
            <w:shd w:val="clear" w:color="auto" w:fill="auto"/>
            <w:vAlign w:val="center"/>
            <w:hideMark/>
          </w:tcPr>
          <w:p w14:paraId="1D92CEB3" w14:textId="77777777" w:rsidR="00176573" w:rsidRPr="00176573" w:rsidRDefault="00176573" w:rsidP="00176573">
            <w:pPr>
              <w:rPr>
                <w:rFonts w:ascii="Humnst777 BT" w:hAnsi="Humnst777 BT" w:cs="Calibri"/>
                <w:b/>
                <w:bCs/>
                <w:color w:val="000000"/>
                <w:sz w:val="20"/>
                <w:szCs w:val="20"/>
              </w:rPr>
            </w:pPr>
            <w:r w:rsidRPr="00176573">
              <w:rPr>
                <w:rFonts w:ascii="Humnst777 BT" w:hAnsi="Humnst777 BT" w:cs="Calibri"/>
                <w:b/>
                <w:bCs/>
                <w:color w:val="000000"/>
                <w:sz w:val="20"/>
                <w:szCs w:val="20"/>
              </w:rPr>
              <w:t>Total</w:t>
            </w:r>
          </w:p>
        </w:tc>
        <w:tc>
          <w:tcPr>
            <w:tcW w:w="1914" w:type="pct"/>
            <w:tcBorders>
              <w:top w:val="nil"/>
              <w:left w:val="nil"/>
              <w:bottom w:val="single" w:sz="8" w:space="0" w:color="C00000"/>
              <w:right w:val="nil"/>
            </w:tcBorders>
            <w:shd w:val="clear" w:color="auto" w:fill="auto"/>
            <w:vAlign w:val="center"/>
            <w:hideMark/>
          </w:tcPr>
          <w:p w14:paraId="24105C94" w14:textId="77777777" w:rsidR="00176573" w:rsidRPr="00176573" w:rsidRDefault="00176573" w:rsidP="00176573">
            <w:pPr>
              <w:jc w:val="right"/>
              <w:rPr>
                <w:rFonts w:cs="Calibri"/>
                <w:color w:val="000000"/>
                <w:sz w:val="20"/>
                <w:szCs w:val="20"/>
              </w:rPr>
            </w:pPr>
            <w:r w:rsidRPr="00176573">
              <w:rPr>
                <w:rFonts w:cs="Calibri"/>
                <w:color w:val="000000"/>
                <w:sz w:val="20"/>
                <w:szCs w:val="20"/>
              </w:rPr>
              <w:t>110,985</w:t>
            </w:r>
          </w:p>
        </w:tc>
        <w:tc>
          <w:tcPr>
            <w:tcW w:w="2095" w:type="pct"/>
            <w:tcBorders>
              <w:top w:val="nil"/>
              <w:left w:val="nil"/>
              <w:bottom w:val="single" w:sz="8" w:space="0" w:color="C00000"/>
              <w:right w:val="single" w:sz="8" w:space="0" w:color="C00000"/>
            </w:tcBorders>
            <w:shd w:val="clear" w:color="auto" w:fill="auto"/>
            <w:vAlign w:val="center"/>
            <w:hideMark/>
          </w:tcPr>
          <w:p w14:paraId="22BC7268" w14:textId="77777777" w:rsidR="00176573" w:rsidRPr="00176573" w:rsidRDefault="00176573" w:rsidP="00176573">
            <w:pPr>
              <w:rPr>
                <w:rFonts w:cs="Calibri"/>
                <w:color w:val="000000"/>
                <w:sz w:val="20"/>
                <w:szCs w:val="20"/>
              </w:rPr>
            </w:pPr>
            <w:r w:rsidRPr="00176573">
              <w:rPr>
                <w:rFonts w:cs="Calibri"/>
                <w:color w:val="000000"/>
                <w:sz w:val="20"/>
                <w:szCs w:val="20"/>
              </w:rPr>
              <w:t> </w:t>
            </w:r>
          </w:p>
        </w:tc>
      </w:tr>
    </w:tbl>
    <w:p w14:paraId="028DB133" w14:textId="77777777" w:rsidR="009D7217" w:rsidRPr="00A9661A" w:rsidRDefault="009D7217" w:rsidP="008E04E0">
      <w:pPr>
        <w:pStyle w:val="BodyText"/>
        <w:numPr>
          <w:ilvl w:val="0"/>
          <w:numId w:val="0"/>
        </w:numPr>
        <w:jc w:val="center"/>
      </w:pPr>
    </w:p>
    <w:p w14:paraId="10D3B14B" w14:textId="77777777" w:rsidR="00436471" w:rsidRPr="000C0015" w:rsidRDefault="00131149" w:rsidP="00436471">
      <w:pPr>
        <w:pStyle w:val="Heading1"/>
      </w:pPr>
      <w:r>
        <w:br w:type="page"/>
      </w:r>
      <w:r w:rsidR="00556783">
        <w:t xml:space="preserve">Quarterly conversion rates </w:t>
      </w:r>
    </w:p>
    <w:p w14:paraId="12ADC4BC" w14:textId="0F301810" w:rsidR="00556783" w:rsidRDefault="00DD0BF5" w:rsidP="00EB13FE">
      <w:pPr>
        <w:pStyle w:val="BodyText"/>
        <w:numPr>
          <w:ilvl w:val="0"/>
          <w:numId w:val="0"/>
        </w:numPr>
        <w:rPr>
          <w:spacing w:val="-2"/>
        </w:rPr>
      </w:pPr>
      <w:r w:rsidRPr="00CE7E7D">
        <w:rPr>
          <w:spacing w:val="-2"/>
        </w:rPr>
        <w:t xml:space="preserve">Table </w:t>
      </w:r>
      <w:r w:rsidR="00EB13FE">
        <w:rPr>
          <w:spacing w:val="-2"/>
        </w:rPr>
        <w:t xml:space="preserve">3 </w:t>
      </w:r>
      <w:r w:rsidR="00E30786">
        <w:rPr>
          <w:spacing w:val="-2"/>
        </w:rPr>
        <w:t xml:space="preserve">shows the quarterly </w:t>
      </w:r>
      <w:r w:rsidR="00B44287">
        <w:rPr>
          <w:spacing w:val="-2"/>
        </w:rPr>
        <w:t xml:space="preserve">and cumulative </w:t>
      </w:r>
      <w:r w:rsidR="00E30786">
        <w:rPr>
          <w:spacing w:val="-2"/>
        </w:rPr>
        <w:t>conversion rates for referrals with the platforms</w:t>
      </w:r>
      <w:r w:rsidR="00B44287" w:rsidRPr="002A5923">
        <w:rPr>
          <w:spacing w:val="-2"/>
        </w:rPr>
        <w:t xml:space="preserve">. </w:t>
      </w:r>
    </w:p>
    <w:p w14:paraId="7AFD5CAF" w14:textId="6F9D075E" w:rsidR="005605A8" w:rsidRDefault="00510060" w:rsidP="00EB13FE">
      <w:pPr>
        <w:pStyle w:val="BodyText"/>
        <w:numPr>
          <w:ilvl w:val="0"/>
          <w:numId w:val="0"/>
        </w:numPr>
      </w:pPr>
      <w:r>
        <w:t xml:space="preserve">The quarterly conversion rate shows the </w:t>
      </w:r>
      <w:proofErr w:type="gramStart"/>
      <w:r>
        <w:t>amount</w:t>
      </w:r>
      <w:proofErr w:type="gramEnd"/>
      <w:r>
        <w:t xml:space="preserve"> of referrals from the 9 </w:t>
      </w:r>
      <w:r w:rsidR="008D259E">
        <w:t xml:space="preserve">participating banks to the scheme as a </w:t>
      </w:r>
      <w:r w:rsidR="00FA2DFE">
        <w:t>percentage</w:t>
      </w:r>
      <w:r w:rsidR="008D259E">
        <w:t xml:space="preserve"> of </w:t>
      </w:r>
      <w:r w:rsidR="00A2453B">
        <w:t>small businesses rejected for finance by those banks. I</w:t>
      </w:r>
      <w:r w:rsidR="00FA26EA">
        <w:t>t</w:t>
      </w:r>
      <w:r w:rsidR="00A2453B">
        <w:t xml:space="preserve"> i</w:t>
      </w:r>
      <w:r w:rsidR="00FA26EA">
        <w:t>s</w:t>
      </w:r>
      <w:r w:rsidR="00A2453B">
        <w:t xml:space="preserve"> therefore a metric of engagement from participating banks</w:t>
      </w:r>
      <w:r w:rsidR="00AF4976">
        <w:t>.</w:t>
      </w:r>
      <w:r w:rsidR="00337E1C">
        <w:t xml:space="preserve"> The quarterly conversion rate was on an increasing trend from the inception of the scheme up until the pandemic</w:t>
      </w:r>
      <w:r w:rsidR="00D130F3">
        <w:t xml:space="preserve">, </w:t>
      </w:r>
      <w:r w:rsidR="00984B4F">
        <w:t>reaching a high of</w:t>
      </w:r>
      <w:r w:rsidR="006A5D3A">
        <w:t xml:space="preserve"> </w:t>
      </w:r>
      <w:r w:rsidR="00D130F3">
        <w:t xml:space="preserve">10.4% in Q3 2019. </w:t>
      </w:r>
      <w:r w:rsidR="00D46D32">
        <w:t xml:space="preserve">This shows </w:t>
      </w:r>
      <w:r w:rsidR="00D130F3">
        <w:t xml:space="preserve">that participating </w:t>
      </w:r>
      <w:r w:rsidR="00970D6C">
        <w:t xml:space="preserve">banks </w:t>
      </w:r>
      <w:r w:rsidR="00D130F3">
        <w:t>referred over 1 in 10 small businesses they rejected for finance in that quarter.</w:t>
      </w:r>
      <w:r w:rsidR="00916BFA">
        <w:t xml:space="preserve"> In Q3 2024</w:t>
      </w:r>
      <w:r w:rsidR="138AA47D">
        <w:t>,</w:t>
      </w:r>
      <w:r w:rsidR="00916BFA">
        <w:t xml:space="preserve"> the cumulative conversion </w:t>
      </w:r>
      <w:r w:rsidR="0083379A">
        <w:t>rate for referrals was 4.9%</w:t>
      </w:r>
      <w:r w:rsidR="003F4685">
        <w:t>.</w:t>
      </w:r>
      <w:r w:rsidR="0083379A">
        <w:t xml:space="preserve"> </w:t>
      </w:r>
      <w:r w:rsidR="7838565F">
        <w:t>Therefore,</w:t>
      </w:r>
      <w:r w:rsidR="0083379A">
        <w:t xml:space="preserve"> over the lifetime of the scheme</w:t>
      </w:r>
      <w:r w:rsidR="002C2CC6">
        <w:t>,</w:t>
      </w:r>
      <w:r w:rsidR="0083379A">
        <w:t xml:space="preserve"> the participating banks have referred just under 1 in 20 small businesses they rejected for finance to the scheme. </w:t>
      </w:r>
    </w:p>
    <w:p w14:paraId="2F61162C" w14:textId="3E2A94F1" w:rsidR="00556783" w:rsidRDefault="00E30786" w:rsidP="00556783">
      <w:pPr>
        <w:rPr>
          <w:rFonts w:ascii="Humnst777 BT" w:hAnsi="Humnst777 BT"/>
          <w:b/>
          <w:color w:val="C40012"/>
          <w:sz w:val="20"/>
        </w:rPr>
      </w:pPr>
      <w:r w:rsidRPr="00AA3DB0">
        <w:rPr>
          <w:rFonts w:ascii="Humnst777 BT" w:hAnsi="Humnst777 BT"/>
          <w:b/>
          <w:color w:val="C40012"/>
          <w:sz w:val="20"/>
        </w:rPr>
        <w:t xml:space="preserve">Table </w:t>
      </w:r>
      <w:r w:rsidR="00CE2CB9">
        <w:rPr>
          <w:rFonts w:ascii="Humnst777 BT" w:hAnsi="Humnst777 BT"/>
          <w:b/>
          <w:color w:val="C40012"/>
          <w:sz w:val="20"/>
        </w:rPr>
        <w:t>3</w:t>
      </w:r>
      <w:r>
        <w:rPr>
          <w:rFonts w:ascii="Humnst777 BT" w:hAnsi="Humnst777 BT"/>
          <w:b/>
          <w:color w:val="C40012"/>
          <w:sz w:val="20"/>
        </w:rPr>
        <w:t>: Quarterly</w:t>
      </w:r>
      <w:r w:rsidR="00B44287">
        <w:rPr>
          <w:rFonts w:ascii="Humnst777 BT" w:hAnsi="Humnst777 BT"/>
          <w:b/>
          <w:color w:val="C40012"/>
          <w:sz w:val="20"/>
        </w:rPr>
        <w:t xml:space="preserve"> and cumulative</w:t>
      </w:r>
      <w:r>
        <w:rPr>
          <w:rFonts w:ascii="Humnst777 BT" w:hAnsi="Humnst777 BT"/>
          <w:b/>
          <w:color w:val="C40012"/>
          <w:sz w:val="20"/>
        </w:rPr>
        <w:t xml:space="preserve"> </w:t>
      </w:r>
      <w:r w:rsidR="00E06F3B">
        <w:rPr>
          <w:rFonts w:ascii="Humnst777 BT" w:hAnsi="Humnst777 BT"/>
          <w:b/>
          <w:color w:val="C40012"/>
          <w:sz w:val="20"/>
        </w:rPr>
        <w:t>conversion rate for referrals</w:t>
      </w:r>
      <w:r>
        <w:rPr>
          <w:rStyle w:val="FootnoteReference"/>
          <w:rFonts w:ascii="Humnst777 BT" w:hAnsi="Humnst777 BT"/>
          <w:b/>
          <w:color w:val="C40012"/>
          <w:sz w:val="20"/>
        </w:rPr>
        <w:footnoteReference w:id="4"/>
      </w:r>
    </w:p>
    <w:p w14:paraId="37980478" w14:textId="77777777" w:rsidR="00B67A5A" w:rsidRDefault="00B67A5A" w:rsidP="00556783">
      <w:pPr>
        <w:rPr>
          <w:rFonts w:ascii="Humnst777 BT" w:hAnsi="Humnst777 BT"/>
          <w:b/>
          <w:color w:val="C40012"/>
          <w:sz w:val="20"/>
        </w:rPr>
      </w:pPr>
    </w:p>
    <w:tbl>
      <w:tblPr>
        <w:tblW w:w="5000" w:type="pct"/>
        <w:tblLook w:val="04A0" w:firstRow="1" w:lastRow="0" w:firstColumn="1" w:lastColumn="0" w:noHBand="0" w:noVBand="1"/>
      </w:tblPr>
      <w:tblGrid>
        <w:gridCol w:w="1245"/>
        <w:gridCol w:w="4632"/>
        <w:gridCol w:w="4805"/>
      </w:tblGrid>
      <w:tr w:rsidR="00D213E9" w:rsidRPr="00D213E9" w14:paraId="7DB0ABAE" w14:textId="77777777" w:rsidTr="00266791">
        <w:trPr>
          <w:cantSplit/>
          <w:trHeight w:val="283"/>
        </w:trPr>
        <w:tc>
          <w:tcPr>
            <w:tcW w:w="583" w:type="pct"/>
            <w:tcBorders>
              <w:top w:val="single" w:sz="8" w:space="0" w:color="C40012"/>
              <w:left w:val="single" w:sz="8" w:space="0" w:color="C40012"/>
              <w:bottom w:val="nil"/>
              <w:right w:val="nil"/>
            </w:tcBorders>
            <w:shd w:val="clear" w:color="000000" w:fill="F9E5E7"/>
            <w:vAlign w:val="center"/>
            <w:hideMark/>
          </w:tcPr>
          <w:p w14:paraId="0AB77C21"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 </w:t>
            </w:r>
          </w:p>
        </w:tc>
        <w:tc>
          <w:tcPr>
            <w:tcW w:w="2168" w:type="pct"/>
            <w:tcBorders>
              <w:top w:val="single" w:sz="8" w:space="0" w:color="C40012"/>
              <w:left w:val="nil"/>
              <w:bottom w:val="nil"/>
              <w:right w:val="nil"/>
            </w:tcBorders>
            <w:shd w:val="clear" w:color="000000" w:fill="F9E5E7"/>
            <w:vAlign w:val="center"/>
            <w:hideMark/>
          </w:tcPr>
          <w:p w14:paraId="3C21B343" w14:textId="77777777" w:rsidR="00D213E9" w:rsidRPr="00D213E9" w:rsidRDefault="00D213E9" w:rsidP="00D213E9">
            <w:pPr>
              <w:jc w:val="right"/>
              <w:rPr>
                <w:rFonts w:ascii="Humnst777 BT" w:hAnsi="Humnst777 BT" w:cs="Calibri"/>
                <w:b/>
                <w:bCs/>
                <w:color w:val="000000"/>
                <w:sz w:val="20"/>
                <w:szCs w:val="20"/>
              </w:rPr>
            </w:pPr>
            <w:r w:rsidRPr="00D213E9">
              <w:rPr>
                <w:rFonts w:ascii="Humnst777 BT" w:hAnsi="Humnst777 BT" w:cs="Calibri"/>
                <w:b/>
                <w:bCs/>
                <w:sz w:val="20"/>
                <w:szCs w:val="20"/>
              </w:rPr>
              <w:t>Quarterly conversion rate – Referrals (%)</w:t>
            </w:r>
          </w:p>
        </w:tc>
        <w:tc>
          <w:tcPr>
            <w:tcW w:w="2250" w:type="pct"/>
            <w:tcBorders>
              <w:top w:val="single" w:sz="8" w:space="0" w:color="C40012"/>
              <w:left w:val="nil"/>
              <w:bottom w:val="nil"/>
              <w:right w:val="single" w:sz="8" w:space="0" w:color="C40012"/>
            </w:tcBorders>
            <w:shd w:val="clear" w:color="000000" w:fill="F9E5E7"/>
            <w:vAlign w:val="center"/>
            <w:hideMark/>
          </w:tcPr>
          <w:p w14:paraId="73E6F0CC" w14:textId="77777777" w:rsidR="00D213E9" w:rsidRPr="00D213E9" w:rsidRDefault="00D213E9" w:rsidP="00D213E9">
            <w:pPr>
              <w:jc w:val="right"/>
              <w:rPr>
                <w:rFonts w:ascii="Humnst777 BT" w:hAnsi="Humnst777 BT" w:cs="Calibri"/>
                <w:b/>
                <w:bCs/>
                <w:color w:val="000000"/>
                <w:sz w:val="20"/>
                <w:szCs w:val="20"/>
              </w:rPr>
            </w:pPr>
            <w:r w:rsidRPr="00D213E9">
              <w:rPr>
                <w:rFonts w:ascii="Humnst777 BT" w:hAnsi="Humnst777 BT" w:cs="Calibri"/>
                <w:b/>
                <w:bCs/>
                <w:sz w:val="20"/>
                <w:szCs w:val="20"/>
              </w:rPr>
              <w:t>Cumulative conversion rate - Referrals (%)</w:t>
            </w:r>
          </w:p>
        </w:tc>
      </w:tr>
      <w:tr w:rsidR="00D213E9" w:rsidRPr="00D213E9" w14:paraId="6DA8AA9C"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7DB72FDD"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Q4 2016</w:t>
            </w:r>
          </w:p>
        </w:tc>
        <w:tc>
          <w:tcPr>
            <w:tcW w:w="2168" w:type="pct"/>
            <w:tcBorders>
              <w:top w:val="nil"/>
              <w:left w:val="nil"/>
              <w:bottom w:val="nil"/>
              <w:right w:val="nil"/>
            </w:tcBorders>
            <w:shd w:val="clear" w:color="auto" w:fill="auto"/>
            <w:noWrap/>
            <w:vAlign w:val="bottom"/>
            <w:hideMark/>
          </w:tcPr>
          <w:p w14:paraId="77B422A6" w14:textId="77777777" w:rsidR="00D213E9" w:rsidRPr="00D213E9" w:rsidRDefault="00D213E9" w:rsidP="00D213E9">
            <w:pPr>
              <w:jc w:val="right"/>
              <w:rPr>
                <w:rFonts w:cs="Calibri"/>
                <w:color w:val="000000"/>
                <w:sz w:val="20"/>
                <w:szCs w:val="20"/>
              </w:rPr>
            </w:pPr>
            <w:r w:rsidRPr="00D213E9">
              <w:rPr>
                <w:rFonts w:cs="Calibri"/>
                <w:color w:val="000000"/>
                <w:sz w:val="20"/>
                <w:szCs w:val="20"/>
              </w:rPr>
              <w:t>1.5</w:t>
            </w:r>
          </w:p>
        </w:tc>
        <w:tc>
          <w:tcPr>
            <w:tcW w:w="2250" w:type="pct"/>
            <w:tcBorders>
              <w:top w:val="nil"/>
              <w:left w:val="nil"/>
              <w:bottom w:val="nil"/>
              <w:right w:val="single" w:sz="8" w:space="0" w:color="C00000"/>
            </w:tcBorders>
            <w:shd w:val="clear" w:color="auto" w:fill="auto"/>
            <w:noWrap/>
            <w:vAlign w:val="bottom"/>
            <w:hideMark/>
          </w:tcPr>
          <w:p w14:paraId="54A233C3" w14:textId="77777777" w:rsidR="00D213E9" w:rsidRPr="00D213E9" w:rsidRDefault="00D213E9" w:rsidP="00D213E9">
            <w:pPr>
              <w:jc w:val="right"/>
              <w:rPr>
                <w:rFonts w:cs="Calibri"/>
                <w:color w:val="000000"/>
                <w:sz w:val="20"/>
                <w:szCs w:val="20"/>
              </w:rPr>
            </w:pPr>
            <w:r w:rsidRPr="00D213E9">
              <w:rPr>
                <w:rFonts w:cs="Calibri"/>
                <w:color w:val="000000"/>
                <w:sz w:val="20"/>
                <w:szCs w:val="20"/>
              </w:rPr>
              <w:t>1.5</w:t>
            </w:r>
          </w:p>
        </w:tc>
      </w:tr>
      <w:tr w:rsidR="00D213E9" w:rsidRPr="00D213E9" w14:paraId="338FC904"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7AA61CA7"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Q1 2017</w:t>
            </w:r>
          </w:p>
        </w:tc>
        <w:tc>
          <w:tcPr>
            <w:tcW w:w="2168" w:type="pct"/>
            <w:tcBorders>
              <w:top w:val="nil"/>
              <w:left w:val="nil"/>
              <w:bottom w:val="nil"/>
              <w:right w:val="nil"/>
            </w:tcBorders>
            <w:shd w:val="clear" w:color="auto" w:fill="auto"/>
            <w:noWrap/>
            <w:vAlign w:val="bottom"/>
            <w:hideMark/>
          </w:tcPr>
          <w:p w14:paraId="51A627C8" w14:textId="77777777" w:rsidR="00D213E9" w:rsidRPr="00D213E9" w:rsidRDefault="00D213E9" w:rsidP="00D213E9">
            <w:pPr>
              <w:jc w:val="right"/>
              <w:rPr>
                <w:rFonts w:cs="Calibri"/>
                <w:color w:val="000000"/>
                <w:sz w:val="20"/>
                <w:szCs w:val="20"/>
              </w:rPr>
            </w:pPr>
            <w:r w:rsidRPr="00D213E9">
              <w:rPr>
                <w:rFonts w:cs="Calibri"/>
                <w:color w:val="000000"/>
                <w:sz w:val="20"/>
                <w:szCs w:val="20"/>
              </w:rPr>
              <w:t>3.3</w:t>
            </w:r>
          </w:p>
        </w:tc>
        <w:tc>
          <w:tcPr>
            <w:tcW w:w="2250" w:type="pct"/>
            <w:tcBorders>
              <w:top w:val="nil"/>
              <w:left w:val="nil"/>
              <w:bottom w:val="nil"/>
              <w:right w:val="single" w:sz="8" w:space="0" w:color="C00000"/>
            </w:tcBorders>
            <w:shd w:val="clear" w:color="auto" w:fill="auto"/>
            <w:noWrap/>
            <w:vAlign w:val="bottom"/>
            <w:hideMark/>
          </w:tcPr>
          <w:p w14:paraId="6E50F9E5" w14:textId="77777777" w:rsidR="00D213E9" w:rsidRPr="00D213E9" w:rsidRDefault="00D213E9" w:rsidP="00D213E9">
            <w:pPr>
              <w:jc w:val="right"/>
              <w:rPr>
                <w:rFonts w:cs="Calibri"/>
                <w:color w:val="000000"/>
                <w:sz w:val="20"/>
                <w:szCs w:val="20"/>
              </w:rPr>
            </w:pPr>
            <w:r w:rsidRPr="00D213E9">
              <w:rPr>
                <w:rFonts w:cs="Calibri"/>
                <w:color w:val="000000"/>
                <w:sz w:val="20"/>
                <w:szCs w:val="20"/>
              </w:rPr>
              <w:t>2.7</w:t>
            </w:r>
          </w:p>
        </w:tc>
      </w:tr>
      <w:tr w:rsidR="00D213E9" w:rsidRPr="00D213E9" w14:paraId="773DFC79"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2E1F7DFD"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Q2 2017</w:t>
            </w:r>
          </w:p>
        </w:tc>
        <w:tc>
          <w:tcPr>
            <w:tcW w:w="2168" w:type="pct"/>
            <w:tcBorders>
              <w:top w:val="nil"/>
              <w:left w:val="nil"/>
              <w:bottom w:val="nil"/>
              <w:right w:val="nil"/>
            </w:tcBorders>
            <w:shd w:val="clear" w:color="auto" w:fill="auto"/>
            <w:noWrap/>
            <w:vAlign w:val="bottom"/>
            <w:hideMark/>
          </w:tcPr>
          <w:p w14:paraId="09311D18" w14:textId="77777777" w:rsidR="00D213E9" w:rsidRPr="00D213E9" w:rsidRDefault="00D213E9" w:rsidP="00D213E9">
            <w:pPr>
              <w:jc w:val="right"/>
              <w:rPr>
                <w:rFonts w:cs="Calibri"/>
                <w:color w:val="000000"/>
                <w:sz w:val="20"/>
                <w:szCs w:val="20"/>
              </w:rPr>
            </w:pPr>
            <w:r w:rsidRPr="00D213E9">
              <w:rPr>
                <w:rFonts w:cs="Calibri"/>
                <w:color w:val="000000"/>
                <w:sz w:val="20"/>
                <w:szCs w:val="20"/>
              </w:rPr>
              <w:t>3.3</w:t>
            </w:r>
          </w:p>
        </w:tc>
        <w:tc>
          <w:tcPr>
            <w:tcW w:w="2250" w:type="pct"/>
            <w:tcBorders>
              <w:top w:val="nil"/>
              <w:left w:val="nil"/>
              <w:bottom w:val="nil"/>
              <w:right w:val="single" w:sz="8" w:space="0" w:color="C00000"/>
            </w:tcBorders>
            <w:shd w:val="clear" w:color="auto" w:fill="auto"/>
            <w:noWrap/>
            <w:vAlign w:val="bottom"/>
            <w:hideMark/>
          </w:tcPr>
          <w:p w14:paraId="3C35CE74" w14:textId="77777777" w:rsidR="00D213E9" w:rsidRPr="00D213E9" w:rsidRDefault="00D213E9" w:rsidP="00D213E9">
            <w:pPr>
              <w:jc w:val="right"/>
              <w:rPr>
                <w:rFonts w:cs="Calibri"/>
                <w:color w:val="000000"/>
                <w:sz w:val="20"/>
                <w:szCs w:val="20"/>
              </w:rPr>
            </w:pPr>
            <w:r w:rsidRPr="00D213E9">
              <w:rPr>
                <w:rFonts w:cs="Calibri"/>
                <w:color w:val="000000"/>
                <w:sz w:val="20"/>
                <w:szCs w:val="20"/>
              </w:rPr>
              <w:t>2.9</w:t>
            </w:r>
          </w:p>
        </w:tc>
      </w:tr>
      <w:tr w:rsidR="00D213E9" w:rsidRPr="00D213E9" w14:paraId="3811F0C1"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200BA0F9"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Q3 2017</w:t>
            </w:r>
          </w:p>
        </w:tc>
        <w:tc>
          <w:tcPr>
            <w:tcW w:w="2168" w:type="pct"/>
            <w:tcBorders>
              <w:top w:val="nil"/>
              <w:left w:val="nil"/>
              <w:bottom w:val="nil"/>
              <w:right w:val="nil"/>
            </w:tcBorders>
            <w:shd w:val="clear" w:color="auto" w:fill="auto"/>
            <w:noWrap/>
            <w:vAlign w:val="bottom"/>
            <w:hideMark/>
          </w:tcPr>
          <w:p w14:paraId="792B4366" w14:textId="77777777" w:rsidR="00D213E9" w:rsidRPr="00D213E9" w:rsidRDefault="00D213E9" w:rsidP="00D213E9">
            <w:pPr>
              <w:jc w:val="right"/>
              <w:rPr>
                <w:rFonts w:cs="Calibri"/>
                <w:color w:val="000000"/>
                <w:sz w:val="20"/>
                <w:szCs w:val="20"/>
              </w:rPr>
            </w:pPr>
            <w:r w:rsidRPr="00D213E9">
              <w:rPr>
                <w:rFonts w:cs="Calibri"/>
                <w:color w:val="000000"/>
                <w:sz w:val="20"/>
                <w:szCs w:val="20"/>
              </w:rPr>
              <w:t>5.1</w:t>
            </w:r>
          </w:p>
        </w:tc>
        <w:tc>
          <w:tcPr>
            <w:tcW w:w="2250" w:type="pct"/>
            <w:tcBorders>
              <w:top w:val="nil"/>
              <w:left w:val="nil"/>
              <w:bottom w:val="nil"/>
              <w:right w:val="single" w:sz="8" w:space="0" w:color="C00000"/>
            </w:tcBorders>
            <w:shd w:val="clear" w:color="auto" w:fill="auto"/>
            <w:noWrap/>
            <w:vAlign w:val="bottom"/>
            <w:hideMark/>
          </w:tcPr>
          <w:p w14:paraId="0BC5A32F" w14:textId="77777777" w:rsidR="00D213E9" w:rsidRPr="00D213E9" w:rsidRDefault="00D213E9" w:rsidP="00D213E9">
            <w:pPr>
              <w:jc w:val="right"/>
              <w:rPr>
                <w:rFonts w:cs="Calibri"/>
                <w:color w:val="000000"/>
                <w:sz w:val="20"/>
                <w:szCs w:val="20"/>
              </w:rPr>
            </w:pPr>
            <w:r w:rsidRPr="00D213E9">
              <w:rPr>
                <w:rFonts w:cs="Calibri"/>
                <w:color w:val="000000"/>
                <w:sz w:val="20"/>
                <w:szCs w:val="20"/>
              </w:rPr>
              <w:t>3.4</w:t>
            </w:r>
          </w:p>
        </w:tc>
      </w:tr>
      <w:tr w:rsidR="00D213E9" w:rsidRPr="00D213E9" w14:paraId="28B3AA33"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234DFC2C"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Q4 2017</w:t>
            </w:r>
          </w:p>
        </w:tc>
        <w:tc>
          <w:tcPr>
            <w:tcW w:w="2168" w:type="pct"/>
            <w:tcBorders>
              <w:top w:val="nil"/>
              <w:left w:val="nil"/>
              <w:bottom w:val="nil"/>
              <w:right w:val="nil"/>
            </w:tcBorders>
            <w:shd w:val="clear" w:color="auto" w:fill="auto"/>
            <w:noWrap/>
            <w:vAlign w:val="bottom"/>
            <w:hideMark/>
          </w:tcPr>
          <w:p w14:paraId="01CFF895" w14:textId="77777777" w:rsidR="00D213E9" w:rsidRPr="00D213E9" w:rsidRDefault="00D213E9" w:rsidP="00D213E9">
            <w:pPr>
              <w:jc w:val="right"/>
              <w:rPr>
                <w:rFonts w:cs="Calibri"/>
                <w:color w:val="000000"/>
                <w:sz w:val="20"/>
                <w:szCs w:val="20"/>
              </w:rPr>
            </w:pPr>
            <w:r w:rsidRPr="00D213E9">
              <w:rPr>
                <w:rFonts w:cs="Calibri"/>
                <w:color w:val="000000"/>
                <w:sz w:val="20"/>
                <w:szCs w:val="20"/>
              </w:rPr>
              <w:t>5.9</w:t>
            </w:r>
          </w:p>
        </w:tc>
        <w:tc>
          <w:tcPr>
            <w:tcW w:w="2250" w:type="pct"/>
            <w:tcBorders>
              <w:top w:val="nil"/>
              <w:left w:val="nil"/>
              <w:bottom w:val="nil"/>
              <w:right w:val="single" w:sz="8" w:space="0" w:color="C00000"/>
            </w:tcBorders>
            <w:shd w:val="clear" w:color="auto" w:fill="auto"/>
            <w:noWrap/>
            <w:vAlign w:val="bottom"/>
            <w:hideMark/>
          </w:tcPr>
          <w:p w14:paraId="22802261" w14:textId="77777777" w:rsidR="00D213E9" w:rsidRPr="00D213E9" w:rsidRDefault="00D213E9" w:rsidP="00D213E9">
            <w:pPr>
              <w:jc w:val="right"/>
              <w:rPr>
                <w:rFonts w:cs="Calibri"/>
                <w:color w:val="000000"/>
                <w:sz w:val="20"/>
                <w:szCs w:val="20"/>
              </w:rPr>
            </w:pPr>
            <w:r w:rsidRPr="00D213E9">
              <w:rPr>
                <w:rFonts w:cs="Calibri"/>
                <w:color w:val="000000"/>
                <w:sz w:val="20"/>
                <w:szCs w:val="20"/>
              </w:rPr>
              <w:t>4.0</w:t>
            </w:r>
          </w:p>
        </w:tc>
      </w:tr>
      <w:tr w:rsidR="00D213E9" w:rsidRPr="00D213E9" w14:paraId="26D4E54A"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0F953189"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Q1 2018</w:t>
            </w:r>
          </w:p>
        </w:tc>
        <w:tc>
          <w:tcPr>
            <w:tcW w:w="2168" w:type="pct"/>
            <w:tcBorders>
              <w:top w:val="nil"/>
              <w:left w:val="nil"/>
              <w:bottom w:val="nil"/>
              <w:right w:val="nil"/>
            </w:tcBorders>
            <w:shd w:val="clear" w:color="auto" w:fill="auto"/>
            <w:noWrap/>
            <w:vAlign w:val="bottom"/>
            <w:hideMark/>
          </w:tcPr>
          <w:p w14:paraId="699A016D" w14:textId="77777777" w:rsidR="00D213E9" w:rsidRPr="00D213E9" w:rsidRDefault="00D213E9" w:rsidP="00D213E9">
            <w:pPr>
              <w:jc w:val="right"/>
              <w:rPr>
                <w:rFonts w:cs="Calibri"/>
                <w:color w:val="000000"/>
                <w:sz w:val="20"/>
                <w:szCs w:val="20"/>
              </w:rPr>
            </w:pPr>
            <w:r w:rsidRPr="00D213E9">
              <w:rPr>
                <w:rFonts w:cs="Calibri"/>
                <w:color w:val="000000"/>
                <w:sz w:val="20"/>
                <w:szCs w:val="20"/>
              </w:rPr>
              <w:t>7.0</w:t>
            </w:r>
          </w:p>
        </w:tc>
        <w:tc>
          <w:tcPr>
            <w:tcW w:w="2250" w:type="pct"/>
            <w:tcBorders>
              <w:top w:val="nil"/>
              <w:left w:val="nil"/>
              <w:bottom w:val="nil"/>
              <w:right w:val="single" w:sz="8" w:space="0" w:color="C00000"/>
            </w:tcBorders>
            <w:shd w:val="clear" w:color="auto" w:fill="auto"/>
            <w:noWrap/>
            <w:vAlign w:val="bottom"/>
            <w:hideMark/>
          </w:tcPr>
          <w:p w14:paraId="54359654" w14:textId="77777777" w:rsidR="00D213E9" w:rsidRPr="00D213E9" w:rsidRDefault="00D213E9" w:rsidP="00D213E9">
            <w:pPr>
              <w:jc w:val="right"/>
              <w:rPr>
                <w:rFonts w:cs="Calibri"/>
                <w:color w:val="000000"/>
                <w:sz w:val="20"/>
                <w:szCs w:val="20"/>
              </w:rPr>
            </w:pPr>
            <w:r w:rsidRPr="00D213E9">
              <w:rPr>
                <w:rFonts w:cs="Calibri"/>
                <w:color w:val="000000"/>
                <w:sz w:val="20"/>
                <w:szCs w:val="20"/>
              </w:rPr>
              <w:t>4.6</w:t>
            </w:r>
          </w:p>
        </w:tc>
      </w:tr>
      <w:tr w:rsidR="00D213E9" w:rsidRPr="00D213E9" w14:paraId="5EEBB857"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506D1A61"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Q2 2018</w:t>
            </w:r>
          </w:p>
        </w:tc>
        <w:tc>
          <w:tcPr>
            <w:tcW w:w="2168" w:type="pct"/>
            <w:tcBorders>
              <w:top w:val="nil"/>
              <w:left w:val="nil"/>
              <w:bottom w:val="nil"/>
              <w:right w:val="nil"/>
            </w:tcBorders>
            <w:shd w:val="clear" w:color="auto" w:fill="auto"/>
            <w:noWrap/>
            <w:vAlign w:val="bottom"/>
            <w:hideMark/>
          </w:tcPr>
          <w:p w14:paraId="0499D48F" w14:textId="77777777" w:rsidR="00D213E9" w:rsidRPr="00D213E9" w:rsidRDefault="00D213E9" w:rsidP="00D213E9">
            <w:pPr>
              <w:jc w:val="right"/>
              <w:rPr>
                <w:rFonts w:cs="Calibri"/>
                <w:color w:val="000000"/>
                <w:sz w:val="20"/>
                <w:szCs w:val="20"/>
              </w:rPr>
            </w:pPr>
            <w:r w:rsidRPr="00D213E9">
              <w:rPr>
                <w:rFonts w:cs="Calibri"/>
                <w:color w:val="000000"/>
                <w:sz w:val="20"/>
                <w:szCs w:val="20"/>
              </w:rPr>
              <w:t>5.9</w:t>
            </w:r>
          </w:p>
        </w:tc>
        <w:tc>
          <w:tcPr>
            <w:tcW w:w="2250" w:type="pct"/>
            <w:tcBorders>
              <w:top w:val="nil"/>
              <w:left w:val="nil"/>
              <w:bottom w:val="nil"/>
              <w:right w:val="single" w:sz="8" w:space="0" w:color="C00000"/>
            </w:tcBorders>
            <w:shd w:val="clear" w:color="auto" w:fill="auto"/>
            <w:noWrap/>
            <w:vAlign w:val="bottom"/>
            <w:hideMark/>
          </w:tcPr>
          <w:p w14:paraId="1C7C12D8"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61CBD61E"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140BD393"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Q3 2018</w:t>
            </w:r>
          </w:p>
        </w:tc>
        <w:tc>
          <w:tcPr>
            <w:tcW w:w="2168" w:type="pct"/>
            <w:tcBorders>
              <w:top w:val="nil"/>
              <w:left w:val="nil"/>
              <w:bottom w:val="nil"/>
              <w:right w:val="nil"/>
            </w:tcBorders>
            <w:shd w:val="clear" w:color="auto" w:fill="auto"/>
            <w:noWrap/>
            <w:vAlign w:val="bottom"/>
            <w:hideMark/>
          </w:tcPr>
          <w:p w14:paraId="24C06C72" w14:textId="77777777" w:rsidR="00D213E9" w:rsidRPr="00D213E9" w:rsidRDefault="00D213E9" w:rsidP="00D213E9">
            <w:pPr>
              <w:jc w:val="right"/>
              <w:rPr>
                <w:rFonts w:cs="Calibri"/>
                <w:color w:val="000000"/>
                <w:sz w:val="20"/>
                <w:szCs w:val="20"/>
              </w:rPr>
            </w:pPr>
            <w:r w:rsidRPr="00D213E9">
              <w:rPr>
                <w:rFonts w:cs="Calibri"/>
                <w:color w:val="000000"/>
                <w:sz w:val="20"/>
                <w:szCs w:val="20"/>
              </w:rPr>
              <w:t>6.3</w:t>
            </w:r>
          </w:p>
        </w:tc>
        <w:tc>
          <w:tcPr>
            <w:tcW w:w="2250" w:type="pct"/>
            <w:tcBorders>
              <w:top w:val="nil"/>
              <w:left w:val="nil"/>
              <w:bottom w:val="nil"/>
              <w:right w:val="single" w:sz="8" w:space="0" w:color="C00000"/>
            </w:tcBorders>
            <w:shd w:val="clear" w:color="auto" w:fill="auto"/>
            <w:noWrap/>
            <w:vAlign w:val="bottom"/>
            <w:hideMark/>
          </w:tcPr>
          <w:p w14:paraId="050D142E" w14:textId="77777777" w:rsidR="00D213E9" w:rsidRPr="00D213E9" w:rsidRDefault="00D213E9" w:rsidP="00D213E9">
            <w:pPr>
              <w:jc w:val="right"/>
              <w:rPr>
                <w:rFonts w:cs="Calibri"/>
                <w:color w:val="000000"/>
                <w:sz w:val="20"/>
                <w:szCs w:val="20"/>
              </w:rPr>
            </w:pPr>
            <w:r w:rsidRPr="00D213E9">
              <w:rPr>
                <w:rFonts w:cs="Calibri"/>
                <w:color w:val="000000"/>
                <w:sz w:val="20"/>
                <w:szCs w:val="20"/>
              </w:rPr>
              <w:t>5.0</w:t>
            </w:r>
          </w:p>
        </w:tc>
      </w:tr>
      <w:tr w:rsidR="00D213E9" w:rsidRPr="00D213E9" w14:paraId="02763D13"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63E21995"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Q4 2018</w:t>
            </w:r>
          </w:p>
        </w:tc>
        <w:tc>
          <w:tcPr>
            <w:tcW w:w="2168" w:type="pct"/>
            <w:tcBorders>
              <w:top w:val="nil"/>
              <w:left w:val="nil"/>
              <w:bottom w:val="nil"/>
              <w:right w:val="nil"/>
            </w:tcBorders>
            <w:shd w:val="clear" w:color="auto" w:fill="auto"/>
            <w:noWrap/>
            <w:vAlign w:val="bottom"/>
            <w:hideMark/>
          </w:tcPr>
          <w:p w14:paraId="73FC5D6A" w14:textId="77777777" w:rsidR="00D213E9" w:rsidRPr="00D213E9" w:rsidRDefault="00D213E9" w:rsidP="00D213E9">
            <w:pPr>
              <w:jc w:val="right"/>
              <w:rPr>
                <w:rFonts w:cs="Calibri"/>
                <w:color w:val="000000"/>
                <w:sz w:val="20"/>
                <w:szCs w:val="20"/>
              </w:rPr>
            </w:pPr>
            <w:r w:rsidRPr="00D213E9">
              <w:rPr>
                <w:rFonts w:cs="Calibri"/>
                <w:color w:val="000000"/>
                <w:sz w:val="20"/>
                <w:szCs w:val="20"/>
              </w:rPr>
              <w:t>7.7</w:t>
            </w:r>
          </w:p>
        </w:tc>
        <w:tc>
          <w:tcPr>
            <w:tcW w:w="2250" w:type="pct"/>
            <w:tcBorders>
              <w:top w:val="nil"/>
              <w:left w:val="nil"/>
              <w:bottom w:val="nil"/>
              <w:right w:val="single" w:sz="8" w:space="0" w:color="C00000"/>
            </w:tcBorders>
            <w:shd w:val="clear" w:color="auto" w:fill="auto"/>
            <w:noWrap/>
            <w:vAlign w:val="bottom"/>
            <w:hideMark/>
          </w:tcPr>
          <w:p w14:paraId="3398A81D" w14:textId="77777777" w:rsidR="00D213E9" w:rsidRPr="00D213E9" w:rsidRDefault="00D213E9" w:rsidP="00D213E9">
            <w:pPr>
              <w:jc w:val="right"/>
              <w:rPr>
                <w:rFonts w:cs="Calibri"/>
                <w:color w:val="000000"/>
                <w:sz w:val="20"/>
                <w:szCs w:val="20"/>
              </w:rPr>
            </w:pPr>
            <w:r w:rsidRPr="00D213E9">
              <w:rPr>
                <w:rFonts w:cs="Calibri"/>
                <w:color w:val="000000"/>
                <w:sz w:val="20"/>
                <w:szCs w:val="20"/>
              </w:rPr>
              <w:t>5.3</w:t>
            </w:r>
          </w:p>
        </w:tc>
      </w:tr>
      <w:tr w:rsidR="00D213E9" w:rsidRPr="00D213E9" w14:paraId="2266FCB8"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0D11C1E5"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Q1 2019</w:t>
            </w:r>
          </w:p>
        </w:tc>
        <w:tc>
          <w:tcPr>
            <w:tcW w:w="2168" w:type="pct"/>
            <w:tcBorders>
              <w:top w:val="nil"/>
              <w:left w:val="nil"/>
              <w:bottom w:val="nil"/>
              <w:right w:val="nil"/>
            </w:tcBorders>
            <w:shd w:val="clear" w:color="auto" w:fill="auto"/>
            <w:noWrap/>
            <w:vAlign w:val="bottom"/>
            <w:hideMark/>
          </w:tcPr>
          <w:p w14:paraId="7D482650" w14:textId="77777777" w:rsidR="00D213E9" w:rsidRPr="00D213E9" w:rsidRDefault="00D213E9" w:rsidP="00D213E9">
            <w:pPr>
              <w:jc w:val="right"/>
              <w:rPr>
                <w:rFonts w:cs="Calibri"/>
                <w:color w:val="000000"/>
                <w:sz w:val="20"/>
                <w:szCs w:val="20"/>
              </w:rPr>
            </w:pPr>
            <w:r w:rsidRPr="00D213E9">
              <w:rPr>
                <w:rFonts w:cs="Calibri"/>
                <w:color w:val="000000"/>
                <w:sz w:val="20"/>
                <w:szCs w:val="20"/>
              </w:rPr>
              <w:t>7.2</w:t>
            </w:r>
          </w:p>
        </w:tc>
        <w:tc>
          <w:tcPr>
            <w:tcW w:w="2250" w:type="pct"/>
            <w:tcBorders>
              <w:top w:val="nil"/>
              <w:left w:val="nil"/>
              <w:bottom w:val="nil"/>
              <w:right w:val="single" w:sz="8" w:space="0" w:color="C00000"/>
            </w:tcBorders>
            <w:shd w:val="clear" w:color="auto" w:fill="auto"/>
            <w:noWrap/>
            <w:vAlign w:val="bottom"/>
            <w:hideMark/>
          </w:tcPr>
          <w:p w14:paraId="53F2BDC4" w14:textId="77777777" w:rsidR="00D213E9" w:rsidRPr="00D213E9" w:rsidRDefault="00D213E9" w:rsidP="00D213E9">
            <w:pPr>
              <w:jc w:val="right"/>
              <w:rPr>
                <w:rFonts w:cs="Calibri"/>
                <w:color w:val="000000"/>
                <w:sz w:val="20"/>
                <w:szCs w:val="20"/>
              </w:rPr>
            </w:pPr>
            <w:r w:rsidRPr="00D213E9">
              <w:rPr>
                <w:rFonts w:cs="Calibri"/>
                <w:color w:val="000000"/>
                <w:sz w:val="20"/>
                <w:szCs w:val="20"/>
              </w:rPr>
              <w:t>5.5</w:t>
            </w:r>
          </w:p>
        </w:tc>
      </w:tr>
      <w:tr w:rsidR="00D213E9" w:rsidRPr="00D213E9" w14:paraId="21D0C60B" w14:textId="77777777" w:rsidTr="00266791">
        <w:trPr>
          <w:cantSplit/>
          <w:trHeight w:val="283"/>
        </w:trPr>
        <w:tc>
          <w:tcPr>
            <w:tcW w:w="583" w:type="pct"/>
            <w:tcBorders>
              <w:top w:val="nil"/>
              <w:left w:val="single" w:sz="8" w:space="0" w:color="C40012"/>
              <w:bottom w:val="nil"/>
              <w:right w:val="nil"/>
            </w:tcBorders>
            <w:shd w:val="clear" w:color="auto" w:fill="auto"/>
            <w:vAlign w:val="center"/>
            <w:hideMark/>
          </w:tcPr>
          <w:p w14:paraId="63F9E3A0"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Q2 2019</w:t>
            </w:r>
          </w:p>
        </w:tc>
        <w:tc>
          <w:tcPr>
            <w:tcW w:w="2168" w:type="pct"/>
            <w:tcBorders>
              <w:top w:val="nil"/>
              <w:left w:val="nil"/>
              <w:bottom w:val="nil"/>
              <w:right w:val="nil"/>
            </w:tcBorders>
            <w:shd w:val="clear" w:color="auto" w:fill="auto"/>
            <w:noWrap/>
            <w:vAlign w:val="bottom"/>
            <w:hideMark/>
          </w:tcPr>
          <w:p w14:paraId="049E6797" w14:textId="77777777" w:rsidR="00D213E9" w:rsidRPr="00D213E9" w:rsidRDefault="00D213E9" w:rsidP="00D213E9">
            <w:pPr>
              <w:jc w:val="right"/>
              <w:rPr>
                <w:rFonts w:cs="Calibri"/>
                <w:color w:val="000000"/>
                <w:sz w:val="20"/>
                <w:szCs w:val="20"/>
              </w:rPr>
            </w:pPr>
            <w:r w:rsidRPr="00D213E9">
              <w:rPr>
                <w:rFonts w:cs="Calibri"/>
                <w:color w:val="000000"/>
                <w:sz w:val="20"/>
                <w:szCs w:val="20"/>
              </w:rPr>
              <w:t>7.4</w:t>
            </w:r>
          </w:p>
        </w:tc>
        <w:tc>
          <w:tcPr>
            <w:tcW w:w="2250" w:type="pct"/>
            <w:tcBorders>
              <w:top w:val="nil"/>
              <w:left w:val="nil"/>
              <w:bottom w:val="nil"/>
              <w:right w:val="single" w:sz="8" w:space="0" w:color="C00000"/>
            </w:tcBorders>
            <w:shd w:val="clear" w:color="auto" w:fill="auto"/>
            <w:noWrap/>
            <w:vAlign w:val="bottom"/>
            <w:hideMark/>
          </w:tcPr>
          <w:p w14:paraId="4BF8C600" w14:textId="77777777" w:rsidR="00D213E9" w:rsidRPr="00D213E9" w:rsidRDefault="00D213E9" w:rsidP="00D213E9">
            <w:pPr>
              <w:jc w:val="right"/>
              <w:rPr>
                <w:rFonts w:cs="Calibri"/>
                <w:color w:val="000000"/>
                <w:sz w:val="20"/>
                <w:szCs w:val="20"/>
              </w:rPr>
            </w:pPr>
            <w:r w:rsidRPr="00D213E9">
              <w:rPr>
                <w:rFonts w:cs="Calibri"/>
                <w:color w:val="000000"/>
                <w:sz w:val="20"/>
                <w:szCs w:val="20"/>
              </w:rPr>
              <w:t>5.7</w:t>
            </w:r>
          </w:p>
        </w:tc>
      </w:tr>
      <w:tr w:rsidR="00D213E9" w:rsidRPr="00D213E9" w14:paraId="2B7AC55F" w14:textId="77777777" w:rsidTr="00266791">
        <w:trPr>
          <w:trHeight w:val="283"/>
        </w:trPr>
        <w:tc>
          <w:tcPr>
            <w:tcW w:w="583" w:type="pct"/>
            <w:tcBorders>
              <w:top w:val="nil"/>
              <w:left w:val="single" w:sz="8" w:space="0" w:color="C00000"/>
              <w:bottom w:val="nil"/>
              <w:right w:val="nil"/>
            </w:tcBorders>
            <w:shd w:val="clear" w:color="auto" w:fill="auto"/>
            <w:vAlign w:val="center"/>
            <w:hideMark/>
          </w:tcPr>
          <w:p w14:paraId="614A57E1" w14:textId="77777777" w:rsidR="00D213E9" w:rsidRPr="00D213E9" w:rsidRDefault="00D213E9" w:rsidP="00D213E9">
            <w:pPr>
              <w:rPr>
                <w:rFonts w:ascii="Humnst777 BT" w:hAnsi="Humnst777 BT" w:cs="Calibri"/>
                <w:b/>
                <w:bCs/>
                <w:color w:val="000000"/>
                <w:sz w:val="20"/>
                <w:szCs w:val="20"/>
              </w:rPr>
            </w:pPr>
            <w:r w:rsidRPr="00D213E9">
              <w:rPr>
                <w:rFonts w:ascii="Humnst777 BT" w:hAnsi="Humnst777 BT" w:cs="Calibri"/>
                <w:b/>
                <w:bCs/>
                <w:color w:val="000000"/>
                <w:sz w:val="20"/>
                <w:szCs w:val="20"/>
              </w:rPr>
              <w:t>Q3 2019</w:t>
            </w:r>
          </w:p>
        </w:tc>
        <w:tc>
          <w:tcPr>
            <w:tcW w:w="2168" w:type="pct"/>
            <w:tcBorders>
              <w:top w:val="nil"/>
              <w:left w:val="nil"/>
              <w:bottom w:val="nil"/>
              <w:right w:val="nil"/>
            </w:tcBorders>
            <w:shd w:val="clear" w:color="auto" w:fill="auto"/>
            <w:noWrap/>
            <w:vAlign w:val="bottom"/>
            <w:hideMark/>
          </w:tcPr>
          <w:p w14:paraId="7C1A424E" w14:textId="77777777" w:rsidR="00D213E9" w:rsidRPr="00D213E9" w:rsidRDefault="00D213E9" w:rsidP="00D213E9">
            <w:pPr>
              <w:jc w:val="right"/>
              <w:rPr>
                <w:rFonts w:cs="Calibri"/>
                <w:color w:val="000000"/>
                <w:sz w:val="20"/>
                <w:szCs w:val="20"/>
              </w:rPr>
            </w:pPr>
            <w:r w:rsidRPr="00D213E9">
              <w:rPr>
                <w:rFonts w:cs="Calibri"/>
                <w:color w:val="000000"/>
                <w:sz w:val="20"/>
                <w:szCs w:val="20"/>
              </w:rPr>
              <w:t>10.4</w:t>
            </w:r>
          </w:p>
        </w:tc>
        <w:tc>
          <w:tcPr>
            <w:tcW w:w="2250" w:type="pct"/>
            <w:tcBorders>
              <w:top w:val="nil"/>
              <w:left w:val="nil"/>
              <w:bottom w:val="nil"/>
              <w:right w:val="single" w:sz="8" w:space="0" w:color="C00000"/>
            </w:tcBorders>
            <w:shd w:val="clear" w:color="auto" w:fill="auto"/>
            <w:noWrap/>
            <w:vAlign w:val="bottom"/>
            <w:hideMark/>
          </w:tcPr>
          <w:p w14:paraId="166E95F0" w14:textId="77777777" w:rsidR="00D213E9" w:rsidRPr="00D213E9" w:rsidRDefault="00D213E9" w:rsidP="00D213E9">
            <w:pPr>
              <w:jc w:val="right"/>
              <w:rPr>
                <w:rFonts w:cs="Calibri"/>
                <w:color w:val="000000"/>
                <w:sz w:val="20"/>
                <w:szCs w:val="20"/>
              </w:rPr>
            </w:pPr>
            <w:r w:rsidRPr="00D213E9">
              <w:rPr>
                <w:rFonts w:cs="Calibri"/>
                <w:color w:val="000000"/>
                <w:sz w:val="20"/>
                <w:szCs w:val="20"/>
              </w:rPr>
              <w:t>6.0</w:t>
            </w:r>
          </w:p>
        </w:tc>
      </w:tr>
      <w:tr w:rsidR="00D213E9" w:rsidRPr="00D213E9" w14:paraId="14FF4F7F"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1FF2954C"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Q4 2019</w:t>
            </w:r>
          </w:p>
        </w:tc>
        <w:tc>
          <w:tcPr>
            <w:tcW w:w="2168" w:type="pct"/>
            <w:tcBorders>
              <w:top w:val="nil"/>
              <w:left w:val="nil"/>
              <w:bottom w:val="nil"/>
              <w:right w:val="nil"/>
            </w:tcBorders>
            <w:shd w:val="clear" w:color="auto" w:fill="auto"/>
            <w:noWrap/>
            <w:vAlign w:val="bottom"/>
            <w:hideMark/>
          </w:tcPr>
          <w:p w14:paraId="38563889" w14:textId="77777777" w:rsidR="00D213E9" w:rsidRPr="00D213E9" w:rsidRDefault="00D213E9" w:rsidP="00D213E9">
            <w:pPr>
              <w:jc w:val="right"/>
              <w:rPr>
                <w:rFonts w:cs="Calibri"/>
                <w:color w:val="000000"/>
                <w:sz w:val="20"/>
                <w:szCs w:val="20"/>
              </w:rPr>
            </w:pPr>
            <w:r w:rsidRPr="00D213E9">
              <w:rPr>
                <w:rFonts w:cs="Calibri"/>
                <w:color w:val="000000"/>
                <w:sz w:val="20"/>
                <w:szCs w:val="20"/>
              </w:rPr>
              <w:t>10.1</w:t>
            </w:r>
          </w:p>
        </w:tc>
        <w:tc>
          <w:tcPr>
            <w:tcW w:w="2250" w:type="pct"/>
            <w:tcBorders>
              <w:top w:val="nil"/>
              <w:left w:val="nil"/>
              <w:bottom w:val="nil"/>
              <w:right w:val="single" w:sz="8" w:space="0" w:color="C00000"/>
            </w:tcBorders>
            <w:shd w:val="clear" w:color="auto" w:fill="auto"/>
            <w:noWrap/>
            <w:vAlign w:val="bottom"/>
            <w:hideMark/>
          </w:tcPr>
          <w:p w14:paraId="5EC3B4E3" w14:textId="77777777" w:rsidR="00D213E9" w:rsidRPr="00D213E9" w:rsidRDefault="00D213E9" w:rsidP="00D213E9">
            <w:pPr>
              <w:jc w:val="right"/>
              <w:rPr>
                <w:rFonts w:cs="Calibri"/>
                <w:color w:val="000000"/>
                <w:sz w:val="20"/>
                <w:szCs w:val="20"/>
              </w:rPr>
            </w:pPr>
            <w:r w:rsidRPr="00D213E9">
              <w:rPr>
                <w:rFonts w:cs="Calibri"/>
                <w:color w:val="000000"/>
                <w:sz w:val="20"/>
                <w:szCs w:val="20"/>
              </w:rPr>
              <w:t>6.3</w:t>
            </w:r>
          </w:p>
        </w:tc>
      </w:tr>
      <w:tr w:rsidR="00D213E9" w:rsidRPr="00D213E9" w14:paraId="47BAE352"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21996540"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Q1 2020</w:t>
            </w:r>
          </w:p>
        </w:tc>
        <w:tc>
          <w:tcPr>
            <w:tcW w:w="2168" w:type="pct"/>
            <w:tcBorders>
              <w:top w:val="nil"/>
              <w:left w:val="nil"/>
              <w:bottom w:val="nil"/>
              <w:right w:val="nil"/>
            </w:tcBorders>
            <w:shd w:val="clear" w:color="auto" w:fill="auto"/>
            <w:noWrap/>
            <w:vAlign w:val="bottom"/>
            <w:hideMark/>
          </w:tcPr>
          <w:p w14:paraId="14CDFEE0" w14:textId="77777777" w:rsidR="00D213E9" w:rsidRPr="00D213E9" w:rsidRDefault="00D213E9" w:rsidP="00D213E9">
            <w:pPr>
              <w:jc w:val="right"/>
              <w:rPr>
                <w:rFonts w:cs="Calibri"/>
                <w:color w:val="000000"/>
                <w:sz w:val="20"/>
                <w:szCs w:val="20"/>
              </w:rPr>
            </w:pPr>
            <w:r w:rsidRPr="00D213E9">
              <w:rPr>
                <w:rFonts w:cs="Calibri"/>
                <w:color w:val="000000"/>
                <w:sz w:val="20"/>
                <w:szCs w:val="20"/>
              </w:rPr>
              <w:t>6.1</w:t>
            </w:r>
          </w:p>
        </w:tc>
        <w:tc>
          <w:tcPr>
            <w:tcW w:w="2250" w:type="pct"/>
            <w:tcBorders>
              <w:top w:val="nil"/>
              <w:left w:val="nil"/>
              <w:bottom w:val="nil"/>
              <w:right w:val="single" w:sz="8" w:space="0" w:color="C00000"/>
            </w:tcBorders>
            <w:shd w:val="clear" w:color="auto" w:fill="auto"/>
            <w:noWrap/>
            <w:vAlign w:val="bottom"/>
            <w:hideMark/>
          </w:tcPr>
          <w:p w14:paraId="3DB79AD0" w14:textId="77777777" w:rsidR="00D213E9" w:rsidRPr="00D213E9" w:rsidRDefault="00D213E9" w:rsidP="00D213E9">
            <w:pPr>
              <w:jc w:val="right"/>
              <w:rPr>
                <w:rFonts w:cs="Calibri"/>
                <w:color w:val="000000"/>
                <w:sz w:val="20"/>
                <w:szCs w:val="20"/>
              </w:rPr>
            </w:pPr>
            <w:r w:rsidRPr="00D213E9">
              <w:rPr>
                <w:rFonts w:cs="Calibri"/>
                <w:color w:val="000000"/>
                <w:sz w:val="20"/>
                <w:szCs w:val="20"/>
              </w:rPr>
              <w:t>6.3</w:t>
            </w:r>
          </w:p>
        </w:tc>
      </w:tr>
      <w:tr w:rsidR="00D213E9" w:rsidRPr="00D213E9" w14:paraId="418143E6"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67AF9EBF"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Q2 2020</w:t>
            </w:r>
          </w:p>
        </w:tc>
        <w:tc>
          <w:tcPr>
            <w:tcW w:w="2168" w:type="pct"/>
            <w:tcBorders>
              <w:top w:val="nil"/>
              <w:left w:val="nil"/>
              <w:bottom w:val="nil"/>
              <w:right w:val="nil"/>
            </w:tcBorders>
            <w:shd w:val="clear" w:color="auto" w:fill="auto"/>
            <w:noWrap/>
            <w:vAlign w:val="bottom"/>
            <w:hideMark/>
          </w:tcPr>
          <w:p w14:paraId="5769FD0C" w14:textId="77777777" w:rsidR="00D213E9" w:rsidRPr="00D213E9" w:rsidRDefault="00D213E9" w:rsidP="00D213E9">
            <w:pPr>
              <w:jc w:val="right"/>
              <w:rPr>
                <w:rFonts w:cs="Calibri"/>
                <w:color w:val="000000"/>
                <w:sz w:val="20"/>
                <w:szCs w:val="20"/>
              </w:rPr>
            </w:pPr>
            <w:r w:rsidRPr="00D213E9">
              <w:rPr>
                <w:rFonts w:cs="Calibri"/>
                <w:color w:val="000000"/>
                <w:sz w:val="20"/>
                <w:szCs w:val="20"/>
              </w:rPr>
              <w:t>1.1</w:t>
            </w:r>
          </w:p>
        </w:tc>
        <w:tc>
          <w:tcPr>
            <w:tcW w:w="2250" w:type="pct"/>
            <w:tcBorders>
              <w:top w:val="nil"/>
              <w:left w:val="nil"/>
              <w:bottom w:val="nil"/>
              <w:right w:val="single" w:sz="8" w:space="0" w:color="C00000"/>
            </w:tcBorders>
            <w:shd w:val="clear" w:color="auto" w:fill="auto"/>
            <w:noWrap/>
            <w:vAlign w:val="bottom"/>
            <w:hideMark/>
          </w:tcPr>
          <w:p w14:paraId="181D9246" w14:textId="77777777" w:rsidR="00D213E9" w:rsidRPr="00D213E9" w:rsidRDefault="00D213E9" w:rsidP="00D213E9">
            <w:pPr>
              <w:jc w:val="right"/>
              <w:rPr>
                <w:rFonts w:cs="Calibri"/>
                <w:color w:val="000000"/>
                <w:sz w:val="20"/>
                <w:szCs w:val="20"/>
              </w:rPr>
            </w:pPr>
            <w:r w:rsidRPr="00D213E9">
              <w:rPr>
                <w:rFonts w:cs="Calibri"/>
                <w:color w:val="000000"/>
                <w:sz w:val="20"/>
                <w:szCs w:val="20"/>
              </w:rPr>
              <w:t>5.9</w:t>
            </w:r>
          </w:p>
        </w:tc>
      </w:tr>
      <w:tr w:rsidR="00D213E9" w:rsidRPr="00D213E9" w14:paraId="45EDB262"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17169870"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Q3 2020</w:t>
            </w:r>
          </w:p>
        </w:tc>
        <w:tc>
          <w:tcPr>
            <w:tcW w:w="2168" w:type="pct"/>
            <w:tcBorders>
              <w:top w:val="nil"/>
              <w:left w:val="nil"/>
              <w:bottom w:val="nil"/>
              <w:right w:val="nil"/>
            </w:tcBorders>
            <w:shd w:val="clear" w:color="auto" w:fill="auto"/>
            <w:noWrap/>
            <w:vAlign w:val="bottom"/>
            <w:hideMark/>
          </w:tcPr>
          <w:p w14:paraId="58E2B7E9" w14:textId="77777777" w:rsidR="00D213E9" w:rsidRPr="00D213E9" w:rsidRDefault="00D213E9" w:rsidP="00D213E9">
            <w:pPr>
              <w:jc w:val="right"/>
              <w:rPr>
                <w:rFonts w:cs="Calibri"/>
                <w:color w:val="000000"/>
                <w:sz w:val="20"/>
                <w:szCs w:val="20"/>
              </w:rPr>
            </w:pPr>
            <w:r w:rsidRPr="00D213E9">
              <w:rPr>
                <w:rFonts w:cs="Calibri"/>
                <w:color w:val="000000"/>
                <w:sz w:val="20"/>
                <w:szCs w:val="20"/>
              </w:rPr>
              <w:t>2.7</w:t>
            </w:r>
          </w:p>
        </w:tc>
        <w:tc>
          <w:tcPr>
            <w:tcW w:w="2250" w:type="pct"/>
            <w:tcBorders>
              <w:top w:val="nil"/>
              <w:left w:val="nil"/>
              <w:bottom w:val="nil"/>
              <w:right w:val="single" w:sz="8" w:space="0" w:color="C00000"/>
            </w:tcBorders>
            <w:shd w:val="clear" w:color="auto" w:fill="auto"/>
            <w:noWrap/>
            <w:vAlign w:val="bottom"/>
            <w:hideMark/>
          </w:tcPr>
          <w:p w14:paraId="0CB63A78" w14:textId="77777777" w:rsidR="00D213E9" w:rsidRPr="00D213E9" w:rsidRDefault="00D213E9" w:rsidP="00D213E9">
            <w:pPr>
              <w:jc w:val="right"/>
              <w:rPr>
                <w:rFonts w:cs="Calibri"/>
                <w:color w:val="000000"/>
                <w:sz w:val="20"/>
                <w:szCs w:val="20"/>
              </w:rPr>
            </w:pPr>
            <w:r w:rsidRPr="00D213E9">
              <w:rPr>
                <w:rFonts w:cs="Calibri"/>
                <w:color w:val="000000"/>
                <w:sz w:val="20"/>
                <w:szCs w:val="20"/>
              </w:rPr>
              <w:t>5.7</w:t>
            </w:r>
          </w:p>
        </w:tc>
      </w:tr>
      <w:tr w:rsidR="00D213E9" w:rsidRPr="00D213E9" w14:paraId="28384812"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4AE13A8F"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Q4 2020</w:t>
            </w:r>
          </w:p>
        </w:tc>
        <w:tc>
          <w:tcPr>
            <w:tcW w:w="2168" w:type="pct"/>
            <w:tcBorders>
              <w:top w:val="nil"/>
              <w:left w:val="nil"/>
              <w:bottom w:val="nil"/>
              <w:right w:val="nil"/>
            </w:tcBorders>
            <w:shd w:val="clear" w:color="auto" w:fill="auto"/>
            <w:noWrap/>
            <w:vAlign w:val="bottom"/>
            <w:hideMark/>
          </w:tcPr>
          <w:p w14:paraId="3D905B70" w14:textId="77777777" w:rsidR="00D213E9" w:rsidRPr="00D213E9" w:rsidRDefault="00D213E9" w:rsidP="00D213E9">
            <w:pPr>
              <w:jc w:val="right"/>
              <w:rPr>
                <w:rFonts w:cs="Calibri"/>
                <w:color w:val="000000"/>
                <w:sz w:val="20"/>
                <w:szCs w:val="20"/>
              </w:rPr>
            </w:pPr>
            <w:r w:rsidRPr="00D213E9">
              <w:rPr>
                <w:rFonts w:cs="Calibri"/>
                <w:color w:val="000000"/>
                <w:sz w:val="20"/>
                <w:szCs w:val="20"/>
              </w:rPr>
              <w:t>3.2</w:t>
            </w:r>
          </w:p>
        </w:tc>
        <w:tc>
          <w:tcPr>
            <w:tcW w:w="2250" w:type="pct"/>
            <w:tcBorders>
              <w:top w:val="nil"/>
              <w:left w:val="nil"/>
              <w:bottom w:val="nil"/>
              <w:right w:val="single" w:sz="8" w:space="0" w:color="C00000"/>
            </w:tcBorders>
            <w:shd w:val="clear" w:color="auto" w:fill="auto"/>
            <w:noWrap/>
            <w:vAlign w:val="bottom"/>
            <w:hideMark/>
          </w:tcPr>
          <w:p w14:paraId="6610A935" w14:textId="77777777" w:rsidR="00D213E9" w:rsidRPr="00D213E9" w:rsidRDefault="00D213E9" w:rsidP="00D213E9">
            <w:pPr>
              <w:jc w:val="right"/>
              <w:rPr>
                <w:rFonts w:cs="Calibri"/>
                <w:color w:val="000000"/>
                <w:sz w:val="20"/>
                <w:szCs w:val="20"/>
              </w:rPr>
            </w:pPr>
            <w:r w:rsidRPr="00D213E9">
              <w:rPr>
                <w:rFonts w:cs="Calibri"/>
                <w:color w:val="000000"/>
                <w:sz w:val="20"/>
                <w:szCs w:val="20"/>
              </w:rPr>
              <w:t>5.5</w:t>
            </w:r>
          </w:p>
        </w:tc>
      </w:tr>
      <w:tr w:rsidR="00D213E9" w:rsidRPr="00D213E9" w14:paraId="299A705F"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1231B102"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Q1 2021</w:t>
            </w:r>
          </w:p>
        </w:tc>
        <w:tc>
          <w:tcPr>
            <w:tcW w:w="2168" w:type="pct"/>
            <w:tcBorders>
              <w:top w:val="nil"/>
              <w:left w:val="nil"/>
              <w:bottom w:val="nil"/>
              <w:right w:val="nil"/>
            </w:tcBorders>
            <w:shd w:val="clear" w:color="auto" w:fill="auto"/>
            <w:noWrap/>
            <w:vAlign w:val="bottom"/>
            <w:hideMark/>
          </w:tcPr>
          <w:p w14:paraId="176064BC" w14:textId="77777777" w:rsidR="00D213E9" w:rsidRPr="00D213E9" w:rsidRDefault="00D213E9" w:rsidP="00D213E9">
            <w:pPr>
              <w:jc w:val="right"/>
              <w:rPr>
                <w:rFonts w:cs="Calibri"/>
                <w:color w:val="000000"/>
                <w:sz w:val="20"/>
                <w:szCs w:val="20"/>
              </w:rPr>
            </w:pPr>
            <w:r w:rsidRPr="00D213E9">
              <w:rPr>
                <w:rFonts w:cs="Calibri"/>
                <w:color w:val="000000"/>
                <w:sz w:val="20"/>
                <w:szCs w:val="20"/>
              </w:rPr>
              <w:t>2.8</w:t>
            </w:r>
          </w:p>
        </w:tc>
        <w:tc>
          <w:tcPr>
            <w:tcW w:w="2250" w:type="pct"/>
            <w:tcBorders>
              <w:top w:val="nil"/>
              <w:left w:val="nil"/>
              <w:bottom w:val="nil"/>
              <w:right w:val="single" w:sz="8" w:space="0" w:color="C00000"/>
            </w:tcBorders>
            <w:shd w:val="clear" w:color="auto" w:fill="auto"/>
            <w:noWrap/>
            <w:vAlign w:val="bottom"/>
            <w:hideMark/>
          </w:tcPr>
          <w:p w14:paraId="68052CF4" w14:textId="77777777" w:rsidR="00D213E9" w:rsidRPr="00D213E9" w:rsidRDefault="00D213E9" w:rsidP="00D213E9">
            <w:pPr>
              <w:jc w:val="right"/>
              <w:rPr>
                <w:rFonts w:cs="Calibri"/>
                <w:color w:val="000000"/>
                <w:sz w:val="20"/>
                <w:szCs w:val="20"/>
              </w:rPr>
            </w:pPr>
            <w:r w:rsidRPr="00D213E9">
              <w:rPr>
                <w:rFonts w:cs="Calibri"/>
                <w:color w:val="000000"/>
                <w:sz w:val="20"/>
                <w:szCs w:val="20"/>
              </w:rPr>
              <w:t>5.4</w:t>
            </w:r>
          </w:p>
        </w:tc>
      </w:tr>
      <w:tr w:rsidR="00D213E9" w:rsidRPr="00D213E9" w14:paraId="366C82D3"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24D5BD49"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Q2 2021</w:t>
            </w:r>
          </w:p>
        </w:tc>
        <w:tc>
          <w:tcPr>
            <w:tcW w:w="2168" w:type="pct"/>
            <w:tcBorders>
              <w:top w:val="nil"/>
              <w:left w:val="nil"/>
              <w:bottom w:val="nil"/>
              <w:right w:val="nil"/>
            </w:tcBorders>
            <w:shd w:val="clear" w:color="auto" w:fill="auto"/>
            <w:noWrap/>
            <w:vAlign w:val="bottom"/>
            <w:hideMark/>
          </w:tcPr>
          <w:p w14:paraId="36CB6C04" w14:textId="77777777" w:rsidR="00D213E9" w:rsidRPr="00D213E9" w:rsidRDefault="00D213E9" w:rsidP="00D213E9">
            <w:pPr>
              <w:jc w:val="right"/>
              <w:rPr>
                <w:rFonts w:cs="Calibri"/>
                <w:color w:val="000000"/>
                <w:sz w:val="20"/>
                <w:szCs w:val="20"/>
              </w:rPr>
            </w:pPr>
            <w:r w:rsidRPr="00D213E9">
              <w:rPr>
                <w:rFonts w:cs="Calibri"/>
                <w:color w:val="000000"/>
                <w:sz w:val="20"/>
                <w:szCs w:val="20"/>
              </w:rPr>
              <w:t>2.5</w:t>
            </w:r>
          </w:p>
        </w:tc>
        <w:tc>
          <w:tcPr>
            <w:tcW w:w="2250" w:type="pct"/>
            <w:tcBorders>
              <w:top w:val="nil"/>
              <w:left w:val="nil"/>
              <w:bottom w:val="nil"/>
              <w:right w:val="single" w:sz="8" w:space="0" w:color="C00000"/>
            </w:tcBorders>
            <w:shd w:val="clear" w:color="auto" w:fill="auto"/>
            <w:noWrap/>
            <w:vAlign w:val="bottom"/>
            <w:hideMark/>
          </w:tcPr>
          <w:p w14:paraId="34FBAEC5" w14:textId="77777777" w:rsidR="00D213E9" w:rsidRPr="00D213E9" w:rsidRDefault="00D213E9" w:rsidP="00D213E9">
            <w:pPr>
              <w:jc w:val="right"/>
              <w:rPr>
                <w:rFonts w:cs="Calibri"/>
                <w:color w:val="000000"/>
                <w:sz w:val="20"/>
                <w:szCs w:val="20"/>
              </w:rPr>
            </w:pPr>
            <w:r w:rsidRPr="00D213E9">
              <w:rPr>
                <w:rFonts w:cs="Calibri"/>
                <w:color w:val="000000"/>
                <w:sz w:val="20"/>
                <w:szCs w:val="20"/>
              </w:rPr>
              <w:t>5.1</w:t>
            </w:r>
          </w:p>
        </w:tc>
      </w:tr>
      <w:tr w:rsidR="00D213E9" w:rsidRPr="00D213E9" w14:paraId="74495CF6"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7BE3A886"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Q3 2021</w:t>
            </w:r>
          </w:p>
        </w:tc>
        <w:tc>
          <w:tcPr>
            <w:tcW w:w="2168" w:type="pct"/>
            <w:tcBorders>
              <w:top w:val="nil"/>
              <w:left w:val="nil"/>
              <w:bottom w:val="nil"/>
              <w:right w:val="nil"/>
            </w:tcBorders>
            <w:shd w:val="clear" w:color="auto" w:fill="auto"/>
            <w:noWrap/>
            <w:vAlign w:val="bottom"/>
            <w:hideMark/>
          </w:tcPr>
          <w:p w14:paraId="67C50EA5" w14:textId="77777777" w:rsidR="00D213E9" w:rsidRPr="00D213E9" w:rsidRDefault="00D213E9" w:rsidP="00D213E9">
            <w:pPr>
              <w:jc w:val="right"/>
              <w:rPr>
                <w:rFonts w:cs="Calibri"/>
                <w:color w:val="000000"/>
                <w:sz w:val="20"/>
                <w:szCs w:val="20"/>
              </w:rPr>
            </w:pPr>
            <w:r w:rsidRPr="00D213E9">
              <w:rPr>
                <w:rFonts w:cs="Calibri"/>
                <w:color w:val="000000"/>
                <w:sz w:val="20"/>
                <w:szCs w:val="20"/>
              </w:rPr>
              <w:t>3.9</w:t>
            </w:r>
          </w:p>
        </w:tc>
        <w:tc>
          <w:tcPr>
            <w:tcW w:w="2250" w:type="pct"/>
            <w:tcBorders>
              <w:top w:val="nil"/>
              <w:left w:val="nil"/>
              <w:bottom w:val="nil"/>
              <w:right w:val="single" w:sz="8" w:space="0" w:color="C00000"/>
            </w:tcBorders>
            <w:shd w:val="clear" w:color="auto" w:fill="auto"/>
            <w:noWrap/>
            <w:vAlign w:val="bottom"/>
            <w:hideMark/>
          </w:tcPr>
          <w:p w14:paraId="0DCFB46C" w14:textId="77777777" w:rsidR="00D213E9" w:rsidRPr="00D213E9" w:rsidRDefault="00D213E9" w:rsidP="00D213E9">
            <w:pPr>
              <w:jc w:val="right"/>
              <w:rPr>
                <w:rFonts w:cs="Calibri"/>
                <w:color w:val="000000"/>
                <w:sz w:val="20"/>
                <w:szCs w:val="20"/>
              </w:rPr>
            </w:pPr>
            <w:r w:rsidRPr="00D213E9">
              <w:rPr>
                <w:rFonts w:cs="Calibri"/>
                <w:color w:val="000000"/>
                <w:sz w:val="20"/>
                <w:szCs w:val="20"/>
              </w:rPr>
              <w:t>5.1</w:t>
            </w:r>
          </w:p>
        </w:tc>
      </w:tr>
      <w:tr w:rsidR="00D213E9" w:rsidRPr="00D213E9" w14:paraId="6C3A89EA"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3D803F61"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Q4 2021</w:t>
            </w:r>
          </w:p>
        </w:tc>
        <w:tc>
          <w:tcPr>
            <w:tcW w:w="2168" w:type="pct"/>
            <w:tcBorders>
              <w:top w:val="nil"/>
              <w:left w:val="nil"/>
              <w:bottom w:val="nil"/>
              <w:right w:val="nil"/>
            </w:tcBorders>
            <w:shd w:val="clear" w:color="auto" w:fill="auto"/>
            <w:noWrap/>
            <w:vAlign w:val="bottom"/>
            <w:hideMark/>
          </w:tcPr>
          <w:p w14:paraId="7C0C495F" w14:textId="77777777" w:rsidR="00D213E9" w:rsidRPr="00D213E9" w:rsidRDefault="00D213E9" w:rsidP="00D213E9">
            <w:pPr>
              <w:jc w:val="right"/>
              <w:rPr>
                <w:rFonts w:cs="Calibri"/>
                <w:color w:val="000000"/>
                <w:sz w:val="20"/>
                <w:szCs w:val="20"/>
              </w:rPr>
            </w:pPr>
            <w:r w:rsidRPr="00D213E9">
              <w:rPr>
                <w:rFonts w:cs="Calibri"/>
                <w:color w:val="000000"/>
                <w:sz w:val="20"/>
                <w:szCs w:val="20"/>
              </w:rPr>
              <w:t>4.4</w:t>
            </w:r>
          </w:p>
        </w:tc>
        <w:tc>
          <w:tcPr>
            <w:tcW w:w="2250" w:type="pct"/>
            <w:tcBorders>
              <w:top w:val="nil"/>
              <w:left w:val="nil"/>
              <w:bottom w:val="nil"/>
              <w:right w:val="single" w:sz="8" w:space="0" w:color="C00000"/>
            </w:tcBorders>
            <w:shd w:val="clear" w:color="auto" w:fill="auto"/>
            <w:noWrap/>
            <w:vAlign w:val="bottom"/>
            <w:hideMark/>
          </w:tcPr>
          <w:p w14:paraId="7E67B93E" w14:textId="77777777" w:rsidR="00D213E9" w:rsidRPr="00D213E9" w:rsidRDefault="00D213E9" w:rsidP="00D213E9">
            <w:pPr>
              <w:jc w:val="right"/>
              <w:rPr>
                <w:rFonts w:cs="Calibri"/>
                <w:color w:val="000000"/>
                <w:sz w:val="20"/>
                <w:szCs w:val="20"/>
              </w:rPr>
            </w:pPr>
            <w:r w:rsidRPr="00D213E9">
              <w:rPr>
                <w:rFonts w:cs="Calibri"/>
                <w:color w:val="000000"/>
                <w:sz w:val="20"/>
                <w:szCs w:val="20"/>
              </w:rPr>
              <w:t>5.0</w:t>
            </w:r>
          </w:p>
        </w:tc>
      </w:tr>
      <w:tr w:rsidR="00D213E9" w:rsidRPr="00D213E9" w14:paraId="40BF8FD4"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1CC9C2BB"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Q1 2022</w:t>
            </w:r>
          </w:p>
        </w:tc>
        <w:tc>
          <w:tcPr>
            <w:tcW w:w="2168" w:type="pct"/>
            <w:tcBorders>
              <w:top w:val="nil"/>
              <w:left w:val="nil"/>
              <w:bottom w:val="nil"/>
              <w:right w:val="nil"/>
            </w:tcBorders>
            <w:shd w:val="clear" w:color="auto" w:fill="auto"/>
            <w:noWrap/>
            <w:vAlign w:val="bottom"/>
            <w:hideMark/>
          </w:tcPr>
          <w:p w14:paraId="034048FE" w14:textId="77777777" w:rsidR="00D213E9" w:rsidRPr="00D213E9" w:rsidRDefault="00D213E9" w:rsidP="00D213E9">
            <w:pPr>
              <w:jc w:val="right"/>
              <w:rPr>
                <w:rFonts w:cs="Calibri"/>
                <w:color w:val="000000"/>
                <w:sz w:val="20"/>
                <w:szCs w:val="20"/>
              </w:rPr>
            </w:pPr>
            <w:r w:rsidRPr="00D213E9">
              <w:rPr>
                <w:rFonts w:cs="Calibri"/>
                <w:color w:val="000000"/>
                <w:sz w:val="20"/>
                <w:szCs w:val="20"/>
              </w:rPr>
              <w:t>3.3</w:t>
            </w:r>
          </w:p>
        </w:tc>
        <w:tc>
          <w:tcPr>
            <w:tcW w:w="2250" w:type="pct"/>
            <w:tcBorders>
              <w:top w:val="nil"/>
              <w:left w:val="nil"/>
              <w:bottom w:val="nil"/>
              <w:right w:val="single" w:sz="8" w:space="0" w:color="C00000"/>
            </w:tcBorders>
            <w:shd w:val="clear" w:color="auto" w:fill="auto"/>
            <w:noWrap/>
            <w:vAlign w:val="bottom"/>
            <w:hideMark/>
          </w:tcPr>
          <w:p w14:paraId="543CEF92" w14:textId="77777777" w:rsidR="00D213E9" w:rsidRPr="00D213E9" w:rsidRDefault="00D213E9" w:rsidP="00D213E9">
            <w:pPr>
              <w:jc w:val="right"/>
              <w:rPr>
                <w:rFonts w:cs="Calibri"/>
                <w:color w:val="000000"/>
                <w:sz w:val="20"/>
                <w:szCs w:val="20"/>
              </w:rPr>
            </w:pPr>
            <w:r w:rsidRPr="00D213E9">
              <w:rPr>
                <w:rFonts w:cs="Calibri"/>
                <w:color w:val="000000"/>
                <w:sz w:val="20"/>
                <w:szCs w:val="20"/>
              </w:rPr>
              <w:t>4.9</w:t>
            </w:r>
          </w:p>
        </w:tc>
      </w:tr>
      <w:tr w:rsidR="00D213E9" w:rsidRPr="00D213E9" w14:paraId="7446B83B"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0FFD960E"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Q2 2022</w:t>
            </w:r>
          </w:p>
        </w:tc>
        <w:tc>
          <w:tcPr>
            <w:tcW w:w="2168" w:type="pct"/>
            <w:tcBorders>
              <w:top w:val="nil"/>
              <w:left w:val="nil"/>
              <w:bottom w:val="nil"/>
              <w:right w:val="nil"/>
            </w:tcBorders>
            <w:shd w:val="clear" w:color="auto" w:fill="auto"/>
            <w:noWrap/>
            <w:vAlign w:val="bottom"/>
            <w:hideMark/>
          </w:tcPr>
          <w:p w14:paraId="0E7248FE" w14:textId="77777777" w:rsidR="00D213E9" w:rsidRPr="00D213E9" w:rsidRDefault="00D213E9" w:rsidP="00D213E9">
            <w:pPr>
              <w:jc w:val="right"/>
              <w:rPr>
                <w:rFonts w:cs="Calibri"/>
                <w:color w:val="000000"/>
                <w:sz w:val="20"/>
                <w:szCs w:val="20"/>
              </w:rPr>
            </w:pPr>
            <w:r w:rsidRPr="00D213E9">
              <w:rPr>
                <w:rFonts w:cs="Calibri"/>
                <w:color w:val="000000"/>
                <w:sz w:val="20"/>
                <w:szCs w:val="20"/>
              </w:rPr>
              <w:t>3.6</w:t>
            </w:r>
          </w:p>
        </w:tc>
        <w:tc>
          <w:tcPr>
            <w:tcW w:w="2250" w:type="pct"/>
            <w:tcBorders>
              <w:top w:val="nil"/>
              <w:left w:val="nil"/>
              <w:bottom w:val="nil"/>
              <w:right w:val="single" w:sz="8" w:space="0" w:color="C00000"/>
            </w:tcBorders>
            <w:shd w:val="clear" w:color="auto" w:fill="auto"/>
            <w:noWrap/>
            <w:vAlign w:val="bottom"/>
            <w:hideMark/>
          </w:tcPr>
          <w:p w14:paraId="5166EAB3"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43F3F71B"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58169C27"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Q3 2022</w:t>
            </w:r>
          </w:p>
        </w:tc>
        <w:tc>
          <w:tcPr>
            <w:tcW w:w="2168" w:type="pct"/>
            <w:tcBorders>
              <w:top w:val="nil"/>
              <w:left w:val="nil"/>
              <w:bottom w:val="nil"/>
              <w:right w:val="nil"/>
            </w:tcBorders>
            <w:shd w:val="clear" w:color="auto" w:fill="auto"/>
            <w:noWrap/>
            <w:vAlign w:val="bottom"/>
            <w:hideMark/>
          </w:tcPr>
          <w:p w14:paraId="76717395" w14:textId="77777777" w:rsidR="00D213E9" w:rsidRPr="00D213E9" w:rsidRDefault="00D213E9" w:rsidP="00D213E9">
            <w:pPr>
              <w:jc w:val="right"/>
              <w:rPr>
                <w:rFonts w:cs="Calibri"/>
                <w:color w:val="000000"/>
                <w:sz w:val="20"/>
                <w:szCs w:val="20"/>
              </w:rPr>
            </w:pPr>
            <w:r w:rsidRPr="00D213E9">
              <w:rPr>
                <w:rFonts w:cs="Calibri"/>
                <w:color w:val="000000"/>
                <w:sz w:val="20"/>
                <w:szCs w:val="20"/>
              </w:rPr>
              <w:t>5.2</w:t>
            </w:r>
          </w:p>
        </w:tc>
        <w:tc>
          <w:tcPr>
            <w:tcW w:w="2250" w:type="pct"/>
            <w:tcBorders>
              <w:top w:val="nil"/>
              <w:left w:val="nil"/>
              <w:bottom w:val="nil"/>
              <w:right w:val="single" w:sz="8" w:space="0" w:color="C00000"/>
            </w:tcBorders>
            <w:shd w:val="clear" w:color="auto" w:fill="auto"/>
            <w:noWrap/>
            <w:vAlign w:val="bottom"/>
            <w:hideMark/>
          </w:tcPr>
          <w:p w14:paraId="796C1F26"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50370D5E"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015B9BDB"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Q4 2022</w:t>
            </w:r>
          </w:p>
        </w:tc>
        <w:tc>
          <w:tcPr>
            <w:tcW w:w="2168" w:type="pct"/>
            <w:tcBorders>
              <w:top w:val="nil"/>
              <w:left w:val="nil"/>
              <w:bottom w:val="nil"/>
              <w:right w:val="nil"/>
            </w:tcBorders>
            <w:shd w:val="clear" w:color="auto" w:fill="auto"/>
            <w:noWrap/>
            <w:vAlign w:val="bottom"/>
            <w:hideMark/>
          </w:tcPr>
          <w:p w14:paraId="3276DA41" w14:textId="77777777" w:rsidR="00D213E9" w:rsidRPr="00D213E9" w:rsidRDefault="00D213E9" w:rsidP="00D213E9">
            <w:pPr>
              <w:jc w:val="right"/>
              <w:rPr>
                <w:rFonts w:cs="Calibri"/>
                <w:color w:val="000000"/>
                <w:sz w:val="20"/>
                <w:szCs w:val="20"/>
              </w:rPr>
            </w:pPr>
            <w:r w:rsidRPr="00D213E9">
              <w:rPr>
                <w:rFonts w:cs="Calibri"/>
                <w:color w:val="000000"/>
                <w:sz w:val="20"/>
                <w:szCs w:val="20"/>
              </w:rPr>
              <w:t>4.2</w:t>
            </w:r>
          </w:p>
        </w:tc>
        <w:tc>
          <w:tcPr>
            <w:tcW w:w="2250" w:type="pct"/>
            <w:tcBorders>
              <w:top w:val="nil"/>
              <w:left w:val="nil"/>
              <w:bottom w:val="nil"/>
              <w:right w:val="single" w:sz="8" w:space="0" w:color="C00000"/>
            </w:tcBorders>
            <w:shd w:val="clear" w:color="auto" w:fill="auto"/>
            <w:noWrap/>
            <w:vAlign w:val="bottom"/>
            <w:hideMark/>
          </w:tcPr>
          <w:p w14:paraId="149FC436"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12B0B209"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6B08A4C0"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Q1 2023</w:t>
            </w:r>
          </w:p>
        </w:tc>
        <w:tc>
          <w:tcPr>
            <w:tcW w:w="2168" w:type="pct"/>
            <w:tcBorders>
              <w:top w:val="nil"/>
              <w:left w:val="nil"/>
              <w:bottom w:val="nil"/>
              <w:right w:val="nil"/>
            </w:tcBorders>
            <w:shd w:val="clear" w:color="auto" w:fill="auto"/>
            <w:noWrap/>
            <w:vAlign w:val="bottom"/>
            <w:hideMark/>
          </w:tcPr>
          <w:p w14:paraId="45A55AED" w14:textId="77777777" w:rsidR="00D213E9" w:rsidRPr="00D213E9" w:rsidRDefault="00D213E9" w:rsidP="00D213E9">
            <w:pPr>
              <w:jc w:val="right"/>
              <w:rPr>
                <w:rFonts w:cs="Calibri"/>
                <w:color w:val="000000"/>
                <w:sz w:val="20"/>
                <w:szCs w:val="20"/>
              </w:rPr>
            </w:pPr>
            <w:r w:rsidRPr="00D213E9">
              <w:rPr>
                <w:rFonts w:cs="Calibri"/>
                <w:color w:val="000000"/>
                <w:sz w:val="20"/>
                <w:szCs w:val="20"/>
              </w:rPr>
              <w:t>5.3</w:t>
            </w:r>
          </w:p>
        </w:tc>
        <w:tc>
          <w:tcPr>
            <w:tcW w:w="2250" w:type="pct"/>
            <w:tcBorders>
              <w:top w:val="nil"/>
              <w:left w:val="nil"/>
              <w:bottom w:val="nil"/>
              <w:right w:val="single" w:sz="8" w:space="0" w:color="C00000"/>
            </w:tcBorders>
            <w:shd w:val="clear" w:color="auto" w:fill="auto"/>
            <w:noWrap/>
            <w:vAlign w:val="bottom"/>
            <w:hideMark/>
          </w:tcPr>
          <w:p w14:paraId="739E15A1"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44797390"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1FAAB027"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Q2 2023</w:t>
            </w:r>
          </w:p>
        </w:tc>
        <w:tc>
          <w:tcPr>
            <w:tcW w:w="2168" w:type="pct"/>
            <w:tcBorders>
              <w:top w:val="nil"/>
              <w:left w:val="nil"/>
              <w:bottom w:val="nil"/>
              <w:right w:val="nil"/>
            </w:tcBorders>
            <w:shd w:val="clear" w:color="auto" w:fill="auto"/>
            <w:noWrap/>
            <w:vAlign w:val="bottom"/>
            <w:hideMark/>
          </w:tcPr>
          <w:p w14:paraId="72349A70" w14:textId="77777777" w:rsidR="00D213E9" w:rsidRPr="00D213E9" w:rsidRDefault="00D213E9" w:rsidP="00D213E9">
            <w:pPr>
              <w:jc w:val="right"/>
              <w:rPr>
                <w:rFonts w:cs="Calibri"/>
                <w:color w:val="000000"/>
                <w:sz w:val="20"/>
                <w:szCs w:val="20"/>
              </w:rPr>
            </w:pPr>
            <w:r w:rsidRPr="00D213E9">
              <w:rPr>
                <w:rFonts w:cs="Calibri"/>
                <w:color w:val="000000"/>
                <w:sz w:val="20"/>
                <w:szCs w:val="20"/>
              </w:rPr>
              <w:t>4.4</w:t>
            </w:r>
          </w:p>
        </w:tc>
        <w:tc>
          <w:tcPr>
            <w:tcW w:w="2250" w:type="pct"/>
            <w:tcBorders>
              <w:top w:val="nil"/>
              <w:left w:val="nil"/>
              <w:bottom w:val="nil"/>
              <w:right w:val="single" w:sz="8" w:space="0" w:color="C00000"/>
            </w:tcBorders>
            <w:shd w:val="clear" w:color="auto" w:fill="auto"/>
            <w:noWrap/>
            <w:vAlign w:val="bottom"/>
            <w:hideMark/>
          </w:tcPr>
          <w:p w14:paraId="6715A575"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51139936"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02533109"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Q3 2023</w:t>
            </w:r>
          </w:p>
        </w:tc>
        <w:tc>
          <w:tcPr>
            <w:tcW w:w="2168" w:type="pct"/>
            <w:tcBorders>
              <w:top w:val="nil"/>
              <w:left w:val="nil"/>
              <w:bottom w:val="nil"/>
              <w:right w:val="nil"/>
            </w:tcBorders>
            <w:shd w:val="clear" w:color="auto" w:fill="auto"/>
            <w:noWrap/>
            <w:vAlign w:val="bottom"/>
            <w:hideMark/>
          </w:tcPr>
          <w:p w14:paraId="4C8CD1F4" w14:textId="77777777" w:rsidR="00D213E9" w:rsidRPr="00D213E9" w:rsidRDefault="00D213E9" w:rsidP="00D213E9">
            <w:pPr>
              <w:jc w:val="right"/>
              <w:rPr>
                <w:rFonts w:cs="Calibri"/>
                <w:color w:val="000000"/>
                <w:sz w:val="20"/>
                <w:szCs w:val="20"/>
              </w:rPr>
            </w:pPr>
            <w:r w:rsidRPr="00D213E9">
              <w:rPr>
                <w:rFonts w:cs="Calibri"/>
                <w:color w:val="000000"/>
                <w:sz w:val="20"/>
                <w:szCs w:val="20"/>
              </w:rPr>
              <w:t>5.1</w:t>
            </w:r>
          </w:p>
        </w:tc>
        <w:tc>
          <w:tcPr>
            <w:tcW w:w="2250" w:type="pct"/>
            <w:tcBorders>
              <w:top w:val="nil"/>
              <w:left w:val="nil"/>
              <w:bottom w:val="nil"/>
              <w:right w:val="single" w:sz="8" w:space="0" w:color="C00000"/>
            </w:tcBorders>
            <w:shd w:val="clear" w:color="auto" w:fill="auto"/>
            <w:noWrap/>
            <w:vAlign w:val="bottom"/>
            <w:hideMark/>
          </w:tcPr>
          <w:p w14:paraId="515F5383"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5D3471DB"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77E99789" w14:textId="2F9475CF"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Q4 2023</w:t>
            </w:r>
          </w:p>
        </w:tc>
        <w:tc>
          <w:tcPr>
            <w:tcW w:w="2168" w:type="pct"/>
            <w:tcBorders>
              <w:top w:val="nil"/>
              <w:left w:val="nil"/>
              <w:bottom w:val="nil"/>
              <w:right w:val="nil"/>
            </w:tcBorders>
            <w:shd w:val="clear" w:color="auto" w:fill="auto"/>
            <w:noWrap/>
            <w:vAlign w:val="bottom"/>
            <w:hideMark/>
          </w:tcPr>
          <w:p w14:paraId="57676AB0" w14:textId="77777777" w:rsidR="00D213E9" w:rsidRPr="00D213E9" w:rsidRDefault="00D213E9" w:rsidP="00D213E9">
            <w:pPr>
              <w:jc w:val="right"/>
              <w:rPr>
                <w:rFonts w:cs="Calibri"/>
                <w:color w:val="000000"/>
                <w:sz w:val="20"/>
                <w:szCs w:val="20"/>
              </w:rPr>
            </w:pPr>
            <w:r w:rsidRPr="00D213E9">
              <w:rPr>
                <w:rFonts w:cs="Calibri"/>
                <w:color w:val="000000"/>
                <w:sz w:val="20"/>
                <w:szCs w:val="20"/>
              </w:rPr>
              <w:t>4.7</w:t>
            </w:r>
          </w:p>
        </w:tc>
        <w:tc>
          <w:tcPr>
            <w:tcW w:w="2250" w:type="pct"/>
            <w:tcBorders>
              <w:top w:val="nil"/>
              <w:left w:val="nil"/>
              <w:bottom w:val="nil"/>
              <w:right w:val="single" w:sz="8" w:space="0" w:color="C00000"/>
            </w:tcBorders>
            <w:shd w:val="clear" w:color="auto" w:fill="auto"/>
            <w:noWrap/>
            <w:vAlign w:val="bottom"/>
            <w:hideMark/>
          </w:tcPr>
          <w:p w14:paraId="3574CEF6"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22D8D85C"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4000CB21"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Q1 2024</w:t>
            </w:r>
          </w:p>
        </w:tc>
        <w:tc>
          <w:tcPr>
            <w:tcW w:w="2168" w:type="pct"/>
            <w:tcBorders>
              <w:top w:val="nil"/>
              <w:left w:val="nil"/>
              <w:bottom w:val="nil"/>
              <w:right w:val="nil"/>
            </w:tcBorders>
            <w:shd w:val="clear" w:color="auto" w:fill="auto"/>
            <w:noWrap/>
            <w:vAlign w:val="bottom"/>
            <w:hideMark/>
          </w:tcPr>
          <w:p w14:paraId="797D9264" w14:textId="77777777" w:rsidR="00D213E9" w:rsidRPr="00D213E9" w:rsidRDefault="00D213E9" w:rsidP="00D213E9">
            <w:pPr>
              <w:jc w:val="right"/>
              <w:rPr>
                <w:rFonts w:cs="Calibri"/>
                <w:color w:val="000000"/>
                <w:sz w:val="20"/>
                <w:szCs w:val="20"/>
              </w:rPr>
            </w:pPr>
            <w:r w:rsidRPr="00D213E9">
              <w:rPr>
                <w:rFonts w:cs="Calibri"/>
                <w:color w:val="000000"/>
                <w:sz w:val="20"/>
                <w:szCs w:val="20"/>
              </w:rPr>
              <w:t>4.3</w:t>
            </w:r>
          </w:p>
        </w:tc>
        <w:tc>
          <w:tcPr>
            <w:tcW w:w="2250" w:type="pct"/>
            <w:tcBorders>
              <w:top w:val="nil"/>
              <w:left w:val="nil"/>
              <w:bottom w:val="nil"/>
              <w:right w:val="single" w:sz="8" w:space="0" w:color="C00000"/>
            </w:tcBorders>
            <w:shd w:val="clear" w:color="auto" w:fill="auto"/>
            <w:noWrap/>
            <w:vAlign w:val="bottom"/>
            <w:hideMark/>
          </w:tcPr>
          <w:p w14:paraId="61660BA0"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2FD95DCB" w14:textId="77777777" w:rsidTr="00266791">
        <w:trPr>
          <w:trHeight w:val="283"/>
        </w:trPr>
        <w:tc>
          <w:tcPr>
            <w:tcW w:w="583" w:type="pct"/>
            <w:tcBorders>
              <w:top w:val="nil"/>
              <w:left w:val="single" w:sz="8" w:space="0" w:color="C00000"/>
              <w:bottom w:val="nil"/>
              <w:right w:val="nil"/>
            </w:tcBorders>
            <w:shd w:val="clear" w:color="auto" w:fill="auto"/>
            <w:noWrap/>
            <w:vAlign w:val="bottom"/>
            <w:hideMark/>
          </w:tcPr>
          <w:p w14:paraId="73F11617"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Q2 2024</w:t>
            </w:r>
          </w:p>
        </w:tc>
        <w:tc>
          <w:tcPr>
            <w:tcW w:w="2168" w:type="pct"/>
            <w:tcBorders>
              <w:top w:val="nil"/>
              <w:left w:val="nil"/>
              <w:bottom w:val="nil"/>
              <w:right w:val="nil"/>
            </w:tcBorders>
            <w:shd w:val="clear" w:color="auto" w:fill="auto"/>
            <w:noWrap/>
            <w:vAlign w:val="bottom"/>
            <w:hideMark/>
          </w:tcPr>
          <w:p w14:paraId="02E953F0" w14:textId="77777777" w:rsidR="00D213E9" w:rsidRPr="00D213E9" w:rsidRDefault="00D213E9" w:rsidP="00D213E9">
            <w:pPr>
              <w:jc w:val="right"/>
              <w:rPr>
                <w:rFonts w:cs="Calibri"/>
                <w:color w:val="000000"/>
                <w:sz w:val="20"/>
                <w:szCs w:val="20"/>
              </w:rPr>
            </w:pPr>
            <w:r w:rsidRPr="00D213E9">
              <w:rPr>
                <w:rFonts w:cs="Calibri"/>
                <w:color w:val="000000"/>
                <w:sz w:val="20"/>
                <w:szCs w:val="20"/>
              </w:rPr>
              <w:t>5.6</w:t>
            </w:r>
          </w:p>
        </w:tc>
        <w:tc>
          <w:tcPr>
            <w:tcW w:w="2250" w:type="pct"/>
            <w:tcBorders>
              <w:top w:val="nil"/>
              <w:left w:val="nil"/>
              <w:bottom w:val="nil"/>
              <w:right w:val="single" w:sz="8" w:space="0" w:color="C00000"/>
            </w:tcBorders>
            <w:shd w:val="clear" w:color="auto" w:fill="auto"/>
            <w:noWrap/>
            <w:vAlign w:val="bottom"/>
            <w:hideMark/>
          </w:tcPr>
          <w:p w14:paraId="4C45E119" w14:textId="77777777" w:rsidR="00D213E9" w:rsidRPr="00D213E9" w:rsidRDefault="00D213E9" w:rsidP="00D213E9">
            <w:pPr>
              <w:jc w:val="right"/>
              <w:rPr>
                <w:rFonts w:cs="Calibri"/>
                <w:color w:val="000000"/>
                <w:sz w:val="20"/>
                <w:szCs w:val="20"/>
              </w:rPr>
            </w:pPr>
            <w:r w:rsidRPr="00D213E9">
              <w:rPr>
                <w:rFonts w:cs="Calibri"/>
                <w:color w:val="000000"/>
                <w:sz w:val="20"/>
                <w:szCs w:val="20"/>
              </w:rPr>
              <w:t>4.8</w:t>
            </w:r>
          </w:p>
        </w:tc>
      </w:tr>
      <w:tr w:rsidR="00D213E9" w:rsidRPr="00D213E9" w14:paraId="2251EC5E" w14:textId="77777777" w:rsidTr="00266791">
        <w:trPr>
          <w:trHeight w:val="283"/>
        </w:trPr>
        <w:tc>
          <w:tcPr>
            <w:tcW w:w="583" w:type="pct"/>
            <w:tcBorders>
              <w:top w:val="nil"/>
              <w:left w:val="single" w:sz="8" w:space="0" w:color="C00000"/>
              <w:bottom w:val="single" w:sz="8" w:space="0" w:color="C00000"/>
              <w:right w:val="nil"/>
            </w:tcBorders>
            <w:shd w:val="clear" w:color="auto" w:fill="auto"/>
            <w:noWrap/>
            <w:vAlign w:val="bottom"/>
            <w:hideMark/>
          </w:tcPr>
          <w:p w14:paraId="40EFF9D5" w14:textId="77777777" w:rsidR="00D213E9" w:rsidRPr="00D213E9" w:rsidRDefault="00D213E9" w:rsidP="00D213E9">
            <w:pPr>
              <w:rPr>
                <w:rFonts w:ascii="Humnst777 BT" w:hAnsi="Humnst777 BT" w:cs="Calibri"/>
                <w:b/>
                <w:bCs/>
                <w:color w:val="000000"/>
                <w:szCs w:val="22"/>
              </w:rPr>
            </w:pPr>
            <w:r w:rsidRPr="00D213E9">
              <w:rPr>
                <w:rFonts w:ascii="Humnst777 BT" w:hAnsi="Humnst777 BT" w:cs="Calibri"/>
                <w:b/>
                <w:bCs/>
                <w:color w:val="000000"/>
                <w:szCs w:val="22"/>
              </w:rPr>
              <w:t>Q3 2024</w:t>
            </w:r>
          </w:p>
        </w:tc>
        <w:tc>
          <w:tcPr>
            <w:tcW w:w="2168" w:type="pct"/>
            <w:tcBorders>
              <w:top w:val="nil"/>
              <w:left w:val="nil"/>
              <w:bottom w:val="single" w:sz="8" w:space="0" w:color="C00000"/>
              <w:right w:val="nil"/>
            </w:tcBorders>
            <w:shd w:val="clear" w:color="auto" w:fill="auto"/>
            <w:noWrap/>
            <w:vAlign w:val="bottom"/>
            <w:hideMark/>
          </w:tcPr>
          <w:p w14:paraId="515025FD" w14:textId="77777777" w:rsidR="00D213E9" w:rsidRPr="00D213E9" w:rsidRDefault="00D213E9" w:rsidP="00D213E9">
            <w:pPr>
              <w:jc w:val="right"/>
              <w:rPr>
                <w:rFonts w:cs="Calibri"/>
                <w:color w:val="000000"/>
                <w:sz w:val="20"/>
                <w:szCs w:val="20"/>
              </w:rPr>
            </w:pPr>
            <w:r w:rsidRPr="00D213E9">
              <w:rPr>
                <w:rFonts w:cs="Calibri"/>
                <w:color w:val="000000"/>
                <w:sz w:val="20"/>
                <w:szCs w:val="20"/>
              </w:rPr>
              <w:t>5.7</w:t>
            </w:r>
          </w:p>
        </w:tc>
        <w:tc>
          <w:tcPr>
            <w:tcW w:w="2250" w:type="pct"/>
            <w:tcBorders>
              <w:top w:val="nil"/>
              <w:left w:val="nil"/>
              <w:bottom w:val="single" w:sz="8" w:space="0" w:color="C00000"/>
              <w:right w:val="single" w:sz="8" w:space="0" w:color="C00000"/>
            </w:tcBorders>
            <w:shd w:val="clear" w:color="auto" w:fill="auto"/>
            <w:noWrap/>
            <w:vAlign w:val="bottom"/>
            <w:hideMark/>
          </w:tcPr>
          <w:p w14:paraId="0ACE2AF0" w14:textId="77777777" w:rsidR="00D213E9" w:rsidRPr="00D213E9" w:rsidRDefault="00D213E9" w:rsidP="00D213E9">
            <w:pPr>
              <w:jc w:val="right"/>
              <w:rPr>
                <w:rFonts w:cs="Calibri"/>
                <w:color w:val="000000"/>
                <w:sz w:val="20"/>
                <w:szCs w:val="20"/>
              </w:rPr>
            </w:pPr>
            <w:r w:rsidRPr="00D213E9">
              <w:rPr>
                <w:rFonts w:cs="Calibri"/>
                <w:color w:val="000000"/>
                <w:sz w:val="20"/>
                <w:szCs w:val="20"/>
              </w:rPr>
              <w:t>4.9</w:t>
            </w:r>
          </w:p>
        </w:tc>
      </w:tr>
    </w:tbl>
    <w:p w14:paraId="353020E7" w14:textId="77777777" w:rsidR="003147D3" w:rsidRDefault="003147D3" w:rsidP="00C33968"/>
    <w:p w14:paraId="53B8AEEF" w14:textId="77777777" w:rsidR="00E06F3B" w:rsidRPr="000F51F1" w:rsidRDefault="00E06F3B" w:rsidP="00E06F3B">
      <w:pPr>
        <w:pStyle w:val="Heading1"/>
      </w:pPr>
      <w:r w:rsidRPr="000F51F1">
        <w:t>Referrals by location</w:t>
      </w:r>
    </w:p>
    <w:p w14:paraId="6F1BEA7A" w14:textId="77777777" w:rsidR="00E06F3B" w:rsidRPr="000F51F1" w:rsidRDefault="00E06F3B" w:rsidP="00E63424">
      <w:pPr>
        <w:pStyle w:val="TableHeading"/>
        <w:numPr>
          <w:ilvl w:val="0"/>
          <w:numId w:val="0"/>
        </w:numPr>
      </w:pPr>
    </w:p>
    <w:p w14:paraId="1CFF3A7E" w14:textId="4B839E65" w:rsidR="00131149" w:rsidRPr="000F51F1" w:rsidRDefault="00F66FD5" w:rsidP="00131149">
      <w:pPr>
        <w:pStyle w:val="TableHeading"/>
        <w:numPr>
          <w:ilvl w:val="0"/>
          <w:numId w:val="0"/>
        </w:numPr>
        <w:rPr>
          <w:rFonts w:ascii="Humnst777 Lt BT" w:hAnsi="Humnst777 Lt BT"/>
          <w:b w:val="0"/>
          <w:color w:val="auto"/>
          <w:spacing w:val="-2"/>
          <w:sz w:val="22"/>
        </w:rPr>
      </w:pPr>
      <w:r w:rsidRPr="000F51F1">
        <w:rPr>
          <w:rFonts w:ascii="Humnst777 Lt BT" w:hAnsi="Humnst777 Lt BT"/>
          <w:b w:val="0"/>
          <w:color w:val="auto"/>
          <w:spacing w:val="-2"/>
          <w:sz w:val="22"/>
        </w:rPr>
        <w:t>Table 4 shows th</w:t>
      </w:r>
      <w:r w:rsidR="0059468D">
        <w:rPr>
          <w:rFonts w:ascii="Humnst777 Lt BT" w:hAnsi="Humnst777 Lt BT"/>
          <w:b w:val="0"/>
          <w:color w:val="auto"/>
          <w:spacing w:val="-2"/>
          <w:sz w:val="22"/>
        </w:rPr>
        <w:t>e number</w:t>
      </w:r>
      <w:r w:rsidRPr="000F51F1">
        <w:rPr>
          <w:rFonts w:ascii="Humnst777 Lt BT" w:hAnsi="Humnst777 Lt BT"/>
          <w:b w:val="0"/>
          <w:color w:val="auto"/>
          <w:spacing w:val="-2"/>
          <w:sz w:val="22"/>
        </w:rPr>
        <w:t xml:space="preserve"> of referrals made by location, </w:t>
      </w:r>
      <w:r w:rsidR="00131149" w:rsidRPr="000F51F1">
        <w:rPr>
          <w:rFonts w:ascii="Humnst777 Lt BT" w:hAnsi="Humnst777 Lt BT"/>
          <w:b w:val="0"/>
          <w:color w:val="auto"/>
          <w:spacing w:val="-2"/>
          <w:sz w:val="22"/>
        </w:rPr>
        <w:t xml:space="preserve">compared to the distribution of the SME </w:t>
      </w:r>
      <w:r w:rsidR="00D3695F" w:rsidRPr="000F51F1">
        <w:rPr>
          <w:rFonts w:ascii="Humnst777 Lt BT" w:hAnsi="Humnst777 Lt BT"/>
          <w:b w:val="0"/>
          <w:color w:val="auto"/>
          <w:spacing w:val="-2"/>
          <w:sz w:val="22"/>
        </w:rPr>
        <w:t>population</w:t>
      </w:r>
      <w:r w:rsidR="006D3CC7">
        <w:rPr>
          <w:rFonts w:ascii="Humnst777 Lt BT" w:hAnsi="Humnst777 Lt BT"/>
          <w:b w:val="0"/>
          <w:color w:val="auto"/>
          <w:spacing w:val="-2"/>
          <w:sz w:val="22"/>
        </w:rPr>
        <w:t xml:space="preserve"> </w:t>
      </w:r>
      <w:r w:rsidR="00BE2155">
        <w:rPr>
          <w:rFonts w:ascii="Humnst777 Lt BT" w:hAnsi="Humnst777 Lt BT"/>
          <w:b w:val="0"/>
          <w:color w:val="auto"/>
          <w:spacing w:val="-2"/>
          <w:sz w:val="22"/>
        </w:rPr>
        <w:t>across the UK and Northern Ireland</w:t>
      </w:r>
      <w:r w:rsidR="00131149" w:rsidRPr="000F51F1">
        <w:rPr>
          <w:rFonts w:ascii="Humnst777 Lt BT" w:hAnsi="Humnst777 Lt BT"/>
          <w:b w:val="0"/>
          <w:color w:val="auto"/>
          <w:spacing w:val="-2"/>
          <w:sz w:val="22"/>
        </w:rPr>
        <w:t xml:space="preserve">. </w:t>
      </w:r>
      <w:r w:rsidR="004934F3" w:rsidRPr="004934F3">
        <w:rPr>
          <w:rFonts w:ascii="Humnst777 Lt BT" w:hAnsi="Humnst777 Lt BT"/>
          <w:b w:val="0"/>
          <w:color w:val="auto"/>
          <w:spacing w:val="-2"/>
          <w:sz w:val="22"/>
        </w:rPr>
        <w:t>The SME population data is based on Department for Business and Trade (DBT) population estimates.</w:t>
      </w:r>
    </w:p>
    <w:p w14:paraId="0673A41B" w14:textId="77777777" w:rsidR="00E06F3B" w:rsidRPr="000F51F1" w:rsidRDefault="00E06F3B" w:rsidP="00E63424">
      <w:pPr>
        <w:pStyle w:val="TableHeading"/>
        <w:numPr>
          <w:ilvl w:val="0"/>
          <w:numId w:val="0"/>
        </w:numPr>
      </w:pPr>
    </w:p>
    <w:p w14:paraId="1D6B595B" w14:textId="77777777" w:rsidR="00436471" w:rsidRPr="000F51F1" w:rsidRDefault="00D02083" w:rsidP="00E63424">
      <w:pPr>
        <w:pStyle w:val="TableHeading"/>
        <w:numPr>
          <w:ilvl w:val="0"/>
          <w:numId w:val="0"/>
        </w:numPr>
      </w:pPr>
      <w:r w:rsidRPr="000F51F1">
        <w:t xml:space="preserve">Table </w:t>
      </w:r>
      <w:r w:rsidR="000B75E3" w:rsidRPr="000F51F1">
        <w:t>4</w:t>
      </w:r>
      <w:r w:rsidRPr="000F51F1">
        <w:t xml:space="preserve">: </w:t>
      </w:r>
      <w:r w:rsidR="00F66FD5" w:rsidRPr="000F51F1">
        <w:t>Percentage of referrals made by location</w:t>
      </w:r>
      <w:r w:rsidR="00F66FD5" w:rsidRPr="000F51F1">
        <w:rPr>
          <w:rStyle w:val="FootnoteReference"/>
        </w:rPr>
        <w:footnoteReference w:id="5"/>
      </w:r>
    </w:p>
    <w:p w14:paraId="3A4FBEB7" w14:textId="77777777" w:rsidR="00F66FD5" w:rsidRPr="000F51F1" w:rsidRDefault="00F66FD5" w:rsidP="00E63424">
      <w:pPr>
        <w:pStyle w:val="TableHeading"/>
        <w:numPr>
          <w:ilvl w:val="0"/>
          <w:numId w:val="0"/>
        </w:numPr>
      </w:pPr>
    </w:p>
    <w:tbl>
      <w:tblPr>
        <w:tblW w:w="5000" w:type="pct"/>
        <w:tblLook w:val="04A0" w:firstRow="1" w:lastRow="0" w:firstColumn="1" w:lastColumn="0" w:noHBand="0" w:noVBand="1"/>
      </w:tblPr>
      <w:tblGrid>
        <w:gridCol w:w="3040"/>
        <w:gridCol w:w="1562"/>
        <w:gridCol w:w="1562"/>
        <w:gridCol w:w="2102"/>
        <w:gridCol w:w="2416"/>
      </w:tblGrid>
      <w:tr w:rsidR="00756DFA" w:rsidRPr="009C526E" w14:paraId="56E4262F" w14:textId="77777777" w:rsidTr="00E24562">
        <w:trPr>
          <w:cantSplit/>
          <w:trHeight w:val="283"/>
        </w:trPr>
        <w:tc>
          <w:tcPr>
            <w:tcW w:w="1423" w:type="pct"/>
            <w:tcBorders>
              <w:top w:val="single" w:sz="8" w:space="0" w:color="C40012"/>
              <w:left w:val="single" w:sz="8" w:space="0" w:color="C40012"/>
              <w:bottom w:val="nil"/>
              <w:right w:val="nil"/>
            </w:tcBorders>
            <w:shd w:val="clear" w:color="000000" w:fill="F9E5E7"/>
            <w:vAlign w:val="center"/>
            <w:hideMark/>
          </w:tcPr>
          <w:p w14:paraId="491965F6" w14:textId="77777777" w:rsidR="00E24562" w:rsidRPr="009C526E" w:rsidRDefault="00E24562" w:rsidP="00E24562">
            <w:pPr>
              <w:rPr>
                <w:rFonts w:ascii="Humnst777 BT" w:hAnsi="Humnst777 BT" w:cs="Calibri"/>
                <w:b/>
                <w:bCs/>
                <w:color w:val="000000"/>
                <w:sz w:val="20"/>
                <w:szCs w:val="20"/>
              </w:rPr>
            </w:pPr>
            <w:r w:rsidRPr="009C526E">
              <w:rPr>
                <w:rFonts w:ascii="Humnst777 BT" w:hAnsi="Humnst777 BT" w:cs="Calibri"/>
                <w:b/>
                <w:bCs/>
                <w:sz w:val="20"/>
                <w:szCs w:val="20"/>
              </w:rPr>
              <w:t xml:space="preserve">Region </w:t>
            </w:r>
          </w:p>
        </w:tc>
        <w:tc>
          <w:tcPr>
            <w:tcW w:w="731" w:type="pct"/>
            <w:tcBorders>
              <w:top w:val="single" w:sz="8" w:space="0" w:color="C40012"/>
              <w:left w:val="nil"/>
              <w:bottom w:val="nil"/>
              <w:right w:val="nil"/>
            </w:tcBorders>
            <w:shd w:val="clear" w:color="000000" w:fill="F9E5E7"/>
          </w:tcPr>
          <w:p w14:paraId="7DF6D819" w14:textId="44A92C07" w:rsidR="00E24562" w:rsidRPr="009C526E" w:rsidRDefault="00E24562" w:rsidP="00E24562">
            <w:pPr>
              <w:jc w:val="right"/>
              <w:rPr>
                <w:rFonts w:ascii="Humnst777 BT" w:hAnsi="Humnst777 BT" w:cs="Calibri"/>
                <w:b/>
                <w:bCs/>
                <w:sz w:val="20"/>
                <w:szCs w:val="20"/>
              </w:rPr>
            </w:pPr>
            <w:r>
              <w:rPr>
                <w:rFonts w:ascii="Humnst777 BT" w:hAnsi="Humnst777 BT" w:cs="Calibri"/>
                <w:b/>
                <w:bCs/>
                <w:sz w:val="20"/>
                <w:szCs w:val="20"/>
              </w:rPr>
              <w:t>SME distribution (%)</w:t>
            </w:r>
          </w:p>
        </w:tc>
        <w:tc>
          <w:tcPr>
            <w:tcW w:w="731" w:type="pct"/>
            <w:tcBorders>
              <w:top w:val="single" w:sz="8" w:space="0" w:color="C40012"/>
              <w:left w:val="nil"/>
              <w:bottom w:val="nil"/>
              <w:right w:val="nil"/>
            </w:tcBorders>
            <w:shd w:val="clear" w:color="000000" w:fill="F9E5E7"/>
            <w:vAlign w:val="center"/>
            <w:hideMark/>
          </w:tcPr>
          <w:p w14:paraId="6E6971A5" w14:textId="26A0B2C4" w:rsidR="00E24562" w:rsidRPr="009C526E" w:rsidRDefault="00E24562" w:rsidP="00E24562">
            <w:pPr>
              <w:jc w:val="right"/>
              <w:rPr>
                <w:rFonts w:ascii="Humnst777 BT" w:hAnsi="Humnst777 BT" w:cs="Calibri"/>
                <w:b/>
                <w:bCs/>
                <w:color w:val="000000"/>
                <w:sz w:val="20"/>
                <w:szCs w:val="20"/>
              </w:rPr>
            </w:pPr>
            <w:r w:rsidRPr="009C526E">
              <w:rPr>
                <w:rFonts w:ascii="Humnst777 BT" w:hAnsi="Humnst777 BT" w:cs="Calibri"/>
                <w:b/>
                <w:bCs/>
                <w:sz w:val="20"/>
                <w:szCs w:val="20"/>
              </w:rPr>
              <w:t xml:space="preserve">Referrals Distribution </w:t>
            </w:r>
          </w:p>
        </w:tc>
        <w:tc>
          <w:tcPr>
            <w:tcW w:w="984" w:type="pct"/>
            <w:tcBorders>
              <w:top w:val="single" w:sz="8" w:space="0" w:color="C40012"/>
              <w:left w:val="nil"/>
              <w:right w:val="nil"/>
            </w:tcBorders>
            <w:shd w:val="clear" w:color="000000" w:fill="F9E5E7"/>
            <w:vAlign w:val="center"/>
            <w:hideMark/>
          </w:tcPr>
          <w:p w14:paraId="5E39BAA1" w14:textId="77777777" w:rsidR="00E24562" w:rsidRPr="009C526E" w:rsidRDefault="00E24562" w:rsidP="00E24562">
            <w:pPr>
              <w:jc w:val="right"/>
              <w:rPr>
                <w:rFonts w:ascii="Humnst777 BT" w:hAnsi="Humnst777 BT" w:cs="Calibri"/>
                <w:b/>
                <w:bCs/>
                <w:color w:val="000000"/>
                <w:sz w:val="20"/>
                <w:szCs w:val="20"/>
              </w:rPr>
            </w:pPr>
            <w:r w:rsidRPr="009C526E">
              <w:rPr>
                <w:rFonts w:ascii="Humnst777 BT" w:hAnsi="Humnst777 BT" w:cs="Calibri"/>
                <w:b/>
                <w:bCs/>
                <w:sz w:val="20"/>
                <w:szCs w:val="20"/>
              </w:rPr>
              <w:t>Referrals Distribution (% - excl. Not recorded)</w:t>
            </w:r>
          </w:p>
        </w:tc>
        <w:tc>
          <w:tcPr>
            <w:tcW w:w="1131" w:type="pct"/>
            <w:tcBorders>
              <w:top w:val="single" w:sz="8" w:space="0" w:color="C40012"/>
              <w:left w:val="nil"/>
              <w:bottom w:val="nil"/>
              <w:right w:val="single" w:sz="8" w:space="0" w:color="C40012"/>
            </w:tcBorders>
            <w:shd w:val="clear" w:color="000000" w:fill="F9E5E7"/>
            <w:vAlign w:val="center"/>
            <w:hideMark/>
          </w:tcPr>
          <w:p w14:paraId="67B99DB5" w14:textId="77777777" w:rsidR="00E24562" w:rsidRPr="009C526E" w:rsidRDefault="00E24562" w:rsidP="00E24562">
            <w:pPr>
              <w:jc w:val="right"/>
              <w:rPr>
                <w:rFonts w:ascii="Humnst777 BT" w:hAnsi="Humnst777 BT" w:cs="Calibri"/>
                <w:b/>
                <w:bCs/>
                <w:color w:val="000000"/>
                <w:sz w:val="20"/>
                <w:szCs w:val="20"/>
              </w:rPr>
            </w:pPr>
            <w:r w:rsidRPr="009C526E">
              <w:rPr>
                <w:rFonts w:ascii="Humnst777 BT" w:hAnsi="Humnst777 BT" w:cs="Calibri"/>
                <w:b/>
                <w:bCs/>
                <w:sz w:val="20"/>
                <w:szCs w:val="20"/>
              </w:rPr>
              <w:t xml:space="preserve">Referrals distribution (% inc. Not Recorded) </w:t>
            </w:r>
          </w:p>
        </w:tc>
      </w:tr>
      <w:tr w:rsidR="005329FE" w:rsidRPr="009C526E" w14:paraId="6711F0AB" w14:textId="77777777" w:rsidTr="00AF74DC">
        <w:trPr>
          <w:cantSplit/>
          <w:trHeight w:val="283"/>
        </w:trPr>
        <w:tc>
          <w:tcPr>
            <w:tcW w:w="1423" w:type="pct"/>
            <w:tcBorders>
              <w:top w:val="nil"/>
              <w:left w:val="single" w:sz="8" w:space="0" w:color="C40012"/>
              <w:bottom w:val="nil"/>
              <w:right w:val="nil"/>
            </w:tcBorders>
            <w:shd w:val="clear" w:color="auto" w:fill="auto"/>
            <w:vAlign w:val="center"/>
            <w:hideMark/>
          </w:tcPr>
          <w:p w14:paraId="42AB5288"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Greater London</w:t>
            </w:r>
          </w:p>
        </w:tc>
        <w:tc>
          <w:tcPr>
            <w:tcW w:w="731" w:type="pct"/>
            <w:tcBorders>
              <w:top w:val="nil"/>
              <w:left w:val="nil"/>
              <w:bottom w:val="nil"/>
              <w:right w:val="nil"/>
            </w:tcBorders>
            <w:vAlign w:val="bottom"/>
          </w:tcPr>
          <w:p w14:paraId="73625ACE" w14:textId="05D59212" w:rsidR="005329FE" w:rsidRPr="009C526E" w:rsidRDefault="005329FE" w:rsidP="005329FE">
            <w:pPr>
              <w:jc w:val="right"/>
              <w:rPr>
                <w:rFonts w:cs="Calibri"/>
                <w:color w:val="000000"/>
                <w:sz w:val="20"/>
                <w:szCs w:val="20"/>
              </w:rPr>
            </w:pPr>
            <w:r w:rsidRPr="00AF74DC">
              <w:rPr>
                <w:rFonts w:cs="Calibri"/>
                <w:color w:val="000000"/>
                <w:sz w:val="20"/>
                <w:szCs w:val="20"/>
              </w:rPr>
              <w:t>17.9%</w:t>
            </w:r>
          </w:p>
        </w:tc>
        <w:tc>
          <w:tcPr>
            <w:tcW w:w="731" w:type="pct"/>
            <w:tcBorders>
              <w:top w:val="nil"/>
              <w:left w:val="nil"/>
              <w:bottom w:val="nil"/>
              <w:right w:val="nil"/>
            </w:tcBorders>
            <w:shd w:val="clear" w:color="auto" w:fill="auto"/>
            <w:vAlign w:val="center"/>
            <w:hideMark/>
          </w:tcPr>
          <w:p w14:paraId="418A064B" w14:textId="71EB8536" w:rsidR="005329FE" w:rsidRPr="009C526E" w:rsidRDefault="005329FE" w:rsidP="005329FE">
            <w:pPr>
              <w:jc w:val="right"/>
              <w:rPr>
                <w:rFonts w:cs="Calibri"/>
                <w:color w:val="000000"/>
                <w:sz w:val="20"/>
                <w:szCs w:val="20"/>
              </w:rPr>
            </w:pPr>
            <w:r w:rsidRPr="009C526E">
              <w:rPr>
                <w:rFonts w:cs="Calibri"/>
                <w:color w:val="000000"/>
                <w:sz w:val="20"/>
                <w:szCs w:val="20"/>
              </w:rPr>
              <w:t>25,786</w:t>
            </w:r>
          </w:p>
        </w:tc>
        <w:tc>
          <w:tcPr>
            <w:tcW w:w="984" w:type="pct"/>
            <w:tcBorders>
              <w:top w:val="nil"/>
              <w:left w:val="nil"/>
              <w:bottom w:val="nil"/>
              <w:right w:val="nil"/>
            </w:tcBorders>
            <w:shd w:val="clear" w:color="auto" w:fill="auto"/>
            <w:vAlign w:val="center"/>
            <w:hideMark/>
          </w:tcPr>
          <w:p w14:paraId="672051BF" w14:textId="77777777" w:rsidR="005329FE" w:rsidRPr="009C526E" w:rsidRDefault="005329FE" w:rsidP="005329FE">
            <w:pPr>
              <w:jc w:val="right"/>
              <w:rPr>
                <w:rFonts w:cs="Calibri"/>
                <w:color w:val="000000"/>
                <w:sz w:val="20"/>
                <w:szCs w:val="20"/>
              </w:rPr>
            </w:pPr>
            <w:r w:rsidRPr="009C526E">
              <w:rPr>
                <w:rFonts w:cs="Calibri"/>
                <w:color w:val="000000"/>
                <w:sz w:val="20"/>
                <w:szCs w:val="20"/>
              </w:rPr>
              <w:t>25.7</w:t>
            </w:r>
          </w:p>
        </w:tc>
        <w:tc>
          <w:tcPr>
            <w:tcW w:w="1131" w:type="pct"/>
            <w:tcBorders>
              <w:top w:val="nil"/>
              <w:left w:val="nil"/>
              <w:bottom w:val="nil"/>
              <w:right w:val="single" w:sz="8" w:space="0" w:color="C40012"/>
            </w:tcBorders>
            <w:shd w:val="clear" w:color="auto" w:fill="auto"/>
            <w:vAlign w:val="center"/>
            <w:hideMark/>
          </w:tcPr>
          <w:p w14:paraId="5DECF8CE" w14:textId="77777777" w:rsidR="005329FE" w:rsidRPr="009C526E" w:rsidRDefault="005329FE" w:rsidP="005329FE">
            <w:pPr>
              <w:jc w:val="right"/>
              <w:rPr>
                <w:rFonts w:cs="Calibri"/>
                <w:color w:val="000000"/>
                <w:sz w:val="20"/>
                <w:szCs w:val="20"/>
              </w:rPr>
            </w:pPr>
            <w:r w:rsidRPr="009C526E">
              <w:rPr>
                <w:rFonts w:cs="Calibri"/>
                <w:color w:val="000000"/>
                <w:sz w:val="20"/>
                <w:szCs w:val="20"/>
              </w:rPr>
              <w:t>23.2</w:t>
            </w:r>
          </w:p>
        </w:tc>
      </w:tr>
      <w:tr w:rsidR="005329FE" w:rsidRPr="009C526E" w14:paraId="6343AA15" w14:textId="77777777" w:rsidTr="00AF74DC">
        <w:trPr>
          <w:cantSplit/>
          <w:trHeight w:val="283"/>
        </w:trPr>
        <w:tc>
          <w:tcPr>
            <w:tcW w:w="1423" w:type="pct"/>
            <w:tcBorders>
              <w:top w:val="nil"/>
              <w:left w:val="single" w:sz="8" w:space="0" w:color="C40012"/>
              <w:bottom w:val="nil"/>
              <w:right w:val="nil"/>
            </w:tcBorders>
            <w:shd w:val="clear" w:color="auto" w:fill="auto"/>
            <w:vAlign w:val="center"/>
            <w:hideMark/>
          </w:tcPr>
          <w:p w14:paraId="364AB74C"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South East</w:t>
            </w:r>
          </w:p>
        </w:tc>
        <w:tc>
          <w:tcPr>
            <w:tcW w:w="731" w:type="pct"/>
            <w:tcBorders>
              <w:top w:val="nil"/>
              <w:left w:val="nil"/>
              <w:bottom w:val="nil"/>
              <w:right w:val="nil"/>
            </w:tcBorders>
            <w:vAlign w:val="bottom"/>
          </w:tcPr>
          <w:p w14:paraId="35E17808" w14:textId="6903B275" w:rsidR="005329FE" w:rsidRPr="009C526E" w:rsidRDefault="005329FE" w:rsidP="005329FE">
            <w:pPr>
              <w:jc w:val="right"/>
              <w:rPr>
                <w:rFonts w:cs="Calibri"/>
                <w:color w:val="000000"/>
                <w:sz w:val="20"/>
                <w:szCs w:val="20"/>
              </w:rPr>
            </w:pPr>
            <w:r w:rsidRPr="00AF74DC">
              <w:rPr>
                <w:rFonts w:cs="Calibri"/>
                <w:color w:val="000000"/>
                <w:sz w:val="20"/>
                <w:szCs w:val="20"/>
              </w:rPr>
              <w:t>16.5%</w:t>
            </w:r>
          </w:p>
        </w:tc>
        <w:tc>
          <w:tcPr>
            <w:tcW w:w="731" w:type="pct"/>
            <w:tcBorders>
              <w:top w:val="nil"/>
              <w:left w:val="nil"/>
              <w:bottom w:val="nil"/>
              <w:right w:val="nil"/>
            </w:tcBorders>
            <w:shd w:val="clear" w:color="auto" w:fill="auto"/>
            <w:vAlign w:val="center"/>
            <w:hideMark/>
          </w:tcPr>
          <w:p w14:paraId="6B66BD04" w14:textId="4D57A1A8" w:rsidR="005329FE" w:rsidRPr="009C526E" w:rsidRDefault="005329FE" w:rsidP="005329FE">
            <w:pPr>
              <w:jc w:val="right"/>
              <w:rPr>
                <w:rFonts w:cs="Calibri"/>
                <w:color w:val="000000"/>
                <w:sz w:val="20"/>
                <w:szCs w:val="20"/>
              </w:rPr>
            </w:pPr>
            <w:r w:rsidRPr="009C526E">
              <w:rPr>
                <w:rFonts w:cs="Calibri"/>
                <w:color w:val="000000"/>
                <w:sz w:val="20"/>
                <w:szCs w:val="20"/>
              </w:rPr>
              <w:t>11,953</w:t>
            </w:r>
          </w:p>
        </w:tc>
        <w:tc>
          <w:tcPr>
            <w:tcW w:w="984" w:type="pct"/>
            <w:tcBorders>
              <w:top w:val="nil"/>
              <w:left w:val="nil"/>
              <w:bottom w:val="nil"/>
              <w:right w:val="nil"/>
            </w:tcBorders>
            <w:shd w:val="clear" w:color="auto" w:fill="auto"/>
            <w:vAlign w:val="center"/>
            <w:hideMark/>
          </w:tcPr>
          <w:p w14:paraId="5F6E3D8F" w14:textId="77777777" w:rsidR="005329FE" w:rsidRPr="009C526E" w:rsidRDefault="005329FE" w:rsidP="005329FE">
            <w:pPr>
              <w:jc w:val="right"/>
              <w:rPr>
                <w:rFonts w:cs="Calibri"/>
                <w:color w:val="000000"/>
                <w:sz w:val="20"/>
                <w:szCs w:val="20"/>
              </w:rPr>
            </w:pPr>
            <w:r w:rsidRPr="009C526E">
              <w:rPr>
                <w:rFonts w:cs="Calibri"/>
                <w:color w:val="000000"/>
                <w:sz w:val="20"/>
                <w:szCs w:val="20"/>
              </w:rPr>
              <w:t>11.9</w:t>
            </w:r>
          </w:p>
        </w:tc>
        <w:tc>
          <w:tcPr>
            <w:tcW w:w="1131" w:type="pct"/>
            <w:tcBorders>
              <w:top w:val="nil"/>
              <w:left w:val="nil"/>
              <w:bottom w:val="nil"/>
              <w:right w:val="single" w:sz="8" w:space="0" w:color="C40012"/>
            </w:tcBorders>
            <w:shd w:val="clear" w:color="auto" w:fill="auto"/>
            <w:vAlign w:val="center"/>
            <w:hideMark/>
          </w:tcPr>
          <w:p w14:paraId="233C8193" w14:textId="77777777" w:rsidR="005329FE" w:rsidRPr="009C526E" w:rsidRDefault="005329FE" w:rsidP="005329FE">
            <w:pPr>
              <w:jc w:val="right"/>
              <w:rPr>
                <w:rFonts w:cs="Calibri"/>
                <w:color w:val="000000"/>
                <w:sz w:val="20"/>
                <w:szCs w:val="20"/>
              </w:rPr>
            </w:pPr>
            <w:r w:rsidRPr="009C526E">
              <w:rPr>
                <w:rFonts w:cs="Calibri"/>
                <w:color w:val="000000"/>
                <w:sz w:val="20"/>
                <w:szCs w:val="20"/>
              </w:rPr>
              <w:t>10.8</w:t>
            </w:r>
          </w:p>
        </w:tc>
      </w:tr>
      <w:tr w:rsidR="005329FE" w:rsidRPr="009C526E" w14:paraId="7B784EB8" w14:textId="77777777" w:rsidTr="00AF74DC">
        <w:trPr>
          <w:cantSplit/>
          <w:trHeight w:val="283"/>
        </w:trPr>
        <w:tc>
          <w:tcPr>
            <w:tcW w:w="1423" w:type="pct"/>
            <w:tcBorders>
              <w:top w:val="nil"/>
              <w:left w:val="single" w:sz="8" w:space="0" w:color="C40012"/>
              <w:bottom w:val="nil"/>
              <w:right w:val="nil"/>
            </w:tcBorders>
            <w:shd w:val="clear" w:color="auto" w:fill="auto"/>
            <w:vAlign w:val="center"/>
            <w:hideMark/>
          </w:tcPr>
          <w:p w14:paraId="35E0E4FC"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East of England</w:t>
            </w:r>
          </w:p>
        </w:tc>
        <w:tc>
          <w:tcPr>
            <w:tcW w:w="731" w:type="pct"/>
            <w:tcBorders>
              <w:top w:val="nil"/>
              <w:left w:val="nil"/>
              <w:bottom w:val="nil"/>
              <w:right w:val="nil"/>
            </w:tcBorders>
            <w:vAlign w:val="bottom"/>
          </w:tcPr>
          <w:p w14:paraId="159AC475" w14:textId="788F6922" w:rsidR="005329FE" w:rsidRPr="009C526E" w:rsidRDefault="005329FE" w:rsidP="005329FE">
            <w:pPr>
              <w:jc w:val="right"/>
              <w:rPr>
                <w:rFonts w:cs="Calibri"/>
                <w:color w:val="000000"/>
                <w:sz w:val="20"/>
                <w:szCs w:val="20"/>
              </w:rPr>
            </w:pPr>
            <w:r w:rsidRPr="00AF74DC">
              <w:rPr>
                <w:rFonts w:cs="Calibri"/>
                <w:color w:val="000000"/>
                <w:sz w:val="20"/>
                <w:szCs w:val="20"/>
              </w:rPr>
              <w:t>9.6%</w:t>
            </w:r>
          </w:p>
        </w:tc>
        <w:tc>
          <w:tcPr>
            <w:tcW w:w="731" w:type="pct"/>
            <w:tcBorders>
              <w:top w:val="nil"/>
              <w:left w:val="nil"/>
              <w:bottom w:val="nil"/>
              <w:right w:val="nil"/>
            </w:tcBorders>
            <w:shd w:val="clear" w:color="auto" w:fill="auto"/>
            <w:vAlign w:val="center"/>
            <w:hideMark/>
          </w:tcPr>
          <w:p w14:paraId="0FBD6CF8" w14:textId="2E4E86EB" w:rsidR="005329FE" w:rsidRPr="009C526E" w:rsidRDefault="005329FE" w:rsidP="005329FE">
            <w:pPr>
              <w:jc w:val="right"/>
              <w:rPr>
                <w:rFonts w:cs="Calibri"/>
                <w:color w:val="000000"/>
                <w:sz w:val="20"/>
                <w:szCs w:val="20"/>
              </w:rPr>
            </w:pPr>
            <w:r w:rsidRPr="009C526E">
              <w:rPr>
                <w:rFonts w:cs="Calibri"/>
                <w:color w:val="000000"/>
                <w:sz w:val="20"/>
                <w:szCs w:val="20"/>
              </w:rPr>
              <w:t>8,727</w:t>
            </w:r>
          </w:p>
        </w:tc>
        <w:tc>
          <w:tcPr>
            <w:tcW w:w="984" w:type="pct"/>
            <w:tcBorders>
              <w:top w:val="nil"/>
              <w:left w:val="nil"/>
              <w:bottom w:val="nil"/>
              <w:right w:val="nil"/>
            </w:tcBorders>
            <w:shd w:val="clear" w:color="auto" w:fill="auto"/>
            <w:vAlign w:val="center"/>
            <w:hideMark/>
          </w:tcPr>
          <w:p w14:paraId="710A1C44" w14:textId="77777777" w:rsidR="005329FE" w:rsidRPr="009C526E" w:rsidRDefault="005329FE" w:rsidP="005329FE">
            <w:pPr>
              <w:jc w:val="right"/>
              <w:rPr>
                <w:rFonts w:cs="Calibri"/>
                <w:color w:val="000000"/>
                <w:sz w:val="20"/>
                <w:szCs w:val="20"/>
              </w:rPr>
            </w:pPr>
            <w:r w:rsidRPr="009C526E">
              <w:rPr>
                <w:rFonts w:cs="Calibri"/>
                <w:color w:val="000000"/>
                <w:sz w:val="20"/>
                <w:szCs w:val="20"/>
              </w:rPr>
              <w:t>8.7</w:t>
            </w:r>
          </w:p>
        </w:tc>
        <w:tc>
          <w:tcPr>
            <w:tcW w:w="1131" w:type="pct"/>
            <w:tcBorders>
              <w:top w:val="nil"/>
              <w:left w:val="nil"/>
              <w:bottom w:val="nil"/>
              <w:right w:val="single" w:sz="8" w:space="0" w:color="C40012"/>
            </w:tcBorders>
            <w:shd w:val="clear" w:color="auto" w:fill="auto"/>
            <w:vAlign w:val="center"/>
            <w:hideMark/>
          </w:tcPr>
          <w:p w14:paraId="2BEB430F" w14:textId="77777777" w:rsidR="005329FE" w:rsidRPr="009C526E" w:rsidRDefault="005329FE" w:rsidP="005329FE">
            <w:pPr>
              <w:jc w:val="right"/>
              <w:rPr>
                <w:rFonts w:cs="Calibri"/>
                <w:color w:val="000000"/>
                <w:sz w:val="20"/>
                <w:szCs w:val="20"/>
              </w:rPr>
            </w:pPr>
            <w:r w:rsidRPr="009C526E">
              <w:rPr>
                <w:rFonts w:cs="Calibri"/>
                <w:color w:val="000000"/>
                <w:sz w:val="20"/>
                <w:szCs w:val="20"/>
              </w:rPr>
              <w:t>7.9</w:t>
            </w:r>
          </w:p>
        </w:tc>
      </w:tr>
      <w:tr w:rsidR="005329FE" w:rsidRPr="009C526E" w14:paraId="0E478B94" w14:textId="77777777" w:rsidTr="00AF74DC">
        <w:trPr>
          <w:cantSplit/>
          <w:trHeight w:val="283"/>
        </w:trPr>
        <w:tc>
          <w:tcPr>
            <w:tcW w:w="1423" w:type="pct"/>
            <w:tcBorders>
              <w:top w:val="nil"/>
              <w:left w:val="single" w:sz="8" w:space="0" w:color="C40012"/>
              <w:bottom w:val="nil"/>
              <w:right w:val="nil"/>
            </w:tcBorders>
            <w:shd w:val="clear" w:color="auto" w:fill="auto"/>
            <w:vAlign w:val="center"/>
            <w:hideMark/>
          </w:tcPr>
          <w:p w14:paraId="5170D27E"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South West</w:t>
            </w:r>
          </w:p>
        </w:tc>
        <w:tc>
          <w:tcPr>
            <w:tcW w:w="731" w:type="pct"/>
            <w:tcBorders>
              <w:top w:val="nil"/>
              <w:left w:val="nil"/>
              <w:bottom w:val="nil"/>
              <w:right w:val="nil"/>
            </w:tcBorders>
            <w:vAlign w:val="bottom"/>
          </w:tcPr>
          <w:p w14:paraId="6856E77B" w14:textId="7CCB6BB7" w:rsidR="005329FE" w:rsidRPr="009C526E" w:rsidRDefault="005329FE" w:rsidP="005329FE">
            <w:pPr>
              <w:jc w:val="right"/>
              <w:rPr>
                <w:rFonts w:cs="Calibri"/>
                <w:color w:val="000000"/>
                <w:sz w:val="20"/>
                <w:szCs w:val="20"/>
              </w:rPr>
            </w:pPr>
            <w:r w:rsidRPr="00AF74DC">
              <w:rPr>
                <w:rFonts w:cs="Calibri"/>
                <w:color w:val="000000"/>
                <w:sz w:val="20"/>
                <w:szCs w:val="20"/>
              </w:rPr>
              <w:t>9.7%</w:t>
            </w:r>
          </w:p>
        </w:tc>
        <w:tc>
          <w:tcPr>
            <w:tcW w:w="731" w:type="pct"/>
            <w:tcBorders>
              <w:top w:val="nil"/>
              <w:left w:val="nil"/>
              <w:bottom w:val="nil"/>
              <w:right w:val="nil"/>
            </w:tcBorders>
            <w:shd w:val="clear" w:color="auto" w:fill="auto"/>
            <w:vAlign w:val="center"/>
            <w:hideMark/>
          </w:tcPr>
          <w:p w14:paraId="70480A1B" w14:textId="2FF515ED" w:rsidR="005329FE" w:rsidRPr="009C526E" w:rsidRDefault="005329FE" w:rsidP="005329FE">
            <w:pPr>
              <w:jc w:val="right"/>
              <w:rPr>
                <w:rFonts w:cs="Calibri"/>
                <w:color w:val="000000"/>
                <w:sz w:val="20"/>
                <w:szCs w:val="20"/>
              </w:rPr>
            </w:pPr>
            <w:r w:rsidRPr="009C526E">
              <w:rPr>
                <w:rFonts w:cs="Calibri"/>
                <w:color w:val="000000"/>
                <w:sz w:val="20"/>
                <w:szCs w:val="20"/>
              </w:rPr>
              <w:t>8,484</w:t>
            </w:r>
          </w:p>
        </w:tc>
        <w:tc>
          <w:tcPr>
            <w:tcW w:w="984" w:type="pct"/>
            <w:tcBorders>
              <w:top w:val="nil"/>
              <w:left w:val="nil"/>
              <w:bottom w:val="nil"/>
              <w:right w:val="nil"/>
            </w:tcBorders>
            <w:shd w:val="clear" w:color="auto" w:fill="auto"/>
            <w:vAlign w:val="center"/>
            <w:hideMark/>
          </w:tcPr>
          <w:p w14:paraId="16B8A1F3" w14:textId="77777777" w:rsidR="005329FE" w:rsidRPr="009C526E" w:rsidRDefault="005329FE" w:rsidP="005329FE">
            <w:pPr>
              <w:jc w:val="right"/>
              <w:rPr>
                <w:rFonts w:cs="Calibri"/>
                <w:color w:val="000000"/>
                <w:sz w:val="20"/>
                <w:szCs w:val="20"/>
              </w:rPr>
            </w:pPr>
            <w:r w:rsidRPr="009C526E">
              <w:rPr>
                <w:rFonts w:cs="Calibri"/>
                <w:color w:val="000000"/>
                <w:sz w:val="20"/>
                <w:szCs w:val="20"/>
              </w:rPr>
              <w:t>8.5</w:t>
            </w:r>
          </w:p>
        </w:tc>
        <w:tc>
          <w:tcPr>
            <w:tcW w:w="1131" w:type="pct"/>
            <w:tcBorders>
              <w:top w:val="nil"/>
              <w:left w:val="nil"/>
              <w:bottom w:val="nil"/>
              <w:right w:val="single" w:sz="8" w:space="0" w:color="C40012"/>
            </w:tcBorders>
            <w:shd w:val="clear" w:color="auto" w:fill="auto"/>
            <w:vAlign w:val="center"/>
            <w:hideMark/>
          </w:tcPr>
          <w:p w14:paraId="4429AFBC" w14:textId="77777777" w:rsidR="005329FE" w:rsidRPr="009C526E" w:rsidRDefault="005329FE" w:rsidP="005329FE">
            <w:pPr>
              <w:jc w:val="right"/>
              <w:rPr>
                <w:rFonts w:cs="Calibri"/>
                <w:color w:val="000000"/>
                <w:sz w:val="20"/>
                <w:szCs w:val="20"/>
              </w:rPr>
            </w:pPr>
            <w:r w:rsidRPr="009C526E">
              <w:rPr>
                <w:rFonts w:cs="Calibri"/>
                <w:color w:val="000000"/>
                <w:sz w:val="20"/>
                <w:szCs w:val="20"/>
              </w:rPr>
              <w:t>7.6</w:t>
            </w:r>
          </w:p>
        </w:tc>
      </w:tr>
      <w:tr w:rsidR="005329FE" w:rsidRPr="009C526E" w14:paraId="72972057" w14:textId="77777777" w:rsidTr="00AF74DC">
        <w:trPr>
          <w:cantSplit/>
          <w:trHeight w:val="283"/>
        </w:trPr>
        <w:tc>
          <w:tcPr>
            <w:tcW w:w="1423" w:type="pct"/>
            <w:tcBorders>
              <w:top w:val="nil"/>
              <w:left w:val="single" w:sz="8" w:space="0" w:color="C40012"/>
              <w:bottom w:val="nil"/>
              <w:right w:val="nil"/>
            </w:tcBorders>
            <w:shd w:val="clear" w:color="auto" w:fill="auto"/>
            <w:vAlign w:val="center"/>
            <w:hideMark/>
          </w:tcPr>
          <w:p w14:paraId="69C25CCB"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North West</w:t>
            </w:r>
          </w:p>
        </w:tc>
        <w:tc>
          <w:tcPr>
            <w:tcW w:w="731" w:type="pct"/>
            <w:tcBorders>
              <w:top w:val="nil"/>
              <w:left w:val="nil"/>
              <w:bottom w:val="nil"/>
              <w:right w:val="nil"/>
            </w:tcBorders>
            <w:vAlign w:val="bottom"/>
          </w:tcPr>
          <w:p w14:paraId="0B45AE25" w14:textId="74F68887" w:rsidR="005329FE" w:rsidRPr="009C526E" w:rsidRDefault="005329FE" w:rsidP="005329FE">
            <w:pPr>
              <w:jc w:val="right"/>
              <w:rPr>
                <w:rFonts w:cs="Calibri"/>
                <w:color w:val="000000"/>
                <w:sz w:val="20"/>
                <w:szCs w:val="20"/>
              </w:rPr>
            </w:pPr>
            <w:r w:rsidRPr="00AF74DC">
              <w:rPr>
                <w:rFonts w:cs="Calibri"/>
                <w:color w:val="000000"/>
                <w:sz w:val="20"/>
                <w:szCs w:val="20"/>
              </w:rPr>
              <w:t>9.0%</w:t>
            </w:r>
          </w:p>
        </w:tc>
        <w:tc>
          <w:tcPr>
            <w:tcW w:w="731" w:type="pct"/>
            <w:tcBorders>
              <w:top w:val="nil"/>
              <w:left w:val="nil"/>
              <w:bottom w:val="nil"/>
              <w:right w:val="nil"/>
            </w:tcBorders>
            <w:shd w:val="clear" w:color="auto" w:fill="auto"/>
            <w:vAlign w:val="center"/>
            <w:hideMark/>
          </w:tcPr>
          <w:p w14:paraId="606EC225" w14:textId="2E8DA6D3" w:rsidR="005329FE" w:rsidRPr="009C526E" w:rsidRDefault="005329FE" w:rsidP="005329FE">
            <w:pPr>
              <w:jc w:val="right"/>
              <w:rPr>
                <w:rFonts w:cs="Calibri"/>
                <w:color w:val="000000"/>
                <w:sz w:val="20"/>
                <w:szCs w:val="20"/>
              </w:rPr>
            </w:pPr>
            <w:r w:rsidRPr="009C526E">
              <w:rPr>
                <w:rFonts w:cs="Calibri"/>
                <w:color w:val="000000"/>
                <w:sz w:val="20"/>
                <w:szCs w:val="20"/>
              </w:rPr>
              <w:t>9,479</w:t>
            </w:r>
          </w:p>
        </w:tc>
        <w:tc>
          <w:tcPr>
            <w:tcW w:w="984" w:type="pct"/>
            <w:tcBorders>
              <w:top w:val="nil"/>
              <w:left w:val="nil"/>
              <w:bottom w:val="nil"/>
              <w:right w:val="nil"/>
            </w:tcBorders>
            <w:shd w:val="clear" w:color="auto" w:fill="auto"/>
            <w:vAlign w:val="center"/>
            <w:hideMark/>
          </w:tcPr>
          <w:p w14:paraId="141ADC96" w14:textId="77777777" w:rsidR="005329FE" w:rsidRPr="009C526E" w:rsidRDefault="005329FE" w:rsidP="005329FE">
            <w:pPr>
              <w:jc w:val="right"/>
              <w:rPr>
                <w:rFonts w:cs="Calibri"/>
                <w:color w:val="000000"/>
                <w:sz w:val="20"/>
                <w:szCs w:val="20"/>
              </w:rPr>
            </w:pPr>
            <w:r w:rsidRPr="009C526E">
              <w:rPr>
                <w:rFonts w:cs="Calibri"/>
                <w:color w:val="000000"/>
                <w:sz w:val="20"/>
                <w:szCs w:val="20"/>
              </w:rPr>
              <w:t>9.5</w:t>
            </w:r>
          </w:p>
        </w:tc>
        <w:tc>
          <w:tcPr>
            <w:tcW w:w="1131" w:type="pct"/>
            <w:tcBorders>
              <w:top w:val="nil"/>
              <w:left w:val="nil"/>
              <w:bottom w:val="nil"/>
              <w:right w:val="single" w:sz="8" w:space="0" w:color="C40012"/>
            </w:tcBorders>
            <w:shd w:val="clear" w:color="auto" w:fill="auto"/>
            <w:vAlign w:val="center"/>
            <w:hideMark/>
          </w:tcPr>
          <w:p w14:paraId="658D237B" w14:textId="77777777" w:rsidR="005329FE" w:rsidRPr="009C526E" w:rsidRDefault="005329FE" w:rsidP="005329FE">
            <w:pPr>
              <w:jc w:val="right"/>
              <w:rPr>
                <w:rFonts w:cs="Calibri"/>
                <w:color w:val="000000"/>
                <w:sz w:val="20"/>
                <w:szCs w:val="20"/>
              </w:rPr>
            </w:pPr>
            <w:r w:rsidRPr="009C526E">
              <w:rPr>
                <w:rFonts w:cs="Calibri"/>
                <w:color w:val="000000"/>
                <w:sz w:val="20"/>
                <w:szCs w:val="20"/>
              </w:rPr>
              <w:t>8.5</w:t>
            </w:r>
          </w:p>
        </w:tc>
      </w:tr>
      <w:tr w:rsidR="005329FE" w:rsidRPr="009C526E" w14:paraId="68D76514" w14:textId="77777777" w:rsidTr="00AF74DC">
        <w:trPr>
          <w:cantSplit/>
          <w:trHeight w:val="283"/>
        </w:trPr>
        <w:tc>
          <w:tcPr>
            <w:tcW w:w="1423" w:type="pct"/>
            <w:tcBorders>
              <w:top w:val="nil"/>
              <w:left w:val="single" w:sz="8" w:space="0" w:color="C40012"/>
              <w:bottom w:val="nil"/>
              <w:right w:val="nil"/>
            </w:tcBorders>
            <w:shd w:val="clear" w:color="auto" w:fill="auto"/>
            <w:vAlign w:val="center"/>
            <w:hideMark/>
          </w:tcPr>
          <w:p w14:paraId="2AC090B5"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West Midlands</w:t>
            </w:r>
          </w:p>
        </w:tc>
        <w:tc>
          <w:tcPr>
            <w:tcW w:w="731" w:type="pct"/>
            <w:tcBorders>
              <w:top w:val="nil"/>
              <w:left w:val="nil"/>
              <w:bottom w:val="nil"/>
              <w:right w:val="nil"/>
            </w:tcBorders>
            <w:vAlign w:val="bottom"/>
          </w:tcPr>
          <w:p w14:paraId="5BB6A2A4" w14:textId="315442B5" w:rsidR="005329FE" w:rsidRPr="009C526E" w:rsidRDefault="005329FE" w:rsidP="005329FE">
            <w:pPr>
              <w:jc w:val="right"/>
              <w:rPr>
                <w:rFonts w:cs="Calibri"/>
                <w:color w:val="000000"/>
                <w:sz w:val="20"/>
                <w:szCs w:val="20"/>
              </w:rPr>
            </w:pPr>
            <w:r w:rsidRPr="00AF74DC">
              <w:rPr>
                <w:rFonts w:cs="Calibri"/>
                <w:color w:val="000000"/>
                <w:sz w:val="20"/>
                <w:szCs w:val="20"/>
              </w:rPr>
              <w:t>7.9%</w:t>
            </w:r>
          </w:p>
        </w:tc>
        <w:tc>
          <w:tcPr>
            <w:tcW w:w="731" w:type="pct"/>
            <w:tcBorders>
              <w:top w:val="nil"/>
              <w:left w:val="nil"/>
              <w:bottom w:val="nil"/>
              <w:right w:val="nil"/>
            </w:tcBorders>
            <w:shd w:val="clear" w:color="auto" w:fill="auto"/>
            <w:vAlign w:val="center"/>
            <w:hideMark/>
          </w:tcPr>
          <w:p w14:paraId="387C4732" w14:textId="6394BA29" w:rsidR="005329FE" w:rsidRPr="009C526E" w:rsidRDefault="005329FE" w:rsidP="005329FE">
            <w:pPr>
              <w:jc w:val="right"/>
              <w:rPr>
                <w:rFonts w:cs="Calibri"/>
                <w:color w:val="000000"/>
                <w:sz w:val="20"/>
                <w:szCs w:val="20"/>
              </w:rPr>
            </w:pPr>
            <w:r w:rsidRPr="009C526E">
              <w:rPr>
                <w:rFonts w:cs="Calibri"/>
                <w:color w:val="000000"/>
                <w:sz w:val="20"/>
                <w:szCs w:val="20"/>
              </w:rPr>
              <w:t>9,968</w:t>
            </w:r>
          </w:p>
        </w:tc>
        <w:tc>
          <w:tcPr>
            <w:tcW w:w="984" w:type="pct"/>
            <w:tcBorders>
              <w:top w:val="nil"/>
              <w:left w:val="nil"/>
              <w:bottom w:val="nil"/>
              <w:right w:val="nil"/>
            </w:tcBorders>
            <w:shd w:val="clear" w:color="auto" w:fill="auto"/>
            <w:vAlign w:val="center"/>
            <w:hideMark/>
          </w:tcPr>
          <w:p w14:paraId="12C42208" w14:textId="77777777" w:rsidR="005329FE" w:rsidRPr="009C526E" w:rsidRDefault="005329FE" w:rsidP="005329FE">
            <w:pPr>
              <w:jc w:val="right"/>
              <w:rPr>
                <w:rFonts w:cs="Calibri"/>
                <w:color w:val="000000"/>
                <w:sz w:val="20"/>
                <w:szCs w:val="20"/>
              </w:rPr>
            </w:pPr>
            <w:r w:rsidRPr="009C526E">
              <w:rPr>
                <w:rFonts w:cs="Calibri"/>
                <w:color w:val="000000"/>
                <w:sz w:val="20"/>
                <w:szCs w:val="20"/>
              </w:rPr>
              <w:t>9.9</w:t>
            </w:r>
          </w:p>
        </w:tc>
        <w:tc>
          <w:tcPr>
            <w:tcW w:w="1131" w:type="pct"/>
            <w:tcBorders>
              <w:top w:val="nil"/>
              <w:left w:val="nil"/>
              <w:bottom w:val="nil"/>
              <w:right w:val="single" w:sz="8" w:space="0" w:color="C40012"/>
            </w:tcBorders>
            <w:shd w:val="clear" w:color="auto" w:fill="auto"/>
            <w:vAlign w:val="center"/>
            <w:hideMark/>
          </w:tcPr>
          <w:p w14:paraId="095A50B8" w14:textId="77777777" w:rsidR="005329FE" w:rsidRPr="009C526E" w:rsidRDefault="005329FE" w:rsidP="005329FE">
            <w:pPr>
              <w:jc w:val="right"/>
              <w:rPr>
                <w:rFonts w:cs="Calibri"/>
                <w:color w:val="000000"/>
                <w:sz w:val="20"/>
                <w:szCs w:val="20"/>
              </w:rPr>
            </w:pPr>
            <w:r w:rsidRPr="009C526E">
              <w:rPr>
                <w:rFonts w:cs="Calibri"/>
                <w:color w:val="000000"/>
                <w:sz w:val="20"/>
                <w:szCs w:val="20"/>
              </w:rPr>
              <w:t>9.0</w:t>
            </w:r>
          </w:p>
        </w:tc>
      </w:tr>
      <w:tr w:rsidR="005329FE" w:rsidRPr="009C526E" w14:paraId="448B735C" w14:textId="77777777" w:rsidTr="00AF74DC">
        <w:trPr>
          <w:cantSplit/>
          <w:trHeight w:val="283"/>
        </w:trPr>
        <w:tc>
          <w:tcPr>
            <w:tcW w:w="1423" w:type="pct"/>
            <w:tcBorders>
              <w:top w:val="nil"/>
              <w:left w:val="single" w:sz="8" w:space="0" w:color="C40012"/>
              <w:bottom w:val="nil"/>
              <w:right w:val="nil"/>
            </w:tcBorders>
            <w:shd w:val="clear" w:color="auto" w:fill="auto"/>
            <w:vAlign w:val="center"/>
            <w:hideMark/>
          </w:tcPr>
          <w:p w14:paraId="2A4D9FFC" w14:textId="5EEBE0AC"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 xml:space="preserve">Yorkshire and </w:t>
            </w:r>
            <w:r>
              <w:rPr>
                <w:rFonts w:ascii="Humnst777 BT" w:hAnsi="Humnst777 BT" w:cs="Calibri"/>
                <w:b/>
                <w:bCs/>
                <w:color w:val="000000"/>
                <w:sz w:val="20"/>
                <w:szCs w:val="20"/>
              </w:rPr>
              <w:t xml:space="preserve">the </w:t>
            </w:r>
            <w:r w:rsidRPr="009C526E">
              <w:rPr>
                <w:rFonts w:ascii="Humnst777 BT" w:hAnsi="Humnst777 BT" w:cs="Calibri"/>
                <w:b/>
                <w:bCs/>
                <w:color w:val="000000"/>
                <w:sz w:val="20"/>
                <w:szCs w:val="20"/>
              </w:rPr>
              <w:t>Humber</w:t>
            </w:r>
          </w:p>
        </w:tc>
        <w:tc>
          <w:tcPr>
            <w:tcW w:w="731" w:type="pct"/>
            <w:tcBorders>
              <w:top w:val="nil"/>
              <w:left w:val="nil"/>
              <w:bottom w:val="nil"/>
              <w:right w:val="nil"/>
            </w:tcBorders>
            <w:vAlign w:val="bottom"/>
          </w:tcPr>
          <w:p w14:paraId="3A452D5F" w14:textId="12142757" w:rsidR="005329FE" w:rsidRPr="009C526E" w:rsidRDefault="005329FE" w:rsidP="005329FE">
            <w:pPr>
              <w:jc w:val="right"/>
              <w:rPr>
                <w:rFonts w:cs="Calibri"/>
                <w:color w:val="000000"/>
                <w:sz w:val="20"/>
                <w:szCs w:val="20"/>
              </w:rPr>
            </w:pPr>
            <w:r w:rsidRPr="00AF74DC">
              <w:rPr>
                <w:rFonts w:cs="Calibri"/>
                <w:color w:val="000000"/>
                <w:sz w:val="20"/>
                <w:szCs w:val="20"/>
              </w:rPr>
              <w:t>7.1%</w:t>
            </w:r>
          </w:p>
        </w:tc>
        <w:tc>
          <w:tcPr>
            <w:tcW w:w="731" w:type="pct"/>
            <w:tcBorders>
              <w:top w:val="nil"/>
              <w:left w:val="nil"/>
              <w:bottom w:val="nil"/>
              <w:right w:val="nil"/>
            </w:tcBorders>
            <w:shd w:val="clear" w:color="auto" w:fill="auto"/>
            <w:vAlign w:val="center"/>
            <w:hideMark/>
          </w:tcPr>
          <w:p w14:paraId="7EFF59B7" w14:textId="7103CFBB" w:rsidR="005329FE" w:rsidRPr="009C526E" w:rsidRDefault="005329FE" w:rsidP="005329FE">
            <w:pPr>
              <w:jc w:val="right"/>
              <w:rPr>
                <w:rFonts w:cs="Calibri"/>
                <w:color w:val="000000"/>
                <w:sz w:val="20"/>
                <w:szCs w:val="20"/>
              </w:rPr>
            </w:pPr>
            <w:r w:rsidRPr="009C526E">
              <w:rPr>
                <w:rFonts w:cs="Calibri"/>
                <w:color w:val="000000"/>
                <w:sz w:val="20"/>
                <w:szCs w:val="20"/>
              </w:rPr>
              <w:t>7,113</w:t>
            </w:r>
          </w:p>
        </w:tc>
        <w:tc>
          <w:tcPr>
            <w:tcW w:w="984" w:type="pct"/>
            <w:tcBorders>
              <w:top w:val="nil"/>
              <w:left w:val="nil"/>
              <w:bottom w:val="nil"/>
              <w:right w:val="nil"/>
            </w:tcBorders>
            <w:shd w:val="clear" w:color="auto" w:fill="auto"/>
            <w:vAlign w:val="center"/>
            <w:hideMark/>
          </w:tcPr>
          <w:p w14:paraId="2521B326" w14:textId="77777777" w:rsidR="005329FE" w:rsidRPr="009C526E" w:rsidRDefault="005329FE" w:rsidP="005329FE">
            <w:pPr>
              <w:jc w:val="right"/>
              <w:rPr>
                <w:rFonts w:cs="Calibri"/>
                <w:color w:val="000000"/>
                <w:sz w:val="20"/>
                <w:szCs w:val="20"/>
              </w:rPr>
            </w:pPr>
            <w:r w:rsidRPr="009C526E">
              <w:rPr>
                <w:rFonts w:cs="Calibri"/>
                <w:color w:val="000000"/>
                <w:sz w:val="20"/>
                <w:szCs w:val="20"/>
              </w:rPr>
              <w:t>7.1</w:t>
            </w:r>
          </w:p>
        </w:tc>
        <w:tc>
          <w:tcPr>
            <w:tcW w:w="1131" w:type="pct"/>
            <w:tcBorders>
              <w:top w:val="nil"/>
              <w:left w:val="nil"/>
              <w:bottom w:val="nil"/>
              <w:right w:val="single" w:sz="8" w:space="0" w:color="C40012"/>
            </w:tcBorders>
            <w:shd w:val="clear" w:color="auto" w:fill="auto"/>
            <w:vAlign w:val="center"/>
            <w:hideMark/>
          </w:tcPr>
          <w:p w14:paraId="18E2816A" w14:textId="77777777" w:rsidR="005329FE" w:rsidRPr="009C526E" w:rsidRDefault="005329FE" w:rsidP="005329FE">
            <w:pPr>
              <w:jc w:val="right"/>
              <w:rPr>
                <w:rFonts w:cs="Calibri"/>
                <w:color w:val="000000"/>
                <w:sz w:val="20"/>
                <w:szCs w:val="20"/>
              </w:rPr>
            </w:pPr>
            <w:r w:rsidRPr="009C526E">
              <w:rPr>
                <w:rFonts w:cs="Calibri"/>
                <w:color w:val="000000"/>
                <w:sz w:val="20"/>
                <w:szCs w:val="20"/>
              </w:rPr>
              <w:t>6.4</w:t>
            </w:r>
          </w:p>
        </w:tc>
      </w:tr>
      <w:tr w:rsidR="005329FE" w:rsidRPr="009C526E" w14:paraId="4830A6B4" w14:textId="77777777" w:rsidTr="00AF74DC">
        <w:trPr>
          <w:cantSplit/>
          <w:trHeight w:val="283"/>
        </w:trPr>
        <w:tc>
          <w:tcPr>
            <w:tcW w:w="1423" w:type="pct"/>
            <w:tcBorders>
              <w:top w:val="nil"/>
              <w:left w:val="single" w:sz="8" w:space="0" w:color="C40012"/>
              <w:bottom w:val="nil"/>
              <w:right w:val="nil"/>
            </w:tcBorders>
            <w:shd w:val="clear" w:color="auto" w:fill="auto"/>
            <w:vAlign w:val="center"/>
            <w:hideMark/>
          </w:tcPr>
          <w:p w14:paraId="34D55E93"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East Midlands</w:t>
            </w:r>
          </w:p>
        </w:tc>
        <w:tc>
          <w:tcPr>
            <w:tcW w:w="731" w:type="pct"/>
            <w:tcBorders>
              <w:top w:val="nil"/>
              <w:left w:val="nil"/>
              <w:bottom w:val="nil"/>
              <w:right w:val="nil"/>
            </w:tcBorders>
            <w:vAlign w:val="bottom"/>
          </w:tcPr>
          <w:p w14:paraId="00A994C0" w14:textId="6FA82FB9" w:rsidR="005329FE" w:rsidRPr="009C526E" w:rsidRDefault="005329FE" w:rsidP="005329FE">
            <w:pPr>
              <w:jc w:val="right"/>
              <w:rPr>
                <w:rFonts w:cs="Calibri"/>
                <w:color w:val="000000"/>
                <w:sz w:val="20"/>
                <w:szCs w:val="20"/>
              </w:rPr>
            </w:pPr>
            <w:r w:rsidRPr="00AF74DC">
              <w:rPr>
                <w:rFonts w:cs="Calibri"/>
                <w:color w:val="000000"/>
                <w:sz w:val="20"/>
                <w:szCs w:val="20"/>
              </w:rPr>
              <w:t>6.5%</w:t>
            </w:r>
          </w:p>
        </w:tc>
        <w:tc>
          <w:tcPr>
            <w:tcW w:w="731" w:type="pct"/>
            <w:tcBorders>
              <w:top w:val="nil"/>
              <w:left w:val="nil"/>
              <w:bottom w:val="nil"/>
              <w:right w:val="nil"/>
            </w:tcBorders>
            <w:shd w:val="clear" w:color="auto" w:fill="auto"/>
            <w:vAlign w:val="center"/>
            <w:hideMark/>
          </w:tcPr>
          <w:p w14:paraId="7899F22F" w14:textId="20C3553C" w:rsidR="005329FE" w:rsidRPr="009C526E" w:rsidRDefault="005329FE" w:rsidP="005329FE">
            <w:pPr>
              <w:jc w:val="right"/>
              <w:rPr>
                <w:rFonts w:cs="Calibri"/>
                <w:color w:val="000000"/>
                <w:sz w:val="20"/>
                <w:szCs w:val="20"/>
              </w:rPr>
            </w:pPr>
            <w:r w:rsidRPr="009C526E">
              <w:rPr>
                <w:rFonts w:cs="Calibri"/>
                <w:color w:val="000000"/>
                <w:sz w:val="20"/>
                <w:szCs w:val="20"/>
              </w:rPr>
              <w:t>4,955</w:t>
            </w:r>
          </w:p>
        </w:tc>
        <w:tc>
          <w:tcPr>
            <w:tcW w:w="984" w:type="pct"/>
            <w:tcBorders>
              <w:top w:val="nil"/>
              <w:left w:val="nil"/>
              <w:bottom w:val="nil"/>
              <w:right w:val="nil"/>
            </w:tcBorders>
            <w:shd w:val="clear" w:color="auto" w:fill="auto"/>
            <w:vAlign w:val="center"/>
            <w:hideMark/>
          </w:tcPr>
          <w:p w14:paraId="44ECEB89" w14:textId="77777777" w:rsidR="005329FE" w:rsidRPr="009C526E" w:rsidRDefault="005329FE" w:rsidP="005329FE">
            <w:pPr>
              <w:jc w:val="right"/>
              <w:rPr>
                <w:rFonts w:cs="Calibri"/>
                <w:color w:val="000000"/>
                <w:sz w:val="20"/>
                <w:szCs w:val="20"/>
              </w:rPr>
            </w:pPr>
            <w:r w:rsidRPr="009C526E">
              <w:rPr>
                <w:rFonts w:cs="Calibri"/>
                <w:color w:val="000000"/>
                <w:sz w:val="20"/>
                <w:szCs w:val="20"/>
              </w:rPr>
              <w:t>4.9</w:t>
            </w:r>
          </w:p>
        </w:tc>
        <w:tc>
          <w:tcPr>
            <w:tcW w:w="1131" w:type="pct"/>
            <w:tcBorders>
              <w:top w:val="nil"/>
              <w:left w:val="nil"/>
              <w:bottom w:val="nil"/>
              <w:right w:val="single" w:sz="8" w:space="0" w:color="C40012"/>
            </w:tcBorders>
            <w:shd w:val="clear" w:color="auto" w:fill="auto"/>
            <w:vAlign w:val="center"/>
            <w:hideMark/>
          </w:tcPr>
          <w:p w14:paraId="5014C75A" w14:textId="77777777" w:rsidR="005329FE" w:rsidRPr="009C526E" w:rsidRDefault="005329FE" w:rsidP="005329FE">
            <w:pPr>
              <w:jc w:val="right"/>
              <w:rPr>
                <w:rFonts w:cs="Calibri"/>
                <w:color w:val="000000"/>
                <w:sz w:val="20"/>
                <w:szCs w:val="20"/>
              </w:rPr>
            </w:pPr>
            <w:r w:rsidRPr="009C526E">
              <w:rPr>
                <w:rFonts w:cs="Calibri"/>
                <w:color w:val="000000"/>
                <w:sz w:val="20"/>
                <w:szCs w:val="20"/>
              </w:rPr>
              <w:t>4.5</w:t>
            </w:r>
          </w:p>
        </w:tc>
      </w:tr>
      <w:tr w:rsidR="005329FE" w:rsidRPr="009C526E" w14:paraId="00B02563" w14:textId="77777777" w:rsidTr="00AF74DC">
        <w:trPr>
          <w:cantSplit/>
          <w:trHeight w:val="283"/>
        </w:trPr>
        <w:tc>
          <w:tcPr>
            <w:tcW w:w="1423" w:type="pct"/>
            <w:tcBorders>
              <w:top w:val="nil"/>
              <w:left w:val="single" w:sz="8" w:space="0" w:color="C40012"/>
              <w:bottom w:val="single" w:sz="8" w:space="0" w:color="auto"/>
              <w:right w:val="nil"/>
            </w:tcBorders>
            <w:shd w:val="clear" w:color="auto" w:fill="auto"/>
            <w:vAlign w:val="center"/>
            <w:hideMark/>
          </w:tcPr>
          <w:p w14:paraId="0D782D85"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North East</w:t>
            </w:r>
          </w:p>
        </w:tc>
        <w:tc>
          <w:tcPr>
            <w:tcW w:w="731" w:type="pct"/>
            <w:tcBorders>
              <w:top w:val="nil"/>
              <w:left w:val="nil"/>
              <w:bottom w:val="single" w:sz="8" w:space="0" w:color="auto"/>
              <w:right w:val="nil"/>
            </w:tcBorders>
            <w:vAlign w:val="bottom"/>
          </w:tcPr>
          <w:p w14:paraId="3CD3B534" w14:textId="68FE6268" w:rsidR="005329FE" w:rsidRPr="009C526E" w:rsidRDefault="005329FE" w:rsidP="005329FE">
            <w:pPr>
              <w:jc w:val="right"/>
              <w:rPr>
                <w:rFonts w:cs="Calibri"/>
                <w:color w:val="000000"/>
                <w:sz w:val="20"/>
                <w:szCs w:val="20"/>
              </w:rPr>
            </w:pPr>
            <w:r w:rsidRPr="00AF74DC">
              <w:rPr>
                <w:rFonts w:cs="Calibri"/>
                <w:color w:val="000000"/>
                <w:sz w:val="20"/>
                <w:szCs w:val="20"/>
              </w:rPr>
              <w:t>3.0%</w:t>
            </w:r>
          </w:p>
        </w:tc>
        <w:tc>
          <w:tcPr>
            <w:tcW w:w="731" w:type="pct"/>
            <w:tcBorders>
              <w:top w:val="nil"/>
              <w:left w:val="nil"/>
              <w:bottom w:val="single" w:sz="8" w:space="0" w:color="auto"/>
              <w:right w:val="nil"/>
            </w:tcBorders>
            <w:shd w:val="clear" w:color="auto" w:fill="auto"/>
            <w:vAlign w:val="center"/>
            <w:hideMark/>
          </w:tcPr>
          <w:p w14:paraId="567710E5" w14:textId="184C2928" w:rsidR="005329FE" w:rsidRPr="009C526E" w:rsidRDefault="005329FE" w:rsidP="005329FE">
            <w:pPr>
              <w:jc w:val="right"/>
              <w:rPr>
                <w:rFonts w:cs="Calibri"/>
                <w:color w:val="000000"/>
                <w:sz w:val="20"/>
                <w:szCs w:val="20"/>
              </w:rPr>
            </w:pPr>
            <w:r w:rsidRPr="009C526E">
              <w:rPr>
                <w:rFonts w:cs="Calibri"/>
                <w:color w:val="000000"/>
                <w:sz w:val="20"/>
                <w:szCs w:val="20"/>
              </w:rPr>
              <w:t>3,324</w:t>
            </w:r>
          </w:p>
        </w:tc>
        <w:tc>
          <w:tcPr>
            <w:tcW w:w="984" w:type="pct"/>
            <w:tcBorders>
              <w:top w:val="nil"/>
              <w:left w:val="nil"/>
              <w:bottom w:val="single" w:sz="8" w:space="0" w:color="auto"/>
              <w:right w:val="nil"/>
            </w:tcBorders>
            <w:shd w:val="clear" w:color="auto" w:fill="auto"/>
            <w:vAlign w:val="center"/>
            <w:hideMark/>
          </w:tcPr>
          <w:p w14:paraId="30D00945" w14:textId="77777777" w:rsidR="005329FE" w:rsidRPr="009C526E" w:rsidRDefault="005329FE" w:rsidP="005329FE">
            <w:pPr>
              <w:jc w:val="right"/>
              <w:rPr>
                <w:rFonts w:cs="Calibri"/>
                <w:color w:val="000000"/>
                <w:sz w:val="20"/>
                <w:szCs w:val="20"/>
              </w:rPr>
            </w:pPr>
            <w:r w:rsidRPr="009C526E">
              <w:rPr>
                <w:rFonts w:cs="Calibri"/>
                <w:color w:val="000000"/>
                <w:sz w:val="20"/>
                <w:szCs w:val="20"/>
              </w:rPr>
              <w:t>3.3</w:t>
            </w:r>
          </w:p>
        </w:tc>
        <w:tc>
          <w:tcPr>
            <w:tcW w:w="1131" w:type="pct"/>
            <w:tcBorders>
              <w:top w:val="nil"/>
              <w:left w:val="nil"/>
              <w:bottom w:val="single" w:sz="8" w:space="0" w:color="auto"/>
              <w:right w:val="single" w:sz="8" w:space="0" w:color="C40012"/>
            </w:tcBorders>
            <w:shd w:val="clear" w:color="auto" w:fill="auto"/>
            <w:vAlign w:val="center"/>
            <w:hideMark/>
          </w:tcPr>
          <w:p w14:paraId="38005B02" w14:textId="77777777" w:rsidR="005329FE" w:rsidRPr="009C526E" w:rsidRDefault="005329FE" w:rsidP="005329FE">
            <w:pPr>
              <w:jc w:val="right"/>
              <w:rPr>
                <w:rFonts w:cs="Calibri"/>
                <w:color w:val="000000"/>
                <w:sz w:val="20"/>
                <w:szCs w:val="20"/>
              </w:rPr>
            </w:pPr>
            <w:r w:rsidRPr="009C526E">
              <w:rPr>
                <w:rFonts w:cs="Calibri"/>
                <w:color w:val="000000"/>
                <w:sz w:val="20"/>
                <w:szCs w:val="20"/>
              </w:rPr>
              <w:t>3</w:t>
            </w:r>
          </w:p>
        </w:tc>
      </w:tr>
      <w:tr w:rsidR="005329FE" w:rsidRPr="009C526E" w14:paraId="26E10A4F" w14:textId="77777777" w:rsidTr="00AF74DC">
        <w:trPr>
          <w:cantSplit/>
          <w:trHeight w:val="283"/>
        </w:trPr>
        <w:tc>
          <w:tcPr>
            <w:tcW w:w="1423" w:type="pct"/>
            <w:tcBorders>
              <w:top w:val="single" w:sz="8" w:space="0" w:color="auto"/>
              <w:left w:val="single" w:sz="8" w:space="0" w:color="C40012"/>
              <w:bottom w:val="single" w:sz="8" w:space="0" w:color="auto"/>
              <w:right w:val="nil"/>
            </w:tcBorders>
            <w:shd w:val="clear" w:color="auto" w:fill="auto"/>
            <w:vAlign w:val="center"/>
            <w:hideMark/>
          </w:tcPr>
          <w:p w14:paraId="0096E949" w14:textId="77777777" w:rsidR="005329FE" w:rsidRPr="009C526E" w:rsidRDefault="005329FE" w:rsidP="00AF74DC">
            <w:pPr>
              <w:rPr>
                <w:rFonts w:ascii="Humnst777 BT" w:hAnsi="Humnst777 BT" w:cs="Calibri"/>
                <w:b/>
                <w:bCs/>
                <w:color w:val="000000"/>
                <w:sz w:val="20"/>
                <w:szCs w:val="20"/>
              </w:rPr>
            </w:pPr>
            <w:r w:rsidRPr="009C526E">
              <w:rPr>
                <w:rFonts w:ascii="Humnst777 BT" w:hAnsi="Humnst777 BT" w:cs="Calibri"/>
                <w:b/>
                <w:bCs/>
                <w:color w:val="000000"/>
                <w:sz w:val="20"/>
                <w:szCs w:val="20"/>
              </w:rPr>
              <w:t>England</w:t>
            </w:r>
          </w:p>
        </w:tc>
        <w:tc>
          <w:tcPr>
            <w:tcW w:w="731" w:type="pct"/>
            <w:tcBorders>
              <w:top w:val="nil"/>
              <w:left w:val="nil"/>
              <w:bottom w:val="single" w:sz="8" w:space="0" w:color="auto"/>
              <w:right w:val="nil"/>
            </w:tcBorders>
            <w:vAlign w:val="bottom"/>
          </w:tcPr>
          <w:p w14:paraId="6B476F09" w14:textId="0CCADF1D" w:rsidR="005329FE" w:rsidRPr="009C526E" w:rsidRDefault="005329FE" w:rsidP="005329FE">
            <w:pPr>
              <w:jc w:val="right"/>
              <w:rPr>
                <w:rFonts w:cs="Calibri"/>
                <w:color w:val="000000"/>
                <w:sz w:val="20"/>
                <w:szCs w:val="20"/>
              </w:rPr>
            </w:pPr>
            <w:r w:rsidRPr="00AF74DC">
              <w:rPr>
                <w:rFonts w:cs="Calibri"/>
                <w:color w:val="000000"/>
                <w:sz w:val="20"/>
                <w:szCs w:val="20"/>
              </w:rPr>
              <w:t>87.1%</w:t>
            </w:r>
          </w:p>
        </w:tc>
        <w:tc>
          <w:tcPr>
            <w:tcW w:w="731" w:type="pct"/>
            <w:tcBorders>
              <w:top w:val="nil"/>
              <w:left w:val="nil"/>
              <w:bottom w:val="single" w:sz="8" w:space="0" w:color="auto"/>
              <w:right w:val="nil"/>
            </w:tcBorders>
            <w:shd w:val="clear" w:color="auto" w:fill="auto"/>
            <w:vAlign w:val="center"/>
            <w:hideMark/>
          </w:tcPr>
          <w:p w14:paraId="38805057" w14:textId="1411005B" w:rsidR="005329FE" w:rsidRPr="009C526E" w:rsidRDefault="005329FE" w:rsidP="005329FE">
            <w:pPr>
              <w:jc w:val="right"/>
              <w:rPr>
                <w:rFonts w:cs="Calibri"/>
                <w:color w:val="000000"/>
                <w:sz w:val="20"/>
                <w:szCs w:val="20"/>
              </w:rPr>
            </w:pPr>
            <w:r w:rsidRPr="009C526E">
              <w:rPr>
                <w:rFonts w:cs="Calibri"/>
                <w:color w:val="000000"/>
                <w:sz w:val="20"/>
                <w:szCs w:val="20"/>
              </w:rPr>
              <w:t>89,790</w:t>
            </w:r>
          </w:p>
        </w:tc>
        <w:tc>
          <w:tcPr>
            <w:tcW w:w="984" w:type="pct"/>
            <w:tcBorders>
              <w:top w:val="nil"/>
              <w:left w:val="nil"/>
              <w:bottom w:val="single" w:sz="8" w:space="0" w:color="auto"/>
              <w:right w:val="nil"/>
            </w:tcBorders>
            <w:shd w:val="clear" w:color="auto" w:fill="auto"/>
            <w:vAlign w:val="center"/>
            <w:hideMark/>
          </w:tcPr>
          <w:p w14:paraId="2D96EF23" w14:textId="77777777" w:rsidR="005329FE" w:rsidRPr="009C526E" w:rsidRDefault="005329FE" w:rsidP="005329FE">
            <w:pPr>
              <w:jc w:val="right"/>
              <w:rPr>
                <w:rFonts w:cs="Calibri"/>
                <w:color w:val="000000"/>
                <w:sz w:val="20"/>
                <w:szCs w:val="20"/>
              </w:rPr>
            </w:pPr>
            <w:r w:rsidRPr="009C526E">
              <w:rPr>
                <w:rFonts w:cs="Calibri"/>
                <w:color w:val="000000"/>
                <w:sz w:val="20"/>
                <w:szCs w:val="20"/>
              </w:rPr>
              <w:t>89.5</w:t>
            </w:r>
          </w:p>
        </w:tc>
        <w:tc>
          <w:tcPr>
            <w:tcW w:w="1131" w:type="pct"/>
            <w:tcBorders>
              <w:top w:val="nil"/>
              <w:left w:val="nil"/>
              <w:bottom w:val="single" w:sz="8" w:space="0" w:color="auto"/>
              <w:right w:val="single" w:sz="8" w:space="0" w:color="C40012"/>
            </w:tcBorders>
            <w:shd w:val="clear" w:color="auto" w:fill="auto"/>
            <w:vAlign w:val="center"/>
            <w:hideMark/>
          </w:tcPr>
          <w:p w14:paraId="1260CE8F" w14:textId="77777777" w:rsidR="005329FE" w:rsidRPr="009C526E" w:rsidRDefault="005329FE" w:rsidP="005329FE">
            <w:pPr>
              <w:jc w:val="right"/>
              <w:rPr>
                <w:rFonts w:cs="Calibri"/>
                <w:color w:val="000000"/>
                <w:sz w:val="20"/>
                <w:szCs w:val="20"/>
              </w:rPr>
            </w:pPr>
            <w:r w:rsidRPr="009C526E">
              <w:rPr>
                <w:rFonts w:cs="Calibri"/>
                <w:color w:val="000000"/>
                <w:sz w:val="20"/>
                <w:szCs w:val="20"/>
              </w:rPr>
              <w:t>80.9</w:t>
            </w:r>
          </w:p>
        </w:tc>
      </w:tr>
      <w:tr w:rsidR="005329FE" w:rsidRPr="009C526E" w14:paraId="2F14ED57" w14:textId="77777777" w:rsidTr="00AF74DC">
        <w:trPr>
          <w:cantSplit/>
          <w:trHeight w:val="283"/>
        </w:trPr>
        <w:tc>
          <w:tcPr>
            <w:tcW w:w="1423" w:type="pct"/>
            <w:tcBorders>
              <w:top w:val="single" w:sz="8" w:space="0" w:color="auto"/>
              <w:left w:val="single" w:sz="8" w:space="0" w:color="C40012"/>
              <w:bottom w:val="nil"/>
              <w:right w:val="nil"/>
            </w:tcBorders>
            <w:shd w:val="clear" w:color="auto" w:fill="auto"/>
            <w:vAlign w:val="center"/>
            <w:hideMark/>
          </w:tcPr>
          <w:p w14:paraId="225541AE"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Scotland</w:t>
            </w:r>
          </w:p>
        </w:tc>
        <w:tc>
          <w:tcPr>
            <w:tcW w:w="731" w:type="pct"/>
            <w:tcBorders>
              <w:top w:val="nil"/>
              <w:left w:val="nil"/>
              <w:bottom w:val="nil"/>
              <w:right w:val="nil"/>
            </w:tcBorders>
            <w:vAlign w:val="bottom"/>
          </w:tcPr>
          <w:p w14:paraId="3CBC9719" w14:textId="2AF5AEA1" w:rsidR="005329FE" w:rsidRPr="009C526E" w:rsidRDefault="005329FE" w:rsidP="005329FE">
            <w:pPr>
              <w:jc w:val="right"/>
              <w:rPr>
                <w:rFonts w:cs="Calibri"/>
                <w:color w:val="000000"/>
                <w:sz w:val="20"/>
                <w:szCs w:val="20"/>
              </w:rPr>
            </w:pPr>
            <w:r w:rsidRPr="00AF74DC">
              <w:rPr>
                <w:rFonts w:cs="Calibri"/>
                <w:color w:val="000000"/>
                <w:sz w:val="20"/>
                <w:szCs w:val="20"/>
              </w:rPr>
              <w:t>6.5%</w:t>
            </w:r>
          </w:p>
        </w:tc>
        <w:tc>
          <w:tcPr>
            <w:tcW w:w="731" w:type="pct"/>
            <w:tcBorders>
              <w:top w:val="nil"/>
              <w:left w:val="nil"/>
              <w:bottom w:val="nil"/>
              <w:right w:val="nil"/>
            </w:tcBorders>
            <w:shd w:val="clear" w:color="auto" w:fill="auto"/>
            <w:vAlign w:val="center"/>
            <w:hideMark/>
          </w:tcPr>
          <w:p w14:paraId="3BC586E7" w14:textId="1F954674" w:rsidR="005329FE" w:rsidRPr="009C526E" w:rsidRDefault="005329FE" w:rsidP="005329FE">
            <w:pPr>
              <w:jc w:val="right"/>
              <w:rPr>
                <w:rFonts w:cs="Calibri"/>
                <w:color w:val="000000"/>
                <w:sz w:val="20"/>
                <w:szCs w:val="20"/>
              </w:rPr>
            </w:pPr>
            <w:r w:rsidRPr="009C526E">
              <w:rPr>
                <w:rFonts w:cs="Calibri"/>
                <w:color w:val="000000"/>
                <w:sz w:val="20"/>
                <w:szCs w:val="20"/>
              </w:rPr>
              <w:t>5,747</w:t>
            </w:r>
          </w:p>
        </w:tc>
        <w:tc>
          <w:tcPr>
            <w:tcW w:w="984" w:type="pct"/>
            <w:tcBorders>
              <w:top w:val="nil"/>
              <w:left w:val="nil"/>
              <w:bottom w:val="nil"/>
              <w:right w:val="nil"/>
            </w:tcBorders>
            <w:shd w:val="clear" w:color="auto" w:fill="auto"/>
            <w:vAlign w:val="center"/>
            <w:hideMark/>
          </w:tcPr>
          <w:p w14:paraId="23D52BD4" w14:textId="77777777" w:rsidR="005329FE" w:rsidRPr="009C526E" w:rsidRDefault="005329FE" w:rsidP="005329FE">
            <w:pPr>
              <w:jc w:val="right"/>
              <w:rPr>
                <w:rFonts w:cs="Calibri"/>
                <w:color w:val="000000"/>
                <w:sz w:val="20"/>
                <w:szCs w:val="20"/>
              </w:rPr>
            </w:pPr>
            <w:r w:rsidRPr="009C526E">
              <w:rPr>
                <w:rFonts w:cs="Calibri"/>
                <w:color w:val="000000"/>
                <w:sz w:val="20"/>
                <w:szCs w:val="20"/>
              </w:rPr>
              <w:t>5.7</w:t>
            </w:r>
          </w:p>
        </w:tc>
        <w:tc>
          <w:tcPr>
            <w:tcW w:w="1131" w:type="pct"/>
            <w:tcBorders>
              <w:top w:val="nil"/>
              <w:left w:val="nil"/>
              <w:bottom w:val="nil"/>
              <w:right w:val="single" w:sz="8" w:space="0" w:color="C40012"/>
            </w:tcBorders>
            <w:shd w:val="clear" w:color="auto" w:fill="auto"/>
            <w:vAlign w:val="center"/>
            <w:hideMark/>
          </w:tcPr>
          <w:p w14:paraId="43FF2AAC" w14:textId="77777777" w:rsidR="005329FE" w:rsidRPr="009C526E" w:rsidRDefault="005329FE" w:rsidP="005329FE">
            <w:pPr>
              <w:jc w:val="right"/>
              <w:rPr>
                <w:rFonts w:cs="Calibri"/>
                <w:color w:val="000000"/>
                <w:sz w:val="20"/>
                <w:szCs w:val="20"/>
              </w:rPr>
            </w:pPr>
            <w:r w:rsidRPr="009C526E">
              <w:rPr>
                <w:rFonts w:cs="Calibri"/>
                <w:color w:val="000000"/>
                <w:sz w:val="20"/>
                <w:szCs w:val="20"/>
              </w:rPr>
              <w:t>5.2</w:t>
            </w:r>
          </w:p>
        </w:tc>
      </w:tr>
      <w:tr w:rsidR="005329FE" w:rsidRPr="009C526E" w14:paraId="4408DB17" w14:textId="77777777" w:rsidTr="00AF74DC">
        <w:trPr>
          <w:cantSplit/>
          <w:trHeight w:val="283"/>
        </w:trPr>
        <w:tc>
          <w:tcPr>
            <w:tcW w:w="1423" w:type="pct"/>
            <w:tcBorders>
              <w:top w:val="nil"/>
              <w:left w:val="single" w:sz="8" w:space="0" w:color="C40012"/>
              <w:bottom w:val="nil"/>
              <w:right w:val="nil"/>
            </w:tcBorders>
            <w:shd w:val="clear" w:color="auto" w:fill="auto"/>
            <w:vAlign w:val="center"/>
            <w:hideMark/>
          </w:tcPr>
          <w:p w14:paraId="50E1E8D0"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Wales</w:t>
            </w:r>
          </w:p>
        </w:tc>
        <w:tc>
          <w:tcPr>
            <w:tcW w:w="731" w:type="pct"/>
            <w:tcBorders>
              <w:top w:val="nil"/>
              <w:left w:val="nil"/>
              <w:bottom w:val="nil"/>
              <w:right w:val="nil"/>
            </w:tcBorders>
            <w:vAlign w:val="bottom"/>
          </w:tcPr>
          <w:p w14:paraId="5D4B10A1" w14:textId="5EAA4A1B" w:rsidR="005329FE" w:rsidRPr="009C526E" w:rsidRDefault="005329FE" w:rsidP="005329FE">
            <w:pPr>
              <w:jc w:val="right"/>
              <w:rPr>
                <w:rFonts w:cs="Calibri"/>
                <w:color w:val="000000"/>
                <w:sz w:val="20"/>
                <w:szCs w:val="20"/>
              </w:rPr>
            </w:pPr>
            <w:r w:rsidRPr="00AF74DC">
              <w:rPr>
                <w:rFonts w:cs="Calibri"/>
                <w:color w:val="000000"/>
                <w:sz w:val="20"/>
                <w:szCs w:val="20"/>
              </w:rPr>
              <w:t>4.0%</w:t>
            </w:r>
          </w:p>
        </w:tc>
        <w:tc>
          <w:tcPr>
            <w:tcW w:w="731" w:type="pct"/>
            <w:tcBorders>
              <w:top w:val="nil"/>
              <w:left w:val="nil"/>
              <w:bottom w:val="nil"/>
              <w:right w:val="nil"/>
            </w:tcBorders>
            <w:shd w:val="clear" w:color="auto" w:fill="auto"/>
            <w:vAlign w:val="center"/>
            <w:hideMark/>
          </w:tcPr>
          <w:p w14:paraId="05AD54F9" w14:textId="096AB269" w:rsidR="005329FE" w:rsidRPr="009C526E" w:rsidRDefault="005329FE" w:rsidP="005329FE">
            <w:pPr>
              <w:jc w:val="right"/>
              <w:rPr>
                <w:rFonts w:cs="Calibri"/>
                <w:color w:val="000000"/>
                <w:sz w:val="20"/>
                <w:szCs w:val="20"/>
              </w:rPr>
            </w:pPr>
            <w:r w:rsidRPr="009C526E">
              <w:rPr>
                <w:rFonts w:cs="Calibri"/>
                <w:color w:val="000000"/>
                <w:sz w:val="20"/>
                <w:szCs w:val="20"/>
              </w:rPr>
              <w:t>3,497</w:t>
            </w:r>
          </w:p>
        </w:tc>
        <w:tc>
          <w:tcPr>
            <w:tcW w:w="984" w:type="pct"/>
            <w:tcBorders>
              <w:top w:val="nil"/>
              <w:left w:val="nil"/>
              <w:bottom w:val="nil"/>
              <w:right w:val="nil"/>
            </w:tcBorders>
            <w:shd w:val="clear" w:color="auto" w:fill="auto"/>
            <w:vAlign w:val="center"/>
            <w:hideMark/>
          </w:tcPr>
          <w:p w14:paraId="65A18D07" w14:textId="77777777" w:rsidR="005329FE" w:rsidRPr="009C526E" w:rsidRDefault="005329FE" w:rsidP="005329FE">
            <w:pPr>
              <w:jc w:val="right"/>
              <w:rPr>
                <w:rFonts w:cs="Calibri"/>
                <w:color w:val="000000"/>
                <w:sz w:val="20"/>
                <w:szCs w:val="20"/>
              </w:rPr>
            </w:pPr>
            <w:r w:rsidRPr="009C526E">
              <w:rPr>
                <w:rFonts w:cs="Calibri"/>
                <w:color w:val="000000"/>
                <w:sz w:val="20"/>
                <w:szCs w:val="20"/>
              </w:rPr>
              <w:t>3.5</w:t>
            </w:r>
          </w:p>
        </w:tc>
        <w:tc>
          <w:tcPr>
            <w:tcW w:w="1131" w:type="pct"/>
            <w:tcBorders>
              <w:top w:val="nil"/>
              <w:left w:val="nil"/>
              <w:bottom w:val="nil"/>
              <w:right w:val="single" w:sz="8" w:space="0" w:color="C40012"/>
            </w:tcBorders>
            <w:shd w:val="clear" w:color="auto" w:fill="auto"/>
            <w:vAlign w:val="center"/>
            <w:hideMark/>
          </w:tcPr>
          <w:p w14:paraId="01AC24B5" w14:textId="77777777" w:rsidR="005329FE" w:rsidRPr="009C526E" w:rsidRDefault="005329FE" w:rsidP="005329FE">
            <w:pPr>
              <w:jc w:val="right"/>
              <w:rPr>
                <w:rFonts w:cs="Calibri"/>
                <w:color w:val="000000"/>
                <w:sz w:val="20"/>
                <w:szCs w:val="20"/>
              </w:rPr>
            </w:pPr>
            <w:r w:rsidRPr="009C526E">
              <w:rPr>
                <w:rFonts w:cs="Calibri"/>
                <w:color w:val="000000"/>
                <w:sz w:val="20"/>
                <w:szCs w:val="20"/>
              </w:rPr>
              <w:t>3.2</w:t>
            </w:r>
          </w:p>
        </w:tc>
      </w:tr>
      <w:tr w:rsidR="005329FE" w:rsidRPr="009C526E" w14:paraId="2C513208" w14:textId="77777777" w:rsidTr="00AF74DC">
        <w:trPr>
          <w:cantSplit/>
          <w:trHeight w:val="283"/>
        </w:trPr>
        <w:tc>
          <w:tcPr>
            <w:tcW w:w="1423" w:type="pct"/>
            <w:tcBorders>
              <w:top w:val="nil"/>
              <w:left w:val="single" w:sz="8" w:space="0" w:color="C40012"/>
              <w:bottom w:val="single" w:sz="8" w:space="0" w:color="auto"/>
              <w:right w:val="nil"/>
            </w:tcBorders>
            <w:shd w:val="clear" w:color="auto" w:fill="auto"/>
            <w:vAlign w:val="center"/>
            <w:hideMark/>
          </w:tcPr>
          <w:p w14:paraId="22C9E910" w14:textId="77777777" w:rsidR="005329FE" w:rsidRPr="009C526E" w:rsidRDefault="005329FE" w:rsidP="005329FE">
            <w:pPr>
              <w:rPr>
                <w:rFonts w:ascii="Humnst777 BT" w:hAnsi="Humnst777 BT" w:cs="Calibri"/>
                <w:b/>
                <w:bCs/>
                <w:color w:val="000000"/>
                <w:sz w:val="20"/>
                <w:szCs w:val="20"/>
              </w:rPr>
            </w:pPr>
            <w:r w:rsidRPr="009C526E">
              <w:rPr>
                <w:rFonts w:ascii="Humnst777 BT" w:hAnsi="Humnst777 BT" w:cs="Calibri"/>
                <w:b/>
                <w:bCs/>
                <w:color w:val="000000"/>
                <w:sz w:val="20"/>
                <w:szCs w:val="20"/>
              </w:rPr>
              <w:t>Northern Ireland</w:t>
            </w:r>
          </w:p>
        </w:tc>
        <w:tc>
          <w:tcPr>
            <w:tcW w:w="731" w:type="pct"/>
            <w:tcBorders>
              <w:top w:val="nil"/>
              <w:left w:val="nil"/>
              <w:bottom w:val="single" w:sz="8" w:space="0" w:color="auto"/>
              <w:right w:val="nil"/>
            </w:tcBorders>
            <w:vAlign w:val="bottom"/>
          </w:tcPr>
          <w:p w14:paraId="51EE3E3A" w14:textId="3737DEF9" w:rsidR="005329FE" w:rsidRPr="009C526E" w:rsidRDefault="005329FE" w:rsidP="005329FE">
            <w:pPr>
              <w:jc w:val="right"/>
              <w:rPr>
                <w:rFonts w:cs="Calibri"/>
                <w:color w:val="000000"/>
                <w:sz w:val="20"/>
                <w:szCs w:val="20"/>
              </w:rPr>
            </w:pPr>
            <w:r w:rsidRPr="00AF74DC">
              <w:rPr>
                <w:rFonts w:cs="Calibri"/>
                <w:color w:val="000000"/>
                <w:sz w:val="20"/>
                <w:szCs w:val="20"/>
              </w:rPr>
              <w:t>2.4%</w:t>
            </w:r>
          </w:p>
        </w:tc>
        <w:tc>
          <w:tcPr>
            <w:tcW w:w="731" w:type="pct"/>
            <w:tcBorders>
              <w:top w:val="nil"/>
              <w:left w:val="nil"/>
              <w:bottom w:val="single" w:sz="8" w:space="0" w:color="auto"/>
              <w:right w:val="nil"/>
            </w:tcBorders>
            <w:shd w:val="clear" w:color="auto" w:fill="auto"/>
            <w:vAlign w:val="center"/>
            <w:hideMark/>
          </w:tcPr>
          <w:p w14:paraId="36FEBDEA" w14:textId="5AF05B5F" w:rsidR="005329FE" w:rsidRPr="009C526E" w:rsidRDefault="005329FE" w:rsidP="005329FE">
            <w:pPr>
              <w:jc w:val="right"/>
              <w:rPr>
                <w:rFonts w:cs="Calibri"/>
                <w:color w:val="000000"/>
                <w:sz w:val="20"/>
                <w:szCs w:val="20"/>
              </w:rPr>
            </w:pPr>
            <w:r w:rsidRPr="009C526E">
              <w:rPr>
                <w:rFonts w:cs="Calibri"/>
                <w:color w:val="000000"/>
                <w:sz w:val="20"/>
                <w:szCs w:val="20"/>
              </w:rPr>
              <w:t>1,264</w:t>
            </w:r>
          </w:p>
        </w:tc>
        <w:tc>
          <w:tcPr>
            <w:tcW w:w="984" w:type="pct"/>
            <w:tcBorders>
              <w:top w:val="nil"/>
              <w:left w:val="nil"/>
              <w:bottom w:val="single" w:sz="8" w:space="0" w:color="auto"/>
              <w:right w:val="nil"/>
            </w:tcBorders>
            <w:shd w:val="clear" w:color="auto" w:fill="auto"/>
            <w:vAlign w:val="center"/>
            <w:hideMark/>
          </w:tcPr>
          <w:p w14:paraId="65C88F33" w14:textId="77777777" w:rsidR="005329FE" w:rsidRPr="009C526E" w:rsidRDefault="005329FE" w:rsidP="005329FE">
            <w:pPr>
              <w:jc w:val="right"/>
              <w:rPr>
                <w:rFonts w:cs="Calibri"/>
                <w:color w:val="000000"/>
                <w:sz w:val="20"/>
                <w:szCs w:val="20"/>
              </w:rPr>
            </w:pPr>
            <w:r w:rsidRPr="009C526E">
              <w:rPr>
                <w:rFonts w:cs="Calibri"/>
                <w:color w:val="000000"/>
                <w:sz w:val="20"/>
                <w:szCs w:val="20"/>
              </w:rPr>
              <w:t>1.3</w:t>
            </w:r>
          </w:p>
        </w:tc>
        <w:tc>
          <w:tcPr>
            <w:tcW w:w="1131" w:type="pct"/>
            <w:tcBorders>
              <w:top w:val="nil"/>
              <w:left w:val="nil"/>
              <w:bottom w:val="single" w:sz="8" w:space="0" w:color="auto"/>
              <w:right w:val="single" w:sz="8" w:space="0" w:color="C40012"/>
            </w:tcBorders>
            <w:shd w:val="clear" w:color="auto" w:fill="auto"/>
            <w:vAlign w:val="center"/>
            <w:hideMark/>
          </w:tcPr>
          <w:p w14:paraId="5A2A8585" w14:textId="77777777" w:rsidR="005329FE" w:rsidRPr="009C526E" w:rsidRDefault="005329FE" w:rsidP="005329FE">
            <w:pPr>
              <w:jc w:val="right"/>
              <w:rPr>
                <w:rFonts w:cs="Calibri"/>
                <w:color w:val="000000"/>
                <w:sz w:val="20"/>
                <w:szCs w:val="20"/>
              </w:rPr>
            </w:pPr>
            <w:r w:rsidRPr="009C526E">
              <w:rPr>
                <w:rFonts w:cs="Calibri"/>
                <w:color w:val="000000"/>
                <w:sz w:val="20"/>
                <w:szCs w:val="20"/>
              </w:rPr>
              <w:t>1.1</w:t>
            </w:r>
          </w:p>
        </w:tc>
      </w:tr>
      <w:tr w:rsidR="005329FE" w:rsidRPr="009C526E" w14:paraId="18B8640D" w14:textId="77777777" w:rsidTr="00AF74DC">
        <w:trPr>
          <w:cantSplit/>
          <w:trHeight w:val="283"/>
        </w:trPr>
        <w:tc>
          <w:tcPr>
            <w:tcW w:w="1423" w:type="pct"/>
            <w:tcBorders>
              <w:top w:val="single" w:sz="8" w:space="0" w:color="auto"/>
              <w:left w:val="single" w:sz="8" w:space="0" w:color="C40012"/>
              <w:bottom w:val="single" w:sz="8" w:space="0" w:color="auto"/>
              <w:right w:val="nil"/>
            </w:tcBorders>
            <w:shd w:val="clear" w:color="auto" w:fill="auto"/>
            <w:vAlign w:val="center"/>
            <w:hideMark/>
          </w:tcPr>
          <w:p w14:paraId="41F93A44" w14:textId="77777777" w:rsidR="005329FE" w:rsidRPr="009C526E" w:rsidRDefault="005329FE" w:rsidP="00AF74DC">
            <w:pPr>
              <w:rPr>
                <w:rFonts w:ascii="Humnst777 BT" w:hAnsi="Humnst777 BT" w:cs="Calibri"/>
                <w:b/>
                <w:bCs/>
                <w:color w:val="000000"/>
                <w:sz w:val="20"/>
                <w:szCs w:val="20"/>
              </w:rPr>
            </w:pPr>
            <w:r w:rsidRPr="009C526E">
              <w:rPr>
                <w:rFonts w:ascii="Humnst777 BT" w:hAnsi="Humnst777 BT" w:cs="Calibri"/>
                <w:b/>
                <w:bCs/>
                <w:color w:val="000000"/>
                <w:sz w:val="20"/>
                <w:szCs w:val="20"/>
              </w:rPr>
              <w:t>Scotland, Wales and Northern Ireland</w:t>
            </w:r>
          </w:p>
        </w:tc>
        <w:tc>
          <w:tcPr>
            <w:tcW w:w="731" w:type="pct"/>
            <w:tcBorders>
              <w:top w:val="nil"/>
              <w:left w:val="nil"/>
              <w:bottom w:val="single" w:sz="8" w:space="0" w:color="auto"/>
              <w:right w:val="nil"/>
            </w:tcBorders>
            <w:vAlign w:val="bottom"/>
          </w:tcPr>
          <w:p w14:paraId="359F51AF" w14:textId="2AB280E3" w:rsidR="005329FE" w:rsidRPr="009C526E" w:rsidRDefault="005329FE" w:rsidP="005329FE">
            <w:pPr>
              <w:jc w:val="right"/>
              <w:rPr>
                <w:rFonts w:cs="Calibri"/>
                <w:color w:val="000000"/>
                <w:sz w:val="20"/>
                <w:szCs w:val="20"/>
              </w:rPr>
            </w:pPr>
            <w:r w:rsidRPr="00AF74DC">
              <w:rPr>
                <w:rFonts w:cs="Calibri"/>
                <w:color w:val="000000"/>
                <w:sz w:val="20"/>
                <w:szCs w:val="20"/>
              </w:rPr>
              <w:t>12.9%</w:t>
            </w:r>
          </w:p>
        </w:tc>
        <w:tc>
          <w:tcPr>
            <w:tcW w:w="731" w:type="pct"/>
            <w:tcBorders>
              <w:top w:val="nil"/>
              <w:left w:val="nil"/>
              <w:bottom w:val="single" w:sz="8" w:space="0" w:color="auto"/>
              <w:right w:val="nil"/>
            </w:tcBorders>
            <w:shd w:val="clear" w:color="auto" w:fill="auto"/>
            <w:vAlign w:val="center"/>
            <w:hideMark/>
          </w:tcPr>
          <w:p w14:paraId="113D28FC" w14:textId="452849AD" w:rsidR="005329FE" w:rsidRPr="009C526E" w:rsidRDefault="005329FE" w:rsidP="005329FE">
            <w:pPr>
              <w:jc w:val="right"/>
              <w:rPr>
                <w:rFonts w:cs="Calibri"/>
                <w:color w:val="000000"/>
                <w:sz w:val="20"/>
                <w:szCs w:val="20"/>
              </w:rPr>
            </w:pPr>
            <w:r w:rsidRPr="009C526E">
              <w:rPr>
                <w:rFonts w:cs="Calibri"/>
                <w:color w:val="000000"/>
                <w:sz w:val="20"/>
                <w:szCs w:val="20"/>
              </w:rPr>
              <w:t>10,508</w:t>
            </w:r>
          </w:p>
        </w:tc>
        <w:tc>
          <w:tcPr>
            <w:tcW w:w="984" w:type="pct"/>
            <w:tcBorders>
              <w:top w:val="nil"/>
              <w:left w:val="nil"/>
              <w:bottom w:val="single" w:sz="8" w:space="0" w:color="auto"/>
              <w:right w:val="nil"/>
            </w:tcBorders>
            <w:shd w:val="clear" w:color="auto" w:fill="auto"/>
            <w:vAlign w:val="center"/>
            <w:hideMark/>
          </w:tcPr>
          <w:p w14:paraId="7259FCB2" w14:textId="77777777" w:rsidR="005329FE" w:rsidRPr="009C526E" w:rsidRDefault="005329FE" w:rsidP="005329FE">
            <w:pPr>
              <w:jc w:val="right"/>
              <w:rPr>
                <w:rFonts w:cs="Calibri"/>
                <w:color w:val="000000"/>
                <w:sz w:val="20"/>
                <w:szCs w:val="20"/>
              </w:rPr>
            </w:pPr>
            <w:r w:rsidRPr="009C526E">
              <w:rPr>
                <w:rFonts w:cs="Calibri"/>
                <w:color w:val="000000"/>
                <w:sz w:val="20"/>
                <w:szCs w:val="20"/>
              </w:rPr>
              <w:t>10.5</w:t>
            </w:r>
          </w:p>
        </w:tc>
        <w:tc>
          <w:tcPr>
            <w:tcW w:w="1131" w:type="pct"/>
            <w:tcBorders>
              <w:top w:val="nil"/>
              <w:left w:val="nil"/>
              <w:bottom w:val="single" w:sz="8" w:space="0" w:color="auto"/>
              <w:right w:val="single" w:sz="8" w:space="0" w:color="C40012"/>
            </w:tcBorders>
            <w:shd w:val="clear" w:color="auto" w:fill="auto"/>
            <w:vAlign w:val="center"/>
            <w:hideMark/>
          </w:tcPr>
          <w:p w14:paraId="01403EDD" w14:textId="77777777" w:rsidR="005329FE" w:rsidRPr="009C526E" w:rsidRDefault="005329FE" w:rsidP="005329FE">
            <w:pPr>
              <w:jc w:val="right"/>
              <w:rPr>
                <w:rFonts w:cs="Calibri"/>
                <w:color w:val="000000"/>
                <w:sz w:val="20"/>
                <w:szCs w:val="20"/>
              </w:rPr>
            </w:pPr>
            <w:r w:rsidRPr="009C526E">
              <w:rPr>
                <w:rFonts w:cs="Calibri"/>
                <w:color w:val="000000"/>
                <w:sz w:val="20"/>
                <w:szCs w:val="20"/>
              </w:rPr>
              <w:t>9.5</w:t>
            </w:r>
          </w:p>
        </w:tc>
      </w:tr>
      <w:tr w:rsidR="00134CD0" w:rsidRPr="009C526E" w14:paraId="0B30FB27" w14:textId="77777777" w:rsidTr="00AF74DC">
        <w:trPr>
          <w:cantSplit/>
          <w:trHeight w:val="283"/>
        </w:trPr>
        <w:tc>
          <w:tcPr>
            <w:tcW w:w="1423" w:type="pct"/>
            <w:tcBorders>
              <w:top w:val="single" w:sz="8" w:space="0" w:color="auto"/>
              <w:left w:val="single" w:sz="8" w:space="0" w:color="C40012"/>
              <w:bottom w:val="single" w:sz="8" w:space="0" w:color="C40012"/>
              <w:right w:val="nil"/>
            </w:tcBorders>
            <w:shd w:val="clear" w:color="auto" w:fill="auto"/>
            <w:vAlign w:val="center"/>
            <w:hideMark/>
          </w:tcPr>
          <w:p w14:paraId="74E3104D" w14:textId="77777777" w:rsidR="00134CD0" w:rsidRPr="009C526E" w:rsidRDefault="00134CD0" w:rsidP="00134CD0">
            <w:pPr>
              <w:rPr>
                <w:rFonts w:ascii="Humnst777 BT" w:hAnsi="Humnst777 BT" w:cs="Calibri"/>
                <w:b/>
                <w:bCs/>
                <w:color w:val="000000"/>
                <w:sz w:val="20"/>
                <w:szCs w:val="20"/>
              </w:rPr>
            </w:pPr>
            <w:r w:rsidRPr="009C526E">
              <w:rPr>
                <w:rFonts w:ascii="Humnst777 BT" w:hAnsi="Humnst777 BT" w:cs="Calibri"/>
                <w:b/>
                <w:bCs/>
                <w:color w:val="000000"/>
                <w:sz w:val="20"/>
                <w:szCs w:val="20"/>
              </w:rPr>
              <w:t>Location Not Recorded</w:t>
            </w:r>
          </w:p>
        </w:tc>
        <w:tc>
          <w:tcPr>
            <w:tcW w:w="731" w:type="pct"/>
            <w:tcBorders>
              <w:top w:val="nil"/>
              <w:left w:val="nil"/>
              <w:bottom w:val="single" w:sz="8" w:space="0" w:color="C40012"/>
              <w:right w:val="nil"/>
            </w:tcBorders>
          </w:tcPr>
          <w:p w14:paraId="5F1836E7" w14:textId="74C7575B" w:rsidR="00134CD0" w:rsidRPr="009C526E" w:rsidRDefault="00134CD0" w:rsidP="00134CD0">
            <w:pPr>
              <w:jc w:val="right"/>
              <w:rPr>
                <w:rFonts w:cs="Calibri"/>
                <w:color w:val="000000"/>
                <w:sz w:val="20"/>
                <w:szCs w:val="20"/>
              </w:rPr>
            </w:pPr>
          </w:p>
        </w:tc>
        <w:tc>
          <w:tcPr>
            <w:tcW w:w="731" w:type="pct"/>
            <w:tcBorders>
              <w:top w:val="nil"/>
              <w:left w:val="nil"/>
              <w:bottom w:val="single" w:sz="8" w:space="0" w:color="C40012"/>
              <w:right w:val="nil"/>
            </w:tcBorders>
            <w:shd w:val="clear" w:color="auto" w:fill="auto"/>
            <w:vAlign w:val="center"/>
            <w:hideMark/>
          </w:tcPr>
          <w:p w14:paraId="45F54D8D" w14:textId="7F544641" w:rsidR="00134CD0" w:rsidRPr="009C526E" w:rsidRDefault="00134CD0" w:rsidP="00134CD0">
            <w:pPr>
              <w:jc w:val="right"/>
              <w:rPr>
                <w:rFonts w:cs="Calibri"/>
                <w:color w:val="000000"/>
                <w:sz w:val="20"/>
                <w:szCs w:val="20"/>
              </w:rPr>
            </w:pPr>
            <w:r w:rsidRPr="009C526E">
              <w:rPr>
                <w:rFonts w:cs="Calibri"/>
                <w:color w:val="000000"/>
                <w:sz w:val="20"/>
                <w:szCs w:val="20"/>
              </w:rPr>
              <w:t>10,687</w:t>
            </w:r>
          </w:p>
        </w:tc>
        <w:tc>
          <w:tcPr>
            <w:tcW w:w="984" w:type="pct"/>
            <w:tcBorders>
              <w:top w:val="nil"/>
              <w:left w:val="nil"/>
              <w:bottom w:val="single" w:sz="8" w:space="0" w:color="C40012"/>
              <w:right w:val="nil"/>
            </w:tcBorders>
            <w:shd w:val="clear" w:color="auto" w:fill="auto"/>
            <w:vAlign w:val="center"/>
            <w:hideMark/>
          </w:tcPr>
          <w:p w14:paraId="6EACE7EC" w14:textId="77777777" w:rsidR="00134CD0" w:rsidRPr="009C526E" w:rsidRDefault="00134CD0" w:rsidP="00134CD0">
            <w:pPr>
              <w:jc w:val="right"/>
              <w:rPr>
                <w:rFonts w:cs="Calibri"/>
                <w:color w:val="000000"/>
                <w:sz w:val="20"/>
                <w:szCs w:val="20"/>
              </w:rPr>
            </w:pPr>
            <w:r w:rsidRPr="009C526E">
              <w:rPr>
                <w:rFonts w:cs="Calibri"/>
                <w:color w:val="000000"/>
                <w:sz w:val="20"/>
                <w:szCs w:val="20"/>
              </w:rPr>
              <w:t>N/A</w:t>
            </w:r>
          </w:p>
        </w:tc>
        <w:tc>
          <w:tcPr>
            <w:tcW w:w="1131" w:type="pct"/>
            <w:tcBorders>
              <w:top w:val="nil"/>
              <w:left w:val="nil"/>
              <w:bottom w:val="single" w:sz="8" w:space="0" w:color="C40012"/>
              <w:right w:val="single" w:sz="8" w:space="0" w:color="C40012"/>
            </w:tcBorders>
            <w:shd w:val="clear" w:color="auto" w:fill="auto"/>
            <w:vAlign w:val="center"/>
            <w:hideMark/>
          </w:tcPr>
          <w:p w14:paraId="7A4A306F" w14:textId="77777777" w:rsidR="00134CD0" w:rsidRPr="009C526E" w:rsidRDefault="00134CD0" w:rsidP="00134CD0">
            <w:pPr>
              <w:jc w:val="right"/>
              <w:rPr>
                <w:rFonts w:cs="Calibri"/>
                <w:color w:val="000000"/>
                <w:sz w:val="20"/>
                <w:szCs w:val="20"/>
              </w:rPr>
            </w:pPr>
            <w:r w:rsidRPr="009C526E">
              <w:rPr>
                <w:rFonts w:cs="Calibri"/>
                <w:color w:val="000000"/>
                <w:sz w:val="20"/>
                <w:szCs w:val="20"/>
              </w:rPr>
              <w:t>9.6</w:t>
            </w:r>
          </w:p>
        </w:tc>
      </w:tr>
    </w:tbl>
    <w:p w14:paraId="6D6D0FA7" w14:textId="7D2C6299" w:rsidR="00791DA5" w:rsidRDefault="00791DA5" w:rsidP="00666F54">
      <w:pPr>
        <w:jc w:val="center"/>
      </w:pPr>
    </w:p>
    <w:p w14:paraId="0D728386" w14:textId="2ACF8D41" w:rsidR="00DA6399" w:rsidRPr="00DA6399" w:rsidRDefault="00DA6399" w:rsidP="00791DA5"/>
    <w:p w14:paraId="0BFE6066" w14:textId="044BCEE5" w:rsidR="00DA6399" w:rsidRPr="000C0015" w:rsidRDefault="00791DA5" w:rsidP="00DA6399">
      <w:pPr>
        <w:pStyle w:val="Heading1"/>
      </w:pPr>
      <w:r>
        <w:br w:type="page"/>
      </w:r>
      <w:r w:rsidR="00DA6399" w:rsidRPr="00113E78">
        <w:t>Deals by location</w:t>
      </w:r>
    </w:p>
    <w:p w14:paraId="38C4DDBB" w14:textId="77777777" w:rsidR="00DA6399" w:rsidRDefault="00DA6399" w:rsidP="00DA6399">
      <w:pPr>
        <w:pStyle w:val="TableHeading"/>
        <w:numPr>
          <w:ilvl w:val="0"/>
          <w:numId w:val="0"/>
        </w:numPr>
      </w:pPr>
    </w:p>
    <w:p w14:paraId="737B1D02" w14:textId="31618708" w:rsidR="00DA6399" w:rsidRPr="00F66FD5" w:rsidRDefault="00DA6399" w:rsidP="00DA6399">
      <w:pPr>
        <w:pStyle w:val="TableHeading"/>
        <w:numPr>
          <w:ilvl w:val="0"/>
          <w:numId w:val="0"/>
        </w:numPr>
        <w:rPr>
          <w:rFonts w:ascii="Humnst777 Lt BT" w:hAnsi="Humnst777 Lt BT"/>
          <w:b w:val="0"/>
          <w:color w:val="auto"/>
          <w:spacing w:val="-2"/>
          <w:sz w:val="22"/>
          <w:szCs w:val="22"/>
        </w:rPr>
      </w:pPr>
      <w:r w:rsidRPr="518956F1">
        <w:rPr>
          <w:rFonts w:ascii="Humnst777 Lt BT" w:hAnsi="Humnst777 Lt BT"/>
          <w:b w:val="0"/>
          <w:color w:val="auto"/>
          <w:spacing w:val="-2"/>
          <w:sz w:val="22"/>
          <w:szCs w:val="22"/>
        </w:rPr>
        <w:t xml:space="preserve">Table 5 shows the distribution of deals </w:t>
      </w:r>
      <w:r w:rsidR="00F7425E" w:rsidRPr="518956F1">
        <w:rPr>
          <w:rFonts w:ascii="Humnst777 Lt BT" w:hAnsi="Humnst777 Lt BT"/>
          <w:b w:val="0"/>
          <w:color w:val="auto"/>
          <w:spacing w:val="-2"/>
          <w:sz w:val="22"/>
          <w:szCs w:val="22"/>
        </w:rPr>
        <w:t xml:space="preserve">– in other words, </w:t>
      </w:r>
      <w:r w:rsidR="002749FB" w:rsidRPr="518956F1">
        <w:rPr>
          <w:rFonts w:ascii="Humnst777 Lt BT" w:hAnsi="Humnst777 Lt BT"/>
          <w:b w:val="0"/>
          <w:color w:val="auto"/>
          <w:spacing w:val="-2"/>
          <w:sz w:val="22"/>
          <w:szCs w:val="22"/>
        </w:rPr>
        <w:t>where a</w:t>
      </w:r>
      <w:r w:rsidR="00F7425E" w:rsidRPr="518956F1">
        <w:rPr>
          <w:rFonts w:ascii="Humnst777 Lt BT" w:hAnsi="Humnst777 Lt BT"/>
          <w:b w:val="0"/>
          <w:color w:val="auto"/>
          <w:spacing w:val="-2"/>
          <w:sz w:val="22"/>
          <w:szCs w:val="22"/>
        </w:rPr>
        <w:t xml:space="preserve"> referral</w:t>
      </w:r>
      <w:r w:rsidR="002749FB" w:rsidRPr="518956F1">
        <w:rPr>
          <w:rFonts w:ascii="Humnst777 Lt BT" w:hAnsi="Humnst777 Lt BT"/>
          <w:b w:val="0"/>
          <w:color w:val="auto"/>
          <w:spacing w:val="-2"/>
          <w:sz w:val="22"/>
          <w:szCs w:val="22"/>
        </w:rPr>
        <w:t xml:space="preserve"> was made and finance successfully secured</w:t>
      </w:r>
      <w:r w:rsidR="00F7425E" w:rsidRPr="518956F1">
        <w:rPr>
          <w:rFonts w:ascii="Humnst777 Lt BT" w:hAnsi="Humnst777 Lt BT"/>
          <w:b w:val="0"/>
          <w:color w:val="auto"/>
          <w:spacing w:val="-2"/>
          <w:sz w:val="22"/>
          <w:szCs w:val="22"/>
        </w:rPr>
        <w:t xml:space="preserve"> –</w:t>
      </w:r>
      <w:r w:rsidR="0CCFB9F7" w:rsidRPr="518956F1">
        <w:rPr>
          <w:rFonts w:ascii="Humnst777 Lt BT" w:hAnsi="Humnst777 Lt BT"/>
          <w:b w:val="0"/>
          <w:color w:val="auto"/>
          <w:spacing w:val="-2"/>
          <w:sz w:val="22"/>
          <w:szCs w:val="22"/>
        </w:rPr>
        <w:t xml:space="preserve"> </w:t>
      </w:r>
      <w:r w:rsidRPr="518956F1">
        <w:rPr>
          <w:rFonts w:ascii="Humnst777 Lt BT" w:hAnsi="Humnst777 Lt BT"/>
          <w:b w:val="0"/>
          <w:color w:val="auto"/>
          <w:spacing w:val="-2"/>
          <w:sz w:val="22"/>
          <w:szCs w:val="22"/>
        </w:rPr>
        <w:t xml:space="preserve">by location, </w:t>
      </w:r>
      <w:r w:rsidR="00131149" w:rsidRPr="518956F1">
        <w:rPr>
          <w:rFonts w:ascii="Humnst777 Lt BT" w:hAnsi="Humnst777 Lt BT"/>
          <w:b w:val="0"/>
          <w:color w:val="auto"/>
          <w:spacing w:val="-2"/>
          <w:sz w:val="22"/>
          <w:szCs w:val="22"/>
        </w:rPr>
        <w:t xml:space="preserve">compared to the distribution of the SME </w:t>
      </w:r>
      <w:r w:rsidR="00D3695F" w:rsidRPr="518956F1">
        <w:rPr>
          <w:rFonts w:ascii="Humnst777 Lt BT" w:hAnsi="Humnst777 Lt BT"/>
          <w:b w:val="0"/>
          <w:color w:val="auto"/>
          <w:spacing w:val="-2"/>
          <w:sz w:val="22"/>
          <w:szCs w:val="22"/>
        </w:rPr>
        <w:t>population</w:t>
      </w:r>
      <w:r w:rsidR="00131149" w:rsidRPr="518956F1">
        <w:rPr>
          <w:rFonts w:ascii="Humnst777 Lt BT" w:hAnsi="Humnst777 Lt BT"/>
          <w:b w:val="0"/>
          <w:color w:val="auto"/>
          <w:spacing w:val="-2"/>
          <w:sz w:val="22"/>
          <w:szCs w:val="22"/>
        </w:rPr>
        <w:t xml:space="preserve">. </w:t>
      </w:r>
    </w:p>
    <w:p w14:paraId="5514B9E8" w14:textId="77777777" w:rsidR="00DA6399" w:rsidRDefault="00DA6399" w:rsidP="00DA6399">
      <w:pPr>
        <w:pStyle w:val="TableHeading"/>
        <w:numPr>
          <w:ilvl w:val="0"/>
          <w:numId w:val="0"/>
        </w:numPr>
      </w:pPr>
    </w:p>
    <w:p w14:paraId="172CCD94" w14:textId="437C893E" w:rsidR="00DA6399" w:rsidRDefault="00DA6399" w:rsidP="00DA6399">
      <w:pPr>
        <w:pStyle w:val="TableHeading"/>
        <w:numPr>
          <w:ilvl w:val="0"/>
          <w:numId w:val="0"/>
        </w:numPr>
      </w:pPr>
      <w:r>
        <w:t xml:space="preserve">Table </w:t>
      </w:r>
      <w:r w:rsidR="00CE2CB9">
        <w:t>5</w:t>
      </w:r>
      <w:r>
        <w:t>: Percentage of deals made by location</w:t>
      </w:r>
      <w:r>
        <w:rPr>
          <w:rStyle w:val="FootnoteReference"/>
        </w:rPr>
        <w:footnoteReference w:id="6"/>
      </w:r>
    </w:p>
    <w:p w14:paraId="2CD76781" w14:textId="77777777" w:rsidR="00DA6399" w:rsidRDefault="00DA6399" w:rsidP="00DA6399">
      <w:pPr>
        <w:pStyle w:val="TableHeading"/>
        <w:numPr>
          <w:ilvl w:val="0"/>
          <w:numId w:val="0"/>
        </w:numPr>
      </w:pPr>
    </w:p>
    <w:tbl>
      <w:tblPr>
        <w:tblW w:w="5000" w:type="pct"/>
        <w:tblLook w:val="04A0" w:firstRow="1" w:lastRow="0" w:firstColumn="1" w:lastColumn="0" w:noHBand="0" w:noVBand="1"/>
      </w:tblPr>
      <w:tblGrid>
        <w:gridCol w:w="2816"/>
        <w:gridCol w:w="1854"/>
        <w:gridCol w:w="1854"/>
        <w:gridCol w:w="1957"/>
        <w:gridCol w:w="1955"/>
        <w:gridCol w:w="246"/>
      </w:tblGrid>
      <w:tr w:rsidR="00FB6434" w:rsidRPr="00791DA5" w14:paraId="50DCC77B" w14:textId="77777777" w:rsidTr="00D15BF4">
        <w:trPr>
          <w:gridAfter w:val="1"/>
          <w:wAfter w:w="115" w:type="pct"/>
          <w:cantSplit/>
          <w:trHeight w:val="338"/>
        </w:trPr>
        <w:tc>
          <w:tcPr>
            <w:tcW w:w="1318" w:type="pct"/>
            <w:vMerge w:val="restart"/>
            <w:tcBorders>
              <w:top w:val="single" w:sz="8" w:space="0" w:color="C40012"/>
              <w:left w:val="single" w:sz="8" w:space="0" w:color="C40012"/>
              <w:bottom w:val="nil"/>
              <w:right w:val="nil"/>
            </w:tcBorders>
            <w:shd w:val="clear" w:color="000000" w:fill="F9E5E7"/>
            <w:vAlign w:val="center"/>
            <w:hideMark/>
          </w:tcPr>
          <w:p w14:paraId="64F95BBF" w14:textId="77777777" w:rsidR="00FB6434" w:rsidRPr="00791DA5" w:rsidRDefault="00FB6434" w:rsidP="00791DA5">
            <w:pPr>
              <w:rPr>
                <w:rFonts w:ascii="Humnst777 BT" w:hAnsi="Humnst777 BT" w:cs="Calibri"/>
                <w:b/>
                <w:bCs/>
                <w:color w:val="000000"/>
                <w:sz w:val="20"/>
                <w:szCs w:val="20"/>
              </w:rPr>
            </w:pPr>
            <w:r w:rsidRPr="00791DA5">
              <w:rPr>
                <w:rFonts w:ascii="Humnst777 BT" w:hAnsi="Humnst777 BT" w:cs="Calibri"/>
                <w:b/>
                <w:bCs/>
                <w:sz w:val="20"/>
                <w:szCs w:val="20"/>
              </w:rPr>
              <w:t xml:space="preserve">Region </w:t>
            </w:r>
          </w:p>
        </w:tc>
        <w:tc>
          <w:tcPr>
            <w:tcW w:w="868" w:type="pct"/>
            <w:vMerge w:val="restart"/>
            <w:tcBorders>
              <w:top w:val="single" w:sz="8" w:space="0" w:color="C40012"/>
              <w:left w:val="nil"/>
              <w:right w:val="nil"/>
            </w:tcBorders>
            <w:shd w:val="clear" w:color="000000" w:fill="F9E5E7"/>
          </w:tcPr>
          <w:p w14:paraId="1494014D" w14:textId="050A827F" w:rsidR="00FB6434" w:rsidRPr="00791DA5" w:rsidRDefault="00FB6434" w:rsidP="005B35F5">
            <w:pPr>
              <w:jc w:val="right"/>
              <w:rPr>
                <w:rFonts w:ascii="Humnst777 BT" w:hAnsi="Humnst777 BT" w:cs="Calibri"/>
                <w:b/>
                <w:bCs/>
                <w:sz w:val="20"/>
                <w:szCs w:val="20"/>
              </w:rPr>
            </w:pPr>
            <w:r>
              <w:rPr>
                <w:rFonts w:ascii="Humnst777 BT" w:hAnsi="Humnst777 BT" w:cs="Calibri"/>
                <w:b/>
                <w:bCs/>
                <w:sz w:val="20"/>
                <w:szCs w:val="20"/>
              </w:rPr>
              <w:t>SME distribution (%)</w:t>
            </w:r>
          </w:p>
        </w:tc>
        <w:tc>
          <w:tcPr>
            <w:tcW w:w="868" w:type="pct"/>
            <w:vMerge w:val="restart"/>
            <w:tcBorders>
              <w:top w:val="single" w:sz="8" w:space="0" w:color="C40012"/>
              <w:left w:val="nil"/>
              <w:bottom w:val="nil"/>
              <w:right w:val="nil"/>
            </w:tcBorders>
            <w:shd w:val="clear" w:color="000000" w:fill="F9E5E7"/>
            <w:vAlign w:val="center"/>
            <w:hideMark/>
          </w:tcPr>
          <w:p w14:paraId="4D41ACB7" w14:textId="3AF2EDA7" w:rsidR="00FB6434" w:rsidRPr="00791DA5" w:rsidRDefault="00FB6434" w:rsidP="00791DA5">
            <w:pPr>
              <w:jc w:val="right"/>
              <w:rPr>
                <w:rFonts w:ascii="Humnst777 BT" w:hAnsi="Humnst777 BT" w:cs="Calibri"/>
                <w:b/>
                <w:bCs/>
                <w:color w:val="000000"/>
                <w:sz w:val="20"/>
                <w:szCs w:val="20"/>
              </w:rPr>
            </w:pPr>
            <w:r w:rsidRPr="00791DA5">
              <w:rPr>
                <w:rFonts w:ascii="Humnst777 BT" w:hAnsi="Humnst777 BT" w:cs="Calibri"/>
                <w:b/>
                <w:bCs/>
                <w:sz w:val="20"/>
                <w:szCs w:val="20"/>
              </w:rPr>
              <w:t xml:space="preserve">Deals Distribution </w:t>
            </w:r>
          </w:p>
        </w:tc>
        <w:tc>
          <w:tcPr>
            <w:tcW w:w="916" w:type="pct"/>
            <w:vMerge w:val="restart"/>
            <w:tcBorders>
              <w:top w:val="single" w:sz="8" w:space="0" w:color="C40012"/>
              <w:left w:val="nil"/>
              <w:bottom w:val="nil"/>
              <w:right w:val="nil"/>
            </w:tcBorders>
            <w:shd w:val="clear" w:color="000000" w:fill="F9E5E7"/>
            <w:vAlign w:val="center"/>
            <w:hideMark/>
          </w:tcPr>
          <w:p w14:paraId="6B8BCBC2" w14:textId="77777777" w:rsidR="00FB6434" w:rsidRPr="00791DA5" w:rsidRDefault="00FB6434" w:rsidP="00791DA5">
            <w:pPr>
              <w:jc w:val="right"/>
              <w:rPr>
                <w:rFonts w:ascii="Humnst777 BT" w:hAnsi="Humnst777 BT" w:cs="Calibri"/>
                <w:b/>
                <w:bCs/>
                <w:color w:val="000000"/>
                <w:sz w:val="20"/>
                <w:szCs w:val="20"/>
              </w:rPr>
            </w:pPr>
            <w:r w:rsidRPr="00791DA5">
              <w:rPr>
                <w:rFonts w:ascii="Humnst777 BT" w:hAnsi="Humnst777 BT" w:cs="Calibri"/>
                <w:b/>
                <w:bCs/>
                <w:sz w:val="20"/>
                <w:szCs w:val="20"/>
              </w:rPr>
              <w:t>Deal Distribution (% exc. Not Recorded</w:t>
            </w:r>
          </w:p>
        </w:tc>
        <w:tc>
          <w:tcPr>
            <w:tcW w:w="915" w:type="pct"/>
            <w:vMerge w:val="restart"/>
            <w:tcBorders>
              <w:top w:val="single" w:sz="8" w:space="0" w:color="C40012"/>
              <w:left w:val="nil"/>
              <w:bottom w:val="nil"/>
              <w:right w:val="single" w:sz="8" w:space="0" w:color="C40012"/>
            </w:tcBorders>
            <w:shd w:val="clear" w:color="000000" w:fill="F9E5E7"/>
            <w:vAlign w:val="center"/>
            <w:hideMark/>
          </w:tcPr>
          <w:p w14:paraId="6D14C52A" w14:textId="77777777" w:rsidR="00FB6434" w:rsidRPr="00791DA5" w:rsidRDefault="00FB6434" w:rsidP="00791DA5">
            <w:pPr>
              <w:jc w:val="right"/>
              <w:rPr>
                <w:rFonts w:ascii="Humnst777 BT" w:hAnsi="Humnst777 BT" w:cs="Calibri"/>
                <w:b/>
                <w:bCs/>
                <w:color w:val="000000"/>
                <w:sz w:val="20"/>
                <w:szCs w:val="20"/>
              </w:rPr>
            </w:pPr>
            <w:r w:rsidRPr="00791DA5">
              <w:rPr>
                <w:rFonts w:ascii="Humnst777 BT" w:hAnsi="Humnst777 BT" w:cs="Calibri"/>
                <w:b/>
                <w:bCs/>
                <w:sz w:val="20"/>
                <w:szCs w:val="20"/>
              </w:rPr>
              <w:t xml:space="preserve">Deal distribution (% inc. Not Recorded) </w:t>
            </w:r>
          </w:p>
        </w:tc>
      </w:tr>
      <w:tr w:rsidR="00FB6434" w:rsidRPr="00791DA5" w14:paraId="3F86876E" w14:textId="77777777" w:rsidTr="00D15BF4">
        <w:trPr>
          <w:trHeight w:val="283"/>
        </w:trPr>
        <w:tc>
          <w:tcPr>
            <w:tcW w:w="1318" w:type="pct"/>
            <w:vMerge/>
            <w:tcBorders>
              <w:top w:val="single" w:sz="8" w:space="0" w:color="C40012"/>
              <w:left w:val="single" w:sz="8" w:space="0" w:color="C40012"/>
              <w:bottom w:val="nil"/>
              <w:right w:val="nil"/>
            </w:tcBorders>
            <w:vAlign w:val="center"/>
            <w:hideMark/>
          </w:tcPr>
          <w:p w14:paraId="40DD90D3" w14:textId="77777777" w:rsidR="00FB6434" w:rsidRPr="00791DA5" w:rsidRDefault="00FB6434" w:rsidP="00791DA5">
            <w:pPr>
              <w:rPr>
                <w:rFonts w:ascii="Humnst777 BT" w:hAnsi="Humnst777 BT" w:cs="Calibri"/>
                <w:b/>
                <w:bCs/>
                <w:color w:val="000000"/>
                <w:sz w:val="20"/>
                <w:szCs w:val="20"/>
              </w:rPr>
            </w:pPr>
          </w:p>
        </w:tc>
        <w:tc>
          <w:tcPr>
            <w:tcW w:w="868" w:type="pct"/>
            <w:vMerge/>
            <w:tcBorders>
              <w:left w:val="nil"/>
              <w:bottom w:val="nil"/>
              <w:right w:val="nil"/>
            </w:tcBorders>
          </w:tcPr>
          <w:p w14:paraId="491DCE35" w14:textId="77777777" w:rsidR="00FB6434" w:rsidRPr="00791DA5" w:rsidRDefault="00FB6434" w:rsidP="00791DA5">
            <w:pPr>
              <w:rPr>
                <w:rFonts w:ascii="Humnst777 BT" w:hAnsi="Humnst777 BT" w:cs="Calibri"/>
                <w:b/>
                <w:bCs/>
                <w:color w:val="000000"/>
                <w:sz w:val="20"/>
                <w:szCs w:val="20"/>
              </w:rPr>
            </w:pPr>
          </w:p>
        </w:tc>
        <w:tc>
          <w:tcPr>
            <w:tcW w:w="868" w:type="pct"/>
            <w:vMerge/>
            <w:tcBorders>
              <w:top w:val="single" w:sz="8" w:space="0" w:color="C40012"/>
              <w:left w:val="nil"/>
              <w:bottom w:val="nil"/>
              <w:right w:val="nil"/>
            </w:tcBorders>
            <w:vAlign w:val="center"/>
            <w:hideMark/>
          </w:tcPr>
          <w:p w14:paraId="0F09D203" w14:textId="6D254039" w:rsidR="00FB6434" w:rsidRPr="00791DA5" w:rsidRDefault="00FB6434" w:rsidP="00791DA5">
            <w:pPr>
              <w:rPr>
                <w:rFonts w:ascii="Humnst777 BT" w:hAnsi="Humnst777 BT" w:cs="Calibri"/>
                <w:b/>
                <w:bCs/>
                <w:color w:val="000000"/>
                <w:sz w:val="20"/>
                <w:szCs w:val="20"/>
              </w:rPr>
            </w:pPr>
          </w:p>
        </w:tc>
        <w:tc>
          <w:tcPr>
            <w:tcW w:w="916" w:type="pct"/>
            <w:vMerge/>
            <w:tcBorders>
              <w:top w:val="single" w:sz="8" w:space="0" w:color="C40012"/>
              <w:left w:val="nil"/>
              <w:bottom w:val="nil"/>
              <w:right w:val="nil"/>
            </w:tcBorders>
            <w:vAlign w:val="center"/>
            <w:hideMark/>
          </w:tcPr>
          <w:p w14:paraId="06CA6B06" w14:textId="77777777" w:rsidR="00FB6434" w:rsidRPr="00791DA5" w:rsidRDefault="00FB6434" w:rsidP="00791DA5">
            <w:pPr>
              <w:rPr>
                <w:rFonts w:ascii="Humnst777 BT" w:hAnsi="Humnst777 BT" w:cs="Calibri"/>
                <w:b/>
                <w:bCs/>
                <w:color w:val="000000"/>
                <w:sz w:val="20"/>
                <w:szCs w:val="20"/>
              </w:rPr>
            </w:pPr>
          </w:p>
        </w:tc>
        <w:tc>
          <w:tcPr>
            <w:tcW w:w="915" w:type="pct"/>
            <w:vMerge/>
            <w:tcBorders>
              <w:top w:val="single" w:sz="8" w:space="0" w:color="C40012"/>
              <w:left w:val="nil"/>
              <w:bottom w:val="nil"/>
              <w:right w:val="single" w:sz="8" w:space="0" w:color="C40012"/>
            </w:tcBorders>
            <w:vAlign w:val="center"/>
            <w:hideMark/>
          </w:tcPr>
          <w:p w14:paraId="1E7885EC" w14:textId="77777777" w:rsidR="00FB6434" w:rsidRPr="00791DA5" w:rsidRDefault="00FB6434" w:rsidP="00791DA5">
            <w:pPr>
              <w:rPr>
                <w:rFonts w:ascii="Humnst777 BT" w:hAnsi="Humnst777 BT" w:cs="Calibri"/>
                <w:b/>
                <w:bCs/>
                <w:color w:val="000000"/>
                <w:sz w:val="20"/>
                <w:szCs w:val="20"/>
              </w:rPr>
            </w:pPr>
          </w:p>
        </w:tc>
        <w:tc>
          <w:tcPr>
            <w:tcW w:w="115" w:type="pct"/>
            <w:tcBorders>
              <w:top w:val="nil"/>
              <w:left w:val="nil"/>
              <w:bottom w:val="nil"/>
              <w:right w:val="nil"/>
            </w:tcBorders>
            <w:shd w:val="clear" w:color="auto" w:fill="auto"/>
            <w:noWrap/>
            <w:vAlign w:val="bottom"/>
            <w:hideMark/>
          </w:tcPr>
          <w:p w14:paraId="10B65FD1" w14:textId="77777777" w:rsidR="00FB6434" w:rsidRPr="00791DA5" w:rsidRDefault="00FB6434" w:rsidP="00791DA5">
            <w:pPr>
              <w:jc w:val="right"/>
              <w:rPr>
                <w:rFonts w:ascii="Humnst777 BT" w:hAnsi="Humnst777 BT" w:cs="Calibri"/>
                <w:b/>
                <w:bCs/>
                <w:color w:val="000000"/>
                <w:sz w:val="20"/>
                <w:szCs w:val="20"/>
              </w:rPr>
            </w:pPr>
          </w:p>
        </w:tc>
      </w:tr>
      <w:tr w:rsidR="00F77FA3" w:rsidRPr="00791DA5" w14:paraId="603F484B" w14:textId="77777777" w:rsidTr="00AF74DC">
        <w:trPr>
          <w:cantSplit/>
          <w:trHeight w:val="283"/>
        </w:trPr>
        <w:tc>
          <w:tcPr>
            <w:tcW w:w="1318" w:type="pct"/>
            <w:tcBorders>
              <w:top w:val="nil"/>
              <w:left w:val="single" w:sz="8" w:space="0" w:color="C40012"/>
              <w:bottom w:val="nil"/>
              <w:right w:val="nil"/>
            </w:tcBorders>
            <w:shd w:val="clear" w:color="auto" w:fill="auto"/>
            <w:vAlign w:val="center"/>
            <w:hideMark/>
          </w:tcPr>
          <w:p w14:paraId="27064AC6"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Greater London</w:t>
            </w:r>
          </w:p>
        </w:tc>
        <w:tc>
          <w:tcPr>
            <w:tcW w:w="868" w:type="pct"/>
            <w:tcBorders>
              <w:top w:val="nil"/>
              <w:left w:val="nil"/>
              <w:bottom w:val="nil"/>
              <w:right w:val="nil"/>
            </w:tcBorders>
            <w:vAlign w:val="bottom"/>
          </w:tcPr>
          <w:p w14:paraId="1EDC0A5D" w14:textId="7A3DB1DE" w:rsidR="00F77FA3" w:rsidRPr="001779D4" w:rsidRDefault="00F77FA3" w:rsidP="00F77FA3">
            <w:pPr>
              <w:jc w:val="right"/>
              <w:rPr>
                <w:rFonts w:cs="Calibri"/>
                <w:color w:val="000000"/>
                <w:sz w:val="20"/>
                <w:szCs w:val="20"/>
              </w:rPr>
            </w:pPr>
            <w:r w:rsidRPr="00AF74DC">
              <w:rPr>
                <w:rFonts w:cs="Calibri"/>
                <w:color w:val="000000"/>
                <w:sz w:val="20"/>
                <w:szCs w:val="20"/>
              </w:rPr>
              <w:t>17.9%</w:t>
            </w:r>
          </w:p>
        </w:tc>
        <w:tc>
          <w:tcPr>
            <w:tcW w:w="868" w:type="pct"/>
            <w:tcBorders>
              <w:top w:val="nil"/>
              <w:left w:val="nil"/>
              <w:bottom w:val="nil"/>
              <w:right w:val="nil"/>
            </w:tcBorders>
            <w:shd w:val="clear" w:color="auto" w:fill="auto"/>
            <w:vAlign w:val="center"/>
            <w:hideMark/>
          </w:tcPr>
          <w:p w14:paraId="376F502B" w14:textId="33B76CF7" w:rsidR="00F77FA3" w:rsidRPr="00791DA5" w:rsidRDefault="00F77FA3" w:rsidP="00F77FA3">
            <w:pPr>
              <w:jc w:val="right"/>
              <w:rPr>
                <w:rFonts w:cs="Calibri"/>
                <w:color w:val="000000"/>
                <w:sz w:val="20"/>
                <w:szCs w:val="20"/>
              </w:rPr>
            </w:pPr>
            <w:r w:rsidRPr="00791DA5">
              <w:rPr>
                <w:rFonts w:cs="Calibri"/>
                <w:color w:val="000000"/>
                <w:sz w:val="20"/>
                <w:szCs w:val="20"/>
              </w:rPr>
              <w:t>1,387</w:t>
            </w:r>
          </w:p>
        </w:tc>
        <w:tc>
          <w:tcPr>
            <w:tcW w:w="916" w:type="pct"/>
            <w:tcBorders>
              <w:top w:val="nil"/>
              <w:left w:val="nil"/>
              <w:bottom w:val="nil"/>
              <w:right w:val="nil"/>
            </w:tcBorders>
            <w:shd w:val="clear" w:color="auto" w:fill="auto"/>
            <w:vAlign w:val="center"/>
            <w:hideMark/>
          </w:tcPr>
          <w:p w14:paraId="44634AFA" w14:textId="77777777" w:rsidR="00F77FA3" w:rsidRPr="00791DA5" w:rsidRDefault="00F77FA3" w:rsidP="00F77FA3">
            <w:pPr>
              <w:jc w:val="right"/>
              <w:rPr>
                <w:rFonts w:cs="Calibri"/>
                <w:color w:val="000000"/>
                <w:sz w:val="20"/>
                <w:szCs w:val="20"/>
              </w:rPr>
            </w:pPr>
            <w:r w:rsidRPr="00791DA5">
              <w:rPr>
                <w:rFonts w:cs="Calibri"/>
                <w:color w:val="000000"/>
                <w:sz w:val="20"/>
                <w:szCs w:val="20"/>
              </w:rPr>
              <w:t>26.3</w:t>
            </w:r>
          </w:p>
        </w:tc>
        <w:tc>
          <w:tcPr>
            <w:tcW w:w="915" w:type="pct"/>
            <w:tcBorders>
              <w:top w:val="nil"/>
              <w:left w:val="nil"/>
              <w:bottom w:val="nil"/>
              <w:right w:val="single" w:sz="8" w:space="0" w:color="C40012"/>
            </w:tcBorders>
            <w:shd w:val="clear" w:color="auto" w:fill="auto"/>
            <w:vAlign w:val="center"/>
            <w:hideMark/>
          </w:tcPr>
          <w:p w14:paraId="30402BFE" w14:textId="77777777" w:rsidR="00F77FA3" w:rsidRPr="00791DA5" w:rsidRDefault="00F77FA3" w:rsidP="00F77FA3">
            <w:pPr>
              <w:jc w:val="right"/>
              <w:rPr>
                <w:rFonts w:cs="Calibri"/>
                <w:color w:val="000000"/>
                <w:sz w:val="20"/>
                <w:szCs w:val="20"/>
              </w:rPr>
            </w:pPr>
            <w:r w:rsidRPr="00791DA5">
              <w:rPr>
                <w:rFonts w:cs="Calibri"/>
                <w:color w:val="000000"/>
                <w:sz w:val="20"/>
                <w:szCs w:val="20"/>
              </w:rPr>
              <w:t>25.7</w:t>
            </w:r>
          </w:p>
        </w:tc>
        <w:tc>
          <w:tcPr>
            <w:tcW w:w="115" w:type="pct"/>
            <w:vAlign w:val="center"/>
            <w:hideMark/>
          </w:tcPr>
          <w:p w14:paraId="28E47A94" w14:textId="77777777" w:rsidR="00F77FA3" w:rsidRPr="00791DA5" w:rsidRDefault="00F77FA3" w:rsidP="00F77FA3">
            <w:pPr>
              <w:rPr>
                <w:rFonts w:ascii="Times New Roman" w:hAnsi="Times New Roman"/>
                <w:sz w:val="20"/>
                <w:szCs w:val="20"/>
              </w:rPr>
            </w:pPr>
          </w:p>
        </w:tc>
      </w:tr>
      <w:tr w:rsidR="00F77FA3" w:rsidRPr="00791DA5" w14:paraId="1336F51C" w14:textId="77777777" w:rsidTr="00AF74DC">
        <w:trPr>
          <w:cantSplit/>
          <w:trHeight w:val="283"/>
        </w:trPr>
        <w:tc>
          <w:tcPr>
            <w:tcW w:w="1318" w:type="pct"/>
            <w:tcBorders>
              <w:top w:val="nil"/>
              <w:left w:val="single" w:sz="8" w:space="0" w:color="C40012"/>
              <w:bottom w:val="nil"/>
              <w:right w:val="nil"/>
            </w:tcBorders>
            <w:shd w:val="clear" w:color="auto" w:fill="auto"/>
            <w:vAlign w:val="center"/>
            <w:hideMark/>
          </w:tcPr>
          <w:p w14:paraId="76C55EDA"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South East</w:t>
            </w:r>
          </w:p>
        </w:tc>
        <w:tc>
          <w:tcPr>
            <w:tcW w:w="868" w:type="pct"/>
            <w:tcBorders>
              <w:top w:val="nil"/>
              <w:left w:val="nil"/>
              <w:bottom w:val="nil"/>
              <w:right w:val="nil"/>
            </w:tcBorders>
            <w:vAlign w:val="bottom"/>
          </w:tcPr>
          <w:p w14:paraId="4A09E4BA" w14:textId="6E22CAA9" w:rsidR="00F77FA3" w:rsidRPr="001779D4" w:rsidRDefault="00F77FA3" w:rsidP="00F77FA3">
            <w:pPr>
              <w:jc w:val="right"/>
              <w:rPr>
                <w:rFonts w:cs="Calibri"/>
                <w:color w:val="000000"/>
                <w:sz w:val="20"/>
                <w:szCs w:val="20"/>
              </w:rPr>
            </w:pPr>
            <w:r w:rsidRPr="00AF74DC">
              <w:rPr>
                <w:rFonts w:cs="Calibri"/>
                <w:color w:val="000000"/>
                <w:sz w:val="20"/>
                <w:szCs w:val="20"/>
              </w:rPr>
              <w:t>16.5%</w:t>
            </w:r>
          </w:p>
        </w:tc>
        <w:tc>
          <w:tcPr>
            <w:tcW w:w="868" w:type="pct"/>
            <w:tcBorders>
              <w:top w:val="nil"/>
              <w:left w:val="nil"/>
              <w:bottom w:val="nil"/>
              <w:right w:val="nil"/>
            </w:tcBorders>
            <w:shd w:val="clear" w:color="auto" w:fill="auto"/>
            <w:vAlign w:val="center"/>
            <w:hideMark/>
          </w:tcPr>
          <w:p w14:paraId="0CD4C9D5" w14:textId="32463271" w:rsidR="00F77FA3" w:rsidRPr="00791DA5" w:rsidRDefault="00F77FA3" w:rsidP="00F77FA3">
            <w:pPr>
              <w:jc w:val="right"/>
              <w:rPr>
                <w:rFonts w:cs="Calibri"/>
                <w:color w:val="000000"/>
                <w:sz w:val="20"/>
                <w:szCs w:val="20"/>
              </w:rPr>
            </w:pPr>
            <w:r w:rsidRPr="00791DA5">
              <w:rPr>
                <w:rFonts w:cs="Calibri"/>
                <w:color w:val="000000"/>
                <w:sz w:val="20"/>
                <w:szCs w:val="20"/>
              </w:rPr>
              <w:t>712</w:t>
            </w:r>
          </w:p>
        </w:tc>
        <w:tc>
          <w:tcPr>
            <w:tcW w:w="916" w:type="pct"/>
            <w:tcBorders>
              <w:top w:val="nil"/>
              <w:left w:val="nil"/>
              <w:bottom w:val="nil"/>
              <w:right w:val="nil"/>
            </w:tcBorders>
            <w:shd w:val="clear" w:color="auto" w:fill="auto"/>
            <w:vAlign w:val="center"/>
            <w:hideMark/>
          </w:tcPr>
          <w:p w14:paraId="5A4FB4F0" w14:textId="77777777" w:rsidR="00F77FA3" w:rsidRPr="00791DA5" w:rsidRDefault="00F77FA3" w:rsidP="00F77FA3">
            <w:pPr>
              <w:jc w:val="right"/>
              <w:rPr>
                <w:rFonts w:cs="Calibri"/>
                <w:color w:val="000000"/>
                <w:sz w:val="20"/>
                <w:szCs w:val="20"/>
              </w:rPr>
            </w:pPr>
            <w:r w:rsidRPr="00791DA5">
              <w:rPr>
                <w:rFonts w:cs="Calibri"/>
                <w:color w:val="000000"/>
                <w:sz w:val="20"/>
                <w:szCs w:val="20"/>
              </w:rPr>
              <w:t>13.5</w:t>
            </w:r>
          </w:p>
        </w:tc>
        <w:tc>
          <w:tcPr>
            <w:tcW w:w="915" w:type="pct"/>
            <w:tcBorders>
              <w:top w:val="nil"/>
              <w:left w:val="nil"/>
              <w:bottom w:val="nil"/>
              <w:right w:val="single" w:sz="8" w:space="0" w:color="C40012"/>
            </w:tcBorders>
            <w:shd w:val="clear" w:color="auto" w:fill="auto"/>
            <w:vAlign w:val="center"/>
            <w:hideMark/>
          </w:tcPr>
          <w:p w14:paraId="3EDD3CBF" w14:textId="77777777" w:rsidR="00F77FA3" w:rsidRPr="00791DA5" w:rsidRDefault="00F77FA3" w:rsidP="00F77FA3">
            <w:pPr>
              <w:jc w:val="right"/>
              <w:rPr>
                <w:rFonts w:cs="Calibri"/>
                <w:color w:val="000000"/>
                <w:sz w:val="20"/>
                <w:szCs w:val="20"/>
              </w:rPr>
            </w:pPr>
            <w:r w:rsidRPr="00791DA5">
              <w:rPr>
                <w:rFonts w:cs="Calibri"/>
                <w:color w:val="000000"/>
                <w:sz w:val="20"/>
                <w:szCs w:val="20"/>
              </w:rPr>
              <w:t>13.2</w:t>
            </w:r>
          </w:p>
        </w:tc>
        <w:tc>
          <w:tcPr>
            <w:tcW w:w="115" w:type="pct"/>
            <w:vAlign w:val="center"/>
            <w:hideMark/>
          </w:tcPr>
          <w:p w14:paraId="487031E5" w14:textId="77777777" w:rsidR="00F77FA3" w:rsidRPr="00791DA5" w:rsidRDefault="00F77FA3" w:rsidP="00F77FA3">
            <w:pPr>
              <w:rPr>
                <w:rFonts w:ascii="Times New Roman" w:hAnsi="Times New Roman"/>
                <w:sz w:val="20"/>
                <w:szCs w:val="20"/>
              </w:rPr>
            </w:pPr>
          </w:p>
        </w:tc>
      </w:tr>
      <w:tr w:rsidR="00F77FA3" w:rsidRPr="00791DA5" w14:paraId="31B67B01" w14:textId="77777777" w:rsidTr="00AF74DC">
        <w:trPr>
          <w:cantSplit/>
          <w:trHeight w:val="283"/>
        </w:trPr>
        <w:tc>
          <w:tcPr>
            <w:tcW w:w="1318" w:type="pct"/>
            <w:tcBorders>
              <w:top w:val="nil"/>
              <w:left w:val="single" w:sz="8" w:space="0" w:color="C40012"/>
              <w:bottom w:val="nil"/>
              <w:right w:val="nil"/>
            </w:tcBorders>
            <w:shd w:val="clear" w:color="auto" w:fill="auto"/>
            <w:vAlign w:val="center"/>
            <w:hideMark/>
          </w:tcPr>
          <w:p w14:paraId="3E66019F"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East of England</w:t>
            </w:r>
          </w:p>
        </w:tc>
        <w:tc>
          <w:tcPr>
            <w:tcW w:w="868" w:type="pct"/>
            <w:tcBorders>
              <w:top w:val="nil"/>
              <w:left w:val="nil"/>
              <w:bottom w:val="nil"/>
              <w:right w:val="nil"/>
            </w:tcBorders>
            <w:vAlign w:val="bottom"/>
          </w:tcPr>
          <w:p w14:paraId="5CEE5619" w14:textId="0630A7C7" w:rsidR="00F77FA3" w:rsidRPr="001779D4" w:rsidRDefault="00F77FA3" w:rsidP="00F77FA3">
            <w:pPr>
              <w:jc w:val="right"/>
              <w:rPr>
                <w:rFonts w:cs="Calibri"/>
                <w:color w:val="000000"/>
                <w:sz w:val="20"/>
                <w:szCs w:val="20"/>
              </w:rPr>
            </w:pPr>
            <w:r w:rsidRPr="00AF74DC">
              <w:rPr>
                <w:rFonts w:cs="Calibri"/>
                <w:color w:val="000000"/>
                <w:sz w:val="20"/>
                <w:szCs w:val="20"/>
              </w:rPr>
              <w:t>9.6%</w:t>
            </w:r>
          </w:p>
        </w:tc>
        <w:tc>
          <w:tcPr>
            <w:tcW w:w="868" w:type="pct"/>
            <w:tcBorders>
              <w:top w:val="nil"/>
              <w:left w:val="nil"/>
              <w:bottom w:val="nil"/>
              <w:right w:val="nil"/>
            </w:tcBorders>
            <w:shd w:val="clear" w:color="auto" w:fill="auto"/>
            <w:vAlign w:val="center"/>
            <w:hideMark/>
          </w:tcPr>
          <w:p w14:paraId="6A59116B" w14:textId="00B5E3BC" w:rsidR="00F77FA3" w:rsidRPr="00791DA5" w:rsidRDefault="00F77FA3" w:rsidP="00F77FA3">
            <w:pPr>
              <w:jc w:val="right"/>
              <w:rPr>
                <w:rFonts w:cs="Calibri"/>
                <w:color w:val="000000"/>
                <w:sz w:val="20"/>
                <w:szCs w:val="20"/>
              </w:rPr>
            </w:pPr>
            <w:r w:rsidRPr="00791DA5">
              <w:rPr>
                <w:rFonts w:cs="Calibri"/>
                <w:color w:val="000000"/>
                <w:sz w:val="20"/>
                <w:szCs w:val="20"/>
              </w:rPr>
              <w:t>548</w:t>
            </w:r>
          </w:p>
        </w:tc>
        <w:tc>
          <w:tcPr>
            <w:tcW w:w="916" w:type="pct"/>
            <w:tcBorders>
              <w:top w:val="nil"/>
              <w:left w:val="nil"/>
              <w:bottom w:val="nil"/>
              <w:right w:val="nil"/>
            </w:tcBorders>
            <w:shd w:val="clear" w:color="auto" w:fill="auto"/>
            <w:vAlign w:val="center"/>
            <w:hideMark/>
          </w:tcPr>
          <w:p w14:paraId="75FE1BD8" w14:textId="77777777" w:rsidR="00F77FA3" w:rsidRPr="00791DA5" w:rsidRDefault="00F77FA3" w:rsidP="00F77FA3">
            <w:pPr>
              <w:jc w:val="right"/>
              <w:rPr>
                <w:rFonts w:cs="Calibri"/>
                <w:color w:val="000000"/>
                <w:sz w:val="20"/>
                <w:szCs w:val="20"/>
              </w:rPr>
            </w:pPr>
            <w:r w:rsidRPr="00791DA5">
              <w:rPr>
                <w:rFonts w:cs="Calibri"/>
                <w:color w:val="000000"/>
                <w:sz w:val="20"/>
                <w:szCs w:val="20"/>
              </w:rPr>
              <w:t>10.4</w:t>
            </w:r>
          </w:p>
        </w:tc>
        <w:tc>
          <w:tcPr>
            <w:tcW w:w="915" w:type="pct"/>
            <w:tcBorders>
              <w:top w:val="nil"/>
              <w:left w:val="nil"/>
              <w:bottom w:val="nil"/>
              <w:right w:val="single" w:sz="8" w:space="0" w:color="C40012"/>
            </w:tcBorders>
            <w:shd w:val="clear" w:color="auto" w:fill="auto"/>
            <w:vAlign w:val="center"/>
            <w:hideMark/>
          </w:tcPr>
          <w:p w14:paraId="307F35D7" w14:textId="77777777" w:rsidR="00F77FA3" w:rsidRPr="00791DA5" w:rsidRDefault="00F77FA3" w:rsidP="00F77FA3">
            <w:pPr>
              <w:jc w:val="right"/>
              <w:rPr>
                <w:rFonts w:cs="Calibri"/>
                <w:color w:val="000000"/>
                <w:sz w:val="20"/>
                <w:szCs w:val="20"/>
              </w:rPr>
            </w:pPr>
            <w:r w:rsidRPr="00791DA5">
              <w:rPr>
                <w:rFonts w:cs="Calibri"/>
                <w:color w:val="000000"/>
                <w:sz w:val="20"/>
                <w:szCs w:val="20"/>
              </w:rPr>
              <w:t>10.2</w:t>
            </w:r>
          </w:p>
        </w:tc>
        <w:tc>
          <w:tcPr>
            <w:tcW w:w="115" w:type="pct"/>
            <w:vAlign w:val="center"/>
            <w:hideMark/>
          </w:tcPr>
          <w:p w14:paraId="1B414310" w14:textId="77777777" w:rsidR="00F77FA3" w:rsidRPr="00791DA5" w:rsidRDefault="00F77FA3" w:rsidP="00F77FA3">
            <w:pPr>
              <w:rPr>
                <w:rFonts w:ascii="Times New Roman" w:hAnsi="Times New Roman"/>
                <w:sz w:val="20"/>
                <w:szCs w:val="20"/>
              </w:rPr>
            </w:pPr>
          </w:p>
        </w:tc>
      </w:tr>
      <w:tr w:rsidR="00F77FA3" w:rsidRPr="00791DA5" w14:paraId="50E975A2" w14:textId="77777777" w:rsidTr="00AF74DC">
        <w:trPr>
          <w:cantSplit/>
          <w:trHeight w:val="283"/>
        </w:trPr>
        <w:tc>
          <w:tcPr>
            <w:tcW w:w="1318" w:type="pct"/>
            <w:tcBorders>
              <w:top w:val="nil"/>
              <w:left w:val="single" w:sz="8" w:space="0" w:color="C40012"/>
              <w:bottom w:val="nil"/>
              <w:right w:val="nil"/>
            </w:tcBorders>
            <w:shd w:val="clear" w:color="auto" w:fill="auto"/>
            <w:vAlign w:val="center"/>
            <w:hideMark/>
          </w:tcPr>
          <w:p w14:paraId="4099A610"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South West</w:t>
            </w:r>
          </w:p>
        </w:tc>
        <w:tc>
          <w:tcPr>
            <w:tcW w:w="868" w:type="pct"/>
            <w:tcBorders>
              <w:top w:val="nil"/>
              <w:left w:val="nil"/>
              <w:bottom w:val="nil"/>
              <w:right w:val="nil"/>
            </w:tcBorders>
            <w:vAlign w:val="bottom"/>
          </w:tcPr>
          <w:p w14:paraId="5C00874C" w14:textId="2C9347D0" w:rsidR="00F77FA3" w:rsidRPr="001779D4" w:rsidRDefault="00F77FA3" w:rsidP="00F77FA3">
            <w:pPr>
              <w:jc w:val="right"/>
              <w:rPr>
                <w:rFonts w:cs="Calibri"/>
                <w:color w:val="000000"/>
                <w:sz w:val="20"/>
                <w:szCs w:val="20"/>
              </w:rPr>
            </w:pPr>
            <w:r w:rsidRPr="00AF74DC">
              <w:rPr>
                <w:rFonts w:cs="Calibri"/>
                <w:color w:val="000000"/>
                <w:sz w:val="20"/>
                <w:szCs w:val="20"/>
              </w:rPr>
              <w:t>9.7%</w:t>
            </w:r>
          </w:p>
        </w:tc>
        <w:tc>
          <w:tcPr>
            <w:tcW w:w="868" w:type="pct"/>
            <w:tcBorders>
              <w:top w:val="nil"/>
              <w:left w:val="nil"/>
              <w:bottom w:val="nil"/>
              <w:right w:val="nil"/>
            </w:tcBorders>
            <w:shd w:val="clear" w:color="auto" w:fill="auto"/>
            <w:vAlign w:val="center"/>
            <w:hideMark/>
          </w:tcPr>
          <w:p w14:paraId="61847F57" w14:textId="0BDA97DC" w:rsidR="00F77FA3" w:rsidRPr="00791DA5" w:rsidRDefault="00F77FA3" w:rsidP="00F77FA3">
            <w:pPr>
              <w:jc w:val="right"/>
              <w:rPr>
                <w:rFonts w:cs="Calibri"/>
                <w:color w:val="000000"/>
                <w:sz w:val="20"/>
                <w:szCs w:val="20"/>
              </w:rPr>
            </w:pPr>
            <w:r w:rsidRPr="00791DA5">
              <w:rPr>
                <w:rFonts w:cs="Calibri"/>
                <w:color w:val="000000"/>
                <w:sz w:val="20"/>
                <w:szCs w:val="20"/>
              </w:rPr>
              <w:t>519</w:t>
            </w:r>
          </w:p>
        </w:tc>
        <w:tc>
          <w:tcPr>
            <w:tcW w:w="916" w:type="pct"/>
            <w:tcBorders>
              <w:top w:val="nil"/>
              <w:left w:val="nil"/>
              <w:bottom w:val="nil"/>
              <w:right w:val="nil"/>
            </w:tcBorders>
            <w:shd w:val="clear" w:color="auto" w:fill="auto"/>
            <w:vAlign w:val="center"/>
            <w:hideMark/>
          </w:tcPr>
          <w:p w14:paraId="33160A0B" w14:textId="77777777" w:rsidR="00F77FA3" w:rsidRPr="00791DA5" w:rsidRDefault="00F77FA3" w:rsidP="00F77FA3">
            <w:pPr>
              <w:jc w:val="right"/>
              <w:rPr>
                <w:rFonts w:cs="Calibri"/>
                <w:color w:val="000000"/>
                <w:sz w:val="20"/>
                <w:szCs w:val="20"/>
              </w:rPr>
            </w:pPr>
            <w:r w:rsidRPr="00791DA5">
              <w:rPr>
                <w:rFonts w:cs="Calibri"/>
                <w:color w:val="000000"/>
                <w:sz w:val="20"/>
                <w:szCs w:val="20"/>
              </w:rPr>
              <w:t>9.8</w:t>
            </w:r>
          </w:p>
        </w:tc>
        <w:tc>
          <w:tcPr>
            <w:tcW w:w="915" w:type="pct"/>
            <w:tcBorders>
              <w:top w:val="nil"/>
              <w:left w:val="nil"/>
              <w:bottom w:val="nil"/>
              <w:right w:val="single" w:sz="8" w:space="0" w:color="C40012"/>
            </w:tcBorders>
            <w:shd w:val="clear" w:color="auto" w:fill="auto"/>
            <w:vAlign w:val="center"/>
            <w:hideMark/>
          </w:tcPr>
          <w:p w14:paraId="6F8C0EE0" w14:textId="77777777" w:rsidR="00F77FA3" w:rsidRPr="00791DA5" w:rsidRDefault="00F77FA3" w:rsidP="00F77FA3">
            <w:pPr>
              <w:jc w:val="right"/>
              <w:rPr>
                <w:rFonts w:cs="Calibri"/>
                <w:color w:val="000000"/>
                <w:sz w:val="20"/>
                <w:szCs w:val="20"/>
              </w:rPr>
            </w:pPr>
            <w:r w:rsidRPr="00791DA5">
              <w:rPr>
                <w:rFonts w:cs="Calibri"/>
                <w:color w:val="000000"/>
                <w:sz w:val="20"/>
                <w:szCs w:val="20"/>
              </w:rPr>
              <w:t>9.6</w:t>
            </w:r>
          </w:p>
        </w:tc>
        <w:tc>
          <w:tcPr>
            <w:tcW w:w="115" w:type="pct"/>
            <w:vAlign w:val="center"/>
            <w:hideMark/>
          </w:tcPr>
          <w:p w14:paraId="6B23A122" w14:textId="77777777" w:rsidR="00F77FA3" w:rsidRPr="00791DA5" w:rsidRDefault="00F77FA3" w:rsidP="00F77FA3">
            <w:pPr>
              <w:rPr>
                <w:rFonts w:ascii="Times New Roman" w:hAnsi="Times New Roman"/>
                <w:sz w:val="20"/>
                <w:szCs w:val="20"/>
              </w:rPr>
            </w:pPr>
          </w:p>
        </w:tc>
      </w:tr>
      <w:tr w:rsidR="00F77FA3" w:rsidRPr="00791DA5" w14:paraId="2ECA844C" w14:textId="77777777" w:rsidTr="00AF74DC">
        <w:trPr>
          <w:cantSplit/>
          <w:trHeight w:val="283"/>
        </w:trPr>
        <w:tc>
          <w:tcPr>
            <w:tcW w:w="1318" w:type="pct"/>
            <w:tcBorders>
              <w:top w:val="nil"/>
              <w:left w:val="single" w:sz="8" w:space="0" w:color="C40012"/>
              <w:bottom w:val="nil"/>
              <w:right w:val="nil"/>
            </w:tcBorders>
            <w:shd w:val="clear" w:color="auto" w:fill="auto"/>
            <w:vAlign w:val="center"/>
            <w:hideMark/>
          </w:tcPr>
          <w:p w14:paraId="2752B16D"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North West</w:t>
            </w:r>
          </w:p>
        </w:tc>
        <w:tc>
          <w:tcPr>
            <w:tcW w:w="868" w:type="pct"/>
            <w:tcBorders>
              <w:top w:val="nil"/>
              <w:left w:val="nil"/>
              <w:bottom w:val="nil"/>
              <w:right w:val="nil"/>
            </w:tcBorders>
            <w:vAlign w:val="bottom"/>
          </w:tcPr>
          <w:p w14:paraId="521F2A66" w14:textId="363C38B9" w:rsidR="00F77FA3" w:rsidRPr="001779D4" w:rsidRDefault="00F77FA3" w:rsidP="00F77FA3">
            <w:pPr>
              <w:jc w:val="right"/>
              <w:rPr>
                <w:rFonts w:cs="Calibri"/>
                <w:color w:val="000000"/>
                <w:sz w:val="20"/>
                <w:szCs w:val="20"/>
              </w:rPr>
            </w:pPr>
            <w:r w:rsidRPr="00AF74DC">
              <w:rPr>
                <w:rFonts w:cs="Calibri"/>
                <w:color w:val="000000"/>
                <w:sz w:val="20"/>
                <w:szCs w:val="20"/>
              </w:rPr>
              <w:t>9.0%</w:t>
            </w:r>
          </w:p>
        </w:tc>
        <w:tc>
          <w:tcPr>
            <w:tcW w:w="868" w:type="pct"/>
            <w:tcBorders>
              <w:top w:val="nil"/>
              <w:left w:val="nil"/>
              <w:bottom w:val="nil"/>
              <w:right w:val="nil"/>
            </w:tcBorders>
            <w:shd w:val="clear" w:color="auto" w:fill="auto"/>
            <w:vAlign w:val="center"/>
            <w:hideMark/>
          </w:tcPr>
          <w:p w14:paraId="2A6D79D1" w14:textId="40D54E07" w:rsidR="00F77FA3" w:rsidRPr="00791DA5" w:rsidRDefault="00F77FA3" w:rsidP="00F77FA3">
            <w:pPr>
              <w:jc w:val="right"/>
              <w:rPr>
                <w:rFonts w:cs="Calibri"/>
                <w:color w:val="000000"/>
                <w:sz w:val="20"/>
                <w:szCs w:val="20"/>
              </w:rPr>
            </w:pPr>
            <w:r w:rsidRPr="00791DA5">
              <w:rPr>
                <w:rFonts w:cs="Calibri"/>
                <w:color w:val="000000"/>
                <w:sz w:val="20"/>
                <w:szCs w:val="20"/>
              </w:rPr>
              <w:t>462</w:t>
            </w:r>
          </w:p>
        </w:tc>
        <w:tc>
          <w:tcPr>
            <w:tcW w:w="916" w:type="pct"/>
            <w:tcBorders>
              <w:top w:val="nil"/>
              <w:left w:val="nil"/>
              <w:bottom w:val="nil"/>
              <w:right w:val="nil"/>
            </w:tcBorders>
            <w:shd w:val="clear" w:color="auto" w:fill="auto"/>
            <w:vAlign w:val="center"/>
            <w:hideMark/>
          </w:tcPr>
          <w:p w14:paraId="44E70AE3" w14:textId="77777777" w:rsidR="00F77FA3" w:rsidRPr="00791DA5" w:rsidRDefault="00F77FA3" w:rsidP="00F77FA3">
            <w:pPr>
              <w:jc w:val="right"/>
              <w:rPr>
                <w:rFonts w:cs="Calibri"/>
                <w:color w:val="000000"/>
                <w:sz w:val="20"/>
                <w:szCs w:val="20"/>
              </w:rPr>
            </w:pPr>
            <w:r w:rsidRPr="00791DA5">
              <w:rPr>
                <w:rFonts w:cs="Calibri"/>
                <w:color w:val="000000"/>
                <w:sz w:val="20"/>
                <w:szCs w:val="20"/>
              </w:rPr>
              <w:t>8.8</w:t>
            </w:r>
          </w:p>
        </w:tc>
        <w:tc>
          <w:tcPr>
            <w:tcW w:w="915" w:type="pct"/>
            <w:tcBorders>
              <w:top w:val="nil"/>
              <w:left w:val="nil"/>
              <w:bottom w:val="nil"/>
              <w:right w:val="single" w:sz="8" w:space="0" w:color="C40012"/>
            </w:tcBorders>
            <w:shd w:val="clear" w:color="auto" w:fill="auto"/>
            <w:vAlign w:val="center"/>
            <w:hideMark/>
          </w:tcPr>
          <w:p w14:paraId="6E9976A3" w14:textId="77777777" w:rsidR="00F77FA3" w:rsidRPr="00791DA5" w:rsidRDefault="00F77FA3" w:rsidP="00F77FA3">
            <w:pPr>
              <w:jc w:val="right"/>
              <w:rPr>
                <w:rFonts w:cs="Calibri"/>
                <w:color w:val="000000"/>
                <w:sz w:val="20"/>
                <w:szCs w:val="20"/>
              </w:rPr>
            </w:pPr>
            <w:r w:rsidRPr="00791DA5">
              <w:rPr>
                <w:rFonts w:cs="Calibri"/>
                <w:color w:val="000000"/>
                <w:sz w:val="20"/>
                <w:szCs w:val="20"/>
              </w:rPr>
              <w:t>8.6</w:t>
            </w:r>
          </w:p>
        </w:tc>
        <w:tc>
          <w:tcPr>
            <w:tcW w:w="115" w:type="pct"/>
            <w:vAlign w:val="center"/>
            <w:hideMark/>
          </w:tcPr>
          <w:p w14:paraId="106932B2" w14:textId="77777777" w:rsidR="00F77FA3" w:rsidRPr="00791DA5" w:rsidRDefault="00F77FA3" w:rsidP="00F77FA3">
            <w:pPr>
              <w:rPr>
                <w:rFonts w:ascii="Times New Roman" w:hAnsi="Times New Roman"/>
                <w:sz w:val="20"/>
                <w:szCs w:val="20"/>
              </w:rPr>
            </w:pPr>
          </w:p>
        </w:tc>
      </w:tr>
      <w:tr w:rsidR="00F77FA3" w:rsidRPr="00791DA5" w14:paraId="423939B7" w14:textId="77777777" w:rsidTr="00AF74DC">
        <w:trPr>
          <w:cantSplit/>
          <w:trHeight w:val="283"/>
        </w:trPr>
        <w:tc>
          <w:tcPr>
            <w:tcW w:w="1318" w:type="pct"/>
            <w:tcBorders>
              <w:top w:val="nil"/>
              <w:left w:val="single" w:sz="8" w:space="0" w:color="C40012"/>
              <w:bottom w:val="nil"/>
              <w:right w:val="nil"/>
            </w:tcBorders>
            <w:shd w:val="clear" w:color="auto" w:fill="auto"/>
            <w:vAlign w:val="center"/>
            <w:hideMark/>
          </w:tcPr>
          <w:p w14:paraId="2A4222D7"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West Midlands</w:t>
            </w:r>
          </w:p>
        </w:tc>
        <w:tc>
          <w:tcPr>
            <w:tcW w:w="868" w:type="pct"/>
            <w:tcBorders>
              <w:top w:val="nil"/>
              <w:left w:val="nil"/>
              <w:bottom w:val="nil"/>
              <w:right w:val="nil"/>
            </w:tcBorders>
            <w:vAlign w:val="bottom"/>
          </w:tcPr>
          <w:p w14:paraId="73962025" w14:textId="4D5E49A6" w:rsidR="00F77FA3" w:rsidRPr="001779D4" w:rsidRDefault="00F77FA3" w:rsidP="00F77FA3">
            <w:pPr>
              <w:jc w:val="right"/>
              <w:rPr>
                <w:rFonts w:cs="Calibri"/>
                <w:color w:val="000000"/>
                <w:sz w:val="20"/>
                <w:szCs w:val="20"/>
              </w:rPr>
            </w:pPr>
            <w:r w:rsidRPr="00AF74DC">
              <w:rPr>
                <w:rFonts w:cs="Calibri"/>
                <w:color w:val="000000"/>
                <w:sz w:val="20"/>
                <w:szCs w:val="20"/>
              </w:rPr>
              <w:t>7.9%</w:t>
            </w:r>
          </w:p>
        </w:tc>
        <w:tc>
          <w:tcPr>
            <w:tcW w:w="868" w:type="pct"/>
            <w:tcBorders>
              <w:top w:val="nil"/>
              <w:left w:val="nil"/>
              <w:bottom w:val="nil"/>
              <w:right w:val="nil"/>
            </w:tcBorders>
            <w:shd w:val="clear" w:color="auto" w:fill="auto"/>
            <w:vAlign w:val="center"/>
            <w:hideMark/>
          </w:tcPr>
          <w:p w14:paraId="463F53AB" w14:textId="1D30C8DA" w:rsidR="00F77FA3" w:rsidRPr="00791DA5" w:rsidRDefault="00F77FA3" w:rsidP="00F77FA3">
            <w:pPr>
              <w:jc w:val="right"/>
              <w:rPr>
                <w:rFonts w:cs="Calibri"/>
                <w:color w:val="000000"/>
                <w:sz w:val="20"/>
                <w:szCs w:val="20"/>
              </w:rPr>
            </w:pPr>
            <w:r w:rsidRPr="00791DA5">
              <w:rPr>
                <w:rFonts w:cs="Calibri"/>
                <w:color w:val="000000"/>
                <w:sz w:val="20"/>
                <w:szCs w:val="20"/>
              </w:rPr>
              <w:t>522</w:t>
            </w:r>
          </w:p>
        </w:tc>
        <w:tc>
          <w:tcPr>
            <w:tcW w:w="916" w:type="pct"/>
            <w:tcBorders>
              <w:top w:val="nil"/>
              <w:left w:val="nil"/>
              <w:bottom w:val="nil"/>
              <w:right w:val="nil"/>
            </w:tcBorders>
            <w:shd w:val="clear" w:color="auto" w:fill="auto"/>
            <w:vAlign w:val="center"/>
            <w:hideMark/>
          </w:tcPr>
          <w:p w14:paraId="06799E7E" w14:textId="77777777" w:rsidR="00F77FA3" w:rsidRPr="00791DA5" w:rsidRDefault="00F77FA3" w:rsidP="00F77FA3">
            <w:pPr>
              <w:jc w:val="right"/>
              <w:rPr>
                <w:rFonts w:cs="Calibri"/>
                <w:color w:val="000000"/>
                <w:sz w:val="20"/>
                <w:szCs w:val="20"/>
              </w:rPr>
            </w:pPr>
            <w:r w:rsidRPr="00791DA5">
              <w:rPr>
                <w:rFonts w:cs="Calibri"/>
                <w:color w:val="000000"/>
                <w:sz w:val="20"/>
                <w:szCs w:val="20"/>
              </w:rPr>
              <w:t>9.9</w:t>
            </w:r>
          </w:p>
        </w:tc>
        <w:tc>
          <w:tcPr>
            <w:tcW w:w="915" w:type="pct"/>
            <w:tcBorders>
              <w:top w:val="nil"/>
              <w:left w:val="nil"/>
              <w:bottom w:val="nil"/>
              <w:right w:val="single" w:sz="8" w:space="0" w:color="C40012"/>
            </w:tcBorders>
            <w:shd w:val="clear" w:color="auto" w:fill="auto"/>
            <w:vAlign w:val="center"/>
            <w:hideMark/>
          </w:tcPr>
          <w:p w14:paraId="02C1F350" w14:textId="77777777" w:rsidR="00F77FA3" w:rsidRPr="00791DA5" w:rsidRDefault="00F77FA3" w:rsidP="00F77FA3">
            <w:pPr>
              <w:jc w:val="right"/>
              <w:rPr>
                <w:rFonts w:cs="Calibri"/>
                <w:color w:val="000000"/>
                <w:sz w:val="20"/>
                <w:szCs w:val="20"/>
              </w:rPr>
            </w:pPr>
            <w:r w:rsidRPr="00791DA5">
              <w:rPr>
                <w:rFonts w:cs="Calibri"/>
                <w:color w:val="000000"/>
                <w:sz w:val="20"/>
                <w:szCs w:val="20"/>
              </w:rPr>
              <w:t>9.7</w:t>
            </w:r>
          </w:p>
        </w:tc>
        <w:tc>
          <w:tcPr>
            <w:tcW w:w="115" w:type="pct"/>
            <w:vAlign w:val="center"/>
            <w:hideMark/>
          </w:tcPr>
          <w:p w14:paraId="659FE5A1" w14:textId="77777777" w:rsidR="00F77FA3" w:rsidRPr="00791DA5" w:rsidRDefault="00F77FA3" w:rsidP="00F77FA3">
            <w:pPr>
              <w:rPr>
                <w:rFonts w:ascii="Times New Roman" w:hAnsi="Times New Roman"/>
                <w:sz w:val="20"/>
                <w:szCs w:val="20"/>
              </w:rPr>
            </w:pPr>
          </w:p>
        </w:tc>
      </w:tr>
      <w:tr w:rsidR="00F77FA3" w:rsidRPr="00791DA5" w14:paraId="2B72DD62" w14:textId="77777777" w:rsidTr="00AF74DC">
        <w:trPr>
          <w:cantSplit/>
          <w:trHeight w:val="283"/>
        </w:trPr>
        <w:tc>
          <w:tcPr>
            <w:tcW w:w="1318" w:type="pct"/>
            <w:tcBorders>
              <w:top w:val="nil"/>
              <w:left w:val="single" w:sz="8" w:space="0" w:color="C40012"/>
              <w:bottom w:val="nil"/>
              <w:right w:val="nil"/>
            </w:tcBorders>
            <w:shd w:val="clear" w:color="auto" w:fill="auto"/>
            <w:vAlign w:val="center"/>
            <w:hideMark/>
          </w:tcPr>
          <w:p w14:paraId="2868055D" w14:textId="529A11DB"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 xml:space="preserve">Yorkshire and </w:t>
            </w:r>
            <w:r>
              <w:rPr>
                <w:rFonts w:ascii="Humnst777 BT" w:hAnsi="Humnst777 BT" w:cs="Calibri"/>
                <w:b/>
                <w:bCs/>
                <w:color w:val="000000"/>
                <w:sz w:val="20"/>
                <w:szCs w:val="20"/>
              </w:rPr>
              <w:t xml:space="preserve">the </w:t>
            </w:r>
            <w:r w:rsidRPr="00791DA5">
              <w:rPr>
                <w:rFonts w:ascii="Humnst777 BT" w:hAnsi="Humnst777 BT" w:cs="Calibri"/>
                <w:b/>
                <w:bCs/>
                <w:color w:val="000000"/>
                <w:sz w:val="20"/>
                <w:szCs w:val="20"/>
              </w:rPr>
              <w:t>Humber</w:t>
            </w:r>
          </w:p>
        </w:tc>
        <w:tc>
          <w:tcPr>
            <w:tcW w:w="868" w:type="pct"/>
            <w:tcBorders>
              <w:top w:val="nil"/>
              <w:left w:val="nil"/>
              <w:bottom w:val="nil"/>
              <w:right w:val="nil"/>
            </w:tcBorders>
            <w:vAlign w:val="bottom"/>
          </w:tcPr>
          <w:p w14:paraId="5029D25C" w14:textId="63971CE1" w:rsidR="00F77FA3" w:rsidRPr="001779D4" w:rsidRDefault="00F77FA3" w:rsidP="00F77FA3">
            <w:pPr>
              <w:jc w:val="right"/>
              <w:rPr>
                <w:rFonts w:cs="Calibri"/>
                <w:color w:val="000000"/>
                <w:sz w:val="20"/>
                <w:szCs w:val="20"/>
              </w:rPr>
            </w:pPr>
            <w:r w:rsidRPr="00AF74DC">
              <w:rPr>
                <w:rFonts w:cs="Calibri"/>
                <w:color w:val="000000"/>
                <w:sz w:val="20"/>
                <w:szCs w:val="20"/>
              </w:rPr>
              <w:t>7.1%</w:t>
            </w:r>
          </w:p>
        </w:tc>
        <w:tc>
          <w:tcPr>
            <w:tcW w:w="868" w:type="pct"/>
            <w:tcBorders>
              <w:top w:val="nil"/>
              <w:left w:val="nil"/>
              <w:bottom w:val="nil"/>
              <w:right w:val="nil"/>
            </w:tcBorders>
            <w:shd w:val="clear" w:color="auto" w:fill="auto"/>
            <w:vAlign w:val="center"/>
            <w:hideMark/>
          </w:tcPr>
          <w:p w14:paraId="39A27922" w14:textId="3E7601A4" w:rsidR="00F77FA3" w:rsidRPr="00791DA5" w:rsidRDefault="00F77FA3" w:rsidP="00F77FA3">
            <w:pPr>
              <w:jc w:val="right"/>
              <w:rPr>
                <w:rFonts w:cs="Calibri"/>
                <w:color w:val="000000"/>
                <w:sz w:val="20"/>
                <w:szCs w:val="20"/>
              </w:rPr>
            </w:pPr>
            <w:r w:rsidRPr="00791DA5">
              <w:rPr>
                <w:rFonts w:cs="Calibri"/>
                <w:color w:val="000000"/>
                <w:sz w:val="20"/>
                <w:szCs w:val="20"/>
              </w:rPr>
              <w:t>308</w:t>
            </w:r>
          </w:p>
        </w:tc>
        <w:tc>
          <w:tcPr>
            <w:tcW w:w="916" w:type="pct"/>
            <w:tcBorders>
              <w:top w:val="nil"/>
              <w:left w:val="nil"/>
              <w:bottom w:val="nil"/>
              <w:right w:val="nil"/>
            </w:tcBorders>
            <w:shd w:val="clear" w:color="auto" w:fill="auto"/>
            <w:vAlign w:val="center"/>
            <w:hideMark/>
          </w:tcPr>
          <w:p w14:paraId="290DD79B" w14:textId="77777777" w:rsidR="00F77FA3" w:rsidRPr="00791DA5" w:rsidRDefault="00F77FA3" w:rsidP="00F77FA3">
            <w:pPr>
              <w:jc w:val="right"/>
              <w:rPr>
                <w:rFonts w:cs="Calibri"/>
                <w:color w:val="000000"/>
                <w:sz w:val="20"/>
                <w:szCs w:val="20"/>
              </w:rPr>
            </w:pPr>
            <w:r w:rsidRPr="00791DA5">
              <w:rPr>
                <w:rFonts w:cs="Calibri"/>
                <w:color w:val="000000"/>
                <w:sz w:val="20"/>
                <w:szCs w:val="20"/>
              </w:rPr>
              <w:t>5.8</w:t>
            </w:r>
          </w:p>
        </w:tc>
        <w:tc>
          <w:tcPr>
            <w:tcW w:w="915" w:type="pct"/>
            <w:tcBorders>
              <w:top w:val="nil"/>
              <w:left w:val="nil"/>
              <w:bottom w:val="nil"/>
              <w:right w:val="single" w:sz="8" w:space="0" w:color="C40012"/>
            </w:tcBorders>
            <w:shd w:val="clear" w:color="auto" w:fill="auto"/>
            <w:vAlign w:val="center"/>
            <w:hideMark/>
          </w:tcPr>
          <w:p w14:paraId="13152F60" w14:textId="77777777" w:rsidR="00F77FA3" w:rsidRPr="00791DA5" w:rsidRDefault="00F77FA3" w:rsidP="00F77FA3">
            <w:pPr>
              <w:jc w:val="right"/>
              <w:rPr>
                <w:rFonts w:cs="Calibri"/>
                <w:color w:val="000000"/>
                <w:sz w:val="20"/>
                <w:szCs w:val="20"/>
              </w:rPr>
            </w:pPr>
            <w:r w:rsidRPr="00791DA5">
              <w:rPr>
                <w:rFonts w:cs="Calibri"/>
                <w:color w:val="000000"/>
                <w:sz w:val="20"/>
                <w:szCs w:val="20"/>
              </w:rPr>
              <w:t>5.7</w:t>
            </w:r>
          </w:p>
        </w:tc>
        <w:tc>
          <w:tcPr>
            <w:tcW w:w="115" w:type="pct"/>
            <w:vAlign w:val="center"/>
            <w:hideMark/>
          </w:tcPr>
          <w:p w14:paraId="2EC73617" w14:textId="77777777" w:rsidR="00F77FA3" w:rsidRPr="00791DA5" w:rsidRDefault="00F77FA3" w:rsidP="00F77FA3">
            <w:pPr>
              <w:rPr>
                <w:rFonts w:ascii="Times New Roman" w:hAnsi="Times New Roman"/>
                <w:sz w:val="20"/>
                <w:szCs w:val="20"/>
              </w:rPr>
            </w:pPr>
          </w:p>
        </w:tc>
      </w:tr>
      <w:tr w:rsidR="00F77FA3" w:rsidRPr="00791DA5" w14:paraId="1C0ACD33" w14:textId="77777777" w:rsidTr="00AF74DC">
        <w:trPr>
          <w:cantSplit/>
          <w:trHeight w:val="283"/>
        </w:trPr>
        <w:tc>
          <w:tcPr>
            <w:tcW w:w="1318" w:type="pct"/>
            <w:tcBorders>
              <w:top w:val="nil"/>
              <w:left w:val="single" w:sz="8" w:space="0" w:color="C40012"/>
              <w:bottom w:val="nil"/>
              <w:right w:val="nil"/>
            </w:tcBorders>
            <w:shd w:val="clear" w:color="auto" w:fill="auto"/>
            <w:vAlign w:val="center"/>
            <w:hideMark/>
          </w:tcPr>
          <w:p w14:paraId="70A3C7F3"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East Midlands</w:t>
            </w:r>
          </w:p>
        </w:tc>
        <w:tc>
          <w:tcPr>
            <w:tcW w:w="868" w:type="pct"/>
            <w:tcBorders>
              <w:top w:val="nil"/>
              <w:left w:val="nil"/>
              <w:bottom w:val="nil"/>
              <w:right w:val="nil"/>
            </w:tcBorders>
            <w:vAlign w:val="bottom"/>
          </w:tcPr>
          <w:p w14:paraId="2C5FAA0A" w14:textId="0BA23465" w:rsidR="00F77FA3" w:rsidRPr="001779D4" w:rsidRDefault="00F77FA3" w:rsidP="00F77FA3">
            <w:pPr>
              <w:jc w:val="right"/>
              <w:rPr>
                <w:rFonts w:cs="Calibri"/>
                <w:color w:val="000000"/>
                <w:sz w:val="20"/>
                <w:szCs w:val="20"/>
              </w:rPr>
            </w:pPr>
            <w:r w:rsidRPr="00AF74DC">
              <w:rPr>
                <w:rFonts w:cs="Calibri"/>
                <w:color w:val="000000"/>
                <w:sz w:val="20"/>
                <w:szCs w:val="20"/>
              </w:rPr>
              <w:t>6.5%</w:t>
            </w:r>
          </w:p>
        </w:tc>
        <w:tc>
          <w:tcPr>
            <w:tcW w:w="868" w:type="pct"/>
            <w:tcBorders>
              <w:top w:val="nil"/>
              <w:left w:val="nil"/>
              <w:bottom w:val="nil"/>
              <w:right w:val="nil"/>
            </w:tcBorders>
            <w:shd w:val="clear" w:color="auto" w:fill="auto"/>
            <w:vAlign w:val="center"/>
            <w:hideMark/>
          </w:tcPr>
          <w:p w14:paraId="563A9CD4" w14:textId="44EBFD42" w:rsidR="00F77FA3" w:rsidRPr="00791DA5" w:rsidRDefault="00F77FA3" w:rsidP="00F77FA3">
            <w:pPr>
              <w:jc w:val="right"/>
              <w:rPr>
                <w:rFonts w:cs="Calibri"/>
                <w:color w:val="000000"/>
                <w:sz w:val="20"/>
                <w:szCs w:val="20"/>
              </w:rPr>
            </w:pPr>
            <w:r w:rsidRPr="00791DA5">
              <w:rPr>
                <w:rFonts w:cs="Calibri"/>
                <w:color w:val="000000"/>
                <w:sz w:val="20"/>
                <w:szCs w:val="20"/>
              </w:rPr>
              <w:t>230</w:t>
            </w:r>
          </w:p>
        </w:tc>
        <w:tc>
          <w:tcPr>
            <w:tcW w:w="916" w:type="pct"/>
            <w:tcBorders>
              <w:top w:val="nil"/>
              <w:left w:val="nil"/>
              <w:bottom w:val="nil"/>
              <w:right w:val="nil"/>
            </w:tcBorders>
            <w:shd w:val="clear" w:color="auto" w:fill="auto"/>
            <w:vAlign w:val="center"/>
            <w:hideMark/>
          </w:tcPr>
          <w:p w14:paraId="219F4C0E" w14:textId="77777777" w:rsidR="00F77FA3" w:rsidRPr="00791DA5" w:rsidRDefault="00F77FA3" w:rsidP="00F77FA3">
            <w:pPr>
              <w:jc w:val="right"/>
              <w:rPr>
                <w:rFonts w:cs="Calibri"/>
                <w:color w:val="000000"/>
                <w:sz w:val="20"/>
                <w:szCs w:val="20"/>
              </w:rPr>
            </w:pPr>
            <w:r w:rsidRPr="00791DA5">
              <w:rPr>
                <w:rFonts w:cs="Calibri"/>
                <w:color w:val="000000"/>
                <w:sz w:val="20"/>
                <w:szCs w:val="20"/>
              </w:rPr>
              <w:t>4.4</w:t>
            </w:r>
          </w:p>
        </w:tc>
        <w:tc>
          <w:tcPr>
            <w:tcW w:w="915" w:type="pct"/>
            <w:tcBorders>
              <w:top w:val="nil"/>
              <w:left w:val="nil"/>
              <w:bottom w:val="nil"/>
              <w:right w:val="single" w:sz="8" w:space="0" w:color="C40012"/>
            </w:tcBorders>
            <w:shd w:val="clear" w:color="auto" w:fill="auto"/>
            <w:vAlign w:val="center"/>
            <w:hideMark/>
          </w:tcPr>
          <w:p w14:paraId="77358328" w14:textId="77777777" w:rsidR="00F77FA3" w:rsidRPr="00791DA5" w:rsidRDefault="00F77FA3" w:rsidP="00F77FA3">
            <w:pPr>
              <w:jc w:val="right"/>
              <w:rPr>
                <w:rFonts w:cs="Calibri"/>
                <w:color w:val="000000"/>
                <w:sz w:val="20"/>
                <w:szCs w:val="20"/>
              </w:rPr>
            </w:pPr>
            <w:r w:rsidRPr="00791DA5">
              <w:rPr>
                <w:rFonts w:cs="Calibri"/>
                <w:color w:val="000000"/>
                <w:sz w:val="20"/>
                <w:szCs w:val="20"/>
              </w:rPr>
              <w:t>4.3</w:t>
            </w:r>
          </w:p>
        </w:tc>
        <w:tc>
          <w:tcPr>
            <w:tcW w:w="115" w:type="pct"/>
            <w:vAlign w:val="center"/>
            <w:hideMark/>
          </w:tcPr>
          <w:p w14:paraId="5AF5A013" w14:textId="77777777" w:rsidR="00F77FA3" w:rsidRPr="00791DA5" w:rsidRDefault="00F77FA3" w:rsidP="00F77FA3">
            <w:pPr>
              <w:rPr>
                <w:rFonts w:ascii="Times New Roman" w:hAnsi="Times New Roman"/>
                <w:sz w:val="20"/>
                <w:szCs w:val="20"/>
              </w:rPr>
            </w:pPr>
          </w:p>
        </w:tc>
      </w:tr>
      <w:tr w:rsidR="00F77FA3" w:rsidRPr="00791DA5" w14:paraId="04D55152" w14:textId="77777777" w:rsidTr="00AF74DC">
        <w:trPr>
          <w:cantSplit/>
          <w:trHeight w:val="283"/>
        </w:trPr>
        <w:tc>
          <w:tcPr>
            <w:tcW w:w="1318" w:type="pct"/>
            <w:tcBorders>
              <w:top w:val="nil"/>
              <w:left w:val="single" w:sz="8" w:space="0" w:color="C40012"/>
              <w:bottom w:val="single" w:sz="8" w:space="0" w:color="auto"/>
              <w:right w:val="nil"/>
            </w:tcBorders>
            <w:shd w:val="clear" w:color="auto" w:fill="auto"/>
            <w:vAlign w:val="center"/>
            <w:hideMark/>
          </w:tcPr>
          <w:p w14:paraId="656EDE43"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North East</w:t>
            </w:r>
          </w:p>
        </w:tc>
        <w:tc>
          <w:tcPr>
            <w:tcW w:w="868" w:type="pct"/>
            <w:tcBorders>
              <w:top w:val="nil"/>
              <w:left w:val="nil"/>
              <w:bottom w:val="single" w:sz="8" w:space="0" w:color="auto"/>
              <w:right w:val="nil"/>
            </w:tcBorders>
            <w:vAlign w:val="bottom"/>
          </w:tcPr>
          <w:p w14:paraId="4E2DC331" w14:textId="46A41EEB" w:rsidR="00F77FA3" w:rsidRPr="001779D4" w:rsidRDefault="00F77FA3" w:rsidP="00F77FA3">
            <w:pPr>
              <w:jc w:val="right"/>
              <w:rPr>
                <w:rFonts w:cs="Calibri"/>
                <w:color w:val="000000"/>
                <w:sz w:val="20"/>
                <w:szCs w:val="20"/>
              </w:rPr>
            </w:pPr>
            <w:r w:rsidRPr="00AF74DC">
              <w:rPr>
                <w:rFonts w:cs="Calibri"/>
                <w:color w:val="000000"/>
                <w:sz w:val="20"/>
                <w:szCs w:val="20"/>
              </w:rPr>
              <w:t>3.0%</w:t>
            </w:r>
          </w:p>
        </w:tc>
        <w:tc>
          <w:tcPr>
            <w:tcW w:w="868" w:type="pct"/>
            <w:tcBorders>
              <w:top w:val="nil"/>
              <w:left w:val="nil"/>
              <w:bottom w:val="single" w:sz="8" w:space="0" w:color="auto"/>
              <w:right w:val="nil"/>
            </w:tcBorders>
            <w:shd w:val="clear" w:color="auto" w:fill="auto"/>
            <w:vAlign w:val="center"/>
            <w:hideMark/>
          </w:tcPr>
          <w:p w14:paraId="6951AE24" w14:textId="46733E67" w:rsidR="00F77FA3" w:rsidRPr="00791DA5" w:rsidRDefault="00F77FA3" w:rsidP="00F77FA3">
            <w:pPr>
              <w:jc w:val="right"/>
              <w:rPr>
                <w:rFonts w:cs="Calibri"/>
                <w:color w:val="000000"/>
                <w:sz w:val="20"/>
                <w:szCs w:val="20"/>
              </w:rPr>
            </w:pPr>
            <w:r w:rsidRPr="00791DA5">
              <w:rPr>
                <w:rFonts w:cs="Calibri"/>
                <w:color w:val="000000"/>
                <w:sz w:val="20"/>
                <w:szCs w:val="20"/>
              </w:rPr>
              <w:t>150</w:t>
            </w:r>
          </w:p>
        </w:tc>
        <w:tc>
          <w:tcPr>
            <w:tcW w:w="916" w:type="pct"/>
            <w:tcBorders>
              <w:top w:val="nil"/>
              <w:left w:val="nil"/>
              <w:bottom w:val="single" w:sz="8" w:space="0" w:color="auto"/>
              <w:right w:val="nil"/>
            </w:tcBorders>
            <w:shd w:val="clear" w:color="auto" w:fill="auto"/>
            <w:vAlign w:val="center"/>
            <w:hideMark/>
          </w:tcPr>
          <w:p w14:paraId="7D929A4E" w14:textId="77777777" w:rsidR="00F77FA3" w:rsidRPr="00791DA5" w:rsidRDefault="00F77FA3" w:rsidP="00F77FA3">
            <w:pPr>
              <w:jc w:val="right"/>
              <w:rPr>
                <w:rFonts w:cs="Calibri"/>
                <w:color w:val="000000"/>
                <w:sz w:val="20"/>
                <w:szCs w:val="20"/>
              </w:rPr>
            </w:pPr>
            <w:r w:rsidRPr="00791DA5">
              <w:rPr>
                <w:rFonts w:cs="Calibri"/>
                <w:color w:val="000000"/>
                <w:sz w:val="20"/>
                <w:szCs w:val="20"/>
              </w:rPr>
              <w:t>2.8</w:t>
            </w:r>
          </w:p>
        </w:tc>
        <w:tc>
          <w:tcPr>
            <w:tcW w:w="915" w:type="pct"/>
            <w:tcBorders>
              <w:top w:val="nil"/>
              <w:left w:val="nil"/>
              <w:bottom w:val="single" w:sz="8" w:space="0" w:color="auto"/>
              <w:right w:val="single" w:sz="8" w:space="0" w:color="C40012"/>
            </w:tcBorders>
            <w:shd w:val="clear" w:color="auto" w:fill="auto"/>
            <w:vAlign w:val="center"/>
            <w:hideMark/>
          </w:tcPr>
          <w:p w14:paraId="7C368C82" w14:textId="77777777" w:rsidR="00F77FA3" w:rsidRPr="00791DA5" w:rsidRDefault="00F77FA3" w:rsidP="00F77FA3">
            <w:pPr>
              <w:jc w:val="right"/>
              <w:rPr>
                <w:rFonts w:cs="Calibri"/>
                <w:color w:val="000000"/>
                <w:sz w:val="20"/>
                <w:szCs w:val="20"/>
              </w:rPr>
            </w:pPr>
            <w:r w:rsidRPr="00791DA5">
              <w:rPr>
                <w:rFonts w:cs="Calibri"/>
                <w:color w:val="000000"/>
                <w:sz w:val="20"/>
                <w:szCs w:val="20"/>
              </w:rPr>
              <w:t>2.8</w:t>
            </w:r>
          </w:p>
        </w:tc>
        <w:tc>
          <w:tcPr>
            <w:tcW w:w="115" w:type="pct"/>
            <w:vAlign w:val="center"/>
            <w:hideMark/>
          </w:tcPr>
          <w:p w14:paraId="53B93FE7" w14:textId="77777777" w:rsidR="00F77FA3" w:rsidRPr="00791DA5" w:rsidRDefault="00F77FA3" w:rsidP="00F77FA3">
            <w:pPr>
              <w:rPr>
                <w:rFonts w:ascii="Times New Roman" w:hAnsi="Times New Roman"/>
                <w:sz w:val="20"/>
                <w:szCs w:val="20"/>
              </w:rPr>
            </w:pPr>
          </w:p>
        </w:tc>
      </w:tr>
      <w:tr w:rsidR="00F77FA3" w:rsidRPr="00791DA5" w14:paraId="28F9F1BB" w14:textId="77777777" w:rsidTr="00AF74DC">
        <w:trPr>
          <w:cantSplit/>
          <w:trHeight w:val="283"/>
        </w:trPr>
        <w:tc>
          <w:tcPr>
            <w:tcW w:w="1318" w:type="pct"/>
            <w:tcBorders>
              <w:top w:val="single" w:sz="8" w:space="0" w:color="auto"/>
              <w:left w:val="single" w:sz="8" w:space="0" w:color="C40012"/>
              <w:bottom w:val="single" w:sz="8" w:space="0" w:color="auto"/>
              <w:right w:val="nil"/>
            </w:tcBorders>
            <w:shd w:val="clear" w:color="auto" w:fill="auto"/>
            <w:vAlign w:val="center"/>
            <w:hideMark/>
          </w:tcPr>
          <w:p w14:paraId="069D6673"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England</w:t>
            </w:r>
          </w:p>
        </w:tc>
        <w:tc>
          <w:tcPr>
            <w:tcW w:w="868" w:type="pct"/>
            <w:tcBorders>
              <w:top w:val="nil"/>
              <w:left w:val="nil"/>
              <w:bottom w:val="single" w:sz="8" w:space="0" w:color="auto"/>
              <w:right w:val="nil"/>
            </w:tcBorders>
            <w:vAlign w:val="bottom"/>
          </w:tcPr>
          <w:p w14:paraId="70369F2B" w14:textId="2365A985" w:rsidR="00F77FA3" w:rsidRPr="001779D4" w:rsidRDefault="00F77FA3" w:rsidP="00F77FA3">
            <w:pPr>
              <w:jc w:val="right"/>
              <w:rPr>
                <w:rFonts w:cs="Calibri"/>
                <w:color w:val="000000"/>
                <w:sz w:val="20"/>
                <w:szCs w:val="20"/>
              </w:rPr>
            </w:pPr>
            <w:r w:rsidRPr="00AF74DC">
              <w:rPr>
                <w:rFonts w:cs="Calibri"/>
                <w:color w:val="000000"/>
                <w:sz w:val="20"/>
                <w:szCs w:val="20"/>
              </w:rPr>
              <w:t>87.1%</w:t>
            </w:r>
          </w:p>
        </w:tc>
        <w:tc>
          <w:tcPr>
            <w:tcW w:w="868" w:type="pct"/>
            <w:tcBorders>
              <w:top w:val="nil"/>
              <w:left w:val="nil"/>
              <w:bottom w:val="single" w:sz="8" w:space="0" w:color="auto"/>
              <w:right w:val="nil"/>
            </w:tcBorders>
            <w:shd w:val="clear" w:color="auto" w:fill="auto"/>
            <w:vAlign w:val="center"/>
            <w:hideMark/>
          </w:tcPr>
          <w:p w14:paraId="5F6FEAF8" w14:textId="7F65673E" w:rsidR="00F77FA3" w:rsidRPr="00791DA5" w:rsidRDefault="00F77FA3" w:rsidP="00F77FA3">
            <w:pPr>
              <w:jc w:val="right"/>
              <w:rPr>
                <w:rFonts w:cs="Calibri"/>
                <w:color w:val="000000"/>
                <w:sz w:val="20"/>
                <w:szCs w:val="20"/>
              </w:rPr>
            </w:pPr>
            <w:r w:rsidRPr="00791DA5">
              <w:rPr>
                <w:rFonts w:cs="Calibri"/>
                <w:color w:val="000000"/>
                <w:sz w:val="20"/>
                <w:szCs w:val="20"/>
              </w:rPr>
              <w:t>4,838</w:t>
            </w:r>
          </w:p>
        </w:tc>
        <w:tc>
          <w:tcPr>
            <w:tcW w:w="916" w:type="pct"/>
            <w:tcBorders>
              <w:top w:val="nil"/>
              <w:left w:val="nil"/>
              <w:bottom w:val="single" w:sz="8" w:space="0" w:color="auto"/>
              <w:right w:val="nil"/>
            </w:tcBorders>
            <w:shd w:val="clear" w:color="auto" w:fill="auto"/>
            <w:vAlign w:val="center"/>
            <w:hideMark/>
          </w:tcPr>
          <w:p w14:paraId="639617D7" w14:textId="77777777" w:rsidR="00F77FA3" w:rsidRPr="00791DA5" w:rsidRDefault="00F77FA3" w:rsidP="00F77FA3">
            <w:pPr>
              <w:jc w:val="right"/>
              <w:rPr>
                <w:rFonts w:cs="Calibri"/>
                <w:color w:val="000000"/>
                <w:sz w:val="20"/>
                <w:szCs w:val="20"/>
              </w:rPr>
            </w:pPr>
            <w:r w:rsidRPr="00791DA5">
              <w:rPr>
                <w:rFonts w:cs="Calibri"/>
                <w:color w:val="000000"/>
                <w:sz w:val="20"/>
                <w:szCs w:val="20"/>
              </w:rPr>
              <w:t>91.7</w:t>
            </w:r>
          </w:p>
        </w:tc>
        <w:tc>
          <w:tcPr>
            <w:tcW w:w="915" w:type="pct"/>
            <w:tcBorders>
              <w:top w:val="nil"/>
              <w:left w:val="nil"/>
              <w:bottom w:val="single" w:sz="8" w:space="0" w:color="auto"/>
              <w:right w:val="single" w:sz="8" w:space="0" w:color="C40012"/>
            </w:tcBorders>
            <w:shd w:val="clear" w:color="auto" w:fill="auto"/>
            <w:vAlign w:val="center"/>
            <w:hideMark/>
          </w:tcPr>
          <w:p w14:paraId="101D7497" w14:textId="77777777" w:rsidR="00F77FA3" w:rsidRPr="00791DA5" w:rsidRDefault="00F77FA3" w:rsidP="00F77FA3">
            <w:pPr>
              <w:jc w:val="right"/>
              <w:rPr>
                <w:rFonts w:cs="Calibri"/>
                <w:color w:val="000000"/>
                <w:sz w:val="20"/>
                <w:szCs w:val="20"/>
              </w:rPr>
            </w:pPr>
            <w:r w:rsidRPr="00791DA5">
              <w:rPr>
                <w:rFonts w:cs="Calibri"/>
                <w:color w:val="000000"/>
                <w:sz w:val="20"/>
                <w:szCs w:val="20"/>
              </w:rPr>
              <w:t>89.8</w:t>
            </w:r>
          </w:p>
        </w:tc>
        <w:tc>
          <w:tcPr>
            <w:tcW w:w="115" w:type="pct"/>
            <w:vAlign w:val="center"/>
            <w:hideMark/>
          </w:tcPr>
          <w:p w14:paraId="550E8465" w14:textId="77777777" w:rsidR="00F77FA3" w:rsidRPr="00791DA5" w:rsidRDefault="00F77FA3" w:rsidP="00F77FA3">
            <w:pPr>
              <w:rPr>
                <w:rFonts w:ascii="Times New Roman" w:hAnsi="Times New Roman"/>
                <w:sz w:val="20"/>
                <w:szCs w:val="20"/>
              </w:rPr>
            </w:pPr>
          </w:p>
        </w:tc>
      </w:tr>
      <w:tr w:rsidR="00F77FA3" w:rsidRPr="00791DA5" w14:paraId="479E07FF" w14:textId="77777777" w:rsidTr="00AF74DC">
        <w:trPr>
          <w:cantSplit/>
          <w:trHeight w:val="283"/>
        </w:trPr>
        <w:tc>
          <w:tcPr>
            <w:tcW w:w="1318" w:type="pct"/>
            <w:tcBorders>
              <w:top w:val="single" w:sz="8" w:space="0" w:color="auto"/>
              <w:left w:val="single" w:sz="8" w:space="0" w:color="C40012"/>
              <w:bottom w:val="nil"/>
              <w:right w:val="nil"/>
            </w:tcBorders>
            <w:shd w:val="clear" w:color="auto" w:fill="auto"/>
            <w:vAlign w:val="center"/>
            <w:hideMark/>
          </w:tcPr>
          <w:p w14:paraId="17BB6103"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Scotland</w:t>
            </w:r>
          </w:p>
        </w:tc>
        <w:tc>
          <w:tcPr>
            <w:tcW w:w="868" w:type="pct"/>
            <w:tcBorders>
              <w:top w:val="nil"/>
              <w:left w:val="nil"/>
              <w:bottom w:val="nil"/>
              <w:right w:val="nil"/>
            </w:tcBorders>
            <w:vAlign w:val="bottom"/>
          </w:tcPr>
          <w:p w14:paraId="6E2131A5" w14:textId="41D519A1" w:rsidR="00F77FA3" w:rsidRPr="001779D4" w:rsidRDefault="00F77FA3" w:rsidP="00F77FA3">
            <w:pPr>
              <w:jc w:val="right"/>
              <w:rPr>
                <w:rFonts w:cs="Calibri"/>
                <w:color w:val="000000"/>
                <w:sz w:val="20"/>
                <w:szCs w:val="20"/>
              </w:rPr>
            </w:pPr>
            <w:r w:rsidRPr="00AF74DC">
              <w:rPr>
                <w:rFonts w:cs="Calibri"/>
                <w:color w:val="000000"/>
                <w:sz w:val="20"/>
                <w:szCs w:val="20"/>
              </w:rPr>
              <w:t>6.5%</w:t>
            </w:r>
          </w:p>
        </w:tc>
        <w:tc>
          <w:tcPr>
            <w:tcW w:w="868" w:type="pct"/>
            <w:tcBorders>
              <w:top w:val="nil"/>
              <w:left w:val="nil"/>
              <w:bottom w:val="nil"/>
              <w:right w:val="nil"/>
            </w:tcBorders>
            <w:shd w:val="clear" w:color="auto" w:fill="auto"/>
            <w:vAlign w:val="center"/>
            <w:hideMark/>
          </w:tcPr>
          <w:p w14:paraId="0A856DE9" w14:textId="415B7EED" w:rsidR="00F77FA3" w:rsidRPr="00791DA5" w:rsidRDefault="00F77FA3" w:rsidP="00F77FA3">
            <w:pPr>
              <w:jc w:val="right"/>
              <w:rPr>
                <w:rFonts w:cs="Calibri"/>
                <w:color w:val="000000"/>
                <w:sz w:val="20"/>
                <w:szCs w:val="20"/>
              </w:rPr>
            </w:pPr>
            <w:r w:rsidRPr="00791DA5">
              <w:rPr>
                <w:rFonts w:cs="Calibri"/>
                <w:color w:val="000000"/>
                <w:sz w:val="20"/>
                <w:szCs w:val="20"/>
              </w:rPr>
              <w:t>250</w:t>
            </w:r>
          </w:p>
        </w:tc>
        <w:tc>
          <w:tcPr>
            <w:tcW w:w="916" w:type="pct"/>
            <w:tcBorders>
              <w:top w:val="nil"/>
              <w:left w:val="nil"/>
              <w:bottom w:val="nil"/>
              <w:right w:val="nil"/>
            </w:tcBorders>
            <w:shd w:val="clear" w:color="auto" w:fill="auto"/>
            <w:vAlign w:val="center"/>
            <w:hideMark/>
          </w:tcPr>
          <w:p w14:paraId="3BD63180" w14:textId="77777777" w:rsidR="00F77FA3" w:rsidRPr="00791DA5" w:rsidRDefault="00F77FA3" w:rsidP="00F77FA3">
            <w:pPr>
              <w:jc w:val="right"/>
              <w:rPr>
                <w:rFonts w:cs="Calibri"/>
                <w:color w:val="000000"/>
                <w:sz w:val="20"/>
                <w:szCs w:val="20"/>
              </w:rPr>
            </w:pPr>
            <w:r w:rsidRPr="00791DA5">
              <w:rPr>
                <w:rFonts w:cs="Calibri"/>
                <w:color w:val="000000"/>
                <w:sz w:val="20"/>
                <w:szCs w:val="20"/>
              </w:rPr>
              <w:t>4.7</w:t>
            </w:r>
          </w:p>
        </w:tc>
        <w:tc>
          <w:tcPr>
            <w:tcW w:w="915" w:type="pct"/>
            <w:tcBorders>
              <w:top w:val="nil"/>
              <w:left w:val="nil"/>
              <w:bottom w:val="nil"/>
              <w:right w:val="single" w:sz="8" w:space="0" w:color="C40012"/>
            </w:tcBorders>
            <w:shd w:val="clear" w:color="auto" w:fill="auto"/>
            <w:vAlign w:val="center"/>
            <w:hideMark/>
          </w:tcPr>
          <w:p w14:paraId="2335DBA3" w14:textId="77777777" w:rsidR="00F77FA3" w:rsidRPr="00791DA5" w:rsidRDefault="00F77FA3" w:rsidP="00F77FA3">
            <w:pPr>
              <w:jc w:val="right"/>
              <w:rPr>
                <w:rFonts w:cs="Calibri"/>
                <w:color w:val="000000"/>
                <w:sz w:val="20"/>
                <w:szCs w:val="20"/>
              </w:rPr>
            </w:pPr>
            <w:r w:rsidRPr="00791DA5">
              <w:rPr>
                <w:rFonts w:cs="Calibri"/>
                <w:color w:val="000000"/>
                <w:sz w:val="20"/>
                <w:szCs w:val="20"/>
              </w:rPr>
              <w:t>4.6</w:t>
            </w:r>
          </w:p>
        </w:tc>
        <w:tc>
          <w:tcPr>
            <w:tcW w:w="115" w:type="pct"/>
            <w:vAlign w:val="center"/>
            <w:hideMark/>
          </w:tcPr>
          <w:p w14:paraId="6437B169" w14:textId="77777777" w:rsidR="00F77FA3" w:rsidRPr="00791DA5" w:rsidRDefault="00F77FA3" w:rsidP="00F77FA3">
            <w:pPr>
              <w:rPr>
                <w:rFonts w:ascii="Times New Roman" w:hAnsi="Times New Roman"/>
                <w:sz w:val="20"/>
                <w:szCs w:val="20"/>
              </w:rPr>
            </w:pPr>
          </w:p>
        </w:tc>
      </w:tr>
      <w:tr w:rsidR="00F77FA3" w:rsidRPr="00791DA5" w14:paraId="31A1BF28" w14:textId="77777777" w:rsidTr="00AF74DC">
        <w:trPr>
          <w:cantSplit/>
          <w:trHeight w:val="283"/>
        </w:trPr>
        <w:tc>
          <w:tcPr>
            <w:tcW w:w="1318" w:type="pct"/>
            <w:tcBorders>
              <w:top w:val="nil"/>
              <w:left w:val="single" w:sz="8" w:space="0" w:color="C40012"/>
              <w:bottom w:val="nil"/>
              <w:right w:val="nil"/>
            </w:tcBorders>
            <w:shd w:val="clear" w:color="auto" w:fill="auto"/>
            <w:vAlign w:val="center"/>
            <w:hideMark/>
          </w:tcPr>
          <w:p w14:paraId="14A5AF56"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Wales</w:t>
            </w:r>
          </w:p>
        </w:tc>
        <w:tc>
          <w:tcPr>
            <w:tcW w:w="868" w:type="pct"/>
            <w:tcBorders>
              <w:top w:val="nil"/>
              <w:left w:val="nil"/>
              <w:bottom w:val="nil"/>
              <w:right w:val="nil"/>
            </w:tcBorders>
            <w:vAlign w:val="bottom"/>
          </w:tcPr>
          <w:p w14:paraId="0018940E" w14:textId="1D4A93A2" w:rsidR="00F77FA3" w:rsidRPr="001779D4" w:rsidRDefault="00F77FA3" w:rsidP="00F77FA3">
            <w:pPr>
              <w:jc w:val="right"/>
              <w:rPr>
                <w:rFonts w:cs="Calibri"/>
                <w:color w:val="000000"/>
                <w:sz w:val="20"/>
                <w:szCs w:val="20"/>
              </w:rPr>
            </w:pPr>
            <w:r w:rsidRPr="00AF74DC">
              <w:rPr>
                <w:rFonts w:cs="Calibri"/>
                <w:color w:val="000000"/>
                <w:sz w:val="20"/>
                <w:szCs w:val="20"/>
              </w:rPr>
              <w:t>4.0%</w:t>
            </w:r>
          </w:p>
        </w:tc>
        <w:tc>
          <w:tcPr>
            <w:tcW w:w="868" w:type="pct"/>
            <w:tcBorders>
              <w:top w:val="nil"/>
              <w:left w:val="nil"/>
              <w:bottom w:val="nil"/>
              <w:right w:val="nil"/>
            </w:tcBorders>
            <w:shd w:val="clear" w:color="auto" w:fill="auto"/>
            <w:vAlign w:val="center"/>
            <w:hideMark/>
          </w:tcPr>
          <w:p w14:paraId="334426B9" w14:textId="1B46A444" w:rsidR="00F77FA3" w:rsidRPr="00791DA5" w:rsidRDefault="00F77FA3" w:rsidP="00F77FA3">
            <w:pPr>
              <w:jc w:val="right"/>
              <w:rPr>
                <w:rFonts w:cs="Calibri"/>
                <w:color w:val="000000"/>
                <w:sz w:val="20"/>
                <w:szCs w:val="20"/>
              </w:rPr>
            </w:pPr>
            <w:r w:rsidRPr="00791DA5">
              <w:rPr>
                <w:rFonts w:cs="Calibri"/>
                <w:color w:val="000000"/>
                <w:sz w:val="20"/>
                <w:szCs w:val="20"/>
              </w:rPr>
              <w:t>159</w:t>
            </w:r>
          </w:p>
        </w:tc>
        <w:tc>
          <w:tcPr>
            <w:tcW w:w="916" w:type="pct"/>
            <w:tcBorders>
              <w:top w:val="nil"/>
              <w:left w:val="nil"/>
              <w:bottom w:val="nil"/>
              <w:right w:val="nil"/>
            </w:tcBorders>
            <w:shd w:val="clear" w:color="auto" w:fill="auto"/>
            <w:vAlign w:val="center"/>
            <w:hideMark/>
          </w:tcPr>
          <w:p w14:paraId="588E4EB0" w14:textId="77777777" w:rsidR="00F77FA3" w:rsidRPr="00791DA5" w:rsidRDefault="00F77FA3" w:rsidP="00F77FA3">
            <w:pPr>
              <w:jc w:val="right"/>
              <w:rPr>
                <w:rFonts w:cs="Calibri"/>
                <w:color w:val="000000"/>
                <w:sz w:val="20"/>
                <w:szCs w:val="20"/>
              </w:rPr>
            </w:pPr>
            <w:r w:rsidRPr="00791DA5">
              <w:rPr>
                <w:rFonts w:cs="Calibri"/>
                <w:color w:val="000000"/>
                <w:sz w:val="20"/>
                <w:szCs w:val="20"/>
              </w:rPr>
              <w:t>3.0</w:t>
            </w:r>
          </w:p>
        </w:tc>
        <w:tc>
          <w:tcPr>
            <w:tcW w:w="915" w:type="pct"/>
            <w:tcBorders>
              <w:top w:val="nil"/>
              <w:left w:val="nil"/>
              <w:bottom w:val="nil"/>
              <w:right w:val="single" w:sz="8" w:space="0" w:color="C40012"/>
            </w:tcBorders>
            <w:shd w:val="clear" w:color="auto" w:fill="auto"/>
            <w:vAlign w:val="center"/>
            <w:hideMark/>
          </w:tcPr>
          <w:p w14:paraId="666D9AB7" w14:textId="77777777" w:rsidR="00F77FA3" w:rsidRPr="00791DA5" w:rsidRDefault="00F77FA3" w:rsidP="00F77FA3">
            <w:pPr>
              <w:jc w:val="right"/>
              <w:rPr>
                <w:rFonts w:cs="Calibri"/>
                <w:color w:val="000000"/>
                <w:sz w:val="20"/>
                <w:szCs w:val="20"/>
              </w:rPr>
            </w:pPr>
            <w:r w:rsidRPr="00791DA5">
              <w:rPr>
                <w:rFonts w:cs="Calibri"/>
                <w:color w:val="000000"/>
                <w:sz w:val="20"/>
                <w:szCs w:val="20"/>
              </w:rPr>
              <w:t>3.0</w:t>
            </w:r>
          </w:p>
        </w:tc>
        <w:tc>
          <w:tcPr>
            <w:tcW w:w="115" w:type="pct"/>
            <w:vAlign w:val="center"/>
            <w:hideMark/>
          </w:tcPr>
          <w:p w14:paraId="15D54416" w14:textId="77777777" w:rsidR="00F77FA3" w:rsidRPr="00791DA5" w:rsidRDefault="00F77FA3" w:rsidP="00F77FA3">
            <w:pPr>
              <w:rPr>
                <w:rFonts w:ascii="Times New Roman" w:hAnsi="Times New Roman"/>
                <w:sz w:val="20"/>
                <w:szCs w:val="20"/>
              </w:rPr>
            </w:pPr>
          </w:p>
        </w:tc>
      </w:tr>
      <w:tr w:rsidR="00F77FA3" w:rsidRPr="00791DA5" w14:paraId="446C270F" w14:textId="77777777" w:rsidTr="00AF74DC">
        <w:trPr>
          <w:cantSplit/>
          <w:trHeight w:val="283"/>
        </w:trPr>
        <w:tc>
          <w:tcPr>
            <w:tcW w:w="1318" w:type="pct"/>
            <w:tcBorders>
              <w:top w:val="nil"/>
              <w:left w:val="single" w:sz="8" w:space="0" w:color="C40012"/>
              <w:bottom w:val="single" w:sz="8" w:space="0" w:color="auto"/>
              <w:right w:val="nil"/>
            </w:tcBorders>
            <w:shd w:val="clear" w:color="auto" w:fill="auto"/>
            <w:vAlign w:val="center"/>
            <w:hideMark/>
          </w:tcPr>
          <w:p w14:paraId="252F4018"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Northern Ireland</w:t>
            </w:r>
          </w:p>
        </w:tc>
        <w:tc>
          <w:tcPr>
            <w:tcW w:w="868" w:type="pct"/>
            <w:tcBorders>
              <w:top w:val="nil"/>
              <w:left w:val="nil"/>
              <w:bottom w:val="single" w:sz="8" w:space="0" w:color="auto"/>
              <w:right w:val="nil"/>
            </w:tcBorders>
            <w:vAlign w:val="bottom"/>
          </w:tcPr>
          <w:p w14:paraId="1D2D0BFC" w14:textId="3164F1EB" w:rsidR="00F77FA3" w:rsidRPr="001779D4" w:rsidRDefault="00F77FA3" w:rsidP="00F77FA3">
            <w:pPr>
              <w:jc w:val="right"/>
              <w:rPr>
                <w:rFonts w:cs="Calibri"/>
                <w:color w:val="000000"/>
                <w:sz w:val="20"/>
                <w:szCs w:val="20"/>
              </w:rPr>
            </w:pPr>
            <w:r w:rsidRPr="00AF74DC">
              <w:rPr>
                <w:rFonts w:cs="Calibri"/>
                <w:color w:val="000000"/>
                <w:sz w:val="20"/>
                <w:szCs w:val="20"/>
              </w:rPr>
              <w:t>2.4%</w:t>
            </w:r>
          </w:p>
        </w:tc>
        <w:tc>
          <w:tcPr>
            <w:tcW w:w="868" w:type="pct"/>
            <w:tcBorders>
              <w:top w:val="nil"/>
              <w:left w:val="nil"/>
              <w:bottom w:val="single" w:sz="8" w:space="0" w:color="auto"/>
              <w:right w:val="nil"/>
            </w:tcBorders>
            <w:shd w:val="clear" w:color="auto" w:fill="auto"/>
            <w:vAlign w:val="center"/>
            <w:hideMark/>
          </w:tcPr>
          <w:p w14:paraId="20BA950A" w14:textId="755A1D90" w:rsidR="00F77FA3" w:rsidRPr="00791DA5" w:rsidRDefault="00F77FA3" w:rsidP="00F77FA3">
            <w:pPr>
              <w:jc w:val="right"/>
              <w:rPr>
                <w:rFonts w:cs="Calibri"/>
                <w:color w:val="000000"/>
                <w:sz w:val="20"/>
                <w:szCs w:val="20"/>
              </w:rPr>
            </w:pPr>
            <w:r w:rsidRPr="00791DA5">
              <w:rPr>
                <w:rFonts w:cs="Calibri"/>
                <w:color w:val="000000"/>
                <w:sz w:val="20"/>
                <w:szCs w:val="20"/>
              </w:rPr>
              <w:t>31</w:t>
            </w:r>
          </w:p>
        </w:tc>
        <w:tc>
          <w:tcPr>
            <w:tcW w:w="916" w:type="pct"/>
            <w:tcBorders>
              <w:top w:val="nil"/>
              <w:left w:val="nil"/>
              <w:bottom w:val="single" w:sz="8" w:space="0" w:color="auto"/>
              <w:right w:val="nil"/>
            </w:tcBorders>
            <w:shd w:val="clear" w:color="auto" w:fill="auto"/>
            <w:vAlign w:val="center"/>
            <w:hideMark/>
          </w:tcPr>
          <w:p w14:paraId="30F45C94" w14:textId="77777777" w:rsidR="00F77FA3" w:rsidRPr="00791DA5" w:rsidRDefault="00F77FA3" w:rsidP="00F77FA3">
            <w:pPr>
              <w:jc w:val="right"/>
              <w:rPr>
                <w:rFonts w:cs="Calibri"/>
                <w:color w:val="000000"/>
                <w:sz w:val="20"/>
                <w:szCs w:val="20"/>
              </w:rPr>
            </w:pPr>
            <w:r w:rsidRPr="00791DA5">
              <w:rPr>
                <w:rFonts w:cs="Calibri"/>
                <w:color w:val="000000"/>
                <w:sz w:val="20"/>
                <w:szCs w:val="20"/>
              </w:rPr>
              <w:t>0.6</w:t>
            </w:r>
          </w:p>
        </w:tc>
        <w:tc>
          <w:tcPr>
            <w:tcW w:w="915" w:type="pct"/>
            <w:tcBorders>
              <w:top w:val="nil"/>
              <w:left w:val="nil"/>
              <w:bottom w:val="single" w:sz="8" w:space="0" w:color="auto"/>
              <w:right w:val="single" w:sz="8" w:space="0" w:color="C40012"/>
            </w:tcBorders>
            <w:shd w:val="clear" w:color="auto" w:fill="auto"/>
            <w:vAlign w:val="center"/>
            <w:hideMark/>
          </w:tcPr>
          <w:p w14:paraId="2990593B" w14:textId="77777777" w:rsidR="00F77FA3" w:rsidRPr="00791DA5" w:rsidRDefault="00F77FA3" w:rsidP="00F77FA3">
            <w:pPr>
              <w:jc w:val="right"/>
              <w:rPr>
                <w:rFonts w:cs="Calibri"/>
                <w:color w:val="000000"/>
                <w:sz w:val="20"/>
                <w:szCs w:val="20"/>
              </w:rPr>
            </w:pPr>
            <w:r w:rsidRPr="00791DA5">
              <w:rPr>
                <w:rFonts w:cs="Calibri"/>
                <w:color w:val="000000"/>
                <w:sz w:val="20"/>
                <w:szCs w:val="20"/>
              </w:rPr>
              <w:t>0.6</w:t>
            </w:r>
          </w:p>
        </w:tc>
        <w:tc>
          <w:tcPr>
            <w:tcW w:w="115" w:type="pct"/>
            <w:vAlign w:val="center"/>
            <w:hideMark/>
          </w:tcPr>
          <w:p w14:paraId="21BC0081" w14:textId="77777777" w:rsidR="00F77FA3" w:rsidRPr="00791DA5" w:rsidRDefault="00F77FA3" w:rsidP="00F77FA3">
            <w:pPr>
              <w:rPr>
                <w:rFonts w:ascii="Times New Roman" w:hAnsi="Times New Roman"/>
                <w:sz w:val="20"/>
                <w:szCs w:val="20"/>
              </w:rPr>
            </w:pPr>
          </w:p>
        </w:tc>
      </w:tr>
      <w:tr w:rsidR="00F77FA3" w:rsidRPr="00791DA5" w14:paraId="69954811" w14:textId="77777777" w:rsidTr="00AF74DC">
        <w:trPr>
          <w:cantSplit/>
          <w:trHeight w:val="283"/>
        </w:trPr>
        <w:tc>
          <w:tcPr>
            <w:tcW w:w="1318" w:type="pct"/>
            <w:tcBorders>
              <w:top w:val="single" w:sz="8" w:space="0" w:color="auto"/>
              <w:left w:val="single" w:sz="8" w:space="0" w:color="C40012"/>
              <w:bottom w:val="single" w:sz="8" w:space="0" w:color="auto"/>
              <w:right w:val="nil"/>
            </w:tcBorders>
            <w:shd w:val="clear" w:color="auto" w:fill="auto"/>
            <w:vAlign w:val="center"/>
            <w:hideMark/>
          </w:tcPr>
          <w:p w14:paraId="04234E42" w14:textId="77777777" w:rsidR="00F77FA3" w:rsidRPr="00791DA5" w:rsidRDefault="00F77FA3" w:rsidP="00F77FA3">
            <w:pPr>
              <w:rPr>
                <w:rFonts w:ascii="Humnst777 BT" w:hAnsi="Humnst777 BT" w:cs="Calibri"/>
                <w:b/>
                <w:bCs/>
                <w:color w:val="000000"/>
                <w:sz w:val="20"/>
                <w:szCs w:val="20"/>
              </w:rPr>
            </w:pPr>
            <w:r w:rsidRPr="00791DA5">
              <w:rPr>
                <w:rFonts w:ascii="Humnst777 BT" w:hAnsi="Humnst777 BT" w:cs="Calibri"/>
                <w:b/>
                <w:bCs/>
                <w:color w:val="000000"/>
                <w:sz w:val="20"/>
                <w:szCs w:val="20"/>
              </w:rPr>
              <w:t>Scotland, Wales and Northern Ireland</w:t>
            </w:r>
          </w:p>
        </w:tc>
        <w:tc>
          <w:tcPr>
            <w:tcW w:w="868" w:type="pct"/>
            <w:tcBorders>
              <w:top w:val="nil"/>
              <w:left w:val="nil"/>
              <w:bottom w:val="single" w:sz="8" w:space="0" w:color="auto"/>
              <w:right w:val="nil"/>
            </w:tcBorders>
            <w:vAlign w:val="bottom"/>
          </w:tcPr>
          <w:p w14:paraId="5FD0F752" w14:textId="3B257074" w:rsidR="00F77FA3" w:rsidRPr="001779D4" w:rsidRDefault="00F77FA3" w:rsidP="00F77FA3">
            <w:pPr>
              <w:jc w:val="right"/>
              <w:rPr>
                <w:rFonts w:cs="Calibri"/>
                <w:color w:val="000000"/>
                <w:sz w:val="20"/>
                <w:szCs w:val="20"/>
              </w:rPr>
            </w:pPr>
            <w:r w:rsidRPr="00AF74DC">
              <w:rPr>
                <w:rFonts w:cs="Calibri"/>
                <w:color w:val="000000"/>
                <w:sz w:val="20"/>
                <w:szCs w:val="20"/>
              </w:rPr>
              <w:t>12.9%</w:t>
            </w:r>
          </w:p>
        </w:tc>
        <w:tc>
          <w:tcPr>
            <w:tcW w:w="868" w:type="pct"/>
            <w:tcBorders>
              <w:top w:val="nil"/>
              <w:left w:val="nil"/>
              <w:bottom w:val="single" w:sz="8" w:space="0" w:color="auto"/>
              <w:right w:val="nil"/>
            </w:tcBorders>
            <w:shd w:val="clear" w:color="auto" w:fill="auto"/>
            <w:vAlign w:val="center"/>
            <w:hideMark/>
          </w:tcPr>
          <w:p w14:paraId="597DEB5A" w14:textId="156F09A0" w:rsidR="00F77FA3" w:rsidRPr="00791DA5" w:rsidRDefault="00F77FA3" w:rsidP="00F77FA3">
            <w:pPr>
              <w:jc w:val="right"/>
              <w:rPr>
                <w:rFonts w:cs="Calibri"/>
                <w:color w:val="000000"/>
                <w:sz w:val="20"/>
                <w:szCs w:val="20"/>
              </w:rPr>
            </w:pPr>
            <w:r w:rsidRPr="00791DA5">
              <w:rPr>
                <w:rFonts w:cs="Calibri"/>
                <w:color w:val="000000"/>
                <w:sz w:val="20"/>
                <w:szCs w:val="20"/>
              </w:rPr>
              <w:t>440</w:t>
            </w:r>
          </w:p>
        </w:tc>
        <w:tc>
          <w:tcPr>
            <w:tcW w:w="916" w:type="pct"/>
            <w:tcBorders>
              <w:top w:val="nil"/>
              <w:left w:val="nil"/>
              <w:bottom w:val="single" w:sz="8" w:space="0" w:color="auto"/>
              <w:right w:val="nil"/>
            </w:tcBorders>
            <w:shd w:val="clear" w:color="auto" w:fill="auto"/>
            <w:vAlign w:val="center"/>
            <w:hideMark/>
          </w:tcPr>
          <w:p w14:paraId="4EBAD06F" w14:textId="77777777" w:rsidR="00F77FA3" w:rsidRPr="00791DA5" w:rsidRDefault="00F77FA3" w:rsidP="00F77FA3">
            <w:pPr>
              <w:jc w:val="right"/>
              <w:rPr>
                <w:rFonts w:cs="Calibri"/>
                <w:color w:val="000000"/>
                <w:sz w:val="20"/>
                <w:szCs w:val="20"/>
              </w:rPr>
            </w:pPr>
            <w:r w:rsidRPr="00791DA5">
              <w:rPr>
                <w:rFonts w:cs="Calibri"/>
                <w:color w:val="000000"/>
                <w:sz w:val="20"/>
                <w:szCs w:val="20"/>
              </w:rPr>
              <w:t>8.3</w:t>
            </w:r>
          </w:p>
        </w:tc>
        <w:tc>
          <w:tcPr>
            <w:tcW w:w="915" w:type="pct"/>
            <w:tcBorders>
              <w:top w:val="nil"/>
              <w:left w:val="nil"/>
              <w:bottom w:val="single" w:sz="8" w:space="0" w:color="auto"/>
              <w:right w:val="single" w:sz="8" w:space="0" w:color="C40012"/>
            </w:tcBorders>
            <w:shd w:val="clear" w:color="auto" w:fill="auto"/>
            <w:vAlign w:val="center"/>
            <w:hideMark/>
          </w:tcPr>
          <w:p w14:paraId="6FDB0C03" w14:textId="77777777" w:rsidR="00F77FA3" w:rsidRPr="00791DA5" w:rsidRDefault="00F77FA3" w:rsidP="00F77FA3">
            <w:pPr>
              <w:jc w:val="right"/>
              <w:rPr>
                <w:rFonts w:cs="Calibri"/>
                <w:color w:val="000000"/>
                <w:sz w:val="20"/>
                <w:szCs w:val="20"/>
              </w:rPr>
            </w:pPr>
            <w:r w:rsidRPr="00791DA5">
              <w:rPr>
                <w:rFonts w:cs="Calibri"/>
                <w:color w:val="000000"/>
                <w:sz w:val="20"/>
                <w:szCs w:val="20"/>
              </w:rPr>
              <w:t>8.2</w:t>
            </w:r>
          </w:p>
        </w:tc>
        <w:tc>
          <w:tcPr>
            <w:tcW w:w="115" w:type="pct"/>
            <w:vAlign w:val="center"/>
            <w:hideMark/>
          </w:tcPr>
          <w:p w14:paraId="4168B930" w14:textId="77777777" w:rsidR="00F77FA3" w:rsidRPr="00791DA5" w:rsidRDefault="00F77FA3" w:rsidP="00F77FA3">
            <w:pPr>
              <w:rPr>
                <w:rFonts w:ascii="Times New Roman" w:hAnsi="Times New Roman"/>
                <w:sz w:val="20"/>
                <w:szCs w:val="20"/>
              </w:rPr>
            </w:pPr>
          </w:p>
        </w:tc>
      </w:tr>
      <w:tr w:rsidR="00FB6434" w:rsidRPr="00791DA5" w14:paraId="38F10F3E" w14:textId="77777777" w:rsidTr="00AF74DC">
        <w:trPr>
          <w:cantSplit/>
          <w:trHeight w:val="283"/>
        </w:trPr>
        <w:tc>
          <w:tcPr>
            <w:tcW w:w="1318" w:type="pct"/>
            <w:tcBorders>
              <w:top w:val="single" w:sz="8" w:space="0" w:color="auto"/>
              <w:left w:val="single" w:sz="8" w:space="0" w:color="C40012"/>
              <w:bottom w:val="single" w:sz="8" w:space="0" w:color="C40012"/>
              <w:right w:val="nil"/>
            </w:tcBorders>
            <w:shd w:val="clear" w:color="auto" w:fill="auto"/>
            <w:vAlign w:val="center"/>
            <w:hideMark/>
          </w:tcPr>
          <w:p w14:paraId="1EFAA804" w14:textId="77777777" w:rsidR="00FB6434" w:rsidRPr="00791DA5" w:rsidRDefault="00FB6434" w:rsidP="00791DA5">
            <w:pPr>
              <w:rPr>
                <w:rFonts w:ascii="Humnst777 BT" w:hAnsi="Humnst777 BT" w:cs="Calibri"/>
                <w:b/>
                <w:bCs/>
                <w:color w:val="000000"/>
                <w:sz w:val="20"/>
                <w:szCs w:val="20"/>
              </w:rPr>
            </w:pPr>
            <w:r w:rsidRPr="00791DA5">
              <w:rPr>
                <w:rFonts w:ascii="Humnst777 BT" w:hAnsi="Humnst777 BT" w:cs="Calibri"/>
                <w:b/>
                <w:bCs/>
                <w:color w:val="000000"/>
                <w:sz w:val="20"/>
                <w:szCs w:val="20"/>
              </w:rPr>
              <w:t>Location Not Recorded</w:t>
            </w:r>
          </w:p>
        </w:tc>
        <w:tc>
          <w:tcPr>
            <w:tcW w:w="868" w:type="pct"/>
            <w:tcBorders>
              <w:top w:val="nil"/>
              <w:left w:val="nil"/>
              <w:bottom w:val="single" w:sz="8" w:space="0" w:color="C40012"/>
              <w:right w:val="nil"/>
            </w:tcBorders>
          </w:tcPr>
          <w:p w14:paraId="1D5B54C0" w14:textId="77777777" w:rsidR="00FB6434" w:rsidRPr="00791DA5" w:rsidRDefault="00FB6434" w:rsidP="00791DA5">
            <w:pPr>
              <w:jc w:val="right"/>
              <w:rPr>
                <w:rFonts w:cs="Calibri"/>
                <w:color w:val="000000"/>
                <w:sz w:val="20"/>
                <w:szCs w:val="20"/>
              </w:rPr>
            </w:pPr>
          </w:p>
        </w:tc>
        <w:tc>
          <w:tcPr>
            <w:tcW w:w="868" w:type="pct"/>
            <w:tcBorders>
              <w:top w:val="nil"/>
              <w:left w:val="nil"/>
              <w:bottom w:val="single" w:sz="8" w:space="0" w:color="C40012"/>
              <w:right w:val="nil"/>
            </w:tcBorders>
            <w:shd w:val="clear" w:color="auto" w:fill="auto"/>
            <w:vAlign w:val="center"/>
            <w:hideMark/>
          </w:tcPr>
          <w:p w14:paraId="110C7441" w14:textId="6F800561" w:rsidR="00FB6434" w:rsidRPr="00791DA5" w:rsidRDefault="00FB6434" w:rsidP="00791DA5">
            <w:pPr>
              <w:jc w:val="right"/>
              <w:rPr>
                <w:rFonts w:cs="Calibri"/>
                <w:color w:val="000000"/>
                <w:sz w:val="20"/>
                <w:szCs w:val="20"/>
              </w:rPr>
            </w:pPr>
            <w:r w:rsidRPr="00791DA5">
              <w:rPr>
                <w:rFonts w:cs="Calibri"/>
                <w:color w:val="000000"/>
                <w:sz w:val="20"/>
                <w:szCs w:val="20"/>
              </w:rPr>
              <w:t>109</w:t>
            </w:r>
          </w:p>
        </w:tc>
        <w:tc>
          <w:tcPr>
            <w:tcW w:w="916" w:type="pct"/>
            <w:tcBorders>
              <w:top w:val="nil"/>
              <w:left w:val="nil"/>
              <w:bottom w:val="single" w:sz="8" w:space="0" w:color="C40012"/>
              <w:right w:val="nil"/>
            </w:tcBorders>
            <w:shd w:val="clear" w:color="auto" w:fill="auto"/>
            <w:vAlign w:val="center"/>
            <w:hideMark/>
          </w:tcPr>
          <w:p w14:paraId="25D48A14" w14:textId="77777777" w:rsidR="00FB6434" w:rsidRPr="00791DA5" w:rsidRDefault="00FB6434" w:rsidP="00791DA5">
            <w:pPr>
              <w:jc w:val="right"/>
              <w:rPr>
                <w:rFonts w:cs="Calibri"/>
                <w:color w:val="000000"/>
                <w:sz w:val="20"/>
                <w:szCs w:val="20"/>
              </w:rPr>
            </w:pPr>
            <w:r w:rsidRPr="00791DA5">
              <w:rPr>
                <w:rFonts w:cs="Calibri"/>
                <w:color w:val="000000"/>
                <w:sz w:val="20"/>
                <w:szCs w:val="20"/>
              </w:rPr>
              <w:t>N/A</w:t>
            </w:r>
          </w:p>
        </w:tc>
        <w:tc>
          <w:tcPr>
            <w:tcW w:w="915" w:type="pct"/>
            <w:tcBorders>
              <w:top w:val="nil"/>
              <w:left w:val="nil"/>
              <w:bottom w:val="single" w:sz="8" w:space="0" w:color="C40012"/>
              <w:right w:val="single" w:sz="8" w:space="0" w:color="C40012"/>
            </w:tcBorders>
            <w:shd w:val="clear" w:color="auto" w:fill="auto"/>
            <w:vAlign w:val="center"/>
            <w:hideMark/>
          </w:tcPr>
          <w:p w14:paraId="65C1D809" w14:textId="77777777" w:rsidR="00FB6434" w:rsidRPr="00791DA5" w:rsidRDefault="00FB6434" w:rsidP="00791DA5">
            <w:pPr>
              <w:jc w:val="right"/>
              <w:rPr>
                <w:rFonts w:cs="Calibri"/>
                <w:color w:val="000000"/>
                <w:sz w:val="20"/>
                <w:szCs w:val="20"/>
              </w:rPr>
            </w:pPr>
            <w:r w:rsidRPr="00791DA5">
              <w:rPr>
                <w:rFonts w:cs="Calibri"/>
                <w:color w:val="000000"/>
                <w:sz w:val="20"/>
                <w:szCs w:val="20"/>
              </w:rPr>
              <w:t>2.0</w:t>
            </w:r>
          </w:p>
        </w:tc>
        <w:tc>
          <w:tcPr>
            <w:tcW w:w="115" w:type="pct"/>
            <w:vAlign w:val="center"/>
            <w:hideMark/>
          </w:tcPr>
          <w:p w14:paraId="5889C901" w14:textId="77777777" w:rsidR="00FB6434" w:rsidRPr="00791DA5" w:rsidRDefault="00FB6434" w:rsidP="00791DA5">
            <w:pPr>
              <w:rPr>
                <w:rFonts w:ascii="Times New Roman" w:hAnsi="Times New Roman"/>
                <w:sz w:val="20"/>
                <w:szCs w:val="20"/>
              </w:rPr>
            </w:pPr>
          </w:p>
        </w:tc>
      </w:tr>
    </w:tbl>
    <w:p w14:paraId="5DED0E47" w14:textId="77777777" w:rsidR="00F15B28" w:rsidRPr="000C0015" w:rsidRDefault="00DA6399" w:rsidP="00F15B28">
      <w:pPr>
        <w:pStyle w:val="Heading1"/>
      </w:pPr>
      <w:r>
        <w:br w:type="page"/>
      </w:r>
      <w:r w:rsidR="00F15B28" w:rsidRPr="007033B4">
        <w:t>Funding by location</w:t>
      </w:r>
    </w:p>
    <w:p w14:paraId="6A49A730" w14:textId="77777777" w:rsidR="00F15B28" w:rsidRDefault="00F15B28" w:rsidP="00F15B28">
      <w:pPr>
        <w:pStyle w:val="TableHeading"/>
        <w:numPr>
          <w:ilvl w:val="0"/>
          <w:numId w:val="0"/>
        </w:numPr>
      </w:pPr>
    </w:p>
    <w:p w14:paraId="269FBDC5" w14:textId="4C6B1761" w:rsidR="00F15B28" w:rsidRPr="00F66FD5" w:rsidRDefault="00F15B28" w:rsidP="00F15B28">
      <w:pPr>
        <w:pStyle w:val="TableHeading"/>
        <w:numPr>
          <w:ilvl w:val="0"/>
          <w:numId w:val="0"/>
        </w:numPr>
        <w:rPr>
          <w:rFonts w:ascii="Humnst777 Lt BT" w:hAnsi="Humnst777 Lt BT"/>
          <w:b w:val="0"/>
          <w:color w:val="auto"/>
          <w:spacing w:val="-2"/>
          <w:sz w:val="22"/>
        </w:rPr>
      </w:pPr>
      <w:r>
        <w:rPr>
          <w:rFonts w:ascii="Humnst777 Lt BT" w:hAnsi="Humnst777 Lt BT"/>
          <w:b w:val="0"/>
          <w:color w:val="auto"/>
          <w:spacing w:val="-2"/>
          <w:sz w:val="22"/>
        </w:rPr>
        <w:t>T</w:t>
      </w:r>
      <w:r w:rsidRPr="00F66FD5">
        <w:rPr>
          <w:rFonts w:ascii="Humnst777 Lt BT" w:hAnsi="Humnst777 Lt BT"/>
          <w:b w:val="0"/>
          <w:color w:val="auto"/>
          <w:spacing w:val="-2"/>
          <w:sz w:val="22"/>
        </w:rPr>
        <w:t xml:space="preserve">able </w:t>
      </w:r>
      <w:r w:rsidR="00F97744">
        <w:rPr>
          <w:rFonts w:ascii="Humnst777 Lt BT" w:hAnsi="Humnst777 Lt BT"/>
          <w:b w:val="0"/>
          <w:color w:val="auto"/>
          <w:spacing w:val="-2"/>
          <w:sz w:val="22"/>
        </w:rPr>
        <w:t>6</w:t>
      </w:r>
      <w:r w:rsidR="00F97744" w:rsidRPr="00F66FD5">
        <w:rPr>
          <w:rFonts w:ascii="Humnst777 Lt BT" w:hAnsi="Humnst777 Lt BT"/>
          <w:b w:val="0"/>
          <w:color w:val="auto"/>
          <w:spacing w:val="-2"/>
          <w:sz w:val="22"/>
        </w:rPr>
        <w:t xml:space="preserve"> shows</w:t>
      </w:r>
      <w:r w:rsidR="00F97744">
        <w:rPr>
          <w:rFonts w:ascii="Humnst777 Lt BT" w:hAnsi="Humnst777 Lt BT"/>
          <w:b w:val="0"/>
          <w:color w:val="auto"/>
          <w:spacing w:val="-2"/>
          <w:sz w:val="22"/>
        </w:rPr>
        <w:t xml:space="preserve"> the</w:t>
      </w:r>
      <w:r w:rsidR="00131149">
        <w:rPr>
          <w:rFonts w:ascii="Humnst777 Lt BT" w:hAnsi="Humnst777 Lt BT"/>
          <w:b w:val="0"/>
          <w:color w:val="auto"/>
          <w:spacing w:val="-2"/>
          <w:sz w:val="22"/>
        </w:rPr>
        <w:t xml:space="preserve"> </w:t>
      </w:r>
      <w:r w:rsidR="00F16470">
        <w:rPr>
          <w:rFonts w:ascii="Humnst777 Lt BT" w:hAnsi="Humnst777 Lt BT"/>
          <w:b w:val="0"/>
          <w:color w:val="auto"/>
          <w:spacing w:val="-2"/>
          <w:sz w:val="22"/>
        </w:rPr>
        <w:t xml:space="preserve">regional </w:t>
      </w:r>
      <w:r w:rsidR="00DD32D3">
        <w:rPr>
          <w:rFonts w:ascii="Humnst777 Lt BT" w:hAnsi="Humnst777 Lt BT"/>
          <w:b w:val="0"/>
          <w:color w:val="auto"/>
          <w:spacing w:val="-2"/>
          <w:sz w:val="22"/>
        </w:rPr>
        <w:t xml:space="preserve">distribution of funding </w:t>
      </w:r>
      <w:r w:rsidR="0047752A">
        <w:rPr>
          <w:rFonts w:ascii="Humnst777 Lt BT" w:hAnsi="Humnst777 Lt BT"/>
          <w:b w:val="0"/>
          <w:color w:val="auto"/>
          <w:spacing w:val="-2"/>
          <w:sz w:val="22"/>
        </w:rPr>
        <w:t xml:space="preserve">for businesses referred to the scheme, </w:t>
      </w:r>
      <w:r w:rsidR="00DD32D3">
        <w:rPr>
          <w:rFonts w:ascii="Humnst777 Lt BT" w:hAnsi="Humnst777 Lt BT"/>
          <w:b w:val="0"/>
          <w:color w:val="auto"/>
          <w:spacing w:val="-2"/>
          <w:sz w:val="22"/>
        </w:rPr>
        <w:t>by value</w:t>
      </w:r>
      <w:r w:rsidR="00F97744">
        <w:rPr>
          <w:rFonts w:ascii="Humnst777 Lt BT" w:hAnsi="Humnst777 Lt BT"/>
          <w:b w:val="0"/>
          <w:color w:val="auto"/>
          <w:spacing w:val="-2"/>
          <w:sz w:val="22"/>
        </w:rPr>
        <w:t xml:space="preserve">, compared to the </w:t>
      </w:r>
      <w:r w:rsidR="00131149">
        <w:rPr>
          <w:rFonts w:ascii="Humnst777 Lt BT" w:hAnsi="Humnst777 Lt BT"/>
          <w:b w:val="0"/>
          <w:color w:val="auto"/>
          <w:spacing w:val="-2"/>
          <w:sz w:val="22"/>
        </w:rPr>
        <w:t xml:space="preserve">distribution of the SME </w:t>
      </w:r>
      <w:r w:rsidR="00D3695F">
        <w:rPr>
          <w:rFonts w:ascii="Humnst777 Lt BT" w:hAnsi="Humnst777 Lt BT"/>
          <w:b w:val="0"/>
          <w:color w:val="auto"/>
          <w:spacing w:val="-2"/>
          <w:sz w:val="22"/>
        </w:rPr>
        <w:t>population</w:t>
      </w:r>
      <w:r w:rsidR="00F97744">
        <w:rPr>
          <w:rFonts w:ascii="Humnst777 Lt BT" w:hAnsi="Humnst777 Lt BT"/>
          <w:b w:val="0"/>
          <w:color w:val="auto"/>
          <w:spacing w:val="-2"/>
          <w:sz w:val="22"/>
        </w:rPr>
        <w:t xml:space="preserve">. </w:t>
      </w:r>
      <w:r w:rsidR="00DD32D3">
        <w:rPr>
          <w:rFonts w:ascii="Humnst777 Lt BT" w:hAnsi="Humnst777 Lt BT"/>
          <w:b w:val="0"/>
          <w:color w:val="auto"/>
          <w:spacing w:val="-2"/>
          <w:sz w:val="22"/>
        </w:rPr>
        <w:t xml:space="preserve">In total, </w:t>
      </w:r>
      <w:r w:rsidR="00DD32D3" w:rsidRPr="00DD32D3">
        <w:rPr>
          <w:rFonts w:ascii="Humnst777 Lt BT" w:hAnsi="Humnst777 Lt BT"/>
          <w:b w:val="0"/>
          <w:color w:val="auto"/>
          <w:spacing w:val="-2"/>
          <w:sz w:val="22"/>
        </w:rPr>
        <w:t>businesses</w:t>
      </w:r>
      <w:r w:rsidR="00DD32D3">
        <w:rPr>
          <w:rFonts w:ascii="Humnst777 Lt BT" w:hAnsi="Humnst777 Lt BT"/>
          <w:b w:val="0"/>
          <w:color w:val="auto"/>
          <w:spacing w:val="-2"/>
          <w:sz w:val="22"/>
        </w:rPr>
        <w:t xml:space="preserve"> referred to the scheme </w:t>
      </w:r>
      <w:r w:rsidR="00DD32D3" w:rsidRPr="00DD32D3">
        <w:rPr>
          <w:rFonts w:ascii="Humnst777 Lt BT" w:hAnsi="Humnst777 Lt BT"/>
          <w:b w:val="0"/>
          <w:color w:val="auto"/>
          <w:spacing w:val="-2"/>
          <w:sz w:val="22"/>
        </w:rPr>
        <w:t>secured more than £128.7m of funding</w:t>
      </w:r>
      <w:r w:rsidR="00DD32D3">
        <w:rPr>
          <w:rFonts w:ascii="Humnst777 Lt BT" w:hAnsi="Humnst777 Lt BT"/>
          <w:b w:val="0"/>
          <w:color w:val="auto"/>
          <w:spacing w:val="-2"/>
          <w:sz w:val="22"/>
        </w:rPr>
        <w:t>.</w:t>
      </w:r>
    </w:p>
    <w:p w14:paraId="59400688" w14:textId="77777777" w:rsidR="00F15B28" w:rsidRDefault="00F15B28" w:rsidP="00F15B28">
      <w:pPr>
        <w:pStyle w:val="TableHeading"/>
        <w:numPr>
          <w:ilvl w:val="0"/>
          <w:numId w:val="0"/>
        </w:numPr>
      </w:pPr>
    </w:p>
    <w:p w14:paraId="084772B1" w14:textId="77777777" w:rsidR="00F15B28" w:rsidRDefault="00F15B28" w:rsidP="00F15B28">
      <w:pPr>
        <w:pStyle w:val="TableHeading"/>
        <w:numPr>
          <w:ilvl w:val="0"/>
          <w:numId w:val="0"/>
        </w:numPr>
      </w:pPr>
      <w:r>
        <w:t xml:space="preserve">Table </w:t>
      </w:r>
      <w:r w:rsidR="00CE2CB9">
        <w:t>6</w:t>
      </w:r>
      <w:r>
        <w:t xml:space="preserve">: </w:t>
      </w:r>
      <w:r w:rsidR="00131149">
        <w:t>Funding value</w:t>
      </w:r>
      <w:r>
        <w:t xml:space="preserve"> </w:t>
      </w:r>
      <w:r w:rsidR="00131149">
        <w:t>distribution</w:t>
      </w:r>
      <w:r>
        <w:rPr>
          <w:rStyle w:val="FootnoteReference"/>
        </w:rPr>
        <w:footnoteReference w:id="7"/>
      </w:r>
    </w:p>
    <w:p w14:paraId="38079744" w14:textId="77777777" w:rsidR="00F15B28" w:rsidRDefault="00F15B28" w:rsidP="00F15B28">
      <w:pPr>
        <w:pStyle w:val="TableHeading"/>
        <w:numPr>
          <w:ilvl w:val="0"/>
          <w:numId w:val="0"/>
        </w:numPr>
      </w:pPr>
    </w:p>
    <w:tbl>
      <w:tblPr>
        <w:tblW w:w="5000" w:type="pct"/>
        <w:tblLook w:val="04A0" w:firstRow="1" w:lastRow="0" w:firstColumn="1" w:lastColumn="0" w:noHBand="0" w:noVBand="1"/>
      </w:tblPr>
      <w:tblGrid>
        <w:gridCol w:w="2906"/>
        <w:gridCol w:w="1931"/>
        <w:gridCol w:w="1931"/>
        <w:gridCol w:w="1912"/>
        <w:gridCol w:w="1735"/>
        <w:gridCol w:w="267"/>
      </w:tblGrid>
      <w:tr w:rsidR="006057AE" w:rsidRPr="00642CE6" w14:paraId="6642F3F4" w14:textId="77777777">
        <w:trPr>
          <w:gridAfter w:val="1"/>
          <w:wAfter w:w="125" w:type="pct"/>
          <w:cantSplit/>
          <w:trHeight w:val="590"/>
        </w:trPr>
        <w:tc>
          <w:tcPr>
            <w:tcW w:w="1360" w:type="pct"/>
            <w:vMerge w:val="restart"/>
            <w:tcBorders>
              <w:top w:val="single" w:sz="8" w:space="0" w:color="C40012"/>
              <w:left w:val="single" w:sz="8" w:space="0" w:color="C40012"/>
              <w:bottom w:val="nil"/>
              <w:right w:val="nil"/>
            </w:tcBorders>
            <w:shd w:val="clear" w:color="000000" w:fill="F9E5E7"/>
            <w:vAlign w:val="center"/>
            <w:hideMark/>
          </w:tcPr>
          <w:p w14:paraId="29544E45"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sz w:val="20"/>
                <w:szCs w:val="20"/>
              </w:rPr>
              <w:t xml:space="preserve">Region </w:t>
            </w:r>
          </w:p>
        </w:tc>
        <w:tc>
          <w:tcPr>
            <w:tcW w:w="904" w:type="pct"/>
            <w:vMerge w:val="restart"/>
            <w:tcBorders>
              <w:top w:val="single" w:sz="8" w:space="0" w:color="C40012"/>
              <w:left w:val="nil"/>
              <w:right w:val="nil"/>
            </w:tcBorders>
            <w:shd w:val="clear" w:color="000000" w:fill="F9E5E7"/>
          </w:tcPr>
          <w:p w14:paraId="3272711A" w14:textId="6F32F01D" w:rsidR="006057AE" w:rsidRPr="00642CE6" w:rsidRDefault="006057AE" w:rsidP="006057AE">
            <w:pPr>
              <w:jc w:val="right"/>
              <w:rPr>
                <w:rFonts w:ascii="Humnst777 BT" w:hAnsi="Humnst777 BT" w:cs="Calibri"/>
                <w:b/>
                <w:bCs/>
                <w:sz w:val="20"/>
                <w:szCs w:val="20"/>
              </w:rPr>
            </w:pPr>
            <w:r>
              <w:rPr>
                <w:rFonts w:ascii="Humnst777 BT" w:hAnsi="Humnst777 BT" w:cs="Calibri"/>
                <w:b/>
                <w:bCs/>
                <w:sz w:val="20"/>
                <w:szCs w:val="20"/>
              </w:rPr>
              <w:t>SME distribution (%)</w:t>
            </w:r>
          </w:p>
        </w:tc>
        <w:tc>
          <w:tcPr>
            <w:tcW w:w="904" w:type="pct"/>
            <w:vMerge w:val="restart"/>
            <w:tcBorders>
              <w:top w:val="single" w:sz="8" w:space="0" w:color="C40012"/>
              <w:left w:val="nil"/>
              <w:bottom w:val="nil"/>
              <w:right w:val="nil"/>
            </w:tcBorders>
            <w:shd w:val="clear" w:color="000000" w:fill="F9E5E7"/>
            <w:vAlign w:val="center"/>
            <w:hideMark/>
          </w:tcPr>
          <w:p w14:paraId="224B7753" w14:textId="5A944760" w:rsidR="006057AE" w:rsidRPr="00642CE6" w:rsidRDefault="006057AE" w:rsidP="006057AE">
            <w:pPr>
              <w:jc w:val="right"/>
              <w:rPr>
                <w:rFonts w:ascii="Humnst777 BT" w:hAnsi="Humnst777 BT" w:cs="Calibri"/>
                <w:b/>
                <w:bCs/>
                <w:color w:val="000000"/>
                <w:sz w:val="20"/>
                <w:szCs w:val="20"/>
              </w:rPr>
            </w:pPr>
            <w:r w:rsidRPr="00642CE6">
              <w:rPr>
                <w:rFonts w:ascii="Humnst777 BT" w:hAnsi="Humnst777 BT" w:cs="Calibri"/>
                <w:b/>
                <w:bCs/>
                <w:sz w:val="20"/>
                <w:szCs w:val="20"/>
              </w:rPr>
              <w:t xml:space="preserve">Value </w:t>
            </w:r>
            <w:r w:rsidR="00FE1773">
              <w:rPr>
                <w:rFonts w:ascii="Humnst777 BT" w:hAnsi="Humnst777 BT" w:cs="Calibri"/>
                <w:b/>
                <w:bCs/>
                <w:sz w:val="20"/>
                <w:szCs w:val="20"/>
              </w:rPr>
              <w:t xml:space="preserve">of funding </w:t>
            </w:r>
            <w:r>
              <w:rPr>
                <w:rFonts w:ascii="Humnst777 BT" w:hAnsi="Humnst777 BT" w:cs="Calibri"/>
                <w:b/>
                <w:bCs/>
                <w:sz w:val="20"/>
                <w:szCs w:val="20"/>
              </w:rPr>
              <w:t>(£)</w:t>
            </w:r>
            <w:r w:rsidR="00F16470">
              <w:rPr>
                <w:rFonts w:ascii="Humnst777 BT" w:hAnsi="Humnst777 BT" w:cs="Calibri"/>
                <w:b/>
                <w:bCs/>
                <w:sz w:val="20"/>
                <w:szCs w:val="20"/>
              </w:rPr>
              <w:t xml:space="preserve"> by region</w:t>
            </w:r>
            <w:r w:rsidRPr="00642CE6">
              <w:rPr>
                <w:rFonts w:ascii="Humnst777 BT" w:hAnsi="Humnst777 BT" w:cs="Calibri"/>
                <w:b/>
                <w:bCs/>
                <w:sz w:val="20"/>
                <w:szCs w:val="20"/>
              </w:rPr>
              <w:t xml:space="preserve"> </w:t>
            </w:r>
          </w:p>
        </w:tc>
        <w:tc>
          <w:tcPr>
            <w:tcW w:w="895" w:type="pct"/>
            <w:vMerge w:val="restart"/>
            <w:tcBorders>
              <w:top w:val="single" w:sz="8" w:space="0" w:color="C40012"/>
              <w:left w:val="nil"/>
              <w:bottom w:val="nil"/>
              <w:right w:val="nil"/>
            </w:tcBorders>
            <w:shd w:val="clear" w:color="000000" w:fill="F9E5E7"/>
            <w:vAlign w:val="center"/>
            <w:hideMark/>
          </w:tcPr>
          <w:p w14:paraId="442D5EDA" w14:textId="158C0652" w:rsidR="006057AE" w:rsidRPr="00642CE6" w:rsidRDefault="006057AE" w:rsidP="009D49E0">
            <w:pPr>
              <w:jc w:val="right"/>
              <w:rPr>
                <w:rFonts w:ascii="Humnst777 BT" w:hAnsi="Humnst777 BT" w:cs="Calibri"/>
                <w:b/>
                <w:bCs/>
                <w:color w:val="000000"/>
                <w:sz w:val="20"/>
                <w:szCs w:val="20"/>
              </w:rPr>
            </w:pPr>
            <w:r w:rsidRPr="00642CE6">
              <w:rPr>
                <w:rFonts w:ascii="Humnst777 BT" w:hAnsi="Humnst777 BT" w:cs="Calibri"/>
                <w:b/>
                <w:bCs/>
                <w:sz w:val="20"/>
                <w:szCs w:val="20"/>
              </w:rPr>
              <w:t xml:space="preserve">Value </w:t>
            </w:r>
            <w:r w:rsidR="00FE084D">
              <w:rPr>
                <w:rFonts w:ascii="Humnst777 BT" w:hAnsi="Humnst777 BT" w:cs="Calibri"/>
                <w:b/>
                <w:bCs/>
                <w:sz w:val="20"/>
                <w:szCs w:val="20"/>
              </w:rPr>
              <w:t>of funding</w:t>
            </w:r>
            <w:r w:rsidR="00FE084D" w:rsidRPr="00642CE6">
              <w:rPr>
                <w:rFonts w:ascii="Humnst777 BT" w:hAnsi="Humnst777 BT" w:cs="Calibri"/>
                <w:b/>
                <w:bCs/>
                <w:sz w:val="20"/>
                <w:szCs w:val="20"/>
              </w:rPr>
              <w:t xml:space="preserve"> </w:t>
            </w:r>
            <w:r w:rsidR="00F16470">
              <w:rPr>
                <w:rFonts w:ascii="Humnst777 BT" w:hAnsi="Humnst777 BT" w:cs="Calibri"/>
                <w:b/>
                <w:bCs/>
                <w:sz w:val="20"/>
                <w:szCs w:val="20"/>
              </w:rPr>
              <w:t xml:space="preserve">by region </w:t>
            </w:r>
            <w:r w:rsidRPr="00642CE6">
              <w:rPr>
                <w:rFonts w:ascii="Humnst777 BT" w:hAnsi="Humnst777 BT" w:cs="Calibri"/>
                <w:b/>
                <w:bCs/>
                <w:sz w:val="20"/>
                <w:szCs w:val="20"/>
              </w:rPr>
              <w:t>(% exc. Not Recorded)</w:t>
            </w:r>
          </w:p>
        </w:tc>
        <w:tc>
          <w:tcPr>
            <w:tcW w:w="812" w:type="pct"/>
            <w:vMerge w:val="restart"/>
            <w:tcBorders>
              <w:top w:val="single" w:sz="8" w:space="0" w:color="C40012"/>
              <w:left w:val="nil"/>
              <w:bottom w:val="nil"/>
              <w:right w:val="single" w:sz="8" w:space="0" w:color="C40012"/>
            </w:tcBorders>
            <w:shd w:val="clear" w:color="000000" w:fill="F9E5E7"/>
            <w:vAlign w:val="center"/>
            <w:hideMark/>
          </w:tcPr>
          <w:p w14:paraId="1B9CB7C6" w14:textId="43C72EBC" w:rsidR="006057AE" w:rsidRPr="00642CE6" w:rsidRDefault="00FE084D" w:rsidP="006057AE">
            <w:pPr>
              <w:jc w:val="right"/>
              <w:rPr>
                <w:rFonts w:ascii="Humnst777 BT" w:hAnsi="Humnst777 BT" w:cs="Calibri"/>
                <w:b/>
                <w:bCs/>
                <w:color w:val="000000"/>
                <w:sz w:val="20"/>
                <w:szCs w:val="20"/>
              </w:rPr>
            </w:pPr>
            <w:r>
              <w:rPr>
                <w:rFonts w:ascii="Humnst777 BT" w:hAnsi="Humnst777 BT" w:cs="Calibri"/>
                <w:b/>
                <w:bCs/>
                <w:sz w:val="20"/>
                <w:szCs w:val="20"/>
              </w:rPr>
              <w:t>V</w:t>
            </w:r>
            <w:r w:rsidR="006057AE" w:rsidRPr="00642CE6">
              <w:rPr>
                <w:rFonts w:ascii="Humnst777 BT" w:hAnsi="Humnst777 BT" w:cs="Calibri"/>
                <w:b/>
                <w:bCs/>
                <w:sz w:val="20"/>
                <w:szCs w:val="20"/>
              </w:rPr>
              <w:t xml:space="preserve">alue </w:t>
            </w:r>
            <w:r>
              <w:rPr>
                <w:rFonts w:ascii="Humnst777 BT" w:hAnsi="Humnst777 BT" w:cs="Calibri"/>
                <w:b/>
                <w:bCs/>
                <w:sz w:val="20"/>
                <w:szCs w:val="20"/>
              </w:rPr>
              <w:t>of funding</w:t>
            </w:r>
            <w:r w:rsidR="006057AE" w:rsidRPr="00642CE6">
              <w:rPr>
                <w:rFonts w:ascii="Humnst777 BT" w:hAnsi="Humnst777 BT" w:cs="Calibri"/>
                <w:b/>
                <w:bCs/>
                <w:sz w:val="20"/>
                <w:szCs w:val="20"/>
              </w:rPr>
              <w:t xml:space="preserve"> </w:t>
            </w:r>
            <w:r w:rsidR="00F16470">
              <w:rPr>
                <w:rFonts w:ascii="Humnst777 BT" w:hAnsi="Humnst777 BT" w:cs="Calibri"/>
                <w:b/>
                <w:bCs/>
                <w:sz w:val="20"/>
                <w:szCs w:val="20"/>
              </w:rPr>
              <w:t xml:space="preserve">by region </w:t>
            </w:r>
            <w:r w:rsidR="006057AE" w:rsidRPr="00642CE6">
              <w:rPr>
                <w:rFonts w:ascii="Humnst777 BT" w:hAnsi="Humnst777 BT" w:cs="Calibri"/>
                <w:b/>
                <w:bCs/>
                <w:sz w:val="20"/>
                <w:szCs w:val="20"/>
              </w:rPr>
              <w:t xml:space="preserve">(% inc. Not Recorded) </w:t>
            </w:r>
          </w:p>
        </w:tc>
      </w:tr>
      <w:tr w:rsidR="006057AE" w:rsidRPr="00642CE6" w14:paraId="447AD112" w14:textId="77777777">
        <w:trPr>
          <w:trHeight w:val="283"/>
        </w:trPr>
        <w:tc>
          <w:tcPr>
            <w:tcW w:w="1360" w:type="pct"/>
            <w:vMerge/>
            <w:tcBorders>
              <w:top w:val="single" w:sz="8" w:space="0" w:color="C40012"/>
              <w:left w:val="single" w:sz="8" w:space="0" w:color="C40012"/>
              <w:bottom w:val="nil"/>
              <w:right w:val="nil"/>
            </w:tcBorders>
            <w:vAlign w:val="center"/>
            <w:hideMark/>
          </w:tcPr>
          <w:p w14:paraId="3195CD5B" w14:textId="77777777" w:rsidR="006057AE" w:rsidRPr="00642CE6" w:rsidRDefault="006057AE" w:rsidP="006057AE">
            <w:pPr>
              <w:rPr>
                <w:rFonts w:ascii="Humnst777 BT" w:hAnsi="Humnst777 BT" w:cs="Calibri"/>
                <w:b/>
                <w:bCs/>
                <w:color w:val="000000"/>
                <w:sz w:val="20"/>
                <w:szCs w:val="20"/>
              </w:rPr>
            </w:pPr>
          </w:p>
        </w:tc>
        <w:tc>
          <w:tcPr>
            <w:tcW w:w="904" w:type="pct"/>
            <w:vMerge/>
            <w:tcBorders>
              <w:left w:val="nil"/>
              <w:bottom w:val="nil"/>
              <w:right w:val="nil"/>
            </w:tcBorders>
          </w:tcPr>
          <w:p w14:paraId="56CA8952" w14:textId="77777777" w:rsidR="006057AE" w:rsidRPr="00642CE6" w:rsidRDefault="006057AE" w:rsidP="006057AE">
            <w:pPr>
              <w:rPr>
                <w:rFonts w:ascii="Humnst777 BT" w:hAnsi="Humnst777 BT" w:cs="Calibri"/>
                <w:b/>
                <w:bCs/>
                <w:color w:val="000000"/>
                <w:sz w:val="20"/>
                <w:szCs w:val="20"/>
              </w:rPr>
            </w:pPr>
          </w:p>
        </w:tc>
        <w:tc>
          <w:tcPr>
            <w:tcW w:w="904" w:type="pct"/>
            <w:vMerge/>
            <w:tcBorders>
              <w:top w:val="single" w:sz="8" w:space="0" w:color="C40012"/>
              <w:left w:val="nil"/>
              <w:bottom w:val="nil"/>
              <w:right w:val="nil"/>
            </w:tcBorders>
            <w:vAlign w:val="center"/>
            <w:hideMark/>
          </w:tcPr>
          <w:p w14:paraId="5AF3DD3F" w14:textId="1016D3DD" w:rsidR="006057AE" w:rsidRPr="00642CE6" w:rsidRDefault="006057AE" w:rsidP="006057AE">
            <w:pPr>
              <w:rPr>
                <w:rFonts w:ascii="Humnst777 BT" w:hAnsi="Humnst777 BT" w:cs="Calibri"/>
                <w:b/>
                <w:bCs/>
                <w:color w:val="000000"/>
                <w:sz w:val="20"/>
                <w:szCs w:val="20"/>
              </w:rPr>
            </w:pPr>
          </w:p>
        </w:tc>
        <w:tc>
          <w:tcPr>
            <w:tcW w:w="895" w:type="pct"/>
            <w:vMerge/>
            <w:tcBorders>
              <w:top w:val="single" w:sz="8" w:space="0" w:color="C40012"/>
              <w:left w:val="nil"/>
              <w:bottom w:val="nil"/>
              <w:right w:val="nil"/>
            </w:tcBorders>
            <w:vAlign w:val="center"/>
            <w:hideMark/>
          </w:tcPr>
          <w:p w14:paraId="587B94C6" w14:textId="77777777" w:rsidR="006057AE" w:rsidRPr="00642CE6" w:rsidRDefault="006057AE" w:rsidP="006057AE">
            <w:pPr>
              <w:rPr>
                <w:rFonts w:ascii="Humnst777 BT" w:hAnsi="Humnst777 BT" w:cs="Calibri"/>
                <w:b/>
                <w:bCs/>
                <w:color w:val="000000"/>
                <w:sz w:val="20"/>
                <w:szCs w:val="20"/>
              </w:rPr>
            </w:pPr>
          </w:p>
        </w:tc>
        <w:tc>
          <w:tcPr>
            <w:tcW w:w="812" w:type="pct"/>
            <w:vMerge/>
            <w:tcBorders>
              <w:top w:val="single" w:sz="8" w:space="0" w:color="C40012"/>
              <w:left w:val="nil"/>
              <w:bottom w:val="nil"/>
              <w:right w:val="single" w:sz="8" w:space="0" w:color="C40012"/>
            </w:tcBorders>
            <w:vAlign w:val="center"/>
            <w:hideMark/>
          </w:tcPr>
          <w:p w14:paraId="1807566F" w14:textId="77777777" w:rsidR="006057AE" w:rsidRPr="00642CE6" w:rsidRDefault="006057AE" w:rsidP="006057AE">
            <w:pPr>
              <w:rPr>
                <w:rFonts w:ascii="Humnst777 BT" w:hAnsi="Humnst777 BT" w:cs="Calibri"/>
                <w:b/>
                <w:bCs/>
                <w:color w:val="000000"/>
                <w:sz w:val="20"/>
                <w:szCs w:val="20"/>
              </w:rPr>
            </w:pPr>
          </w:p>
        </w:tc>
        <w:tc>
          <w:tcPr>
            <w:tcW w:w="125" w:type="pct"/>
            <w:tcBorders>
              <w:top w:val="nil"/>
              <w:left w:val="nil"/>
              <w:bottom w:val="nil"/>
              <w:right w:val="nil"/>
            </w:tcBorders>
            <w:shd w:val="clear" w:color="auto" w:fill="auto"/>
            <w:noWrap/>
            <w:vAlign w:val="bottom"/>
            <w:hideMark/>
          </w:tcPr>
          <w:p w14:paraId="6C8BA661" w14:textId="77777777" w:rsidR="006057AE" w:rsidRPr="00642CE6" w:rsidRDefault="006057AE" w:rsidP="006057AE">
            <w:pPr>
              <w:jc w:val="right"/>
              <w:rPr>
                <w:rFonts w:ascii="Humnst777 BT" w:hAnsi="Humnst777 BT" w:cs="Calibri"/>
                <w:b/>
                <w:bCs/>
                <w:color w:val="000000"/>
                <w:sz w:val="20"/>
                <w:szCs w:val="20"/>
              </w:rPr>
            </w:pPr>
          </w:p>
        </w:tc>
      </w:tr>
      <w:tr w:rsidR="006057AE" w:rsidRPr="00642CE6" w14:paraId="577B9AF7" w14:textId="77777777" w:rsidTr="00AF74DC">
        <w:trPr>
          <w:cantSplit/>
          <w:trHeight w:val="283"/>
        </w:trPr>
        <w:tc>
          <w:tcPr>
            <w:tcW w:w="1360" w:type="pct"/>
            <w:tcBorders>
              <w:top w:val="nil"/>
              <w:left w:val="single" w:sz="8" w:space="0" w:color="C40012"/>
              <w:bottom w:val="nil"/>
              <w:right w:val="nil"/>
            </w:tcBorders>
            <w:shd w:val="clear" w:color="auto" w:fill="auto"/>
            <w:vAlign w:val="center"/>
            <w:hideMark/>
          </w:tcPr>
          <w:p w14:paraId="36B386DE"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Greater London</w:t>
            </w:r>
          </w:p>
        </w:tc>
        <w:tc>
          <w:tcPr>
            <w:tcW w:w="904" w:type="pct"/>
            <w:tcBorders>
              <w:top w:val="nil"/>
              <w:left w:val="nil"/>
              <w:bottom w:val="nil"/>
              <w:right w:val="nil"/>
            </w:tcBorders>
            <w:vAlign w:val="bottom"/>
          </w:tcPr>
          <w:p w14:paraId="6CF14771" w14:textId="10327615" w:rsidR="006057AE" w:rsidRPr="00642CE6" w:rsidRDefault="006057AE" w:rsidP="006057AE">
            <w:pPr>
              <w:jc w:val="right"/>
              <w:rPr>
                <w:rFonts w:cs="Calibri"/>
                <w:color w:val="000000"/>
                <w:sz w:val="20"/>
                <w:szCs w:val="20"/>
              </w:rPr>
            </w:pPr>
            <w:r w:rsidRPr="00264434">
              <w:rPr>
                <w:rFonts w:cs="Calibri"/>
                <w:color w:val="000000"/>
                <w:sz w:val="20"/>
                <w:szCs w:val="20"/>
              </w:rPr>
              <w:t>17.9%</w:t>
            </w:r>
          </w:p>
        </w:tc>
        <w:tc>
          <w:tcPr>
            <w:tcW w:w="904" w:type="pct"/>
            <w:tcBorders>
              <w:top w:val="nil"/>
              <w:left w:val="nil"/>
              <w:bottom w:val="nil"/>
              <w:right w:val="nil"/>
            </w:tcBorders>
            <w:shd w:val="clear" w:color="auto" w:fill="auto"/>
            <w:vAlign w:val="center"/>
            <w:hideMark/>
          </w:tcPr>
          <w:p w14:paraId="2049B8A2" w14:textId="3C142C38" w:rsidR="006057AE" w:rsidRPr="00642CE6" w:rsidRDefault="006057AE" w:rsidP="006057AE">
            <w:pPr>
              <w:jc w:val="right"/>
              <w:rPr>
                <w:rFonts w:cs="Calibri"/>
                <w:color w:val="000000"/>
                <w:sz w:val="20"/>
                <w:szCs w:val="20"/>
              </w:rPr>
            </w:pPr>
            <w:r w:rsidRPr="00642CE6">
              <w:rPr>
                <w:rFonts w:cs="Calibri"/>
                <w:color w:val="000000"/>
                <w:sz w:val="20"/>
                <w:szCs w:val="20"/>
              </w:rPr>
              <w:t>28,927,489</w:t>
            </w:r>
          </w:p>
        </w:tc>
        <w:tc>
          <w:tcPr>
            <w:tcW w:w="895" w:type="pct"/>
            <w:tcBorders>
              <w:top w:val="nil"/>
              <w:left w:val="nil"/>
              <w:bottom w:val="nil"/>
              <w:right w:val="nil"/>
            </w:tcBorders>
            <w:shd w:val="clear" w:color="auto" w:fill="auto"/>
            <w:vAlign w:val="center"/>
            <w:hideMark/>
          </w:tcPr>
          <w:p w14:paraId="473CEB5A" w14:textId="77777777" w:rsidR="006057AE" w:rsidRPr="00642CE6" w:rsidRDefault="006057AE" w:rsidP="006057AE">
            <w:pPr>
              <w:jc w:val="right"/>
              <w:rPr>
                <w:rFonts w:cs="Calibri"/>
                <w:szCs w:val="22"/>
              </w:rPr>
            </w:pPr>
            <w:bookmarkStart w:id="4" w:name="RANGE!G9"/>
            <w:r w:rsidRPr="00642CE6">
              <w:rPr>
                <w:rFonts w:cs="Calibri"/>
                <w:szCs w:val="22"/>
              </w:rPr>
              <w:t>23.1</w:t>
            </w:r>
            <w:bookmarkEnd w:id="4"/>
          </w:p>
        </w:tc>
        <w:tc>
          <w:tcPr>
            <w:tcW w:w="812" w:type="pct"/>
            <w:tcBorders>
              <w:top w:val="nil"/>
              <w:left w:val="nil"/>
              <w:bottom w:val="nil"/>
              <w:right w:val="single" w:sz="8" w:space="0" w:color="C40012"/>
            </w:tcBorders>
            <w:shd w:val="clear" w:color="auto" w:fill="auto"/>
            <w:vAlign w:val="center"/>
            <w:hideMark/>
          </w:tcPr>
          <w:p w14:paraId="071DC6FF" w14:textId="77777777" w:rsidR="006057AE" w:rsidRPr="00642CE6" w:rsidRDefault="006057AE" w:rsidP="006057AE">
            <w:pPr>
              <w:jc w:val="right"/>
              <w:rPr>
                <w:rFonts w:cs="Calibri"/>
                <w:color w:val="000000"/>
                <w:sz w:val="20"/>
                <w:szCs w:val="20"/>
              </w:rPr>
            </w:pPr>
            <w:r w:rsidRPr="00642CE6">
              <w:rPr>
                <w:rFonts w:cs="Calibri"/>
                <w:color w:val="000000"/>
                <w:sz w:val="20"/>
                <w:szCs w:val="20"/>
              </w:rPr>
              <w:t>22.5</w:t>
            </w:r>
          </w:p>
        </w:tc>
        <w:tc>
          <w:tcPr>
            <w:tcW w:w="125" w:type="pct"/>
            <w:vAlign w:val="center"/>
            <w:hideMark/>
          </w:tcPr>
          <w:p w14:paraId="1C67DC50" w14:textId="77777777" w:rsidR="006057AE" w:rsidRPr="00642CE6" w:rsidRDefault="006057AE" w:rsidP="006057AE">
            <w:pPr>
              <w:rPr>
                <w:rFonts w:ascii="Times New Roman" w:hAnsi="Times New Roman"/>
                <w:sz w:val="20"/>
                <w:szCs w:val="20"/>
              </w:rPr>
            </w:pPr>
          </w:p>
        </w:tc>
      </w:tr>
      <w:tr w:rsidR="006057AE" w:rsidRPr="00642CE6" w14:paraId="5913AE7B" w14:textId="77777777" w:rsidTr="00AF74DC">
        <w:trPr>
          <w:cantSplit/>
          <w:trHeight w:val="283"/>
        </w:trPr>
        <w:tc>
          <w:tcPr>
            <w:tcW w:w="1360" w:type="pct"/>
            <w:tcBorders>
              <w:top w:val="nil"/>
              <w:left w:val="single" w:sz="8" w:space="0" w:color="C40012"/>
              <w:bottom w:val="nil"/>
              <w:right w:val="nil"/>
            </w:tcBorders>
            <w:shd w:val="clear" w:color="auto" w:fill="auto"/>
            <w:vAlign w:val="center"/>
            <w:hideMark/>
          </w:tcPr>
          <w:p w14:paraId="3BF4CE85"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South East</w:t>
            </w:r>
          </w:p>
        </w:tc>
        <w:tc>
          <w:tcPr>
            <w:tcW w:w="904" w:type="pct"/>
            <w:tcBorders>
              <w:top w:val="nil"/>
              <w:left w:val="nil"/>
              <w:bottom w:val="nil"/>
              <w:right w:val="nil"/>
            </w:tcBorders>
            <w:vAlign w:val="bottom"/>
          </w:tcPr>
          <w:p w14:paraId="688BEA24" w14:textId="7AE8CCAE" w:rsidR="006057AE" w:rsidRPr="00642CE6" w:rsidRDefault="006057AE" w:rsidP="006057AE">
            <w:pPr>
              <w:jc w:val="right"/>
              <w:rPr>
                <w:rFonts w:cs="Calibri"/>
                <w:color w:val="000000"/>
                <w:sz w:val="20"/>
                <w:szCs w:val="20"/>
              </w:rPr>
            </w:pPr>
            <w:r w:rsidRPr="00264434">
              <w:rPr>
                <w:rFonts w:cs="Calibri"/>
                <w:color w:val="000000"/>
                <w:sz w:val="20"/>
                <w:szCs w:val="20"/>
              </w:rPr>
              <w:t>16.5%</w:t>
            </w:r>
          </w:p>
        </w:tc>
        <w:tc>
          <w:tcPr>
            <w:tcW w:w="904" w:type="pct"/>
            <w:tcBorders>
              <w:top w:val="nil"/>
              <w:left w:val="nil"/>
              <w:bottom w:val="nil"/>
              <w:right w:val="nil"/>
            </w:tcBorders>
            <w:shd w:val="clear" w:color="auto" w:fill="auto"/>
            <w:vAlign w:val="center"/>
            <w:hideMark/>
          </w:tcPr>
          <w:p w14:paraId="39A3A786" w14:textId="5CDB6A5A" w:rsidR="006057AE" w:rsidRPr="00642CE6" w:rsidRDefault="006057AE" w:rsidP="006057AE">
            <w:pPr>
              <w:jc w:val="right"/>
              <w:rPr>
                <w:rFonts w:cs="Calibri"/>
                <w:color w:val="000000"/>
                <w:sz w:val="20"/>
                <w:szCs w:val="20"/>
              </w:rPr>
            </w:pPr>
            <w:r w:rsidRPr="00642CE6">
              <w:rPr>
                <w:rFonts w:cs="Calibri"/>
                <w:color w:val="000000"/>
                <w:sz w:val="20"/>
                <w:szCs w:val="20"/>
              </w:rPr>
              <w:t>17,351,671</w:t>
            </w:r>
          </w:p>
        </w:tc>
        <w:tc>
          <w:tcPr>
            <w:tcW w:w="895" w:type="pct"/>
            <w:tcBorders>
              <w:top w:val="nil"/>
              <w:left w:val="nil"/>
              <w:bottom w:val="nil"/>
              <w:right w:val="nil"/>
            </w:tcBorders>
            <w:shd w:val="clear" w:color="auto" w:fill="auto"/>
            <w:vAlign w:val="center"/>
            <w:hideMark/>
          </w:tcPr>
          <w:p w14:paraId="565E8609" w14:textId="77777777" w:rsidR="006057AE" w:rsidRPr="00642CE6" w:rsidRDefault="006057AE" w:rsidP="006057AE">
            <w:pPr>
              <w:jc w:val="right"/>
              <w:rPr>
                <w:rFonts w:cs="Calibri"/>
                <w:color w:val="000000"/>
                <w:sz w:val="20"/>
                <w:szCs w:val="20"/>
              </w:rPr>
            </w:pPr>
            <w:r w:rsidRPr="00642CE6">
              <w:rPr>
                <w:rFonts w:cs="Calibri"/>
                <w:color w:val="000000"/>
                <w:sz w:val="20"/>
                <w:szCs w:val="20"/>
              </w:rPr>
              <w:t>13.9</w:t>
            </w:r>
          </w:p>
        </w:tc>
        <w:tc>
          <w:tcPr>
            <w:tcW w:w="812" w:type="pct"/>
            <w:tcBorders>
              <w:top w:val="nil"/>
              <w:left w:val="nil"/>
              <w:bottom w:val="nil"/>
              <w:right w:val="single" w:sz="8" w:space="0" w:color="C40012"/>
            </w:tcBorders>
            <w:shd w:val="clear" w:color="auto" w:fill="auto"/>
            <w:vAlign w:val="center"/>
            <w:hideMark/>
          </w:tcPr>
          <w:p w14:paraId="0348F69E" w14:textId="77777777" w:rsidR="006057AE" w:rsidRPr="00642CE6" w:rsidRDefault="006057AE" w:rsidP="006057AE">
            <w:pPr>
              <w:jc w:val="right"/>
              <w:rPr>
                <w:rFonts w:cs="Calibri"/>
                <w:color w:val="000000"/>
                <w:sz w:val="20"/>
                <w:szCs w:val="20"/>
              </w:rPr>
            </w:pPr>
            <w:r w:rsidRPr="00642CE6">
              <w:rPr>
                <w:rFonts w:cs="Calibri"/>
                <w:color w:val="000000"/>
                <w:sz w:val="20"/>
                <w:szCs w:val="20"/>
              </w:rPr>
              <w:t>13.5</w:t>
            </w:r>
          </w:p>
        </w:tc>
        <w:tc>
          <w:tcPr>
            <w:tcW w:w="125" w:type="pct"/>
            <w:vAlign w:val="center"/>
            <w:hideMark/>
          </w:tcPr>
          <w:p w14:paraId="2129BBBB" w14:textId="77777777" w:rsidR="006057AE" w:rsidRPr="00642CE6" w:rsidRDefault="006057AE" w:rsidP="006057AE">
            <w:pPr>
              <w:rPr>
                <w:rFonts w:ascii="Times New Roman" w:hAnsi="Times New Roman"/>
                <w:sz w:val="20"/>
                <w:szCs w:val="20"/>
              </w:rPr>
            </w:pPr>
          </w:p>
        </w:tc>
      </w:tr>
      <w:tr w:rsidR="006057AE" w:rsidRPr="00642CE6" w14:paraId="4656B329" w14:textId="77777777" w:rsidTr="00AF74DC">
        <w:trPr>
          <w:cantSplit/>
          <w:trHeight w:val="283"/>
        </w:trPr>
        <w:tc>
          <w:tcPr>
            <w:tcW w:w="1360" w:type="pct"/>
            <w:tcBorders>
              <w:top w:val="nil"/>
              <w:left w:val="single" w:sz="8" w:space="0" w:color="C40012"/>
              <w:bottom w:val="nil"/>
              <w:right w:val="nil"/>
            </w:tcBorders>
            <w:shd w:val="clear" w:color="auto" w:fill="auto"/>
            <w:vAlign w:val="center"/>
            <w:hideMark/>
          </w:tcPr>
          <w:p w14:paraId="63198258"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East of England</w:t>
            </w:r>
          </w:p>
        </w:tc>
        <w:tc>
          <w:tcPr>
            <w:tcW w:w="904" w:type="pct"/>
            <w:tcBorders>
              <w:top w:val="nil"/>
              <w:left w:val="nil"/>
              <w:bottom w:val="nil"/>
              <w:right w:val="nil"/>
            </w:tcBorders>
            <w:vAlign w:val="bottom"/>
          </w:tcPr>
          <w:p w14:paraId="01E4E943" w14:textId="5001333C" w:rsidR="006057AE" w:rsidRPr="00642CE6" w:rsidRDefault="006057AE" w:rsidP="006057AE">
            <w:pPr>
              <w:jc w:val="right"/>
              <w:rPr>
                <w:rFonts w:cs="Calibri"/>
                <w:color w:val="000000"/>
                <w:sz w:val="20"/>
                <w:szCs w:val="20"/>
              </w:rPr>
            </w:pPr>
            <w:r w:rsidRPr="00264434">
              <w:rPr>
                <w:rFonts w:cs="Calibri"/>
                <w:color w:val="000000"/>
                <w:sz w:val="20"/>
                <w:szCs w:val="20"/>
              </w:rPr>
              <w:t>9.6%</w:t>
            </w:r>
          </w:p>
        </w:tc>
        <w:tc>
          <w:tcPr>
            <w:tcW w:w="904" w:type="pct"/>
            <w:tcBorders>
              <w:top w:val="nil"/>
              <w:left w:val="nil"/>
              <w:bottom w:val="nil"/>
              <w:right w:val="nil"/>
            </w:tcBorders>
            <w:shd w:val="clear" w:color="auto" w:fill="auto"/>
            <w:vAlign w:val="center"/>
            <w:hideMark/>
          </w:tcPr>
          <w:p w14:paraId="64AA45C1" w14:textId="0E0C1DEE" w:rsidR="006057AE" w:rsidRPr="00642CE6" w:rsidRDefault="006057AE" w:rsidP="006057AE">
            <w:pPr>
              <w:jc w:val="right"/>
              <w:rPr>
                <w:rFonts w:cs="Calibri"/>
                <w:color w:val="000000"/>
                <w:sz w:val="20"/>
                <w:szCs w:val="20"/>
              </w:rPr>
            </w:pPr>
            <w:r w:rsidRPr="00642CE6">
              <w:rPr>
                <w:rFonts w:cs="Calibri"/>
                <w:color w:val="000000"/>
                <w:sz w:val="20"/>
                <w:szCs w:val="20"/>
              </w:rPr>
              <w:t>15,189,012</w:t>
            </w:r>
          </w:p>
        </w:tc>
        <w:tc>
          <w:tcPr>
            <w:tcW w:w="895" w:type="pct"/>
            <w:tcBorders>
              <w:top w:val="nil"/>
              <w:left w:val="nil"/>
              <w:bottom w:val="nil"/>
              <w:right w:val="nil"/>
            </w:tcBorders>
            <w:shd w:val="clear" w:color="auto" w:fill="auto"/>
            <w:vAlign w:val="center"/>
            <w:hideMark/>
          </w:tcPr>
          <w:p w14:paraId="7342EA81" w14:textId="77777777" w:rsidR="006057AE" w:rsidRPr="00642CE6" w:rsidRDefault="006057AE" w:rsidP="006057AE">
            <w:pPr>
              <w:jc w:val="right"/>
              <w:rPr>
                <w:rFonts w:cs="Calibri"/>
                <w:color w:val="000000"/>
                <w:sz w:val="20"/>
                <w:szCs w:val="20"/>
              </w:rPr>
            </w:pPr>
            <w:r w:rsidRPr="00642CE6">
              <w:rPr>
                <w:rFonts w:cs="Calibri"/>
                <w:color w:val="000000"/>
                <w:sz w:val="20"/>
                <w:szCs w:val="20"/>
              </w:rPr>
              <w:t>12.1</w:t>
            </w:r>
          </w:p>
        </w:tc>
        <w:tc>
          <w:tcPr>
            <w:tcW w:w="812" w:type="pct"/>
            <w:tcBorders>
              <w:top w:val="nil"/>
              <w:left w:val="nil"/>
              <w:bottom w:val="nil"/>
              <w:right w:val="single" w:sz="8" w:space="0" w:color="C40012"/>
            </w:tcBorders>
            <w:shd w:val="clear" w:color="auto" w:fill="auto"/>
            <w:vAlign w:val="center"/>
            <w:hideMark/>
          </w:tcPr>
          <w:p w14:paraId="692B5E8E" w14:textId="77777777" w:rsidR="006057AE" w:rsidRPr="00642CE6" w:rsidRDefault="006057AE" w:rsidP="006057AE">
            <w:pPr>
              <w:jc w:val="right"/>
              <w:rPr>
                <w:rFonts w:cs="Calibri"/>
                <w:color w:val="000000"/>
                <w:sz w:val="20"/>
                <w:szCs w:val="20"/>
              </w:rPr>
            </w:pPr>
            <w:r w:rsidRPr="00642CE6">
              <w:rPr>
                <w:rFonts w:cs="Calibri"/>
                <w:color w:val="000000"/>
                <w:sz w:val="20"/>
                <w:szCs w:val="20"/>
              </w:rPr>
              <w:t>11.8</w:t>
            </w:r>
          </w:p>
        </w:tc>
        <w:tc>
          <w:tcPr>
            <w:tcW w:w="125" w:type="pct"/>
            <w:vAlign w:val="center"/>
            <w:hideMark/>
          </w:tcPr>
          <w:p w14:paraId="3FD76BFE" w14:textId="77777777" w:rsidR="006057AE" w:rsidRPr="00642CE6" w:rsidRDefault="006057AE" w:rsidP="006057AE">
            <w:pPr>
              <w:rPr>
                <w:rFonts w:ascii="Times New Roman" w:hAnsi="Times New Roman"/>
                <w:sz w:val="20"/>
                <w:szCs w:val="20"/>
              </w:rPr>
            </w:pPr>
          </w:p>
        </w:tc>
      </w:tr>
      <w:tr w:rsidR="006057AE" w:rsidRPr="00642CE6" w14:paraId="47054ED2" w14:textId="77777777" w:rsidTr="00AF74DC">
        <w:trPr>
          <w:cantSplit/>
          <w:trHeight w:val="283"/>
        </w:trPr>
        <w:tc>
          <w:tcPr>
            <w:tcW w:w="1360" w:type="pct"/>
            <w:tcBorders>
              <w:top w:val="nil"/>
              <w:left w:val="single" w:sz="8" w:space="0" w:color="C40012"/>
              <w:bottom w:val="nil"/>
              <w:right w:val="nil"/>
            </w:tcBorders>
            <w:shd w:val="clear" w:color="auto" w:fill="auto"/>
            <w:vAlign w:val="center"/>
            <w:hideMark/>
          </w:tcPr>
          <w:p w14:paraId="0723F51A"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South West</w:t>
            </w:r>
          </w:p>
        </w:tc>
        <w:tc>
          <w:tcPr>
            <w:tcW w:w="904" w:type="pct"/>
            <w:tcBorders>
              <w:top w:val="nil"/>
              <w:left w:val="nil"/>
              <w:bottom w:val="nil"/>
              <w:right w:val="nil"/>
            </w:tcBorders>
            <w:vAlign w:val="bottom"/>
          </w:tcPr>
          <w:p w14:paraId="6C0BF55E" w14:textId="591760BC" w:rsidR="006057AE" w:rsidRPr="00642CE6" w:rsidRDefault="006057AE" w:rsidP="006057AE">
            <w:pPr>
              <w:jc w:val="right"/>
              <w:rPr>
                <w:rFonts w:cs="Calibri"/>
                <w:color w:val="000000"/>
                <w:sz w:val="20"/>
                <w:szCs w:val="20"/>
              </w:rPr>
            </w:pPr>
            <w:r w:rsidRPr="00264434">
              <w:rPr>
                <w:rFonts w:cs="Calibri"/>
                <w:color w:val="000000"/>
                <w:sz w:val="20"/>
                <w:szCs w:val="20"/>
              </w:rPr>
              <w:t>9.7%</w:t>
            </w:r>
          </w:p>
        </w:tc>
        <w:tc>
          <w:tcPr>
            <w:tcW w:w="904" w:type="pct"/>
            <w:tcBorders>
              <w:top w:val="nil"/>
              <w:left w:val="nil"/>
              <w:bottom w:val="nil"/>
              <w:right w:val="nil"/>
            </w:tcBorders>
            <w:shd w:val="clear" w:color="auto" w:fill="auto"/>
            <w:vAlign w:val="center"/>
            <w:hideMark/>
          </w:tcPr>
          <w:p w14:paraId="097EABAF" w14:textId="321F0B94" w:rsidR="006057AE" w:rsidRPr="00642CE6" w:rsidRDefault="006057AE" w:rsidP="006057AE">
            <w:pPr>
              <w:jc w:val="right"/>
              <w:rPr>
                <w:rFonts w:cs="Calibri"/>
                <w:color w:val="000000"/>
                <w:sz w:val="20"/>
                <w:szCs w:val="20"/>
              </w:rPr>
            </w:pPr>
            <w:r w:rsidRPr="00642CE6">
              <w:rPr>
                <w:rFonts w:cs="Calibri"/>
                <w:color w:val="000000"/>
                <w:sz w:val="20"/>
                <w:szCs w:val="20"/>
              </w:rPr>
              <w:t>10,648,303</w:t>
            </w:r>
          </w:p>
        </w:tc>
        <w:tc>
          <w:tcPr>
            <w:tcW w:w="895" w:type="pct"/>
            <w:tcBorders>
              <w:top w:val="nil"/>
              <w:left w:val="nil"/>
              <w:bottom w:val="nil"/>
              <w:right w:val="nil"/>
            </w:tcBorders>
            <w:shd w:val="clear" w:color="auto" w:fill="auto"/>
            <w:vAlign w:val="center"/>
            <w:hideMark/>
          </w:tcPr>
          <w:p w14:paraId="5B8D05C1" w14:textId="77777777" w:rsidR="006057AE" w:rsidRPr="00642CE6" w:rsidRDefault="006057AE" w:rsidP="006057AE">
            <w:pPr>
              <w:jc w:val="right"/>
              <w:rPr>
                <w:rFonts w:cs="Calibri"/>
                <w:color w:val="000000"/>
                <w:sz w:val="20"/>
                <w:szCs w:val="20"/>
              </w:rPr>
            </w:pPr>
            <w:r w:rsidRPr="00642CE6">
              <w:rPr>
                <w:rFonts w:cs="Calibri"/>
                <w:color w:val="000000"/>
                <w:sz w:val="20"/>
                <w:szCs w:val="20"/>
              </w:rPr>
              <w:t>8.5</w:t>
            </w:r>
          </w:p>
        </w:tc>
        <w:tc>
          <w:tcPr>
            <w:tcW w:w="812" w:type="pct"/>
            <w:tcBorders>
              <w:top w:val="nil"/>
              <w:left w:val="nil"/>
              <w:bottom w:val="nil"/>
              <w:right w:val="single" w:sz="8" w:space="0" w:color="C40012"/>
            </w:tcBorders>
            <w:shd w:val="clear" w:color="auto" w:fill="auto"/>
            <w:vAlign w:val="center"/>
            <w:hideMark/>
          </w:tcPr>
          <w:p w14:paraId="4C22AB42" w14:textId="77777777" w:rsidR="006057AE" w:rsidRPr="00642CE6" w:rsidRDefault="006057AE" w:rsidP="006057AE">
            <w:pPr>
              <w:jc w:val="right"/>
              <w:rPr>
                <w:rFonts w:cs="Calibri"/>
                <w:color w:val="000000"/>
                <w:sz w:val="20"/>
                <w:szCs w:val="20"/>
              </w:rPr>
            </w:pPr>
            <w:r w:rsidRPr="00642CE6">
              <w:rPr>
                <w:rFonts w:cs="Calibri"/>
                <w:color w:val="000000"/>
                <w:sz w:val="20"/>
                <w:szCs w:val="20"/>
              </w:rPr>
              <w:t>8.3</w:t>
            </w:r>
          </w:p>
        </w:tc>
        <w:tc>
          <w:tcPr>
            <w:tcW w:w="125" w:type="pct"/>
            <w:vAlign w:val="center"/>
            <w:hideMark/>
          </w:tcPr>
          <w:p w14:paraId="6910DD43" w14:textId="77777777" w:rsidR="006057AE" w:rsidRPr="00642CE6" w:rsidRDefault="006057AE" w:rsidP="006057AE">
            <w:pPr>
              <w:rPr>
                <w:rFonts w:ascii="Times New Roman" w:hAnsi="Times New Roman"/>
                <w:sz w:val="20"/>
                <w:szCs w:val="20"/>
              </w:rPr>
            </w:pPr>
          </w:p>
        </w:tc>
      </w:tr>
      <w:tr w:rsidR="006057AE" w:rsidRPr="00642CE6" w14:paraId="3E9E20DA" w14:textId="77777777" w:rsidTr="00AF74DC">
        <w:trPr>
          <w:cantSplit/>
          <w:trHeight w:val="283"/>
        </w:trPr>
        <w:tc>
          <w:tcPr>
            <w:tcW w:w="1360" w:type="pct"/>
            <w:tcBorders>
              <w:top w:val="nil"/>
              <w:left w:val="single" w:sz="8" w:space="0" w:color="C40012"/>
              <w:bottom w:val="nil"/>
              <w:right w:val="nil"/>
            </w:tcBorders>
            <w:shd w:val="clear" w:color="auto" w:fill="auto"/>
            <w:vAlign w:val="center"/>
            <w:hideMark/>
          </w:tcPr>
          <w:p w14:paraId="31ADB551"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North West</w:t>
            </w:r>
          </w:p>
        </w:tc>
        <w:tc>
          <w:tcPr>
            <w:tcW w:w="904" w:type="pct"/>
            <w:tcBorders>
              <w:top w:val="nil"/>
              <w:left w:val="nil"/>
              <w:bottom w:val="nil"/>
              <w:right w:val="nil"/>
            </w:tcBorders>
            <w:vAlign w:val="bottom"/>
          </w:tcPr>
          <w:p w14:paraId="612C9185" w14:textId="70E6E143" w:rsidR="006057AE" w:rsidRPr="00642CE6" w:rsidRDefault="006057AE" w:rsidP="006057AE">
            <w:pPr>
              <w:jc w:val="right"/>
              <w:rPr>
                <w:rFonts w:cs="Calibri"/>
                <w:color w:val="000000"/>
                <w:sz w:val="20"/>
                <w:szCs w:val="20"/>
              </w:rPr>
            </w:pPr>
            <w:r w:rsidRPr="00264434">
              <w:rPr>
                <w:rFonts w:cs="Calibri"/>
                <w:color w:val="000000"/>
                <w:sz w:val="20"/>
                <w:szCs w:val="20"/>
              </w:rPr>
              <w:t>9.0%</w:t>
            </w:r>
          </w:p>
        </w:tc>
        <w:tc>
          <w:tcPr>
            <w:tcW w:w="904" w:type="pct"/>
            <w:tcBorders>
              <w:top w:val="nil"/>
              <w:left w:val="nil"/>
              <w:bottom w:val="nil"/>
              <w:right w:val="nil"/>
            </w:tcBorders>
            <w:shd w:val="clear" w:color="auto" w:fill="auto"/>
            <w:vAlign w:val="center"/>
            <w:hideMark/>
          </w:tcPr>
          <w:p w14:paraId="7011B4E5" w14:textId="16C365FE" w:rsidR="006057AE" w:rsidRPr="00642CE6" w:rsidRDefault="006057AE" w:rsidP="006057AE">
            <w:pPr>
              <w:jc w:val="right"/>
              <w:rPr>
                <w:rFonts w:cs="Calibri"/>
                <w:color w:val="000000"/>
                <w:sz w:val="20"/>
                <w:szCs w:val="20"/>
              </w:rPr>
            </w:pPr>
            <w:r w:rsidRPr="00642CE6">
              <w:rPr>
                <w:rFonts w:cs="Calibri"/>
                <w:color w:val="000000"/>
                <w:sz w:val="20"/>
                <w:szCs w:val="20"/>
              </w:rPr>
              <w:t>11,814,899</w:t>
            </w:r>
          </w:p>
        </w:tc>
        <w:tc>
          <w:tcPr>
            <w:tcW w:w="895" w:type="pct"/>
            <w:tcBorders>
              <w:top w:val="nil"/>
              <w:left w:val="nil"/>
              <w:bottom w:val="nil"/>
              <w:right w:val="nil"/>
            </w:tcBorders>
            <w:shd w:val="clear" w:color="auto" w:fill="auto"/>
            <w:vAlign w:val="center"/>
            <w:hideMark/>
          </w:tcPr>
          <w:p w14:paraId="7255B88A" w14:textId="77777777" w:rsidR="006057AE" w:rsidRPr="00642CE6" w:rsidRDefault="006057AE" w:rsidP="006057AE">
            <w:pPr>
              <w:jc w:val="right"/>
              <w:rPr>
                <w:rFonts w:cs="Calibri"/>
                <w:color w:val="000000"/>
                <w:sz w:val="20"/>
                <w:szCs w:val="20"/>
              </w:rPr>
            </w:pPr>
            <w:r w:rsidRPr="00642CE6">
              <w:rPr>
                <w:rFonts w:cs="Calibri"/>
                <w:color w:val="000000"/>
                <w:sz w:val="20"/>
                <w:szCs w:val="20"/>
              </w:rPr>
              <w:t>9.4</w:t>
            </w:r>
          </w:p>
        </w:tc>
        <w:tc>
          <w:tcPr>
            <w:tcW w:w="812" w:type="pct"/>
            <w:tcBorders>
              <w:top w:val="nil"/>
              <w:left w:val="nil"/>
              <w:bottom w:val="nil"/>
              <w:right w:val="single" w:sz="8" w:space="0" w:color="C40012"/>
            </w:tcBorders>
            <w:shd w:val="clear" w:color="auto" w:fill="auto"/>
            <w:vAlign w:val="center"/>
            <w:hideMark/>
          </w:tcPr>
          <w:p w14:paraId="5D957001" w14:textId="77777777" w:rsidR="006057AE" w:rsidRPr="00642CE6" w:rsidRDefault="006057AE" w:rsidP="006057AE">
            <w:pPr>
              <w:jc w:val="right"/>
              <w:rPr>
                <w:rFonts w:cs="Calibri"/>
                <w:color w:val="000000"/>
                <w:sz w:val="20"/>
                <w:szCs w:val="20"/>
              </w:rPr>
            </w:pPr>
            <w:r w:rsidRPr="00642CE6">
              <w:rPr>
                <w:rFonts w:cs="Calibri"/>
                <w:color w:val="000000"/>
                <w:sz w:val="20"/>
                <w:szCs w:val="20"/>
              </w:rPr>
              <w:t>9.2</w:t>
            </w:r>
          </w:p>
        </w:tc>
        <w:tc>
          <w:tcPr>
            <w:tcW w:w="125" w:type="pct"/>
            <w:vAlign w:val="center"/>
            <w:hideMark/>
          </w:tcPr>
          <w:p w14:paraId="48F6C987" w14:textId="77777777" w:rsidR="006057AE" w:rsidRPr="00642CE6" w:rsidRDefault="006057AE" w:rsidP="006057AE">
            <w:pPr>
              <w:rPr>
                <w:rFonts w:ascii="Times New Roman" w:hAnsi="Times New Roman"/>
                <w:sz w:val="20"/>
                <w:szCs w:val="20"/>
              </w:rPr>
            </w:pPr>
          </w:p>
        </w:tc>
      </w:tr>
      <w:tr w:rsidR="006057AE" w:rsidRPr="00642CE6" w14:paraId="02B175FB" w14:textId="77777777" w:rsidTr="00AF74DC">
        <w:trPr>
          <w:cantSplit/>
          <w:trHeight w:val="283"/>
        </w:trPr>
        <w:tc>
          <w:tcPr>
            <w:tcW w:w="1360" w:type="pct"/>
            <w:tcBorders>
              <w:top w:val="nil"/>
              <w:left w:val="single" w:sz="8" w:space="0" w:color="C40012"/>
              <w:bottom w:val="nil"/>
              <w:right w:val="nil"/>
            </w:tcBorders>
            <w:shd w:val="clear" w:color="auto" w:fill="auto"/>
            <w:vAlign w:val="center"/>
            <w:hideMark/>
          </w:tcPr>
          <w:p w14:paraId="535F18BF"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West Midlands</w:t>
            </w:r>
          </w:p>
        </w:tc>
        <w:tc>
          <w:tcPr>
            <w:tcW w:w="904" w:type="pct"/>
            <w:tcBorders>
              <w:top w:val="nil"/>
              <w:left w:val="nil"/>
              <w:bottom w:val="nil"/>
              <w:right w:val="nil"/>
            </w:tcBorders>
            <w:vAlign w:val="bottom"/>
          </w:tcPr>
          <w:p w14:paraId="41DBED24" w14:textId="645CC6CA" w:rsidR="006057AE" w:rsidRPr="00642CE6" w:rsidRDefault="006057AE" w:rsidP="006057AE">
            <w:pPr>
              <w:jc w:val="right"/>
              <w:rPr>
                <w:rFonts w:cs="Calibri"/>
                <w:color w:val="000000"/>
                <w:sz w:val="20"/>
                <w:szCs w:val="20"/>
              </w:rPr>
            </w:pPr>
            <w:r w:rsidRPr="00264434">
              <w:rPr>
                <w:rFonts w:cs="Calibri"/>
                <w:color w:val="000000"/>
                <w:sz w:val="20"/>
                <w:szCs w:val="20"/>
              </w:rPr>
              <w:t>7.9%</w:t>
            </w:r>
          </w:p>
        </w:tc>
        <w:tc>
          <w:tcPr>
            <w:tcW w:w="904" w:type="pct"/>
            <w:tcBorders>
              <w:top w:val="nil"/>
              <w:left w:val="nil"/>
              <w:bottom w:val="nil"/>
              <w:right w:val="nil"/>
            </w:tcBorders>
            <w:shd w:val="clear" w:color="auto" w:fill="auto"/>
            <w:vAlign w:val="center"/>
            <w:hideMark/>
          </w:tcPr>
          <w:p w14:paraId="02453128" w14:textId="23F9D137" w:rsidR="006057AE" w:rsidRPr="00642CE6" w:rsidRDefault="006057AE" w:rsidP="006057AE">
            <w:pPr>
              <w:jc w:val="right"/>
              <w:rPr>
                <w:rFonts w:cs="Calibri"/>
                <w:color w:val="000000"/>
                <w:sz w:val="20"/>
                <w:szCs w:val="20"/>
              </w:rPr>
            </w:pPr>
            <w:r w:rsidRPr="00642CE6">
              <w:rPr>
                <w:rFonts w:cs="Calibri"/>
                <w:color w:val="000000"/>
                <w:sz w:val="20"/>
                <w:szCs w:val="20"/>
              </w:rPr>
              <w:t>10,046,688</w:t>
            </w:r>
          </w:p>
        </w:tc>
        <w:tc>
          <w:tcPr>
            <w:tcW w:w="895" w:type="pct"/>
            <w:tcBorders>
              <w:top w:val="nil"/>
              <w:left w:val="nil"/>
              <w:bottom w:val="nil"/>
              <w:right w:val="nil"/>
            </w:tcBorders>
            <w:shd w:val="clear" w:color="auto" w:fill="auto"/>
            <w:vAlign w:val="center"/>
            <w:hideMark/>
          </w:tcPr>
          <w:p w14:paraId="337B6FDF" w14:textId="77777777" w:rsidR="006057AE" w:rsidRPr="00642CE6" w:rsidRDefault="006057AE" w:rsidP="006057AE">
            <w:pPr>
              <w:jc w:val="right"/>
              <w:rPr>
                <w:rFonts w:cs="Calibri"/>
                <w:color w:val="000000"/>
                <w:sz w:val="20"/>
                <w:szCs w:val="20"/>
              </w:rPr>
            </w:pPr>
            <w:r w:rsidRPr="00642CE6">
              <w:rPr>
                <w:rFonts w:cs="Calibri"/>
                <w:color w:val="000000"/>
                <w:sz w:val="20"/>
                <w:szCs w:val="20"/>
              </w:rPr>
              <w:t>8.0</w:t>
            </w:r>
          </w:p>
        </w:tc>
        <w:tc>
          <w:tcPr>
            <w:tcW w:w="812" w:type="pct"/>
            <w:tcBorders>
              <w:top w:val="nil"/>
              <w:left w:val="nil"/>
              <w:bottom w:val="nil"/>
              <w:right w:val="single" w:sz="8" w:space="0" w:color="C40012"/>
            </w:tcBorders>
            <w:shd w:val="clear" w:color="auto" w:fill="auto"/>
            <w:vAlign w:val="center"/>
            <w:hideMark/>
          </w:tcPr>
          <w:p w14:paraId="217F9B87" w14:textId="77777777" w:rsidR="006057AE" w:rsidRPr="00642CE6" w:rsidRDefault="006057AE" w:rsidP="006057AE">
            <w:pPr>
              <w:jc w:val="right"/>
              <w:rPr>
                <w:rFonts w:cs="Calibri"/>
                <w:color w:val="000000"/>
                <w:sz w:val="20"/>
                <w:szCs w:val="20"/>
              </w:rPr>
            </w:pPr>
            <w:r w:rsidRPr="00642CE6">
              <w:rPr>
                <w:rFonts w:cs="Calibri"/>
                <w:color w:val="000000"/>
                <w:sz w:val="20"/>
                <w:szCs w:val="20"/>
              </w:rPr>
              <w:t>7.8</w:t>
            </w:r>
          </w:p>
        </w:tc>
        <w:tc>
          <w:tcPr>
            <w:tcW w:w="125" w:type="pct"/>
            <w:vAlign w:val="center"/>
            <w:hideMark/>
          </w:tcPr>
          <w:p w14:paraId="377E4889" w14:textId="77777777" w:rsidR="006057AE" w:rsidRPr="00642CE6" w:rsidRDefault="006057AE" w:rsidP="006057AE">
            <w:pPr>
              <w:rPr>
                <w:rFonts w:ascii="Times New Roman" w:hAnsi="Times New Roman"/>
                <w:sz w:val="20"/>
                <w:szCs w:val="20"/>
              </w:rPr>
            </w:pPr>
          </w:p>
        </w:tc>
      </w:tr>
      <w:tr w:rsidR="006057AE" w:rsidRPr="00642CE6" w14:paraId="7A4BBE42" w14:textId="77777777" w:rsidTr="00AF74DC">
        <w:trPr>
          <w:cantSplit/>
          <w:trHeight w:val="283"/>
        </w:trPr>
        <w:tc>
          <w:tcPr>
            <w:tcW w:w="1360" w:type="pct"/>
            <w:tcBorders>
              <w:top w:val="nil"/>
              <w:left w:val="single" w:sz="8" w:space="0" w:color="C40012"/>
              <w:bottom w:val="nil"/>
              <w:right w:val="nil"/>
            </w:tcBorders>
            <w:shd w:val="clear" w:color="auto" w:fill="auto"/>
            <w:vAlign w:val="center"/>
            <w:hideMark/>
          </w:tcPr>
          <w:p w14:paraId="6D07D93A" w14:textId="704FCE0F"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 xml:space="preserve">Yorkshire and </w:t>
            </w:r>
            <w:r>
              <w:rPr>
                <w:rFonts w:ascii="Humnst777 BT" w:hAnsi="Humnst777 BT" w:cs="Calibri"/>
                <w:b/>
                <w:bCs/>
                <w:color w:val="000000"/>
                <w:sz w:val="20"/>
                <w:szCs w:val="20"/>
              </w:rPr>
              <w:t xml:space="preserve">the </w:t>
            </w:r>
            <w:r w:rsidRPr="00642CE6">
              <w:rPr>
                <w:rFonts w:ascii="Humnst777 BT" w:hAnsi="Humnst777 BT" w:cs="Calibri"/>
                <w:b/>
                <w:bCs/>
                <w:color w:val="000000"/>
                <w:sz w:val="20"/>
                <w:szCs w:val="20"/>
              </w:rPr>
              <w:t>Humber</w:t>
            </w:r>
          </w:p>
        </w:tc>
        <w:tc>
          <w:tcPr>
            <w:tcW w:w="904" w:type="pct"/>
            <w:tcBorders>
              <w:top w:val="nil"/>
              <w:left w:val="nil"/>
              <w:bottom w:val="nil"/>
              <w:right w:val="nil"/>
            </w:tcBorders>
            <w:vAlign w:val="bottom"/>
          </w:tcPr>
          <w:p w14:paraId="6F9AE38A" w14:textId="56433289" w:rsidR="006057AE" w:rsidRPr="00642CE6" w:rsidRDefault="006057AE" w:rsidP="006057AE">
            <w:pPr>
              <w:jc w:val="right"/>
              <w:rPr>
                <w:rFonts w:cs="Calibri"/>
                <w:color w:val="000000"/>
                <w:sz w:val="20"/>
                <w:szCs w:val="20"/>
              </w:rPr>
            </w:pPr>
            <w:r w:rsidRPr="00264434">
              <w:rPr>
                <w:rFonts w:cs="Calibri"/>
                <w:color w:val="000000"/>
                <w:sz w:val="20"/>
                <w:szCs w:val="20"/>
              </w:rPr>
              <w:t>7.1%</w:t>
            </w:r>
          </w:p>
        </w:tc>
        <w:tc>
          <w:tcPr>
            <w:tcW w:w="904" w:type="pct"/>
            <w:tcBorders>
              <w:top w:val="nil"/>
              <w:left w:val="nil"/>
              <w:bottom w:val="nil"/>
              <w:right w:val="nil"/>
            </w:tcBorders>
            <w:shd w:val="clear" w:color="auto" w:fill="auto"/>
            <w:vAlign w:val="center"/>
            <w:hideMark/>
          </w:tcPr>
          <w:p w14:paraId="61256501" w14:textId="422063A1" w:rsidR="006057AE" w:rsidRPr="00642CE6" w:rsidRDefault="006057AE" w:rsidP="006057AE">
            <w:pPr>
              <w:jc w:val="right"/>
              <w:rPr>
                <w:rFonts w:cs="Calibri"/>
                <w:color w:val="000000"/>
                <w:sz w:val="20"/>
                <w:szCs w:val="20"/>
              </w:rPr>
            </w:pPr>
            <w:r w:rsidRPr="00642CE6">
              <w:rPr>
                <w:rFonts w:cs="Calibri"/>
                <w:color w:val="000000"/>
                <w:sz w:val="20"/>
                <w:szCs w:val="20"/>
              </w:rPr>
              <w:t>8,554,552</w:t>
            </w:r>
          </w:p>
        </w:tc>
        <w:tc>
          <w:tcPr>
            <w:tcW w:w="895" w:type="pct"/>
            <w:tcBorders>
              <w:top w:val="nil"/>
              <w:left w:val="nil"/>
              <w:bottom w:val="nil"/>
              <w:right w:val="nil"/>
            </w:tcBorders>
            <w:shd w:val="clear" w:color="auto" w:fill="auto"/>
            <w:vAlign w:val="center"/>
            <w:hideMark/>
          </w:tcPr>
          <w:p w14:paraId="72A0CD86" w14:textId="77777777" w:rsidR="006057AE" w:rsidRPr="00642CE6" w:rsidRDefault="006057AE" w:rsidP="006057AE">
            <w:pPr>
              <w:jc w:val="right"/>
              <w:rPr>
                <w:rFonts w:cs="Calibri"/>
                <w:color w:val="000000"/>
                <w:sz w:val="20"/>
                <w:szCs w:val="20"/>
              </w:rPr>
            </w:pPr>
            <w:r w:rsidRPr="00642CE6">
              <w:rPr>
                <w:rFonts w:cs="Calibri"/>
                <w:color w:val="000000"/>
                <w:sz w:val="20"/>
                <w:szCs w:val="20"/>
              </w:rPr>
              <w:t>6.8</w:t>
            </w:r>
          </w:p>
        </w:tc>
        <w:tc>
          <w:tcPr>
            <w:tcW w:w="812" w:type="pct"/>
            <w:tcBorders>
              <w:top w:val="nil"/>
              <w:left w:val="nil"/>
              <w:bottom w:val="nil"/>
              <w:right w:val="single" w:sz="8" w:space="0" w:color="C40012"/>
            </w:tcBorders>
            <w:shd w:val="clear" w:color="auto" w:fill="auto"/>
            <w:vAlign w:val="center"/>
            <w:hideMark/>
          </w:tcPr>
          <w:p w14:paraId="1DF978AE" w14:textId="77777777" w:rsidR="006057AE" w:rsidRPr="00642CE6" w:rsidRDefault="006057AE" w:rsidP="006057AE">
            <w:pPr>
              <w:jc w:val="right"/>
              <w:rPr>
                <w:rFonts w:cs="Calibri"/>
                <w:color w:val="000000"/>
                <w:sz w:val="20"/>
                <w:szCs w:val="20"/>
              </w:rPr>
            </w:pPr>
            <w:r w:rsidRPr="00642CE6">
              <w:rPr>
                <w:rFonts w:cs="Calibri"/>
                <w:color w:val="000000"/>
                <w:sz w:val="20"/>
                <w:szCs w:val="20"/>
              </w:rPr>
              <w:t>6.6</w:t>
            </w:r>
          </w:p>
        </w:tc>
        <w:tc>
          <w:tcPr>
            <w:tcW w:w="125" w:type="pct"/>
            <w:vAlign w:val="center"/>
            <w:hideMark/>
          </w:tcPr>
          <w:p w14:paraId="06976D60" w14:textId="77777777" w:rsidR="006057AE" w:rsidRPr="00642CE6" w:rsidRDefault="006057AE" w:rsidP="006057AE">
            <w:pPr>
              <w:rPr>
                <w:rFonts w:ascii="Times New Roman" w:hAnsi="Times New Roman"/>
                <w:sz w:val="20"/>
                <w:szCs w:val="20"/>
              </w:rPr>
            </w:pPr>
          </w:p>
        </w:tc>
      </w:tr>
      <w:tr w:rsidR="006057AE" w:rsidRPr="00642CE6" w14:paraId="21347E25" w14:textId="77777777" w:rsidTr="00AF74DC">
        <w:trPr>
          <w:cantSplit/>
          <w:trHeight w:val="283"/>
        </w:trPr>
        <w:tc>
          <w:tcPr>
            <w:tcW w:w="1360" w:type="pct"/>
            <w:tcBorders>
              <w:top w:val="nil"/>
              <w:left w:val="single" w:sz="8" w:space="0" w:color="C40012"/>
              <w:bottom w:val="nil"/>
              <w:right w:val="nil"/>
            </w:tcBorders>
            <w:shd w:val="clear" w:color="auto" w:fill="auto"/>
            <w:vAlign w:val="center"/>
            <w:hideMark/>
          </w:tcPr>
          <w:p w14:paraId="46CEE7A2"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East Midlands</w:t>
            </w:r>
          </w:p>
        </w:tc>
        <w:tc>
          <w:tcPr>
            <w:tcW w:w="904" w:type="pct"/>
            <w:tcBorders>
              <w:top w:val="nil"/>
              <w:left w:val="nil"/>
              <w:bottom w:val="nil"/>
              <w:right w:val="nil"/>
            </w:tcBorders>
            <w:vAlign w:val="bottom"/>
          </w:tcPr>
          <w:p w14:paraId="625E2829" w14:textId="6AF694F9" w:rsidR="006057AE" w:rsidRPr="00642CE6" w:rsidRDefault="006057AE" w:rsidP="006057AE">
            <w:pPr>
              <w:jc w:val="right"/>
              <w:rPr>
                <w:rFonts w:cs="Calibri"/>
                <w:color w:val="000000"/>
                <w:sz w:val="20"/>
                <w:szCs w:val="20"/>
              </w:rPr>
            </w:pPr>
            <w:r w:rsidRPr="00264434">
              <w:rPr>
                <w:rFonts w:cs="Calibri"/>
                <w:color w:val="000000"/>
                <w:sz w:val="20"/>
                <w:szCs w:val="20"/>
              </w:rPr>
              <w:t>6.5%</w:t>
            </w:r>
          </w:p>
        </w:tc>
        <w:tc>
          <w:tcPr>
            <w:tcW w:w="904" w:type="pct"/>
            <w:tcBorders>
              <w:top w:val="nil"/>
              <w:left w:val="nil"/>
              <w:bottom w:val="nil"/>
              <w:right w:val="nil"/>
            </w:tcBorders>
            <w:shd w:val="clear" w:color="auto" w:fill="auto"/>
            <w:vAlign w:val="center"/>
            <w:hideMark/>
          </w:tcPr>
          <w:p w14:paraId="0A98FCDC" w14:textId="0A25ACAD" w:rsidR="006057AE" w:rsidRPr="00642CE6" w:rsidRDefault="006057AE" w:rsidP="006057AE">
            <w:pPr>
              <w:jc w:val="right"/>
              <w:rPr>
                <w:rFonts w:cs="Calibri"/>
                <w:color w:val="000000"/>
                <w:sz w:val="20"/>
                <w:szCs w:val="20"/>
              </w:rPr>
            </w:pPr>
            <w:r w:rsidRPr="00642CE6">
              <w:rPr>
                <w:rFonts w:cs="Calibri"/>
                <w:color w:val="000000"/>
                <w:sz w:val="20"/>
                <w:szCs w:val="20"/>
              </w:rPr>
              <w:t>8,130,719</w:t>
            </w:r>
          </w:p>
        </w:tc>
        <w:tc>
          <w:tcPr>
            <w:tcW w:w="895" w:type="pct"/>
            <w:tcBorders>
              <w:top w:val="nil"/>
              <w:left w:val="nil"/>
              <w:bottom w:val="nil"/>
              <w:right w:val="nil"/>
            </w:tcBorders>
            <w:shd w:val="clear" w:color="auto" w:fill="auto"/>
            <w:vAlign w:val="center"/>
            <w:hideMark/>
          </w:tcPr>
          <w:p w14:paraId="2A293095" w14:textId="77777777" w:rsidR="006057AE" w:rsidRPr="00642CE6" w:rsidRDefault="006057AE" w:rsidP="006057AE">
            <w:pPr>
              <w:jc w:val="right"/>
              <w:rPr>
                <w:rFonts w:cs="Calibri"/>
                <w:color w:val="000000"/>
                <w:sz w:val="20"/>
                <w:szCs w:val="20"/>
              </w:rPr>
            </w:pPr>
            <w:r w:rsidRPr="00642CE6">
              <w:rPr>
                <w:rFonts w:cs="Calibri"/>
                <w:color w:val="000000"/>
                <w:sz w:val="20"/>
                <w:szCs w:val="20"/>
              </w:rPr>
              <w:t>6.5</w:t>
            </w:r>
          </w:p>
        </w:tc>
        <w:tc>
          <w:tcPr>
            <w:tcW w:w="812" w:type="pct"/>
            <w:tcBorders>
              <w:top w:val="nil"/>
              <w:left w:val="nil"/>
              <w:bottom w:val="nil"/>
              <w:right w:val="single" w:sz="8" w:space="0" w:color="C40012"/>
            </w:tcBorders>
            <w:shd w:val="clear" w:color="auto" w:fill="auto"/>
            <w:vAlign w:val="center"/>
            <w:hideMark/>
          </w:tcPr>
          <w:p w14:paraId="09398180" w14:textId="77777777" w:rsidR="006057AE" w:rsidRPr="00642CE6" w:rsidRDefault="006057AE" w:rsidP="006057AE">
            <w:pPr>
              <w:jc w:val="right"/>
              <w:rPr>
                <w:rFonts w:cs="Calibri"/>
                <w:color w:val="000000"/>
                <w:sz w:val="20"/>
                <w:szCs w:val="20"/>
              </w:rPr>
            </w:pPr>
            <w:r w:rsidRPr="00642CE6">
              <w:rPr>
                <w:rFonts w:cs="Calibri"/>
                <w:color w:val="000000"/>
                <w:sz w:val="20"/>
                <w:szCs w:val="20"/>
              </w:rPr>
              <w:t>6.3</w:t>
            </w:r>
          </w:p>
        </w:tc>
        <w:tc>
          <w:tcPr>
            <w:tcW w:w="125" w:type="pct"/>
            <w:vAlign w:val="center"/>
            <w:hideMark/>
          </w:tcPr>
          <w:p w14:paraId="7E29B5E8" w14:textId="77777777" w:rsidR="006057AE" w:rsidRPr="00642CE6" w:rsidRDefault="006057AE" w:rsidP="006057AE">
            <w:pPr>
              <w:rPr>
                <w:rFonts w:ascii="Times New Roman" w:hAnsi="Times New Roman"/>
                <w:sz w:val="20"/>
                <w:szCs w:val="20"/>
              </w:rPr>
            </w:pPr>
          </w:p>
        </w:tc>
      </w:tr>
      <w:tr w:rsidR="006057AE" w:rsidRPr="00642CE6" w14:paraId="588FEF04" w14:textId="77777777" w:rsidTr="00AF74DC">
        <w:trPr>
          <w:cantSplit/>
          <w:trHeight w:val="283"/>
        </w:trPr>
        <w:tc>
          <w:tcPr>
            <w:tcW w:w="1360" w:type="pct"/>
            <w:tcBorders>
              <w:top w:val="nil"/>
              <w:left w:val="single" w:sz="8" w:space="0" w:color="C40012"/>
              <w:bottom w:val="single" w:sz="8" w:space="0" w:color="auto"/>
              <w:right w:val="nil"/>
            </w:tcBorders>
            <w:shd w:val="clear" w:color="auto" w:fill="auto"/>
            <w:vAlign w:val="center"/>
            <w:hideMark/>
          </w:tcPr>
          <w:p w14:paraId="75D80477"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North East</w:t>
            </w:r>
          </w:p>
        </w:tc>
        <w:tc>
          <w:tcPr>
            <w:tcW w:w="904" w:type="pct"/>
            <w:tcBorders>
              <w:top w:val="nil"/>
              <w:left w:val="nil"/>
              <w:bottom w:val="single" w:sz="8" w:space="0" w:color="auto"/>
              <w:right w:val="nil"/>
            </w:tcBorders>
            <w:vAlign w:val="bottom"/>
          </w:tcPr>
          <w:p w14:paraId="5FB3BFC2" w14:textId="10BE012E" w:rsidR="006057AE" w:rsidRPr="00642CE6" w:rsidRDefault="006057AE" w:rsidP="006057AE">
            <w:pPr>
              <w:jc w:val="right"/>
              <w:rPr>
                <w:rFonts w:cs="Calibri"/>
                <w:color w:val="000000"/>
                <w:sz w:val="20"/>
                <w:szCs w:val="20"/>
              </w:rPr>
            </w:pPr>
            <w:r w:rsidRPr="00264434">
              <w:rPr>
                <w:rFonts w:cs="Calibri"/>
                <w:color w:val="000000"/>
                <w:sz w:val="20"/>
                <w:szCs w:val="20"/>
              </w:rPr>
              <w:t>3.0%</w:t>
            </w:r>
          </w:p>
        </w:tc>
        <w:tc>
          <w:tcPr>
            <w:tcW w:w="904" w:type="pct"/>
            <w:tcBorders>
              <w:top w:val="nil"/>
              <w:left w:val="nil"/>
              <w:bottom w:val="single" w:sz="8" w:space="0" w:color="auto"/>
              <w:right w:val="nil"/>
            </w:tcBorders>
            <w:shd w:val="clear" w:color="auto" w:fill="auto"/>
            <w:vAlign w:val="center"/>
            <w:hideMark/>
          </w:tcPr>
          <w:p w14:paraId="7B303DD1" w14:textId="0DA72143" w:rsidR="006057AE" w:rsidRPr="00642CE6" w:rsidRDefault="006057AE" w:rsidP="006057AE">
            <w:pPr>
              <w:jc w:val="right"/>
              <w:rPr>
                <w:rFonts w:cs="Calibri"/>
                <w:color w:val="000000"/>
                <w:sz w:val="20"/>
                <w:szCs w:val="20"/>
              </w:rPr>
            </w:pPr>
            <w:r w:rsidRPr="00642CE6">
              <w:rPr>
                <w:rFonts w:cs="Calibri"/>
                <w:color w:val="000000"/>
                <w:sz w:val="20"/>
                <w:szCs w:val="20"/>
              </w:rPr>
              <w:t>3,641,286</w:t>
            </w:r>
          </w:p>
        </w:tc>
        <w:tc>
          <w:tcPr>
            <w:tcW w:w="895" w:type="pct"/>
            <w:tcBorders>
              <w:top w:val="nil"/>
              <w:left w:val="nil"/>
              <w:bottom w:val="single" w:sz="8" w:space="0" w:color="auto"/>
              <w:right w:val="nil"/>
            </w:tcBorders>
            <w:shd w:val="clear" w:color="auto" w:fill="auto"/>
            <w:vAlign w:val="center"/>
            <w:hideMark/>
          </w:tcPr>
          <w:p w14:paraId="04C06D0C" w14:textId="77777777" w:rsidR="006057AE" w:rsidRPr="00642CE6" w:rsidRDefault="006057AE" w:rsidP="006057AE">
            <w:pPr>
              <w:jc w:val="right"/>
              <w:rPr>
                <w:rFonts w:cs="Calibri"/>
                <w:color w:val="000000"/>
                <w:sz w:val="20"/>
                <w:szCs w:val="20"/>
              </w:rPr>
            </w:pPr>
            <w:r w:rsidRPr="00642CE6">
              <w:rPr>
                <w:rFonts w:cs="Calibri"/>
                <w:color w:val="000000"/>
                <w:sz w:val="20"/>
                <w:szCs w:val="20"/>
              </w:rPr>
              <w:t>2.9</w:t>
            </w:r>
          </w:p>
        </w:tc>
        <w:tc>
          <w:tcPr>
            <w:tcW w:w="812" w:type="pct"/>
            <w:tcBorders>
              <w:top w:val="nil"/>
              <w:left w:val="nil"/>
              <w:bottom w:val="single" w:sz="8" w:space="0" w:color="auto"/>
              <w:right w:val="single" w:sz="8" w:space="0" w:color="C40012"/>
            </w:tcBorders>
            <w:shd w:val="clear" w:color="auto" w:fill="auto"/>
            <w:vAlign w:val="center"/>
            <w:hideMark/>
          </w:tcPr>
          <w:p w14:paraId="65240B0C" w14:textId="77777777" w:rsidR="006057AE" w:rsidRPr="00642CE6" w:rsidRDefault="006057AE" w:rsidP="006057AE">
            <w:pPr>
              <w:jc w:val="right"/>
              <w:rPr>
                <w:rFonts w:cs="Calibri"/>
                <w:color w:val="000000"/>
                <w:sz w:val="20"/>
                <w:szCs w:val="20"/>
              </w:rPr>
            </w:pPr>
            <w:r w:rsidRPr="00642CE6">
              <w:rPr>
                <w:rFonts w:cs="Calibri"/>
                <w:color w:val="000000"/>
                <w:sz w:val="20"/>
                <w:szCs w:val="20"/>
              </w:rPr>
              <w:t>2.8</w:t>
            </w:r>
          </w:p>
        </w:tc>
        <w:tc>
          <w:tcPr>
            <w:tcW w:w="125" w:type="pct"/>
            <w:vAlign w:val="center"/>
            <w:hideMark/>
          </w:tcPr>
          <w:p w14:paraId="32C8B336" w14:textId="77777777" w:rsidR="006057AE" w:rsidRPr="00642CE6" w:rsidRDefault="006057AE" w:rsidP="006057AE">
            <w:pPr>
              <w:rPr>
                <w:rFonts w:ascii="Times New Roman" w:hAnsi="Times New Roman"/>
                <w:sz w:val="20"/>
                <w:szCs w:val="20"/>
              </w:rPr>
            </w:pPr>
          </w:p>
        </w:tc>
      </w:tr>
      <w:tr w:rsidR="006057AE" w:rsidRPr="00642CE6" w14:paraId="0853C837" w14:textId="77777777" w:rsidTr="00AF74DC">
        <w:trPr>
          <w:cantSplit/>
          <w:trHeight w:val="283"/>
        </w:trPr>
        <w:tc>
          <w:tcPr>
            <w:tcW w:w="1360" w:type="pct"/>
            <w:tcBorders>
              <w:top w:val="single" w:sz="8" w:space="0" w:color="auto"/>
              <w:left w:val="single" w:sz="8" w:space="0" w:color="C40012"/>
              <w:bottom w:val="single" w:sz="8" w:space="0" w:color="auto"/>
              <w:right w:val="nil"/>
            </w:tcBorders>
            <w:shd w:val="clear" w:color="auto" w:fill="auto"/>
            <w:vAlign w:val="center"/>
            <w:hideMark/>
          </w:tcPr>
          <w:p w14:paraId="24D14279"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England</w:t>
            </w:r>
          </w:p>
        </w:tc>
        <w:tc>
          <w:tcPr>
            <w:tcW w:w="904" w:type="pct"/>
            <w:tcBorders>
              <w:top w:val="nil"/>
              <w:left w:val="nil"/>
              <w:bottom w:val="single" w:sz="8" w:space="0" w:color="auto"/>
              <w:right w:val="nil"/>
            </w:tcBorders>
            <w:vAlign w:val="bottom"/>
          </w:tcPr>
          <w:p w14:paraId="225170AF" w14:textId="64400AC4" w:rsidR="006057AE" w:rsidRPr="00642CE6" w:rsidRDefault="006057AE" w:rsidP="006057AE">
            <w:pPr>
              <w:jc w:val="right"/>
              <w:rPr>
                <w:rFonts w:cs="Calibri"/>
                <w:color w:val="000000"/>
                <w:sz w:val="20"/>
                <w:szCs w:val="20"/>
              </w:rPr>
            </w:pPr>
            <w:r w:rsidRPr="00264434">
              <w:rPr>
                <w:rFonts w:cs="Calibri"/>
                <w:color w:val="000000"/>
                <w:sz w:val="20"/>
                <w:szCs w:val="20"/>
              </w:rPr>
              <w:t>87.1%</w:t>
            </w:r>
          </w:p>
        </w:tc>
        <w:tc>
          <w:tcPr>
            <w:tcW w:w="904" w:type="pct"/>
            <w:tcBorders>
              <w:top w:val="nil"/>
              <w:left w:val="nil"/>
              <w:bottom w:val="single" w:sz="8" w:space="0" w:color="auto"/>
              <w:right w:val="nil"/>
            </w:tcBorders>
            <w:shd w:val="clear" w:color="auto" w:fill="auto"/>
            <w:vAlign w:val="center"/>
            <w:hideMark/>
          </w:tcPr>
          <w:p w14:paraId="0AEFE384" w14:textId="3E92D711" w:rsidR="006057AE" w:rsidRPr="00642CE6" w:rsidRDefault="006057AE" w:rsidP="006057AE">
            <w:pPr>
              <w:jc w:val="right"/>
              <w:rPr>
                <w:rFonts w:cs="Calibri"/>
                <w:color w:val="000000"/>
                <w:sz w:val="20"/>
                <w:szCs w:val="20"/>
              </w:rPr>
            </w:pPr>
            <w:r w:rsidRPr="00642CE6">
              <w:rPr>
                <w:rFonts w:cs="Calibri"/>
                <w:color w:val="000000"/>
                <w:sz w:val="20"/>
                <w:szCs w:val="20"/>
              </w:rPr>
              <w:t>114,304,620</w:t>
            </w:r>
          </w:p>
        </w:tc>
        <w:tc>
          <w:tcPr>
            <w:tcW w:w="895" w:type="pct"/>
            <w:tcBorders>
              <w:top w:val="nil"/>
              <w:left w:val="nil"/>
              <w:bottom w:val="single" w:sz="8" w:space="0" w:color="auto"/>
              <w:right w:val="nil"/>
            </w:tcBorders>
            <w:shd w:val="clear" w:color="auto" w:fill="auto"/>
            <w:vAlign w:val="center"/>
            <w:hideMark/>
          </w:tcPr>
          <w:p w14:paraId="2FF80457" w14:textId="77777777" w:rsidR="006057AE" w:rsidRPr="00642CE6" w:rsidRDefault="006057AE" w:rsidP="006057AE">
            <w:pPr>
              <w:jc w:val="right"/>
              <w:rPr>
                <w:rFonts w:cs="Calibri"/>
                <w:color w:val="000000"/>
                <w:sz w:val="20"/>
                <w:szCs w:val="20"/>
              </w:rPr>
            </w:pPr>
            <w:r w:rsidRPr="00642CE6">
              <w:rPr>
                <w:rFonts w:cs="Calibri"/>
                <w:color w:val="000000"/>
                <w:sz w:val="20"/>
                <w:szCs w:val="20"/>
              </w:rPr>
              <w:t>91.3</w:t>
            </w:r>
          </w:p>
        </w:tc>
        <w:tc>
          <w:tcPr>
            <w:tcW w:w="812" w:type="pct"/>
            <w:tcBorders>
              <w:top w:val="nil"/>
              <w:left w:val="nil"/>
              <w:bottom w:val="single" w:sz="8" w:space="0" w:color="auto"/>
              <w:right w:val="single" w:sz="8" w:space="0" w:color="C40012"/>
            </w:tcBorders>
            <w:shd w:val="clear" w:color="auto" w:fill="auto"/>
            <w:vAlign w:val="center"/>
            <w:hideMark/>
          </w:tcPr>
          <w:p w14:paraId="58CB38B9" w14:textId="77777777" w:rsidR="006057AE" w:rsidRPr="00642CE6" w:rsidRDefault="006057AE" w:rsidP="006057AE">
            <w:pPr>
              <w:jc w:val="right"/>
              <w:rPr>
                <w:rFonts w:cs="Calibri"/>
                <w:color w:val="000000"/>
                <w:sz w:val="20"/>
                <w:szCs w:val="20"/>
              </w:rPr>
            </w:pPr>
            <w:r w:rsidRPr="00642CE6">
              <w:rPr>
                <w:rFonts w:cs="Calibri"/>
                <w:color w:val="000000"/>
                <w:sz w:val="20"/>
                <w:szCs w:val="20"/>
              </w:rPr>
              <w:t>88.8</w:t>
            </w:r>
          </w:p>
        </w:tc>
        <w:tc>
          <w:tcPr>
            <w:tcW w:w="125" w:type="pct"/>
            <w:vAlign w:val="center"/>
            <w:hideMark/>
          </w:tcPr>
          <w:p w14:paraId="074BF71D" w14:textId="77777777" w:rsidR="006057AE" w:rsidRPr="00642CE6" w:rsidRDefault="006057AE" w:rsidP="006057AE">
            <w:pPr>
              <w:rPr>
                <w:rFonts w:ascii="Times New Roman" w:hAnsi="Times New Roman"/>
                <w:sz w:val="20"/>
                <w:szCs w:val="20"/>
              </w:rPr>
            </w:pPr>
          </w:p>
        </w:tc>
      </w:tr>
      <w:tr w:rsidR="006057AE" w:rsidRPr="00642CE6" w14:paraId="078EEA03" w14:textId="77777777" w:rsidTr="00AF74DC">
        <w:trPr>
          <w:cantSplit/>
          <w:trHeight w:val="283"/>
        </w:trPr>
        <w:tc>
          <w:tcPr>
            <w:tcW w:w="1360" w:type="pct"/>
            <w:tcBorders>
              <w:top w:val="single" w:sz="8" w:space="0" w:color="auto"/>
              <w:left w:val="single" w:sz="8" w:space="0" w:color="C40012"/>
              <w:bottom w:val="nil"/>
              <w:right w:val="nil"/>
            </w:tcBorders>
            <w:shd w:val="clear" w:color="auto" w:fill="auto"/>
            <w:vAlign w:val="center"/>
            <w:hideMark/>
          </w:tcPr>
          <w:p w14:paraId="11348DB2"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Scotland</w:t>
            </w:r>
          </w:p>
        </w:tc>
        <w:tc>
          <w:tcPr>
            <w:tcW w:w="904" w:type="pct"/>
            <w:tcBorders>
              <w:top w:val="nil"/>
              <w:left w:val="nil"/>
              <w:bottom w:val="nil"/>
              <w:right w:val="nil"/>
            </w:tcBorders>
            <w:vAlign w:val="bottom"/>
          </w:tcPr>
          <w:p w14:paraId="7EE5D47F" w14:textId="07E9DEDE" w:rsidR="006057AE" w:rsidRPr="00642CE6" w:rsidRDefault="006057AE" w:rsidP="006057AE">
            <w:pPr>
              <w:jc w:val="right"/>
              <w:rPr>
                <w:rFonts w:cs="Calibri"/>
                <w:color w:val="000000"/>
                <w:sz w:val="20"/>
                <w:szCs w:val="20"/>
              </w:rPr>
            </w:pPr>
            <w:r w:rsidRPr="00264434">
              <w:rPr>
                <w:rFonts w:cs="Calibri"/>
                <w:color w:val="000000"/>
                <w:sz w:val="20"/>
                <w:szCs w:val="20"/>
              </w:rPr>
              <w:t>6.5%</w:t>
            </w:r>
          </w:p>
        </w:tc>
        <w:tc>
          <w:tcPr>
            <w:tcW w:w="904" w:type="pct"/>
            <w:tcBorders>
              <w:top w:val="nil"/>
              <w:left w:val="nil"/>
              <w:bottom w:val="nil"/>
              <w:right w:val="nil"/>
            </w:tcBorders>
            <w:shd w:val="clear" w:color="auto" w:fill="auto"/>
            <w:vAlign w:val="center"/>
            <w:hideMark/>
          </w:tcPr>
          <w:p w14:paraId="282CA37B" w14:textId="07DB30A5" w:rsidR="006057AE" w:rsidRPr="00642CE6" w:rsidRDefault="006057AE" w:rsidP="006057AE">
            <w:pPr>
              <w:jc w:val="right"/>
              <w:rPr>
                <w:rFonts w:cs="Calibri"/>
                <w:color w:val="000000"/>
                <w:sz w:val="20"/>
                <w:szCs w:val="20"/>
              </w:rPr>
            </w:pPr>
            <w:r w:rsidRPr="00642CE6">
              <w:rPr>
                <w:rFonts w:cs="Calibri"/>
                <w:color w:val="000000"/>
                <w:sz w:val="20"/>
                <w:szCs w:val="20"/>
              </w:rPr>
              <w:t>7,017,444</w:t>
            </w:r>
          </w:p>
        </w:tc>
        <w:tc>
          <w:tcPr>
            <w:tcW w:w="895" w:type="pct"/>
            <w:tcBorders>
              <w:top w:val="nil"/>
              <w:left w:val="nil"/>
              <w:bottom w:val="nil"/>
              <w:right w:val="nil"/>
            </w:tcBorders>
            <w:shd w:val="clear" w:color="auto" w:fill="auto"/>
            <w:vAlign w:val="center"/>
            <w:hideMark/>
          </w:tcPr>
          <w:p w14:paraId="538879E7" w14:textId="77777777" w:rsidR="006057AE" w:rsidRPr="00642CE6" w:rsidRDefault="006057AE" w:rsidP="006057AE">
            <w:pPr>
              <w:jc w:val="right"/>
              <w:rPr>
                <w:rFonts w:cs="Calibri"/>
                <w:color w:val="000000"/>
                <w:sz w:val="20"/>
                <w:szCs w:val="20"/>
              </w:rPr>
            </w:pPr>
            <w:r w:rsidRPr="00642CE6">
              <w:rPr>
                <w:rFonts w:cs="Calibri"/>
                <w:color w:val="000000"/>
                <w:sz w:val="20"/>
                <w:szCs w:val="20"/>
              </w:rPr>
              <w:t>5.6</w:t>
            </w:r>
          </w:p>
        </w:tc>
        <w:tc>
          <w:tcPr>
            <w:tcW w:w="812" w:type="pct"/>
            <w:tcBorders>
              <w:top w:val="nil"/>
              <w:left w:val="nil"/>
              <w:bottom w:val="nil"/>
              <w:right w:val="single" w:sz="8" w:space="0" w:color="C40012"/>
            </w:tcBorders>
            <w:shd w:val="clear" w:color="auto" w:fill="auto"/>
            <w:vAlign w:val="center"/>
            <w:hideMark/>
          </w:tcPr>
          <w:p w14:paraId="35B9730D" w14:textId="77777777" w:rsidR="006057AE" w:rsidRPr="00642CE6" w:rsidRDefault="006057AE" w:rsidP="006057AE">
            <w:pPr>
              <w:jc w:val="right"/>
              <w:rPr>
                <w:rFonts w:cs="Calibri"/>
                <w:color w:val="000000"/>
                <w:sz w:val="20"/>
                <w:szCs w:val="20"/>
              </w:rPr>
            </w:pPr>
            <w:r w:rsidRPr="00642CE6">
              <w:rPr>
                <w:rFonts w:cs="Calibri"/>
                <w:color w:val="000000"/>
                <w:sz w:val="20"/>
                <w:szCs w:val="20"/>
              </w:rPr>
              <w:t>5.5</w:t>
            </w:r>
          </w:p>
        </w:tc>
        <w:tc>
          <w:tcPr>
            <w:tcW w:w="125" w:type="pct"/>
            <w:vAlign w:val="center"/>
            <w:hideMark/>
          </w:tcPr>
          <w:p w14:paraId="267F9549" w14:textId="77777777" w:rsidR="006057AE" w:rsidRPr="00642CE6" w:rsidRDefault="006057AE" w:rsidP="006057AE">
            <w:pPr>
              <w:rPr>
                <w:rFonts w:ascii="Times New Roman" w:hAnsi="Times New Roman"/>
                <w:sz w:val="20"/>
                <w:szCs w:val="20"/>
              </w:rPr>
            </w:pPr>
          </w:p>
        </w:tc>
      </w:tr>
      <w:tr w:rsidR="006057AE" w:rsidRPr="00642CE6" w14:paraId="53E6153B" w14:textId="77777777" w:rsidTr="00AF74DC">
        <w:trPr>
          <w:cantSplit/>
          <w:trHeight w:val="283"/>
        </w:trPr>
        <w:tc>
          <w:tcPr>
            <w:tcW w:w="1360" w:type="pct"/>
            <w:tcBorders>
              <w:top w:val="nil"/>
              <w:left w:val="single" w:sz="8" w:space="0" w:color="C40012"/>
              <w:bottom w:val="nil"/>
              <w:right w:val="nil"/>
            </w:tcBorders>
            <w:shd w:val="clear" w:color="auto" w:fill="auto"/>
            <w:vAlign w:val="center"/>
            <w:hideMark/>
          </w:tcPr>
          <w:p w14:paraId="10B43C6D"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Wales</w:t>
            </w:r>
          </w:p>
        </w:tc>
        <w:tc>
          <w:tcPr>
            <w:tcW w:w="904" w:type="pct"/>
            <w:tcBorders>
              <w:top w:val="nil"/>
              <w:left w:val="nil"/>
              <w:bottom w:val="nil"/>
              <w:right w:val="nil"/>
            </w:tcBorders>
            <w:vAlign w:val="bottom"/>
          </w:tcPr>
          <w:p w14:paraId="7A766D08" w14:textId="3217A013" w:rsidR="006057AE" w:rsidRPr="00642CE6" w:rsidRDefault="006057AE" w:rsidP="006057AE">
            <w:pPr>
              <w:jc w:val="right"/>
              <w:rPr>
                <w:rFonts w:cs="Calibri"/>
                <w:color w:val="000000"/>
                <w:sz w:val="20"/>
                <w:szCs w:val="20"/>
              </w:rPr>
            </w:pPr>
            <w:r w:rsidRPr="00264434">
              <w:rPr>
                <w:rFonts w:cs="Calibri"/>
                <w:color w:val="000000"/>
                <w:sz w:val="20"/>
                <w:szCs w:val="20"/>
              </w:rPr>
              <w:t>4.0%</w:t>
            </w:r>
          </w:p>
        </w:tc>
        <w:tc>
          <w:tcPr>
            <w:tcW w:w="904" w:type="pct"/>
            <w:tcBorders>
              <w:top w:val="nil"/>
              <w:left w:val="nil"/>
              <w:bottom w:val="nil"/>
              <w:right w:val="nil"/>
            </w:tcBorders>
            <w:shd w:val="clear" w:color="auto" w:fill="auto"/>
            <w:vAlign w:val="center"/>
            <w:hideMark/>
          </w:tcPr>
          <w:p w14:paraId="6D7ED213" w14:textId="6060BE6E" w:rsidR="006057AE" w:rsidRPr="00642CE6" w:rsidRDefault="006057AE" w:rsidP="006057AE">
            <w:pPr>
              <w:jc w:val="right"/>
              <w:rPr>
                <w:rFonts w:cs="Calibri"/>
                <w:color w:val="000000"/>
                <w:sz w:val="20"/>
                <w:szCs w:val="20"/>
              </w:rPr>
            </w:pPr>
            <w:r w:rsidRPr="00642CE6">
              <w:rPr>
                <w:rFonts w:cs="Calibri"/>
                <w:color w:val="000000"/>
                <w:sz w:val="20"/>
                <w:szCs w:val="20"/>
              </w:rPr>
              <w:t>2,846,637</w:t>
            </w:r>
          </w:p>
        </w:tc>
        <w:tc>
          <w:tcPr>
            <w:tcW w:w="895" w:type="pct"/>
            <w:tcBorders>
              <w:top w:val="nil"/>
              <w:left w:val="nil"/>
              <w:bottom w:val="nil"/>
              <w:right w:val="nil"/>
            </w:tcBorders>
            <w:shd w:val="clear" w:color="auto" w:fill="auto"/>
            <w:vAlign w:val="center"/>
            <w:hideMark/>
          </w:tcPr>
          <w:p w14:paraId="354E10C0" w14:textId="77777777" w:rsidR="006057AE" w:rsidRPr="00642CE6" w:rsidRDefault="006057AE" w:rsidP="006057AE">
            <w:pPr>
              <w:jc w:val="right"/>
              <w:rPr>
                <w:rFonts w:cs="Calibri"/>
                <w:color w:val="000000"/>
                <w:sz w:val="20"/>
                <w:szCs w:val="20"/>
              </w:rPr>
            </w:pPr>
            <w:r w:rsidRPr="00642CE6">
              <w:rPr>
                <w:rFonts w:cs="Calibri"/>
                <w:color w:val="000000"/>
                <w:sz w:val="20"/>
                <w:szCs w:val="20"/>
              </w:rPr>
              <w:t>2.3</w:t>
            </w:r>
          </w:p>
        </w:tc>
        <w:tc>
          <w:tcPr>
            <w:tcW w:w="812" w:type="pct"/>
            <w:tcBorders>
              <w:top w:val="nil"/>
              <w:left w:val="nil"/>
              <w:bottom w:val="nil"/>
              <w:right w:val="single" w:sz="8" w:space="0" w:color="C40012"/>
            </w:tcBorders>
            <w:shd w:val="clear" w:color="auto" w:fill="auto"/>
            <w:vAlign w:val="center"/>
            <w:hideMark/>
          </w:tcPr>
          <w:p w14:paraId="0EE55452" w14:textId="77777777" w:rsidR="006057AE" w:rsidRPr="00642CE6" w:rsidRDefault="006057AE" w:rsidP="006057AE">
            <w:pPr>
              <w:jc w:val="right"/>
              <w:rPr>
                <w:rFonts w:cs="Calibri"/>
                <w:color w:val="000000"/>
                <w:sz w:val="20"/>
                <w:szCs w:val="20"/>
              </w:rPr>
            </w:pPr>
            <w:r w:rsidRPr="00642CE6">
              <w:rPr>
                <w:rFonts w:cs="Calibri"/>
                <w:color w:val="000000"/>
                <w:sz w:val="20"/>
                <w:szCs w:val="20"/>
              </w:rPr>
              <w:t>2.2</w:t>
            </w:r>
          </w:p>
        </w:tc>
        <w:tc>
          <w:tcPr>
            <w:tcW w:w="125" w:type="pct"/>
            <w:vAlign w:val="center"/>
            <w:hideMark/>
          </w:tcPr>
          <w:p w14:paraId="0EE0749B" w14:textId="77777777" w:rsidR="006057AE" w:rsidRPr="00642CE6" w:rsidRDefault="006057AE" w:rsidP="006057AE">
            <w:pPr>
              <w:rPr>
                <w:rFonts w:ascii="Times New Roman" w:hAnsi="Times New Roman"/>
                <w:sz w:val="20"/>
                <w:szCs w:val="20"/>
              </w:rPr>
            </w:pPr>
          </w:p>
        </w:tc>
      </w:tr>
      <w:tr w:rsidR="006057AE" w:rsidRPr="00642CE6" w14:paraId="52E59BFB" w14:textId="77777777" w:rsidTr="00AF74DC">
        <w:trPr>
          <w:cantSplit/>
          <w:trHeight w:val="283"/>
        </w:trPr>
        <w:tc>
          <w:tcPr>
            <w:tcW w:w="1360" w:type="pct"/>
            <w:tcBorders>
              <w:top w:val="nil"/>
              <w:left w:val="single" w:sz="8" w:space="0" w:color="C40012"/>
              <w:bottom w:val="single" w:sz="8" w:space="0" w:color="auto"/>
              <w:right w:val="nil"/>
            </w:tcBorders>
            <w:shd w:val="clear" w:color="auto" w:fill="auto"/>
            <w:vAlign w:val="center"/>
            <w:hideMark/>
          </w:tcPr>
          <w:p w14:paraId="3CC957BE"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Northern Ireland</w:t>
            </w:r>
          </w:p>
        </w:tc>
        <w:tc>
          <w:tcPr>
            <w:tcW w:w="904" w:type="pct"/>
            <w:tcBorders>
              <w:top w:val="nil"/>
              <w:left w:val="nil"/>
              <w:bottom w:val="single" w:sz="8" w:space="0" w:color="auto"/>
              <w:right w:val="nil"/>
            </w:tcBorders>
            <w:vAlign w:val="bottom"/>
          </w:tcPr>
          <w:p w14:paraId="46863B14" w14:textId="4F64BFEF" w:rsidR="006057AE" w:rsidRPr="00642CE6" w:rsidRDefault="006057AE" w:rsidP="006057AE">
            <w:pPr>
              <w:jc w:val="right"/>
              <w:rPr>
                <w:rFonts w:cs="Calibri"/>
                <w:color w:val="000000"/>
                <w:sz w:val="20"/>
                <w:szCs w:val="20"/>
              </w:rPr>
            </w:pPr>
            <w:r w:rsidRPr="00264434">
              <w:rPr>
                <w:rFonts w:cs="Calibri"/>
                <w:color w:val="000000"/>
                <w:sz w:val="20"/>
                <w:szCs w:val="20"/>
              </w:rPr>
              <w:t>2.4%</w:t>
            </w:r>
          </w:p>
        </w:tc>
        <w:tc>
          <w:tcPr>
            <w:tcW w:w="904" w:type="pct"/>
            <w:tcBorders>
              <w:top w:val="nil"/>
              <w:left w:val="nil"/>
              <w:bottom w:val="single" w:sz="8" w:space="0" w:color="auto"/>
              <w:right w:val="nil"/>
            </w:tcBorders>
            <w:shd w:val="clear" w:color="auto" w:fill="auto"/>
            <w:vAlign w:val="center"/>
            <w:hideMark/>
          </w:tcPr>
          <w:p w14:paraId="1337EFAA" w14:textId="6EBC3D3D" w:rsidR="006057AE" w:rsidRPr="00642CE6" w:rsidRDefault="006057AE" w:rsidP="006057AE">
            <w:pPr>
              <w:jc w:val="right"/>
              <w:rPr>
                <w:rFonts w:cs="Calibri"/>
                <w:color w:val="000000"/>
                <w:sz w:val="20"/>
                <w:szCs w:val="20"/>
              </w:rPr>
            </w:pPr>
            <w:r w:rsidRPr="00642CE6">
              <w:rPr>
                <w:rFonts w:cs="Calibri"/>
                <w:color w:val="000000"/>
                <w:sz w:val="20"/>
                <w:szCs w:val="20"/>
              </w:rPr>
              <w:t>1,030,012</w:t>
            </w:r>
          </w:p>
        </w:tc>
        <w:tc>
          <w:tcPr>
            <w:tcW w:w="895" w:type="pct"/>
            <w:tcBorders>
              <w:top w:val="nil"/>
              <w:left w:val="nil"/>
              <w:bottom w:val="single" w:sz="8" w:space="0" w:color="auto"/>
              <w:right w:val="nil"/>
            </w:tcBorders>
            <w:shd w:val="clear" w:color="auto" w:fill="auto"/>
            <w:vAlign w:val="center"/>
            <w:hideMark/>
          </w:tcPr>
          <w:p w14:paraId="63F205DA" w14:textId="77777777" w:rsidR="006057AE" w:rsidRPr="00642CE6" w:rsidRDefault="006057AE" w:rsidP="006057AE">
            <w:pPr>
              <w:jc w:val="right"/>
              <w:rPr>
                <w:rFonts w:cs="Calibri"/>
                <w:color w:val="000000"/>
                <w:sz w:val="20"/>
                <w:szCs w:val="20"/>
              </w:rPr>
            </w:pPr>
            <w:r w:rsidRPr="00642CE6">
              <w:rPr>
                <w:rFonts w:cs="Calibri"/>
                <w:color w:val="000000"/>
                <w:sz w:val="20"/>
                <w:szCs w:val="20"/>
              </w:rPr>
              <w:t>0.8</w:t>
            </w:r>
          </w:p>
        </w:tc>
        <w:tc>
          <w:tcPr>
            <w:tcW w:w="812" w:type="pct"/>
            <w:tcBorders>
              <w:top w:val="nil"/>
              <w:left w:val="nil"/>
              <w:bottom w:val="single" w:sz="8" w:space="0" w:color="auto"/>
              <w:right w:val="single" w:sz="8" w:space="0" w:color="C40012"/>
            </w:tcBorders>
            <w:shd w:val="clear" w:color="auto" w:fill="auto"/>
            <w:vAlign w:val="center"/>
            <w:hideMark/>
          </w:tcPr>
          <w:p w14:paraId="56D765C5" w14:textId="77777777" w:rsidR="006057AE" w:rsidRPr="00642CE6" w:rsidRDefault="006057AE" w:rsidP="006057AE">
            <w:pPr>
              <w:jc w:val="right"/>
              <w:rPr>
                <w:rFonts w:cs="Calibri"/>
                <w:color w:val="000000"/>
                <w:sz w:val="20"/>
                <w:szCs w:val="20"/>
              </w:rPr>
            </w:pPr>
            <w:r w:rsidRPr="00642CE6">
              <w:rPr>
                <w:rFonts w:cs="Calibri"/>
                <w:color w:val="000000"/>
                <w:sz w:val="20"/>
                <w:szCs w:val="20"/>
              </w:rPr>
              <w:t>0.8</w:t>
            </w:r>
          </w:p>
        </w:tc>
        <w:tc>
          <w:tcPr>
            <w:tcW w:w="125" w:type="pct"/>
            <w:vAlign w:val="center"/>
            <w:hideMark/>
          </w:tcPr>
          <w:p w14:paraId="20680DC9" w14:textId="77777777" w:rsidR="006057AE" w:rsidRPr="00642CE6" w:rsidRDefault="006057AE" w:rsidP="006057AE">
            <w:pPr>
              <w:rPr>
                <w:rFonts w:ascii="Times New Roman" w:hAnsi="Times New Roman"/>
                <w:sz w:val="20"/>
                <w:szCs w:val="20"/>
              </w:rPr>
            </w:pPr>
          </w:p>
        </w:tc>
      </w:tr>
      <w:tr w:rsidR="006057AE" w:rsidRPr="00642CE6" w14:paraId="3864F9C7" w14:textId="77777777" w:rsidTr="00AF74DC">
        <w:trPr>
          <w:cantSplit/>
          <w:trHeight w:val="283"/>
        </w:trPr>
        <w:tc>
          <w:tcPr>
            <w:tcW w:w="1360" w:type="pct"/>
            <w:tcBorders>
              <w:top w:val="single" w:sz="8" w:space="0" w:color="auto"/>
              <w:left w:val="single" w:sz="8" w:space="0" w:color="C40012"/>
              <w:bottom w:val="single" w:sz="8" w:space="0" w:color="auto"/>
              <w:right w:val="nil"/>
            </w:tcBorders>
            <w:shd w:val="clear" w:color="auto" w:fill="auto"/>
            <w:vAlign w:val="center"/>
            <w:hideMark/>
          </w:tcPr>
          <w:p w14:paraId="4D9DBC5B" w14:textId="77777777" w:rsidR="006057AE" w:rsidRPr="00642CE6" w:rsidRDefault="006057AE" w:rsidP="006057AE">
            <w:pPr>
              <w:ind w:firstLineChars="100" w:firstLine="200"/>
              <w:rPr>
                <w:rFonts w:ascii="Humnst777 BT" w:hAnsi="Humnst777 BT" w:cs="Calibri"/>
                <w:b/>
                <w:bCs/>
                <w:color w:val="000000"/>
                <w:sz w:val="20"/>
                <w:szCs w:val="20"/>
              </w:rPr>
            </w:pPr>
            <w:r w:rsidRPr="00642CE6">
              <w:rPr>
                <w:rFonts w:ascii="Humnst777 BT" w:hAnsi="Humnst777 BT" w:cs="Calibri"/>
                <w:b/>
                <w:bCs/>
                <w:color w:val="000000"/>
                <w:sz w:val="20"/>
                <w:szCs w:val="20"/>
              </w:rPr>
              <w:t>Scotland, Wales and Northern Ireland</w:t>
            </w:r>
          </w:p>
        </w:tc>
        <w:tc>
          <w:tcPr>
            <w:tcW w:w="904" w:type="pct"/>
            <w:tcBorders>
              <w:top w:val="nil"/>
              <w:left w:val="nil"/>
              <w:bottom w:val="single" w:sz="8" w:space="0" w:color="auto"/>
              <w:right w:val="nil"/>
            </w:tcBorders>
            <w:vAlign w:val="bottom"/>
          </w:tcPr>
          <w:p w14:paraId="0138ECCC" w14:textId="67241527" w:rsidR="006057AE" w:rsidRPr="00642CE6" w:rsidRDefault="006057AE" w:rsidP="006057AE">
            <w:pPr>
              <w:jc w:val="right"/>
              <w:rPr>
                <w:rFonts w:cs="Calibri"/>
                <w:color w:val="000000"/>
                <w:sz w:val="20"/>
                <w:szCs w:val="20"/>
              </w:rPr>
            </w:pPr>
            <w:r w:rsidRPr="00264434">
              <w:rPr>
                <w:rFonts w:cs="Calibri"/>
                <w:color w:val="000000"/>
                <w:sz w:val="20"/>
                <w:szCs w:val="20"/>
              </w:rPr>
              <w:t>12.9%</w:t>
            </w:r>
          </w:p>
        </w:tc>
        <w:tc>
          <w:tcPr>
            <w:tcW w:w="904" w:type="pct"/>
            <w:tcBorders>
              <w:top w:val="nil"/>
              <w:left w:val="nil"/>
              <w:bottom w:val="single" w:sz="8" w:space="0" w:color="auto"/>
              <w:right w:val="nil"/>
            </w:tcBorders>
            <w:shd w:val="clear" w:color="auto" w:fill="auto"/>
            <w:vAlign w:val="center"/>
            <w:hideMark/>
          </w:tcPr>
          <w:p w14:paraId="374FD689" w14:textId="0C6E5ED6" w:rsidR="006057AE" w:rsidRPr="00642CE6" w:rsidRDefault="006057AE" w:rsidP="006057AE">
            <w:pPr>
              <w:jc w:val="right"/>
              <w:rPr>
                <w:rFonts w:cs="Calibri"/>
                <w:color w:val="000000"/>
                <w:sz w:val="20"/>
                <w:szCs w:val="20"/>
              </w:rPr>
            </w:pPr>
            <w:r w:rsidRPr="00642CE6">
              <w:rPr>
                <w:rFonts w:cs="Calibri"/>
                <w:color w:val="000000"/>
                <w:sz w:val="20"/>
                <w:szCs w:val="20"/>
              </w:rPr>
              <w:t>10,894,093</w:t>
            </w:r>
          </w:p>
        </w:tc>
        <w:tc>
          <w:tcPr>
            <w:tcW w:w="895" w:type="pct"/>
            <w:tcBorders>
              <w:top w:val="nil"/>
              <w:left w:val="nil"/>
              <w:bottom w:val="single" w:sz="8" w:space="0" w:color="auto"/>
              <w:right w:val="nil"/>
            </w:tcBorders>
            <w:shd w:val="clear" w:color="auto" w:fill="auto"/>
            <w:vAlign w:val="center"/>
            <w:hideMark/>
          </w:tcPr>
          <w:p w14:paraId="0CE619B1" w14:textId="77777777" w:rsidR="006057AE" w:rsidRPr="00642CE6" w:rsidRDefault="006057AE" w:rsidP="006057AE">
            <w:pPr>
              <w:jc w:val="right"/>
              <w:rPr>
                <w:rFonts w:cs="Calibri"/>
                <w:color w:val="000000"/>
                <w:sz w:val="20"/>
                <w:szCs w:val="20"/>
              </w:rPr>
            </w:pPr>
            <w:r w:rsidRPr="00642CE6">
              <w:rPr>
                <w:rFonts w:cs="Calibri"/>
                <w:color w:val="000000"/>
                <w:sz w:val="20"/>
                <w:szCs w:val="20"/>
              </w:rPr>
              <w:t>8.7</w:t>
            </w:r>
          </w:p>
        </w:tc>
        <w:tc>
          <w:tcPr>
            <w:tcW w:w="812" w:type="pct"/>
            <w:tcBorders>
              <w:top w:val="nil"/>
              <w:left w:val="nil"/>
              <w:bottom w:val="single" w:sz="8" w:space="0" w:color="auto"/>
              <w:right w:val="single" w:sz="8" w:space="0" w:color="C40012"/>
            </w:tcBorders>
            <w:shd w:val="clear" w:color="auto" w:fill="auto"/>
            <w:vAlign w:val="center"/>
            <w:hideMark/>
          </w:tcPr>
          <w:p w14:paraId="72745F8F" w14:textId="77777777" w:rsidR="006057AE" w:rsidRPr="00642CE6" w:rsidRDefault="006057AE" w:rsidP="006057AE">
            <w:pPr>
              <w:jc w:val="right"/>
              <w:rPr>
                <w:rFonts w:cs="Calibri"/>
                <w:color w:val="000000"/>
                <w:sz w:val="20"/>
                <w:szCs w:val="20"/>
              </w:rPr>
            </w:pPr>
            <w:r w:rsidRPr="00642CE6">
              <w:rPr>
                <w:rFonts w:cs="Calibri"/>
                <w:color w:val="000000"/>
                <w:sz w:val="20"/>
                <w:szCs w:val="20"/>
              </w:rPr>
              <w:t>8.5</w:t>
            </w:r>
          </w:p>
        </w:tc>
        <w:tc>
          <w:tcPr>
            <w:tcW w:w="125" w:type="pct"/>
            <w:vAlign w:val="center"/>
            <w:hideMark/>
          </w:tcPr>
          <w:p w14:paraId="7582DCFE" w14:textId="77777777" w:rsidR="006057AE" w:rsidRPr="00642CE6" w:rsidRDefault="006057AE" w:rsidP="006057AE">
            <w:pPr>
              <w:rPr>
                <w:rFonts w:ascii="Times New Roman" w:hAnsi="Times New Roman"/>
                <w:sz w:val="20"/>
                <w:szCs w:val="20"/>
              </w:rPr>
            </w:pPr>
          </w:p>
        </w:tc>
      </w:tr>
      <w:tr w:rsidR="006057AE" w:rsidRPr="00642CE6" w14:paraId="17B00D82" w14:textId="77777777" w:rsidTr="00AF74DC">
        <w:trPr>
          <w:cantSplit/>
          <w:trHeight w:val="283"/>
        </w:trPr>
        <w:tc>
          <w:tcPr>
            <w:tcW w:w="1360" w:type="pct"/>
            <w:tcBorders>
              <w:top w:val="single" w:sz="8" w:space="0" w:color="auto"/>
              <w:left w:val="single" w:sz="8" w:space="0" w:color="C40012"/>
              <w:bottom w:val="single" w:sz="8" w:space="0" w:color="C40012"/>
              <w:right w:val="nil"/>
            </w:tcBorders>
            <w:shd w:val="clear" w:color="auto" w:fill="auto"/>
            <w:vAlign w:val="center"/>
            <w:hideMark/>
          </w:tcPr>
          <w:p w14:paraId="14CF2ABA" w14:textId="77777777" w:rsidR="006057AE" w:rsidRPr="00642CE6" w:rsidRDefault="006057AE" w:rsidP="006057AE">
            <w:pPr>
              <w:rPr>
                <w:rFonts w:ascii="Humnst777 BT" w:hAnsi="Humnst777 BT" w:cs="Calibri"/>
                <w:b/>
                <w:bCs/>
                <w:color w:val="000000"/>
                <w:sz w:val="20"/>
                <w:szCs w:val="20"/>
              </w:rPr>
            </w:pPr>
            <w:r w:rsidRPr="00642CE6">
              <w:rPr>
                <w:rFonts w:ascii="Humnst777 BT" w:hAnsi="Humnst777 BT" w:cs="Calibri"/>
                <w:b/>
                <w:bCs/>
                <w:color w:val="000000"/>
                <w:sz w:val="20"/>
                <w:szCs w:val="20"/>
              </w:rPr>
              <w:t>Location Not Recorded</w:t>
            </w:r>
          </w:p>
        </w:tc>
        <w:tc>
          <w:tcPr>
            <w:tcW w:w="904" w:type="pct"/>
            <w:tcBorders>
              <w:top w:val="nil"/>
              <w:left w:val="nil"/>
              <w:bottom w:val="single" w:sz="8" w:space="0" w:color="C40012"/>
              <w:right w:val="nil"/>
            </w:tcBorders>
          </w:tcPr>
          <w:p w14:paraId="565C3653" w14:textId="77777777" w:rsidR="006057AE" w:rsidRPr="00642CE6" w:rsidRDefault="006057AE" w:rsidP="006057AE">
            <w:pPr>
              <w:jc w:val="right"/>
              <w:rPr>
                <w:rFonts w:cs="Calibri"/>
                <w:color w:val="000000"/>
                <w:sz w:val="20"/>
                <w:szCs w:val="20"/>
              </w:rPr>
            </w:pPr>
          </w:p>
        </w:tc>
        <w:tc>
          <w:tcPr>
            <w:tcW w:w="904" w:type="pct"/>
            <w:tcBorders>
              <w:top w:val="nil"/>
              <w:left w:val="nil"/>
              <w:bottom w:val="single" w:sz="8" w:space="0" w:color="C40012"/>
              <w:right w:val="nil"/>
            </w:tcBorders>
            <w:shd w:val="clear" w:color="auto" w:fill="auto"/>
            <w:vAlign w:val="center"/>
            <w:hideMark/>
          </w:tcPr>
          <w:p w14:paraId="6AA6D678" w14:textId="1878337E" w:rsidR="006057AE" w:rsidRPr="00642CE6" w:rsidRDefault="006057AE" w:rsidP="006057AE">
            <w:pPr>
              <w:jc w:val="right"/>
              <w:rPr>
                <w:rFonts w:cs="Calibri"/>
                <w:color w:val="000000"/>
                <w:sz w:val="20"/>
                <w:szCs w:val="20"/>
              </w:rPr>
            </w:pPr>
            <w:r w:rsidRPr="00642CE6">
              <w:rPr>
                <w:rFonts w:cs="Calibri"/>
                <w:color w:val="000000"/>
                <w:sz w:val="20"/>
                <w:szCs w:val="20"/>
              </w:rPr>
              <w:t>3,479,642</w:t>
            </w:r>
          </w:p>
        </w:tc>
        <w:tc>
          <w:tcPr>
            <w:tcW w:w="895" w:type="pct"/>
            <w:tcBorders>
              <w:top w:val="nil"/>
              <w:left w:val="nil"/>
              <w:bottom w:val="single" w:sz="8" w:space="0" w:color="C40012"/>
              <w:right w:val="nil"/>
            </w:tcBorders>
            <w:shd w:val="clear" w:color="auto" w:fill="auto"/>
            <w:vAlign w:val="center"/>
            <w:hideMark/>
          </w:tcPr>
          <w:p w14:paraId="1D7E9C94" w14:textId="77777777" w:rsidR="006057AE" w:rsidRPr="00642CE6" w:rsidRDefault="006057AE" w:rsidP="006057AE">
            <w:pPr>
              <w:jc w:val="right"/>
              <w:rPr>
                <w:rFonts w:cs="Calibri"/>
                <w:color w:val="000000"/>
                <w:sz w:val="20"/>
                <w:szCs w:val="20"/>
              </w:rPr>
            </w:pPr>
            <w:r w:rsidRPr="00642CE6">
              <w:rPr>
                <w:rFonts w:cs="Calibri"/>
                <w:color w:val="000000"/>
                <w:sz w:val="20"/>
                <w:szCs w:val="20"/>
              </w:rPr>
              <w:t>N/A</w:t>
            </w:r>
          </w:p>
        </w:tc>
        <w:tc>
          <w:tcPr>
            <w:tcW w:w="812" w:type="pct"/>
            <w:tcBorders>
              <w:top w:val="nil"/>
              <w:left w:val="nil"/>
              <w:bottom w:val="single" w:sz="8" w:space="0" w:color="C40012"/>
              <w:right w:val="single" w:sz="8" w:space="0" w:color="C40012"/>
            </w:tcBorders>
            <w:shd w:val="clear" w:color="auto" w:fill="auto"/>
            <w:vAlign w:val="center"/>
            <w:hideMark/>
          </w:tcPr>
          <w:p w14:paraId="1D498B39" w14:textId="77777777" w:rsidR="006057AE" w:rsidRPr="00642CE6" w:rsidRDefault="006057AE" w:rsidP="006057AE">
            <w:pPr>
              <w:jc w:val="right"/>
              <w:rPr>
                <w:rFonts w:cs="Calibri"/>
                <w:color w:val="000000"/>
                <w:sz w:val="20"/>
                <w:szCs w:val="20"/>
              </w:rPr>
            </w:pPr>
            <w:r w:rsidRPr="00642CE6">
              <w:rPr>
                <w:rFonts w:cs="Calibri"/>
                <w:color w:val="000000"/>
                <w:sz w:val="20"/>
                <w:szCs w:val="20"/>
              </w:rPr>
              <w:t>2.7</w:t>
            </w:r>
          </w:p>
        </w:tc>
        <w:tc>
          <w:tcPr>
            <w:tcW w:w="125" w:type="pct"/>
            <w:vAlign w:val="center"/>
            <w:hideMark/>
          </w:tcPr>
          <w:p w14:paraId="296EB8B0" w14:textId="77777777" w:rsidR="006057AE" w:rsidRPr="00642CE6" w:rsidRDefault="006057AE" w:rsidP="006057AE">
            <w:pPr>
              <w:rPr>
                <w:rFonts w:ascii="Times New Roman" w:hAnsi="Times New Roman"/>
                <w:sz w:val="20"/>
                <w:szCs w:val="20"/>
              </w:rPr>
            </w:pPr>
          </w:p>
        </w:tc>
      </w:tr>
    </w:tbl>
    <w:p w14:paraId="5A474C9B" w14:textId="77777777" w:rsidR="00F15B28" w:rsidRPr="000C0015" w:rsidRDefault="00F15B28" w:rsidP="00F15B28">
      <w:pPr>
        <w:pStyle w:val="Heading1"/>
      </w:pPr>
      <w:r>
        <w:br w:type="page"/>
      </w:r>
      <w:r w:rsidR="00F97744">
        <w:t>Average deal size</w:t>
      </w:r>
      <w:r w:rsidRPr="00DA6399">
        <w:t xml:space="preserve"> by location</w:t>
      </w:r>
    </w:p>
    <w:p w14:paraId="7C52C7E6" w14:textId="77777777" w:rsidR="00F15B28" w:rsidRDefault="00F15B28" w:rsidP="00F15B28">
      <w:pPr>
        <w:pStyle w:val="TableHeading"/>
        <w:numPr>
          <w:ilvl w:val="0"/>
          <w:numId w:val="0"/>
        </w:numPr>
      </w:pPr>
    </w:p>
    <w:p w14:paraId="673BDC05" w14:textId="5BEB7814" w:rsidR="00722260" w:rsidRDefault="00F15B28" w:rsidP="009D49E0">
      <w:pPr>
        <w:rPr>
          <w:rFonts w:ascii="Humnst777 BT" w:hAnsi="Humnst777 BT"/>
          <w:b/>
          <w:color w:val="C00000"/>
          <w:sz w:val="24"/>
        </w:rPr>
      </w:pPr>
      <w:r>
        <w:rPr>
          <w:spacing w:val="-2"/>
        </w:rPr>
        <w:t>T</w:t>
      </w:r>
      <w:r w:rsidRPr="00F66FD5">
        <w:rPr>
          <w:spacing w:val="-2"/>
        </w:rPr>
        <w:t xml:space="preserve">able </w:t>
      </w:r>
      <w:r w:rsidR="00F97744">
        <w:rPr>
          <w:spacing w:val="-2"/>
        </w:rPr>
        <w:t>7</w:t>
      </w:r>
      <w:r w:rsidRPr="00F66FD5">
        <w:rPr>
          <w:spacing w:val="-2"/>
        </w:rPr>
        <w:t xml:space="preserve"> shows</w:t>
      </w:r>
      <w:r>
        <w:rPr>
          <w:spacing w:val="-2"/>
        </w:rPr>
        <w:t xml:space="preserve"> the </w:t>
      </w:r>
      <w:r w:rsidR="00F97744">
        <w:rPr>
          <w:spacing w:val="-2"/>
        </w:rPr>
        <w:t xml:space="preserve">average deal size </w:t>
      </w:r>
      <w:r w:rsidR="00956E50">
        <w:rPr>
          <w:spacing w:val="-2"/>
        </w:rPr>
        <w:t xml:space="preserve">split </w:t>
      </w:r>
      <w:r w:rsidR="00F97744">
        <w:rPr>
          <w:spacing w:val="-2"/>
        </w:rPr>
        <w:t>by location</w:t>
      </w:r>
      <w:r>
        <w:rPr>
          <w:spacing w:val="-2"/>
        </w:rPr>
        <w:t xml:space="preserve">. </w:t>
      </w:r>
      <w:r w:rsidR="00722260">
        <w:rPr>
          <w:spacing w:val="-2"/>
        </w:rPr>
        <w:t xml:space="preserve">The </w:t>
      </w:r>
      <w:r w:rsidR="00722260" w:rsidRPr="00722260">
        <w:rPr>
          <w:spacing w:val="-2"/>
        </w:rPr>
        <w:t>average loan size equates to just under £24,000.</w:t>
      </w:r>
    </w:p>
    <w:p w14:paraId="36580820" w14:textId="77777777" w:rsidR="00F15B28" w:rsidRDefault="00F15B28" w:rsidP="00F15B28">
      <w:pPr>
        <w:pStyle w:val="TableHeading"/>
        <w:numPr>
          <w:ilvl w:val="0"/>
          <w:numId w:val="0"/>
        </w:numPr>
      </w:pPr>
    </w:p>
    <w:p w14:paraId="6A3C8C7D" w14:textId="77777777" w:rsidR="00F15B28" w:rsidRDefault="00F15B28" w:rsidP="00F15B28">
      <w:pPr>
        <w:pStyle w:val="TableHeading"/>
        <w:numPr>
          <w:ilvl w:val="0"/>
          <w:numId w:val="0"/>
        </w:numPr>
      </w:pPr>
      <w:r>
        <w:t xml:space="preserve">Table </w:t>
      </w:r>
      <w:r w:rsidR="00B009F6">
        <w:t>7</w:t>
      </w:r>
      <w:r>
        <w:t xml:space="preserve">: </w:t>
      </w:r>
      <w:r w:rsidR="00F97744">
        <w:t>Average deal size by location</w:t>
      </w:r>
      <w:r>
        <w:rPr>
          <w:rStyle w:val="FootnoteReference"/>
        </w:rPr>
        <w:footnoteReference w:id="8"/>
      </w:r>
      <w:r>
        <w:t xml:space="preserve"> </w:t>
      </w:r>
    </w:p>
    <w:tbl>
      <w:tblPr>
        <w:tblpPr w:leftFromText="180" w:rightFromText="180" w:vertAnchor="text" w:horzAnchor="margin" w:tblpY="232"/>
        <w:tblW w:w="5000" w:type="pct"/>
        <w:tblLook w:val="04A0" w:firstRow="1" w:lastRow="0" w:firstColumn="1" w:lastColumn="0" w:noHBand="0" w:noVBand="1"/>
      </w:tblPr>
      <w:tblGrid>
        <w:gridCol w:w="5694"/>
        <w:gridCol w:w="2288"/>
        <w:gridCol w:w="2700"/>
      </w:tblGrid>
      <w:tr w:rsidR="00CA4156" w:rsidRPr="00CA4156" w14:paraId="65A65AAC" w14:textId="77777777" w:rsidTr="003F56FB">
        <w:trPr>
          <w:cantSplit/>
          <w:trHeight w:val="283"/>
        </w:trPr>
        <w:tc>
          <w:tcPr>
            <w:tcW w:w="3736" w:type="pct"/>
            <w:gridSpan w:val="2"/>
            <w:tcBorders>
              <w:top w:val="single" w:sz="8" w:space="0" w:color="C40012"/>
              <w:left w:val="single" w:sz="8" w:space="0" w:color="C40012"/>
              <w:bottom w:val="nil"/>
              <w:right w:val="nil"/>
            </w:tcBorders>
            <w:shd w:val="clear" w:color="000000" w:fill="F9E5E7"/>
            <w:vAlign w:val="center"/>
            <w:hideMark/>
          </w:tcPr>
          <w:p w14:paraId="37DFF7F7"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sz w:val="20"/>
                <w:szCs w:val="20"/>
              </w:rPr>
              <w:t xml:space="preserve">Region </w:t>
            </w:r>
          </w:p>
        </w:tc>
        <w:tc>
          <w:tcPr>
            <w:tcW w:w="1264" w:type="pct"/>
            <w:tcBorders>
              <w:top w:val="single" w:sz="8" w:space="0" w:color="C40012"/>
              <w:left w:val="nil"/>
              <w:bottom w:val="nil"/>
              <w:right w:val="single" w:sz="8" w:space="0" w:color="C40012"/>
            </w:tcBorders>
            <w:shd w:val="clear" w:color="000000" w:fill="F9E5E7"/>
            <w:vAlign w:val="center"/>
            <w:hideMark/>
          </w:tcPr>
          <w:p w14:paraId="2638A1DD" w14:textId="77777777" w:rsidR="00CA4156" w:rsidRPr="00CA4156" w:rsidRDefault="00CA4156" w:rsidP="003F56FB">
            <w:pPr>
              <w:jc w:val="right"/>
              <w:rPr>
                <w:rFonts w:ascii="Humnst777 BT" w:hAnsi="Humnst777 BT" w:cs="Calibri"/>
                <w:b/>
                <w:bCs/>
                <w:color w:val="000000"/>
                <w:sz w:val="20"/>
                <w:szCs w:val="20"/>
              </w:rPr>
            </w:pPr>
            <w:r w:rsidRPr="00CA4156">
              <w:rPr>
                <w:rFonts w:ascii="Humnst777 BT" w:hAnsi="Humnst777 BT" w:cs="Calibri"/>
                <w:b/>
                <w:bCs/>
                <w:sz w:val="20"/>
                <w:szCs w:val="20"/>
              </w:rPr>
              <w:t xml:space="preserve">Average deal size (£) </w:t>
            </w:r>
          </w:p>
        </w:tc>
      </w:tr>
      <w:tr w:rsidR="00CA4156" w:rsidRPr="00CA4156" w14:paraId="5B13EDA6" w14:textId="77777777" w:rsidTr="003F56FB">
        <w:trPr>
          <w:cantSplit/>
          <w:trHeight w:val="283"/>
        </w:trPr>
        <w:tc>
          <w:tcPr>
            <w:tcW w:w="2665" w:type="pct"/>
            <w:tcBorders>
              <w:top w:val="nil"/>
              <w:left w:val="single" w:sz="8" w:space="0" w:color="C40012"/>
              <w:bottom w:val="nil"/>
              <w:right w:val="nil"/>
            </w:tcBorders>
            <w:shd w:val="clear" w:color="auto" w:fill="auto"/>
            <w:vAlign w:val="center"/>
            <w:hideMark/>
          </w:tcPr>
          <w:p w14:paraId="39F16BF3"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Greater London</w:t>
            </w:r>
          </w:p>
        </w:tc>
        <w:tc>
          <w:tcPr>
            <w:tcW w:w="2335" w:type="pct"/>
            <w:gridSpan w:val="2"/>
            <w:tcBorders>
              <w:top w:val="nil"/>
              <w:left w:val="nil"/>
              <w:bottom w:val="nil"/>
              <w:right w:val="single" w:sz="8" w:space="0" w:color="C40012"/>
            </w:tcBorders>
            <w:shd w:val="clear" w:color="auto" w:fill="auto"/>
            <w:vAlign w:val="center"/>
            <w:hideMark/>
          </w:tcPr>
          <w:p w14:paraId="7DC71F97" w14:textId="123A675D" w:rsidR="00CA4156" w:rsidRPr="00CA4156" w:rsidRDefault="00CA4156" w:rsidP="003F56FB">
            <w:pPr>
              <w:jc w:val="right"/>
              <w:rPr>
                <w:rFonts w:cs="Calibri"/>
                <w:color w:val="000000"/>
                <w:sz w:val="20"/>
                <w:szCs w:val="20"/>
              </w:rPr>
            </w:pPr>
            <w:r w:rsidRPr="00CA4156">
              <w:rPr>
                <w:rFonts w:cs="Calibri"/>
                <w:color w:val="000000"/>
                <w:sz w:val="20"/>
                <w:szCs w:val="20"/>
              </w:rPr>
              <w:t>20,856</w:t>
            </w:r>
          </w:p>
        </w:tc>
      </w:tr>
      <w:tr w:rsidR="00CA4156" w:rsidRPr="00CA4156" w14:paraId="6887EBBC" w14:textId="77777777" w:rsidTr="003F56FB">
        <w:trPr>
          <w:cantSplit/>
          <w:trHeight w:val="283"/>
        </w:trPr>
        <w:tc>
          <w:tcPr>
            <w:tcW w:w="2665" w:type="pct"/>
            <w:tcBorders>
              <w:top w:val="nil"/>
              <w:left w:val="single" w:sz="8" w:space="0" w:color="C40012"/>
              <w:bottom w:val="nil"/>
              <w:right w:val="nil"/>
            </w:tcBorders>
            <w:shd w:val="clear" w:color="auto" w:fill="auto"/>
            <w:vAlign w:val="center"/>
            <w:hideMark/>
          </w:tcPr>
          <w:p w14:paraId="2690D4A5"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South East</w:t>
            </w:r>
          </w:p>
        </w:tc>
        <w:tc>
          <w:tcPr>
            <w:tcW w:w="2335" w:type="pct"/>
            <w:gridSpan w:val="2"/>
            <w:tcBorders>
              <w:top w:val="nil"/>
              <w:left w:val="nil"/>
              <w:bottom w:val="nil"/>
              <w:right w:val="single" w:sz="8" w:space="0" w:color="C40012"/>
            </w:tcBorders>
            <w:shd w:val="clear" w:color="auto" w:fill="auto"/>
            <w:vAlign w:val="center"/>
            <w:hideMark/>
          </w:tcPr>
          <w:p w14:paraId="1D3A8187" w14:textId="659C0B7D" w:rsidR="00CA4156" w:rsidRPr="00CA4156" w:rsidRDefault="00CA4156" w:rsidP="003F56FB">
            <w:pPr>
              <w:jc w:val="right"/>
              <w:rPr>
                <w:rFonts w:cs="Calibri"/>
                <w:color w:val="000000"/>
                <w:sz w:val="20"/>
                <w:szCs w:val="20"/>
              </w:rPr>
            </w:pPr>
            <w:r w:rsidRPr="00CA4156">
              <w:rPr>
                <w:rFonts w:cs="Calibri"/>
                <w:color w:val="000000"/>
                <w:sz w:val="20"/>
                <w:szCs w:val="20"/>
              </w:rPr>
              <w:t>24,370</w:t>
            </w:r>
          </w:p>
        </w:tc>
      </w:tr>
      <w:tr w:rsidR="00CA4156" w:rsidRPr="00CA4156" w14:paraId="7CA1D462" w14:textId="77777777" w:rsidTr="003F56FB">
        <w:trPr>
          <w:cantSplit/>
          <w:trHeight w:val="283"/>
        </w:trPr>
        <w:tc>
          <w:tcPr>
            <w:tcW w:w="2665" w:type="pct"/>
            <w:tcBorders>
              <w:top w:val="nil"/>
              <w:left w:val="single" w:sz="8" w:space="0" w:color="C40012"/>
              <w:bottom w:val="nil"/>
              <w:right w:val="nil"/>
            </w:tcBorders>
            <w:shd w:val="clear" w:color="auto" w:fill="auto"/>
            <w:vAlign w:val="center"/>
            <w:hideMark/>
          </w:tcPr>
          <w:p w14:paraId="416B8761"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East of England</w:t>
            </w:r>
          </w:p>
        </w:tc>
        <w:tc>
          <w:tcPr>
            <w:tcW w:w="2335" w:type="pct"/>
            <w:gridSpan w:val="2"/>
            <w:tcBorders>
              <w:top w:val="nil"/>
              <w:left w:val="nil"/>
              <w:bottom w:val="nil"/>
              <w:right w:val="single" w:sz="8" w:space="0" w:color="C40012"/>
            </w:tcBorders>
            <w:shd w:val="clear" w:color="auto" w:fill="auto"/>
            <w:vAlign w:val="center"/>
            <w:hideMark/>
          </w:tcPr>
          <w:p w14:paraId="55356649" w14:textId="2E7196CC" w:rsidR="00CA4156" w:rsidRPr="00CA4156" w:rsidRDefault="00CA4156" w:rsidP="003F56FB">
            <w:pPr>
              <w:jc w:val="right"/>
              <w:rPr>
                <w:rFonts w:cs="Calibri"/>
                <w:color w:val="000000"/>
                <w:sz w:val="20"/>
                <w:szCs w:val="20"/>
              </w:rPr>
            </w:pPr>
            <w:r w:rsidRPr="00CA4156">
              <w:rPr>
                <w:rFonts w:cs="Calibri"/>
                <w:color w:val="000000"/>
                <w:sz w:val="20"/>
                <w:szCs w:val="20"/>
              </w:rPr>
              <w:t>27,717</w:t>
            </w:r>
          </w:p>
        </w:tc>
      </w:tr>
      <w:tr w:rsidR="00CA4156" w:rsidRPr="00CA4156" w14:paraId="2B689A86" w14:textId="77777777" w:rsidTr="003F56FB">
        <w:trPr>
          <w:cantSplit/>
          <w:trHeight w:val="283"/>
        </w:trPr>
        <w:tc>
          <w:tcPr>
            <w:tcW w:w="2665" w:type="pct"/>
            <w:tcBorders>
              <w:top w:val="nil"/>
              <w:left w:val="single" w:sz="8" w:space="0" w:color="C40012"/>
              <w:bottom w:val="nil"/>
              <w:right w:val="nil"/>
            </w:tcBorders>
            <w:shd w:val="clear" w:color="auto" w:fill="auto"/>
            <w:vAlign w:val="center"/>
            <w:hideMark/>
          </w:tcPr>
          <w:p w14:paraId="675DB9F2"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South West</w:t>
            </w:r>
          </w:p>
        </w:tc>
        <w:tc>
          <w:tcPr>
            <w:tcW w:w="2335" w:type="pct"/>
            <w:gridSpan w:val="2"/>
            <w:tcBorders>
              <w:top w:val="nil"/>
              <w:left w:val="nil"/>
              <w:bottom w:val="nil"/>
              <w:right w:val="single" w:sz="8" w:space="0" w:color="C40012"/>
            </w:tcBorders>
            <w:shd w:val="clear" w:color="auto" w:fill="auto"/>
            <w:vAlign w:val="center"/>
            <w:hideMark/>
          </w:tcPr>
          <w:p w14:paraId="11B36CFB" w14:textId="56B2E886" w:rsidR="00CA4156" w:rsidRPr="00CA4156" w:rsidRDefault="00CA4156" w:rsidP="003F56FB">
            <w:pPr>
              <w:jc w:val="right"/>
              <w:rPr>
                <w:rFonts w:cs="Calibri"/>
                <w:color w:val="000000"/>
                <w:sz w:val="20"/>
                <w:szCs w:val="20"/>
              </w:rPr>
            </w:pPr>
            <w:r w:rsidRPr="00CA4156">
              <w:rPr>
                <w:rFonts w:cs="Calibri"/>
                <w:color w:val="000000"/>
                <w:sz w:val="20"/>
                <w:szCs w:val="20"/>
              </w:rPr>
              <w:t>20,517</w:t>
            </w:r>
          </w:p>
        </w:tc>
      </w:tr>
      <w:tr w:rsidR="00CA4156" w:rsidRPr="00CA4156" w14:paraId="1A8CF86A" w14:textId="77777777" w:rsidTr="003F56FB">
        <w:trPr>
          <w:cantSplit/>
          <w:trHeight w:val="283"/>
        </w:trPr>
        <w:tc>
          <w:tcPr>
            <w:tcW w:w="3736" w:type="pct"/>
            <w:gridSpan w:val="2"/>
            <w:tcBorders>
              <w:top w:val="nil"/>
              <w:left w:val="single" w:sz="8" w:space="0" w:color="C40012"/>
              <w:bottom w:val="nil"/>
              <w:right w:val="nil"/>
            </w:tcBorders>
            <w:shd w:val="clear" w:color="auto" w:fill="auto"/>
            <w:vAlign w:val="center"/>
            <w:hideMark/>
          </w:tcPr>
          <w:p w14:paraId="66FCC924"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North West</w:t>
            </w:r>
          </w:p>
        </w:tc>
        <w:tc>
          <w:tcPr>
            <w:tcW w:w="1264" w:type="pct"/>
            <w:tcBorders>
              <w:top w:val="nil"/>
              <w:left w:val="nil"/>
              <w:bottom w:val="nil"/>
              <w:right w:val="single" w:sz="8" w:space="0" w:color="C40012"/>
            </w:tcBorders>
            <w:shd w:val="clear" w:color="auto" w:fill="auto"/>
            <w:vAlign w:val="center"/>
            <w:hideMark/>
          </w:tcPr>
          <w:p w14:paraId="0ABD4857" w14:textId="288F4368" w:rsidR="00CA4156" w:rsidRPr="00CA4156" w:rsidRDefault="00CA4156" w:rsidP="003F56FB">
            <w:pPr>
              <w:jc w:val="right"/>
              <w:rPr>
                <w:rFonts w:cs="Calibri"/>
                <w:color w:val="000000"/>
                <w:sz w:val="20"/>
                <w:szCs w:val="20"/>
              </w:rPr>
            </w:pPr>
            <w:r w:rsidRPr="00CA4156">
              <w:rPr>
                <w:rFonts w:cs="Calibri"/>
                <w:color w:val="000000"/>
                <w:sz w:val="20"/>
                <w:szCs w:val="20"/>
              </w:rPr>
              <w:t>25,573</w:t>
            </w:r>
          </w:p>
        </w:tc>
      </w:tr>
      <w:tr w:rsidR="00CA4156" w:rsidRPr="00CA4156" w14:paraId="0D1DF154" w14:textId="77777777" w:rsidTr="003F56FB">
        <w:trPr>
          <w:cantSplit/>
          <w:trHeight w:val="283"/>
        </w:trPr>
        <w:tc>
          <w:tcPr>
            <w:tcW w:w="3736" w:type="pct"/>
            <w:gridSpan w:val="2"/>
            <w:tcBorders>
              <w:top w:val="nil"/>
              <w:left w:val="single" w:sz="8" w:space="0" w:color="C40012"/>
              <w:bottom w:val="nil"/>
              <w:right w:val="nil"/>
            </w:tcBorders>
            <w:shd w:val="clear" w:color="auto" w:fill="auto"/>
            <w:vAlign w:val="center"/>
            <w:hideMark/>
          </w:tcPr>
          <w:p w14:paraId="2D22C6F0"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West Midlands</w:t>
            </w:r>
          </w:p>
        </w:tc>
        <w:tc>
          <w:tcPr>
            <w:tcW w:w="1264" w:type="pct"/>
            <w:tcBorders>
              <w:top w:val="nil"/>
              <w:left w:val="nil"/>
              <w:bottom w:val="nil"/>
              <w:right w:val="single" w:sz="8" w:space="0" w:color="C40012"/>
            </w:tcBorders>
            <w:shd w:val="clear" w:color="auto" w:fill="auto"/>
            <w:vAlign w:val="center"/>
            <w:hideMark/>
          </w:tcPr>
          <w:p w14:paraId="2A36A328" w14:textId="1B19C7BF" w:rsidR="00CA4156" w:rsidRPr="00CA4156" w:rsidRDefault="00CA4156" w:rsidP="003F56FB">
            <w:pPr>
              <w:jc w:val="right"/>
              <w:rPr>
                <w:rFonts w:cs="Calibri"/>
                <w:color w:val="000000"/>
                <w:sz w:val="20"/>
                <w:szCs w:val="20"/>
              </w:rPr>
            </w:pPr>
            <w:r w:rsidRPr="00CA4156">
              <w:rPr>
                <w:rFonts w:cs="Calibri"/>
                <w:color w:val="000000"/>
                <w:sz w:val="20"/>
                <w:szCs w:val="20"/>
              </w:rPr>
              <w:t>19,247</w:t>
            </w:r>
          </w:p>
        </w:tc>
      </w:tr>
      <w:tr w:rsidR="00CA4156" w:rsidRPr="00CA4156" w14:paraId="08891F26" w14:textId="77777777" w:rsidTr="003F56FB">
        <w:trPr>
          <w:cantSplit/>
          <w:trHeight w:val="283"/>
        </w:trPr>
        <w:tc>
          <w:tcPr>
            <w:tcW w:w="3736" w:type="pct"/>
            <w:gridSpan w:val="2"/>
            <w:tcBorders>
              <w:top w:val="nil"/>
              <w:left w:val="single" w:sz="8" w:space="0" w:color="C40012"/>
              <w:bottom w:val="nil"/>
              <w:right w:val="nil"/>
            </w:tcBorders>
            <w:shd w:val="clear" w:color="auto" w:fill="auto"/>
            <w:vAlign w:val="center"/>
            <w:hideMark/>
          </w:tcPr>
          <w:p w14:paraId="50BFD50B" w14:textId="70A3C1A8"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 xml:space="preserve">Yorkshire and </w:t>
            </w:r>
            <w:r w:rsidR="00C95706">
              <w:rPr>
                <w:rFonts w:ascii="Humnst777 BT" w:hAnsi="Humnst777 BT" w:cs="Calibri"/>
                <w:b/>
                <w:bCs/>
                <w:color w:val="000000"/>
                <w:sz w:val="20"/>
                <w:szCs w:val="20"/>
              </w:rPr>
              <w:t xml:space="preserve">the </w:t>
            </w:r>
            <w:r w:rsidRPr="00CA4156">
              <w:rPr>
                <w:rFonts w:ascii="Humnst777 BT" w:hAnsi="Humnst777 BT" w:cs="Calibri"/>
                <w:b/>
                <w:bCs/>
                <w:color w:val="000000"/>
                <w:sz w:val="20"/>
                <w:szCs w:val="20"/>
              </w:rPr>
              <w:t>Humber</w:t>
            </w:r>
          </w:p>
        </w:tc>
        <w:tc>
          <w:tcPr>
            <w:tcW w:w="1264" w:type="pct"/>
            <w:tcBorders>
              <w:top w:val="nil"/>
              <w:left w:val="nil"/>
              <w:bottom w:val="nil"/>
              <w:right w:val="single" w:sz="8" w:space="0" w:color="C40012"/>
            </w:tcBorders>
            <w:shd w:val="clear" w:color="auto" w:fill="auto"/>
            <w:vAlign w:val="center"/>
            <w:hideMark/>
          </w:tcPr>
          <w:p w14:paraId="6A5CE34E" w14:textId="4710B17E" w:rsidR="00CA4156" w:rsidRPr="00CA4156" w:rsidRDefault="00CA4156" w:rsidP="003F56FB">
            <w:pPr>
              <w:jc w:val="right"/>
              <w:rPr>
                <w:rFonts w:cs="Calibri"/>
                <w:color w:val="000000"/>
                <w:sz w:val="20"/>
                <w:szCs w:val="20"/>
              </w:rPr>
            </w:pPr>
            <w:r w:rsidRPr="00CA4156">
              <w:rPr>
                <w:rFonts w:cs="Calibri"/>
                <w:color w:val="000000"/>
                <w:sz w:val="20"/>
                <w:szCs w:val="20"/>
              </w:rPr>
              <w:t>27,775</w:t>
            </w:r>
          </w:p>
        </w:tc>
      </w:tr>
      <w:tr w:rsidR="00CA4156" w:rsidRPr="00CA4156" w14:paraId="4519BA96" w14:textId="77777777" w:rsidTr="003F56FB">
        <w:trPr>
          <w:cantSplit/>
          <w:trHeight w:val="283"/>
        </w:trPr>
        <w:tc>
          <w:tcPr>
            <w:tcW w:w="3736" w:type="pct"/>
            <w:gridSpan w:val="2"/>
            <w:tcBorders>
              <w:top w:val="nil"/>
              <w:left w:val="single" w:sz="8" w:space="0" w:color="C40012"/>
              <w:bottom w:val="nil"/>
              <w:right w:val="nil"/>
            </w:tcBorders>
            <w:shd w:val="clear" w:color="auto" w:fill="auto"/>
            <w:vAlign w:val="center"/>
            <w:hideMark/>
          </w:tcPr>
          <w:p w14:paraId="0F7CB94B"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East Midlands</w:t>
            </w:r>
          </w:p>
        </w:tc>
        <w:tc>
          <w:tcPr>
            <w:tcW w:w="1264" w:type="pct"/>
            <w:tcBorders>
              <w:top w:val="nil"/>
              <w:left w:val="nil"/>
              <w:bottom w:val="nil"/>
              <w:right w:val="single" w:sz="8" w:space="0" w:color="C40012"/>
            </w:tcBorders>
            <w:shd w:val="clear" w:color="auto" w:fill="auto"/>
            <w:vAlign w:val="center"/>
            <w:hideMark/>
          </w:tcPr>
          <w:p w14:paraId="3EDD2679" w14:textId="66761712" w:rsidR="00CA4156" w:rsidRPr="00CA4156" w:rsidRDefault="00CA4156" w:rsidP="003F56FB">
            <w:pPr>
              <w:jc w:val="right"/>
              <w:rPr>
                <w:rFonts w:cs="Calibri"/>
                <w:color w:val="000000"/>
                <w:sz w:val="20"/>
                <w:szCs w:val="20"/>
              </w:rPr>
            </w:pPr>
            <w:r w:rsidRPr="00CA4156">
              <w:rPr>
                <w:rFonts w:cs="Calibri"/>
                <w:color w:val="000000"/>
                <w:sz w:val="20"/>
                <w:szCs w:val="20"/>
              </w:rPr>
              <w:t>35,351</w:t>
            </w:r>
          </w:p>
        </w:tc>
      </w:tr>
      <w:tr w:rsidR="00CA4156" w:rsidRPr="00CA4156" w14:paraId="1AF5F36D" w14:textId="77777777" w:rsidTr="003F56FB">
        <w:trPr>
          <w:cantSplit/>
          <w:trHeight w:val="283"/>
        </w:trPr>
        <w:tc>
          <w:tcPr>
            <w:tcW w:w="3736" w:type="pct"/>
            <w:gridSpan w:val="2"/>
            <w:tcBorders>
              <w:top w:val="nil"/>
              <w:left w:val="single" w:sz="8" w:space="0" w:color="C40012"/>
              <w:bottom w:val="single" w:sz="8" w:space="0" w:color="auto"/>
              <w:right w:val="nil"/>
            </w:tcBorders>
            <w:shd w:val="clear" w:color="auto" w:fill="auto"/>
            <w:vAlign w:val="center"/>
            <w:hideMark/>
          </w:tcPr>
          <w:p w14:paraId="0717E30A"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North East</w:t>
            </w:r>
          </w:p>
        </w:tc>
        <w:tc>
          <w:tcPr>
            <w:tcW w:w="1264" w:type="pct"/>
            <w:tcBorders>
              <w:top w:val="nil"/>
              <w:left w:val="nil"/>
              <w:bottom w:val="single" w:sz="8" w:space="0" w:color="auto"/>
              <w:right w:val="single" w:sz="8" w:space="0" w:color="C40012"/>
            </w:tcBorders>
            <w:shd w:val="clear" w:color="auto" w:fill="auto"/>
            <w:vAlign w:val="center"/>
            <w:hideMark/>
          </w:tcPr>
          <w:p w14:paraId="3A6DA23E" w14:textId="5B6007BF" w:rsidR="00CA4156" w:rsidRPr="00CA4156" w:rsidRDefault="00CA4156" w:rsidP="003F56FB">
            <w:pPr>
              <w:jc w:val="right"/>
              <w:rPr>
                <w:rFonts w:cs="Calibri"/>
                <w:color w:val="000000"/>
                <w:sz w:val="20"/>
                <w:szCs w:val="20"/>
              </w:rPr>
            </w:pPr>
            <w:r w:rsidRPr="00CA4156">
              <w:rPr>
                <w:rFonts w:cs="Calibri"/>
                <w:color w:val="000000"/>
                <w:sz w:val="20"/>
                <w:szCs w:val="20"/>
              </w:rPr>
              <w:t>24,275</w:t>
            </w:r>
          </w:p>
        </w:tc>
      </w:tr>
      <w:tr w:rsidR="00CA4156" w:rsidRPr="00CA4156" w14:paraId="2CD51DD0" w14:textId="77777777" w:rsidTr="003F56FB">
        <w:trPr>
          <w:cantSplit/>
          <w:trHeight w:val="283"/>
        </w:trPr>
        <w:tc>
          <w:tcPr>
            <w:tcW w:w="3736" w:type="pct"/>
            <w:gridSpan w:val="2"/>
            <w:tcBorders>
              <w:top w:val="single" w:sz="8" w:space="0" w:color="auto"/>
              <w:left w:val="single" w:sz="8" w:space="0" w:color="C40012"/>
              <w:bottom w:val="single" w:sz="8" w:space="0" w:color="auto"/>
              <w:right w:val="nil"/>
            </w:tcBorders>
            <w:shd w:val="clear" w:color="auto" w:fill="auto"/>
            <w:vAlign w:val="center"/>
            <w:hideMark/>
          </w:tcPr>
          <w:p w14:paraId="68885A56"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England</w:t>
            </w:r>
          </w:p>
        </w:tc>
        <w:tc>
          <w:tcPr>
            <w:tcW w:w="1264" w:type="pct"/>
            <w:tcBorders>
              <w:top w:val="nil"/>
              <w:left w:val="nil"/>
              <w:bottom w:val="single" w:sz="8" w:space="0" w:color="auto"/>
              <w:right w:val="single" w:sz="8" w:space="0" w:color="C40012"/>
            </w:tcBorders>
            <w:shd w:val="clear" w:color="auto" w:fill="auto"/>
            <w:vAlign w:val="center"/>
            <w:hideMark/>
          </w:tcPr>
          <w:p w14:paraId="51FE88DB" w14:textId="0E160E0B" w:rsidR="00CA4156" w:rsidRPr="00CA4156" w:rsidRDefault="00CA4156" w:rsidP="003F56FB">
            <w:pPr>
              <w:jc w:val="right"/>
              <w:rPr>
                <w:rFonts w:cs="Calibri"/>
                <w:color w:val="000000"/>
                <w:sz w:val="20"/>
                <w:szCs w:val="20"/>
              </w:rPr>
            </w:pPr>
            <w:r w:rsidRPr="00CA4156">
              <w:rPr>
                <w:rFonts w:cs="Calibri"/>
                <w:color w:val="000000"/>
                <w:sz w:val="20"/>
                <w:szCs w:val="20"/>
              </w:rPr>
              <w:t>23,626</w:t>
            </w:r>
          </w:p>
        </w:tc>
      </w:tr>
      <w:tr w:rsidR="00CA4156" w:rsidRPr="00CA4156" w14:paraId="3CFFD8C7" w14:textId="77777777" w:rsidTr="003F56FB">
        <w:trPr>
          <w:cantSplit/>
          <w:trHeight w:val="283"/>
        </w:trPr>
        <w:tc>
          <w:tcPr>
            <w:tcW w:w="3736" w:type="pct"/>
            <w:gridSpan w:val="2"/>
            <w:tcBorders>
              <w:top w:val="single" w:sz="8" w:space="0" w:color="auto"/>
              <w:left w:val="single" w:sz="8" w:space="0" w:color="C40012"/>
              <w:bottom w:val="nil"/>
              <w:right w:val="nil"/>
            </w:tcBorders>
            <w:shd w:val="clear" w:color="auto" w:fill="auto"/>
            <w:vAlign w:val="center"/>
            <w:hideMark/>
          </w:tcPr>
          <w:p w14:paraId="06E58FC1"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Scotland</w:t>
            </w:r>
          </w:p>
        </w:tc>
        <w:tc>
          <w:tcPr>
            <w:tcW w:w="1264" w:type="pct"/>
            <w:tcBorders>
              <w:top w:val="nil"/>
              <w:left w:val="nil"/>
              <w:bottom w:val="nil"/>
              <w:right w:val="single" w:sz="8" w:space="0" w:color="C40012"/>
            </w:tcBorders>
            <w:shd w:val="clear" w:color="auto" w:fill="auto"/>
            <w:vAlign w:val="center"/>
            <w:hideMark/>
          </w:tcPr>
          <w:p w14:paraId="2FC894C3" w14:textId="7F2585CC" w:rsidR="00CA4156" w:rsidRPr="00CA4156" w:rsidRDefault="00CA4156" w:rsidP="003F56FB">
            <w:pPr>
              <w:jc w:val="right"/>
              <w:rPr>
                <w:rFonts w:cs="Calibri"/>
                <w:color w:val="000000"/>
                <w:sz w:val="20"/>
                <w:szCs w:val="20"/>
              </w:rPr>
            </w:pPr>
            <w:r w:rsidRPr="00CA4156">
              <w:rPr>
                <w:rFonts w:cs="Calibri"/>
                <w:color w:val="000000"/>
                <w:sz w:val="20"/>
                <w:szCs w:val="20"/>
              </w:rPr>
              <w:t>28,070</w:t>
            </w:r>
          </w:p>
        </w:tc>
      </w:tr>
      <w:tr w:rsidR="00CA4156" w:rsidRPr="00CA4156" w14:paraId="5CA722AD" w14:textId="77777777" w:rsidTr="003F56FB">
        <w:trPr>
          <w:cantSplit/>
          <w:trHeight w:val="283"/>
        </w:trPr>
        <w:tc>
          <w:tcPr>
            <w:tcW w:w="3736" w:type="pct"/>
            <w:gridSpan w:val="2"/>
            <w:tcBorders>
              <w:top w:val="nil"/>
              <w:left w:val="single" w:sz="8" w:space="0" w:color="C40012"/>
              <w:bottom w:val="nil"/>
              <w:right w:val="nil"/>
            </w:tcBorders>
            <w:shd w:val="clear" w:color="auto" w:fill="auto"/>
            <w:vAlign w:val="center"/>
            <w:hideMark/>
          </w:tcPr>
          <w:p w14:paraId="3E2C1F43"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Wales</w:t>
            </w:r>
          </w:p>
        </w:tc>
        <w:tc>
          <w:tcPr>
            <w:tcW w:w="1264" w:type="pct"/>
            <w:tcBorders>
              <w:top w:val="nil"/>
              <w:left w:val="nil"/>
              <w:bottom w:val="nil"/>
              <w:right w:val="single" w:sz="8" w:space="0" w:color="C40012"/>
            </w:tcBorders>
            <w:shd w:val="clear" w:color="auto" w:fill="auto"/>
            <w:vAlign w:val="center"/>
            <w:hideMark/>
          </w:tcPr>
          <w:p w14:paraId="3DB8266E" w14:textId="5D8AE017" w:rsidR="00CA4156" w:rsidRPr="00CA4156" w:rsidRDefault="00CA4156" w:rsidP="003F56FB">
            <w:pPr>
              <w:jc w:val="right"/>
              <w:rPr>
                <w:rFonts w:cs="Calibri"/>
                <w:color w:val="000000"/>
                <w:sz w:val="20"/>
                <w:szCs w:val="20"/>
              </w:rPr>
            </w:pPr>
            <w:r w:rsidRPr="00CA4156">
              <w:rPr>
                <w:rFonts w:cs="Calibri"/>
                <w:color w:val="000000"/>
                <w:sz w:val="20"/>
                <w:szCs w:val="20"/>
              </w:rPr>
              <w:t>17,903</w:t>
            </w:r>
          </w:p>
        </w:tc>
      </w:tr>
      <w:tr w:rsidR="00CA4156" w:rsidRPr="00CA4156" w14:paraId="25E76391" w14:textId="77777777" w:rsidTr="003F56FB">
        <w:trPr>
          <w:cantSplit/>
          <w:trHeight w:val="283"/>
        </w:trPr>
        <w:tc>
          <w:tcPr>
            <w:tcW w:w="3736" w:type="pct"/>
            <w:gridSpan w:val="2"/>
            <w:tcBorders>
              <w:top w:val="nil"/>
              <w:left w:val="single" w:sz="8" w:space="0" w:color="C40012"/>
              <w:bottom w:val="single" w:sz="8" w:space="0" w:color="auto"/>
              <w:right w:val="nil"/>
            </w:tcBorders>
            <w:shd w:val="clear" w:color="auto" w:fill="auto"/>
            <w:vAlign w:val="center"/>
            <w:hideMark/>
          </w:tcPr>
          <w:p w14:paraId="12EA2316"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Northern Ireland</w:t>
            </w:r>
          </w:p>
        </w:tc>
        <w:tc>
          <w:tcPr>
            <w:tcW w:w="1264" w:type="pct"/>
            <w:tcBorders>
              <w:top w:val="nil"/>
              <w:left w:val="nil"/>
              <w:bottom w:val="single" w:sz="8" w:space="0" w:color="auto"/>
              <w:right w:val="single" w:sz="8" w:space="0" w:color="C40012"/>
            </w:tcBorders>
            <w:shd w:val="clear" w:color="auto" w:fill="auto"/>
            <w:vAlign w:val="center"/>
            <w:hideMark/>
          </w:tcPr>
          <w:p w14:paraId="3B50CD79" w14:textId="33C3AB4C" w:rsidR="00CA4156" w:rsidRPr="00CA4156" w:rsidRDefault="00CA4156" w:rsidP="003F56FB">
            <w:pPr>
              <w:jc w:val="right"/>
              <w:rPr>
                <w:rFonts w:cs="Calibri"/>
                <w:color w:val="000000"/>
                <w:sz w:val="20"/>
                <w:szCs w:val="20"/>
              </w:rPr>
            </w:pPr>
            <w:r w:rsidRPr="00CA4156">
              <w:rPr>
                <w:rFonts w:cs="Calibri"/>
                <w:color w:val="000000"/>
                <w:sz w:val="20"/>
                <w:szCs w:val="20"/>
              </w:rPr>
              <w:t>33,226</w:t>
            </w:r>
          </w:p>
        </w:tc>
      </w:tr>
      <w:tr w:rsidR="00CA4156" w:rsidRPr="00CA4156" w14:paraId="4485D4F3" w14:textId="77777777" w:rsidTr="003F56FB">
        <w:trPr>
          <w:cantSplit/>
          <w:trHeight w:val="283"/>
        </w:trPr>
        <w:tc>
          <w:tcPr>
            <w:tcW w:w="3736" w:type="pct"/>
            <w:gridSpan w:val="2"/>
            <w:tcBorders>
              <w:top w:val="single" w:sz="8" w:space="0" w:color="auto"/>
              <w:left w:val="single" w:sz="8" w:space="0" w:color="C40012"/>
              <w:bottom w:val="single" w:sz="8" w:space="0" w:color="auto"/>
              <w:right w:val="nil"/>
            </w:tcBorders>
            <w:shd w:val="clear" w:color="auto" w:fill="auto"/>
            <w:vAlign w:val="center"/>
            <w:hideMark/>
          </w:tcPr>
          <w:p w14:paraId="38E36587"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No Location recorded</w:t>
            </w:r>
          </w:p>
        </w:tc>
        <w:tc>
          <w:tcPr>
            <w:tcW w:w="1264" w:type="pct"/>
            <w:tcBorders>
              <w:top w:val="nil"/>
              <w:left w:val="nil"/>
              <w:bottom w:val="single" w:sz="8" w:space="0" w:color="auto"/>
              <w:right w:val="single" w:sz="8" w:space="0" w:color="C40012"/>
            </w:tcBorders>
            <w:shd w:val="clear" w:color="auto" w:fill="auto"/>
            <w:vAlign w:val="center"/>
            <w:hideMark/>
          </w:tcPr>
          <w:p w14:paraId="06BABA32" w14:textId="748F4D63" w:rsidR="00CA4156" w:rsidRPr="00CA4156" w:rsidRDefault="00CA4156" w:rsidP="003F56FB">
            <w:pPr>
              <w:jc w:val="right"/>
              <w:rPr>
                <w:rFonts w:cs="Calibri"/>
                <w:color w:val="000000"/>
                <w:sz w:val="20"/>
                <w:szCs w:val="20"/>
              </w:rPr>
            </w:pPr>
            <w:r w:rsidRPr="00CA4156">
              <w:rPr>
                <w:rFonts w:cs="Calibri"/>
                <w:color w:val="000000"/>
                <w:sz w:val="20"/>
                <w:szCs w:val="20"/>
              </w:rPr>
              <w:t>31,923</w:t>
            </w:r>
          </w:p>
        </w:tc>
      </w:tr>
      <w:tr w:rsidR="00CA4156" w:rsidRPr="00CA4156" w14:paraId="17AA8CA5" w14:textId="77777777" w:rsidTr="003F56FB">
        <w:trPr>
          <w:cantSplit/>
          <w:trHeight w:val="283"/>
        </w:trPr>
        <w:tc>
          <w:tcPr>
            <w:tcW w:w="3736" w:type="pct"/>
            <w:gridSpan w:val="2"/>
            <w:tcBorders>
              <w:top w:val="single" w:sz="8" w:space="0" w:color="auto"/>
              <w:left w:val="single" w:sz="8" w:space="0" w:color="C40012"/>
              <w:bottom w:val="single" w:sz="8" w:space="0" w:color="C40012"/>
              <w:right w:val="nil"/>
            </w:tcBorders>
            <w:shd w:val="clear" w:color="auto" w:fill="auto"/>
            <w:vAlign w:val="center"/>
            <w:hideMark/>
          </w:tcPr>
          <w:p w14:paraId="5D473E60" w14:textId="77777777" w:rsidR="00CA4156" w:rsidRPr="00CA4156" w:rsidRDefault="00CA4156" w:rsidP="003F56FB">
            <w:pPr>
              <w:rPr>
                <w:rFonts w:ascii="Humnst777 BT" w:hAnsi="Humnst777 BT" w:cs="Calibri"/>
                <w:b/>
                <w:bCs/>
                <w:color w:val="000000"/>
                <w:sz w:val="20"/>
                <w:szCs w:val="20"/>
              </w:rPr>
            </w:pPr>
            <w:r w:rsidRPr="00CA4156">
              <w:rPr>
                <w:rFonts w:ascii="Humnst777 BT" w:hAnsi="Humnst777 BT" w:cs="Calibri"/>
                <w:b/>
                <w:bCs/>
                <w:color w:val="000000"/>
                <w:sz w:val="20"/>
                <w:szCs w:val="20"/>
              </w:rPr>
              <w:t>Total</w:t>
            </w:r>
          </w:p>
        </w:tc>
        <w:tc>
          <w:tcPr>
            <w:tcW w:w="1264" w:type="pct"/>
            <w:tcBorders>
              <w:top w:val="nil"/>
              <w:left w:val="nil"/>
              <w:bottom w:val="single" w:sz="8" w:space="0" w:color="C40012"/>
              <w:right w:val="single" w:sz="8" w:space="0" w:color="C40012"/>
            </w:tcBorders>
            <w:shd w:val="clear" w:color="auto" w:fill="auto"/>
            <w:vAlign w:val="center"/>
            <w:hideMark/>
          </w:tcPr>
          <w:p w14:paraId="1130C963" w14:textId="3898B372" w:rsidR="00CA4156" w:rsidRPr="00CA4156" w:rsidRDefault="00CA4156" w:rsidP="003F56FB">
            <w:pPr>
              <w:jc w:val="right"/>
              <w:rPr>
                <w:rFonts w:cs="Calibri"/>
                <w:color w:val="000000"/>
                <w:sz w:val="20"/>
                <w:szCs w:val="20"/>
              </w:rPr>
            </w:pPr>
            <w:r w:rsidRPr="00CA4156">
              <w:rPr>
                <w:rFonts w:cs="Calibri"/>
                <w:color w:val="000000"/>
                <w:sz w:val="20"/>
                <w:szCs w:val="20"/>
              </w:rPr>
              <w:t>23,887</w:t>
            </w:r>
          </w:p>
        </w:tc>
      </w:tr>
    </w:tbl>
    <w:p w14:paraId="2FE68196" w14:textId="77777777" w:rsidR="00F15B28" w:rsidRDefault="00F15B28" w:rsidP="00F15B28">
      <w:pPr>
        <w:pStyle w:val="TableHeading"/>
        <w:numPr>
          <w:ilvl w:val="0"/>
          <w:numId w:val="0"/>
        </w:numPr>
      </w:pPr>
    </w:p>
    <w:p w14:paraId="4158F4AB" w14:textId="77777777" w:rsidR="00CA4156" w:rsidRDefault="00CA4156" w:rsidP="00F97744">
      <w:pPr>
        <w:pStyle w:val="TableHeading"/>
        <w:numPr>
          <w:ilvl w:val="0"/>
          <w:numId w:val="0"/>
        </w:numPr>
        <w:rPr>
          <w:rFonts w:ascii="Humnst777 Lt BT" w:hAnsi="Humnst777 Lt BT"/>
          <w:b w:val="0"/>
          <w:color w:val="auto"/>
          <w:spacing w:val="-2"/>
          <w:sz w:val="22"/>
        </w:rPr>
      </w:pPr>
      <w:r>
        <w:rPr>
          <w:rFonts w:ascii="Humnst777 Lt BT" w:hAnsi="Humnst777 Lt BT"/>
          <w:b w:val="0"/>
          <w:color w:val="auto"/>
          <w:spacing w:val="-2"/>
          <w:sz w:val="22"/>
        </w:rPr>
        <w:tab/>
      </w:r>
      <w:r>
        <w:rPr>
          <w:rFonts w:ascii="Humnst777 Lt BT" w:hAnsi="Humnst777 Lt BT"/>
          <w:b w:val="0"/>
          <w:color w:val="auto"/>
          <w:spacing w:val="-2"/>
          <w:sz w:val="22"/>
        </w:rPr>
        <w:tab/>
      </w:r>
      <w:r>
        <w:rPr>
          <w:rFonts w:ascii="Humnst777 Lt BT" w:hAnsi="Humnst777 Lt BT"/>
          <w:b w:val="0"/>
          <w:color w:val="auto"/>
          <w:spacing w:val="-2"/>
          <w:sz w:val="22"/>
        </w:rPr>
        <w:tab/>
      </w:r>
      <w:r>
        <w:rPr>
          <w:rFonts w:ascii="Humnst777 Lt BT" w:hAnsi="Humnst777 Lt BT"/>
          <w:b w:val="0"/>
          <w:color w:val="auto"/>
          <w:spacing w:val="-2"/>
          <w:sz w:val="22"/>
        </w:rPr>
        <w:tab/>
      </w:r>
      <w:r>
        <w:rPr>
          <w:rFonts w:ascii="Humnst777 Lt BT" w:hAnsi="Humnst777 Lt BT"/>
          <w:b w:val="0"/>
          <w:color w:val="auto"/>
          <w:spacing w:val="-2"/>
          <w:sz w:val="22"/>
        </w:rPr>
        <w:tab/>
      </w:r>
      <w:r>
        <w:rPr>
          <w:rFonts w:ascii="Humnst777 Lt BT" w:hAnsi="Humnst777 Lt BT"/>
          <w:b w:val="0"/>
          <w:color w:val="auto"/>
          <w:spacing w:val="-2"/>
          <w:sz w:val="22"/>
        </w:rPr>
        <w:tab/>
      </w:r>
      <w:r>
        <w:rPr>
          <w:rFonts w:ascii="Humnst777 Lt BT" w:hAnsi="Humnst777 Lt BT"/>
          <w:b w:val="0"/>
          <w:color w:val="auto"/>
          <w:spacing w:val="-2"/>
          <w:sz w:val="22"/>
        </w:rPr>
        <w:tab/>
      </w:r>
    </w:p>
    <w:p w14:paraId="3D3F3906" w14:textId="21A490EF" w:rsidR="00F97744" w:rsidRPr="00F66FD5" w:rsidRDefault="00F97744" w:rsidP="00F97744">
      <w:pPr>
        <w:pStyle w:val="TableHeading"/>
        <w:numPr>
          <w:ilvl w:val="0"/>
          <w:numId w:val="0"/>
        </w:numPr>
        <w:rPr>
          <w:rFonts w:ascii="Humnst777 Lt BT" w:hAnsi="Humnst777 Lt BT"/>
          <w:b w:val="0"/>
          <w:color w:val="auto"/>
          <w:spacing w:val="-2"/>
          <w:sz w:val="22"/>
        </w:rPr>
      </w:pPr>
      <w:r>
        <w:rPr>
          <w:rFonts w:ascii="Humnst777 Lt BT" w:hAnsi="Humnst777 Lt BT"/>
          <w:b w:val="0"/>
          <w:color w:val="auto"/>
          <w:spacing w:val="-2"/>
          <w:sz w:val="22"/>
        </w:rPr>
        <w:t xml:space="preserve"> </w:t>
      </w:r>
    </w:p>
    <w:p w14:paraId="3D7B6356" w14:textId="77777777" w:rsidR="00F97744" w:rsidRDefault="00F97744" w:rsidP="00F97744">
      <w:pPr>
        <w:pStyle w:val="TableHeading"/>
        <w:numPr>
          <w:ilvl w:val="0"/>
          <w:numId w:val="0"/>
        </w:numPr>
      </w:pPr>
    </w:p>
    <w:p w14:paraId="419EB102" w14:textId="77777777" w:rsidR="00350819" w:rsidRPr="00E63424" w:rsidRDefault="00350819" w:rsidP="00350819">
      <w:pPr>
        <w:pStyle w:val="BodyText"/>
        <w:numPr>
          <w:ilvl w:val="0"/>
          <w:numId w:val="0"/>
        </w:numPr>
      </w:pPr>
    </w:p>
    <w:p w14:paraId="7FF98099" w14:textId="77777777" w:rsidR="00CA6A55" w:rsidRDefault="00CA6A55">
      <w:pPr>
        <w:rPr>
          <w:rFonts w:ascii="Humnst777 BT" w:hAnsi="Humnst777 BT"/>
          <w:b/>
          <w:color w:val="C40012"/>
          <w:sz w:val="20"/>
        </w:rPr>
      </w:pPr>
    </w:p>
    <w:p w14:paraId="21C77CD9" w14:textId="77777777" w:rsidR="008D4267" w:rsidRPr="00AD0232" w:rsidRDefault="008D4267" w:rsidP="00B009F6">
      <w:pPr>
        <w:pStyle w:val="FigureHeading"/>
        <w:numPr>
          <w:ilvl w:val="0"/>
          <w:numId w:val="0"/>
        </w:numPr>
        <w:rPr>
          <w:i/>
          <w:sz w:val="18"/>
          <w:szCs w:val="18"/>
        </w:rPr>
      </w:pPr>
    </w:p>
    <w:p w14:paraId="7D0D4FB2" w14:textId="77777777" w:rsidR="00F91C2A" w:rsidRPr="009154F9" w:rsidRDefault="00350819" w:rsidP="004A1A8F">
      <w:pPr>
        <w:pStyle w:val="Heading1"/>
      </w:pPr>
      <w:r>
        <w:br w:type="page"/>
      </w:r>
      <w:r w:rsidR="00944C60">
        <w:t>Background n</w:t>
      </w:r>
      <w:r w:rsidR="001A5EB3">
        <w:t>otes</w:t>
      </w:r>
    </w:p>
    <w:p w14:paraId="02B748B8" w14:textId="77777777" w:rsidR="00F91C2A" w:rsidRPr="009154F9" w:rsidRDefault="00F91C2A" w:rsidP="00F91C2A">
      <w:pPr>
        <w:pStyle w:val="BodyText"/>
        <w:numPr>
          <w:ilvl w:val="0"/>
          <w:numId w:val="0"/>
        </w:numPr>
      </w:pPr>
    </w:p>
    <w:p w14:paraId="4C6D616E" w14:textId="77777777" w:rsidR="00F61193" w:rsidRPr="00CC08FE" w:rsidRDefault="00F61193" w:rsidP="00F61193">
      <w:pPr>
        <w:pStyle w:val="BodyText"/>
        <w:numPr>
          <w:ilvl w:val="0"/>
          <w:numId w:val="0"/>
        </w:numPr>
        <w:rPr>
          <w:rFonts w:ascii="Humnst777 Cn BT" w:hAnsi="Humnst777 Cn BT"/>
          <w:b/>
          <w:color w:val="C40012"/>
          <w:sz w:val="24"/>
        </w:rPr>
      </w:pPr>
      <w:r w:rsidRPr="00CC08FE">
        <w:rPr>
          <w:rFonts w:ascii="Humnst777 Cn BT" w:hAnsi="Humnst777 Cn BT"/>
          <w:b/>
          <w:color w:val="C40012"/>
          <w:sz w:val="24"/>
        </w:rPr>
        <w:t>Data collection</w:t>
      </w:r>
    </w:p>
    <w:p w14:paraId="1B3FA7B6" w14:textId="55FC64CB" w:rsidR="00770C47" w:rsidRPr="00CC08FE" w:rsidRDefault="0091208A" w:rsidP="00F61193">
      <w:pPr>
        <w:pStyle w:val="BodyText"/>
        <w:numPr>
          <w:ilvl w:val="0"/>
          <w:numId w:val="0"/>
        </w:numPr>
      </w:pPr>
      <w:r w:rsidRPr="00CC08FE">
        <w:t>The British Business Bank</w:t>
      </w:r>
      <w:r w:rsidR="00770C47" w:rsidRPr="00CC08FE">
        <w:t xml:space="preserve"> (</w:t>
      </w:r>
      <w:r w:rsidRPr="00CC08FE">
        <w:t>BBB</w:t>
      </w:r>
      <w:r w:rsidR="00770C47" w:rsidRPr="00CC08FE">
        <w:t xml:space="preserve">), </w:t>
      </w:r>
      <w:r w:rsidR="006403E2">
        <w:t>working on behalf of HM Treasury</w:t>
      </w:r>
      <w:r w:rsidR="00770C47" w:rsidRPr="00CC08FE">
        <w:t xml:space="preserve">, collect data from </w:t>
      </w:r>
      <w:r w:rsidR="00CC08FE" w:rsidRPr="00CC08FE">
        <w:t>designated finance platforms</w:t>
      </w:r>
      <w:r w:rsidR="00770C47" w:rsidRPr="00CC08FE">
        <w:t xml:space="preserve"> in accordance with monitoring and reporting requirements set by HM Treasury. </w:t>
      </w:r>
    </w:p>
    <w:p w14:paraId="7411A710" w14:textId="77777777" w:rsidR="003860B6" w:rsidRPr="00CC08FE" w:rsidRDefault="003860B6" w:rsidP="003860B6">
      <w:pPr>
        <w:pStyle w:val="BodyText"/>
        <w:numPr>
          <w:ilvl w:val="0"/>
          <w:numId w:val="0"/>
        </w:numPr>
        <w:rPr>
          <w:rFonts w:ascii="Humnst777 Cn BT" w:hAnsi="Humnst777 Cn BT"/>
          <w:b/>
          <w:color w:val="C40012"/>
          <w:sz w:val="24"/>
          <w:szCs w:val="22"/>
        </w:rPr>
      </w:pPr>
      <w:r w:rsidRPr="00CC08FE">
        <w:rPr>
          <w:rFonts w:ascii="Humnst777 Cn BT" w:hAnsi="Humnst777 Cn BT"/>
          <w:b/>
          <w:color w:val="C40012"/>
          <w:sz w:val="24"/>
          <w:szCs w:val="22"/>
        </w:rPr>
        <w:t>Data sources</w:t>
      </w:r>
    </w:p>
    <w:p w14:paraId="6443089F" w14:textId="68B7A885" w:rsidR="00CC08FE" w:rsidRPr="00EF75C2" w:rsidRDefault="00CC08FE" w:rsidP="00CC08FE">
      <w:pPr>
        <w:pStyle w:val="BodyText"/>
        <w:numPr>
          <w:ilvl w:val="0"/>
          <w:numId w:val="0"/>
        </w:numPr>
        <w:rPr>
          <w:rFonts w:ascii="Humnst777 Cn BT" w:hAnsi="Humnst777 Cn BT"/>
          <w:b/>
          <w:color w:val="C40012"/>
          <w:sz w:val="24"/>
          <w:szCs w:val="22"/>
          <w:highlight w:val="yellow"/>
        </w:rPr>
      </w:pPr>
      <w:r>
        <w:t>The SME population data is based on Department for Business</w:t>
      </w:r>
      <w:r w:rsidR="00590EF0">
        <w:t xml:space="preserve"> and Trade</w:t>
      </w:r>
      <w:r>
        <w:t xml:space="preserve"> </w:t>
      </w:r>
      <w:r w:rsidR="006868BD">
        <w:t>(</w:t>
      </w:r>
      <w:r w:rsidR="00590EF0">
        <w:t>DBT</w:t>
      </w:r>
      <w:r w:rsidR="006868BD">
        <w:t xml:space="preserve">) </w:t>
      </w:r>
      <w:r>
        <w:t>population estimates, 20</w:t>
      </w:r>
      <w:r w:rsidR="008A1877">
        <w:t>24</w:t>
      </w:r>
      <w:r>
        <w:t xml:space="preserve">. </w:t>
      </w:r>
    </w:p>
    <w:p w14:paraId="4CB868A5" w14:textId="6DAE24F6" w:rsidR="00B16375" w:rsidRDefault="005C22C9" w:rsidP="00F61193">
      <w:pPr>
        <w:pStyle w:val="BodyText"/>
        <w:numPr>
          <w:ilvl w:val="0"/>
          <w:numId w:val="0"/>
        </w:numPr>
        <w:rPr>
          <w:rStyle w:val="Hyperlink"/>
          <w:color w:val="000000"/>
        </w:rPr>
      </w:pPr>
      <w:r w:rsidRPr="005C22C9">
        <w:rPr>
          <w:rStyle w:val="Hyperlink"/>
          <w:color w:val="000000"/>
        </w:rPr>
        <w:t>https://www.gov.uk/government/statistics/business-population-estimates-2024</w:t>
      </w:r>
    </w:p>
    <w:p w14:paraId="193D6922" w14:textId="77777777" w:rsidR="00F61193" w:rsidRPr="002C4C3B" w:rsidRDefault="00F61193" w:rsidP="00F61193">
      <w:pPr>
        <w:pStyle w:val="BodyText"/>
        <w:numPr>
          <w:ilvl w:val="0"/>
          <w:numId w:val="0"/>
        </w:numPr>
        <w:rPr>
          <w:rFonts w:ascii="Humnst777 Cn BT" w:hAnsi="Humnst777 Cn BT"/>
          <w:b/>
          <w:color w:val="C40012"/>
          <w:sz w:val="24"/>
        </w:rPr>
      </w:pPr>
      <w:r>
        <w:rPr>
          <w:rFonts w:ascii="Humnst777 Cn BT" w:hAnsi="Humnst777 Cn BT"/>
          <w:b/>
          <w:color w:val="C40012"/>
          <w:sz w:val="24"/>
        </w:rPr>
        <w:t>Further i</w:t>
      </w:r>
      <w:r w:rsidRPr="002C4C3B">
        <w:rPr>
          <w:rFonts w:ascii="Humnst777 Cn BT" w:hAnsi="Humnst777 Cn BT"/>
          <w:b/>
          <w:color w:val="C40012"/>
          <w:sz w:val="24"/>
        </w:rPr>
        <w:t>nformation</w:t>
      </w:r>
    </w:p>
    <w:p w14:paraId="63F70402" w14:textId="77777777" w:rsidR="00770C47" w:rsidRDefault="00770C47" w:rsidP="00F61193">
      <w:pPr>
        <w:pStyle w:val="BodyText"/>
        <w:numPr>
          <w:ilvl w:val="0"/>
          <w:numId w:val="0"/>
        </w:numPr>
        <w:rPr>
          <w:lang w:val="en-US" w:eastAsia="en-US" w:bidi="en-US"/>
        </w:rPr>
      </w:pPr>
      <w:r>
        <w:rPr>
          <w:lang w:val="en-US" w:eastAsia="en-US" w:bidi="en-US"/>
        </w:rPr>
        <w:t xml:space="preserve">Further information about the </w:t>
      </w:r>
      <w:r w:rsidR="00EF75C2">
        <w:rPr>
          <w:lang w:val="en-US" w:eastAsia="en-US" w:bidi="en-US"/>
        </w:rPr>
        <w:t xml:space="preserve">Bank Referral </w:t>
      </w:r>
      <w:r>
        <w:rPr>
          <w:lang w:val="en-US" w:eastAsia="en-US" w:bidi="en-US"/>
        </w:rPr>
        <w:t xml:space="preserve">scheme can be found at: </w:t>
      </w:r>
    </w:p>
    <w:p w14:paraId="1661A595" w14:textId="77777777" w:rsidR="00EF75C2" w:rsidRPr="00EF75C2" w:rsidRDefault="00EF75C2" w:rsidP="00EF75C2">
      <w:pPr>
        <w:pStyle w:val="BodyText"/>
        <w:numPr>
          <w:ilvl w:val="0"/>
          <w:numId w:val="0"/>
        </w:numPr>
        <w:rPr>
          <w:rStyle w:val="Hyperlink"/>
          <w:color w:val="000000"/>
        </w:rPr>
      </w:pPr>
      <w:hyperlink r:id="rId23" w:history="1">
        <w:r w:rsidRPr="00EF75C2">
          <w:rPr>
            <w:rStyle w:val="Hyperlink"/>
            <w:color w:val="000000"/>
          </w:rPr>
          <w:t>http://british-business-bank.co.uk/bank-referrals/</w:t>
        </w:r>
      </w:hyperlink>
    </w:p>
    <w:p w14:paraId="3B1A0B56" w14:textId="77777777" w:rsidR="00F91C2A" w:rsidRPr="009154F9" w:rsidRDefault="006B502E" w:rsidP="006B502E">
      <w:pPr>
        <w:pStyle w:val="Heading1"/>
      </w:pPr>
      <w:r>
        <w:t>Enquiries</w:t>
      </w:r>
    </w:p>
    <w:p w14:paraId="7131C3A5" w14:textId="77777777" w:rsidR="00F8686A" w:rsidRDefault="00F8686A" w:rsidP="00D31CDE">
      <w:pPr>
        <w:pStyle w:val="BodyText"/>
        <w:numPr>
          <w:ilvl w:val="0"/>
          <w:numId w:val="0"/>
        </w:numPr>
        <w:rPr>
          <w:rFonts w:ascii="Humnst777 Cn BT" w:hAnsi="Humnst777 Cn BT"/>
          <w:b/>
          <w:color w:val="C40012"/>
          <w:sz w:val="24"/>
        </w:rPr>
      </w:pPr>
    </w:p>
    <w:p w14:paraId="1D2B963E" w14:textId="77777777" w:rsidR="006B502E" w:rsidRPr="002C4C3B" w:rsidRDefault="002C4C3B" w:rsidP="002C4C3B">
      <w:pPr>
        <w:pStyle w:val="BodyText"/>
        <w:numPr>
          <w:ilvl w:val="0"/>
          <w:numId w:val="0"/>
        </w:numPr>
        <w:rPr>
          <w:rFonts w:ascii="Humnst777 Cn BT" w:hAnsi="Humnst777 Cn BT"/>
          <w:b/>
          <w:color w:val="C40012"/>
          <w:sz w:val="24"/>
        </w:rPr>
      </w:pPr>
      <w:r w:rsidRPr="002C4C3B">
        <w:rPr>
          <w:rFonts w:ascii="Humnst777 Cn BT" w:hAnsi="Humnst777 Cn BT"/>
          <w:b/>
          <w:color w:val="C40012"/>
          <w:sz w:val="24"/>
        </w:rPr>
        <w:t>Media enquiries:</w:t>
      </w:r>
    </w:p>
    <w:p w14:paraId="72D41FE4" w14:textId="4BD66915" w:rsidR="00492F20" w:rsidRDefault="006B502E" w:rsidP="002C4C3B">
      <w:pPr>
        <w:pStyle w:val="BodyText"/>
        <w:numPr>
          <w:ilvl w:val="0"/>
          <w:numId w:val="0"/>
        </w:numPr>
      </w:pPr>
      <w:r w:rsidRPr="006B502E">
        <w:t xml:space="preserve">Email: </w:t>
      </w:r>
      <w:r w:rsidR="001F19C2">
        <w:t>pressoffice@hmtreasury.gov.uk</w:t>
      </w:r>
    </w:p>
    <w:sectPr w:rsidR="00492F20" w:rsidSect="00721075">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F213" w14:textId="77777777" w:rsidR="0078145C" w:rsidRDefault="0078145C" w:rsidP="00F91C2A">
      <w:r>
        <w:separator/>
      </w:r>
    </w:p>
  </w:endnote>
  <w:endnote w:type="continuationSeparator" w:id="0">
    <w:p w14:paraId="6A496285" w14:textId="77777777" w:rsidR="0078145C" w:rsidRDefault="0078145C" w:rsidP="00F91C2A">
      <w:r>
        <w:continuationSeparator/>
      </w:r>
    </w:p>
  </w:endnote>
  <w:endnote w:type="continuationNotice" w:id="1">
    <w:p w14:paraId="13F69AF2" w14:textId="77777777" w:rsidR="0078145C" w:rsidRDefault="00781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Lt BT">
    <w:altName w:val="Calibri"/>
    <w:charset w:val="00"/>
    <w:family w:val="swiss"/>
    <w:pitch w:val="variable"/>
    <w:sig w:usb0="800000AF" w:usb1="1000204A" w:usb2="00000000" w:usb3="00000000" w:csb0="00000011" w:csb1="00000000"/>
  </w:font>
  <w:font w:name="Humnst777 BT">
    <w:altName w:val="Calibr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umnst777 Cn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738" w:tblpY="15764"/>
      <w:tblOverlap w:val="never"/>
      <w:tblW w:w="0" w:type="auto"/>
      <w:tblLayout w:type="fixed"/>
      <w:tblCellMar>
        <w:left w:w="0" w:type="dxa"/>
        <w:right w:w="0" w:type="dxa"/>
      </w:tblCellMar>
      <w:tblLook w:val="01E0" w:firstRow="1" w:lastRow="1" w:firstColumn="1" w:lastColumn="1" w:noHBand="0" w:noVBand="0"/>
    </w:tblPr>
    <w:tblGrid>
      <w:gridCol w:w="692"/>
      <w:gridCol w:w="8369"/>
      <w:gridCol w:w="692"/>
    </w:tblGrid>
    <w:tr w:rsidR="00B8362A" w14:paraId="1350421F" w14:textId="77777777" w:rsidTr="00C66047">
      <w:trPr>
        <w:trHeight w:hRule="exact" w:val="340"/>
      </w:trPr>
      <w:tc>
        <w:tcPr>
          <w:tcW w:w="9061" w:type="dxa"/>
          <w:gridSpan w:val="2"/>
          <w:vAlign w:val="bottom"/>
        </w:tcPr>
        <w:p w14:paraId="2B11CEB6" w14:textId="77777777" w:rsidR="00E8374C" w:rsidRPr="00FC0493" w:rsidRDefault="00E8374C" w:rsidP="00C66047">
          <w:pPr>
            <w:pStyle w:val="Footer"/>
            <w:rPr>
              <w:rStyle w:val="PageNumber"/>
              <w:b w:val="0"/>
            </w:rPr>
          </w:pPr>
        </w:p>
      </w:tc>
      <w:tc>
        <w:tcPr>
          <w:tcW w:w="692" w:type="dxa"/>
          <w:vAlign w:val="bottom"/>
        </w:tcPr>
        <w:p w14:paraId="6533E7CB" w14:textId="77777777" w:rsidR="00E8374C" w:rsidRDefault="00E8374C" w:rsidP="00C66047">
          <w:pPr>
            <w:pStyle w:val="Footer"/>
          </w:pPr>
        </w:p>
      </w:tc>
    </w:tr>
    <w:tr w:rsidR="00B8362A" w14:paraId="7416ADF9" w14:textId="77777777" w:rsidTr="00C66047">
      <w:trPr>
        <w:trHeight w:hRule="exact" w:val="340"/>
      </w:trPr>
      <w:tc>
        <w:tcPr>
          <w:tcW w:w="692" w:type="dxa"/>
          <w:vAlign w:val="bottom"/>
        </w:tcPr>
        <w:p w14:paraId="09055DE8" w14:textId="77777777" w:rsidR="00E8374C" w:rsidRDefault="00E8374C" w:rsidP="00C6604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9061" w:type="dxa"/>
          <w:gridSpan w:val="2"/>
          <w:vAlign w:val="bottom"/>
        </w:tcPr>
        <w:p w14:paraId="2DF03B10" w14:textId="77777777" w:rsidR="00E8374C" w:rsidRDefault="00E8374C" w:rsidP="00C66047">
          <w:pPr>
            <w:pStyle w:val="Footer"/>
          </w:pPr>
          <w:r>
            <w:fldChar w:fldCharType="begin"/>
          </w:r>
          <w:r>
            <w:instrText xml:space="preserve"> TITLE  H2B MG Statistics Draft With Data V3</w:instrText>
          </w:r>
          <w:r>
            <w:fldChar w:fldCharType="separate"/>
          </w:r>
          <w:r w:rsidR="001C147E">
            <w:t>H2B</w:t>
          </w:r>
          <w:r>
            <w:fldChar w:fldCharType="end"/>
          </w:r>
        </w:p>
      </w:tc>
    </w:tr>
  </w:tbl>
  <w:p w14:paraId="251D2F81" w14:textId="77777777" w:rsidR="00E8374C" w:rsidRDefault="00E837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419" w:tblpY="15764"/>
      <w:tblOverlap w:val="never"/>
      <w:tblW w:w="9752" w:type="dxa"/>
      <w:tblLayout w:type="fixed"/>
      <w:tblCellMar>
        <w:left w:w="0" w:type="dxa"/>
        <w:right w:w="0" w:type="dxa"/>
      </w:tblCellMar>
      <w:tblLook w:val="01E0" w:firstRow="1" w:lastRow="1" w:firstColumn="1" w:lastColumn="1" w:noHBand="0" w:noVBand="0"/>
    </w:tblPr>
    <w:tblGrid>
      <w:gridCol w:w="9058"/>
      <w:gridCol w:w="694"/>
    </w:tblGrid>
    <w:tr w:rsidR="00B8362A" w14:paraId="12D43FBC" w14:textId="77777777" w:rsidTr="00C66047">
      <w:trPr>
        <w:trHeight w:hRule="exact" w:val="340"/>
      </w:trPr>
      <w:tc>
        <w:tcPr>
          <w:tcW w:w="9027" w:type="dxa"/>
          <w:vAlign w:val="bottom"/>
        </w:tcPr>
        <w:p w14:paraId="7D0A2AE7" w14:textId="77777777" w:rsidR="00E8374C" w:rsidRDefault="00E8374C" w:rsidP="00C66047">
          <w:pPr>
            <w:pStyle w:val="Footer"/>
            <w:jc w:val="right"/>
          </w:pPr>
        </w:p>
      </w:tc>
      <w:tc>
        <w:tcPr>
          <w:tcW w:w="692" w:type="dxa"/>
          <w:vAlign w:val="bottom"/>
        </w:tcPr>
        <w:p w14:paraId="0A1CED9C" w14:textId="77777777" w:rsidR="00E8374C" w:rsidRDefault="00E8374C" w:rsidP="00C66047">
          <w:pPr>
            <w:pStyle w:val="Footer"/>
            <w:jc w:val="right"/>
            <w:rPr>
              <w:rStyle w:val="PageNumber"/>
            </w:rPr>
          </w:pPr>
        </w:p>
      </w:tc>
    </w:tr>
    <w:tr w:rsidR="00B8362A" w14:paraId="27D77FB5" w14:textId="77777777" w:rsidTr="00C66047">
      <w:trPr>
        <w:trHeight w:hRule="exact" w:val="340"/>
      </w:trPr>
      <w:tc>
        <w:tcPr>
          <w:tcW w:w="9027" w:type="dxa"/>
          <w:vAlign w:val="bottom"/>
        </w:tcPr>
        <w:p w14:paraId="739DBC67" w14:textId="77777777" w:rsidR="00E8374C" w:rsidRDefault="00E8374C" w:rsidP="00C66047">
          <w:pPr>
            <w:pStyle w:val="Footer"/>
            <w:jc w:val="right"/>
          </w:pPr>
          <w:r>
            <w:fldChar w:fldCharType="begin"/>
          </w:r>
          <w:r>
            <w:instrText xml:space="preserve"> TITLE  H2B MG Statistics Draft With Data V3</w:instrText>
          </w:r>
          <w:r>
            <w:fldChar w:fldCharType="separate"/>
          </w:r>
          <w:r w:rsidR="001C147E">
            <w:t>H2B</w:t>
          </w:r>
          <w:r>
            <w:fldChar w:fldCharType="end"/>
          </w:r>
        </w:p>
      </w:tc>
      <w:tc>
        <w:tcPr>
          <w:tcW w:w="692" w:type="dxa"/>
          <w:vAlign w:val="bottom"/>
        </w:tcPr>
        <w:p w14:paraId="0551A299" w14:textId="77777777" w:rsidR="00E8374C" w:rsidRDefault="00E8374C" w:rsidP="00C6604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114AF81B" w14:textId="77777777" w:rsidR="00E8374C" w:rsidRDefault="00E837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419" w:tblpY="15764"/>
      <w:tblOverlap w:val="never"/>
      <w:tblW w:w="9752" w:type="dxa"/>
      <w:tblLayout w:type="fixed"/>
      <w:tblCellMar>
        <w:left w:w="0" w:type="dxa"/>
        <w:right w:w="0" w:type="dxa"/>
      </w:tblCellMar>
      <w:tblLook w:val="01E0" w:firstRow="1" w:lastRow="1" w:firstColumn="1" w:lastColumn="1" w:noHBand="0" w:noVBand="0"/>
    </w:tblPr>
    <w:tblGrid>
      <w:gridCol w:w="9060"/>
      <w:gridCol w:w="692"/>
    </w:tblGrid>
    <w:tr w:rsidR="00B8362A" w14:paraId="39E2C7F2" w14:textId="77777777" w:rsidTr="00C66047">
      <w:trPr>
        <w:trHeight w:hRule="exact" w:val="340"/>
      </w:trPr>
      <w:tc>
        <w:tcPr>
          <w:tcW w:w="9061" w:type="dxa"/>
          <w:vAlign w:val="bottom"/>
        </w:tcPr>
        <w:p w14:paraId="7A2E1A16" w14:textId="77777777" w:rsidR="00E8374C" w:rsidRDefault="00E8374C" w:rsidP="00C66047">
          <w:pPr>
            <w:pStyle w:val="Footer"/>
            <w:jc w:val="right"/>
            <w:rPr>
              <w:rStyle w:val="PageNumber"/>
            </w:rPr>
          </w:pPr>
        </w:p>
      </w:tc>
      <w:tc>
        <w:tcPr>
          <w:tcW w:w="692" w:type="dxa"/>
          <w:vAlign w:val="bottom"/>
        </w:tcPr>
        <w:p w14:paraId="55ABC649" w14:textId="77777777" w:rsidR="00E8374C" w:rsidRDefault="00E8374C" w:rsidP="00C66047">
          <w:pPr>
            <w:pStyle w:val="Footer"/>
            <w:jc w:val="right"/>
            <w:rPr>
              <w:rStyle w:val="PageNumber"/>
            </w:rPr>
          </w:pPr>
        </w:p>
      </w:tc>
    </w:tr>
    <w:tr w:rsidR="00B8362A" w14:paraId="0977DF93" w14:textId="77777777" w:rsidTr="00C66047">
      <w:trPr>
        <w:trHeight w:hRule="exact" w:val="340"/>
      </w:trPr>
      <w:tc>
        <w:tcPr>
          <w:tcW w:w="9061" w:type="dxa"/>
          <w:vAlign w:val="bottom"/>
        </w:tcPr>
        <w:p w14:paraId="4C1D5832" w14:textId="77777777" w:rsidR="00E8374C" w:rsidRDefault="00E8374C" w:rsidP="00282723">
          <w:pPr>
            <w:pStyle w:val="Footer"/>
            <w:jc w:val="right"/>
          </w:pPr>
        </w:p>
      </w:tc>
      <w:tc>
        <w:tcPr>
          <w:tcW w:w="692" w:type="dxa"/>
          <w:vAlign w:val="bottom"/>
        </w:tcPr>
        <w:p w14:paraId="1CCD425E" w14:textId="77777777" w:rsidR="00E8374C" w:rsidRDefault="00E8374C" w:rsidP="00C66047">
          <w:pPr>
            <w:pStyle w:val="Footer"/>
            <w:jc w:val="right"/>
          </w:pPr>
          <w:r>
            <w:rPr>
              <w:rStyle w:val="PageNumber"/>
            </w:rPr>
            <w:fldChar w:fldCharType="begin"/>
          </w:r>
          <w:r>
            <w:rPr>
              <w:rStyle w:val="PageNumber"/>
            </w:rPr>
            <w:instrText xml:space="preserve"> PAGE </w:instrText>
          </w:r>
          <w:r>
            <w:rPr>
              <w:rStyle w:val="PageNumber"/>
            </w:rPr>
            <w:fldChar w:fldCharType="separate"/>
          </w:r>
          <w:r w:rsidR="00146B94">
            <w:rPr>
              <w:rStyle w:val="PageNumber"/>
              <w:noProof/>
            </w:rPr>
            <w:t>1</w:t>
          </w:r>
          <w:r>
            <w:rPr>
              <w:rStyle w:val="PageNumber"/>
            </w:rPr>
            <w:fldChar w:fldCharType="end"/>
          </w:r>
        </w:p>
      </w:tc>
    </w:tr>
  </w:tbl>
  <w:p w14:paraId="56C8D28F" w14:textId="77777777" w:rsidR="00E8374C" w:rsidRPr="00584183" w:rsidRDefault="00E8374C" w:rsidP="00584183">
    <w:pPr>
      <w:rPr>
        <w:b/>
        <w:color w:val="C400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4DE0D" w14:textId="77777777" w:rsidR="00E8374C" w:rsidRDefault="00E837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419" w:tblpY="15764"/>
      <w:tblOverlap w:val="never"/>
      <w:tblW w:w="9752" w:type="dxa"/>
      <w:tblLayout w:type="fixed"/>
      <w:tblCellMar>
        <w:left w:w="0" w:type="dxa"/>
        <w:right w:w="0" w:type="dxa"/>
      </w:tblCellMar>
      <w:tblLook w:val="01E0" w:firstRow="1" w:lastRow="1" w:firstColumn="1" w:lastColumn="1" w:noHBand="0" w:noVBand="0"/>
    </w:tblPr>
    <w:tblGrid>
      <w:gridCol w:w="9060"/>
      <w:gridCol w:w="692"/>
    </w:tblGrid>
    <w:tr w:rsidR="00B8362A" w14:paraId="243961BE" w14:textId="77777777" w:rsidTr="004B0E8C">
      <w:trPr>
        <w:trHeight w:hRule="exact" w:val="340"/>
      </w:trPr>
      <w:tc>
        <w:tcPr>
          <w:tcW w:w="9061" w:type="dxa"/>
          <w:vAlign w:val="bottom"/>
        </w:tcPr>
        <w:p w14:paraId="31470A09" w14:textId="77777777" w:rsidR="00E8374C" w:rsidRDefault="00E8374C" w:rsidP="004604F6">
          <w:pPr>
            <w:pStyle w:val="Footer"/>
            <w:jc w:val="right"/>
          </w:pPr>
        </w:p>
      </w:tc>
      <w:tc>
        <w:tcPr>
          <w:tcW w:w="692" w:type="dxa"/>
          <w:vAlign w:val="bottom"/>
        </w:tcPr>
        <w:p w14:paraId="0D58D6E9" w14:textId="77777777" w:rsidR="00E8374C" w:rsidRPr="00191A01" w:rsidRDefault="00E8374C" w:rsidP="004B0E8C">
          <w:pPr>
            <w:pStyle w:val="Footer"/>
            <w:jc w:val="right"/>
          </w:pPr>
          <w:r w:rsidRPr="00191A01">
            <w:rPr>
              <w:rStyle w:val="PageNumber"/>
              <w:b w:val="0"/>
              <w:color w:val="auto"/>
            </w:rPr>
            <w:fldChar w:fldCharType="begin"/>
          </w:r>
          <w:r w:rsidRPr="00191A01">
            <w:rPr>
              <w:rStyle w:val="PageNumber"/>
              <w:b w:val="0"/>
              <w:color w:val="auto"/>
            </w:rPr>
            <w:instrText xml:space="preserve"> PAGE </w:instrText>
          </w:r>
          <w:r w:rsidRPr="00191A01">
            <w:rPr>
              <w:rStyle w:val="PageNumber"/>
              <w:b w:val="0"/>
              <w:color w:val="auto"/>
            </w:rPr>
            <w:fldChar w:fldCharType="separate"/>
          </w:r>
          <w:r w:rsidR="00146B94">
            <w:rPr>
              <w:rStyle w:val="PageNumber"/>
              <w:b w:val="0"/>
              <w:noProof/>
              <w:color w:val="auto"/>
            </w:rPr>
            <w:t>8</w:t>
          </w:r>
          <w:r w:rsidRPr="00191A01">
            <w:rPr>
              <w:rStyle w:val="PageNumber"/>
              <w:b w:val="0"/>
              <w:color w:val="auto"/>
            </w:rPr>
            <w:fldChar w:fldCharType="end"/>
          </w:r>
        </w:p>
      </w:tc>
    </w:tr>
  </w:tbl>
  <w:p w14:paraId="4867793C" w14:textId="77777777" w:rsidR="00E8374C" w:rsidRDefault="00E837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9BB0" w14:textId="77777777" w:rsidR="00E8374C" w:rsidRDefault="00E83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7718" w14:textId="77777777" w:rsidR="0078145C" w:rsidRDefault="0078145C" w:rsidP="00F91C2A">
      <w:r>
        <w:separator/>
      </w:r>
    </w:p>
  </w:footnote>
  <w:footnote w:type="continuationSeparator" w:id="0">
    <w:p w14:paraId="35A15AF3" w14:textId="77777777" w:rsidR="0078145C" w:rsidRDefault="0078145C" w:rsidP="00F91C2A">
      <w:r>
        <w:continuationSeparator/>
      </w:r>
    </w:p>
  </w:footnote>
  <w:footnote w:type="continuationNotice" w:id="1">
    <w:p w14:paraId="2CBDB3BF" w14:textId="77777777" w:rsidR="0078145C" w:rsidRDefault="0078145C"/>
  </w:footnote>
  <w:footnote w:id="2">
    <w:p w14:paraId="06D62ED6" w14:textId="77777777" w:rsidR="00E8374C" w:rsidRDefault="00E8374C">
      <w:pPr>
        <w:pStyle w:val="FootnoteText"/>
      </w:pPr>
      <w:r>
        <w:rPr>
          <w:rStyle w:val="FootnoteReference"/>
        </w:rPr>
        <w:footnoteRef/>
      </w:r>
      <w:r>
        <w:t xml:space="preserve"> Q4 2016 covers only 2 months, November and December, due to the scheme going live in November 2016. In addition, it is important to note that the data does not take into account any SME inquiries that remain open, so the data may be revised upwards in future.</w:t>
      </w:r>
    </w:p>
  </w:footnote>
  <w:footnote w:id="3">
    <w:p w14:paraId="61CF7F56" w14:textId="6515D80A" w:rsidR="00E8374C" w:rsidRDefault="00E8374C">
      <w:pPr>
        <w:pStyle w:val="FootnoteText"/>
      </w:pPr>
      <w:r>
        <w:rPr>
          <w:rStyle w:val="FootnoteReference"/>
        </w:rPr>
        <w:footnoteRef/>
      </w:r>
      <w:r>
        <w:t xml:space="preserve"> At their request, the Government de-designated Business Finance Technology in March 2018</w:t>
      </w:r>
      <w:r w:rsidR="001411B1">
        <w:t>.</w:t>
      </w:r>
      <w:r>
        <w:t xml:space="preserve"> </w:t>
      </w:r>
    </w:p>
  </w:footnote>
  <w:footnote w:id="4">
    <w:p w14:paraId="079D63D5" w14:textId="1833FD88" w:rsidR="00E8374C" w:rsidRDefault="00E8374C">
      <w:pPr>
        <w:pStyle w:val="FootnoteText"/>
      </w:pPr>
      <w:r>
        <w:rPr>
          <w:rStyle w:val="FootnoteReference"/>
        </w:rPr>
        <w:footnoteRef/>
      </w:r>
      <w:r>
        <w:t xml:space="preserve"> </w:t>
      </w:r>
      <w:r w:rsidR="00774BE7">
        <w:t>Data is collected on an anonymised basi</w:t>
      </w:r>
      <w:r w:rsidR="00217EC9">
        <w:t xml:space="preserve">s from all current finance platforms. Due to </w:t>
      </w:r>
      <w:r w:rsidR="00612F5B">
        <w:t>recent changes in the way data is collected, it is no longer possible to show a contact conversion rate.</w:t>
      </w:r>
    </w:p>
  </w:footnote>
  <w:footnote w:id="5">
    <w:p w14:paraId="3C0B9ED9" w14:textId="1B20C5BA" w:rsidR="00E8374C" w:rsidRDefault="00E8374C">
      <w:pPr>
        <w:pStyle w:val="FootnoteText"/>
      </w:pPr>
      <w:r>
        <w:rPr>
          <w:rStyle w:val="FootnoteReference"/>
        </w:rPr>
        <w:footnoteRef/>
      </w:r>
      <w:r>
        <w:t xml:space="preserve"> </w:t>
      </w:r>
      <w:bookmarkStart w:id="3" w:name="_Hlk180747852"/>
      <w:r>
        <w:t>S</w:t>
      </w:r>
      <w:r w:rsidRPr="00F66FD5">
        <w:t>ome postcodes cross border</w:t>
      </w:r>
      <w:r>
        <w:t xml:space="preserve">s, which </w:t>
      </w:r>
      <w:r w:rsidRPr="00F66FD5">
        <w:t>could impact results</w:t>
      </w:r>
      <w:r>
        <w:t>.</w:t>
      </w:r>
      <w:r w:rsidR="000D2672">
        <w:t xml:space="preserve"> </w:t>
      </w:r>
      <w:r w:rsidR="009C4450">
        <w:t>Due to an issue during the changeover of reporting methods</w:t>
      </w:r>
      <w:r w:rsidR="00537B44">
        <w:t xml:space="preserve"> in 2022</w:t>
      </w:r>
      <w:r w:rsidR="009C4450">
        <w:t xml:space="preserve">, a large number of referrals were recorded </w:t>
      </w:r>
      <w:r w:rsidR="00537B44">
        <w:t>with the applicable region not assigned. This accounts for the rise in ‘Location not recorded’ figures.</w:t>
      </w:r>
      <w:bookmarkEnd w:id="3"/>
    </w:p>
  </w:footnote>
  <w:footnote w:id="6">
    <w:p w14:paraId="4EF687B4" w14:textId="14956433" w:rsidR="00E8374C" w:rsidRDefault="00E8374C" w:rsidP="00DA6399">
      <w:pPr>
        <w:pStyle w:val="FootnoteText"/>
      </w:pPr>
      <w:r>
        <w:rPr>
          <w:rStyle w:val="FootnoteReference"/>
        </w:rPr>
        <w:footnoteRef/>
      </w:r>
      <w:r>
        <w:t xml:space="preserve"> </w:t>
      </w:r>
      <w:r w:rsidR="00537B44" w:rsidRPr="00537B44">
        <w:t>Some postcodes cross borders, which could impact results. Due to an issue during the changeover of reporting methods in 2022, a large number of referrals were recorded with the applicable region not assigned. This accounts for the rise in ‘Location not recorded’ figures.</w:t>
      </w:r>
    </w:p>
  </w:footnote>
  <w:footnote w:id="7">
    <w:p w14:paraId="1B59B7C6" w14:textId="58E00296" w:rsidR="00E8374C" w:rsidRDefault="00E8374C" w:rsidP="00F15B28">
      <w:pPr>
        <w:pStyle w:val="FootnoteText"/>
      </w:pPr>
      <w:r>
        <w:rPr>
          <w:rStyle w:val="FootnoteReference"/>
        </w:rPr>
        <w:footnoteRef/>
      </w:r>
      <w:r>
        <w:t xml:space="preserve"> </w:t>
      </w:r>
      <w:r w:rsidR="006403E2" w:rsidRPr="006403E2">
        <w:t>Some postcodes cross borders, which could impact results. Due to an issue during the changeover of reporting methods in 2022, a large number of referrals were recorded with the applicable region not assigned. This accounts for the rise in ‘Location not recorded’ figures.</w:t>
      </w:r>
    </w:p>
  </w:footnote>
  <w:footnote w:id="8">
    <w:p w14:paraId="09FB1C26" w14:textId="3FD5A047" w:rsidR="00E8374C" w:rsidRDefault="00E8374C" w:rsidP="00F15B28">
      <w:pPr>
        <w:pStyle w:val="FootnoteText"/>
      </w:pPr>
      <w:r>
        <w:rPr>
          <w:rStyle w:val="FootnoteReference"/>
        </w:rPr>
        <w:footnoteRef/>
      </w:r>
      <w:r>
        <w:t xml:space="preserve"> </w:t>
      </w:r>
      <w:r w:rsidR="006403E2" w:rsidRPr="006403E2">
        <w:t>Some postcodes cross borders, which could impact results. Due to an issue during the changeover of reporting methods in 2022, a large number of referrals were recorded with the applicable region not assigned. This accounts for the rise in ‘Location not recorded’ figures.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9C73" w14:textId="77777777" w:rsidR="005752E3" w:rsidRDefault="00575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EC776" w14:textId="77777777" w:rsidR="00E8374C" w:rsidRPr="00527BB9" w:rsidRDefault="00E8374C" w:rsidP="00C94AD6">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9E95C" w14:textId="77777777" w:rsidR="00E8374C" w:rsidRDefault="00E837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EC1B" w14:textId="77777777" w:rsidR="00E8374C" w:rsidRPr="00584183" w:rsidRDefault="00E8374C" w:rsidP="005841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BF6A" w14:textId="77777777" w:rsidR="00E8374C" w:rsidRDefault="00E83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56F"/>
    <w:multiLevelType w:val="hybridMultilevel"/>
    <w:tmpl w:val="ADDC76F0"/>
    <w:lvl w:ilvl="0" w:tplc="FDB46B6E">
      <w:start w:val="1"/>
      <w:numFmt w:val="bullet"/>
      <w:lvlText w:val=""/>
      <w:lvlJc w:val="left"/>
      <w:pPr>
        <w:ind w:left="360" w:hanging="360"/>
      </w:pPr>
      <w:rPr>
        <w:rFonts w:ascii="Symbol" w:hAnsi="Symbol" w:hint="default"/>
        <w:color w:val="C00000"/>
      </w:rPr>
    </w:lvl>
    <w:lvl w:ilvl="1" w:tplc="DDE2E10C" w:tentative="1">
      <w:start w:val="1"/>
      <w:numFmt w:val="bullet"/>
      <w:lvlText w:val="o"/>
      <w:lvlJc w:val="left"/>
      <w:pPr>
        <w:ind w:left="1080" w:hanging="360"/>
      </w:pPr>
      <w:rPr>
        <w:rFonts w:ascii="Courier New" w:hAnsi="Courier New" w:cs="Courier New" w:hint="default"/>
      </w:rPr>
    </w:lvl>
    <w:lvl w:ilvl="2" w:tplc="2D8CA5F6" w:tentative="1">
      <w:start w:val="1"/>
      <w:numFmt w:val="bullet"/>
      <w:lvlText w:val=""/>
      <w:lvlJc w:val="left"/>
      <w:pPr>
        <w:ind w:left="1800" w:hanging="360"/>
      </w:pPr>
      <w:rPr>
        <w:rFonts w:ascii="Wingdings" w:hAnsi="Wingdings" w:hint="default"/>
      </w:rPr>
    </w:lvl>
    <w:lvl w:ilvl="3" w:tplc="4FE68314" w:tentative="1">
      <w:start w:val="1"/>
      <w:numFmt w:val="bullet"/>
      <w:lvlText w:val=""/>
      <w:lvlJc w:val="left"/>
      <w:pPr>
        <w:ind w:left="2520" w:hanging="360"/>
      </w:pPr>
      <w:rPr>
        <w:rFonts w:ascii="Symbol" w:hAnsi="Symbol" w:hint="default"/>
      </w:rPr>
    </w:lvl>
    <w:lvl w:ilvl="4" w:tplc="3DCE6A18" w:tentative="1">
      <w:start w:val="1"/>
      <w:numFmt w:val="bullet"/>
      <w:lvlText w:val="o"/>
      <w:lvlJc w:val="left"/>
      <w:pPr>
        <w:ind w:left="3240" w:hanging="360"/>
      </w:pPr>
      <w:rPr>
        <w:rFonts w:ascii="Courier New" w:hAnsi="Courier New" w:cs="Courier New" w:hint="default"/>
      </w:rPr>
    </w:lvl>
    <w:lvl w:ilvl="5" w:tplc="A0CA0DAA" w:tentative="1">
      <w:start w:val="1"/>
      <w:numFmt w:val="bullet"/>
      <w:lvlText w:val=""/>
      <w:lvlJc w:val="left"/>
      <w:pPr>
        <w:ind w:left="3960" w:hanging="360"/>
      </w:pPr>
      <w:rPr>
        <w:rFonts w:ascii="Wingdings" w:hAnsi="Wingdings" w:hint="default"/>
      </w:rPr>
    </w:lvl>
    <w:lvl w:ilvl="6" w:tplc="861A2C02" w:tentative="1">
      <w:start w:val="1"/>
      <w:numFmt w:val="bullet"/>
      <w:lvlText w:val=""/>
      <w:lvlJc w:val="left"/>
      <w:pPr>
        <w:ind w:left="4680" w:hanging="360"/>
      </w:pPr>
      <w:rPr>
        <w:rFonts w:ascii="Symbol" w:hAnsi="Symbol" w:hint="default"/>
      </w:rPr>
    </w:lvl>
    <w:lvl w:ilvl="7" w:tplc="9B6607C8" w:tentative="1">
      <w:start w:val="1"/>
      <w:numFmt w:val="bullet"/>
      <w:lvlText w:val="o"/>
      <w:lvlJc w:val="left"/>
      <w:pPr>
        <w:ind w:left="5400" w:hanging="360"/>
      </w:pPr>
      <w:rPr>
        <w:rFonts w:ascii="Courier New" w:hAnsi="Courier New" w:cs="Courier New" w:hint="default"/>
      </w:rPr>
    </w:lvl>
    <w:lvl w:ilvl="8" w:tplc="DE527A30" w:tentative="1">
      <w:start w:val="1"/>
      <w:numFmt w:val="bullet"/>
      <w:lvlText w:val=""/>
      <w:lvlJc w:val="left"/>
      <w:pPr>
        <w:ind w:left="6120" w:hanging="360"/>
      </w:pPr>
      <w:rPr>
        <w:rFonts w:ascii="Wingdings" w:hAnsi="Wingdings" w:hint="default"/>
      </w:rPr>
    </w:lvl>
  </w:abstractNum>
  <w:abstractNum w:abstractNumId="1" w15:restartNumberingAfterBreak="0">
    <w:nsid w:val="1C872027"/>
    <w:multiLevelType w:val="hybridMultilevel"/>
    <w:tmpl w:val="6522300A"/>
    <w:lvl w:ilvl="0" w:tplc="72C0C9C2">
      <w:start w:val="1"/>
      <w:numFmt w:val="bullet"/>
      <w:lvlText w:val=""/>
      <w:lvlJc w:val="left"/>
      <w:pPr>
        <w:ind w:left="360" w:hanging="360"/>
      </w:pPr>
      <w:rPr>
        <w:rFonts w:ascii="Symbol" w:hAnsi="Symbol" w:hint="default"/>
      </w:rPr>
    </w:lvl>
    <w:lvl w:ilvl="1" w:tplc="A534642E">
      <w:start w:val="1"/>
      <w:numFmt w:val="bullet"/>
      <w:lvlText w:val="o"/>
      <w:lvlJc w:val="left"/>
      <w:pPr>
        <w:ind w:left="1080" w:hanging="360"/>
      </w:pPr>
      <w:rPr>
        <w:rFonts w:ascii="Courier New" w:hAnsi="Courier New" w:cs="Courier New" w:hint="default"/>
      </w:rPr>
    </w:lvl>
    <w:lvl w:ilvl="2" w:tplc="D10E7FB6" w:tentative="1">
      <w:start w:val="1"/>
      <w:numFmt w:val="bullet"/>
      <w:lvlText w:val=""/>
      <w:lvlJc w:val="left"/>
      <w:pPr>
        <w:ind w:left="1800" w:hanging="360"/>
      </w:pPr>
      <w:rPr>
        <w:rFonts w:ascii="Wingdings" w:hAnsi="Wingdings" w:hint="default"/>
      </w:rPr>
    </w:lvl>
    <w:lvl w:ilvl="3" w:tplc="0EAAFBCE" w:tentative="1">
      <w:start w:val="1"/>
      <w:numFmt w:val="bullet"/>
      <w:lvlText w:val=""/>
      <w:lvlJc w:val="left"/>
      <w:pPr>
        <w:ind w:left="2520" w:hanging="360"/>
      </w:pPr>
      <w:rPr>
        <w:rFonts w:ascii="Symbol" w:hAnsi="Symbol" w:hint="default"/>
      </w:rPr>
    </w:lvl>
    <w:lvl w:ilvl="4" w:tplc="BCD82ED8" w:tentative="1">
      <w:start w:val="1"/>
      <w:numFmt w:val="bullet"/>
      <w:lvlText w:val="o"/>
      <w:lvlJc w:val="left"/>
      <w:pPr>
        <w:ind w:left="3240" w:hanging="360"/>
      </w:pPr>
      <w:rPr>
        <w:rFonts w:ascii="Courier New" w:hAnsi="Courier New" w:cs="Courier New" w:hint="default"/>
      </w:rPr>
    </w:lvl>
    <w:lvl w:ilvl="5" w:tplc="78827600" w:tentative="1">
      <w:start w:val="1"/>
      <w:numFmt w:val="bullet"/>
      <w:lvlText w:val=""/>
      <w:lvlJc w:val="left"/>
      <w:pPr>
        <w:ind w:left="3960" w:hanging="360"/>
      </w:pPr>
      <w:rPr>
        <w:rFonts w:ascii="Wingdings" w:hAnsi="Wingdings" w:hint="default"/>
      </w:rPr>
    </w:lvl>
    <w:lvl w:ilvl="6" w:tplc="6AD27708" w:tentative="1">
      <w:start w:val="1"/>
      <w:numFmt w:val="bullet"/>
      <w:lvlText w:val=""/>
      <w:lvlJc w:val="left"/>
      <w:pPr>
        <w:ind w:left="4680" w:hanging="360"/>
      </w:pPr>
      <w:rPr>
        <w:rFonts w:ascii="Symbol" w:hAnsi="Symbol" w:hint="default"/>
      </w:rPr>
    </w:lvl>
    <w:lvl w:ilvl="7" w:tplc="D21635B2" w:tentative="1">
      <w:start w:val="1"/>
      <w:numFmt w:val="bullet"/>
      <w:lvlText w:val="o"/>
      <w:lvlJc w:val="left"/>
      <w:pPr>
        <w:ind w:left="5400" w:hanging="360"/>
      </w:pPr>
      <w:rPr>
        <w:rFonts w:ascii="Courier New" w:hAnsi="Courier New" w:cs="Courier New" w:hint="default"/>
      </w:rPr>
    </w:lvl>
    <w:lvl w:ilvl="8" w:tplc="7F323942" w:tentative="1">
      <w:start w:val="1"/>
      <w:numFmt w:val="bullet"/>
      <w:lvlText w:val=""/>
      <w:lvlJc w:val="left"/>
      <w:pPr>
        <w:ind w:left="6120" w:hanging="360"/>
      </w:pPr>
      <w:rPr>
        <w:rFonts w:ascii="Wingdings" w:hAnsi="Wingdings" w:hint="default"/>
      </w:rPr>
    </w:lvl>
  </w:abstractNum>
  <w:abstractNum w:abstractNumId="2" w15:restartNumberingAfterBreak="0">
    <w:nsid w:val="341F4719"/>
    <w:multiLevelType w:val="hybridMultilevel"/>
    <w:tmpl w:val="85BC161C"/>
    <w:lvl w:ilvl="0" w:tplc="969A1AF6">
      <w:start w:val="1"/>
      <w:numFmt w:val="bullet"/>
      <w:lvlText w:val=""/>
      <w:lvlJc w:val="left"/>
      <w:pPr>
        <w:ind w:left="360" w:hanging="360"/>
      </w:pPr>
      <w:rPr>
        <w:rFonts w:ascii="Symbol" w:hAnsi="Symbol" w:hint="default"/>
      </w:rPr>
    </w:lvl>
    <w:lvl w:ilvl="1" w:tplc="C240CE26" w:tentative="1">
      <w:start w:val="1"/>
      <w:numFmt w:val="bullet"/>
      <w:lvlText w:val="o"/>
      <w:lvlJc w:val="left"/>
      <w:pPr>
        <w:ind w:left="1080" w:hanging="360"/>
      </w:pPr>
      <w:rPr>
        <w:rFonts w:ascii="Courier New" w:hAnsi="Courier New" w:cs="Courier New" w:hint="default"/>
      </w:rPr>
    </w:lvl>
    <w:lvl w:ilvl="2" w:tplc="2E0E5330" w:tentative="1">
      <w:start w:val="1"/>
      <w:numFmt w:val="bullet"/>
      <w:lvlText w:val=""/>
      <w:lvlJc w:val="left"/>
      <w:pPr>
        <w:ind w:left="1800" w:hanging="360"/>
      </w:pPr>
      <w:rPr>
        <w:rFonts w:ascii="Wingdings" w:hAnsi="Wingdings" w:hint="default"/>
      </w:rPr>
    </w:lvl>
    <w:lvl w:ilvl="3" w:tplc="E0A6E3FC" w:tentative="1">
      <w:start w:val="1"/>
      <w:numFmt w:val="bullet"/>
      <w:lvlText w:val=""/>
      <w:lvlJc w:val="left"/>
      <w:pPr>
        <w:ind w:left="2520" w:hanging="360"/>
      </w:pPr>
      <w:rPr>
        <w:rFonts w:ascii="Symbol" w:hAnsi="Symbol" w:hint="default"/>
      </w:rPr>
    </w:lvl>
    <w:lvl w:ilvl="4" w:tplc="E8780830" w:tentative="1">
      <w:start w:val="1"/>
      <w:numFmt w:val="bullet"/>
      <w:lvlText w:val="o"/>
      <w:lvlJc w:val="left"/>
      <w:pPr>
        <w:ind w:left="3240" w:hanging="360"/>
      </w:pPr>
      <w:rPr>
        <w:rFonts w:ascii="Courier New" w:hAnsi="Courier New" w:cs="Courier New" w:hint="default"/>
      </w:rPr>
    </w:lvl>
    <w:lvl w:ilvl="5" w:tplc="54B88BB2" w:tentative="1">
      <w:start w:val="1"/>
      <w:numFmt w:val="bullet"/>
      <w:lvlText w:val=""/>
      <w:lvlJc w:val="left"/>
      <w:pPr>
        <w:ind w:left="3960" w:hanging="360"/>
      </w:pPr>
      <w:rPr>
        <w:rFonts w:ascii="Wingdings" w:hAnsi="Wingdings" w:hint="default"/>
      </w:rPr>
    </w:lvl>
    <w:lvl w:ilvl="6" w:tplc="B7666308" w:tentative="1">
      <w:start w:val="1"/>
      <w:numFmt w:val="bullet"/>
      <w:lvlText w:val=""/>
      <w:lvlJc w:val="left"/>
      <w:pPr>
        <w:ind w:left="4680" w:hanging="360"/>
      </w:pPr>
      <w:rPr>
        <w:rFonts w:ascii="Symbol" w:hAnsi="Symbol" w:hint="default"/>
      </w:rPr>
    </w:lvl>
    <w:lvl w:ilvl="7" w:tplc="8F7C2A36" w:tentative="1">
      <w:start w:val="1"/>
      <w:numFmt w:val="bullet"/>
      <w:lvlText w:val="o"/>
      <w:lvlJc w:val="left"/>
      <w:pPr>
        <w:ind w:left="5400" w:hanging="360"/>
      </w:pPr>
      <w:rPr>
        <w:rFonts w:ascii="Courier New" w:hAnsi="Courier New" w:cs="Courier New" w:hint="default"/>
      </w:rPr>
    </w:lvl>
    <w:lvl w:ilvl="8" w:tplc="E0E8B5FE" w:tentative="1">
      <w:start w:val="1"/>
      <w:numFmt w:val="bullet"/>
      <w:lvlText w:val=""/>
      <w:lvlJc w:val="left"/>
      <w:pPr>
        <w:ind w:left="6120" w:hanging="360"/>
      </w:pPr>
      <w:rPr>
        <w:rFonts w:ascii="Wingdings" w:hAnsi="Wingdings" w:hint="default"/>
      </w:rPr>
    </w:lvl>
  </w:abstractNum>
  <w:abstractNum w:abstractNumId="3" w15:restartNumberingAfterBreak="0">
    <w:nsid w:val="36C60E8F"/>
    <w:multiLevelType w:val="hybridMultilevel"/>
    <w:tmpl w:val="F14C7C92"/>
    <w:lvl w:ilvl="0" w:tplc="35903208">
      <w:start w:val="1"/>
      <w:numFmt w:val="bullet"/>
      <w:lvlText w:val=""/>
      <w:lvlJc w:val="left"/>
      <w:pPr>
        <w:ind w:left="360" w:hanging="360"/>
      </w:pPr>
      <w:rPr>
        <w:rFonts w:ascii="Symbol" w:hAnsi="Symbol" w:hint="default"/>
      </w:rPr>
    </w:lvl>
    <w:lvl w:ilvl="1" w:tplc="EB1ACA0A">
      <w:start w:val="1"/>
      <w:numFmt w:val="bullet"/>
      <w:lvlText w:val="o"/>
      <w:lvlJc w:val="left"/>
      <w:pPr>
        <w:ind w:left="1080" w:hanging="360"/>
      </w:pPr>
      <w:rPr>
        <w:rFonts w:ascii="Courier New" w:hAnsi="Courier New" w:cs="Courier New" w:hint="default"/>
      </w:rPr>
    </w:lvl>
    <w:lvl w:ilvl="2" w:tplc="6E24FDE0">
      <w:start w:val="1"/>
      <w:numFmt w:val="bullet"/>
      <w:lvlText w:val=""/>
      <w:lvlJc w:val="left"/>
      <w:pPr>
        <w:ind w:left="1800" w:hanging="360"/>
      </w:pPr>
      <w:rPr>
        <w:rFonts w:ascii="Wingdings" w:hAnsi="Wingdings" w:hint="default"/>
      </w:rPr>
    </w:lvl>
    <w:lvl w:ilvl="3" w:tplc="42F62DAC">
      <w:start w:val="1"/>
      <w:numFmt w:val="bullet"/>
      <w:lvlText w:val=""/>
      <w:lvlJc w:val="left"/>
      <w:pPr>
        <w:ind w:left="2520" w:hanging="360"/>
      </w:pPr>
      <w:rPr>
        <w:rFonts w:ascii="Symbol" w:hAnsi="Symbol" w:hint="default"/>
      </w:rPr>
    </w:lvl>
    <w:lvl w:ilvl="4" w:tplc="7A2425C8" w:tentative="1">
      <w:start w:val="1"/>
      <w:numFmt w:val="bullet"/>
      <w:lvlText w:val="o"/>
      <w:lvlJc w:val="left"/>
      <w:pPr>
        <w:ind w:left="3240" w:hanging="360"/>
      </w:pPr>
      <w:rPr>
        <w:rFonts w:ascii="Courier New" w:hAnsi="Courier New" w:cs="Courier New" w:hint="default"/>
      </w:rPr>
    </w:lvl>
    <w:lvl w:ilvl="5" w:tplc="C89A470A" w:tentative="1">
      <w:start w:val="1"/>
      <w:numFmt w:val="bullet"/>
      <w:lvlText w:val=""/>
      <w:lvlJc w:val="left"/>
      <w:pPr>
        <w:ind w:left="3960" w:hanging="360"/>
      </w:pPr>
      <w:rPr>
        <w:rFonts w:ascii="Wingdings" w:hAnsi="Wingdings" w:hint="default"/>
      </w:rPr>
    </w:lvl>
    <w:lvl w:ilvl="6" w:tplc="D2FE0FAC" w:tentative="1">
      <w:start w:val="1"/>
      <w:numFmt w:val="bullet"/>
      <w:lvlText w:val=""/>
      <w:lvlJc w:val="left"/>
      <w:pPr>
        <w:ind w:left="4680" w:hanging="360"/>
      </w:pPr>
      <w:rPr>
        <w:rFonts w:ascii="Symbol" w:hAnsi="Symbol" w:hint="default"/>
      </w:rPr>
    </w:lvl>
    <w:lvl w:ilvl="7" w:tplc="8BEEC7B2" w:tentative="1">
      <w:start w:val="1"/>
      <w:numFmt w:val="bullet"/>
      <w:lvlText w:val="o"/>
      <w:lvlJc w:val="left"/>
      <w:pPr>
        <w:ind w:left="5400" w:hanging="360"/>
      </w:pPr>
      <w:rPr>
        <w:rFonts w:ascii="Courier New" w:hAnsi="Courier New" w:cs="Courier New" w:hint="default"/>
      </w:rPr>
    </w:lvl>
    <w:lvl w:ilvl="8" w:tplc="B2CE24DA" w:tentative="1">
      <w:start w:val="1"/>
      <w:numFmt w:val="bullet"/>
      <w:lvlText w:val=""/>
      <w:lvlJc w:val="left"/>
      <w:pPr>
        <w:ind w:left="6120" w:hanging="360"/>
      </w:pPr>
      <w:rPr>
        <w:rFonts w:ascii="Wingdings" w:hAnsi="Wingdings" w:hint="default"/>
      </w:rPr>
    </w:lvl>
  </w:abstractNum>
  <w:abstractNum w:abstractNumId="4" w15:restartNumberingAfterBreak="0">
    <w:nsid w:val="43346CCC"/>
    <w:multiLevelType w:val="hybridMultilevel"/>
    <w:tmpl w:val="DE924C36"/>
    <w:lvl w:ilvl="0" w:tplc="15DCFD32">
      <w:numFmt w:val="bullet"/>
      <w:lvlText w:val="-"/>
      <w:lvlJc w:val="left"/>
      <w:pPr>
        <w:ind w:left="720" w:hanging="360"/>
      </w:pPr>
      <w:rPr>
        <w:rFonts w:ascii="Humnst777 Lt BT" w:eastAsia="Times New Roman" w:hAnsi="Humnst777 Lt BT" w:cs="Times New Roman" w:hint="default"/>
      </w:rPr>
    </w:lvl>
    <w:lvl w:ilvl="1" w:tplc="141E23B8" w:tentative="1">
      <w:start w:val="1"/>
      <w:numFmt w:val="bullet"/>
      <w:lvlText w:val="o"/>
      <w:lvlJc w:val="left"/>
      <w:pPr>
        <w:ind w:left="1440" w:hanging="360"/>
      </w:pPr>
      <w:rPr>
        <w:rFonts w:ascii="Courier New" w:hAnsi="Courier New" w:cs="Courier New" w:hint="default"/>
      </w:rPr>
    </w:lvl>
    <w:lvl w:ilvl="2" w:tplc="C9985F6C" w:tentative="1">
      <w:start w:val="1"/>
      <w:numFmt w:val="bullet"/>
      <w:lvlText w:val=""/>
      <w:lvlJc w:val="left"/>
      <w:pPr>
        <w:ind w:left="2160" w:hanging="360"/>
      </w:pPr>
      <w:rPr>
        <w:rFonts w:ascii="Wingdings" w:hAnsi="Wingdings" w:hint="default"/>
      </w:rPr>
    </w:lvl>
    <w:lvl w:ilvl="3" w:tplc="434AD45C" w:tentative="1">
      <w:start w:val="1"/>
      <w:numFmt w:val="bullet"/>
      <w:lvlText w:val=""/>
      <w:lvlJc w:val="left"/>
      <w:pPr>
        <w:ind w:left="2880" w:hanging="360"/>
      </w:pPr>
      <w:rPr>
        <w:rFonts w:ascii="Symbol" w:hAnsi="Symbol" w:hint="default"/>
      </w:rPr>
    </w:lvl>
    <w:lvl w:ilvl="4" w:tplc="45A8D4F4" w:tentative="1">
      <w:start w:val="1"/>
      <w:numFmt w:val="bullet"/>
      <w:lvlText w:val="o"/>
      <w:lvlJc w:val="left"/>
      <w:pPr>
        <w:ind w:left="3600" w:hanging="360"/>
      </w:pPr>
      <w:rPr>
        <w:rFonts w:ascii="Courier New" w:hAnsi="Courier New" w:cs="Courier New" w:hint="default"/>
      </w:rPr>
    </w:lvl>
    <w:lvl w:ilvl="5" w:tplc="182E14DA" w:tentative="1">
      <w:start w:val="1"/>
      <w:numFmt w:val="bullet"/>
      <w:lvlText w:val=""/>
      <w:lvlJc w:val="left"/>
      <w:pPr>
        <w:ind w:left="4320" w:hanging="360"/>
      </w:pPr>
      <w:rPr>
        <w:rFonts w:ascii="Wingdings" w:hAnsi="Wingdings" w:hint="default"/>
      </w:rPr>
    </w:lvl>
    <w:lvl w:ilvl="6" w:tplc="6D26D9BE" w:tentative="1">
      <w:start w:val="1"/>
      <w:numFmt w:val="bullet"/>
      <w:lvlText w:val=""/>
      <w:lvlJc w:val="left"/>
      <w:pPr>
        <w:ind w:left="5040" w:hanging="360"/>
      </w:pPr>
      <w:rPr>
        <w:rFonts w:ascii="Symbol" w:hAnsi="Symbol" w:hint="default"/>
      </w:rPr>
    </w:lvl>
    <w:lvl w:ilvl="7" w:tplc="E4D2C70A" w:tentative="1">
      <w:start w:val="1"/>
      <w:numFmt w:val="bullet"/>
      <w:lvlText w:val="o"/>
      <w:lvlJc w:val="left"/>
      <w:pPr>
        <w:ind w:left="5760" w:hanging="360"/>
      </w:pPr>
      <w:rPr>
        <w:rFonts w:ascii="Courier New" w:hAnsi="Courier New" w:cs="Courier New" w:hint="default"/>
      </w:rPr>
    </w:lvl>
    <w:lvl w:ilvl="8" w:tplc="3E128E48" w:tentative="1">
      <w:start w:val="1"/>
      <w:numFmt w:val="bullet"/>
      <w:lvlText w:val=""/>
      <w:lvlJc w:val="left"/>
      <w:pPr>
        <w:ind w:left="6480" w:hanging="360"/>
      </w:pPr>
      <w:rPr>
        <w:rFonts w:ascii="Wingdings" w:hAnsi="Wingdings" w:hint="default"/>
      </w:rPr>
    </w:lvl>
  </w:abstractNum>
  <w:abstractNum w:abstractNumId="5" w15:restartNumberingAfterBreak="0">
    <w:nsid w:val="434F68C6"/>
    <w:multiLevelType w:val="hybridMultilevel"/>
    <w:tmpl w:val="969E965A"/>
    <w:lvl w:ilvl="0" w:tplc="9CDC2C0C">
      <w:start w:val="1"/>
      <w:numFmt w:val="bullet"/>
      <w:lvlText w:val=""/>
      <w:lvlJc w:val="left"/>
      <w:pPr>
        <w:ind w:left="720" w:hanging="360"/>
      </w:pPr>
      <w:rPr>
        <w:rFonts w:ascii="Symbol" w:hAnsi="Symbol" w:hint="default"/>
      </w:rPr>
    </w:lvl>
    <w:lvl w:ilvl="1" w:tplc="4530A27E">
      <w:start w:val="1"/>
      <w:numFmt w:val="bullet"/>
      <w:lvlText w:val="o"/>
      <w:lvlJc w:val="left"/>
      <w:pPr>
        <w:ind w:left="1440" w:hanging="360"/>
      </w:pPr>
      <w:rPr>
        <w:rFonts w:ascii="Courier New" w:hAnsi="Courier New" w:cs="Courier New" w:hint="default"/>
      </w:rPr>
    </w:lvl>
    <w:lvl w:ilvl="2" w:tplc="6D4438BE" w:tentative="1">
      <w:start w:val="1"/>
      <w:numFmt w:val="bullet"/>
      <w:lvlText w:val=""/>
      <w:lvlJc w:val="left"/>
      <w:pPr>
        <w:ind w:left="2160" w:hanging="360"/>
      </w:pPr>
      <w:rPr>
        <w:rFonts w:ascii="Wingdings" w:hAnsi="Wingdings" w:hint="default"/>
      </w:rPr>
    </w:lvl>
    <w:lvl w:ilvl="3" w:tplc="5A82AAEA">
      <w:start w:val="1"/>
      <w:numFmt w:val="bullet"/>
      <w:lvlText w:val=""/>
      <w:lvlJc w:val="left"/>
      <w:pPr>
        <w:ind w:left="2880" w:hanging="360"/>
      </w:pPr>
      <w:rPr>
        <w:rFonts w:ascii="Symbol" w:hAnsi="Symbol" w:hint="default"/>
      </w:rPr>
    </w:lvl>
    <w:lvl w:ilvl="4" w:tplc="6F187056" w:tentative="1">
      <w:start w:val="1"/>
      <w:numFmt w:val="bullet"/>
      <w:lvlText w:val="o"/>
      <w:lvlJc w:val="left"/>
      <w:pPr>
        <w:ind w:left="3600" w:hanging="360"/>
      </w:pPr>
      <w:rPr>
        <w:rFonts w:ascii="Courier New" w:hAnsi="Courier New" w:cs="Courier New" w:hint="default"/>
      </w:rPr>
    </w:lvl>
    <w:lvl w:ilvl="5" w:tplc="2F460534" w:tentative="1">
      <w:start w:val="1"/>
      <w:numFmt w:val="bullet"/>
      <w:lvlText w:val=""/>
      <w:lvlJc w:val="left"/>
      <w:pPr>
        <w:ind w:left="4320" w:hanging="360"/>
      </w:pPr>
      <w:rPr>
        <w:rFonts w:ascii="Wingdings" w:hAnsi="Wingdings" w:hint="default"/>
      </w:rPr>
    </w:lvl>
    <w:lvl w:ilvl="6" w:tplc="F9A83ACC" w:tentative="1">
      <w:start w:val="1"/>
      <w:numFmt w:val="bullet"/>
      <w:lvlText w:val=""/>
      <w:lvlJc w:val="left"/>
      <w:pPr>
        <w:ind w:left="5040" w:hanging="360"/>
      </w:pPr>
      <w:rPr>
        <w:rFonts w:ascii="Symbol" w:hAnsi="Symbol" w:hint="default"/>
      </w:rPr>
    </w:lvl>
    <w:lvl w:ilvl="7" w:tplc="0B52924E" w:tentative="1">
      <w:start w:val="1"/>
      <w:numFmt w:val="bullet"/>
      <w:lvlText w:val="o"/>
      <w:lvlJc w:val="left"/>
      <w:pPr>
        <w:ind w:left="5760" w:hanging="360"/>
      </w:pPr>
      <w:rPr>
        <w:rFonts w:ascii="Courier New" w:hAnsi="Courier New" w:cs="Courier New" w:hint="default"/>
      </w:rPr>
    </w:lvl>
    <w:lvl w:ilvl="8" w:tplc="427C020C" w:tentative="1">
      <w:start w:val="1"/>
      <w:numFmt w:val="bullet"/>
      <w:lvlText w:val=""/>
      <w:lvlJc w:val="left"/>
      <w:pPr>
        <w:ind w:left="6480" w:hanging="360"/>
      </w:pPr>
      <w:rPr>
        <w:rFonts w:ascii="Wingdings" w:hAnsi="Wingdings" w:hint="default"/>
      </w:rPr>
    </w:lvl>
  </w:abstractNum>
  <w:abstractNum w:abstractNumId="6" w15:restartNumberingAfterBreak="0">
    <w:nsid w:val="4DB60382"/>
    <w:multiLevelType w:val="multilevel"/>
    <w:tmpl w:val="BCF6D9BA"/>
    <w:lvl w:ilvl="0">
      <w:start w:val="1"/>
      <w:numFmt w:val="decimal"/>
      <w:lvlText w:val="%1"/>
      <w:lvlJc w:val="left"/>
      <w:pPr>
        <w:tabs>
          <w:tab w:val="num" w:pos="1020"/>
        </w:tabs>
        <w:ind w:left="1020" w:hanging="453"/>
      </w:pPr>
      <w:rPr>
        <w:rFonts w:ascii="Humnst777 Lt BT" w:hAnsi="Humnst777 Lt BT" w:hint="default"/>
        <w:b w:val="0"/>
        <w:i w:val="0"/>
        <w:sz w:val="22"/>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155"/>
        </w:tabs>
        <w:ind w:left="2155" w:hanging="1021"/>
      </w:pPr>
      <w:rPr>
        <w:rFonts w:hint="default"/>
      </w:rPr>
    </w:lvl>
    <w:lvl w:ilvl="3">
      <w:start w:val="1"/>
      <w:numFmt w:val="decimal"/>
      <w:lvlText w:val="%1.%2.%3.%4."/>
      <w:lvlJc w:val="left"/>
      <w:pPr>
        <w:tabs>
          <w:tab w:val="num" w:pos="3515"/>
        </w:tabs>
        <w:ind w:left="3515" w:hanging="1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70BB2BB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054392"/>
    <w:multiLevelType w:val="hybridMultilevel"/>
    <w:tmpl w:val="3F866D96"/>
    <w:lvl w:ilvl="0" w:tplc="EBA49F5C">
      <w:start w:val="1"/>
      <w:numFmt w:val="decimal"/>
      <w:lvlText w:val="%1."/>
      <w:lvlJc w:val="left"/>
      <w:pPr>
        <w:ind w:left="720" w:hanging="360"/>
      </w:pPr>
      <w:rPr>
        <w:rFonts w:hint="default"/>
      </w:rPr>
    </w:lvl>
    <w:lvl w:ilvl="1" w:tplc="1E9CB238" w:tentative="1">
      <w:start w:val="1"/>
      <w:numFmt w:val="lowerLetter"/>
      <w:lvlText w:val="%2."/>
      <w:lvlJc w:val="left"/>
      <w:pPr>
        <w:ind w:left="1440" w:hanging="360"/>
      </w:pPr>
    </w:lvl>
    <w:lvl w:ilvl="2" w:tplc="AC4A4518" w:tentative="1">
      <w:start w:val="1"/>
      <w:numFmt w:val="lowerRoman"/>
      <w:lvlText w:val="%3."/>
      <w:lvlJc w:val="right"/>
      <w:pPr>
        <w:ind w:left="2160" w:hanging="180"/>
      </w:pPr>
    </w:lvl>
    <w:lvl w:ilvl="3" w:tplc="2430A4D4" w:tentative="1">
      <w:start w:val="1"/>
      <w:numFmt w:val="decimal"/>
      <w:lvlText w:val="%4."/>
      <w:lvlJc w:val="left"/>
      <w:pPr>
        <w:ind w:left="2880" w:hanging="360"/>
      </w:pPr>
    </w:lvl>
    <w:lvl w:ilvl="4" w:tplc="EEEE9F3A" w:tentative="1">
      <w:start w:val="1"/>
      <w:numFmt w:val="lowerLetter"/>
      <w:lvlText w:val="%5."/>
      <w:lvlJc w:val="left"/>
      <w:pPr>
        <w:ind w:left="3600" w:hanging="360"/>
      </w:pPr>
    </w:lvl>
    <w:lvl w:ilvl="5" w:tplc="ED080868" w:tentative="1">
      <w:start w:val="1"/>
      <w:numFmt w:val="lowerRoman"/>
      <w:lvlText w:val="%6."/>
      <w:lvlJc w:val="right"/>
      <w:pPr>
        <w:ind w:left="4320" w:hanging="180"/>
      </w:pPr>
    </w:lvl>
    <w:lvl w:ilvl="6" w:tplc="DBE43FCA" w:tentative="1">
      <w:start w:val="1"/>
      <w:numFmt w:val="decimal"/>
      <w:lvlText w:val="%7."/>
      <w:lvlJc w:val="left"/>
      <w:pPr>
        <w:ind w:left="5040" w:hanging="360"/>
      </w:pPr>
    </w:lvl>
    <w:lvl w:ilvl="7" w:tplc="8468FA46" w:tentative="1">
      <w:start w:val="1"/>
      <w:numFmt w:val="lowerLetter"/>
      <w:lvlText w:val="%8."/>
      <w:lvlJc w:val="left"/>
      <w:pPr>
        <w:ind w:left="5760" w:hanging="360"/>
      </w:pPr>
    </w:lvl>
    <w:lvl w:ilvl="8" w:tplc="EAA20EC0" w:tentative="1">
      <w:start w:val="1"/>
      <w:numFmt w:val="lowerRoman"/>
      <w:lvlText w:val="%9."/>
      <w:lvlJc w:val="right"/>
      <w:pPr>
        <w:ind w:left="6480" w:hanging="180"/>
      </w:pPr>
    </w:lvl>
  </w:abstractNum>
  <w:abstractNum w:abstractNumId="9" w15:restartNumberingAfterBreak="0">
    <w:nsid w:val="7BFD69BE"/>
    <w:multiLevelType w:val="hybridMultilevel"/>
    <w:tmpl w:val="EE92180C"/>
    <w:lvl w:ilvl="0" w:tplc="74D23890">
      <w:start w:val="1"/>
      <w:numFmt w:val="bullet"/>
      <w:lvlText w:val="o"/>
      <w:lvlJc w:val="left"/>
      <w:pPr>
        <w:ind w:left="720" w:hanging="360"/>
      </w:pPr>
      <w:rPr>
        <w:rFonts w:ascii="Courier New" w:hAnsi="Courier New" w:cs="Courier New" w:hint="default"/>
      </w:rPr>
    </w:lvl>
    <w:lvl w:ilvl="1" w:tplc="37FAC95E" w:tentative="1">
      <w:start w:val="1"/>
      <w:numFmt w:val="bullet"/>
      <w:lvlText w:val="o"/>
      <w:lvlJc w:val="left"/>
      <w:pPr>
        <w:ind w:left="1440" w:hanging="360"/>
      </w:pPr>
      <w:rPr>
        <w:rFonts w:ascii="Courier New" w:hAnsi="Courier New" w:cs="Courier New" w:hint="default"/>
      </w:rPr>
    </w:lvl>
    <w:lvl w:ilvl="2" w:tplc="A6A81736" w:tentative="1">
      <w:start w:val="1"/>
      <w:numFmt w:val="bullet"/>
      <w:lvlText w:val=""/>
      <w:lvlJc w:val="left"/>
      <w:pPr>
        <w:ind w:left="2160" w:hanging="360"/>
      </w:pPr>
      <w:rPr>
        <w:rFonts w:ascii="Wingdings" w:hAnsi="Wingdings" w:hint="default"/>
      </w:rPr>
    </w:lvl>
    <w:lvl w:ilvl="3" w:tplc="CDFA8942" w:tentative="1">
      <w:start w:val="1"/>
      <w:numFmt w:val="bullet"/>
      <w:lvlText w:val=""/>
      <w:lvlJc w:val="left"/>
      <w:pPr>
        <w:ind w:left="2880" w:hanging="360"/>
      </w:pPr>
      <w:rPr>
        <w:rFonts w:ascii="Symbol" w:hAnsi="Symbol" w:hint="default"/>
      </w:rPr>
    </w:lvl>
    <w:lvl w:ilvl="4" w:tplc="0D9C8274" w:tentative="1">
      <w:start w:val="1"/>
      <w:numFmt w:val="bullet"/>
      <w:lvlText w:val="o"/>
      <w:lvlJc w:val="left"/>
      <w:pPr>
        <w:ind w:left="3600" w:hanging="360"/>
      </w:pPr>
      <w:rPr>
        <w:rFonts w:ascii="Courier New" w:hAnsi="Courier New" w:cs="Courier New" w:hint="default"/>
      </w:rPr>
    </w:lvl>
    <w:lvl w:ilvl="5" w:tplc="07885C9C" w:tentative="1">
      <w:start w:val="1"/>
      <w:numFmt w:val="bullet"/>
      <w:lvlText w:val=""/>
      <w:lvlJc w:val="left"/>
      <w:pPr>
        <w:ind w:left="4320" w:hanging="360"/>
      </w:pPr>
      <w:rPr>
        <w:rFonts w:ascii="Wingdings" w:hAnsi="Wingdings" w:hint="default"/>
      </w:rPr>
    </w:lvl>
    <w:lvl w:ilvl="6" w:tplc="65DE67B4" w:tentative="1">
      <w:start w:val="1"/>
      <w:numFmt w:val="bullet"/>
      <w:lvlText w:val=""/>
      <w:lvlJc w:val="left"/>
      <w:pPr>
        <w:ind w:left="5040" w:hanging="360"/>
      </w:pPr>
      <w:rPr>
        <w:rFonts w:ascii="Symbol" w:hAnsi="Symbol" w:hint="default"/>
      </w:rPr>
    </w:lvl>
    <w:lvl w:ilvl="7" w:tplc="C00C040C" w:tentative="1">
      <w:start w:val="1"/>
      <w:numFmt w:val="bullet"/>
      <w:lvlText w:val="o"/>
      <w:lvlJc w:val="left"/>
      <w:pPr>
        <w:ind w:left="5760" w:hanging="360"/>
      </w:pPr>
      <w:rPr>
        <w:rFonts w:ascii="Courier New" w:hAnsi="Courier New" w:cs="Courier New" w:hint="default"/>
      </w:rPr>
    </w:lvl>
    <w:lvl w:ilvl="8" w:tplc="B222782A" w:tentative="1">
      <w:start w:val="1"/>
      <w:numFmt w:val="bullet"/>
      <w:lvlText w:val=""/>
      <w:lvlJc w:val="left"/>
      <w:pPr>
        <w:ind w:left="6480" w:hanging="360"/>
      </w:pPr>
      <w:rPr>
        <w:rFonts w:ascii="Wingdings" w:hAnsi="Wingdings" w:hint="default"/>
      </w:rPr>
    </w:lvl>
  </w:abstractNum>
  <w:abstractNum w:abstractNumId="10" w15:restartNumberingAfterBreak="0">
    <w:nsid w:val="7C615DAF"/>
    <w:multiLevelType w:val="multilevel"/>
    <w:tmpl w:val="709EB79A"/>
    <w:name w:val="ChapNum"/>
    <w:lvl w:ilvl="0">
      <w:start w:val="1"/>
      <w:numFmt w:val="decimal"/>
      <w:pStyle w:val="BodyText2"/>
      <w:suff w:val="nothing"/>
      <w:lvlText w:val="%1"/>
      <w:lvlJc w:val="left"/>
      <w:pPr>
        <w:ind w:left="5580" w:hanging="5580"/>
      </w:pPr>
      <w:rPr>
        <w:rFonts w:hint="default"/>
      </w:r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num w:numId="1" w16cid:durableId="200481985">
    <w:abstractNumId w:val="10"/>
  </w:num>
  <w:num w:numId="2" w16cid:durableId="1577128953">
    <w:abstractNumId w:val="0"/>
  </w:num>
  <w:num w:numId="3" w16cid:durableId="1942450245">
    <w:abstractNumId w:val="10"/>
  </w:num>
  <w:num w:numId="4" w16cid:durableId="1611426855">
    <w:abstractNumId w:val="10"/>
  </w:num>
  <w:num w:numId="5" w16cid:durableId="1776943461">
    <w:abstractNumId w:val="10"/>
  </w:num>
  <w:num w:numId="6" w16cid:durableId="614756534">
    <w:abstractNumId w:val="3"/>
  </w:num>
  <w:num w:numId="7" w16cid:durableId="926690291">
    <w:abstractNumId w:val="5"/>
  </w:num>
  <w:num w:numId="8" w16cid:durableId="1183324116">
    <w:abstractNumId w:val="9"/>
  </w:num>
  <w:num w:numId="9" w16cid:durableId="1558274441">
    <w:abstractNumId w:val="10"/>
  </w:num>
  <w:num w:numId="10" w16cid:durableId="559947467">
    <w:abstractNumId w:val="8"/>
  </w:num>
  <w:num w:numId="11" w16cid:durableId="302542570">
    <w:abstractNumId w:val="10"/>
  </w:num>
  <w:num w:numId="12" w16cid:durableId="1708872410">
    <w:abstractNumId w:val="10"/>
  </w:num>
  <w:num w:numId="13" w16cid:durableId="895699459">
    <w:abstractNumId w:val="10"/>
  </w:num>
  <w:num w:numId="14" w16cid:durableId="631449093">
    <w:abstractNumId w:val="10"/>
  </w:num>
  <w:num w:numId="15" w16cid:durableId="987124963">
    <w:abstractNumId w:val="10"/>
  </w:num>
  <w:num w:numId="16" w16cid:durableId="1345716454">
    <w:abstractNumId w:val="10"/>
  </w:num>
  <w:num w:numId="17" w16cid:durableId="858860622">
    <w:abstractNumId w:val="10"/>
  </w:num>
  <w:num w:numId="18" w16cid:durableId="1657759996">
    <w:abstractNumId w:val="6"/>
  </w:num>
  <w:num w:numId="19" w16cid:durableId="1748306587">
    <w:abstractNumId w:val="10"/>
  </w:num>
  <w:num w:numId="20" w16cid:durableId="323169010">
    <w:abstractNumId w:val="10"/>
  </w:num>
  <w:num w:numId="21" w16cid:durableId="925384675">
    <w:abstractNumId w:val="10"/>
  </w:num>
  <w:num w:numId="22" w16cid:durableId="788746290">
    <w:abstractNumId w:val="10"/>
  </w:num>
  <w:num w:numId="23" w16cid:durableId="1533297600">
    <w:abstractNumId w:val="10"/>
  </w:num>
  <w:num w:numId="24" w16cid:durableId="1744792106">
    <w:abstractNumId w:val="10"/>
  </w:num>
  <w:num w:numId="25" w16cid:durableId="478765328">
    <w:abstractNumId w:val="1"/>
  </w:num>
  <w:num w:numId="26" w16cid:durableId="1752001152">
    <w:abstractNumId w:val="4"/>
  </w:num>
  <w:num w:numId="27" w16cid:durableId="117530870">
    <w:abstractNumId w:val="10"/>
  </w:num>
  <w:num w:numId="28" w16cid:durableId="246310955">
    <w:abstractNumId w:val="10"/>
  </w:num>
  <w:num w:numId="29" w16cid:durableId="123500652">
    <w:abstractNumId w:val="2"/>
  </w:num>
  <w:num w:numId="30" w16cid:durableId="546797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grammar="clean"/>
  <w:doNotTrackMoves/>
  <w:defaultTabStop w:val="720"/>
  <w:characterSpacingControl w:val="doNotCompress"/>
  <w:hdrShapeDefaults>
    <o:shapedefaults v:ext="edit" spidmax="206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2A"/>
    <w:rsid w:val="0000122F"/>
    <w:rsid w:val="00002A43"/>
    <w:rsid w:val="00002D37"/>
    <w:rsid w:val="0000329A"/>
    <w:rsid w:val="00003508"/>
    <w:rsid w:val="00003D63"/>
    <w:rsid w:val="00003DB7"/>
    <w:rsid w:val="00003F2B"/>
    <w:rsid w:val="000042CC"/>
    <w:rsid w:val="000043EF"/>
    <w:rsid w:val="00005A81"/>
    <w:rsid w:val="00006505"/>
    <w:rsid w:val="000069E4"/>
    <w:rsid w:val="00006E60"/>
    <w:rsid w:val="000119B5"/>
    <w:rsid w:val="00012CC9"/>
    <w:rsid w:val="00014460"/>
    <w:rsid w:val="00014464"/>
    <w:rsid w:val="00014A57"/>
    <w:rsid w:val="00015801"/>
    <w:rsid w:val="00015CF8"/>
    <w:rsid w:val="00016C58"/>
    <w:rsid w:val="000177A0"/>
    <w:rsid w:val="00017956"/>
    <w:rsid w:val="00017CD8"/>
    <w:rsid w:val="000210A2"/>
    <w:rsid w:val="000214EA"/>
    <w:rsid w:val="00023833"/>
    <w:rsid w:val="00023D4E"/>
    <w:rsid w:val="00026669"/>
    <w:rsid w:val="0003007A"/>
    <w:rsid w:val="00031697"/>
    <w:rsid w:val="000330B4"/>
    <w:rsid w:val="00034F0B"/>
    <w:rsid w:val="000367AE"/>
    <w:rsid w:val="00037F7C"/>
    <w:rsid w:val="0004047A"/>
    <w:rsid w:val="000416E5"/>
    <w:rsid w:val="0004497D"/>
    <w:rsid w:val="00044D7F"/>
    <w:rsid w:val="00046799"/>
    <w:rsid w:val="0004691D"/>
    <w:rsid w:val="00046BC9"/>
    <w:rsid w:val="0004707E"/>
    <w:rsid w:val="00053B70"/>
    <w:rsid w:val="00053E90"/>
    <w:rsid w:val="0005640E"/>
    <w:rsid w:val="0005762C"/>
    <w:rsid w:val="00060BDB"/>
    <w:rsid w:val="0006125B"/>
    <w:rsid w:val="000612BB"/>
    <w:rsid w:val="00061713"/>
    <w:rsid w:val="00062C95"/>
    <w:rsid w:val="000638D5"/>
    <w:rsid w:val="000656A1"/>
    <w:rsid w:val="00065D3A"/>
    <w:rsid w:val="000665EB"/>
    <w:rsid w:val="00067428"/>
    <w:rsid w:val="000704B9"/>
    <w:rsid w:val="000710E5"/>
    <w:rsid w:val="00072134"/>
    <w:rsid w:val="00072C5D"/>
    <w:rsid w:val="00072EB6"/>
    <w:rsid w:val="00074CAB"/>
    <w:rsid w:val="00075BE9"/>
    <w:rsid w:val="00076EDF"/>
    <w:rsid w:val="0007778D"/>
    <w:rsid w:val="00081143"/>
    <w:rsid w:val="000828DA"/>
    <w:rsid w:val="000853AF"/>
    <w:rsid w:val="000854DE"/>
    <w:rsid w:val="000902F8"/>
    <w:rsid w:val="00094674"/>
    <w:rsid w:val="00095045"/>
    <w:rsid w:val="00096996"/>
    <w:rsid w:val="000A0991"/>
    <w:rsid w:val="000A1A42"/>
    <w:rsid w:val="000A2D32"/>
    <w:rsid w:val="000A37CF"/>
    <w:rsid w:val="000A3AAF"/>
    <w:rsid w:val="000A3BB4"/>
    <w:rsid w:val="000A4B3C"/>
    <w:rsid w:val="000A5310"/>
    <w:rsid w:val="000A6C74"/>
    <w:rsid w:val="000A6D76"/>
    <w:rsid w:val="000B053F"/>
    <w:rsid w:val="000B2189"/>
    <w:rsid w:val="000B26DC"/>
    <w:rsid w:val="000B360D"/>
    <w:rsid w:val="000B3FC4"/>
    <w:rsid w:val="000B43B8"/>
    <w:rsid w:val="000B4E7A"/>
    <w:rsid w:val="000B51C8"/>
    <w:rsid w:val="000B60E0"/>
    <w:rsid w:val="000B6970"/>
    <w:rsid w:val="000B7178"/>
    <w:rsid w:val="000B75E3"/>
    <w:rsid w:val="000C0015"/>
    <w:rsid w:val="000C0736"/>
    <w:rsid w:val="000C0E61"/>
    <w:rsid w:val="000C145C"/>
    <w:rsid w:val="000C3050"/>
    <w:rsid w:val="000C369E"/>
    <w:rsid w:val="000C5DC3"/>
    <w:rsid w:val="000D05B6"/>
    <w:rsid w:val="000D1487"/>
    <w:rsid w:val="000D17AC"/>
    <w:rsid w:val="000D2672"/>
    <w:rsid w:val="000D2824"/>
    <w:rsid w:val="000D3894"/>
    <w:rsid w:val="000D5DE9"/>
    <w:rsid w:val="000D6B58"/>
    <w:rsid w:val="000E0E74"/>
    <w:rsid w:val="000E158E"/>
    <w:rsid w:val="000E2EBC"/>
    <w:rsid w:val="000E6C7F"/>
    <w:rsid w:val="000E6DE7"/>
    <w:rsid w:val="000F116C"/>
    <w:rsid w:val="000F16FD"/>
    <w:rsid w:val="000F1B30"/>
    <w:rsid w:val="000F254A"/>
    <w:rsid w:val="000F34BD"/>
    <w:rsid w:val="000F38DB"/>
    <w:rsid w:val="000F51F1"/>
    <w:rsid w:val="000F7C03"/>
    <w:rsid w:val="000F7CEB"/>
    <w:rsid w:val="001000EA"/>
    <w:rsid w:val="00100CF1"/>
    <w:rsid w:val="001026DF"/>
    <w:rsid w:val="001069BA"/>
    <w:rsid w:val="001070B7"/>
    <w:rsid w:val="00107887"/>
    <w:rsid w:val="001116FB"/>
    <w:rsid w:val="00111DF0"/>
    <w:rsid w:val="001125E3"/>
    <w:rsid w:val="001136A0"/>
    <w:rsid w:val="00113E78"/>
    <w:rsid w:val="001167B1"/>
    <w:rsid w:val="00116B5F"/>
    <w:rsid w:val="00116FEC"/>
    <w:rsid w:val="00120555"/>
    <w:rsid w:val="00121004"/>
    <w:rsid w:val="001218F6"/>
    <w:rsid w:val="001238B4"/>
    <w:rsid w:val="001239CA"/>
    <w:rsid w:val="001261E3"/>
    <w:rsid w:val="00126FA2"/>
    <w:rsid w:val="0012791E"/>
    <w:rsid w:val="00130CAE"/>
    <w:rsid w:val="00131149"/>
    <w:rsid w:val="00131389"/>
    <w:rsid w:val="00131562"/>
    <w:rsid w:val="00131B86"/>
    <w:rsid w:val="00132B00"/>
    <w:rsid w:val="0013363F"/>
    <w:rsid w:val="00133A60"/>
    <w:rsid w:val="00133B56"/>
    <w:rsid w:val="00134CD0"/>
    <w:rsid w:val="00135FE6"/>
    <w:rsid w:val="00136807"/>
    <w:rsid w:val="00137316"/>
    <w:rsid w:val="001409CB"/>
    <w:rsid w:val="00141093"/>
    <w:rsid w:val="001411B1"/>
    <w:rsid w:val="00142AB4"/>
    <w:rsid w:val="001447F2"/>
    <w:rsid w:val="00144F73"/>
    <w:rsid w:val="0014518D"/>
    <w:rsid w:val="00146B94"/>
    <w:rsid w:val="001509E7"/>
    <w:rsid w:val="00153422"/>
    <w:rsid w:val="001565F9"/>
    <w:rsid w:val="001570E7"/>
    <w:rsid w:val="001575E7"/>
    <w:rsid w:val="0016114D"/>
    <w:rsid w:val="00161822"/>
    <w:rsid w:val="00161D76"/>
    <w:rsid w:val="0016293A"/>
    <w:rsid w:val="001642C0"/>
    <w:rsid w:val="00165E59"/>
    <w:rsid w:val="00166A7F"/>
    <w:rsid w:val="00167608"/>
    <w:rsid w:val="001676D7"/>
    <w:rsid w:val="00167989"/>
    <w:rsid w:val="00171727"/>
    <w:rsid w:val="00171743"/>
    <w:rsid w:val="00171EDD"/>
    <w:rsid w:val="001728F6"/>
    <w:rsid w:val="0017376F"/>
    <w:rsid w:val="001745F3"/>
    <w:rsid w:val="001746CA"/>
    <w:rsid w:val="00174CDA"/>
    <w:rsid w:val="00175D32"/>
    <w:rsid w:val="00176361"/>
    <w:rsid w:val="00176573"/>
    <w:rsid w:val="001767AA"/>
    <w:rsid w:val="00176AD8"/>
    <w:rsid w:val="001775A4"/>
    <w:rsid w:val="001779D4"/>
    <w:rsid w:val="0018154B"/>
    <w:rsid w:val="00181931"/>
    <w:rsid w:val="00181FBF"/>
    <w:rsid w:val="0018270F"/>
    <w:rsid w:val="00182DB5"/>
    <w:rsid w:val="00183C06"/>
    <w:rsid w:val="0018437E"/>
    <w:rsid w:val="00184AFA"/>
    <w:rsid w:val="00185DD0"/>
    <w:rsid w:val="00186621"/>
    <w:rsid w:val="001869EF"/>
    <w:rsid w:val="00186E5D"/>
    <w:rsid w:val="001905AE"/>
    <w:rsid w:val="00190C54"/>
    <w:rsid w:val="0019130B"/>
    <w:rsid w:val="0019175D"/>
    <w:rsid w:val="00191A01"/>
    <w:rsid w:val="00191B79"/>
    <w:rsid w:val="00191B8F"/>
    <w:rsid w:val="00193212"/>
    <w:rsid w:val="00193CD1"/>
    <w:rsid w:val="00193E9E"/>
    <w:rsid w:val="00194812"/>
    <w:rsid w:val="00194C97"/>
    <w:rsid w:val="00195549"/>
    <w:rsid w:val="0019564B"/>
    <w:rsid w:val="00195B8D"/>
    <w:rsid w:val="00196891"/>
    <w:rsid w:val="00197209"/>
    <w:rsid w:val="00197E52"/>
    <w:rsid w:val="001A0826"/>
    <w:rsid w:val="001A1860"/>
    <w:rsid w:val="001A2E90"/>
    <w:rsid w:val="001A377A"/>
    <w:rsid w:val="001A3E1C"/>
    <w:rsid w:val="001A3FC4"/>
    <w:rsid w:val="001A530D"/>
    <w:rsid w:val="001A554C"/>
    <w:rsid w:val="001A59F0"/>
    <w:rsid w:val="001A5C24"/>
    <w:rsid w:val="001A5CC6"/>
    <w:rsid w:val="001A5E53"/>
    <w:rsid w:val="001A5EB3"/>
    <w:rsid w:val="001A6BCF"/>
    <w:rsid w:val="001A6FEE"/>
    <w:rsid w:val="001B0B0F"/>
    <w:rsid w:val="001B14CA"/>
    <w:rsid w:val="001B168D"/>
    <w:rsid w:val="001B2243"/>
    <w:rsid w:val="001B2935"/>
    <w:rsid w:val="001B478B"/>
    <w:rsid w:val="001B4B65"/>
    <w:rsid w:val="001B6334"/>
    <w:rsid w:val="001B7B75"/>
    <w:rsid w:val="001C04F3"/>
    <w:rsid w:val="001C147E"/>
    <w:rsid w:val="001C15D9"/>
    <w:rsid w:val="001C190F"/>
    <w:rsid w:val="001C1C99"/>
    <w:rsid w:val="001C4FFC"/>
    <w:rsid w:val="001C56E9"/>
    <w:rsid w:val="001C6AFF"/>
    <w:rsid w:val="001C7B41"/>
    <w:rsid w:val="001D083B"/>
    <w:rsid w:val="001D260D"/>
    <w:rsid w:val="001D2E49"/>
    <w:rsid w:val="001D419D"/>
    <w:rsid w:val="001D60CC"/>
    <w:rsid w:val="001D68ED"/>
    <w:rsid w:val="001D6AA3"/>
    <w:rsid w:val="001D6B90"/>
    <w:rsid w:val="001E24E3"/>
    <w:rsid w:val="001E2D73"/>
    <w:rsid w:val="001E3598"/>
    <w:rsid w:val="001E524F"/>
    <w:rsid w:val="001E57DF"/>
    <w:rsid w:val="001F13DD"/>
    <w:rsid w:val="001F19C2"/>
    <w:rsid w:val="001F2263"/>
    <w:rsid w:val="001F552C"/>
    <w:rsid w:val="001F60AF"/>
    <w:rsid w:val="001F6284"/>
    <w:rsid w:val="001F7C83"/>
    <w:rsid w:val="00200C76"/>
    <w:rsid w:val="00201052"/>
    <w:rsid w:val="00201E2F"/>
    <w:rsid w:val="00202594"/>
    <w:rsid w:val="00202699"/>
    <w:rsid w:val="002034C8"/>
    <w:rsid w:val="0020403C"/>
    <w:rsid w:val="002050F1"/>
    <w:rsid w:val="00206026"/>
    <w:rsid w:val="00207B6D"/>
    <w:rsid w:val="0021074F"/>
    <w:rsid w:val="0021079E"/>
    <w:rsid w:val="0021138F"/>
    <w:rsid w:val="00211B90"/>
    <w:rsid w:val="00212969"/>
    <w:rsid w:val="002129E0"/>
    <w:rsid w:val="00213319"/>
    <w:rsid w:val="00213FB8"/>
    <w:rsid w:val="00214315"/>
    <w:rsid w:val="002145FD"/>
    <w:rsid w:val="002159E4"/>
    <w:rsid w:val="00216602"/>
    <w:rsid w:val="00217A78"/>
    <w:rsid w:val="00217B08"/>
    <w:rsid w:val="00217EC9"/>
    <w:rsid w:val="002207D9"/>
    <w:rsid w:val="00220920"/>
    <w:rsid w:val="002244A6"/>
    <w:rsid w:val="00224E43"/>
    <w:rsid w:val="00225A9B"/>
    <w:rsid w:val="00226C33"/>
    <w:rsid w:val="00226E72"/>
    <w:rsid w:val="00230858"/>
    <w:rsid w:val="002319AA"/>
    <w:rsid w:val="00231ADF"/>
    <w:rsid w:val="00232855"/>
    <w:rsid w:val="00233623"/>
    <w:rsid w:val="002400AE"/>
    <w:rsid w:val="0024245D"/>
    <w:rsid w:val="00242715"/>
    <w:rsid w:val="002438D0"/>
    <w:rsid w:val="00246E1E"/>
    <w:rsid w:val="00250940"/>
    <w:rsid w:val="002517D8"/>
    <w:rsid w:val="002518B1"/>
    <w:rsid w:val="00252280"/>
    <w:rsid w:val="0025259D"/>
    <w:rsid w:val="0025338B"/>
    <w:rsid w:val="00253D41"/>
    <w:rsid w:val="00254776"/>
    <w:rsid w:val="00254F08"/>
    <w:rsid w:val="00255871"/>
    <w:rsid w:val="00256BEF"/>
    <w:rsid w:val="00257534"/>
    <w:rsid w:val="00257619"/>
    <w:rsid w:val="00257AAC"/>
    <w:rsid w:val="00257B7B"/>
    <w:rsid w:val="002606EE"/>
    <w:rsid w:val="002617CA"/>
    <w:rsid w:val="00261F2C"/>
    <w:rsid w:val="0026465C"/>
    <w:rsid w:val="002651BE"/>
    <w:rsid w:val="00265855"/>
    <w:rsid w:val="00265F83"/>
    <w:rsid w:val="00266791"/>
    <w:rsid w:val="002667B4"/>
    <w:rsid w:val="002674C4"/>
    <w:rsid w:val="002717A5"/>
    <w:rsid w:val="00271BA1"/>
    <w:rsid w:val="0027289D"/>
    <w:rsid w:val="002749FB"/>
    <w:rsid w:val="002767C2"/>
    <w:rsid w:val="00277A72"/>
    <w:rsid w:val="00277A74"/>
    <w:rsid w:val="002812E4"/>
    <w:rsid w:val="00281741"/>
    <w:rsid w:val="00281F19"/>
    <w:rsid w:val="00282027"/>
    <w:rsid w:val="00282723"/>
    <w:rsid w:val="00283367"/>
    <w:rsid w:val="00283BA5"/>
    <w:rsid w:val="002858C1"/>
    <w:rsid w:val="002862BA"/>
    <w:rsid w:val="00287CC2"/>
    <w:rsid w:val="0029046E"/>
    <w:rsid w:val="00292ED5"/>
    <w:rsid w:val="00293BF1"/>
    <w:rsid w:val="0029403F"/>
    <w:rsid w:val="0029597D"/>
    <w:rsid w:val="002964E9"/>
    <w:rsid w:val="0029712D"/>
    <w:rsid w:val="0029786E"/>
    <w:rsid w:val="00297E83"/>
    <w:rsid w:val="00297E8D"/>
    <w:rsid w:val="002A03D1"/>
    <w:rsid w:val="002A0E7A"/>
    <w:rsid w:val="002A0F56"/>
    <w:rsid w:val="002A1BEA"/>
    <w:rsid w:val="002A226B"/>
    <w:rsid w:val="002A2B79"/>
    <w:rsid w:val="002A39A6"/>
    <w:rsid w:val="002A4762"/>
    <w:rsid w:val="002A4CBC"/>
    <w:rsid w:val="002A56B0"/>
    <w:rsid w:val="002A5923"/>
    <w:rsid w:val="002A73BB"/>
    <w:rsid w:val="002A7B68"/>
    <w:rsid w:val="002B08D3"/>
    <w:rsid w:val="002B0CFF"/>
    <w:rsid w:val="002B28BC"/>
    <w:rsid w:val="002B2B5B"/>
    <w:rsid w:val="002B2ED1"/>
    <w:rsid w:val="002B316A"/>
    <w:rsid w:val="002B5254"/>
    <w:rsid w:val="002B74F4"/>
    <w:rsid w:val="002C0B29"/>
    <w:rsid w:val="002C126C"/>
    <w:rsid w:val="002C18C3"/>
    <w:rsid w:val="002C2040"/>
    <w:rsid w:val="002C2CC6"/>
    <w:rsid w:val="002C30F0"/>
    <w:rsid w:val="002C3FF9"/>
    <w:rsid w:val="002C45EA"/>
    <w:rsid w:val="002C4744"/>
    <w:rsid w:val="002C4C3B"/>
    <w:rsid w:val="002C5D2B"/>
    <w:rsid w:val="002C5DAF"/>
    <w:rsid w:val="002C6BA5"/>
    <w:rsid w:val="002C709E"/>
    <w:rsid w:val="002C789F"/>
    <w:rsid w:val="002D2498"/>
    <w:rsid w:val="002D2636"/>
    <w:rsid w:val="002D4C5A"/>
    <w:rsid w:val="002D79B3"/>
    <w:rsid w:val="002E0F67"/>
    <w:rsid w:val="002E17EC"/>
    <w:rsid w:val="002E2008"/>
    <w:rsid w:val="002E223A"/>
    <w:rsid w:val="002E227B"/>
    <w:rsid w:val="002E2EDF"/>
    <w:rsid w:val="002E4420"/>
    <w:rsid w:val="002E5D2A"/>
    <w:rsid w:val="002E5FF7"/>
    <w:rsid w:val="002E66BB"/>
    <w:rsid w:val="002E7577"/>
    <w:rsid w:val="002F15F2"/>
    <w:rsid w:val="002F196D"/>
    <w:rsid w:val="002F2F9A"/>
    <w:rsid w:val="002F5A43"/>
    <w:rsid w:val="002F7EF4"/>
    <w:rsid w:val="0030166E"/>
    <w:rsid w:val="00303031"/>
    <w:rsid w:val="0030307E"/>
    <w:rsid w:val="00303411"/>
    <w:rsid w:val="00303A81"/>
    <w:rsid w:val="00303DB3"/>
    <w:rsid w:val="00305A01"/>
    <w:rsid w:val="0030602C"/>
    <w:rsid w:val="00306620"/>
    <w:rsid w:val="00307AFF"/>
    <w:rsid w:val="00307BEC"/>
    <w:rsid w:val="0031004B"/>
    <w:rsid w:val="00310BFA"/>
    <w:rsid w:val="0031297A"/>
    <w:rsid w:val="00312D7C"/>
    <w:rsid w:val="00312EA5"/>
    <w:rsid w:val="00314794"/>
    <w:rsid w:val="003147D3"/>
    <w:rsid w:val="00321B2E"/>
    <w:rsid w:val="0032307A"/>
    <w:rsid w:val="0032417E"/>
    <w:rsid w:val="0032447E"/>
    <w:rsid w:val="00324A3E"/>
    <w:rsid w:val="00325AEC"/>
    <w:rsid w:val="00325BAB"/>
    <w:rsid w:val="00325ECF"/>
    <w:rsid w:val="00325FB3"/>
    <w:rsid w:val="00326081"/>
    <w:rsid w:val="00327092"/>
    <w:rsid w:val="00327A90"/>
    <w:rsid w:val="0033027E"/>
    <w:rsid w:val="0033091F"/>
    <w:rsid w:val="00330B0E"/>
    <w:rsid w:val="00330BAE"/>
    <w:rsid w:val="00330C13"/>
    <w:rsid w:val="00331081"/>
    <w:rsid w:val="0033163E"/>
    <w:rsid w:val="00331656"/>
    <w:rsid w:val="00331DD3"/>
    <w:rsid w:val="00331F2F"/>
    <w:rsid w:val="00333870"/>
    <w:rsid w:val="00335150"/>
    <w:rsid w:val="00335E4B"/>
    <w:rsid w:val="00337AAE"/>
    <w:rsid w:val="00337E1C"/>
    <w:rsid w:val="0034008A"/>
    <w:rsid w:val="00340563"/>
    <w:rsid w:val="003413D8"/>
    <w:rsid w:val="003415E2"/>
    <w:rsid w:val="00341FBA"/>
    <w:rsid w:val="003422B0"/>
    <w:rsid w:val="0034235B"/>
    <w:rsid w:val="00342435"/>
    <w:rsid w:val="003424BD"/>
    <w:rsid w:val="0034272D"/>
    <w:rsid w:val="00342C27"/>
    <w:rsid w:val="00342F34"/>
    <w:rsid w:val="00343A03"/>
    <w:rsid w:val="003442B0"/>
    <w:rsid w:val="003452C2"/>
    <w:rsid w:val="00346B34"/>
    <w:rsid w:val="00350819"/>
    <w:rsid w:val="00350A3D"/>
    <w:rsid w:val="003539D3"/>
    <w:rsid w:val="003547BA"/>
    <w:rsid w:val="00355B3D"/>
    <w:rsid w:val="00355C42"/>
    <w:rsid w:val="00355F7C"/>
    <w:rsid w:val="00356075"/>
    <w:rsid w:val="0035726C"/>
    <w:rsid w:val="0035774B"/>
    <w:rsid w:val="00360BEB"/>
    <w:rsid w:val="00360E6F"/>
    <w:rsid w:val="003622B6"/>
    <w:rsid w:val="003622E7"/>
    <w:rsid w:val="003624D7"/>
    <w:rsid w:val="003632E0"/>
    <w:rsid w:val="00363B2F"/>
    <w:rsid w:val="00364A47"/>
    <w:rsid w:val="003666BE"/>
    <w:rsid w:val="003700DC"/>
    <w:rsid w:val="00370559"/>
    <w:rsid w:val="00370E90"/>
    <w:rsid w:val="003710D5"/>
    <w:rsid w:val="00371119"/>
    <w:rsid w:val="00371B93"/>
    <w:rsid w:val="00371CF2"/>
    <w:rsid w:val="003724C2"/>
    <w:rsid w:val="003739E3"/>
    <w:rsid w:val="003739FF"/>
    <w:rsid w:val="00373AE9"/>
    <w:rsid w:val="00374278"/>
    <w:rsid w:val="003766BD"/>
    <w:rsid w:val="00377607"/>
    <w:rsid w:val="003779B8"/>
    <w:rsid w:val="00377F9C"/>
    <w:rsid w:val="00381ADD"/>
    <w:rsid w:val="00381EC4"/>
    <w:rsid w:val="00381ED1"/>
    <w:rsid w:val="003825C5"/>
    <w:rsid w:val="00384060"/>
    <w:rsid w:val="003847B0"/>
    <w:rsid w:val="003848E5"/>
    <w:rsid w:val="00385496"/>
    <w:rsid w:val="00385B2A"/>
    <w:rsid w:val="00385D83"/>
    <w:rsid w:val="003860B6"/>
    <w:rsid w:val="00386F02"/>
    <w:rsid w:val="003873C8"/>
    <w:rsid w:val="00387484"/>
    <w:rsid w:val="00387981"/>
    <w:rsid w:val="0039024F"/>
    <w:rsid w:val="00390320"/>
    <w:rsid w:val="00391937"/>
    <w:rsid w:val="003925DA"/>
    <w:rsid w:val="0039412B"/>
    <w:rsid w:val="00394DC4"/>
    <w:rsid w:val="00395128"/>
    <w:rsid w:val="003A08BE"/>
    <w:rsid w:val="003A375A"/>
    <w:rsid w:val="003A53EE"/>
    <w:rsid w:val="003A5F92"/>
    <w:rsid w:val="003B1771"/>
    <w:rsid w:val="003B62D5"/>
    <w:rsid w:val="003B7058"/>
    <w:rsid w:val="003B7B74"/>
    <w:rsid w:val="003C01DC"/>
    <w:rsid w:val="003C20C0"/>
    <w:rsid w:val="003C228C"/>
    <w:rsid w:val="003C4370"/>
    <w:rsid w:val="003C5BB4"/>
    <w:rsid w:val="003D01A2"/>
    <w:rsid w:val="003D0451"/>
    <w:rsid w:val="003D08DF"/>
    <w:rsid w:val="003D140D"/>
    <w:rsid w:val="003D1946"/>
    <w:rsid w:val="003D1CFF"/>
    <w:rsid w:val="003D20BC"/>
    <w:rsid w:val="003D20DA"/>
    <w:rsid w:val="003D4A45"/>
    <w:rsid w:val="003D4AD9"/>
    <w:rsid w:val="003D5F95"/>
    <w:rsid w:val="003D66EE"/>
    <w:rsid w:val="003D69A5"/>
    <w:rsid w:val="003E107F"/>
    <w:rsid w:val="003E153B"/>
    <w:rsid w:val="003E1DFD"/>
    <w:rsid w:val="003E2520"/>
    <w:rsid w:val="003E3AC1"/>
    <w:rsid w:val="003E3ACB"/>
    <w:rsid w:val="003E45C0"/>
    <w:rsid w:val="003E5193"/>
    <w:rsid w:val="003E6B21"/>
    <w:rsid w:val="003E7D18"/>
    <w:rsid w:val="003E7D9F"/>
    <w:rsid w:val="003E7E92"/>
    <w:rsid w:val="003F1D2F"/>
    <w:rsid w:val="003F1F9F"/>
    <w:rsid w:val="003F2A82"/>
    <w:rsid w:val="003F3E7B"/>
    <w:rsid w:val="003F4685"/>
    <w:rsid w:val="003F56FB"/>
    <w:rsid w:val="003F666A"/>
    <w:rsid w:val="003F6AF8"/>
    <w:rsid w:val="003F6B71"/>
    <w:rsid w:val="003F7986"/>
    <w:rsid w:val="0040067C"/>
    <w:rsid w:val="00402E1F"/>
    <w:rsid w:val="0040387B"/>
    <w:rsid w:val="00403C80"/>
    <w:rsid w:val="004048BD"/>
    <w:rsid w:val="00404DCA"/>
    <w:rsid w:val="00405116"/>
    <w:rsid w:val="00405A65"/>
    <w:rsid w:val="004062AA"/>
    <w:rsid w:val="0040659C"/>
    <w:rsid w:val="004068A4"/>
    <w:rsid w:val="00406EE1"/>
    <w:rsid w:val="00406F39"/>
    <w:rsid w:val="00407CCE"/>
    <w:rsid w:val="00410ECF"/>
    <w:rsid w:val="00411456"/>
    <w:rsid w:val="0041330C"/>
    <w:rsid w:val="00413EF5"/>
    <w:rsid w:val="00416210"/>
    <w:rsid w:val="004169D7"/>
    <w:rsid w:val="004177F5"/>
    <w:rsid w:val="00417DA0"/>
    <w:rsid w:val="00421650"/>
    <w:rsid w:val="00421F09"/>
    <w:rsid w:val="00422072"/>
    <w:rsid w:val="00422BCC"/>
    <w:rsid w:val="00422FCB"/>
    <w:rsid w:val="0042530A"/>
    <w:rsid w:val="00425510"/>
    <w:rsid w:val="00427F9B"/>
    <w:rsid w:val="0043016C"/>
    <w:rsid w:val="00430211"/>
    <w:rsid w:val="00430F7E"/>
    <w:rsid w:val="00431D50"/>
    <w:rsid w:val="004324D5"/>
    <w:rsid w:val="00432A1F"/>
    <w:rsid w:val="004336D4"/>
    <w:rsid w:val="00433984"/>
    <w:rsid w:val="00433D0F"/>
    <w:rsid w:val="00434666"/>
    <w:rsid w:val="00436471"/>
    <w:rsid w:val="004365F4"/>
    <w:rsid w:val="004368A3"/>
    <w:rsid w:val="004404B4"/>
    <w:rsid w:val="00440BC4"/>
    <w:rsid w:val="004416BE"/>
    <w:rsid w:val="00441F02"/>
    <w:rsid w:val="004426F9"/>
    <w:rsid w:val="00442970"/>
    <w:rsid w:val="00444330"/>
    <w:rsid w:val="00445820"/>
    <w:rsid w:val="00445BC2"/>
    <w:rsid w:val="0044603E"/>
    <w:rsid w:val="004517EC"/>
    <w:rsid w:val="00454C9E"/>
    <w:rsid w:val="00456D22"/>
    <w:rsid w:val="004576C7"/>
    <w:rsid w:val="004604F6"/>
    <w:rsid w:val="004607AF"/>
    <w:rsid w:val="00461773"/>
    <w:rsid w:val="00462308"/>
    <w:rsid w:val="00463507"/>
    <w:rsid w:val="004652F3"/>
    <w:rsid w:val="00465303"/>
    <w:rsid w:val="00466E85"/>
    <w:rsid w:val="00470D37"/>
    <w:rsid w:val="00470F78"/>
    <w:rsid w:val="00471662"/>
    <w:rsid w:val="004716F0"/>
    <w:rsid w:val="00472890"/>
    <w:rsid w:val="00472D33"/>
    <w:rsid w:val="00472D7A"/>
    <w:rsid w:val="00473040"/>
    <w:rsid w:val="0047351B"/>
    <w:rsid w:val="00475008"/>
    <w:rsid w:val="0047534F"/>
    <w:rsid w:val="00476898"/>
    <w:rsid w:val="00476A5C"/>
    <w:rsid w:val="0047752A"/>
    <w:rsid w:val="004810F1"/>
    <w:rsid w:val="0048125F"/>
    <w:rsid w:val="0048175A"/>
    <w:rsid w:val="004818BF"/>
    <w:rsid w:val="004830E2"/>
    <w:rsid w:val="00483474"/>
    <w:rsid w:val="00483EE2"/>
    <w:rsid w:val="00484841"/>
    <w:rsid w:val="004850F0"/>
    <w:rsid w:val="00486BA6"/>
    <w:rsid w:val="00487313"/>
    <w:rsid w:val="004915C6"/>
    <w:rsid w:val="004924E3"/>
    <w:rsid w:val="004928BA"/>
    <w:rsid w:val="00492F20"/>
    <w:rsid w:val="0049310B"/>
    <w:rsid w:val="004934F3"/>
    <w:rsid w:val="0049389F"/>
    <w:rsid w:val="00494CD7"/>
    <w:rsid w:val="004976C9"/>
    <w:rsid w:val="00497E76"/>
    <w:rsid w:val="004A1A8F"/>
    <w:rsid w:val="004A2DC6"/>
    <w:rsid w:val="004A7BB5"/>
    <w:rsid w:val="004A7CC0"/>
    <w:rsid w:val="004A7FD1"/>
    <w:rsid w:val="004B0E8C"/>
    <w:rsid w:val="004B120B"/>
    <w:rsid w:val="004B296D"/>
    <w:rsid w:val="004B4694"/>
    <w:rsid w:val="004B5E1A"/>
    <w:rsid w:val="004B6A92"/>
    <w:rsid w:val="004B6D4D"/>
    <w:rsid w:val="004C038B"/>
    <w:rsid w:val="004C06C0"/>
    <w:rsid w:val="004C0CF3"/>
    <w:rsid w:val="004C2484"/>
    <w:rsid w:val="004C4250"/>
    <w:rsid w:val="004C4441"/>
    <w:rsid w:val="004C4949"/>
    <w:rsid w:val="004C5585"/>
    <w:rsid w:val="004C6A99"/>
    <w:rsid w:val="004C724C"/>
    <w:rsid w:val="004C7778"/>
    <w:rsid w:val="004C78B9"/>
    <w:rsid w:val="004D0B6D"/>
    <w:rsid w:val="004D2C2B"/>
    <w:rsid w:val="004D3015"/>
    <w:rsid w:val="004D4B2B"/>
    <w:rsid w:val="004D4F65"/>
    <w:rsid w:val="004D5772"/>
    <w:rsid w:val="004D69B9"/>
    <w:rsid w:val="004D70E2"/>
    <w:rsid w:val="004D737C"/>
    <w:rsid w:val="004E02C0"/>
    <w:rsid w:val="004E0833"/>
    <w:rsid w:val="004E1537"/>
    <w:rsid w:val="004E174F"/>
    <w:rsid w:val="004E2AC5"/>
    <w:rsid w:val="004E31DC"/>
    <w:rsid w:val="004E449B"/>
    <w:rsid w:val="004E47EE"/>
    <w:rsid w:val="004E4CC2"/>
    <w:rsid w:val="004E4D7B"/>
    <w:rsid w:val="004E65B4"/>
    <w:rsid w:val="004E7D41"/>
    <w:rsid w:val="004F051A"/>
    <w:rsid w:val="004F0E6F"/>
    <w:rsid w:val="004F13F2"/>
    <w:rsid w:val="004F1D87"/>
    <w:rsid w:val="004F2E7F"/>
    <w:rsid w:val="004F3103"/>
    <w:rsid w:val="004F3364"/>
    <w:rsid w:val="004F3A23"/>
    <w:rsid w:val="004F3D78"/>
    <w:rsid w:val="004F3EE5"/>
    <w:rsid w:val="004F62C9"/>
    <w:rsid w:val="0050251B"/>
    <w:rsid w:val="005031C6"/>
    <w:rsid w:val="00503868"/>
    <w:rsid w:val="00503FFE"/>
    <w:rsid w:val="00504118"/>
    <w:rsid w:val="0050431B"/>
    <w:rsid w:val="005045C3"/>
    <w:rsid w:val="005079A9"/>
    <w:rsid w:val="00507EA2"/>
    <w:rsid w:val="00510060"/>
    <w:rsid w:val="00510BCB"/>
    <w:rsid w:val="00512377"/>
    <w:rsid w:val="005123FA"/>
    <w:rsid w:val="00512E6D"/>
    <w:rsid w:val="0051456A"/>
    <w:rsid w:val="00514AD0"/>
    <w:rsid w:val="00514B85"/>
    <w:rsid w:val="00515921"/>
    <w:rsid w:val="00515EEB"/>
    <w:rsid w:val="00516C5B"/>
    <w:rsid w:val="00517B2B"/>
    <w:rsid w:val="005208EC"/>
    <w:rsid w:val="00521794"/>
    <w:rsid w:val="00524200"/>
    <w:rsid w:val="005243CF"/>
    <w:rsid w:val="00524BBF"/>
    <w:rsid w:val="00525FBB"/>
    <w:rsid w:val="0052650D"/>
    <w:rsid w:val="0052721D"/>
    <w:rsid w:val="00527BB9"/>
    <w:rsid w:val="00530200"/>
    <w:rsid w:val="0053020E"/>
    <w:rsid w:val="005310E9"/>
    <w:rsid w:val="00531279"/>
    <w:rsid w:val="00531886"/>
    <w:rsid w:val="0053268E"/>
    <w:rsid w:val="00532958"/>
    <w:rsid w:val="005329C7"/>
    <w:rsid w:val="005329FE"/>
    <w:rsid w:val="00536B2E"/>
    <w:rsid w:val="00537B44"/>
    <w:rsid w:val="005426FF"/>
    <w:rsid w:val="00542B17"/>
    <w:rsid w:val="0054371E"/>
    <w:rsid w:val="00543A7D"/>
    <w:rsid w:val="00544CBF"/>
    <w:rsid w:val="00544EB7"/>
    <w:rsid w:val="0054689D"/>
    <w:rsid w:val="005500F1"/>
    <w:rsid w:val="005514C2"/>
    <w:rsid w:val="0055278E"/>
    <w:rsid w:val="00552AEC"/>
    <w:rsid w:val="0055347B"/>
    <w:rsid w:val="0055449F"/>
    <w:rsid w:val="00556451"/>
    <w:rsid w:val="00556783"/>
    <w:rsid w:val="005604DF"/>
    <w:rsid w:val="005605A8"/>
    <w:rsid w:val="005614CA"/>
    <w:rsid w:val="0056377A"/>
    <w:rsid w:val="00564DF4"/>
    <w:rsid w:val="00565035"/>
    <w:rsid w:val="0057059D"/>
    <w:rsid w:val="00570752"/>
    <w:rsid w:val="00570906"/>
    <w:rsid w:val="005709F4"/>
    <w:rsid w:val="00571072"/>
    <w:rsid w:val="005716B4"/>
    <w:rsid w:val="0057172C"/>
    <w:rsid w:val="00573D3D"/>
    <w:rsid w:val="005749D3"/>
    <w:rsid w:val="005752E3"/>
    <w:rsid w:val="0057549B"/>
    <w:rsid w:val="005758F8"/>
    <w:rsid w:val="0057616C"/>
    <w:rsid w:val="005764D7"/>
    <w:rsid w:val="00577AF6"/>
    <w:rsid w:val="0058137B"/>
    <w:rsid w:val="00581D8F"/>
    <w:rsid w:val="005820B6"/>
    <w:rsid w:val="00582B4D"/>
    <w:rsid w:val="00584183"/>
    <w:rsid w:val="00584954"/>
    <w:rsid w:val="005850BA"/>
    <w:rsid w:val="00585292"/>
    <w:rsid w:val="0058546E"/>
    <w:rsid w:val="00585962"/>
    <w:rsid w:val="00586A28"/>
    <w:rsid w:val="00586FF7"/>
    <w:rsid w:val="005875E9"/>
    <w:rsid w:val="00587975"/>
    <w:rsid w:val="00587B30"/>
    <w:rsid w:val="005900DB"/>
    <w:rsid w:val="00590EF0"/>
    <w:rsid w:val="005910A6"/>
    <w:rsid w:val="00591854"/>
    <w:rsid w:val="005925F8"/>
    <w:rsid w:val="005937CF"/>
    <w:rsid w:val="00593F96"/>
    <w:rsid w:val="0059468D"/>
    <w:rsid w:val="00594CE1"/>
    <w:rsid w:val="0059643E"/>
    <w:rsid w:val="005A07F4"/>
    <w:rsid w:val="005A22DA"/>
    <w:rsid w:val="005A2771"/>
    <w:rsid w:val="005A3B76"/>
    <w:rsid w:val="005A40F0"/>
    <w:rsid w:val="005A44FD"/>
    <w:rsid w:val="005A458C"/>
    <w:rsid w:val="005A5B22"/>
    <w:rsid w:val="005A6780"/>
    <w:rsid w:val="005B07F4"/>
    <w:rsid w:val="005B123B"/>
    <w:rsid w:val="005B1291"/>
    <w:rsid w:val="005B1B5C"/>
    <w:rsid w:val="005B1D1B"/>
    <w:rsid w:val="005B2171"/>
    <w:rsid w:val="005B2D90"/>
    <w:rsid w:val="005B3463"/>
    <w:rsid w:val="005B35F5"/>
    <w:rsid w:val="005B4391"/>
    <w:rsid w:val="005B6016"/>
    <w:rsid w:val="005B69DD"/>
    <w:rsid w:val="005C152B"/>
    <w:rsid w:val="005C22C9"/>
    <w:rsid w:val="005C287F"/>
    <w:rsid w:val="005C2888"/>
    <w:rsid w:val="005C292B"/>
    <w:rsid w:val="005C2DBE"/>
    <w:rsid w:val="005C2EEC"/>
    <w:rsid w:val="005C34AA"/>
    <w:rsid w:val="005C4FF9"/>
    <w:rsid w:val="005C6564"/>
    <w:rsid w:val="005C66C8"/>
    <w:rsid w:val="005C6800"/>
    <w:rsid w:val="005C6AD6"/>
    <w:rsid w:val="005C7614"/>
    <w:rsid w:val="005D43CF"/>
    <w:rsid w:val="005D5E74"/>
    <w:rsid w:val="005D6481"/>
    <w:rsid w:val="005D65A6"/>
    <w:rsid w:val="005E1DF9"/>
    <w:rsid w:val="005E28B9"/>
    <w:rsid w:val="005E52F0"/>
    <w:rsid w:val="005E6736"/>
    <w:rsid w:val="005F149C"/>
    <w:rsid w:val="005F15DD"/>
    <w:rsid w:val="005F1B25"/>
    <w:rsid w:val="005F58FE"/>
    <w:rsid w:val="005F5A18"/>
    <w:rsid w:val="00602E36"/>
    <w:rsid w:val="0060323C"/>
    <w:rsid w:val="0060373E"/>
    <w:rsid w:val="00603E80"/>
    <w:rsid w:val="006057AE"/>
    <w:rsid w:val="00606835"/>
    <w:rsid w:val="0061099A"/>
    <w:rsid w:val="00610E5F"/>
    <w:rsid w:val="0061182A"/>
    <w:rsid w:val="00612F5B"/>
    <w:rsid w:val="006132C3"/>
    <w:rsid w:val="006136A9"/>
    <w:rsid w:val="006149EA"/>
    <w:rsid w:val="00616B60"/>
    <w:rsid w:val="00621BC2"/>
    <w:rsid w:val="00622354"/>
    <w:rsid w:val="0062276A"/>
    <w:rsid w:val="0062347A"/>
    <w:rsid w:val="006238A3"/>
    <w:rsid w:val="0062437C"/>
    <w:rsid w:val="006245D2"/>
    <w:rsid w:val="006251A8"/>
    <w:rsid w:val="006252D2"/>
    <w:rsid w:val="006253D1"/>
    <w:rsid w:val="0062556C"/>
    <w:rsid w:val="00627349"/>
    <w:rsid w:val="0062734B"/>
    <w:rsid w:val="0062787B"/>
    <w:rsid w:val="006303BF"/>
    <w:rsid w:val="00630DEB"/>
    <w:rsid w:val="00632093"/>
    <w:rsid w:val="00633D94"/>
    <w:rsid w:val="00634ECB"/>
    <w:rsid w:val="00635278"/>
    <w:rsid w:val="00635BB9"/>
    <w:rsid w:val="00636533"/>
    <w:rsid w:val="00636AF7"/>
    <w:rsid w:val="00636C00"/>
    <w:rsid w:val="00636D95"/>
    <w:rsid w:val="00636DA4"/>
    <w:rsid w:val="006403E2"/>
    <w:rsid w:val="0064043D"/>
    <w:rsid w:val="006418B1"/>
    <w:rsid w:val="006422B7"/>
    <w:rsid w:val="00642948"/>
    <w:rsid w:val="00642CE6"/>
    <w:rsid w:val="006438C2"/>
    <w:rsid w:val="00644208"/>
    <w:rsid w:val="00644C4A"/>
    <w:rsid w:val="00645D65"/>
    <w:rsid w:val="006460FA"/>
    <w:rsid w:val="006462A7"/>
    <w:rsid w:val="006512AA"/>
    <w:rsid w:val="00652377"/>
    <w:rsid w:val="0065299D"/>
    <w:rsid w:val="00652DCB"/>
    <w:rsid w:val="0065317A"/>
    <w:rsid w:val="006539BF"/>
    <w:rsid w:val="00656A9C"/>
    <w:rsid w:val="006577C1"/>
    <w:rsid w:val="00657983"/>
    <w:rsid w:val="00660004"/>
    <w:rsid w:val="00661985"/>
    <w:rsid w:val="00662D99"/>
    <w:rsid w:val="006633F4"/>
    <w:rsid w:val="00663F49"/>
    <w:rsid w:val="0066449F"/>
    <w:rsid w:val="00665BFB"/>
    <w:rsid w:val="00666D42"/>
    <w:rsid w:val="00666F54"/>
    <w:rsid w:val="00670198"/>
    <w:rsid w:val="00671E94"/>
    <w:rsid w:val="0067340A"/>
    <w:rsid w:val="00673674"/>
    <w:rsid w:val="006737B9"/>
    <w:rsid w:val="0067454C"/>
    <w:rsid w:val="0067467C"/>
    <w:rsid w:val="006753BA"/>
    <w:rsid w:val="00675FBA"/>
    <w:rsid w:val="006763D8"/>
    <w:rsid w:val="00680328"/>
    <w:rsid w:val="00680E9C"/>
    <w:rsid w:val="0068119F"/>
    <w:rsid w:val="00682958"/>
    <w:rsid w:val="0068413C"/>
    <w:rsid w:val="00685089"/>
    <w:rsid w:val="00686306"/>
    <w:rsid w:val="006868BD"/>
    <w:rsid w:val="00687F4F"/>
    <w:rsid w:val="00687FE6"/>
    <w:rsid w:val="0069003C"/>
    <w:rsid w:val="00690278"/>
    <w:rsid w:val="00690CBD"/>
    <w:rsid w:val="00692BF0"/>
    <w:rsid w:val="00692DA5"/>
    <w:rsid w:val="006935AB"/>
    <w:rsid w:val="006939E1"/>
    <w:rsid w:val="00693B36"/>
    <w:rsid w:val="006967D4"/>
    <w:rsid w:val="0069748B"/>
    <w:rsid w:val="006A373F"/>
    <w:rsid w:val="006A3D16"/>
    <w:rsid w:val="006A5619"/>
    <w:rsid w:val="006A5D3A"/>
    <w:rsid w:val="006A683C"/>
    <w:rsid w:val="006A7878"/>
    <w:rsid w:val="006B2452"/>
    <w:rsid w:val="006B278D"/>
    <w:rsid w:val="006B2E2A"/>
    <w:rsid w:val="006B3071"/>
    <w:rsid w:val="006B3777"/>
    <w:rsid w:val="006B502E"/>
    <w:rsid w:val="006B5F10"/>
    <w:rsid w:val="006B6BFE"/>
    <w:rsid w:val="006B74EC"/>
    <w:rsid w:val="006B78D3"/>
    <w:rsid w:val="006B7CB9"/>
    <w:rsid w:val="006C3B5C"/>
    <w:rsid w:val="006C414D"/>
    <w:rsid w:val="006C4AC1"/>
    <w:rsid w:val="006C5164"/>
    <w:rsid w:val="006C6A6B"/>
    <w:rsid w:val="006C6BB1"/>
    <w:rsid w:val="006C7493"/>
    <w:rsid w:val="006D2FE3"/>
    <w:rsid w:val="006D3CC7"/>
    <w:rsid w:val="006D462B"/>
    <w:rsid w:val="006D480E"/>
    <w:rsid w:val="006D590E"/>
    <w:rsid w:val="006D63BE"/>
    <w:rsid w:val="006D7D34"/>
    <w:rsid w:val="006E00D8"/>
    <w:rsid w:val="006E09EB"/>
    <w:rsid w:val="006E19FE"/>
    <w:rsid w:val="006E216F"/>
    <w:rsid w:val="006E3816"/>
    <w:rsid w:val="006E4BFA"/>
    <w:rsid w:val="006E56FA"/>
    <w:rsid w:val="006E59EC"/>
    <w:rsid w:val="006E6380"/>
    <w:rsid w:val="006E70C3"/>
    <w:rsid w:val="006E7B44"/>
    <w:rsid w:val="006E7BCA"/>
    <w:rsid w:val="006F0090"/>
    <w:rsid w:val="006F01A9"/>
    <w:rsid w:val="006F0226"/>
    <w:rsid w:val="006F1C6B"/>
    <w:rsid w:val="006F38B0"/>
    <w:rsid w:val="006F3CAC"/>
    <w:rsid w:val="006F5A2F"/>
    <w:rsid w:val="006F7FE6"/>
    <w:rsid w:val="00700262"/>
    <w:rsid w:val="00700FD7"/>
    <w:rsid w:val="00703192"/>
    <w:rsid w:val="007033B4"/>
    <w:rsid w:val="007058FF"/>
    <w:rsid w:val="00705FD5"/>
    <w:rsid w:val="007063D0"/>
    <w:rsid w:val="00706BE7"/>
    <w:rsid w:val="007074F0"/>
    <w:rsid w:val="0071043D"/>
    <w:rsid w:val="00710EC1"/>
    <w:rsid w:val="00711F5D"/>
    <w:rsid w:val="00712932"/>
    <w:rsid w:val="00715F63"/>
    <w:rsid w:val="00716367"/>
    <w:rsid w:val="0071724C"/>
    <w:rsid w:val="00720760"/>
    <w:rsid w:val="00721075"/>
    <w:rsid w:val="00722260"/>
    <w:rsid w:val="007228E2"/>
    <w:rsid w:val="007234F6"/>
    <w:rsid w:val="00725B28"/>
    <w:rsid w:val="00726114"/>
    <w:rsid w:val="00726B2F"/>
    <w:rsid w:val="00726CF8"/>
    <w:rsid w:val="00730525"/>
    <w:rsid w:val="00731269"/>
    <w:rsid w:val="00732621"/>
    <w:rsid w:val="00732B5D"/>
    <w:rsid w:val="00732F76"/>
    <w:rsid w:val="00733861"/>
    <w:rsid w:val="00733AC9"/>
    <w:rsid w:val="00733E23"/>
    <w:rsid w:val="00735850"/>
    <w:rsid w:val="007368BD"/>
    <w:rsid w:val="00740D26"/>
    <w:rsid w:val="00743CB7"/>
    <w:rsid w:val="00743D89"/>
    <w:rsid w:val="007449F1"/>
    <w:rsid w:val="007451C1"/>
    <w:rsid w:val="00745231"/>
    <w:rsid w:val="00747654"/>
    <w:rsid w:val="007512FF"/>
    <w:rsid w:val="007542D4"/>
    <w:rsid w:val="00754648"/>
    <w:rsid w:val="007548CE"/>
    <w:rsid w:val="0075568B"/>
    <w:rsid w:val="00756DFA"/>
    <w:rsid w:val="00757E12"/>
    <w:rsid w:val="00757E30"/>
    <w:rsid w:val="007608A9"/>
    <w:rsid w:val="007609C8"/>
    <w:rsid w:val="00760B07"/>
    <w:rsid w:val="007617CE"/>
    <w:rsid w:val="00762444"/>
    <w:rsid w:val="00762BC7"/>
    <w:rsid w:val="007630C3"/>
    <w:rsid w:val="00764835"/>
    <w:rsid w:val="00765B92"/>
    <w:rsid w:val="00766AA1"/>
    <w:rsid w:val="00770C47"/>
    <w:rsid w:val="0077297B"/>
    <w:rsid w:val="00772C3E"/>
    <w:rsid w:val="00772F48"/>
    <w:rsid w:val="00773483"/>
    <w:rsid w:val="00774A55"/>
    <w:rsid w:val="00774BE7"/>
    <w:rsid w:val="00774E5F"/>
    <w:rsid w:val="0077592A"/>
    <w:rsid w:val="007765AE"/>
    <w:rsid w:val="00776629"/>
    <w:rsid w:val="007779FA"/>
    <w:rsid w:val="00777A34"/>
    <w:rsid w:val="0078145C"/>
    <w:rsid w:val="0078149E"/>
    <w:rsid w:val="007826E9"/>
    <w:rsid w:val="00782F45"/>
    <w:rsid w:val="007831B5"/>
    <w:rsid w:val="0078356C"/>
    <w:rsid w:val="007836AE"/>
    <w:rsid w:val="00783E33"/>
    <w:rsid w:val="00787366"/>
    <w:rsid w:val="007876E0"/>
    <w:rsid w:val="007901FA"/>
    <w:rsid w:val="007915B7"/>
    <w:rsid w:val="00791759"/>
    <w:rsid w:val="00791DA5"/>
    <w:rsid w:val="00792B1D"/>
    <w:rsid w:val="007932E1"/>
    <w:rsid w:val="00795CF8"/>
    <w:rsid w:val="0079727A"/>
    <w:rsid w:val="00797319"/>
    <w:rsid w:val="007A1929"/>
    <w:rsid w:val="007A2951"/>
    <w:rsid w:val="007A5856"/>
    <w:rsid w:val="007A5FD4"/>
    <w:rsid w:val="007A61AF"/>
    <w:rsid w:val="007B25C5"/>
    <w:rsid w:val="007B3D19"/>
    <w:rsid w:val="007B499C"/>
    <w:rsid w:val="007B6995"/>
    <w:rsid w:val="007B74BD"/>
    <w:rsid w:val="007C054D"/>
    <w:rsid w:val="007C073A"/>
    <w:rsid w:val="007C172A"/>
    <w:rsid w:val="007C39A6"/>
    <w:rsid w:val="007C6B94"/>
    <w:rsid w:val="007C79B5"/>
    <w:rsid w:val="007D12BD"/>
    <w:rsid w:val="007D1672"/>
    <w:rsid w:val="007D1B5A"/>
    <w:rsid w:val="007D1F07"/>
    <w:rsid w:val="007D2859"/>
    <w:rsid w:val="007D409F"/>
    <w:rsid w:val="007D4916"/>
    <w:rsid w:val="007D4D49"/>
    <w:rsid w:val="007D6BB4"/>
    <w:rsid w:val="007E1B4C"/>
    <w:rsid w:val="007E1E7E"/>
    <w:rsid w:val="007E2922"/>
    <w:rsid w:val="007E4423"/>
    <w:rsid w:val="007E4C1E"/>
    <w:rsid w:val="007E5C69"/>
    <w:rsid w:val="007F005A"/>
    <w:rsid w:val="007F2474"/>
    <w:rsid w:val="007F3181"/>
    <w:rsid w:val="007F3961"/>
    <w:rsid w:val="007F4108"/>
    <w:rsid w:val="007F5E56"/>
    <w:rsid w:val="007F6038"/>
    <w:rsid w:val="007F6E0E"/>
    <w:rsid w:val="007F7139"/>
    <w:rsid w:val="00800BA5"/>
    <w:rsid w:val="00801835"/>
    <w:rsid w:val="0080193E"/>
    <w:rsid w:val="00802661"/>
    <w:rsid w:val="00803799"/>
    <w:rsid w:val="00804402"/>
    <w:rsid w:val="00806998"/>
    <w:rsid w:val="00807C66"/>
    <w:rsid w:val="00812037"/>
    <w:rsid w:val="00813A8D"/>
    <w:rsid w:val="008150D8"/>
    <w:rsid w:val="00815750"/>
    <w:rsid w:val="008158A9"/>
    <w:rsid w:val="00816EC7"/>
    <w:rsid w:val="00820807"/>
    <w:rsid w:val="008218DC"/>
    <w:rsid w:val="00821C32"/>
    <w:rsid w:val="00822D52"/>
    <w:rsid w:val="00824B5C"/>
    <w:rsid w:val="00826347"/>
    <w:rsid w:val="0082640D"/>
    <w:rsid w:val="00827295"/>
    <w:rsid w:val="00827C1A"/>
    <w:rsid w:val="00830AC7"/>
    <w:rsid w:val="00833664"/>
    <w:rsid w:val="0083379A"/>
    <w:rsid w:val="0083553D"/>
    <w:rsid w:val="00835566"/>
    <w:rsid w:val="00835BBA"/>
    <w:rsid w:val="0083669D"/>
    <w:rsid w:val="0083796A"/>
    <w:rsid w:val="00840A46"/>
    <w:rsid w:val="00840BF8"/>
    <w:rsid w:val="00842254"/>
    <w:rsid w:val="0084435D"/>
    <w:rsid w:val="008445C1"/>
    <w:rsid w:val="00844851"/>
    <w:rsid w:val="008477B6"/>
    <w:rsid w:val="00850360"/>
    <w:rsid w:val="0085153D"/>
    <w:rsid w:val="0085197E"/>
    <w:rsid w:val="008520DA"/>
    <w:rsid w:val="008525B1"/>
    <w:rsid w:val="00854467"/>
    <w:rsid w:val="00856226"/>
    <w:rsid w:val="0085633D"/>
    <w:rsid w:val="00857953"/>
    <w:rsid w:val="00857B50"/>
    <w:rsid w:val="00857E57"/>
    <w:rsid w:val="00860E6C"/>
    <w:rsid w:val="0086190A"/>
    <w:rsid w:val="008627BB"/>
    <w:rsid w:val="00862C44"/>
    <w:rsid w:val="0086308B"/>
    <w:rsid w:val="00864226"/>
    <w:rsid w:val="008672D0"/>
    <w:rsid w:val="008679B7"/>
    <w:rsid w:val="00870170"/>
    <w:rsid w:val="008720D5"/>
    <w:rsid w:val="0087224B"/>
    <w:rsid w:val="008723C4"/>
    <w:rsid w:val="008728EE"/>
    <w:rsid w:val="00873FD6"/>
    <w:rsid w:val="0087568B"/>
    <w:rsid w:val="00876210"/>
    <w:rsid w:val="00877028"/>
    <w:rsid w:val="00877327"/>
    <w:rsid w:val="00880338"/>
    <w:rsid w:val="00880811"/>
    <w:rsid w:val="00881D93"/>
    <w:rsid w:val="00882847"/>
    <w:rsid w:val="008834BB"/>
    <w:rsid w:val="00883BA6"/>
    <w:rsid w:val="00884055"/>
    <w:rsid w:val="0088426D"/>
    <w:rsid w:val="00884523"/>
    <w:rsid w:val="00885472"/>
    <w:rsid w:val="00885546"/>
    <w:rsid w:val="008868EC"/>
    <w:rsid w:val="00886AA2"/>
    <w:rsid w:val="008870DF"/>
    <w:rsid w:val="00887BF3"/>
    <w:rsid w:val="00890AEF"/>
    <w:rsid w:val="00891203"/>
    <w:rsid w:val="008914D2"/>
    <w:rsid w:val="00891775"/>
    <w:rsid w:val="00891A35"/>
    <w:rsid w:val="008926E9"/>
    <w:rsid w:val="00892963"/>
    <w:rsid w:val="00892B64"/>
    <w:rsid w:val="0089401D"/>
    <w:rsid w:val="008943D2"/>
    <w:rsid w:val="0089535C"/>
    <w:rsid w:val="00895D58"/>
    <w:rsid w:val="008964D2"/>
    <w:rsid w:val="00897118"/>
    <w:rsid w:val="00897650"/>
    <w:rsid w:val="00897C4C"/>
    <w:rsid w:val="008A0910"/>
    <w:rsid w:val="008A1877"/>
    <w:rsid w:val="008A3AB9"/>
    <w:rsid w:val="008A6094"/>
    <w:rsid w:val="008A69E0"/>
    <w:rsid w:val="008A7067"/>
    <w:rsid w:val="008A798F"/>
    <w:rsid w:val="008A7B11"/>
    <w:rsid w:val="008B0799"/>
    <w:rsid w:val="008B09C7"/>
    <w:rsid w:val="008B14BE"/>
    <w:rsid w:val="008B2550"/>
    <w:rsid w:val="008B26D7"/>
    <w:rsid w:val="008B3356"/>
    <w:rsid w:val="008B3554"/>
    <w:rsid w:val="008B584F"/>
    <w:rsid w:val="008B6070"/>
    <w:rsid w:val="008B6090"/>
    <w:rsid w:val="008B61DA"/>
    <w:rsid w:val="008B64E1"/>
    <w:rsid w:val="008B6C38"/>
    <w:rsid w:val="008B73F9"/>
    <w:rsid w:val="008B745D"/>
    <w:rsid w:val="008B755C"/>
    <w:rsid w:val="008C153F"/>
    <w:rsid w:val="008C3A57"/>
    <w:rsid w:val="008C3B25"/>
    <w:rsid w:val="008C472D"/>
    <w:rsid w:val="008C50C9"/>
    <w:rsid w:val="008C50CE"/>
    <w:rsid w:val="008C6326"/>
    <w:rsid w:val="008C6673"/>
    <w:rsid w:val="008D009D"/>
    <w:rsid w:val="008D16C8"/>
    <w:rsid w:val="008D2192"/>
    <w:rsid w:val="008D259E"/>
    <w:rsid w:val="008D3701"/>
    <w:rsid w:val="008D4267"/>
    <w:rsid w:val="008D450F"/>
    <w:rsid w:val="008D4AD5"/>
    <w:rsid w:val="008D51DF"/>
    <w:rsid w:val="008D5AC2"/>
    <w:rsid w:val="008D5AC8"/>
    <w:rsid w:val="008D6269"/>
    <w:rsid w:val="008D65B9"/>
    <w:rsid w:val="008D7F21"/>
    <w:rsid w:val="008E04E0"/>
    <w:rsid w:val="008E0FD9"/>
    <w:rsid w:val="008E1214"/>
    <w:rsid w:val="008E573C"/>
    <w:rsid w:val="008E5801"/>
    <w:rsid w:val="008E672D"/>
    <w:rsid w:val="008F0026"/>
    <w:rsid w:val="008F18D9"/>
    <w:rsid w:val="008F2863"/>
    <w:rsid w:val="008F44A6"/>
    <w:rsid w:val="008F4BE6"/>
    <w:rsid w:val="008F4DF8"/>
    <w:rsid w:val="008F5452"/>
    <w:rsid w:val="008F5D18"/>
    <w:rsid w:val="008F68D7"/>
    <w:rsid w:val="008F6AEA"/>
    <w:rsid w:val="008F74CA"/>
    <w:rsid w:val="00900EF3"/>
    <w:rsid w:val="00900F13"/>
    <w:rsid w:val="009013F2"/>
    <w:rsid w:val="009023B9"/>
    <w:rsid w:val="00902A7F"/>
    <w:rsid w:val="00906C37"/>
    <w:rsid w:val="00907350"/>
    <w:rsid w:val="00910E0B"/>
    <w:rsid w:val="0091208A"/>
    <w:rsid w:val="0091314A"/>
    <w:rsid w:val="009132A1"/>
    <w:rsid w:val="009154F9"/>
    <w:rsid w:val="0091623F"/>
    <w:rsid w:val="00916478"/>
    <w:rsid w:val="00916BFA"/>
    <w:rsid w:val="009176E7"/>
    <w:rsid w:val="00921D7A"/>
    <w:rsid w:val="00922691"/>
    <w:rsid w:val="009236A7"/>
    <w:rsid w:val="009246F1"/>
    <w:rsid w:val="00925195"/>
    <w:rsid w:val="00925593"/>
    <w:rsid w:val="009269F8"/>
    <w:rsid w:val="00927CA6"/>
    <w:rsid w:val="00930149"/>
    <w:rsid w:val="0093096E"/>
    <w:rsid w:val="00931A47"/>
    <w:rsid w:val="00931D00"/>
    <w:rsid w:val="0093247B"/>
    <w:rsid w:val="00933170"/>
    <w:rsid w:val="00935601"/>
    <w:rsid w:val="00937F47"/>
    <w:rsid w:val="0094060D"/>
    <w:rsid w:val="009409D2"/>
    <w:rsid w:val="00940E0A"/>
    <w:rsid w:val="0094109B"/>
    <w:rsid w:val="00942C87"/>
    <w:rsid w:val="00943F94"/>
    <w:rsid w:val="009441DE"/>
    <w:rsid w:val="009446D2"/>
    <w:rsid w:val="00944C10"/>
    <w:rsid w:val="00944C60"/>
    <w:rsid w:val="00945C94"/>
    <w:rsid w:val="00945F95"/>
    <w:rsid w:val="0094612D"/>
    <w:rsid w:val="009463FC"/>
    <w:rsid w:val="00947A15"/>
    <w:rsid w:val="00950338"/>
    <w:rsid w:val="0095037F"/>
    <w:rsid w:val="009524C1"/>
    <w:rsid w:val="0095291B"/>
    <w:rsid w:val="009547EA"/>
    <w:rsid w:val="00954F71"/>
    <w:rsid w:val="009553D6"/>
    <w:rsid w:val="00955900"/>
    <w:rsid w:val="00956CC1"/>
    <w:rsid w:val="00956E50"/>
    <w:rsid w:val="00956FC6"/>
    <w:rsid w:val="00957A1C"/>
    <w:rsid w:val="00960945"/>
    <w:rsid w:val="009610C3"/>
    <w:rsid w:val="009628F4"/>
    <w:rsid w:val="009631C0"/>
    <w:rsid w:val="00964722"/>
    <w:rsid w:val="009659D7"/>
    <w:rsid w:val="00966035"/>
    <w:rsid w:val="00966215"/>
    <w:rsid w:val="009662C5"/>
    <w:rsid w:val="00966431"/>
    <w:rsid w:val="009667DD"/>
    <w:rsid w:val="0096792C"/>
    <w:rsid w:val="00970716"/>
    <w:rsid w:val="00970D6C"/>
    <w:rsid w:val="00970E3E"/>
    <w:rsid w:val="00971290"/>
    <w:rsid w:val="00971FD8"/>
    <w:rsid w:val="009740A0"/>
    <w:rsid w:val="009749FE"/>
    <w:rsid w:val="00974FF3"/>
    <w:rsid w:val="00975AE1"/>
    <w:rsid w:val="00976D63"/>
    <w:rsid w:val="00977581"/>
    <w:rsid w:val="00980639"/>
    <w:rsid w:val="0098103A"/>
    <w:rsid w:val="009816DC"/>
    <w:rsid w:val="0098235B"/>
    <w:rsid w:val="009825AC"/>
    <w:rsid w:val="00983A6E"/>
    <w:rsid w:val="00984B4F"/>
    <w:rsid w:val="00984F3C"/>
    <w:rsid w:val="009852F9"/>
    <w:rsid w:val="00986175"/>
    <w:rsid w:val="00986C94"/>
    <w:rsid w:val="00987062"/>
    <w:rsid w:val="00987447"/>
    <w:rsid w:val="00987755"/>
    <w:rsid w:val="009901A1"/>
    <w:rsid w:val="009946D8"/>
    <w:rsid w:val="00994A1E"/>
    <w:rsid w:val="0099541D"/>
    <w:rsid w:val="009956B3"/>
    <w:rsid w:val="0099586C"/>
    <w:rsid w:val="00996B75"/>
    <w:rsid w:val="0099718C"/>
    <w:rsid w:val="00997506"/>
    <w:rsid w:val="00997615"/>
    <w:rsid w:val="00997723"/>
    <w:rsid w:val="009A0825"/>
    <w:rsid w:val="009A102A"/>
    <w:rsid w:val="009A19D7"/>
    <w:rsid w:val="009A3131"/>
    <w:rsid w:val="009A3CF3"/>
    <w:rsid w:val="009A4401"/>
    <w:rsid w:val="009A44EF"/>
    <w:rsid w:val="009A4960"/>
    <w:rsid w:val="009B1C76"/>
    <w:rsid w:val="009B2D81"/>
    <w:rsid w:val="009B2E7E"/>
    <w:rsid w:val="009B7FE2"/>
    <w:rsid w:val="009C185A"/>
    <w:rsid w:val="009C1FA2"/>
    <w:rsid w:val="009C3D64"/>
    <w:rsid w:val="009C3EB5"/>
    <w:rsid w:val="009C4450"/>
    <w:rsid w:val="009C526E"/>
    <w:rsid w:val="009C52A1"/>
    <w:rsid w:val="009C5DFA"/>
    <w:rsid w:val="009C6249"/>
    <w:rsid w:val="009C6D48"/>
    <w:rsid w:val="009D07D0"/>
    <w:rsid w:val="009D0A12"/>
    <w:rsid w:val="009D1515"/>
    <w:rsid w:val="009D1FA4"/>
    <w:rsid w:val="009D34F5"/>
    <w:rsid w:val="009D3BA1"/>
    <w:rsid w:val="009D3C00"/>
    <w:rsid w:val="009D49E0"/>
    <w:rsid w:val="009D5780"/>
    <w:rsid w:val="009D58B3"/>
    <w:rsid w:val="009D7217"/>
    <w:rsid w:val="009D7828"/>
    <w:rsid w:val="009D7C42"/>
    <w:rsid w:val="009E007D"/>
    <w:rsid w:val="009E0AAA"/>
    <w:rsid w:val="009E267A"/>
    <w:rsid w:val="009E2ABE"/>
    <w:rsid w:val="009E497C"/>
    <w:rsid w:val="009E5BA1"/>
    <w:rsid w:val="009E66A0"/>
    <w:rsid w:val="009E6DF5"/>
    <w:rsid w:val="009E78B9"/>
    <w:rsid w:val="009EACBF"/>
    <w:rsid w:val="009F20A5"/>
    <w:rsid w:val="009F2BCC"/>
    <w:rsid w:val="009F314F"/>
    <w:rsid w:val="009F5DAE"/>
    <w:rsid w:val="009F64FB"/>
    <w:rsid w:val="009F6A80"/>
    <w:rsid w:val="00A00484"/>
    <w:rsid w:val="00A01183"/>
    <w:rsid w:val="00A017BF"/>
    <w:rsid w:val="00A0216A"/>
    <w:rsid w:val="00A02D3A"/>
    <w:rsid w:val="00A05B3D"/>
    <w:rsid w:val="00A05E81"/>
    <w:rsid w:val="00A0687A"/>
    <w:rsid w:val="00A06CAA"/>
    <w:rsid w:val="00A1006A"/>
    <w:rsid w:val="00A11E33"/>
    <w:rsid w:val="00A13C70"/>
    <w:rsid w:val="00A13DF6"/>
    <w:rsid w:val="00A151DE"/>
    <w:rsid w:val="00A152D2"/>
    <w:rsid w:val="00A158F7"/>
    <w:rsid w:val="00A15D31"/>
    <w:rsid w:val="00A20935"/>
    <w:rsid w:val="00A21BB4"/>
    <w:rsid w:val="00A21C01"/>
    <w:rsid w:val="00A223B6"/>
    <w:rsid w:val="00A225AA"/>
    <w:rsid w:val="00A2423A"/>
    <w:rsid w:val="00A2453B"/>
    <w:rsid w:val="00A24ED0"/>
    <w:rsid w:val="00A255D1"/>
    <w:rsid w:val="00A256BD"/>
    <w:rsid w:val="00A25CDA"/>
    <w:rsid w:val="00A26D65"/>
    <w:rsid w:val="00A2710B"/>
    <w:rsid w:val="00A27203"/>
    <w:rsid w:val="00A274A4"/>
    <w:rsid w:val="00A279A0"/>
    <w:rsid w:val="00A30AB7"/>
    <w:rsid w:val="00A30CCB"/>
    <w:rsid w:val="00A31772"/>
    <w:rsid w:val="00A31FF1"/>
    <w:rsid w:val="00A331EB"/>
    <w:rsid w:val="00A33D89"/>
    <w:rsid w:val="00A343E1"/>
    <w:rsid w:val="00A345D3"/>
    <w:rsid w:val="00A34673"/>
    <w:rsid w:val="00A34B42"/>
    <w:rsid w:val="00A356E3"/>
    <w:rsid w:val="00A36082"/>
    <w:rsid w:val="00A403A9"/>
    <w:rsid w:val="00A4043B"/>
    <w:rsid w:val="00A405BC"/>
    <w:rsid w:val="00A41184"/>
    <w:rsid w:val="00A41834"/>
    <w:rsid w:val="00A41B3F"/>
    <w:rsid w:val="00A422BF"/>
    <w:rsid w:val="00A42FB7"/>
    <w:rsid w:val="00A45899"/>
    <w:rsid w:val="00A461A3"/>
    <w:rsid w:val="00A46A48"/>
    <w:rsid w:val="00A47E4D"/>
    <w:rsid w:val="00A50969"/>
    <w:rsid w:val="00A5105A"/>
    <w:rsid w:val="00A5397F"/>
    <w:rsid w:val="00A5436C"/>
    <w:rsid w:val="00A54399"/>
    <w:rsid w:val="00A54571"/>
    <w:rsid w:val="00A555E0"/>
    <w:rsid w:val="00A55B18"/>
    <w:rsid w:val="00A55DD6"/>
    <w:rsid w:val="00A57390"/>
    <w:rsid w:val="00A57FE4"/>
    <w:rsid w:val="00A60113"/>
    <w:rsid w:val="00A60118"/>
    <w:rsid w:val="00A60679"/>
    <w:rsid w:val="00A61D29"/>
    <w:rsid w:val="00A64756"/>
    <w:rsid w:val="00A6608D"/>
    <w:rsid w:val="00A67123"/>
    <w:rsid w:val="00A6771F"/>
    <w:rsid w:val="00A718DF"/>
    <w:rsid w:val="00A73116"/>
    <w:rsid w:val="00A737D7"/>
    <w:rsid w:val="00A73BFB"/>
    <w:rsid w:val="00A762C8"/>
    <w:rsid w:val="00A774BD"/>
    <w:rsid w:val="00A804B4"/>
    <w:rsid w:val="00A804F2"/>
    <w:rsid w:val="00A80E0E"/>
    <w:rsid w:val="00A813EA"/>
    <w:rsid w:val="00A816F4"/>
    <w:rsid w:val="00A817BD"/>
    <w:rsid w:val="00A82EE1"/>
    <w:rsid w:val="00A83A12"/>
    <w:rsid w:val="00A85BFB"/>
    <w:rsid w:val="00A85F1A"/>
    <w:rsid w:val="00A86BF0"/>
    <w:rsid w:val="00A87008"/>
    <w:rsid w:val="00A87894"/>
    <w:rsid w:val="00A90962"/>
    <w:rsid w:val="00A90CEB"/>
    <w:rsid w:val="00A923BB"/>
    <w:rsid w:val="00A9255D"/>
    <w:rsid w:val="00A936DC"/>
    <w:rsid w:val="00A93C23"/>
    <w:rsid w:val="00A93EF6"/>
    <w:rsid w:val="00A94185"/>
    <w:rsid w:val="00A94444"/>
    <w:rsid w:val="00A9499D"/>
    <w:rsid w:val="00A95116"/>
    <w:rsid w:val="00A9661A"/>
    <w:rsid w:val="00A97E1E"/>
    <w:rsid w:val="00AA11A4"/>
    <w:rsid w:val="00AA149C"/>
    <w:rsid w:val="00AA15E2"/>
    <w:rsid w:val="00AA2E0C"/>
    <w:rsid w:val="00AA3528"/>
    <w:rsid w:val="00AA3DB0"/>
    <w:rsid w:val="00AA4A79"/>
    <w:rsid w:val="00AA6E21"/>
    <w:rsid w:val="00AA6F8C"/>
    <w:rsid w:val="00AA709F"/>
    <w:rsid w:val="00AA7B59"/>
    <w:rsid w:val="00AB05C8"/>
    <w:rsid w:val="00AB2F25"/>
    <w:rsid w:val="00AB3579"/>
    <w:rsid w:val="00AB574C"/>
    <w:rsid w:val="00AB6238"/>
    <w:rsid w:val="00AB7836"/>
    <w:rsid w:val="00AB7907"/>
    <w:rsid w:val="00AB7C9A"/>
    <w:rsid w:val="00AB7EE1"/>
    <w:rsid w:val="00AC0D42"/>
    <w:rsid w:val="00AC1945"/>
    <w:rsid w:val="00AC5F3B"/>
    <w:rsid w:val="00AC6549"/>
    <w:rsid w:val="00AC697E"/>
    <w:rsid w:val="00AD0232"/>
    <w:rsid w:val="00AD07E9"/>
    <w:rsid w:val="00AD4609"/>
    <w:rsid w:val="00AD56B6"/>
    <w:rsid w:val="00AD5B5A"/>
    <w:rsid w:val="00AD5BB0"/>
    <w:rsid w:val="00AE2206"/>
    <w:rsid w:val="00AE39B2"/>
    <w:rsid w:val="00AE3EBA"/>
    <w:rsid w:val="00AF0D6F"/>
    <w:rsid w:val="00AF1134"/>
    <w:rsid w:val="00AF24CF"/>
    <w:rsid w:val="00AF3AB4"/>
    <w:rsid w:val="00AF45F4"/>
    <w:rsid w:val="00AF4976"/>
    <w:rsid w:val="00AF746F"/>
    <w:rsid w:val="00AF74DC"/>
    <w:rsid w:val="00B009F6"/>
    <w:rsid w:val="00B01413"/>
    <w:rsid w:val="00B0185D"/>
    <w:rsid w:val="00B01A84"/>
    <w:rsid w:val="00B02087"/>
    <w:rsid w:val="00B03288"/>
    <w:rsid w:val="00B035AF"/>
    <w:rsid w:val="00B05E51"/>
    <w:rsid w:val="00B06D05"/>
    <w:rsid w:val="00B07C38"/>
    <w:rsid w:val="00B108DD"/>
    <w:rsid w:val="00B10B98"/>
    <w:rsid w:val="00B11F1A"/>
    <w:rsid w:val="00B148B5"/>
    <w:rsid w:val="00B157E0"/>
    <w:rsid w:val="00B15CAA"/>
    <w:rsid w:val="00B15CC1"/>
    <w:rsid w:val="00B161EF"/>
    <w:rsid w:val="00B16375"/>
    <w:rsid w:val="00B22497"/>
    <w:rsid w:val="00B22784"/>
    <w:rsid w:val="00B23393"/>
    <w:rsid w:val="00B24004"/>
    <w:rsid w:val="00B24DAE"/>
    <w:rsid w:val="00B27AE1"/>
    <w:rsid w:val="00B317E0"/>
    <w:rsid w:val="00B32B97"/>
    <w:rsid w:val="00B336F9"/>
    <w:rsid w:val="00B34A32"/>
    <w:rsid w:val="00B34AC4"/>
    <w:rsid w:val="00B34F58"/>
    <w:rsid w:val="00B352CE"/>
    <w:rsid w:val="00B35706"/>
    <w:rsid w:val="00B35D59"/>
    <w:rsid w:val="00B3603C"/>
    <w:rsid w:val="00B368DA"/>
    <w:rsid w:val="00B36F41"/>
    <w:rsid w:val="00B37000"/>
    <w:rsid w:val="00B37601"/>
    <w:rsid w:val="00B406D7"/>
    <w:rsid w:val="00B4142A"/>
    <w:rsid w:val="00B41CC6"/>
    <w:rsid w:val="00B44287"/>
    <w:rsid w:val="00B44764"/>
    <w:rsid w:val="00B44BF2"/>
    <w:rsid w:val="00B4537F"/>
    <w:rsid w:val="00B45943"/>
    <w:rsid w:val="00B459EC"/>
    <w:rsid w:val="00B45A0B"/>
    <w:rsid w:val="00B463EF"/>
    <w:rsid w:val="00B50864"/>
    <w:rsid w:val="00B50CD8"/>
    <w:rsid w:val="00B5152E"/>
    <w:rsid w:val="00B517EC"/>
    <w:rsid w:val="00B51887"/>
    <w:rsid w:val="00B53000"/>
    <w:rsid w:val="00B5338B"/>
    <w:rsid w:val="00B5367A"/>
    <w:rsid w:val="00B5390D"/>
    <w:rsid w:val="00B5426D"/>
    <w:rsid w:val="00B54778"/>
    <w:rsid w:val="00B56F26"/>
    <w:rsid w:val="00B57585"/>
    <w:rsid w:val="00B60216"/>
    <w:rsid w:val="00B60C5F"/>
    <w:rsid w:val="00B60C74"/>
    <w:rsid w:val="00B61A5B"/>
    <w:rsid w:val="00B63F6A"/>
    <w:rsid w:val="00B64247"/>
    <w:rsid w:val="00B648B6"/>
    <w:rsid w:val="00B64B0F"/>
    <w:rsid w:val="00B64E30"/>
    <w:rsid w:val="00B658AD"/>
    <w:rsid w:val="00B67A5A"/>
    <w:rsid w:val="00B67D7F"/>
    <w:rsid w:val="00B7083F"/>
    <w:rsid w:val="00B75A03"/>
    <w:rsid w:val="00B80B7F"/>
    <w:rsid w:val="00B80E46"/>
    <w:rsid w:val="00B8125C"/>
    <w:rsid w:val="00B817D7"/>
    <w:rsid w:val="00B81CE7"/>
    <w:rsid w:val="00B8248F"/>
    <w:rsid w:val="00B82AFB"/>
    <w:rsid w:val="00B8362A"/>
    <w:rsid w:val="00B843A4"/>
    <w:rsid w:val="00B850FA"/>
    <w:rsid w:val="00B85364"/>
    <w:rsid w:val="00B86090"/>
    <w:rsid w:val="00B862FA"/>
    <w:rsid w:val="00B86727"/>
    <w:rsid w:val="00B868B6"/>
    <w:rsid w:val="00B8728A"/>
    <w:rsid w:val="00B87781"/>
    <w:rsid w:val="00B90DBD"/>
    <w:rsid w:val="00B926BF"/>
    <w:rsid w:val="00B9370B"/>
    <w:rsid w:val="00B94660"/>
    <w:rsid w:val="00B96412"/>
    <w:rsid w:val="00B97490"/>
    <w:rsid w:val="00B97ED4"/>
    <w:rsid w:val="00BA07C3"/>
    <w:rsid w:val="00BA097A"/>
    <w:rsid w:val="00BA3F81"/>
    <w:rsid w:val="00BA531C"/>
    <w:rsid w:val="00BA5682"/>
    <w:rsid w:val="00BA5BBF"/>
    <w:rsid w:val="00BA7E38"/>
    <w:rsid w:val="00BB0A6B"/>
    <w:rsid w:val="00BB2016"/>
    <w:rsid w:val="00BB27B6"/>
    <w:rsid w:val="00BB318C"/>
    <w:rsid w:val="00BB38A9"/>
    <w:rsid w:val="00BB4BD1"/>
    <w:rsid w:val="00BB5F30"/>
    <w:rsid w:val="00BB6405"/>
    <w:rsid w:val="00BC08C0"/>
    <w:rsid w:val="00BC1355"/>
    <w:rsid w:val="00BC1870"/>
    <w:rsid w:val="00BC1EA8"/>
    <w:rsid w:val="00BC26C2"/>
    <w:rsid w:val="00BC4FBA"/>
    <w:rsid w:val="00BC74B3"/>
    <w:rsid w:val="00BC7B44"/>
    <w:rsid w:val="00BC7EAE"/>
    <w:rsid w:val="00BD1690"/>
    <w:rsid w:val="00BD1FCE"/>
    <w:rsid w:val="00BD2095"/>
    <w:rsid w:val="00BD25F0"/>
    <w:rsid w:val="00BD26E0"/>
    <w:rsid w:val="00BD37F9"/>
    <w:rsid w:val="00BD50B0"/>
    <w:rsid w:val="00BD5EA8"/>
    <w:rsid w:val="00BE108A"/>
    <w:rsid w:val="00BE1D02"/>
    <w:rsid w:val="00BE1ECE"/>
    <w:rsid w:val="00BE2155"/>
    <w:rsid w:val="00BE2B26"/>
    <w:rsid w:val="00BE2EB2"/>
    <w:rsid w:val="00BE455E"/>
    <w:rsid w:val="00BE69FE"/>
    <w:rsid w:val="00BE6F3B"/>
    <w:rsid w:val="00BF01A6"/>
    <w:rsid w:val="00BF16FF"/>
    <w:rsid w:val="00BF191E"/>
    <w:rsid w:val="00BF1B41"/>
    <w:rsid w:val="00BF2737"/>
    <w:rsid w:val="00BF36DD"/>
    <w:rsid w:val="00BF3EFE"/>
    <w:rsid w:val="00BF5159"/>
    <w:rsid w:val="00BF6F41"/>
    <w:rsid w:val="00C01A41"/>
    <w:rsid w:val="00C01E69"/>
    <w:rsid w:val="00C02C5B"/>
    <w:rsid w:val="00C03232"/>
    <w:rsid w:val="00C03508"/>
    <w:rsid w:val="00C03F72"/>
    <w:rsid w:val="00C1093A"/>
    <w:rsid w:val="00C113C6"/>
    <w:rsid w:val="00C12D64"/>
    <w:rsid w:val="00C1342A"/>
    <w:rsid w:val="00C142B7"/>
    <w:rsid w:val="00C1608C"/>
    <w:rsid w:val="00C162E0"/>
    <w:rsid w:val="00C168D7"/>
    <w:rsid w:val="00C17E2F"/>
    <w:rsid w:val="00C21E4E"/>
    <w:rsid w:val="00C22D1D"/>
    <w:rsid w:val="00C2305F"/>
    <w:rsid w:val="00C2533B"/>
    <w:rsid w:val="00C25402"/>
    <w:rsid w:val="00C25866"/>
    <w:rsid w:val="00C30335"/>
    <w:rsid w:val="00C306CC"/>
    <w:rsid w:val="00C30F51"/>
    <w:rsid w:val="00C33968"/>
    <w:rsid w:val="00C346AF"/>
    <w:rsid w:val="00C34A67"/>
    <w:rsid w:val="00C353DD"/>
    <w:rsid w:val="00C360B5"/>
    <w:rsid w:val="00C369D7"/>
    <w:rsid w:val="00C4005F"/>
    <w:rsid w:val="00C40091"/>
    <w:rsid w:val="00C4063B"/>
    <w:rsid w:val="00C42333"/>
    <w:rsid w:val="00C437BE"/>
    <w:rsid w:val="00C447B7"/>
    <w:rsid w:val="00C46F3F"/>
    <w:rsid w:val="00C50E6D"/>
    <w:rsid w:val="00C51785"/>
    <w:rsid w:val="00C5380E"/>
    <w:rsid w:val="00C559F5"/>
    <w:rsid w:val="00C55DD2"/>
    <w:rsid w:val="00C57B5B"/>
    <w:rsid w:val="00C600E2"/>
    <w:rsid w:val="00C60D21"/>
    <w:rsid w:val="00C61152"/>
    <w:rsid w:val="00C61EFD"/>
    <w:rsid w:val="00C626A4"/>
    <w:rsid w:val="00C63D5E"/>
    <w:rsid w:val="00C66047"/>
    <w:rsid w:val="00C663AA"/>
    <w:rsid w:val="00C712F7"/>
    <w:rsid w:val="00C740A9"/>
    <w:rsid w:val="00C76ADA"/>
    <w:rsid w:val="00C770F7"/>
    <w:rsid w:val="00C80A52"/>
    <w:rsid w:val="00C80A6D"/>
    <w:rsid w:val="00C81B3D"/>
    <w:rsid w:val="00C82E4A"/>
    <w:rsid w:val="00C84C1F"/>
    <w:rsid w:val="00C86208"/>
    <w:rsid w:val="00C9011E"/>
    <w:rsid w:val="00C9359E"/>
    <w:rsid w:val="00C94AD6"/>
    <w:rsid w:val="00C94E21"/>
    <w:rsid w:val="00C95706"/>
    <w:rsid w:val="00C95827"/>
    <w:rsid w:val="00C9682B"/>
    <w:rsid w:val="00C97474"/>
    <w:rsid w:val="00C976BD"/>
    <w:rsid w:val="00C979C4"/>
    <w:rsid w:val="00CA0384"/>
    <w:rsid w:val="00CA1835"/>
    <w:rsid w:val="00CA3258"/>
    <w:rsid w:val="00CA3312"/>
    <w:rsid w:val="00CA39F1"/>
    <w:rsid w:val="00CA4156"/>
    <w:rsid w:val="00CA48F5"/>
    <w:rsid w:val="00CA573D"/>
    <w:rsid w:val="00CA5AE7"/>
    <w:rsid w:val="00CA64FE"/>
    <w:rsid w:val="00CA6658"/>
    <w:rsid w:val="00CA6A55"/>
    <w:rsid w:val="00CA6C26"/>
    <w:rsid w:val="00CA6D38"/>
    <w:rsid w:val="00CA70C1"/>
    <w:rsid w:val="00CA767D"/>
    <w:rsid w:val="00CB02E9"/>
    <w:rsid w:val="00CB0389"/>
    <w:rsid w:val="00CB0736"/>
    <w:rsid w:val="00CB11C4"/>
    <w:rsid w:val="00CB213A"/>
    <w:rsid w:val="00CB23EA"/>
    <w:rsid w:val="00CB2BF5"/>
    <w:rsid w:val="00CB5DEC"/>
    <w:rsid w:val="00CB61A6"/>
    <w:rsid w:val="00CB6AD3"/>
    <w:rsid w:val="00CB6B8A"/>
    <w:rsid w:val="00CB7F9D"/>
    <w:rsid w:val="00CC08FE"/>
    <w:rsid w:val="00CC2659"/>
    <w:rsid w:val="00CC3038"/>
    <w:rsid w:val="00CC70BB"/>
    <w:rsid w:val="00CD15B0"/>
    <w:rsid w:val="00CD1D2C"/>
    <w:rsid w:val="00CD24C1"/>
    <w:rsid w:val="00CD2737"/>
    <w:rsid w:val="00CE1663"/>
    <w:rsid w:val="00CE20AA"/>
    <w:rsid w:val="00CE2CB9"/>
    <w:rsid w:val="00CE37FC"/>
    <w:rsid w:val="00CE38A9"/>
    <w:rsid w:val="00CE3A3F"/>
    <w:rsid w:val="00CE3AB8"/>
    <w:rsid w:val="00CE4DD8"/>
    <w:rsid w:val="00CE5044"/>
    <w:rsid w:val="00CE61D4"/>
    <w:rsid w:val="00CE664B"/>
    <w:rsid w:val="00CE677A"/>
    <w:rsid w:val="00CE6C3F"/>
    <w:rsid w:val="00CE7B00"/>
    <w:rsid w:val="00CE7E7D"/>
    <w:rsid w:val="00CF0B0E"/>
    <w:rsid w:val="00CF3445"/>
    <w:rsid w:val="00CF3A80"/>
    <w:rsid w:val="00CF4CF3"/>
    <w:rsid w:val="00CF6B47"/>
    <w:rsid w:val="00D01084"/>
    <w:rsid w:val="00D02083"/>
    <w:rsid w:val="00D0208C"/>
    <w:rsid w:val="00D02B04"/>
    <w:rsid w:val="00D02EF0"/>
    <w:rsid w:val="00D03169"/>
    <w:rsid w:val="00D03884"/>
    <w:rsid w:val="00D03CDF"/>
    <w:rsid w:val="00D04D15"/>
    <w:rsid w:val="00D04F57"/>
    <w:rsid w:val="00D053B9"/>
    <w:rsid w:val="00D05FBF"/>
    <w:rsid w:val="00D0608F"/>
    <w:rsid w:val="00D06752"/>
    <w:rsid w:val="00D067C6"/>
    <w:rsid w:val="00D10358"/>
    <w:rsid w:val="00D108FB"/>
    <w:rsid w:val="00D11896"/>
    <w:rsid w:val="00D11CA1"/>
    <w:rsid w:val="00D11CAD"/>
    <w:rsid w:val="00D130F3"/>
    <w:rsid w:val="00D131A7"/>
    <w:rsid w:val="00D14C89"/>
    <w:rsid w:val="00D155D2"/>
    <w:rsid w:val="00D15BF4"/>
    <w:rsid w:val="00D16870"/>
    <w:rsid w:val="00D17C3D"/>
    <w:rsid w:val="00D2063D"/>
    <w:rsid w:val="00D20B24"/>
    <w:rsid w:val="00D2128B"/>
    <w:rsid w:val="00D213E9"/>
    <w:rsid w:val="00D22065"/>
    <w:rsid w:val="00D228B3"/>
    <w:rsid w:val="00D23263"/>
    <w:rsid w:val="00D23599"/>
    <w:rsid w:val="00D2421D"/>
    <w:rsid w:val="00D24B31"/>
    <w:rsid w:val="00D25944"/>
    <w:rsid w:val="00D272ED"/>
    <w:rsid w:val="00D2769C"/>
    <w:rsid w:val="00D30F06"/>
    <w:rsid w:val="00D31126"/>
    <w:rsid w:val="00D31257"/>
    <w:rsid w:val="00D31CDE"/>
    <w:rsid w:val="00D34077"/>
    <w:rsid w:val="00D348D5"/>
    <w:rsid w:val="00D35245"/>
    <w:rsid w:val="00D35471"/>
    <w:rsid w:val="00D3574C"/>
    <w:rsid w:val="00D3695F"/>
    <w:rsid w:val="00D4008C"/>
    <w:rsid w:val="00D40F82"/>
    <w:rsid w:val="00D43370"/>
    <w:rsid w:val="00D43A7A"/>
    <w:rsid w:val="00D45A46"/>
    <w:rsid w:val="00D46D32"/>
    <w:rsid w:val="00D470E5"/>
    <w:rsid w:val="00D47DC1"/>
    <w:rsid w:val="00D502D3"/>
    <w:rsid w:val="00D505DB"/>
    <w:rsid w:val="00D5185A"/>
    <w:rsid w:val="00D52F98"/>
    <w:rsid w:val="00D54FC8"/>
    <w:rsid w:val="00D5637C"/>
    <w:rsid w:val="00D56DBF"/>
    <w:rsid w:val="00D604BC"/>
    <w:rsid w:val="00D60E0F"/>
    <w:rsid w:val="00D61A6C"/>
    <w:rsid w:val="00D6556C"/>
    <w:rsid w:val="00D6556D"/>
    <w:rsid w:val="00D661AE"/>
    <w:rsid w:val="00D667FE"/>
    <w:rsid w:val="00D669A0"/>
    <w:rsid w:val="00D67166"/>
    <w:rsid w:val="00D6785D"/>
    <w:rsid w:val="00D717A0"/>
    <w:rsid w:val="00D72986"/>
    <w:rsid w:val="00D74946"/>
    <w:rsid w:val="00D7496D"/>
    <w:rsid w:val="00D75966"/>
    <w:rsid w:val="00D76D06"/>
    <w:rsid w:val="00D81BF8"/>
    <w:rsid w:val="00D82BFB"/>
    <w:rsid w:val="00D83992"/>
    <w:rsid w:val="00D86470"/>
    <w:rsid w:val="00D8653C"/>
    <w:rsid w:val="00D90403"/>
    <w:rsid w:val="00D910A7"/>
    <w:rsid w:val="00D913B5"/>
    <w:rsid w:val="00D91786"/>
    <w:rsid w:val="00D9233F"/>
    <w:rsid w:val="00D930B9"/>
    <w:rsid w:val="00D94408"/>
    <w:rsid w:val="00DA04E6"/>
    <w:rsid w:val="00DA18DA"/>
    <w:rsid w:val="00DA3C9B"/>
    <w:rsid w:val="00DA53F6"/>
    <w:rsid w:val="00DA5B0F"/>
    <w:rsid w:val="00DA6399"/>
    <w:rsid w:val="00DA7157"/>
    <w:rsid w:val="00DB3006"/>
    <w:rsid w:val="00DB37C7"/>
    <w:rsid w:val="00DB3C9A"/>
    <w:rsid w:val="00DB75B8"/>
    <w:rsid w:val="00DB771F"/>
    <w:rsid w:val="00DC1E6E"/>
    <w:rsid w:val="00DC3E7A"/>
    <w:rsid w:val="00DC4BBE"/>
    <w:rsid w:val="00DD01BB"/>
    <w:rsid w:val="00DD0BF5"/>
    <w:rsid w:val="00DD2785"/>
    <w:rsid w:val="00DD32D3"/>
    <w:rsid w:val="00DD6433"/>
    <w:rsid w:val="00DD66A3"/>
    <w:rsid w:val="00DD68CA"/>
    <w:rsid w:val="00DD72AB"/>
    <w:rsid w:val="00DE0B2E"/>
    <w:rsid w:val="00DE48FF"/>
    <w:rsid w:val="00DE4986"/>
    <w:rsid w:val="00DE570B"/>
    <w:rsid w:val="00DE6400"/>
    <w:rsid w:val="00DE733B"/>
    <w:rsid w:val="00DF0395"/>
    <w:rsid w:val="00DF0AB8"/>
    <w:rsid w:val="00DF0E58"/>
    <w:rsid w:val="00DF1CEC"/>
    <w:rsid w:val="00DF2411"/>
    <w:rsid w:val="00DF2C03"/>
    <w:rsid w:val="00DF3CBA"/>
    <w:rsid w:val="00DF5D6D"/>
    <w:rsid w:val="00DF6159"/>
    <w:rsid w:val="00E034E1"/>
    <w:rsid w:val="00E03D45"/>
    <w:rsid w:val="00E03D4E"/>
    <w:rsid w:val="00E05CD8"/>
    <w:rsid w:val="00E06F3B"/>
    <w:rsid w:val="00E0726F"/>
    <w:rsid w:val="00E107CD"/>
    <w:rsid w:val="00E11A64"/>
    <w:rsid w:val="00E125EF"/>
    <w:rsid w:val="00E130E4"/>
    <w:rsid w:val="00E14138"/>
    <w:rsid w:val="00E15774"/>
    <w:rsid w:val="00E16AA1"/>
    <w:rsid w:val="00E1743A"/>
    <w:rsid w:val="00E20905"/>
    <w:rsid w:val="00E2147C"/>
    <w:rsid w:val="00E216F6"/>
    <w:rsid w:val="00E21C39"/>
    <w:rsid w:val="00E24562"/>
    <w:rsid w:val="00E246C9"/>
    <w:rsid w:val="00E25245"/>
    <w:rsid w:val="00E25932"/>
    <w:rsid w:val="00E274C7"/>
    <w:rsid w:val="00E27A2E"/>
    <w:rsid w:val="00E27BFE"/>
    <w:rsid w:val="00E300A5"/>
    <w:rsid w:val="00E30786"/>
    <w:rsid w:val="00E32E76"/>
    <w:rsid w:val="00E34B9E"/>
    <w:rsid w:val="00E352B4"/>
    <w:rsid w:val="00E354C3"/>
    <w:rsid w:val="00E36218"/>
    <w:rsid w:val="00E36C13"/>
    <w:rsid w:val="00E37195"/>
    <w:rsid w:val="00E37D9A"/>
    <w:rsid w:val="00E42C50"/>
    <w:rsid w:val="00E43BAF"/>
    <w:rsid w:val="00E44A5F"/>
    <w:rsid w:val="00E45254"/>
    <w:rsid w:val="00E47FBA"/>
    <w:rsid w:val="00E50F98"/>
    <w:rsid w:val="00E5153A"/>
    <w:rsid w:val="00E517E1"/>
    <w:rsid w:val="00E51839"/>
    <w:rsid w:val="00E51DA0"/>
    <w:rsid w:val="00E521DD"/>
    <w:rsid w:val="00E52601"/>
    <w:rsid w:val="00E53D7F"/>
    <w:rsid w:val="00E54B42"/>
    <w:rsid w:val="00E5539E"/>
    <w:rsid w:val="00E576A5"/>
    <w:rsid w:val="00E601D2"/>
    <w:rsid w:val="00E6157A"/>
    <w:rsid w:val="00E6163D"/>
    <w:rsid w:val="00E61D40"/>
    <w:rsid w:val="00E6227C"/>
    <w:rsid w:val="00E6262E"/>
    <w:rsid w:val="00E6331E"/>
    <w:rsid w:val="00E63424"/>
    <w:rsid w:val="00E64020"/>
    <w:rsid w:val="00E649EA"/>
    <w:rsid w:val="00E64D5D"/>
    <w:rsid w:val="00E654D0"/>
    <w:rsid w:val="00E65B63"/>
    <w:rsid w:val="00E70A88"/>
    <w:rsid w:val="00E7351C"/>
    <w:rsid w:val="00E75DDA"/>
    <w:rsid w:val="00E82640"/>
    <w:rsid w:val="00E8344D"/>
    <w:rsid w:val="00E8374C"/>
    <w:rsid w:val="00E8591E"/>
    <w:rsid w:val="00E906BB"/>
    <w:rsid w:val="00E915E0"/>
    <w:rsid w:val="00E91BB4"/>
    <w:rsid w:val="00E92DC0"/>
    <w:rsid w:val="00E935AC"/>
    <w:rsid w:val="00E9377E"/>
    <w:rsid w:val="00E9591D"/>
    <w:rsid w:val="00E966CC"/>
    <w:rsid w:val="00E967AA"/>
    <w:rsid w:val="00E96B52"/>
    <w:rsid w:val="00E96EFA"/>
    <w:rsid w:val="00E9798C"/>
    <w:rsid w:val="00E97A37"/>
    <w:rsid w:val="00E97B90"/>
    <w:rsid w:val="00E97F13"/>
    <w:rsid w:val="00EA127C"/>
    <w:rsid w:val="00EA29A5"/>
    <w:rsid w:val="00EA3DFE"/>
    <w:rsid w:val="00EA4622"/>
    <w:rsid w:val="00EA4AD4"/>
    <w:rsid w:val="00EA68DB"/>
    <w:rsid w:val="00EA7DD5"/>
    <w:rsid w:val="00EB0594"/>
    <w:rsid w:val="00EB0617"/>
    <w:rsid w:val="00EB13FE"/>
    <w:rsid w:val="00EB2312"/>
    <w:rsid w:val="00EB265F"/>
    <w:rsid w:val="00EB2864"/>
    <w:rsid w:val="00EB3834"/>
    <w:rsid w:val="00EB39B2"/>
    <w:rsid w:val="00EB4089"/>
    <w:rsid w:val="00EB50D5"/>
    <w:rsid w:val="00EB5AA0"/>
    <w:rsid w:val="00EB5D84"/>
    <w:rsid w:val="00EC0326"/>
    <w:rsid w:val="00EC22F4"/>
    <w:rsid w:val="00EC28F9"/>
    <w:rsid w:val="00EC2940"/>
    <w:rsid w:val="00EC38CD"/>
    <w:rsid w:val="00EC3B14"/>
    <w:rsid w:val="00EC42AC"/>
    <w:rsid w:val="00EC4503"/>
    <w:rsid w:val="00EC4B4C"/>
    <w:rsid w:val="00EC5A18"/>
    <w:rsid w:val="00EC6A69"/>
    <w:rsid w:val="00ED070E"/>
    <w:rsid w:val="00ED1288"/>
    <w:rsid w:val="00ED1F37"/>
    <w:rsid w:val="00ED3C5C"/>
    <w:rsid w:val="00ED50AA"/>
    <w:rsid w:val="00ED68A6"/>
    <w:rsid w:val="00ED6BE0"/>
    <w:rsid w:val="00ED7BFE"/>
    <w:rsid w:val="00ED7DA6"/>
    <w:rsid w:val="00EE3934"/>
    <w:rsid w:val="00EE4A75"/>
    <w:rsid w:val="00EE52AB"/>
    <w:rsid w:val="00EE70B9"/>
    <w:rsid w:val="00EE7F01"/>
    <w:rsid w:val="00EF02B8"/>
    <w:rsid w:val="00EF043C"/>
    <w:rsid w:val="00EF0BAF"/>
    <w:rsid w:val="00EF129A"/>
    <w:rsid w:val="00EF221D"/>
    <w:rsid w:val="00EF2571"/>
    <w:rsid w:val="00EF2F9E"/>
    <w:rsid w:val="00EF3784"/>
    <w:rsid w:val="00EF3A62"/>
    <w:rsid w:val="00EF3BF4"/>
    <w:rsid w:val="00EF521C"/>
    <w:rsid w:val="00EF699F"/>
    <w:rsid w:val="00EF6CCB"/>
    <w:rsid w:val="00EF75C2"/>
    <w:rsid w:val="00F0132D"/>
    <w:rsid w:val="00F01608"/>
    <w:rsid w:val="00F036FD"/>
    <w:rsid w:val="00F03A8D"/>
    <w:rsid w:val="00F04181"/>
    <w:rsid w:val="00F041E7"/>
    <w:rsid w:val="00F04A98"/>
    <w:rsid w:val="00F0699F"/>
    <w:rsid w:val="00F06AD9"/>
    <w:rsid w:val="00F06DF2"/>
    <w:rsid w:val="00F07B2A"/>
    <w:rsid w:val="00F07C02"/>
    <w:rsid w:val="00F07FE1"/>
    <w:rsid w:val="00F10538"/>
    <w:rsid w:val="00F11397"/>
    <w:rsid w:val="00F11CE6"/>
    <w:rsid w:val="00F11DCB"/>
    <w:rsid w:val="00F13126"/>
    <w:rsid w:val="00F15B28"/>
    <w:rsid w:val="00F16470"/>
    <w:rsid w:val="00F164C4"/>
    <w:rsid w:val="00F170F1"/>
    <w:rsid w:val="00F17335"/>
    <w:rsid w:val="00F17608"/>
    <w:rsid w:val="00F20526"/>
    <w:rsid w:val="00F20624"/>
    <w:rsid w:val="00F208D2"/>
    <w:rsid w:val="00F20A66"/>
    <w:rsid w:val="00F2100E"/>
    <w:rsid w:val="00F215C9"/>
    <w:rsid w:val="00F242FE"/>
    <w:rsid w:val="00F2460F"/>
    <w:rsid w:val="00F24684"/>
    <w:rsid w:val="00F25935"/>
    <w:rsid w:val="00F25E67"/>
    <w:rsid w:val="00F26846"/>
    <w:rsid w:val="00F27FE5"/>
    <w:rsid w:val="00F32483"/>
    <w:rsid w:val="00F35CB1"/>
    <w:rsid w:val="00F3766A"/>
    <w:rsid w:val="00F406BD"/>
    <w:rsid w:val="00F40876"/>
    <w:rsid w:val="00F4090C"/>
    <w:rsid w:val="00F41103"/>
    <w:rsid w:val="00F413F7"/>
    <w:rsid w:val="00F418AC"/>
    <w:rsid w:val="00F42217"/>
    <w:rsid w:val="00F4286A"/>
    <w:rsid w:val="00F42B95"/>
    <w:rsid w:val="00F431B7"/>
    <w:rsid w:val="00F43B55"/>
    <w:rsid w:val="00F43EA4"/>
    <w:rsid w:val="00F44137"/>
    <w:rsid w:val="00F44C36"/>
    <w:rsid w:val="00F44D5B"/>
    <w:rsid w:val="00F45724"/>
    <w:rsid w:val="00F45BCA"/>
    <w:rsid w:val="00F46683"/>
    <w:rsid w:val="00F47D83"/>
    <w:rsid w:val="00F500A3"/>
    <w:rsid w:val="00F50F6A"/>
    <w:rsid w:val="00F50FF9"/>
    <w:rsid w:val="00F51D15"/>
    <w:rsid w:val="00F52A4E"/>
    <w:rsid w:val="00F5310D"/>
    <w:rsid w:val="00F5493D"/>
    <w:rsid w:val="00F55837"/>
    <w:rsid w:val="00F568BB"/>
    <w:rsid w:val="00F574BF"/>
    <w:rsid w:val="00F5796B"/>
    <w:rsid w:val="00F61193"/>
    <w:rsid w:val="00F615BD"/>
    <w:rsid w:val="00F63025"/>
    <w:rsid w:val="00F65238"/>
    <w:rsid w:val="00F65E29"/>
    <w:rsid w:val="00F663AD"/>
    <w:rsid w:val="00F66FD5"/>
    <w:rsid w:val="00F67D8F"/>
    <w:rsid w:val="00F70A5B"/>
    <w:rsid w:val="00F71A86"/>
    <w:rsid w:val="00F7407A"/>
    <w:rsid w:val="00F7425E"/>
    <w:rsid w:val="00F7736E"/>
    <w:rsid w:val="00F773F2"/>
    <w:rsid w:val="00F77FA3"/>
    <w:rsid w:val="00F81AED"/>
    <w:rsid w:val="00F81F32"/>
    <w:rsid w:val="00F83F9F"/>
    <w:rsid w:val="00F8545B"/>
    <w:rsid w:val="00F86033"/>
    <w:rsid w:val="00F86539"/>
    <w:rsid w:val="00F8686A"/>
    <w:rsid w:val="00F86C78"/>
    <w:rsid w:val="00F86EDF"/>
    <w:rsid w:val="00F90E52"/>
    <w:rsid w:val="00F913C8"/>
    <w:rsid w:val="00F91C2A"/>
    <w:rsid w:val="00F92BF0"/>
    <w:rsid w:val="00F947D4"/>
    <w:rsid w:val="00F948D2"/>
    <w:rsid w:val="00F94F07"/>
    <w:rsid w:val="00F954FF"/>
    <w:rsid w:val="00F96875"/>
    <w:rsid w:val="00F9762B"/>
    <w:rsid w:val="00F97744"/>
    <w:rsid w:val="00F97C4B"/>
    <w:rsid w:val="00FA01DA"/>
    <w:rsid w:val="00FA178D"/>
    <w:rsid w:val="00FA1C4D"/>
    <w:rsid w:val="00FA232D"/>
    <w:rsid w:val="00FA26EA"/>
    <w:rsid w:val="00FA2DFE"/>
    <w:rsid w:val="00FA38E0"/>
    <w:rsid w:val="00FA4F42"/>
    <w:rsid w:val="00FA5F98"/>
    <w:rsid w:val="00FA76EA"/>
    <w:rsid w:val="00FA77F8"/>
    <w:rsid w:val="00FB144A"/>
    <w:rsid w:val="00FB2FF5"/>
    <w:rsid w:val="00FB5C8B"/>
    <w:rsid w:val="00FB6434"/>
    <w:rsid w:val="00FB69A0"/>
    <w:rsid w:val="00FC00A0"/>
    <w:rsid w:val="00FC01D8"/>
    <w:rsid w:val="00FC0493"/>
    <w:rsid w:val="00FC3507"/>
    <w:rsid w:val="00FC3709"/>
    <w:rsid w:val="00FC3BFB"/>
    <w:rsid w:val="00FC6B51"/>
    <w:rsid w:val="00FC6B7F"/>
    <w:rsid w:val="00FC7043"/>
    <w:rsid w:val="00FC7389"/>
    <w:rsid w:val="00FD171F"/>
    <w:rsid w:val="00FD3EE7"/>
    <w:rsid w:val="00FD6E02"/>
    <w:rsid w:val="00FD7BD5"/>
    <w:rsid w:val="00FE084D"/>
    <w:rsid w:val="00FE14AC"/>
    <w:rsid w:val="00FE1773"/>
    <w:rsid w:val="00FE2490"/>
    <w:rsid w:val="00FE3192"/>
    <w:rsid w:val="00FE3457"/>
    <w:rsid w:val="00FE3C91"/>
    <w:rsid w:val="00FE3CF6"/>
    <w:rsid w:val="00FE6BEB"/>
    <w:rsid w:val="00FE7D89"/>
    <w:rsid w:val="00FF1260"/>
    <w:rsid w:val="00FF5220"/>
    <w:rsid w:val="00FF5545"/>
    <w:rsid w:val="00FF5B64"/>
    <w:rsid w:val="00FF7E89"/>
    <w:rsid w:val="0145F67D"/>
    <w:rsid w:val="0194AFC6"/>
    <w:rsid w:val="042C2128"/>
    <w:rsid w:val="05F794C3"/>
    <w:rsid w:val="06F5F28E"/>
    <w:rsid w:val="07FD29D2"/>
    <w:rsid w:val="081059D3"/>
    <w:rsid w:val="08691399"/>
    <w:rsid w:val="0882C1D5"/>
    <w:rsid w:val="0AB6B419"/>
    <w:rsid w:val="0BB67438"/>
    <w:rsid w:val="0C0740EB"/>
    <w:rsid w:val="0CCFB9F7"/>
    <w:rsid w:val="0E69E04B"/>
    <w:rsid w:val="0F90B664"/>
    <w:rsid w:val="0FD426D7"/>
    <w:rsid w:val="102C905F"/>
    <w:rsid w:val="10CE8C43"/>
    <w:rsid w:val="119086E4"/>
    <w:rsid w:val="11B6ECC9"/>
    <w:rsid w:val="11E6EF41"/>
    <w:rsid w:val="138AA47D"/>
    <w:rsid w:val="13B09ED8"/>
    <w:rsid w:val="13B1127D"/>
    <w:rsid w:val="14070DB5"/>
    <w:rsid w:val="1417A656"/>
    <w:rsid w:val="1660563D"/>
    <w:rsid w:val="178770F0"/>
    <w:rsid w:val="19215B8E"/>
    <w:rsid w:val="1935CE83"/>
    <w:rsid w:val="19C0C452"/>
    <w:rsid w:val="1AF1E7D0"/>
    <w:rsid w:val="1B192F7D"/>
    <w:rsid w:val="1B564737"/>
    <w:rsid w:val="1B88EA1E"/>
    <w:rsid w:val="1C11D0EB"/>
    <w:rsid w:val="1C7090DF"/>
    <w:rsid w:val="1FE55301"/>
    <w:rsid w:val="200D74B5"/>
    <w:rsid w:val="2058B33C"/>
    <w:rsid w:val="215D36AA"/>
    <w:rsid w:val="232754E3"/>
    <w:rsid w:val="2396DE73"/>
    <w:rsid w:val="242989FF"/>
    <w:rsid w:val="250FDF7C"/>
    <w:rsid w:val="25B172A4"/>
    <w:rsid w:val="26CDE28F"/>
    <w:rsid w:val="270A68E1"/>
    <w:rsid w:val="27AE480A"/>
    <w:rsid w:val="282A54D0"/>
    <w:rsid w:val="288544AC"/>
    <w:rsid w:val="291ECA9A"/>
    <w:rsid w:val="2999FA5E"/>
    <w:rsid w:val="2A0408D8"/>
    <w:rsid w:val="2A9DD83E"/>
    <w:rsid w:val="2C432621"/>
    <w:rsid w:val="2D30AC46"/>
    <w:rsid w:val="2F538E58"/>
    <w:rsid w:val="3045624C"/>
    <w:rsid w:val="30C5BA2A"/>
    <w:rsid w:val="313CC710"/>
    <w:rsid w:val="317DF320"/>
    <w:rsid w:val="3203F815"/>
    <w:rsid w:val="3345A4B3"/>
    <w:rsid w:val="3519A617"/>
    <w:rsid w:val="36B4B157"/>
    <w:rsid w:val="37E929D0"/>
    <w:rsid w:val="384B1685"/>
    <w:rsid w:val="387A025C"/>
    <w:rsid w:val="39003842"/>
    <w:rsid w:val="39CBD3C7"/>
    <w:rsid w:val="3AA1AFBA"/>
    <w:rsid w:val="3B8C0ED1"/>
    <w:rsid w:val="3CE45761"/>
    <w:rsid w:val="3D89830A"/>
    <w:rsid w:val="3D90A2E3"/>
    <w:rsid w:val="3DFC01C1"/>
    <w:rsid w:val="3E05BE3C"/>
    <w:rsid w:val="3F7BBF76"/>
    <w:rsid w:val="3F8D2678"/>
    <w:rsid w:val="3FC57A46"/>
    <w:rsid w:val="409DDB4D"/>
    <w:rsid w:val="417B0477"/>
    <w:rsid w:val="43AFEEFD"/>
    <w:rsid w:val="4411404C"/>
    <w:rsid w:val="450A1A13"/>
    <w:rsid w:val="45A363BE"/>
    <w:rsid w:val="46CD53A5"/>
    <w:rsid w:val="46EFFA23"/>
    <w:rsid w:val="47FF02EC"/>
    <w:rsid w:val="48F7267F"/>
    <w:rsid w:val="4C2B54DB"/>
    <w:rsid w:val="4C6C93AC"/>
    <w:rsid w:val="4CF3BEE4"/>
    <w:rsid w:val="4DA90E33"/>
    <w:rsid w:val="4EA485F3"/>
    <w:rsid w:val="4FF48A45"/>
    <w:rsid w:val="50392FCC"/>
    <w:rsid w:val="5052C878"/>
    <w:rsid w:val="5079444D"/>
    <w:rsid w:val="50E60925"/>
    <w:rsid w:val="5148EDB4"/>
    <w:rsid w:val="518956F1"/>
    <w:rsid w:val="52375F50"/>
    <w:rsid w:val="52B886BC"/>
    <w:rsid w:val="535C85C4"/>
    <w:rsid w:val="53DF3E8F"/>
    <w:rsid w:val="54A7FC46"/>
    <w:rsid w:val="571BF8BE"/>
    <w:rsid w:val="57B54835"/>
    <w:rsid w:val="58615A9B"/>
    <w:rsid w:val="592FF3F2"/>
    <w:rsid w:val="5B5E54D1"/>
    <w:rsid w:val="5B73279A"/>
    <w:rsid w:val="5D600989"/>
    <w:rsid w:val="5E86C8D7"/>
    <w:rsid w:val="5EB16507"/>
    <w:rsid w:val="5F416C97"/>
    <w:rsid w:val="609D2EA8"/>
    <w:rsid w:val="60D24A3E"/>
    <w:rsid w:val="61600D44"/>
    <w:rsid w:val="6239DF9F"/>
    <w:rsid w:val="647CE2A2"/>
    <w:rsid w:val="6501CEFD"/>
    <w:rsid w:val="65E0DF5B"/>
    <w:rsid w:val="65EB5F5B"/>
    <w:rsid w:val="66692DBC"/>
    <w:rsid w:val="6B654DDE"/>
    <w:rsid w:val="6BB5DB17"/>
    <w:rsid w:val="6BCD940C"/>
    <w:rsid w:val="6BEF03A1"/>
    <w:rsid w:val="6C805D74"/>
    <w:rsid w:val="6DB4D58E"/>
    <w:rsid w:val="6EE46FA6"/>
    <w:rsid w:val="6FCEC732"/>
    <w:rsid w:val="6FFCE057"/>
    <w:rsid w:val="70CF9428"/>
    <w:rsid w:val="71478999"/>
    <w:rsid w:val="717F8339"/>
    <w:rsid w:val="729B6696"/>
    <w:rsid w:val="74BF3EC9"/>
    <w:rsid w:val="76797AD6"/>
    <w:rsid w:val="7838565F"/>
    <w:rsid w:val="78C226EE"/>
    <w:rsid w:val="7A0F5EED"/>
    <w:rsid w:val="7AC7B4A4"/>
    <w:rsid w:val="7B62E790"/>
    <w:rsid w:val="7DD51859"/>
    <w:rsid w:val="7E5AFBE5"/>
    <w:rsid w:val="7EC1EA8C"/>
    <w:rsid w:val="7EE8E416"/>
    <w:rsid w:val="7F379742"/>
    <w:rsid w:val="7F915BDB"/>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29E2322"/>
  <w15:chartTrackingRefBased/>
  <w15:docId w15:val="{4CD082E7-22ED-4D36-BCC5-5AA1DB08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2A"/>
    <w:rPr>
      <w:rFonts w:ascii="Humnst777 Lt BT" w:hAnsi="Humnst777 Lt BT"/>
      <w:sz w:val="22"/>
      <w:szCs w:val="24"/>
    </w:rPr>
  </w:style>
  <w:style w:type="paragraph" w:styleId="Heading1">
    <w:name w:val="heading 1"/>
    <w:next w:val="BodyText"/>
    <w:link w:val="Heading1Char"/>
    <w:qFormat/>
    <w:rsid w:val="00F91C2A"/>
    <w:pPr>
      <w:keepNext/>
      <w:pBdr>
        <w:bottom w:val="single" w:sz="12" w:space="6" w:color="C40012"/>
      </w:pBdr>
      <w:outlineLvl w:val="0"/>
    </w:pPr>
    <w:rPr>
      <w:rFonts w:ascii="Humnst777 Cn BT" w:hAnsi="Humnst777 Cn BT" w:cs="Arial"/>
      <w:b/>
      <w:bCs/>
      <w:color w:val="C40012"/>
      <w:kern w:val="32"/>
      <w:sz w:val="48"/>
      <w:szCs w:val="32"/>
      <w:u w:color="BF311A"/>
    </w:rPr>
  </w:style>
  <w:style w:type="paragraph" w:styleId="Heading3">
    <w:name w:val="heading 3"/>
    <w:basedOn w:val="Normal"/>
    <w:next w:val="Normal"/>
    <w:link w:val="Heading3Char"/>
    <w:uiPriority w:val="9"/>
    <w:qFormat/>
    <w:rsid w:val="00F91C2A"/>
    <w:pPr>
      <w:keepNext/>
      <w:keepLines/>
      <w:spacing w:before="200"/>
      <w:outlineLvl w:val="2"/>
    </w:pPr>
    <w:rPr>
      <w:rFonts w:ascii="Cambria" w:hAnsi="Cambria"/>
      <w:b/>
      <w:bCs/>
      <w:color w:val="4F81BD"/>
    </w:rPr>
  </w:style>
  <w:style w:type="paragraph" w:styleId="Heading4">
    <w:name w:val="heading 4"/>
    <w:basedOn w:val="Heading3"/>
    <w:next w:val="BodyText"/>
    <w:link w:val="Heading4Char"/>
    <w:qFormat/>
    <w:rsid w:val="00F91C2A"/>
    <w:pPr>
      <w:keepLines w:val="0"/>
      <w:spacing w:before="0" w:after="165" w:line="280" w:lineRule="atLeast"/>
      <w:outlineLvl w:val="3"/>
    </w:pPr>
    <w:rPr>
      <w:rFonts w:ascii="Humnst777 Cn BT" w:hAnsi="Humnst777 Cn BT" w:cs="Arial"/>
      <w:bCs w:val="0"/>
      <w:color w:val="C40012"/>
      <w:sz w:val="24"/>
      <w:szCs w:val="28"/>
      <w:u w:color="BF31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C2A"/>
    <w:pPr>
      <w:tabs>
        <w:tab w:val="center" w:pos="4513"/>
        <w:tab w:val="right" w:pos="9026"/>
      </w:tabs>
    </w:pPr>
  </w:style>
  <w:style w:type="character" w:customStyle="1" w:styleId="HeaderChar">
    <w:name w:val="Header Char"/>
    <w:basedOn w:val="DefaultParagraphFont"/>
    <w:link w:val="Header"/>
    <w:uiPriority w:val="99"/>
    <w:rsid w:val="00F91C2A"/>
  </w:style>
  <w:style w:type="paragraph" w:styleId="Footer">
    <w:name w:val="footer"/>
    <w:basedOn w:val="Normal"/>
    <w:link w:val="FooterChar"/>
    <w:unhideWhenUsed/>
    <w:rsid w:val="00F91C2A"/>
    <w:pPr>
      <w:tabs>
        <w:tab w:val="center" w:pos="4513"/>
        <w:tab w:val="right" w:pos="9026"/>
      </w:tabs>
    </w:pPr>
  </w:style>
  <w:style w:type="character" w:customStyle="1" w:styleId="FooterChar">
    <w:name w:val="Footer Char"/>
    <w:basedOn w:val="DefaultParagraphFont"/>
    <w:link w:val="Footer"/>
    <w:uiPriority w:val="99"/>
    <w:semiHidden/>
    <w:rsid w:val="00F91C2A"/>
  </w:style>
  <w:style w:type="character" w:customStyle="1" w:styleId="Heading1Char">
    <w:name w:val="Heading 1 Char"/>
    <w:link w:val="Heading1"/>
    <w:rsid w:val="00F91C2A"/>
    <w:rPr>
      <w:rFonts w:ascii="Humnst777 Cn BT" w:hAnsi="Humnst777 Cn BT" w:cs="Arial"/>
      <w:b/>
      <w:bCs/>
      <w:color w:val="C40012"/>
      <w:kern w:val="32"/>
      <w:sz w:val="48"/>
      <w:szCs w:val="32"/>
      <w:u w:color="BF311A"/>
      <w:lang w:val="en-GB" w:eastAsia="en-GB" w:bidi="ar-SA"/>
    </w:rPr>
  </w:style>
  <w:style w:type="character" w:customStyle="1" w:styleId="Heading4Char">
    <w:name w:val="Heading 4 Char"/>
    <w:link w:val="Heading4"/>
    <w:rsid w:val="00F91C2A"/>
    <w:rPr>
      <w:rFonts w:ascii="Humnst777 Cn BT" w:eastAsia="Times New Roman" w:hAnsi="Humnst777 Cn BT" w:cs="Arial"/>
      <w:b/>
      <w:color w:val="C40012"/>
      <w:sz w:val="24"/>
      <w:szCs w:val="28"/>
      <w:u w:color="BF311A"/>
    </w:rPr>
  </w:style>
  <w:style w:type="paragraph" w:styleId="BodyText">
    <w:name w:val="Body Text"/>
    <w:link w:val="BodyTextChar"/>
    <w:rsid w:val="00F91C2A"/>
    <w:pPr>
      <w:numPr>
        <w:ilvl w:val="1"/>
        <w:numId w:val="1"/>
      </w:numPr>
      <w:spacing w:after="165" w:line="280" w:lineRule="atLeast"/>
    </w:pPr>
    <w:rPr>
      <w:rFonts w:ascii="Humnst777 Lt BT" w:hAnsi="Humnst777 Lt BT"/>
      <w:sz w:val="22"/>
      <w:szCs w:val="24"/>
    </w:rPr>
  </w:style>
  <w:style w:type="character" w:customStyle="1" w:styleId="BodyTextChar">
    <w:name w:val="Body Text Char"/>
    <w:link w:val="BodyText"/>
    <w:rsid w:val="00F91C2A"/>
    <w:rPr>
      <w:rFonts w:ascii="Humnst777 Lt BT" w:hAnsi="Humnst777 Lt BT"/>
      <w:sz w:val="22"/>
      <w:szCs w:val="24"/>
      <w:lang w:val="en-GB" w:eastAsia="en-GB" w:bidi="ar-SA"/>
    </w:rPr>
  </w:style>
  <w:style w:type="paragraph" w:styleId="BodyText2">
    <w:name w:val="Body Text 2"/>
    <w:basedOn w:val="BodyText"/>
    <w:link w:val="BodyText2Char"/>
    <w:rsid w:val="00F91C2A"/>
    <w:pPr>
      <w:numPr>
        <w:ilvl w:val="2"/>
      </w:numPr>
    </w:pPr>
  </w:style>
  <w:style w:type="character" w:customStyle="1" w:styleId="BodyText2Char">
    <w:name w:val="Body Text 2 Char"/>
    <w:link w:val="BodyText2"/>
    <w:rsid w:val="00F91C2A"/>
    <w:rPr>
      <w:rFonts w:ascii="Humnst777 Lt BT" w:eastAsia="Times New Roman" w:hAnsi="Humnst777 Lt BT" w:cs="Times New Roman"/>
      <w:szCs w:val="24"/>
    </w:rPr>
  </w:style>
  <w:style w:type="paragraph" w:customStyle="1" w:styleId="BoxHeading">
    <w:name w:val="Box Heading"/>
    <w:next w:val="BodyText3"/>
    <w:rsid w:val="00F91C2A"/>
    <w:pPr>
      <w:keepNext/>
      <w:numPr>
        <w:ilvl w:val="3"/>
        <w:numId w:val="1"/>
      </w:numPr>
      <w:spacing w:after="165" w:line="260" w:lineRule="atLeast"/>
    </w:pPr>
    <w:rPr>
      <w:rFonts w:ascii="Humnst777 BT" w:hAnsi="Humnst777 BT"/>
      <w:b/>
      <w:color w:val="C40012"/>
      <w:szCs w:val="24"/>
    </w:rPr>
  </w:style>
  <w:style w:type="character" w:styleId="PageNumber">
    <w:name w:val="page number"/>
    <w:semiHidden/>
    <w:rsid w:val="00F91C2A"/>
    <w:rPr>
      <w:rFonts w:ascii="Humnst777 Cn BT" w:hAnsi="Humnst777 Cn BT"/>
      <w:b/>
      <w:color w:val="C40012"/>
      <w:sz w:val="18"/>
    </w:rPr>
  </w:style>
  <w:style w:type="paragraph" w:customStyle="1" w:styleId="FigureHeading">
    <w:name w:val="Figure Heading"/>
    <w:rsid w:val="00F91C2A"/>
    <w:pPr>
      <w:keepNext/>
      <w:numPr>
        <w:ilvl w:val="4"/>
        <w:numId w:val="1"/>
      </w:numPr>
      <w:spacing w:after="57" w:line="240" w:lineRule="atLeast"/>
    </w:pPr>
    <w:rPr>
      <w:rFonts w:ascii="Humnst777 BT" w:hAnsi="Humnst777 BT"/>
      <w:b/>
      <w:color w:val="C40012"/>
      <w:szCs w:val="24"/>
    </w:rPr>
  </w:style>
  <w:style w:type="paragraph" w:customStyle="1" w:styleId="TableHeading">
    <w:name w:val="Table Heading"/>
    <w:basedOn w:val="FigureHeading"/>
    <w:rsid w:val="00F91C2A"/>
    <w:pPr>
      <w:numPr>
        <w:ilvl w:val="5"/>
      </w:numPr>
    </w:pPr>
  </w:style>
  <w:style w:type="paragraph" w:customStyle="1" w:styleId="ChartHeading">
    <w:name w:val="Chart Heading"/>
    <w:basedOn w:val="FigureHeading"/>
    <w:rsid w:val="00F91C2A"/>
    <w:pPr>
      <w:numPr>
        <w:ilvl w:val="6"/>
      </w:numPr>
    </w:pPr>
  </w:style>
  <w:style w:type="paragraph" w:styleId="ListParagraph">
    <w:name w:val="List Paragraph"/>
    <w:aliases w:val="Bullet 1,Bullet Points,Colorful List - Accent 11,Dot pt,F5 List Paragraph,Indicator Text,L,List Paragraph Char Char Char,List Paragraph1,List Paragraph11,List Paragraph12,List Paragraph2,MAIN CONTENT,No Spacing1,Numbered Para 1,OBC Bullet"/>
    <w:basedOn w:val="Normal"/>
    <w:link w:val="ListParagraphChar"/>
    <w:uiPriority w:val="34"/>
    <w:qFormat/>
    <w:rsid w:val="00F91C2A"/>
    <w:pPr>
      <w:ind w:left="720"/>
    </w:pPr>
  </w:style>
  <w:style w:type="paragraph" w:customStyle="1" w:styleId="Default">
    <w:name w:val="Default"/>
    <w:rsid w:val="00F91C2A"/>
    <w:pPr>
      <w:autoSpaceDE w:val="0"/>
      <w:autoSpaceDN w:val="0"/>
      <w:adjustRightInd w:val="0"/>
    </w:pPr>
    <w:rPr>
      <w:rFonts w:ascii="Arial" w:hAnsi="Arial" w:cs="Arial"/>
      <w:color w:val="000000"/>
      <w:sz w:val="24"/>
      <w:szCs w:val="24"/>
    </w:rPr>
  </w:style>
  <w:style w:type="character" w:styleId="Emphasis">
    <w:name w:val="Emphasis"/>
    <w:uiPriority w:val="20"/>
    <w:qFormat/>
    <w:rsid w:val="00F91C2A"/>
    <w:rPr>
      <w:i/>
      <w:iCs/>
    </w:rPr>
  </w:style>
  <w:style w:type="character" w:customStyle="1" w:styleId="Heading3Char">
    <w:name w:val="Heading 3 Char"/>
    <w:link w:val="Heading3"/>
    <w:uiPriority w:val="9"/>
    <w:semiHidden/>
    <w:rsid w:val="00F91C2A"/>
    <w:rPr>
      <w:rFonts w:ascii="Cambria" w:eastAsia="Times New Roman" w:hAnsi="Cambria" w:cs="Times New Roman"/>
      <w:b/>
      <w:bCs/>
      <w:color w:val="4F81BD"/>
      <w:szCs w:val="24"/>
    </w:rPr>
  </w:style>
  <w:style w:type="paragraph" w:styleId="BodyText3">
    <w:name w:val="Body Text 3"/>
    <w:basedOn w:val="Normal"/>
    <w:link w:val="BodyText3Char"/>
    <w:uiPriority w:val="99"/>
    <w:semiHidden/>
    <w:unhideWhenUsed/>
    <w:rsid w:val="00F91C2A"/>
    <w:pPr>
      <w:spacing w:after="120"/>
    </w:pPr>
    <w:rPr>
      <w:sz w:val="16"/>
      <w:szCs w:val="16"/>
    </w:rPr>
  </w:style>
  <w:style w:type="character" w:customStyle="1" w:styleId="BodyText3Char">
    <w:name w:val="Body Text 3 Char"/>
    <w:link w:val="BodyText3"/>
    <w:uiPriority w:val="99"/>
    <w:semiHidden/>
    <w:rsid w:val="00F91C2A"/>
    <w:rPr>
      <w:rFonts w:ascii="Humnst777 Lt BT" w:eastAsia="Times New Roman" w:hAnsi="Humnst777 Lt BT" w:cs="Times New Roman"/>
      <w:sz w:val="16"/>
      <w:szCs w:val="16"/>
    </w:rPr>
  </w:style>
  <w:style w:type="paragraph" w:styleId="BalloonText">
    <w:name w:val="Balloon Text"/>
    <w:basedOn w:val="Normal"/>
    <w:link w:val="BalloonTextChar"/>
    <w:uiPriority w:val="99"/>
    <w:semiHidden/>
    <w:unhideWhenUsed/>
    <w:rsid w:val="00F91C2A"/>
    <w:rPr>
      <w:rFonts w:ascii="Tahoma" w:hAnsi="Tahoma" w:cs="Tahoma"/>
      <w:sz w:val="16"/>
      <w:szCs w:val="16"/>
    </w:rPr>
  </w:style>
  <w:style w:type="character" w:customStyle="1" w:styleId="BalloonTextChar">
    <w:name w:val="Balloon Text Char"/>
    <w:link w:val="BalloonText"/>
    <w:uiPriority w:val="99"/>
    <w:semiHidden/>
    <w:rsid w:val="00F91C2A"/>
    <w:rPr>
      <w:rFonts w:ascii="Tahoma" w:eastAsia="Times New Roman" w:hAnsi="Tahoma" w:cs="Tahoma"/>
      <w:sz w:val="16"/>
      <w:szCs w:val="16"/>
    </w:rPr>
  </w:style>
  <w:style w:type="character" w:styleId="CommentReference">
    <w:name w:val="annotation reference"/>
    <w:uiPriority w:val="99"/>
    <w:semiHidden/>
    <w:unhideWhenUsed/>
    <w:rsid w:val="00B45943"/>
    <w:rPr>
      <w:sz w:val="16"/>
      <w:szCs w:val="16"/>
    </w:rPr>
  </w:style>
  <w:style w:type="paragraph" w:styleId="CommentText">
    <w:name w:val="annotation text"/>
    <w:basedOn w:val="Normal"/>
    <w:link w:val="CommentTextChar"/>
    <w:uiPriority w:val="99"/>
    <w:unhideWhenUsed/>
    <w:rsid w:val="00B45943"/>
    <w:rPr>
      <w:sz w:val="20"/>
      <w:szCs w:val="20"/>
    </w:rPr>
  </w:style>
  <w:style w:type="character" w:customStyle="1" w:styleId="CommentTextChar">
    <w:name w:val="Comment Text Char"/>
    <w:link w:val="CommentText"/>
    <w:uiPriority w:val="99"/>
    <w:rsid w:val="00B45943"/>
    <w:rPr>
      <w:rFonts w:ascii="Humnst777 Lt BT" w:hAnsi="Humnst777 Lt BT"/>
    </w:rPr>
  </w:style>
  <w:style w:type="paragraph" w:styleId="CommentSubject">
    <w:name w:val="annotation subject"/>
    <w:basedOn w:val="CommentText"/>
    <w:next w:val="CommentText"/>
    <w:link w:val="CommentSubjectChar"/>
    <w:uiPriority w:val="99"/>
    <w:semiHidden/>
    <w:unhideWhenUsed/>
    <w:rsid w:val="00B45943"/>
    <w:rPr>
      <w:b/>
      <w:bCs/>
    </w:rPr>
  </w:style>
  <w:style w:type="character" w:customStyle="1" w:styleId="CommentSubjectChar">
    <w:name w:val="Comment Subject Char"/>
    <w:link w:val="CommentSubject"/>
    <w:uiPriority w:val="99"/>
    <w:semiHidden/>
    <w:rsid w:val="00B45943"/>
    <w:rPr>
      <w:rFonts w:ascii="Humnst777 Lt BT" w:hAnsi="Humnst777 Lt BT"/>
      <w:b/>
      <w:bCs/>
    </w:rPr>
  </w:style>
  <w:style w:type="table" w:styleId="LightShading-Accent2">
    <w:name w:val="Light Shading Accent 2"/>
    <w:basedOn w:val="TableNormal"/>
    <w:uiPriority w:val="60"/>
    <w:rsid w:val="00226E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Grid">
    <w:name w:val="Table Grid"/>
    <w:basedOn w:val="TableNormal"/>
    <w:rsid w:val="00CB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6B5F"/>
    <w:rPr>
      <w:sz w:val="20"/>
      <w:szCs w:val="20"/>
    </w:rPr>
  </w:style>
  <w:style w:type="character" w:customStyle="1" w:styleId="FootnoteTextChar">
    <w:name w:val="Footnote Text Char"/>
    <w:link w:val="FootnoteText"/>
    <w:uiPriority w:val="99"/>
    <w:semiHidden/>
    <w:rsid w:val="00116B5F"/>
    <w:rPr>
      <w:rFonts w:ascii="Humnst777 Lt BT" w:hAnsi="Humnst777 Lt BT"/>
    </w:rPr>
  </w:style>
  <w:style w:type="character" w:styleId="FootnoteReference">
    <w:name w:val="footnote reference"/>
    <w:uiPriority w:val="99"/>
    <w:semiHidden/>
    <w:unhideWhenUsed/>
    <w:rsid w:val="00116B5F"/>
    <w:rPr>
      <w:vertAlign w:val="superscript"/>
    </w:rPr>
  </w:style>
  <w:style w:type="paragraph" w:styleId="EndnoteText">
    <w:name w:val="endnote text"/>
    <w:basedOn w:val="Normal"/>
    <w:link w:val="EndnoteTextChar"/>
    <w:uiPriority w:val="99"/>
    <w:semiHidden/>
    <w:unhideWhenUsed/>
    <w:rsid w:val="00116B5F"/>
    <w:rPr>
      <w:sz w:val="20"/>
      <w:szCs w:val="20"/>
    </w:rPr>
  </w:style>
  <w:style w:type="character" w:customStyle="1" w:styleId="EndnoteTextChar">
    <w:name w:val="Endnote Text Char"/>
    <w:link w:val="EndnoteText"/>
    <w:uiPriority w:val="99"/>
    <w:semiHidden/>
    <w:rsid w:val="00116B5F"/>
    <w:rPr>
      <w:rFonts w:ascii="Humnst777 Lt BT" w:hAnsi="Humnst777 Lt BT"/>
    </w:rPr>
  </w:style>
  <w:style w:type="character" w:styleId="EndnoteReference">
    <w:name w:val="endnote reference"/>
    <w:uiPriority w:val="99"/>
    <w:semiHidden/>
    <w:unhideWhenUsed/>
    <w:rsid w:val="00116B5F"/>
    <w:rPr>
      <w:vertAlign w:val="superscript"/>
    </w:rPr>
  </w:style>
  <w:style w:type="paragraph" w:styleId="NormalWeb">
    <w:name w:val="Normal (Web)"/>
    <w:basedOn w:val="Normal"/>
    <w:uiPriority w:val="99"/>
    <w:unhideWhenUsed/>
    <w:rsid w:val="00CA70C1"/>
    <w:pPr>
      <w:spacing w:before="100" w:beforeAutospacing="1" w:after="100" w:afterAutospacing="1"/>
    </w:pPr>
    <w:rPr>
      <w:rFonts w:ascii="Times New Roman" w:hAnsi="Times New Roman"/>
      <w:sz w:val="24"/>
    </w:rPr>
  </w:style>
  <w:style w:type="character" w:styleId="Hyperlink">
    <w:name w:val="Hyperlink"/>
    <w:uiPriority w:val="99"/>
    <w:unhideWhenUsed/>
    <w:rsid w:val="00BB27B6"/>
    <w:rPr>
      <w:color w:val="0000FF"/>
      <w:u w:val="single"/>
    </w:rPr>
  </w:style>
  <w:style w:type="paragraph" w:customStyle="1" w:styleId="TableText">
    <w:name w:val="Table Text"/>
    <w:rsid w:val="00726114"/>
    <w:pPr>
      <w:spacing w:line="240" w:lineRule="atLeast"/>
    </w:pPr>
    <w:rPr>
      <w:rFonts w:ascii="Humnst777 Lt BT" w:hAnsi="Humnst777 Lt BT"/>
      <w:szCs w:val="24"/>
    </w:rPr>
  </w:style>
  <w:style w:type="paragraph" w:customStyle="1" w:styleId="ColumnHeading">
    <w:name w:val="Column Heading"/>
    <w:next w:val="TableText"/>
    <w:rsid w:val="00726114"/>
    <w:pPr>
      <w:keepNext/>
      <w:spacing w:line="240" w:lineRule="atLeast"/>
    </w:pPr>
    <w:rPr>
      <w:rFonts w:ascii="Humnst777 BT" w:hAnsi="Humnst777 BT"/>
      <w:b/>
      <w:szCs w:val="24"/>
    </w:rPr>
  </w:style>
  <w:style w:type="paragraph" w:customStyle="1" w:styleId="BoxNumber">
    <w:name w:val="Box Number"/>
    <w:basedOn w:val="ListNumber"/>
    <w:rsid w:val="00726114"/>
    <w:pPr>
      <w:spacing w:after="80" w:line="280" w:lineRule="atLeast"/>
      <w:contextualSpacing w:val="0"/>
    </w:pPr>
  </w:style>
  <w:style w:type="paragraph" w:styleId="ListNumber">
    <w:name w:val="List Number"/>
    <w:basedOn w:val="Normal"/>
    <w:uiPriority w:val="99"/>
    <w:semiHidden/>
    <w:unhideWhenUsed/>
    <w:rsid w:val="00726114"/>
    <w:pPr>
      <w:tabs>
        <w:tab w:val="num" w:pos="1020"/>
      </w:tabs>
      <w:ind w:left="1020" w:hanging="453"/>
      <w:contextualSpacing/>
    </w:pPr>
  </w:style>
  <w:style w:type="character" w:styleId="FollowedHyperlink">
    <w:name w:val="FollowedHyperlink"/>
    <w:uiPriority w:val="99"/>
    <w:semiHidden/>
    <w:unhideWhenUsed/>
    <w:rsid w:val="002C45EA"/>
    <w:rPr>
      <w:color w:val="954F72"/>
      <w:u w:val="single"/>
    </w:rPr>
  </w:style>
  <w:style w:type="character" w:styleId="Mention">
    <w:name w:val="Mention"/>
    <w:uiPriority w:val="99"/>
    <w:unhideWhenUsed/>
    <w:rsid w:val="00C30335"/>
    <w:rPr>
      <w:color w:val="2B579A"/>
      <w:shd w:val="clear" w:color="auto" w:fill="E6E6E6"/>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1 Char,List Paragraph12 Char"/>
    <w:link w:val="ListParagraph"/>
    <w:uiPriority w:val="34"/>
    <w:qFormat/>
    <w:locked/>
    <w:rsid w:val="00E50F98"/>
    <w:rPr>
      <w:rFonts w:ascii="Humnst777 Lt BT" w:hAnsi="Humnst777 Lt BT"/>
      <w:sz w:val="22"/>
      <w:szCs w:val="24"/>
    </w:rPr>
  </w:style>
  <w:style w:type="table" w:styleId="TableGridLight">
    <w:name w:val="Grid Table Light"/>
    <w:basedOn w:val="TableNormal"/>
    <w:uiPriority w:val="40"/>
    <w:rsid w:val="004810F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810F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4810F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5Dark-Accent2">
    <w:name w:val="List Table 5 Dark Accent 2"/>
    <w:basedOn w:val="TableNormal"/>
    <w:uiPriority w:val="50"/>
    <w:rsid w:val="004810F1"/>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4">
    <w:name w:val="Grid Table 5 Dark Accent 4"/>
    <w:basedOn w:val="TableNormal"/>
    <w:uiPriority w:val="50"/>
    <w:rsid w:val="004810F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4-Accent2">
    <w:name w:val="Grid Table 4 Accent 2"/>
    <w:basedOn w:val="TableNormal"/>
    <w:uiPriority w:val="49"/>
    <w:rsid w:val="004810F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3-Accent2">
    <w:name w:val="List Table 3 Accent 2"/>
    <w:basedOn w:val="TableNormal"/>
    <w:uiPriority w:val="48"/>
    <w:rsid w:val="004810F1"/>
    <w:tblPr>
      <w:tblStyleRowBandSize w:val="1"/>
      <w:tblStyleColBandSize w:val="1"/>
      <w:tblBorders>
        <w:top w:val="single" w:sz="4" w:space="0" w:color="FFD1D1"/>
        <w:left w:val="single" w:sz="4" w:space="0" w:color="FFD1D1"/>
        <w:bottom w:val="single" w:sz="4" w:space="0" w:color="FFD1D1"/>
        <w:right w:val="single" w:sz="4" w:space="0" w:color="FFD1D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styleId="Revision">
    <w:name w:val="Revision"/>
    <w:hidden/>
    <w:uiPriority w:val="99"/>
    <w:semiHidden/>
    <w:rsid w:val="00406EE1"/>
    <w:rPr>
      <w:rFonts w:ascii="Humnst777 Lt BT" w:hAnsi="Humnst777 Lt BT"/>
      <w:sz w:val="22"/>
      <w:szCs w:val="24"/>
    </w:rPr>
  </w:style>
  <w:style w:type="character" w:styleId="UnresolvedMention">
    <w:name w:val="Unresolved Mention"/>
    <w:uiPriority w:val="99"/>
    <w:semiHidden/>
    <w:unhideWhenUsed/>
    <w:rsid w:val="00AB3579"/>
    <w:rPr>
      <w:color w:val="605E5C"/>
      <w:shd w:val="clear" w:color="auto" w:fill="E1DFDD"/>
    </w:rPr>
  </w:style>
  <w:style w:type="character" w:styleId="Strong">
    <w:name w:val="Strong"/>
    <w:uiPriority w:val="22"/>
    <w:qFormat/>
    <w:rsid w:val="00837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4825">
      <w:bodyDiv w:val="1"/>
      <w:marLeft w:val="0"/>
      <w:marRight w:val="0"/>
      <w:marTop w:val="0"/>
      <w:marBottom w:val="0"/>
      <w:divBdr>
        <w:top w:val="none" w:sz="0" w:space="0" w:color="auto"/>
        <w:left w:val="none" w:sz="0" w:space="0" w:color="auto"/>
        <w:bottom w:val="none" w:sz="0" w:space="0" w:color="auto"/>
        <w:right w:val="none" w:sz="0" w:space="0" w:color="auto"/>
      </w:divBdr>
    </w:div>
    <w:div w:id="60301106">
      <w:bodyDiv w:val="1"/>
      <w:marLeft w:val="0"/>
      <w:marRight w:val="0"/>
      <w:marTop w:val="0"/>
      <w:marBottom w:val="0"/>
      <w:divBdr>
        <w:top w:val="none" w:sz="0" w:space="0" w:color="auto"/>
        <w:left w:val="none" w:sz="0" w:space="0" w:color="auto"/>
        <w:bottom w:val="none" w:sz="0" w:space="0" w:color="auto"/>
        <w:right w:val="none" w:sz="0" w:space="0" w:color="auto"/>
      </w:divBdr>
      <w:divsChild>
        <w:div w:id="1512597238">
          <w:marLeft w:val="0"/>
          <w:marRight w:val="0"/>
          <w:marTop w:val="0"/>
          <w:marBottom w:val="0"/>
          <w:divBdr>
            <w:top w:val="none" w:sz="0" w:space="0" w:color="auto"/>
            <w:left w:val="none" w:sz="0" w:space="0" w:color="auto"/>
            <w:bottom w:val="none" w:sz="0" w:space="0" w:color="auto"/>
            <w:right w:val="none" w:sz="0" w:space="0" w:color="auto"/>
          </w:divBdr>
          <w:divsChild>
            <w:div w:id="1294288533">
              <w:marLeft w:val="3075"/>
              <w:marRight w:val="0"/>
              <w:marTop w:val="0"/>
              <w:marBottom w:val="0"/>
              <w:divBdr>
                <w:top w:val="none" w:sz="0" w:space="0" w:color="auto"/>
                <w:left w:val="none" w:sz="0" w:space="0" w:color="auto"/>
                <w:bottom w:val="none" w:sz="0" w:space="0" w:color="auto"/>
                <w:right w:val="none" w:sz="0" w:space="0" w:color="auto"/>
              </w:divBdr>
              <w:divsChild>
                <w:div w:id="89472737">
                  <w:marLeft w:val="0"/>
                  <w:marRight w:val="0"/>
                  <w:marTop w:val="0"/>
                  <w:marBottom w:val="0"/>
                  <w:divBdr>
                    <w:top w:val="none" w:sz="0" w:space="0" w:color="auto"/>
                    <w:left w:val="single" w:sz="48" w:space="0" w:color="EEEEEE"/>
                    <w:bottom w:val="none" w:sz="0" w:space="0" w:color="auto"/>
                    <w:right w:val="single" w:sz="48" w:space="0" w:color="EEEEEE"/>
                  </w:divBdr>
                  <w:divsChild>
                    <w:div w:id="146751416">
                      <w:marLeft w:val="0"/>
                      <w:marRight w:val="3525"/>
                      <w:marTop w:val="0"/>
                      <w:marBottom w:val="0"/>
                      <w:divBdr>
                        <w:top w:val="none" w:sz="0" w:space="0" w:color="auto"/>
                        <w:left w:val="none" w:sz="0" w:space="0" w:color="auto"/>
                        <w:bottom w:val="none" w:sz="0" w:space="0" w:color="auto"/>
                        <w:right w:val="none" w:sz="0" w:space="0" w:color="auto"/>
                      </w:divBdr>
                      <w:divsChild>
                        <w:div w:id="246043924">
                          <w:marLeft w:val="0"/>
                          <w:marRight w:val="0"/>
                          <w:marTop w:val="0"/>
                          <w:marBottom w:val="0"/>
                          <w:divBdr>
                            <w:top w:val="none" w:sz="0" w:space="0" w:color="auto"/>
                            <w:left w:val="none" w:sz="0" w:space="0" w:color="auto"/>
                            <w:bottom w:val="none" w:sz="0" w:space="0" w:color="auto"/>
                            <w:right w:val="none" w:sz="0" w:space="0" w:color="auto"/>
                          </w:divBdr>
                          <w:divsChild>
                            <w:div w:id="1862695935">
                              <w:marLeft w:val="0"/>
                              <w:marRight w:val="0"/>
                              <w:marTop w:val="0"/>
                              <w:marBottom w:val="0"/>
                              <w:divBdr>
                                <w:top w:val="none" w:sz="0" w:space="0" w:color="auto"/>
                                <w:left w:val="none" w:sz="0" w:space="0" w:color="auto"/>
                                <w:bottom w:val="none" w:sz="0" w:space="0" w:color="auto"/>
                                <w:right w:val="none" w:sz="0" w:space="0" w:color="auto"/>
                              </w:divBdr>
                              <w:divsChild>
                                <w:div w:id="267010846">
                                  <w:marLeft w:val="0"/>
                                  <w:marRight w:val="0"/>
                                  <w:marTop w:val="0"/>
                                  <w:marBottom w:val="0"/>
                                  <w:divBdr>
                                    <w:top w:val="none" w:sz="0" w:space="0" w:color="auto"/>
                                    <w:left w:val="none" w:sz="0" w:space="0" w:color="auto"/>
                                    <w:bottom w:val="none" w:sz="0" w:space="0" w:color="auto"/>
                                    <w:right w:val="none" w:sz="0" w:space="0" w:color="auto"/>
                                  </w:divBdr>
                                  <w:divsChild>
                                    <w:div w:id="1731491849">
                                      <w:marLeft w:val="0"/>
                                      <w:marRight w:val="0"/>
                                      <w:marTop w:val="0"/>
                                      <w:marBottom w:val="0"/>
                                      <w:divBdr>
                                        <w:top w:val="none" w:sz="0" w:space="0" w:color="auto"/>
                                        <w:left w:val="none" w:sz="0" w:space="0" w:color="auto"/>
                                        <w:bottom w:val="none" w:sz="0" w:space="0" w:color="auto"/>
                                        <w:right w:val="none" w:sz="0" w:space="0" w:color="auto"/>
                                      </w:divBdr>
                                      <w:divsChild>
                                        <w:div w:id="1346593932">
                                          <w:marLeft w:val="0"/>
                                          <w:marRight w:val="0"/>
                                          <w:marTop w:val="0"/>
                                          <w:marBottom w:val="0"/>
                                          <w:divBdr>
                                            <w:top w:val="none" w:sz="0" w:space="0" w:color="auto"/>
                                            <w:left w:val="none" w:sz="0" w:space="0" w:color="auto"/>
                                            <w:bottom w:val="none" w:sz="0" w:space="0" w:color="auto"/>
                                            <w:right w:val="none" w:sz="0" w:space="0" w:color="auto"/>
                                          </w:divBdr>
                                          <w:divsChild>
                                            <w:div w:id="663434769">
                                              <w:marLeft w:val="0"/>
                                              <w:marRight w:val="0"/>
                                              <w:marTop w:val="0"/>
                                              <w:marBottom w:val="0"/>
                                              <w:divBdr>
                                                <w:top w:val="none" w:sz="0" w:space="0" w:color="auto"/>
                                                <w:left w:val="none" w:sz="0" w:space="0" w:color="auto"/>
                                                <w:bottom w:val="none" w:sz="0" w:space="0" w:color="auto"/>
                                                <w:right w:val="none" w:sz="0" w:space="0" w:color="auto"/>
                                              </w:divBdr>
                                              <w:divsChild>
                                                <w:div w:id="468788885">
                                                  <w:marLeft w:val="0"/>
                                                  <w:marRight w:val="0"/>
                                                  <w:marTop w:val="0"/>
                                                  <w:marBottom w:val="0"/>
                                                  <w:divBdr>
                                                    <w:top w:val="none" w:sz="0" w:space="0" w:color="auto"/>
                                                    <w:left w:val="none" w:sz="0" w:space="0" w:color="auto"/>
                                                    <w:bottom w:val="none" w:sz="0" w:space="0" w:color="auto"/>
                                                    <w:right w:val="none" w:sz="0" w:space="0" w:color="auto"/>
                                                  </w:divBdr>
                                                  <w:divsChild>
                                                    <w:div w:id="571544174">
                                                      <w:marLeft w:val="0"/>
                                                      <w:marRight w:val="0"/>
                                                      <w:marTop w:val="0"/>
                                                      <w:marBottom w:val="0"/>
                                                      <w:divBdr>
                                                        <w:top w:val="none" w:sz="0" w:space="0" w:color="auto"/>
                                                        <w:left w:val="none" w:sz="0" w:space="0" w:color="auto"/>
                                                        <w:bottom w:val="none" w:sz="0" w:space="0" w:color="auto"/>
                                                        <w:right w:val="none" w:sz="0" w:space="0" w:color="auto"/>
                                                      </w:divBdr>
                                                      <w:divsChild>
                                                        <w:div w:id="969089704">
                                                          <w:marLeft w:val="0"/>
                                                          <w:marRight w:val="-135"/>
                                                          <w:marTop w:val="0"/>
                                                          <w:marBottom w:val="0"/>
                                                          <w:divBdr>
                                                            <w:top w:val="none" w:sz="0" w:space="0" w:color="auto"/>
                                                            <w:left w:val="none" w:sz="0" w:space="0" w:color="auto"/>
                                                            <w:bottom w:val="none" w:sz="0" w:space="0" w:color="auto"/>
                                                            <w:right w:val="none" w:sz="0" w:space="0" w:color="auto"/>
                                                          </w:divBdr>
                                                          <w:divsChild>
                                                            <w:div w:id="989795047">
                                                              <w:marLeft w:val="-135"/>
                                                              <w:marRight w:val="0"/>
                                                              <w:marTop w:val="0"/>
                                                              <w:marBottom w:val="0"/>
                                                              <w:divBdr>
                                                                <w:top w:val="none" w:sz="0" w:space="0" w:color="auto"/>
                                                                <w:left w:val="none" w:sz="0" w:space="0" w:color="auto"/>
                                                                <w:bottom w:val="none" w:sz="0" w:space="0" w:color="auto"/>
                                                                <w:right w:val="none" w:sz="0" w:space="0" w:color="auto"/>
                                                              </w:divBdr>
                                                              <w:divsChild>
                                                                <w:div w:id="443382841">
                                                                  <w:marLeft w:val="0"/>
                                                                  <w:marRight w:val="0"/>
                                                                  <w:marTop w:val="0"/>
                                                                  <w:marBottom w:val="0"/>
                                                                  <w:divBdr>
                                                                    <w:top w:val="single" w:sz="2" w:space="11" w:color="3C6B93"/>
                                                                    <w:left w:val="single" w:sz="2" w:space="11" w:color="3C6B93"/>
                                                                    <w:bottom w:val="single" w:sz="2" w:space="0" w:color="3C6B93"/>
                                                                    <w:right w:val="single" w:sz="2" w:space="0" w:color="3C6B93"/>
                                                                  </w:divBdr>
                                                                  <w:divsChild>
                                                                    <w:div w:id="1554736099">
                                                                      <w:marLeft w:val="0"/>
                                                                      <w:marRight w:val="0"/>
                                                                      <w:marTop w:val="0"/>
                                                                      <w:marBottom w:val="0"/>
                                                                      <w:divBdr>
                                                                        <w:top w:val="none" w:sz="0" w:space="0" w:color="auto"/>
                                                                        <w:left w:val="none" w:sz="0" w:space="0" w:color="auto"/>
                                                                        <w:bottom w:val="none" w:sz="0" w:space="0" w:color="auto"/>
                                                                        <w:right w:val="none" w:sz="0" w:space="0" w:color="auto"/>
                                                                      </w:divBdr>
                                                                      <w:divsChild>
                                                                        <w:div w:id="1981421368">
                                                                          <w:marLeft w:val="-210"/>
                                                                          <w:marRight w:val="-135"/>
                                                                          <w:marTop w:val="0"/>
                                                                          <w:marBottom w:val="0"/>
                                                                          <w:divBdr>
                                                                            <w:top w:val="none" w:sz="0" w:space="0" w:color="auto"/>
                                                                            <w:left w:val="none" w:sz="0" w:space="0" w:color="auto"/>
                                                                            <w:bottom w:val="none" w:sz="0" w:space="0" w:color="auto"/>
                                                                            <w:right w:val="none" w:sz="0" w:space="0" w:color="auto"/>
                                                                          </w:divBdr>
                                                                          <w:divsChild>
                                                                            <w:div w:id="1708872596">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71762">
      <w:bodyDiv w:val="1"/>
      <w:marLeft w:val="0"/>
      <w:marRight w:val="0"/>
      <w:marTop w:val="0"/>
      <w:marBottom w:val="0"/>
      <w:divBdr>
        <w:top w:val="none" w:sz="0" w:space="0" w:color="auto"/>
        <w:left w:val="none" w:sz="0" w:space="0" w:color="auto"/>
        <w:bottom w:val="none" w:sz="0" w:space="0" w:color="auto"/>
        <w:right w:val="none" w:sz="0" w:space="0" w:color="auto"/>
      </w:divBdr>
    </w:div>
    <w:div w:id="116609410">
      <w:bodyDiv w:val="1"/>
      <w:marLeft w:val="0"/>
      <w:marRight w:val="0"/>
      <w:marTop w:val="0"/>
      <w:marBottom w:val="0"/>
      <w:divBdr>
        <w:top w:val="none" w:sz="0" w:space="0" w:color="auto"/>
        <w:left w:val="none" w:sz="0" w:space="0" w:color="auto"/>
        <w:bottom w:val="none" w:sz="0" w:space="0" w:color="auto"/>
        <w:right w:val="none" w:sz="0" w:space="0" w:color="auto"/>
      </w:divBdr>
    </w:div>
    <w:div w:id="118650312">
      <w:bodyDiv w:val="1"/>
      <w:marLeft w:val="0"/>
      <w:marRight w:val="0"/>
      <w:marTop w:val="0"/>
      <w:marBottom w:val="0"/>
      <w:divBdr>
        <w:top w:val="none" w:sz="0" w:space="0" w:color="auto"/>
        <w:left w:val="none" w:sz="0" w:space="0" w:color="auto"/>
        <w:bottom w:val="none" w:sz="0" w:space="0" w:color="auto"/>
        <w:right w:val="none" w:sz="0" w:space="0" w:color="auto"/>
      </w:divBdr>
    </w:div>
    <w:div w:id="146290982">
      <w:bodyDiv w:val="1"/>
      <w:marLeft w:val="0"/>
      <w:marRight w:val="0"/>
      <w:marTop w:val="0"/>
      <w:marBottom w:val="0"/>
      <w:divBdr>
        <w:top w:val="none" w:sz="0" w:space="0" w:color="auto"/>
        <w:left w:val="none" w:sz="0" w:space="0" w:color="auto"/>
        <w:bottom w:val="none" w:sz="0" w:space="0" w:color="auto"/>
        <w:right w:val="none" w:sz="0" w:space="0" w:color="auto"/>
      </w:divBdr>
    </w:div>
    <w:div w:id="149759849">
      <w:bodyDiv w:val="1"/>
      <w:marLeft w:val="0"/>
      <w:marRight w:val="0"/>
      <w:marTop w:val="0"/>
      <w:marBottom w:val="0"/>
      <w:divBdr>
        <w:top w:val="none" w:sz="0" w:space="0" w:color="auto"/>
        <w:left w:val="none" w:sz="0" w:space="0" w:color="auto"/>
        <w:bottom w:val="none" w:sz="0" w:space="0" w:color="auto"/>
        <w:right w:val="none" w:sz="0" w:space="0" w:color="auto"/>
      </w:divBdr>
    </w:div>
    <w:div w:id="204369038">
      <w:bodyDiv w:val="1"/>
      <w:marLeft w:val="0"/>
      <w:marRight w:val="0"/>
      <w:marTop w:val="0"/>
      <w:marBottom w:val="0"/>
      <w:divBdr>
        <w:top w:val="none" w:sz="0" w:space="0" w:color="auto"/>
        <w:left w:val="none" w:sz="0" w:space="0" w:color="auto"/>
        <w:bottom w:val="none" w:sz="0" w:space="0" w:color="auto"/>
        <w:right w:val="none" w:sz="0" w:space="0" w:color="auto"/>
      </w:divBdr>
    </w:div>
    <w:div w:id="239605367">
      <w:bodyDiv w:val="1"/>
      <w:marLeft w:val="0"/>
      <w:marRight w:val="0"/>
      <w:marTop w:val="0"/>
      <w:marBottom w:val="0"/>
      <w:divBdr>
        <w:top w:val="none" w:sz="0" w:space="0" w:color="auto"/>
        <w:left w:val="none" w:sz="0" w:space="0" w:color="auto"/>
        <w:bottom w:val="none" w:sz="0" w:space="0" w:color="auto"/>
        <w:right w:val="none" w:sz="0" w:space="0" w:color="auto"/>
      </w:divBdr>
    </w:div>
    <w:div w:id="253900341">
      <w:bodyDiv w:val="1"/>
      <w:marLeft w:val="0"/>
      <w:marRight w:val="0"/>
      <w:marTop w:val="0"/>
      <w:marBottom w:val="0"/>
      <w:divBdr>
        <w:top w:val="none" w:sz="0" w:space="0" w:color="auto"/>
        <w:left w:val="none" w:sz="0" w:space="0" w:color="auto"/>
        <w:bottom w:val="none" w:sz="0" w:space="0" w:color="auto"/>
        <w:right w:val="none" w:sz="0" w:space="0" w:color="auto"/>
      </w:divBdr>
    </w:div>
    <w:div w:id="255407677">
      <w:bodyDiv w:val="1"/>
      <w:marLeft w:val="0"/>
      <w:marRight w:val="0"/>
      <w:marTop w:val="0"/>
      <w:marBottom w:val="0"/>
      <w:divBdr>
        <w:top w:val="none" w:sz="0" w:space="0" w:color="auto"/>
        <w:left w:val="none" w:sz="0" w:space="0" w:color="auto"/>
        <w:bottom w:val="none" w:sz="0" w:space="0" w:color="auto"/>
        <w:right w:val="none" w:sz="0" w:space="0" w:color="auto"/>
      </w:divBdr>
    </w:div>
    <w:div w:id="314771462">
      <w:bodyDiv w:val="1"/>
      <w:marLeft w:val="0"/>
      <w:marRight w:val="0"/>
      <w:marTop w:val="0"/>
      <w:marBottom w:val="0"/>
      <w:divBdr>
        <w:top w:val="none" w:sz="0" w:space="0" w:color="auto"/>
        <w:left w:val="none" w:sz="0" w:space="0" w:color="auto"/>
        <w:bottom w:val="none" w:sz="0" w:space="0" w:color="auto"/>
        <w:right w:val="none" w:sz="0" w:space="0" w:color="auto"/>
      </w:divBdr>
    </w:div>
    <w:div w:id="341053542">
      <w:bodyDiv w:val="1"/>
      <w:marLeft w:val="0"/>
      <w:marRight w:val="0"/>
      <w:marTop w:val="0"/>
      <w:marBottom w:val="0"/>
      <w:divBdr>
        <w:top w:val="none" w:sz="0" w:space="0" w:color="auto"/>
        <w:left w:val="none" w:sz="0" w:space="0" w:color="auto"/>
        <w:bottom w:val="none" w:sz="0" w:space="0" w:color="auto"/>
        <w:right w:val="none" w:sz="0" w:space="0" w:color="auto"/>
      </w:divBdr>
    </w:div>
    <w:div w:id="341706537">
      <w:bodyDiv w:val="1"/>
      <w:marLeft w:val="0"/>
      <w:marRight w:val="0"/>
      <w:marTop w:val="0"/>
      <w:marBottom w:val="0"/>
      <w:divBdr>
        <w:top w:val="none" w:sz="0" w:space="0" w:color="auto"/>
        <w:left w:val="none" w:sz="0" w:space="0" w:color="auto"/>
        <w:bottom w:val="none" w:sz="0" w:space="0" w:color="auto"/>
        <w:right w:val="none" w:sz="0" w:space="0" w:color="auto"/>
      </w:divBdr>
    </w:div>
    <w:div w:id="358973001">
      <w:bodyDiv w:val="1"/>
      <w:marLeft w:val="0"/>
      <w:marRight w:val="0"/>
      <w:marTop w:val="0"/>
      <w:marBottom w:val="0"/>
      <w:divBdr>
        <w:top w:val="none" w:sz="0" w:space="0" w:color="auto"/>
        <w:left w:val="none" w:sz="0" w:space="0" w:color="auto"/>
        <w:bottom w:val="none" w:sz="0" w:space="0" w:color="auto"/>
        <w:right w:val="none" w:sz="0" w:space="0" w:color="auto"/>
      </w:divBdr>
    </w:div>
    <w:div w:id="359429299">
      <w:bodyDiv w:val="1"/>
      <w:marLeft w:val="0"/>
      <w:marRight w:val="0"/>
      <w:marTop w:val="0"/>
      <w:marBottom w:val="0"/>
      <w:divBdr>
        <w:top w:val="none" w:sz="0" w:space="0" w:color="auto"/>
        <w:left w:val="none" w:sz="0" w:space="0" w:color="auto"/>
        <w:bottom w:val="none" w:sz="0" w:space="0" w:color="auto"/>
        <w:right w:val="none" w:sz="0" w:space="0" w:color="auto"/>
      </w:divBdr>
    </w:div>
    <w:div w:id="408041891">
      <w:bodyDiv w:val="1"/>
      <w:marLeft w:val="0"/>
      <w:marRight w:val="0"/>
      <w:marTop w:val="0"/>
      <w:marBottom w:val="0"/>
      <w:divBdr>
        <w:top w:val="none" w:sz="0" w:space="0" w:color="auto"/>
        <w:left w:val="none" w:sz="0" w:space="0" w:color="auto"/>
        <w:bottom w:val="none" w:sz="0" w:space="0" w:color="auto"/>
        <w:right w:val="none" w:sz="0" w:space="0" w:color="auto"/>
      </w:divBdr>
    </w:div>
    <w:div w:id="431782387">
      <w:bodyDiv w:val="1"/>
      <w:marLeft w:val="0"/>
      <w:marRight w:val="0"/>
      <w:marTop w:val="0"/>
      <w:marBottom w:val="0"/>
      <w:divBdr>
        <w:top w:val="none" w:sz="0" w:space="0" w:color="auto"/>
        <w:left w:val="none" w:sz="0" w:space="0" w:color="auto"/>
        <w:bottom w:val="none" w:sz="0" w:space="0" w:color="auto"/>
        <w:right w:val="none" w:sz="0" w:space="0" w:color="auto"/>
      </w:divBdr>
    </w:div>
    <w:div w:id="445739681">
      <w:bodyDiv w:val="1"/>
      <w:marLeft w:val="0"/>
      <w:marRight w:val="0"/>
      <w:marTop w:val="0"/>
      <w:marBottom w:val="0"/>
      <w:divBdr>
        <w:top w:val="none" w:sz="0" w:space="0" w:color="auto"/>
        <w:left w:val="none" w:sz="0" w:space="0" w:color="auto"/>
        <w:bottom w:val="none" w:sz="0" w:space="0" w:color="auto"/>
        <w:right w:val="none" w:sz="0" w:space="0" w:color="auto"/>
      </w:divBdr>
    </w:div>
    <w:div w:id="449471608">
      <w:bodyDiv w:val="1"/>
      <w:marLeft w:val="0"/>
      <w:marRight w:val="0"/>
      <w:marTop w:val="0"/>
      <w:marBottom w:val="0"/>
      <w:divBdr>
        <w:top w:val="none" w:sz="0" w:space="0" w:color="auto"/>
        <w:left w:val="none" w:sz="0" w:space="0" w:color="auto"/>
        <w:bottom w:val="none" w:sz="0" w:space="0" w:color="auto"/>
        <w:right w:val="none" w:sz="0" w:space="0" w:color="auto"/>
      </w:divBdr>
    </w:div>
    <w:div w:id="475991870">
      <w:bodyDiv w:val="1"/>
      <w:marLeft w:val="0"/>
      <w:marRight w:val="0"/>
      <w:marTop w:val="0"/>
      <w:marBottom w:val="0"/>
      <w:divBdr>
        <w:top w:val="none" w:sz="0" w:space="0" w:color="auto"/>
        <w:left w:val="none" w:sz="0" w:space="0" w:color="auto"/>
        <w:bottom w:val="none" w:sz="0" w:space="0" w:color="auto"/>
        <w:right w:val="none" w:sz="0" w:space="0" w:color="auto"/>
      </w:divBdr>
    </w:div>
    <w:div w:id="569080804">
      <w:bodyDiv w:val="1"/>
      <w:marLeft w:val="0"/>
      <w:marRight w:val="0"/>
      <w:marTop w:val="0"/>
      <w:marBottom w:val="0"/>
      <w:divBdr>
        <w:top w:val="none" w:sz="0" w:space="0" w:color="auto"/>
        <w:left w:val="none" w:sz="0" w:space="0" w:color="auto"/>
        <w:bottom w:val="none" w:sz="0" w:space="0" w:color="auto"/>
        <w:right w:val="none" w:sz="0" w:space="0" w:color="auto"/>
      </w:divBdr>
    </w:div>
    <w:div w:id="589970384">
      <w:bodyDiv w:val="1"/>
      <w:marLeft w:val="0"/>
      <w:marRight w:val="0"/>
      <w:marTop w:val="0"/>
      <w:marBottom w:val="0"/>
      <w:divBdr>
        <w:top w:val="none" w:sz="0" w:space="0" w:color="auto"/>
        <w:left w:val="none" w:sz="0" w:space="0" w:color="auto"/>
        <w:bottom w:val="none" w:sz="0" w:space="0" w:color="auto"/>
        <w:right w:val="none" w:sz="0" w:space="0" w:color="auto"/>
      </w:divBdr>
      <w:divsChild>
        <w:div w:id="1895922027">
          <w:marLeft w:val="0"/>
          <w:marRight w:val="0"/>
          <w:marTop w:val="0"/>
          <w:marBottom w:val="0"/>
          <w:divBdr>
            <w:top w:val="none" w:sz="0" w:space="0" w:color="auto"/>
            <w:left w:val="none" w:sz="0" w:space="0" w:color="auto"/>
            <w:bottom w:val="none" w:sz="0" w:space="0" w:color="auto"/>
            <w:right w:val="none" w:sz="0" w:space="0" w:color="auto"/>
          </w:divBdr>
          <w:divsChild>
            <w:div w:id="2015574276">
              <w:marLeft w:val="3075"/>
              <w:marRight w:val="0"/>
              <w:marTop w:val="0"/>
              <w:marBottom w:val="0"/>
              <w:divBdr>
                <w:top w:val="none" w:sz="0" w:space="0" w:color="auto"/>
                <w:left w:val="none" w:sz="0" w:space="0" w:color="auto"/>
                <w:bottom w:val="none" w:sz="0" w:space="0" w:color="auto"/>
                <w:right w:val="none" w:sz="0" w:space="0" w:color="auto"/>
              </w:divBdr>
              <w:divsChild>
                <w:div w:id="583802278">
                  <w:marLeft w:val="0"/>
                  <w:marRight w:val="0"/>
                  <w:marTop w:val="0"/>
                  <w:marBottom w:val="0"/>
                  <w:divBdr>
                    <w:top w:val="none" w:sz="0" w:space="0" w:color="auto"/>
                    <w:left w:val="single" w:sz="48" w:space="0" w:color="EEEEEE"/>
                    <w:bottom w:val="none" w:sz="0" w:space="0" w:color="auto"/>
                    <w:right w:val="single" w:sz="48" w:space="0" w:color="EEEEEE"/>
                  </w:divBdr>
                  <w:divsChild>
                    <w:div w:id="904490927">
                      <w:marLeft w:val="0"/>
                      <w:marRight w:val="3525"/>
                      <w:marTop w:val="0"/>
                      <w:marBottom w:val="0"/>
                      <w:divBdr>
                        <w:top w:val="none" w:sz="0" w:space="0" w:color="auto"/>
                        <w:left w:val="none" w:sz="0" w:space="0" w:color="auto"/>
                        <w:bottom w:val="none" w:sz="0" w:space="0" w:color="auto"/>
                        <w:right w:val="none" w:sz="0" w:space="0" w:color="auto"/>
                      </w:divBdr>
                      <w:divsChild>
                        <w:div w:id="1987927008">
                          <w:marLeft w:val="0"/>
                          <w:marRight w:val="0"/>
                          <w:marTop w:val="0"/>
                          <w:marBottom w:val="0"/>
                          <w:divBdr>
                            <w:top w:val="none" w:sz="0" w:space="0" w:color="auto"/>
                            <w:left w:val="none" w:sz="0" w:space="0" w:color="auto"/>
                            <w:bottom w:val="none" w:sz="0" w:space="0" w:color="auto"/>
                            <w:right w:val="none" w:sz="0" w:space="0" w:color="auto"/>
                          </w:divBdr>
                          <w:divsChild>
                            <w:div w:id="232549560">
                              <w:marLeft w:val="0"/>
                              <w:marRight w:val="0"/>
                              <w:marTop w:val="0"/>
                              <w:marBottom w:val="0"/>
                              <w:divBdr>
                                <w:top w:val="none" w:sz="0" w:space="0" w:color="auto"/>
                                <w:left w:val="none" w:sz="0" w:space="0" w:color="auto"/>
                                <w:bottom w:val="none" w:sz="0" w:space="0" w:color="auto"/>
                                <w:right w:val="none" w:sz="0" w:space="0" w:color="auto"/>
                              </w:divBdr>
                              <w:divsChild>
                                <w:div w:id="1613709834">
                                  <w:marLeft w:val="0"/>
                                  <w:marRight w:val="0"/>
                                  <w:marTop w:val="0"/>
                                  <w:marBottom w:val="0"/>
                                  <w:divBdr>
                                    <w:top w:val="none" w:sz="0" w:space="0" w:color="auto"/>
                                    <w:left w:val="none" w:sz="0" w:space="0" w:color="auto"/>
                                    <w:bottom w:val="none" w:sz="0" w:space="0" w:color="auto"/>
                                    <w:right w:val="none" w:sz="0" w:space="0" w:color="auto"/>
                                  </w:divBdr>
                                  <w:divsChild>
                                    <w:div w:id="605233684">
                                      <w:marLeft w:val="0"/>
                                      <w:marRight w:val="0"/>
                                      <w:marTop w:val="0"/>
                                      <w:marBottom w:val="0"/>
                                      <w:divBdr>
                                        <w:top w:val="none" w:sz="0" w:space="0" w:color="auto"/>
                                        <w:left w:val="none" w:sz="0" w:space="0" w:color="auto"/>
                                        <w:bottom w:val="none" w:sz="0" w:space="0" w:color="auto"/>
                                        <w:right w:val="none" w:sz="0" w:space="0" w:color="auto"/>
                                      </w:divBdr>
                                      <w:divsChild>
                                        <w:div w:id="1022782733">
                                          <w:marLeft w:val="0"/>
                                          <w:marRight w:val="0"/>
                                          <w:marTop w:val="0"/>
                                          <w:marBottom w:val="0"/>
                                          <w:divBdr>
                                            <w:top w:val="none" w:sz="0" w:space="0" w:color="auto"/>
                                            <w:left w:val="none" w:sz="0" w:space="0" w:color="auto"/>
                                            <w:bottom w:val="none" w:sz="0" w:space="0" w:color="auto"/>
                                            <w:right w:val="none" w:sz="0" w:space="0" w:color="auto"/>
                                          </w:divBdr>
                                          <w:divsChild>
                                            <w:div w:id="974287852">
                                              <w:marLeft w:val="0"/>
                                              <w:marRight w:val="0"/>
                                              <w:marTop w:val="0"/>
                                              <w:marBottom w:val="0"/>
                                              <w:divBdr>
                                                <w:top w:val="none" w:sz="0" w:space="0" w:color="auto"/>
                                                <w:left w:val="none" w:sz="0" w:space="0" w:color="auto"/>
                                                <w:bottom w:val="none" w:sz="0" w:space="0" w:color="auto"/>
                                                <w:right w:val="none" w:sz="0" w:space="0" w:color="auto"/>
                                              </w:divBdr>
                                              <w:divsChild>
                                                <w:div w:id="1881547923">
                                                  <w:marLeft w:val="0"/>
                                                  <w:marRight w:val="0"/>
                                                  <w:marTop w:val="0"/>
                                                  <w:marBottom w:val="0"/>
                                                  <w:divBdr>
                                                    <w:top w:val="none" w:sz="0" w:space="0" w:color="auto"/>
                                                    <w:left w:val="none" w:sz="0" w:space="0" w:color="auto"/>
                                                    <w:bottom w:val="none" w:sz="0" w:space="0" w:color="auto"/>
                                                    <w:right w:val="none" w:sz="0" w:space="0" w:color="auto"/>
                                                  </w:divBdr>
                                                  <w:divsChild>
                                                    <w:div w:id="2113436003">
                                                      <w:marLeft w:val="0"/>
                                                      <w:marRight w:val="0"/>
                                                      <w:marTop w:val="0"/>
                                                      <w:marBottom w:val="0"/>
                                                      <w:divBdr>
                                                        <w:top w:val="none" w:sz="0" w:space="0" w:color="auto"/>
                                                        <w:left w:val="none" w:sz="0" w:space="0" w:color="auto"/>
                                                        <w:bottom w:val="none" w:sz="0" w:space="0" w:color="auto"/>
                                                        <w:right w:val="none" w:sz="0" w:space="0" w:color="auto"/>
                                                      </w:divBdr>
                                                      <w:divsChild>
                                                        <w:div w:id="1207253746">
                                                          <w:marLeft w:val="0"/>
                                                          <w:marRight w:val="-135"/>
                                                          <w:marTop w:val="0"/>
                                                          <w:marBottom w:val="0"/>
                                                          <w:divBdr>
                                                            <w:top w:val="none" w:sz="0" w:space="0" w:color="auto"/>
                                                            <w:left w:val="none" w:sz="0" w:space="0" w:color="auto"/>
                                                            <w:bottom w:val="none" w:sz="0" w:space="0" w:color="auto"/>
                                                            <w:right w:val="none" w:sz="0" w:space="0" w:color="auto"/>
                                                          </w:divBdr>
                                                          <w:divsChild>
                                                            <w:div w:id="499273565">
                                                              <w:marLeft w:val="-135"/>
                                                              <w:marRight w:val="0"/>
                                                              <w:marTop w:val="0"/>
                                                              <w:marBottom w:val="0"/>
                                                              <w:divBdr>
                                                                <w:top w:val="none" w:sz="0" w:space="0" w:color="auto"/>
                                                                <w:left w:val="none" w:sz="0" w:space="0" w:color="auto"/>
                                                                <w:bottom w:val="none" w:sz="0" w:space="0" w:color="auto"/>
                                                                <w:right w:val="none" w:sz="0" w:space="0" w:color="auto"/>
                                                              </w:divBdr>
                                                              <w:divsChild>
                                                                <w:div w:id="1633053971">
                                                                  <w:marLeft w:val="0"/>
                                                                  <w:marRight w:val="0"/>
                                                                  <w:marTop w:val="0"/>
                                                                  <w:marBottom w:val="0"/>
                                                                  <w:divBdr>
                                                                    <w:top w:val="single" w:sz="2" w:space="11" w:color="3C6B93"/>
                                                                    <w:left w:val="single" w:sz="2" w:space="11" w:color="3C6B93"/>
                                                                    <w:bottom w:val="single" w:sz="2" w:space="0" w:color="3C6B93"/>
                                                                    <w:right w:val="single" w:sz="2" w:space="0" w:color="3C6B93"/>
                                                                  </w:divBdr>
                                                                  <w:divsChild>
                                                                    <w:div w:id="1176772679">
                                                                      <w:marLeft w:val="0"/>
                                                                      <w:marRight w:val="0"/>
                                                                      <w:marTop w:val="0"/>
                                                                      <w:marBottom w:val="0"/>
                                                                      <w:divBdr>
                                                                        <w:top w:val="none" w:sz="0" w:space="0" w:color="auto"/>
                                                                        <w:left w:val="none" w:sz="0" w:space="0" w:color="auto"/>
                                                                        <w:bottom w:val="none" w:sz="0" w:space="0" w:color="auto"/>
                                                                        <w:right w:val="none" w:sz="0" w:space="0" w:color="auto"/>
                                                                      </w:divBdr>
                                                                      <w:divsChild>
                                                                        <w:div w:id="1824395567">
                                                                          <w:marLeft w:val="-210"/>
                                                                          <w:marRight w:val="-135"/>
                                                                          <w:marTop w:val="0"/>
                                                                          <w:marBottom w:val="0"/>
                                                                          <w:divBdr>
                                                                            <w:top w:val="none" w:sz="0" w:space="0" w:color="auto"/>
                                                                            <w:left w:val="none" w:sz="0" w:space="0" w:color="auto"/>
                                                                            <w:bottom w:val="none" w:sz="0" w:space="0" w:color="auto"/>
                                                                            <w:right w:val="none" w:sz="0" w:space="0" w:color="auto"/>
                                                                          </w:divBdr>
                                                                          <w:divsChild>
                                                                            <w:div w:id="2008706846">
                                                                              <w:marLeft w:val="22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097279">
      <w:bodyDiv w:val="1"/>
      <w:marLeft w:val="0"/>
      <w:marRight w:val="0"/>
      <w:marTop w:val="0"/>
      <w:marBottom w:val="0"/>
      <w:divBdr>
        <w:top w:val="none" w:sz="0" w:space="0" w:color="auto"/>
        <w:left w:val="none" w:sz="0" w:space="0" w:color="auto"/>
        <w:bottom w:val="none" w:sz="0" w:space="0" w:color="auto"/>
        <w:right w:val="none" w:sz="0" w:space="0" w:color="auto"/>
      </w:divBdr>
    </w:div>
    <w:div w:id="599067860">
      <w:bodyDiv w:val="1"/>
      <w:marLeft w:val="0"/>
      <w:marRight w:val="0"/>
      <w:marTop w:val="0"/>
      <w:marBottom w:val="0"/>
      <w:divBdr>
        <w:top w:val="none" w:sz="0" w:space="0" w:color="auto"/>
        <w:left w:val="none" w:sz="0" w:space="0" w:color="auto"/>
        <w:bottom w:val="none" w:sz="0" w:space="0" w:color="auto"/>
        <w:right w:val="none" w:sz="0" w:space="0" w:color="auto"/>
      </w:divBdr>
    </w:div>
    <w:div w:id="607351593">
      <w:bodyDiv w:val="1"/>
      <w:marLeft w:val="0"/>
      <w:marRight w:val="0"/>
      <w:marTop w:val="0"/>
      <w:marBottom w:val="0"/>
      <w:divBdr>
        <w:top w:val="none" w:sz="0" w:space="0" w:color="auto"/>
        <w:left w:val="none" w:sz="0" w:space="0" w:color="auto"/>
        <w:bottom w:val="none" w:sz="0" w:space="0" w:color="auto"/>
        <w:right w:val="none" w:sz="0" w:space="0" w:color="auto"/>
      </w:divBdr>
    </w:div>
    <w:div w:id="638726387">
      <w:bodyDiv w:val="1"/>
      <w:marLeft w:val="0"/>
      <w:marRight w:val="0"/>
      <w:marTop w:val="0"/>
      <w:marBottom w:val="0"/>
      <w:divBdr>
        <w:top w:val="none" w:sz="0" w:space="0" w:color="auto"/>
        <w:left w:val="none" w:sz="0" w:space="0" w:color="auto"/>
        <w:bottom w:val="none" w:sz="0" w:space="0" w:color="auto"/>
        <w:right w:val="none" w:sz="0" w:space="0" w:color="auto"/>
      </w:divBdr>
    </w:div>
    <w:div w:id="656113089">
      <w:bodyDiv w:val="1"/>
      <w:marLeft w:val="0"/>
      <w:marRight w:val="0"/>
      <w:marTop w:val="0"/>
      <w:marBottom w:val="0"/>
      <w:divBdr>
        <w:top w:val="none" w:sz="0" w:space="0" w:color="auto"/>
        <w:left w:val="none" w:sz="0" w:space="0" w:color="auto"/>
        <w:bottom w:val="none" w:sz="0" w:space="0" w:color="auto"/>
        <w:right w:val="none" w:sz="0" w:space="0" w:color="auto"/>
      </w:divBdr>
    </w:div>
    <w:div w:id="676466513">
      <w:bodyDiv w:val="1"/>
      <w:marLeft w:val="0"/>
      <w:marRight w:val="0"/>
      <w:marTop w:val="0"/>
      <w:marBottom w:val="0"/>
      <w:divBdr>
        <w:top w:val="none" w:sz="0" w:space="0" w:color="auto"/>
        <w:left w:val="none" w:sz="0" w:space="0" w:color="auto"/>
        <w:bottom w:val="none" w:sz="0" w:space="0" w:color="auto"/>
        <w:right w:val="none" w:sz="0" w:space="0" w:color="auto"/>
      </w:divBdr>
    </w:div>
    <w:div w:id="680817032">
      <w:bodyDiv w:val="1"/>
      <w:marLeft w:val="0"/>
      <w:marRight w:val="0"/>
      <w:marTop w:val="0"/>
      <w:marBottom w:val="0"/>
      <w:divBdr>
        <w:top w:val="none" w:sz="0" w:space="0" w:color="auto"/>
        <w:left w:val="none" w:sz="0" w:space="0" w:color="auto"/>
        <w:bottom w:val="none" w:sz="0" w:space="0" w:color="auto"/>
        <w:right w:val="none" w:sz="0" w:space="0" w:color="auto"/>
      </w:divBdr>
    </w:div>
    <w:div w:id="711467627">
      <w:bodyDiv w:val="1"/>
      <w:marLeft w:val="0"/>
      <w:marRight w:val="0"/>
      <w:marTop w:val="0"/>
      <w:marBottom w:val="0"/>
      <w:divBdr>
        <w:top w:val="none" w:sz="0" w:space="0" w:color="auto"/>
        <w:left w:val="none" w:sz="0" w:space="0" w:color="auto"/>
        <w:bottom w:val="none" w:sz="0" w:space="0" w:color="auto"/>
        <w:right w:val="none" w:sz="0" w:space="0" w:color="auto"/>
      </w:divBdr>
    </w:div>
    <w:div w:id="738017259">
      <w:bodyDiv w:val="1"/>
      <w:marLeft w:val="0"/>
      <w:marRight w:val="0"/>
      <w:marTop w:val="0"/>
      <w:marBottom w:val="0"/>
      <w:divBdr>
        <w:top w:val="none" w:sz="0" w:space="0" w:color="auto"/>
        <w:left w:val="none" w:sz="0" w:space="0" w:color="auto"/>
        <w:bottom w:val="none" w:sz="0" w:space="0" w:color="auto"/>
        <w:right w:val="none" w:sz="0" w:space="0" w:color="auto"/>
      </w:divBdr>
    </w:div>
    <w:div w:id="817108344">
      <w:bodyDiv w:val="1"/>
      <w:marLeft w:val="0"/>
      <w:marRight w:val="0"/>
      <w:marTop w:val="0"/>
      <w:marBottom w:val="0"/>
      <w:divBdr>
        <w:top w:val="none" w:sz="0" w:space="0" w:color="auto"/>
        <w:left w:val="none" w:sz="0" w:space="0" w:color="auto"/>
        <w:bottom w:val="none" w:sz="0" w:space="0" w:color="auto"/>
        <w:right w:val="none" w:sz="0" w:space="0" w:color="auto"/>
      </w:divBdr>
    </w:div>
    <w:div w:id="834757766">
      <w:bodyDiv w:val="1"/>
      <w:marLeft w:val="0"/>
      <w:marRight w:val="0"/>
      <w:marTop w:val="0"/>
      <w:marBottom w:val="0"/>
      <w:divBdr>
        <w:top w:val="none" w:sz="0" w:space="0" w:color="auto"/>
        <w:left w:val="none" w:sz="0" w:space="0" w:color="auto"/>
        <w:bottom w:val="none" w:sz="0" w:space="0" w:color="auto"/>
        <w:right w:val="none" w:sz="0" w:space="0" w:color="auto"/>
      </w:divBdr>
    </w:div>
    <w:div w:id="858086283">
      <w:bodyDiv w:val="1"/>
      <w:marLeft w:val="0"/>
      <w:marRight w:val="0"/>
      <w:marTop w:val="0"/>
      <w:marBottom w:val="0"/>
      <w:divBdr>
        <w:top w:val="none" w:sz="0" w:space="0" w:color="auto"/>
        <w:left w:val="none" w:sz="0" w:space="0" w:color="auto"/>
        <w:bottom w:val="none" w:sz="0" w:space="0" w:color="auto"/>
        <w:right w:val="none" w:sz="0" w:space="0" w:color="auto"/>
      </w:divBdr>
    </w:div>
    <w:div w:id="858932947">
      <w:bodyDiv w:val="1"/>
      <w:marLeft w:val="0"/>
      <w:marRight w:val="0"/>
      <w:marTop w:val="0"/>
      <w:marBottom w:val="0"/>
      <w:divBdr>
        <w:top w:val="none" w:sz="0" w:space="0" w:color="auto"/>
        <w:left w:val="none" w:sz="0" w:space="0" w:color="auto"/>
        <w:bottom w:val="none" w:sz="0" w:space="0" w:color="auto"/>
        <w:right w:val="none" w:sz="0" w:space="0" w:color="auto"/>
      </w:divBdr>
    </w:div>
    <w:div w:id="951207229">
      <w:bodyDiv w:val="1"/>
      <w:marLeft w:val="0"/>
      <w:marRight w:val="0"/>
      <w:marTop w:val="0"/>
      <w:marBottom w:val="0"/>
      <w:divBdr>
        <w:top w:val="none" w:sz="0" w:space="0" w:color="auto"/>
        <w:left w:val="none" w:sz="0" w:space="0" w:color="auto"/>
        <w:bottom w:val="none" w:sz="0" w:space="0" w:color="auto"/>
        <w:right w:val="none" w:sz="0" w:space="0" w:color="auto"/>
      </w:divBdr>
    </w:div>
    <w:div w:id="997079722">
      <w:bodyDiv w:val="1"/>
      <w:marLeft w:val="0"/>
      <w:marRight w:val="0"/>
      <w:marTop w:val="0"/>
      <w:marBottom w:val="0"/>
      <w:divBdr>
        <w:top w:val="none" w:sz="0" w:space="0" w:color="auto"/>
        <w:left w:val="none" w:sz="0" w:space="0" w:color="auto"/>
        <w:bottom w:val="none" w:sz="0" w:space="0" w:color="auto"/>
        <w:right w:val="none" w:sz="0" w:space="0" w:color="auto"/>
      </w:divBdr>
    </w:div>
    <w:div w:id="1042168502">
      <w:bodyDiv w:val="1"/>
      <w:marLeft w:val="0"/>
      <w:marRight w:val="0"/>
      <w:marTop w:val="0"/>
      <w:marBottom w:val="0"/>
      <w:divBdr>
        <w:top w:val="none" w:sz="0" w:space="0" w:color="auto"/>
        <w:left w:val="none" w:sz="0" w:space="0" w:color="auto"/>
        <w:bottom w:val="none" w:sz="0" w:space="0" w:color="auto"/>
        <w:right w:val="none" w:sz="0" w:space="0" w:color="auto"/>
      </w:divBdr>
    </w:div>
    <w:div w:id="1195001462">
      <w:bodyDiv w:val="1"/>
      <w:marLeft w:val="0"/>
      <w:marRight w:val="0"/>
      <w:marTop w:val="0"/>
      <w:marBottom w:val="0"/>
      <w:divBdr>
        <w:top w:val="none" w:sz="0" w:space="0" w:color="auto"/>
        <w:left w:val="none" w:sz="0" w:space="0" w:color="auto"/>
        <w:bottom w:val="none" w:sz="0" w:space="0" w:color="auto"/>
        <w:right w:val="none" w:sz="0" w:space="0" w:color="auto"/>
      </w:divBdr>
    </w:div>
    <w:div w:id="1211646874">
      <w:bodyDiv w:val="1"/>
      <w:marLeft w:val="0"/>
      <w:marRight w:val="0"/>
      <w:marTop w:val="0"/>
      <w:marBottom w:val="0"/>
      <w:divBdr>
        <w:top w:val="none" w:sz="0" w:space="0" w:color="auto"/>
        <w:left w:val="none" w:sz="0" w:space="0" w:color="auto"/>
        <w:bottom w:val="none" w:sz="0" w:space="0" w:color="auto"/>
        <w:right w:val="none" w:sz="0" w:space="0" w:color="auto"/>
      </w:divBdr>
    </w:div>
    <w:div w:id="1251428506">
      <w:bodyDiv w:val="1"/>
      <w:marLeft w:val="0"/>
      <w:marRight w:val="0"/>
      <w:marTop w:val="0"/>
      <w:marBottom w:val="0"/>
      <w:divBdr>
        <w:top w:val="none" w:sz="0" w:space="0" w:color="auto"/>
        <w:left w:val="none" w:sz="0" w:space="0" w:color="auto"/>
        <w:bottom w:val="none" w:sz="0" w:space="0" w:color="auto"/>
        <w:right w:val="none" w:sz="0" w:space="0" w:color="auto"/>
      </w:divBdr>
    </w:div>
    <w:div w:id="1266575443">
      <w:bodyDiv w:val="1"/>
      <w:marLeft w:val="0"/>
      <w:marRight w:val="0"/>
      <w:marTop w:val="0"/>
      <w:marBottom w:val="0"/>
      <w:divBdr>
        <w:top w:val="none" w:sz="0" w:space="0" w:color="auto"/>
        <w:left w:val="none" w:sz="0" w:space="0" w:color="auto"/>
        <w:bottom w:val="none" w:sz="0" w:space="0" w:color="auto"/>
        <w:right w:val="none" w:sz="0" w:space="0" w:color="auto"/>
      </w:divBdr>
    </w:div>
    <w:div w:id="1311131169">
      <w:bodyDiv w:val="1"/>
      <w:marLeft w:val="0"/>
      <w:marRight w:val="0"/>
      <w:marTop w:val="0"/>
      <w:marBottom w:val="0"/>
      <w:divBdr>
        <w:top w:val="none" w:sz="0" w:space="0" w:color="auto"/>
        <w:left w:val="none" w:sz="0" w:space="0" w:color="auto"/>
        <w:bottom w:val="none" w:sz="0" w:space="0" w:color="auto"/>
        <w:right w:val="none" w:sz="0" w:space="0" w:color="auto"/>
      </w:divBdr>
    </w:div>
    <w:div w:id="1311901697">
      <w:bodyDiv w:val="1"/>
      <w:marLeft w:val="0"/>
      <w:marRight w:val="0"/>
      <w:marTop w:val="0"/>
      <w:marBottom w:val="0"/>
      <w:divBdr>
        <w:top w:val="none" w:sz="0" w:space="0" w:color="auto"/>
        <w:left w:val="none" w:sz="0" w:space="0" w:color="auto"/>
        <w:bottom w:val="none" w:sz="0" w:space="0" w:color="auto"/>
        <w:right w:val="none" w:sz="0" w:space="0" w:color="auto"/>
      </w:divBdr>
    </w:div>
    <w:div w:id="1343242319">
      <w:bodyDiv w:val="1"/>
      <w:marLeft w:val="0"/>
      <w:marRight w:val="0"/>
      <w:marTop w:val="0"/>
      <w:marBottom w:val="0"/>
      <w:divBdr>
        <w:top w:val="none" w:sz="0" w:space="0" w:color="auto"/>
        <w:left w:val="none" w:sz="0" w:space="0" w:color="auto"/>
        <w:bottom w:val="none" w:sz="0" w:space="0" w:color="auto"/>
        <w:right w:val="none" w:sz="0" w:space="0" w:color="auto"/>
      </w:divBdr>
    </w:div>
    <w:div w:id="1346976049">
      <w:bodyDiv w:val="1"/>
      <w:marLeft w:val="0"/>
      <w:marRight w:val="0"/>
      <w:marTop w:val="0"/>
      <w:marBottom w:val="0"/>
      <w:divBdr>
        <w:top w:val="none" w:sz="0" w:space="0" w:color="auto"/>
        <w:left w:val="none" w:sz="0" w:space="0" w:color="auto"/>
        <w:bottom w:val="none" w:sz="0" w:space="0" w:color="auto"/>
        <w:right w:val="none" w:sz="0" w:space="0" w:color="auto"/>
      </w:divBdr>
    </w:div>
    <w:div w:id="1475412056">
      <w:bodyDiv w:val="1"/>
      <w:marLeft w:val="0"/>
      <w:marRight w:val="0"/>
      <w:marTop w:val="0"/>
      <w:marBottom w:val="0"/>
      <w:divBdr>
        <w:top w:val="none" w:sz="0" w:space="0" w:color="auto"/>
        <w:left w:val="none" w:sz="0" w:space="0" w:color="auto"/>
        <w:bottom w:val="none" w:sz="0" w:space="0" w:color="auto"/>
        <w:right w:val="none" w:sz="0" w:space="0" w:color="auto"/>
      </w:divBdr>
    </w:div>
    <w:div w:id="1551500071">
      <w:bodyDiv w:val="1"/>
      <w:marLeft w:val="0"/>
      <w:marRight w:val="0"/>
      <w:marTop w:val="0"/>
      <w:marBottom w:val="0"/>
      <w:divBdr>
        <w:top w:val="none" w:sz="0" w:space="0" w:color="auto"/>
        <w:left w:val="none" w:sz="0" w:space="0" w:color="auto"/>
        <w:bottom w:val="none" w:sz="0" w:space="0" w:color="auto"/>
        <w:right w:val="none" w:sz="0" w:space="0" w:color="auto"/>
      </w:divBdr>
    </w:div>
    <w:div w:id="1586299150">
      <w:bodyDiv w:val="1"/>
      <w:marLeft w:val="0"/>
      <w:marRight w:val="0"/>
      <w:marTop w:val="0"/>
      <w:marBottom w:val="0"/>
      <w:divBdr>
        <w:top w:val="none" w:sz="0" w:space="0" w:color="auto"/>
        <w:left w:val="none" w:sz="0" w:space="0" w:color="auto"/>
        <w:bottom w:val="none" w:sz="0" w:space="0" w:color="auto"/>
        <w:right w:val="none" w:sz="0" w:space="0" w:color="auto"/>
      </w:divBdr>
    </w:div>
    <w:div w:id="1586457810">
      <w:bodyDiv w:val="1"/>
      <w:marLeft w:val="0"/>
      <w:marRight w:val="0"/>
      <w:marTop w:val="0"/>
      <w:marBottom w:val="0"/>
      <w:divBdr>
        <w:top w:val="none" w:sz="0" w:space="0" w:color="auto"/>
        <w:left w:val="none" w:sz="0" w:space="0" w:color="auto"/>
        <w:bottom w:val="none" w:sz="0" w:space="0" w:color="auto"/>
        <w:right w:val="none" w:sz="0" w:space="0" w:color="auto"/>
      </w:divBdr>
    </w:div>
    <w:div w:id="1637493771">
      <w:bodyDiv w:val="1"/>
      <w:marLeft w:val="0"/>
      <w:marRight w:val="0"/>
      <w:marTop w:val="0"/>
      <w:marBottom w:val="0"/>
      <w:divBdr>
        <w:top w:val="none" w:sz="0" w:space="0" w:color="auto"/>
        <w:left w:val="none" w:sz="0" w:space="0" w:color="auto"/>
        <w:bottom w:val="none" w:sz="0" w:space="0" w:color="auto"/>
        <w:right w:val="none" w:sz="0" w:space="0" w:color="auto"/>
      </w:divBdr>
    </w:div>
    <w:div w:id="1689795129">
      <w:bodyDiv w:val="1"/>
      <w:marLeft w:val="0"/>
      <w:marRight w:val="0"/>
      <w:marTop w:val="0"/>
      <w:marBottom w:val="0"/>
      <w:divBdr>
        <w:top w:val="none" w:sz="0" w:space="0" w:color="auto"/>
        <w:left w:val="none" w:sz="0" w:space="0" w:color="auto"/>
        <w:bottom w:val="none" w:sz="0" w:space="0" w:color="auto"/>
        <w:right w:val="none" w:sz="0" w:space="0" w:color="auto"/>
      </w:divBdr>
    </w:div>
    <w:div w:id="1713724236">
      <w:bodyDiv w:val="1"/>
      <w:marLeft w:val="0"/>
      <w:marRight w:val="0"/>
      <w:marTop w:val="0"/>
      <w:marBottom w:val="0"/>
      <w:divBdr>
        <w:top w:val="none" w:sz="0" w:space="0" w:color="auto"/>
        <w:left w:val="none" w:sz="0" w:space="0" w:color="auto"/>
        <w:bottom w:val="none" w:sz="0" w:space="0" w:color="auto"/>
        <w:right w:val="none" w:sz="0" w:space="0" w:color="auto"/>
      </w:divBdr>
    </w:div>
    <w:div w:id="1851945800">
      <w:bodyDiv w:val="1"/>
      <w:marLeft w:val="0"/>
      <w:marRight w:val="0"/>
      <w:marTop w:val="0"/>
      <w:marBottom w:val="0"/>
      <w:divBdr>
        <w:top w:val="none" w:sz="0" w:space="0" w:color="auto"/>
        <w:left w:val="none" w:sz="0" w:space="0" w:color="auto"/>
        <w:bottom w:val="none" w:sz="0" w:space="0" w:color="auto"/>
        <w:right w:val="none" w:sz="0" w:space="0" w:color="auto"/>
      </w:divBdr>
    </w:div>
    <w:div w:id="1891919338">
      <w:bodyDiv w:val="1"/>
      <w:marLeft w:val="0"/>
      <w:marRight w:val="0"/>
      <w:marTop w:val="0"/>
      <w:marBottom w:val="0"/>
      <w:divBdr>
        <w:top w:val="none" w:sz="0" w:space="0" w:color="auto"/>
        <w:left w:val="none" w:sz="0" w:space="0" w:color="auto"/>
        <w:bottom w:val="none" w:sz="0" w:space="0" w:color="auto"/>
        <w:right w:val="none" w:sz="0" w:space="0" w:color="auto"/>
      </w:divBdr>
    </w:div>
    <w:div w:id="1918202851">
      <w:bodyDiv w:val="1"/>
      <w:marLeft w:val="0"/>
      <w:marRight w:val="0"/>
      <w:marTop w:val="0"/>
      <w:marBottom w:val="0"/>
      <w:divBdr>
        <w:top w:val="none" w:sz="0" w:space="0" w:color="auto"/>
        <w:left w:val="none" w:sz="0" w:space="0" w:color="auto"/>
        <w:bottom w:val="none" w:sz="0" w:space="0" w:color="auto"/>
        <w:right w:val="none" w:sz="0" w:space="0" w:color="auto"/>
      </w:divBdr>
    </w:div>
    <w:div w:id="1982032848">
      <w:bodyDiv w:val="1"/>
      <w:marLeft w:val="0"/>
      <w:marRight w:val="0"/>
      <w:marTop w:val="0"/>
      <w:marBottom w:val="0"/>
      <w:divBdr>
        <w:top w:val="none" w:sz="0" w:space="0" w:color="auto"/>
        <w:left w:val="none" w:sz="0" w:space="0" w:color="auto"/>
        <w:bottom w:val="none" w:sz="0" w:space="0" w:color="auto"/>
        <w:right w:val="none" w:sz="0" w:space="0" w:color="auto"/>
      </w:divBdr>
    </w:div>
    <w:div w:id="2112509267">
      <w:bodyDiv w:val="1"/>
      <w:marLeft w:val="0"/>
      <w:marRight w:val="0"/>
      <w:marTop w:val="0"/>
      <w:marBottom w:val="0"/>
      <w:divBdr>
        <w:top w:val="none" w:sz="0" w:space="0" w:color="auto"/>
        <w:left w:val="none" w:sz="0" w:space="0" w:color="auto"/>
        <w:bottom w:val="none" w:sz="0" w:space="0" w:color="auto"/>
        <w:right w:val="none" w:sz="0" w:space="0" w:color="auto"/>
      </w:divBdr>
    </w:div>
    <w:div w:id="213601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assets.publishing.service.gov.uk/media/67210f6d3758e4604742a8cf/BRS_Post-Implementation_Review_2024.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british-business-bank.co.uk/bank-referrals/" TargetMode="External"/><Relationship Id="rId28" Type="http://schemas.openxmlformats.org/officeDocument/2006/relationships/header" Target="header5.xm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gov.uk/government/statistics/standards-and-policies-for-hm-treasury-statistics"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13;#Other|c235b5c2-f697-427b-a70a-43d69599f998;#8;#Banking and Credit|48c98d37-bf37-4b75-b9d1-98d8afdd038e;#9;#Policy Document Types|bd4325a7-7f6a-48f9-b0dc-cc3aef626e65;#1;#Financial Services|59fac2e4-0e4d-445e-9d2b-b7e636b82ddc;#4;#Official|0c3401bb-744b-4660-997f-fc50d910db48]]></LongProp>
</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HMT Document" ma:contentTypeID="0x010100F3DA492754083E45834DB37B66A75980002DC81C6898C9D94DA252982C27BFC41C" ma:contentTypeVersion="4833" ma:contentTypeDescription="Create an InfoStore Document" ma:contentTypeScope="" ma:versionID="b8d8fc89e2ac1b78ef15e8bb6f682ffc">
  <xsd:schema xmlns:xsd="http://www.w3.org/2001/XMLSchema" xmlns:xs="http://www.w3.org/2001/XMLSchema" xmlns:p="http://schemas.microsoft.com/office/2006/metadata/properties" xmlns:ns1="http://schemas.microsoft.com/sharepoint/v3" xmlns:ns2="8485635d-cf54-460b-8438-0e2015e08040" xmlns:ns3="d8bcf267-08c7-41af-ae9a-f666e777ae1a" targetNamespace="http://schemas.microsoft.com/office/2006/metadata/properties" ma:root="true" ma:fieldsID="cf8717564db7fff985374e1e548357e4" ns1:_="" ns2:_="" ns3:_="">
    <xsd:import namespace="http://schemas.microsoft.com/sharepoint/v3"/>
    <xsd:import namespace="8485635d-cf54-460b-8438-0e2015e08040"/>
    <xsd:import namespace="d8bcf267-08c7-41af-ae9a-f666e777ae1a"/>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6541d240-2ae9-4c3e-9bec-c1ce4fd66ac5}"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6541d240-2ae9-4c3e-9bec-c1ce4fd66ac5}"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cf267-08c7-41af-ae9a-f666e777ae1a"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lcf76f155ced4ddcb4097134ff3c332f" ma:index="64"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LongProp xmlns="" name="TaxCatchAll"><![CDATA[735;#Official Statistics|57458976-4850-418a-87e6-862edb71b490;#4;#Policy Document Types|bd4325a7-7f6a-48f9-b0dc-cc3aef626e65;#723;#Help to Buy ISA|9f4495d2-16bc-48f7-9c8d-a71d36c436ab;#194;#Banking and Credit|48c98d37-bf37-4b75-b9d1-98d8afdd038e;#5;#Other|c235b5c2-f697-427b-a70a-43d69599f998;#616;#BAC Mortgages Retail|3ddee2cc-79ed-4d2e-a3b3-3054ac65224e;#3;#Official|0c3401bb-744b-4660-997f-fc50d910db48;#1;#Financial Services|59fac2e4-0e4d-445e-9d2b-b7e636b82ddc]]></LongProp>
</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dlc_EmailReceivedUTC xmlns="http://schemas.microsoft.com/sharepoint/v3" xsi:nil="true"/>
    <dlc_EmailSentUTC xmlns="http://schemas.microsoft.com/sharepoint/v3" xsi:nil="true"/>
    <dlc_EmailSubject xmlns="http://schemas.microsoft.com/sharepoint/v3">H2B ISA Official Statistics Publication - September 17.doc</dlc_EmailSubject>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0c3401bb-744b-4660-997f-fc50d910db48</TermId>
        </TermInfo>
      </Terms>
    </b9c42a306c8b47fcbaf8a41a71352f3a>
    <TaxCatchAll xmlns="8485635d-cf54-460b-8438-0e2015e08040">
      <Value>13</Value>
      <Value>8</Value>
      <Value>9</Value>
      <Value>1</Value>
      <Value>4</Value>
    </TaxCatchAll>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byOrig xmlns="8485635d-cf54-460b-8438-0e2015e08040">
      <UserInfo>
        <DisplayName/>
        <AccountId xsi:nil="true"/>
        <AccountType/>
      </UserInfo>
    </HMT_ClosedbyOrig>
    <lcf76f155ced4ddcb4097134ff3c332f xmlns="d8bcf267-08c7-41af-ae9a-f666e777ae1a">
      <Terms xmlns="http://schemas.microsoft.com/office/infopath/2007/PartnerControls"/>
    </lcf76f155ced4ddcb4097134ff3c332f>
    <HMT_Topic xmlns="8485635d-cf54-460b-8438-0e2015e08040">0E - Business finance and banking</HMT_Topic>
    <HMT_ArchivedOn xmlns="8485635d-cf54-460b-8438-0e2015e08040" xsi:nil="true"/>
    <_dlc_DocId xmlns="8485635d-cf54-460b-8438-0e2015e08040">HMTFINSRV-1800804728-23029</_dlc_DocId>
    <HMT_SubTeamHTField0 xmlns="8485635d-cf54-460b-8438-0e2015e08040">
      <Terms xmlns="http://schemas.microsoft.com/office/infopath/2007/PartnerControls"/>
    </HMT_SubTeamHTField0>
    <HMT_LegacyCreatedBy xmlns="8485635d-cf54-460b-8438-0e2015e08040" xsi:nil="true"/>
    <HMT_Record xmlns="8485635d-cf54-460b-8438-0e2015e08040">true</HMT_Record>
    <HMT_TeamHTField0 xmlns="8485635d-cf54-460b-8438-0e2015e08040">
      <Terms xmlns="http://schemas.microsoft.com/office/infopath/2007/PartnerControls">
        <TermInfo xmlns="http://schemas.microsoft.com/office/infopath/2007/PartnerControls">
          <TermName xmlns="http://schemas.microsoft.com/office/infopath/2007/PartnerControls">Banking and Credit</TermName>
          <TermId xmlns="http://schemas.microsoft.com/office/infopath/2007/PartnerControls">48c98d37-bf37-4b75-b9d1-98d8afdd038e</TermId>
        </TermInfo>
      </Terms>
    </HMT_TeamHTField0>
    <HMT_LegacyItemID xmlns="8485635d-cf54-460b-8438-0e2015e08040" xsi:nil="true"/>
    <HMT_ClosedBy xmlns="8485635d-cf54-460b-8438-0e2015e08040">
      <UserInfo>
        <DisplayName/>
        <AccountId xsi:nil="true"/>
        <AccountType/>
      </UserInfo>
    </HMT_ClosedBy>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8485635d-cf54-460b-8438-0e2015e08040">BRS</HMT_SubTopic>
    <HMT_Theme xmlns="8485635d-cf54-460b-8438-0e2015e08040">BAC Business Lending</HMT_Theme>
    <HMT_DeletedOn xmlns="8485635d-cf54-460b-8438-0e2015e08040" xsi:nil="true"/>
    <HMT_LegacyOrigSource xmlns="8485635d-cf54-460b-8438-0e2015e08040" xsi:nil="true"/>
    <HMT_ClosedArchive xmlns="8485635d-cf54-460b-8438-0e2015e08040">false</HMT_ClosedArchive>
    <HMT_GroupHTField0 xmlns="8485635d-cf54-460b-8438-0e2015e08040">
      <Terms xmlns="http://schemas.microsoft.com/office/infopath/2007/PartnerControls">
        <TermInfo xmlns="http://schemas.microsoft.com/office/infopath/2007/PartnerControls">
          <TermName xmlns="http://schemas.microsoft.com/office/infopath/2007/PartnerControls">Financial Services</TermName>
          <TermId xmlns="http://schemas.microsoft.com/office/infopath/2007/PartnerControls">59fac2e4-0e4d-445e-9d2b-b7e636b82ddc</TermId>
        </TermInfo>
      </Terms>
    </HMT_GroupHTField0>
    <HMT_ClosedOnOrig xmlns="8485635d-cf54-460b-8438-0e2015e08040" xsi:nil="true"/>
    <HMT_ArchivedBy xmlns="8485635d-cf54-460b-8438-0e2015e08040">
      <UserInfo>
        <DisplayName/>
        <AccountId xsi:nil="true"/>
        <AccountType/>
      </UserInfo>
    </HMT_ArchivedBy>
    <HMT_LegacyRecord xmlns="8485635d-cf54-460b-8438-0e2015e08040">false</HMT_LegacyRecord>
    <HMT_Audit xmlns="8485635d-cf54-460b-8438-0e2015e08040" xsi:nil="true"/>
    <HMT_LegacyExtRef xmlns="8485635d-cf54-460b-8438-0e2015e08040" xsi:nil="true"/>
    <HMT_LegacySensitive xmlns="8485635d-cf54-460b-8438-0e2015e08040">false</HMT_LegacySensitive>
    <_dlc_DocIdPersistId xmlns="8485635d-cf54-460b-8438-0e2015e08040">false</_dlc_DocIdPersistId>
    <_dlc_DocIdUrl xmlns="8485635d-cf54-460b-8438-0e2015e08040">
      <Url>https://tris42.sharepoint.com/sites/hmt_is_finserv/_layouts/15/DocIdRedir.aspx?ID=HMTFINSRV-1800804728-23029</Url>
      <Description>HMTFINSRV-1800804728-23029</Description>
    </_dlc_DocIdUrl>
    <HMT_ClosedOn xmlns="8485635d-cf54-460b-8438-0e2015e08040" xsi:nil="true"/>
    <HMT_LegacyModifiedBy xmlns="8485635d-cf54-460b-8438-0e2015e08040" xsi:nil="true"/>
  </documentManagement>
</p:properties>
</file>

<file path=customXml/itemProps1.xml><?xml version="1.0" encoding="utf-8"?>
<ds:datastoreItem xmlns:ds="http://schemas.openxmlformats.org/officeDocument/2006/customXml" ds:itemID="{74E8A632-522A-4F4D-BDD3-9DD1753EF4B1}">
  <ds:schemaRefs>
    <ds:schemaRef ds:uri="http://schemas.microsoft.com/sharepoint/v3/contenttype/forms"/>
  </ds:schemaRefs>
</ds:datastoreItem>
</file>

<file path=customXml/itemProps2.xml><?xml version="1.0" encoding="utf-8"?>
<ds:datastoreItem xmlns:ds="http://schemas.openxmlformats.org/officeDocument/2006/customXml" ds:itemID="{98D22B3A-876A-47C4-98BE-A9758F8B6465}">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4203C51-57D1-41E4-B514-8D09EE438711}">
  <ds:schemaRefs>
    <ds:schemaRef ds:uri="http://schemas.openxmlformats.org/officeDocument/2006/bibliography"/>
  </ds:schemaRefs>
</ds:datastoreItem>
</file>

<file path=customXml/itemProps4.xml><?xml version="1.0" encoding="utf-8"?>
<ds:datastoreItem xmlns:ds="http://schemas.openxmlformats.org/officeDocument/2006/customXml" ds:itemID="{3F483D56-1477-48E9-A80D-01EA0C507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d8bcf267-08c7-41af-ae9a-f666e777a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563757-E96B-45BB-B490-3C42E451A832}">
  <ds:schemaRefs>
    <ds:schemaRef ds:uri="http://schemas.microsoft.com/sharepoint/events"/>
  </ds:schemaRefs>
</ds:datastoreItem>
</file>

<file path=customXml/itemProps6.xml><?xml version="1.0" encoding="utf-8"?>
<ds:datastoreItem xmlns:ds="http://schemas.openxmlformats.org/officeDocument/2006/customXml" ds:itemID="{43112B5B-CB80-4C83-9414-E3719837C434}">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21A8A4B4-F5DE-44DD-9610-CAB40BAAFB61}">
  <ds:schemaRefs>
    <ds:schemaRef ds:uri="http://schemas.microsoft.com/sharepoint/v3/contenttype/forms"/>
  </ds:schemaRefs>
</ds:datastoreItem>
</file>

<file path=customXml/itemProps8.xml><?xml version="1.0" encoding="utf-8"?>
<ds:datastoreItem xmlns:ds="http://schemas.openxmlformats.org/officeDocument/2006/customXml" ds:itemID="{9946CAF7-04B8-42EA-B3BA-BA375109E466}">
  <ds:schemaRefs>
    <ds:schemaRef ds:uri="http://schemas.microsoft.com/office/2006/metadata/properties"/>
    <ds:schemaRef ds:uri="http://schemas.microsoft.com/office/infopath/2007/PartnerControls"/>
    <ds:schemaRef ds:uri="http://schemas.microsoft.com/sharepoint/v3"/>
    <ds:schemaRef ds:uri="8485635d-cf54-460b-8438-0e2015e08040"/>
    <ds:schemaRef ds:uri="d8bcf267-08c7-41af-ae9a-f666e777ae1a"/>
  </ds:schemaRefs>
</ds:datastoreItem>
</file>

<file path=docProps/app.xml><?xml version="1.0" encoding="utf-8"?>
<Properties xmlns="http://schemas.openxmlformats.org/officeDocument/2006/extended-properties" xmlns:vt="http://schemas.openxmlformats.org/officeDocument/2006/docPropsVTypes">
  <Template>Normal.dotm</Template>
  <TotalTime>3175</TotalTime>
  <Pages>1</Pages>
  <Words>2041</Words>
  <Characters>11634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BRS Stats 2024 with deals done rolling years - with rolling years explanation.docx</vt:lpstr>
    </vt:vector>
  </TitlesOfParts>
  <Company>Flex</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H2B</dc:title>
  <dc:subject/>
  <dc:creator>rhmtcwhitehead</dc:creator>
  <cp:keywords/>
  <dc:description/>
  <cp:lastModifiedBy>Rahman, Redwan - HMT</cp:lastModifiedBy>
  <cp:revision>41</cp:revision>
  <cp:lastPrinted>2025-01-15T16:55:00Z</cp:lastPrinted>
  <dcterms:created xsi:type="dcterms:W3CDTF">2025-01-09T17:07:00Z</dcterms:created>
  <dcterms:modified xsi:type="dcterms:W3CDTF">2025-01-15T16:58:00Z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bjDocumentSecurityPolicyProp">
    <vt:lpwstr>UK</vt:lpwstr>
  </property>
  <property fmtid="{D5CDD505-2E9C-101B-9397-08002B2CF9AE}" pid="4" name="bjDocumentSecurityPolicyPropID">
    <vt:lpwstr>id_newpolicy</vt:lpwstr>
  </property>
  <property fmtid="{D5CDD505-2E9C-101B-9397-08002B2CF9AE}" pid="5" name="bjDocumentSecurityProp1">
    <vt:lpwstr>UNCLASSIFIED</vt:lpwstr>
  </property>
  <property fmtid="{D5CDD505-2E9C-101B-9397-08002B2CF9AE}" pid="6" name="bjDocumentSecurityProp2">
    <vt:lpwstr/>
  </property>
  <property fmtid="{D5CDD505-2E9C-101B-9397-08002B2CF9AE}" pid="7" name="bjDocumentSecurityProp3">
    <vt:lpwstr/>
  </property>
  <property fmtid="{D5CDD505-2E9C-101B-9397-08002B2CF9AE}" pid="8" name="bjDocumentSecurityXML">
    <vt:lpwstr>&lt;label version="1.0"&gt;&lt;element uid="id_unclassified"/&gt;&lt;element uid="id_newpolicy" value=""/&gt;&lt;/label&gt;</vt:lpwstr>
  </property>
  <property fmtid="{D5CDD505-2E9C-101B-9397-08002B2CF9AE}" pid="9" name="bjSecLabelProp1ID">
    <vt:lpwstr>id_unclassified</vt:lpwstr>
  </property>
  <property fmtid="{D5CDD505-2E9C-101B-9397-08002B2CF9AE}" pid="10" name="bjSecLabelProp2ID">
    <vt:lpwstr/>
  </property>
  <property fmtid="{D5CDD505-2E9C-101B-9397-08002B2CF9AE}" pid="11" name="bjSecLabelProp3ID">
    <vt:lpwstr/>
  </property>
  <property fmtid="{D5CDD505-2E9C-101B-9397-08002B2CF9AE}" pid="12" name="ContentTypeId">
    <vt:lpwstr>0x010100F3DA492754083E45834DB37B66A75980002DC81C6898C9D94DA252982C27BFC41C</vt:lpwstr>
  </property>
  <property fmtid="{D5CDD505-2E9C-101B-9397-08002B2CF9AE}" pid="13" name="CX_RelocationOperation">
    <vt:lpwstr>Cut</vt:lpwstr>
  </property>
  <property fmtid="{D5CDD505-2E9C-101B-9397-08002B2CF9AE}" pid="14" name="CX_RelocationReason">
    <vt:lpwstr>I want to move the folders</vt:lpwstr>
  </property>
  <property fmtid="{D5CDD505-2E9C-101B-9397-08002B2CF9AE}" pid="15" name="CX_RelocationTimestamp">
    <vt:lpwstr>System.Func`1[System.DateTime]</vt:lpwstr>
  </property>
  <property fmtid="{D5CDD505-2E9C-101B-9397-08002B2CF9AE}" pid="16" name="CX_RelocationUser">
    <vt:lpwstr>Whitehead, Claire - HMT</vt:lpwstr>
  </property>
  <property fmtid="{D5CDD505-2E9C-101B-9397-08002B2CF9AE}" pid="17" name="display_urn:schemas-microsoft-com:office:office#Author">
    <vt:lpwstr>Ferguson, Lara - HMT</vt:lpwstr>
  </property>
  <property fmtid="{D5CDD505-2E9C-101B-9397-08002B2CF9AE}" pid="18" name="display_urn:schemas-microsoft-com:office:office#dlc_EmailMailbox">
    <vt:lpwstr>Ahmed, Alamin - HMT</vt:lpwstr>
  </property>
  <property fmtid="{D5CDD505-2E9C-101B-9397-08002B2CF9AE}" pid="19" name="display_urn:schemas-microsoft-com:office:office#Editor">
    <vt:lpwstr>P-Matthew Durgan</vt:lpwstr>
  </property>
  <property fmtid="{D5CDD505-2E9C-101B-9397-08002B2CF9AE}" pid="20" name="docIndexRef">
    <vt:lpwstr>be59bcea-b893-4d81-aea7-ac10796b9095</vt:lpwstr>
  </property>
  <property fmtid="{D5CDD505-2E9C-101B-9397-08002B2CF9AE}" pid="21" name="Document Security Label">
    <vt:lpwstr>UNCLASSIFIED</vt:lpwstr>
  </property>
  <property fmtid="{D5CDD505-2E9C-101B-9397-08002B2CF9AE}" pid="22" name="eGMS.protectiveMarking">
    <vt:lpwstr/>
  </property>
  <property fmtid="{D5CDD505-2E9C-101B-9397-08002B2CF9AE}" pid="23" name="HMT_Category">
    <vt:lpwstr>9;#Policy Document Types|bd4325a7-7f6a-48f9-b0dc-cc3aef626e65</vt:lpwstr>
  </property>
  <property fmtid="{D5CDD505-2E9C-101B-9397-08002B2CF9AE}" pid="24" name="HMT_CategoryHTField0">
    <vt:lpwstr>Policy Document Types|bd4325a7-7f6a-48f9-b0dc-cc3aef626e65</vt:lpwstr>
  </property>
  <property fmtid="{D5CDD505-2E9C-101B-9397-08002B2CF9AE}" pid="25" name="HMT_Classification">
    <vt:lpwstr>4;#Official|0c3401bb-744b-4660-997f-fc50d910db48</vt:lpwstr>
  </property>
  <property fmtid="{D5CDD505-2E9C-101B-9397-08002B2CF9AE}" pid="26" name="HMT_ClassificationHTField0">
    <vt:lpwstr>Official|0c3401bb-744b-4660-997f-fc50d910db48</vt:lpwstr>
  </property>
  <property fmtid="{D5CDD505-2E9C-101B-9397-08002B2CF9AE}" pid="27" name="HMT_DocumentType">
    <vt:lpwstr>13;#Other|c235b5c2-f697-427b-a70a-43d69599f998</vt:lpwstr>
  </property>
  <property fmtid="{D5CDD505-2E9C-101B-9397-08002B2CF9AE}" pid="28" name="HMT_Group">
    <vt:lpwstr>1;#Financial Services|59fac2e4-0e4d-445e-9d2b-b7e636b82ddc</vt:lpwstr>
  </property>
  <property fmtid="{D5CDD505-2E9C-101B-9397-08002B2CF9AE}" pid="29" name="HMT_GroupHTField0">
    <vt:lpwstr>Financial Services|59fac2e4-0e4d-445e-9d2b-b7e636b82ddc</vt:lpwstr>
  </property>
  <property fmtid="{D5CDD505-2E9C-101B-9397-08002B2CF9AE}" pid="30" name="HMT_Record">
    <vt:lpwstr>1</vt:lpwstr>
  </property>
  <property fmtid="{D5CDD505-2E9C-101B-9397-08002B2CF9AE}" pid="31" name="HMT_SubTeam">
    <vt:lpwstr/>
  </property>
  <property fmtid="{D5CDD505-2E9C-101B-9397-08002B2CF9AE}" pid="32" name="HMT_SubTeamHTField0">
    <vt:lpwstr/>
  </property>
  <property fmtid="{D5CDD505-2E9C-101B-9397-08002B2CF9AE}" pid="33" name="HMT_SubTopic">
    <vt:lpwstr>Press and Data Releases</vt:lpwstr>
  </property>
  <property fmtid="{D5CDD505-2E9C-101B-9397-08002B2CF9AE}" pid="34" name="HMT_SubTopicHTField0">
    <vt:lpwstr>Press and Data Releases|e6dbed01-5a39-4c05-975f-0830f686a6d7</vt:lpwstr>
  </property>
  <property fmtid="{D5CDD505-2E9C-101B-9397-08002B2CF9AE}" pid="35" name="HMT_Team">
    <vt:lpwstr>8;#Banking and Credit|48c98d37-bf37-4b75-b9d1-98d8afdd038e</vt:lpwstr>
  </property>
  <property fmtid="{D5CDD505-2E9C-101B-9397-08002B2CF9AE}" pid="36" name="HMT_TeamHTField0">
    <vt:lpwstr>Banking and Credit|48c98d37-bf37-4b75-b9d1-98d8afdd038e</vt:lpwstr>
  </property>
  <property fmtid="{D5CDD505-2E9C-101B-9397-08002B2CF9AE}" pid="37" name="HMT_Theme">
    <vt:lpwstr>BAC Business Lending</vt:lpwstr>
  </property>
  <property fmtid="{D5CDD505-2E9C-101B-9397-08002B2CF9AE}" pid="38" name="HMT_ThemeHTField0">
    <vt:lpwstr>BAC Business Lending|1e4c32a1-324d-436c-8c85-928a4866cd3c</vt:lpwstr>
  </property>
  <property fmtid="{D5CDD505-2E9C-101B-9397-08002B2CF9AE}" pid="39" name="HMT_Topic">
    <vt:lpwstr>PLATFORM FOR REJECTED LOANS</vt:lpwstr>
  </property>
  <property fmtid="{D5CDD505-2E9C-101B-9397-08002B2CF9AE}" pid="40" name="HMT_TopicHTField0">
    <vt:lpwstr>PLATFORM FOR REJECTED LOANS|7a783014-c67e-4c6f-84b2-3c0ca6603387</vt:lpwstr>
  </property>
  <property fmtid="{D5CDD505-2E9C-101B-9397-08002B2CF9AE}" pid="41" name="ItemRetentionFormula">
    <vt:lpwstr/>
  </property>
  <property fmtid="{D5CDD505-2E9C-101B-9397-08002B2CF9AE}" pid="42" name="LINKTEK-FILE-ID">
    <vt:lpwstr>01D5-6D4D-382F-E2F7</vt:lpwstr>
  </property>
  <property fmtid="{D5CDD505-2E9C-101B-9397-08002B2CF9AE}" pid="43" name="Order">
    <vt:lpwstr>3719800.00000000</vt:lpwstr>
  </property>
  <property fmtid="{D5CDD505-2E9C-101B-9397-08002B2CF9AE}" pid="44" name="TemplateUrl">
    <vt:lpwstr/>
  </property>
  <property fmtid="{D5CDD505-2E9C-101B-9397-08002B2CF9AE}" pid="45" name="xd_ProgID">
    <vt:lpwstr/>
  </property>
  <property fmtid="{D5CDD505-2E9C-101B-9397-08002B2CF9AE}" pid="46" name="xd_Signature">
    <vt:bool>false</vt:bool>
  </property>
  <property fmtid="{D5CDD505-2E9C-101B-9397-08002B2CF9AE}" pid="47" name="_dlc_DocId">
    <vt:lpwstr>HMTFINSERV-11-8238</vt:lpwstr>
  </property>
  <property fmtid="{D5CDD505-2E9C-101B-9397-08002B2CF9AE}" pid="48" name="_dlc_DocIdPersistId">
    <vt:lpwstr>0</vt:lpwstr>
  </property>
  <property fmtid="{D5CDD505-2E9C-101B-9397-08002B2CF9AE}" pid="49" name="_dlc_DocIdUrl">
    <vt:lpwstr>https://tris42.sharepoint.com/sites/hmt_is_finserv/_layouts/15/DocIdRedir.aspx?ID=HMTFINSERV-11-8238, HMTFINSERV-11-8238</vt:lpwstr>
  </property>
  <property fmtid="{D5CDD505-2E9C-101B-9397-08002B2CF9AE}" pid="50" name="_dlc_policyId">
    <vt:lpwstr/>
  </property>
  <property fmtid="{D5CDD505-2E9C-101B-9397-08002B2CF9AE}" pid="51" name="HMT_ClosedOn">
    <vt:lpwstr/>
  </property>
  <property fmtid="{D5CDD505-2E9C-101B-9397-08002B2CF9AE}" pid="52" name="HMT_DeletedOn">
    <vt:lpwstr/>
  </property>
  <property fmtid="{D5CDD505-2E9C-101B-9397-08002B2CF9AE}" pid="53" name="HMT_LegacyOrigSource">
    <vt:lpwstr/>
  </property>
  <property fmtid="{D5CDD505-2E9C-101B-9397-08002B2CF9AE}" pid="54" name="HMT_LegacyExtRef">
    <vt:lpwstr/>
  </property>
  <property fmtid="{D5CDD505-2E9C-101B-9397-08002B2CF9AE}" pid="55" name="HMT_ClosedbyOrig">
    <vt:lpwstr/>
  </property>
  <property fmtid="{D5CDD505-2E9C-101B-9397-08002B2CF9AE}" pid="56" name="HMT_LegacyModifiedBy">
    <vt:lpwstr/>
  </property>
  <property fmtid="{D5CDD505-2E9C-101B-9397-08002B2CF9AE}" pid="57" name="HMT_ClosedArchive">
    <vt:lpwstr>0</vt:lpwstr>
  </property>
  <property fmtid="{D5CDD505-2E9C-101B-9397-08002B2CF9AE}" pid="58" name="URL">
    <vt:lpwstr/>
  </property>
  <property fmtid="{D5CDD505-2E9C-101B-9397-08002B2CF9AE}" pid="59" name="HMT_Comments">
    <vt:lpwstr/>
  </property>
  <property fmtid="{D5CDD505-2E9C-101B-9397-08002B2CF9AE}" pid="60" name="HMT_Pending">
    <vt:lpwstr/>
  </property>
  <property fmtid="{D5CDD505-2E9C-101B-9397-08002B2CF9AE}" pid="61" name="HMT_ClosedOnOrig">
    <vt:lpwstr/>
  </property>
  <property fmtid="{D5CDD505-2E9C-101B-9397-08002B2CF9AE}" pid="62" name="HMT_ArchivedBy">
    <vt:lpwstr/>
  </property>
  <property fmtid="{D5CDD505-2E9C-101B-9397-08002B2CF9AE}" pid="63" name="HMT_ArchiveReqBy">
    <vt:lpwstr/>
  </property>
  <property fmtid="{D5CDD505-2E9C-101B-9397-08002B2CF9AE}" pid="64" name="HMT_LegacySensitive">
    <vt:lpwstr>0</vt:lpwstr>
  </property>
  <property fmtid="{D5CDD505-2E9C-101B-9397-08002B2CF9AE}" pid="65" name="HMT_Note">
    <vt:lpwstr/>
  </property>
  <property fmtid="{D5CDD505-2E9C-101B-9397-08002B2CF9AE}" pid="66" name="HMT_LegacyItemID">
    <vt:lpwstr/>
  </property>
  <property fmtid="{D5CDD505-2E9C-101B-9397-08002B2CF9AE}" pid="67" name="HMT_LegacyRecord">
    <vt:lpwstr>0</vt:lpwstr>
  </property>
  <property fmtid="{D5CDD505-2E9C-101B-9397-08002B2CF9AE}" pid="68" name="HMT_ClosedBy">
    <vt:lpwstr/>
  </property>
  <property fmtid="{D5CDD505-2E9C-101B-9397-08002B2CF9AE}" pid="69" name="HMT_ArchivedOn">
    <vt:lpwstr/>
  </property>
  <property fmtid="{D5CDD505-2E9C-101B-9397-08002B2CF9AE}" pid="70" name="HMT_Modified">
    <vt:lpwstr/>
  </property>
  <property fmtid="{D5CDD505-2E9C-101B-9397-08002B2CF9AE}" pid="71" name="HMT_ArchiveReqOn">
    <vt:lpwstr/>
  </property>
  <property fmtid="{D5CDD505-2E9C-101B-9397-08002B2CF9AE}" pid="72" name="_dlc_Exempt">
    <vt:lpwstr/>
  </property>
  <property fmtid="{D5CDD505-2E9C-101B-9397-08002B2CF9AE}" pid="73" name="b9c42a306c8b47fcbaf8a41a71352f3a0">
    <vt:lpwstr>Official|0c3401bb-744b-4660-997f-fc50d910db48</vt:lpwstr>
  </property>
  <property fmtid="{D5CDD505-2E9C-101B-9397-08002B2CF9AE}" pid="74" name="HMT_FolderOrderText">
    <vt:lpwstr/>
  </property>
  <property fmtid="{D5CDD505-2E9C-101B-9397-08002B2CF9AE}" pid="75" name="_dlc_ExpireDateSaved">
    <vt:lpwstr/>
  </property>
  <property fmtid="{D5CDD505-2E9C-101B-9397-08002B2CF9AE}" pid="76" name="HMT_LegacyCreatedBy">
    <vt:lpwstr/>
  </property>
  <property fmtid="{D5CDD505-2E9C-101B-9397-08002B2CF9AE}" pid="77" name="HMT_Audit">
    <vt:lpwstr/>
  </property>
  <property fmtid="{D5CDD505-2E9C-101B-9397-08002B2CF9AE}" pid="78" name="_dlc_ExpireDate">
    <vt:lpwstr/>
  </property>
  <property fmtid="{D5CDD505-2E9C-101B-9397-08002B2CF9AE}" pid="79" name="MediaServiceImageTags">
    <vt:lpwstr/>
  </property>
  <property fmtid="{D5CDD505-2E9C-101B-9397-08002B2CF9AE}" pid="80" name="lcf76f155ced4ddcb4097134ff3c332f">
    <vt:lpwstr/>
  </property>
  <property fmtid="{D5CDD505-2E9C-101B-9397-08002B2CF9AE}" pid="81" name="HMT_Review">
    <vt:bool>false</vt:bool>
  </property>
  <property fmtid="{D5CDD505-2E9C-101B-9397-08002B2CF9AE}" pid="82" name="_dlc_DocIdItemGuid">
    <vt:lpwstr>5f6ac921-c5b5-4d1b-a875-f48d03fbd675</vt:lpwstr>
  </property>
</Properties>
</file>